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00A76F4A" w14:paraId="1038F1A9" w14:textId="77777777">
      <w:pPr>
        <w:spacing w:after="0" w:line="240"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Pr="006A5360" w:rsidR="00A76F4A" w:rsidP="00A76F4A" w:rsidRDefault="00A76F4A" w14:paraId="739BA5B3" w14:textId="77777777">
      <w:pPr>
        <w:suppressAutoHyphens/>
        <w:spacing w:after="0" w:line="240" w:lineRule="auto"/>
        <w:rPr>
          <w:rFonts w:ascii="Palatino Linotype" w:hAnsi="Palatino Linotype" w:eastAsia="Times New Roman" w:cs="Times New Roman"/>
          <w:kern w:val="0"/>
          <w14:ligatures w14:val="none"/>
        </w:rPr>
      </w:pPr>
    </w:p>
    <w:p w:rsidRPr="006A5360" w:rsidR="00A76F4A" w:rsidP="00A76F4A" w:rsidRDefault="00A76F4A" w14:paraId="3530C4E8" w14:textId="77777777">
      <w:pPr>
        <w:suppressAutoHyphens/>
        <w:spacing w:after="0" w:line="240" w:lineRule="auto"/>
        <w:rPr>
          <w:rFonts w:ascii="Palatino Linotype" w:hAnsi="Palatino Linotype" w:eastAsia="Times New Roman" w:cs="Times New Roman"/>
          <w:kern w:val="0"/>
          <w14:ligatures w14:val="none"/>
        </w:rPr>
      </w:pPr>
    </w:p>
    <w:p w:rsidRPr="0051493D" w:rsidR="00A76F4A" w:rsidP="00A76F4A" w:rsidRDefault="00A76F4A" w14:paraId="2AFEBBF1" w14:textId="7B72091A">
      <w:pPr>
        <w:tabs>
          <w:tab w:val="right" w:pos="8820"/>
        </w:tabs>
        <w:spacing w:after="0" w:line="240" w:lineRule="auto"/>
        <w:rPr>
          <w:rFonts w:ascii="Palatino Linotype" w:hAnsi="Palatino Linotype" w:eastAsia="Times New Roman" w:cs="Times New Roman"/>
          <w:b/>
          <w:kern w:val="0"/>
          <w:highlight w:val="yellow"/>
          <w14:ligatures w14:val="none"/>
        </w:rPr>
      </w:pPr>
      <w:r w:rsidRPr="001942D0">
        <w:rPr>
          <w:rFonts w:ascii="Palatino Linotype" w:hAnsi="Palatino Linotype" w:eastAsia="Times New Roman" w:cs="Times New Roman"/>
          <w:b/>
          <w:kern w:val="0"/>
          <w14:ligatures w14:val="none"/>
        </w:rPr>
        <w:tab/>
      </w:r>
      <w:r w:rsidRPr="000D2C0C">
        <w:rPr>
          <w:rFonts w:ascii="Palatino Linotype" w:hAnsi="Palatino Linotype" w:eastAsia="Times New Roman" w:cs="Times New Roman"/>
          <w:b/>
          <w:kern w:val="0"/>
          <w14:ligatures w14:val="none"/>
        </w:rPr>
        <w:t>Agenda ID #</w:t>
      </w:r>
      <w:r w:rsidR="00493430">
        <w:rPr>
          <w:rFonts w:ascii="Palatino Linotype" w:hAnsi="Palatino Linotype" w:eastAsia="Times New Roman" w:cs="Times New Roman"/>
          <w:b/>
          <w:kern w:val="0"/>
          <w14:ligatures w14:val="none"/>
        </w:rPr>
        <w:t>24254</w:t>
      </w:r>
    </w:p>
    <w:p w:rsidRPr="00BE4D45" w:rsidR="00A76F4A" w:rsidP="006A5360" w:rsidRDefault="00204B1B" w14:paraId="097CE738" w14:textId="4F8CEB4A">
      <w:pPr>
        <w:tabs>
          <w:tab w:val="right" w:pos="8820"/>
        </w:tabs>
        <w:spacing w:after="0" w:line="240" w:lineRule="auto"/>
        <w:ind w:left="360"/>
        <w:rPr>
          <w:rFonts w:ascii="Palatino Linotype" w:hAnsi="Palatino Linotype" w:eastAsia="Palatino Linotype" w:cs="Times New Roman"/>
          <w:b/>
          <w:kern w:val="0"/>
          <w14:ligatures w14:val="none"/>
        </w:rPr>
      </w:pPr>
      <w:r w:rsidRPr="00BE4D45">
        <w:rPr>
          <w:rFonts w:ascii="Palatino Linotype" w:hAnsi="Palatino Linotype" w:eastAsia="Palatino Linotype" w:cs="Times New Roman"/>
          <w:b/>
          <w:kern w:val="0"/>
          <w14:ligatures w14:val="none"/>
        </w:rPr>
        <w:t>ENERGY DIVISION</w:t>
      </w:r>
      <w:r w:rsidRPr="00BE4D45" w:rsidR="00A76F4A">
        <w:rPr>
          <w:rFonts w:ascii="Palatino Linotype" w:hAnsi="Palatino Linotype" w:eastAsia="Times New Roman" w:cs="Times New Roman"/>
          <w:b/>
          <w:kern w:val="0"/>
          <w14:ligatures w14:val="none"/>
        </w:rPr>
        <w:tab/>
      </w:r>
      <w:r w:rsidRPr="00BE4D45" w:rsidR="00A76F4A">
        <w:rPr>
          <w:rFonts w:ascii="Palatino Linotype" w:hAnsi="Palatino Linotype" w:eastAsia="Palatino Linotype" w:cs="Times New Roman"/>
          <w:b/>
          <w:kern w:val="0"/>
          <w14:ligatures w14:val="none"/>
        </w:rPr>
        <w:t xml:space="preserve">       </w:t>
      </w:r>
      <w:r w:rsidRPr="00BE4D45" w:rsidR="00A76F4A">
        <w:rPr>
          <w:rFonts w:ascii="Palatino Linotype" w:hAnsi="Palatino Linotype" w:eastAsia="Palatino Linotype" w:cs="Times New Roman"/>
          <w:b/>
        </w:rPr>
        <w:t xml:space="preserve">RESOLUTION </w:t>
      </w:r>
      <w:r w:rsidRPr="00BE4D45" w:rsidR="00E56DE5">
        <w:rPr>
          <w:rFonts w:ascii="Palatino Linotype" w:hAnsi="Palatino Linotype" w:eastAsia="Palatino Linotype" w:cs="Times New Roman"/>
          <w:b/>
        </w:rPr>
        <w:t>E-5455</w:t>
      </w:r>
    </w:p>
    <w:p w:rsidRPr="001942D0" w:rsidR="00A76F4A" w:rsidP="00A76F4A" w:rsidRDefault="00BE4D45" w14:paraId="17BEFA95" w14:textId="0DA223A6">
      <w:pPr>
        <w:tabs>
          <w:tab w:val="right" w:pos="8820"/>
        </w:tabs>
        <w:spacing w:after="0" w:line="240" w:lineRule="auto"/>
        <w:ind w:left="5040"/>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ab/>
      </w:r>
      <w:r w:rsidR="006A5360">
        <w:rPr>
          <w:rFonts w:ascii="Palatino Linotype" w:hAnsi="Palatino Linotype" w:eastAsia="Times New Roman" w:cs="Times New Roman"/>
          <w:b/>
          <w:kern w:val="0"/>
          <w14:ligatures w14:val="none"/>
        </w:rPr>
        <w:t xml:space="preserve">July </w:t>
      </w:r>
      <w:r w:rsidR="00DB7E32">
        <w:rPr>
          <w:rFonts w:ascii="Palatino Linotype" w:hAnsi="Palatino Linotype" w:eastAsia="Times New Roman" w:cs="Times New Roman"/>
          <w:b/>
          <w:kern w:val="0"/>
          <w14:ligatures w14:val="none"/>
        </w:rPr>
        <w:t>16</w:t>
      </w:r>
      <w:r w:rsidR="006A5360">
        <w:rPr>
          <w:rFonts w:ascii="Palatino Linotype" w:hAnsi="Palatino Linotype" w:eastAsia="Times New Roman" w:cs="Times New Roman"/>
          <w:b/>
          <w:kern w:val="0"/>
          <w14:ligatures w14:val="none"/>
        </w:rPr>
        <w:t>, 2026</w:t>
      </w:r>
    </w:p>
    <w:p w:rsidRPr="006A5360" w:rsidR="00A76F4A" w:rsidP="00A76F4A" w:rsidRDefault="00A76F4A" w14:paraId="149FD231"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6A5360">
        <w:rPr>
          <w:rFonts w:ascii="Palatino Linotype" w:hAnsi="Palatino Linotype" w:eastAsia="Times New Roman" w:cs="Times New Roman"/>
          <w:b/>
          <w:kern w:val="0"/>
          <w14:ligatures w14:val="none"/>
        </w:rPr>
        <w:tab/>
      </w:r>
    </w:p>
    <w:p w:rsidRPr="006A5360" w:rsidR="00A76F4A" w:rsidP="00A76F4A" w:rsidRDefault="00A76F4A" w14:paraId="524F4DC8" w14:textId="77777777">
      <w:pPr>
        <w:tabs>
          <w:tab w:val="right" w:pos="8910"/>
        </w:tabs>
        <w:spacing w:after="0" w:line="240" w:lineRule="auto"/>
        <w:ind w:left="1440" w:firstLine="720"/>
        <w:rPr>
          <w:rFonts w:ascii="Palatino Linotype" w:hAnsi="Palatino Linotype" w:eastAsia="Times New Roman" w:cs="Times New Roman"/>
          <w:b/>
          <w:kern w:val="0"/>
          <w:szCs w:val="20"/>
          <w14:ligatures w14:val="none"/>
        </w:rPr>
      </w:pP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00317D09" w:rsidP="00317D09" w:rsidRDefault="00317D09" w14:paraId="5CE4283E" w14:textId="77777777">
      <w:pPr>
        <w:spacing w:after="0" w:line="240" w:lineRule="auto"/>
        <w:ind w:left="720"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Resolution E-5455.  Pacific Gas and Electric. Electric Rules 2, 15, and 16 Exceptional Case Submittal for Electric Transmission Interconnection for Google LLC.</w:t>
      </w:r>
    </w:p>
    <w:p w:rsidR="00317D09" w:rsidP="00317D09" w:rsidRDefault="00317D09" w14:paraId="37E8AB8A" w14:textId="77777777">
      <w:pPr>
        <w:spacing w:after="0" w:line="240" w:lineRule="auto"/>
        <w:ind w:right="720"/>
        <w:rPr>
          <w:rFonts w:ascii="Palatino Linotype" w:hAnsi="Palatino Linotype" w:eastAsia="Palatino Linotype" w:cs="Times New Roman"/>
          <w:kern w:val="0"/>
          <w14:ligatures w14:val="none"/>
        </w:rPr>
      </w:pPr>
    </w:p>
    <w:p w:rsidR="00317D09" w:rsidP="00317D09" w:rsidRDefault="00317D09" w14:paraId="74099EE0" w14:textId="77777777">
      <w:pPr>
        <w:spacing w:after="0" w:line="240" w:lineRule="auto"/>
        <w:ind w:left="720" w:right="720"/>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PROPOSED OUTCOME: </w:t>
      </w:r>
    </w:p>
    <w:p w:rsidR="00317D09" w:rsidP="00317D09" w:rsidRDefault="00317D09" w14:paraId="3020FE19" w14:textId="77777777">
      <w:pPr>
        <w:numPr>
          <w:ilvl w:val="0"/>
          <w:numId w:val="8"/>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Approves, with modifications, an agreement to facilitate the energization of a new 250 megawatt (MW) data center load through transmission-level retail electric service for customer Google LLC.</w:t>
      </w:r>
    </w:p>
    <w:p w:rsidR="00317D09" w:rsidP="00317D09" w:rsidRDefault="00317D09" w14:paraId="7CC0CF55" w14:textId="77777777">
      <w:pPr>
        <w:numPr>
          <w:ilvl w:val="0"/>
          <w:numId w:val="8"/>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Modifies the energization-related capital advance and refund process, limiting annual refunds to the annual net revenues received from the customer plus an adjustment for the Income Tax Component of Contribution (ITCC).</w:t>
      </w:r>
    </w:p>
    <w:p w:rsidR="00317D09" w:rsidP="00317D09" w:rsidRDefault="00317D09" w14:paraId="0BDEF04F" w14:textId="77777777">
      <w:pPr>
        <w:numPr>
          <w:ilvl w:val="0"/>
          <w:numId w:val="8"/>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rPr>
        <w:t xml:space="preserve">Requires special treatment of costs associated with broader transmission network upgrades, determined through a Tier 2 Advice Letter. </w:t>
      </w:r>
    </w:p>
    <w:p w:rsidR="00317D09" w:rsidP="00317D09" w:rsidRDefault="00317D09" w14:paraId="02B5C711" w14:textId="77777777">
      <w:pPr>
        <w:numPr>
          <w:ilvl w:val="0"/>
          <w:numId w:val="8"/>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Requires additional clarifications and reporting regarding the proposed binding cost cap for the portion of the project built by Google LLC.</w:t>
      </w:r>
    </w:p>
    <w:p w:rsidR="00317D09" w:rsidP="00317D09" w:rsidRDefault="00317D09" w14:paraId="12A28BC7" w14:textId="77777777">
      <w:pPr>
        <w:spacing w:after="0" w:line="240" w:lineRule="auto"/>
        <w:rPr>
          <w:rFonts w:ascii="Palatino" w:hAnsi="Palatino" w:eastAsia="Palatino Linotype" w:cs="Times New Roman"/>
          <w:kern w:val="0"/>
          <w:sz w:val="26"/>
          <w:szCs w:val="20"/>
          <w14:ligatures w14:val="none"/>
        </w:rPr>
      </w:pPr>
    </w:p>
    <w:p w:rsidR="00317D09" w:rsidP="00317D09" w:rsidRDefault="00317D09" w14:paraId="00D91868" w14:textId="77777777">
      <w:pPr>
        <w:spacing w:after="0" w:line="240" w:lineRule="auto"/>
        <w:ind w:left="720" w:right="720"/>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SAFETY CONSIDERATIONS:</w:t>
      </w:r>
    </w:p>
    <w:p w:rsidR="00317D09" w:rsidP="00317D09" w:rsidRDefault="00317D09" w14:paraId="238A005C" w14:textId="77777777">
      <w:pPr>
        <w:numPr>
          <w:ilvl w:val="0"/>
          <w:numId w:val="9"/>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There are no safety considerations associated with this Resolution.</w:t>
      </w:r>
    </w:p>
    <w:p w:rsidR="00317D09" w:rsidP="00317D09" w:rsidRDefault="00317D09" w14:paraId="003C9435" w14:textId="77777777">
      <w:pPr>
        <w:spacing w:after="0" w:line="240" w:lineRule="auto"/>
        <w:ind w:left="720" w:right="720"/>
        <w:rPr>
          <w:rFonts w:ascii="Palatino Linotype" w:hAnsi="Palatino Linotype" w:eastAsia="Palatino Linotype" w:cs="Times New Roman"/>
          <w:kern w:val="0"/>
          <w14:ligatures w14:val="none"/>
        </w:rPr>
      </w:pPr>
    </w:p>
    <w:p w:rsidR="00317D09" w:rsidP="00317D09" w:rsidRDefault="00317D09" w14:paraId="2F0E5882" w14:textId="77777777">
      <w:pPr>
        <w:spacing w:after="0" w:line="240" w:lineRule="auto"/>
        <w:ind w:left="720" w:right="720"/>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ESTIMATED COST:  </w:t>
      </w:r>
    </w:p>
    <w:p w:rsidR="00317D09" w:rsidP="00317D09" w:rsidRDefault="00317D09" w14:paraId="54664B9B" w14:textId="77777777">
      <w:pPr>
        <w:spacing w:after="0" w:line="240" w:lineRule="auto"/>
        <w:ind w:left="1440"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This Resolution facilitates the energization of a new customer including both the associated costs of energization and the expected future revenues from the customer</w:t>
      </w:r>
      <w:r>
        <w:rPr>
          <w:rFonts w:ascii="Palatino Linotype" w:hAnsi="Palatino Linotype" w:eastAsia="Palatino Linotype" w:cs="Palatino Linotype"/>
        </w:rPr>
        <w:t xml:space="preserve">. </w:t>
      </w:r>
    </w:p>
    <w:p w:rsidR="00317D09" w:rsidP="00317D09" w:rsidRDefault="00317D09" w14:paraId="736F57C1" w14:textId="77777777">
      <w:pPr>
        <w:spacing w:after="0" w:line="240" w:lineRule="auto"/>
        <w:ind w:left="720" w:right="720"/>
        <w:rPr>
          <w:rFonts w:ascii="Palatino Linotype" w:hAnsi="Palatino Linotype" w:eastAsia="Palatino Linotype" w:cs="Times New Roman"/>
          <w:kern w:val="0"/>
          <w14:ligatures w14:val="none"/>
        </w:rPr>
      </w:pPr>
    </w:p>
    <w:p w:rsidR="00317D09" w:rsidP="00317D09" w:rsidRDefault="00317D09" w14:paraId="11867290" w14:textId="77777777">
      <w:pPr>
        <w:spacing w:after="0" w:line="240" w:lineRule="auto"/>
        <w:ind w:left="720" w:right="720"/>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By Advice Letter 7785-E, Filed on December 18, 2025. </w:t>
      </w:r>
    </w:p>
    <w:p w:rsidRPr="001942D0" w:rsidR="00A76F4A" w:rsidP="00A76F4A" w:rsidRDefault="00A76F4A" w14:paraId="0542E5E0" w14:textId="77777777">
      <w:pPr>
        <w:spacing w:after="0" w:line="240" w:lineRule="auto"/>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__________________________________________________________</w:t>
      </w:r>
    </w:p>
    <w:p w:rsidRPr="001942D0" w:rsidR="00A76F4A" w:rsidP="00A76F4A" w:rsidRDefault="00A76F4A" w14:paraId="7279783F"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3906F9BB"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Summary</w:t>
      </w:r>
      <w:bookmarkEnd w:id="0"/>
    </w:p>
    <w:p w:rsidR="005A0197" w:rsidP="005A0197" w:rsidRDefault="005A0197" w14:paraId="4287E9AB" w14:textId="1D45D463">
      <w:pPr>
        <w:spacing w:after="0" w:line="240" w:lineRule="auto"/>
        <w:rPr>
          <w:rFonts w:ascii="Palatino Linotype" w:hAnsi="Palatino Linotype" w:eastAsia="Times New Roman" w:cs="Times New Roman"/>
          <w:kern w:val="0"/>
          <w14:ligatures w14:val="none"/>
        </w:rPr>
      </w:pPr>
      <w:r w:rsidRPr="005A0197">
        <w:rPr>
          <w:rFonts w:ascii="Palatino Linotype" w:hAnsi="Palatino Linotype" w:eastAsia="Times New Roman" w:cs="Times New Roman"/>
          <w:kern w:val="0"/>
          <w14:ligatures w14:val="none"/>
        </w:rPr>
        <w:t>This Resolution approves</w:t>
      </w:r>
      <w:r w:rsidR="007709C9">
        <w:rPr>
          <w:rFonts w:ascii="Palatino Linotype" w:hAnsi="Palatino Linotype" w:eastAsia="Times New Roman" w:cs="Times New Roman"/>
          <w:kern w:val="0"/>
          <w14:ligatures w14:val="none"/>
        </w:rPr>
        <w:t>,</w:t>
      </w:r>
      <w:r w:rsidRPr="005A0197">
        <w:rPr>
          <w:rFonts w:ascii="Palatino Linotype" w:hAnsi="Palatino Linotype" w:eastAsia="Times New Roman" w:cs="Times New Roman"/>
          <w:kern w:val="0"/>
          <w14:ligatures w14:val="none"/>
        </w:rPr>
        <w:t xml:space="preserve"> with modification</w:t>
      </w:r>
      <w:r w:rsidR="007709C9">
        <w:rPr>
          <w:rFonts w:ascii="Palatino Linotype" w:hAnsi="Palatino Linotype" w:eastAsia="Times New Roman" w:cs="Times New Roman"/>
          <w:kern w:val="0"/>
          <w14:ligatures w14:val="none"/>
        </w:rPr>
        <w:t>s,</w:t>
      </w:r>
      <w:r w:rsidRPr="005A0197">
        <w:rPr>
          <w:rFonts w:ascii="Palatino Linotype" w:hAnsi="Palatino Linotype" w:eastAsia="Times New Roman" w:cs="Times New Roman"/>
          <w:kern w:val="0"/>
          <w14:ligatures w14:val="none"/>
        </w:rPr>
        <w:t xml:space="preserve"> Pacific Gas and Electric Company’s (PG&amp;E) Advice Letter</w:t>
      </w:r>
      <w:r w:rsidR="007709C9">
        <w:rPr>
          <w:rFonts w:ascii="Palatino Linotype" w:hAnsi="Palatino Linotype" w:eastAsia="Times New Roman" w:cs="Times New Roman"/>
          <w:kern w:val="0"/>
          <w14:ligatures w14:val="none"/>
        </w:rPr>
        <w:t xml:space="preserve"> (AL)</w:t>
      </w:r>
      <w:r w:rsidRPr="005A0197">
        <w:rPr>
          <w:rFonts w:ascii="Palatino Linotype" w:hAnsi="Palatino Linotype" w:eastAsia="Times New Roman" w:cs="Times New Roman"/>
          <w:kern w:val="0"/>
          <w14:ligatures w14:val="none"/>
        </w:rPr>
        <w:t xml:space="preserve"> 7785-E, filed on December 18, 2025, requesting Commission approval of an exceptional case agreement between PG&amp;E and Google LLC (Google) to support the energization of a new 250 </w:t>
      </w:r>
      <w:r w:rsidR="00600BE4">
        <w:rPr>
          <w:rFonts w:ascii="Palatino Linotype" w:hAnsi="Palatino Linotype" w:eastAsia="Times New Roman" w:cs="Times New Roman"/>
          <w:kern w:val="0"/>
          <w14:ligatures w14:val="none"/>
        </w:rPr>
        <w:t>megawatt (</w:t>
      </w:r>
      <w:r w:rsidRPr="005A0197">
        <w:rPr>
          <w:rFonts w:ascii="Palatino Linotype" w:hAnsi="Palatino Linotype" w:eastAsia="Times New Roman" w:cs="Times New Roman"/>
          <w:kern w:val="0"/>
          <w14:ligatures w14:val="none"/>
        </w:rPr>
        <w:t>MW</w:t>
      </w:r>
      <w:r w:rsidR="00600BE4">
        <w:rPr>
          <w:rFonts w:ascii="Palatino Linotype" w:hAnsi="Palatino Linotype" w:eastAsia="Times New Roman" w:cs="Times New Roman"/>
          <w:kern w:val="0"/>
          <w14:ligatures w14:val="none"/>
        </w:rPr>
        <w:t>)</w:t>
      </w:r>
      <w:r w:rsidRPr="005A0197">
        <w:rPr>
          <w:rFonts w:ascii="Palatino Linotype" w:hAnsi="Palatino Linotype" w:eastAsia="Times New Roman" w:cs="Times New Roman"/>
          <w:kern w:val="0"/>
          <w14:ligatures w14:val="none"/>
        </w:rPr>
        <w:t xml:space="preserve"> transmission-level retail electric load at 230 </w:t>
      </w:r>
      <w:r w:rsidR="00600BE4">
        <w:rPr>
          <w:rFonts w:ascii="Palatino Linotype" w:hAnsi="Palatino Linotype" w:eastAsia="Times New Roman" w:cs="Times New Roman"/>
          <w:kern w:val="0"/>
          <w14:ligatures w14:val="none"/>
        </w:rPr>
        <w:t>kilovolts (</w:t>
      </w:r>
      <w:r w:rsidRPr="005A0197">
        <w:rPr>
          <w:rFonts w:ascii="Palatino Linotype" w:hAnsi="Palatino Linotype" w:eastAsia="Times New Roman" w:cs="Times New Roman"/>
          <w:kern w:val="0"/>
          <w14:ligatures w14:val="none"/>
        </w:rPr>
        <w:t>kV</w:t>
      </w:r>
      <w:r w:rsidR="00600BE4">
        <w:rPr>
          <w:rFonts w:ascii="Palatino Linotype" w:hAnsi="Palatino Linotype" w:eastAsia="Times New Roman" w:cs="Times New Roman"/>
          <w:kern w:val="0"/>
          <w14:ligatures w14:val="none"/>
        </w:rPr>
        <w:t>)</w:t>
      </w:r>
      <w:r w:rsidRPr="005A0197">
        <w:rPr>
          <w:rFonts w:ascii="Palatino Linotype" w:hAnsi="Palatino Linotype" w:eastAsia="Times New Roman" w:cs="Times New Roman"/>
          <w:kern w:val="0"/>
          <w14:ligatures w14:val="none"/>
        </w:rPr>
        <w:t xml:space="preserve"> in San Jose</w:t>
      </w:r>
      <w:r w:rsidR="001256B6">
        <w:rPr>
          <w:rFonts w:ascii="Palatino Linotype" w:hAnsi="Palatino Linotype" w:eastAsia="Times New Roman" w:cs="Times New Roman"/>
          <w:kern w:val="0"/>
          <w14:ligatures w14:val="none"/>
        </w:rPr>
        <w:t>, California</w:t>
      </w:r>
      <w:r w:rsidRPr="005A0197">
        <w:rPr>
          <w:rFonts w:ascii="Palatino Linotype" w:hAnsi="Palatino Linotype" w:eastAsia="Times New Roman" w:cs="Times New Roman"/>
          <w:kern w:val="0"/>
          <w14:ligatures w14:val="none"/>
        </w:rPr>
        <w:t>. The Commission approves the AL with modifications, requiring additional ratepayer protections.</w:t>
      </w:r>
    </w:p>
    <w:p w:rsidRPr="005A0197" w:rsidR="005A0197" w:rsidP="005A0197" w:rsidRDefault="005A0197" w14:paraId="050C95DF" w14:textId="77777777">
      <w:pPr>
        <w:spacing w:after="0" w:line="240" w:lineRule="auto"/>
        <w:rPr>
          <w:rFonts w:ascii="Palatino Linotype" w:hAnsi="Palatino Linotype" w:eastAsia="Times New Roman" w:cs="Times New Roman"/>
          <w:kern w:val="0"/>
          <w14:ligatures w14:val="none"/>
        </w:rPr>
      </w:pPr>
    </w:p>
    <w:p w:rsidR="005A0197" w:rsidP="005A0197" w:rsidRDefault="005A0197" w14:paraId="731C2853" w14:textId="01CABA2E">
      <w:pPr>
        <w:spacing w:after="0" w:line="240" w:lineRule="auto"/>
        <w:rPr>
          <w:rFonts w:ascii="Palatino Linotype" w:hAnsi="Palatino Linotype" w:eastAsia="Times New Roman" w:cs="Times New Roman"/>
          <w:kern w:val="0"/>
          <w14:ligatures w14:val="none"/>
        </w:rPr>
      </w:pPr>
      <w:r w:rsidRPr="005A0197">
        <w:rPr>
          <w:rFonts w:ascii="Palatino Linotype" w:hAnsi="Palatino Linotype" w:eastAsia="Times New Roman" w:cs="Times New Roman"/>
          <w:kern w:val="0"/>
          <w14:ligatures w14:val="none"/>
        </w:rPr>
        <w:t xml:space="preserve">Specifically, the Commission requires </w:t>
      </w:r>
      <w:r w:rsidR="00563899">
        <w:rPr>
          <w:rFonts w:ascii="Palatino Linotype" w:hAnsi="Palatino Linotype" w:eastAsia="Times New Roman" w:cs="Times New Roman"/>
          <w:kern w:val="0"/>
          <w14:ligatures w14:val="none"/>
        </w:rPr>
        <w:t xml:space="preserve">(1) </w:t>
      </w:r>
      <w:r w:rsidRPr="005A0197">
        <w:rPr>
          <w:rFonts w:ascii="Palatino Linotype" w:hAnsi="Palatino Linotype" w:eastAsia="Times New Roman" w:cs="Times New Roman"/>
          <w:kern w:val="0"/>
          <w14:ligatures w14:val="none"/>
        </w:rPr>
        <w:t>modifications to the proposed refund</w:t>
      </w:r>
      <w:r>
        <w:rPr>
          <w:rFonts w:ascii="Palatino Linotype" w:hAnsi="Palatino Linotype" w:eastAsia="Times New Roman" w:cs="Times New Roman"/>
          <w:kern w:val="0"/>
          <w14:ligatures w14:val="none"/>
        </w:rPr>
        <w:t xml:space="preserve"> </w:t>
      </w:r>
      <w:r w:rsidRPr="005A0197">
        <w:rPr>
          <w:rFonts w:ascii="Palatino Linotype" w:hAnsi="Palatino Linotype" w:eastAsia="Times New Roman" w:cs="Times New Roman"/>
          <w:kern w:val="0"/>
          <w14:ligatures w14:val="none"/>
        </w:rPr>
        <w:t xml:space="preserve">methodology to limit annual refunds to </w:t>
      </w:r>
      <w:r w:rsidR="00A63638">
        <w:rPr>
          <w:rFonts w:ascii="Palatino Linotype" w:hAnsi="Palatino Linotype" w:eastAsia="Times New Roman" w:cs="Times New Roman"/>
          <w:kern w:val="0"/>
          <w14:ligatures w14:val="none"/>
        </w:rPr>
        <w:t>100</w:t>
      </w:r>
      <w:r w:rsidRPr="005A0197" w:rsidR="00A63638">
        <w:rPr>
          <w:rFonts w:ascii="Palatino Linotype" w:hAnsi="Palatino Linotype" w:eastAsia="Times New Roman" w:cs="Times New Roman"/>
          <w:kern w:val="0"/>
          <w14:ligatures w14:val="none"/>
        </w:rPr>
        <w:t xml:space="preserve"> </w:t>
      </w:r>
      <w:r w:rsidRPr="005A0197">
        <w:rPr>
          <w:rFonts w:ascii="Palatino Linotype" w:hAnsi="Palatino Linotype" w:eastAsia="Times New Roman" w:cs="Times New Roman"/>
          <w:kern w:val="0"/>
          <w14:ligatures w14:val="none"/>
        </w:rPr>
        <w:t>percent of annual net revenues received from the customer</w:t>
      </w:r>
      <w:r w:rsidR="00563899">
        <w:rPr>
          <w:rFonts w:ascii="Palatino Linotype" w:hAnsi="Palatino Linotype" w:eastAsia="Times New Roman" w:cs="Times New Roman"/>
          <w:kern w:val="0"/>
          <w14:ligatures w14:val="none"/>
        </w:rPr>
        <w:t xml:space="preserve">, and (2) that the costs associated with broader transmission network upgrades be handled corresponding to the outcome in the Rule 30 proceeding, </w:t>
      </w:r>
      <w:r w:rsidR="0030610D">
        <w:rPr>
          <w:rFonts w:ascii="Palatino Linotype" w:hAnsi="Palatino Linotype" w:eastAsia="Times New Roman" w:cs="Times New Roman"/>
          <w:kern w:val="0"/>
          <w14:ligatures w14:val="none"/>
        </w:rPr>
        <w:br/>
      </w:r>
      <w:r w:rsidR="00563899">
        <w:rPr>
          <w:rFonts w:ascii="Palatino Linotype" w:hAnsi="Palatino Linotype" w:eastAsia="Times New Roman" w:cs="Times New Roman"/>
          <w:kern w:val="0"/>
          <w14:ligatures w14:val="none"/>
        </w:rPr>
        <w:t xml:space="preserve">A. 24-11-007. </w:t>
      </w:r>
      <w:r w:rsidR="000F2C5C">
        <w:rPr>
          <w:rFonts w:ascii="Palatino Linotype" w:hAnsi="Palatino Linotype" w:eastAsia="Times New Roman" w:cs="Times New Roman"/>
          <w:kern w:val="0"/>
          <w14:ligatures w14:val="none"/>
        </w:rPr>
        <w:t>T</w:t>
      </w:r>
      <w:r w:rsidRPr="005A0197">
        <w:rPr>
          <w:rFonts w:ascii="Palatino Linotype" w:hAnsi="Palatino Linotype" w:eastAsia="Times New Roman" w:cs="Times New Roman"/>
          <w:kern w:val="0"/>
          <w14:ligatures w14:val="none"/>
        </w:rPr>
        <w:t>he standard Base Annual Revenue Calculation (BARC) refund approach used under Electric Rule 15 may result in rapid refunds for large transmission-level customers well before sufficient net revenues have been received to offset the costs and associated risks of energizing large load.</w:t>
      </w:r>
      <w:r w:rsidR="00740E32">
        <w:rPr>
          <w:rFonts w:ascii="Palatino Linotype" w:hAnsi="Palatino Linotype" w:eastAsia="Times New Roman" w:cs="Times New Roman"/>
          <w:kern w:val="0"/>
          <w14:ligatures w14:val="none"/>
        </w:rPr>
        <w:t xml:space="preserve"> </w:t>
      </w:r>
      <w:r w:rsidR="00986A81">
        <w:rPr>
          <w:rFonts w:ascii="Palatino Linotype" w:hAnsi="Palatino Linotype" w:eastAsia="Times New Roman" w:cs="Times New Roman"/>
          <w:kern w:val="0"/>
          <w14:ligatures w14:val="none"/>
        </w:rPr>
        <w:t>Because the applicant</w:t>
      </w:r>
      <w:r w:rsidR="00740E32">
        <w:rPr>
          <w:rFonts w:ascii="Palatino Linotype" w:hAnsi="Palatino Linotype" w:eastAsia="Times New Roman" w:cs="Times New Roman"/>
          <w:kern w:val="0"/>
          <w14:ligatures w14:val="none"/>
        </w:rPr>
        <w:t xml:space="preserve"> proposed process does not adequately account for the energization costs associated with broader transmission network upgrades</w:t>
      </w:r>
      <w:r w:rsidR="00986A81">
        <w:rPr>
          <w:rFonts w:ascii="Palatino Linotype" w:hAnsi="Palatino Linotype" w:eastAsia="Times New Roman" w:cs="Times New Roman"/>
          <w:kern w:val="0"/>
          <w14:ligatures w14:val="none"/>
        </w:rPr>
        <w:t xml:space="preserve">, the </w:t>
      </w:r>
      <w:r w:rsidRPr="005A0197">
        <w:rPr>
          <w:rFonts w:ascii="Palatino Linotype" w:hAnsi="Palatino Linotype" w:eastAsia="Times New Roman" w:cs="Times New Roman"/>
          <w:kern w:val="0"/>
          <w14:ligatures w14:val="none"/>
        </w:rPr>
        <w:t xml:space="preserve">Commission finds that </w:t>
      </w:r>
      <w:r w:rsidR="00C85AFD">
        <w:rPr>
          <w:rFonts w:ascii="Palatino Linotype" w:hAnsi="Palatino Linotype" w:eastAsia="Times New Roman" w:cs="Times New Roman"/>
          <w:kern w:val="0"/>
          <w14:ligatures w14:val="none"/>
        </w:rPr>
        <w:t xml:space="preserve">Google and PG&amp;E </w:t>
      </w:r>
      <w:r w:rsidR="00FC04B3">
        <w:rPr>
          <w:rFonts w:ascii="Palatino Linotype" w:hAnsi="Palatino Linotype" w:eastAsia="Times New Roman" w:cs="Times New Roman"/>
          <w:kern w:val="0"/>
          <w14:ligatures w14:val="none"/>
        </w:rPr>
        <w:t>sh</w:t>
      </w:r>
      <w:r w:rsidR="004A53F8">
        <w:rPr>
          <w:rFonts w:ascii="Palatino Linotype" w:hAnsi="Palatino Linotype" w:eastAsia="Times New Roman" w:cs="Times New Roman"/>
          <w:kern w:val="0"/>
          <w14:ligatures w14:val="none"/>
        </w:rPr>
        <w:t>all</w:t>
      </w:r>
      <w:r w:rsidR="00C85AFD">
        <w:rPr>
          <w:rFonts w:ascii="Palatino Linotype" w:hAnsi="Palatino Linotype" w:eastAsia="Times New Roman" w:cs="Times New Roman"/>
          <w:kern w:val="0"/>
          <w14:ligatures w14:val="none"/>
        </w:rPr>
        <w:t xml:space="preserve"> handle costs for</w:t>
      </w:r>
      <w:r w:rsidR="007E0F3F">
        <w:rPr>
          <w:rFonts w:ascii="Palatino Linotype" w:hAnsi="Palatino Linotype" w:eastAsia="Times New Roman" w:cs="Times New Roman"/>
          <w:kern w:val="0"/>
          <w14:ligatures w14:val="none"/>
        </w:rPr>
        <w:t xml:space="preserve"> these upgrades in a manner that corresponds with the future Decision in A. 24-11-007. PG&amp;E shall submit a Tier 2 AL</w:t>
      </w:r>
      <w:r w:rsidR="006650B6">
        <w:rPr>
          <w:rFonts w:ascii="Palatino Linotype" w:hAnsi="Palatino Linotype" w:eastAsia="Times New Roman" w:cs="Times New Roman"/>
          <w:kern w:val="0"/>
          <w14:ligatures w14:val="none"/>
        </w:rPr>
        <w:t>,</w:t>
      </w:r>
      <w:r w:rsidR="007E0F3F">
        <w:rPr>
          <w:rFonts w:ascii="Palatino Linotype" w:hAnsi="Palatino Linotype" w:eastAsia="Times New Roman" w:cs="Times New Roman"/>
          <w:kern w:val="0"/>
          <w14:ligatures w14:val="none"/>
        </w:rPr>
        <w:t xml:space="preserve"> after that Decision is issued</w:t>
      </w:r>
      <w:r w:rsidR="006650B6">
        <w:rPr>
          <w:rFonts w:ascii="Palatino Linotype" w:hAnsi="Palatino Linotype" w:eastAsia="Times New Roman" w:cs="Times New Roman"/>
          <w:kern w:val="0"/>
          <w14:ligatures w14:val="none"/>
        </w:rPr>
        <w:t>,</w:t>
      </w:r>
      <w:r w:rsidR="00E83D9C">
        <w:rPr>
          <w:rFonts w:ascii="Palatino Linotype" w:hAnsi="Palatino Linotype" w:eastAsia="Times New Roman" w:cs="Times New Roman"/>
          <w:kern w:val="0"/>
          <w14:ligatures w14:val="none"/>
        </w:rPr>
        <w:t xml:space="preserve"> to adjust the agreement </w:t>
      </w:r>
      <w:r w:rsidR="006650B6">
        <w:rPr>
          <w:rFonts w:ascii="Palatino Linotype" w:hAnsi="Palatino Linotype" w:eastAsia="Times New Roman" w:cs="Times New Roman"/>
          <w:kern w:val="0"/>
          <w14:ligatures w14:val="none"/>
        </w:rPr>
        <w:t xml:space="preserve">with Google </w:t>
      </w:r>
      <w:r w:rsidR="00E83D9C">
        <w:rPr>
          <w:rFonts w:ascii="Palatino Linotype" w:hAnsi="Palatino Linotype" w:eastAsia="Times New Roman" w:cs="Times New Roman"/>
          <w:kern w:val="0"/>
          <w14:ligatures w14:val="none"/>
        </w:rPr>
        <w:t xml:space="preserve">accordingly. </w:t>
      </w:r>
      <w:r w:rsidR="00C85E57">
        <w:rPr>
          <w:rFonts w:ascii="Palatino Linotype" w:hAnsi="Palatino Linotype" w:eastAsia="Times New Roman" w:cs="Times New Roman"/>
          <w:kern w:val="0"/>
          <w14:ligatures w14:val="none"/>
        </w:rPr>
        <w:t>This adjustment and</w:t>
      </w:r>
      <w:r w:rsidR="00506FFE">
        <w:rPr>
          <w:rFonts w:ascii="Palatino Linotype" w:hAnsi="Palatino Linotype" w:eastAsia="Times New Roman" w:cs="Times New Roman"/>
          <w:kern w:val="0"/>
          <w14:ligatures w14:val="none"/>
        </w:rPr>
        <w:t xml:space="preserve"> an</w:t>
      </w:r>
      <w:r w:rsidRPr="005A0197">
        <w:rPr>
          <w:rFonts w:ascii="Palatino Linotype" w:hAnsi="Palatino Linotype" w:eastAsia="Times New Roman" w:cs="Times New Roman"/>
          <w:kern w:val="0"/>
          <w14:ligatures w14:val="none"/>
        </w:rPr>
        <w:t xml:space="preserve"> annual </w:t>
      </w:r>
      <w:r w:rsidR="00A63638">
        <w:rPr>
          <w:rFonts w:ascii="Palatino Linotype" w:hAnsi="Palatino Linotype" w:eastAsia="Times New Roman" w:cs="Times New Roman"/>
          <w:kern w:val="0"/>
          <w14:ligatures w14:val="none"/>
        </w:rPr>
        <w:t xml:space="preserve">100 </w:t>
      </w:r>
      <w:r w:rsidRPr="005A0197">
        <w:rPr>
          <w:rFonts w:ascii="Palatino Linotype" w:hAnsi="Palatino Linotype" w:eastAsia="Times New Roman" w:cs="Times New Roman"/>
          <w:kern w:val="0"/>
          <w14:ligatures w14:val="none"/>
        </w:rPr>
        <w:t xml:space="preserve">percent net revenue refund limit </w:t>
      </w:r>
      <w:r w:rsidR="00C85E57">
        <w:rPr>
          <w:rFonts w:ascii="Palatino Linotype" w:hAnsi="Palatino Linotype" w:eastAsia="Times New Roman" w:cs="Times New Roman"/>
          <w:kern w:val="0"/>
          <w14:ligatures w14:val="none"/>
        </w:rPr>
        <w:t>are</w:t>
      </w:r>
      <w:r w:rsidRPr="005A0197">
        <w:rPr>
          <w:rFonts w:ascii="Palatino Linotype" w:hAnsi="Palatino Linotype" w:eastAsia="Times New Roman" w:cs="Times New Roman"/>
          <w:kern w:val="0"/>
          <w14:ligatures w14:val="none"/>
        </w:rPr>
        <w:t xml:space="preserve"> reasonable and necessary to protect ratepayers while still allowing the customer to receive </w:t>
      </w:r>
      <w:r w:rsidR="000F2C5C">
        <w:rPr>
          <w:rFonts w:ascii="Palatino Linotype" w:hAnsi="Palatino Linotype" w:eastAsia="Times New Roman" w:cs="Times New Roman"/>
          <w:kern w:val="0"/>
          <w14:ligatures w14:val="none"/>
        </w:rPr>
        <w:t xml:space="preserve">a full </w:t>
      </w:r>
      <w:r w:rsidRPr="005A0197">
        <w:rPr>
          <w:rFonts w:ascii="Palatino Linotype" w:hAnsi="Palatino Linotype" w:eastAsia="Times New Roman" w:cs="Times New Roman"/>
          <w:kern w:val="0"/>
          <w14:ligatures w14:val="none"/>
        </w:rPr>
        <w:t>refund over time.</w:t>
      </w:r>
      <w:r w:rsidR="00FE4D5D">
        <w:rPr>
          <w:rFonts w:ascii="Palatino Linotype" w:hAnsi="Palatino Linotype" w:eastAsia="Times New Roman" w:cs="Times New Roman"/>
          <w:kern w:val="0"/>
          <w14:ligatures w14:val="none"/>
        </w:rPr>
        <w:t xml:space="preserve"> </w:t>
      </w:r>
    </w:p>
    <w:p w:rsidRPr="005A0197" w:rsidR="005A0197" w:rsidP="005A0197" w:rsidRDefault="005A0197" w14:paraId="3ECC14DE" w14:textId="77777777">
      <w:pPr>
        <w:spacing w:after="0" w:line="240" w:lineRule="auto"/>
        <w:rPr>
          <w:rFonts w:ascii="Palatino Linotype" w:hAnsi="Palatino Linotype" w:eastAsia="Times New Roman" w:cs="Times New Roman"/>
          <w:kern w:val="0"/>
          <w14:ligatures w14:val="none"/>
        </w:rPr>
      </w:pPr>
    </w:p>
    <w:p w:rsidR="00A76F4A" w:rsidP="00E50E44" w:rsidRDefault="005A0197" w14:paraId="5BA743B0" w14:textId="62FFC352">
      <w:pPr>
        <w:spacing w:after="0" w:line="240" w:lineRule="auto"/>
        <w:rPr>
          <w:rFonts w:ascii="Palatino Linotype" w:hAnsi="Palatino Linotype" w:eastAsia="Times New Roman" w:cs="Times New Roman"/>
          <w:kern w:val="0"/>
          <w14:ligatures w14:val="none"/>
        </w:rPr>
      </w:pPr>
      <w:r w:rsidRPr="005A0197">
        <w:rPr>
          <w:rFonts w:ascii="Palatino Linotype" w:hAnsi="Palatino Linotype" w:eastAsia="Times New Roman" w:cs="Times New Roman"/>
          <w:kern w:val="0"/>
          <w14:ligatures w14:val="none"/>
        </w:rPr>
        <w:t xml:space="preserve">This Resolution also addresses a proposed binding cost cap for the applicant-build portion of the project. The Commission clarifies that the binding cost estimate should apply to refundable costs (Standard Facilities) separately from non-refundable costs (Special Facilities), and that the binding cost cap for refundable costs should not include costs overlapping with </w:t>
      </w:r>
      <w:r w:rsidR="00750EB8">
        <w:rPr>
          <w:rFonts w:ascii="Palatino Linotype" w:hAnsi="Palatino Linotype" w:eastAsia="Times New Roman" w:cs="Times New Roman"/>
          <w:kern w:val="0"/>
          <w14:ligatures w14:val="none"/>
        </w:rPr>
        <w:t xml:space="preserve">the costs of </w:t>
      </w:r>
      <w:r w:rsidRPr="005A0197">
        <w:rPr>
          <w:rFonts w:ascii="Palatino Linotype" w:hAnsi="Palatino Linotype" w:eastAsia="Times New Roman" w:cs="Times New Roman"/>
          <w:kern w:val="0"/>
          <w14:ligatures w14:val="none"/>
        </w:rPr>
        <w:t xml:space="preserve">PG&amp;E’s own </w:t>
      </w:r>
      <w:r w:rsidR="00750EB8">
        <w:rPr>
          <w:rFonts w:ascii="Palatino Linotype" w:hAnsi="Palatino Linotype" w:eastAsia="Times New Roman" w:cs="Times New Roman"/>
          <w:kern w:val="0"/>
          <w14:ligatures w14:val="none"/>
        </w:rPr>
        <w:t>work on the project</w:t>
      </w:r>
      <w:r w:rsidRPr="005A0197">
        <w:rPr>
          <w:rFonts w:ascii="Palatino Linotype" w:hAnsi="Palatino Linotype" w:eastAsia="Times New Roman" w:cs="Times New Roman"/>
          <w:kern w:val="0"/>
          <w14:ligatures w14:val="none"/>
        </w:rPr>
        <w:t xml:space="preserve">. The Commission further requires PG&amp;E to submit an information-only Tier 1 </w:t>
      </w:r>
      <w:r w:rsidR="0017250A">
        <w:rPr>
          <w:rFonts w:ascii="Palatino Linotype" w:hAnsi="Palatino Linotype" w:eastAsia="Times New Roman" w:cs="Times New Roman"/>
          <w:kern w:val="0"/>
          <w14:ligatures w14:val="none"/>
        </w:rPr>
        <w:t>Advice Letter</w:t>
      </w:r>
      <w:r w:rsidRPr="005A0197">
        <w:rPr>
          <w:rFonts w:ascii="Palatino Linotype" w:hAnsi="Palatino Linotype" w:eastAsia="Times New Roman" w:cs="Times New Roman"/>
          <w:kern w:val="0"/>
          <w14:ligatures w14:val="none"/>
        </w:rPr>
        <w:t xml:space="preserve"> when the binding cost estimate is finalized, with attachments describing the binding estimate and how it was calculated. </w:t>
      </w:r>
    </w:p>
    <w:p w:rsidRPr="007D02B1" w:rsidR="00E50E44" w:rsidP="00E50E44" w:rsidRDefault="00E50E44" w14:paraId="67B8897F"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3CCFFB4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Background</w:t>
      </w:r>
    </w:p>
    <w:p w:rsidR="007C2D81" w:rsidP="007C2D81" w:rsidRDefault="007C2D81" w14:paraId="1C27CA49" w14:textId="77777777">
      <w:pPr>
        <w:spacing w:after="0" w:line="240" w:lineRule="auto"/>
        <w:rPr>
          <w:rFonts w:ascii="Palatino Linotype" w:hAnsi="Palatino Linotype" w:eastAsia="Times New Roman" w:cs="Times New Roman"/>
          <w:b/>
          <w:bCs/>
          <w:kern w:val="0"/>
          <w14:ligatures w14:val="none"/>
        </w:rPr>
      </w:pPr>
      <w:r w:rsidRPr="007C2D81">
        <w:rPr>
          <w:rFonts w:ascii="Palatino Linotype" w:hAnsi="Palatino Linotype" w:eastAsia="Times New Roman" w:cs="Times New Roman"/>
          <w:b/>
          <w:bCs/>
          <w:kern w:val="0"/>
          <w14:ligatures w14:val="none"/>
        </w:rPr>
        <w:t>Filing and Request</w:t>
      </w:r>
    </w:p>
    <w:p w:rsidRPr="007C2D81" w:rsidR="00EB2EAD" w:rsidP="007C2D81" w:rsidRDefault="00EB2EAD" w14:paraId="6D6C768C" w14:textId="77777777">
      <w:pPr>
        <w:spacing w:after="0" w:line="240" w:lineRule="auto"/>
        <w:rPr>
          <w:rFonts w:ascii="Palatino Linotype" w:hAnsi="Palatino Linotype" w:eastAsia="Times New Roman" w:cs="Times New Roman"/>
          <w:b/>
          <w:bCs/>
          <w:kern w:val="0"/>
          <w14:ligatures w14:val="none"/>
        </w:rPr>
      </w:pPr>
    </w:p>
    <w:p w:rsidR="007C2D81" w:rsidP="007C2D81" w:rsidRDefault="007C2D81" w14:paraId="3D88247E" w14:textId="2C9DD500">
      <w:pPr>
        <w:spacing w:after="0" w:line="240" w:lineRule="auto"/>
        <w:rPr>
          <w:rFonts w:ascii="Palatino Linotype" w:hAnsi="Palatino Linotype" w:eastAsia="Times New Roman" w:cs="Times New Roman"/>
          <w:kern w:val="0"/>
          <w14:ligatures w14:val="none"/>
        </w:rPr>
      </w:pPr>
      <w:r w:rsidRPr="007C2D81">
        <w:rPr>
          <w:rFonts w:ascii="Palatino Linotype" w:hAnsi="Palatino Linotype" w:eastAsia="Times New Roman" w:cs="Times New Roman"/>
          <w:kern w:val="0"/>
          <w14:ligatures w14:val="none"/>
        </w:rPr>
        <w:lastRenderedPageBreak/>
        <w:t xml:space="preserve">On December 18, 2025, Pacific Gas and Electric Company (PG&amp;E) filed Advice Letter </w:t>
      </w:r>
      <w:r w:rsidR="00CF1110">
        <w:rPr>
          <w:rFonts w:ascii="Palatino Linotype" w:hAnsi="Palatino Linotype" w:eastAsia="Times New Roman" w:cs="Times New Roman"/>
          <w:kern w:val="0"/>
          <w14:ligatures w14:val="none"/>
        </w:rPr>
        <w:t xml:space="preserve">(AL) </w:t>
      </w:r>
      <w:r w:rsidRPr="007C2D81">
        <w:rPr>
          <w:rFonts w:ascii="Palatino Linotype" w:hAnsi="Palatino Linotype" w:eastAsia="Times New Roman" w:cs="Times New Roman"/>
          <w:kern w:val="0"/>
          <w14:ligatures w14:val="none"/>
        </w:rPr>
        <w:t xml:space="preserve">7785-E as a Tier 3 </w:t>
      </w:r>
      <w:r w:rsidR="0017250A">
        <w:rPr>
          <w:rFonts w:ascii="Palatino Linotype" w:hAnsi="Palatino Linotype" w:eastAsia="Times New Roman" w:cs="Times New Roman"/>
          <w:kern w:val="0"/>
          <w14:ligatures w14:val="none"/>
        </w:rPr>
        <w:t>Advice Letter</w:t>
      </w:r>
      <w:r w:rsidRPr="007C2D81">
        <w:rPr>
          <w:rFonts w:ascii="Palatino Linotype" w:hAnsi="Palatino Linotype" w:eastAsia="Times New Roman" w:cs="Times New Roman"/>
          <w:kern w:val="0"/>
          <w14:ligatures w14:val="none"/>
        </w:rPr>
        <w:t xml:space="preserve"> requesting Commission approval of an agreement between PG&amp;E and Google LLC (Google) to provide transmission-level retail electric service at 230 kilovolts (kV) to serve Google’s facilities at 5079 Disk Drive in San Jose, California, with a forecasted demand of 250 megawatts (MW) at full build. PG&amp;E requests approval by June 1, 2026, to support construction beginning in January 2027 and an operational in-service date in December 2028.</w:t>
      </w:r>
    </w:p>
    <w:p w:rsidR="00A6263C" w:rsidP="007C2D81" w:rsidRDefault="00A6263C" w14:paraId="5277EB12" w14:textId="77777777">
      <w:pPr>
        <w:spacing w:after="0" w:line="240" w:lineRule="auto"/>
        <w:rPr>
          <w:rFonts w:ascii="Palatino Linotype" w:hAnsi="Palatino Linotype" w:eastAsia="Times New Roman" w:cs="Times New Roman"/>
          <w:kern w:val="0"/>
          <w14:ligatures w14:val="none"/>
        </w:rPr>
      </w:pPr>
    </w:p>
    <w:p w:rsidR="00A6263C" w:rsidP="007C2D81" w:rsidRDefault="00257FE1" w14:paraId="6961281E" w14:textId="47163C7D">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For context,</w:t>
      </w:r>
      <w:r w:rsidR="00A6263C">
        <w:rPr>
          <w:rFonts w:ascii="Palatino Linotype" w:hAnsi="Palatino Linotype" w:eastAsia="Times New Roman" w:cs="Times New Roman"/>
          <w:kern w:val="0"/>
          <w14:ligatures w14:val="none"/>
        </w:rPr>
        <w:t xml:space="preserve"> 250 MW is larger than the average demand of </w:t>
      </w:r>
      <w:r>
        <w:rPr>
          <w:rFonts w:ascii="Palatino Linotype" w:hAnsi="Palatino Linotype" w:eastAsia="Times New Roman" w:cs="Times New Roman"/>
          <w:kern w:val="0"/>
          <w14:ligatures w14:val="none"/>
        </w:rPr>
        <w:t xml:space="preserve">all of </w:t>
      </w:r>
      <w:r w:rsidR="00A6263C">
        <w:rPr>
          <w:rFonts w:ascii="Palatino Linotype" w:hAnsi="Palatino Linotype" w:eastAsia="Times New Roman" w:cs="Times New Roman"/>
          <w:kern w:val="0"/>
          <w14:ligatures w14:val="none"/>
        </w:rPr>
        <w:t>Marin county</w:t>
      </w:r>
      <w:r>
        <w:rPr>
          <w:rFonts w:ascii="Palatino Linotype" w:hAnsi="Palatino Linotype" w:eastAsia="Times New Roman" w:cs="Times New Roman"/>
          <w:kern w:val="0"/>
          <w14:ligatures w14:val="none"/>
        </w:rPr>
        <w:t xml:space="preserve"> in 2024</w:t>
      </w:r>
      <w:r w:rsidR="00A6263C">
        <w:rPr>
          <w:rFonts w:ascii="Palatino Linotype" w:hAnsi="Palatino Linotype" w:eastAsia="Times New Roman" w:cs="Times New Roman"/>
          <w:kern w:val="0"/>
          <w14:ligatures w14:val="none"/>
        </w:rPr>
        <w:t>, and about half the overall average demand of San Mateo county.</w:t>
      </w:r>
      <w:r w:rsidR="00A6263C">
        <w:rPr>
          <w:rStyle w:val="FootnoteReference"/>
          <w:rFonts w:ascii="Palatino Linotype" w:hAnsi="Palatino Linotype" w:eastAsia="Times New Roman" w:cs="Times New Roman"/>
          <w:kern w:val="0"/>
          <w14:ligatures w14:val="none"/>
        </w:rPr>
        <w:footnoteReference w:id="2"/>
      </w:r>
    </w:p>
    <w:p w:rsidRPr="007C2D81" w:rsidR="007C2D81" w:rsidP="007C2D81" w:rsidRDefault="007C2D81" w14:paraId="3381D4A4" w14:textId="77777777">
      <w:pPr>
        <w:spacing w:after="0" w:line="240" w:lineRule="auto"/>
        <w:rPr>
          <w:rFonts w:ascii="Palatino Linotype" w:hAnsi="Palatino Linotype" w:eastAsia="Times New Roman" w:cs="Times New Roman"/>
          <w:kern w:val="0"/>
          <w14:ligatures w14:val="none"/>
        </w:rPr>
      </w:pPr>
    </w:p>
    <w:p w:rsidR="007C2D81" w:rsidP="007C2D81" w:rsidRDefault="007C2D81" w14:paraId="2AECC4AD" w14:textId="77777777">
      <w:pPr>
        <w:spacing w:after="0" w:line="240" w:lineRule="auto"/>
        <w:rPr>
          <w:rFonts w:ascii="Palatino Linotype" w:hAnsi="Palatino Linotype" w:eastAsia="Times New Roman" w:cs="Times New Roman"/>
          <w:b/>
          <w:bCs/>
          <w:kern w:val="0"/>
          <w14:ligatures w14:val="none"/>
        </w:rPr>
      </w:pPr>
      <w:r w:rsidRPr="007C2D81">
        <w:rPr>
          <w:rFonts w:ascii="Palatino Linotype" w:hAnsi="Palatino Linotype" w:eastAsia="Times New Roman" w:cs="Times New Roman"/>
          <w:b/>
          <w:bCs/>
          <w:kern w:val="0"/>
          <w14:ligatures w14:val="none"/>
        </w:rPr>
        <w:t>Project Development and Facilities Overview</w:t>
      </w:r>
    </w:p>
    <w:p w:rsidRPr="007C2D81" w:rsidR="00EB2EAD" w:rsidP="007C2D81" w:rsidRDefault="00EB2EAD" w14:paraId="6192772F" w14:textId="77777777">
      <w:pPr>
        <w:spacing w:after="0" w:line="240" w:lineRule="auto"/>
        <w:rPr>
          <w:rFonts w:ascii="Palatino Linotype" w:hAnsi="Palatino Linotype" w:eastAsia="Times New Roman" w:cs="Times New Roman"/>
          <w:b/>
          <w:bCs/>
          <w:kern w:val="0"/>
          <w14:ligatures w14:val="none"/>
        </w:rPr>
      </w:pPr>
    </w:p>
    <w:p w:rsidR="007C2D81" w:rsidP="007C2D81" w:rsidRDefault="007C2D81" w14:paraId="5841DE96" w14:textId="094E3896">
      <w:pPr>
        <w:spacing w:after="0" w:line="240" w:lineRule="auto"/>
        <w:rPr>
          <w:rFonts w:ascii="Palatino Linotype" w:hAnsi="Palatino Linotype" w:eastAsia="Times New Roman" w:cs="Times New Roman"/>
          <w:kern w:val="0"/>
          <w14:ligatures w14:val="none"/>
        </w:rPr>
      </w:pPr>
      <w:r w:rsidRPr="007C2D81">
        <w:rPr>
          <w:rFonts w:ascii="Palatino Linotype" w:hAnsi="Palatino Linotype" w:eastAsia="Times New Roman" w:cs="Times New Roman"/>
          <w:kern w:val="0"/>
          <w14:ligatures w14:val="none"/>
        </w:rPr>
        <w:t xml:space="preserve">PG&amp;E states that Google submitted an application on March 3, 2025 to interconnect a new transmission-level retail load. PG&amp;E conducted a Preliminary Engineering Study (PES) and completed the latest PES report in December 2025. PG&amp;E states that the PES concluded </w:t>
      </w:r>
      <w:r w:rsidR="001256B6">
        <w:rPr>
          <w:rFonts w:ascii="Palatino Linotype" w:hAnsi="Palatino Linotype" w:eastAsia="Times New Roman" w:cs="Times New Roman"/>
          <w:kern w:val="0"/>
          <w14:ligatures w14:val="none"/>
        </w:rPr>
        <w:t xml:space="preserve">that </w:t>
      </w:r>
      <w:r w:rsidRPr="007C2D81">
        <w:rPr>
          <w:rFonts w:ascii="Palatino Linotype" w:hAnsi="Palatino Linotype" w:eastAsia="Times New Roman" w:cs="Times New Roman"/>
          <w:kern w:val="0"/>
          <w14:ligatures w14:val="none"/>
        </w:rPr>
        <w:t>an onsite 230 kV switching station would be required to provide 230 kV service for Google’s load.</w:t>
      </w:r>
    </w:p>
    <w:p w:rsidRPr="007C2D81" w:rsidR="00EB2EAD" w:rsidP="007C2D81" w:rsidRDefault="00EB2EAD" w14:paraId="3F90E0F7" w14:textId="77777777">
      <w:pPr>
        <w:spacing w:after="0" w:line="240" w:lineRule="auto"/>
        <w:rPr>
          <w:rFonts w:ascii="Palatino Linotype" w:hAnsi="Palatino Linotype" w:eastAsia="Times New Roman" w:cs="Times New Roman"/>
          <w:kern w:val="0"/>
          <w14:ligatures w14:val="none"/>
        </w:rPr>
      </w:pPr>
    </w:p>
    <w:p w:rsidR="007C2D81" w:rsidP="007C2D81" w:rsidRDefault="007C2D81" w14:paraId="7205141B" w14:textId="4B621B65">
      <w:pPr>
        <w:spacing w:after="0" w:line="240" w:lineRule="auto"/>
        <w:rPr>
          <w:rFonts w:ascii="Palatino Linotype" w:hAnsi="Palatino Linotype" w:eastAsia="Times New Roman" w:cs="Times New Roman"/>
          <w:kern w:val="0"/>
          <w14:ligatures w14:val="none"/>
        </w:rPr>
      </w:pPr>
      <w:r w:rsidRPr="007C2D81">
        <w:rPr>
          <w:rFonts w:ascii="Palatino Linotype" w:hAnsi="Palatino Linotype" w:eastAsia="Times New Roman" w:cs="Times New Roman"/>
          <w:kern w:val="0"/>
          <w14:ligatures w14:val="none"/>
        </w:rPr>
        <w:t>PG&amp;E describes the project as requiring (1) an onsite switching station to interconnect to the transmission network</w:t>
      </w:r>
      <w:r w:rsidR="001256B6">
        <w:rPr>
          <w:rFonts w:ascii="Palatino Linotype" w:hAnsi="Palatino Linotype" w:eastAsia="Times New Roman" w:cs="Times New Roman"/>
          <w:kern w:val="0"/>
          <w14:ligatures w14:val="none"/>
        </w:rPr>
        <w:t>,</w:t>
      </w:r>
      <w:r w:rsidRPr="007C2D81">
        <w:rPr>
          <w:rFonts w:ascii="Palatino Linotype" w:hAnsi="Palatino Linotype" w:eastAsia="Times New Roman" w:cs="Times New Roman"/>
          <w:kern w:val="0"/>
          <w14:ligatures w14:val="none"/>
        </w:rPr>
        <w:t xml:space="preserve"> and</w:t>
      </w:r>
      <w:r w:rsidR="001256B6">
        <w:rPr>
          <w:rFonts w:ascii="Palatino Linotype" w:hAnsi="Palatino Linotype" w:eastAsia="Times New Roman" w:cs="Times New Roman"/>
          <w:kern w:val="0"/>
          <w14:ligatures w14:val="none"/>
        </w:rPr>
        <w:t>,</w:t>
      </w:r>
      <w:r w:rsidRPr="007C2D81">
        <w:rPr>
          <w:rFonts w:ascii="Palatino Linotype" w:hAnsi="Palatino Linotype" w:eastAsia="Times New Roman" w:cs="Times New Roman"/>
          <w:kern w:val="0"/>
          <w14:ligatures w14:val="none"/>
        </w:rPr>
        <w:t xml:space="preserve"> (2) underground 230 kV service lines to connect from the switching station to Google’s substation. PG&amp;E states </w:t>
      </w:r>
      <w:r w:rsidR="001256B6">
        <w:rPr>
          <w:rFonts w:ascii="Palatino Linotype" w:hAnsi="Palatino Linotype" w:eastAsia="Times New Roman" w:cs="Times New Roman"/>
          <w:kern w:val="0"/>
          <w14:ligatures w14:val="none"/>
        </w:rPr>
        <w:t xml:space="preserve">that </w:t>
      </w:r>
      <w:r w:rsidRPr="007C2D81">
        <w:rPr>
          <w:rFonts w:ascii="Palatino Linotype" w:hAnsi="Palatino Linotype" w:eastAsia="Times New Roman" w:cs="Times New Roman"/>
          <w:kern w:val="0"/>
          <w14:ligatures w14:val="none"/>
        </w:rPr>
        <w:t>the switching station will use gas insulated switchgear and a breaker-and-a-half bus configuration. PG&amp;E further states that the switching station will be designed to be expandable or reconfigurable to serve additional customers should future demand materialize.</w:t>
      </w:r>
    </w:p>
    <w:p w:rsidRPr="007C2D81" w:rsidR="004140CF" w:rsidP="007C2D81" w:rsidRDefault="004140CF" w14:paraId="5BCE7931" w14:textId="77777777">
      <w:pPr>
        <w:spacing w:after="0" w:line="240" w:lineRule="auto"/>
        <w:rPr>
          <w:rFonts w:ascii="Palatino Linotype" w:hAnsi="Palatino Linotype" w:eastAsia="Times New Roman" w:cs="Times New Roman"/>
          <w:kern w:val="0"/>
          <w14:ligatures w14:val="none"/>
        </w:rPr>
      </w:pPr>
    </w:p>
    <w:p w:rsidR="007C2D81" w:rsidP="0030610D" w:rsidRDefault="007C2D81" w14:paraId="47E13410" w14:textId="77777777">
      <w:pPr>
        <w:keepNext/>
        <w:spacing w:after="0" w:line="240" w:lineRule="auto"/>
        <w:rPr>
          <w:rFonts w:ascii="Palatino Linotype" w:hAnsi="Palatino Linotype" w:eastAsia="Times New Roman" w:cs="Times New Roman"/>
          <w:b/>
          <w:bCs/>
          <w:kern w:val="0"/>
          <w14:ligatures w14:val="none"/>
        </w:rPr>
      </w:pPr>
      <w:r w:rsidRPr="004140CF">
        <w:rPr>
          <w:rFonts w:ascii="Palatino Linotype" w:hAnsi="Palatino Linotype" w:eastAsia="Times New Roman" w:cs="Times New Roman"/>
          <w:b/>
          <w:bCs/>
          <w:kern w:val="0"/>
          <w14:ligatures w14:val="none"/>
        </w:rPr>
        <w:t>Agreement Structure and Construction Responsibilities</w:t>
      </w:r>
    </w:p>
    <w:p w:rsidRPr="004140CF" w:rsidR="00EB2EAD" w:rsidP="0030610D" w:rsidRDefault="00EB2EAD" w14:paraId="7997FFB0" w14:textId="77777777">
      <w:pPr>
        <w:keepNext/>
        <w:spacing w:after="0" w:line="240" w:lineRule="auto"/>
        <w:rPr>
          <w:rFonts w:ascii="Palatino Linotype" w:hAnsi="Palatino Linotype" w:eastAsia="Times New Roman" w:cs="Times New Roman"/>
          <w:b/>
          <w:bCs/>
          <w:kern w:val="0"/>
          <w14:ligatures w14:val="none"/>
        </w:rPr>
      </w:pPr>
    </w:p>
    <w:p w:rsidR="007C2D81" w:rsidP="0030610D" w:rsidRDefault="007C2D81" w14:paraId="25972527" w14:textId="3809C3BB">
      <w:pPr>
        <w:keepNext/>
        <w:spacing w:after="0" w:line="240" w:lineRule="auto"/>
        <w:rPr>
          <w:rFonts w:ascii="Palatino Linotype" w:hAnsi="Palatino Linotype" w:eastAsia="Times New Roman" w:cs="Times New Roman"/>
          <w:kern w:val="0"/>
          <w14:ligatures w14:val="none"/>
        </w:rPr>
      </w:pPr>
      <w:r w:rsidRPr="007C2D81">
        <w:rPr>
          <w:rFonts w:ascii="Palatino Linotype" w:hAnsi="Palatino Linotype" w:eastAsia="Times New Roman" w:cs="Times New Roman"/>
          <w:kern w:val="0"/>
          <w14:ligatures w14:val="none"/>
        </w:rPr>
        <w:t xml:space="preserve">PG&amp;E submitted the agreement as an </w:t>
      </w:r>
      <w:r w:rsidR="00C4148E">
        <w:rPr>
          <w:rFonts w:ascii="Palatino Linotype" w:hAnsi="Palatino Linotype" w:eastAsia="Times New Roman" w:cs="Times New Roman"/>
          <w:kern w:val="0"/>
          <w14:ligatures w14:val="none"/>
        </w:rPr>
        <w:t>E</w:t>
      </w:r>
      <w:r w:rsidRPr="007C2D81">
        <w:rPr>
          <w:rFonts w:ascii="Palatino Linotype" w:hAnsi="Palatino Linotype" w:eastAsia="Times New Roman" w:cs="Times New Roman"/>
          <w:kern w:val="0"/>
          <w14:ligatures w14:val="none"/>
        </w:rPr>
        <w:t xml:space="preserve">xceptional </w:t>
      </w:r>
      <w:r w:rsidR="00C4148E">
        <w:rPr>
          <w:rFonts w:ascii="Palatino Linotype" w:hAnsi="Palatino Linotype" w:eastAsia="Times New Roman" w:cs="Times New Roman"/>
          <w:kern w:val="0"/>
          <w14:ligatures w14:val="none"/>
        </w:rPr>
        <w:t>C</w:t>
      </w:r>
      <w:r w:rsidRPr="007C2D81">
        <w:rPr>
          <w:rFonts w:ascii="Palatino Linotype" w:hAnsi="Palatino Linotype" w:eastAsia="Times New Roman" w:cs="Times New Roman"/>
          <w:kern w:val="0"/>
          <w14:ligatures w14:val="none"/>
        </w:rPr>
        <w:t>ase</w:t>
      </w:r>
      <w:r w:rsidR="00C4148E">
        <w:rPr>
          <w:rFonts w:ascii="Palatino Linotype" w:hAnsi="Palatino Linotype" w:eastAsia="Times New Roman" w:cs="Times New Roman"/>
          <w:kern w:val="0"/>
          <w14:ligatures w14:val="none"/>
        </w:rPr>
        <w:t xml:space="preserve"> Submittal</w:t>
      </w:r>
      <w:r w:rsidRPr="007C2D81">
        <w:rPr>
          <w:rFonts w:ascii="Palatino Linotype" w:hAnsi="Palatino Linotype" w:eastAsia="Times New Roman" w:cs="Times New Roman"/>
          <w:kern w:val="0"/>
          <w14:ligatures w14:val="none"/>
        </w:rPr>
        <w:t xml:space="preserve"> under Electric </w:t>
      </w:r>
      <w:r w:rsidR="0030610D">
        <w:rPr>
          <w:rFonts w:ascii="Palatino Linotype" w:hAnsi="Palatino Linotype" w:eastAsia="Times New Roman" w:cs="Times New Roman"/>
          <w:kern w:val="0"/>
          <w14:ligatures w14:val="none"/>
        </w:rPr>
        <w:br/>
      </w:r>
      <w:r w:rsidRPr="007C2D81">
        <w:rPr>
          <w:rFonts w:ascii="Palatino Linotype" w:hAnsi="Palatino Linotype" w:eastAsia="Times New Roman" w:cs="Times New Roman"/>
          <w:kern w:val="0"/>
          <w14:ligatures w14:val="none"/>
        </w:rPr>
        <w:t>Rules 2, 15, and 16. PG&amp;E states that Google will engineer, design, and construct certain facilities as “Applicant Work,” which will be transferred to PG&amp;E upon completion, and that other work will be performed directly by PG&amp;E pursuant to the agreement. PG&amp;E also states that the agreement includes provisions addressing construction responsibilities and cost responsibility, including actual-cost billing and a binding cost estimate framework for certain facilities constructed by Google.</w:t>
      </w:r>
    </w:p>
    <w:p w:rsidRPr="007C2D81" w:rsidR="004140CF" w:rsidP="007C2D81" w:rsidRDefault="004140CF" w14:paraId="40B6BF43" w14:textId="77777777">
      <w:pPr>
        <w:spacing w:after="0" w:line="240" w:lineRule="auto"/>
        <w:rPr>
          <w:rFonts w:ascii="Palatino Linotype" w:hAnsi="Palatino Linotype" w:eastAsia="Times New Roman" w:cs="Times New Roman"/>
          <w:kern w:val="0"/>
          <w14:ligatures w14:val="none"/>
        </w:rPr>
      </w:pPr>
    </w:p>
    <w:p w:rsidR="007C2D81" w:rsidP="007C2D81" w:rsidRDefault="007C2D81" w14:paraId="32790CC1" w14:textId="08941B3B">
      <w:pPr>
        <w:spacing w:after="0" w:line="240" w:lineRule="auto"/>
        <w:rPr>
          <w:rFonts w:ascii="Palatino Linotype" w:hAnsi="Palatino Linotype" w:eastAsia="Times New Roman" w:cs="Times New Roman"/>
          <w:b/>
          <w:bCs/>
          <w:kern w:val="0"/>
          <w14:ligatures w14:val="none"/>
        </w:rPr>
      </w:pPr>
      <w:r w:rsidRPr="004140CF">
        <w:rPr>
          <w:rFonts w:ascii="Palatino Linotype" w:hAnsi="Palatino Linotype" w:eastAsia="Times New Roman" w:cs="Times New Roman"/>
          <w:b/>
          <w:bCs/>
          <w:kern w:val="0"/>
          <w14:ligatures w14:val="none"/>
        </w:rPr>
        <w:t>Estimated Cost</w:t>
      </w:r>
      <w:r w:rsidR="000E3539">
        <w:rPr>
          <w:rFonts w:ascii="Palatino Linotype" w:hAnsi="Palatino Linotype" w:eastAsia="Times New Roman" w:cs="Times New Roman"/>
          <w:b/>
          <w:bCs/>
          <w:kern w:val="0"/>
          <w14:ligatures w14:val="none"/>
        </w:rPr>
        <w:t>,</w:t>
      </w:r>
      <w:r w:rsidRPr="004140CF">
        <w:rPr>
          <w:rFonts w:ascii="Palatino Linotype" w:hAnsi="Palatino Linotype" w:eastAsia="Times New Roman" w:cs="Times New Roman"/>
          <w:b/>
          <w:bCs/>
          <w:kern w:val="0"/>
          <w14:ligatures w14:val="none"/>
        </w:rPr>
        <w:t xml:space="preserve"> Cost Recovery</w:t>
      </w:r>
      <w:r w:rsidR="003C1B53">
        <w:rPr>
          <w:rFonts w:ascii="Palatino Linotype" w:hAnsi="Palatino Linotype" w:eastAsia="Times New Roman" w:cs="Times New Roman"/>
          <w:b/>
          <w:bCs/>
          <w:kern w:val="0"/>
          <w14:ligatures w14:val="none"/>
        </w:rPr>
        <w:t>,</w:t>
      </w:r>
      <w:r w:rsidR="000E3539">
        <w:rPr>
          <w:rFonts w:ascii="Palatino Linotype" w:hAnsi="Palatino Linotype" w:eastAsia="Times New Roman" w:cs="Times New Roman"/>
          <w:b/>
          <w:bCs/>
          <w:kern w:val="0"/>
          <w14:ligatures w14:val="none"/>
        </w:rPr>
        <w:t xml:space="preserve"> and Refunds</w:t>
      </w:r>
    </w:p>
    <w:p w:rsidRPr="004140CF" w:rsidR="00EB2EAD" w:rsidP="007C2D81" w:rsidRDefault="00EB2EAD" w14:paraId="602CCF04" w14:textId="77777777">
      <w:pPr>
        <w:spacing w:after="0" w:line="240" w:lineRule="auto"/>
        <w:rPr>
          <w:rFonts w:ascii="Palatino Linotype" w:hAnsi="Palatino Linotype" w:eastAsia="Times New Roman" w:cs="Times New Roman"/>
          <w:b/>
          <w:bCs/>
          <w:kern w:val="0"/>
          <w14:ligatures w14:val="none"/>
        </w:rPr>
      </w:pPr>
    </w:p>
    <w:p w:rsidRPr="007C2D81" w:rsidR="007C2D81" w:rsidP="007C2D81" w:rsidRDefault="007C2D81" w14:paraId="68EB1BCE" w14:textId="6FD27617">
      <w:pPr>
        <w:spacing w:after="0" w:line="240" w:lineRule="auto"/>
        <w:rPr>
          <w:rFonts w:ascii="Palatino Linotype" w:hAnsi="Palatino Linotype" w:eastAsia="Times New Roman" w:cs="Times New Roman"/>
          <w:kern w:val="0"/>
          <w14:ligatures w14:val="none"/>
        </w:rPr>
      </w:pPr>
      <w:r w:rsidRPr="007C2D81">
        <w:rPr>
          <w:rFonts w:ascii="Palatino Linotype" w:hAnsi="Palatino Linotype" w:eastAsia="Times New Roman" w:cs="Times New Roman"/>
          <w:kern w:val="0"/>
          <w14:ligatures w14:val="none"/>
        </w:rPr>
        <w:t xml:space="preserve">PG&amp;E provides a public estimated cost range of $64 million to $137 million, </w:t>
      </w:r>
      <w:r w:rsidR="003739E4">
        <w:rPr>
          <w:rFonts w:ascii="Palatino Linotype" w:hAnsi="Palatino Linotype" w:eastAsia="Times New Roman" w:cs="Times New Roman"/>
          <w:kern w:val="0"/>
          <w14:ligatures w14:val="none"/>
        </w:rPr>
        <w:t>which does not include</w:t>
      </w:r>
      <w:r w:rsidRPr="007C2D81">
        <w:rPr>
          <w:rFonts w:ascii="Palatino Linotype" w:hAnsi="Palatino Linotype" w:eastAsia="Times New Roman" w:cs="Times New Roman"/>
          <w:kern w:val="0"/>
          <w14:ligatures w14:val="none"/>
        </w:rPr>
        <w:t xml:space="preserve"> the Income Tax Component of Contribution (ITCC). </w:t>
      </w:r>
      <w:r w:rsidR="003739E4">
        <w:rPr>
          <w:rFonts w:ascii="Palatino Linotype" w:hAnsi="Palatino Linotype" w:eastAsia="Times New Roman" w:cs="Times New Roman"/>
          <w:kern w:val="0"/>
          <w14:ligatures w14:val="none"/>
        </w:rPr>
        <w:t>T</w:t>
      </w:r>
      <w:r w:rsidRPr="007C2D81">
        <w:rPr>
          <w:rFonts w:ascii="Palatino Linotype" w:hAnsi="Palatino Linotype" w:eastAsia="Times New Roman" w:cs="Times New Roman"/>
          <w:kern w:val="0"/>
          <w14:ligatures w14:val="none"/>
        </w:rPr>
        <w:t xml:space="preserve">his public cost estimate reflects only the </w:t>
      </w:r>
      <w:r w:rsidR="00032985">
        <w:rPr>
          <w:rFonts w:ascii="Palatino Linotype" w:hAnsi="Palatino Linotype" w:eastAsia="Times New Roman" w:cs="Times New Roman"/>
          <w:kern w:val="0"/>
          <w14:ligatures w14:val="none"/>
        </w:rPr>
        <w:t>a</w:t>
      </w:r>
      <w:r w:rsidRPr="007C2D81">
        <w:rPr>
          <w:rFonts w:ascii="Palatino Linotype" w:hAnsi="Palatino Linotype" w:eastAsia="Times New Roman" w:cs="Times New Roman"/>
          <w:kern w:val="0"/>
          <w14:ligatures w14:val="none"/>
        </w:rPr>
        <w:t xml:space="preserve">pplicant </w:t>
      </w:r>
      <w:r w:rsidR="00032985">
        <w:rPr>
          <w:rFonts w:ascii="Palatino Linotype" w:hAnsi="Palatino Linotype" w:eastAsia="Times New Roman" w:cs="Times New Roman"/>
          <w:kern w:val="0"/>
          <w14:ligatures w14:val="none"/>
        </w:rPr>
        <w:t>b</w:t>
      </w:r>
      <w:r w:rsidRPr="007C2D81">
        <w:rPr>
          <w:rFonts w:ascii="Palatino Linotype" w:hAnsi="Palatino Linotype" w:eastAsia="Times New Roman" w:cs="Times New Roman"/>
          <w:kern w:val="0"/>
          <w14:ligatures w14:val="none"/>
        </w:rPr>
        <w:t xml:space="preserve">uild portion of the project and does not include </w:t>
      </w:r>
      <w:r w:rsidR="003739E4">
        <w:rPr>
          <w:rFonts w:ascii="Palatino Linotype" w:hAnsi="Palatino Linotype" w:eastAsia="Times New Roman" w:cs="Times New Roman"/>
          <w:kern w:val="0"/>
          <w14:ligatures w14:val="none"/>
        </w:rPr>
        <w:t xml:space="preserve">the </w:t>
      </w:r>
      <w:r w:rsidRPr="007C2D81">
        <w:rPr>
          <w:rFonts w:ascii="Palatino Linotype" w:hAnsi="Palatino Linotype" w:eastAsia="Times New Roman" w:cs="Times New Roman"/>
          <w:kern w:val="0"/>
          <w14:ligatures w14:val="none"/>
        </w:rPr>
        <w:t>costs associated with work performed directly by PG&amp;E.</w:t>
      </w:r>
    </w:p>
    <w:p w:rsidRPr="002C0ECD" w:rsidR="00555D5D" w:rsidP="00555D5D" w:rsidRDefault="00555D5D" w14:paraId="78D764BE" w14:textId="77777777">
      <w:pPr>
        <w:spacing w:after="0" w:line="240" w:lineRule="auto"/>
        <w:rPr>
          <w:rFonts w:ascii="Palatino Linotype" w:hAnsi="Palatino Linotype" w:eastAsia="Times New Roman" w:cs="Times New Roman"/>
          <w:kern w:val="0"/>
          <w14:ligatures w14:val="none"/>
        </w:rPr>
      </w:pPr>
    </w:p>
    <w:p w:rsidR="00555D5D" w:rsidP="00555D5D" w:rsidRDefault="00555D5D" w14:paraId="7A40D311" w14:textId="16284AA6">
      <w:pPr>
        <w:spacing w:after="0" w:line="240" w:lineRule="auto"/>
        <w:rPr>
          <w:rFonts w:ascii="Palatino Linotype" w:hAnsi="Palatino Linotype" w:eastAsia="Times New Roman" w:cs="Times New Roman"/>
          <w:kern w:val="0"/>
          <w14:ligatures w14:val="none"/>
        </w:rPr>
      </w:pPr>
      <w:r w:rsidRPr="002C0ECD">
        <w:rPr>
          <w:rFonts w:ascii="Palatino Linotype" w:hAnsi="Palatino Linotype" w:eastAsia="Times New Roman" w:cs="Times New Roman"/>
          <w:kern w:val="0"/>
          <w14:ligatures w14:val="none"/>
        </w:rPr>
        <w:t xml:space="preserve">PG&amp;E </w:t>
      </w:r>
      <w:r>
        <w:rPr>
          <w:rFonts w:ascii="Palatino Linotype" w:hAnsi="Palatino Linotype" w:eastAsia="Times New Roman" w:cs="Times New Roman"/>
          <w:kern w:val="0"/>
          <w14:ligatures w14:val="none"/>
        </w:rPr>
        <w:t>proposes</w:t>
      </w:r>
      <w:r w:rsidRPr="002C0ECD">
        <w:rPr>
          <w:rFonts w:ascii="Palatino Linotype" w:hAnsi="Palatino Linotype" w:eastAsia="Times New Roman" w:cs="Times New Roman"/>
          <w:kern w:val="0"/>
          <w14:ligatures w14:val="none"/>
        </w:rPr>
        <w:t xml:space="preserve"> that refunds to </w:t>
      </w:r>
      <w:r w:rsidR="00353527">
        <w:rPr>
          <w:rFonts w:ascii="Palatino Linotype" w:hAnsi="Palatino Linotype" w:eastAsia="Times New Roman" w:cs="Times New Roman"/>
          <w:kern w:val="0"/>
          <w14:ligatures w14:val="none"/>
        </w:rPr>
        <w:t>Google</w:t>
      </w:r>
      <w:r>
        <w:rPr>
          <w:rFonts w:ascii="Palatino Linotype" w:hAnsi="Palatino Linotype" w:eastAsia="Times New Roman" w:cs="Times New Roman"/>
          <w:kern w:val="0"/>
          <w14:ligatures w14:val="none"/>
        </w:rPr>
        <w:t xml:space="preserve"> </w:t>
      </w:r>
      <w:r w:rsidRPr="002C0ECD">
        <w:rPr>
          <w:rFonts w:ascii="Palatino Linotype" w:hAnsi="Palatino Linotype" w:eastAsia="Times New Roman" w:cs="Times New Roman"/>
          <w:kern w:val="0"/>
          <w14:ligatures w14:val="none"/>
        </w:rPr>
        <w:t xml:space="preserve">will be issued </w:t>
      </w:r>
      <w:r>
        <w:rPr>
          <w:rFonts w:ascii="Palatino Linotype" w:hAnsi="Palatino Linotype" w:eastAsia="Times New Roman" w:cs="Times New Roman"/>
          <w:kern w:val="0"/>
          <w14:ligatures w14:val="none"/>
        </w:rPr>
        <w:t>following</w:t>
      </w:r>
      <w:r w:rsidRPr="002C0ECD">
        <w:rPr>
          <w:rFonts w:ascii="Palatino Linotype" w:hAnsi="Palatino Linotype" w:eastAsia="Times New Roman" w:cs="Times New Roman"/>
          <w:kern w:val="0"/>
          <w14:ligatures w14:val="none"/>
        </w:rPr>
        <w:t xml:space="preserve"> the </w:t>
      </w:r>
      <w:r>
        <w:rPr>
          <w:rFonts w:ascii="Palatino Linotype" w:hAnsi="Palatino Linotype" w:eastAsia="Times New Roman" w:cs="Times New Roman"/>
          <w:kern w:val="0"/>
          <w14:ligatures w14:val="none"/>
        </w:rPr>
        <w:t>BARC</w:t>
      </w:r>
      <w:r w:rsidRPr="002C0ECD">
        <w:rPr>
          <w:rFonts w:ascii="Palatino Linotype" w:hAnsi="Palatino Linotype" w:eastAsia="Times New Roman" w:cs="Times New Roman"/>
          <w:kern w:val="0"/>
          <w14:ligatures w14:val="none"/>
        </w:rPr>
        <w:t xml:space="preserve"> methodology under Electric Rule 15</w:t>
      </w:r>
      <w:r>
        <w:rPr>
          <w:rFonts w:ascii="Palatino Linotype" w:hAnsi="Palatino Linotype" w:eastAsia="Times New Roman" w:cs="Times New Roman"/>
          <w:kern w:val="0"/>
          <w14:ligatures w14:val="none"/>
        </w:rPr>
        <w:t>, which is based on the revenues a facility generates and an estimate of future expected revenues</w:t>
      </w:r>
      <w:r w:rsidRPr="002C0ECD">
        <w:rPr>
          <w:rFonts w:ascii="Palatino Linotype" w:hAnsi="Palatino Linotype" w:eastAsia="Times New Roman" w:cs="Times New Roman"/>
          <w:kern w:val="0"/>
          <w14:ligatures w14:val="none"/>
        </w:rPr>
        <w:t xml:space="preserve">. </w:t>
      </w:r>
      <w:r w:rsidR="00B60EFA">
        <w:rPr>
          <w:rFonts w:ascii="Palatino Linotype" w:hAnsi="Palatino Linotype" w:eastAsia="Times New Roman" w:cs="Times New Roman"/>
          <w:kern w:val="0"/>
          <w14:ligatures w14:val="none"/>
        </w:rPr>
        <w:t xml:space="preserve">These refunds would only apply to </w:t>
      </w:r>
      <w:r w:rsidR="006C291D">
        <w:rPr>
          <w:rFonts w:ascii="Palatino Linotype" w:hAnsi="Palatino Linotype" w:eastAsia="Times New Roman" w:cs="Times New Roman"/>
          <w:kern w:val="0"/>
          <w14:ligatures w14:val="none"/>
        </w:rPr>
        <w:t xml:space="preserve">standard facilities that are needed to provide </w:t>
      </w:r>
      <w:r w:rsidR="005926A4">
        <w:rPr>
          <w:rFonts w:ascii="Palatino Linotype" w:hAnsi="Palatino Linotype" w:eastAsia="Times New Roman" w:cs="Times New Roman"/>
          <w:kern w:val="0"/>
          <w14:ligatures w14:val="none"/>
        </w:rPr>
        <w:t>standard</w:t>
      </w:r>
      <w:r w:rsidR="006C291D">
        <w:rPr>
          <w:rFonts w:ascii="Palatino Linotype" w:hAnsi="Palatino Linotype" w:eastAsia="Times New Roman" w:cs="Times New Roman"/>
          <w:kern w:val="0"/>
          <w14:ligatures w14:val="none"/>
        </w:rPr>
        <w:t xml:space="preserve"> service</w:t>
      </w:r>
      <w:r w:rsidR="005926A4">
        <w:rPr>
          <w:rFonts w:ascii="Palatino Linotype" w:hAnsi="Palatino Linotype" w:eastAsia="Times New Roman" w:cs="Times New Roman"/>
          <w:kern w:val="0"/>
          <w14:ligatures w14:val="none"/>
        </w:rPr>
        <w:t xml:space="preserve"> to the customer</w:t>
      </w:r>
      <w:r w:rsidR="006C291D">
        <w:rPr>
          <w:rFonts w:ascii="Palatino Linotype" w:hAnsi="Palatino Linotype" w:eastAsia="Times New Roman" w:cs="Times New Roman"/>
          <w:kern w:val="0"/>
          <w14:ligatures w14:val="none"/>
        </w:rPr>
        <w:t xml:space="preserve"> (Standard Facilities). Any additional </w:t>
      </w:r>
      <w:r w:rsidRPr="002C0ECD">
        <w:rPr>
          <w:rFonts w:ascii="Palatino Linotype" w:hAnsi="Palatino Linotype" w:eastAsia="Times New Roman" w:cs="Times New Roman"/>
          <w:kern w:val="0"/>
          <w14:ligatures w14:val="none"/>
        </w:rPr>
        <w:t>Special Facilities costs</w:t>
      </w:r>
      <w:r w:rsidR="005926A4">
        <w:rPr>
          <w:rFonts w:ascii="Palatino Linotype" w:hAnsi="Palatino Linotype" w:eastAsia="Times New Roman" w:cs="Times New Roman"/>
          <w:kern w:val="0"/>
          <w14:ligatures w14:val="none"/>
        </w:rPr>
        <w:t xml:space="preserve"> w</w:t>
      </w:r>
      <w:r w:rsidR="00CF487B">
        <w:rPr>
          <w:rFonts w:ascii="Palatino Linotype" w:hAnsi="Palatino Linotype" w:eastAsia="Times New Roman" w:cs="Times New Roman"/>
          <w:kern w:val="0"/>
          <w14:ligatures w14:val="none"/>
        </w:rPr>
        <w:t>ill</w:t>
      </w:r>
      <w:r w:rsidR="005926A4">
        <w:rPr>
          <w:rFonts w:ascii="Palatino Linotype" w:hAnsi="Palatino Linotype" w:eastAsia="Times New Roman" w:cs="Times New Roman"/>
          <w:kern w:val="0"/>
          <w14:ligatures w14:val="none"/>
        </w:rPr>
        <w:t xml:space="preserve"> be covered following </w:t>
      </w:r>
      <w:r w:rsidR="00CF487B">
        <w:rPr>
          <w:rFonts w:ascii="Palatino Linotype" w:hAnsi="Palatino Linotype" w:eastAsia="Times New Roman" w:cs="Times New Roman"/>
          <w:kern w:val="0"/>
          <w14:ligatures w14:val="none"/>
        </w:rPr>
        <w:t xml:space="preserve">the process under </w:t>
      </w:r>
      <w:r w:rsidR="005926A4">
        <w:rPr>
          <w:rFonts w:ascii="Palatino Linotype" w:hAnsi="Palatino Linotype" w:eastAsia="Times New Roman" w:cs="Times New Roman"/>
          <w:kern w:val="0"/>
          <w14:ligatures w14:val="none"/>
        </w:rPr>
        <w:t xml:space="preserve">Electric Rule </w:t>
      </w:r>
      <w:r w:rsidR="002E6C33">
        <w:rPr>
          <w:rFonts w:ascii="Palatino Linotype" w:hAnsi="Palatino Linotype" w:eastAsia="Times New Roman" w:cs="Times New Roman"/>
          <w:kern w:val="0"/>
          <w14:ligatures w14:val="none"/>
        </w:rPr>
        <w:t>2 and</w:t>
      </w:r>
      <w:r w:rsidR="00CF487B">
        <w:rPr>
          <w:rFonts w:ascii="Palatino Linotype" w:hAnsi="Palatino Linotype" w:eastAsia="Times New Roman" w:cs="Times New Roman"/>
          <w:kern w:val="0"/>
          <w14:ligatures w14:val="none"/>
        </w:rPr>
        <w:t xml:space="preserve"> w</w:t>
      </w:r>
      <w:r w:rsidR="002E6C33">
        <w:rPr>
          <w:rFonts w:ascii="Palatino Linotype" w:hAnsi="Palatino Linotype" w:eastAsia="Times New Roman" w:cs="Times New Roman"/>
          <w:kern w:val="0"/>
          <w14:ligatures w14:val="none"/>
        </w:rPr>
        <w:t>ill</w:t>
      </w:r>
      <w:r w:rsidR="00CF487B">
        <w:rPr>
          <w:rFonts w:ascii="Palatino Linotype" w:hAnsi="Palatino Linotype" w:eastAsia="Times New Roman" w:cs="Times New Roman"/>
          <w:kern w:val="0"/>
          <w14:ligatures w14:val="none"/>
        </w:rPr>
        <w:t xml:space="preserve"> not be refundable</w:t>
      </w:r>
      <w:r w:rsidRPr="002C0ECD">
        <w:rPr>
          <w:rFonts w:ascii="Palatino Linotype" w:hAnsi="Palatino Linotype" w:eastAsia="Times New Roman" w:cs="Times New Roman"/>
          <w:kern w:val="0"/>
          <w14:ligatures w14:val="none"/>
        </w:rPr>
        <w:t>.</w:t>
      </w:r>
    </w:p>
    <w:p w:rsidR="00555D5D" w:rsidP="00555D5D" w:rsidRDefault="00555D5D" w14:paraId="23EE31BB" w14:textId="77777777">
      <w:pPr>
        <w:spacing w:after="0" w:line="240" w:lineRule="auto"/>
        <w:rPr>
          <w:rFonts w:ascii="Palatino Linotype" w:hAnsi="Palatino Linotype" w:eastAsia="Times New Roman" w:cs="Times New Roman"/>
          <w:kern w:val="0"/>
          <w14:ligatures w14:val="none"/>
        </w:rPr>
      </w:pPr>
    </w:p>
    <w:p w:rsidR="00555D5D" w:rsidP="00555D5D" w:rsidRDefault="00555D5D" w14:paraId="03F6A4D6" w14:textId="388C0384">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Under the standard refund process, using the </w:t>
      </w:r>
      <w:r w:rsidRPr="007C2D81" w:rsidR="00500B0F">
        <w:rPr>
          <w:rFonts w:ascii="Palatino Linotype" w:hAnsi="Palatino Linotype" w:eastAsia="Times New Roman" w:cs="Times New Roman"/>
          <w:kern w:val="0"/>
          <w14:ligatures w14:val="none"/>
        </w:rPr>
        <w:t>Base Annual Revenue Calculation (BARC)</w:t>
      </w:r>
      <w:r>
        <w:rPr>
          <w:rFonts w:ascii="Palatino Linotype" w:hAnsi="Palatino Linotype" w:eastAsia="Times New Roman" w:cs="Times New Roman"/>
          <w:kern w:val="0"/>
          <w14:ligatures w14:val="none"/>
        </w:rPr>
        <w:t xml:space="preserve"> methodology, a customer would provide up-front payments to cover their </w:t>
      </w:r>
      <w:r w:rsidDel="006545CF">
        <w:rPr>
          <w:rFonts w:ascii="Palatino Linotype" w:hAnsi="Palatino Linotype" w:eastAsia="Times New Roman" w:cs="Times New Roman"/>
          <w:kern w:val="0"/>
          <w14:ligatures w14:val="none"/>
        </w:rPr>
        <w:t>direct</w:t>
      </w:r>
      <w:r>
        <w:rPr>
          <w:rFonts w:ascii="Palatino Linotype" w:hAnsi="Palatino Linotype" w:eastAsia="Times New Roman" w:cs="Times New Roman"/>
          <w:kern w:val="0"/>
          <w14:ligatures w14:val="none"/>
        </w:rPr>
        <w:t xml:space="preserve"> cost of energization. This up-front payment would not cover broader costs of energization, such as upgrades to the broader transmission network also related to other system or customer needs. Once the customer is energized, they would be eligible for a refund of these up-front payments, based on their current load and expected future revenues. In brief, the BARC methodology takes current annual revenues from the customer and assumes those revenues will continue into the future. Then, the BARC methodology calculates an amount of upfront capital costs deemed to be justified, based upon</w:t>
      </w:r>
      <w:r w:rsidRPr="00936D96">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this continuous stream of future revenues. This total amount of capital costs determined through the BARC methodology is called the BARC Formula amount.</w:t>
      </w:r>
      <w:r>
        <w:rPr>
          <w:rStyle w:val="FootnoteReference"/>
          <w:rFonts w:ascii="Palatino Linotype" w:hAnsi="Palatino Linotype" w:eastAsia="Times New Roman" w:cs="Times New Roman"/>
          <w:kern w:val="0"/>
          <w14:ligatures w14:val="none"/>
        </w:rPr>
        <w:footnoteReference w:id="3"/>
      </w:r>
      <w:r>
        <w:rPr>
          <w:rFonts w:ascii="Palatino Linotype" w:hAnsi="Palatino Linotype" w:eastAsia="Times New Roman" w:cs="Times New Roman"/>
          <w:kern w:val="0"/>
          <w14:ligatures w14:val="none"/>
        </w:rPr>
        <w:t xml:space="preserve"> That full amount of costs can be immediately refunded to the customer. Because many of the specific details of the </w:t>
      </w:r>
      <w:r w:rsidR="00353527">
        <w:rPr>
          <w:rFonts w:ascii="Palatino Linotype" w:hAnsi="Palatino Linotype" w:eastAsia="Times New Roman" w:cs="Times New Roman"/>
          <w:kern w:val="0"/>
          <w14:ligatures w14:val="none"/>
        </w:rPr>
        <w:t>Google</w:t>
      </w:r>
      <w:r>
        <w:rPr>
          <w:rFonts w:ascii="Palatino Linotype" w:hAnsi="Palatino Linotype" w:eastAsia="Times New Roman" w:cs="Times New Roman"/>
          <w:kern w:val="0"/>
          <w14:ligatures w14:val="none"/>
        </w:rPr>
        <w:t xml:space="preserve"> case are confidential, we use general examples throughout this Resolution to provide clarity without revealing confidential information.</w:t>
      </w:r>
    </w:p>
    <w:p w:rsidR="00555D5D" w:rsidP="00555D5D" w:rsidRDefault="00555D5D" w14:paraId="281E4750" w14:textId="77777777">
      <w:pPr>
        <w:spacing w:after="0" w:line="240" w:lineRule="auto"/>
        <w:rPr>
          <w:rFonts w:ascii="Palatino Linotype" w:hAnsi="Palatino Linotype" w:eastAsia="Times New Roman" w:cs="Times New Roman"/>
          <w:kern w:val="0"/>
          <w14:ligatures w14:val="none"/>
        </w:rPr>
      </w:pPr>
    </w:p>
    <w:p w:rsidR="00555D5D" w:rsidP="00555D5D" w:rsidRDefault="00555D5D" w14:paraId="2CA289ED" w14:textId="77777777">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To take a hypothetical example: a transmission customer might provide $50 million up front to PG&amp;E to cover the </w:t>
      </w:r>
      <w:r w:rsidDel="00E73F2C">
        <w:rPr>
          <w:rFonts w:ascii="Palatino Linotype" w:hAnsi="Palatino Linotype" w:eastAsia="Times New Roman" w:cs="Times New Roman"/>
          <w:kern w:val="0"/>
          <w14:ligatures w14:val="none"/>
        </w:rPr>
        <w:t>direct</w:t>
      </w:r>
      <w:r>
        <w:rPr>
          <w:rFonts w:ascii="Palatino Linotype" w:hAnsi="Palatino Linotype" w:eastAsia="Times New Roman" w:cs="Times New Roman"/>
          <w:kern w:val="0"/>
          <w14:ligatures w14:val="none"/>
        </w:rPr>
        <w:t xml:space="preserve"> costs of energization. Once that customer is energized, over its first year it might pay about $12 million in electric bills to PG&amp;E for energy delivery. Of that $12 million, about $5 million would be the net revenue, or the part of the electric bill specifically related to transmission costs and infrastructure. Based on this $5 million in actual net revenue, the BARC process would allow for an end-of-year refund of about $46 million (the amount of capital investment deemed justified, assuming the customer’s net revenue continues indefinitely into the future at about the </w:t>
      </w:r>
      <w:r>
        <w:rPr>
          <w:rFonts w:ascii="Palatino Linotype" w:hAnsi="Palatino Linotype" w:eastAsia="Times New Roman" w:cs="Times New Roman"/>
          <w:kern w:val="0"/>
          <w14:ligatures w14:val="none"/>
        </w:rPr>
        <w:lastRenderedPageBreak/>
        <w:t>same level). The immediate refund could be about nine times larger than the actual net revenues collected from the customer in the first year. The total refund cannot be larger than the $50 million originally advanced by the customer.</w:t>
      </w:r>
      <w:r w:rsidRPr="00C94169">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In following years, the customer could receive the remaining $4 million in refunds if its electric bills increase, but no more than this.</w:t>
      </w:r>
    </w:p>
    <w:p w:rsidRPr="002C0ECD" w:rsidR="00555D5D" w:rsidP="00555D5D" w:rsidRDefault="00555D5D" w14:paraId="729215F9" w14:textId="77777777">
      <w:pPr>
        <w:spacing w:after="0" w:line="240" w:lineRule="auto"/>
        <w:rPr>
          <w:rFonts w:ascii="Palatino Linotype" w:hAnsi="Palatino Linotype" w:eastAsia="Times New Roman" w:cs="Times New Roman"/>
          <w:kern w:val="0"/>
          <w14:ligatures w14:val="none"/>
        </w:rPr>
      </w:pPr>
    </w:p>
    <w:p w:rsidR="00555D5D" w:rsidP="00555D5D" w:rsidRDefault="00555D5D" w14:paraId="219671E0" w14:textId="6961D93B">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As a customer is refunded, the related capital costs are added to PG&amp;E’s accounts and ultimately recovered from ratepayers. </w:t>
      </w:r>
      <w:r w:rsidRPr="002C0ECD">
        <w:rPr>
          <w:rFonts w:ascii="Palatino Linotype" w:hAnsi="Palatino Linotype" w:eastAsia="Times New Roman" w:cs="Times New Roman"/>
          <w:kern w:val="0"/>
          <w14:ligatures w14:val="none"/>
        </w:rPr>
        <w:t>While this Advice Letter does not request cost recovery authorization, PG&amp;E provides preliminary information regarding jurisdictional cost allocation. PG&amp;E anticipates that most of the new transmission infrastructure will fall under Federal Energy Regulatory Commission (FERC) jurisdiction and be recoverable through PG&amp;E’s Transmission Owner (TO) Formula Rate. A small portion of the facilities, including certain interconnection elements, may be subject to CPUC jurisdiction and addressed in future general rate cases or applications.</w:t>
      </w:r>
    </w:p>
    <w:p w:rsidRPr="007C2D81" w:rsidR="004140CF" w:rsidP="007C2D81" w:rsidRDefault="004140CF" w14:paraId="129C0E52" w14:textId="77777777">
      <w:pPr>
        <w:spacing w:after="0" w:line="240" w:lineRule="auto"/>
        <w:rPr>
          <w:rFonts w:ascii="Palatino Linotype" w:hAnsi="Palatino Linotype" w:eastAsia="Times New Roman" w:cs="Times New Roman"/>
          <w:kern w:val="0"/>
          <w14:ligatures w14:val="none"/>
        </w:rPr>
      </w:pPr>
    </w:p>
    <w:p w:rsidR="007C2D81" w:rsidP="007C2D81" w:rsidRDefault="007C2D81" w14:paraId="15016E6C" w14:textId="5097B402">
      <w:pPr>
        <w:spacing w:after="0" w:line="240" w:lineRule="auto"/>
        <w:rPr>
          <w:rFonts w:ascii="Palatino Linotype" w:hAnsi="Palatino Linotype" w:eastAsia="Times New Roman" w:cs="Times New Roman"/>
          <w:b/>
          <w:bCs/>
          <w:kern w:val="0"/>
          <w14:ligatures w14:val="none"/>
        </w:rPr>
      </w:pPr>
      <w:r w:rsidRPr="004140CF">
        <w:rPr>
          <w:rFonts w:ascii="Palatino Linotype" w:hAnsi="Palatino Linotype" w:eastAsia="Times New Roman" w:cs="Times New Roman"/>
          <w:b/>
          <w:bCs/>
          <w:kern w:val="0"/>
          <w14:ligatures w14:val="none"/>
        </w:rPr>
        <w:t xml:space="preserve">Prior </w:t>
      </w:r>
      <w:r w:rsidR="00032985">
        <w:rPr>
          <w:rFonts w:ascii="Palatino Linotype" w:hAnsi="Palatino Linotype" w:eastAsia="Times New Roman" w:cs="Times New Roman"/>
          <w:b/>
          <w:bCs/>
          <w:kern w:val="0"/>
          <w14:ligatures w14:val="none"/>
        </w:rPr>
        <w:t>Exceptional Case Filings for Large Transmission-Level Loads</w:t>
      </w:r>
    </w:p>
    <w:p w:rsidRPr="004140CF" w:rsidR="00EB2EAD" w:rsidP="007C2D81" w:rsidRDefault="00EB2EAD" w14:paraId="4081FBFC" w14:textId="77777777">
      <w:pPr>
        <w:spacing w:after="0" w:line="240" w:lineRule="auto"/>
        <w:rPr>
          <w:rFonts w:ascii="Palatino Linotype" w:hAnsi="Palatino Linotype" w:eastAsia="Times New Roman" w:cs="Times New Roman"/>
          <w:b/>
          <w:bCs/>
          <w:kern w:val="0"/>
          <w14:ligatures w14:val="none"/>
        </w:rPr>
      </w:pPr>
    </w:p>
    <w:p w:rsidR="007C2D81" w:rsidP="007C2D81" w:rsidRDefault="007C2D81" w14:paraId="72F5D4BC" w14:textId="4B3DEFC0">
      <w:pPr>
        <w:spacing w:after="0" w:line="240" w:lineRule="auto"/>
        <w:rPr>
          <w:rFonts w:ascii="Palatino Linotype" w:hAnsi="Palatino Linotype" w:eastAsia="Times New Roman" w:cs="Times New Roman"/>
          <w:kern w:val="0"/>
          <w14:ligatures w14:val="none"/>
        </w:rPr>
      </w:pPr>
      <w:r w:rsidRPr="007C2D81">
        <w:rPr>
          <w:rFonts w:ascii="Palatino Linotype" w:hAnsi="Palatino Linotype" w:eastAsia="Times New Roman" w:cs="Times New Roman"/>
          <w:kern w:val="0"/>
          <w14:ligatures w14:val="none"/>
        </w:rPr>
        <w:t>The Commission recently addressed similar exceptional case agreement</w:t>
      </w:r>
      <w:r w:rsidR="00472C42">
        <w:rPr>
          <w:rFonts w:ascii="Palatino Linotype" w:hAnsi="Palatino Linotype" w:eastAsia="Times New Roman" w:cs="Times New Roman"/>
          <w:kern w:val="0"/>
          <w14:ligatures w14:val="none"/>
        </w:rPr>
        <w:t>s</w:t>
      </w:r>
      <w:r w:rsidRPr="007C2D81">
        <w:rPr>
          <w:rFonts w:ascii="Palatino Linotype" w:hAnsi="Palatino Linotype" w:eastAsia="Times New Roman" w:cs="Times New Roman"/>
          <w:kern w:val="0"/>
          <w14:ligatures w14:val="none"/>
        </w:rPr>
        <w:t xml:space="preserve"> for transmission-level energization of large data center load</w:t>
      </w:r>
      <w:r w:rsidR="00472C42">
        <w:rPr>
          <w:rFonts w:ascii="Palatino Linotype" w:hAnsi="Palatino Linotype" w:eastAsia="Times New Roman" w:cs="Times New Roman"/>
          <w:kern w:val="0"/>
          <w14:ligatures w14:val="none"/>
        </w:rPr>
        <w:t>s</w:t>
      </w:r>
      <w:r w:rsidRPr="007C2D81">
        <w:rPr>
          <w:rFonts w:ascii="Palatino Linotype" w:hAnsi="Palatino Linotype" w:eastAsia="Times New Roman" w:cs="Times New Roman"/>
          <w:kern w:val="0"/>
          <w14:ligatures w14:val="none"/>
        </w:rPr>
        <w:t xml:space="preserve"> in Resolution E-5420</w:t>
      </w:r>
      <w:r w:rsidR="00F16253">
        <w:rPr>
          <w:rFonts w:ascii="Palatino Linotype" w:hAnsi="Palatino Linotype" w:eastAsia="Times New Roman" w:cs="Times New Roman"/>
          <w:kern w:val="0"/>
          <w14:ligatures w14:val="none"/>
        </w:rPr>
        <w:t>, Resolution E-5433</w:t>
      </w:r>
      <w:r w:rsidR="003576D2">
        <w:rPr>
          <w:rFonts w:ascii="Palatino Linotype" w:hAnsi="Palatino Linotype" w:eastAsia="Times New Roman" w:cs="Times New Roman"/>
          <w:kern w:val="0"/>
          <w14:ligatures w14:val="none"/>
        </w:rPr>
        <w:t xml:space="preserve"> and Resolution E-5439</w:t>
      </w:r>
      <w:r w:rsidRPr="007C2D81">
        <w:rPr>
          <w:rFonts w:ascii="Palatino Linotype" w:hAnsi="Palatino Linotype" w:eastAsia="Times New Roman" w:cs="Times New Roman"/>
          <w:kern w:val="0"/>
          <w14:ligatures w14:val="none"/>
        </w:rPr>
        <w:t xml:space="preserve">. </w:t>
      </w:r>
      <w:r w:rsidR="003576D2">
        <w:rPr>
          <w:rFonts w:ascii="Palatino Linotype" w:hAnsi="Palatino Linotype" w:eastAsia="Times New Roman" w:cs="Times New Roman"/>
          <w:kern w:val="0"/>
          <w14:ligatures w14:val="none"/>
        </w:rPr>
        <w:t xml:space="preserve">In </w:t>
      </w:r>
      <w:r w:rsidR="00F16253">
        <w:rPr>
          <w:rFonts w:ascii="Palatino Linotype" w:hAnsi="Palatino Linotype" w:eastAsia="Times New Roman" w:cs="Times New Roman"/>
          <w:kern w:val="0"/>
          <w14:ligatures w14:val="none"/>
        </w:rPr>
        <w:t xml:space="preserve">all </w:t>
      </w:r>
      <w:r w:rsidR="003576D2">
        <w:rPr>
          <w:rFonts w:ascii="Palatino Linotype" w:hAnsi="Palatino Linotype" w:eastAsia="Times New Roman" w:cs="Times New Roman"/>
          <w:kern w:val="0"/>
          <w14:ligatures w14:val="none"/>
        </w:rPr>
        <w:t xml:space="preserve">cases, the Commission </w:t>
      </w:r>
      <w:r w:rsidRPr="007C2D81">
        <w:rPr>
          <w:rFonts w:ascii="Palatino Linotype" w:hAnsi="Palatino Linotype" w:eastAsia="Times New Roman" w:cs="Times New Roman"/>
          <w:kern w:val="0"/>
          <w14:ligatures w14:val="none"/>
        </w:rPr>
        <w:t>approved PG&amp;E’s exceptional case filing with modifications, requiring additional ratepayer protection by limiting annual refunds to 75 percent of annual net revenues from the customer, recognizing that the standard BARC refund approach may refund large transmission-level customers too quickly.</w:t>
      </w:r>
    </w:p>
    <w:p w:rsidR="002A3DB6" w:rsidP="007C2D81" w:rsidRDefault="002A3DB6" w14:paraId="5EE1DE0B" w14:textId="77777777">
      <w:pPr>
        <w:spacing w:after="0" w:line="240" w:lineRule="auto"/>
        <w:rPr>
          <w:rFonts w:ascii="Palatino Linotype" w:hAnsi="Palatino Linotype" w:eastAsia="Times New Roman" w:cs="Times New Roman"/>
          <w:kern w:val="0"/>
          <w14:ligatures w14:val="none"/>
        </w:rPr>
      </w:pPr>
    </w:p>
    <w:p w:rsidR="002A3DB6" w:rsidP="0030610D" w:rsidRDefault="002A3DB6" w14:paraId="799C1155" w14:textId="77777777">
      <w:pPr>
        <w:keepNext/>
        <w:spacing w:after="0" w:line="240" w:lineRule="auto"/>
        <w:rPr>
          <w:rFonts w:ascii="Palatino Linotype" w:hAnsi="Palatino Linotype" w:eastAsia="Times New Roman" w:cs="Times New Roman"/>
          <w:b/>
          <w:bCs/>
          <w:kern w:val="0"/>
          <w14:ligatures w14:val="none"/>
        </w:rPr>
      </w:pPr>
      <w:r>
        <w:rPr>
          <w:rFonts w:ascii="Palatino Linotype" w:hAnsi="Palatino Linotype" w:eastAsia="Times New Roman" w:cs="Times New Roman"/>
          <w:b/>
          <w:bCs/>
          <w:kern w:val="0"/>
          <w14:ligatures w14:val="none"/>
        </w:rPr>
        <w:t>Rule 30 Application – A. 24-11-007</w:t>
      </w:r>
    </w:p>
    <w:p w:rsidR="002A3DB6" w:rsidP="0030610D" w:rsidRDefault="002A3DB6" w14:paraId="7351F505" w14:textId="77777777">
      <w:pPr>
        <w:keepNext/>
        <w:spacing w:after="0" w:line="240" w:lineRule="auto"/>
        <w:rPr>
          <w:rFonts w:ascii="Palatino Linotype" w:hAnsi="Palatino Linotype" w:eastAsia="Times New Roman" w:cs="Times New Roman"/>
          <w:b/>
          <w:bCs/>
          <w:kern w:val="0"/>
          <w14:ligatures w14:val="none"/>
        </w:rPr>
      </w:pPr>
    </w:p>
    <w:p w:rsidRPr="00C20344" w:rsidR="002A3DB6" w:rsidP="0030610D" w:rsidRDefault="002A3DB6" w14:paraId="2A31A67F" w14:textId="761ED886">
      <w:pPr>
        <w:keepNext/>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In A. 24-11-007, the Commission is currently considering a standard rule to address this kind of large-load energization at the transmission level for the PG&amp;E territory. On July 28, 2025, Decision 25-07-039 was issued in that proceeding, partly granting and partly denying PG&amp;E’s request for interim implementation of the proposed Rule 30.</w:t>
      </w:r>
      <w:r w:rsidR="00761418">
        <w:rPr>
          <w:rFonts w:ascii="Palatino Linotype" w:hAnsi="Palatino Linotype" w:eastAsia="Times New Roman" w:cs="Times New Roman"/>
          <w:kern w:val="0"/>
          <w14:ligatures w14:val="none"/>
        </w:rPr>
        <w:t xml:space="preserve"> </w:t>
      </w:r>
    </w:p>
    <w:p w:rsidR="002A3DB6" w:rsidP="007C2D81" w:rsidRDefault="002A3DB6" w14:paraId="7934CCA7" w14:textId="77777777">
      <w:pPr>
        <w:spacing w:after="0" w:line="240" w:lineRule="auto"/>
        <w:rPr>
          <w:rFonts w:ascii="Palatino Linotype" w:hAnsi="Palatino Linotype" w:eastAsia="Times New Roman" w:cs="Times New Roman"/>
          <w:kern w:val="0"/>
          <w14:ligatures w14:val="none"/>
        </w:rPr>
      </w:pPr>
    </w:p>
    <w:p w:rsidR="007C2D81" w:rsidP="007C2D81" w:rsidRDefault="007C2D81" w14:paraId="5BEF36A4" w14:textId="204D6FAA">
      <w:pPr>
        <w:spacing w:after="0" w:line="240" w:lineRule="auto"/>
        <w:rPr>
          <w:rFonts w:ascii="Palatino Linotype" w:hAnsi="Palatino Linotype" w:eastAsia="Times New Roman" w:cs="Times New Roman"/>
          <w:b/>
          <w:bCs/>
          <w:kern w:val="0"/>
          <w14:ligatures w14:val="none"/>
        </w:rPr>
      </w:pPr>
      <w:r w:rsidRPr="00917DF1">
        <w:rPr>
          <w:rFonts w:ascii="Palatino Linotype" w:hAnsi="Palatino Linotype" w:eastAsia="Times New Roman" w:cs="Times New Roman"/>
          <w:b/>
          <w:bCs/>
          <w:kern w:val="0"/>
          <w14:ligatures w14:val="none"/>
        </w:rPr>
        <w:t>Confidentiality</w:t>
      </w:r>
    </w:p>
    <w:p w:rsidRPr="00917DF1" w:rsidR="00EB2EAD" w:rsidP="007C2D81" w:rsidRDefault="00EB2EAD" w14:paraId="5E5E3884" w14:textId="77777777">
      <w:pPr>
        <w:spacing w:after="0" w:line="240" w:lineRule="auto"/>
        <w:rPr>
          <w:rFonts w:ascii="Palatino Linotype" w:hAnsi="Palatino Linotype" w:eastAsia="Times New Roman" w:cs="Times New Roman"/>
          <w:b/>
          <w:bCs/>
          <w:kern w:val="0"/>
          <w14:ligatures w14:val="none"/>
        </w:rPr>
      </w:pPr>
    </w:p>
    <w:p w:rsidR="00A76F4A" w:rsidP="007C2D81" w:rsidRDefault="007C2D81" w14:paraId="6B8C5E37" w14:textId="61F51219">
      <w:pPr>
        <w:spacing w:after="0" w:line="240" w:lineRule="auto"/>
        <w:rPr>
          <w:rFonts w:ascii="Palatino Linotype" w:hAnsi="Palatino Linotype" w:eastAsia="Times New Roman" w:cs="Times New Roman"/>
          <w:kern w:val="0"/>
          <w14:ligatures w14:val="none"/>
        </w:rPr>
      </w:pPr>
      <w:r w:rsidRPr="007C2D81">
        <w:rPr>
          <w:rFonts w:ascii="Palatino Linotype" w:hAnsi="Palatino Linotype" w:eastAsia="Times New Roman" w:cs="Times New Roman"/>
          <w:kern w:val="0"/>
          <w14:ligatures w14:val="none"/>
        </w:rPr>
        <w:t>PG&amp;E submitted the executed agreement and a summary of agreement terms as confidential attachments, stating that the agreement contains confidential customer information and negotiated commercial terms. This Resolution discusses confidential elements only in general terms.</w:t>
      </w:r>
    </w:p>
    <w:p w:rsidR="00EB2EAD" w:rsidP="007C2D81" w:rsidRDefault="00EB2EAD" w14:paraId="1785BB0E" w14:textId="77777777">
      <w:pPr>
        <w:spacing w:after="0" w:line="240" w:lineRule="auto"/>
        <w:rPr>
          <w:rFonts w:ascii="Palatino Linotype" w:hAnsi="Palatino Linotype" w:eastAsia="Palatino Linotype" w:cs="Times New Roman"/>
          <w:b/>
          <w:kern w:val="0"/>
          <w:u w:val="single"/>
          <w14:ligatures w14:val="none"/>
        </w:rPr>
      </w:pPr>
    </w:p>
    <w:p w:rsidRPr="001942D0" w:rsidR="00A76F4A" w:rsidP="00A76F4A" w:rsidRDefault="00A76F4A" w14:paraId="030741A5"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Notice</w:t>
      </w:r>
    </w:p>
    <w:p w:rsidR="00A76F4A" w:rsidP="00A76F4A" w:rsidRDefault="00A76F4A" w14:paraId="5E7465D3" w14:textId="44D4DC43">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Notice of AL </w:t>
      </w:r>
      <w:r w:rsidR="00E467F3">
        <w:rPr>
          <w:rFonts w:ascii="Palatino Linotype" w:hAnsi="Palatino Linotype" w:eastAsia="Palatino Linotype" w:cs="Times New Roman"/>
          <w:kern w:val="0"/>
          <w14:ligatures w14:val="none"/>
        </w:rPr>
        <w:t>7785-E</w:t>
      </w:r>
      <w:r w:rsidRPr="001942D0">
        <w:rPr>
          <w:rFonts w:ascii="Palatino Linotype" w:hAnsi="Palatino Linotype" w:eastAsia="Palatino Linotype" w:cs="Times New Roman"/>
          <w:kern w:val="0"/>
          <w14:ligatures w14:val="none"/>
        </w:rPr>
        <w:t xml:space="preserve"> was made by publication in the Commission’s Daily Calendar.  </w:t>
      </w:r>
      <w:r w:rsidR="00E20BC3">
        <w:rPr>
          <w:rFonts w:ascii="Palatino Linotype" w:hAnsi="Palatino Linotype" w:eastAsia="Palatino Linotype" w:cs="Times New Roman"/>
          <w:kern w:val="0"/>
          <w14:ligatures w14:val="none"/>
        </w:rPr>
        <w:t>Pacific Gas and Electric</w:t>
      </w:r>
      <w:r w:rsidRPr="001942D0">
        <w:rPr>
          <w:rFonts w:ascii="Palatino Linotype" w:hAnsi="Palatino Linotype" w:eastAsia="Palatino Linotype" w:cs="Times New Roman"/>
          <w:kern w:val="0"/>
          <w14:ligatures w14:val="none"/>
        </w:rPr>
        <w:t xml:space="preserve"> states that a copy of the Advice Letter was mailed and distributed in accordance with Section 4 of General Order 96-B. </w:t>
      </w:r>
    </w:p>
    <w:p w:rsidR="00A76F4A" w:rsidP="00A76F4A" w:rsidRDefault="00A76F4A" w14:paraId="327345AA" w14:textId="77777777">
      <w:pPr>
        <w:spacing w:after="0" w:line="240" w:lineRule="auto"/>
        <w:rPr>
          <w:rFonts w:ascii="Palatino Linotype" w:hAnsi="Palatino Linotype" w:eastAsia="Palatino Linotype" w:cs="Times New Roman"/>
          <w:kern w:val="0"/>
          <w14:ligatures w14:val="none"/>
        </w:rPr>
      </w:pPr>
    </w:p>
    <w:p w:rsidR="00A76F4A" w:rsidP="00A76F4A" w:rsidRDefault="00A76F4A" w14:paraId="3DC7474D"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Protests</w:t>
      </w:r>
    </w:p>
    <w:p w:rsidR="00A76F4A" w:rsidP="00A76F4A" w:rsidRDefault="007C542F" w14:paraId="68DF9CC3" w14:textId="401C8F3E">
      <w:pPr>
        <w:spacing w:after="0" w:line="240" w:lineRule="auto"/>
        <w:rPr>
          <w:rFonts w:ascii="Palatino Linotype" w:hAnsi="Palatino Linotype" w:eastAsia="Palatino Linotype" w:cs="Times New Roman"/>
          <w:kern w:val="0"/>
          <w14:ligatures w14:val="none"/>
        </w:rPr>
      </w:pPr>
      <w:r w:rsidRPr="003A1469">
        <w:rPr>
          <w:rFonts w:ascii="Palatino Linotype" w:hAnsi="Palatino Linotype" w:eastAsia="Palatino Linotype" w:cs="Times New Roman"/>
          <w:kern w:val="0"/>
          <w14:ligatures w14:val="none"/>
        </w:rPr>
        <w:t>PG&amp;E</w:t>
      </w:r>
      <w:r w:rsidRPr="003A1469" w:rsidR="00A76F4A">
        <w:rPr>
          <w:rFonts w:ascii="Palatino Linotype" w:hAnsi="Palatino Linotype" w:eastAsia="Palatino Linotype" w:cs="Times New Roman"/>
          <w:kern w:val="0"/>
          <w14:ligatures w14:val="none"/>
        </w:rPr>
        <w:t>’s Advice</w:t>
      </w:r>
      <w:r w:rsidRPr="001942D0" w:rsidR="00A76F4A">
        <w:rPr>
          <w:rFonts w:ascii="Palatino Linotype" w:hAnsi="Palatino Linotype" w:eastAsia="Palatino Linotype" w:cs="Times New Roman"/>
          <w:kern w:val="0"/>
          <w14:ligatures w14:val="none"/>
        </w:rPr>
        <w:t xml:space="preserve"> Letter </w:t>
      </w:r>
      <w:r>
        <w:rPr>
          <w:rFonts w:ascii="Palatino Linotype" w:hAnsi="Palatino Linotype" w:eastAsia="Palatino Linotype" w:cs="Times New Roman"/>
          <w:kern w:val="0"/>
          <w14:ligatures w14:val="none"/>
        </w:rPr>
        <w:t>7785-E</w:t>
      </w:r>
      <w:r w:rsidRPr="001942D0" w:rsidR="00A76F4A">
        <w:rPr>
          <w:rFonts w:ascii="Palatino Linotype" w:hAnsi="Palatino Linotype" w:eastAsia="Palatino Linotype" w:cs="Times New Roman"/>
          <w:kern w:val="0"/>
          <w14:ligatures w14:val="none"/>
        </w:rPr>
        <w:t xml:space="preserve"> was timely protested by </w:t>
      </w:r>
      <w:r w:rsidR="006018DB">
        <w:rPr>
          <w:rFonts w:ascii="Palatino Linotype" w:hAnsi="Palatino Linotype" w:eastAsia="Palatino Linotype" w:cs="Times New Roman"/>
          <w:kern w:val="0"/>
          <w14:ligatures w14:val="none"/>
        </w:rPr>
        <w:t>Imel Enterprises</w:t>
      </w:r>
      <w:r w:rsidR="00FA7536">
        <w:rPr>
          <w:rFonts w:ascii="Palatino Linotype" w:hAnsi="Palatino Linotype" w:eastAsia="Palatino Linotype" w:cs="Times New Roman"/>
          <w:kern w:val="0"/>
          <w14:ligatures w14:val="none"/>
        </w:rPr>
        <w:t xml:space="preserve">, LLC (Imel) on January 6, 2026 and by </w:t>
      </w:r>
      <w:r w:rsidR="00045E53">
        <w:rPr>
          <w:rFonts w:ascii="Palatino Linotype" w:hAnsi="Palatino Linotype" w:eastAsia="Palatino Linotype" w:cs="Times New Roman"/>
          <w:kern w:val="0"/>
          <w14:ligatures w14:val="none"/>
        </w:rPr>
        <w:t xml:space="preserve">the Public Advocates Office (Cal Advocates) </w:t>
      </w:r>
      <w:r w:rsidR="006018DB">
        <w:rPr>
          <w:rFonts w:ascii="Palatino Linotype" w:hAnsi="Palatino Linotype" w:eastAsia="Palatino Linotype" w:cs="Times New Roman"/>
          <w:kern w:val="0"/>
          <w14:ligatures w14:val="none"/>
        </w:rPr>
        <w:t>on January 7, 2026</w:t>
      </w:r>
      <w:r w:rsidRPr="001942D0" w:rsidR="00A76F4A">
        <w:rPr>
          <w:rFonts w:ascii="Palatino Linotype" w:hAnsi="Palatino Linotype" w:eastAsia="Palatino Linotype" w:cs="Times New Roman"/>
          <w:kern w:val="0"/>
          <w14:ligatures w14:val="none"/>
        </w:rPr>
        <w:t xml:space="preserve">.  </w:t>
      </w:r>
      <w:r w:rsidR="00F26535">
        <w:rPr>
          <w:rFonts w:ascii="Palatino Linotype" w:hAnsi="Palatino Linotype" w:eastAsia="Palatino Linotype" w:cs="Times New Roman"/>
          <w:kern w:val="0"/>
          <w14:ligatures w14:val="none"/>
        </w:rPr>
        <w:t xml:space="preserve">PG&amp;E responded to the protests on </w:t>
      </w:r>
      <w:r w:rsidR="00737E72">
        <w:rPr>
          <w:rFonts w:ascii="Palatino Linotype" w:hAnsi="Palatino Linotype" w:eastAsia="Palatino Linotype" w:cs="Times New Roman"/>
          <w:kern w:val="0"/>
          <w14:ligatures w14:val="none"/>
        </w:rPr>
        <w:t>January 14, 2026</w:t>
      </w:r>
      <w:r w:rsidR="00F26535">
        <w:rPr>
          <w:rFonts w:ascii="Palatino Linotype" w:hAnsi="Palatino Linotype" w:eastAsia="Palatino Linotype" w:cs="Times New Roman"/>
          <w:kern w:val="0"/>
          <w14:ligatures w14:val="none"/>
        </w:rPr>
        <w:t>.</w:t>
      </w:r>
    </w:p>
    <w:p w:rsidR="00A76F4A" w:rsidP="00A76F4A" w:rsidRDefault="00A76F4A" w14:paraId="658DCAAA" w14:textId="77777777">
      <w:pPr>
        <w:spacing w:after="0" w:line="240" w:lineRule="auto"/>
        <w:rPr>
          <w:rFonts w:ascii="Palatino Linotype" w:hAnsi="Palatino Linotype" w:eastAsia="Palatino Linotype" w:cs="Times New Roman"/>
          <w:kern w:val="0"/>
          <w14:ligatures w14:val="none"/>
        </w:rPr>
      </w:pPr>
    </w:p>
    <w:p w:rsidR="009F7028" w:rsidP="009F7028" w:rsidRDefault="009F7028" w14:paraId="44D6FAF0" w14:textId="77777777">
      <w:pPr>
        <w:spacing w:after="0" w:line="240" w:lineRule="auto"/>
        <w:rPr>
          <w:rFonts w:ascii="Palatino Linotype" w:hAnsi="Palatino Linotype" w:eastAsia="Palatino Linotype" w:cs="Times New Roman"/>
          <w:b/>
          <w:bCs/>
          <w:kern w:val="0"/>
          <w14:ligatures w14:val="none"/>
        </w:rPr>
      </w:pPr>
      <w:r w:rsidRPr="009F7028">
        <w:rPr>
          <w:rFonts w:ascii="Palatino Linotype" w:hAnsi="Palatino Linotype" w:eastAsia="Palatino Linotype" w:cs="Times New Roman"/>
          <w:b/>
          <w:bCs/>
          <w:kern w:val="0"/>
          <w14:ligatures w14:val="none"/>
        </w:rPr>
        <w:t>Cal Advocates Protest — January 7, 2026</w:t>
      </w:r>
    </w:p>
    <w:p w:rsidRPr="009F7028" w:rsidR="00B87F78" w:rsidP="009F7028" w:rsidRDefault="00B87F78" w14:paraId="560AAC54" w14:textId="77777777">
      <w:pPr>
        <w:spacing w:after="0" w:line="240" w:lineRule="auto"/>
        <w:rPr>
          <w:rFonts w:ascii="Palatino Linotype" w:hAnsi="Palatino Linotype" w:eastAsia="Palatino Linotype" w:cs="Times New Roman"/>
          <w:b/>
          <w:bCs/>
          <w:kern w:val="0"/>
          <w14:ligatures w14:val="none"/>
        </w:rPr>
      </w:pPr>
    </w:p>
    <w:p w:rsidR="009F7028" w:rsidP="009F7028" w:rsidRDefault="009F7028" w14:paraId="06659C49" w14:textId="71DA742A">
      <w:pPr>
        <w:spacing w:after="0" w:line="240" w:lineRule="auto"/>
        <w:rPr>
          <w:rFonts w:ascii="Palatino Linotype" w:hAnsi="Palatino Linotype" w:eastAsia="Palatino Linotype" w:cs="Times New Roman"/>
          <w:kern w:val="0"/>
          <w14:ligatures w14:val="none"/>
        </w:rPr>
      </w:pPr>
      <w:r w:rsidRPr="009F7028">
        <w:rPr>
          <w:rFonts w:ascii="Palatino Linotype" w:hAnsi="Palatino Linotype" w:eastAsia="Palatino Linotype" w:cs="Times New Roman"/>
          <w:kern w:val="0"/>
          <w14:ligatures w14:val="none"/>
        </w:rPr>
        <w:t>Cal Advocates protests approval of the agreement without modifications, arguing that the proposed refund methodology and applicant-build provisions create unreasonable risks of improper cost shifts to ratepayers. Cal Advocates requests that the Commission require a refund methodology consistent with Resolution E-5420</w:t>
      </w:r>
      <w:r w:rsidR="00784A30">
        <w:rPr>
          <w:rFonts w:ascii="Palatino Linotype" w:hAnsi="Palatino Linotype" w:eastAsia="Palatino Linotype" w:cs="Times New Roman"/>
          <w:kern w:val="0"/>
          <w14:ligatures w14:val="none"/>
        </w:rPr>
        <w:t xml:space="preserve"> and Resolution E-5439</w:t>
      </w:r>
      <w:r w:rsidRPr="009F7028">
        <w:rPr>
          <w:rFonts w:ascii="Palatino Linotype" w:hAnsi="Palatino Linotype" w:eastAsia="Palatino Linotype" w:cs="Times New Roman"/>
          <w:kern w:val="0"/>
          <w14:ligatures w14:val="none"/>
        </w:rPr>
        <w:t xml:space="preserve">, including limiting annual refunds to 75 percent of annual net revenues received from the customer, with the refund calculation adjusted for the Income Tax Component of Contribution (ITCC), and extending the refund eligibility period from 10 years to </w:t>
      </w:r>
      <w:r w:rsidR="0030610D">
        <w:rPr>
          <w:rFonts w:ascii="Palatino Linotype" w:hAnsi="Palatino Linotype" w:eastAsia="Palatino Linotype" w:cs="Times New Roman"/>
          <w:kern w:val="0"/>
          <w14:ligatures w14:val="none"/>
        </w:rPr>
        <w:br/>
      </w:r>
      <w:r w:rsidRPr="009F7028">
        <w:rPr>
          <w:rFonts w:ascii="Palatino Linotype" w:hAnsi="Palatino Linotype" w:eastAsia="Palatino Linotype" w:cs="Times New Roman"/>
          <w:kern w:val="0"/>
          <w14:ligatures w14:val="none"/>
        </w:rPr>
        <w:t xml:space="preserve">15 years so the customer may still receive a full refund over time. Cal Advocates contends that using the standard Base Annual Revenue Calculation (BARC) refund approach for a large transmission-level data center could result in refunds occurring well before net revenues actually received from the customer cover energization-related costs, particularly because transmission-level customers pay different rates than distribution customers on which the standard BARC approach is based. Cal Advocates also references the Newark–NRS 230 </w:t>
      </w:r>
      <w:r w:rsidR="008771A8">
        <w:rPr>
          <w:rFonts w:ascii="Palatino Linotype" w:hAnsi="Palatino Linotype" w:eastAsia="Palatino Linotype" w:cs="Times New Roman"/>
          <w:kern w:val="0"/>
          <w14:ligatures w14:val="none"/>
        </w:rPr>
        <w:t>kilo</w:t>
      </w:r>
      <w:r w:rsidR="003D1DBD">
        <w:rPr>
          <w:rFonts w:ascii="Palatino Linotype" w:hAnsi="Palatino Linotype" w:eastAsia="Palatino Linotype" w:cs="Times New Roman"/>
          <w:kern w:val="0"/>
          <w14:ligatures w14:val="none"/>
        </w:rPr>
        <w:t>volt (</w:t>
      </w:r>
      <w:r w:rsidRPr="009F7028">
        <w:rPr>
          <w:rFonts w:ascii="Palatino Linotype" w:hAnsi="Palatino Linotype" w:eastAsia="Palatino Linotype" w:cs="Times New Roman"/>
          <w:kern w:val="0"/>
          <w14:ligatures w14:val="none"/>
        </w:rPr>
        <w:t>kV</w:t>
      </w:r>
      <w:r w:rsidR="003D1DBD">
        <w:rPr>
          <w:rFonts w:ascii="Palatino Linotype" w:hAnsi="Palatino Linotype" w:eastAsia="Palatino Linotype" w:cs="Times New Roman"/>
          <w:kern w:val="0"/>
          <w14:ligatures w14:val="none"/>
        </w:rPr>
        <w:t>)</w:t>
      </w:r>
      <w:r w:rsidRPr="009F7028">
        <w:rPr>
          <w:rFonts w:ascii="Palatino Linotype" w:hAnsi="Palatino Linotype" w:eastAsia="Palatino Linotype" w:cs="Times New Roman"/>
          <w:kern w:val="0"/>
          <w14:ligatures w14:val="none"/>
        </w:rPr>
        <w:t xml:space="preserve"> transmission line project as context for broader transmission network impacts and argues that the size of Google’s 250 MW load further supports additional ratepayer protections.</w:t>
      </w:r>
      <w:r w:rsidR="003D72FC">
        <w:rPr>
          <w:rFonts w:ascii="Palatino Linotype" w:hAnsi="Palatino Linotype" w:eastAsia="Palatino Linotype" w:cs="Times New Roman"/>
          <w:kern w:val="0"/>
          <w14:ligatures w14:val="none"/>
        </w:rPr>
        <w:t xml:space="preserve"> Cal Advocates notes that </w:t>
      </w:r>
      <w:r w:rsidR="00F978E6">
        <w:rPr>
          <w:rFonts w:ascii="Palatino Linotype" w:hAnsi="Palatino Linotype" w:eastAsia="Palatino Linotype" w:cs="Times New Roman"/>
          <w:kern w:val="0"/>
          <w14:ligatures w14:val="none"/>
        </w:rPr>
        <w:t xml:space="preserve">the </w:t>
      </w:r>
      <w:r w:rsidR="007D5189">
        <w:rPr>
          <w:rFonts w:ascii="Palatino Linotype" w:hAnsi="Palatino Linotype" w:eastAsia="Palatino Linotype" w:cs="Times New Roman"/>
          <w:kern w:val="0"/>
          <w14:ligatures w14:val="none"/>
        </w:rPr>
        <w:t xml:space="preserve">Newark-NRS 230 kV transmission line </w:t>
      </w:r>
      <w:r w:rsidR="005F7306">
        <w:rPr>
          <w:rFonts w:ascii="Palatino Linotype" w:hAnsi="Palatino Linotype" w:eastAsia="Palatino Linotype" w:cs="Times New Roman"/>
          <w:kern w:val="0"/>
          <w14:ligatures w14:val="none"/>
        </w:rPr>
        <w:t xml:space="preserve">to which the new Google load would connect </w:t>
      </w:r>
      <w:r w:rsidR="007D5189">
        <w:rPr>
          <w:rFonts w:ascii="Palatino Linotype" w:hAnsi="Palatino Linotype" w:eastAsia="Palatino Linotype" w:cs="Times New Roman"/>
          <w:kern w:val="0"/>
          <w14:ligatures w14:val="none"/>
        </w:rPr>
        <w:t xml:space="preserve">is </w:t>
      </w:r>
      <w:r w:rsidR="005F7306">
        <w:rPr>
          <w:rFonts w:ascii="Palatino Linotype" w:hAnsi="Palatino Linotype" w:eastAsia="Palatino Linotype" w:cs="Times New Roman"/>
          <w:kern w:val="0"/>
          <w14:ligatures w14:val="none"/>
        </w:rPr>
        <w:t>an</w:t>
      </w:r>
      <w:r w:rsidR="007D5189">
        <w:rPr>
          <w:rFonts w:ascii="Palatino Linotype" w:hAnsi="Palatino Linotype" w:eastAsia="Palatino Linotype" w:cs="Times New Roman"/>
          <w:kern w:val="0"/>
          <w14:ligatures w14:val="none"/>
        </w:rPr>
        <w:t xml:space="preserve"> approximately $1 billion project, </w:t>
      </w:r>
      <w:r w:rsidR="005F7306">
        <w:rPr>
          <w:rFonts w:ascii="Palatino Linotype" w:hAnsi="Palatino Linotype" w:eastAsia="Palatino Linotype" w:cs="Times New Roman"/>
          <w:kern w:val="0"/>
          <w14:ligatures w14:val="none"/>
        </w:rPr>
        <w:t xml:space="preserve">currently under construction, </w:t>
      </w:r>
      <w:r w:rsidR="007D5189">
        <w:rPr>
          <w:rFonts w:ascii="Palatino Linotype" w:hAnsi="Palatino Linotype" w:eastAsia="Palatino Linotype" w:cs="Times New Roman"/>
          <w:kern w:val="0"/>
          <w14:ligatures w14:val="none"/>
        </w:rPr>
        <w:t>with potential revenue requirement of $100 million per year</w:t>
      </w:r>
      <w:r w:rsidR="009566DE">
        <w:rPr>
          <w:rFonts w:ascii="Palatino Linotype" w:hAnsi="Palatino Linotype" w:eastAsia="Palatino Linotype" w:cs="Times New Roman"/>
          <w:kern w:val="0"/>
          <w14:ligatures w14:val="none"/>
        </w:rPr>
        <w:t xml:space="preserve"> (decreasing to $40 million per year after 40 years).</w:t>
      </w:r>
      <w:r w:rsidR="009566DE">
        <w:rPr>
          <w:rStyle w:val="FootnoteReference"/>
          <w:rFonts w:ascii="Palatino Linotype" w:hAnsi="Palatino Linotype" w:eastAsia="Palatino Linotype" w:cs="Times New Roman"/>
          <w:kern w:val="0"/>
          <w14:ligatures w14:val="none"/>
        </w:rPr>
        <w:footnoteReference w:id="4"/>
      </w:r>
      <w:r w:rsidR="00F978E6">
        <w:rPr>
          <w:rFonts w:ascii="Palatino Linotype" w:hAnsi="Palatino Linotype" w:eastAsia="Palatino Linotype" w:cs="Times New Roman"/>
          <w:kern w:val="0"/>
          <w14:ligatures w14:val="none"/>
        </w:rPr>
        <w:t xml:space="preserve"> </w:t>
      </w:r>
    </w:p>
    <w:p w:rsidRPr="009F7028" w:rsidR="00B87F78" w:rsidP="009F7028" w:rsidRDefault="00B87F78" w14:paraId="7E2CC707" w14:textId="77777777">
      <w:pPr>
        <w:spacing w:after="0" w:line="240" w:lineRule="auto"/>
        <w:rPr>
          <w:rFonts w:ascii="Palatino Linotype" w:hAnsi="Palatino Linotype" w:eastAsia="Palatino Linotype" w:cs="Times New Roman"/>
          <w:kern w:val="0"/>
          <w14:ligatures w14:val="none"/>
        </w:rPr>
      </w:pPr>
    </w:p>
    <w:p w:rsidR="009F7028" w:rsidP="009F7028" w:rsidRDefault="009F7028" w14:paraId="032960DC" w14:textId="5006449A">
      <w:pPr>
        <w:spacing w:after="0" w:line="240" w:lineRule="auto"/>
        <w:rPr>
          <w:rFonts w:ascii="Palatino Linotype" w:hAnsi="Palatino Linotype" w:eastAsia="Palatino Linotype" w:cs="Times New Roman"/>
          <w:kern w:val="0"/>
          <w14:ligatures w14:val="none"/>
        </w:rPr>
      </w:pPr>
      <w:r w:rsidRPr="009F7028">
        <w:rPr>
          <w:rFonts w:ascii="Palatino Linotype" w:hAnsi="Palatino Linotype" w:eastAsia="Palatino Linotype" w:cs="Times New Roman"/>
          <w:kern w:val="0"/>
          <w14:ligatures w14:val="none"/>
        </w:rPr>
        <w:lastRenderedPageBreak/>
        <w:t xml:space="preserve">Cal Advocates further raises concerns regarding cost accounting and the proposed binding cost estimate for applicant-build work. Cal Advocates requests, </w:t>
      </w:r>
      <w:r w:rsidR="00CA1C51">
        <w:rPr>
          <w:rFonts w:ascii="Palatino Linotype" w:hAnsi="Palatino Linotype" w:eastAsia="Palatino Linotype" w:cs="Times New Roman"/>
          <w:kern w:val="0"/>
          <w14:ligatures w14:val="none"/>
        </w:rPr>
        <w:t>in summary</w:t>
      </w:r>
      <w:r w:rsidRPr="009F7028">
        <w:rPr>
          <w:rFonts w:ascii="Palatino Linotype" w:hAnsi="Palatino Linotype" w:eastAsia="Palatino Linotype" w:cs="Times New Roman"/>
          <w:kern w:val="0"/>
          <w14:ligatures w14:val="none"/>
        </w:rPr>
        <w:t>, that: (1) PG&amp;E oversight and inspection costs should not be refundable; (2) the final binding cost estimate should be provided to the Commission for review; (3) refundable Standard Facilities and non-refundable Special Facilities should be treated separately in calculating the binding cost estimate so the refundable cap is clear; and (4) the agreement should not allow an excessive level of contingency to be included in the refundable cap. Cal Advocates also proposes that the binding cost estimate for refundable Standard Facilities should be set in a manner that reasonably constrains the refundable amount relative to PG&amp;E’s and the customer’s estimates, and that the estimate should be supported by clear cost-accounting details. Cal Advocates alternatively requests that the Commission require PG&amp;E to use interim Electric Rule 30 implementation agreements rather than proceeding under Electric Rules 2, 15, and 16 for this project.</w:t>
      </w:r>
    </w:p>
    <w:p w:rsidRPr="009F7028" w:rsidR="00B87F78" w:rsidP="009F7028" w:rsidRDefault="00B87F78" w14:paraId="1DBD5088" w14:textId="77777777">
      <w:pPr>
        <w:spacing w:after="0" w:line="240" w:lineRule="auto"/>
        <w:rPr>
          <w:rFonts w:ascii="Palatino Linotype" w:hAnsi="Palatino Linotype" w:eastAsia="Palatino Linotype" w:cs="Times New Roman"/>
          <w:kern w:val="0"/>
          <w14:ligatures w14:val="none"/>
        </w:rPr>
      </w:pPr>
    </w:p>
    <w:p w:rsidRPr="00B87F78" w:rsidR="009F7028" w:rsidP="009F7028" w:rsidRDefault="009F7028" w14:paraId="65757E35" w14:textId="77777777">
      <w:pPr>
        <w:spacing w:after="0" w:line="240" w:lineRule="auto"/>
        <w:rPr>
          <w:rFonts w:ascii="Palatino Linotype" w:hAnsi="Palatino Linotype" w:eastAsia="Palatino Linotype" w:cs="Times New Roman"/>
          <w:b/>
          <w:bCs/>
          <w:kern w:val="0"/>
          <w14:ligatures w14:val="none"/>
        </w:rPr>
      </w:pPr>
      <w:r w:rsidRPr="00B87F78">
        <w:rPr>
          <w:rFonts w:ascii="Palatino Linotype" w:hAnsi="Palatino Linotype" w:eastAsia="Palatino Linotype" w:cs="Times New Roman"/>
          <w:b/>
          <w:bCs/>
          <w:kern w:val="0"/>
          <w14:ligatures w14:val="none"/>
        </w:rPr>
        <w:t>Imel Protest — January 6, 2026</w:t>
      </w:r>
    </w:p>
    <w:p w:rsidRPr="009F7028" w:rsidR="00B87F78" w:rsidP="009F7028" w:rsidRDefault="00B87F78" w14:paraId="3198ED54" w14:textId="77777777">
      <w:pPr>
        <w:spacing w:after="0" w:line="240" w:lineRule="auto"/>
        <w:rPr>
          <w:rFonts w:ascii="Palatino Linotype" w:hAnsi="Palatino Linotype" w:eastAsia="Palatino Linotype" w:cs="Times New Roman"/>
          <w:kern w:val="0"/>
          <w14:ligatures w14:val="none"/>
        </w:rPr>
      </w:pPr>
    </w:p>
    <w:p w:rsidR="009F7028" w:rsidP="009F7028" w:rsidRDefault="009F7028" w14:paraId="6777B07D" w14:textId="099F32D4">
      <w:pPr>
        <w:spacing w:after="0" w:line="240" w:lineRule="auto"/>
        <w:rPr>
          <w:rFonts w:ascii="Palatino Linotype" w:hAnsi="Palatino Linotype" w:eastAsia="Palatino Linotype" w:cs="Times New Roman"/>
          <w:kern w:val="0"/>
          <w14:ligatures w14:val="none"/>
        </w:rPr>
      </w:pPr>
      <w:r w:rsidRPr="009F7028">
        <w:rPr>
          <w:rFonts w:ascii="Palatino Linotype" w:hAnsi="Palatino Linotype" w:eastAsia="Palatino Linotype" w:cs="Times New Roman"/>
          <w:kern w:val="0"/>
          <w14:ligatures w14:val="none"/>
        </w:rPr>
        <w:t xml:space="preserve">Imel protests the AL on the grounds that PG&amp;E’s filing allegedly lacks sufficient technical and cost </w:t>
      </w:r>
      <w:r w:rsidRPr="009F7028" w:rsidR="00394F01">
        <w:rPr>
          <w:rFonts w:ascii="Palatino Linotype" w:hAnsi="Palatino Linotype" w:eastAsia="Palatino Linotype" w:cs="Times New Roman"/>
          <w:kern w:val="0"/>
          <w14:ligatures w14:val="none"/>
        </w:rPr>
        <w:t>details</w:t>
      </w:r>
      <w:r w:rsidRPr="009F7028">
        <w:rPr>
          <w:rFonts w:ascii="Palatino Linotype" w:hAnsi="Palatino Linotype" w:eastAsia="Palatino Linotype" w:cs="Times New Roman"/>
          <w:kern w:val="0"/>
          <w14:ligatures w14:val="none"/>
        </w:rPr>
        <w:t xml:space="preserve"> to determine whether the agreement is equitable</w:t>
      </w:r>
      <w:r w:rsidR="00CC10C8">
        <w:rPr>
          <w:rFonts w:ascii="Palatino Linotype" w:hAnsi="Palatino Linotype" w:eastAsia="Palatino Linotype" w:cs="Times New Roman"/>
          <w:kern w:val="0"/>
          <w14:ligatures w14:val="none"/>
        </w:rPr>
        <w:t xml:space="preserve"> to all parties</w:t>
      </w:r>
      <w:r w:rsidRPr="009F7028">
        <w:rPr>
          <w:rFonts w:ascii="Palatino Linotype" w:hAnsi="Palatino Linotype" w:eastAsia="Palatino Linotype" w:cs="Times New Roman"/>
          <w:kern w:val="0"/>
          <w14:ligatures w14:val="none"/>
        </w:rPr>
        <w:t xml:space="preserve">, and requests that the agreement be made available to the public in redacted form rather than treated as confidential. </w:t>
      </w:r>
    </w:p>
    <w:p w:rsidRPr="009F7028" w:rsidR="00B87F78" w:rsidP="009F7028" w:rsidRDefault="00B87F78" w14:paraId="63A78061" w14:textId="77777777">
      <w:pPr>
        <w:spacing w:after="0" w:line="240" w:lineRule="auto"/>
        <w:rPr>
          <w:rFonts w:ascii="Palatino Linotype" w:hAnsi="Palatino Linotype" w:eastAsia="Palatino Linotype" w:cs="Times New Roman"/>
          <w:kern w:val="0"/>
          <w14:ligatures w14:val="none"/>
        </w:rPr>
      </w:pPr>
    </w:p>
    <w:p w:rsidRPr="00B87F78" w:rsidR="009F7028" w:rsidP="009F7028" w:rsidRDefault="009F7028" w14:paraId="75BA9834" w14:textId="77777777">
      <w:pPr>
        <w:spacing w:after="0" w:line="240" w:lineRule="auto"/>
        <w:rPr>
          <w:rFonts w:ascii="Palatino Linotype" w:hAnsi="Palatino Linotype" w:eastAsia="Palatino Linotype" w:cs="Times New Roman"/>
          <w:b/>
          <w:bCs/>
          <w:kern w:val="0"/>
          <w14:ligatures w14:val="none"/>
        </w:rPr>
      </w:pPr>
      <w:r w:rsidRPr="00B87F78">
        <w:rPr>
          <w:rFonts w:ascii="Palatino Linotype" w:hAnsi="Palatino Linotype" w:eastAsia="Palatino Linotype" w:cs="Times New Roman"/>
          <w:b/>
          <w:bCs/>
          <w:kern w:val="0"/>
          <w14:ligatures w14:val="none"/>
        </w:rPr>
        <w:t>PG&amp;E Reply — January 14, 2026</w:t>
      </w:r>
    </w:p>
    <w:p w:rsidRPr="009F7028" w:rsidR="00B87F78" w:rsidP="009F7028" w:rsidRDefault="00B87F78" w14:paraId="71081646" w14:textId="77777777">
      <w:pPr>
        <w:spacing w:after="0" w:line="240" w:lineRule="auto"/>
        <w:rPr>
          <w:rFonts w:ascii="Palatino Linotype" w:hAnsi="Palatino Linotype" w:eastAsia="Palatino Linotype" w:cs="Times New Roman"/>
          <w:kern w:val="0"/>
          <w14:ligatures w14:val="none"/>
        </w:rPr>
      </w:pPr>
    </w:p>
    <w:p w:rsidR="009F7028" w:rsidP="009F7028" w:rsidRDefault="009F7028" w14:paraId="126DF935" w14:textId="4BF8BF55">
      <w:pPr>
        <w:spacing w:after="0" w:line="240" w:lineRule="auto"/>
        <w:rPr>
          <w:rFonts w:ascii="Palatino Linotype" w:hAnsi="Palatino Linotype" w:eastAsia="Palatino Linotype" w:cs="Times New Roman"/>
          <w:kern w:val="0"/>
          <w14:ligatures w14:val="none"/>
        </w:rPr>
      </w:pPr>
      <w:r w:rsidRPr="009F7028">
        <w:rPr>
          <w:rFonts w:ascii="Palatino Linotype" w:hAnsi="Palatino Linotype" w:eastAsia="Palatino Linotype" w:cs="Times New Roman"/>
          <w:kern w:val="0"/>
          <w14:ligatures w14:val="none"/>
        </w:rPr>
        <w:t xml:space="preserve">PG&amp;E’s reply responds to both protests. </w:t>
      </w:r>
      <w:r w:rsidR="0086579C">
        <w:rPr>
          <w:rFonts w:ascii="Palatino Linotype" w:hAnsi="Palatino Linotype" w:eastAsia="Palatino Linotype" w:cs="Times New Roman"/>
          <w:kern w:val="0"/>
          <w14:ligatures w14:val="none"/>
        </w:rPr>
        <w:t>Responding to</w:t>
      </w:r>
      <w:r w:rsidRPr="009F7028">
        <w:rPr>
          <w:rFonts w:ascii="Palatino Linotype" w:hAnsi="Palatino Linotype" w:eastAsia="Palatino Linotype" w:cs="Times New Roman"/>
          <w:kern w:val="0"/>
          <w14:ligatures w14:val="none"/>
        </w:rPr>
        <w:t xml:space="preserve"> Cal Advocates, PG&amp;E addresses five main issues raised in </w:t>
      </w:r>
      <w:r w:rsidR="0086579C">
        <w:rPr>
          <w:rFonts w:ascii="Palatino Linotype" w:hAnsi="Palatino Linotype" w:eastAsia="Palatino Linotype" w:cs="Times New Roman"/>
          <w:kern w:val="0"/>
          <w14:ligatures w14:val="none"/>
        </w:rPr>
        <w:t>its</w:t>
      </w:r>
      <w:r w:rsidRPr="009F7028">
        <w:rPr>
          <w:rFonts w:ascii="Palatino Linotype" w:hAnsi="Palatino Linotype" w:eastAsia="Palatino Linotype" w:cs="Times New Roman"/>
          <w:kern w:val="0"/>
          <w14:ligatures w14:val="none"/>
        </w:rPr>
        <w:t xml:space="preserve"> protest: </w:t>
      </w:r>
      <w:r w:rsidR="0086579C">
        <w:rPr>
          <w:rFonts w:ascii="Palatino Linotype" w:hAnsi="Palatino Linotype" w:eastAsia="Palatino Linotype" w:cs="Times New Roman"/>
          <w:kern w:val="0"/>
          <w14:ligatures w14:val="none"/>
        </w:rPr>
        <w:t xml:space="preserve">(1) </w:t>
      </w:r>
      <w:r w:rsidRPr="009F7028">
        <w:rPr>
          <w:rFonts w:ascii="Palatino Linotype" w:hAnsi="Palatino Linotype" w:eastAsia="Palatino Linotype" w:cs="Times New Roman"/>
          <w:kern w:val="0"/>
          <w14:ligatures w14:val="none"/>
        </w:rPr>
        <w:t xml:space="preserve">the refund methodology, </w:t>
      </w:r>
      <w:r w:rsidR="00E65512">
        <w:rPr>
          <w:rFonts w:ascii="Palatino Linotype" w:hAnsi="Palatino Linotype" w:eastAsia="Palatino Linotype" w:cs="Times New Roman"/>
          <w:kern w:val="0"/>
          <w14:ligatures w14:val="none"/>
        </w:rPr>
        <w:t xml:space="preserve">(2) </w:t>
      </w:r>
      <w:r w:rsidRPr="009F7028">
        <w:rPr>
          <w:rFonts w:ascii="Palatino Linotype" w:hAnsi="Palatino Linotype" w:eastAsia="Palatino Linotype" w:cs="Times New Roman"/>
          <w:kern w:val="0"/>
          <w14:ligatures w14:val="none"/>
        </w:rPr>
        <w:t xml:space="preserve">the binding cost estimate, </w:t>
      </w:r>
      <w:r w:rsidR="00E65512">
        <w:rPr>
          <w:rFonts w:ascii="Palatino Linotype" w:hAnsi="Palatino Linotype" w:eastAsia="Palatino Linotype" w:cs="Times New Roman"/>
          <w:kern w:val="0"/>
          <w14:ligatures w14:val="none"/>
        </w:rPr>
        <w:t xml:space="preserve">(3) </w:t>
      </w:r>
      <w:r w:rsidRPr="009F7028">
        <w:rPr>
          <w:rFonts w:ascii="Palatino Linotype" w:hAnsi="Palatino Linotype" w:eastAsia="Palatino Linotype" w:cs="Times New Roman"/>
          <w:kern w:val="0"/>
          <w14:ligatures w14:val="none"/>
        </w:rPr>
        <w:t xml:space="preserve">PG&amp;E oversight and inspection costs, </w:t>
      </w:r>
      <w:r w:rsidR="00E65512">
        <w:rPr>
          <w:rFonts w:ascii="Palatino Linotype" w:hAnsi="Palatino Linotype" w:eastAsia="Palatino Linotype" w:cs="Times New Roman"/>
          <w:kern w:val="0"/>
          <w14:ligatures w14:val="none"/>
        </w:rPr>
        <w:t xml:space="preserve">(4) </w:t>
      </w:r>
      <w:r w:rsidRPr="009F7028">
        <w:rPr>
          <w:rFonts w:ascii="Palatino Linotype" w:hAnsi="Palatino Linotype" w:eastAsia="Palatino Linotype" w:cs="Times New Roman"/>
          <w:kern w:val="0"/>
          <w14:ligatures w14:val="none"/>
        </w:rPr>
        <w:t xml:space="preserve">submission of the binding cost estimate to the Commission, and </w:t>
      </w:r>
      <w:r w:rsidR="00E65512">
        <w:rPr>
          <w:rFonts w:ascii="Palatino Linotype" w:hAnsi="Palatino Linotype" w:eastAsia="Palatino Linotype" w:cs="Times New Roman"/>
          <w:kern w:val="0"/>
          <w14:ligatures w14:val="none"/>
        </w:rPr>
        <w:t xml:space="preserve">(5) </w:t>
      </w:r>
      <w:r w:rsidRPr="009F7028">
        <w:rPr>
          <w:rFonts w:ascii="Palatino Linotype" w:hAnsi="Palatino Linotype" w:eastAsia="Palatino Linotype" w:cs="Times New Roman"/>
          <w:kern w:val="0"/>
          <w14:ligatures w14:val="none"/>
        </w:rPr>
        <w:t xml:space="preserve">whether interim Electric Rule 30 should be used instead of Electric Rules 2, 15, and 16. PG&amp;E argues that applying the BARC-based refund approach is appropriate and reflects long-standing Commission-approved practice under Electric Rules 15 and 16, and contends that the agreements include </w:t>
      </w:r>
      <w:r w:rsidR="00C1395F">
        <w:rPr>
          <w:rFonts w:ascii="Palatino Linotype" w:hAnsi="Palatino Linotype" w:eastAsia="Palatino Linotype" w:cs="Times New Roman"/>
          <w:kern w:val="0"/>
          <w14:ligatures w14:val="none"/>
        </w:rPr>
        <w:t>sufficient</w:t>
      </w:r>
      <w:r w:rsidRPr="009F7028">
        <w:rPr>
          <w:rFonts w:ascii="Palatino Linotype" w:hAnsi="Palatino Linotype" w:eastAsia="Palatino Linotype" w:cs="Times New Roman"/>
          <w:kern w:val="0"/>
          <w14:ligatures w14:val="none"/>
        </w:rPr>
        <w:t xml:space="preserve"> protections (including charges and provisions intended to ensure the customer bears </w:t>
      </w:r>
      <w:r w:rsidR="00C1395F">
        <w:rPr>
          <w:rFonts w:ascii="Palatino Linotype" w:hAnsi="Palatino Linotype" w:eastAsia="Palatino Linotype" w:cs="Times New Roman"/>
          <w:kern w:val="0"/>
          <w14:ligatures w14:val="none"/>
        </w:rPr>
        <w:t xml:space="preserve">the </w:t>
      </w:r>
      <w:r w:rsidRPr="009F7028">
        <w:rPr>
          <w:rFonts w:ascii="Palatino Linotype" w:hAnsi="Palatino Linotype" w:eastAsia="Palatino Linotype" w:cs="Times New Roman"/>
          <w:kern w:val="0"/>
          <w14:ligatures w14:val="none"/>
        </w:rPr>
        <w:t>costs</w:t>
      </w:r>
      <w:r w:rsidR="00C1395F">
        <w:rPr>
          <w:rFonts w:ascii="Palatino Linotype" w:hAnsi="Palatino Linotype" w:eastAsia="Palatino Linotype" w:cs="Times New Roman"/>
          <w:kern w:val="0"/>
          <w14:ligatures w14:val="none"/>
        </w:rPr>
        <w:t xml:space="preserve"> </w:t>
      </w:r>
      <w:r w:rsidR="00B43C1E">
        <w:rPr>
          <w:rFonts w:ascii="Palatino Linotype" w:hAnsi="Palatino Linotype" w:eastAsia="Palatino Linotype" w:cs="Times New Roman"/>
          <w:kern w:val="0"/>
          <w14:ligatures w14:val="none"/>
        </w:rPr>
        <w:t>o</w:t>
      </w:r>
      <w:r w:rsidR="00C1395F">
        <w:rPr>
          <w:rFonts w:ascii="Palatino Linotype" w:hAnsi="Palatino Linotype" w:eastAsia="Palatino Linotype" w:cs="Times New Roman"/>
          <w:kern w:val="0"/>
          <w14:ligatures w14:val="none"/>
        </w:rPr>
        <w:t>f its energization</w:t>
      </w:r>
      <w:r w:rsidRPr="009F7028">
        <w:rPr>
          <w:rFonts w:ascii="Palatino Linotype" w:hAnsi="Palatino Linotype" w:eastAsia="Palatino Linotype" w:cs="Times New Roman"/>
          <w:kern w:val="0"/>
          <w14:ligatures w14:val="none"/>
        </w:rPr>
        <w:t xml:space="preserve"> if </w:t>
      </w:r>
      <w:r w:rsidR="008771A8">
        <w:rPr>
          <w:rFonts w:ascii="Palatino Linotype" w:hAnsi="Palatino Linotype" w:eastAsia="Palatino Linotype" w:cs="Times New Roman"/>
          <w:kern w:val="0"/>
          <w14:ligatures w14:val="none"/>
        </w:rPr>
        <w:t xml:space="preserve">its </w:t>
      </w:r>
      <w:r w:rsidRPr="009F7028">
        <w:rPr>
          <w:rFonts w:ascii="Palatino Linotype" w:hAnsi="Palatino Linotype" w:eastAsia="Palatino Linotype" w:cs="Times New Roman"/>
          <w:kern w:val="0"/>
          <w14:ligatures w14:val="none"/>
        </w:rPr>
        <w:t>load does not materialize). PG&amp;E also asserts that Resolution E-5420 and Draft Resolution E-5439 are explicitly non-precedential, and disputes Cal Advocates’ characterization that the Google project drove the need for the Newark</w:t>
      </w:r>
      <w:r w:rsidR="00CB2601">
        <w:rPr>
          <w:rFonts w:ascii="Palatino Linotype" w:hAnsi="Palatino Linotype" w:eastAsia="Palatino Linotype" w:cs="Times New Roman"/>
          <w:kern w:val="0"/>
          <w14:ligatures w14:val="none"/>
        </w:rPr>
        <w:t>-NRS</w:t>
      </w:r>
      <w:r w:rsidR="008771A8">
        <w:rPr>
          <w:rFonts w:ascii="Palatino Linotype" w:hAnsi="Palatino Linotype" w:eastAsia="Palatino Linotype" w:cs="Times New Roman"/>
          <w:kern w:val="0"/>
          <w14:ligatures w14:val="none"/>
        </w:rPr>
        <w:t xml:space="preserve"> 230 kV</w:t>
      </w:r>
      <w:r w:rsidRPr="009F7028">
        <w:rPr>
          <w:rFonts w:ascii="Palatino Linotype" w:hAnsi="Palatino Linotype" w:eastAsia="Palatino Linotype" w:cs="Times New Roman"/>
          <w:kern w:val="0"/>
          <w14:ligatures w14:val="none"/>
        </w:rPr>
        <w:t xml:space="preserve"> line, stating that the project was identified in </w:t>
      </w:r>
      <w:r w:rsidR="00D02874">
        <w:rPr>
          <w:rFonts w:ascii="Palatino Linotype" w:hAnsi="Palatino Linotype" w:eastAsia="Palatino Linotype" w:cs="Times New Roman"/>
          <w:kern w:val="0"/>
          <w14:ligatures w14:val="none"/>
        </w:rPr>
        <w:t>California Independent System Operator (</w:t>
      </w:r>
      <w:r w:rsidRPr="009F7028">
        <w:rPr>
          <w:rFonts w:ascii="Palatino Linotype" w:hAnsi="Palatino Linotype" w:eastAsia="Palatino Linotype" w:cs="Times New Roman"/>
          <w:kern w:val="0"/>
          <w14:ligatures w14:val="none"/>
        </w:rPr>
        <w:t>CAISO</w:t>
      </w:r>
      <w:r w:rsidR="00D02874">
        <w:rPr>
          <w:rFonts w:ascii="Palatino Linotype" w:hAnsi="Palatino Linotype" w:eastAsia="Palatino Linotype" w:cs="Times New Roman"/>
          <w:kern w:val="0"/>
          <w14:ligatures w14:val="none"/>
        </w:rPr>
        <w:t>)</w:t>
      </w:r>
      <w:r w:rsidRPr="009F7028">
        <w:rPr>
          <w:rFonts w:ascii="Palatino Linotype" w:hAnsi="Palatino Linotype" w:eastAsia="Palatino Linotype" w:cs="Times New Roman"/>
          <w:kern w:val="0"/>
          <w14:ligatures w14:val="none"/>
        </w:rPr>
        <w:t xml:space="preserve"> planning before Google’s interconnection request.</w:t>
      </w:r>
    </w:p>
    <w:p w:rsidRPr="009F7028" w:rsidR="003A1469" w:rsidP="009F7028" w:rsidRDefault="003A1469" w14:paraId="77B4CF0B" w14:textId="77777777">
      <w:pPr>
        <w:spacing w:after="0" w:line="240" w:lineRule="auto"/>
        <w:rPr>
          <w:rFonts w:ascii="Palatino Linotype" w:hAnsi="Palatino Linotype" w:eastAsia="Palatino Linotype" w:cs="Times New Roman"/>
          <w:kern w:val="0"/>
          <w14:ligatures w14:val="none"/>
        </w:rPr>
      </w:pPr>
    </w:p>
    <w:p w:rsidR="00400795" w:rsidP="009F7028" w:rsidRDefault="009F7028" w14:paraId="0AE0324C" w14:textId="70ED480C">
      <w:pPr>
        <w:spacing w:after="0" w:line="240" w:lineRule="auto"/>
        <w:rPr>
          <w:rFonts w:ascii="Palatino Linotype" w:hAnsi="Palatino Linotype" w:eastAsia="Palatino Linotype" w:cs="Times New Roman"/>
          <w:kern w:val="0"/>
          <w14:ligatures w14:val="none"/>
        </w:rPr>
      </w:pPr>
      <w:r w:rsidRPr="009F7028">
        <w:rPr>
          <w:rFonts w:ascii="Palatino Linotype" w:hAnsi="Palatino Linotype" w:eastAsia="Palatino Linotype" w:cs="Times New Roman"/>
          <w:kern w:val="0"/>
          <w14:ligatures w14:val="none"/>
        </w:rPr>
        <w:lastRenderedPageBreak/>
        <w:t xml:space="preserve">With respect to the binding cost estimate, PG&amp;E contends </w:t>
      </w:r>
      <w:r w:rsidR="00D02874">
        <w:rPr>
          <w:rFonts w:ascii="Palatino Linotype" w:hAnsi="Palatino Linotype" w:eastAsia="Palatino Linotype" w:cs="Times New Roman"/>
          <w:kern w:val="0"/>
          <w14:ligatures w14:val="none"/>
        </w:rPr>
        <w:t xml:space="preserve">that </w:t>
      </w:r>
      <w:r w:rsidRPr="009F7028">
        <w:rPr>
          <w:rFonts w:ascii="Palatino Linotype" w:hAnsi="Palatino Linotype" w:eastAsia="Palatino Linotype" w:cs="Times New Roman"/>
          <w:kern w:val="0"/>
          <w14:ligatures w14:val="none"/>
        </w:rPr>
        <w:t xml:space="preserve">Cal Advocates misunderstands how the binding cost estimate and contingency interact and states </w:t>
      </w:r>
      <w:r w:rsidR="00D02874">
        <w:rPr>
          <w:rFonts w:ascii="Palatino Linotype" w:hAnsi="Palatino Linotype" w:eastAsia="Palatino Linotype" w:cs="Times New Roman"/>
          <w:kern w:val="0"/>
          <w14:ligatures w14:val="none"/>
        </w:rPr>
        <w:t xml:space="preserve">that </w:t>
      </w:r>
      <w:r w:rsidRPr="009F7028">
        <w:rPr>
          <w:rFonts w:ascii="Palatino Linotype" w:hAnsi="Palatino Linotype" w:eastAsia="Palatino Linotype" w:cs="Times New Roman"/>
          <w:kern w:val="0"/>
          <w14:ligatures w14:val="none"/>
        </w:rPr>
        <w:t>the binding cost estimate will be developed after additional engineering</w:t>
      </w:r>
      <w:r w:rsidR="003D1DBD">
        <w:rPr>
          <w:rFonts w:ascii="Palatino Linotype" w:hAnsi="Palatino Linotype" w:eastAsia="Palatino Linotype" w:cs="Times New Roman"/>
          <w:kern w:val="0"/>
          <w14:ligatures w14:val="none"/>
        </w:rPr>
        <w:t xml:space="preserve"> work is completed</w:t>
      </w:r>
      <w:r w:rsidRPr="009F7028">
        <w:rPr>
          <w:rFonts w:ascii="Palatino Linotype" w:hAnsi="Palatino Linotype" w:eastAsia="Palatino Linotype" w:cs="Times New Roman"/>
          <w:kern w:val="0"/>
          <w14:ligatures w14:val="none"/>
        </w:rPr>
        <w:t>.</w:t>
      </w:r>
      <w:r w:rsidR="00BA68C8">
        <w:rPr>
          <w:rFonts w:ascii="Palatino Linotype" w:hAnsi="Palatino Linotype" w:eastAsia="Palatino Linotype" w:cs="Times New Roman"/>
          <w:kern w:val="0"/>
          <w14:ligatures w14:val="none"/>
        </w:rPr>
        <w:t xml:space="preserve"> </w:t>
      </w:r>
      <w:r w:rsidR="00316EBC">
        <w:rPr>
          <w:rFonts w:ascii="Palatino Linotype" w:hAnsi="Palatino Linotype" w:eastAsia="Palatino Linotype" w:cs="Times New Roman"/>
          <w:kern w:val="0"/>
          <w14:ligatures w14:val="none"/>
        </w:rPr>
        <w:t xml:space="preserve">This binding cost estimate will not be based on the current public </w:t>
      </w:r>
      <w:r w:rsidR="00D02874">
        <w:rPr>
          <w:rFonts w:ascii="Palatino Linotype" w:hAnsi="Palatino Linotype" w:eastAsia="Palatino Linotype" w:cs="Times New Roman"/>
          <w:kern w:val="0"/>
          <w14:ligatures w14:val="none"/>
        </w:rPr>
        <w:t xml:space="preserve">range </w:t>
      </w:r>
      <w:r w:rsidR="00316EBC">
        <w:rPr>
          <w:rFonts w:ascii="Palatino Linotype" w:hAnsi="Palatino Linotype" w:eastAsia="Palatino Linotype" w:cs="Times New Roman"/>
          <w:kern w:val="0"/>
          <w14:ligatures w14:val="none"/>
        </w:rPr>
        <w:t xml:space="preserve">estimate of </w:t>
      </w:r>
      <w:r w:rsidRPr="007C2D81" w:rsidR="00316EBC">
        <w:rPr>
          <w:rFonts w:ascii="Palatino Linotype" w:hAnsi="Palatino Linotype" w:eastAsia="Times New Roman" w:cs="Times New Roman"/>
          <w:kern w:val="0"/>
          <w14:ligatures w14:val="none"/>
        </w:rPr>
        <w:t>$64 million to $137 million</w:t>
      </w:r>
      <w:r w:rsidR="00316EBC">
        <w:rPr>
          <w:rFonts w:ascii="Palatino Linotype" w:hAnsi="Palatino Linotype" w:eastAsia="Times New Roman" w:cs="Times New Roman"/>
          <w:kern w:val="0"/>
          <w14:ligatures w14:val="none"/>
        </w:rPr>
        <w:t>.</w:t>
      </w:r>
      <w:r w:rsidRPr="009F7028">
        <w:rPr>
          <w:rFonts w:ascii="Palatino Linotype" w:hAnsi="Palatino Linotype" w:eastAsia="Palatino Linotype" w:cs="Times New Roman"/>
          <w:kern w:val="0"/>
          <w14:ligatures w14:val="none"/>
        </w:rPr>
        <w:t xml:space="preserve"> PG&amp;E states that </w:t>
      </w:r>
      <w:r w:rsidR="00FA58B9">
        <w:rPr>
          <w:rFonts w:ascii="Palatino Linotype" w:hAnsi="Palatino Linotype" w:eastAsia="Palatino Linotype" w:cs="Times New Roman"/>
          <w:kern w:val="0"/>
          <w14:ligatures w14:val="none"/>
        </w:rPr>
        <w:t>Google’s cost estimate</w:t>
      </w:r>
      <w:r w:rsidR="001B3C8A">
        <w:rPr>
          <w:rFonts w:ascii="Palatino Linotype" w:hAnsi="Palatino Linotype" w:eastAsia="Palatino Linotype" w:cs="Times New Roman"/>
          <w:kern w:val="0"/>
          <w14:ligatures w14:val="none"/>
        </w:rPr>
        <w:t>,</w:t>
      </w:r>
      <w:r w:rsidRPr="009F7028">
        <w:rPr>
          <w:rFonts w:ascii="Palatino Linotype" w:hAnsi="Palatino Linotype" w:eastAsia="Palatino Linotype" w:cs="Times New Roman"/>
          <w:kern w:val="0"/>
          <w14:ligatures w14:val="none"/>
        </w:rPr>
        <w:t xml:space="preserve"> used to establish the binding cost estimate</w:t>
      </w:r>
      <w:r w:rsidR="001B3C8A">
        <w:rPr>
          <w:rFonts w:ascii="Palatino Linotype" w:hAnsi="Palatino Linotype" w:eastAsia="Palatino Linotype" w:cs="Times New Roman"/>
          <w:kern w:val="0"/>
          <w14:ligatures w14:val="none"/>
        </w:rPr>
        <w:t>,</w:t>
      </w:r>
      <w:r w:rsidRPr="009F7028">
        <w:rPr>
          <w:rFonts w:ascii="Palatino Linotype" w:hAnsi="Palatino Linotype" w:eastAsia="Palatino Linotype" w:cs="Times New Roman"/>
          <w:kern w:val="0"/>
          <w14:ligatures w14:val="none"/>
        </w:rPr>
        <w:t xml:space="preserve"> </w:t>
      </w:r>
      <w:r w:rsidR="001B3C8A">
        <w:rPr>
          <w:rFonts w:ascii="Palatino Linotype" w:hAnsi="Palatino Linotype" w:eastAsia="Palatino Linotype" w:cs="Times New Roman"/>
          <w:kern w:val="0"/>
          <w14:ligatures w14:val="none"/>
        </w:rPr>
        <w:t>will be</w:t>
      </w:r>
      <w:r w:rsidRPr="009F7028">
        <w:rPr>
          <w:rFonts w:ascii="Palatino Linotype" w:hAnsi="Palatino Linotype" w:eastAsia="Palatino Linotype" w:cs="Times New Roman"/>
          <w:kern w:val="0"/>
          <w14:ligatures w14:val="none"/>
        </w:rPr>
        <w:t xml:space="preserve"> constrained by PG&amp;E’s</w:t>
      </w:r>
      <w:r w:rsidR="001B3C8A">
        <w:rPr>
          <w:rFonts w:ascii="Palatino Linotype" w:hAnsi="Palatino Linotype" w:eastAsia="Palatino Linotype" w:cs="Times New Roman"/>
          <w:kern w:val="0"/>
          <w14:ligatures w14:val="none"/>
        </w:rPr>
        <w:t xml:space="preserve"> own</w:t>
      </w:r>
      <w:r w:rsidRPr="009F7028">
        <w:rPr>
          <w:rFonts w:ascii="Palatino Linotype" w:hAnsi="Palatino Linotype" w:eastAsia="Palatino Linotype" w:cs="Times New Roman"/>
          <w:kern w:val="0"/>
          <w14:ligatures w14:val="none"/>
        </w:rPr>
        <w:t xml:space="preserve"> internal estimate plus a standard contingency amount</w:t>
      </w:r>
      <w:r w:rsidR="001B3C8A">
        <w:rPr>
          <w:rFonts w:ascii="Palatino Linotype" w:hAnsi="Palatino Linotype" w:eastAsia="Palatino Linotype" w:cs="Times New Roman"/>
          <w:kern w:val="0"/>
          <w14:ligatures w14:val="none"/>
        </w:rPr>
        <w:t xml:space="preserve">. If </w:t>
      </w:r>
      <w:r w:rsidRPr="009F7028">
        <w:rPr>
          <w:rFonts w:ascii="Palatino Linotype" w:hAnsi="Palatino Linotype" w:eastAsia="Palatino Linotype" w:cs="Times New Roman"/>
          <w:kern w:val="0"/>
          <w14:ligatures w14:val="none"/>
        </w:rPr>
        <w:t xml:space="preserve">the customer’s estimate exceeds that constraint, additional Commission approval would be required through a new </w:t>
      </w:r>
      <w:r w:rsidR="001B3C8A">
        <w:rPr>
          <w:rFonts w:ascii="Palatino Linotype" w:hAnsi="Palatino Linotype" w:eastAsia="Palatino Linotype" w:cs="Times New Roman"/>
          <w:kern w:val="0"/>
          <w14:ligatures w14:val="none"/>
        </w:rPr>
        <w:t>Advice Letter</w:t>
      </w:r>
      <w:r w:rsidRPr="009F7028">
        <w:rPr>
          <w:rFonts w:ascii="Palatino Linotype" w:hAnsi="Palatino Linotype" w:eastAsia="Palatino Linotype" w:cs="Times New Roman"/>
          <w:kern w:val="0"/>
          <w14:ligatures w14:val="none"/>
        </w:rPr>
        <w:t xml:space="preserve"> submission. PG&amp;E states </w:t>
      </w:r>
      <w:r w:rsidR="004A4C92">
        <w:rPr>
          <w:rFonts w:ascii="Palatino Linotype" w:hAnsi="Palatino Linotype" w:eastAsia="Palatino Linotype" w:cs="Times New Roman"/>
          <w:kern w:val="0"/>
          <w14:ligatures w14:val="none"/>
        </w:rPr>
        <w:t xml:space="preserve">that </w:t>
      </w:r>
      <w:r w:rsidRPr="009F7028">
        <w:rPr>
          <w:rFonts w:ascii="Palatino Linotype" w:hAnsi="Palatino Linotype" w:eastAsia="Palatino Linotype" w:cs="Times New Roman"/>
          <w:kern w:val="0"/>
          <w14:ligatures w14:val="none"/>
        </w:rPr>
        <w:t xml:space="preserve">it does not object to providing the finalized binding cost estimate to the Commission in a Tier 1 </w:t>
      </w:r>
      <w:r w:rsidR="0017250A">
        <w:rPr>
          <w:rFonts w:ascii="Palatino Linotype" w:hAnsi="Palatino Linotype" w:eastAsia="Palatino Linotype" w:cs="Times New Roman"/>
          <w:kern w:val="0"/>
          <w14:ligatures w14:val="none"/>
        </w:rPr>
        <w:t>A</w:t>
      </w:r>
      <w:r w:rsidRPr="009F7028">
        <w:rPr>
          <w:rFonts w:ascii="Palatino Linotype" w:hAnsi="Palatino Linotype" w:eastAsia="Palatino Linotype" w:cs="Times New Roman"/>
          <w:kern w:val="0"/>
          <w14:ligatures w14:val="none"/>
        </w:rPr>
        <w:t xml:space="preserve">dvice </w:t>
      </w:r>
      <w:r w:rsidR="0017250A">
        <w:rPr>
          <w:rFonts w:ascii="Palatino Linotype" w:hAnsi="Palatino Linotype" w:eastAsia="Palatino Linotype" w:cs="Times New Roman"/>
          <w:kern w:val="0"/>
          <w14:ligatures w14:val="none"/>
        </w:rPr>
        <w:t>L</w:t>
      </w:r>
      <w:r w:rsidRPr="009F7028">
        <w:rPr>
          <w:rFonts w:ascii="Palatino Linotype" w:hAnsi="Palatino Linotype" w:eastAsia="Palatino Linotype" w:cs="Times New Roman"/>
          <w:kern w:val="0"/>
          <w14:ligatures w14:val="none"/>
        </w:rPr>
        <w:t xml:space="preserve">etter on an information-only basis once available, but opposes an approach that would reopen the agreement for re-approval at that stage. </w:t>
      </w:r>
    </w:p>
    <w:p w:rsidR="0017250A" w:rsidP="009F7028" w:rsidRDefault="0017250A" w14:paraId="56FC9744" w14:textId="77777777">
      <w:pPr>
        <w:spacing w:after="0" w:line="240" w:lineRule="auto"/>
        <w:rPr>
          <w:rFonts w:ascii="Palatino Linotype" w:hAnsi="Palatino Linotype" w:eastAsia="Palatino Linotype" w:cs="Times New Roman"/>
          <w:kern w:val="0"/>
          <w14:ligatures w14:val="none"/>
        </w:rPr>
      </w:pPr>
    </w:p>
    <w:p w:rsidR="009F7028" w:rsidP="009F7028" w:rsidRDefault="009F7028" w14:paraId="1FFE128A" w14:textId="130FCEB6">
      <w:pPr>
        <w:spacing w:after="0" w:line="240" w:lineRule="auto"/>
        <w:rPr>
          <w:rFonts w:ascii="Palatino Linotype" w:hAnsi="Palatino Linotype" w:eastAsia="Palatino Linotype" w:cs="Times New Roman"/>
          <w:kern w:val="0"/>
          <w14:ligatures w14:val="none"/>
        </w:rPr>
      </w:pPr>
      <w:r w:rsidRPr="009F7028">
        <w:rPr>
          <w:rFonts w:ascii="Palatino Linotype" w:hAnsi="Palatino Linotype" w:eastAsia="Palatino Linotype" w:cs="Times New Roman"/>
          <w:kern w:val="0"/>
          <w14:ligatures w14:val="none"/>
        </w:rPr>
        <w:t xml:space="preserve">PG&amp;E also argues that PG&amp;E oversight and inspection costs should be included and are not duplicative of the customer’s costs, and states that oversight costs are appropriate </w:t>
      </w:r>
      <w:r w:rsidR="00AD7B28">
        <w:rPr>
          <w:rFonts w:ascii="Palatino Linotype" w:hAnsi="Palatino Linotype" w:eastAsia="Palatino Linotype" w:cs="Times New Roman"/>
          <w:kern w:val="0"/>
          <w14:ligatures w14:val="none"/>
        </w:rPr>
        <w:t xml:space="preserve">for refund </w:t>
      </w:r>
      <w:r w:rsidRPr="009F7028">
        <w:rPr>
          <w:rFonts w:ascii="Palatino Linotype" w:hAnsi="Palatino Linotype" w:eastAsia="Palatino Linotype" w:cs="Times New Roman"/>
          <w:kern w:val="0"/>
          <w14:ligatures w14:val="none"/>
        </w:rPr>
        <w:t>because they are incurred regardless of whether PG&amp;E or the applicant constructs the facilities. PG&amp;E opposes requiring the use of interim Electric Rule 30 implementation agreements in lieu of the proposed exceptional case agreement under Electric Rules 2, 15, and 16</w:t>
      </w:r>
      <w:r w:rsidR="00683594">
        <w:rPr>
          <w:rFonts w:ascii="Palatino Linotype" w:hAnsi="Palatino Linotype" w:eastAsia="Palatino Linotype" w:cs="Times New Roman"/>
          <w:kern w:val="0"/>
          <w14:ligatures w14:val="none"/>
        </w:rPr>
        <w:t>, as this would unnecessarily delay the project</w:t>
      </w:r>
      <w:r w:rsidR="00C442F8">
        <w:rPr>
          <w:rFonts w:ascii="Palatino Linotype" w:hAnsi="Palatino Linotype" w:eastAsia="Palatino Linotype" w:cs="Times New Roman"/>
          <w:kern w:val="0"/>
          <w14:ligatures w14:val="none"/>
        </w:rPr>
        <w:t xml:space="preserve"> and create substantial uncertainty for the customer</w:t>
      </w:r>
      <w:r w:rsidRPr="009F7028">
        <w:rPr>
          <w:rFonts w:ascii="Palatino Linotype" w:hAnsi="Palatino Linotype" w:eastAsia="Palatino Linotype" w:cs="Times New Roman"/>
          <w:kern w:val="0"/>
          <w14:ligatures w14:val="none"/>
        </w:rPr>
        <w:t>.</w:t>
      </w:r>
    </w:p>
    <w:p w:rsidRPr="009F7028" w:rsidR="003A1469" w:rsidP="009F7028" w:rsidRDefault="003A1469" w14:paraId="058C9A05" w14:textId="77777777">
      <w:pPr>
        <w:spacing w:after="0" w:line="240" w:lineRule="auto"/>
        <w:rPr>
          <w:rFonts w:ascii="Palatino Linotype" w:hAnsi="Palatino Linotype" w:eastAsia="Palatino Linotype" w:cs="Times New Roman"/>
          <w:kern w:val="0"/>
          <w14:ligatures w14:val="none"/>
        </w:rPr>
      </w:pPr>
    </w:p>
    <w:p w:rsidR="003A1469" w:rsidP="009F7028" w:rsidRDefault="009F7028" w14:paraId="7F8AE43D" w14:textId="6FC42C00">
      <w:pPr>
        <w:spacing w:after="0" w:line="240" w:lineRule="auto"/>
        <w:rPr>
          <w:rFonts w:ascii="Palatino Linotype" w:hAnsi="Palatino Linotype" w:eastAsia="Palatino Linotype" w:cs="Times New Roman"/>
          <w:kern w:val="0"/>
          <w14:ligatures w14:val="none"/>
        </w:rPr>
      </w:pPr>
      <w:r w:rsidRPr="009F7028">
        <w:rPr>
          <w:rFonts w:ascii="Palatino Linotype" w:hAnsi="Palatino Linotype" w:eastAsia="Palatino Linotype" w:cs="Times New Roman"/>
          <w:kern w:val="0"/>
          <w14:ligatures w14:val="none"/>
        </w:rPr>
        <w:t xml:space="preserve">As to Imel, PG&amp;E argues that the requested technical details and negotiated commercial cost terms are confidential and proprietary and may also implicate sensitive infrastructure information, and that public disclosure of negotiated commercial terms is not appropriate. PG&amp;E states </w:t>
      </w:r>
      <w:r w:rsidR="004A4C92">
        <w:rPr>
          <w:rFonts w:ascii="Palatino Linotype" w:hAnsi="Palatino Linotype" w:eastAsia="Palatino Linotype" w:cs="Times New Roman"/>
          <w:kern w:val="0"/>
          <w14:ligatures w14:val="none"/>
        </w:rPr>
        <w:t xml:space="preserve">that </w:t>
      </w:r>
      <w:r w:rsidRPr="009F7028">
        <w:rPr>
          <w:rFonts w:ascii="Palatino Linotype" w:hAnsi="Palatino Linotype" w:eastAsia="Palatino Linotype" w:cs="Times New Roman"/>
          <w:kern w:val="0"/>
          <w14:ligatures w14:val="none"/>
        </w:rPr>
        <w:t>it can provide confidential details to the Commission as needed for review.</w:t>
      </w:r>
    </w:p>
    <w:p w:rsidRPr="001942D0" w:rsidR="00737E72" w:rsidP="00A76F4A" w:rsidRDefault="00737E72" w14:paraId="465DBCB6"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52F8DB71"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Discussion</w:t>
      </w:r>
    </w:p>
    <w:p w:rsidR="00B36B2C" w:rsidP="2444F476" w:rsidRDefault="00B36B2C" w14:paraId="2EBF7439" w14:textId="53D90258">
      <w:pPr>
        <w:spacing w:after="0" w:line="240" w:lineRule="auto"/>
        <w:contextualSpacing/>
        <w:rPr>
          <w:rFonts w:ascii="Palatino Linotype" w:hAnsi="Palatino Linotype" w:eastAsia="Palatino Linotype" w:cs="Times New Roman"/>
          <w:kern w:val="0"/>
          <w14:ligatures w14:val="none"/>
        </w:rPr>
      </w:pPr>
      <w:r w:rsidRPr="00B36B2C">
        <w:rPr>
          <w:rFonts w:ascii="Palatino Linotype" w:hAnsi="Palatino Linotype" w:eastAsia="Palatino Linotype" w:cs="Times New Roman"/>
          <w:kern w:val="0"/>
          <w14:ligatures w14:val="none"/>
        </w:rPr>
        <w:t xml:space="preserve">The Commission has reviewed AL 7785-E, the protests, and PG&amp;E’s reply. We approve the </w:t>
      </w:r>
      <w:r w:rsidR="005823C1">
        <w:rPr>
          <w:rFonts w:ascii="Palatino Linotype" w:hAnsi="Palatino Linotype" w:eastAsia="Palatino Linotype" w:cs="Times New Roman"/>
          <w:kern w:val="0"/>
          <w14:ligatures w14:val="none"/>
        </w:rPr>
        <w:t>A</w:t>
      </w:r>
      <w:r w:rsidRPr="00B36B2C">
        <w:rPr>
          <w:rFonts w:ascii="Palatino Linotype" w:hAnsi="Palatino Linotype" w:eastAsia="Palatino Linotype" w:cs="Times New Roman"/>
          <w:kern w:val="0"/>
          <w14:ligatures w14:val="none"/>
        </w:rPr>
        <w:t xml:space="preserve">dvice </w:t>
      </w:r>
      <w:r w:rsidR="005823C1">
        <w:rPr>
          <w:rFonts w:ascii="Palatino Linotype" w:hAnsi="Palatino Linotype" w:eastAsia="Palatino Linotype" w:cs="Times New Roman"/>
          <w:kern w:val="0"/>
          <w14:ligatures w14:val="none"/>
        </w:rPr>
        <w:t>L</w:t>
      </w:r>
      <w:r w:rsidRPr="00B36B2C">
        <w:rPr>
          <w:rFonts w:ascii="Palatino Linotype" w:hAnsi="Palatino Linotype" w:eastAsia="Palatino Linotype" w:cs="Times New Roman"/>
          <w:kern w:val="0"/>
          <w14:ligatures w14:val="none"/>
        </w:rPr>
        <w:t>etter with modifications. The modifications are necessary to provide additional ratepayer protection</w:t>
      </w:r>
      <w:r w:rsidR="00955D1B">
        <w:rPr>
          <w:rFonts w:ascii="Palatino Linotype" w:hAnsi="Palatino Linotype" w:eastAsia="Palatino Linotype" w:cs="Times New Roman"/>
          <w:kern w:val="0"/>
          <w14:ligatures w14:val="none"/>
        </w:rPr>
        <w:t xml:space="preserve">s corresponding to the </w:t>
      </w:r>
      <w:r w:rsidRPr="00B36B2C">
        <w:rPr>
          <w:rFonts w:ascii="Palatino Linotype" w:hAnsi="Palatino Linotype" w:eastAsia="Palatino Linotype" w:cs="Times New Roman"/>
          <w:kern w:val="0"/>
          <w14:ligatures w14:val="none"/>
        </w:rPr>
        <w:t xml:space="preserve">transmission-level energization of a very large load and to clarify the binding cost cap structure for the applicant-build portion of the project. In this </w:t>
      </w:r>
      <w:r w:rsidR="008A4F9A">
        <w:rPr>
          <w:rFonts w:ascii="Palatino Linotype" w:hAnsi="Palatino Linotype" w:eastAsia="Palatino Linotype" w:cs="Times New Roman"/>
          <w:kern w:val="0"/>
          <w14:ligatures w14:val="none"/>
        </w:rPr>
        <w:t>d</w:t>
      </w:r>
      <w:r w:rsidRPr="00B36B2C">
        <w:rPr>
          <w:rFonts w:ascii="Palatino Linotype" w:hAnsi="Palatino Linotype" w:eastAsia="Palatino Linotype" w:cs="Times New Roman"/>
          <w:kern w:val="0"/>
          <w14:ligatures w14:val="none"/>
        </w:rPr>
        <w:t>iscussion, we address: (1) whether it is reasonable to approve the agreement as an exceptional case; (2)</w:t>
      </w:r>
      <w:r w:rsidR="007F2391">
        <w:rPr>
          <w:rFonts w:ascii="Palatino Linotype" w:hAnsi="Palatino Linotype" w:eastAsia="Palatino Linotype" w:cs="Times New Roman"/>
          <w:kern w:val="0"/>
          <w14:ligatures w14:val="none"/>
        </w:rPr>
        <w:t xml:space="preserve"> whether it is reasonable to require </w:t>
      </w:r>
      <w:r w:rsidRPr="2444F476" w:rsidR="00836550">
        <w:rPr>
          <w:rFonts w:ascii="Palatino Linotype" w:hAnsi="Palatino Linotype" w:eastAsia="Palatino Linotype" w:cs="Times New Roman"/>
        </w:rPr>
        <w:t>the</w:t>
      </w:r>
      <w:r w:rsidR="007F2391">
        <w:rPr>
          <w:rFonts w:ascii="Palatino Linotype" w:hAnsi="Palatino Linotype" w:eastAsia="Palatino Linotype" w:cs="Times New Roman"/>
          <w:kern w:val="0"/>
          <w14:ligatures w14:val="none"/>
        </w:rPr>
        <w:t xml:space="preserve"> costs associated with broader transmission network upgrades</w:t>
      </w:r>
      <w:r w:rsidRPr="2444F476" w:rsidR="00836550">
        <w:rPr>
          <w:rFonts w:ascii="Palatino Linotype" w:hAnsi="Palatino Linotype" w:eastAsia="Palatino Linotype" w:cs="Times New Roman"/>
        </w:rPr>
        <w:t xml:space="preserve"> </w:t>
      </w:r>
      <w:r w:rsidRPr="2444F476" w:rsidR="12885BB8">
        <w:rPr>
          <w:rFonts w:ascii="Palatino Linotype" w:hAnsi="Palatino Linotype" w:eastAsia="Palatino Linotype" w:cs="Times New Roman"/>
        </w:rPr>
        <w:t xml:space="preserve">to </w:t>
      </w:r>
      <w:r w:rsidRPr="2444F476" w:rsidR="00836550">
        <w:rPr>
          <w:rFonts w:ascii="Palatino Linotype" w:hAnsi="Palatino Linotype" w:eastAsia="Palatino Linotype" w:cs="Times New Roman"/>
        </w:rPr>
        <w:t xml:space="preserve">be handled in accordance with the outcome in the </w:t>
      </w:r>
      <w:r w:rsidR="00345654">
        <w:rPr>
          <w:rFonts w:ascii="Palatino Linotype" w:hAnsi="Palatino Linotype" w:eastAsia="Palatino Linotype" w:cs="Times New Roman"/>
        </w:rPr>
        <w:t>Rule 30 proceeding</w:t>
      </w:r>
      <w:r w:rsidR="007F2391">
        <w:rPr>
          <w:rFonts w:ascii="Palatino Linotype" w:hAnsi="Palatino Linotype" w:eastAsia="Palatino Linotype" w:cs="Times New Roman"/>
          <w:kern w:val="0"/>
          <w14:ligatures w14:val="none"/>
        </w:rPr>
        <w:t>; (3)</w:t>
      </w:r>
      <w:r w:rsidRPr="00B36B2C">
        <w:rPr>
          <w:rFonts w:ascii="Palatino Linotype" w:hAnsi="Palatino Linotype" w:eastAsia="Palatino Linotype" w:cs="Times New Roman"/>
          <w:kern w:val="0"/>
          <w14:ligatures w14:val="none"/>
        </w:rPr>
        <w:t xml:space="preserve"> whether the refund methodology should be modified to limit annual refunds to annual net revenues</w:t>
      </w:r>
      <w:r w:rsidR="00426844">
        <w:rPr>
          <w:rFonts w:ascii="Palatino Linotype" w:hAnsi="Palatino Linotype" w:eastAsia="Palatino Linotype" w:cs="Times New Roman"/>
          <w:kern w:val="0"/>
          <w14:ligatures w14:val="none"/>
        </w:rPr>
        <w:t xml:space="preserve"> from the customer</w:t>
      </w:r>
      <w:r w:rsidRPr="00B36B2C">
        <w:rPr>
          <w:rFonts w:ascii="Palatino Linotype" w:hAnsi="Palatino Linotype" w:eastAsia="Palatino Linotype" w:cs="Times New Roman"/>
          <w:kern w:val="0"/>
          <w14:ligatures w14:val="none"/>
        </w:rPr>
        <w:t>; (</w:t>
      </w:r>
      <w:r w:rsidR="00426844">
        <w:rPr>
          <w:rFonts w:ascii="Palatino Linotype" w:hAnsi="Palatino Linotype" w:eastAsia="Palatino Linotype" w:cs="Times New Roman"/>
          <w:kern w:val="0"/>
          <w14:ligatures w14:val="none"/>
        </w:rPr>
        <w:t>4</w:t>
      </w:r>
      <w:r w:rsidRPr="00B36B2C">
        <w:rPr>
          <w:rFonts w:ascii="Palatino Linotype" w:hAnsi="Palatino Linotype" w:eastAsia="Palatino Linotype" w:cs="Times New Roman"/>
          <w:kern w:val="0"/>
          <w14:ligatures w14:val="none"/>
        </w:rPr>
        <w:t xml:space="preserve">) how the binding cost estimate (binding cost cap) should be structured </w:t>
      </w:r>
      <w:r w:rsidRPr="00B36B2C">
        <w:rPr>
          <w:rFonts w:ascii="Palatino Linotype" w:hAnsi="Palatino Linotype" w:eastAsia="Palatino Linotype" w:cs="Times New Roman"/>
          <w:kern w:val="0"/>
          <w14:ligatures w14:val="none"/>
        </w:rPr>
        <w:lastRenderedPageBreak/>
        <w:t>and reported; (</w:t>
      </w:r>
      <w:r w:rsidR="00426844">
        <w:rPr>
          <w:rFonts w:ascii="Palatino Linotype" w:hAnsi="Palatino Linotype" w:eastAsia="Palatino Linotype" w:cs="Times New Roman"/>
          <w:kern w:val="0"/>
          <w14:ligatures w14:val="none"/>
        </w:rPr>
        <w:t>5</w:t>
      </w:r>
      <w:r w:rsidRPr="00B36B2C">
        <w:rPr>
          <w:rFonts w:ascii="Palatino Linotype" w:hAnsi="Palatino Linotype" w:eastAsia="Palatino Linotype" w:cs="Times New Roman"/>
          <w:kern w:val="0"/>
          <w14:ligatures w14:val="none"/>
        </w:rPr>
        <w:t>) how PG&amp;E oversight and supplemental costs should be treated to avoid overlap and double counting; (</w:t>
      </w:r>
      <w:r w:rsidR="00426844">
        <w:rPr>
          <w:rFonts w:ascii="Palatino Linotype" w:hAnsi="Palatino Linotype" w:eastAsia="Palatino Linotype" w:cs="Times New Roman"/>
          <w:kern w:val="0"/>
          <w14:ligatures w14:val="none"/>
        </w:rPr>
        <w:t>6</w:t>
      </w:r>
      <w:r w:rsidRPr="00B36B2C">
        <w:rPr>
          <w:rFonts w:ascii="Palatino Linotype" w:hAnsi="Palatino Linotype" w:eastAsia="Palatino Linotype" w:cs="Times New Roman"/>
          <w:kern w:val="0"/>
          <w14:ligatures w14:val="none"/>
        </w:rPr>
        <w:t>) whether interim Electric Rule 30 implementation is required; and (</w:t>
      </w:r>
      <w:r w:rsidR="00426844">
        <w:rPr>
          <w:rFonts w:ascii="Palatino Linotype" w:hAnsi="Palatino Linotype" w:eastAsia="Palatino Linotype" w:cs="Times New Roman"/>
          <w:kern w:val="0"/>
          <w14:ligatures w14:val="none"/>
        </w:rPr>
        <w:t>7</w:t>
      </w:r>
      <w:r w:rsidRPr="00B36B2C">
        <w:rPr>
          <w:rFonts w:ascii="Palatino Linotype" w:hAnsi="Palatino Linotype" w:eastAsia="Palatino Linotype" w:cs="Times New Roman"/>
          <w:kern w:val="0"/>
          <w14:ligatures w14:val="none"/>
        </w:rPr>
        <w:t>) the confidentiality and disclosure issues raised by Imel.</w:t>
      </w:r>
    </w:p>
    <w:p w:rsidRPr="00B36B2C" w:rsidR="00717000" w:rsidP="00B36B2C" w:rsidRDefault="00717000" w14:paraId="4715F66F" w14:textId="77777777">
      <w:pPr>
        <w:spacing w:after="0" w:line="240" w:lineRule="auto"/>
        <w:contextualSpacing/>
        <w:rPr>
          <w:rFonts w:ascii="Palatino Linotype" w:hAnsi="Palatino Linotype" w:eastAsia="Palatino Linotype" w:cs="Times New Roman"/>
          <w:kern w:val="0"/>
          <w14:ligatures w14:val="none"/>
        </w:rPr>
      </w:pPr>
    </w:p>
    <w:p w:rsidRPr="00717000" w:rsidR="00B36B2C" w:rsidP="00B36B2C" w:rsidRDefault="00B36B2C" w14:paraId="01DA8A46" w14:textId="64DEA0DC">
      <w:pPr>
        <w:spacing w:after="0" w:line="240" w:lineRule="auto"/>
        <w:contextualSpacing/>
        <w:rPr>
          <w:rFonts w:ascii="Palatino Linotype" w:hAnsi="Palatino Linotype" w:eastAsia="Palatino Linotype" w:cs="Times New Roman"/>
          <w:b/>
          <w:bCs/>
          <w:kern w:val="0"/>
          <w14:ligatures w14:val="none"/>
        </w:rPr>
      </w:pPr>
      <w:r w:rsidRPr="00717000">
        <w:rPr>
          <w:rFonts w:ascii="Palatino Linotype" w:hAnsi="Palatino Linotype" w:eastAsia="Palatino Linotype" w:cs="Times New Roman"/>
          <w:b/>
          <w:bCs/>
          <w:kern w:val="0"/>
          <w14:ligatures w14:val="none"/>
        </w:rPr>
        <w:t>It Is Reasonable to Approve the Agreement as an Exceptional Case, Subject to Additional Ratepayer Protection</w:t>
      </w:r>
    </w:p>
    <w:p w:rsidRPr="00B36B2C" w:rsidR="00717000" w:rsidP="00B36B2C" w:rsidRDefault="00717000" w14:paraId="7B1B0326" w14:textId="77777777">
      <w:pPr>
        <w:spacing w:after="0" w:line="240" w:lineRule="auto"/>
        <w:contextualSpacing/>
        <w:rPr>
          <w:rFonts w:ascii="Palatino Linotype" w:hAnsi="Palatino Linotype" w:eastAsia="Palatino Linotype" w:cs="Times New Roman"/>
          <w:kern w:val="0"/>
          <w14:ligatures w14:val="none"/>
        </w:rPr>
      </w:pPr>
    </w:p>
    <w:p w:rsidR="00B36B2C" w:rsidP="00B36B2C" w:rsidRDefault="00B36B2C" w14:paraId="37F7518F" w14:textId="77777777">
      <w:pPr>
        <w:spacing w:after="0" w:line="240" w:lineRule="auto"/>
        <w:contextualSpacing/>
        <w:rPr>
          <w:rFonts w:ascii="Palatino Linotype" w:hAnsi="Palatino Linotype" w:eastAsia="Palatino Linotype" w:cs="Times New Roman"/>
          <w:kern w:val="0"/>
          <w14:ligatures w14:val="none"/>
        </w:rPr>
      </w:pPr>
      <w:r w:rsidRPr="00B36B2C">
        <w:rPr>
          <w:rFonts w:ascii="Palatino Linotype" w:hAnsi="Palatino Linotype" w:eastAsia="Palatino Linotype" w:cs="Times New Roman"/>
          <w:kern w:val="0"/>
          <w14:ligatures w14:val="none"/>
        </w:rPr>
        <w:t>PG&amp;E seeks approval of an agreement to energize a new 250 MW transmission-level retail load at 230 kV using modified Electric Rules 2, 15, and 16 form agreements due to the scale and complexity of the work, including applicant construction and transfer of certain facilities to PG&amp;E and construction performed directly by PG&amp;E. We find it reasonable to approve the agreement as an exceptional case because the project involves unusually large transmission-level facilities and negotiated provisions addressing applicant construction, ownership transfer, and cost responsibility that are not fully addressed by standard distribution-oriented energization practices.</w:t>
      </w:r>
    </w:p>
    <w:p w:rsidRPr="00B36B2C" w:rsidR="00717000" w:rsidP="00B36B2C" w:rsidRDefault="00717000" w14:paraId="0ECF968B" w14:textId="77777777">
      <w:pPr>
        <w:spacing w:after="0" w:line="240" w:lineRule="auto"/>
        <w:contextualSpacing/>
        <w:rPr>
          <w:rFonts w:ascii="Palatino Linotype" w:hAnsi="Palatino Linotype" w:eastAsia="Palatino Linotype" w:cs="Times New Roman"/>
          <w:kern w:val="0"/>
          <w14:ligatures w14:val="none"/>
        </w:rPr>
      </w:pPr>
    </w:p>
    <w:p w:rsidR="00B36B2C" w:rsidP="00B36B2C" w:rsidRDefault="00B36B2C" w14:paraId="2600A249" w14:textId="54AFF924">
      <w:pPr>
        <w:spacing w:after="0" w:line="240" w:lineRule="auto"/>
        <w:contextualSpacing/>
        <w:rPr>
          <w:rFonts w:ascii="Palatino Linotype" w:hAnsi="Palatino Linotype" w:eastAsia="Palatino Linotype" w:cs="Times New Roman"/>
          <w:kern w:val="0"/>
          <w14:ligatures w14:val="none"/>
        </w:rPr>
      </w:pPr>
      <w:r w:rsidRPr="00B36B2C">
        <w:rPr>
          <w:rFonts w:ascii="Palatino Linotype" w:hAnsi="Palatino Linotype" w:eastAsia="Palatino Linotype" w:cs="Times New Roman"/>
          <w:kern w:val="0"/>
          <w14:ligatures w14:val="none"/>
        </w:rPr>
        <w:t xml:space="preserve">At the same time, this project presents heightened ratepayer risk if the </w:t>
      </w:r>
      <w:r w:rsidR="00400C1D">
        <w:rPr>
          <w:rFonts w:ascii="Palatino Linotype" w:hAnsi="Palatino Linotype" w:eastAsia="Palatino Linotype" w:cs="Times New Roman"/>
          <w:kern w:val="0"/>
          <w14:ligatures w14:val="none"/>
        </w:rPr>
        <w:t xml:space="preserve">capital advances from the customer and the </w:t>
      </w:r>
      <w:r w:rsidRPr="00B36B2C">
        <w:rPr>
          <w:rFonts w:ascii="Palatino Linotype" w:hAnsi="Palatino Linotype" w:eastAsia="Palatino Linotype" w:cs="Times New Roman"/>
          <w:kern w:val="0"/>
          <w14:ligatures w14:val="none"/>
        </w:rPr>
        <w:t xml:space="preserve">agreement’s refund mechanisms are not properly tailored to the characteristics of a transmission-level, large-load energization. Large transmission-level customers can require expensive energization upgrades on a scale that is atypical for most customers subject to Electric Rule 15 refund practices. If refunds are paced too quickly relative to net revenues actually received, ratepayers can be exposed to stranded-cost risk if load materially declines after initial years of operation. </w:t>
      </w:r>
      <w:r w:rsidR="00400C1D">
        <w:rPr>
          <w:rFonts w:ascii="Palatino Linotype" w:hAnsi="Palatino Linotype" w:eastAsia="Palatino Linotype" w:cs="Times New Roman"/>
          <w:kern w:val="0"/>
          <w14:ligatures w14:val="none"/>
        </w:rPr>
        <w:t>In addition, if the customer</w:t>
      </w:r>
      <w:r w:rsidR="00DD3A01">
        <w:rPr>
          <w:rFonts w:ascii="Palatino Linotype" w:hAnsi="Palatino Linotype" w:eastAsia="Palatino Linotype" w:cs="Times New Roman"/>
          <w:kern w:val="0"/>
          <w14:ligatures w14:val="none"/>
        </w:rPr>
        <w:t>’s</w:t>
      </w:r>
      <w:r w:rsidR="00400C1D">
        <w:rPr>
          <w:rFonts w:ascii="Palatino Linotype" w:hAnsi="Palatino Linotype" w:eastAsia="Palatino Linotype" w:cs="Times New Roman"/>
          <w:kern w:val="0"/>
          <w14:ligatures w14:val="none"/>
        </w:rPr>
        <w:t xml:space="preserve"> capital advance is </w:t>
      </w:r>
      <w:r w:rsidR="00A353FE">
        <w:rPr>
          <w:rFonts w:ascii="Palatino Linotype" w:hAnsi="Palatino Linotype" w:eastAsia="Palatino Linotype" w:cs="Times New Roman"/>
          <w:kern w:val="0"/>
          <w14:ligatures w14:val="none"/>
        </w:rPr>
        <w:t xml:space="preserve">small compared to the actual costs of energization, </w:t>
      </w:r>
      <w:r w:rsidR="00DD70EB">
        <w:rPr>
          <w:rFonts w:ascii="Palatino Linotype" w:hAnsi="Palatino Linotype" w:eastAsia="Palatino Linotype" w:cs="Times New Roman"/>
          <w:kern w:val="0"/>
          <w14:ligatures w14:val="none"/>
        </w:rPr>
        <w:t>ratepayers</w:t>
      </w:r>
      <w:r w:rsidR="00A353FE">
        <w:rPr>
          <w:rFonts w:ascii="Palatino Linotype" w:hAnsi="Palatino Linotype" w:eastAsia="Palatino Linotype" w:cs="Times New Roman"/>
          <w:kern w:val="0"/>
          <w14:ligatures w14:val="none"/>
        </w:rPr>
        <w:t xml:space="preserve"> are exposed to stranded-cost risk</w:t>
      </w:r>
      <w:r w:rsidR="00DD3A01">
        <w:rPr>
          <w:rFonts w:ascii="Palatino Linotype" w:hAnsi="Palatino Linotype" w:eastAsia="Palatino Linotype" w:cs="Times New Roman"/>
          <w:kern w:val="0"/>
          <w14:ligatures w14:val="none"/>
        </w:rPr>
        <w:t xml:space="preserve"> </w:t>
      </w:r>
      <w:r w:rsidR="000D280D">
        <w:rPr>
          <w:rFonts w:ascii="Palatino Linotype" w:hAnsi="Palatino Linotype" w:eastAsia="Palatino Linotype" w:cs="Times New Roman"/>
          <w:kern w:val="0"/>
          <w14:ligatures w14:val="none"/>
        </w:rPr>
        <w:t>even if the</w:t>
      </w:r>
      <w:r w:rsidR="004776A2">
        <w:rPr>
          <w:rFonts w:ascii="Palatino Linotype" w:hAnsi="Palatino Linotype" w:eastAsia="Palatino Linotype" w:cs="Times New Roman"/>
          <w:kern w:val="0"/>
          <w14:ligatures w14:val="none"/>
        </w:rPr>
        <w:t xml:space="preserve"> customer</w:t>
      </w:r>
      <w:r w:rsidR="000D280D">
        <w:rPr>
          <w:rFonts w:ascii="Palatino Linotype" w:hAnsi="Palatino Linotype" w:eastAsia="Palatino Linotype" w:cs="Times New Roman"/>
          <w:kern w:val="0"/>
          <w14:ligatures w14:val="none"/>
        </w:rPr>
        <w:t xml:space="preserve"> never receive</w:t>
      </w:r>
      <w:r w:rsidR="004776A2">
        <w:rPr>
          <w:rFonts w:ascii="Palatino Linotype" w:hAnsi="Palatino Linotype" w:eastAsia="Palatino Linotype" w:cs="Times New Roman"/>
          <w:kern w:val="0"/>
          <w14:ligatures w14:val="none"/>
        </w:rPr>
        <w:t>s</w:t>
      </w:r>
      <w:r w:rsidR="000D280D">
        <w:rPr>
          <w:rFonts w:ascii="Palatino Linotype" w:hAnsi="Palatino Linotype" w:eastAsia="Palatino Linotype" w:cs="Times New Roman"/>
          <w:kern w:val="0"/>
          <w14:ligatures w14:val="none"/>
        </w:rPr>
        <w:t xml:space="preserve"> any refund amount</w:t>
      </w:r>
      <w:r w:rsidR="00DD3A01">
        <w:rPr>
          <w:rFonts w:ascii="Palatino Linotype" w:hAnsi="Palatino Linotype" w:eastAsia="Palatino Linotype" w:cs="Times New Roman"/>
          <w:kern w:val="0"/>
          <w14:ligatures w14:val="none"/>
        </w:rPr>
        <w:t xml:space="preserve">. </w:t>
      </w:r>
      <w:r w:rsidRPr="00B36B2C">
        <w:rPr>
          <w:rFonts w:ascii="Palatino Linotype" w:hAnsi="Palatino Linotype" w:eastAsia="Palatino Linotype" w:cs="Times New Roman"/>
          <w:kern w:val="0"/>
          <w14:ligatures w14:val="none"/>
        </w:rPr>
        <w:t xml:space="preserve">Accordingly, approval should include explicit, enforceable ratepayer protections designed for this project’s scale and </w:t>
      </w:r>
      <w:r w:rsidR="00AC082B">
        <w:rPr>
          <w:rFonts w:ascii="Palatino Linotype" w:hAnsi="Palatino Linotype" w:eastAsia="Palatino Linotype" w:cs="Times New Roman"/>
          <w:kern w:val="0"/>
          <w14:ligatures w14:val="none"/>
        </w:rPr>
        <w:t>exceptional characteristics</w:t>
      </w:r>
      <w:r w:rsidRPr="00B36B2C">
        <w:rPr>
          <w:rFonts w:ascii="Palatino Linotype" w:hAnsi="Palatino Linotype" w:eastAsia="Palatino Linotype" w:cs="Times New Roman"/>
          <w:kern w:val="0"/>
          <w14:ligatures w14:val="none"/>
        </w:rPr>
        <w:t>.</w:t>
      </w:r>
    </w:p>
    <w:p w:rsidRPr="00B36B2C" w:rsidR="00717000" w:rsidP="00B36B2C" w:rsidRDefault="00717000" w14:paraId="3F9A76CF" w14:textId="77777777">
      <w:pPr>
        <w:spacing w:after="0" w:line="240" w:lineRule="auto"/>
        <w:contextualSpacing/>
        <w:rPr>
          <w:rFonts w:ascii="Palatino Linotype" w:hAnsi="Palatino Linotype" w:eastAsia="Palatino Linotype" w:cs="Times New Roman"/>
          <w:kern w:val="0"/>
          <w14:ligatures w14:val="none"/>
        </w:rPr>
      </w:pPr>
    </w:p>
    <w:p w:rsidR="000D280D" w:rsidP="00B36B2C" w:rsidRDefault="00841337" w14:paraId="4FB5B0D7" w14:textId="55366725">
      <w:pPr>
        <w:spacing w:after="0" w:line="240" w:lineRule="auto"/>
        <w:contextualSpacing/>
        <w:rPr>
          <w:rFonts w:ascii="Palatino Linotype" w:hAnsi="Palatino Linotype" w:eastAsia="Palatino Linotype" w:cs="Times New Roman"/>
          <w:b/>
          <w:bCs/>
          <w:kern w:val="0"/>
          <w14:ligatures w14:val="none"/>
        </w:rPr>
      </w:pPr>
      <w:r>
        <w:rPr>
          <w:rFonts w:ascii="Palatino Linotype" w:hAnsi="Palatino Linotype" w:eastAsia="Palatino Linotype" w:cs="Times New Roman"/>
          <w:b/>
          <w:bCs/>
          <w:kern w:val="0"/>
          <w14:ligatures w14:val="none"/>
        </w:rPr>
        <w:t xml:space="preserve">Given the </w:t>
      </w:r>
      <w:r w:rsidR="000C3476">
        <w:rPr>
          <w:rFonts w:ascii="Palatino Linotype" w:hAnsi="Palatino Linotype" w:eastAsia="Palatino Linotype" w:cs="Times New Roman"/>
          <w:b/>
          <w:bCs/>
          <w:kern w:val="0"/>
          <w14:ligatures w14:val="none"/>
        </w:rPr>
        <w:t xml:space="preserve">Dependency of this Project on Larger Grid Upgrades, </w:t>
      </w:r>
      <w:r w:rsidR="00C018AF">
        <w:rPr>
          <w:rFonts w:ascii="Palatino Linotype" w:hAnsi="Palatino Linotype" w:eastAsia="Palatino Linotype" w:cs="Times New Roman"/>
          <w:b/>
          <w:bCs/>
          <w:kern w:val="0"/>
          <w14:ligatures w14:val="none"/>
        </w:rPr>
        <w:t xml:space="preserve">PG&amp;E and the Customer </w:t>
      </w:r>
      <w:r w:rsidR="00AE1B51">
        <w:rPr>
          <w:rFonts w:ascii="Palatino Linotype" w:hAnsi="Palatino Linotype" w:eastAsia="Palatino Linotype" w:cs="Times New Roman"/>
          <w:b/>
          <w:bCs/>
          <w:kern w:val="0"/>
          <w14:ligatures w14:val="none"/>
        </w:rPr>
        <w:t>Sh</w:t>
      </w:r>
      <w:r w:rsidR="00F52B08">
        <w:rPr>
          <w:rFonts w:ascii="Palatino Linotype" w:hAnsi="Palatino Linotype" w:eastAsia="Palatino Linotype" w:cs="Times New Roman"/>
          <w:b/>
          <w:bCs/>
          <w:kern w:val="0"/>
          <w14:ligatures w14:val="none"/>
        </w:rPr>
        <w:t>all</w:t>
      </w:r>
      <w:r w:rsidR="00C018AF">
        <w:rPr>
          <w:rFonts w:ascii="Palatino Linotype" w:hAnsi="Palatino Linotype" w:eastAsia="Palatino Linotype" w:cs="Times New Roman"/>
          <w:b/>
          <w:bCs/>
          <w:kern w:val="0"/>
          <w14:ligatures w14:val="none"/>
        </w:rPr>
        <w:t xml:space="preserve"> Agree to Handle </w:t>
      </w:r>
      <w:r w:rsidRPr="00C018AF" w:rsidR="00C018AF">
        <w:rPr>
          <w:rFonts w:ascii="Palatino Linotype" w:hAnsi="Palatino Linotype" w:eastAsia="Palatino Linotype" w:cs="Times New Roman"/>
          <w:b/>
          <w:bCs/>
          <w:kern w:val="0"/>
          <w14:ligatures w14:val="none"/>
        </w:rPr>
        <w:t xml:space="preserve">the </w:t>
      </w:r>
      <w:r w:rsidR="00C018AF">
        <w:rPr>
          <w:rFonts w:ascii="Palatino Linotype" w:hAnsi="Palatino Linotype" w:eastAsia="Palatino Linotype" w:cs="Times New Roman"/>
          <w:b/>
          <w:bCs/>
          <w:kern w:val="0"/>
          <w14:ligatures w14:val="none"/>
        </w:rPr>
        <w:t>C</w:t>
      </w:r>
      <w:r w:rsidRPr="00C018AF" w:rsidR="00C018AF">
        <w:rPr>
          <w:rFonts w:ascii="Palatino Linotype" w:hAnsi="Palatino Linotype" w:eastAsia="Palatino Linotype" w:cs="Times New Roman"/>
          <w:b/>
          <w:bCs/>
          <w:kern w:val="0"/>
          <w14:ligatures w14:val="none"/>
        </w:rPr>
        <w:t xml:space="preserve">osts </w:t>
      </w:r>
      <w:r w:rsidR="00C018AF">
        <w:rPr>
          <w:rFonts w:ascii="Palatino Linotype" w:hAnsi="Palatino Linotype" w:eastAsia="Palatino Linotype" w:cs="Times New Roman"/>
          <w:b/>
          <w:bCs/>
          <w:kern w:val="0"/>
          <w14:ligatures w14:val="none"/>
        </w:rPr>
        <w:t>A</w:t>
      </w:r>
      <w:r w:rsidRPr="00C018AF" w:rsidR="00C018AF">
        <w:rPr>
          <w:rFonts w:ascii="Palatino Linotype" w:hAnsi="Palatino Linotype" w:eastAsia="Palatino Linotype" w:cs="Times New Roman"/>
          <w:b/>
          <w:bCs/>
          <w:kern w:val="0"/>
          <w14:ligatures w14:val="none"/>
        </w:rPr>
        <w:t xml:space="preserve">ssociated with </w:t>
      </w:r>
      <w:r w:rsidR="00C018AF">
        <w:rPr>
          <w:rFonts w:ascii="Palatino Linotype" w:hAnsi="Palatino Linotype" w:eastAsia="Palatino Linotype" w:cs="Times New Roman"/>
          <w:b/>
          <w:bCs/>
          <w:kern w:val="0"/>
          <w14:ligatures w14:val="none"/>
        </w:rPr>
        <w:t>B</w:t>
      </w:r>
      <w:r w:rsidRPr="00C018AF" w:rsidR="00C018AF">
        <w:rPr>
          <w:rFonts w:ascii="Palatino Linotype" w:hAnsi="Palatino Linotype" w:eastAsia="Palatino Linotype" w:cs="Times New Roman"/>
          <w:b/>
          <w:bCs/>
          <w:kern w:val="0"/>
          <w14:ligatures w14:val="none"/>
        </w:rPr>
        <w:t xml:space="preserve">roader </w:t>
      </w:r>
      <w:r w:rsidR="00C018AF">
        <w:rPr>
          <w:rFonts w:ascii="Palatino Linotype" w:hAnsi="Palatino Linotype" w:eastAsia="Palatino Linotype" w:cs="Times New Roman"/>
          <w:b/>
          <w:bCs/>
          <w:kern w:val="0"/>
          <w14:ligatures w14:val="none"/>
        </w:rPr>
        <w:t>T</w:t>
      </w:r>
      <w:r w:rsidRPr="00C018AF" w:rsidR="00C018AF">
        <w:rPr>
          <w:rFonts w:ascii="Palatino Linotype" w:hAnsi="Palatino Linotype" w:eastAsia="Palatino Linotype" w:cs="Times New Roman"/>
          <w:b/>
          <w:bCs/>
          <w:kern w:val="0"/>
          <w14:ligatures w14:val="none"/>
        </w:rPr>
        <w:t xml:space="preserve">ransmission </w:t>
      </w:r>
      <w:r w:rsidR="00C018AF">
        <w:rPr>
          <w:rFonts w:ascii="Palatino Linotype" w:hAnsi="Palatino Linotype" w:eastAsia="Palatino Linotype" w:cs="Times New Roman"/>
          <w:b/>
          <w:bCs/>
          <w:kern w:val="0"/>
          <w14:ligatures w14:val="none"/>
        </w:rPr>
        <w:t>N</w:t>
      </w:r>
      <w:r w:rsidRPr="00C018AF" w:rsidR="00C018AF">
        <w:rPr>
          <w:rFonts w:ascii="Palatino Linotype" w:hAnsi="Palatino Linotype" w:eastAsia="Palatino Linotype" w:cs="Times New Roman"/>
          <w:b/>
          <w:bCs/>
          <w:kern w:val="0"/>
          <w14:ligatures w14:val="none"/>
        </w:rPr>
        <w:t xml:space="preserve">etwork </w:t>
      </w:r>
      <w:r w:rsidR="00C018AF">
        <w:rPr>
          <w:rFonts w:ascii="Palatino Linotype" w:hAnsi="Palatino Linotype" w:eastAsia="Palatino Linotype" w:cs="Times New Roman"/>
          <w:b/>
          <w:bCs/>
          <w:kern w:val="0"/>
          <w14:ligatures w14:val="none"/>
        </w:rPr>
        <w:t>U</w:t>
      </w:r>
      <w:r w:rsidRPr="00C018AF" w:rsidR="00C018AF">
        <w:rPr>
          <w:rFonts w:ascii="Palatino Linotype" w:hAnsi="Palatino Linotype" w:eastAsia="Palatino Linotype" w:cs="Times New Roman"/>
          <w:b/>
          <w:bCs/>
          <w:kern w:val="0"/>
          <w14:ligatures w14:val="none"/>
        </w:rPr>
        <w:t>pgrades</w:t>
      </w:r>
      <w:r w:rsidR="00C018AF">
        <w:rPr>
          <w:rFonts w:ascii="Palatino Linotype" w:hAnsi="Palatino Linotype" w:eastAsia="Palatino Linotype" w:cs="Times New Roman"/>
          <w:b/>
          <w:bCs/>
          <w:kern w:val="0"/>
          <w14:ligatures w14:val="none"/>
        </w:rPr>
        <w:t xml:space="preserve"> </w:t>
      </w:r>
      <w:r w:rsidRPr="00C018AF" w:rsidR="00C018AF">
        <w:rPr>
          <w:rFonts w:ascii="Palatino Linotype" w:hAnsi="Palatino Linotype" w:eastAsia="Palatino Linotype" w:cs="Times New Roman"/>
          <w:b/>
          <w:bCs/>
          <w:kern w:val="0"/>
          <w14:ligatures w14:val="none"/>
        </w:rPr>
        <w:t xml:space="preserve">in </w:t>
      </w:r>
      <w:r w:rsidR="00C018AF">
        <w:rPr>
          <w:rFonts w:ascii="Palatino Linotype" w:hAnsi="Palatino Linotype" w:eastAsia="Palatino Linotype" w:cs="Times New Roman"/>
          <w:b/>
          <w:bCs/>
          <w:kern w:val="0"/>
          <w14:ligatures w14:val="none"/>
        </w:rPr>
        <w:t>A</w:t>
      </w:r>
      <w:r w:rsidRPr="00C018AF" w:rsidR="00C018AF">
        <w:rPr>
          <w:rFonts w:ascii="Palatino Linotype" w:hAnsi="Palatino Linotype" w:eastAsia="Palatino Linotype" w:cs="Times New Roman"/>
          <w:b/>
          <w:bCs/>
          <w:kern w:val="0"/>
          <w14:ligatures w14:val="none"/>
        </w:rPr>
        <w:t xml:space="preserve">ccordance with the </w:t>
      </w:r>
      <w:r w:rsidR="00C018AF">
        <w:rPr>
          <w:rFonts w:ascii="Palatino Linotype" w:hAnsi="Palatino Linotype" w:eastAsia="Palatino Linotype" w:cs="Times New Roman"/>
          <w:b/>
          <w:bCs/>
          <w:kern w:val="0"/>
          <w14:ligatures w14:val="none"/>
        </w:rPr>
        <w:t>O</w:t>
      </w:r>
      <w:r w:rsidRPr="00C018AF" w:rsidR="00C018AF">
        <w:rPr>
          <w:rFonts w:ascii="Palatino Linotype" w:hAnsi="Palatino Linotype" w:eastAsia="Palatino Linotype" w:cs="Times New Roman"/>
          <w:b/>
          <w:bCs/>
          <w:kern w:val="0"/>
          <w14:ligatures w14:val="none"/>
        </w:rPr>
        <w:t xml:space="preserve">utcome in the </w:t>
      </w:r>
      <w:r w:rsidR="00345654">
        <w:rPr>
          <w:rFonts w:ascii="Palatino Linotype" w:hAnsi="Palatino Linotype" w:eastAsia="Palatino Linotype" w:cs="Times New Roman"/>
          <w:b/>
          <w:bCs/>
          <w:kern w:val="0"/>
          <w14:ligatures w14:val="none"/>
        </w:rPr>
        <w:t>Rule 30 proceeding</w:t>
      </w:r>
      <w:r w:rsidR="00586D29">
        <w:rPr>
          <w:rFonts w:ascii="Palatino Linotype" w:hAnsi="Palatino Linotype" w:eastAsia="Palatino Linotype" w:cs="Times New Roman"/>
          <w:b/>
          <w:bCs/>
          <w:kern w:val="0"/>
          <w14:ligatures w14:val="none"/>
        </w:rPr>
        <w:t>.</w:t>
      </w:r>
    </w:p>
    <w:p w:rsidR="00586D29" w:rsidP="00B36B2C" w:rsidRDefault="00586D29" w14:paraId="35B0E663" w14:textId="77777777">
      <w:pPr>
        <w:spacing w:after="0" w:line="240" w:lineRule="auto"/>
        <w:contextualSpacing/>
        <w:rPr>
          <w:rFonts w:ascii="Palatino Linotype" w:hAnsi="Palatino Linotype" w:eastAsia="Palatino Linotype" w:cs="Times New Roman"/>
          <w:b/>
          <w:bCs/>
          <w:kern w:val="0"/>
          <w14:ligatures w14:val="none"/>
        </w:rPr>
      </w:pPr>
    </w:p>
    <w:p w:rsidR="00586D29" w:rsidP="00B36B2C" w:rsidRDefault="009E7653" w14:paraId="7E051B06" w14:textId="64A75708">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In its protest, Cal Advocates </w:t>
      </w:r>
      <w:r w:rsidR="000D284C">
        <w:rPr>
          <w:rFonts w:ascii="Palatino Linotype" w:hAnsi="Palatino Linotype" w:eastAsia="Palatino Linotype" w:cs="Times New Roman"/>
          <w:kern w:val="0"/>
          <w14:ligatures w14:val="none"/>
        </w:rPr>
        <w:t xml:space="preserve">notes that </w:t>
      </w:r>
      <w:r w:rsidR="00B27F3B">
        <w:rPr>
          <w:rFonts w:ascii="Palatino Linotype" w:hAnsi="Palatino Linotype" w:eastAsia="Palatino Linotype" w:cs="Times New Roman"/>
          <w:kern w:val="0"/>
          <w14:ligatures w14:val="none"/>
        </w:rPr>
        <w:t>this project presents the same risks as the transmission-level, large-load energizations for customers STACK Infrastructure and Microsoft approved in Resolutions E-</w:t>
      </w:r>
      <w:r w:rsidR="0086162D">
        <w:rPr>
          <w:rFonts w:ascii="Palatino Linotype" w:hAnsi="Palatino Linotype" w:eastAsia="Palatino Linotype" w:cs="Times New Roman"/>
          <w:kern w:val="0"/>
          <w14:ligatures w14:val="none"/>
        </w:rPr>
        <w:t xml:space="preserve">5420 and E-5439. However, Cal Advocates notes that </w:t>
      </w:r>
      <w:r w:rsidR="00972215">
        <w:rPr>
          <w:rFonts w:ascii="Palatino Linotype" w:hAnsi="Palatino Linotype" w:eastAsia="Palatino Linotype" w:cs="Times New Roman"/>
          <w:kern w:val="0"/>
          <w14:ligatures w14:val="none"/>
        </w:rPr>
        <w:t xml:space="preserve">the 250 MW project under consideration here is </w:t>
      </w:r>
      <w:r w:rsidR="00DD6B07">
        <w:rPr>
          <w:rFonts w:ascii="Palatino Linotype" w:hAnsi="Palatino Linotype" w:eastAsia="Palatino Linotype" w:cs="Times New Roman"/>
          <w:kern w:val="0"/>
          <w14:ligatures w14:val="none"/>
        </w:rPr>
        <w:t>“</w:t>
      </w:r>
      <w:r w:rsidRPr="00DD6B07" w:rsidR="00DD6B07">
        <w:rPr>
          <w:rFonts w:ascii="Palatino Linotype" w:hAnsi="Palatino Linotype" w:eastAsia="Palatino Linotype" w:cs="Times New Roman"/>
          <w:kern w:val="0"/>
          <w14:ligatures w14:val="none"/>
        </w:rPr>
        <w:t xml:space="preserve">larger than the STACK and </w:t>
      </w:r>
      <w:r w:rsidRPr="00DD6B07" w:rsidR="00DD6B07">
        <w:rPr>
          <w:rFonts w:ascii="Palatino Linotype" w:hAnsi="Palatino Linotype" w:eastAsia="Palatino Linotype" w:cs="Times New Roman"/>
          <w:kern w:val="0"/>
          <w14:ligatures w14:val="none"/>
        </w:rPr>
        <w:lastRenderedPageBreak/>
        <w:t>Microsoft facilities combined</w:t>
      </w:r>
      <w:r w:rsidR="00DD6B07">
        <w:rPr>
          <w:rFonts w:ascii="Palatino Linotype" w:hAnsi="Palatino Linotype" w:eastAsia="Palatino Linotype" w:cs="Times New Roman"/>
          <w:kern w:val="0"/>
          <w14:ligatures w14:val="none"/>
        </w:rPr>
        <w:t>.”</w:t>
      </w:r>
      <w:r w:rsidR="00DD6B07">
        <w:rPr>
          <w:rStyle w:val="FootnoteReference"/>
          <w:rFonts w:ascii="Palatino Linotype" w:hAnsi="Palatino Linotype" w:eastAsia="Palatino Linotype" w:cs="Times New Roman"/>
          <w:kern w:val="0"/>
          <w14:ligatures w14:val="none"/>
        </w:rPr>
        <w:footnoteReference w:id="5"/>
      </w:r>
      <w:r w:rsidR="00DD6B07">
        <w:rPr>
          <w:rFonts w:ascii="Palatino Linotype" w:hAnsi="Palatino Linotype" w:eastAsia="Palatino Linotype" w:cs="Times New Roman"/>
          <w:kern w:val="0"/>
          <w14:ligatures w14:val="none"/>
        </w:rPr>
        <w:t xml:space="preserve"> In addition, Cal Advocates notes that the Google facility </w:t>
      </w:r>
      <w:r w:rsidR="00AE2204">
        <w:rPr>
          <w:rFonts w:ascii="Palatino Linotype" w:hAnsi="Palatino Linotype" w:eastAsia="Palatino Linotype" w:cs="Times New Roman"/>
          <w:kern w:val="0"/>
          <w14:ligatures w14:val="none"/>
        </w:rPr>
        <w:t>will benefit from new planned transmission capacity pr</w:t>
      </w:r>
      <w:r w:rsidR="00933B14">
        <w:rPr>
          <w:rFonts w:ascii="Palatino Linotype" w:hAnsi="Palatino Linotype" w:eastAsia="Palatino Linotype" w:cs="Times New Roman"/>
          <w:kern w:val="0"/>
          <w14:ligatures w14:val="none"/>
        </w:rPr>
        <w:t xml:space="preserve">ovided by LS Power’s Newark-NRS 230 kV </w:t>
      </w:r>
      <w:r w:rsidR="00D260EC">
        <w:rPr>
          <w:rFonts w:ascii="Palatino Linotype" w:hAnsi="Palatino Linotype" w:eastAsia="Palatino Linotype" w:cs="Times New Roman"/>
          <w:kern w:val="0"/>
          <w14:ligatures w14:val="none"/>
        </w:rPr>
        <w:t>transmission line, a “more than $1 billion project</w:t>
      </w:r>
      <w:r w:rsidR="00C6781C">
        <w:rPr>
          <w:rFonts w:ascii="Palatino Linotype" w:hAnsi="Palatino Linotype" w:eastAsia="Palatino Linotype" w:cs="Times New Roman"/>
          <w:kern w:val="0"/>
          <w14:ligatures w14:val="none"/>
        </w:rPr>
        <w:t>.”</w:t>
      </w:r>
      <w:r w:rsidR="00D260EC">
        <w:rPr>
          <w:rStyle w:val="FootnoteReference"/>
          <w:rFonts w:ascii="Palatino Linotype" w:hAnsi="Palatino Linotype" w:eastAsia="Palatino Linotype" w:cs="Times New Roman"/>
          <w:kern w:val="0"/>
          <w14:ligatures w14:val="none"/>
        </w:rPr>
        <w:footnoteReference w:id="6"/>
      </w:r>
      <w:r w:rsidR="00C6781C">
        <w:rPr>
          <w:rFonts w:ascii="Palatino Linotype" w:hAnsi="Palatino Linotype" w:eastAsia="Palatino Linotype" w:cs="Times New Roman"/>
          <w:kern w:val="0"/>
          <w14:ligatures w14:val="none"/>
        </w:rPr>
        <w:t xml:space="preserve"> </w:t>
      </w:r>
      <w:r w:rsidR="003725DD">
        <w:rPr>
          <w:rFonts w:ascii="Palatino Linotype" w:hAnsi="Palatino Linotype" w:eastAsia="Palatino Linotype" w:cs="Times New Roman"/>
          <w:kern w:val="0"/>
          <w14:ligatures w14:val="none"/>
        </w:rPr>
        <w:t xml:space="preserve">In fact, the new </w:t>
      </w:r>
      <w:r w:rsidR="0030610D">
        <w:rPr>
          <w:rFonts w:ascii="Palatino Linotype" w:hAnsi="Palatino Linotype" w:eastAsia="Palatino Linotype" w:cs="Times New Roman"/>
          <w:kern w:val="0"/>
          <w14:ligatures w14:val="none"/>
        </w:rPr>
        <w:br/>
      </w:r>
      <w:r w:rsidR="003725DD">
        <w:rPr>
          <w:rFonts w:ascii="Palatino Linotype" w:hAnsi="Palatino Linotype" w:eastAsia="Palatino Linotype" w:cs="Times New Roman"/>
          <w:kern w:val="0"/>
          <w14:ligatures w14:val="none"/>
        </w:rPr>
        <w:t xml:space="preserve">250 MW </w:t>
      </w:r>
      <w:r w:rsidR="00A82612">
        <w:rPr>
          <w:rFonts w:ascii="Palatino Linotype" w:hAnsi="Palatino Linotype" w:eastAsia="Palatino Linotype" w:cs="Times New Roman"/>
          <w:kern w:val="0"/>
          <w14:ligatures w14:val="none"/>
        </w:rPr>
        <w:t>facility</w:t>
      </w:r>
      <w:r w:rsidR="003725DD">
        <w:rPr>
          <w:rFonts w:ascii="Palatino Linotype" w:hAnsi="Palatino Linotype" w:eastAsia="Palatino Linotype" w:cs="Times New Roman"/>
          <w:kern w:val="0"/>
          <w14:ligatures w14:val="none"/>
        </w:rPr>
        <w:t xml:space="preserve"> will connect directly to this new transmission line</w:t>
      </w:r>
      <w:r w:rsidR="00465BF1">
        <w:rPr>
          <w:rFonts w:ascii="Palatino Linotype" w:hAnsi="Palatino Linotype" w:eastAsia="Palatino Linotype" w:cs="Times New Roman"/>
          <w:kern w:val="0"/>
          <w14:ligatures w14:val="none"/>
        </w:rPr>
        <w:t>, which is expected to be operational in 2028</w:t>
      </w:r>
      <w:r w:rsidR="000232D3">
        <w:rPr>
          <w:rFonts w:ascii="Palatino Linotype" w:hAnsi="Palatino Linotype" w:eastAsia="Palatino Linotype" w:cs="Times New Roman"/>
          <w:kern w:val="0"/>
          <w14:ligatures w14:val="none"/>
        </w:rPr>
        <w:t xml:space="preserve"> with a total capacity of about 1000 MW</w:t>
      </w:r>
      <w:r w:rsidR="00465BF1">
        <w:rPr>
          <w:rFonts w:ascii="Palatino Linotype" w:hAnsi="Palatino Linotype" w:eastAsia="Palatino Linotype" w:cs="Times New Roman"/>
          <w:kern w:val="0"/>
          <w14:ligatures w14:val="none"/>
        </w:rPr>
        <w:t>.</w:t>
      </w:r>
      <w:r w:rsidR="002803D0">
        <w:rPr>
          <w:rFonts w:ascii="Palatino Linotype" w:hAnsi="Palatino Linotype" w:eastAsia="Palatino Linotype" w:cs="Times New Roman"/>
          <w:kern w:val="0"/>
          <w14:ligatures w14:val="none"/>
        </w:rPr>
        <w:t xml:space="preserve"> </w:t>
      </w:r>
      <w:r w:rsidR="00A54341">
        <w:rPr>
          <w:rFonts w:ascii="Palatino Linotype" w:hAnsi="Palatino Linotype" w:eastAsia="Palatino Linotype" w:cs="Times New Roman"/>
          <w:kern w:val="0"/>
          <w14:ligatures w14:val="none"/>
        </w:rPr>
        <w:t xml:space="preserve">In its protest, </w:t>
      </w:r>
      <w:r w:rsidR="002803D0">
        <w:rPr>
          <w:rFonts w:ascii="Palatino Linotype" w:hAnsi="Palatino Linotype" w:eastAsia="Palatino Linotype" w:cs="Times New Roman"/>
          <w:kern w:val="0"/>
          <w14:ligatures w14:val="none"/>
        </w:rPr>
        <w:t>Cal Advocates</w:t>
      </w:r>
      <w:r w:rsidR="00A54341">
        <w:rPr>
          <w:rFonts w:ascii="Palatino Linotype" w:hAnsi="Palatino Linotype" w:eastAsia="Palatino Linotype" w:cs="Times New Roman"/>
          <w:kern w:val="0"/>
          <w14:ligatures w14:val="none"/>
        </w:rPr>
        <w:t xml:space="preserve"> also</w:t>
      </w:r>
      <w:r w:rsidR="002803D0">
        <w:rPr>
          <w:rFonts w:ascii="Palatino Linotype" w:hAnsi="Palatino Linotype" w:eastAsia="Palatino Linotype" w:cs="Times New Roman"/>
          <w:kern w:val="0"/>
          <w14:ligatures w14:val="none"/>
        </w:rPr>
        <w:t xml:space="preserve"> notes that </w:t>
      </w:r>
      <w:r w:rsidR="009047FF">
        <w:rPr>
          <w:rFonts w:ascii="Palatino Linotype" w:hAnsi="Palatino Linotype" w:eastAsia="Palatino Linotype" w:cs="Times New Roman"/>
          <w:kern w:val="0"/>
          <w14:ligatures w14:val="none"/>
        </w:rPr>
        <w:t>the revenue requirement</w:t>
      </w:r>
      <w:r w:rsidR="000E3126">
        <w:rPr>
          <w:rFonts w:ascii="Palatino Linotype" w:hAnsi="Palatino Linotype" w:eastAsia="Palatino Linotype" w:cs="Times New Roman"/>
          <w:kern w:val="0"/>
          <w14:ligatures w14:val="none"/>
        </w:rPr>
        <w:t xml:space="preserve"> associated with </w:t>
      </w:r>
      <w:r w:rsidR="00696095">
        <w:rPr>
          <w:rFonts w:ascii="Palatino Linotype" w:hAnsi="Palatino Linotype" w:eastAsia="Palatino Linotype" w:cs="Times New Roman"/>
          <w:kern w:val="0"/>
          <w14:ligatures w14:val="none"/>
        </w:rPr>
        <w:t xml:space="preserve">the Newark-NRS </w:t>
      </w:r>
      <w:r w:rsidR="005F7F57">
        <w:rPr>
          <w:rFonts w:ascii="Palatino Linotype" w:hAnsi="Palatino Linotype" w:eastAsia="Palatino Linotype" w:cs="Times New Roman"/>
          <w:kern w:val="0"/>
          <w14:ligatures w14:val="none"/>
        </w:rPr>
        <w:t xml:space="preserve">transmission line </w:t>
      </w:r>
      <w:r w:rsidR="00696095">
        <w:rPr>
          <w:rFonts w:ascii="Palatino Linotype" w:hAnsi="Palatino Linotype" w:eastAsia="Palatino Linotype" w:cs="Times New Roman"/>
          <w:kern w:val="0"/>
          <w14:ligatures w14:val="none"/>
        </w:rPr>
        <w:t>project</w:t>
      </w:r>
      <w:r w:rsidR="009047FF">
        <w:rPr>
          <w:rFonts w:ascii="Palatino Linotype" w:hAnsi="Palatino Linotype" w:eastAsia="Palatino Linotype" w:cs="Times New Roman"/>
          <w:kern w:val="0"/>
          <w14:ligatures w14:val="none"/>
        </w:rPr>
        <w:t xml:space="preserve">, paid for by all </w:t>
      </w:r>
      <w:r w:rsidR="000E3126">
        <w:rPr>
          <w:rFonts w:ascii="Palatino Linotype" w:hAnsi="Palatino Linotype" w:eastAsia="Palatino Linotype" w:cs="Times New Roman"/>
          <w:kern w:val="0"/>
          <w14:ligatures w14:val="none"/>
        </w:rPr>
        <w:t xml:space="preserve">ratepayers within the CAISO system, </w:t>
      </w:r>
      <w:r w:rsidR="005F7F57">
        <w:rPr>
          <w:rFonts w:ascii="Palatino Linotype" w:hAnsi="Palatino Linotype" w:eastAsia="Palatino Linotype" w:cs="Times New Roman"/>
          <w:kern w:val="0"/>
          <w14:ligatures w14:val="none"/>
        </w:rPr>
        <w:t>will be capped</w:t>
      </w:r>
      <w:r w:rsidR="00701768">
        <w:rPr>
          <w:rFonts w:ascii="Palatino Linotype" w:hAnsi="Palatino Linotype" w:eastAsia="Palatino Linotype" w:cs="Times New Roman"/>
          <w:kern w:val="0"/>
          <w14:ligatures w14:val="none"/>
        </w:rPr>
        <w:t xml:space="preserve"> at $102 million </w:t>
      </w:r>
      <w:r w:rsidR="00215850">
        <w:rPr>
          <w:rFonts w:ascii="Palatino Linotype" w:hAnsi="Palatino Linotype" w:eastAsia="Palatino Linotype" w:cs="Times New Roman"/>
          <w:kern w:val="0"/>
          <w14:ligatures w14:val="none"/>
        </w:rPr>
        <w:t>during year one, decreasing to $41 million in year forty.</w:t>
      </w:r>
      <w:r w:rsidR="00215850">
        <w:rPr>
          <w:rStyle w:val="FootnoteReference"/>
          <w:rFonts w:ascii="Palatino Linotype" w:hAnsi="Palatino Linotype" w:eastAsia="Palatino Linotype" w:cs="Times New Roman"/>
          <w:kern w:val="0"/>
          <w14:ligatures w14:val="none"/>
        </w:rPr>
        <w:footnoteReference w:id="7"/>
      </w:r>
      <w:r w:rsidR="00215850">
        <w:rPr>
          <w:rFonts w:ascii="Palatino Linotype" w:hAnsi="Palatino Linotype" w:eastAsia="Palatino Linotype" w:cs="Times New Roman"/>
          <w:kern w:val="0"/>
          <w14:ligatures w14:val="none"/>
        </w:rPr>
        <w:t xml:space="preserve"> </w:t>
      </w:r>
      <w:r w:rsidR="00693A4F">
        <w:rPr>
          <w:rFonts w:ascii="Palatino Linotype" w:hAnsi="Palatino Linotype" w:eastAsia="Palatino Linotype" w:cs="Times New Roman"/>
          <w:kern w:val="0"/>
          <w14:ligatures w14:val="none"/>
        </w:rPr>
        <w:t xml:space="preserve">In other words, ratepayers </w:t>
      </w:r>
      <w:r w:rsidR="00844C39">
        <w:rPr>
          <w:rFonts w:ascii="Palatino Linotype" w:hAnsi="Palatino Linotype" w:eastAsia="Palatino Linotype" w:cs="Times New Roman"/>
          <w:kern w:val="0"/>
          <w14:ligatures w14:val="none"/>
        </w:rPr>
        <w:t xml:space="preserve">statewide </w:t>
      </w:r>
      <w:r w:rsidR="00693A4F">
        <w:rPr>
          <w:rFonts w:ascii="Palatino Linotype" w:hAnsi="Palatino Linotype" w:eastAsia="Palatino Linotype" w:cs="Times New Roman"/>
          <w:kern w:val="0"/>
          <w14:ligatures w14:val="none"/>
        </w:rPr>
        <w:t xml:space="preserve">would be expected to cover about $100 million </w:t>
      </w:r>
      <w:r w:rsidR="00F17055">
        <w:rPr>
          <w:rFonts w:ascii="Palatino Linotype" w:hAnsi="Palatino Linotype" w:eastAsia="Palatino Linotype" w:cs="Times New Roman"/>
          <w:kern w:val="0"/>
          <w14:ligatures w14:val="none"/>
        </w:rPr>
        <w:t>every year in</w:t>
      </w:r>
      <w:r w:rsidR="00ED7AB3">
        <w:rPr>
          <w:rFonts w:ascii="Palatino Linotype" w:hAnsi="Palatino Linotype" w:eastAsia="Palatino Linotype" w:cs="Times New Roman"/>
          <w:kern w:val="0"/>
          <w14:ligatures w14:val="none"/>
        </w:rPr>
        <w:t xml:space="preserve"> revenue requirement for </w:t>
      </w:r>
      <w:r w:rsidR="008A2B7D">
        <w:rPr>
          <w:rFonts w:ascii="Palatino Linotype" w:hAnsi="Palatino Linotype" w:eastAsia="Palatino Linotype" w:cs="Times New Roman"/>
          <w:kern w:val="0"/>
          <w14:ligatures w14:val="none"/>
        </w:rPr>
        <w:t>the Newark-NRS project</w:t>
      </w:r>
      <w:r w:rsidR="003E36BD">
        <w:rPr>
          <w:rFonts w:ascii="Palatino Linotype" w:hAnsi="Palatino Linotype" w:eastAsia="Palatino Linotype" w:cs="Times New Roman"/>
          <w:kern w:val="0"/>
          <w14:ligatures w14:val="none"/>
        </w:rPr>
        <w:t xml:space="preserve"> once operational</w:t>
      </w:r>
      <w:r w:rsidR="00C16BF1">
        <w:rPr>
          <w:rFonts w:ascii="Palatino Linotype" w:hAnsi="Palatino Linotype" w:eastAsia="Palatino Linotype" w:cs="Times New Roman"/>
          <w:kern w:val="0"/>
          <w14:ligatures w14:val="none"/>
        </w:rPr>
        <w:t xml:space="preserve">, </w:t>
      </w:r>
      <w:r w:rsidR="008A2B7D">
        <w:rPr>
          <w:rFonts w:ascii="Palatino Linotype" w:hAnsi="Palatino Linotype" w:eastAsia="Palatino Linotype" w:cs="Times New Roman"/>
          <w:kern w:val="0"/>
          <w14:ligatures w14:val="none"/>
        </w:rPr>
        <w:t xml:space="preserve">with that amount </w:t>
      </w:r>
      <w:r w:rsidR="00F36178">
        <w:rPr>
          <w:rFonts w:ascii="Palatino Linotype" w:hAnsi="Palatino Linotype" w:eastAsia="Palatino Linotype" w:cs="Times New Roman"/>
          <w:kern w:val="0"/>
          <w14:ligatures w14:val="none"/>
        </w:rPr>
        <w:t xml:space="preserve">slowly </w:t>
      </w:r>
      <w:r w:rsidR="00C16BF1">
        <w:rPr>
          <w:rFonts w:ascii="Palatino Linotype" w:hAnsi="Palatino Linotype" w:eastAsia="Palatino Linotype" w:cs="Times New Roman"/>
          <w:kern w:val="0"/>
          <w14:ligatures w14:val="none"/>
        </w:rPr>
        <w:t xml:space="preserve">decreasing </w:t>
      </w:r>
      <w:r w:rsidR="00F36178">
        <w:rPr>
          <w:rFonts w:ascii="Palatino Linotype" w:hAnsi="Palatino Linotype" w:eastAsia="Palatino Linotype" w:cs="Times New Roman"/>
          <w:kern w:val="0"/>
          <w14:ligatures w14:val="none"/>
        </w:rPr>
        <w:t xml:space="preserve">year by year </w:t>
      </w:r>
      <w:r w:rsidR="00C16BF1">
        <w:rPr>
          <w:rFonts w:ascii="Palatino Linotype" w:hAnsi="Palatino Linotype" w:eastAsia="Palatino Linotype" w:cs="Times New Roman"/>
          <w:kern w:val="0"/>
          <w14:ligatures w14:val="none"/>
        </w:rPr>
        <w:t xml:space="preserve">to about $40 million </w:t>
      </w:r>
      <w:r w:rsidR="003E36BD">
        <w:rPr>
          <w:rFonts w:ascii="Palatino Linotype" w:hAnsi="Palatino Linotype" w:eastAsia="Palatino Linotype" w:cs="Times New Roman"/>
          <w:kern w:val="0"/>
          <w14:ligatures w14:val="none"/>
        </w:rPr>
        <w:t>by</w:t>
      </w:r>
      <w:r w:rsidR="00F36178">
        <w:rPr>
          <w:rFonts w:ascii="Palatino Linotype" w:hAnsi="Palatino Linotype" w:eastAsia="Palatino Linotype" w:cs="Times New Roman"/>
          <w:kern w:val="0"/>
          <w14:ligatures w14:val="none"/>
        </w:rPr>
        <w:t xml:space="preserve"> the year 2070.</w:t>
      </w:r>
      <w:r w:rsidR="00321D8C">
        <w:rPr>
          <w:rStyle w:val="FootnoteReference"/>
          <w:rFonts w:ascii="Palatino Linotype" w:hAnsi="Palatino Linotype" w:eastAsia="Palatino Linotype" w:cs="Times New Roman"/>
          <w:kern w:val="0"/>
          <w14:ligatures w14:val="none"/>
        </w:rPr>
        <w:footnoteReference w:id="8"/>
      </w:r>
      <w:r w:rsidR="00F36178">
        <w:rPr>
          <w:rFonts w:ascii="Palatino Linotype" w:hAnsi="Palatino Linotype" w:eastAsia="Palatino Linotype" w:cs="Times New Roman"/>
          <w:kern w:val="0"/>
          <w14:ligatures w14:val="none"/>
        </w:rPr>
        <w:t xml:space="preserve"> </w:t>
      </w:r>
      <w:r w:rsidR="000479D9">
        <w:rPr>
          <w:rFonts w:ascii="Palatino Linotype" w:hAnsi="Palatino Linotype" w:eastAsia="Palatino Linotype" w:cs="Times New Roman"/>
          <w:kern w:val="0"/>
          <w14:ligatures w14:val="none"/>
        </w:rPr>
        <w:t xml:space="preserve">These </w:t>
      </w:r>
      <w:r w:rsidR="00B722E8">
        <w:rPr>
          <w:rFonts w:ascii="Palatino Linotype" w:hAnsi="Palatino Linotype" w:eastAsia="Palatino Linotype" w:cs="Times New Roman"/>
          <w:kern w:val="0"/>
          <w14:ligatures w14:val="none"/>
        </w:rPr>
        <w:t>revenue requirement</w:t>
      </w:r>
      <w:r w:rsidR="000479D9">
        <w:rPr>
          <w:rFonts w:ascii="Palatino Linotype" w:hAnsi="Palatino Linotype" w:eastAsia="Palatino Linotype" w:cs="Times New Roman"/>
          <w:kern w:val="0"/>
          <w14:ligatures w14:val="none"/>
        </w:rPr>
        <w:t xml:space="preserve"> caps have already been approved by FERC, a</w:t>
      </w:r>
      <w:r w:rsidR="00453E25">
        <w:rPr>
          <w:rFonts w:ascii="Palatino Linotype" w:hAnsi="Palatino Linotype" w:eastAsia="Palatino Linotype" w:cs="Times New Roman"/>
          <w:kern w:val="0"/>
          <w14:ligatures w14:val="none"/>
        </w:rPr>
        <w:t>cc</w:t>
      </w:r>
      <w:r w:rsidR="00065170">
        <w:rPr>
          <w:rFonts w:ascii="Palatino Linotype" w:hAnsi="Palatino Linotype" w:eastAsia="Palatino Linotype" w:cs="Times New Roman"/>
          <w:kern w:val="0"/>
          <w14:ligatures w14:val="none"/>
        </w:rPr>
        <w:t>ording to D</w:t>
      </w:r>
      <w:r w:rsidR="006860F0">
        <w:rPr>
          <w:rFonts w:ascii="Palatino Linotype" w:hAnsi="Palatino Linotype" w:eastAsia="Palatino Linotype" w:cs="Times New Roman"/>
          <w:kern w:val="0"/>
          <w14:ligatures w14:val="none"/>
        </w:rPr>
        <w:t xml:space="preserve">. </w:t>
      </w:r>
      <w:r w:rsidRPr="00065170" w:rsidR="00065170">
        <w:rPr>
          <w:rFonts w:ascii="Palatino Linotype" w:hAnsi="Palatino Linotype" w:eastAsia="Palatino Linotype" w:cs="Times New Roman"/>
          <w:kern w:val="0"/>
          <w14:ligatures w14:val="none"/>
        </w:rPr>
        <w:t>26</w:t>
      </w:r>
      <w:r w:rsidR="006860F0">
        <w:rPr>
          <w:rFonts w:ascii="Palatino Linotype" w:hAnsi="Palatino Linotype" w:eastAsia="Palatino Linotype" w:cs="Times New Roman"/>
          <w:kern w:val="0"/>
          <w14:ligatures w14:val="none"/>
        </w:rPr>
        <w:t>-</w:t>
      </w:r>
      <w:r w:rsidRPr="00065170" w:rsidR="00065170">
        <w:rPr>
          <w:rFonts w:ascii="Palatino Linotype" w:hAnsi="Palatino Linotype" w:eastAsia="Palatino Linotype" w:cs="Times New Roman"/>
          <w:kern w:val="0"/>
          <w14:ligatures w14:val="none"/>
        </w:rPr>
        <w:t>03</w:t>
      </w:r>
      <w:r w:rsidR="006860F0">
        <w:rPr>
          <w:rFonts w:ascii="Palatino Linotype" w:hAnsi="Palatino Linotype" w:eastAsia="Palatino Linotype" w:cs="Times New Roman"/>
          <w:kern w:val="0"/>
          <w14:ligatures w14:val="none"/>
        </w:rPr>
        <w:t>-</w:t>
      </w:r>
      <w:r w:rsidRPr="00065170" w:rsidR="00065170">
        <w:rPr>
          <w:rFonts w:ascii="Palatino Linotype" w:hAnsi="Palatino Linotype" w:eastAsia="Palatino Linotype" w:cs="Times New Roman"/>
          <w:kern w:val="0"/>
          <w14:ligatures w14:val="none"/>
        </w:rPr>
        <w:t>043</w:t>
      </w:r>
      <w:r w:rsidR="006860F0">
        <w:rPr>
          <w:rFonts w:ascii="Palatino Linotype" w:hAnsi="Palatino Linotype" w:eastAsia="Palatino Linotype" w:cs="Times New Roman"/>
          <w:kern w:val="0"/>
          <w14:ligatures w14:val="none"/>
        </w:rPr>
        <w:t>, which approved the Certificate of Public Convenience and Necessity</w:t>
      </w:r>
      <w:r w:rsidR="00292EEF">
        <w:rPr>
          <w:rFonts w:ascii="Palatino Linotype" w:hAnsi="Palatino Linotype" w:eastAsia="Palatino Linotype" w:cs="Times New Roman"/>
          <w:kern w:val="0"/>
          <w14:ligatures w14:val="none"/>
        </w:rPr>
        <w:t xml:space="preserve"> (CPCN)</w:t>
      </w:r>
      <w:r w:rsidR="006860F0">
        <w:rPr>
          <w:rFonts w:ascii="Palatino Linotype" w:hAnsi="Palatino Linotype" w:eastAsia="Palatino Linotype" w:cs="Times New Roman"/>
          <w:kern w:val="0"/>
          <w14:ligatures w14:val="none"/>
        </w:rPr>
        <w:t xml:space="preserve"> for the </w:t>
      </w:r>
      <w:r w:rsidR="000479D9">
        <w:rPr>
          <w:rFonts w:ascii="Palatino Linotype" w:hAnsi="Palatino Linotype" w:eastAsia="Palatino Linotype" w:cs="Times New Roman"/>
          <w:kern w:val="0"/>
          <w14:ligatures w14:val="none"/>
        </w:rPr>
        <w:t xml:space="preserve">Newark-NRS </w:t>
      </w:r>
      <w:r w:rsidR="006860F0">
        <w:rPr>
          <w:rFonts w:ascii="Palatino Linotype" w:hAnsi="Palatino Linotype" w:eastAsia="Palatino Linotype" w:cs="Times New Roman"/>
          <w:kern w:val="0"/>
          <w14:ligatures w14:val="none"/>
        </w:rPr>
        <w:t>project</w:t>
      </w:r>
      <w:r w:rsidR="001A5308">
        <w:rPr>
          <w:rFonts w:ascii="Palatino Linotype" w:hAnsi="Palatino Linotype" w:eastAsia="Palatino Linotype" w:cs="Times New Roman"/>
          <w:kern w:val="0"/>
          <w14:ligatures w14:val="none"/>
        </w:rPr>
        <w:t xml:space="preserve"> in March</w:t>
      </w:r>
      <w:r w:rsidR="00B929F4">
        <w:rPr>
          <w:rFonts w:ascii="Palatino Linotype" w:hAnsi="Palatino Linotype" w:eastAsia="Palatino Linotype" w:cs="Times New Roman"/>
          <w:kern w:val="0"/>
          <w14:ligatures w14:val="none"/>
        </w:rPr>
        <w:t>. That decision also capped the</w:t>
      </w:r>
      <w:r w:rsidR="002D127C">
        <w:rPr>
          <w:rFonts w:ascii="Palatino Linotype" w:hAnsi="Palatino Linotype" w:eastAsia="Palatino Linotype" w:cs="Times New Roman"/>
          <w:kern w:val="0"/>
          <w14:ligatures w14:val="none"/>
        </w:rPr>
        <w:t xml:space="preserve"> total cost for LS Power’s portion of the project at $813 million.</w:t>
      </w:r>
      <w:r w:rsidR="00C37C6C">
        <w:rPr>
          <w:rStyle w:val="FootnoteReference"/>
          <w:rFonts w:ascii="Palatino Linotype" w:hAnsi="Palatino Linotype" w:eastAsia="Palatino Linotype" w:cs="Times New Roman"/>
          <w:kern w:val="0"/>
          <w14:ligatures w14:val="none"/>
        </w:rPr>
        <w:footnoteReference w:id="9"/>
      </w:r>
      <w:r w:rsidR="00292EEF">
        <w:rPr>
          <w:rFonts w:ascii="Palatino Linotype" w:hAnsi="Palatino Linotype" w:eastAsia="Palatino Linotype" w:cs="Times New Roman"/>
          <w:kern w:val="0"/>
          <w14:ligatures w14:val="none"/>
        </w:rPr>
        <w:t xml:space="preserve"> In short, </w:t>
      </w:r>
      <w:r w:rsidR="00AC00F2">
        <w:rPr>
          <w:rFonts w:ascii="Palatino Linotype" w:hAnsi="Palatino Linotype" w:eastAsia="Palatino Linotype" w:cs="Times New Roman"/>
          <w:kern w:val="0"/>
          <w14:ligatures w14:val="none"/>
        </w:rPr>
        <w:t>the new Newark-NRS transmission line, which the proposed Google facility directly connects to and depends on, will have significant costs for ratepayers across the state.</w:t>
      </w:r>
      <w:r w:rsidR="003B2E27">
        <w:rPr>
          <w:rFonts w:ascii="Palatino Linotype" w:hAnsi="Palatino Linotype" w:eastAsia="Palatino Linotype" w:cs="Times New Roman"/>
          <w:kern w:val="0"/>
          <w14:ligatures w14:val="none"/>
        </w:rPr>
        <w:t xml:space="preserve"> </w:t>
      </w:r>
      <w:r w:rsidR="00281AA5">
        <w:rPr>
          <w:rFonts w:ascii="Palatino Linotype" w:hAnsi="Palatino Linotype" w:eastAsia="Palatino Linotype" w:cs="Times New Roman"/>
          <w:kern w:val="0"/>
          <w14:ligatures w14:val="none"/>
        </w:rPr>
        <w:t>In addition,</w:t>
      </w:r>
      <w:r w:rsidR="007A43D2">
        <w:rPr>
          <w:rFonts w:ascii="Palatino Linotype" w:hAnsi="Palatino Linotype" w:eastAsia="Palatino Linotype" w:cs="Times New Roman"/>
          <w:kern w:val="0"/>
          <w14:ligatures w14:val="none"/>
        </w:rPr>
        <w:t xml:space="preserve"> </w:t>
      </w:r>
      <w:r w:rsidR="00696095">
        <w:rPr>
          <w:rFonts w:ascii="Palatino Linotype" w:hAnsi="Palatino Linotype" w:eastAsia="Palatino Linotype" w:cs="Times New Roman"/>
          <w:kern w:val="0"/>
          <w14:ligatures w14:val="none"/>
        </w:rPr>
        <w:t xml:space="preserve">Energy Division data requests confirmed that </w:t>
      </w:r>
      <w:r w:rsidR="007A43D2">
        <w:rPr>
          <w:rFonts w:ascii="Palatino Linotype" w:hAnsi="Palatino Linotype" w:eastAsia="Palatino Linotype" w:cs="Times New Roman"/>
          <w:kern w:val="0"/>
          <w14:ligatures w14:val="none"/>
        </w:rPr>
        <w:t xml:space="preserve">Google’s new 250 MW load depends on more than </w:t>
      </w:r>
      <w:r w:rsidR="001F1FC2">
        <w:rPr>
          <w:rFonts w:ascii="Palatino Linotype" w:hAnsi="Palatino Linotype" w:eastAsia="Palatino Linotype" w:cs="Times New Roman"/>
          <w:kern w:val="0"/>
          <w14:ligatures w14:val="none"/>
        </w:rPr>
        <w:t xml:space="preserve">10 </w:t>
      </w:r>
      <w:r w:rsidR="00696095">
        <w:rPr>
          <w:rFonts w:ascii="Palatino Linotype" w:hAnsi="Palatino Linotype" w:eastAsia="Palatino Linotype" w:cs="Times New Roman"/>
          <w:kern w:val="0"/>
          <w14:ligatures w14:val="none"/>
        </w:rPr>
        <w:t xml:space="preserve">other significant transmission upgrades in the South Bay region. </w:t>
      </w:r>
      <w:r w:rsidR="00281AA5">
        <w:rPr>
          <w:rFonts w:ascii="Palatino Linotype" w:hAnsi="Palatino Linotype" w:eastAsia="Palatino Linotype" w:cs="Times New Roman"/>
          <w:kern w:val="0"/>
          <w14:ligatures w14:val="none"/>
        </w:rPr>
        <w:t xml:space="preserve">Although the specific information </w:t>
      </w:r>
      <w:r w:rsidR="003E6366">
        <w:rPr>
          <w:rFonts w:ascii="Palatino Linotype" w:hAnsi="Palatino Linotype" w:eastAsia="Palatino Linotype" w:cs="Times New Roman"/>
          <w:kern w:val="0"/>
          <w14:ligatures w14:val="none"/>
        </w:rPr>
        <w:t xml:space="preserve">on these dependencies </w:t>
      </w:r>
      <w:r w:rsidR="00281AA5">
        <w:rPr>
          <w:rFonts w:ascii="Palatino Linotype" w:hAnsi="Palatino Linotype" w:eastAsia="Palatino Linotype" w:cs="Times New Roman"/>
          <w:kern w:val="0"/>
          <w14:ligatures w14:val="none"/>
        </w:rPr>
        <w:t xml:space="preserve">was provided confidentially, many of these projects are likely to cost hundreds of millions of dollars </w:t>
      </w:r>
      <w:r w:rsidR="003E6366">
        <w:rPr>
          <w:rFonts w:ascii="Palatino Linotype" w:hAnsi="Palatino Linotype" w:eastAsia="Palatino Linotype" w:cs="Times New Roman"/>
          <w:kern w:val="0"/>
          <w14:ligatures w14:val="none"/>
        </w:rPr>
        <w:t>like</w:t>
      </w:r>
      <w:r w:rsidR="00281AA5">
        <w:rPr>
          <w:rFonts w:ascii="Palatino Linotype" w:hAnsi="Palatino Linotype" w:eastAsia="Palatino Linotype" w:cs="Times New Roman"/>
          <w:kern w:val="0"/>
          <w14:ligatures w14:val="none"/>
        </w:rPr>
        <w:t xml:space="preserve"> the Newark-NRS line.</w:t>
      </w:r>
    </w:p>
    <w:p w:rsidR="00281AA5" w:rsidP="00B36B2C" w:rsidRDefault="00281AA5" w14:paraId="69C1FF94" w14:textId="77777777">
      <w:pPr>
        <w:spacing w:after="0" w:line="240" w:lineRule="auto"/>
        <w:contextualSpacing/>
        <w:rPr>
          <w:rFonts w:ascii="Palatino Linotype" w:hAnsi="Palatino Linotype" w:eastAsia="Palatino Linotype" w:cs="Times New Roman"/>
          <w:kern w:val="0"/>
          <w14:ligatures w14:val="none"/>
        </w:rPr>
      </w:pPr>
    </w:p>
    <w:p w:rsidR="003F6D71" w:rsidP="00B36B2C" w:rsidRDefault="009B4A8D" w14:paraId="573E15C5" w14:textId="4C244AFB">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As PG&amp;E notes in its reply, the 250 MW Google facility</w:t>
      </w:r>
      <w:r w:rsidR="00CD303F">
        <w:rPr>
          <w:rFonts w:ascii="Palatino Linotype" w:hAnsi="Palatino Linotype" w:eastAsia="Palatino Linotype" w:cs="Times New Roman"/>
          <w:kern w:val="0"/>
          <w14:ligatures w14:val="none"/>
        </w:rPr>
        <w:t xml:space="preserve"> </w:t>
      </w:r>
      <w:r w:rsidR="00D13E5C">
        <w:rPr>
          <w:rFonts w:ascii="Palatino Linotype" w:hAnsi="Palatino Linotype" w:eastAsia="Palatino Linotype" w:cs="Times New Roman"/>
          <w:kern w:val="0"/>
          <w14:ligatures w14:val="none"/>
        </w:rPr>
        <w:t>is neither the sole cause nor the trigger for the</w:t>
      </w:r>
      <w:r w:rsidR="00CD303F">
        <w:rPr>
          <w:rFonts w:ascii="Palatino Linotype" w:hAnsi="Palatino Linotype" w:eastAsia="Palatino Linotype" w:cs="Times New Roman"/>
          <w:kern w:val="0"/>
          <w14:ligatures w14:val="none"/>
        </w:rPr>
        <w:t xml:space="preserve"> </w:t>
      </w:r>
      <w:r w:rsidR="00D13E5C">
        <w:rPr>
          <w:rFonts w:ascii="Palatino Linotype" w:hAnsi="Palatino Linotype" w:eastAsia="Palatino Linotype" w:cs="Times New Roman"/>
          <w:kern w:val="0"/>
          <w14:ligatures w14:val="none"/>
        </w:rPr>
        <w:t>construction of the Newark-NRS project.</w:t>
      </w:r>
      <w:r w:rsidR="00846CDD">
        <w:rPr>
          <w:rStyle w:val="FootnoteReference"/>
          <w:rFonts w:ascii="Palatino Linotype" w:hAnsi="Palatino Linotype" w:eastAsia="Palatino Linotype" w:cs="Times New Roman"/>
          <w:kern w:val="0"/>
          <w14:ligatures w14:val="none"/>
        </w:rPr>
        <w:footnoteReference w:id="10"/>
      </w:r>
      <w:r w:rsidR="00D13E5C">
        <w:rPr>
          <w:rFonts w:ascii="Palatino Linotype" w:hAnsi="Palatino Linotype" w:eastAsia="Palatino Linotype" w:cs="Times New Roman"/>
          <w:kern w:val="0"/>
          <w14:ligatures w14:val="none"/>
        </w:rPr>
        <w:t xml:space="preserve"> </w:t>
      </w:r>
      <w:r w:rsidR="0037369E">
        <w:rPr>
          <w:rFonts w:ascii="Palatino Linotype" w:hAnsi="Palatino Linotype" w:eastAsia="Palatino Linotype" w:cs="Times New Roman"/>
          <w:kern w:val="0"/>
          <w14:ligatures w14:val="none"/>
        </w:rPr>
        <w:t>PG&amp;E argues that “the LS Power upgrades are moving</w:t>
      </w:r>
      <w:r w:rsidR="003012ED">
        <w:rPr>
          <w:rFonts w:ascii="Palatino Linotype" w:hAnsi="Palatino Linotype" w:eastAsia="Palatino Linotype" w:cs="Times New Roman"/>
          <w:kern w:val="0"/>
          <w14:ligatures w14:val="none"/>
        </w:rPr>
        <w:t xml:space="preserve"> forward with or without the proposed Google facility”, </w:t>
      </w:r>
      <w:r w:rsidR="007C78D7">
        <w:rPr>
          <w:rFonts w:ascii="Palatino Linotype" w:hAnsi="Palatino Linotype" w:eastAsia="Palatino Linotype" w:cs="Times New Roman"/>
          <w:kern w:val="0"/>
          <w14:ligatures w14:val="none"/>
        </w:rPr>
        <w:t xml:space="preserve">the upgrades </w:t>
      </w:r>
      <w:r w:rsidR="003012ED">
        <w:rPr>
          <w:rFonts w:ascii="Palatino Linotype" w:hAnsi="Palatino Linotype" w:eastAsia="Palatino Linotype" w:cs="Times New Roman"/>
          <w:kern w:val="0"/>
          <w14:ligatures w14:val="none"/>
        </w:rPr>
        <w:t>“have already been identifie</w:t>
      </w:r>
      <w:r w:rsidR="00083496">
        <w:rPr>
          <w:rFonts w:ascii="Palatino Linotype" w:hAnsi="Palatino Linotype" w:eastAsia="Palatino Linotype" w:cs="Times New Roman"/>
          <w:kern w:val="0"/>
          <w14:ligatures w14:val="none"/>
        </w:rPr>
        <w:t xml:space="preserve">d as necessary transmission upgrades” in CAISO plans, and </w:t>
      </w:r>
      <w:r w:rsidR="003807E0">
        <w:rPr>
          <w:rFonts w:ascii="Palatino Linotype" w:hAnsi="Palatino Linotype" w:eastAsia="Palatino Linotype" w:cs="Times New Roman"/>
          <w:kern w:val="0"/>
          <w14:ligatures w14:val="none"/>
        </w:rPr>
        <w:t>“thousands of residential and commercial customers” in the region will benefit from these upgrades.</w:t>
      </w:r>
      <w:r w:rsidR="007C78D7">
        <w:rPr>
          <w:rStyle w:val="FootnoteReference"/>
          <w:rFonts w:ascii="Palatino Linotype" w:hAnsi="Palatino Linotype" w:eastAsia="Palatino Linotype" w:cs="Times New Roman"/>
          <w:kern w:val="0"/>
          <w14:ligatures w14:val="none"/>
        </w:rPr>
        <w:footnoteReference w:id="11"/>
      </w:r>
      <w:r w:rsidR="003807E0">
        <w:rPr>
          <w:rFonts w:ascii="Palatino Linotype" w:hAnsi="Palatino Linotype" w:eastAsia="Palatino Linotype" w:cs="Times New Roman"/>
          <w:kern w:val="0"/>
          <w14:ligatures w14:val="none"/>
        </w:rPr>
        <w:t xml:space="preserve"> </w:t>
      </w:r>
      <w:r w:rsidR="007C78D7">
        <w:rPr>
          <w:rFonts w:ascii="Palatino Linotype" w:hAnsi="Palatino Linotype" w:eastAsia="Palatino Linotype" w:cs="Times New Roman"/>
          <w:kern w:val="0"/>
          <w14:ligatures w14:val="none"/>
        </w:rPr>
        <w:t xml:space="preserve">Finally, PG&amp;E argues that there </w:t>
      </w:r>
      <w:r w:rsidR="004F1711">
        <w:rPr>
          <w:rFonts w:ascii="Palatino Linotype" w:hAnsi="Palatino Linotype" w:eastAsia="Palatino Linotype" w:cs="Times New Roman"/>
          <w:kern w:val="0"/>
          <w14:ligatures w14:val="none"/>
        </w:rPr>
        <w:t>“is no basis for arguing that a portion of these upgrade costs should be assigned explicitly or implicitly to a single ratepayer, Google.”</w:t>
      </w:r>
      <w:r w:rsidR="004F1711">
        <w:rPr>
          <w:rStyle w:val="FootnoteReference"/>
          <w:rFonts w:ascii="Palatino Linotype" w:hAnsi="Palatino Linotype" w:eastAsia="Palatino Linotype" w:cs="Times New Roman"/>
          <w:kern w:val="0"/>
          <w14:ligatures w14:val="none"/>
        </w:rPr>
        <w:footnoteReference w:id="12"/>
      </w:r>
      <w:r w:rsidR="00336394">
        <w:rPr>
          <w:rFonts w:ascii="Palatino Linotype" w:hAnsi="Palatino Linotype" w:eastAsia="Palatino Linotype" w:cs="Times New Roman"/>
          <w:kern w:val="0"/>
          <w14:ligatures w14:val="none"/>
        </w:rPr>
        <w:t xml:space="preserve"> </w:t>
      </w:r>
    </w:p>
    <w:p w:rsidR="003F6D71" w:rsidP="00B36B2C" w:rsidRDefault="003F6D71" w14:paraId="32A63350" w14:textId="77777777">
      <w:pPr>
        <w:spacing w:after="0" w:line="240" w:lineRule="auto"/>
        <w:contextualSpacing/>
        <w:rPr>
          <w:rFonts w:ascii="Palatino Linotype" w:hAnsi="Palatino Linotype" w:eastAsia="Palatino Linotype" w:cs="Times New Roman"/>
          <w:kern w:val="0"/>
          <w14:ligatures w14:val="none"/>
        </w:rPr>
      </w:pPr>
    </w:p>
    <w:p w:rsidR="00D82B87" w:rsidP="00B36B2C" w:rsidRDefault="0070304F" w14:paraId="7E0DBBD4" w14:textId="42CD7EB9">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However, w</w:t>
      </w:r>
      <w:r w:rsidRPr="00B36B2C">
        <w:rPr>
          <w:rFonts w:ascii="Palatino Linotype" w:hAnsi="Palatino Linotype" w:eastAsia="Palatino Linotype" w:cs="Times New Roman"/>
          <w:kern w:val="0"/>
          <w14:ligatures w14:val="none"/>
        </w:rPr>
        <w:t>e need not resolve causation or planning attribution</w:t>
      </w:r>
      <w:r>
        <w:rPr>
          <w:rFonts w:ascii="Palatino Linotype" w:hAnsi="Palatino Linotype" w:eastAsia="Palatino Linotype" w:cs="Times New Roman"/>
          <w:kern w:val="0"/>
          <w14:ligatures w14:val="none"/>
        </w:rPr>
        <w:t xml:space="preserve"> for this specific project</w:t>
      </w:r>
      <w:r w:rsidRPr="00B36B2C">
        <w:rPr>
          <w:rFonts w:ascii="Palatino Linotype" w:hAnsi="Palatino Linotype" w:eastAsia="Palatino Linotype" w:cs="Times New Roman"/>
          <w:kern w:val="0"/>
          <w14:ligatures w14:val="none"/>
        </w:rPr>
        <w:t xml:space="preserve"> to determine that additional </w:t>
      </w:r>
      <w:r w:rsidR="00634262">
        <w:rPr>
          <w:rFonts w:ascii="Palatino Linotype" w:hAnsi="Palatino Linotype" w:eastAsia="Palatino Linotype" w:cs="Times New Roman"/>
          <w:kern w:val="0"/>
          <w14:ligatures w14:val="none"/>
        </w:rPr>
        <w:t>ratepayer</w:t>
      </w:r>
      <w:r w:rsidRPr="00B36B2C">
        <w:rPr>
          <w:rFonts w:ascii="Palatino Linotype" w:hAnsi="Palatino Linotype" w:eastAsia="Palatino Linotype" w:cs="Times New Roman"/>
          <w:kern w:val="0"/>
          <w14:ligatures w14:val="none"/>
        </w:rPr>
        <w:t xml:space="preserve"> protection is reasonable here. </w:t>
      </w:r>
      <w:r w:rsidR="00425FB0">
        <w:rPr>
          <w:rFonts w:ascii="Palatino Linotype" w:hAnsi="Palatino Linotype" w:eastAsia="Palatino Linotype" w:cs="Times New Roman"/>
          <w:kern w:val="0"/>
          <w14:ligatures w14:val="none"/>
        </w:rPr>
        <w:t>T</w:t>
      </w:r>
      <w:r w:rsidRPr="00B36B2C">
        <w:rPr>
          <w:rFonts w:ascii="Palatino Linotype" w:hAnsi="Palatino Linotype" w:eastAsia="Palatino Linotype" w:cs="Times New Roman"/>
          <w:kern w:val="0"/>
          <w14:ligatures w14:val="none"/>
        </w:rPr>
        <w:t xml:space="preserve">he </w:t>
      </w:r>
      <w:r>
        <w:rPr>
          <w:rFonts w:ascii="Palatino Linotype" w:hAnsi="Palatino Linotype" w:eastAsia="Palatino Linotype" w:cs="Times New Roman"/>
          <w:kern w:val="0"/>
          <w14:ligatures w14:val="none"/>
        </w:rPr>
        <w:t>Advice Letter, protests and reply establish</w:t>
      </w:r>
      <w:r w:rsidRPr="00B36B2C">
        <w:rPr>
          <w:rFonts w:ascii="Palatino Linotype" w:hAnsi="Palatino Linotype" w:eastAsia="Palatino Linotype" w:cs="Times New Roman"/>
          <w:kern w:val="0"/>
          <w14:ligatures w14:val="none"/>
        </w:rPr>
        <w:t xml:space="preserve"> that this is a </w:t>
      </w:r>
      <w:r>
        <w:rPr>
          <w:rFonts w:ascii="Palatino Linotype" w:hAnsi="Palatino Linotype" w:eastAsia="Palatino Linotype" w:cs="Times New Roman"/>
          <w:kern w:val="0"/>
          <w14:ligatures w14:val="none"/>
        </w:rPr>
        <w:t>250 MW</w:t>
      </w:r>
      <w:r w:rsidRPr="00B36B2C">
        <w:rPr>
          <w:rFonts w:ascii="Palatino Linotype" w:hAnsi="Palatino Linotype" w:eastAsia="Palatino Linotype" w:cs="Times New Roman"/>
          <w:kern w:val="0"/>
          <w14:ligatures w14:val="none"/>
        </w:rPr>
        <w:t xml:space="preserve"> transmission-level load </w:t>
      </w:r>
      <w:r>
        <w:rPr>
          <w:rFonts w:ascii="Palatino Linotype" w:hAnsi="Palatino Linotype" w:eastAsia="Palatino Linotype" w:cs="Times New Roman"/>
          <w:kern w:val="0"/>
          <w14:ligatures w14:val="none"/>
        </w:rPr>
        <w:t>connecting to that new line, and as such represents a significant portion of that new line’s total capacity.</w:t>
      </w:r>
      <w:r w:rsidR="00F17055">
        <w:rPr>
          <w:rFonts w:ascii="Palatino Linotype" w:hAnsi="Palatino Linotype" w:eastAsia="Palatino Linotype" w:cs="Times New Roman"/>
          <w:kern w:val="0"/>
          <w14:ligatures w14:val="none"/>
        </w:rPr>
        <w:t xml:space="preserve"> PG&amp;E </w:t>
      </w:r>
      <w:r w:rsidR="000D79F5">
        <w:rPr>
          <w:rFonts w:ascii="Palatino Linotype" w:hAnsi="Palatino Linotype" w:eastAsia="Palatino Linotype" w:cs="Times New Roman"/>
          <w:kern w:val="0"/>
          <w14:ligatures w14:val="none"/>
        </w:rPr>
        <w:t>has confirmed</w:t>
      </w:r>
      <w:r w:rsidR="00F17055">
        <w:rPr>
          <w:rFonts w:ascii="Palatino Linotype" w:hAnsi="Palatino Linotype" w:eastAsia="Palatino Linotype" w:cs="Times New Roman"/>
          <w:kern w:val="0"/>
          <w14:ligatures w14:val="none"/>
        </w:rPr>
        <w:t xml:space="preserve"> that the new 250 MW Google facility depends on the Newark-NRS project and other regional transmission upgrades.</w:t>
      </w:r>
      <w:r>
        <w:rPr>
          <w:rFonts w:ascii="Palatino Linotype" w:hAnsi="Palatino Linotype" w:eastAsia="Palatino Linotype" w:cs="Times New Roman"/>
          <w:kern w:val="0"/>
          <w14:ligatures w14:val="none"/>
        </w:rPr>
        <w:t xml:space="preserve"> In addition</w:t>
      </w:r>
      <w:r w:rsidR="00555CBA">
        <w:rPr>
          <w:rFonts w:ascii="Palatino Linotype" w:hAnsi="Palatino Linotype" w:eastAsia="Palatino Linotype" w:cs="Times New Roman"/>
          <w:kern w:val="0"/>
          <w14:ligatures w14:val="none"/>
        </w:rPr>
        <w:t xml:space="preserve">, when CAISO approved modifications to the Newark-NRS project in </w:t>
      </w:r>
      <w:r w:rsidR="00E03DE3">
        <w:rPr>
          <w:rFonts w:ascii="Palatino Linotype" w:hAnsi="Palatino Linotype" w:eastAsia="Palatino Linotype" w:cs="Times New Roman"/>
          <w:kern w:val="0"/>
          <w14:ligatures w14:val="none"/>
        </w:rPr>
        <w:t xml:space="preserve">November of 2024, doubling the expected capacity of the </w:t>
      </w:r>
      <w:r w:rsidR="00F17055">
        <w:rPr>
          <w:rFonts w:ascii="Palatino Linotype" w:hAnsi="Palatino Linotype" w:eastAsia="Palatino Linotype" w:cs="Times New Roman"/>
          <w:kern w:val="0"/>
          <w14:ligatures w14:val="none"/>
        </w:rPr>
        <w:t>project</w:t>
      </w:r>
      <w:r w:rsidR="00E03DE3">
        <w:rPr>
          <w:rFonts w:ascii="Palatino Linotype" w:hAnsi="Palatino Linotype" w:eastAsia="Palatino Linotype" w:cs="Times New Roman"/>
          <w:kern w:val="0"/>
          <w14:ligatures w14:val="none"/>
        </w:rPr>
        <w:t xml:space="preserve">, it provided the following </w:t>
      </w:r>
      <w:r w:rsidR="00E215C4">
        <w:rPr>
          <w:rFonts w:ascii="Palatino Linotype" w:hAnsi="Palatino Linotype" w:eastAsia="Palatino Linotype" w:cs="Times New Roman"/>
          <w:kern w:val="0"/>
          <w14:ligatures w14:val="none"/>
        </w:rPr>
        <w:t>reasoning:</w:t>
      </w:r>
    </w:p>
    <w:p w:rsidR="007D78E5" w:rsidP="007059B2" w:rsidRDefault="00E215C4" w14:paraId="319459E4" w14:textId="2DFF1798">
      <w:pPr>
        <w:spacing w:after="0" w:line="240" w:lineRule="auto"/>
        <w:ind w:left="720" w:right="720"/>
        <w:contextualSpacing/>
        <w:rPr>
          <w:rFonts w:ascii="Palatino Linotype" w:hAnsi="Palatino Linotype" w:eastAsia="Palatino Linotype" w:cs="Times New Roman"/>
          <w:kern w:val="0"/>
          <w14:ligatures w14:val="none"/>
        </w:rPr>
      </w:pPr>
      <w:r w:rsidRPr="00E215C4">
        <w:rPr>
          <w:rFonts w:ascii="Palatino Linotype" w:hAnsi="Palatino Linotype" w:eastAsia="Palatino Linotype" w:cs="Times New Roman"/>
          <w:kern w:val="0"/>
          <w14:ligatures w14:val="none"/>
        </w:rPr>
        <w:t>Mostly driven by the datacenter load, the long term load forecast in the San Jose area has increased from 2,100 MW in the 2021-2022 Transmission Plan to around 3,400 MW in the base scenario and around 4,200 MW in the sensitivity scenario in the current 2024-2025 transmission planning studies</w:t>
      </w:r>
      <w:r w:rsidR="00A613C2">
        <w:rPr>
          <w:rFonts w:ascii="Palatino Linotype" w:hAnsi="Palatino Linotype" w:eastAsia="Palatino Linotype" w:cs="Times New Roman"/>
          <w:kern w:val="0"/>
          <w14:ligatures w14:val="none"/>
        </w:rPr>
        <w:t>.</w:t>
      </w:r>
      <w:r w:rsidR="00A613C2">
        <w:rPr>
          <w:rStyle w:val="FootnoteReference"/>
          <w:rFonts w:ascii="Palatino Linotype" w:hAnsi="Palatino Linotype" w:eastAsia="Palatino Linotype" w:cs="Times New Roman"/>
          <w:kern w:val="0"/>
          <w14:ligatures w14:val="none"/>
        </w:rPr>
        <w:footnoteReference w:id="13"/>
      </w:r>
    </w:p>
    <w:p w:rsidR="00404243" w:rsidP="00194447" w:rsidRDefault="007F2983" w14:paraId="300EBB76" w14:textId="02C2BDC7">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Note that the 250 MW Google facility represents about </w:t>
      </w:r>
      <w:r w:rsidR="00C75BA7">
        <w:rPr>
          <w:rFonts w:ascii="Palatino Linotype" w:hAnsi="Palatino Linotype" w:eastAsia="Palatino Linotype" w:cs="Times New Roman"/>
          <w:kern w:val="0"/>
          <w14:ligatures w14:val="none"/>
        </w:rPr>
        <w:t xml:space="preserve">20 percent </w:t>
      </w:r>
      <w:r w:rsidR="0091055A">
        <w:rPr>
          <w:rFonts w:ascii="Palatino Linotype" w:hAnsi="Palatino Linotype" w:eastAsia="Palatino Linotype" w:cs="Times New Roman"/>
          <w:kern w:val="0"/>
          <w14:ligatures w14:val="none"/>
        </w:rPr>
        <w:t>of</w:t>
      </w:r>
      <w:r w:rsidR="00C75BA7">
        <w:rPr>
          <w:rFonts w:ascii="Palatino Linotype" w:hAnsi="Palatino Linotype" w:eastAsia="Palatino Linotype" w:cs="Times New Roman"/>
          <w:kern w:val="0"/>
          <w14:ligatures w14:val="none"/>
        </w:rPr>
        <w:t xml:space="preserve"> this overall </w:t>
      </w:r>
      <w:r w:rsidR="0030610D">
        <w:rPr>
          <w:rFonts w:ascii="Palatino Linotype" w:hAnsi="Palatino Linotype" w:eastAsia="Palatino Linotype" w:cs="Times New Roman"/>
          <w:kern w:val="0"/>
          <w14:ligatures w14:val="none"/>
        </w:rPr>
        <w:br/>
      </w:r>
      <w:r w:rsidR="0091055A">
        <w:rPr>
          <w:rFonts w:ascii="Palatino Linotype" w:hAnsi="Palatino Linotype" w:eastAsia="Palatino Linotype" w:cs="Times New Roman"/>
          <w:kern w:val="0"/>
          <w14:ligatures w14:val="none"/>
        </w:rPr>
        <w:t xml:space="preserve">1300 MW in </w:t>
      </w:r>
      <w:r w:rsidR="00C75BA7">
        <w:rPr>
          <w:rFonts w:ascii="Palatino Linotype" w:hAnsi="Palatino Linotype" w:eastAsia="Palatino Linotype" w:cs="Times New Roman"/>
          <w:kern w:val="0"/>
          <w14:ligatures w14:val="none"/>
        </w:rPr>
        <w:t>load growth</w:t>
      </w:r>
      <w:r w:rsidR="00EC7CCE">
        <w:rPr>
          <w:rFonts w:ascii="Palatino Linotype" w:hAnsi="Palatino Linotype" w:eastAsia="Palatino Linotype" w:cs="Times New Roman"/>
          <w:kern w:val="0"/>
          <w14:ligatures w14:val="none"/>
        </w:rPr>
        <w:t xml:space="preserve"> in the San Jose area</w:t>
      </w:r>
      <w:r w:rsidR="0091055A">
        <w:rPr>
          <w:rFonts w:ascii="Palatino Linotype" w:hAnsi="Palatino Linotype" w:eastAsia="Palatino Linotype" w:cs="Times New Roman"/>
          <w:kern w:val="0"/>
          <w14:ligatures w14:val="none"/>
        </w:rPr>
        <w:t xml:space="preserve">. </w:t>
      </w:r>
      <w:r w:rsidR="002E37C5">
        <w:rPr>
          <w:rFonts w:ascii="Palatino Linotype" w:hAnsi="Palatino Linotype" w:eastAsia="Palatino Linotype" w:cs="Times New Roman"/>
          <w:kern w:val="0"/>
          <w14:ligatures w14:val="none"/>
        </w:rPr>
        <w:t xml:space="preserve">Given the record in this Advice Letter, we find it reasonable to </w:t>
      </w:r>
      <w:r w:rsidR="0055118C">
        <w:rPr>
          <w:rFonts w:ascii="Palatino Linotype" w:hAnsi="Palatino Linotype" w:eastAsia="Palatino Linotype" w:cs="Times New Roman"/>
          <w:kern w:val="0"/>
          <w14:ligatures w14:val="none"/>
        </w:rPr>
        <w:t xml:space="preserve">require </w:t>
      </w:r>
      <w:r w:rsidR="000F760D">
        <w:rPr>
          <w:rFonts w:ascii="Palatino Linotype" w:hAnsi="Palatino Linotype" w:eastAsia="Palatino Linotype" w:cs="Times New Roman"/>
          <w:kern w:val="0"/>
          <w14:ligatures w14:val="none"/>
        </w:rPr>
        <w:t xml:space="preserve">additional ratepayer protections, specifically that </w:t>
      </w:r>
      <w:r w:rsidR="00D96A5C">
        <w:rPr>
          <w:rFonts w:ascii="Palatino Linotype" w:hAnsi="Palatino Linotype" w:eastAsia="Palatino Linotype" w:cs="Times New Roman"/>
          <w:kern w:val="0"/>
          <w14:ligatures w14:val="none"/>
        </w:rPr>
        <w:t xml:space="preserve">the costs of large transmission upgrades that these customers depend on for their energization </w:t>
      </w:r>
      <w:r w:rsidR="00940A0D">
        <w:rPr>
          <w:rFonts w:ascii="Palatino Linotype" w:hAnsi="Palatino Linotype" w:eastAsia="Palatino Linotype" w:cs="Times New Roman"/>
          <w:kern w:val="0"/>
          <w14:ligatures w14:val="none"/>
        </w:rPr>
        <w:t xml:space="preserve">are handled corresponding to the outcome in the </w:t>
      </w:r>
      <w:r w:rsidR="00345654">
        <w:rPr>
          <w:rFonts w:ascii="Palatino Linotype" w:hAnsi="Palatino Linotype" w:eastAsia="Palatino Linotype" w:cs="Times New Roman"/>
          <w:kern w:val="0"/>
          <w14:ligatures w14:val="none"/>
        </w:rPr>
        <w:t>Rule 30 proceeding</w:t>
      </w:r>
      <w:r w:rsidR="00940A0D">
        <w:rPr>
          <w:rFonts w:ascii="Palatino Linotype" w:hAnsi="Palatino Linotype" w:eastAsia="Palatino Linotype" w:cs="Times New Roman"/>
          <w:kern w:val="0"/>
          <w14:ligatures w14:val="none"/>
        </w:rPr>
        <w:t xml:space="preserve">, A. 24-11-007. </w:t>
      </w:r>
    </w:p>
    <w:p w:rsidR="009E4BA2" w:rsidP="00194447" w:rsidRDefault="009E4BA2" w14:paraId="332123AD" w14:textId="77777777">
      <w:pPr>
        <w:spacing w:after="0" w:line="240" w:lineRule="auto"/>
        <w:contextualSpacing/>
        <w:rPr>
          <w:rFonts w:ascii="Palatino Linotype" w:hAnsi="Palatino Linotype" w:eastAsia="Palatino Linotype" w:cs="Times New Roman"/>
          <w:kern w:val="0"/>
          <w14:ligatures w14:val="none"/>
        </w:rPr>
      </w:pPr>
    </w:p>
    <w:p w:rsidR="009E4BA2" w:rsidP="005146AD" w:rsidRDefault="0059303D" w14:paraId="066C1719" w14:textId="448117A3">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In its protest,</w:t>
      </w:r>
      <w:r w:rsidR="009E4BA2">
        <w:rPr>
          <w:rFonts w:ascii="Palatino Linotype" w:hAnsi="Palatino Linotype" w:eastAsia="Palatino Linotype" w:cs="Times New Roman"/>
          <w:kern w:val="0"/>
          <w14:ligatures w14:val="none"/>
        </w:rPr>
        <w:t xml:space="preserve"> Cal Advocates does not explicitly argue for </w:t>
      </w:r>
      <w:r w:rsidR="00637A20">
        <w:rPr>
          <w:rFonts w:ascii="Palatino Linotype" w:hAnsi="Palatino Linotype" w:eastAsia="Palatino Linotype" w:cs="Times New Roman"/>
          <w:kern w:val="0"/>
          <w14:ligatures w14:val="none"/>
        </w:rPr>
        <w:t>this outcome</w:t>
      </w:r>
      <w:r w:rsidR="009E4BA2">
        <w:rPr>
          <w:rFonts w:ascii="Palatino Linotype" w:hAnsi="Palatino Linotype" w:eastAsia="Palatino Linotype" w:cs="Times New Roman"/>
          <w:kern w:val="0"/>
          <w14:ligatures w14:val="none"/>
        </w:rPr>
        <w:t xml:space="preserve">, </w:t>
      </w:r>
      <w:r w:rsidR="002408F0">
        <w:rPr>
          <w:rFonts w:ascii="Palatino Linotype" w:hAnsi="Palatino Linotype" w:eastAsia="Palatino Linotype" w:cs="Times New Roman"/>
          <w:kern w:val="0"/>
          <w14:ligatures w14:val="none"/>
        </w:rPr>
        <w:t xml:space="preserve">instead </w:t>
      </w:r>
      <w:r w:rsidR="008968F4">
        <w:rPr>
          <w:rFonts w:ascii="Palatino Linotype" w:hAnsi="Palatino Linotype" w:eastAsia="Palatino Linotype" w:cs="Times New Roman"/>
          <w:kern w:val="0"/>
          <w14:ligatures w14:val="none"/>
        </w:rPr>
        <w:t>arguing that the Commission should limit refunds to 75 percent of net revenues as it did in Resolution E-5420 and E-5439. As Cal Advocates notes, th</w:t>
      </w:r>
      <w:r w:rsidR="00CA22CA">
        <w:rPr>
          <w:rFonts w:ascii="Palatino Linotype" w:hAnsi="Palatino Linotype" w:eastAsia="Palatino Linotype" w:cs="Times New Roman"/>
          <w:kern w:val="0"/>
          <w14:ligatures w14:val="none"/>
        </w:rPr>
        <w:t xml:space="preserve">e modifications to the refund process “ensure that refunds are provided only to the extent that actual net revenues cover both the costs of energization and </w:t>
      </w:r>
      <w:r w:rsidRPr="00194447" w:rsidR="00CA22CA">
        <w:rPr>
          <w:rFonts w:ascii="Palatino Linotype" w:hAnsi="Palatino Linotype" w:eastAsia="Palatino Linotype" w:cs="Times New Roman"/>
          <w:i/>
          <w:iCs/>
          <w:kern w:val="0"/>
          <w14:ligatures w14:val="none"/>
        </w:rPr>
        <w:t>a portion of network upgrade costs</w:t>
      </w:r>
      <w:r w:rsidR="005972C2">
        <w:rPr>
          <w:rFonts w:ascii="Palatino Linotype" w:hAnsi="Palatino Linotype" w:eastAsia="Palatino Linotype" w:cs="Times New Roman"/>
          <w:kern w:val="0"/>
          <w14:ligatures w14:val="none"/>
        </w:rPr>
        <w:t>”</w:t>
      </w:r>
      <w:r w:rsidR="00804FC2">
        <w:rPr>
          <w:rFonts w:ascii="Palatino Linotype" w:hAnsi="Palatino Linotype" w:eastAsia="Palatino Linotype" w:cs="Times New Roman"/>
          <w:kern w:val="0"/>
          <w14:ligatures w14:val="none"/>
        </w:rPr>
        <w:t xml:space="preserve"> (emphasis added).</w:t>
      </w:r>
      <w:r w:rsidR="005972C2">
        <w:rPr>
          <w:rStyle w:val="FootnoteReference"/>
          <w:rFonts w:ascii="Palatino Linotype" w:hAnsi="Palatino Linotype" w:eastAsia="Palatino Linotype" w:cs="Times New Roman"/>
          <w:kern w:val="0"/>
          <w14:ligatures w14:val="none"/>
        </w:rPr>
        <w:footnoteReference w:id="14"/>
      </w:r>
      <w:r w:rsidR="005972C2">
        <w:rPr>
          <w:rFonts w:ascii="Palatino Linotype" w:hAnsi="Palatino Linotype" w:eastAsia="Palatino Linotype" w:cs="Times New Roman"/>
          <w:kern w:val="0"/>
          <w14:ligatures w14:val="none"/>
        </w:rPr>
        <w:t xml:space="preserve"> </w:t>
      </w:r>
      <w:r w:rsidR="009F0FB5">
        <w:rPr>
          <w:rFonts w:ascii="Palatino Linotype" w:hAnsi="Palatino Linotype" w:eastAsia="Palatino Linotype" w:cs="Times New Roman"/>
          <w:kern w:val="0"/>
          <w14:ligatures w14:val="none"/>
        </w:rPr>
        <w:t>The portion of network upgrade costs covered, however,</w:t>
      </w:r>
      <w:r w:rsidR="007658F7">
        <w:rPr>
          <w:rFonts w:ascii="Palatino Linotype" w:hAnsi="Palatino Linotype" w:eastAsia="Palatino Linotype" w:cs="Times New Roman"/>
          <w:kern w:val="0"/>
          <w14:ligatures w14:val="none"/>
        </w:rPr>
        <w:t xml:space="preserve"> </w:t>
      </w:r>
      <w:r w:rsidR="00BF378A">
        <w:rPr>
          <w:rFonts w:ascii="Palatino Linotype" w:hAnsi="Palatino Linotype" w:eastAsia="Palatino Linotype" w:cs="Times New Roman"/>
          <w:kern w:val="0"/>
          <w14:ligatures w14:val="none"/>
        </w:rPr>
        <w:t>is always</w:t>
      </w:r>
      <w:r w:rsidR="009F0FB5">
        <w:rPr>
          <w:rFonts w:ascii="Palatino Linotype" w:hAnsi="Palatino Linotype" w:eastAsia="Palatino Linotype" w:cs="Times New Roman"/>
          <w:kern w:val="0"/>
          <w14:ligatures w14:val="none"/>
        </w:rPr>
        <w:t xml:space="preserve"> </w:t>
      </w:r>
      <w:r w:rsidRPr="00194447" w:rsidR="009F0FB5">
        <w:rPr>
          <w:rFonts w:ascii="Palatino Linotype" w:hAnsi="Palatino Linotype" w:eastAsia="Palatino Linotype" w:cs="Times New Roman"/>
          <w:i/>
          <w:iCs/>
          <w:kern w:val="0"/>
          <w14:ligatures w14:val="none"/>
        </w:rPr>
        <w:t>proportional to</w:t>
      </w:r>
      <w:r w:rsidR="009F0FB5">
        <w:rPr>
          <w:rFonts w:ascii="Palatino Linotype" w:hAnsi="Palatino Linotype" w:eastAsia="Palatino Linotype" w:cs="Times New Roman"/>
          <w:kern w:val="0"/>
          <w14:ligatures w14:val="none"/>
        </w:rPr>
        <w:t xml:space="preserve"> the </w:t>
      </w:r>
      <w:r w:rsidR="003E1B0B">
        <w:rPr>
          <w:rFonts w:ascii="Palatino Linotype" w:hAnsi="Palatino Linotype" w:eastAsia="Palatino Linotype" w:cs="Times New Roman"/>
          <w:kern w:val="0"/>
          <w14:ligatures w14:val="none"/>
        </w:rPr>
        <w:t xml:space="preserve">total </w:t>
      </w:r>
      <w:r w:rsidR="00A67BB5">
        <w:rPr>
          <w:rFonts w:ascii="Palatino Linotype" w:hAnsi="Palatino Linotype" w:eastAsia="Palatino Linotype" w:cs="Times New Roman"/>
          <w:kern w:val="0"/>
          <w14:ligatures w14:val="none"/>
        </w:rPr>
        <w:t>refund amoun</w:t>
      </w:r>
      <w:r w:rsidR="00DB3BED">
        <w:rPr>
          <w:rFonts w:ascii="Palatino Linotype" w:hAnsi="Palatino Linotype" w:eastAsia="Palatino Linotype" w:cs="Times New Roman"/>
          <w:kern w:val="0"/>
          <w14:ligatures w14:val="none"/>
        </w:rPr>
        <w:t>t</w:t>
      </w:r>
      <w:r w:rsidR="00A67BB5">
        <w:rPr>
          <w:rFonts w:ascii="Palatino Linotype" w:hAnsi="Palatino Linotype" w:eastAsia="Palatino Linotype" w:cs="Times New Roman"/>
          <w:kern w:val="0"/>
          <w14:ligatures w14:val="none"/>
        </w:rPr>
        <w:t>.</w:t>
      </w:r>
      <w:r w:rsidR="00DB3BED">
        <w:rPr>
          <w:rFonts w:ascii="Palatino Linotype" w:hAnsi="Palatino Linotype" w:eastAsia="Palatino Linotype" w:cs="Times New Roman"/>
          <w:kern w:val="0"/>
          <w14:ligatures w14:val="none"/>
        </w:rPr>
        <w:t xml:space="preserve"> The 75 percent limit </w:t>
      </w:r>
      <w:r w:rsidR="00BF378A">
        <w:rPr>
          <w:rFonts w:ascii="Palatino Linotype" w:hAnsi="Palatino Linotype" w:eastAsia="Palatino Linotype" w:cs="Times New Roman"/>
          <w:kern w:val="0"/>
          <w14:ligatures w14:val="none"/>
        </w:rPr>
        <w:t xml:space="preserve">slows the refund process for this total refund amount. </w:t>
      </w:r>
      <w:r w:rsidR="00425FB0">
        <w:rPr>
          <w:rFonts w:ascii="Palatino Linotype" w:hAnsi="Palatino Linotype" w:eastAsia="Palatino Linotype" w:cs="Times New Roman"/>
          <w:kern w:val="0"/>
          <w14:ligatures w14:val="none"/>
        </w:rPr>
        <w:t>I</w:t>
      </w:r>
      <w:r w:rsidR="00AB3A5A">
        <w:rPr>
          <w:rFonts w:ascii="Palatino Linotype" w:hAnsi="Palatino Linotype" w:eastAsia="Palatino Linotype" w:cs="Times New Roman"/>
          <w:kern w:val="0"/>
          <w14:ligatures w14:val="none"/>
        </w:rPr>
        <w:t xml:space="preserve">f that total refund amount is relatively low, the effect of the 75 percent limit </w:t>
      </w:r>
      <w:r w:rsidR="0046711C">
        <w:rPr>
          <w:rFonts w:ascii="Palatino Linotype" w:hAnsi="Palatino Linotype" w:eastAsia="Palatino Linotype" w:cs="Times New Roman"/>
          <w:kern w:val="0"/>
          <w14:ligatures w14:val="none"/>
        </w:rPr>
        <w:t xml:space="preserve">is also </w:t>
      </w:r>
      <w:r w:rsidR="00E532C1">
        <w:rPr>
          <w:rFonts w:ascii="Palatino Linotype" w:hAnsi="Palatino Linotype" w:eastAsia="Palatino Linotype" w:cs="Times New Roman"/>
          <w:kern w:val="0"/>
          <w14:ligatures w14:val="none"/>
        </w:rPr>
        <w:t>relatively low</w:t>
      </w:r>
      <w:r w:rsidR="0046711C">
        <w:rPr>
          <w:rFonts w:ascii="Palatino Linotype" w:hAnsi="Palatino Linotype" w:eastAsia="Palatino Linotype" w:cs="Times New Roman"/>
          <w:kern w:val="0"/>
          <w14:ligatures w14:val="none"/>
        </w:rPr>
        <w:t xml:space="preserve">. </w:t>
      </w:r>
      <w:r w:rsidR="00BF378A">
        <w:rPr>
          <w:rFonts w:ascii="Palatino Linotype" w:hAnsi="Palatino Linotype" w:eastAsia="Palatino Linotype" w:cs="Times New Roman"/>
          <w:kern w:val="0"/>
          <w14:ligatures w14:val="none"/>
        </w:rPr>
        <w:t xml:space="preserve"> </w:t>
      </w:r>
      <w:r w:rsidR="00A67BB5">
        <w:rPr>
          <w:rFonts w:ascii="Palatino Linotype" w:hAnsi="Palatino Linotype" w:eastAsia="Palatino Linotype" w:cs="Times New Roman"/>
          <w:kern w:val="0"/>
          <w14:ligatures w14:val="none"/>
        </w:rPr>
        <w:t>In the</w:t>
      </w:r>
      <w:r>
        <w:rPr>
          <w:rFonts w:ascii="Palatino Linotype" w:hAnsi="Palatino Linotype" w:eastAsia="Palatino Linotype" w:cs="Times New Roman"/>
          <w:kern w:val="0"/>
          <w14:ligatures w14:val="none"/>
        </w:rPr>
        <w:t xml:space="preserve"> case considered here, the total refundable capital advance </w:t>
      </w:r>
      <w:r w:rsidR="00C451A6">
        <w:rPr>
          <w:rFonts w:ascii="Palatino Linotype" w:hAnsi="Palatino Linotype" w:eastAsia="Palatino Linotype" w:cs="Times New Roman"/>
          <w:kern w:val="0"/>
          <w14:ligatures w14:val="none"/>
        </w:rPr>
        <w:t>proposed in the Advice Letter is likely to be below $</w:t>
      </w:r>
      <w:r w:rsidR="006F61DE">
        <w:rPr>
          <w:rFonts w:ascii="Palatino Linotype" w:hAnsi="Palatino Linotype" w:eastAsia="Palatino Linotype" w:cs="Times New Roman"/>
          <w:kern w:val="0"/>
          <w14:ligatures w14:val="none"/>
        </w:rPr>
        <w:t>8</w:t>
      </w:r>
      <w:r w:rsidR="00C451A6">
        <w:rPr>
          <w:rFonts w:ascii="Palatino Linotype" w:hAnsi="Palatino Linotype" w:eastAsia="Palatino Linotype" w:cs="Times New Roman"/>
          <w:kern w:val="0"/>
          <w14:ligatures w14:val="none"/>
        </w:rPr>
        <w:t>0 million</w:t>
      </w:r>
      <w:r w:rsidR="008339E5">
        <w:rPr>
          <w:rFonts w:ascii="Palatino Linotype" w:hAnsi="Palatino Linotype" w:eastAsia="Palatino Linotype" w:cs="Times New Roman"/>
          <w:kern w:val="0"/>
          <w14:ligatures w14:val="none"/>
        </w:rPr>
        <w:t>, with the exact amount being confidential</w:t>
      </w:r>
      <w:r w:rsidR="003B2BA4">
        <w:rPr>
          <w:rFonts w:ascii="Palatino Linotype" w:hAnsi="Palatino Linotype" w:eastAsia="Palatino Linotype" w:cs="Times New Roman"/>
          <w:kern w:val="0"/>
          <w14:ligatures w14:val="none"/>
        </w:rPr>
        <w:t xml:space="preserve"> and dependent on actual costs</w:t>
      </w:r>
      <w:r w:rsidR="00C463C3">
        <w:rPr>
          <w:rFonts w:ascii="Palatino Linotype" w:hAnsi="Palatino Linotype" w:eastAsia="Palatino Linotype" w:cs="Times New Roman"/>
          <w:kern w:val="0"/>
          <w14:ligatures w14:val="none"/>
        </w:rPr>
        <w:t xml:space="preserve"> during construction</w:t>
      </w:r>
      <w:r w:rsidR="00C451A6">
        <w:rPr>
          <w:rFonts w:ascii="Palatino Linotype" w:hAnsi="Palatino Linotype" w:eastAsia="Palatino Linotype" w:cs="Times New Roman"/>
          <w:kern w:val="0"/>
          <w14:ligatures w14:val="none"/>
        </w:rPr>
        <w:t xml:space="preserve">. </w:t>
      </w:r>
      <w:r w:rsidR="008E2E80">
        <w:rPr>
          <w:rFonts w:ascii="Palatino Linotype" w:hAnsi="Palatino Linotype" w:eastAsia="Palatino Linotype" w:cs="Times New Roman"/>
          <w:kern w:val="0"/>
          <w14:ligatures w14:val="none"/>
        </w:rPr>
        <w:t>This is a relatively low amount compared to the 250 MW size of the load and the</w:t>
      </w:r>
      <w:r w:rsidR="00725434">
        <w:rPr>
          <w:rFonts w:ascii="Palatino Linotype" w:hAnsi="Palatino Linotype" w:eastAsia="Palatino Linotype" w:cs="Times New Roman"/>
          <w:kern w:val="0"/>
          <w14:ligatures w14:val="none"/>
        </w:rPr>
        <w:t xml:space="preserve"> cost of </w:t>
      </w:r>
      <w:r w:rsidR="00B0280E">
        <w:rPr>
          <w:rFonts w:ascii="Palatino Linotype" w:hAnsi="Palatino Linotype" w:eastAsia="Palatino Linotype" w:cs="Times New Roman"/>
          <w:kern w:val="0"/>
          <w14:ligatures w14:val="none"/>
        </w:rPr>
        <w:t xml:space="preserve">various </w:t>
      </w:r>
      <w:r w:rsidR="00B0280E">
        <w:rPr>
          <w:rFonts w:ascii="Palatino Linotype" w:hAnsi="Palatino Linotype" w:eastAsia="Palatino Linotype" w:cs="Times New Roman"/>
          <w:kern w:val="0"/>
          <w14:ligatures w14:val="none"/>
        </w:rPr>
        <w:lastRenderedPageBreak/>
        <w:t>transmission network upgrades the Google facility depends on.</w:t>
      </w:r>
      <w:r w:rsidR="00F046C7">
        <w:rPr>
          <w:rFonts w:ascii="Palatino Linotype" w:hAnsi="Palatino Linotype" w:eastAsia="Palatino Linotype" w:cs="Times New Roman"/>
          <w:kern w:val="0"/>
          <w14:ligatures w14:val="none"/>
        </w:rPr>
        <w:t xml:space="preserve"> </w:t>
      </w:r>
      <w:r w:rsidR="00EC7FD3">
        <w:rPr>
          <w:rFonts w:ascii="Palatino Linotype" w:hAnsi="Palatino Linotype" w:eastAsia="Palatino Linotype" w:cs="Times New Roman"/>
          <w:kern w:val="0"/>
          <w14:ligatures w14:val="none"/>
        </w:rPr>
        <w:t>B</w:t>
      </w:r>
      <w:r w:rsidR="00804FC2">
        <w:rPr>
          <w:rFonts w:ascii="Palatino Linotype" w:hAnsi="Palatino Linotype" w:eastAsia="Palatino Linotype" w:cs="Times New Roman"/>
          <w:kern w:val="0"/>
          <w14:ligatures w14:val="none"/>
        </w:rPr>
        <w:t xml:space="preserve">ecause </w:t>
      </w:r>
      <w:r w:rsidR="00C87375">
        <w:rPr>
          <w:rFonts w:ascii="Palatino Linotype" w:hAnsi="Palatino Linotype" w:eastAsia="Palatino Linotype" w:cs="Times New Roman"/>
          <w:kern w:val="0"/>
          <w14:ligatures w14:val="none"/>
        </w:rPr>
        <w:t>of th</w:t>
      </w:r>
      <w:r w:rsidR="000576A1">
        <w:rPr>
          <w:rFonts w:ascii="Palatino Linotype" w:hAnsi="Palatino Linotype" w:eastAsia="Palatino Linotype" w:cs="Times New Roman"/>
          <w:kern w:val="0"/>
          <w14:ligatures w14:val="none"/>
        </w:rPr>
        <w:t>e</w:t>
      </w:r>
      <w:r w:rsidR="00C87375">
        <w:rPr>
          <w:rFonts w:ascii="Palatino Linotype" w:hAnsi="Palatino Linotype" w:eastAsia="Palatino Linotype" w:cs="Times New Roman"/>
          <w:kern w:val="0"/>
          <w14:ligatures w14:val="none"/>
        </w:rPr>
        <w:t xml:space="preserve"> relatively low</w:t>
      </w:r>
      <w:r w:rsidR="00804FC2">
        <w:rPr>
          <w:rFonts w:ascii="Palatino Linotype" w:hAnsi="Palatino Linotype" w:eastAsia="Palatino Linotype" w:cs="Times New Roman"/>
          <w:kern w:val="0"/>
          <w14:ligatures w14:val="none"/>
        </w:rPr>
        <w:t xml:space="preserve"> initial </w:t>
      </w:r>
      <w:r w:rsidR="006F61DE">
        <w:rPr>
          <w:rFonts w:ascii="Palatino Linotype" w:hAnsi="Palatino Linotype" w:eastAsia="Palatino Linotype" w:cs="Times New Roman"/>
          <w:kern w:val="0"/>
          <w14:ligatures w14:val="none"/>
        </w:rPr>
        <w:t xml:space="preserve">refundable </w:t>
      </w:r>
      <w:r w:rsidR="00804FC2">
        <w:rPr>
          <w:rFonts w:ascii="Palatino Linotype" w:hAnsi="Palatino Linotype" w:eastAsia="Palatino Linotype" w:cs="Times New Roman"/>
          <w:kern w:val="0"/>
          <w14:ligatures w14:val="none"/>
        </w:rPr>
        <w:t xml:space="preserve">capital advance </w:t>
      </w:r>
      <w:r w:rsidR="003C63CC">
        <w:rPr>
          <w:rFonts w:ascii="Palatino Linotype" w:hAnsi="Palatino Linotype" w:eastAsia="Palatino Linotype" w:cs="Times New Roman"/>
          <w:kern w:val="0"/>
          <w14:ligatures w14:val="none"/>
        </w:rPr>
        <w:t>in this</w:t>
      </w:r>
      <w:r w:rsidR="000576A1">
        <w:rPr>
          <w:rFonts w:ascii="Palatino Linotype" w:hAnsi="Palatino Linotype" w:eastAsia="Palatino Linotype" w:cs="Times New Roman"/>
          <w:kern w:val="0"/>
          <w14:ligatures w14:val="none"/>
        </w:rPr>
        <w:t xml:space="preserve"> case</w:t>
      </w:r>
      <w:r w:rsidR="00172F1C">
        <w:rPr>
          <w:rFonts w:ascii="Palatino Linotype" w:hAnsi="Palatino Linotype" w:eastAsia="Palatino Linotype" w:cs="Times New Roman"/>
          <w:kern w:val="0"/>
          <w14:ligatures w14:val="none"/>
        </w:rPr>
        <w:t xml:space="preserve">, </w:t>
      </w:r>
      <w:r w:rsidR="006373F8">
        <w:rPr>
          <w:rFonts w:ascii="Palatino Linotype" w:hAnsi="Palatino Linotype" w:eastAsia="Palatino Linotype" w:cs="Times New Roman"/>
          <w:kern w:val="0"/>
          <w14:ligatures w14:val="none"/>
        </w:rPr>
        <w:t xml:space="preserve">the 75 percent refund limit does not adequately protect ratepayers from </w:t>
      </w:r>
      <w:r w:rsidR="00A82612">
        <w:rPr>
          <w:rFonts w:ascii="Palatino Linotype" w:hAnsi="Palatino Linotype" w:eastAsia="Palatino Linotype" w:cs="Times New Roman"/>
          <w:kern w:val="0"/>
          <w14:ligatures w14:val="none"/>
        </w:rPr>
        <w:t>the risk of stranded costs</w:t>
      </w:r>
      <w:r w:rsidR="00D97CF3">
        <w:rPr>
          <w:rFonts w:ascii="Palatino Linotype" w:hAnsi="Palatino Linotype" w:eastAsia="Palatino Linotype" w:cs="Times New Roman"/>
          <w:kern w:val="0"/>
          <w14:ligatures w14:val="none"/>
        </w:rPr>
        <w:t xml:space="preserve"> from network upgrades. </w:t>
      </w:r>
      <w:r w:rsidR="00EE7777">
        <w:rPr>
          <w:rFonts w:ascii="Palatino Linotype" w:hAnsi="Palatino Linotype" w:eastAsia="Palatino Linotype" w:cs="Times New Roman"/>
          <w:kern w:val="0"/>
          <w14:ligatures w14:val="none"/>
        </w:rPr>
        <w:t>Additional ratepayer protections are warranted</w:t>
      </w:r>
      <w:r w:rsidR="00C463C3">
        <w:rPr>
          <w:rFonts w:ascii="Palatino Linotype" w:hAnsi="Palatino Linotype" w:eastAsia="Palatino Linotype" w:cs="Times New Roman"/>
          <w:kern w:val="0"/>
          <w14:ligatures w14:val="none"/>
        </w:rPr>
        <w:t xml:space="preserve">. </w:t>
      </w:r>
    </w:p>
    <w:p w:rsidR="00EE7777" w:rsidP="005146AD" w:rsidRDefault="00EE7777" w14:paraId="2F0739EB" w14:textId="77777777">
      <w:pPr>
        <w:spacing w:after="0" w:line="240" w:lineRule="auto"/>
        <w:contextualSpacing/>
        <w:rPr>
          <w:rFonts w:ascii="Palatino Linotype" w:hAnsi="Palatino Linotype" w:eastAsia="Palatino Linotype" w:cs="Times New Roman"/>
          <w:kern w:val="0"/>
          <w14:ligatures w14:val="none"/>
        </w:rPr>
      </w:pPr>
    </w:p>
    <w:p w:rsidR="00272D72" w:rsidP="005146AD" w:rsidRDefault="00C94E09" w14:paraId="256D0947" w14:textId="03F7360A">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We do not think it is needed, nor is it</w:t>
      </w:r>
      <w:r w:rsidR="00207726">
        <w:rPr>
          <w:rFonts w:ascii="Palatino Linotype" w:hAnsi="Palatino Linotype" w:eastAsia="Palatino Linotype" w:cs="Times New Roman"/>
          <w:kern w:val="0"/>
          <w14:ligatures w14:val="none"/>
        </w:rPr>
        <w:t xml:space="preserve"> reasonable</w:t>
      </w:r>
      <w:r>
        <w:rPr>
          <w:rFonts w:ascii="Palatino Linotype" w:hAnsi="Palatino Linotype" w:eastAsia="Palatino Linotype" w:cs="Times New Roman"/>
          <w:kern w:val="0"/>
          <w14:ligatures w14:val="none"/>
        </w:rPr>
        <w:t>,</w:t>
      </w:r>
      <w:r w:rsidR="00207726">
        <w:rPr>
          <w:rFonts w:ascii="Palatino Linotype" w:hAnsi="Palatino Linotype" w:eastAsia="Palatino Linotype" w:cs="Times New Roman"/>
          <w:kern w:val="0"/>
          <w14:ligatures w14:val="none"/>
        </w:rPr>
        <w:t xml:space="preserve"> to determine an exact method to account for </w:t>
      </w:r>
      <w:r w:rsidR="00BF0069">
        <w:rPr>
          <w:rFonts w:ascii="Palatino Linotype" w:hAnsi="Palatino Linotype" w:eastAsia="Palatino Linotype" w:cs="Times New Roman"/>
          <w:kern w:val="0"/>
          <w14:ligatures w14:val="none"/>
        </w:rPr>
        <w:t>these larger transmission network costs via a Commission Resolution in response to an exceptional case filing.</w:t>
      </w:r>
      <w:r w:rsidR="009563C3">
        <w:rPr>
          <w:rFonts w:ascii="Palatino Linotype" w:hAnsi="Palatino Linotype" w:eastAsia="Palatino Linotype" w:cs="Times New Roman"/>
          <w:kern w:val="0"/>
          <w14:ligatures w14:val="none"/>
        </w:rPr>
        <w:t xml:space="preserve"> As noted in the background section above, these issues are already being considered</w:t>
      </w:r>
      <w:r w:rsidR="006E1D58">
        <w:rPr>
          <w:rFonts w:ascii="Palatino Linotype" w:hAnsi="Palatino Linotype" w:eastAsia="Palatino Linotype" w:cs="Times New Roman"/>
          <w:kern w:val="0"/>
          <w14:ligatures w14:val="none"/>
        </w:rPr>
        <w:t xml:space="preserve"> more fully</w:t>
      </w:r>
      <w:r w:rsidR="009563C3">
        <w:rPr>
          <w:rFonts w:ascii="Palatino Linotype" w:hAnsi="Palatino Linotype" w:eastAsia="Palatino Linotype" w:cs="Times New Roman"/>
          <w:kern w:val="0"/>
          <w14:ligatures w14:val="none"/>
        </w:rPr>
        <w:t xml:space="preserve"> in a Commission proceeding, </w:t>
      </w:r>
      <w:r w:rsidR="0030610D">
        <w:rPr>
          <w:rFonts w:ascii="Palatino Linotype" w:hAnsi="Palatino Linotype" w:eastAsia="Palatino Linotype" w:cs="Times New Roman"/>
          <w:kern w:val="0"/>
          <w14:ligatures w14:val="none"/>
        </w:rPr>
        <w:br/>
      </w:r>
      <w:r w:rsidR="009563C3">
        <w:rPr>
          <w:rFonts w:ascii="Palatino Linotype" w:hAnsi="Palatino Linotype" w:eastAsia="Palatino Linotype" w:cs="Times New Roman"/>
          <w:kern w:val="0"/>
          <w14:ligatures w14:val="none"/>
        </w:rPr>
        <w:t xml:space="preserve">A. 24-11-007. </w:t>
      </w:r>
    </w:p>
    <w:p w:rsidR="00272D72" w:rsidP="005146AD" w:rsidRDefault="00272D72" w14:paraId="047780D3" w14:textId="77777777">
      <w:pPr>
        <w:spacing w:after="0" w:line="240" w:lineRule="auto"/>
        <w:contextualSpacing/>
        <w:rPr>
          <w:rFonts w:ascii="Palatino Linotype" w:hAnsi="Palatino Linotype" w:eastAsia="Palatino Linotype" w:cs="Times New Roman"/>
          <w:kern w:val="0"/>
          <w14:ligatures w14:val="none"/>
        </w:rPr>
      </w:pPr>
    </w:p>
    <w:p w:rsidR="00C94E09" w:rsidP="005146AD" w:rsidRDefault="00422F7E" w14:paraId="302E0CF6" w14:textId="40A415AE">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Instead, we find it reasonable </w:t>
      </w:r>
      <w:r w:rsidR="003C7F11">
        <w:rPr>
          <w:rFonts w:ascii="Palatino Linotype" w:hAnsi="Palatino Linotype" w:eastAsia="Palatino Linotype" w:cs="Times New Roman"/>
          <w:kern w:val="0"/>
          <w14:ligatures w14:val="none"/>
        </w:rPr>
        <w:t xml:space="preserve">to require Google and PG&amp;E to handle these larger transmission network costs in a manner corresponding </w:t>
      </w:r>
      <w:r w:rsidR="00E91357">
        <w:rPr>
          <w:rFonts w:ascii="Palatino Linotype" w:hAnsi="Palatino Linotype" w:eastAsia="Palatino Linotype" w:cs="Times New Roman"/>
          <w:kern w:val="0"/>
          <w14:ligatures w14:val="none"/>
        </w:rPr>
        <w:t xml:space="preserve">to the outcome of the </w:t>
      </w:r>
      <w:r w:rsidR="00345654">
        <w:rPr>
          <w:rFonts w:ascii="Palatino Linotype" w:hAnsi="Palatino Linotype" w:eastAsia="Palatino Linotype" w:cs="Times New Roman"/>
          <w:kern w:val="0"/>
          <w14:ligatures w14:val="none"/>
        </w:rPr>
        <w:t>Rule 30 proceeding</w:t>
      </w:r>
      <w:r w:rsidR="00E91357">
        <w:rPr>
          <w:rFonts w:ascii="Palatino Linotype" w:hAnsi="Palatino Linotype" w:eastAsia="Palatino Linotype" w:cs="Times New Roman"/>
          <w:kern w:val="0"/>
          <w14:ligatures w14:val="none"/>
        </w:rPr>
        <w:t xml:space="preserve">. </w:t>
      </w:r>
      <w:r w:rsidR="00FD308D">
        <w:rPr>
          <w:rFonts w:ascii="Palatino Linotype" w:hAnsi="Palatino Linotype" w:eastAsia="Palatino Linotype" w:cs="Times New Roman"/>
          <w:kern w:val="0"/>
          <w14:ligatures w14:val="none"/>
        </w:rPr>
        <w:t>Accordingly, we direct PG&amp;E to modify t</w:t>
      </w:r>
      <w:r w:rsidR="00C51697">
        <w:rPr>
          <w:rFonts w:ascii="Palatino Linotype" w:hAnsi="Palatino Linotype" w:eastAsia="Palatino Linotype" w:cs="Times New Roman"/>
          <w:kern w:val="0"/>
          <w14:ligatures w14:val="none"/>
        </w:rPr>
        <w:t xml:space="preserve">he current agreement to reflect this </w:t>
      </w:r>
      <w:r w:rsidR="00DC45F2">
        <w:rPr>
          <w:rFonts w:ascii="Palatino Linotype" w:hAnsi="Palatino Linotype" w:eastAsia="Palatino Linotype" w:cs="Times New Roman"/>
          <w:kern w:val="0"/>
          <w14:ligatures w14:val="none"/>
        </w:rPr>
        <w:t>change</w:t>
      </w:r>
      <w:r w:rsidR="00C51697">
        <w:rPr>
          <w:rFonts w:ascii="Palatino Linotype" w:hAnsi="Palatino Linotype" w:eastAsia="Palatino Linotype" w:cs="Times New Roman"/>
          <w:kern w:val="0"/>
          <w14:ligatures w14:val="none"/>
        </w:rPr>
        <w:t xml:space="preserve">. </w:t>
      </w:r>
      <w:r w:rsidR="00DC45F2">
        <w:rPr>
          <w:rFonts w:ascii="Palatino Linotype" w:hAnsi="Palatino Linotype" w:eastAsia="Palatino Linotype" w:cs="Times New Roman"/>
          <w:kern w:val="0"/>
          <w14:ligatures w14:val="none"/>
        </w:rPr>
        <w:t xml:space="preserve">Then, </w:t>
      </w:r>
      <w:r w:rsidR="0092038C">
        <w:rPr>
          <w:rFonts w:ascii="Palatino Linotype" w:hAnsi="Palatino Linotype" w:eastAsia="Palatino Linotype" w:cs="Times New Roman"/>
          <w:kern w:val="0"/>
          <w14:ligatures w14:val="none"/>
        </w:rPr>
        <w:t>within 60 days</w:t>
      </w:r>
      <w:r w:rsidR="00DC45F2">
        <w:rPr>
          <w:rFonts w:ascii="Palatino Linotype" w:hAnsi="Palatino Linotype" w:eastAsia="Palatino Linotype" w:cs="Times New Roman"/>
          <w:kern w:val="0"/>
          <w14:ligatures w14:val="none"/>
        </w:rPr>
        <w:t xml:space="preserve"> a</w:t>
      </w:r>
      <w:r w:rsidR="00356E1F">
        <w:rPr>
          <w:rFonts w:ascii="Palatino Linotype" w:hAnsi="Palatino Linotype" w:eastAsia="Palatino Linotype" w:cs="Times New Roman"/>
          <w:kern w:val="0"/>
          <w14:ligatures w14:val="none"/>
        </w:rPr>
        <w:t>fter the next Decision in A. 24-11-007</w:t>
      </w:r>
      <w:r w:rsidR="0092038C">
        <w:rPr>
          <w:rFonts w:ascii="Palatino Linotype" w:hAnsi="Palatino Linotype" w:eastAsia="Palatino Linotype" w:cs="Times New Roman"/>
          <w:kern w:val="0"/>
          <w14:ligatures w14:val="none"/>
        </w:rPr>
        <w:t xml:space="preserve"> is issued</w:t>
      </w:r>
      <w:r w:rsidR="00356E1F">
        <w:rPr>
          <w:rFonts w:ascii="Palatino Linotype" w:hAnsi="Palatino Linotype" w:eastAsia="Palatino Linotype" w:cs="Times New Roman"/>
          <w:kern w:val="0"/>
          <w14:ligatures w14:val="none"/>
        </w:rPr>
        <w:t xml:space="preserve">, PG&amp;E shall file a Tier 2 Advice Letter to update the agreement between PG&amp;E and Google to correspond to </w:t>
      </w:r>
      <w:r w:rsidR="00D125BB">
        <w:rPr>
          <w:rFonts w:ascii="Palatino Linotype" w:hAnsi="Palatino Linotype" w:eastAsia="Palatino Linotype" w:cs="Times New Roman"/>
          <w:kern w:val="0"/>
          <w14:ligatures w14:val="none"/>
        </w:rPr>
        <w:t xml:space="preserve">the outcome in that proceeding as it relates to transmission network facilities (called Type 4 Facilities in A. 24-11-007). </w:t>
      </w:r>
    </w:p>
    <w:p w:rsidR="00C94E09" w:rsidP="005146AD" w:rsidRDefault="00C94E09" w14:paraId="67D21FA4" w14:textId="77777777">
      <w:pPr>
        <w:spacing w:after="0" w:line="240" w:lineRule="auto"/>
        <w:contextualSpacing/>
        <w:rPr>
          <w:rFonts w:ascii="Palatino Linotype" w:hAnsi="Palatino Linotype" w:eastAsia="Palatino Linotype" w:cs="Times New Roman"/>
          <w:kern w:val="0"/>
          <w14:ligatures w14:val="none"/>
        </w:rPr>
      </w:pPr>
    </w:p>
    <w:p w:rsidR="00646CBC" w:rsidP="2DFF863A" w:rsidRDefault="00646CBC" w14:paraId="73CC684E" w14:textId="379B6AD3">
      <w:pPr>
        <w:spacing w:after="0" w:line="240" w:lineRule="auto"/>
        <w:contextualSpacing/>
        <w:rPr>
          <w:rFonts w:ascii="Palatino Linotype" w:hAnsi="Palatino Linotype" w:eastAsia="Palatino Linotype" w:cs="Times New Roman"/>
          <w:kern w:val="0"/>
          <w14:ligatures w14:val="none"/>
        </w:rPr>
      </w:pPr>
      <w:r w:rsidRPr="345BC483">
        <w:rPr>
          <w:rFonts w:ascii="Palatino Linotype" w:hAnsi="Palatino Linotype" w:eastAsia="Palatino Linotype" w:cs="Times New Roman"/>
        </w:rPr>
        <w:t>For context, various methods could be pursued here</w:t>
      </w:r>
      <w:r w:rsidR="00A738E8">
        <w:rPr>
          <w:rFonts w:ascii="Palatino Linotype" w:hAnsi="Palatino Linotype" w:eastAsia="Palatino Linotype" w:cs="Times New Roman"/>
          <w:kern w:val="0"/>
          <w14:ligatures w14:val="none"/>
        </w:rPr>
        <w:t xml:space="preserve"> </w:t>
      </w:r>
      <w:r w:rsidR="00377526">
        <w:rPr>
          <w:rFonts w:ascii="Palatino Linotype" w:hAnsi="Palatino Linotype" w:eastAsia="Palatino Linotype" w:cs="Times New Roman"/>
          <w:kern w:val="0"/>
          <w14:ligatures w14:val="none"/>
        </w:rPr>
        <w:t xml:space="preserve">to arrive at an approximate figure, </w:t>
      </w:r>
      <w:r w:rsidRPr="2DFF863A" w:rsidR="00A738E8">
        <w:rPr>
          <w:rFonts w:ascii="Palatino Linotype" w:hAnsi="Palatino Linotype" w:eastAsia="Palatino Linotype" w:cs="Times New Roman"/>
        </w:rPr>
        <w:t>including the following two</w:t>
      </w:r>
      <w:r w:rsidRPr="2DFF863A">
        <w:rPr>
          <w:rFonts w:ascii="Palatino Linotype" w:hAnsi="Palatino Linotype" w:eastAsia="Palatino Linotype" w:cs="Times New Roman"/>
        </w:rPr>
        <w:t>:</w:t>
      </w:r>
    </w:p>
    <w:p w:rsidR="00646CBC" w:rsidP="00194447" w:rsidRDefault="00646CBC" w14:paraId="5384936D" w14:textId="3DE0E0B2">
      <w:pPr>
        <w:spacing w:after="0" w:line="240" w:lineRule="auto"/>
        <w:ind w:left="720" w:right="720"/>
        <w:contextualSpacing/>
        <w:rPr>
          <w:rFonts w:ascii="Palatino Linotype" w:hAnsi="Palatino Linotype" w:eastAsia="Palatino Linotype" w:cs="Times New Roman"/>
          <w:kern w:val="0"/>
          <w14:ligatures w14:val="none"/>
        </w:rPr>
      </w:pPr>
      <w:r w:rsidRPr="00646CBC">
        <w:rPr>
          <w:rFonts w:ascii="Palatino Linotype" w:hAnsi="Palatino Linotype" w:eastAsia="Palatino Linotype" w:cs="Times New Roman"/>
          <w:kern w:val="0"/>
          <w14:ligatures w14:val="none"/>
        </w:rPr>
        <w:t xml:space="preserve">(1) Cal Advocates noted </w:t>
      </w:r>
      <w:r w:rsidR="00A738E8">
        <w:rPr>
          <w:rFonts w:ascii="Palatino Linotype" w:hAnsi="Palatino Linotype" w:eastAsia="Palatino Linotype" w:cs="Times New Roman"/>
          <w:kern w:val="0"/>
          <w14:ligatures w14:val="none"/>
        </w:rPr>
        <w:t xml:space="preserve">in its protest </w:t>
      </w:r>
      <w:r w:rsidRPr="00646CBC">
        <w:rPr>
          <w:rFonts w:ascii="Palatino Linotype" w:hAnsi="Palatino Linotype" w:eastAsia="Palatino Linotype" w:cs="Times New Roman"/>
          <w:kern w:val="0"/>
          <w14:ligatures w14:val="none"/>
        </w:rPr>
        <w:t xml:space="preserve">that the Newark-NRS line is a </w:t>
      </w:r>
      <w:r w:rsidR="0030610D">
        <w:rPr>
          <w:rFonts w:ascii="Palatino Linotype" w:hAnsi="Palatino Linotype" w:eastAsia="Palatino Linotype" w:cs="Times New Roman"/>
          <w:kern w:val="0"/>
          <w14:ligatures w14:val="none"/>
        </w:rPr>
        <w:br/>
      </w:r>
      <w:r w:rsidRPr="00646CBC">
        <w:rPr>
          <w:rFonts w:ascii="Palatino Linotype" w:hAnsi="Palatino Linotype" w:eastAsia="Palatino Linotype" w:cs="Times New Roman"/>
          <w:kern w:val="0"/>
          <w14:ligatures w14:val="none"/>
        </w:rPr>
        <w:t>$1 billion project, and Google’s 250 MW facility represents 25</w:t>
      </w:r>
      <w:r w:rsidR="006347A8">
        <w:rPr>
          <w:rFonts w:ascii="Palatino Linotype" w:hAnsi="Palatino Linotype" w:eastAsia="Palatino Linotype" w:cs="Times New Roman"/>
          <w:kern w:val="0"/>
          <w14:ligatures w14:val="none"/>
        </w:rPr>
        <w:t xml:space="preserve"> percent</w:t>
      </w:r>
      <w:r w:rsidRPr="00646CBC">
        <w:rPr>
          <w:rFonts w:ascii="Palatino Linotype" w:hAnsi="Palatino Linotype" w:eastAsia="Palatino Linotype" w:cs="Times New Roman"/>
          <w:kern w:val="0"/>
          <w14:ligatures w14:val="none"/>
        </w:rPr>
        <w:t xml:space="preserve"> of the capacity of that line, thus indicating $1 million per MW</w:t>
      </w:r>
      <w:r w:rsidR="005A5C11">
        <w:rPr>
          <w:rFonts w:ascii="Palatino Linotype" w:hAnsi="Palatino Linotype" w:eastAsia="Palatino Linotype" w:cs="Times New Roman"/>
          <w:kern w:val="0"/>
          <w14:ligatures w14:val="none"/>
        </w:rPr>
        <w:t xml:space="preserve"> (of a 250 MW facility)</w:t>
      </w:r>
      <w:r w:rsidRPr="00646CBC">
        <w:rPr>
          <w:rFonts w:ascii="Palatino Linotype" w:hAnsi="Palatino Linotype" w:eastAsia="Palatino Linotype" w:cs="Times New Roman"/>
          <w:kern w:val="0"/>
          <w14:ligatures w14:val="none"/>
        </w:rPr>
        <w:t xml:space="preserve"> could be appropriate. </w:t>
      </w:r>
    </w:p>
    <w:p w:rsidR="00646CBC" w:rsidP="00194447" w:rsidRDefault="00646CBC" w14:paraId="36B8D2BD" w14:textId="139F3F01">
      <w:pPr>
        <w:spacing w:after="0" w:line="240" w:lineRule="auto"/>
        <w:ind w:left="720" w:right="720"/>
        <w:contextualSpacing/>
        <w:rPr>
          <w:rFonts w:ascii="Palatino Linotype" w:hAnsi="Palatino Linotype" w:eastAsia="Palatino Linotype" w:cs="Times New Roman"/>
          <w:kern w:val="0"/>
          <w14:ligatures w14:val="none"/>
        </w:rPr>
      </w:pPr>
      <w:r w:rsidRPr="00646CBC">
        <w:rPr>
          <w:rFonts w:ascii="Palatino Linotype" w:hAnsi="Palatino Linotype" w:eastAsia="Palatino Linotype" w:cs="Times New Roman"/>
          <w:kern w:val="0"/>
          <w14:ligatures w14:val="none"/>
        </w:rPr>
        <w:t>(2) Google’s facility represents about 20</w:t>
      </w:r>
      <w:r w:rsidR="006347A8">
        <w:rPr>
          <w:rFonts w:ascii="Palatino Linotype" w:hAnsi="Palatino Linotype" w:eastAsia="Palatino Linotype" w:cs="Times New Roman"/>
          <w:kern w:val="0"/>
          <w14:ligatures w14:val="none"/>
        </w:rPr>
        <w:t xml:space="preserve"> percent</w:t>
      </w:r>
      <w:r w:rsidRPr="00646CBC">
        <w:rPr>
          <w:rFonts w:ascii="Palatino Linotype" w:hAnsi="Palatino Linotype" w:eastAsia="Palatino Linotype" w:cs="Times New Roman"/>
          <w:kern w:val="0"/>
          <w14:ligatures w14:val="none"/>
        </w:rPr>
        <w:t xml:space="preserve"> of the load growth noted in the CAISO San Jose Area Transmission Plan, and the approved cost cap from LS Power’s portion of the Newark-NRS line is $813 million, thus indicating $650,000 per MW </w:t>
      </w:r>
      <w:r w:rsidR="005A5C11">
        <w:rPr>
          <w:rFonts w:ascii="Palatino Linotype" w:hAnsi="Palatino Linotype" w:eastAsia="Palatino Linotype" w:cs="Times New Roman"/>
          <w:kern w:val="0"/>
          <w14:ligatures w14:val="none"/>
        </w:rPr>
        <w:t xml:space="preserve">(of a 250 MW facility) </w:t>
      </w:r>
      <w:r w:rsidRPr="00646CBC">
        <w:rPr>
          <w:rFonts w:ascii="Palatino Linotype" w:hAnsi="Palatino Linotype" w:eastAsia="Palatino Linotype" w:cs="Times New Roman"/>
          <w:kern w:val="0"/>
          <w14:ligatures w14:val="none"/>
        </w:rPr>
        <w:t xml:space="preserve">could be appropriate. </w:t>
      </w:r>
    </w:p>
    <w:p w:rsidR="005E66A9" w:rsidP="2DFF863A" w:rsidRDefault="00646CBC" w14:paraId="3D1D02B1" w14:textId="0885BC39">
      <w:pPr>
        <w:spacing w:after="0" w:line="240" w:lineRule="auto"/>
        <w:contextualSpacing/>
        <w:rPr>
          <w:rFonts w:ascii="Palatino Linotype" w:hAnsi="Palatino Linotype" w:eastAsia="Palatino Linotype" w:cs="Times New Roman"/>
          <w:kern w:val="0"/>
          <w14:ligatures w14:val="none"/>
        </w:rPr>
      </w:pPr>
      <w:r w:rsidRPr="00646CBC">
        <w:rPr>
          <w:rFonts w:ascii="Palatino Linotype" w:hAnsi="Palatino Linotype" w:eastAsia="Palatino Linotype" w:cs="Times New Roman"/>
          <w:kern w:val="0"/>
          <w14:ligatures w14:val="none"/>
        </w:rPr>
        <w:t>Neither of these estimates account for</w:t>
      </w:r>
      <w:r w:rsidR="005E1EDE">
        <w:rPr>
          <w:rFonts w:ascii="Palatino Linotype" w:hAnsi="Palatino Linotype" w:eastAsia="Palatino Linotype" w:cs="Times New Roman"/>
          <w:kern w:val="0"/>
          <w14:ligatures w14:val="none"/>
        </w:rPr>
        <w:t xml:space="preserve"> the</w:t>
      </w:r>
      <w:r w:rsidRPr="00646CBC">
        <w:rPr>
          <w:rFonts w:ascii="Palatino Linotype" w:hAnsi="Palatino Linotype" w:eastAsia="Palatino Linotype" w:cs="Times New Roman"/>
          <w:kern w:val="0"/>
          <w14:ligatures w14:val="none"/>
        </w:rPr>
        <w:t xml:space="preserve"> transmission upgrades that the Google facility depends o</w:t>
      </w:r>
      <w:r w:rsidR="005E1EDE">
        <w:rPr>
          <w:rFonts w:ascii="Palatino Linotype" w:hAnsi="Palatino Linotype" w:eastAsia="Palatino Linotype" w:cs="Times New Roman"/>
          <w:kern w:val="0"/>
          <w14:ligatures w14:val="none"/>
        </w:rPr>
        <w:t>n other than the Newark-NRS line</w:t>
      </w:r>
      <w:r w:rsidRPr="00646CBC">
        <w:rPr>
          <w:rFonts w:ascii="Palatino Linotype" w:hAnsi="Palatino Linotype" w:eastAsia="Palatino Linotype" w:cs="Times New Roman"/>
          <w:kern w:val="0"/>
          <w14:ligatures w14:val="none"/>
        </w:rPr>
        <w:t>.</w:t>
      </w:r>
      <w:r w:rsidR="00F53844">
        <w:rPr>
          <w:rFonts w:ascii="Palatino Linotype" w:hAnsi="Palatino Linotype" w:eastAsia="Palatino Linotype" w:cs="Times New Roman"/>
          <w:kern w:val="0"/>
          <w14:ligatures w14:val="none"/>
        </w:rPr>
        <w:t xml:space="preserve"> </w:t>
      </w:r>
    </w:p>
    <w:p w:rsidR="005308B9" w:rsidP="005146AD" w:rsidRDefault="005308B9" w14:paraId="3204A743" w14:textId="77777777">
      <w:pPr>
        <w:spacing w:after="0" w:line="240" w:lineRule="auto"/>
        <w:contextualSpacing/>
        <w:rPr>
          <w:rFonts w:ascii="Palatino Linotype" w:hAnsi="Palatino Linotype" w:eastAsia="Palatino Linotype" w:cs="Times New Roman"/>
          <w:kern w:val="0"/>
          <w14:ligatures w14:val="none"/>
        </w:rPr>
      </w:pPr>
    </w:p>
    <w:p w:rsidR="000D280D" w:rsidP="00B36B2C" w:rsidRDefault="000D280D" w14:paraId="05E7C540" w14:textId="77777777">
      <w:pPr>
        <w:spacing w:after="0" w:line="240" w:lineRule="auto"/>
        <w:contextualSpacing/>
        <w:rPr>
          <w:rFonts w:ascii="Palatino Linotype" w:hAnsi="Palatino Linotype" w:eastAsia="Palatino Linotype" w:cs="Times New Roman"/>
          <w:b/>
          <w:bCs/>
          <w:kern w:val="0"/>
          <w14:ligatures w14:val="none"/>
        </w:rPr>
      </w:pPr>
    </w:p>
    <w:p w:rsidRPr="00717000" w:rsidR="00B36B2C" w:rsidP="00B36B2C" w:rsidRDefault="00B36B2C" w14:paraId="015E9201" w14:textId="27E9E390">
      <w:pPr>
        <w:spacing w:after="0" w:line="240" w:lineRule="auto"/>
        <w:contextualSpacing/>
        <w:rPr>
          <w:rFonts w:ascii="Palatino Linotype" w:hAnsi="Palatino Linotype" w:eastAsia="Palatino Linotype" w:cs="Times New Roman"/>
          <w:b/>
          <w:bCs/>
          <w:kern w:val="0"/>
          <w14:ligatures w14:val="none"/>
        </w:rPr>
      </w:pPr>
      <w:r w:rsidRPr="00717000">
        <w:rPr>
          <w:rFonts w:ascii="Palatino Linotype" w:hAnsi="Palatino Linotype" w:eastAsia="Palatino Linotype" w:cs="Times New Roman"/>
          <w:b/>
          <w:bCs/>
          <w:kern w:val="0"/>
          <w14:ligatures w14:val="none"/>
        </w:rPr>
        <w:t xml:space="preserve">Refund Methodology: Annual Refunds Must Be Limited to </w:t>
      </w:r>
      <w:r w:rsidR="000A7E28">
        <w:rPr>
          <w:rFonts w:ascii="Palatino Linotype" w:hAnsi="Palatino Linotype" w:eastAsia="Palatino Linotype" w:cs="Times New Roman"/>
          <w:b/>
          <w:bCs/>
          <w:kern w:val="0"/>
          <w14:ligatures w14:val="none"/>
        </w:rPr>
        <w:t>100</w:t>
      </w:r>
      <w:r w:rsidRPr="00717000" w:rsidR="000A7E28">
        <w:rPr>
          <w:rFonts w:ascii="Palatino Linotype" w:hAnsi="Palatino Linotype" w:eastAsia="Palatino Linotype" w:cs="Times New Roman"/>
          <w:b/>
          <w:bCs/>
          <w:kern w:val="0"/>
          <w14:ligatures w14:val="none"/>
        </w:rPr>
        <w:t xml:space="preserve"> </w:t>
      </w:r>
      <w:r w:rsidRPr="00717000">
        <w:rPr>
          <w:rFonts w:ascii="Palatino Linotype" w:hAnsi="Palatino Linotype" w:eastAsia="Palatino Linotype" w:cs="Times New Roman"/>
          <w:b/>
          <w:bCs/>
          <w:kern w:val="0"/>
          <w14:ligatures w14:val="none"/>
        </w:rPr>
        <w:t>Percent of Annual Net Revenues</w:t>
      </w:r>
    </w:p>
    <w:p w:rsidRPr="00B36B2C" w:rsidR="00717000" w:rsidP="00B36B2C" w:rsidRDefault="00717000" w14:paraId="32080F21" w14:textId="77777777">
      <w:pPr>
        <w:spacing w:after="0" w:line="240" w:lineRule="auto"/>
        <w:contextualSpacing/>
        <w:rPr>
          <w:rFonts w:ascii="Palatino Linotype" w:hAnsi="Palatino Linotype" w:eastAsia="Palatino Linotype" w:cs="Times New Roman"/>
          <w:kern w:val="0"/>
          <w14:ligatures w14:val="none"/>
        </w:rPr>
      </w:pPr>
    </w:p>
    <w:p w:rsidR="00B36B2C" w:rsidP="00B36B2C" w:rsidRDefault="00B36B2C" w14:paraId="2413EEC8" w14:textId="29293CCB">
      <w:pPr>
        <w:spacing w:after="0" w:line="240" w:lineRule="auto"/>
        <w:contextualSpacing/>
        <w:rPr>
          <w:rFonts w:ascii="Palatino Linotype" w:hAnsi="Palatino Linotype" w:eastAsia="Palatino Linotype" w:cs="Times New Roman"/>
          <w:kern w:val="0"/>
          <w14:ligatures w14:val="none"/>
        </w:rPr>
      </w:pPr>
      <w:r w:rsidRPr="00B36B2C">
        <w:rPr>
          <w:rFonts w:ascii="Palatino Linotype" w:hAnsi="Palatino Linotype" w:eastAsia="Palatino Linotype" w:cs="Times New Roman"/>
          <w:kern w:val="0"/>
          <w14:ligatures w14:val="none"/>
        </w:rPr>
        <w:t xml:space="preserve">We </w:t>
      </w:r>
      <w:r w:rsidR="000A7E28">
        <w:rPr>
          <w:rFonts w:ascii="Palatino Linotype" w:hAnsi="Palatino Linotype" w:eastAsia="Palatino Linotype" w:cs="Times New Roman"/>
          <w:kern w:val="0"/>
          <w14:ligatures w14:val="none"/>
        </w:rPr>
        <w:t xml:space="preserve">next </w:t>
      </w:r>
      <w:r w:rsidRPr="00B36B2C">
        <w:rPr>
          <w:rFonts w:ascii="Palatino Linotype" w:hAnsi="Palatino Linotype" w:eastAsia="Palatino Linotype" w:cs="Times New Roman"/>
          <w:kern w:val="0"/>
          <w14:ligatures w14:val="none"/>
        </w:rPr>
        <w:t xml:space="preserve">address whether the agreement’s use of the standard Base Annual Revenue Calculation (BARC) refund approach should be modified to provide additional ratepayer protection. Cal Advocates argues </w:t>
      </w:r>
      <w:r w:rsidR="005823C1">
        <w:rPr>
          <w:rFonts w:ascii="Palatino Linotype" w:hAnsi="Palatino Linotype" w:eastAsia="Palatino Linotype" w:cs="Times New Roman"/>
          <w:kern w:val="0"/>
          <w14:ligatures w14:val="none"/>
        </w:rPr>
        <w:t xml:space="preserve">that </w:t>
      </w:r>
      <w:r w:rsidRPr="00B36B2C">
        <w:rPr>
          <w:rFonts w:ascii="Palatino Linotype" w:hAnsi="Palatino Linotype" w:eastAsia="Palatino Linotype" w:cs="Times New Roman"/>
          <w:kern w:val="0"/>
          <w14:ligatures w14:val="none"/>
        </w:rPr>
        <w:t xml:space="preserve">the Commission should require </w:t>
      </w:r>
      <w:r w:rsidRPr="00B36B2C">
        <w:rPr>
          <w:rFonts w:ascii="Palatino Linotype" w:hAnsi="Palatino Linotype" w:eastAsia="Palatino Linotype" w:cs="Times New Roman"/>
          <w:kern w:val="0"/>
          <w14:ligatures w14:val="none"/>
        </w:rPr>
        <w:lastRenderedPageBreak/>
        <w:t>modifications similar to those adopted in prior, substantially similar exceptional case</w:t>
      </w:r>
      <w:r w:rsidR="00CD47A0">
        <w:rPr>
          <w:rFonts w:ascii="Palatino Linotype" w:hAnsi="Palatino Linotype" w:eastAsia="Palatino Linotype" w:cs="Times New Roman"/>
          <w:kern w:val="0"/>
          <w14:ligatures w14:val="none"/>
        </w:rPr>
        <w:t>s</w:t>
      </w:r>
      <w:r w:rsidRPr="00B36B2C">
        <w:rPr>
          <w:rFonts w:ascii="Palatino Linotype" w:hAnsi="Palatino Linotype" w:eastAsia="Palatino Linotype" w:cs="Times New Roman"/>
          <w:kern w:val="0"/>
          <w14:ligatures w14:val="none"/>
        </w:rPr>
        <w:t>, including limiting annual refunds to 75 percent of annual net revenues received from the customer. PG&amp;E argues that prior resolutions are expressly non-precedential and that the existing BARC process and agreement terms are sufficient.</w:t>
      </w:r>
    </w:p>
    <w:p w:rsidRPr="00B36B2C" w:rsidR="00D40DC3" w:rsidP="00B36B2C" w:rsidRDefault="00D40DC3" w14:paraId="22E88837" w14:textId="77777777">
      <w:pPr>
        <w:spacing w:after="0" w:line="240" w:lineRule="auto"/>
        <w:contextualSpacing/>
        <w:rPr>
          <w:rFonts w:ascii="Palatino Linotype" w:hAnsi="Palatino Linotype" w:eastAsia="Palatino Linotype" w:cs="Times New Roman"/>
          <w:kern w:val="0"/>
          <w14:ligatures w14:val="none"/>
        </w:rPr>
      </w:pPr>
    </w:p>
    <w:p w:rsidR="00036C6D" w:rsidP="00036C6D" w:rsidRDefault="00B36B2C" w14:paraId="7E678CDE" w14:textId="242AD57C">
      <w:pPr>
        <w:spacing w:line="240" w:lineRule="auto"/>
        <w:rPr>
          <w:rFonts w:ascii="Palatino Linotype" w:hAnsi="Palatino Linotype" w:eastAsia="Aptos" w:cs="Times New Roman"/>
        </w:rPr>
      </w:pPr>
      <w:r w:rsidRPr="00B36B2C">
        <w:rPr>
          <w:rFonts w:ascii="Palatino Linotype" w:hAnsi="Palatino Linotype" w:eastAsia="Palatino Linotype" w:cs="Times New Roman"/>
          <w:kern w:val="0"/>
          <w14:ligatures w14:val="none"/>
        </w:rPr>
        <w:t>The standard BARC framework</w:t>
      </w:r>
      <w:r w:rsidR="00D8129A">
        <w:rPr>
          <w:rFonts w:ascii="Palatino Linotype" w:hAnsi="Palatino Linotype" w:eastAsia="Palatino Linotype" w:cs="Times New Roman"/>
          <w:kern w:val="0"/>
          <w14:ligatures w14:val="none"/>
        </w:rPr>
        <w:t xml:space="preserve">, </w:t>
      </w:r>
      <w:r w:rsidR="008906AA">
        <w:rPr>
          <w:rFonts w:ascii="Palatino Linotype" w:hAnsi="Palatino Linotype" w:eastAsia="Palatino Linotype" w:cs="Times New Roman"/>
          <w:kern w:val="0"/>
          <w14:ligatures w14:val="none"/>
        </w:rPr>
        <w:t>described in the background section above,</w:t>
      </w:r>
      <w:r w:rsidRPr="00B36B2C">
        <w:rPr>
          <w:rFonts w:ascii="Palatino Linotype" w:hAnsi="Palatino Linotype" w:eastAsia="Palatino Linotype" w:cs="Times New Roman"/>
          <w:kern w:val="0"/>
          <w14:ligatures w14:val="none"/>
        </w:rPr>
        <w:t xml:space="preserve"> is designed to refund certain advanced energization costs over time </w:t>
      </w:r>
      <w:r w:rsidR="00D8129A">
        <w:rPr>
          <w:rFonts w:ascii="Palatino Linotype" w:hAnsi="Palatino Linotype" w:eastAsia="Palatino Linotype" w:cs="Times New Roman"/>
          <w:kern w:val="0"/>
          <w14:ligatures w14:val="none"/>
        </w:rPr>
        <w:t>based on the net revenue</w:t>
      </w:r>
      <w:r w:rsidR="008906AA">
        <w:rPr>
          <w:rFonts w:ascii="Palatino Linotype" w:hAnsi="Palatino Linotype" w:eastAsia="Palatino Linotype" w:cs="Times New Roman"/>
          <w:kern w:val="0"/>
          <w14:ligatures w14:val="none"/>
        </w:rPr>
        <w:t xml:space="preserve"> the</w:t>
      </w:r>
      <w:r w:rsidRPr="00B36B2C">
        <w:rPr>
          <w:rFonts w:ascii="Palatino Linotype" w:hAnsi="Palatino Linotype" w:eastAsia="Palatino Linotype" w:cs="Times New Roman"/>
          <w:kern w:val="0"/>
          <w14:ligatures w14:val="none"/>
        </w:rPr>
        <w:t xml:space="preserve"> utility receives </w:t>
      </w:r>
      <w:r w:rsidR="008906AA">
        <w:rPr>
          <w:rFonts w:ascii="Palatino Linotype" w:hAnsi="Palatino Linotype" w:eastAsia="Palatino Linotype" w:cs="Times New Roman"/>
          <w:kern w:val="0"/>
          <w14:ligatures w14:val="none"/>
        </w:rPr>
        <w:t>from</w:t>
      </w:r>
      <w:r w:rsidRPr="00B36B2C">
        <w:rPr>
          <w:rFonts w:ascii="Palatino Linotype" w:hAnsi="Palatino Linotype" w:eastAsia="Palatino Linotype" w:cs="Times New Roman"/>
          <w:kern w:val="0"/>
          <w14:ligatures w14:val="none"/>
        </w:rPr>
        <w:t xml:space="preserve"> the customer. </w:t>
      </w:r>
      <w:r w:rsidR="00EB1BAC">
        <w:rPr>
          <w:rFonts w:ascii="Palatino Linotype" w:hAnsi="Palatino Linotype" w:eastAsia="Aptos" w:cs="Times New Roman"/>
        </w:rPr>
        <w:t>This framework is</w:t>
      </w:r>
      <w:r w:rsidRPr="008D1A97" w:rsidR="00036C6D">
        <w:rPr>
          <w:rFonts w:ascii="Palatino Linotype" w:hAnsi="Palatino Linotype" w:eastAsia="Aptos" w:cs="Times New Roman"/>
        </w:rPr>
        <w:t xml:space="preserve"> intended to guide cost responsibility and refunds for distribution-level </w:t>
      </w:r>
      <w:r w:rsidR="00036C6D">
        <w:rPr>
          <w:rFonts w:ascii="Palatino Linotype" w:hAnsi="Palatino Linotype" w:eastAsia="Aptos" w:cs="Times New Roman"/>
        </w:rPr>
        <w:t>energization</w:t>
      </w:r>
      <w:r w:rsidRPr="409E471F" w:rsidR="00036C6D">
        <w:rPr>
          <w:rFonts w:ascii="Palatino Linotype" w:hAnsi="Palatino Linotype" w:eastAsia="Aptos" w:cs="Times New Roman"/>
        </w:rPr>
        <w:t>, and</w:t>
      </w:r>
      <w:r w:rsidR="00EB1BAC">
        <w:rPr>
          <w:rFonts w:ascii="Palatino Linotype" w:hAnsi="Palatino Linotype" w:eastAsia="Aptos" w:cs="Times New Roman"/>
        </w:rPr>
        <w:t xml:space="preserve"> it</w:t>
      </w:r>
      <w:r w:rsidRPr="008D1A97" w:rsidR="00036C6D">
        <w:rPr>
          <w:rFonts w:ascii="Palatino Linotype" w:hAnsi="Palatino Linotype" w:eastAsia="Aptos" w:cs="Times New Roman"/>
        </w:rPr>
        <w:t xml:space="preserve"> </w:t>
      </w:r>
      <w:r w:rsidRPr="409E471F" w:rsidR="00036C6D">
        <w:rPr>
          <w:rFonts w:ascii="Palatino Linotype" w:hAnsi="Palatino Linotype" w:eastAsia="Aptos" w:cs="Times New Roman"/>
        </w:rPr>
        <w:t>do</w:t>
      </w:r>
      <w:r w:rsidR="00EB1BAC">
        <w:rPr>
          <w:rFonts w:ascii="Palatino Linotype" w:hAnsi="Palatino Linotype" w:eastAsia="Aptos" w:cs="Times New Roman"/>
        </w:rPr>
        <w:t>es</w:t>
      </w:r>
      <w:r w:rsidRPr="409E471F" w:rsidR="00036C6D">
        <w:rPr>
          <w:rFonts w:ascii="Palatino Linotype" w:hAnsi="Palatino Linotype" w:eastAsia="Aptos" w:cs="Times New Roman"/>
        </w:rPr>
        <w:t xml:space="preserve"> </w:t>
      </w:r>
      <w:r w:rsidRPr="008D1A97" w:rsidR="00036C6D">
        <w:rPr>
          <w:rFonts w:ascii="Palatino Linotype" w:hAnsi="Palatino Linotype" w:eastAsia="Aptos" w:cs="Times New Roman"/>
        </w:rPr>
        <w:t>provide a workable framework for typical customer loads</w:t>
      </w:r>
      <w:r w:rsidRPr="409E471F" w:rsidR="00036C6D">
        <w:rPr>
          <w:rFonts w:ascii="Palatino Linotype" w:hAnsi="Palatino Linotype" w:eastAsia="Aptos" w:cs="Times New Roman"/>
        </w:rPr>
        <w:t>. However</w:t>
      </w:r>
      <w:r w:rsidRPr="008D1A97" w:rsidR="00036C6D">
        <w:rPr>
          <w:rFonts w:ascii="Palatino Linotype" w:hAnsi="Palatino Linotype" w:eastAsia="Aptos" w:cs="Times New Roman"/>
        </w:rPr>
        <w:t xml:space="preserve">, </w:t>
      </w:r>
      <w:r w:rsidR="00036C6D">
        <w:rPr>
          <w:rFonts w:ascii="Palatino Linotype" w:hAnsi="Palatino Linotype" w:eastAsia="Aptos" w:cs="Times New Roman"/>
        </w:rPr>
        <w:t xml:space="preserve">considering the size of </w:t>
      </w:r>
      <w:r w:rsidR="005C7802">
        <w:rPr>
          <w:rFonts w:ascii="Palatino Linotype" w:hAnsi="Palatino Linotype" w:eastAsia="Aptos" w:cs="Times New Roman"/>
        </w:rPr>
        <w:t>Google’s request</w:t>
      </w:r>
      <w:r w:rsidR="00036C6D">
        <w:rPr>
          <w:rFonts w:ascii="Palatino Linotype" w:hAnsi="Palatino Linotype" w:eastAsia="Aptos" w:cs="Times New Roman"/>
        </w:rPr>
        <w:t xml:space="preserve"> and scope of</w:t>
      </w:r>
      <w:r w:rsidRPr="008D1A97" w:rsidR="00036C6D">
        <w:rPr>
          <w:rFonts w:ascii="Palatino Linotype" w:hAnsi="Palatino Linotype" w:eastAsia="Aptos" w:cs="Times New Roman"/>
        </w:rPr>
        <w:t xml:space="preserve"> transmission-level </w:t>
      </w:r>
      <w:r w:rsidR="00036C6D">
        <w:rPr>
          <w:rFonts w:ascii="Palatino Linotype" w:hAnsi="Palatino Linotype" w:eastAsia="Aptos" w:cs="Times New Roman"/>
        </w:rPr>
        <w:t xml:space="preserve">work required to energize the </w:t>
      </w:r>
      <w:r w:rsidRPr="008D1A97" w:rsidR="00036C6D">
        <w:rPr>
          <w:rFonts w:ascii="Palatino Linotype" w:hAnsi="Palatino Linotype" w:eastAsia="Aptos" w:cs="Times New Roman"/>
        </w:rPr>
        <w:t>project</w:t>
      </w:r>
      <w:r w:rsidR="005C7802">
        <w:rPr>
          <w:rFonts w:ascii="Palatino Linotype" w:hAnsi="Palatino Linotype" w:eastAsia="Aptos" w:cs="Times New Roman"/>
        </w:rPr>
        <w:t>,</w:t>
      </w:r>
      <w:r w:rsidR="00036C6D">
        <w:rPr>
          <w:rFonts w:ascii="Palatino Linotype" w:hAnsi="Palatino Linotype" w:eastAsia="Aptos" w:cs="Times New Roman"/>
        </w:rPr>
        <w:t xml:space="preserve"> additional customer protection is necessary to avoid </w:t>
      </w:r>
      <w:r w:rsidR="00332E52">
        <w:rPr>
          <w:rFonts w:ascii="Palatino Linotype" w:hAnsi="Palatino Linotype" w:eastAsia="Aptos" w:cs="Times New Roman"/>
        </w:rPr>
        <w:t>risks</w:t>
      </w:r>
      <w:r w:rsidR="00036C6D">
        <w:rPr>
          <w:rFonts w:ascii="Palatino Linotype" w:hAnsi="Palatino Linotype" w:eastAsia="Aptos" w:cs="Times New Roman"/>
        </w:rPr>
        <w:t xml:space="preserve"> to ratepayers if the anticipated revenue for the project does not materialize</w:t>
      </w:r>
      <w:r w:rsidRPr="008D1A97" w:rsidR="00036C6D">
        <w:rPr>
          <w:rFonts w:ascii="Palatino Linotype" w:hAnsi="Palatino Linotype" w:eastAsia="Aptos" w:cs="Times New Roman"/>
        </w:rPr>
        <w:t>.</w:t>
      </w:r>
      <w:r w:rsidR="00036C6D">
        <w:rPr>
          <w:rFonts w:ascii="Palatino Linotype" w:hAnsi="Palatino Linotype" w:eastAsia="Aptos" w:cs="Times New Roman"/>
        </w:rPr>
        <w:t xml:space="preserve"> </w:t>
      </w:r>
    </w:p>
    <w:p w:rsidR="00036C6D" w:rsidP="00036C6D" w:rsidRDefault="00036C6D" w14:paraId="2C10CC5A" w14:textId="7718ECEF">
      <w:pPr>
        <w:spacing w:after="0" w:line="240" w:lineRule="auto"/>
        <w:contextualSpacing/>
        <w:rPr>
          <w:rFonts w:ascii="Palatino Linotype" w:hAnsi="Palatino Linotype" w:eastAsia="Palatino Linotype" w:cs="Times New Roman"/>
          <w:kern w:val="0"/>
          <w14:ligatures w14:val="none"/>
        </w:rPr>
      </w:pPr>
      <w:r w:rsidRPr="13F3B869">
        <w:rPr>
          <w:rFonts w:ascii="Palatino Linotype" w:hAnsi="Palatino Linotype" w:eastAsia="Aptos" w:cs="Times New Roman"/>
        </w:rPr>
        <w:t xml:space="preserve">As noted above, the BARC process provides the refunds based on expected future revenues from the customer, meaning PG&amp;E could refund </w:t>
      </w:r>
      <w:r w:rsidR="005C7802">
        <w:rPr>
          <w:rFonts w:ascii="Palatino Linotype" w:hAnsi="Palatino Linotype" w:eastAsia="Aptos" w:cs="Times New Roman"/>
        </w:rPr>
        <w:t>Google</w:t>
      </w:r>
      <w:r w:rsidRPr="13F3B869">
        <w:rPr>
          <w:rFonts w:ascii="Palatino Linotype" w:hAnsi="Palatino Linotype" w:eastAsia="Aptos" w:cs="Times New Roman"/>
        </w:rPr>
        <w:t xml:space="preserve"> for the costs of energization well before net revenues from </w:t>
      </w:r>
      <w:r w:rsidR="005C7802">
        <w:rPr>
          <w:rFonts w:ascii="Palatino Linotype" w:hAnsi="Palatino Linotype" w:eastAsia="Aptos" w:cs="Times New Roman"/>
        </w:rPr>
        <w:t>Google</w:t>
      </w:r>
      <w:r w:rsidRPr="13F3B869">
        <w:rPr>
          <w:rFonts w:ascii="Palatino Linotype" w:hAnsi="Palatino Linotype" w:eastAsia="Aptos" w:cs="Times New Roman"/>
        </w:rPr>
        <w:t xml:space="preserve"> actually cover th</w:t>
      </w:r>
      <w:r>
        <w:rPr>
          <w:rFonts w:ascii="Palatino Linotype" w:hAnsi="Palatino Linotype" w:eastAsia="Aptos" w:cs="Times New Roman"/>
        </w:rPr>
        <w:t>e</w:t>
      </w:r>
      <w:r w:rsidRPr="13F3B869">
        <w:rPr>
          <w:rFonts w:ascii="Palatino Linotype" w:hAnsi="Palatino Linotype" w:eastAsia="Aptos" w:cs="Times New Roman"/>
        </w:rPr>
        <w:t xml:space="preserve"> </w:t>
      </w:r>
      <w:r>
        <w:rPr>
          <w:rFonts w:ascii="Palatino Linotype" w:hAnsi="Palatino Linotype" w:eastAsia="Aptos" w:cs="Times New Roman"/>
        </w:rPr>
        <w:t xml:space="preserve">upfront </w:t>
      </w:r>
      <w:r w:rsidRPr="13F3B869">
        <w:rPr>
          <w:rFonts w:ascii="Palatino Linotype" w:hAnsi="Palatino Linotype" w:eastAsia="Aptos" w:cs="Times New Roman"/>
        </w:rPr>
        <w:t>costs</w:t>
      </w:r>
      <w:r>
        <w:rPr>
          <w:rFonts w:ascii="Palatino Linotype" w:hAnsi="Palatino Linotype" w:eastAsia="Aptos" w:cs="Times New Roman"/>
        </w:rPr>
        <w:t xml:space="preserve"> of</w:t>
      </w:r>
      <w:r w:rsidR="00332E52">
        <w:rPr>
          <w:rFonts w:ascii="Palatino Linotype" w:hAnsi="Palatino Linotype" w:eastAsia="Aptos" w:cs="Times New Roman"/>
        </w:rPr>
        <w:t xml:space="preserve"> its </w:t>
      </w:r>
      <w:r>
        <w:rPr>
          <w:rFonts w:ascii="Palatino Linotype" w:hAnsi="Palatino Linotype" w:eastAsia="Aptos" w:cs="Times New Roman"/>
        </w:rPr>
        <w:t>energiz</w:t>
      </w:r>
      <w:r w:rsidR="00332E52">
        <w:rPr>
          <w:rFonts w:ascii="Palatino Linotype" w:hAnsi="Palatino Linotype" w:eastAsia="Aptos" w:cs="Times New Roman"/>
        </w:rPr>
        <w:t>ation</w:t>
      </w:r>
      <w:r w:rsidRPr="13F3B869">
        <w:rPr>
          <w:rFonts w:ascii="Palatino Linotype" w:hAnsi="Palatino Linotype" w:eastAsia="Aptos" w:cs="Times New Roman"/>
        </w:rPr>
        <w:t xml:space="preserve">. In a typical distribution setting, this assumption of recovery is </w:t>
      </w:r>
      <w:r>
        <w:rPr>
          <w:rFonts w:ascii="Palatino Linotype" w:hAnsi="Palatino Linotype" w:eastAsia="Aptos" w:cs="Times New Roman"/>
        </w:rPr>
        <w:t>sufficient</w:t>
      </w:r>
      <w:r w:rsidRPr="13F3B869">
        <w:rPr>
          <w:rFonts w:ascii="Palatino Linotype" w:hAnsi="Palatino Linotype" w:eastAsia="Aptos" w:cs="Times New Roman"/>
        </w:rPr>
        <w:t xml:space="preserve">, as </w:t>
      </w:r>
      <w:r>
        <w:rPr>
          <w:rFonts w:ascii="Palatino Linotype" w:hAnsi="Palatino Linotype" w:eastAsia="Aptos" w:cs="Times New Roman"/>
        </w:rPr>
        <w:t xml:space="preserve">(1) </w:t>
      </w:r>
      <w:r w:rsidRPr="13F3B869">
        <w:rPr>
          <w:rFonts w:ascii="Palatino Linotype" w:hAnsi="Palatino Linotype" w:eastAsia="Aptos" w:cs="Times New Roman"/>
        </w:rPr>
        <w:t>projects are much smaller in scale</w:t>
      </w:r>
      <w:r>
        <w:rPr>
          <w:rFonts w:ascii="Palatino Linotype" w:hAnsi="Palatino Linotype" w:eastAsia="Aptos" w:cs="Times New Roman"/>
        </w:rPr>
        <w:t xml:space="preserve">, (2) </w:t>
      </w:r>
      <w:r w:rsidRPr="00104E59">
        <w:rPr>
          <w:rFonts w:ascii="Palatino Linotype" w:hAnsi="Palatino Linotype" w:eastAsia="Aptos" w:cs="Times New Roman"/>
        </w:rPr>
        <w:t>statistically, with thousands of similar energizations per year, any single customer disconnecting from the grid does not present large risks to ratepayers, and</w:t>
      </w:r>
      <w:r>
        <w:rPr>
          <w:rFonts w:ascii="Palatino Linotype" w:hAnsi="Palatino Linotype" w:eastAsia="Aptos" w:cs="Times New Roman"/>
        </w:rPr>
        <w:t xml:space="preserve"> (3) the expectations of future revenue are based on many years of experience with similar customers.</w:t>
      </w:r>
      <w:r w:rsidRPr="13F3B869">
        <w:rPr>
          <w:rFonts w:ascii="Palatino Linotype" w:hAnsi="Palatino Linotype" w:eastAsia="Aptos" w:cs="Times New Roman"/>
        </w:rPr>
        <w:t xml:space="preserve"> </w:t>
      </w:r>
      <w:r>
        <w:rPr>
          <w:rFonts w:ascii="Palatino Linotype" w:hAnsi="Palatino Linotype" w:eastAsia="Aptos" w:cs="Times New Roman"/>
        </w:rPr>
        <w:t xml:space="preserve">By contrast, in the case of </w:t>
      </w:r>
      <w:r w:rsidR="005C7802">
        <w:rPr>
          <w:rFonts w:ascii="Palatino Linotype" w:hAnsi="Palatino Linotype" w:eastAsia="Aptos" w:cs="Times New Roman"/>
        </w:rPr>
        <w:t>Google</w:t>
      </w:r>
      <w:r>
        <w:rPr>
          <w:rFonts w:ascii="Palatino Linotype" w:hAnsi="Palatino Linotype" w:eastAsia="Aptos" w:cs="Times New Roman"/>
        </w:rPr>
        <w:t xml:space="preserve">, </w:t>
      </w:r>
      <w:r w:rsidR="0030610D">
        <w:rPr>
          <w:rFonts w:ascii="Palatino Linotype" w:hAnsi="Palatino Linotype" w:eastAsia="Aptos" w:cs="Times New Roman"/>
        </w:rPr>
        <w:br/>
      </w:r>
      <w:r>
        <w:rPr>
          <w:rFonts w:ascii="Palatino Linotype" w:hAnsi="Palatino Linotype" w:eastAsia="Aptos" w:cs="Times New Roman"/>
        </w:rPr>
        <w:t xml:space="preserve">(1) the refundable amount is much larger, (2) </w:t>
      </w:r>
      <w:r w:rsidR="005C7802">
        <w:rPr>
          <w:rFonts w:ascii="Palatino Linotype" w:hAnsi="Palatino Linotype" w:eastAsia="Aptos" w:cs="Times New Roman"/>
        </w:rPr>
        <w:t>Google</w:t>
      </w:r>
      <w:r>
        <w:rPr>
          <w:rFonts w:ascii="Palatino Linotype" w:hAnsi="Palatino Linotype" w:eastAsia="Aptos" w:cs="Times New Roman"/>
        </w:rPr>
        <w:t xml:space="preserve"> as a customer is both large and unique enough that if sufficient revenue is not generated then it would present risk to ratepayers (in other words, there are not thousands of other similar customers to balance out </w:t>
      </w:r>
      <w:r w:rsidR="005C7802">
        <w:rPr>
          <w:rFonts w:ascii="Palatino Linotype" w:hAnsi="Palatino Linotype" w:eastAsia="Aptos" w:cs="Times New Roman"/>
        </w:rPr>
        <w:t>Google</w:t>
      </w:r>
      <w:r>
        <w:rPr>
          <w:rFonts w:ascii="Palatino Linotype" w:hAnsi="Palatino Linotype" w:eastAsia="Aptos" w:cs="Times New Roman"/>
        </w:rPr>
        <w:t xml:space="preserve">’s revenue deficit), and (3) expectations of future revenue are uncertain and based on little historical experience. Together, these differences indicate that the energization of </w:t>
      </w:r>
      <w:r w:rsidR="00DB54A8">
        <w:rPr>
          <w:rFonts w:ascii="Palatino Linotype" w:hAnsi="Palatino Linotype" w:eastAsia="Aptos" w:cs="Times New Roman"/>
        </w:rPr>
        <w:t>Google</w:t>
      </w:r>
      <w:r>
        <w:rPr>
          <w:rFonts w:ascii="Palatino Linotype" w:hAnsi="Palatino Linotype" w:eastAsia="Aptos" w:cs="Times New Roman"/>
        </w:rPr>
        <w:t xml:space="preserve"> presents a higher risk of stranded costs should revenue not materialize.</w:t>
      </w:r>
    </w:p>
    <w:p w:rsidR="00036C6D" w:rsidP="00B36B2C" w:rsidRDefault="00036C6D" w14:paraId="0E0F5CCB" w14:textId="77777777">
      <w:pPr>
        <w:spacing w:after="0" w:line="240" w:lineRule="auto"/>
        <w:contextualSpacing/>
        <w:rPr>
          <w:rFonts w:ascii="Palatino Linotype" w:hAnsi="Palatino Linotype" w:eastAsia="Palatino Linotype" w:cs="Times New Roman"/>
          <w:kern w:val="0"/>
          <w14:ligatures w14:val="none"/>
        </w:rPr>
      </w:pPr>
    </w:p>
    <w:p w:rsidR="00B36B2C" w:rsidP="00B36B2C" w:rsidRDefault="00B36B2C" w14:paraId="6D399B38" w14:textId="6FD0B771">
      <w:pPr>
        <w:spacing w:after="0" w:line="240" w:lineRule="auto"/>
        <w:contextualSpacing/>
        <w:rPr>
          <w:rFonts w:ascii="Palatino Linotype" w:hAnsi="Palatino Linotype" w:eastAsia="Palatino Linotype" w:cs="Times New Roman"/>
          <w:kern w:val="0"/>
          <w14:ligatures w14:val="none"/>
        </w:rPr>
      </w:pPr>
      <w:r w:rsidRPr="00B36B2C">
        <w:rPr>
          <w:rFonts w:ascii="Palatino Linotype" w:hAnsi="Palatino Linotype" w:eastAsia="Palatino Linotype" w:cs="Times New Roman"/>
          <w:kern w:val="0"/>
          <w14:ligatures w14:val="none"/>
        </w:rPr>
        <w:t xml:space="preserve">For purposes of this </w:t>
      </w:r>
      <w:r w:rsidR="00DB54A8">
        <w:rPr>
          <w:rFonts w:ascii="Palatino Linotype" w:hAnsi="Palatino Linotype" w:eastAsia="Palatino Linotype" w:cs="Times New Roman"/>
          <w:kern w:val="0"/>
          <w14:ligatures w14:val="none"/>
        </w:rPr>
        <w:t>Resolution</w:t>
      </w:r>
      <w:r w:rsidRPr="00B36B2C">
        <w:rPr>
          <w:rFonts w:ascii="Palatino Linotype" w:hAnsi="Palatino Linotype" w:eastAsia="Palatino Linotype" w:cs="Times New Roman"/>
          <w:kern w:val="0"/>
          <w14:ligatures w14:val="none"/>
        </w:rPr>
        <w:t xml:space="preserve">, </w:t>
      </w:r>
      <w:r w:rsidR="003A06F1">
        <w:rPr>
          <w:rFonts w:ascii="Palatino Linotype" w:hAnsi="Palatino Linotype" w:eastAsia="Palatino Linotype" w:cs="Times New Roman"/>
          <w:kern w:val="0"/>
          <w14:ligatures w14:val="none"/>
        </w:rPr>
        <w:t>“</w:t>
      </w:r>
      <w:r w:rsidRPr="00B36B2C">
        <w:rPr>
          <w:rFonts w:ascii="Palatino Linotype" w:hAnsi="Palatino Linotype" w:eastAsia="Palatino Linotype" w:cs="Times New Roman"/>
          <w:kern w:val="0"/>
          <w14:ligatures w14:val="none"/>
        </w:rPr>
        <w:t>annual net revenues” means the revenues actually received from the customer associated with the transmission</w:t>
      </w:r>
      <w:r w:rsidR="003A06F1">
        <w:rPr>
          <w:rFonts w:ascii="Palatino Linotype" w:hAnsi="Palatino Linotype" w:eastAsia="Palatino Linotype" w:cs="Times New Roman"/>
          <w:kern w:val="0"/>
          <w14:ligatures w14:val="none"/>
        </w:rPr>
        <w:t xml:space="preserve"> component of the customer’s rates</w:t>
      </w:r>
      <w:r w:rsidRPr="00B36B2C">
        <w:rPr>
          <w:rFonts w:ascii="Palatino Linotype" w:hAnsi="Palatino Linotype" w:eastAsia="Palatino Linotype" w:cs="Times New Roman"/>
          <w:kern w:val="0"/>
          <w14:ligatures w14:val="none"/>
        </w:rPr>
        <w:t xml:space="preserve">. Limiting refunds to a percentage of annual net revenues ensures refunds are paced to realized revenue, </w:t>
      </w:r>
      <w:r w:rsidR="003A06F1">
        <w:rPr>
          <w:rFonts w:ascii="Palatino Linotype" w:hAnsi="Palatino Linotype" w:eastAsia="Palatino Linotype" w:cs="Times New Roman"/>
          <w:kern w:val="0"/>
          <w14:ligatures w14:val="none"/>
        </w:rPr>
        <w:t>reducing risks for ratepayers</w:t>
      </w:r>
      <w:r w:rsidRPr="00B36B2C">
        <w:rPr>
          <w:rFonts w:ascii="Palatino Linotype" w:hAnsi="Palatino Linotype" w:eastAsia="Palatino Linotype" w:cs="Times New Roman"/>
          <w:kern w:val="0"/>
          <w14:ligatures w14:val="none"/>
        </w:rPr>
        <w:t>.</w:t>
      </w:r>
    </w:p>
    <w:p w:rsidR="003A06F1" w:rsidP="00B36B2C" w:rsidRDefault="003A06F1" w14:paraId="298AFE45" w14:textId="77777777">
      <w:pPr>
        <w:spacing w:after="0" w:line="240" w:lineRule="auto"/>
        <w:contextualSpacing/>
        <w:rPr>
          <w:rFonts w:ascii="Palatino Linotype" w:hAnsi="Palatino Linotype" w:eastAsia="Palatino Linotype" w:cs="Times New Roman"/>
          <w:kern w:val="0"/>
          <w14:ligatures w14:val="none"/>
        </w:rPr>
      </w:pPr>
    </w:p>
    <w:p w:rsidR="00B36B2C" w:rsidP="003F65C2" w:rsidRDefault="00B36B2C" w14:paraId="0A90245B" w14:textId="2D6EC77B">
      <w:pPr>
        <w:spacing w:after="0" w:line="240" w:lineRule="auto"/>
        <w:contextualSpacing/>
        <w:rPr>
          <w:rFonts w:ascii="Palatino Linotype" w:hAnsi="Palatino Linotype" w:eastAsia="Palatino Linotype" w:cs="Times New Roman"/>
          <w:kern w:val="0"/>
          <w14:ligatures w14:val="none"/>
        </w:rPr>
      </w:pPr>
      <w:r w:rsidRPr="00B36B2C">
        <w:rPr>
          <w:rFonts w:ascii="Palatino Linotype" w:hAnsi="Palatino Linotype" w:eastAsia="Palatino Linotype" w:cs="Times New Roman"/>
          <w:kern w:val="0"/>
          <w14:ligatures w14:val="none"/>
        </w:rPr>
        <w:t>Cal Advocates</w:t>
      </w:r>
      <w:r w:rsidR="003A06F1">
        <w:rPr>
          <w:rFonts w:ascii="Palatino Linotype" w:hAnsi="Palatino Linotype" w:eastAsia="Palatino Linotype" w:cs="Times New Roman"/>
          <w:kern w:val="0"/>
          <w14:ligatures w14:val="none"/>
        </w:rPr>
        <w:t xml:space="preserve"> </w:t>
      </w:r>
      <w:r w:rsidRPr="00B36B2C">
        <w:rPr>
          <w:rFonts w:ascii="Palatino Linotype" w:hAnsi="Palatino Linotype" w:eastAsia="Palatino Linotype" w:cs="Times New Roman"/>
          <w:kern w:val="0"/>
          <w14:ligatures w14:val="none"/>
        </w:rPr>
        <w:t>argu</w:t>
      </w:r>
      <w:r w:rsidR="003A06F1">
        <w:rPr>
          <w:rFonts w:ascii="Palatino Linotype" w:hAnsi="Palatino Linotype" w:eastAsia="Palatino Linotype" w:cs="Times New Roman"/>
          <w:kern w:val="0"/>
          <w14:ligatures w14:val="none"/>
        </w:rPr>
        <w:t xml:space="preserve">es </w:t>
      </w:r>
      <w:r w:rsidRPr="00B36B2C">
        <w:rPr>
          <w:rFonts w:ascii="Palatino Linotype" w:hAnsi="Palatino Linotype" w:eastAsia="Palatino Linotype" w:cs="Times New Roman"/>
          <w:kern w:val="0"/>
          <w14:ligatures w14:val="none"/>
        </w:rPr>
        <w:t>that the refund methodology should recognize broader transmission system costs associated with connecting this new, very large transmission-level load</w:t>
      </w:r>
      <w:r w:rsidR="008F351A">
        <w:rPr>
          <w:rFonts w:ascii="Palatino Linotype" w:hAnsi="Palatino Linotype" w:eastAsia="Palatino Linotype" w:cs="Times New Roman"/>
          <w:kern w:val="0"/>
          <w14:ligatures w14:val="none"/>
        </w:rPr>
        <w:t>, such as</w:t>
      </w:r>
      <w:r w:rsidRPr="00B36B2C">
        <w:rPr>
          <w:rFonts w:ascii="Palatino Linotype" w:hAnsi="Palatino Linotype" w:eastAsia="Palatino Linotype" w:cs="Times New Roman"/>
          <w:kern w:val="0"/>
          <w14:ligatures w14:val="none"/>
        </w:rPr>
        <w:t xml:space="preserve"> LS Power’s Newark</w:t>
      </w:r>
      <w:r w:rsidR="00686221">
        <w:rPr>
          <w:rFonts w:ascii="Palatino Linotype" w:hAnsi="Palatino Linotype" w:eastAsia="Palatino Linotype" w:cs="Times New Roman"/>
          <w:kern w:val="0"/>
          <w14:ligatures w14:val="none"/>
        </w:rPr>
        <w:t>-NRS</w:t>
      </w:r>
      <w:r w:rsidRPr="00B36B2C">
        <w:rPr>
          <w:rFonts w:ascii="Palatino Linotype" w:hAnsi="Palatino Linotype" w:eastAsia="Palatino Linotype" w:cs="Times New Roman"/>
          <w:kern w:val="0"/>
          <w14:ligatures w14:val="none"/>
        </w:rPr>
        <w:t xml:space="preserve"> 230 kV transmission line</w:t>
      </w:r>
      <w:r w:rsidR="008F351A">
        <w:rPr>
          <w:rFonts w:ascii="Palatino Linotype" w:hAnsi="Palatino Linotype" w:eastAsia="Palatino Linotype" w:cs="Times New Roman"/>
          <w:kern w:val="0"/>
          <w14:ligatures w14:val="none"/>
        </w:rPr>
        <w:t xml:space="preserve"> discussed above.</w:t>
      </w:r>
      <w:r w:rsidR="004D5797">
        <w:rPr>
          <w:rFonts w:ascii="Palatino Linotype" w:hAnsi="Palatino Linotype" w:eastAsia="Palatino Linotype" w:cs="Times New Roman"/>
          <w:kern w:val="0"/>
          <w14:ligatures w14:val="none"/>
        </w:rPr>
        <w:t xml:space="preserve"> However, given the requirement </w:t>
      </w:r>
      <w:r w:rsidR="00D56F9C">
        <w:rPr>
          <w:rFonts w:ascii="Palatino Linotype" w:hAnsi="Palatino Linotype" w:eastAsia="Palatino Linotype" w:cs="Times New Roman"/>
          <w:kern w:val="0"/>
          <w14:ligatures w14:val="none"/>
        </w:rPr>
        <w:t xml:space="preserve">for </w:t>
      </w:r>
      <w:r w:rsidR="0030494A">
        <w:rPr>
          <w:rFonts w:ascii="Palatino Linotype" w:hAnsi="Palatino Linotype" w:eastAsia="Palatino Linotype" w:cs="Times New Roman"/>
          <w:kern w:val="0"/>
          <w14:ligatures w14:val="none"/>
        </w:rPr>
        <w:t xml:space="preserve">broader transmission network costs to be covered </w:t>
      </w:r>
      <w:r w:rsidR="0030494A">
        <w:rPr>
          <w:rFonts w:ascii="Palatino Linotype" w:hAnsi="Palatino Linotype" w:eastAsia="Palatino Linotype" w:cs="Times New Roman"/>
          <w:kern w:val="0"/>
          <w14:ligatures w14:val="none"/>
        </w:rPr>
        <w:lastRenderedPageBreak/>
        <w:t>corresponding to the outcome in the Rule 30 proceeding</w:t>
      </w:r>
      <w:r w:rsidR="003F65C2">
        <w:rPr>
          <w:rFonts w:ascii="Palatino Linotype" w:hAnsi="Palatino Linotype" w:eastAsia="Palatino Linotype" w:cs="Times New Roman"/>
          <w:kern w:val="0"/>
          <w14:ligatures w14:val="none"/>
        </w:rPr>
        <w:t xml:space="preserve">, </w:t>
      </w:r>
      <w:r w:rsidR="00E706F0">
        <w:rPr>
          <w:rFonts w:ascii="Palatino Linotype" w:hAnsi="Palatino Linotype" w:eastAsia="Palatino Linotype" w:cs="Times New Roman"/>
          <w:kern w:val="0"/>
          <w14:ligatures w14:val="none"/>
        </w:rPr>
        <w:t xml:space="preserve">there is not a need to further limit refunds </w:t>
      </w:r>
      <w:r w:rsidR="00C31B0C">
        <w:rPr>
          <w:rFonts w:ascii="Palatino Linotype" w:hAnsi="Palatino Linotype" w:eastAsia="Palatino Linotype" w:cs="Times New Roman"/>
          <w:kern w:val="0"/>
          <w14:ligatures w14:val="none"/>
        </w:rPr>
        <w:t>beyond the net revenue amount</w:t>
      </w:r>
      <w:r w:rsidR="002F5FB0">
        <w:rPr>
          <w:rFonts w:ascii="Palatino Linotype" w:hAnsi="Palatino Linotype" w:eastAsia="Palatino Linotype" w:cs="Times New Roman"/>
          <w:kern w:val="0"/>
          <w14:ligatures w14:val="none"/>
        </w:rPr>
        <w:t xml:space="preserve"> here</w:t>
      </w:r>
      <w:r w:rsidRPr="00B36B2C">
        <w:rPr>
          <w:rFonts w:ascii="Palatino Linotype" w:hAnsi="Palatino Linotype" w:eastAsia="Palatino Linotype" w:cs="Times New Roman"/>
          <w:kern w:val="0"/>
          <w14:ligatures w14:val="none"/>
        </w:rPr>
        <w:t>.</w:t>
      </w:r>
      <w:r w:rsidR="00F52BB3">
        <w:rPr>
          <w:rStyle w:val="FootnoteReference"/>
          <w:rFonts w:ascii="Palatino Linotype" w:hAnsi="Palatino Linotype" w:eastAsia="Palatino Linotype" w:cs="Times New Roman"/>
          <w:kern w:val="0"/>
          <w14:ligatures w14:val="none"/>
        </w:rPr>
        <w:footnoteReference w:id="15"/>
      </w:r>
      <w:r w:rsidRPr="00B36B2C">
        <w:rPr>
          <w:rFonts w:ascii="Palatino Linotype" w:hAnsi="Palatino Linotype" w:eastAsia="Palatino Linotype" w:cs="Times New Roman"/>
          <w:kern w:val="0"/>
          <w14:ligatures w14:val="none"/>
        </w:rPr>
        <w:t xml:space="preserve"> </w:t>
      </w:r>
    </w:p>
    <w:p w:rsidRPr="00B36B2C" w:rsidR="00D40DC3" w:rsidP="00B36B2C" w:rsidRDefault="00D40DC3" w14:paraId="64A268C9" w14:textId="77777777">
      <w:pPr>
        <w:spacing w:after="0" w:line="240" w:lineRule="auto"/>
        <w:contextualSpacing/>
        <w:rPr>
          <w:rFonts w:ascii="Palatino Linotype" w:hAnsi="Palatino Linotype" w:eastAsia="Palatino Linotype" w:cs="Times New Roman"/>
          <w:kern w:val="0"/>
          <w14:ligatures w14:val="none"/>
        </w:rPr>
      </w:pPr>
    </w:p>
    <w:p w:rsidR="00B36B2C" w:rsidP="00B36B2C" w:rsidRDefault="00B36B2C" w14:paraId="5AC62884" w14:textId="5F37A171">
      <w:pPr>
        <w:spacing w:after="0" w:line="240" w:lineRule="auto"/>
        <w:contextualSpacing/>
        <w:rPr>
          <w:rFonts w:ascii="Palatino Linotype" w:hAnsi="Palatino Linotype" w:eastAsia="Palatino Linotype" w:cs="Times New Roman"/>
          <w:kern w:val="0"/>
          <w14:ligatures w14:val="none"/>
        </w:rPr>
      </w:pPr>
      <w:r w:rsidRPr="00B36B2C">
        <w:rPr>
          <w:rFonts w:ascii="Palatino Linotype" w:hAnsi="Palatino Linotype" w:eastAsia="Palatino Linotype" w:cs="Times New Roman"/>
          <w:kern w:val="0"/>
          <w14:ligatures w14:val="none"/>
        </w:rPr>
        <w:t xml:space="preserve">For these reasons, limiting annual refunds to </w:t>
      </w:r>
      <w:r w:rsidR="00C31B0C">
        <w:rPr>
          <w:rFonts w:ascii="Palatino Linotype" w:hAnsi="Palatino Linotype" w:eastAsia="Palatino Linotype" w:cs="Times New Roman"/>
          <w:kern w:val="0"/>
          <w14:ligatures w14:val="none"/>
        </w:rPr>
        <w:t>100</w:t>
      </w:r>
      <w:r w:rsidRPr="00B36B2C" w:rsidR="00C31B0C">
        <w:rPr>
          <w:rFonts w:ascii="Palatino Linotype" w:hAnsi="Palatino Linotype" w:eastAsia="Palatino Linotype" w:cs="Times New Roman"/>
          <w:kern w:val="0"/>
          <w14:ligatures w14:val="none"/>
        </w:rPr>
        <w:t xml:space="preserve"> </w:t>
      </w:r>
      <w:r w:rsidRPr="00B36B2C">
        <w:rPr>
          <w:rFonts w:ascii="Palatino Linotype" w:hAnsi="Palatino Linotype" w:eastAsia="Palatino Linotype" w:cs="Times New Roman"/>
          <w:kern w:val="0"/>
          <w14:ligatures w14:val="none"/>
        </w:rPr>
        <w:t>percent of annual net revenues appropriately balances customer refund</w:t>
      </w:r>
      <w:r w:rsidR="00C56021">
        <w:rPr>
          <w:rFonts w:ascii="Palatino Linotype" w:hAnsi="Palatino Linotype" w:eastAsia="Palatino Linotype" w:cs="Times New Roman"/>
          <w:kern w:val="0"/>
          <w14:ligatures w14:val="none"/>
        </w:rPr>
        <w:t>s</w:t>
      </w:r>
      <w:r w:rsidRPr="00B36B2C">
        <w:rPr>
          <w:rFonts w:ascii="Palatino Linotype" w:hAnsi="Palatino Linotype" w:eastAsia="Palatino Linotype" w:cs="Times New Roman"/>
          <w:kern w:val="0"/>
          <w14:ligatures w14:val="none"/>
        </w:rPr>
        <w:t xml:space="preserve"> with ratepayer protection. The </w:t>
      </w:r>
      <w:r w:rsidR="00C31B0C">
        <w:rPr>
          <w:rFonts w:ascii="Palatino Linotype" w:hAnsi="Palatino Linotype" w:eastAsia="Palatino Linotype" w:cs="Times New Roman"/>
          <w:kern w:val="0"/>
          <w14:ligatures w14:val="none"/>
        </w:rPr>
        <w:t>100</w:t>
      </w:r>
      <w:r w:rsidRPr="00B36B2C" w:rsidR="00C31B0C">
        <w:rPr>
          <w:rFonts w:ascii="Palatino Linotype" w:hAnsi="Palatino Linotype" w:eastAsia="Palatino Linotype" w:cs="Times New Roman"/>
          <w:kern w:val="0"/>
          <w14:ligatures w14:val="none"/>
        </w:rPr>
        <w:t xml:space="preserve"> </w:t>
      </w:r>
      <w:r w:rsidRPr="00B36B2C">
        <w:rPr>
          <w:rFonts w:ascii="Palatino Linotype" w:hAnsi="Palatino Linotype" w:eastAsia="Palatino Linotype" w:cs="Times New Roman"/>
          <w:kern w:val="0"/>
          <w14:ligatures w14:val="none"/>
        </w:rPr>
        <w:t xml:space="preserve">percent limit paces refunds to revenues actually received—reducing stranded-cost risk if load drops materially after initial years of operation. </w:t>
      </w:r>
    </w:p>
    <w:p w:rsidRPr="00B36B2C" w:rsidR="00D40DC3" w:rsidP="00B36B2C" w:rsidRDefault="00D40DC3" w14:paraId="34C484EF" w14:textId="77777777">
      <w:pPr>
        <w:spacing w:after="0" w:line="240" w:lineRule="auto"/>
        <w:contextualSpacing/>
        <w:rPr>
          <w:rFonts w:ascii="Palatino Linotype" w:hAnsi="Palatino Linotype" w:eastAsia="Palatino Linotype" w:cs="Times New Roman"/>
          <w:kern w:val="0"/>
          <w14:ligatures w14:val="none"/>
        </w:rPr>
      </w:pPr>
    </w:p>
    <w:p w:rsidR="00B36B2C" w:rsidP="00B36B2C" w:rsidRDefault="00C31B0C" w14:paraId="7F0D2B36" w14:textId="12468D67">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w:t>
      </w:r>
      <w:r w:rsidRPr="00B36B2C" w:rsidR="00B36B2C">
        <w:rPr>
          <w:rFonts w:ascii="Palatino Linotype" w:hAnsi="Palatino Linotype" w:eastAsia="Palatino Linotype" w:cs="Times New Roman"/>
          <w:kern w:val="0"/>
          <w14:ligatures w14:val="none"/>
        </w:rPr>
        <w:t>he underlying risk and the policy concern</w:t>
      </w:r>
      <w:r w:rsidR="009C5A3F">
        <w:rPr>
          <w:rFonts w:ascii="Palatino Linotype" w:hAnsi="Palatino Linotype" w:eastAsia="Palatino Linotype" w:cs="Times New Roman"/>
          <w:kern w:val="0"/>
          <w14:ligatures w14:val="none"/>
        </w:rPr>
        <w:t>s</w:t>
      </w:r>
      <w:r w:rsidRPr="00B36B2C" w:rsidR="00B36B2C">
        <w:rPr>
          <w:rFonts w:ascii="Palatino Linotype" w:hAnsi="Palatino Linotype" w:eastAsia="Palatino Linotype" w:cs="Times New Roman"/>
          <w:kern w:val="0"/>
          <w14:ligatures w14:val="none"/>
        </w:rPr>
        <w:t xml:space="preserve"> are substantially similar</w:t>
      </w:r>
      <w:r>
        <w:rPr>
          <w:rFonts w:ascii="Palatino Linotype" w:hAnsi="Palatino Linotype" w:eastAsia="Palatino Linotype" w:cs="Times New Roman"/>
          <w:kern w:val="0"/>
          <w14:ligatures w14:val="none"/>
        </w:rPr>
        <w:t xml:space="preserve"> to</w:t>
      </w:r>
      <w:r w:rsidR="009C5A3F">
        <w:rPr>
          <w:rFonts w:ascii="Palatino Linotype" w:hAnsi="Palatino Linotype" w:eastAsia="Palatino Linotype" w:cs="Times New Roman"/>
          <w:kern w:val="0"/>
          <w14:ligatures w14:val="none"/>
        </w:rPr>
        <w:t xml:space="preserve"> those in Resolutions E-5420 and E-5439</w:t>
      </w:r>
      <w:r w:rsidR="00003CD2">
        <w:rPr>
          <w:rFonts w:ascii="Palatino Linotype" w:hAnsi="Palatino Linotype" w:eastAsia="Palatino Linotype" w:cs="Times New Roman"/>
          <w:kern w:val="0"/>
          <w14:ligatures w14:val="none"/>
        </w:rPr>
        <w:t>. Given this similarity, brought up by Cal Advocates in its protest</w:t>
      </w:r>
      <w:r w:rsidRPr="00B36B2C" w:rsidR="00B36B2C">
        <w:rPr>
          <w:rFonts w:ascii="Palatino Linotype" w:hAnsi="Palatino Linotype" w:eastAsia="Palatino Linotype" w:cs="Times New Roman"/>
          <w:kern w:val="0"/>
          <w14:ligatures w14:val="none"/>
        </w:rPr>
        <w:t xml:space="preserve">, it is reasonable to apply similar ratepayer-protection logic to substantially similar facts. PG&amp;E’s “non-precedential” argument does not resolve the underlying policy concern that refunds based on the unmodified BARC approach may occur too quickly relative to net revenues actually received, increasing ratepayer </w:t>
      </w:r>
      <w:r w:rsidR="00D8031C">
        <w:rPr>
          <w:rFonts w:ascii="Palatino Linotype" w:hAnsi="Palatino Linotype" w:eastAsia="Palatino Linotype" w:cs="Times New Roman"/>
          <w:kern w:val="0"/>
          <w14:ligatures w14:val="none"/>
        </w:rPr>
        <w:t>risks</w:t>
      </w:r>
      <w:r w:rsidRPr="00B36B2C" w:rsidR="00B36B2C">
        <w:rPr>
          <w:rFonts w:ascii="Palatino Linotype" w:hAnsi="Palatino Linotype" w:eastAsia="Palatino Linotype" w:cs="Times New Roman"/>
          <w:kern w:val="0"/>
          <w14:ligatures w14:val="none"/>
        </w:rPr>
        <w:t xml:space="preserve"> if load materially declines after initial years of operation. PG&amp;E argues that other protections are sufficient; nevertheless, we find that </w:t>
      </w:r>
      <w:r w:rsidR="008C1F32">
        <w:rPr>
          <w:rFonts w:ascii="Palatino Linotype" w:hAnsi="Palatino Linotype" w:eastAsia="Palatino Linotype" w:cs="Times New Roman"/>
          <w:kern w:val="0"/>
          <w14:ligatures w14:val="none"/>
        </w:rPr>
        <w:t xml:space="preserve">limiting the annual refund amount to </w:t>
      </w:r>
      <w:r w:rsidR="0030610D">
        <w:rPr>
          <w:rFonts w:ascii="Palatino Linotype" w:hAnsi="Palatino Linotype" w:eastAsia="Palatino Linotype" w:cs="Times New Roman"/>
          <w:kern w:val="0"/>
          <w14:ligatures w14:val="none"/>
        </w:rPr>
        <w:br/>
      </w:r>
      <w:r w:rsidR="00003CD2">
        <w:rPr>
          <w:rFonts w:ascii="Palatino Linotype" w:hAnsi="Palatino Linotype" w:eastAsia="Palatino Linotype" w:cs="Times New Roman"/>
          <w:kern w:val="0"/>
          <w14:ligatures w14:val="none"/>
        </w:rPr>
        <w:t xml:space="preserve">100 </w:t>
      </w:r>
      <w:r w:rsidR="008C1F32">
        <w:rPr>
          <w:rFonts w:ascii="Palatino Linotype" w:hAnsi="Palatino Linotype" w:eastAsia="Palatino Linotype" w:cs="Times New Roman"/>
          <w:kern w:val="0"/>
          <w14:ligatures w14:val="none"/>
        </w:rPr>
        <w:t>percent of annual net revenues</w:t>
      </w:r>
      <w:r w:rsidRPr="00B36B2C" w:rsidR="00B36B2C">
        <w:rPr>
          <w:rFonts w:ascii="Palatino Linotype" w:hAnsi="Palatino Linotype" w:eastAsia="Palatino Linotype" w:cs="Times New Roman"/>
          <w:kern w:val="0"/>
          <w14:ligatures w14:val="none"/>
        </w:rPr>
        <w:t xml:space="preserve"> is reasonable and necessary given the scale of refundable costs and the risk profile of transmission-level energization for a 250 MW load.</w:t>
      </w:r>
      <w:r w:rsidR="00003CD2">
        <w:rPr>
          <w:rFonts w:ascii="Palatino Linotype" w:hAnsi="Palatino Linotype" w:eastAsia="Palatino Linotype" w:cs="Times New Roman"/>
          <w:kern w:val="0"/>
          <w14:ligatures w14:val="none"/>
        </w:rPr>
        <w:t xml:space="preserve"> As noted above, this is higher than the 75 percent limit from previous Resolutions because broader transmission system costs </w:t>
      </w:r>
      <w:r w:rsidR="00345654">
        <w:rPr>
          <w:rFonts w:ascii="Palatino Linotype" w:hAnsi="Palatino Linotype" w:eastAsia="Palatino Linotype" w:cs="Times New Roman"/>
          <w:kern w:val="0"/>
          <w14:ligatures w14:val="none"/>
        </w:rPr>
        <w:t>will be</w:t>
      </w:r>
      <w:r w:rsidR="00003CD2">
        <w:rPr>
          <w:rFonts w:ascii="Palatino Linotype" w:hAnsi="Palatino Linotype" w:eastAsia="Palatino Linotype" w:cs="Times New Roman"/>
          <w:kern w:val="0"/>
          <w14:ligatures w14:val="none"/>
        </w:rPr>
        <w:t xml:space="preserve"> accounted for </w:t>
      </w:r>
      <w:r w:rsidR="00345654">
        <w:rPr>
          <w:rFonts w:ascii="Palatino Linotype" w:hAnsi="Palatino Linotype" w:eastAsia="Palatino Linotype" w:cs="Times New Roman"/>
          <w:kern w:val="0"/>
          <w14:ligatures w14:val="none"/>
        </w:rPr>
        <w:t>based on the outcome in the Rule 30 proceeding</w:t>
      </w:r>
      <w:r w:rsidR="00003CD2">
        <w:rPr>
          <w:rFonts w:ascii="Palatino Linotype" w:hAnsi="Palatino Linotype" w:eastAsia="Palatino Linotype" w:cs="Times New Roman"/>
          <w:kern w:val="0"/>
          <w14:ligatures w14:val="none"/>
        </w:rPr>
        <w:t>.</w:t>
      </w:r>
    </w:p>
    <w:p w:rsidRPr="00B36B2C" w:rsidR="00FF0F18" w:rsidP="00B36B2C" w:rsidRDefault="00FF0F18" w14:paraId="09C3540E" w14:textId="77777777">
      <w:pPr>
        <w:spacing w:after="0" w:line="240" w:lineRule="auto"/>
        <w:contextualSpacing/>
        <w:rPr>
          <w:rFonts w:ascii="Palatino Linotype" w:hAnsi="Palatino Linotype" w:eastAsia="Palatino Linotype" w:cs="Times New Roman"/>
          <w:kern w:val="0"/>
          <w14:ligatures w14:val="none"/>
        </w:rPr>
      </w:pPr>
    </w:p>
    <w:p w:rsidR="00B36B2C" w:rsidP="00B36B2C" w:rsidRDefault="00B36B2C" w14:paraId="373FBFF6" w14:textId="37AB7692">
      <w:pPr>
        <w:spacing w:after="0" w:line="240" w:lineRule="auto"/>
        <w:contextualSpacing/>
        <w:rPr>
          <w:rFonts w:ascii="Palatino Linotype" w:hAnsi="Palatino Linotype" w:eastAsia="Palatino Linotype" w:cs="Times New Roman"/>
          <w:kern w:val="0"/>
          <w14:ligatures w14:val="none"/>
        </w:rPr>
      </w:pPr>
      <w:r w:rsidRPr="00B36B2C">
        <w:rPr>
          <w:rFonts w:ascii="Palatino Linotype" w:hAnsi="Palatino Linotype" w:eastAsia="Palatino Linotype" w:cs="Times New Roman"/>
          <w:kern w:val="0"/>
          <w14:ligatures w14:val="none"/>
        </w:rPr>
        <w:t xml:space="preserve">Accordingly, we direct PG&amp;E to modify the agreement to limit annual refunds to </w:t>
      </w:r>
      <w:r w:rsidR="0030610D">
        <w:rPr>
          <w:rFonts w:ascii="Palatino Linotype" w:hAnsi="Palatino Linotype" w:eastAsia="Palatino Linotype" w:cs="Times New Roman"/>
          <w:kern w:val="0"/>
          <w14:ligatures w14:val="none"/>
        </w:rPr>
        <w:br/>
      </w:r>
      <w:r w:rsidR="00003CD2">
        <w:rPr>
          <w:rFonts w:ascii="Palatino Linotype" w:hAnsi="Palatino Linotype" w:eastAsia="Palatino Linotype" w:cs="Times New Roman"/>
          <w:kern w:val="0"/>
          <w14:ligatures w14:val="none"/>
        </w:rPr>
        <w:t>100</w:t>
      </w:r>
      <w:r w:rsidRPr="00B36B2C" w:rsidR="00003CD2">
        <w:rPr>
          <w:rFonts w:ascii="Palatino Linotype" w:hAnsi="Palatino Linotype" w:eastAsia="Palatino Linotype" w:cs="Times New Roman"/>
          <w:kern w:val="0"/>
          <w14:ligatures w14:val="none"/>
        </w:rPr>
        <w:t xml:space="preserve"> </w:t>
      </w:r>
      <w:r w:rsidRPr="00B36B2C">
        <w:rPr>
          <w:rFonts w:ascii="Palatino Linotype" w:hAnsi="Palatino Linotype" w:eastAsia="Palatino Linotype" w:cs="Times New Roman"/>
          <w:kern w:val="0"/>
          <w14:ligatures w14:val="none"/>
        </w:rPr>
        <w:t xml:space="preserve">percent of annual net revenues actually received from Google. This modification does not change the total eligible refund amount; it </w:t>
      </w:r>
      <w:r w:rsidR="00636F87">
        <w:rPr>
          <w:rFonts w:ascii="Palatino Linotype" w:hAnsi="Palatino Linotype" w:eastAsia="Palatino Linotype" w:cs="Times New Roman"/>
          <w:kern w:val="0"/>
          <w14:ligatures w14:val="none"/>
        </w:rPr>
        <w:t xml:space="preserve">simply </w:t>
      </w:r>
      <w:r w:rsidRPr="00B36B2C">
        <w:rPr>
          <w:rFonts w:ascii="Palatino Linotype" w:hAnsi="Palatino Linotype" w:eastAsia="Palatino Linotype" w:cs="Times New Roman"/>
          <w:kern w:val="0"/>
          <w14:ligatures w14:val="none"/>
        </w:rPr>
        <w:t xml:space="preserve">slows the timing of refunds </w:t>
      </w:r>
      <w:r w:rsidR="00A06950">
        <w:rPr>
          <w:rFonts w:ascii="Palatino Linotype" w:hAnsi="Palatino Linotype" w:eastAsia="Palatino Linotype" w:cs="Times New Roman"/>
          <w:kern w:val="0"/>
          <w14:ligatures w14:val="none"/>
        </w:rPr>
        <w:t xml:space="preserve">both </w:t>
      </w:r>
      <w:r w:rsidRPr="00B36B2C">
        <w:rPr>
          <w:rFonts w:ascii="Palatino Linotype" w:hAnsi="Palatino Linotype" w:eastAsia="Palatino Linotype" w:cs="Times New Roman"/>
          <w:kern w:val="0"/>
          <w14:ligatures w14:val="none"/>
        </w:rPr>
        <w:t>to better align with realized net revenues and to reduce ratepayer risk.</w:t>
      </w:r>
      <w:r w:rsidR="00636F87">
        <w:rPr>
          <w:rFonts w:ascii="Palatino Linotype" w:hAnsi="Palatino Linotype" w:eastAsia="Palatino Linotype" w:cs="Times New Roman"/>
          <w:kern w:val="0"/>
          <w14:ligatures w14:val="none"/>
        </w:rPr>
        <w:t xml:space="preserve"> </w:t>
      </w:r>
    </w:p>
    <w:p w:rsidRPr="00B36B2C" w:rsidR="00FF0F18" w:rsidP="00B36B2C" w:rsidRDefault="00FF0F18" w14:paraId="303952CF" w14:textId="77777777">
      <w:pPr>
        <w:spacing w:after="0" w:line="240" w:lineRule="auto"/>
        <w:contextualSpacing/>
        <w:rPr>
          <w:rFonts w:ascii="Palatino Linotype" w:hAnsi="Palatino Linotype" w:eastAsia="Palatino Linotype" w:cs="Times New Roman"/>
          <w:kern w:val="0"/>
          <w14:ligatures w14:val="none"/>
        </w:rPr>
      </w:pPr>
    </w:p>
    <w:p w:rsidR="00B36B2C" w:rsidP="00B36B2C" w:rsidRDefault="00B36B2C" w14:paraId="23B41843" w14:textId="638E56E8">
      <w:pPr>
        <w:spacing w:after="0" w:line="240" w:lineRule="auto"/>
        <w:contextualSpacing/>
        <w:rPr>
          <w:rFonts w:ascii="Palatino Linotype" w:hAnsi="Palatino Linotype" w:eastAsia="Palatino Linotype" w:cs="Times New Roman"/>
          <w:kern w:val="0"/>
          <w14:ligatures w14:val="none"/>
        </w:rPr>
      </w:pPr>
      <w:r w:rsidRPr="00B36B2C">
        <w:rPr>
          <w:rFonts w:ascii="Palatino Linotype" w:hAnsi="Palatino Linotype" w:eastAsia="Palatino Linotype" w:cs="Times New Roman"/>
          <w:kern w:val="0"/>
          <w14:ligatures w14:val="none"/>
        </w:rPr>
        <w:t xml:space="preserve">Because the </w:t>
      </w:r>
      <w:r w:rsidR="003E01E6">
        <w:rPr>
          <w:rFonts w:ascii="Palatino Linotype" w:hAnsi="Palatino Linotype" w:eastAsia="Palatino Linotype" w:cs="Times New Roman"/>
          <w:kern w:val="0"/>
          <w14:ligatures w14:val="none"/>
        </w:rPr>
        <w:t>100</w:t>
      </w:r>
      <w:r w:rsidRPr="00B36B2C" w:rsidR="003E01E6">
        <w:rPr>
          <w:rFonts w:ascii="Palatino Linotype" w:hAnsi="Palatino Linotype" w:eastAsia="Palatino Linotype" w:cs="Times New Roman"/>
          <w:kern w:val="0"/>
          <w14:ligatures w14:val="none"/>
        </w:rPr>
        <w:t xml:space="preserve"> </w:t>
      </w:r>
      <w:r w:rsidRPr="00B36B2C">
        <w:rPr>
          <w:rFonts w:ascii="Palatino Linotype" w:hAnsi="Palatino Linotype" w:eastAsia="Palatino Linotype" w:cs="Times New Roman"/>
          <w:kern w:val="0"/>
          <w14:ligatures w14:val="none"/>
        </w:rPr>
        <w:t>percent annual refund limit may extend the time needed to provide full refunds under some operational scenarios, it is also reasonable to extend the refund eligibility period from 10 years to 15 years so that the customer may still receive a full refund over time, while annual refunds are paced to net revenues actually received. PG&amp;E may apply standard adjustments associated with the Income Tax Component of Contribution in implementing the modified refund process.</w:t>
      </w:r>
    </w:p>
    <w:p w:rsidR="0056244C" w:rsidP="00B36B2C" w:rsidRDefault="0056244C" w14:paraId="046A9BB4" w14:textId="77777777">
      <w:pPr>
        <w:spacing w:after="0" w:line="240" w:lineRule="auto"/>
        <w:contextualSpacing/>
        <w:rPr>
          <w:rFonts w:ascii="Palatino Linotype" w:hAnsi="Palatino Linotype" w:eastAsia="Palatino Linotype" w:cs="Times New Roman"/>
          <w:kern w:val="0"/>
          <w14:ligatures w14:val="none"/>
        </w:rPr>
      </w:pPr>
    </w:p>
    <w:p w:rsidR="0056244C" w:rsidP="00B36B2C" w:rsidRDefault="0056244C" w14:paraId="2C22D241" w14:textId="76B68AF6">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Aptos" w:cs="Times New Roman"/>
        </w:rPr>
        <w:lastRenderedPageBreak/>
        <w:t>We make one additional modification to the standard BARC process here. Under the standard process, if a customer’s expected future net revenues are not enough to justify the costs of their energization, they are charged an additional fee to cover PG&amp;E’s cost of ownership. In light of the modifications we adopt here intentionally limiting the annual refund amounts, it is not necessary to impose an additional customer</w:t>
      </w:r>
      <w:r w:rsidR="00A06950">
        <w:rPr>
          <w:rFonts w:ascii="Palatino Linotype" w:hAnsi="Palatino Linotype" w:eastAsia="Aptos" w:cs="Times New Roman"/>
        </w:rPr>
        <w:t>-</w:t>
      </w:r>
      <w:r>
        <w:rPr>
          <w:rFonts w:ascii="Palatino Linotype" w:hAnsi="Palatino Linotype" w:eastAsia="Aptos" w:cs="Times New Roman"/>
        </w:rPr>
        <w:t>financed cost of ownership on the unrefunded amount.</w:t>
      </w:r>
    </w:p>
    <w:p w:rsidR="6DECB496" w:rsidP="6DECB496" w:rsidRDefault="6DECB496" w14:paraId="10423E04" w14:textId="4310804B">
      <w:pPr>
        <w:spacing w:after="0" w:line="240" w:lineRule="auto"/>
        <w:contextualSpacing/>
        <w:rPr>
          <w:rFonts w:ascii="Palatino Linotype" w:hAnsi="Palatino Linotype" w:eastAsia="Aptos" w:cs="Times New Roman"/>
        </w:rPr>
      </w:pPr>
    </w:p>
    <w:p w:rsidR="24B4403A" w:rsidP="517CBC75" w:rsidRDefault="24B4403A" w14:paraId="2DF8CA2E" w14:textId="5C3A99C6">
      <w:pPr>
        <w:spacing w:after="0" w:line="240" w:lineRule="auto"/>
        <w:contextualSpacing/>
        <w:rPr>
          <w:rFonts w:ascii="Palatino Linotype" w:hAnsi="Palatino Linotype" w:eastAsia="Aptos" w:cs="Times New Roman"/>
        </w:rPr>
      </w:pPr>
      <w:r w:rsidRPr="517CBC75">
        <w:rPr>
          <w:rFonts w:ascii="Palatino Linotype" w:hAnsi="Palatino Linotype" w:eastAsia="Aptos" w:cs="Times New Roman"/>
        </w:rPr>
        <w:t>If there are any conflicts</w:t>
      </w:r>
      <w:r w:rsidRPr="30BD0AE8">
        <w:rPr>
          <w:rFonts w:ascii="Palatino Linotype" w:hAnsi="Palatino Linotype" w:eastAsia="Aptos" w:cs="Times New Roman"/>
        </w:rPr>
        <w:t xml:space="preserve"> between </w:t>
      </w:r>
      <w:r w:rsidRPr="6070C2C1">
        <w:rPr>
          <w:rFonts w:ascii="Palatino Linotype" w:hAnsi="Palatino Linotype" w:eastAsia="Aptos" w:cs="Times New Roman"/>
        </w:rPr>
        <w:t xml:space="preserve">the </w:t>
      </w:r>
      <w:r w:rsidRPr="283EB393">
        <w:rPr>
          <w:rFonts w:ascii="Palatino Linotype" w:hAnsi="Palatino Linotype" w:eastAsia="Aptos" w:cs="Times New Roman"/>
        </w:rPr>
        <w:t>process</w:t>
      </w:r>
      <w:r w:rsidRPr="283EB393" w:rsidR="2A90B173">
        <w:rPr>
          <w:rFonts w:ascii="Palatino Linotype" w:hAnsi="Palatino Linotype" w:eastAsia="Aptos" w:cs="Times New Roman"/>
        </w:rPr>
        <w:t>es</w:t>
      </w:r>
      <w:r w:rsidRPr="6070C2C1">
        <w:rPr>
          <w:rFonts w:ascii="Palatino Linotype" w:hAnsi="Palatino Linotype" w:eastAsia="Aptos" w:cs="Times New Roman"/>
        </w:rPr>
        <w:t xml:space="preserve"> adopted </w:t>
      </w:r>
      <w:r w:rsidRPr="2D34C644">
        <w:rPr>
          <w:rFonts w:ascii="Palatino Linotype" w:hAnsi="Palatino Linotype" w:eastAsia="Aptos" w:cs="Times New Roman"/>
        </w:rPr>
        <w:t xml:space="preserve">here and the final outcome of </w:t>
      </w:r>
      <w:r w:rsidRPr="54DD4C47">
        <w:rPr>
          <w:rFonts w:ascii="Palatino Linotype" w:hAnsi="Palatino Linotype" w:eastAsia="Aptos" w:cs="Times New Roman"/>
        </w:rPr>
        <w:t xml:space="preserve">the Rule </w:t>
      </w:r>
      <w:r w:rsidRPr="1BC0FF28">
        <w:rPr>
          <w:rFonts w:ascii="Palatino Linotype" w:hAnsi="Palatino Linotype" w:eastAsia="Aptos" w:cs="Times New Roman"/>
        </w:rPr>
        <w:t xml:space="preserve">30 </w:t>
      </w:r>
      <w:r w:rsidRPr="44E61BCA">
        <w:rPr>
          <w:rFonts w:ascii="Palatino Linotype" w:hAnsi="Palatino Linotype" w:eastAsia="Aptos" w:cs="Times New Roman"/>
        </w:rPr>
        <w:t>proceeding</w:t>
      </w:r>
      <w:r w:rsidRPr="6D4C6FFA" w:rsidR="04AC50F3">
        <w:rPr>
          <w:rFonts w:ascii="Palatino Linotype" w:hAnsi="Palatino Linotype" w:eastAsia="Aptos" w:cs="Times New Roman"/>
        </w:rPr>
        <w:t xml:space="preserve"> (</w:t>
      </w:r>
      <w:r w:rsidRPr="71E3E705">
        <w:rPr>
          <w:rFonts w:ascii="Palatino Linotype" w:hAnsi="Palatino Linotype" w:eastAsia="Aptos" w:cs="Times New Roman"/>
        </w:rPr>
        <w:t>A</w:t>
      </w:r>
      <w:r w:rsidRPr="37096792">
        <w:rPr>
          <w:rFonts w:ascii="Palatino Linotype" w:hAnsi="Palatino Linotype" w:eastAsia="Aptos" w:cs="Times New Roman"/>
        </w:rPr>
        <w:t>.</w:t>
      </w:r>
      <w:r w:rsidRPr="589E8A35" w:rsidR="31B3CC1F">
        <w:rPr>
          <w:rFonts w:ascii="Palatino Linotype" w:hAnsi="Palatino Linotype" w:eastAsia="Aptos" w:cs="Times New Roman"/>
        </w:rPr>
        <w:t>24-11-007</w:t>
      </w:r>
      <w:r w:rsidRPr="16BF330A" w:rsidR="31B3CC1F">
        <w:rPr>
          <w:rFonts w:ascii="Palatino Linotype" w:hAnsi="Palatino Linotype" w:eastAsia="Aptos" w:cs="Times New Roman"/>
        </w:rPr>
        <w:t>)</w:t>
      </w:r>
      <w:r w:rsidR="00136DF7">
        <w:rPr>
          <w:rFonts w:ascii="Palatino Linotype" w:hAnsi="Palatino Linotype" w:eastAsia="Aptos" w:cs="Times New Roman"/>
        </w:rPr>
        <w:t xml:space="preserve"> with regard </w:t>
      </w:r>
      <w:r w:rsidR="001B0D28">
        <w:rPr>
          <w:rFonts w:ascii="Palatino Linotype" w:hAnsi="Palatino Linotype" w:eastAsia="Aptos" w:cs="Times New Roman"/>
        </w:rPr>
        <w:t>to</w:t>
      </w:r>
      <w:r w:rsidR="00136DF7">
        <w:rPr>
          <w:rFonts w:ascii="Palatino Linotype" w:hAnsi="Palatino Linotype" w:eastAsia="Aptos" w:cs="Times New Roman"/>
        </w:rPr>
        <w:t xml:space="preserve"> </w:t>
      </w:r>
      <w:r w:rsidR="004D33BE">
        <w:rPr>
          <w:rFonts w:ascii="Palatino Linotype" w:hAnsi="Palatino Linotype" w:eastAsia="Aptos" w:cs="Times New Roman"/>
        </w:rPr>
        <w:t xml:space="preserve">broader </w:t>
      </w:r>
      <w:r w:rsidR="00136DF7">
        <w:rPr>
          <w:rFonts w:ascii="Palatino Linotype" w:hAnsi="Palatino Linotype" w:eastAsia="Aptos" w:cs="Times New Roman"/>
        </w:rPr>
        <w:t>transmission network upgrades</w:t>
      </w:r>
      <w:r w:rsidRPr="16BF330A" w:rsidR="70E3CE77">
        <w:rPr>
          <w:rFonts w:ascii="Palatino Linotype" w:hAnsi="Palatino Linotype" w:eastAsia="Aptos" w:cs="Times New Roman"/>
        </w:rPr>
        <w:t>,</w:t>
      </w:r>
      <w:r w:rsidRPr="07BE1C3C" w:rsidR="70E3CE77">
        <w:rPr>
          <w:rFonts w:ascii="Palatino Linotype" w:hAnsi="Palatino Linotype" w:eastAsia="Aptos" w:cs="Times New Roman"/>
        </w:rPr>
        <w:t xml:space="preserve"> the </w:t>
      </w:r>
      <w:r w:rsidRPr="47B428E5" w:rsidR="70E3CE77">
        <w:rPr>
          <w:rFonts w:ascii="Palatino Linotype" w:hAnsi="Palatino Linotype" w:eastAsia="Aptos" w:cs="Times New Roman"/>
        </w:rPr>
        <w:t xml:space="preserve">later shall </w:t>
      </w:r>
      <w:r w:rsidRPr="198A7A96" w:rsidR="70E3CE77">
        <w:rPr>
          <w:rFonts w:ascii="Palatino Linotype" w:hAnsi="Palatino Linotype" w:eastAsia="Aptos" w:cs="Times New Roman"/>
        </w:rPr>
        <w:t xml:space="preserve">govern </w:t>
      </w:r>
      <w:r w:rsidRPr="45D7AD43" w:rsidR="70E3CE77">
        <w:rPr>
          <w:rFonts w:ascii="Palatino Linotype" w:hAnsi="Palatino Linotype" w:eastAsia="Aptos" w:cs="Times New Roman"/>
        </w:rPr>
        <w:t>on a going forward</w:t>
      </w:r>
      <w:r w:rsidRPr="1D15D2A8" w:rsidR="70E3CE77">
        <w:rPr>
          <w:rFonts w:ascii="Palatino Linotype" w:hAnsi="Palatino Linotype" w:eastAsia="Aptos" w:cs="Times New Roman"/>
        </w:rPr>
        <w:t xml:space="preserve"> basis but </w:t>
      </w:r>
      <w:r w:rsidRPr="4CA0231D" w:rsidR="70E3CE77">
        <w:rPr>
          <w:rFonts w:ascii="Palatino Linotype" w:hAnsi="Palatino Linotype" w:eastAsia="Aptos" w:cs="Times New Roman"/>
        </w:rPr>
        <w:t xml:space="preserve">refunds already </w:t>
      </w:r>
      <w:r w:rsidRPr="5E28BC41" w:rsidR="70E3CE77">
        <w:rPr>
          <w:rFonts w:ascii="Palatino Linotype" w:hAnsi="Palatino Linotype" w:eastAsia="Aptos" w:cs="Times New Roman"/>
        </w:rPr>
        <w:t xml:space="preserve">issued do not need to be </w:t>
      </w:r>
      <w:r w:rsidRPr="0CDADFD1" w:rsidR="70E3CE77">
        <w:rPr>
          <w:rFonts w:ascii="Palatino Linotype" w:hAnsi="Palatino Linotype" w:eastAsia="Aptos" w:cs="Times New Roman"/>
        </w:rPr>
        <w:t>readjusted</w:t>
      </w:r>
      <w:r w:rsidRPr="546EE0F0" w:rsidR="70E3CE77">
        <w:rPr>
          <w:rFonts w:ascii="Palatino Linotype" w:hAnsi="Palatino Linotype" w:eastAsia="Aptos" w:cs="Times New Roman"/>
        </w:rPr>
        <w:t xml:space="preserve">, unless </w:t>
      </w:r>
      <w:r w:rsidRPr="4F47A123" w:rsidR="70E3CE77">
        <w:rPr>
          <w:rFonts w:ascii="Palatino Linotype" w:hAnsi="Palatino Linotype" w:eastAsia="Aptos" w:cs="Times New Roman"/>
        </w:rPr>
        <w:t xml:space="preserve">the Rule 30 </w:t>
      </w:r>
      <w:r w:rsidRPr="0CD41EBF" w:rsidR="70E3CE77">
        <w:rPr>
          <w:rFonts w:ascii="Palatino Linotype" w:hAnsi="Palatino Linotype" w:eastAsia="Aptos" w:cs="Times New Roman"/>
        </w:rPr>
        <w:t>proceeding sa</w:t>
      </w:r>
      <w:r w:rsidRPr="0CD41EBF" w:rsidR="0C05A6C5">
        <w:rPr>
          <w:rFonts w:ascii="Palatino Linotype" w:hAnsi="Palatino Linotype" w:eastAsia="Aptos" w:cs="Times New Roman"/>
        </w:rPr>
        <w:t xml:space="preserve">ys </w:t>
      </w:r>
      <w:r w:rsidRPr="17811559" w:rsidR="0C05A6C5">
        <w:rPr>
          <w:rFonts w:ascii="Palatino Linotype" w:hAnsi="Palatino Linotype" w:eastAsia="Aptos" w:cs="Times New Roman"/>
        </w:rPr>
        <w:t>otherwise.</w:t>
      </w:r>
    </w:p>
    <w:p w:rsidRPr="00B36B2C" w:rsidR="00FF0F18" w:rsidP="00B36B2C" w:rsidRDefault="00FF0F18" w14:paraId="58508590" w14:textId="77777777">
      <w:pPr>
        <w:spacing w:after="0" w:line="240" w:lineRule="auto"/>
        <w:contextualSpacing/>
        <w:rPr>
          <w:rFonts w:ascii="Palatino Linotype" w:hAnsi="Palatino Linotype" w:eastAsia="Palatino Linotype" w:cs="Times New Roman"/>
          <w:kern w:val="0"/>
          <w14:ligatures w14:val="none"/>
        </w:rPr>
      </w:pPr>
    </w:p>
    <w:p w:rsidR="00B36B2C" w:rsidP="00B36B2C" w:rsidRDefault="00B36B2C" w14:paraId="4F13784A" w14:textId="37481052">
      <w:pPr>
        <w:spacing w:after="0" w:line="240" w:lineRule="auto"/>
        <w:contextualSpacing/>
        <w:rPr>
          <w:rFonts w:ascii="Palatino Linotype" w:hAnsi="Palatino Linotype" w:eastAsia="Palatino Linotype" w:cs="Times New Roman"/>
          <w:b/>
          <w:bCs/>
          <w:kern w:val="0"/>
          <w14:ligatures w14:val="none"/>
        </w:rPr>
      </w:pPr>
      <w:r w:rsidRPr="00FF0F18">
        <w:rPr>
          <w:rFonts w:ascii="Palatino Linotype" w:hAnsi="Palatino Linotype" w:eastAsia="Palatino Linotype" w:cs="Times New Roman"/>
          <w:b/>
          <w:bCs/>
          <w:kern w:val="0"/>
          <w14:ligatures w14:val="none"/>
        </w:rPr>
        <w:t>Binding Cost Estimate: Clarifications and Reporting Requirements Are Reasonable and Necessary</w:t>
      </w:r>
    </w:p>
    <w:p w:rsidRPr="00FF0F18" w:rsidR="00FF0F18" w:rsidP="00B36B2C" w:rsidRDefault="00FF0F18" w14:paraId="39F717FF" w14:textId="77777777">
      <w:pPr>
        <w:spacing w:after="0" w:line="240" w:lineRule="auto"/>
        <w:contextualSpacing/>
        <w:rPr>
          <w:rFonts w:ascii="Palatino Linotype" w:hAnsi="Palatino Linotype" w:eastAsia="Palatino Linotype" w:cs="Times New Roman"/>
          <w:b/>
          <w:bCs/>
          <w:kern w:val="0"/>
          <w14:ligatures w14:val="none"/>
        </w:rPr>
      </w:pPr>
    </w:p>
    <w:p w:rsidR="00B36B2C" w:rsidP="00B36B2C" w:rsidRDefault="00B36B2C" w14:paraId="38FA8055" w14:textId="2F675FE1">
      <w:pPr>
        <w:spacing w:after="0" w:line="240" w:lineRule="auto"/>
        <w:contextualSpacing/>
        <w:rPr>
          <w:rFonts w:ascii="Palatino Linotype" w:hAnsi="Palatino Linotype" w:eastAsia="Palatino Linotype" w:cs="Times New Roman"/>
          <w:kern w:val="0"/>
          <w14:ligatures w14:val="none"/>
        </w:rPr>
      </w:pPr>
      <w:r w:rsidRPr="00B36B2C">
        <w:rPr>
          <w:rFonts w:ascii="Palatino Linotype" w:hAnsi="Palatino Linotype" w:eastAsia="Palatino Linotype" w:cs="Times New Roman"/>
          <w:kern w:val="0"/>
          <w14:ligatures w14:val="none"/>
        </w:rPr>
        <w:t xml:space="preserve">We next address the proposed binding cost estimate (binding cost cap) applicable to the applicant-build portion of the project. </w:t>
      </w:r>
      <w:r w:rsidR="003F5297">
        <w:rPr>
          <w:rFonts w:ascii="Palatino Linotype" w:hAnsi="Palatino Linotype" w:eastAsia="Palatino Linotype" w:cs="Times New Roman"/>
          <w:kern w:val="0"/>
          <w14:ligatures w14:val="none"/>
        </w:rPr>
        <w:t>According to the proposed agreement,</w:t>
      </w:r>
      <w:r w:rsidRPr="00B36B2C">
        <w:rPr>
          <w:rFonts w:ascii="Palatino Linotype" w:hAnsi="Palatino Linotype" w:eastAsia="Palatino Linotype" w:cs="Times New Roman"/>
          <w:kern w:val="0"/>
          <w14:ligatures w14:val="none"/>
        </w:rPr>
        <w:t xml:space="preserve"> Google will construct certain facilities (Applicant Work) and transfer them to PG&amp;E, and</w:t>
      </w:r>
      <w:r w:rsidR="003F5297">
        <w:rPr>
          <w:rFonts w:ascii="Palatino Linotype" w:hAnsi="Palatino Linotype" w:eastAsia="Palatino Linotype" w:cs="Times New Roman"/>
          <w:kern w:val="0"/>
          <w14:ligatures w14:val="none"/>
        </w:rPr>
        <w:t xml:space="preserve"> </w:t>
      </w:r>
      <w:r w:rsidRPr="00B36B2C">
        <w:rPr>
          <w:rFonts w:ascii="Palatino Linotype" w:hAnsi="Palatino Linotype" w:eastAsia="Palatino Linotype" w:cs="Times New Roman"/>
          <w:kern w:val="0"/>
          <w14:ligatures w14:val="none"/>
        </w:rPr>
        <w:t xml:space="preserve">Google </w:t>
      </w:r>
      <w:r w:rsidR="003F5297">
        <w:rPr>
          <w:rFonts w:ascii="Palatino Linotype" w:hAnsi="Palatino Linotype" w:eastAsia="Palatino Linotype" w:cs="Times New Roman"/>
          <w:kern w:val="0"/>
          <w14:ligatures w14:val="none"/>
        </w:rPr>
        <w:t xml:space="preserve">would then </w:t>
      </w:r>
      <w:r w:rsidRPr="00B36B2C">
        <w:rPr>
          <w:rFonts w:ascii="Palatino Linotype" w:hAnsi="Palatino Linotype" w:eastAsia="Palatino Linotype" w:cs="Times New Roman"/>
          <w:kern w:val="0"/>
          <w14:ligatures w14:val="none"/>
        </w:rPr>
        <w:t>be eligible for refunds of certain costs</w:t>
      </w:r>
      <w:r w:rsidR="00B313BE">
        <w:rPr>
          <w:rFonts w:ascii="Palatino Linotype" w:hAnsi="Palatino Linotype" w:eastAsia="Palatino Linotype" w:cs="Times New Roman"/>
          <w:kern w:val="0"/>
          <w14:ligatures w14:val="none"/>
        </w:rPr>
        <w:t xml:space="preserve"> associated with this work</w:t>
      </w:r>
      <w:r w:rsidRPr="00B36B2C">
        <w:rPr>
          <w:rFonts w:ascii="Palatino Linotype" w:hAnsi="Palatino Linotype" w:eastAsia="Palatino Linotype" w:cs="Times New Roman"/>
          <w:kern w:val="0"/>
          <w14:ligatures w14:val="none"/>
        </w:rPr>
        <w:t xml:space="preserve">. The binding cost estimate framework is intended to protect ratepayers by capping refundable exposure for </w:t>
      </w:r>
      <w:r w:rsidR="003F5297">
        <w:rPr>
          <w:rFonts w:ascii="Palatino Linotype" w:hAnsi="Palatino Linotype" w:eastAsia="Palatino Linotype" w:cs="Times New Roman"/>
          <w:kern w:val="0"/>
          <w14:ligatures w14:val="none"/>
        </w:rPr>
        <w:t xml:space="preserve">this </w:t>
      </w:r>
      <w:r w:rsidR="000278E2">
        <w:rPr>
          <w:rFonts w:ascii="Palatino Linotype" w:hAnsi="Palatino Linotype" w:eastAsia="Palatino Linotype" w:cs="Times New Roman"/>
          <w:kern w:val="0"/>
          <w14:ligatures w14:val="none"/>
        </w:rPr>
        <w:t>Applicant Work</w:t>
      </w:r>
      <w:r w:rsidRPr="00B36B2C">
        <w:rPr>
          <w:rFonts w:ascii="Palatino Linotype" w:hAnsi="Palatino Linotype" w:eastAsia="Palatino Linotype" w:cs="Times New Roman"/>
          <w:kern w:val="0"/>
          <w14:ligatures w14:val="none"/>
        </w:rPr>
        <w:t xml:space="preserve">, with refunds limited to the lower of the binding cost </w:t>
      </w:r>
      <w:r w:rsidR="000278E2">
        <w:rPr>
          <w:rFonts w:ascii="Palatino Linotype" w:hAnsi="Palatino Linotype" w:eastAsia="Palatino Linotype" w:cs="Times New Roman"/>
          <w:kern w:val="0"/>
          <w14:ligatures w14:val="none"/>
        </w:rPr>
        <w:t>cap</w:t>
      </w:r>
      <w:r w:rsidRPr="00B36B2C">
        <w:rPr>
          <w:rFonts w:ascii="Palatino Linotype" w:hAnsi="Palatino Linotype" w:eastAsia="Palatino Linotype" w:cs="Times New Roman"/>
          <w:kern w:val="0"/>
          <w14:ligatures w14:val="none"/>
        </w:rPr>
        <w:t xml:space="preserve"> or actual costs.</w:t>
      </w:r>
    </w:p>
    <w:p w:rsidRPr="00B36B2C" w:rsidR="00FF0F18" w:rsidP="00B36B2C" w:rsidRDefault="00FF0F18" w14:paraId="29279792" w14:textId="77777777">
      <w:pPr>
        <w:spacing w:after="0" w:line="240" w:lineRule="auto"/>
        <w:contextualSpacing/>
        <w:rPr>
          <w:rFonts w:ascii="Palatino Linotype" w:hAnsi="Palatino Linotype" w:eastAsia="Palatino Linotype" w:cs="Times New Roman"/>
          <w:kern w:val="0"/>
          <w14:ligatures w14:val="none"/>
        </w:rPr>
      </w:pPr>
    </w:p>
    <w:p w:rsidR="00B36B2C" w:rsidP="00B36B2C" w:rsidRDefault="00B36B2C" w14:paraId="7D1A015C" w14:textId="0DC8C56F">
      <w:pPr>
        <w:spacing w:after="0" w:line="240" w:lineRule="auto"/>
        <w:contextualSpacing/>
        <w:rPr>
          <w:rFonts w:ascii="Palatino Linotype" w:hAnsi="Palatino Linotype" w:eastAsia="Palatino Linotype" w:cs="Times New Roman"/>
          <w:kern w:val="0"/>
          <w14:ligatures w14:val="none"/>
        </w:rPr>
      </w:pPr>
      <w:r w:rsidRPr="00B36B2C">
        <w:rPr>
          <w:rFonts w:ascii="Palatino Linotype" w:hAnsi="Palatino Linotype" w:eastAsia="Palatino Linotype" w:cs="Times New Roman"/>
          <w:kern w:val="0"/>
          <w14:ligatures w14:val="none"/>
        </w:rPr>
        <w:t>Cal Advocates raises multiple concerns regarding the binding cost estimate, including treatment of contingencies, separation of Standard versus Special Facilities, and Commission visibility into the final binding cost estimate. PG&amp;E responds that the binding cost estimate will be finalized after engineering</w:t>
      </w:r>
      <w:r w:rsidR="000278E2">
        <w:rPr>
          <w:rFonts w:ascii="Palatino Linotype" w:hAnsi="Palatino Linotype" w:eastAsia="Palatino Linotype" w:cs="Times New Roman"/>
          <w:kern w:val="0"/>
          <w14:ligatures w14:val="none"/>
        </w:rPr>
        <w:t xml:space="preserve"> and design work</w:t>
      </w:r>
      <w:r w:rsidRPr="00B36B2C">
        <w:rPr>
          <w:rFonts w:ascii="Palatino Linotype" w:hAnsi="Palatino Linotype" w:eastAsia="Palatino Linotype" w:cs="Times New Roman"/>
          <w:kern w:val="0"/>
          <w14:ligatures w14:val="none"/>
        </w:rPr>
        <w:t xml:space="preserve"> progresses and indicates it does not object to providing the binding cost </w:t>
      </w:r>
      <w:r w:rsidR="00970F85">
        <w:rPr>
          <w:rFonts w:ascii="Palatino Linotype" w:hAnsi="Palatino Linotype" w:eastAsia="Palatino Linotype" w:cs="Times New Roman"/>
          <w:kern w:val="0"/>
          <w14:ligatures w14:val="none"/>
        </w:rPr>
        <w:t>cap</w:t>
      </w:r>
      <w:r w:rsidRPr="00B36B2C">
        <w:rPr>
          <w:rFonts w:ascii="Palatino Linotype" w:hAnsi="Palatino Linotype" w:eastAsia="Palatino Linotype" w:cs="Times New Roman"/>
          <w:kern w:val="0"/>
          <w14:ligatures w14:val="none"/>
        </w:rPr>
        <w:t xml:space="preserve"> in a Tier 1 </w:t>
      </w:r>
      <w:r w:rsidR="00970F85">
        <w:rPr>
          <w:rFonts w:ascii="Palatino Linotype" w:hAnsi="Palatino Linotype" w:eastAsia="Palatino Linotype" w:cs="Times New Roman"/>
          <w:kern w:val="0"/>
          <w14:ligatures w14:val="none"/>
        </w:rPr>
        <w:t>information-only A</w:t>
      </w:r>
      <w:r w:rsidRPr="00B36B2C">
        <w:rPr>
          <w:rFonts w:ascii="Palatino Linotype" w:hAnsi="Palatino Linotype" w:eastAsia="Palatino Linotype" w:cs="Times New Roman"/>
          <w:kern w:val="0"/>
          <w14:ligatures w14:val="none"/>
        </w:rPr>
        <w:t xml:space="preserve">dvice </w:t>
      </w:r>
      <w:r w:rsidR="00970F85">
        <w:rPr>
          <w:rFonts w:ascii="Palatino Linotype" w:hAnsi="Palatino Linotype" w:eastAsia="Palatino Linotype" w:cs="Times New Roman"/>
          <w:kern w:val="0"/>
          <w14:ligatures w14:val="none"/>
        </w:rPr>
        <w:t>L</w:t>
      </w:r>
      <w:r w:rsidRPr="00B36B2C">
        <w:rPr>
          <w:rFonts w:ascii="Palatino Linotype" w:hAnsi="Palatino Linotype" w:eastAsia="Palatino Linotype" w:cs="Times New Roman"/>
          <w:kern w:val="0"/>
          <w14:ligatures w14:val="none"/>
        </w:rPr>
        <w:t>etter.</w:t>
      </w:r>
    </w:p>
    <w:p w:rsidRPr="00B36B2C" w:rsidR="00FF0F18" w:rsidP="00B36B2C" w:rsidRDefault="00FF0F18" w14:paraId="50DC1736" w14:textId="77777777">
      <w:pPr>
        <w:spacing w:after="0" w:line="240" w:lineRule="auto"/>
        <w:contextualSpacing/>
        <w:rPr>
          <w:rFonts w:ascii="Palatino Linotype" w:hAnsi="Palatino Linotype" w:eastAsia="Palatino Linotype" w:cs="Times New Roman"/>
          <w:kern w:val="0"/>
          <w14:ligatures w14:val="none"/>
        </w:rPr>
      </w:pPr>
    </w:p>
    <w:p w:rsidR="00B36B2C" w:rsidP="00B36B2C" w:rsidRDefault="00B36B2C" w14:paraId="69B3275F" w14:textId="578120C8">
      <w:pPr>
        <w:spacing w:after="0" w:line="240" w:lineRule="auto"/>
        <w:contextualSpacing/>
        <w:rPr>
          <w:rFonts w:ascii="Palatino Linotype" w:hAnsi="Palatino Linotype" w:eastAsia="Palatino Linotype" w:cs="Times New Roman"/>
          <w:kern w:val="0"/>
          <w14:ligatures w14:val="none"/>
        </w:rPr>
      </w:pPr>
      <w:r w:rsidRPr="00B36B2C">
        <w:rPr>
          <w:rFonts w:ascii="Palatino Linotype" w:hAnsi="Palatino Linotype" w:eastAsia="Palatino Linotype" w:cs="Times New Roman"/>
          <w:kern w:val="0"/>
          <w14:ligatures w14:val="none"/>
        </w:rPr>
        <w:t xml:space="preserve">We find it reasonable to approve </w:t>
      </w:r>
      <w:r w:rsidR="004B56A9">
        <w:rPr>
          <w:rFonts w:ascii="Palatino Linotype" w:hAnsi="Palatino Linotype" w:eastAsia="Palatino Linotype" w:cs="Times New Roman"/>
          <w:kern w:val="0"/>
          <w14:ligatures w14:val="none"/>
        </w:rPr>
        <w:t>PG&amp;E’s proposal of</w:t>
      </w:r>
      <w:r w:rsidRPr="00B36B2C">
        <w:rPr>
          <w:rFonts w:ascii="Palatino Linotype" w:hAnsi="Palatino Linotype" w:eastAsia="Palatino Linotype" w:cs="Times New Roman"/>
          <w:kern w:val="0"/>
          <w14:ligatures w14:val="none"/>
        </w:rPr>
        <w:t xml:space="preserve"> a binding cost estimate framework because it can cap refundable exposure for ratepayers. At the same time, additional clarifications are necessary to ensure the binding cost estimate functions as an effective cap on refundable costs and to ensure Commission visibility and enforceability without </w:t>
      </w:r>
      <w:r w:rsidR="00DA1C91">
        <w:rPr>
          <w:rFonts w:ascii="Palatino Linotype" w:hAnsi="Palatino Linotype" w:eastAsia="Palatino Linotype" w:cs="Times New Roman"/>
          <w:kern w:val="0"/>
          <w14:ligatures w14:val="none"/>
        </w:rPr>
        <w:t xml:space="preserve">unnecessary </w:t>
      </w:r>
      <w:r w:rsidRPr="00B36B2C">
        <w:rPr>
          <w:rFonts w:ascii="Palatino Linotype" w:hAnsi="Palatino Linotype" w:eastAsia="Palatino Linotype" w:cs="Times New Roman"/>
          <w:kern w:val="0"/>
          <w14:ligatures w14:val="none"/>
        </w:rPr>
        <w:t>delay</w:t>
      </w:r>
      <w:r w:rsidR="00DA1C91">
        <w:rPr>
          <w:rFonts w:ascii="Palatino Linotype" w:hAnsi="Palatino Linotype" w:eastAsia="Palatino Linotype" w:cs="Times New Roman"/>
          <w:kern w:val="0"/>
          <w14:ligatures w14:val="none"/>
        </w:rPr>
        <w:t>s</w:t>
      </w:r>
      <w:r w:rsidR="00341244">
        <w:rPr>
          <w:rFonts w:ascii="Palatino Linotype" w:hAnsi="Palatino Linotype" w:eastAsia="Palatino Linotype" w:cs="Times New Roman"/>
          <w:kern w:val="0"/>
          <w14:ligatures w14:val="none"/>
        </w:rPr>
        <w:t xml:space="preserve"> to</w:t>
      </w:r>
      <w:r w:rsidRPr="00B36B2C">
        <w:rPr>
          <w:rFonts w:ascii="Palatino Linotype" w:hAnsi="Palatino Linotype" w:eastAsia="Palatino Linotype" w:cs="Times New Roman"/>
          <w:kern w:val="0"/>
          <w14:ligatures w14:val="none"/>
        </w:rPr>
        <w:t xml:space="preserve"> project development.</w:t>
      </w:r>
    </w:p>
    <w:p w:rsidRPr="00B36B2C" w:rsidR="00FF0F18" w:rsidP="00B36B2C" w:rsidRDefault="00FF0F18" w14:paraId="33E0CCCB" w14:textId="77777777">
      <w:pPr>
        <w:spacing w:after="0" w:line="240" w:lineRule="auto"/>
        <w:contextualSpacing/>
        <w:rPr>
          <w:rFonts w:ascii="Palatino Linotype" w:hAnsi="Palatino Linotype" w:eastAsia="Palatino Linotype" w:cs="Times New Roman"/>
          <w:kern w:val="0"/>
          <w14:ligatures w14:val="none"/>
        </w:rPr>
      </w:pPr>
    </w:p>
    <w:p w:rsidR="00B36B2C" w:rsidP="00B36B2C" w:rsidRDefault="00B36B2C" w14:paraId="18FA5895" w14:textId="08E785A4">
      <w:pPr>
        <w:spacing w:after="0" w:line="240" w:lineRule="auto"/>
        <w:contextualSpacing/>
        <w:rPr>
          <w:rFonts w:ascii="Palatino Linotype" w:hAnsi="Palatino Linotype" w:eastAsia="Palatino Linotype" w:cs="Times New Roman"/>
          <w:kern w:val="0"/>
          <w14:ligatures w14:val="none"/>
        </w:rPr>
      </w:pPr>
      <w:r w:rsidRPr="00B36B2C">
        <w:rPr>
          <w:rFonts w:ascii="Palatino Linotype" w:hAnsi="Palatino Linotype" w:eastAsia="Palatino Linotype" w:cs="Times New Roman"/>
          <w:kern w:val="0"/>
          <w14:ligatures w14:val="none"/>
        </w:rPr>
        <w:t xml:space="preserve">First, we clarify that the binding cost estimate for refundable costs </w:t>
      </w:r>
      <w:r w:rsidR="004B56A9">
        <w:rPr>
          <w:rFonts w:ascii="Palatino Linotype" w:hAnsi="Palatino Linotype" w:eastAsia="Palatino Linotype" w:cs="Times New Roman"/>
          <w:kern w:val="0"/>
          <w14:ligatures w14:val="none"/>
        </w:rPr>
        <w:t>will</w:t>
      </w:r>
      <w:r w:rsidRPr="00B36B2C">
        <w:rPr>
          <w:rFonts w:ascii="Palatino Linotype" w:hAnsi="Palatino Linotype" w:eastAsia="Palatino Linotype" w:cs="Times New Roman"/>
          <w:kern w:val="0"/>
          <w14:ligatures w14:val="none"/>
        </w:rPr>
        <w:t xml:space="preserve"> include only one standard contingency</w:t>
      </w:r>
      <w:r w:rsidR="004B56A9">
        <w:rPr>
          <w:rFonts w:ascii="Palatino Linotype" w:hAnsi="Palatino Linotype" w:eastAsia="Palatino Linotype" w:cs="Times New Roman"/>
          <w:kern w:val="0"/>
          <w14:ligatures w14:val="none"/>
        </w:rPr>
        <w:t xml:space="preserve"> adjustment. </w:t>
      </w:r>
      <w:r w:rsidRPr="00B36B2C">
        <w:rPr>
          <w:rFonts w:ascii="Palatino Linotype" w:hAnsi="Palatino Linotype" w:eastAsia="Palatino Linotype" w:cs="Times New Roman"/>
          <w:kern w:val="0"/>
          <w14:ligatures w14:val="none"/>
        </w:rPr>
        <w:t xml:space="preserve">The binding cost estimate for refundable costs must be bounded such that the customer’s estimate used for the cap does not exceed PG&amp;E’s </w:t>
      </w:r>
      <w:r w:rsidRPr="00B36B2C">
        <w:rPr>
          <w:rFonts w:ascii="Palatino Linotype" w:hAnsi="Palatino Linotype" w:eastAsia="Palatino Linotype" w:cs="Times New Roman"/>
          <w:kern w:val="0"/>
          <w14:ligatures w14:val="none"/>
        </w:rPr>
        <w:lastRenderedPageBreak/>
        <w:t>internal estimate for the same refundable scope plus a standard contingency</w:t>
      </w:r>
      <w:r w:rsidR="008B0AE8">
        <w:rPr>
          <w:rFonts w:ascii="Palatino Linotype" w:hAnsi="Palatino Linotype" w:eastAsia="Palatino Linotype" w:cs="Times New Roman"/>
          <w:kern w:val="0"/>
          <w14:ligatures w14:val="none"/>
        </w:rPr>
        <w:t>, as PG&amp;E describes in its reply</w:t>
      </w:r>
      <w:r w:rsidRPr="00B36B2C">
        <w:rPr>
          <w:rFonts w:ascii="Palatino Linotype" w:hAnsi="Palatino Linotype" w:eastAsia="Palatino Linotype" w:cs="Times New Roman"/>
          <w:kern w:val="0"/>
          <w14:ligatures w14:val="none"/>
        </w:rPr>
        <w:t>.</w:t>
      </w:r>
      <w:r w:rsidR="008B0AE8">
        <w:rPr>
          <w:rStyle w:val="FootnoteReference"/>
          <w:rFonts w:ascii="Palatino Linotype" w:hAnsi="Palatino Linotype" w:eastAsia="Palatino Linotype" w:cs="Times New Roman"/>
          <w:kern w:val="0"/>
          <w14:ligatures w14:val="none"/>
        </w:rPr>
        <w:footnoteReference w:id="16"/>
      </w:r>
      <w:r w:rsidRPr="00B36B2C">
        <w:rPr>
          <w:rFonts w:ascii="Palatino Linotype" w:hAnsi="Palatino Linotype" w:eastAsia="Palatino Linotype" w:cs="Times New Roman"/>
          <w:kern w:val="0"/>
          <w14:ligatures w14:val="none"/>
        </w:rPr>
        <w:t xml:space="preserve"> If the final binding cost estimate for refundable costs would exceed that bounded amount, or if material changes would otherwise increase ratepayer exposure beyond the parameters adopted in this Resolution, PG&amp;E must seek additional Commission approval</w:t>
      </w:r>
      <w:r w:rsidR="00601878">
        <w:rPr>
          <w:rFonts w:ascii="Palatino Linotype" w:hAnsi="Palatino Linotype" w:eastAsia="Palatino Linotype" w:cs="Times New Roman"/>
          <w:kern w:val="0"/>
          <w14:ligatures w14:val="none"/>
        </w:rPr>
        <w:t xml:space="preserve"> for a modified agreement</w:t>
      </w:r>
      <w:r w:rsidRPr="00B36B2C">
        <w:rPr>
          <w:rFonts w:ascii="Palatino Linotype" w:hAnsi="Palatino Linotype" w:eastAsia="Palatino Linotype" w:cs="Times New Roman"/>
          <w:kern w:val="0"/>
          <w14:ligatures w14:val="none"/>
        </w:rPr>
        <w:t xml:space="preserve"> through a new Tier 3 </w:t>
      </w:r>
      <w:r w:rsidR="00601878">
        <w:rPr>
          <w:rFonts w:ascii="Palatino Linotype" w:hAnsi="Palatino Linotype" w:eastAsia="Palatino Linotype" w:cs="Times New Roman"/>
          <w:kern w:val="0"/>
          <w14:ligatures w14:val="none"/>
        </w:rPr>
        <w:t>A</w:t>
      </w:r>
      <w:r w:rsidRPr="00B36B2C">
        <w:rPr>
          <w:rFonts w:ascii="Palatino Linotype" w:hAnsi="Palatino Linotype" w:eastAsia="Palatino Linotype" w:cs="Times New Roman"/>
          <w:kern w:val="0"/>
          <w14:ligatures w14:val="none"/>
        </w:rPr>
        <w:t xml:space="preserve">dvice </w:t>
      </w:r>
      <w:r w:rsidR="00601878">
        <w:rPr>
          <w:rFonts w:ascii="Palatino Linotype" w:hAnsi="Palatino Linotype" w:eastAsia="Palatino Linotype" w:cs="Times New Roman"/>
          <w:kern w:val="0"/>
          <w14:ligatures w14:val="none"/>
        </w:rPr>
        <w:t>L</w:t>
      </w:r>
      <w:r w:rsidRPr="00B36B2C">
        <w:rPr>
          <w:rFonts w:ascii="Palatino Linotype" w:hAnsi="Palatino Linotype" w:eastAsia="Palatino Linotype" w:cs="Times New Roman"/>
          <w:kern w:val="0"/>
          <w14:ligatures w14:val="none"/>
        </w:rPr>
        <w:t>etter.</w:t>
      </w:r>
    </w:p>
    <w:p w:rsidRPr="00B36B2C" w:rsidR="004D46CE" w:rsidP="00B36B2C" w:rsidRDefault="004D46CE" w14:paraId="4CDFEFD4" w14:textId="77777777">
      <w:pPr>
        <w:spacing w:after="0" w:line="240" w:lineRule="auto"/>
        <w:contextualSpacing/>
        <w:rPr>
          <w:rFonts w:ascii="Palatino Linotype" w:hAnsi="Palatino Linotype" w:eastAsia="Palatino Linotype" w:cs="Times New Roman"/>
          <w:kern w:val="0"/>
          <w14:ligatures w14:val="none"/>
        </w:rPr>
      </w:pPr>
    </w:p>
    <w:p w:rsidR="00B36B2C" w:rsidP="00B36B2C" w:rsidRDefault="00B36B2C" w14:paraId="57250346" w14:textId="4A6A70AC">
      <w:pPr>
        <w:spacing w:after="0" w:line="240" w:lineRule="auto"/>
        <w:contextualSpacing/>
        <w:rPr>
          <w:rFonts w:ascii="Palatino Linotype" w:hAnsi="Palatino Linotype" w:eastAsia="Palatino Linotype" w:cs="Times New Roman"/>
          <w:kern w:val="0"/>
          <w14:ligatures w14:val="none"/>
        </w:rPr>
      </w:pPr>
      <w:r w:rsidRPr="00B36B2C">
        <w:rPr>
          <w:rFonts w:ascii="Palatino Linotype" w:hAnsi="Palatino Linotype" w:eastAsia="Palatino Linotype" w:cs="Times New Roman"/>
          <w:kern w:val="0"/>
          <w14:ligatures w14:val="none"/>
        </w:rPr>
        <w:t>Second, we require that the binding cost estimate be calculated and presented separately for refundable versus non-refundable costs</w:t>
      </w:r>
      <w:r w:rsidR="00825685">
        <w:rPr>
          <w:rFonts w:ascii="Palatino Linotype" w:hAnsi="Palatino Linotype" w:eastAsia="Palatino Linotype" w:cs="Times New Roman"/>
          <w:kern w:val="0"/>
          <w14:ligatures w14:val="none"/>
        </w:rPr>
        <w:t>, as recommended by Cal Advocates</w:t>
      </w:r>
      <w:r w:rsidRPr="00B36B2C">
        <w:rPr>
          <w:rFonts w:ascii="Palatino Linotype" w:hAnsi="Palatino Linotype" w:eastAsia="Palatino Linotype" w:cs="Times New Roman"/>
          <w:kern w:val="0"/>
          <w14:ligatures w14:val="none"/>
        </w:rPr>
        <w:t>.</w:t>
      </w:r>
      <w:r w:rsidR="00601878">
        <w:rPr>
          <w:rStyle w:val="FootnoteReference"/>
          <w:rFonts w:ascii="Palatino Linotype" w:hAnsi="Palatino Linotype" w:eastAsia="Palatino Linotype" w:cs="Times New Roman"/>
          <w:kern w:val="0"/>
          <w14:ligatures w14:val="none"/>
        </w:rPr>
        <w:footnoteReference w:id="17"/>
      </w:r>
      <w:r w:rsidRPr="00B36B2C">
        <w:rPr>
          <w:rFonts w:ascii="Palatino Linotype" w:hAnsi="Palatino Linotype" w:eastAsia="Palatino Linotype" w:cs="Times New Roman"/>
          <w:kern w:val="0"/>
          <w14:ligatures w14:val="none"/>
        </w:rPr>
        <w:t xml:space="preserve"> Specifically, the binding cost estimate cap for refunds must apply to refundable Standard Facilities costs calculated separately from Special Facilities costs that are not eligible for refund. This separation </w:t>
      </w:r>
      <w:r w:rsidR="00825685">
        <w:rPr>
          <w:rFonts w:ascii="Palatino Linotype" w:hAnsi="Palatino Linotype" w:eastAsia="Palatino Linotype" w:cs="Times New Roman"/>
          <w:kern w:val="0"/>
          <w14:ligatures w14:val="none"/>
        </w:rPr>
        <w:t>ensures</w:t>
      </w:r>
      <w:r w:rsidRPr="00B36B2C">
        <w:rPr>
          <w:rFonts w:ascii="Palatino Linotype" w:hAnsi="Palatino Linotype" w:eastAsia="Palatino Linotype" w:cs="Times New Roman"/>
          <w:kern w:val="0"/>
          <w14:ligatures w14:val="none"/>
        </w:rPr>
        <w:t xml:space="preserve"> </w:t>
      </w:r>
      <w:r w:rsidR="001C00B2">
        <w:rPr>
          <w:rFonts w:ascii="Palatino Linotype" w:hAnsi="Palatino Linotype" w:eastAsia="Palatino Linotype" w:cs="Times New Roman"/>
          <w:kern w:val="0"/>
          <w14:ligatures w14:val="none"/>
        </w:rPr>
        <w:t xml:space="preserve">that </w:t>
      </w:r>
      <w:r w:rsidRPr="00B36B2C">
        <w:rPr>
          <w:rFonts w:ascii="Palatino Linotype" w:hAnsi="Palatino Linotype" w:eastAsia="Palatino Linotype" w:cs="Times New Roman"/>
          <w:kern w:val="0"/>
          <w14:ligatures w14:val="none"/>
        </w:rPr>
        <w:t>non-refundable costs do not inflate or obscure the refundable cost cap</w:t>
      </w:r>
      <w:r w:rsidR="001C00B2">
        <w:rPr>
          <w:rFonts w:ascii="Palatino Linotype" w:hAnsi="Palatino Linotype" w:eastAsia="Palatino Linotype" w:cs="Times New Roman"/>
          <w:kern w:val="0"/>
          <w14:ligatures w14:val="none"/>
        </w:rPr>
        <w:t>,</w:t>
      </w:r>
      <w:r w:rsidRPr="00B36B2C">
        <w:rPr>
          <w:rFonts w:ascii="Palatino Linotype" w:hAnsi="Palatino Linotype" w:eastAsia="Palatino Linotype" w:cs="Times New Roman"/>
          <w:kern w:val="0"/>
          <w14:ligatures w14:val="none"/>
        </w:rPr>
        <w:t xml:space="preserve"> </w:t>
      </w:r>
      <w:r w:rsidR="001C00B2">
        <w:rPr>
          <w:rFonts w:ascii="Palatino Linotype" w:hAnsi="Palatino Linotype" w:eastAsia="Palatino Linotype" w:cs="Times New Roman"/>
          <w:kern w:val="0"/>
          <w14:ligatures w14:val="none"/>
        </w:rPr>
        <w:t>in order</w:t>
      </w:r>
      <w:r w:rsidRPr="00B36B2C">
        <w:rPr>
          <w:rFonts w:ascii="Palatino Linotype" w:hAnsi="Palatino Linotype" w:eastAsia="Palatino Linotype" w:cs="Times New Roman"/>
          <w:kern w:val="0"/>
          <w14:ligatures w14:val="none"/>
        </w:rPr>
        <w:t xml:space="preserve"> to make the cap transparent and enforceable.</w:t>
      </w:r>
    </w:p>
    <w:p w:rsidRPr="00B36B2C" w:rsidR="004D46CE" w:rsidP="00B36B2C" w:rsidRDefault="004D46CE" w14:paraId="1B13E51C" w14:textId="77777777">
      <w:pPr>
        <w:spacing w:after="0" w:line="240" w:lineRule="auto"/>
        <w:contextualSpacing/>
        <w:rPr>
          <w:rFonts w:ascii="Palatino Linotype" w:hAnsi="Palatino Linotype" w:eastAsia="Palatino Linotype" w:cs="Times New Roman"/>
          <w:kern w:val="0"/>
          <w14:ligatures w14:val="none"/>
        </w:rPr>
      </w:pPr>
    </w:p>
    <w:p w:rsidR="00A011EB" w:rsidP="00B36B2C" w:rsidRDefault="00B36B2C" w14:paraId="7F129C0B" w14:textId="0D53002F">
      <w:pPr>
        <w:spacing w:after="0" w:line="240" w:lineRule="auto"/>
        <w:contextualSpacing/>
        <w:rPr>
          <w:rFonts w:ascii="Palatino Linotype" w:hAnsi="Palatino Linotype" w:eastAsia="Palatino Linotype" w:cs="Times New Roman"/>
          <w:kern w:val="0"/>
          <w14:ligatures w14:val="none"/>
        </w:rPr>
      </w:pPr>
      <w:r w:rsidRPr="00B36B2C">
        <w:rPr>
          <w:rFonts w:ascii="Palatino Linotype" w:hAnsi="Palatino Linotype" w:eastAsia="Palatino Linotype" w:cs="Times New Roman"/>
          <w:kern w:val="0"/>
          <w14:ligatures w14:val="none"/>
        </w:rPr>
        <w:t xml:space="preserve">Third, we require PG&amp;E to submit an information-only Tier 1 </w:t>
      </w:r>
      <w:r w:rsidR="001C00B2">
        <w:rPr>
          <w:rFonts w:ascii="Palatino Linotype" w:hAnsi="Palatino Linotype" w:eastAsia="Palatino Linotype" w:cs="Times New Roman"/>
          <w:kern w:val="0"/>
          <w14:ligatures w14:val="none"/>
        </w:rPr>
        <w:t>A</w:t>
      </w:r>
      <w:r w:rsidRPr="00B36B2C">
        <w:rPr>
          <w:rFonts w:ascii="Palatino Linotype" w:hAnsi="Palatino Linotype" w:eastAsia="Palatino Linotype" w:cs="Times New Roman"/>
          <w:kern w:val="0"/>
          <w14:ligatures w14:val="none"/>
        </w:rPr>
        <w:t xml:space="preserve">dvice </w:t>
      </w:r>
      <w:r w:rsidR="001C00B2">
        <w:rPr>
          <w:rFonts w:ascii="Palatino Linotype" w:hAnsi="Palatino Linotype" w:eastAsia="Palatino Linotype" w:cs="Times New Roman"/>
          <w:kern w:val="0"/>
          <w14:ligatures w14:val="none"/>
        </w:rPr>
        <w:t>L</w:t>
      </w:r>
      <w:r w:rsidRPr="00B36B2C">
        <w:rPr>
          <w:rFonts w:ascii="Palatino Linotype" w:hAnsi="Palatino Linotype" w:eastAsia="Palatino Linotype" w:cs="Times New Roman"/>
          <w:kern w:val="0"/>
          <w14:ligatures w14:val="none"/>
        </w:rPr>
        <w:t xml:space="preserve">etter when the binding cost estimate for refundable Standard Facilities is finalized. The Tier 1 filing shall include attachments describing, in sufficient detail for Commission review: (a) the finalized binding cost estimate for refundable Standard Facilities; (b) the inputs, assumptions, and scope used to derive the estimate; (c) the </w:t>
      </w:r>
      <w:r w:rsidR="001F259A">
        <w:rPr>
          <w:rFonts w:ascii="Palatino Linotype" w:hAnsi="Palatino Linotype" w:eastAsia="Palatino Linotype" w:cs="Times New Roman"/>
          <w:kern w:val="0"/>
          <w14:ligatures w14:val="none"/>
        </w:rPr>
        <w:t>use of a</w:t>
      </w:r>
      <w:r w:rsidRPr="00B36B2C">
        <w:rPr>
          <w:rFonts w:ascii="Palatino Linotype" w:hAnsi="Palatino Linotype" w:eastAsia="Palatino Linotype" w:cs="Times New Roman"/>
          <w:kern w:val="0"/>
          <w14:ligatures w14:val="none"/>
        </w:rPr>
        <w:t xml:space="preserve"> single standard contingency</w:t>
      </w:r>
      <w:r w:rsidR="001F259A">
        <w:rPr>
          <w:rFonts w:ascii="Palatino Linotype" w:hAnsi="Palatino Linotype" w:eastAsia="Palatino Linotype" w:cs="Times New Roman"/>
          <w:kern w:val="0"/>
          <w14:ligatures w14:val="none"/>
        </w:rPr>
        <w:t xml:space="preserve"> adjustment</w:t>
      </w:r>
      <w:r w:rsidRPr="00B36B2C">
        <w:rPr>
          <w:rFonts w:ascii="Palatino Linotype" w:hAnsi="Palatino Linotype" w:eastAsia="Palatino Linotype" w:cs="Times New Roman"/>
          <w:kern w:val="0"/>
          <w14:ligatures w14:val="none"/>
        </w:rPr>
        <w:t xml:space="preserve">; (d) a clear separation of refundable Standard Facilities costs from non-refundable Special Facilities costs; and (e) the screening performed to ensure the refundable binding cost estimate excludes any overlapping oversight or supplemental costs addressed separately by PG&amp;E (as discussed below). </w:t>
      </w:r>
      <w:r w:rsidR="00EC2B9B">
        <w:rPr>
          <w:rFonts w:ascii="Palatino Linotype" w:hAnsi="Palatino Linotype" w:eastAsia="Palatino Linotype" w:cs="Times New Roman"/>
          <w:kern w:val="0"/>
          <w14:ligatures w14:val="none"/>
        </w:rPr>
        <w:t>T</w:t>
      </w:r>
      <w:r w:rsidR="006D056E">
        <w:rPr>
          <w:rFonts w:ascii="Palatino Linotype" w:hAnsi="Palatino Linotype" w:eastAsia="Palatino Linotype" w:cs="Times New Roman"/>
          <w:kern w:val="0"/>
          <w14:ligatures w14:val="none"/>
        </w:rPr>
        <w:t xml:space="preserve">hese attachments may be provided confidentially. </w:t>
      </w:r>
      <w:r w:rsidRPr="00B36B2C">
        <w:rPr>
          <w:rFonts w:ascii="Palatino Linotype" w:hAnsi="Palatino Linotype" w:eastAsia="Palatino Linotype" w:cs="Times New Roman"/>
          <w:kern w:val="0"/>
          <w14:ligatures w14:val="none"/>
        </w:rPr>
        <w:t xml:space="preserve">This Tier 1 filing is information-only because the Commission is </w:t>
      </w:r>
      <w:r w:rsidR="00C35801">
        <w:rPr>
          <w:rFonts w:ascii="Palatino Linotype" w:hAnsi="Palatino Linotype" w:eastAsia="Palatino Linotype" w:cs="Times New Roman"/>
          <w:kern w:val="0"/>
          <w14:ligatures w14:val="none"/>
        </w:rPr>
        <w:t>already approving the agreement between PG&amp;E and Google with modifications</w:t>
      </w:r>
      <w:r w:rsidRPr="00B36B2C">
        <w:rPr>
          <w:rFonts w:ascii="Palatino Linotype" w:hAnsi="Palatino Linotype" w:eastAsia="Palatino Linotype" w:cs="Times New Roman"/>
          <w:kern w:val="0"/>
          <w14:ligatures w14:val="none"/>
        </w:rPr>
        <w:t xml:space="preserve"> in this Resolution</w:t>
      </w:r>
      <w:r w:rsidR="001F72FA">
        <w:rPr>
          <w:rFonts w:ascii="Palatino Linotype" w:hAnsi="Palatino Linotype" w:eastAsia="Palatino Linotype" w:cs="Times New Roman"/>
          <w:kern w:val="0"/>
          <w14:ligatures w14:val="none"/>
        </w:rPr>
        <w:t>. T</w:t>
      </w:r>
      <w:r w:rsidRPr="00B36B2C">
        <w:rPr>
          <w:rFonts w:ascii="Palatino Linotype" w:hAnsi="Palatino Linotype" w:eastAsia="Palatino Linotype" w:cs="Times New Roman"/>
          <w:kern w:val="0"/>
          <w14:ligatures w14:val="none"/>
        </w:rPr>
        <w:t xml:space="preserve">he Tier 1 filing </w:t>
      </w:r>
      <w:r w:rsidR="001F72FA">
        <w:rPr>
          <w:rFonts w:ascii="Palatino Linotype" w:hAnsi="Palatino Linotype" w:eastAsia="Palatino Linotype" w:cs="Times New Roman"/>
          <w:kern w:val="0"/>
          <w14:ligatures w14:val="none"/>
        </w:rPr>
        <w:t xml:space="preserve">simply </w:t>
      </w:r>
      <w:r w:rsidRPr="00B36B2C">
        <w:rPr>
          <w:rFonts w:ascii="Palatino Linotype" w:hAnsi="Palatino Linotype" w:eastAsia="Palatino Linotype" w:cs="Times New Roman"/>
          <w:kern w:val="0"/>
          <w14:ligatures w14:val="none"/>
        </w:rPr>
        <w:t>provides transparency and allows Energy Division to verify consistency with the guardrails</w:t>
      </w:r>
      <w:r w:rsidR="0002711B">
        <w:rPr>
          <w:rFonts w:ascii="Palatino Linotype" w:hAnsi="Palatino Linotype" w:eastAsia="Palatino Linotype" w:cs="Times New Roman"/>
          <w:kern w:val="0"/>
          <w14:ligatures w14:val="none"/>
        </w:rPr>
        <w:t xml:space="preserve"> </w:t>
      </w:r>
      <w:r w:rsidR="00011EA5">
        <w:rPr>
          <w:rFonts w:ascii="Palatino Linotype" w:hAnsi="Palatino Linotype" w:eastAsia="Palatino Linotype" w:cs="Times New Roman"/>
          <w:kern w:val="0"/>
          <w14:ligatures w14:val="none"/>
        </w:rPr>
        <w:t>established</w:t>
      </w:r>
      <w:r w:rsidR="0002711B">
        <w:rPr>
          <w:rFonts w:ascii="Palatino Linotype" w:hAnsi="Palatino Linotype" w:eastAsia="Palatino Linotype" w:cs="Times New Roman"/>
          <w:kern w:val="0"/>
          <w14:ligatures w14:val="none"/>
        </w:rPr>
        <w:t xml:space="preserve"> here</w:t>
      </w:r>
      <w:r w:rsidRPr="00B36B2C">
        <w:rPr>
          <w:rFonts w:ascii="Palatino Linotype" w:hAnsi="Palatino Linotype" w:eastAsia="Palatino Linotype" w:cs="Times New Roman"/>
          <w:kern w:val="0"/>
          <w14:ligatures w14:val="none"/>
        </w:rPr>
        <w:t>.</w:t>
      </w:r>
    </w:p>
    <w:p w:rsidR="00A011EB" w:rsidP="00B36B2C" w:rsidRDefault="00A011EB" w14:paraId="016350D5" w14:textId="77777777">
      <w:pPr>
        <w:spacing w:after="0" w:line="240" w:lineRule="auto"/>
        <w:contextualSpacing/>
        <w:rPr>
          <w:rFonts w:ascii="Palatino Linotype" w:hAnsi="Palatino Linotype" w:eastAsia="Palatino Linotype" w:cs="Times New Roman"/>
          <w:kern w:val="0"/>
          <w14:ligatures w14:val="none"/>
        </w:rPr>
      </w:pPr>
    </w:p>
    <w:p w:rsidR="00B36B2C" w:rsidP="00B36B2C" w:rsidRDefault="00B36B2C" w14:paraId="69B5F137" w14:textId="75F28C03">
      <w:pPr>
        <w:spacing w:after="0" w:line="240" w:lineRule="auto"/>
        <w:contextualSpacing/>
        <w:rPr>
          <w:rFonts w:ascii="Palatino Linotype" w:hAnsi="Palatino Linotype" w:eastAsia="Palatino Linotype" w:cs="Times New Roman"/>
          <w:kern w:val="0"/>
          <w14:ligatures w14:val="none"/>
        </w:rPr>
      </w:pPr>
      <w:r w:rsidRPr="00B36B2C">
        <w:rPr>
          <w:rFonts w:ascii="Palatino Linotype" w:hAnsi="Palatino Linotype" w:eastAsia="Palatino Linotype" w:cs="Times New Roman"/>
          <w:kern w:val="0"/>
          <w14:ligatures w14:val="none"/>
        </w:rPr>
        <w:t>Accordingly, we approve the binding cost estimate framework with the clarifications and reporting requirements described above.</w:t>
      </w:r>
    </w:p>
    <w:p w:rsidRPr="00B36B2C" w:rsidR="004D46CE" w:rsidP="00B36B2C" w:rsidRDefault="004D46CE" w14:paraId="4F96AAB4" w14:textId="77777777">
      <w:pPr>
        <w:spacing w:after="0" w:line="240" w:lineRule="auto"/>
        <w:contextualSpacing/>
        <w:rPr>
          <w:rFonts w:ascii="Palatino Linotype" w:hAnsi="Palatino Linotype" w:eastAsia="Palatino Linotype" w:cs="Times New Roman"/>
          <w:kern w:val="0"/>
          <w14:ligatures w14:val="none"/>
        </w:rPr>
      </w:pPr>
    </w:p>
    <w:p w:rsidRPr="004D46CE" w:rsidR="00B36B2C" w:rsidP="00B36B2C" w:rsidRDefault="00B36B2C" w14:paraId="03F3AB91" w14:textId="1DBB59C5">
      <w:pPr>
        <w:spacing w:after="0" w:line="240" w:lineRule="auto"/>
        <w:contextualSpacing/>
        <w:rPr>
          <w:rFonts w:ascii="Palatino Linotype" w:hAnsi="Palatino Linotype" w:eastAsia="Palatino Linotype" w:cs="Times New Roman"/>
          <w:b/>
          <w:bCs/>
          <w:kern w:val="0"/>
          <w14:ligatures w14:val="none"/>
        </w:rPr>
      </w:pPr>
      <w:r w:rsidRPr="004D46CE">
        <w:rPr>
          <w:rFonts w:ascii="Palatino Linotype" w:hAnsi="Palatino Linotype" w:eastAsia="Palatino Linotype" w:cs="Times New Roman"/>
          <w:b/>
          <w:bCs/>
          <w:kern w:val="0"/>
          <w14:ligatures w14:val="none"/>
        </w:rPr>
        <w:t>Oversight and Supplemental Costs: Avoiding Overlap Is Reasonable</w:t>
      </w:r>
    </w:p>
    <w:p w:rsidRPr="00B36B2C" w:rsidR="004D46CE" w:rsidP="00B36B2C" w:rsidRDefault="004D46CE" w14:paraId="512FA50F" w14:textId="77777777">
      <w:pPr>
        <w:spacing w:after="0" w:line="240" w:lineRule="auto"/>
        <w:contextualSpacing/>
        <w:rPr>
          <w:rFonts w:ascii="Palatino Linotype" w:hAnsi="Palatino Linotype" w:eastAsia="Palatino Linotype" w:cs="Times New Roman"/>
          <w:kern w:val="0"/>
          <w14:ligatures w14:val="none"/>
        </w:rPr>
      </w:pPr>
    </w:p>
    <w:p w:rsidR="00B36B2C" w:rsidP="00B36B2C" w:rsidRDefault="0014122F" w14:paraId="36099253" w14:textId="7425BCF4">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lastRenderedPageBreak/>
        <w:t xml:space="preserve">In addition to the Applicant </w:t>
      </w:r>
      <w:r w:rsidR="000C37B7">
        <w:rPr>
          <w:rFonts w:ascii="Palatino Linotype" w:hAnsi="Palatino Linotype" w:eastAsia="Palatino Linotype" w:cs="Times New Roman"/>
          <w:kern w:val="0"/>
          <w14:ligatures w14:val="none"/>
        </w:rPr>
        <w:t>Work, the agreement between PG&amp;E and Google also includes work to be performed directly by PG&amp;E, including oversight and inspection costs.</w:t>
      </w:r>
      <w:r>
        <w:rPr>
          <w:rFonts w:ascii="Palatino Linotype" w:hAnsi="Palatino Linotype" w:eastAsia="Palatino Linotype" w:cs="Times New Roman"/>
          <w:kern w:val="0"/>
          <w14:ligatures w14:val="none"/>
        </w:rPr>
        <w:t xml:space="preserve"> </w:t>
      </w:r>
      <w:r w:rsidR="00B2293A">
        <w:rPr>
          <w:rFonts w:ascii="Palatino Linotype" w:hAnsi="Palatino Linotype" w:eastAsia="Palatino Linotype" w:cs="Times New Roman"/>
          <w:kern w:val="0"/>
          <w14:ligatures w14:val="none"/>
        </w:rPr>
        <w:t xml:space="preserve">In its protest, </w:t>
      </w:r>
      <w:r w:rsidRPr="00B36B2C" w:rsidR="00B36B2C">
        <w:rPr>
          <w:rFonts w:ascii="Palatino Linotype" w:hAnsi="Palatino Linotype" w:eastAsia="Palatino Linotype" w:cs="Times New Roman"/>
          <w:kern w:val="0"/>
          <w14:ligatures w14:val="none"/>
        </w:rPr>
        <w:t xml:space="preserve">Cal Advocates argues </w:t>
      </w:r>
      <w:r w:rsidR="00B2293A">
        <w:rPr>
          <w:rFonts w:ascii="Palatino Linotype" w:hAnsi="Palatino Linotype" w:eastAsia="Palatino Linotype" w:cs="Times New Roman"/>
          <w:kern w:val="0"/>
          <w14:ligatures w14:val="none"/>
        </w:rPr>
        <w:t xml:space="preserve">that the costs </w:t>
      </w:r>
      <w:r w:rsidR="00F91BF5">
        <w:rPr>
          <w:rFonts w:ascii="Palatino Linotype" w:hAnsi="Palatino Linotype" w:eastAsia="Palatino Linotype" w:cs="Times New Roman"/>
          <w:kern w:val="0"/>
          <w14:ligatures w14:val="none"/>
        </w:rPr>
        <w:t xml:space="preserve">associated with </w:t>
      </w:r>
      <w:r w:rsidRPr="00B36B2C" w:rsidR="00B36B2C">
        <w:rPr>
          <w:rFonts w:ascii="Palatino Linotype" w:hAnsi="Palatino Linotype" w:eastAsia="Palatino Linotype" w:cs="Times New Roman"/>
          <w:kern w:val="0"/>
          <w14:ligatures w14:val="none"/>
        </w:rPr>
        <w:t>PG&amp;E</w:t>
      </w:r>
      <w:r w:rsidR="000C37B7">
        <w:rPr>
          <w:rFonts w:ascii="Palatino Linotype" w:hAnsi="Palatino Linotype" w:eastAsia="Palatino Linotype" w:cs="Times New Roman"/>
          <w:kern w:val="0"/>
          <w14:ligatures w14:val="none"/>
        </w:rPr>
        <w:t>’s</w:t>
      </w:r>
      <w:r w:rsidRPr="00B36B2C" w:rsidR="00B36B2C">
        <w:rPr>
          <w:rFonts w:ascii="Palatino Linotype" w:hAnsi="Palatino Linotype" w:eastAsia="Palatino Linotype" w:cs="Times New Roman"/>
          <w:kern w:val="0"/>
          <w14:ligatures w14:val="none"/>
        </w:rPr>
        <w:t xml:space="preserve"> </w:t>
      </w:r>
      <w:r w:rsidR="00F91BF5">
        <w:rPr>
          <w:rFonts w:ascii="Palatino Linotype" w:hAnsi="Palatino Linotype" w:eastAsia="Palatino Linotype" w:cs="Times New Roman"/>
          <w:kern w:val="0"/>
          <w14:ligatures w14:val="none"/>
        </w:rPr>
        <w:t xml:space="preserve">work </w:t>
      </w:r>
      <w:r w:rsidRPr="00B36B2C" w:rsidR="00B36B2C">
        <w:rPr>
          <w:rFonts w:ascii="Palatino Linotype" w:hAnsi="Palatino Linotype" w:eastAsia="Palatino Linotype" w:cs="Times New Roman"/>
          <w:kern w:val="0"/>
          <w14:ligatures w14:val="none"/>
        </w:rPr>
        <w:t>should not be refundable. PG&amp;E argues</w:t>
      </w:r>
      <w:r w:rsidR="0054572F">
        <w:rPr>
          <w:rFonts w:ascii="Palatino Linotype" w:hAnsi="Palatino Linotype" w:eastAsia="Palatino Linotype" w:cs="Times New Roman"/>
          <w:kern w:val="0"/>
          <w14:ligatures w14:val="none"/>
        </w:rPr>
        <w:t xml:space="preserve"> that</w:t>
      </w:r>
      <w:r w:rsidRPr="00B36B2C" w:rsidR="00B36B2C">
        <w:rPr>
          <w:rFonts w:ascii="Palatino Linotype" w:hAnsi="Palatino Linotype" w:eastAsia="Palatino Linotype" w:cs="Times New Roman"/>
          <w:kern w:val="0"/>
          <w14:ligatures w14:val="none"/>
        </w:rPr>
        <w:t xml:space="preserve"> its oversight and supplemental costs are appropriate and do not overlap with Google’s </w:t>
      </w:r>
      <w:r w:rsidR="000C37B7">
        <w:rPr>
          <w:rFonts w:ascii="Palatino Linotype" w:hAnsi="Palatino Linotype" w:eastAsia="Palatino Linotype" w:cs="Times New Roman"/>
          <w:kern w:val="0"/>
          <w14:ligatures w14:val="none"/>
        </w:rPr>
        <w:t xml:space="preserve">Applicant Work </w:t>
      </w:r>
      <w:r w:rsidRPr="00B36B2C" w:rsidR="00B36B2C">
        <w:rPr>
          <w:rFonts w:ascii="Palatino Linotype" w:hAnsi="Palatino Linotype" w:eastAsia="Palatino Linotype" w:cs="Times New Roman"/>
          <w:kern w:val="0"/>
          <w14:ligatures w14:val="none"/>
        </w:rPr>
        <w:t>costs.</w:t>
      </w:r>
    </w:p>
    <w:p w:rsidRPr="00B36B2C" w:rsidR="004D46CE" w:rsidP="00B36B2C" w:rsidRDefault="004D46CE" w14:paraId="34FEF97C" w14:textId="77777777">
      <w:pPr>
        <w:spacing w:after="0" w:line="240" w:lineRule="auto"/>
        <w:contextualSpacing/>
        <w:rPr>
          <w:rFonts w:ascii="Palatino Linotype" w:hAnsi="Palatino Linotype" w:eastAsia="Palatino Linotype" w:cs="Times New Roman"/>
          <w:kern w:val="0"/>
          <w14:ligatures w14:val="none"/>
        </w:rPr>
      </w:pPr>
    </w:p>
    <w:p w:rsidR="00B36B2C" w:rsidP="00B36B2C" w:rsidRDefault="00B36B2C" w14:paraId="283F39EB" w14:textId="22EA8B68">
      <w:pPr>
        <w:spacing w:after="0" w:line="240" w:lineRule="auto"/>
        <w:contextualSpacing/>
        <w:rPr>
          <w:rFonts w:ascii="Palatino Linotype" w:hAnsi="Palatino Linotype" w:eastAsia="Palatino Linotype" w:cs="Times New Roman"/>
          <w:kern w:val="0"/>
          <w14:ligatures w14:val="none"/>
        </w:rPr>
      </w:pPr>
      <w:r w:rsidRPr="00B36B2C">
        <w:rPr>
          <w:rFonts w:ascii="Palatino Linotype" w:hAnsi="Palatino Linotype" w:eastAsia="Palatino Linotype" w:cs="Times New Roman"/>
          <w:kern w:val="0"/>
          <w14:ligatures w14:val="none"/>
        </w:rPr>
        <w:t xml:space="preserve">We agree that PG&amp;E will incur reasonable oversight and supplemental costs associated with reviewing, coordinating, and accepting facilities constructed by </w:t>
      </w:r>
      <w:r w:rsidR="009F1002">
        <w:rPr>
          <w:rFonts w:ascii="Palatino Linotype" w:hAnsi="Palatino Linotype" w:eastAsia="Palatino Linotype" w:cs="Times New Roman"/>
          <w:kern w:val="0"/>
          <w14:ligatures w14:val="none"/>
        </w:rPr>
        <w:t>Google</w:t>
      </w:r>
      <w:r w:rsidRPr="00B36B2C">
        <w:rPr>
          <w:rFonts w:ascii="Palatino Linotype" w:hAnsi="Palatino Linotype" w:eastAsia="Palatino Linotype" w:cs="Times New Roman"/>
          <w:kern w:val="0"/>
          <w14:ligatures w14:val="none"/>
        </w:rPr>
        <w:t xml:space="preserve"> for transfer to PG&amp;E, and that it can be reasonable for such costs to be </w:t>
      </w:r>
      <w:r w:rsidR="00A42E65">
        <w:rPr>
          <w:rFonts w:ascii="Palatino Linotype" w:hAnsi="Palatino Linotype" w:eastAsia="Palatino Linotype" w:cs="Times New Roman"/>
          <w:kern w:val="0"/>
          <w14:ligatures w14:val="none"/>
        </w:rPr>
        <w:t xml:space="preserve">refundable as </w:t>
      </w:r>
      <w:r w:rsidRPr="00B36B2C">
        <w:rPr>
          <w:rFonts w:ascii="Palatino Linotype" w:hAnsi="Palatino Linotype" w:eastAsia="Palatino Linotype" w:cs="Times New Roman"/>
          <w:kern w:val="0"/>
          <w14:ligatures w14:val="none"/>
        </w:rPr>
        <w:t xml:space="preserve">part of the overall cost responsibility structure for energizing a large transmission-level customer. We do not categorically exclude all PG&amp;E oversight and inspection costs from the </w:t>
      </w:r>
      <w:r w:rsidR="00A42E65">
        <w:rPr>
          <w:rFonts w:ascii="Palatino Linotype" w:hAnsi="Palatino Linotype" w:eastAsia="Palatino Linotype" w:cs="Times New Roman"/>
          <w:kern w:val="0"/>
          <w14:ligatures w14:val="none"/>
        </w:rPr>
        <w:t>refundable energization costs</w:t>
      </w:r>
      <w:r w:rsidRPr="00B36B2C">
        <w:rPr>
          <w:rFonts w:ascii="Palatino Linotype" w:hAnsi="Palatino Linotype" w:eastAsia="Palatino Linotype" w:cs="Times New Roman"/>
          <w:kern w:val="0"/>
          <w14:ligatures w14:val="none"/>
        </w:rPr>
        <w:t>.</w:t>
      </w:r>
    </w:p>
    <w:p w:rsidRPr="00B36B2C" w:rsidR="004D46CE" w:rsidP="00B36B2C" w:rsidRDefault="004D46CE" w14:paraId="3FDA99D0" w14:textId="77777777">
      <w:pPr>
        <w:spacing w:after="0" w:line="240" w:lineRule="auto"/>
        <w:contextualSpacing/>
        <w:rPr>
          <w:rFonts w:ascii="Palatino Linotype" w:hAnsi="Palatino Linotype" w:eastAsia="Palatino Linotype" w:cs="Times New Roman"/>
          <w:kern w:val="0"/>
          <w14:ligatures w14:val="none"/>
        </w:rPr>
      </w:pPr>
    </w:p>
    <w:p w:rsidR="00B36B2C" w:rsidP="00B36B2C" w:rsidRDefault="00B36B2C" w14:paraId="1C9DB5F4" w14:textId="556C116E">
      <w:pPr>
        <w:spacing w:after="0" w:line="240" w:lineRule="auto"/>
        <w:contextualSpacing/>
        <w:rPr>
          <w:rFonts w:ascii="Palatino Linotype" w:hAnsi="Palatino Linotype" w:eastAsia="Palatino Linotype" w:cs="Times New Roman"/>
          <w:kern w:val="0"/>
          <w14:ligatures w14:val="none"/>
        </w:rPr>
      </w:pPr>
      <w:r w:rsidRPr="00B36B2C">
        <w:rPr>
          <w:rFonts w:ascii="Palatino Linotype" w:hAnsi="Palatino Linotype" w:eastAsia="Palatino Linotype" w:cs="Times New Roman"/>
          <w:kern w:val="0"/>
          <w14:ligatures w14:val="none"/>
        </w:rPr>
        <w:t xml:space="preserve">However, to ensure ratepayer protection and prevent duplicative refunds, we </w:t>
      </w:r>
      <w:r w:rsidR="00A42E65">
        <w:rPr>
          <w:rFonts w:ascii="Palatino Linotype" w:hAnsi="Palatino Linotype" w:eastAsia="Palatino Linotype" w:cs="Times New Roman"/>
          <w:kern w:val="0"/>
          <w14:ligatures w14:val="none"/>
        </w:rPr>
        <w:t xml:space="preserve">find it reasonable to </w:t>
      </w:r>
      <w:r w:rsidRPr="00B36B2C">
        <w:rPr>
          <w:rFonts w:ascii="Palatino Linotype" w:hAnsi="Palatino Linotype" w:eastAsia="Palatino Linotype" w:cs="Times New Roman"/>
          <w:kern w:val="0"/>
          <w14:ligatures w14:val="none"/>
        </w:rPr>
        <w:t xml:space="preserve">adopt a clear non-overlap </w:t>
      </w:r>
      <w:r w:rsidR="009F1002">
        <w:rPr>
          <w:rFonts w:ascii="Palatino Linotype" w:hAnsi="Palatino Linotype" w:eastAsia="Palatino Linotype" w:cs="Times New Roman"/>
          <w:kern w:val="0"/>
          <w14:ligatures w14:val="none"/>
        </w:rPr>
        <w:t>standard</w:t>
      </w:r>
      <w:r w:rsidRPr="00B36B2C">
        <w:rPr>
          <w:rFonts w:ascii="Palatino Linotype" w:hAnsi="Palatino Linotype" w:eastAsia="Palatino Linotype" w:cs="Times New Roman"/>
          <w:kern w:val="0"/>
          <w14:ligatures w14:val="none"/>
        </w:rPr>
        <w:t xml:space="preserve">: the binding cost estimate for </w:t>
      </w:r>
      <w:r w:rsidR="00A42E65">
        <w:rPr>
          <w:rFonts w:ascii="Palatino Linotype" w:hAnsi="Palatino Linotype" w:eastAsia="Palatino Linotype" w:cs="Times New Roman"/>
          <w:kern w:val="0"/>
          <w14:ligatures w14:val="none"/>
        </w:rPr>
        <w:t xml:space="preserve">Applicant Work associated with </w:t>
      </w:r>
      <w:r w:rsidRPr="00B36B2C">
        <w:rPr>
          <w:rFonts w:ascii="Palatino Linotype" w:hAnsi="Palatino Linotype" w:eastAsia="Palatino Linotype" w:cs="Times New Roman"/>
          <w:kern w:val="0"/>
          <w14:ligatures w14:val="none"/>
        </w:rPr>
        <w:t>refundable Standard Facilities must exclude any costs that overlap with PG&amp;E’s own oversight and supplemental cost items</w:t>
      </w:r>
      <w:r w:rsidR="00F4244D">
        <w:rPr>
          <w:rFonts w:ascii="Palatino Linotype" w:hAnsi="Palatino Linotype" w:eastAsia="Palatino Linotype" w:cs="Times New Roman"/>
          <w:kern w:val="0"/>
          <w14:ligatures w14:val="none"/>
        </w:rPr>
        <w:t>.</w:t>
      </w:r>
      <w:r w:rsidRPr="00B36B2C">
        <w:rPr>
          <w:rFonts w:ascii="Palatino Linotype" w:hAnsi="Palatino Linotype" w:eastAsia="Palatino Linotype" w:cs="Times New Roman"/>
          <w:kern w:val="0"/>
          <w14:ligatures w14:val="none"/>
        </w:rPr>
        <w:t xml:space="preserve"> </w:t>
      </w:r>
      <w:r w:rsidR="00F4244D">
        <w:rPr>
          <w:rFonts w:ascii="Palatino Linotype" w:hAnsi="Palatino Linotype" w:eastAsia="Palatino Linotype" w:cs="Times New Roman"/>
          <w:kern w:val="0"/>
          <w14:ligatures w14:val="none"/>
        </w:rPr>
        <w:t>A</w:t>
      </w:r>
      <w:r w:rsidRPr="00B36B2C">
        <w:rPr>
          <w:rFonts w:ascii="Palatino Linotype" w:hAnsi="Palatino Linotype" w:eastAsia="Palatino Linotype" w:cs="Times New Roman"/>
          <w:kern w:val="0"/>
          <w14:ligatures w14:val="none"/>
        </w:rPr>
        <w:t xml:space="preserve">ny overlapping items </w:t>
      </w:r>
      <w:r w:rsidR="00F4244D">
        <w:rPr>
          <w:rFonts w:ascii="Palatino Linotype" w:hAnsi="Palatino Linotype" w:eastAsia="Palatino Linotype" w:cs="Times New Roman"/>
          <w:kern w:val="0"/>
          <w14:ligatures w14:val="none"/>
        </w:rPr>
        <w:t>should</w:t>
      </w:r>
      <w:r w:rsidRPr="00B36B2C">
        <w:rPr>
          <w:rFonts w:ascii="Palatino Linotype" w:hAnsi="Palatino Linotype" w:eastAsia="Palatino Linotype" w:cs="Times New Roman"/>
          <w:kern w:val="0"/>
          <w14:ligatures w14:val="none"/>
        </w:rPr>
        <w:t xml:space="preserve"> not</w:t>
      </w:r>
      <w:r w:rsidR="00F4244D">
        <w:rPr>
          <w:rFonts w:ascii="Palatino Linotype" w:hAnsi="Palatino Linotype" w:eastAsia="Palatino Linotype" w:cs="Times New Roman"/>
          <w:kern w:val="0"/>
          <w14:ligatures w14:val="none"/>
        </w:rPr>
        <w:t xml:space="preserve"> be</w:t>
      </w:r>
      <w:r w:rsidRPr="00B36B2C">
        <w:rPr>
          <w:rFonts w:ascii="Palatino Linotype" w:hAnsi="Palatino Linotype" w:eastAsia="Palatino Linotype" w:cs="Times New Roman"/>
          <w:kern w:val="0"/>
          <w14:ligatures w14:val="none"/>
        </w:rPr>
        <w:t xml:space="preserve"> refundable</w:t>
      </w:r>
      <w:r w:rsidR="009F1002">
        <w:rPr>
          <w:rFonts w:ascii="Palatino Linotype" w:hAnsi="Palatino Linotype" w:eastAsia="Palatino Linotype" w:cs="Times New Roman"/>
          <w:kern w:val="0"/>
          <w14:ligatures w14:val="none"/>
        </w:rPr>
        <w:t xml:space="preserve"> and th</w:t>
      </w:r>
      <w:r w:rsidR="0040576D">
        <w:rPr>
          <w:rFonts w:ascii="Palatino Linotype" w:hAnsi="Palatino Linotype" w:eastAsia="Palatino Linotype" w:cs="Times New Roman"/>
          <w:kern w:val="0"/>
          <w14:ligatures w14:val="none"/>
        </w:rPr>
        <w:t>u</w:t>
      </w:r>
      <w:r w:rsidR="009F1002">
        <w:rPr>
          <w:rFonts w:ascii="Palatino Linotype" w:hAnsi="Palatino Linotype" w:eastAsia="Palatino Linotype" w:cs="Times New Roman"/>
          <w:kern w:val="0"/>
          <w14:ligatures w14:val="none"/>
        </w:rPr>
        <w:t xml:space="preserve">s should not be included </w:t>
      </w:r>
      <w:r w:rsidR="0040576D">
        <w:rPr>
          <w:rFonts w:ascii="Palatino Linotype" w:hAnsi="Palatino Linotype" w:eastAsia="Palatino Linotype" w:cs="Times New Roman"/>
          <w:kern w:val="0"/>
          <w14:ligatures w14:val="none"/>
        </w:rPr>
        <w:t>in the binding cost cap</w:t>
      </w:r>
      <w:r w:rsidRPr="00B36B2C">
        <w:rPr>
          <w:rFonts w:ascii="Palatino Linotype" w:hAnsi="Palatino Linotype" w:eastAsia="Palatino Linotype" w:cs="Times New Roman"/>
          <w:kern w:val="0"/>
          <w14:ligatures w14:val="none"/>
        </w:rPr>
        <w:t xml:space="preserve">. This requirement ensures the binding cost estimate operates as a meaningful cap on refundable </w:t>
      </w:r>
      <w:r w:rsidR="0040576D">
        <w:rPr>
          <w:rFonts w:ascii="Palatino Linotype" w:hAnsi="Palatino Linotype" w:eastAsia="Palatino Linotype" w:cs="Times New Roman"/>
          <w:kern w:val="0"/>
          <w14:ligatures w14:val="none"/>
        </w:rPr>
        <w:t>Applicant Work</w:t>
      </w:r>
      <w:r w:rsidRPr="00B36B2C">
        <w:rPr>
          <w:rFonts w:ascii="Palatino Linotype" w:hAnsi="Palatino Linotype" w:eastAsia="Palatino Linotype" w:cs="Times New Roman"/>
          <w:kern w:val="0"/>
          <w14:ligatures w14:val="none"/>
        </w:rPr>
        <w:t xml:space="preserve"> and prevents the customer from receiving refunds for costs already accounted for through PG&amp;E’s separate </w:t>
      </w:r>
      <w:r w:rsidR="00F4244D">
        <w:rPr>
          <w:rFonts w:ascii="Palatino Linotype" w:hAnsi="Palatino Linotype" w:eastAsia="Palatino Linotype" w:cs="Times New Roman"/>
          <w:kern w:val="0"/>
          <w14:ligatures w14:val="none"/>
        </w:rPr>
        <w:t xml:space="preserve">accounting of its own </w:t>
      </w:r>
      <w:r w:rsidRPr="00B36B2C">
        <w:rPr>
          <w:rFonts w:ascii="Palatino Linotype" w:hAnsi="Palatino Linotype" w:eastAsia="Palatino Linotype" w:cs="Times New Roman"/>
          <w:kern w:val="0"/>
          <w14:ligatures w14:val="none"/>
        </w:rPr>
        <w:t>oversight and supplemental costs.</w:t>
      </w:r>
    </w:p>
    <w:p w:rsidRPr="00B36B2C" w:rsidR="004D46CE" w:rsidP="00B36B2C" w:rsidRDefault="004D46CE" w14:paraId="2CA6532A" w14:textId="77777777">
      <w:pPr>
        <w:spacing w:after="0" w:line="240" w:lineRule="auto"/>
        <w:contextualSpacing/>
        <w:rPr>
          <w:rFonts w:ascii="Palatino Linotype" w:hAnsi="Palatino Linotype" w:eastAsia="Palatino Linotype" w:cs="Times New Roman"/>
          <w:kern w:val="0"/>
          <w14:ligatures w14:val="none"/>
        </w:rPr>
      </w:pPr>
    </w:p>
    <w:p w:rsidR="00B36B2C" w:rsidP="00B36B2C" w:rsidRDefault="007B1A23" w14:paraId="695A135A" w14:textId="411B68C1">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I</w:t>
      </w:r>
      <w:r w:rsidRPr="00B36B2C" w:rsidR="00B36B2C">
        <w:rPr>
          <w:rFonts w:ascii="Palatino Linotype" w:hAnsi="Palatino Linotype" w:eastAsia="Palatino Linotype" w:cs="Times New Roman"/>
          <w:kern w:val="0"/>
          <w14:ligatures w14:val="none"/>
        </w:rPr>
        <w:t xml:space="preserve">n the information-only Tier 1 </w:t>
      </w:r>
      <w:r>
        <w:rPr>
          <w:rFonts w:ascii="Palatino Linotype" w:hAnsi="Palatino Linotype" w:eastAsia="Palatino Linotype" w:cs="Times New Roman"/>
          <w:kern w:val="0"/>
          <w14:ligatures w14:val="none"/>
        </w:rPr>
        <w:t xml:space="preserve">Advice Letter </w:t>
      </w:r>
      <w:r w:rsidR="007668AB">
        <w:rPr>
          <w:rFonts w:ascii="Palatino Linotype" w:hAnsi="Palatino Linotype" w:eastAsia="Palatino Linotype" w:cs="Times New Roman"/>
          <w:kern w:val="0"/>
          <w14:ligatures w14:val="none"/>
        </w:rPr>
        <w:t>that includes the binding cost cap</w:t>
      </w:r>
      <w:r w:rsidRPr="00B36B2C" w:rsidR="00B36B2C">
        <w:rPr>
          <w:rFonts w:ascii="Palatino Linotype" w:hAnsi="Palatino Linotype" w:eastAsia="Palatino Linotype" w:cs="Times New Roman"/>
          <w:kern w:val="0"/>
          <w14:ligatures w14:val="none"/>
        </w:rPr>
        <w:t>,</w:t>
      </w:r>
      <w:r w:rsidR="007668AB">
        <w:rPr>
          <w:rFonts w:ascii="Palatino Linotype" w:hAnsi="Palatino Linotype" w:eastAsia="Palatino Linotype" w:cs="Times New Roman"/>
          <w:kern w:val="0"/>
          <w14:ligatures w14:val="none"/>
        </w:rPr>
        <w:t xml:space="preserve"> PG&amp;E must describe the logic and </w:t>
      </w:r>
      <w:r w:rsidRPr="00B36B2C" w:rsidR="007668AB">
        <w:rPr>
          <w:rFonts w:ascii="Palatino Linotype" w:hAnsi="Palatino Linotype" w:eastAsia="Palatino Linotype" w:cs="Times New Roman"/>
          <w:kern w:val="0"/>
          <w14:ligatures w14:val="none"/>
        </w:rPr>
        <w:t xml:space="preserve">screening </w:t>
      </w:r>
      <w:r w:rsidR="007668AB">
        <w:rPr>
          <w:rFonts w:ascii="Palatino Linotype" w:hAnsi="Palatino Linotype" w:eastAsia="Palatino Linotype" w:cs="Times New Roman"/>
          <w:kern w:val="0"/>
          <w14:ligatures w14:val="none"/>
        </w:rPr>
        <w:t>process used</w:t>
      </w:r>
      <w:r w:rsidRPr="00B36B2C" w:rsidR="007668AB">
        <w:rPr>
          <w:rFonts w:ascii="Palatino Linotype" w:hAnsi="Palatino Linotype" w:eastAsia="Palatino Linotype" w:cs="Times New Roman"/>
          <w:kern w:val="0"/>
          <w14:ligatures w14:val="none"/>
        </w:rPr>
        <w:t xml:space="preserve"> to ensure the refundable binding cost estimate </w:t>
      </w:r>
      <w:r w:rsidR="00A331B9">
        <w:rPr>
          <w:rFonts w:ascii="Palatino Linotype" w:hAnsi="Palatino Linotype" w:eastAsia="Palatino Linotype" w:cs="Times New Roman"/>
          <w:kern w:val="0"/>
          <w14:ligatures w14:val="none"/>
        </w:rPr>
        <w:t xml:space="preserve">for Applicant Work </w:t>
      </w:r>
      <w:r w:rsidRPr="00B36B2C" w:rsidR="007668AB">
        <w:rPr>
          <w:rFonts w:ascii="Palatino Linotype" w:hAnsi="Palatino Linotype" w:eastAsia="Palatino Linotype" w:cs="Times New Roman"/>
          <w:kern w:val="0"/>
          <w14:ligatures w14:val="none"/>
        </w:rPr>
        <w:t xml:space="preserve">excludes any </w:t>
      </w:r>
      <w:r w:rsidR="007668AB">
        <w:rPr>
          <w:rFonts w:ascii="Palatino Linotype" w:hAnsi="Palatino Linotype" w:eastAsia="Palatino Linotype" w:cs="Times New Roman"/>
          <w:kern w:val="0"/>
          <w14:ligatures w14:val="none"/>
        </w:rPr>
        <w:t xml:space="preserve">costs that </w:t>
      </w:r>
      <w:r w:rsidRPr="00B36B2C" w:rsidR="007668AB">
        <w:rPr>
          <w:rFonts w:ascii="Palatino Linotype" w:hAnsi="Palatino Linotype" w:eastAsia="Palatino Linotype" w:cs="Times New Roman"/>
          <w:kern w:val="0"/>
          <w14:ligatures w14:val="none"/>
        </w:rPr>
        <w:t>overlap</w:t>
      </w:r>
      <w:r w:rsidR="00EC2B9B">
        <w:rPr>
          <w:rFonts w:ascii="Palatino Linotype" w:hAnsi="Palatino Linotype" w:eastAsia="Palatino Linotype" w:cs="Times New Roman"/>
          <w:kern w:val="0"/>
          <w14:ligatures w14:val="none"/>
        </w:rPr>
        <w:t xml:space="preserve"> with </w:t>
      </w:r>
      <w:r w:rsidR="00A331B9">
        <w:rPr>
          <w:rFonts w:ascii="Palatino Linotype" w:hAnsi="Palatino Linotype" w:eastAsia="Palatino Linotype" w:cs="Times New Roman"/>
          <w:kern w:val="0"/>
          <w14:ligatures w14:val="none"/>
        </w:rPr>
        <w:t xml:space="preserve">the costs of </w:t>
      </w:r>
      <w:r w:rsidR="00EC2B9B">
        <w:rPr>
          <w:rFonts w:ascii="Palatino Linotype" w:hAnsi="Palatino Linotype" w:eastAsia="Palatino Linotype" w:cs="Times New Roman"/>
          <w:kern w:val="0"/>
          <w14:ligatures w14:val="none"/>
        </w:rPr>
        <w:t>PG&amp;E’s own</w:t>
      </w:r>
      <w:r w:rsidRPr="00B36B2C" w:rsidR="007668AB">
        <w:rPr>
          <w:rFonts w:ascii="Palatino Linotype" w:hAnsi="Palatino Linotype" w:eastAsia="Palatino Linotype" w:cs="Times New Roman"/>
          <w:kern w:val="0"/>
          <w14:ligatures w14:val="none"/>
        </w:rPr>
        <w:t xml:space="preserve"> </w:t>
      </w:r>
      <w:r w:rsidR="00A331B9">
        <w:rPr>
          <w:rFonts w:ascii="Palatino Linotype" w:hAnsi="Palatino Linotype" w:eastAsia="Palatino Linotype" w:cs="Times New Roman"/>
          <w:kern w:val="0"/>
          <w14:ligatures w14:val="none"/>
        </w:rPr>
        <w:t>work</w:t>
      </w:r>
      <w:r w:rsidR="00EC2B9B">
        <w:rPr>
          <w:rFonts w:ascii="Palatino Linotype" w:hAnsi="Palatino Linotype" w:eastAsia="Palatino Linotype" w:cs="Times New Roman"/>
          <w:kern w:val="0"/>
          <w14:ligatures w14:val="none"/>
        </w:rPr>
        <w:t xml:space="preserve">. </w:t>
      </w:r>
    </w:p>
    <w:p w:rsidRPr="00B36B2C" w:rsidR="008A32E7" w:rsidP="00B36B2C" w:rsidRDefault="008A32E7" w14:paraId="59C5A29D" w14:textId="77777777">
      <w:pPr>
        <w:spacing w:after="0" w:line="240" w:lineRule="auto"/>
        <w:contextualSpacing/>
        <w:rPr>
          <w:rFonts w:ascii="Palatino Linotype" w:hAnsi="Palatino Linotype" w:eastAsia="Palatino Linotype" w:cs="Times New Roman"/>
          <w:kern w:val="0"/>
          <w14:ligatures w14:val="none"/>
        </w:rPr>
      </w:pPr>
    </w:p>
    <w:p w:rsidR="00B36B2C" w:rsidP="00B36B2C" w:rsidRDefault="00B96A48" w14:paraId="3FA54900" w14:textId="074835AE">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W</w:t>
      </w:r>
      <w:r w:rsidRPr="00B36B2C" w:rsidR="00B36B2C">
        <w:rPr>
          <w:rFonts w:ascii="Palatino Linotype" w:hAnsi="Palatino Linotype" w:eastAsia="Palatino Linotype" w:cs="Times New Roman"/>
          <w:kern w:val="0"/>
          <w14:ligatures w14:val="none"/>
        </w:rPr>
        <w:t>e approve PG&amp;E’s recovery of reasonable oversight and supplemental costs in general, but require the binding cost estimate for refundable Standard Facilities to exclude overlapping items.</w:t>
      </w:r>
    </w:p>
    <w:p w:rsidRPr="00B36B2C" w:rsidR="008A32E7" w:rsidP="00B36B2C" w:rsidRDefault="008A32E7" w14:paraId="216869AB" w14:textId="77777777">
      <w:pPr>
        <w:spacing w:after="0" w:line="240" w:lineRule="auto"/>
        <w:contextualSpacing/>
        <w:rPr>
          <w:rFonts w:ascii="Palatino Linotype" w:hAnsi="Palatino Linotype" w:eastAsia="Palatino Linotype" w:cs="Times New Roman"/>
          <w:kern w:val="0"/>
          <w14:ligatures w14:val="none"/>
        </w:rPr>
      </w:pPr>
    </w:p>
    <w:p w:rsidRPr="008A32E7" w:rsidR="00B36B2C" w:rsidP="00B36B2C" w:rsidRDefault="00B36B2C" w14:paraId="42EE4EA8" w14:textId="1A3A880C">
      <w:pPr>
        <w:spacing w:after="0" w:line="240" w:lineRule="auto"/>
        <w:contextualSpacing/>
        <w:rPr>
          <w:rFonts w:ascii="Palatino Linotype" w:hAnsi="Palatino Linotype" w:eastAsia="Palatino Linotype" w:cs="Times New Roman"/>
          <w:b/>
          <w:bCs/>
          <w:kern w:val="0"/>
          <w14:ligatures w14:val="none"/>
        </w:rPr>
      </w:pPr>
      <w:r w:rsidRPr="008A32E7">
        <w:rPr>
          <w:rFonts w:ascii="Palatino Linotype" w:hAnsi="Palatino Linotype" w:eastAsia="Palatino Linotype" w:cs="Times New Roman"/>
          <w:b/>
          <w:bCs/>
          <w:kern w:val="0"/>
          <w14:ligatures w14:val="none"/>
        </w:rPr>
        <w:t>Interim Electric Rule 30 Is Not Required for This Disposition</w:t>
      </w:r>
    </w:p>
    <w:p w:rsidRPr="00B36B2C" w:rsidR="008A32E7" w:rsidP="00B36B2C" w:rsidRDefault="008A32E7" w14:paraId="5ECCD5B6" w14:textId="77777777">
      <w:pPr>
        <w:spacing w:after="0" w:line="240" w:lineRule="auto"/>
        <w:contextualSpacing/>
        <w:rPr>
          <w:rFonts w:ascii="Palatino Linotype" w:hAnsi="Palatino Linotype" w:eastAsia="Palatino Linotype" w:cs="Times New Roman"/>
          <w:kern w:val="0"/>
          <w14:ligatures w14:val="none"/>
        </w:rPr>
      </w:pPr>
    </w:p>
    <w:p w:rsidR="00B36B2C" w:rsidP="00B36B2C" w:rsidRDefault="008A03FB" w14:paraId="4B4C4BB6" w14:textId="3B6099C0">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In its protest, </w:t>
      </w:r>
      <w:r w:rsidRPr="00B36B2C" w:rsidR="00B36B2C">
        <w:rPr>
          <w:rFonts w:ascii="Palatino Linotype" w:hAnsi="Palatino Linotype" w:eastAsia="Palatino Linotype" w:cs="Times New Roman"/>
          <w:kern w:val="0"/>
          <w14:ligatures w14:val="none"/>
        </w:rPr>
        <w:t xml:space="preserve">Cal Advocates </w:t>
      </w:r>
      <w:r>
        <w:rPr>
          <w:rFonts w:ascii="Palatino Linotype" w:hAnsi="Palatino Linotype" w:eastAsia="Palatino Linotype" w:cs="Times New Roman"/>
          <w:kern w:val="0"/>
          <w14:ligatures w14:val="none"/>
        </w:rPr>
        <w:t>proposes</w:t>
      </w:r>
      <w:r w:rsidRPr="00B36B2C" w:rsidR="00B36B2C">
        <w:rPr>
          <w:rFonts w:ascii="Palatino Linotype" w:hAnsi="Palatino Linotype" w:eastAsia="Palatino Linotype" w:cs="Times New Roman"/>
          <w:kern w:val="0"/>
          <w14:ligatures w14:val="none"/>
        </w:rPr>
        <w:t xml:space="preserve"> that the Commission require PG&amp;E to resubmit this agreement under interim Electric Rule 30 implementation agreements</w:t>
      </w:r>
      <w:r>
        <w:rPr>
          <w:rFonts w:ascii="Palatino Linotype" w:hAnsi="Palatino Linotype" w:eastAsia="Palatino Linotype" w:cs="Times New Roman"/>
          <w:kern w:val="0"/>
          <w14:ligatures w14:val="none"/>
        </w:rPr>
        <w:t xml:space="preserve"> if we do not </w:t>
      </w:r>
      <w:r w:rsidR="00C9559A">
        <w:rPr>
          <w:rFonts w:ascii="Palatino Linotype" w:hAnsi="Palatino Linotype" w:eastAsia="Palatino Linotype" w:cs="Times New Roman"/>
          <w:kern w:val="0"/>
          <w14:ligatures w14:val="none"/>
        </w:rPr>
        <w:t>modify it to include additional ratepayer protections</w:t>
      </w:r>
      <w:r w:rsidRPr="00B36B2C" w:rsidR="00B36B2C">
        <w:rPr>
          <w:rFonts w:ascii="Palatino Linotype" w:hAnsi="Palatino Linotype" w:eastAsia="Palatino Linotype" w:cs="Times New Roman"/>
          <w:kern w:val="0"/>
          <w14:ligatures w14:val="none"/>
        </w:rPr>
        <w:t xml:space="preserve">. We decline to require interim Rule 30 implementation for this disposition because the record supports approving this exceptional case agreement under Electric Rules 2, 15, and 16 with targeted </w:t>
      </w:r>
      <w:r w:rsidRPr="00B36B2C" w:rsidR="00B36B2C">
        <w:rPr>
          <w:rFonts w:ascii="Palatino Linotype" w:hAnsi="Palatino Linotype" w:eastAsia="Palatino Linotype" w:cs="Times New Roman"/>
          <w:kern w:val="0"/>
          <w14:ligatures w14:val="none"/>
        </w:rPr>
        <w:lastRenderedPageBreak/>
        <w:t xml:space="preserve">modifications that address the principal ratepayer protection concerns raised in the protests while allowing the parties to proceed on the project schedule described in the </w:t>
      </w:r>
      <w:r w:rsidR="000B66A8">
        <w:rPr>
          <w:rFonts w:ascii="Palatino Linotype" w:hAnsi="Palatino Linotype" w:eastAsia="Palatino Linotype" w:cs="Times New Roman"/>
          <w:kern w:val="0"/>
          <w14:ligatures w14:val="none"/>
        </w:rPr>
        <w:t>Advice Letter</w:t>
      </w:r>
      <w:r w:rsidRPr="00B36B2C" w:rsidR="00B36B2C">
        <w:rPr>
          <w:rFonts w:ascii="Palatino Linotype" w:hAnsi="Palatino Linotype" w:eastAsia="Palatino Linotype" w:cs="Times New Roman"/>
          <w:kern w:val="0"/>
          <w14:ligatures w14:val="none"/>
        </w:rPr>
        <w:t xml:space="preserve">. The Commission’s </w:t>
      </w:r>
      <w:r w:rsidR="006956BE">
        <w:rPr>
          <w:rFonts w:ascii="Palatino Linotype" w:hAnsi="Palatino Linotype" w:eastAsia="Palatino Linotype" w:cs="Times New Roman"/>
          <w:kern w:val="0"/>
          <w14:ligatures w14:val="none"/>
        </w:rPr>
        <w:t xml:space="preserve">requirement that </w:t>
      </w:r>
      <w:r w:rsidR="0019365A">
        <w:rPr>
          <w:rFonts w:ascii="Palatino Linotype" w:hAnsi="Palatino Linotype" w:eastAsia="Palatino Linotype" w:cs="Times New Roman"/>
          <w:kern w:val="0"/>
          <w14:ligatures w14:val="none"/>
        </w:rPr>
        <w:t xml:space="preserve">the costs of associated transmission network upgrades are handled according to the outcome in the Rule 30 proceeding </w:t>
      </w:r>
      <w:r w:rsidR="00602476">
        <w:rPr>
          <w:rFonts w:ascii="Palatino Linotype" w:hAnsi="Palatino Linotype" w:eastAsia="Palatino Linotype" w:cs="Times New Roman"/>
          <w:kern w:val="0"/>
          <w14:ligatures w14:val="none"/>
        </w:rPr>
        <w:t xml:space="preserve">and </w:t>
      </w:r>
      <w:r w:rsidRPr="00B36B2C" w:rsidR="00B36B2C">
        <w:rPr>
          <w:rFonts w:ascii="Palatino Linotype" w:hAnsi="Palatino Linotype" w:eastAsia="Palatino Linotype" w:cs="Times New Roman"/>
          <w:kern w:val="0"/>
          <w14:ligatures w14:val="none"/>
        </w:rPr>
        <w:t>limit</w:t>
      </w:r>
      <w:r w:rsidR="0019365A">
        <w:rPr>
          <w:rFonts w:ascii="Palatino Linotype" w:hAnsi="Palatino Linotype" w:eastAsia="Palatino Linotype" w:cs="Times New Roman"/>
          <w:kern w:val="0"/>
          <w14:ligatures w14:val="none"/>
        </w:rPr>
        <w:t>ation of</w:t>
      </w:r>
      <w:r w:rsidR="00602476">
        <w:rPr>
          <w:rFonts w:ascii="Palatino Linotype" w:hAnsi="Palatino Linotype" w:eastAsia="Palatino Linotype" w:cs="Times New Roman"/>
          <w:kern w:val="0"/>
          <w14:ligatures w14:val="none"/>
        </w:rPr>
        <w:t xml:space="preserve"> refunds to annual net revenues</w:t>
      </w:r>
      <w:r w:rsidR="00684A2A">
        <w:rPr>
          <w:rFonts w:ascii="Palatino Linotype" w:hAnsi="Palatino Linotype" w:eastAsia="Palatino Linotype" w:cs="Times New Roman"/>
          <w:kern w:val="0"/>
          <w14:ligatures w14:val="none"/>
        </w:rPr>
        <w:t>, as well as</w:t>
      </w:r>
      <w:r w:rsidRPr="00B36B2C" w:rsidR="00B36B2C">
        <w:rPr>
          <w:rFonts w:ascii="Palatino Linotype" w:hAnsi="Palatino Linotype" w:eastAsia="Palatino Linotype" w:cs="Times New Roman"/>
          <w:kern w:val="0"/>
          <w14:ligatures w14:val="none"/>
        </w:rPr>
        <w:t xml:space="preserve"> the binding cost estimate clarifications and reporting requirements</w:t>
      </w:r>
      <w:r w:rsidR="00684A2A">
        <w:rPr>
          <w:rFonts w:ascii="Palatino Linotype" w:hAnsi="Palatino Linotype" w:eastAsia="Palatino Linotype" w:cs="Times New Roman"/>
          <w:kern w:val="0"/>
          <w14:ligatures w14:val="none"/>
        </w:rPr>
        <w:t>,</w:t>
      </w:r>
      <w:r w:rsidRPr="00B36B2C" w:rsidR="00B36B2C">
        <w:rPr>
          <w:rFonts w:ascii="Palatino Linotype" w:hAnsi="Palatino Linotype" w:eastAsia="Palatino Linotype" w:cs="Times New Roman"/>
          <w:kern w:val="0"/>
          <w14:ligatures w14:val="none"/>
        </w:rPr>
        <w:t xml:space="preserve"> provide the specific protections needed for this exceptional case.</w:t>
      </w:r>
    </w:p>
    <w:p w:rsidRPr="00B36B2C" w:rsidR="008A32E7" w:rsidP="00B36B2C" w:rsidRDefault="008A32E7" w14:paraId="0327C983" w14:textId="77777777">
      <w:pPr>
        <w:spacing w:after="0" w:line="240" w:lineRule="auto"/>
        <w:contextualSpacing/>
        <w:rPr>
          <w:rFonts w:ascii="Palatino Linotype" w:hAnsi="Palatino Linotype" w:eastAsia="Palatino Linotype" w:cs="Times New Roman"/>
          <w:kern w:val="0"/>
          <w14:ligatures w14:val="none"/>
        </w:rPr>
      </w:pPr>
    </w:p>
    <w:p w:rsidR="00B36B2C" w:rsidP="00B36B2C" w:rsidRDefault="00B36B2C" w14:paraId="4901664D" w14:textId="77777777">
      <w:pPr>
        <w:spacing w:after="0" w:line="240" w:lineRule="auto"/>
        <w:contextualSpacing/>
        <w:rPr>
          <w:rFonts w:ascii="Palatino Linotype" w:hAnsi="Palatino Linotype" w:eastAsia="Palatino Linotype" w:cs="Times New Roman"/>
          <w:kern w:val="0"/>
          <w14:ligatures w14:val="none"/>
        </w:rPr>
      </w:pPr>
      <w:r w:rsidRPr="00B36B2C">
        <w:rPr>
          <w:rFonts w:ascii="Palatino Linotype" w:hAnsi="Palatino Linotype" w:eastAsia="Palatino Linotype" w:cs="Times New Roman"/>
          <w:kern w:val="0"/>
          <w14:ligatures w14:val="none"/>
        </w:rPr>
        <w:t>This disposition is without prejudice to any broader Commission determinations regarding Electric Rule 30 and transmission-level energization agreements in other proceedings or future policy actions. Nothing in this Resolution should be construed as limiting the Commission’s ability to adopt different or additional requirements for future agreements through the appropriate procedural vehicle.</w:t>
      </w:r>
    </w:p>
    <w:p w:rsidRPr="00B36B2C" w:rsidR="008A32E7" w:rsidP="00B36B2C" w:rsidRDefault="008A32E7" w14:paraId="13A38921" w14:textId="77777777">
      <w:pPr>
        <w:spacing w:after="0" w:line="240" w:lineRule="auto"/>
        <w:contextualSpacing/>
        <w:rPr>
          <w:rFonts w:ascii="Palatino Linotype" w:hAnsi="Palatino Linotype" w:eastAsia="Palatino Linotype" w:cs="Times New Roman"/>
          <w:kern w:val="0"/>
          <w14:ligatures w14:val="none"/>
        </w:rPr>
      </w:pPr>
    </w:p>
    <w:p w:rsidRPr="008A32E7" w:rsidR="00B36B2C" w:rsidP="00B36B2C" w:rsidRDefault="00B36B2C" w14:paraId="55BE6200" w14:textId="63216932">
      <w:pPr>
        <w:spacing w:after="0" w:line="240" w:lineRule="auto"/>
        <w:contextualSpacing/>
        <w:rPr>
          <w:rFonts w:ascii="Palatino Linotype" w:hAnsi="Palatino Linotype" w:eastAsia="Palatino Linotype" w:cs="Times New Roman"/>
          <w:b/>
          <w:bCs/>
          <w:kern w:val="0"/>
          <w14:ligatures w14:val="none"/>
        </w:rPr>
      </w:pPr>
      <w:r w:rsidRPr="008A32E7">
        <w:rPr>
          <w:rFonts w:ascii="Palatino Linotype" w:hAnsi="Palatino Linotype" w:eastAsia="Palatino Linotype" w:cs="Times New Roman"/>
          <w:b/>
          <w:bCs/>
          <w:kern w:val="0"/>
          <w14:ligatures w14:val="none"/>
        </w:rPr>
        <w:t>Imel’s Protest Is Dismissed</w:t>
      </w:r>
    </w:p>
    <w:p w:rsidRPr="00B36B2C" w:rsidR="008A32E7" w:rsidP="00B36B2C" w:rsidRDefault="008A32E7" w14:paraId="5157B1F6" w14:textId="77777777">
      <w:pPr>
        <w:spacing w:after="0" w:line="240" w:lineRule="auto"/>
        <w:contextualSpacing/>
        <w:rPr>
          <w:rFonts w:ascii="Palatino Linotype" w:hAnsi="Palatino Linotype" w:eastAsia="Palatino Linotype" w:cs="Times New Roman"/>
          <w:kern w:val="0"/>
          <w14:ligatures w14:val="none"/>
        </w:rPr>
      </w:pPr>
    </w:p>
    <w:p w:rsidR="00B36B2C" w:rsidP="00B36B2C" w:rsidRDefault="00C9559A" w14:paraId="03C28587" w14:textId="6D79CA00">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In its protest, </w:t>
      </w:r>
      <w:r w:rsidRPr="00B36B2C" w:rsidR="00B36B2C">
        <w:rPr>
          <w:rFonts w:ascii="Palatino Linotype" w:hAnsi="Palatino Linotype" w:eastAsia="Palatino Linotype" w:cs="Times New Roman"/>
          <w:kern w:val="0"/>
          <w14:ligatures w14:val="none"/>
        </w:rPr>
        <w:t>Imel requests that PG&amp;E provide a redacted version of the agreement and additional public detail regarding technical specifications, costs, and potential betterment. PG&amp;E responds that the agreement is confidential and proprietary and may include sensitive infrastructure information, and that the Commission can review necessary details confidentially.</w:t>
      </w:r>
    </w:p>
    <w:p w:rsidRPr="00B36B2C" w:rsidR="008A32E7" w:rsidP="00B36B2C" w:rsidRDefault="008A32E7" w14:paraId="072E7E6E" w14:textId="77777777">
      <w:pPr>
        <w:spacing w:after="0" w:line="240" w:lineRule="auto"/>
        <w:contextualSpacing/>
        <w:rPr>
          <w:rFonts w:ascii="Palatino Linotype" w:hAnsi="Palatino Linotype" w:eastAsia="Palatino Linotype" w:cs="Times New Roman"/>
          <w:kern w:val="0"/>
          <w14:ligatures w14:val="none"/>
        </w:rPr>
      </w:pPr>
    </w:p>
    <w:p w:rsidR="00B36B2C" w:rsidP="00B36B2C" w:rsidRDefault="00B36B2C" w14:paraId="58893241" w14:textId="762CB574">
      <w:pPr>
        <w:spacing w:after="0" w:line="240" w:lineRule="auto"/>
        <w:contextualSpacing/>
        <w:rPr>
          <w:rFonts w:ascii="Palatino Linotype" w:hAnsi="Palatino Linotype" w:eastAsia="Palatino Linotype" w:cs="Times New Roman"/>
          <w:kern w:val="0"/>
          <w14:ligatures w14:val="none"/>
        </w:rPr>
      </w:pPr>
      <w:r w:rsidRPr="00B36B2C">
        <w:rPr>
          <w:rFonts w:ascii="Palatino Linotype" w:hAnsi="Palatino Linotype" w:eastAsia="Palatino Linotype" w:cs="Times New Roman"/>
          <w:kern w:val="0"/>
          <w14:ligatures w14:val="none"/>
        </w:rPr>
        <w:t xml:space="preserve">We </w:t>
      </w:r>
      <w:r w:rsidR="008A3D21">
        <w:rPr>
          <w:rFonts w:ascii="Palatino Linotype" w:hAnsi="Palatino Linotype" w:eastAsia="Palatino Linotype" w:cs="Times New Roman"/>
          <w:kern w:val="0"/>
          <w14:ligatures w14:val="none"/>
        </w:rPr>
        <w:t>do not agree with</w:t>
      </w:r>
      <w:r w:rsidRPr="00B36B2C">
        <w:rPr>
          <w:rFonts w:ascii="Palatino Linotype" w:hAnsi="Palatino Linotype" w:eastAsia="Palatino Linotype" w:cs="Times New Roman"/>
          <w:kern w:val="0"/>
          <w14:ligatures w14:val="none"/>
        </w:rPr>
        <w:t xml:space="preserve"> Imel’s </w:t>
      </w:r>
      <w:r w:rsidR="008A3D21">
        <w:rPr>
          <w:rFonts w:ascii="Palatino Linotype" w:hAnsi="Palatino Linotype" w:eastAsia="Palatino Linotype" w:cs="Times New Roman"/>
          <w:kern w:val="0"/>
          <w14:ligatures w14:val="none"/>
        </w:rPr>
        <w:t>request for</w:t>
      </w:r>
      <w:r w:rsidRPr="00B36B2C">
        <w:rPr>
          <w:rFonts w:ascii="Palatino Linotype" w:hAnsi="Palatino Linotype" w:eastAsia="Palatino Linotype" w:cs="Times New Roman"/>
          <w:kern w:val="0"/>
          <w14:ligatures w14:val="none"/>
        </w:rPr>
        <w:t xml:space="preserve"> public disclosure of confidential negotiated agreement provisions and associated technical and cost details. The agreement was submitted to the Commission as a confidential attachment</w:t>
      </w:r>
      <w:r w:rsidR="004427E6">
        <w:rPr>
          <w:rFonts w:ascii="Palatino Linotype" w:hAnsi="Palatino Linotype" w:eastAsia="Palatino Linotype" w:cs="Times New Roman"/>
          <w:kern w:val="0"/>
          <w14:ligatures w14:val="none"/>
        </w:rPr>
        <w:t xml:space="preserve"> in compliance with General Order 66-D</w:t>
      </w:r>
      <w:r w:rsidRPr="00B36B2C">
        <w:rPr>
          <w:rFonts w:ascii="Palatino Linotype" w:hAnsi="Palatino Linotype" w:eastAsia="Palatino Linotype" w:cs="Times New Roman"/>
          <w:kern w:val="0"/>
          <w14:ligatures w14:val="none"/>
        </w:rPr>
        <w:t xml:space="preserve">, and the Commission can review confidential materials as necessary to evaluate the reasonableness of the agreement and the modifications required by this Resolution. An </w:t>
      </w:r>
      <w:r w:rsidR="00E63257">
        <w:rPr>
          <w:rFonts w:ascii="Palatino Linotype" w:hAnsi="Palatino Linotype" w:eastAsia="Palatino Linotype" w:cs="Times New Roman"/>
          <w:kern w:val="0"/>
          <w14:ligatures w14:val="none"/>
        </w:rPr>
        <w:t>A</w:t>
      </w:r>
      <w:r w:rsidRPr="00B36B2C">
        <w:rPr>
          <w:rFonts w:ascii="Palatino Linotype" w:hAnsi="Palatino Linotype" w:eastAsia="Palatino Linotype" w:cs="Times New Roman"/>
          <w:kern w:val="0"/>
          <w14:ligatures w14:val="none"/>
        </w:rPr>
        <w:t xml:space="preserve">dvice </w:t>
      </w:r>
      <w:r w:rsidR="00E63257">
        <w:rPr>
          <w:rFonts w:ascii="Palatino Linotype" w:hAnsi="Palatino Linotype" w:eastAsia="Palatino Linotype" w:cs="Times New Roman"/>
          <w:kern w:val="0"/>
          <w14:ligatures w14:val="none"/>
        </w:rPr>
        <w:t>L</w:t>
      </w:r>
      <w:r w:rsidRPr="00B36B2C">
        <w:rPr>
          <w:rFonts w:ascii="Palatino Linotype" w:hAnsi="Palatino Linotype" w:eastAsia="Palatino Linotype" w:cs="Times New Roman"/>
          <w:kern w:val="0"/>
          <w14:ligatures w14:val="none"/>
        </w:rPr>
        <w:t>etter disposition is not a vehicle for compelling public disclosure of confidential commercial terms or sensitive infrastructure information. To the extent Imel raises broader policy concerns regarding transparency, comparability across agreements, or betterment concepts, those concerns are governed by existing tariff rules and are more appropriately addressed through the Commission’s broader policy proceedings, rather than as a condition of this exceptional case approval.</w:t>
      </w:r>
    </w:p>
    <w:p w:rsidRPr="00B36B2C" w:rsidR="008A32E7" w:rsidP="00B36B2C" w:rsidRDefault="008A32E7" w14:paraId="437A8CE0" w14:textId="77777777">
      <w:pPr>
        <w:spacing w:after="0" w:line="240" w:lineRule="auto"/>
        <w:contextualSpacing/>
        <w:rPr>
          <w:rFonts w:ascii="Palatino Linotype" w:hAnsi="Palatino Linotype" w:eastAsia="Palatino Linotype" w:cs="Times New Roman"/>
          <w:kern w:val="0"/>
          <w14:ligatures w14:val="none"/>
        </w:rPr>
      </w:pPr>
    </w:p>
    <w:p w:rsidRPr="001942D0" w:rsidR="00A76F4A" w:rsidP="00B36B2C" w:rsidRDefault="00B36B2C" w14:paraId="785FD15A" w14:textId="2259D9E2">
      <w:pPr>
        <w:spacing w:after="0" w:line="240" w:lineRule="auto"/>
        <w:contextualSpacing/>
        <w:rPr>
          <w:rFonts w:ascii="Palatino Linotype" w:hAnsi="Palatino Linotype" w:eastAsia="Palatino Linotype" w:cs="Times New Roman"/>
          <w:kern w:val="0"/>
          <w14:ligatures w14:val="none"/>
        </w:rPr>
      </w:pPr>
      <w:r w:rsidRPr="00B36B2C">
        <w:rPr>
          <w:rFonts w:ascii="Palatino Linotype" w:hAnsi="Palatino Linotype" w:eastAsia="Palatino Linotype" w:cs="Times New Roman"/>
          <w:kern w:val="0"/>
          <w14:ligatures w14:val="none"/>
        </w:rPr>
        <w:t>Accordingly, we dismiss Imel’s protest and approve AL 7785-E with the modifications described above.</w:t>
      </w:r>
    </w:p>
    <w:p w:rsidRPr="001942D0" w:rsidR="00A76F4A" w:rsidP="00A76F4A" w:rsidRDefault="00A76F4A" w14:paraId="0EEF68C7" w14:textId="77777777">
      <w:pPr>
        <w:spacing w:after="0" w:line="240" w:lineRule="auto"/>
        <w:contextualSpacing/>
        <w:rPr>
          <w:rFonts w:ascii="Palatino Linotype" w:hAnsi="Palatino Linotype" w:eastAsia="Palatino Linotype" w:cs="Times New Roman"/>
          <w:kern w:val="0"/>
          <w14:ligatures w14:val="none"/>
        </w:rPr>
      </w:pPr>
    </w:p>
    <w:p w:rsidRPr="001942D0" w:rsidR="00A76F4A" w:rsidP="00A76F4A" w:rsidRDefault="00A76F4A" w14:paraId="5B774C19"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Comments</w:t>
      </w:r>
    </w:p>
    <w:p w:rsidRPr="001942D0" w:rsidR="00A76F4A" w:rsidP="00A76F4A" w:rsidRDefault="00A76F4A" w14:paraId="5856CC6E" w14:textId="7777777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1942D0" w:rsidR="00A76F4A" w:rsidP="00A76F4A" w:rsidRDefault="00A76F4A" w14:paraId="14ED6F68"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73D79B48" w14:textId="2AA7E572">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The 30-day review and 20-day comment period for the draft of this </w:t>
      </w:r>
      <w:r w:rsidR="007709C9">
        <w:rPr>
          <w:rFonts w:ascii="Palatino Linotype" w:hAnsi="Palatino Linotype" w:eastAsia="Palatino Linotype" w:cs="Times New Roman"/>
          <w:kern w:val="0"/>
          <w14:ligatures w14:val="none"/>
        </w:rPr>
        <w:t>R</w:t>
      </w:r>
      <w:r w:rsidRPr="001942D0">
        <w:rPr>
          <w:rFonts w:ascii="Palatino Linotype" w:hAnsi="Palatino Linotype" w:eastAsia="Palatino Linotype" w:cs="Times New Roman"/>
          <w:kern w:val="0"/>
          <w14:ligatures w14:val="none"/>
        </w:rPr>
        <w:t xml:space="preserve">esolution was neither waived nor reduced.  Accordingly, this draft </w:t>
      </w:r>
      <w:r w:rsidR="007709C9">
        <w:rPr>
          <w:rFonts w:ascii="Palatino Linotype" w:hAnsi="Palatino Linotype" w:eastAsia="Palatino Linotype" w:cs="Times New Roman"/>
          <w:kern w:val="0"/>
          <w14:ligatures w14:val="none"/>
        </w:rPr>
        <w:t>R</w:t>
      </w:r>
      <w:r w:rsidRPr="001942D0">
        <w:rPr>
          <w:rFonts w:ascii="Palatino Linotype" w:hAnsi="Palatino Linotype" w:eastAsia="Palatino Linotype" w:cs="Times New Roman"/>
          <w:kern w:val="0"/>
          <w14:ligatures w14:val="none"/>
        </w:rPr>
        <w:t>esolution was mailed to parties for comments, and will be placed on the Commission's agenda no earlier than 30 days from today.</w:t>
      </w:r>
    </w:p>
    <w:p w:rsidRPr="001942D0" w:rsidR="00A76F4A" w:rsidP="00A76F4A" w:rsidRDefault="00A76F4A" w14:paraId="316D0355"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46563B5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Findings</w:t>
      </w:r>
      <w:r>
        <w:rPr>
          <w:rFonts w:ascii="Palatino Linotype" w:hAnsi="Palatino Linotype" w:eastAsia="Palatino Linotype" w:cs="Times New Roman"/>
          <w:b/>
          <w:caps/>
          <w:kern w:val="28"/>
          <w:u w:val="single"/>
          <w14:ligatures w14:val="none"/>
        </w:rPr>
        <w:t xml:space="preserve"> AND CONCLUSIONS</w:t>
      </w:r>
    </w:p>
    <w:p w:rsidRPr="00DB2C1C" w:rsidR="00DB2C1C" w:rsidP="00BB5FE9" w:rsidRDefault="00DB2C1C" w14:paraId="3DAD6A01" w14:textId="77777777">
      <w:pPr>
        <w:pStyle w:val="ListParagraph"/>
        <w:numPr>
          <w:ilvl w:val="0"/>
          <w:numId w:val="7"/>
        </w:numPr>
        <w:spacing w:after="120" w:line="240" w:lineRule="auto"/>
        <w:contextualSpacing w:val="0"/>
        <w:rPr>
          <w:rFonts w:ascii="Palatino Linotype" w:hAnsi="Palatino Linotype" w:eastAsia="Palatino Linotype" w:cs="Times New Roman"/>
          <w:kern w:val="0"/>
          <w14:ligatures w14:val="none"/>
        </w:rPr>
      </w:pPr>
      <w:r w:rsidRPr="00DB2C1C">
        <w:rPr>
          <w:rFonts w:ascii="Palatino Linotype" w:hAnsi="Palatino Linotype" w:eastAsia="Palatino Linotype" w:cs="Times New Roman"/>
          <w:kern w:val="0"/>
          <w14:ligatures w14:val="none"/>
        </w:rPr>
        <w:t>PG&amp;E filed Advice Letter (AL) 7785-E on December 18, 2025, requesting Commission approval of an agreement with Google LLC (Google) to energize a new 250 megawatt (MW) transmission-level retail electric load at 230 kilovolts (kV) in San Jose, California.</w:t>
      </w:r>
    </w:p>
    <w:p w:rsidRPr="00DB2C1C" w:rsidR="00DB2C1C" w:rsidP="00BB5FE9" w:rsidRDefault="00DB2C1C" w14:paraId="203BE02B" w14:textId="65E2060C">
      <w:pPr>
        <w:pStyle w:val="ListParagraph"/>
        <w:numPr>
          <w:ilvl w:val="0"/>
          <w:numId w:val="7"/>
        </w:numPr>
        <w:spacing w:after="120" w:line="240" w:lineRule="auto"/>
        <w:contextualSpacing w:val="0"/>
        <w:rPr>
          <w:rFonts w:ascii="Palatino Linotype" w:hAnsi="Palatino Linotype" w:eastAsia="Palatino Linotype" w:cs="Times New Roman"/>
          <w:kern w:val="0"/>
          <w14:ligatures w14:val="none"/>
        </w:rPr>
      </w:pPr>
      <w:r w:rsidRPr="00DB2C1C">
        <w:rPr>
          <w:rFonts w:ascii="Palatino Linotype" w:hAnsi="Palatino Linotype" w:eastAsia="Palatino Linotype" w:cs="Times New Roman"/>
          <w:kern w:val="0"/>
          <w14:ligatures w14:val="none"/>
        </w:rPr>
        <w:t>It is reasonable to approve AL 7785-E with modifications to provide additional ratepayer protection</w:t>
      </w:r>
      <w:r w:rsidR="000B21E4">
        <w:rPr>
          <w:rFonts w:ascii="Palatino Linotype" w:hAnsi="Palatino Linotype" w:eastAsia="Palatino Linotype" w:cs="Times New Roman"/>
          <w:kern w:val="0"/>
          <w14:ligatures w14:val="none"/>
        </w:rPr>
        <w:t>s</w:t>
      </w:r>
      <w:r w:rsidRPr="00DB2C1C">
        <w:rPr>
          <w:rFonts w:ascii="Palatino Linotype" w:hAnsi="Palatino Linotype" w:eastAsia="Palatino Linotype" w:cs="Times New Roman"/>
          <w:kern w:val="0"/>
          <w14:ligatures w14:val="none"/>
        </w:rPr>
        <w:t xml:space="preserve"> for transmission-level energization of a very large load.</w:t>
      </w:r>
    </w:p>
    <w:p w:rsidRPr="00831C64" w:rsidR="00AD74F2" w:rsidP="00BB5FE9" w:rsidRDefault="00AD74F2" w14:paraId="4D4EFD9D" w14:textId="77777777">
      <w:pPr>
        <w:numPr>
          <w:ilvl w:val="0"/>
          <w:numId w:val="7"/>
        </w:numPr>
        <w:spacing w:after="120" w:line="240" w:lineRule="auto"/>
        <w:rPr>
          <w:rFonts w:ascii="Palatino Linotype" w:hAnsi="Palatino Linotype" w:eastAsia="Palatino Linotype" w:cs="Times New Roman"/>
          <w:kern w:val="0"/>
          <w14:ligatures w14:val="none"/>
        </w:rPr>
      </w:pPr>
      <w:r>
        <w:rPr>
          <w:rFonts w:ascii="Palatino Linotype" w:hAnsi="Palatino Linotype" w:eastAsia="Aptos" w:cs="Times New Roman"/>
        </w:rPr>
        <w:t>The scale of required upgrades for large load customers seeking transmission-level energization is much larger than would be typical for a distribution-level customer, and these customers present novel risks of substantial stranded costs.</w:t>
      </w:r>
    </w:p>
    <w:p w:rsidRPr="00280E65" w:rsidR="00462CA3" w:rsidP="00BB5FE9" w:rsidRDefault="00462CA3" w14:paraId="1D15A054" w14:textId="4BC6AD22">
      <w:pPr>
        <w:numPr>
          <w:ilvl w:val="0"/>
          <w:numId w:val="7"/>
        </w:numPr>
        <w:spacing w:after="120" w:line="240" w:lineRule="auto"/>
        <w:rPr>
          <w:rFonts w:ascii="Palatino Linotype" w:hAnsi="Palatino Linotype" w:eastAsia="Palatino Linotype" w:cs="Times New Roman"/>
          <w:kern w:val="0"/>
          <w14:ligatures w14:val="none"/>
        </w:rPr>
      </w:pPr>
      <w:r>
        <w:rPr>
          <w:rFonts w:ascii="Palatino Linotype" w:hAnsi="Palatino Linotype" w:eastAsia="Aptos" w:cs="Times New Roman"/>
        </w:rPr>
        <w:t xml:space="preserve">Like all customers, </w:t>
      </w:r>
      <w:r w:rsidR="009A0CDD">
        <w:rPr>
          <w:rFonts w:ascii="Palatino Linotype" w:hAnsi="Palatino Linotype" w:eastAsia="Aptos" w:cs="Times New Roman"/>
        </w:rPr>
        <w:t>Google</w:t>
      </w:r>
      <w:r>
        <w:rPr>
          <w:rFonts w:ascii="Palatino Linotype" w:hAnsi="Palatino Linotype" w:eastAsia="Aptos" w:cs="Times New Roman"/>
        </w:rPr>
        <w:t xml:space="preserve"> relies on the continued operation and maintenance of existing transmission infrastructure. </w:t>
      </w:r>
    </w:p>
    <w:p w:rsidR="00B46903" w:rsidP="00BB5FE9" w:rsidRDefault="00B46903" w14:paraId="0F451003" w14:textId="6344A2A6">
      <w:pPr>
        <w:numPr>
          <w:ilvl w:val="0"/>
          <w:numId w:val="7"/>
        </w:numPr>
        <w:spacing w:after="12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Under the proposed process for customer refunds, </w:t>
      </w:r>
      <w:r>
        <w:rPr>
          <w:rFonts w:ascii="Palatino Linotype" w:hAnsi="Palatino Linotype" w:eastAsia="Aptos" w:cs="Times New Roman"/>
        </w:rPr>
        <w:t xml:space="preserve">PG&amp;E could refund </w:t>
      </w:r>
      <w:r w:rsidR="009A0CDD">
        <w:rPr>
          <w:rFonts w:ascii="Palatino Linotype" w:hAnsi="Palatino Linotype" w:eastAsia="Aptos" w:cs="Times New Roman"/>
        </w:rPr>
        <w:t>Google</w:t>
      </w:r>
      <w:r>
        <w:rPr>
          <w:rFonts w:ascii="Palatino Linotype" w:hAnsi="Palatino Linotype" w:eastAsia="Aptos" w:cs="Times New Roman"/>
        </w:rPr>
        <w:t xml:space="preserve"> for the costs of energization well before net revenues from </w:t>
      </w:r>
      <w:r w:rsidR="009A0CDD">
        <w:rPr>
          <w:rFonts w:ascii="Palatino Linotype" w:hAnsi="Palatino Linotype" w:eastAsia="Aptos" w:cs="Times New Roman"/>
        </w:rPr>
        <w:t>Google</w:t>
      </w:r>
      <w:r>
        <w:rPr>
          <w:rFonts w:ascii="Palatino Linotype" w:hAnsi="Palatino Linotype" w:eastAsia="Aptos" w:cs="Times New Roman"/>
        </w:rPr>
        <w:t xml:space="preserve"> actually cover those costs</w:t>
      </w:r>
      <w:r>
        <w:rPr>
          <w:rFonts w:ascii="Palatino Linotype" w:hAnsi="Palatino Linotype" w:eastAsia="Palatino Linotype" w:cs="Times New Roman"/>
          <w:kern w:val="0"/>
          <w14:ligatures w14:val="none"/>
        </w:rPr>
        <w:t>.</w:t>
      </w:r>
    </w:p>
    <w:p w:rsidR="00F93855" w:rsidP="00BB5FE9" w:rsidRDefault="00F93855" w14:paraId="1BC0D2C4" w14:textId="1B45B426">
      <w:pPr>
        <w:numPr>
          <w:ilvl w:val="0"/>
          <w:numId w:val="7"/>
        </w:numPr>
        <w:spacing w:after="12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w:t>
      </w:r>
      <w:r w:rsidR="001316D3">
        <w:rPr>
          <w:rFonts w:ascii="Palatino Linotype" w:hAnsi="Palatino Linotype" w:eastAsia="Palatino Linotype" w:cs="Times New Roman"/>
          <w:kern w:val="0"/>
          <w14:ligatures w14:val="none"/>
        </w:rPr>
        <w:t xml:space="preserve">new </w:t>
      </w:r>
      <w:r w:rsidR="00167E2F">
        <w:rPr>
          <w:rFonts w:ascii="Palatino Linotype" w:hAnsi="Palatino Linotype" w:eastAsia="Palatino Linotype" w:cs="Times New Roman"/>
          <w:kern w:val="0"/>
          <w14:ligatures w14:val="none"/>
        </w:rPr>
        <w:t xml:space="preserve">250 MW </w:t>
      </w:r>
      <w:r w:rsidR="001316D3">
        <w:rPr>
          <w:rFonts w:ascii="Palatino Linotype" w:hAnsi="Palatino Linotype" w:eastAsia="Palatino Linotype" w:cs="Times New Roman"/>
          <w:kern w:val="0"/>
          <w14:ligatures w14:val="none"/>
        </w:rPr>
        <w:t>load would connect directly to</w:t>
      </w:r>
      <w:r w:rsidR="00E76558">
        <w:rPr>
          <w:rFonts w:ascii="Palatino Linotype" w:hAnsi="Palatino Linotype" w:eastAsia="Palatino Linotype" w:cs="Times New Roman"/>
          <w:kern w:val="0"/>
          <w14:ligatures w14:val="none"/>
        </w:rPr>
        <w:t xml:space="preserve"> and depend on</w:t>
      </w:r>
      <w:r w:rsidR="001316D3">
        <w:rPr>
          <w:rFonts w:ascii="Palatino Linotype" w:hAnsi="Palatino Linotype" w:eastAsia="Palatino Linotype" w:cs="Times New Roman"/>
          <w:kern w:val="0"/>
          <w14:ligatures w14:val="none"/>
        </w:rPr>
        <w:t xml:space="preserve"> the new Newark</w:t>
      </w:r>
      <w:r w:rsidR="00686221">
        <w:rPr>
          <w:rFonts w:ascii="Palatino Linotype" w:hAnsi="Palatino Linotype" w:eastAsia="Palatino Linotype" w:cs="Times New Roman"/>
          <w:kern w:val="0"/>
          <w14:ligatures w14:val="none"/>
        </w:rPr>
        <w:t xml:space="preserve">-NRS 230 kV transmission line, </w:t>
      </w:r>
      <w:r w:rsidR="00167E2F">
        <w:rPr>
          <w:rFonts w:ascii="Palatino Linotype" w:hAnsi="Palatino Linotype" w:eastAsia="Palatino Linotype" w:cs="Times New Roman"/>
          <w:kern w:val="0"/>
          <w14:ligatures w14:val="none"/>
        </w:rPr>
        <w:t>expected to be operational in 2028, representing a significant portion of that new line’s total capacity.</w:t>
      </w:r>
    </w:p>
    <w:p w:rsidR="0017555B" w:rsidP="00BB5FE9" w:rsidRDefault="00591DC9" w14:paraId="2AD4056D" w14:textId="693C97BB">
      <w:pPr>
        <w:numPr>
          <w:ilvl w:val="0"/>
          <w:numId w:val="7"/>
        </w:numPr>
        <w:spacing w:after="12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Determining an exact method to account for the </w:t>
      </w:r>
      <w:r w:rsidR="00B92335">
        <w:rPr>
          <w:rFonts w:ascii="Palatino Linotype" w:hAnsi="Palatino Linotype" w:eastAsia="Palatino Linotype" w:cs="Times New Roman"/>
          <w:kern w:val="0"/>
          <w14:ligatures w14:val="none"/>
        </w:rPr>
        <w:t>broad</w:t>
      </w:r>
      <w:r>
        <w:rPr>
          <w:rFonts w:ascii="Palatino Linotype" w:hAnsi="Palatino Linotype" w:eastAsia="Palatino Linotype" w:cs="Times New Roman"/>
          <w:kern w:val="0"/>
          <w14:ligatures w14:val="none"/>
        </w:rPr>
        <w:t>er transmission network costs via a Commission Resolution in response to an exceptional case filing is neither necessary nor reasonable.</w:t>
      </w:r>
    </w:p>
    <w:p w:rsidR="00BB63E2" w:rsidP="00BB5FE9" w:rsidRDefault="00ED246C" w14:paraId="06760F7D" w14:textId="5ED76221">
      <w:pPr>
        <w:numPr>
          <w:ilvl w:val="0"/>
          <w:numId w:val="7"/>
        </w:numPr>
        <w:spacing w:after="12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lastRenderedPageBreak/>
        <w:t xml:space="preserve">It is reasonable to require Google and PG&amp;E to agree to handle larger transmission network costs in a manner corresponding to the outcome of the </w:t>
      </w:r>
      <w:r w:rsidR="00345654">
        <w:rPr>
          <w:rFonts w:ascii="Palatino Linotype" w:hAnsi="Palatino Linotype" w:eastAsia="Palatino Linotype" w:cs="Times New Roman"/>
          <w:kern w:val="0"/>
          <w14:ligatures w14:val="none"/>
        </w:rPr>
        <w:t>Rule 30 proceeding</w:t>
      </w:r>
      <w:r>
        <w:rPr>
          <w:rFonts w:ascii="Palatino Linotype" w:hAnsi="Palatino Linotype" w:eastAsia="Palatino Linotype" w:cs="Times New Roman"/>
          <w:kern w:val="0"/>
          <w14:ligatures w14:val="none"/>
        </w:rPr>
        <w:t>.</w:t>
      </w:r>
      <w:r w:rsidR="00A55F1B">
        <w:rPr>
          <w:rFonts w:ascii="Palatino Linotype" w:hAnsi="Palatino Linotype" w:eastAsia="Palatino Linotype" w:cs="Times New Roman"/>
          <w:kern w:val="0"/>
          <w14:ligatures w14:val="none"/>
        </w:rPr>
        <w:t xml:space="preserve"> </w:t>
      </w:r>
    </w:p>
    <w:p w:rsidRPr="00A55F1B" w:rsidR="00A55F1B" w:rsidP="00125B0D" w:rsidRDefault="00A55F1B" w14:paraId="344692F7" w14:textId="2CE22BB3">
      <w:pPr>
        <w:pStyle w:val="ListParagraph"/>
        <w:numPr>
          <w:ilvl w:val="0"/>
          <w:numId w:val="7"/>
        </w:numPr>
        <w:spacing w:after="120" w:line="240" w:lineRule="auto"/>
        <w:contextualSpacing w:val="0"/>
        <w:rPr>
          <w:rFonts w:ascii="Palatino Linotype" w:hAnsi="Palatino Linotype" w:eastAsia="Palatino Linotype" w:cs="Times New Roman"/>
          <w:kern w:val="0"/>
          <w14:ligatures w14:val="none"/>
        </w:rPr>
      </w:pPr>
      <w:r w:rsidRPr="00A55F1B">
        <w:rPr>
          <w:rFonts w:ascii="Palatino Linotype" w:hAnsi="Palatino Linotype" w:eastAsia="Aptos" w:cs="Times New Roman"/>
        </w:rPr>
        <w:t xml:space="preserve">It is reasonable for PG&amp;E to submit </w:t>
      </w:r>
      <w:r>
        <w:rPr>
          <w:rFonts w:ascii="Palatino Linotype" w:hAnsi="Palatino Linotype" w:eastAsia="Aptos" w:cs="Times New Roman"/>
        </w:rPr>
        <w:t>an updated</w:t>
      </w:r>
      <w:r w:rsidRPr="00A55F1B">
        <w:rPr>
          <w:rFonts w:ascii="Palatino Linotype" w:hAnsi="Palatino Linotype" w:eastAsia="Aptos" w:cs="Times New Roman"/>
        </w:rPr>
        <w:t xml:space="preserve"> agreement</w:t>
      </w:r>
      <w:r w:rsidR="00E13D2C">
        <w:rPr>
          <w:rFonts w:ascii="Palatino Linotype" w:hAnsi="Palatino Linotype" w:eastAsia="Aptos" w:cs="Times New Roman"/>
        </w:rPr>
        <w:t xml:space="preserve"> </w:t>
      </w:r>
      <w:r w:rsidRPr="00A55F1B" w:rsidR="00E13D2C">
        <w:rPr>
          <w:rFonts w:ascii="Palatino Linotype" w:hAnsi="Palatino Linotype" w:eastAsia="Aptos" w:cs="Times New Roman"/>
        </w:rPr>
        <w:t xml:space="preserve">through a Tier </w:t>
      </w:r>
      <w:r w:rsidR="00E13D2C">
        <w:rPr>
          <w:rFonts w:ascii="Palatino Linotype" w:hAnsi="Palatino Linotype" w:eastAsia="Aptos" w:cs="Times New Roman"/>
        </w:rPr>
        <w:t>2</w:t>
      </w:r>
      <w:r w:rsidRPr="00A55F1B" w:rsidR="00E13D2C">
        <w:rPr>
          <w:rFonts w:ascii="Palatino Linotype" w:hAnsi="Palatino Linotype" w:eastAsia="Aptos" w:cs="Times New Roman"/>
        </w:rPr>
        <w:t xml:space="preserve"> Advice Letter</w:t>
      </w:r>
      <w:r w:rsidRPr="00A55F1B">
        <w:rPr>
          <w:rFonts w:ascii="Palatino Linotype" w:hAnsi="Palatino Linotype" w:eastAsia="Aptos" w:cs="Times New Roman"/>
        </w:rPr>
        <w:t xml:space="preserve"> </w:t>
      </w:r>
      <w:r w:rsidR="00460D36">
        <w:rPr>
          <w:rFonts w:ascii="Palatino Linotype" w:hAnsi="Palatino Linotype" w:eastAsia="Aptos" w:cs="Times New Roman"/>
        </w:rPr>
        <w:t>that</w:t>
      </w:r>
      <w:r w:rsidR="00416E24">
        <w:rPr>
          <w:rFonts w:ascii="Palatino Linotype" w:hAnsi="Palatino Linotype" w:eastAsia="Aptos" w:cs="Times New Roman"/>
        </w:rPr>
        <w:t xml:space="preserve"> modifies or adds provisions related to</w:t>
      </w:r>
      <w:r w:rsidR="001E75DC">
        <w:rPr>
          <w:rFonts w:ascii="Palatino Linotype" w:hAnsi="Palatino Linotype" w:eastAsia="Aptos" w:cs="Times New Roman"/>
        </w:rPr>
        <w:t xml:space="preserve"> larger transmission network </w:t>
      </w:r>
      <w:r w:rsidR="00416E24">
        <w:rPr>
          <w:rFonts w:ascii="Palatino Linotype" w:hAnsi="Palatino Linotype" w:eastAsia="Aptos" w:cs="Times New Roman"/>
        </w:rPr>
        <w:t xml:space="preserve">upgrade </w:t>
      </w:r>
      <w:r w:rsidR="001E75DC">
        <w:rPr>
          <w:rFonts w:ascii="Palatino Linotype" w:hAnsi="Palatino Linotype" w:eastAsia="Aptos" w:cs="Times New Roman"/>
        </w:rPr>
        <w:t>costs in a manner that</w:t>
      </w:r>
      <w:r>
        <w:rPr>
          <w:rFonts w:ascii="Palatino Linotype" w:hAnsi="Palatino Linotype" w:eastAsia="Aptos" w:cs="Times New Roman"/>
        </w:rPr>
        <w:t xml:space="preserve"> corresponds to the outcome of the Rule 30 proceeding</w:t>
      </w:r>
      <w:r w:rsidR="001E75DC">
        <w:rPr>
          <w:rFonts w:ascii="Palatino Linotype" w:hAnsi="Palatino Linotype" w:eastAsia="Aptos" w:cs="Times New Roman"/>
        </w:rPr>
        <w:t xml:space="preserve">, after </w:t>
      </w:r>
      <w:r w:rsidR="00E13D2C">
        <w:rPr>
          <w:rFonts w:ascii="Palatino Linotype" w:hAnsi="Palatino Linotype" w:eastAsia="Aptos" w:cs="Times New Roman"/>
        </w:rPr>
        <w:t>that outcome is established via a Decision</w:t>
      </w:r>
      <w:r w:rsidRPr="00A55F1B">
        <w:rPr>
          <w:rFonts w:ascii="Palatino Linotype" w:hAnsi="Palatino Linotype" w:eastAsia="Aptos" w:cs="Times New Roman"/>
        </w:rPr>
        <w:t>.</w:t>
      </w:r>
    </w:p>
    <w:p w:rsidRPr="00A55F1B" w:rsidR="00DB2C1C" w:rsidP="00125B0D" w:rsidRDefault="00DB2C1C" w14:paraId="6A48040E" w14:textId="0CD3CC05">
      <w:pPr>
        <w:pStyle w:val="ListParagraph"/>
        <w:numPr>
          <w:ilvl w:val="0"/>
          <w:numId w:val="7"/>
        </w:numPr>
        <w:spacing w:after="120" w:line="240" w:lineRule="auto"/>
        <w:contextualSpacing w:val="0"/>
        <w:rPr>
          <w:rFonts w:ascii="Palatino Linotype" w:hAnsi="Palatino Linotype" w:eastAsia="Palatino Linotype" w:cs="Times New Roman"/>
          <w:kern w:val="0"/>
          <w14:ligatures w14:val="none"/>
        </w:rPr>
      </w:pPr>
      <w:r w:rsidRPr="00A55F1B">
        <w:rPr>
          <w:rFonts w:ascii="Palatino Linotype" w:hAnsi="Palatino Linotype" w:eastAsia="Palatino Linotype" w:cs="Times New Roman"/>
          <w:kern w:val="0"/>
          <w14:ligatures w14:val="none"/>
        </w:rPr>
        <w:t xml:space="preserve">It is reasonable to require PG&amp;E to modify the refund methodology in this exceptional case to limit annual refunds of refundable energization-related costs to </w:t>
      </w:r>
      <w:r w:rsidRPr="00A55F1B" w:rsidR="00C2162B">
        <w:rPr>
          <w:rFonts w:ascii="Palatino Linotype" w:hAnsi="Palatino Linotype" w:eastAsia="Palatino Linotype" w:cs="Times New Roman"/>
          <w:kern w:val="0"/>
          <w14:ligatures w14:val="none"/>
        </w:rPr>
        <w:t>the</w:t>
      </w:r>
      <w:r w:rsidRPr="00A55F1B">
        <w:rPr>
          <w:rFonts w:ascii="Palatino Linotype" w:hAnsi="Palatino Linotype" w:eastAsia="Palatino Linotype" w:cs="Times New Roman"/>
          <w:kern w:val="0"/>
          <w14:ligatures w14:val="none"/>
        </w:rPr>
        <w:t xml:space="preserve"> annual net revenues actually received from Google.</w:t>
      </w:r>
    </w:p>
    <w:p w:rsidR="00DB2C1C" w:rsidP="00BB5FE9" w:rsidRDefault="00DB2C1C" w14:paraId="67D08186" w14:textId="3F68C2A3">
      <w:pPr>
        <w:pStyle w:val="ListParagraph"/>
        <w:numPr>
          <w:ilvl w:val="0"/>
          <w:numId w:val="7"/>
        </w:numPr>
        <w:spacing w:after="120" w:line="240" w:lineRule="auto"/>
        <w:contextualSpacing w:val="0"/>
        <w:rPr>
          <w:rFonts w:ascii="Palatino Linotype" w:hAnsi="Palatino Linotype" w:eastAsia="Palatino Linotype" w:cs="Times New Roman"/>
          <w:kern w:val="0"/>
          <w14:ligatures w14:val="none"/>
        </w:rPr>
      </w:pPr>
      <w:r w:rsidRPr="00DB2C1C">
        <w:rPr>
          <w:rFonts w:ascii="Palatino Linotype" w:hAnsi="Palatino Linotype" w:eastAsia="Palatino Linotype" w:cs="Times New Roman"/>
          <w:kern w:val="0"/>
          <w14:ligatures w14:val="none"/>
        </w:rPr>
        <w:t>It is reasonable to allow standard adjustments associated with the Income Tax Component of Contribution</w:t>
      </w:r>
      <w:r w:rsidR="00684A2A">
        <w:rPr>
          <w:rFonts w:ascii="Palatino Linotype" w:hAnsi="Palatino Linotype" w:eastAsia="Palatino Linotype" w:cs="Times New Roman"/>
          <w:kern w:val="0"/>
          <w14:ligatures w14:val="none"/>
        </w:rPr>
        <w:t xml:space="preserve"> (ITCC)</w:t>
      </w:r>
      <w:r w:rsidRPr="00DB2C1C">
        <w:rPr>
          <w:rFonts w:ascii="Palatino Linotype" w:hAnsi="Palatino Linotype" w:eastAsia="Palatino Linotype" w:cs="Times New Roman"/>
          <w:kern w:val="0"/>
          <w14:ligatures w14:val="none"/>
        </w:rPr>
        <w:t xml:space="preserve"> in implementing refunds and to extend the refund eligibility period from 10 years to 15 years so that the customer may still receive a full refund over time while annual refunds are paced to net revenues actually received.</w:t>
      </w:r>
    </w:p>
    <w:p w:rsidRPr="00457076" w:rsidR="00244183" w:rsidP="00BB5FE9" w:rsidRDefault="00457076" w14:paraId="0E33B741" w14:textId="5E9914EF">
      <w:pPr>
        <w:numPr>
          <w:ilvl w:val="0"/>
          <w:numId w:val="7"/>
        </w:numPr>
        <w:spacing w:after="120" w:line="240" w:lineRule="auto"/>
        <w:rPr>
          <w:rFonts w:ascii="Palatino Linotype" w:hAnsi="Palatino Linotype" w:eastAsia="Palatino Linotype" w:cs="Times New Roman"/>
          <w:kern w:val="0"/>
          <w14:ligatures w14:val="none"/>
        </w:rPr>
      </w:pPr>
      <w:r>
        <w:rPr>
          <w:rFonts w:ascii="Palatino Linotype" w:hAnsi="Palatino Linotype" w:eastAsia="Aptos" w:cs="Times New Roman"/>
        </w:rPr>
        <w:t>Given these modifications to the standard BARC process, it is also reasonable to disregard the customer</w:t>
      </w:r>
      <w:r w:rsidR="002B5BEE">
        <w:rPr>
          <w:rFonts w:ascii="Palatino Linotype" w:hAnsi="Palatino Linotype" w:eastAsia="Aptos" w:cs="Times New Roman"/>
        </w:rPr>
        <w:t>-</w:t>
      </w:r>
      <w:r>
        <w:rPr>
          <w:rFonts w:ascii="Palatino Linotype" w:hAnsi="Palatino Linotype" w:eastAsia="Aptos" w:cs="Times New Roman"/>
        </w:rPr>
        <w:t>financed cost of ownership in this case.</w:t>
      </w:r>
    </w:p>
    <w:p w:rsidRPr="00DB2C1C" w:rsidR="00DB2C1C" w:rsidP="00BB5FE9" w:rsidRDefault="00DB2C1C" w14:paraId="4505D5DC" w14:textId="140AFAE4">
      <w:pPr>
        <w:pStyle w:val="ListParagraph"/>
        <w:numPr>
          <w:ilvl w:val="0"/>
          <w:numId w:val="7"/>
        </w:numPr>
        <w:spacing w:after="120" w:line="240" w:lineRule="auto"/>
        <w:contextualSpacing w:val="0"/>
        <w:rPr>
          <w:rFonts w:ascii="Palatino Linotype" w:hAnsi="Palatino Linotype" w:eastAsia="Palatino Linotype" w:cs="Times New Roman"/>
          <w:kern w:val="0"/>
          <w14:ligatures w14:val="none"/>
        </w:rPr>
      </w:pPr>
      <w:r w:rsidRPr="00DB2C1C">
        <w:rPr>
          <w:rFonts w:ascii="Palatino Linotype" w:hAnsi="Palatino Linotype" w:eastAsia="Palatino Linotype" w:cs="Times New Roman"/>
          <w:kern w:val="0"/>
          <w14:ligatures w14:val="none"/>
        </w:rPr>
        <w:t xml:space="preserve">The proposed binding cost </w:t>
      </w:r>
      <w:r w:rsidR="00D826EB">
        <w:rPr>
          <w:rFonts w:ascii="Palatino Linotype" w:hAnsi="Palatino Linotype" w:eastAsia="Palatino Linotype" w:cs="Times New Roman"/>
          <w:kern w:val="0"/>
          <w14:ligatures w14:val="none"/>
        </w:rPr>
        <w:t>cap</w:t>
      </w:r>
      <w:r w:rsidRPr="00DB2C1C">
        <w:rPr>
          <w:rFonts w:ascii="Palatino Linotype" w:hAnsi="Palatino Linotype" w:eastAsia="Palatino Linotype" w:cs="Times New Roman"/>
          <w:kern w:val="0"/>
          <w14:ligatures w14:val="none"/>
        </w:rPr>
        <w:t xml:space="preserve"> framework</w:t>
      </w:r>
      <w:r w:rsidR="000C6C70">
        <w:rPr>
          <w:rFonts w:ascii="Palatino Linotype" w:hAnsi="Palatino Linotype" w:eastAsia="Palatino Linotype" w:cs="Times New Roman"/>
          <w:kern w:val="0"/>
          <w14:ligatures w14:val="none"/>
        </w:rPr>
        <w:t xml:space="preserve"> for </w:t>
      </w:r>
      <w:r w:rsidR="00D826EB">
        <w:rPr>
          <w:rFonts w:ascii="Palatino Linotype" w:hAnsi="Palatino Linotype" w:eastAsia="Palatino Linotype" w:cs="Times New Roman"/>
          <w:kern w:val="0"/>
          <w14:ligatures w14:val="none"/>
        </w:rPr>
        <w:t>the</w:t>
      </w:r>
      <w:r w:rsidR="008D2A91">
        <w:rPr>
          <w:rFonts w:ascii="Palatino Linotype" w:hAnsi="Palatino Linotype" w:eastAsia="Palatino Linotype" w:cs="Times New Roman"/>
          <w:kern w:val="0"/>
          <w14:ligatures w14:val="none"/>
        </w:rPr>
        <w:t xml:space="preserve"> costs associated with the</w:t>
      </w:r>
      <w:r w:rsidR="00D826EB">
        <w:rPr>
          <w:rFonts w:ascii="Palatino Linotype" w:hAnsi="Palatino Linotype" w:eastAsia="Palatino Linotype" w:cs="Times New Roman"/>
          <w:kern w:val="0"/>
          <w14:ligatures w14:val="none"/>
        </w:rPr>
        <w:t xml:space="preserve"> work completed by Google (Applicant Work)</w:t>
      </w:r>
      <w:r w:rsidR="000C6C70">
        <w:rPr>
          <w:rFonts w:ascii="Palatino Linotype" w:hAnsi="Palatino Linotype" w:eastAsia="Palatino Linotype" w:cs="Times New Roman"/>
          <w:kern w:val="0"/>
          <w14:ligatures w14:val="none"/>
        </w:rPr>
        <w:t xml:space="preserve"> </w:t>
      </w:r>
      <w:r w:rsidRPr="00DB2C1C">
        <w:rPr>
          <w:rFonts w:ascii="Palatino Linotype" w:hAnsi="Palatino Linotype" w:eastAsia="Palatino Linotype" w:cs="Times New Roman"/>
          <w:kern w:val="0"/>
          <w14:ligatures w14:val="none"/>
        </w:rPr>
        <w:t xml:space="preserve">can provide ratepayer protection, but requires clarifications and reporting to ensure </w:t>
      </w:r>
      <w:r w:rsidR="002B5BEE">
        <w:rPr>
          <w:rFonts w:ascii="Palatino Linotype" w:hAnsi="Palatino Linotype" w:eastAsia="Palatino Linotype" w:cs="Times New Roman"/>
          <w:kern w:val="0"/>
          <w14:ligatures w14:val="none"/>
        </w:rPr>
        <w:t xml:space="preserve">that </w:t>
      </w:r>
      <w:r w:rsidRPr="00DB2C1C">
        <w:rPr>
          <w:rFonts w:ascii="Palatino Linotype" w:hAnsi="Palatino Linotype" w:eastAsia="Palatino Linotype" w:cs="Times New Roman"/>
          <w:kern w:val="0"/>
          <w14:ligatures w14:val="none"/>
        </w:rPr>
        <w:t>the cap applies effectively and transparently to refundable costs.</w:t>
      </w:r>
    </w:p>
    <w:p w:rsidRPr="00DB2C1C" w:rsidR="00DB2C1C" w:rsidP="00BB5FE9" w:rsidRDefault="00555078" w14:paraId="0BEA2D25" w14:textId="6B378FB8">
      <w:pPr>
        <w:pStyle w:val="ListParagraph"/>
        <w:numPr>
          <w:ilvl w:val="0"/>
          <w:numId w:val="7"/>
        </w:numPr>
        <w:spacing w:after="120" w:line="240" w:lineRule="auto"/>
        <w:contextualSpacing w:val="0"/>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PG&amp;E</w:t>
      </w:r>
      <w:r w:rsidR="00847E7D">
        <w:rPr>
          <w:rFonts w:ascii="Palatino Linotype" w:hAnsi="Palatino Linotype" w:eastAsia="Palatino Linotype" w:cs="Times New Roman"/>
          <w:kern w:val="0"/>
          <w14:ligatures w14:val="none"/>
        </w:rPr>
        <w:t>’s proposed</w:t>
      </w:r>
      <w:r w:rsidRPr="00DB2C1C" w:rsidR="00DB2C1C">
        <w:rPr>
          <w:rFonts w:ascii="Palatino Linotype" w:hAnsi="Palatino Linotype" w:eastAsia="Palatino Linotype" w:cs="Times New Roman"/>
          <w:kern w:val="0"/>
          <w14:ligatures w14:val="none"/>
        </w:rPr>
        <w:t xml:space="preserve"> binding cost </w:t>
      </w:r>
      <w:r w:rsidR="00847E7D">
        <w:rPr>
          <w:rFonts w:ascii="Palatino Linotype" w:hAnsi="Palatino Linotype" w:eastAsia="Palatino Linotype" w:cs="Times New Roman"/>
          <w:kern w:val="0"/>
          <w14:ligatures w14:val="none"/>
        </w:rPr>
        <w:t>cap</w:t>
      </w:r>
      <w:r w:rsidRPr="00DB2C1C" w:rsidR="00DB2C1C">
        <w:rPr>
          <w:rFonts w:ascii="Palatino Linotype" w:hAnsi="Palatino Linotype" w:eastAsia="Palatino Linotype" w:cs="Times New Roman"/>
          <w:kern w:val="0"/>
          <w14:ligatures w14:val="none"/>
        </w:rPr>
        <w:t xml:space="preserve"> for </w:t>
      </w:r>
      <w:r w:rsidR="00847E7D">
        <w:rPr>
          <w:rFonts w:ascii="Palatino Linotype" w:hAnsi="Palatino Linotype" w:eastAsia="Palatino Linotype" w:cs="Times New Roman"/>
          <w:kern w:val="0"/>
          <w14:ligatures w14:val="none"/>
        </w:rPr>
        <w:t>Applicant Work</w:t>
      </w:r>
      <w:r w:rsidRPr="00DB2C1C" w:rsidR="00DB2C1C">
        <w:rPr>
          <w:rFonts w:ascii="Palatino Linotype" w:hAnsi="Palatino Linotype" w:eastAsia="Palatino Linotype" w:cs="Times New Roman"/>
          <w:kern w:val="0"/>
          <w14:ligatures w14:val="none"/>
        </w:rPr>
        <w:t xml:space="preserve"> include</w:t>
      </w:r>
      <w:r w:rsidR="00E03A0B">
        <w:rPr>
          <w:rFonts w:ascii="Palatino Linotype" w:hAnsi="Palatino Linotype" w:eastAsia="Palatino Linotype" w:cs="Times New Roman"/>
          <w:kern w:val="0"/>
          <w14:ligatures w14:val="none"/>
        </w:rPr>
        <w:t>s</w:t>
      </w:r>
      <w:r w:rsidRPr="00DB2C1C" w:rsidR="00DB2C1C">
        <w:rPr>
          <w:rFonts w:ascii="Palatino Linotype" w:hAnsi="Palatino Linotype" w:eastAsia="Palatino Linotype" w:cs="Times New Roman"/>
          <w:kern w:val="0"/>
          <w14:ligatures w14:val="none"/>
        </w:rPr>
        <w:t xml:space="preserve"> only one standard contingency </w:t>
      </w:r>
      <w:r w:rsidR="008F3642">
        <w:rPr>
          <w:rFonts w:ascii="Palatino Linotype" w:hAnsi="Palatino Linotype" w:eastAsia="Palatino Linotype" w:cs="Times New Roman"/>
          <w:kern w:val="0"/>
          <w14:ligatures w14:val="none"/>
        </w:rPr>
        <w:t>adjustment</w:t>
      </w:r>
      <w:r w:rsidR="00076A6C">
        <w:rPr>
          <w:rFonts w:ascii="Palatino Linotype" w:hAnsi="Palatino Linotype" w:eastAsia="Palatino Linotype" w:cs="Times New Roman"/>
          <w:kern w:val="0"/>
          <w14:ligatures w14:val="none"/>
        </w:rPr>
        <w:t>. In other words, under the proposed agreement</w:t>
      </w:r>
      <w:r w:rsidRPr="00DB2C1C" w:rsidR="00DB2C1C">
        <w:rPr>
          <w:rFonts w:ascii="Palatino Linotype" w:hAnsi="Palatino Linotype" w:eastAsia="Palatino Linotype" w:cs="Times New Roman"/>
          <w:kern w:val="0"/>
          <w14:ligatures w14:val="none"/>
        </w:rPr>
        <w:t xml:space="preserve"> the customer estimate used for the </w:t>
      </w:r>
      <w:r w:rsidR="00076A6C">
        <w:rPr>
          <w:rFonts w:ascii="Palatino Linotype" w:hAnsi="Palatino Linotype" w:eastAsia="Palatino Linotype" w:cs="Times New Roman"/>
          <w:kern w:val="0"/>
          <w14:ligatures w14:val="none"/>
        </w:rPr>
        <w:t xml:space="preserve">binding cost </w:t>
      </w:r>
      <w:r w:rsidRPr="00DB2C1C" w:rsidR="00DB2C1C">
        <w:rPr>
          <w:rFonts w:ascii="Palatino Linotype" w:hAnsi="Palatino Linotype" w:eastAsia="Palatino Linotype" w:cs="Times New Roman"/>
          <w:kern w:val="0"/>
          <w14:ligatures w14:val="none"/>
        </w:rPr>
        <w:t xml:space="preserve">cap </w:t>
      </w:r>
      <w:r w:rsidR="00076A6C">
        <w:rPr>
          <w:rFonts w:ascii="Palatino Linotype" w:hAnsi="Palatino Linotype" w:eastAsia="Palatino Linotype" w:cs="Times New Roman"/>
          <w:kern w:val="0"/>
          <w14:ligatures w14:val="none"/>
        </w:rPr>
        <w:t>cannot</w:t>
      </w:r>
      <w:r w:rsidRPr="00DB2C1C" w:rsidR="00DB2C1C">
        <w:rPr>
          <w:rFonts w:ascii="Palatino Linotype" w:hAnsi="Palatino Linotype" w:eastAsia="Palatino Linotype" w:cs="Times New Roman"/>
          <w:kern w:val="0"/>
          <w14:ligatures w14:val="none"/>
        </w:rPr>
        <w:t xml:space="preserve"> exceed PG&amp;E’s internal estimate for the same scope</w:t>
      </w:r>
      <w:r w:rsidR="00D35C0E">
        <w:rPr>
          <w:rFonts w:ascii="Palatino Linotype" w:hAnsi="Palatino Linotype" w:eastAsia="Palatino Linotype" w:cs="Times New Roman"/>
          <w:kern w:val="0"/>
          <w14:ligatures w14:val="none"/>
        </w:rPr>
        <w:t xml:space="preserve"> of work</w:t>
      </w:r>
      <w:r w:rsidRPr="00DB2C1C" w:rsidR="00DB2C1C">
        <w:rPr>
          <w:rFonts w:ascii="Palatino Linotype" w:hAnsi="Palatino Linotype" w:eastAsia="Palatino Linotype" w:cs="Times New Roman"/>
          <w:kern w:val="0"/>
          <w14:ligatures w14:val="none"/>
        </w:rPr>
        <w:t xml:space="preserve"> plus </w:t>
      </w:r>
      <w:r w:rsidR="00542F76">
        <w:rPr>
          <w:rFonts w:ascii="Palatino Linotype" w:hAnsi="Palatino Linotype" w:eastAsia="Palatino Linotype" w:cs="Times New Roman"/>
          <w:kern w:val="0"/>
          <w14:ligatures w14:val="none"/>
        </w:rPr>
        <w:t>this</w:t>
      </w:r>
      <w:r w:rsidRPr="00DB2C1C" w:rsidR="00DB2C1C">
        <w:rPr>
          <w:rFonts w:ascii="Palatino Linotype" w:hAnsi="Palatino Linotype" w:eastAsia="Palatino Linotype" w:cs="Times New Roman"/>
          <w:kern w:val="0"/>
          <w14:ligatures w14:val="none"/>
        </w:rPr>
        <w:t xml:space="preserve"> standard contingency amount.</w:t>
      </w:r>
    </w:p>
    <w:p w:rsidRPr="00DB2C1C" w:rsidR="00DB2C1C" w:rsidP="00BB5FE9" w:rsidRDefault="00DB2C1C" w14:paraId="31D29E36" w14:textId="329E9BEC">
      <w:pPr>
        <w:pStyle w:val="ListParagraph"/>
        <w:numPr>
          <w:ilvl w:val="0"/>
          <w:numId w:val="7"/>
        </w:numPr>
        <w:spacing w:after="120" w:line="240" w:lineRule="auto"/>
        <w:contextualSpacing w:val="0"/>
        <w:rPr>
          <w:rFonts w:ascii="Palatino Linotype" w:hAnsi="Palatino Linotype" w:eastAsia="Palatino Linotype" w:cs="Times New Roman"/>
          <w:kern w:val="0"/>
          <w14:ligatures w14:val="none"/>
        </w:rPr>
      </w:pPr>
      <w:r w:rsidRPr="00DB2C1C">
        <w:rPr>
          <w:rFonts w:ascii="Palatino Linotype" w:hAnsi="Palatino Linotype" w:eastAsia="Palatino Linotype" w:cs="Times New Roman"/>
          <w:kern w:val="0"/>
          <w14:ligatures w14:val="none"/>
        </w:rPr>
        <w:t xml:space="preserve">It is reasonable to require that refundable Standard Facilities costs be calculated and presented separately from non-refundable Special Facilities costs so that non-refundable costs do not inflate or obscure the binding cost cap </w:t>
      </w:r>
      <w:r w:rsidR="006A2EA0">
        <w:rPr>
          <w:rFonts w:ascii="Palatino Linotype" w:hAnsi="Palatino Linotype" w:eastAsia="Palatino Linotype" w:cs="Times New Roman"/>
          <w:kern w:val="0"/>
          <w14:ligatures w14:val="none"/>
        </w:rPr>
        <w:t>for refundable costs</w:t>
      </w:r>
      <w:r w:rsidRPr="00DB2C1C">
        <w:rPr>
          <w:rFonts w:ascii="Palatino Linotype" w:hAnsi="Palatino Linotype" w:eastAsia="Palatino Linotype" w:cs="Times New Roman"/>
          <w:kern w:val="0"/>
          <w14:ligatures w14:val="none"/>
        </w:rPr>
        <w:t>.</w:t>
      </w:r>
    </w:p>
    <w:p w:rsidRPr="00DB2C1C" w:rsidR="00DB2C1C" w:rsidP="00BB5FE9" w:rsidRDefault="00DB2C1C" w14:paraId="780C592D" w14:textId="5D1BCB4A">
      <w:pPr>
        <w:pStyle w:val="ListParagraph"/>
        <w:numPr>
          <w:ilvl w:val="0"/>
          <w:numId w:val="7"/>
        </w:numPr>
        <w:spacing w:after="120" w:line="240" w:lineRule="auto"/>
        <w:contextualSpacing w:val="0"/>
        <w:rPr>
          <w:rFonts w:ascii="Palatino Linotype" w:hAnsi="Palatino Linotype" w:eastAsia="Palatino Linotype" w:cs="Times New Roman"/>
          <w:kern w:val="0"/>
          <w14:ligatures w14:val="none"/>
        </w:rPr>
      </w:pPr>
      <w:r w:rsidRPr="00DB2C1C">
        <w:rPr>
          <w:rFonts w:ascii="Palatino Linotype" w:hAnsi="Palatino Linotype" w:eastAsia="Palatino Linotype" w:cs="Times New Roman"/>
          <w:kern w:val="0"/>
          <w14:ligatures w14:val="none"/>
        </w:rPr>
        <w:t xml:space="preserve">It is reasonable to require PG&amp;E to submit an information-only Tier 1 </w:t>
      </w:r>
      <w:r w:rsidR="00057EFB">
        <w:rPr>
          <w:rFonts w:ascii="Palatino Linotype" w:hAnsi="Palatino Linotype" w:eastAsia="Palatino Linotype" w:cs="Times New Roman"/>
          <w:kern w:val="0"/>
          <w14:ligatures w14:val="none"/>
        </w:rPr>
        <w:t>A</w:t>
      </w:r>
      <w:r w:rsidRPr="00DB2C1C">
        <w:rPr>
          <w:rFonts w:ascii="Palatino Linotype" w:hAnsi="Palatino Linotype" w:eastAsia="Palatino Linotype" w:cs="Times New Roman"/>
          <w:kern w:val="0"/>
          <w14:ligatures w14:val="none"/>
        </w:rPr>
        <w:t xml:space="preserve">dvice </w:t>
      </w:r>
      <w:r w:rsidR="00057EFB">
        <w:rPr>
          <w:rFonts w:ascii="Palatino Linotype" w:hAnsi="Palatino Linotype" w:eastAsia="Palatino Linotype" w:cs="Times New Roman"/>
          <w:kern w:val="0"/>
          <w14:ligatures w14:val="none"/>
        </w:rPr>
        <w:t>L</w:t>
      </w:r>
      <w:r w:rsidRPr="00DB2C1C">
        <w:rPr>
          <w:rFonts w:ascii="Palatino Linotype" w:hAnsi="Palatino Linotype" w:eastAsia="Palatino Linotype" w:cs="Times New Roman"/>
          <w:kern w:val="0"/>
          <w14:ligatures w14:val="none"/>
        </w:rPr>
        <w:t xml:space="preserve">etter when the binding cost estimate for refundable Standard Facilities is finalized, with attachments describing the binding cost </w:t>
      </w:r>
      <w:r w:rsidR="00057EFB">
        <w:rPr>
          <w:rFonts w:ascii="Palatino Linotype" w:hAnsi="Palatino Linotype" w:eastAsia="Palatino Linotype" w:cs="Times New Roman"/>
          <w:kern w:val="0"/>
          <w14:ligatures w14:val="none"/>
        </w:rPr>
        <w:t>cap</w:t>
      </w:r>
      <w:r w:rsidRPr="00DB2C1C">
        <w:rPr>
          <w:rFonts w:ascii="Palatino Linotype" w:hAnsi="Palatino Linotype" w:eastAsia="Palatino Linotype" w:cs="Times New Roman"/>
          <w:kern w:val="0"/>
          <w14:ligatures w14:val="none"/>
        </w:rPr>
        <w:t>, the scope and assumptions used, the application of the single standard contingency, and the separation of refundable Standard Facilities costs from non-refundable Special Facilities costs.</w:t>
      </w:r>
    </w:p>
    <w:p w:rsidRPr="00DB2C1C" w:rsidR="00DB2C1C" w:rsidP="00BB5FE9" w:rsidRDefault="00DB2C1C" w14:paraId="25B51C4D" w14:textId="7D64FA75">
      <w:pPr>
        <w:pStyle w:val="ListParagraph"/>
        <w:numPr>
          <w:ilvl w:val="0"/>
          <w:numId w:val="7"/>
        </w:numPr>
        <w:spacing w:after="120" w:line="240" w:lineRule="auto"/>
        <w:contextualSpacing w:val="0"/>
        <w:rPr>
          <w:rFonts w:ascii="Palatino Linotype" w:hAnsi="Palatino Linotype" w:eastAsia="Palatino Linotype" w:cs="Times New Roman"/>
          <w:kern w:val="0"/>
          <w14:ligatures w14:val="none"/>
        </w:rPr>
      </w:pPr>
      <w:r w:rsidRPr="00DB2C1C">
        <w:rPr>
          <w:rFonts w:ascii="Palatino Linotype" w:hAnsi="Palatino Linotype" w:eastAsia="Palatino Linotype" w:cs="Times New Roman"/>
          <w:kern w:val="0"/>
          <w14:ligatures w14:val="none"/>
        </w:rPr>
        <w:t xml:space="preserve">It is reasonable to clarify that the binding cost </w:t>
      </w:r>
      <w:r w:rsidR="00057EFB">
        <w:rPr>
          <w:rFonts w:ascii="Palatino Linotype" w:hAnsi="Palatino Linotype" w:eastAsia="Palatino Linotype" w:cs="Times New Roman"/>
          <w:kern w:val="0"/>
          <w14:ligatures w14:val="none"/>
        </w:rPr>
        <w:t>cap</w:t>
      </w:r>
      <w:r w:rsidRPr="00DB2C1C">
        <w:rPr>
          <w:rFonts w:ascii="Palatino Linotype" w:hAnsi="Palatino Linotype" w:eastAsia="Palatino Linotype" w:cs="Times New Roman"/>
          <w:kern w:val="0"/>
          <w14:ligatures w14:val="none"/>
        </w:rPr>
        <w:t xml:space="preserve"> for refundable Standard Facilities must exclude any costs that overlap with</w:t>
      </w:r>
      <w:r w:rsidR="004344BC">
        <w:rPr>
          <w:rFonts w:ascii="Palatino Linotype" w:hAnsi="Palatino Linotype" w:eastAsia="Palatino Linotype" w:cs="Times New Roman"/>
          <w:kern w:val="0"/>
          <w14:ligatures w14:val="none"/>
        </w:rPr>
        <w:t xml:space="preserve"> the </w:t>
      </w:r>
      <w:r w:rsidR="00244BC9">
        <w:rPr>
          <w:rFonts w:ascii="Palatino Linotype" w:hAnsi="Palatino Linotype" w:eastAsia="Palatino Linotype" w:cs="Times New Roman"/>
          <w:kern w:val="0"/>
          <w14:ligatures w14:val="none"/>
        </w:rPr>
        <w:t>refundable costs associated with</w:t>
      </w:r>
      <w:r w:rsidRPr="00DB2C1C">
        <w:rPr>
          <w:rFonts w:ascii="Palatino Linotype" w:hAnsi="Palatino Linotype" w:eastAsia="Palatino Linotype" w:cs="Times New Roman"/>
          <w:kern w:val="0"/>
          <w14:ligatures w14:val="none"/>
        </w:rPr>
        <w:t xml:space="preserve"> PG&amp;E’s </w:t>
      </w:r>
      <w:r w:rsidR="00244BC9">
        <w:rPr>
          <w:rFonts w:ascii="Palatino Linotype" w:hAnsi="Palatino Linotype" w:eastAsia="Palatino Linotype" w:cs="Times New Roman"/>
          <w:kern w:val="0"/>
          <w14:ligatures w14:val="none"/>
        </w:rPr>
        <w:t>own work in the agreement between PG&amp;E and Google.</w:t>
      </w:r>
    </w:p>
    <w:p w:rsidRPr="00BB5FE9" w:rsidR="00BB5FE9" w:rsidP="00125B0D" w:rsidRDefault="00B146C4" w14:paraId="50FAB264" w14:textId="12C2E400">
      <w:pPr>
        <w:pStyle w:val="ListParagraph"/>
        <w:numPr>
          <w:ilvl w:val="0"/>
          <w:numId w:val="7"/>
        </w:numPr>
        <w:spacing w:after="120" w:line="240" w:lineRule="auto"/>
        <w:contextualSpacing w:val="0"/>
        <w:rPr>
          <w:rFonts w:ascii="Palatino Linotype" w:hAnsi="Palatino Linotype" w:eastAsia="Palatino Linotype" w:cs="Times New Roman"/>
          <w:kern w:val="0"/>
          <w14:ligatures w14:val="none"/>
        </w:rPr>
      </w:pPr>
      <w:r w:rsidRPr="00BB5FE9">
        <w:rPr>
          <w:rFonts w:ascii="Palatino Linotype" w:hAnsi="Palatino Linotype" w:eastAsia="Aptos" w:cs="Times New Roman"/>
        </w:rPr>
        <w:lastRenderedPageBreak/>
        <w:t>The findings and conclusions in this Resolution should in no way prejudice the ongoing deliberation in the Rule 30 proceeding, A.24-11-007.</w:t>
      </w:r>
    </w:p>
    <w:p w:rsidRPr="00BB5FE9" w:rsidR="00DB2C1C" w:rsidP="00125B0D" w:rsidRDefault="00DB2C1C" w14:paraId="2D5DBD98" w14:textId="22A28CA7">
      <w:pPr>
        <w:pStyle w:val="ListParagraph"/>
        <w:numPr>
          <w:ilvl w:val="0"/>
          <w:numId w:val="7"/>
        </w:numPr>
        <w:spacing w:after="120" w:line="240" w:lineRule="auto"/>
        <w:contextualSpacing w:val="0"/>
        <w:rPr>
          <w:rFonts w:ascii="Palatino Linotype" w:hAnsi="Palatino Linotype" w:eastAsia="Palatino Linotype" w:cs="Times New Roman"/>
          <w:kern w:val="0"/>
          <w14:ligatures w14:val="none"/>
        </w:rPr>
      </w:pPr>
      <w:r w:rsidRPr="00BB5FE9">
        <w:rPr>
          <w:rFonts w:ascii="Palatino Linotype" w:hAnsi="Palatino Linotype" w:eastAsia="Palatino Linotype" w:cs="Times New Roman"/>
          <w:kern w:val="0"/>
          <w14:ligatures w14:val="none"/>
        </w:rPr>
        <w:t>Imel’s request for public disclosure of confidential negotiated agreement terms and related technical and cost details is not a basis to deny AL 7785-E and is dismissed.</w:t>
      </w:r>
    </w:p>
    <w:p w:rsidR="00BF44FF" w:rsidP="00BB5FE9" w:rsidRDefault="00BF44FF" w14:paraId="604105DC" w14:textId="77777777">
      <w:pPr>
        <w:pStyle w:val="ListParagraph"/>
        <w:numPr>
          <w:ilvl w:val="0"/>
          <w:numId w:val="7"/>
        </w:numPr>
        <w:spacing w:after="120" w:line="240" w:lineRule="auto"/>
        <w:rPr>
          <w:rFonts w:ascii="Palatino Linotype" w:hAnsi="Palatino Linotype" w:eastAsia="Aptos" w:cs="Times New Roman"/>
        </w:rPr>
      </w:pPr>
      <w:r w:rsidRPr="00147F3F">
        <w:rPr>
          <w:rFonts w:ascii="Palatino Linotype" w:hAnsi="Palatino Linotype" w:eastAsia="Aptos" w:cs="Times New Roman"/>
        </w:rPr>
        <w:t>It is reasonable for PG&amp;E to submit a modified agreement with the changes specified herein for approval through a Tier 1 Advice Letter.</w:t>
      </w:r>
    </w:p>
    <w:p w:rsidR="00A76F4A" w:rsidP="00A76F4A" w:rsidRDefault="00A76F4A" w14:paraId="79D6F305"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215FEFC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Therefore it is ordered that:</w:t>
      </w:r>
    </w:p>
    <w:p w:rsidR="00A76F4A" w:rsidP="00D732B0" w:rsidRDefault="001911B9" w14:paraId="42B617EF" w14:textId="567D5A4A">
      <w:pPr>
        <w:numPr>
          <w:ilvl w:val="0"/>
          <w:numId w:val="2"/>
        </w:numPr>
        <w:spacing w:after="120" w:line="240" w:lineRule="auto"/>
        <w:rPr>
          <w:rFonts w:ascii="Palatino Linotype" w:hAnsi="Palatino Linotype" w:eastAsia="Palatino Linotype" w:cs="Times New Roman"/>
          <w:snapToGrid w:val="0"/>
          <w:kern w:val="0"/>
          <w14:ligatures w14:val="none"/>
        </w:rPr>
      </w:pPr>
      <w:r w:rsidRPr="00AA5C96">
        <w:rPr>
          <w:rFonts w:ascii="Palatino Linotype" w:hAnsi="Palatino Linotype" w:eastAsia="Palatino Linotype" w:cs="Times New Roman"/>
          <w:snapToGrid w:val="0"/>
          <w:kern w:val="0"/>
          <w14:ligatures w14:val="none"/>
        </w:rPr>
        <w:t xml:space="preserve">The request of PG&amp;E to approve the </w:t>
      </w:r>
      <w:r w:rsidRPr="00AA5C96" w:rsidR="00AA5C96">
        <w:rPr>
          <w:rFonts w:ascii="Palatino Linotype" w:hAnsi="Palatino Linotype" w:eastAsia="Palatino Linotype" w:cs="Times New Roman"/>
          <w:snapToGrid w:val="0"/>
          <w:kern w:val="0"/>
          <w14:ligatures w14:val="none"/>
        </w:rPr>
        <w:t>agreement for the Applicant Work and the work to be</w:t>
      </w:r>
      <w:r w:rsidR="00AA5C96">
        <w:rPr>
          <w:rFonts w:ascii="Palatino Linotype" w:hAnsi="Palatino Linotype" w:eastAsia="Palatino Linotype" w:cs="Times New Roman"/>
          <w:snapToGrid w:val="0"/>
          <w:kern w:val="0"/>
          <w14:ligatures w14:val="none"/>
        </w:rPr>
        <w:t xml:space="preserve"> </w:t>
      </w:r>
      <w:r w:rsidRPr="00AA5C96" w:rsidR="00AA5C96">
        <w:rPr>
          <w:rFonts w:ascii="Palatino Linotype" w:hAnsi="Palatino Linotype" w:eastAsia="Palatino Linotype" w:cs="Times New Roman"/>
          <w:snapToGrid w:val="0"/>
          <w:kern w:val="0"/>
          <w14:ligatures w14:val="none"/>
        </w:rPr>
        <w:t>performed by PG&amp;E</w:t>
      </w:r>
      <w:r w:rsidR="00545E16">
        <w:rPr>
          <w:rFonts w:ascii="Palatino Linotype" w:hAnsi="Palatino Linotype" w:eastAsia="Palatino Linotype" w:cs="Times New Roman"/>
          <w:snapToGrid w:val="0"/>
          <w:kern w:val="0"/>
          <w14:ligatures w14:val="none"/>
        </w:rPr>
        <w:t xml:space="preserve"> (the Agreement)</w:t>
      </w:r>
      <w:r w:rsidR="00AA5C96">
        <w:rPr>
          <w:rFonts w:ascii="Palatino Linotype" w:hAnsi="Palatino Linotype" w:eastAsia="Palatino Linotype" w:cs="Times New Roman"/>
          <w:snapToGrid w:val="0"/>
          <w:kern w:val="0"/>
          <w14:ligatures w14:val="none"/>
        </w:rPr>
        <w:t xml:space="preserve">, </w:t>
      </w:r>
      <w:r w:rsidRPr="00AA5C96">
        <w:rPr>
          <w:rFonts w:ascii="Palatino Linotype" w:hAnsi="Palatino Linotype" w:eastAsia="Palatino Linotype" w:cs="Times New Roman"/>
          <w:snapToGrid w:val="0"/>
          <w:kern w:val="0"/>
          <w14:ligatures w14:val="none"/>
        </w:rPr>
        <w:t xml:space="preserve">between itself and customer </w:t>
      </w:r>
      <w:r w:rsidR="00AA5C96">
        <w:rPr>
          <w:rFonts w:ascii="Palatino Linotype" w:hAnsi="Palatino Linotype" w:eastAsia="Palatino Linotype" w:cs="Times New Roman"/>
          <w:snapToGrid w:val="0"/>
          <w:kern w:val="0"/>
          <w14:ligatures w14:val="none"/>
        </w:rPr>
        <w:t>Google LLC</w:t>
      </w:r>
      <w:r w:rsidR="00E251FD">
        <w:rPr>
          <w:rFonts w:ascii="Palatino Linotype" w:hAnsi="Palatino Linotype" w:eastAsia="Palatino Linotype" w:cs="Times New Roman"/>
          <w:snapToGrid w:val="0"/>
          <w:kern w:val="0"/>
          <w14:ligatures w14:val="none"/>
        </w:rPr>
        <w:t xml:space="preserve"> (Google)</w:t>
      </w:r>
      <w:r w:rsidR="00AD4A2F">
        <w:rPr>
          <w:rFonts w:ascii="Palatino Linotype" w:hAnsi="Palatino Linotype" w:eastAsia="Palatino Linotype" w:cs="Times New Roman"/>
          <w:snapToGrid w:val="0"/>
          <w:kern w:val="0"/>
          <w14:ligatures w14:val="none"/>
        </w:rPr>
        <w:t>,</w:t>
      </w:r>
      <w:r w:rsidRPr="00AA5C96">
        <w:rPr>
          <w:rFonts w:ascii="Palatino Linotype" w:hAnsi="Palatino Linotype" w:eastAsia="Palatino Linotype" w:cs="Times New Roman"/>
          <w:snapToGrid w:val="0"/>
          <w:kern w:val="0"/>
          <w14:ligatures w14:val="none"/>
        </w:rPr>
        <w:t xml:space="preserve"> as requested in Advice Letter 7</w:t>
      </w:r>
      <w:r w:rsidR="00AD4A2F">
        <w:rPr>
          <w:rFonts w:ascii="Palatino Linotype" w:hAnsi="Palatino Linotype" w:eastAsia="Palatino Linotype" w:cs="Times New Roman"/>
          <w:snapToGrid w:val="0"/>
          <w:kern w:val="0"/>
          <w14:ligatures w14:val="none"/>
        </w:rPr>
        <w:t>785</w:t>
      </w:r>
      <w:r w:rsidRPr="00AA5C96">
        <w:rPr>
          <w:rFonts w:ascii="Palatino Linotype" w:hAnsi="Palatino Linotype" w:eastAsia="Palatino Linotype" w:cs="Times New Roman"/>
          <w:snapToGrid w:val="0"/>
          <w:kern w:val="0"/>
          <w14:ligatures w14:val="none"/>
        </w:rPr>
        <w:t>-E</w:t>
      </w:r>
      <w:r w:rsidR="00984687">
        <w:rPr>
          <w:rFonts w:ascii="Palatino Linotype" w:hAnsi="Palatino Linotype" w:eastAsia="Palatino Linotype" w:cs="Times New Roman"/>
          <w:snapToGrid w:val="0"/>
          <w:kern w:val="0"/>
          <w14:ligatures w14:val="none"/>
        </w:rPr>
        <w:t>,</w:t>
      </w:r>
      <w:r w:rsidRPr="00AA5C96">
        <w:rPr>
          <w:rFonts w:ascii="Palatino Linotype" w:hAnsi="Palatino Linotype" w:eastAsia="Palatino Linotype" w:cs="Times New Roman"/>
          <w:snapToGrid w:val="0"/>
          <w:kern w:val="0"/>
          <w14:ligatures w14:val="none"/>
        </w:rPr>
        <w:t xml:space="preserve"> is approved with the modifications set forth above and otherwise specified herein.</w:t>
      </w:r>
      <w:r w:rsidRPr="00AA5C96" w:rsidR="00A76F4A">
        <w:rPr>
          <w:rFonts w:ascii="Palatino Linotype" w:hAnsi="Palatino Linotype" w:eastAsia="Palatino Linotype" w:cs="Times New Roman"/>
          <w:snapToGrid w:val="0"/>
          <w:kern w:val="0"/>
          <w14:ligatures w14:val="none"/>
        </w:rPr>
        <w:t xml:space="preserve">  </w:t>
      </w:r>
    </w:p>
    <w:p w:rsidR="00B05CAC" w:rsidP="00D732B0" w:rsidRDefault="00B05CAC" w14:paraId="6B259B4D" w14:textId="092A1B15">
      <w:pPr>
        <w:numPr>
          <w:ilvl w:val="0"/>
          <w:numId w:val="2"/>
        </w:numPr>
        <w:spacing w:after="120" w:line="240" w:lineRule="auto"/>
        <w:rPr>
          <w:rFonts w:ascii="Palatino Linotype" w:hAnsi="Palatino Linotype" w:eastAsia="Palatino Linotype" w:cs="Times New Roman"/>
          <w:snapToGrid w:val="0"/>
          <w:kern w:val="0"/>
          <w14:ligatures w14:val="none"/>
        </w:rPr>
      </w:pPr>
      <w:r>
        <w:rPr>
          <w:rFonts w:ascii="Palatino Linotype" w:hAnsi="Palatino Linotype" w:eastAsia="Palatino Linotype" w:cs="Times New Roman"/>
          <w:snapToGrid w:val="0"/>
          <w:kern w:val="0"/>
          <w14:ligatures w14:val="none"/>
        </w:rPr>
        <w:t>PG&amp;E</w:t>
      </w:r>
      <w:r w:rsidR="00453F22">
        <w:rPr>
          <w:rFonts w:ascii="Palatino Linotype" w:hAnsi="Palatino Linotype" w:eastAsia="Palatino Linotype" w:cs="Times New Roman"/>
          <w:snapToGrid w:val="0"/>
          <w:kern w:val="0"/>
          <w14:ligatures w14:val="none"/>
        </w:rPr>
        <w:t xml:space="preserve"> shall modify the </w:t>
      </w:r>
      <w:r w:rsidR="00E17372">
        <w:rPr>
          <w:rFonts w:ascii="Palatino Linotype" w:hAnsi="Palatino Linotype" w:eastAsia="Palatino Linotype" w:cs="Times New Roman"/>
          <w:snapToGrid w:val="0"/>
          <w:kern w:val="0"/>
          <w14:ligatures w14:val="none"/>
        </w:rPr>
        <w:t xml:space="preserve">agreement to reflect the fact that </w:t>
      </w:r>
      <w:r w:rsidR="002E43A3">
        <w:rPr>
          <w:rFonts w:ascii="Palatino Linotype" w:hAnsi="Palatino Linotype" w:eastAsia="Palatino Linotype" w:cs="Times New Roman"/>
          <w:snapToGrid w:val="0"/>
          <w:kern w:val="0"/>
          <w14:ligatures w14:val="none"/>
        </w:rPr>
        <w:t xml:space="preserve">both parties agree that costs associated with transmission network upgrades will be handled corresponding to the outcome in the </w:t>
      </w:r>
      <w:r w:rsidR="00345654">
        <w:rPr>
          <w:rFonts w:ascii="Palatino Linotype" w:hAnsi="Palatino Linotype" w:eastAsia="Palatino Linotype" w:cs="Times New Roman"/>
          <w:snapToGrid w:val="0"/>
          <w:kern w:val="0"/>
          <w14:ligatures w14:val="none"/>
        </w:rPr>
        <w:t>Rule 30 proceeding</w:t>
      </w:r>
      <w:r w:rsidR="002E43A3">
        <w:rPr>
          <w:rFonts w:ascii="Palatino Linotype" w:hAnsi="Palatino Linotype" w:eastAsia="Palatino Linotype" w:cs="Times New Roman"/>
          <w:snapToGrid w:val="0"/>
          <w:kern w:val="0"/>
          <w14:ligatures w14:val="none"/>
        </w:rPr>
        <w:t>, A. 24-11-007, once that outcome has been established via a Decision</w:t>
      </w:r>
      <w:r w:rsidR="00FE5BED">
        <w:rPr>
          <w:rFonts w:ascii="Palatino Linotype" w:hAnsi="Palatino Linotype" w:eastAsia="Palatino Linotype" w:cs="Times New Roman"/>
          <w:snapToGrid w:val="0"/>
          <w:kern w:val="0"/>
          <w14:ligatures w14:val="none"/>
        </w:rPr>
        <w:t>.</w:t>
      </w:r>
    </w:p>
    <w:p w:rsidRPr="001A2D30" w:rsidR="006F06DE" w:rsidP="00D732B0" w:rsidRDefault="00523D56" w14:paraId="43105E82" w14:textId="38711530">
      <w:pPr>
        <w:numPr>
          <w:ilvl w:val="0"/>
          <w:numId w:val="2"/>
        </w:numPr>
        <w:spacing w:after="120" w:line="240" w:lineRule="auto"/>
        <w:rPr>
          <w:rFonts w:ascii="Palatino Linotype" w:hAnsi="Palatino Linotype" w:eastAsia="Palatino Linotype" w:cs="Times New Roman"/>
          <w:snapToGrid w:val="0"/>
          <w:kern w:val="0"/>
          <w14:ligatures w14:val="none"/>
        </w:rPr>
      </w:pPr>
      <w:r>
        <w:rPr>
          <w:rFonts w:ascii="Palatino Linotype" w:hAnsi="Palatino Linotype" w:eastAsia="Palatino Linotype" w:cs="Times New Roman"/>
          <w:snapToGrid w:val="0"/>
          <w:kern w:val="0"/>
          <w14:ligatures w14:val="none"/>
        </w:rPr>
        <w:t>Within</w:t>
      </w:r>
      <w:r w:rsidR="009B02F4">
        <w:rPr>
          <w:rFonts w:ascii="Palatino Linotype" w:hAnsi="Palatino Linotype" w:eastAsia="Palatino Linotype" w:cs="Times New Roman"/>
          <w:snapToGrid w:val="0"/>
          <w:kern w:val="0"/>
          <w14:ligatures w14:val="none"/>
        </w:rPr>
        <w:t xml:space="preserve"> 60 days after the Decision in A. 24-11-007, </w:t>
      </w:r>
      <w:r w:rsidR="006F06DE">
        <w:rPr>
          <w:rFonts w:ascii="Palatino Linotype" w:hAnsi="Palatino Linotype" w:eastAsia="Palatino Linotype" w:cs="Times New Roman"/>
          <w:snapToGrid w:val="0"/>
          <w:kern w:val="0"/>
          <w14:ligatures w14:val="none"/>
        </w:rPr>
        <w:t xml:space="preserve">PG&amp;E shall </w:t>
      </w:r>
      <w:r w:rsidR="009B02F4">
        <w:rPr>
          <w:rFonts w:ascii="Palatino Linotype" w:hAnsi="Palatino Linotype" w:eastAsia="Palatino Linotype" w:cs="Times New Roman"/>
          <w:snapToGrid w:val="0"/>
          <w:kern w:val="0"/>
          <w14:ligatures w14:val="none"/>
        </w:rPr>
        <w:t xml:space="preserve">file a Tier 2 Advice Letter </w:t>
      </w:r>
      <w:r w:rsidR="009B02F4">
        <w:rPr>
          <w:rFonts w:ascii="Palatino Linotype" w:hAnsi="Palatino Linotype" w:eastAsia="Aptos" w:cs="Times New Roman"/>
        </w:rPr>
        <w:t>that updates the agreement, modifying or adding provisions related to larger transmission network upgrade costs in a manner that corresponds to the outcome of the Rule 30 proceeding.</w:t>
      </w:r>
    </w:p>
    <w:p w:rsidRPr="000A372D" w:rsidR="001A2D30" w:rsidP="00D732B0" w:rsidRDefault="001A2D30" w14:paraId="30542F8B" w14:textId="54F23000">
      <w:pPr>
        <w:numPr>
          <w:ilvl w:val="0"/>
          <w:numId w:val="2"/>
        </w:numPr>
        <w:spacing w:after="120" w:line="240" w:lineRule="auto"/>
        <w:rPr>
          <w:rFonts w:ascii="Palatino Linotype" w:hAnsi="Palatino Linotype" w:eastAsia="Palatino Linotype" w:cs="Times New Roman"/>
          <w:snapToGrid w:val="0"/>
          <w:kern w:val="0"/>
          <w14:ligatures w14:val="none"/>
        </w:rPr>
      </w:pPr>
      <w:r>
        <w:rPr>
          <w:rFonts w:ascii="Palatino Linotype" w:hAnsi="Palatino Linotype" w:eastAsia="Palatino Linotype" w:cs="Times New Roman"/>
          <w:snapToGrid w:val="0"/>
          <w:kern w:val="0"/>
          <w14:ligatures w14:val="none"/>
        </w:rPr>
        <w:t xml:space="preserve">PG&amp;E shall modify the refund process in the Agreement to </w:t>
      </w:r>
      <w:r>
        <w:rPr>
          <w:rFonts w:ascii="Palatino Linotype" w:hAnsi="Palatino Linotype" w:eastAsia="Aptos" w:cs="Times New Roman"/>
        </w:rPr>
        <w:t xml:space="preserve">limit annual refunds to </w:t>
      </w:r>
      <w:r w:rsidR="00545E16">
        <w:rPr>
          <w:rFonts w:ascii="Palatino Linotype" w:hAnsi="Palatino Linotype" w:eastAsia="Aptos" w:cs="Times New Roman"/>
        </w:rPr>
        <w:t>Google</w:t>
      </w:r>
      <w:r>
        <w:rPr>
          <w:rFonts w:ascii="Palatino Linotype" w:hAnsi="Palatino Linotype" w:eastAsia="Aptos" w:cs="Times New Roman"/>
        </w:rPr>
        <w:t xml:space="preserve"> to the annual net revenues PG&amp;E collected from </w:t>
      </w:r>
      <w:r w:rsidR="00545E16">
        <w:rPr>
          <w:rFonts w:ascii="Palatino Linotype" w:hAnsi="Palatino Linotype" w:eastAsia="Aptos" w:cs="Times New Roman"/>
        </w:rPr>
        <w:t xml:space="preserve">Google </w:t>
      </w:r>
      <w:r>
        <w:rPr>
          <w:rFonts w:ascii="Palatino Linotype" w:hAnsi="Palatino Linotype" w:eastAsia="Aptos" w:cs="Times New Roman"/>
        </w:rPr>
        <w:t xml:space="preserve">in that year, adjusting for the Income Tax Component of Contribution (ITCC). In this case, the term ‘net revenues’ refers to the transmission component of the customer’s electric rates and the per meter customer charge. PG&amp;E shall also extend the period when </w:t>
      </w:r>
      <w:r w:rsidR="00545E16">
        <w:rPr>
          <w:rFonts w:ascii="Palatino Linotype" w:hAnsi="Palatino Linotype" w:eastAsia="Aptos" w:cs="Times New Roman"/>
        </w:rPr>
        <w:t xml:space="preserve">Google is </w:t>
      </w:r>
      <w:r>
        <w:rPr>
          <w:rFonts w:ascii="Palatino Linotype" w:hAnsi="Palatino Linotype" w:eastAsia="Aptos" w:cs="Times New Roman"/>
        </w:rPr>
        <w:t>eligible to receive a refund from 10 to 15 years.</w:t>
      </w:r>
    </w:p>
    <w:p w:rsidRPr="000A372D" w:rsidR="000A372D" w:rsidP="00D732B0" w:rsidRDefault="000A372D" w14:paraId="0B584DDE" w14:textId="6A285959">
      <w:pPr>
        <w:numPr>
          <w:ilvl w:val="0"/>
          <w:numId w:val="2"/>
        </w:numPr>
        <w:spacing w:after="120" w:line="240" w:lineRule="auto"/>
        <w:rPr>
          <w:rFonts w:ascii="Palatino Linotype" w:hAnsi="Palatino Linotype" w:eastAsia="Palatino Linotype" w:cs="Times New Roman"/>
          <w:snapToGrid w:val="0"/>
          <w:kern w:val="0"/>
          <w14:ligatures w14:val="none"/>
        </w:rPr>
      </w:pPr>
      <w:r w:rsidRPr="000A372D">
        <w:rPr>
          <w:rFonts w:ascii="Palatino Linotype" w:hAnsi="Palatino Linotype" w:eastAsia="Palatino Linotype" w:cs="Times New Roman"/>
          <w:snapToGrid w:val="0"/>
          <w:kern w:val="0"/>
          <w14:ligatures w14:val="none"/>
        </w:rPr>
        <w:t xml:space="preserve">PG&amp;E shall ensure that the binding cost cap for </w:t>
      </w:r>
      <w:r w:rsidR="001C1085">
        <w:rPr>
          <w:rFonts w:ascii="Palatino Linotype" w:hAnsi="Palatino Linotype" w:eastAsia="Palatino Linotype" w:cs="Times New Roman"/>
          <w:snapToGrid w:val="0"/>
          <w:kern w:val="0"/>
          <w14:ligatures w14:val="none"/>
        </w:rPr>
        <w:t>the portion of work completed by Google (Applicant Work)</w:t>
      </w:r>
      <w:r w:rsidRPr="000A372D">
        <w:rPr>
          <w:rFonts w:ascii="Palatino Linotype" w:hAnsi="Palatino Linotype" w:eastAsia="Palatino Linotype" w:cs="Times New Roman"/>
          <w:snapToGrid w:val="0"/>
          <w:kern w:val="0"/>
          <w14:ligatures w14:val="none"/>
        </w:rPr>
        <w:t xml:space="preserve"> applies to refundable Standard Facilities costs separately from non-refundable Special Facilities costs, and that the refundable binding cost estimate includes only one standard contingency</w:t>
      </w:r>
      <w:r w:rsidR="00343E92">
        <w:rPr>
          <w:rFonts w:ascii="Palatino Linotype" w:hAnsi="Palatino Linotype" w:eastAsia="Palatino Linotype" w:cs="Times New Roman"/>
          <w:snapToGrid w:val="0"/>
          <w:kern w:val="0"/>
          <w14:ligatures w14:val="none"/>
        </w:rPr>
        <w:t xml:space="preserve"> adjustment</w:t>
      </w:r>
      <w:r w:rsidRPr="000A372D">
        <w:rPr>
          <w:rFonts w:ascii="Palatino Linotype" w:hAnsi="Palatino Linotype" w:eastAsia="Palatino Linotype" w:cs="Times New Roman"/>
          <w:snapToGrid w:val="0"/>
          <w:kern w:val="0"/>
          <w14:ligatures w14:val="none"/>
        </w:rPr>
        <w:t>.</w:t>
      </w:r>
    </w:p>
    <w:p w:rsidR="000A372D" w:rsidP="00D732B0" w:rsidRDefault="000A372D" w14:paraId="07F58C14" w14:textId="446CFA11">
      <w:pPr>
        <w:numPr>
          <w:ilvl w:val="0"/>
          <w:numId w:val="2"/>
        </w:numPr>
        <w:spacing w:after="120" w:line="240" w:lineRule="auto"/>
        <w:rPr>
          <w:rFonts w:ascii="Palatino Linotype" w:hAnsi="Palatino Linotype" w:eastAsia="Palatino Linotype" w:cs="Times New Roman"/>
          <w:snapToGrid w:val="0"/>
          <w:kern w:val="0"/>
          <w14:ligatures w14:val="none"/>
        </w:rPr>
      </w:pPr>
      <w:r w:rsidRPr="000A372D">
        <w:rPr>
          <w:rFonts w:ascii="Palatino Linotype" w:hAnsi="Palatino Linotype" w:eastAsia="Palatino Linotype" w:cs="Times New Roman"/>
          <w:snapToGrid w:val="0"/>
          <w:kern w:val="0"/>
          <w14:ligatures w14:val="none"/>
        </w:rPr>
        <w:t xml:space="preserve">PG&amp;E shall ensure that the binding cost cap for refundable </w:t>
      </w:r>
      <w:r w:rsidR="00343E92">
        <w:rPr>
          <w:rFonts w:ascii="Palatino Linotype" w:hAnsi="Palatino Linotype" w:eastAsia="Palatino Linotype" w:cs="Times New Roman"/>
          <w:snapToGrid w:val="0"/>
          <w:kern w:val="0"/>
          <w14:ligatures w14:val="none"/>
        </w:rPr>
        <w:t xml:space="preserve">Applicant Work </w:t>
      </w:r>
      <w:r w:rsidRPr="000A372D">
        <w:rPr>
          <w:rFonts w:ascii="Palatino Linotype" w:hAnsi="Palatino Linotype" w:eastAsia="Palatino Linotype" w:cs="Times New Roman"/>
          <w:snapToGrid w:val="0"/>
          <w:kern w:val="0"/>
          <w14:ligatures w14:val="none"/>
        </w:rPr>
        <w:t xml:space="preserve">excludes any costs that overlap with </w:t>
      </w:r>
      <w:r w:rsidR="004C2F82">
        <w:rPr>
          <w:rFonts w:ascii="Palatino Linotype" w:hAnsi="Palatino Linotype" w:eastAsia="Palatino Linotype" w:cs="Times New Roman"/>
          <w:snapToGrid w:val="0"/>
          <w:kern w:val="0"/>
          <w14:ligatures w14:val="none"/>
        </w:rPr>
        <w:t xml:space="preserve">the costs associated with </w:t>
      </w:r>
      <w:r w:rsidRPr="000A372D">
        <w:rPr>
          <w:rFonts w:ascii="Palatino Linotype" w:hAnsi="Palatino Linotype" w:eastAsia="Palatino Linotype" w:cs="Times New Roman"/>
          <w:snapToGrid w:val="0"/>
          <w:kern w:val="0"/>
          <w14:ligatures w14:val="none"/>
        </w:rPr>
        <w:t xml:space="preserve">PG&amp;E’s own </w:t>
      </w:r>
      <w:r w:rsidR="004C2F82">
        <w:rPr>
          <w:rFonts w:ascii="Palatino Linotype" w:hAnsi="Palatino Linotype" w:eastAsia="Palatino Linotype" w:cs="Times New Roman"/>
          <w:snapToGrid w:val="0"/>
          <w:kern w:val="0"/>
          <w14:ligatures w14:val="none"/>
        </w:rPr>
        <w:t>work</w:t>
      </w:r>
      <w:r w:rsidR="006F6ED0">
        <w:rPr>
          <w:rFonts w:ascii="Palatino Linotype" w:hAnsi="Palatino Linotype" w:eastAsia="Palatino Linotype" w:cs="Times New Roman"/>
          <w:snapToGrid w:val="0"/>
          <w:kern w:val="0"/>
          <w14:ligatures w14:val="none"/>
        </w:rPr>
        <w:t xml:space="preserve"> detailed in the Agreement</w:t>
      </w:r>
      <w:r w:rsidRPr="000A372D">
        <w:rPr>
          <w:rFonts w:ascii="Palatino Linotype" w:hAnsi="Palatino Linotype" w:eastAsia="Palatino Linotype" w:cs="Times New Roman"/>
          <w:snapToGrid w:val="0"/>
          <w:kern w:val="0"/>
          <w14:ligatures w14:val="none"/>
        </w:rPr>
        <w:t>.</w:t>
      </w:r>
    </w:p>
    <w:p w:rsidRPr="00354067" w:rsidR="002236D5" w:rsidP="00D732B0" w:rsidRDefault="002236D5" w14:paraId="6BDBEC6C" w14:textId="47F083D3">
      <w:pPr>
        <w:numPr>
          <w:ilvl w:val="0"/>
          <w:numId w:val="2"/>
        </w:numPr>
        <w:spacing w:after="120" w:line="240" w:lineRule="auto"/>
        <w:rPr>
          <w:rFonts w:ascii="Palatino Linotype" w:hAnsi="Palatino Linotype" w:eastAsia="Palatino Linotype" w:cs="Times New Roman"/>
          <w:snapToGrid w:val="0"/>
          <w:kern w:val="0"/>
          <w14:ligatures w14:val="none"/>
        </w:rPr>
      </w:pPr>
      <w:r w:rsidRPr="002236D5">
        <w:rPr>
          <w:rFonts w:ascii="Palatino Linotype" w:hAnsi="Palatino Linotype" w:eastAsia="Palatino Linotype" w:cs="Times New Roman"/>
          <w:snapToGrid w:val="0"/>
          <w:kern w:val="0"/>
          <w14:ligatures w14:val="none"/>
        </w:rPr>
        <w:lastRenderedPageBreak/>
        <w:t xml:space="preserve">Within 30 days after the binding cost </w:t>
      </w:r>
      <w:r w:rsidR="006F6ED0">
        <w:rPr>
          <w:rFonts w:ascii="Palatino Linotype" w:hAnsi="Palatino Linotype" w:eastAsia="Palatino Linotype" w:cs="Times New Roman"/>
          <w:snapToGrid w:val="0"/>
          <w:kern w:val="0"/>
          <w14:ligatures w14:val="none"/>
        </w:rPr>
        <w:t>cap</w:t>
      </w:r>
      <w:r w:rsidRPr="002236D5">
        <w:rPr>
          <w:rFonts w:ascii="Palatino Linotype" w:hAnsi="Palatino Linotype" w:eastAsia="Palatino Linotype" w:cs="Times New Roman"/>
          <w:snapToGrid w:val="0"/>
          <w:kern w:val="0"/>
          <w14:ligatures w14:val="none"/>
        </w:rPr>
        <w:t xml:space="preserve"> for refundable </w:t>
      </w:r>
      <w:r w:rsidR="006F6ED0">
        <w:rPr>
          <w:rFonts w:ascii="Palatino Linotype" w:hAnsi="Palatino Linotype" w:eastAsia="Palatino Linotype" w:cs="Times New Roman"/>
          <w:snapToGrid w:val="0"/>
          <w:kern w:val="0"/>
          <w14:ligatures w14:val="none"/>
        </w:rPr>
        <w:t>Applicant Work</w:t>
      </w:r>
      <w:r w:rsidRPr="002236D5">
        <w:rPr>
          <w:rFonts w:ascii="Palatino Linotype" w:hAnsi="Palatino Linotype" w:eastAsia="Palatino Linotype" w:cs="Times New Roman"/>
          <w:snapToGrid w:val="0"/>
          <w:kern w:val="0"/>
          <w14:ligatures w14:val="none"/>
        </w:rPr>
        <w:t xml:space="preserve"> is finalized, PG&amp;E shall file an information-only Tier 1 </w:t>
      </w:r>
      <w:r w:rsidR="00E94016">
        <w:rPr>
          <w:rFonts w:ascii="Palatino Linotype" w:hAnsi="Palatino Linotype" w:eastAsia="Palatino Linotype" w:cs="Times New Roman"/>
          <w:snapToGrid w:val="0"/>
          <w:kern w:val="0"/>
          <w14:ligatures w14:val="none"/>
        </w:rPr>
        <w:t>A</w:t>
      </w:r>
      <w:r w:rsidRPr="002236D5">
        <w:rPr>
          <w:rFonts w:ascii="Palatino Linotype" w:hAnsi="Palatino Linotype" w:eastAsia="Palatino Linotype" w:cs="Times New Roman"/>
          <w:snapToGrid w:val="0"/>
          <w:kern w:val="0"/>
          <w14:ligatures w14:val="none"/>
        </w:rPr>
        <w:t xml:space="preserve">dvice </w:t>
      </w:r>
      <w:r w:rsidR="00E94016">
        <w:rPr>
          <w:rFonts w:ascii="Palatino Linotype" w:hAnsi="Palatino Linotype" w:eastAsia="Palatino Linotype" w:cs="Times New Roman"/>
          <w:snapToGrid w:val="0"/>
          <w:kern w:val="0"/>
          <w14:ligatures w14:val="none"/>
        </w:rPr>
        <w:t>L</w:t>
      </w:r>
      <w:r w:rsidRPr="002236D5">
        <w:rPr>
          <w:rFonts w:ascii="Palatino Linotype" w:hAnsi="Palatino Linotype" w:eastAsia="Palatino Linotype" w:cs="Times New Roman"/>
          <w:snapToGrid w:val="0"/>
          <w:kern w:val="0"/>
          <w14:ligatures w14:val="none"/>
        </w:rPr>
        <w:t xml:space="preserve">etter that includes, as attachments, (a) the finalized binding cost </w:t>
      </w:r>
      <w:r w:rsidR="001A5B7F">
        <w:rPr>
          <w:rFonts w:ascii="Palatino Linotype" w:hAnsi="Palatino Linotype" w:eastAsia="Palatino Linotype" w:cs="Times New Roman"/>
          <w:snapToGrid w:val="0"/>
          <w:kern w:val="0"/>
          <w14:ligatures w14:val="none"/>
        </w:rPr>
        <w:t>cap</w:t>
      </w:r>
      <w:r w:rsidRPr="002236D5">
        <w:rPr>
          <w:rFonts w:ascii="Palatino Linotype" w:hAnsi="Palatino Linotype" w:eastAsia="Palatino Linotype" w:cs="Times New Roman"/>
          <w:snapToGrid w:val="0"/>
          <w:kern w:val="0"/>
          <w14:ligatures w14:val="none"/>
        </w:rPr>
        <w:t xml:space="preserve"> for refundable Standard Facilities, </w:t>
      </w:r>
      <w:r w:rsidR="0030610D">
        <w:rPr>
          <w:rFonts w:ascii="Palatino Linotype" w:hAnsi="Palatino Linotype" w:eastAsia="Palatino Linotype" w:cs="Times New Roman"/>
          <w:snapToGrid w:val="0"/>
          <w:kern w:val="0"/>
          <w14:ligatures w14:val="none"/>
        </w:rPr>
        <w:br/>
      </w:r>
      <w:r w:rsidRPr="002236D5">
        <w:rPr>
          <w:rFonts w:ascii="Palatino Linotype" w:hAnsi="Palatino Linotype" w:eastAsia="Palatino Linotype" w:cs="Times New Roman"/>
          <w:snapToGrid w:val="0"/>
          <w:kern w:val="0"/>
          <w14:ligatures w14:val="none"/>
        </w:rPr>
        <w:t xml:space="preserve">(b) a description of the inputs, assumptions, and </w:t>
      </w:r>
      <w:r w:rsidR="00692253">
        <w:rPr>
          <w:rFonts w:ascii="Palatino Linotype" w:hAnsi="Palatino Linotype" w:eastAsia="Palatino Linotype" w:cs="Times New Roman"/>
          <w:snapToGrid w:val="0"/>
          <w:kern w:val="0"/>
          <w14:ligatures w14:val="none"/>
        </w:rPr>
        <w:t xml:space="preserve">the </w:t>
      </w:r>
      <w:r w:rsidRPr="002236D5">
        <w:rPr>
          <w:rFonts w:ascii="Palatino Linotype" w:hAnsi="Palatino Linotype" w:eastAsia="Palatino Linotype" w:cs="Times New Roman"/>
          <w:snapToGrid w:val="0"/>
          <w:kern w:val="0"/>
          <w14:ligatures w14:val="none"/>
        </w:rPr>
        <w:t xml:space="preserve">application of </w:t>
      </w:r>
      <w:r w:rsidR="00692253">
        <w:rPr>
          <w:rFonts w:ascii="Palatino Linotype" w:hAnsi="Palatino Linotype" w:eastAsia="Palatino Linotype" w:cs="Times New Roman"/>
          <w:snapToGrid w:val="0"/>
          <w:kern w:val="0"/>
          <w14:ligatures w14:val="none"/>
        </w:rPr>
        <w:t>a single contingency adjustment</w:t>
      </w:r>
      <w:r w:rsidRPr="002236D5">
        <w:rPr>
          <w:rFonts w:ascii="Palatino Linotype" w:hAnsi="Palatino Linotype" w:eastAsia="Palatino Linotype" w:cs="Times New Roman"/>
          <w:snapToGrid w:val="0"/>
          <w:kern w:val="0"/>
          <w14:ligatures w14:val="none"/>
        </w:rPr>
        <w:t xml:space="preserve"> used to derive the binding cost </w:t>
      </w:r>
      <w:r w:rsidR="00692253">
        <w:rPr>
          <w:rFonts w:ascii="Palatino Linotype" w:hAnsi="Palatino Linotype" w:eastAsia="Palatino Linotype" w:cs="Times New Roman"/>
          <w:snapToGrid w:val="0"/>
          <w:kern w:val="0"/>
          <w14:ligatures w14:val="none"/>
        </w:rPr>
        <w:t>cap</w:t>
      </w:r>
      <w:r w:rsidRPr="002236D5">
        <w:rPr>
          <w:rFonts w:ascii="Palatino Linotype" w:hAnsi="Palatino Linotype" w:eastAsia="Palatino Linotype" w:cs="Times New Roman"/>
          <w:snapToGrid w:val="0"/>
          <w:kern w:val="0"/>
          <w14:ligatures w14:val="none"/>
        </w:rPr>
        <w:t xml:space="preserve">, (c) a description of how refundable Standard Facilities and non-refundable Special Facilities were treated separately, and (d) a </w:t>
      </w:r>
      <w:r w:rsidR="00E94016">
        <w:rPr>
          <w:rFonts w:ascii="Palatino Linotype" w:hAnsi="Palatino Linotype" w:eastAsia="Palatino Linotype" w:cs="Times New Roman"/>
          <w:snapToGrid w:val="0"/>
          <w:kern w:val="0"/>
          <w14:ligatures w14:val="none"/>
        </w:rPr>
        <w:t>section confirming</w:t>
      </w:r>
      <w:r w:rsidRPr="002236D5">
        <w:rPr>
          <w:rFonts w:ascii="Palatino Linotype" w:hAnsi="Palatino Linotype" w:eastAsia="Palatino Linotype" w:cs="Times New Roman"/>
          <w:snapToGrid w:val="0"/>
          <w:kern w:val="0"/>
          <w14:ligatures w14:val="none"/>
        </w:rPr>
        <w:t xml:space="preserve"> that the binding cost estimate for refundable Standard Facilities excludes costs overlapping with PG&amp;E oversight and supplemental costs.</w:t>
      </w:r>
      <w:r w:rsidR="00D732B0">
        <w:rPr>
          <w:rFonts w:ascii="Palatino Linotype" w:hAnsi="Palatino Linotype" w:eastAsia="Palatino Linotype" w:cs="Times New Roman"/>
          <w:snapToGrid w:val="0"/>
          <w:kern w:val="0"/>
          <w14:ligatures w14:val="none"/>
        </w:rPr>
        <w:t xml:space="preserve"> Some or all of these attachments may be confidential.</w:t>
      </w:r>
    </w:p>
    <w:p w:rsidRPr="00C61639" w:rsidR="00A76F4A" w:rsidP="00D732B0" w:rsidRDefault="001A2D30" w14:paraId="5EC10F41" w14:textId="4C32A53A">
      <w:pPr>
        <w:numPr>
          <w:ilvl w:val="0"/>
          <w:numId w:val="2"/>
        </w:numPr>
        <w:spacing w:after="120" w:line="240" w:lineRule="auto"/>
        <w:rPr>
          <w:rFonts w:ascii="Palatino Linotype" w:hAnsi="Palatino Linotype" w:eastAsia="Palatino Linotype" w:cs="Times New Roman"/>
          <w:snapToGrid w:val="0"/>
          <w:kern w:val="0"/>
          <w14:ligatures w14:val="none"/>
        </w:rPr>
      </w:pPr>
      <w:r>
        <w:rPr>
          <w:rFonts w:ascii="Palatino Linotype" w:hAnsi="Palatino Linotype" w:eastAsia="Palatino Linotype" w:cs="Times New Roman"/>
          <w:snapToGrid w:val="0"/>
          <w:kern w:val="0"/>
          <w14:ligatures w14:val="none"/>
        </w:rPr>
        <w:t xml:space="preserve">PG&amp;E may seek approval for the modified </w:t>
      </w:r>
      <w:r w:rsidR="00545E16">
        <w:rPr>
          <w:rFonts w:ascii="Palatino Linotype" w:hAnsi="Palatino Linotype" w:eastAsia="Palatino Linotype" w:cs="Times New Roman"/>
          <w:snapToGrid w:val="0"/>
          <w:kern w:val="0"/>
          <w14:ligatures w14:val="none"/>
        </w:rPr>
        <w:t>Agreement</w:t>
      </w:r>
      <w:r w:rsidRPr="00AA5C96">
        <w:rPr>
          <w:rFonts w:ascii="Palatino Linotype" w:hAnsi="Palatino Linotype" w:eastAsia="Palatino Linotype" w:cs="Times New Roman"/>
          <w:snapToGrid w:val="0"/>
          <w:kern w:val="0"/>
          <w14:ligatures w14:val="none"/>
        </w:rPr>
        <w:t xml:space="preserve"> </w:t>
      </w:r>
      <w:r>
        <w:rPr>
          <w:rFonts w:ascii="Palatino Linotype" w:hAnsi="Palatino Linotype" w:eastAsia="Palatino Linotype" w:cs="Times New Roman"/>
          <w:snapToGrid w:val="0"/>
          <w:kern w:val="0"/>
          <w14:ligatures w14:val="none"/>
        </w:rPr>
        <w:t>through a Tier 1 Advice Letter.</w:t>
      </w:r>
    </w:p>
    <w:p w:rsidRPr="001942D0" w:rsidR="00A76F4A" w:rsidP="00A76F4A" w:rsidRDefault="00A76F4A" w14:paraId="2F730BE1"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942D0" w:rsidR="00A76F4A" w:rsidP="00A76F4A" w:rsidRDefault="00A76F4A" w14:paraId="6B9B735A"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This Resolution is effective today.</w:t>
      </w:r>
    </w:p>
    <w:p w:rsidR="00A76F4A" w:rsidP="251370F6" w:rsidRDefault="00A76F4A" w14:paraId="6FDD03B7" w14:textId="77777777">
      <w:pPr>
        <w:keepNext/>
        <w:tabs>
          <w:tab w:val="left" w:pos="720"/>
          <w:tab w:val="left" w:pos="1296"/>
          <w:tab w:val="left" w:pos="2016"/>
          <w:tab w:val="left" w:pos="2736"/>
          <w:tab w:val="left" w:pos="3456"/>
          <w:tab w:val="left" w:pos="4176"/>
          <w:tab w:val="left" w:pos="4500"/>
        </w:tabs>
        <w:spacing w:after="0" w:line="240" w:lineRule="auto"/>
        <w:rPr>
          <w:rFonts w:ascii="Palatino Linotype" w:hAnsi="Palatino Linotype" w:eastAsia="Palatino Linotype" w:cs="Times New Roman"/>
          <w:kern w:val="0"/>
          <w14:ligatures w14:val="none"/>
        </w:rPr>
      </w:pPr>
    </w:p>
    <w:p w:rsidR="00A76F4A" w:rsidP="00A76F4A" w:rsidRDefault="00A76F4A" w14:paraId="7C0D2B15"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51493D" w:rsidR="00A76F4A" w:rsidP="00A76F4A" w:rsidRDefault="00A76F4A" w14:paraId="203AD159" w14:textId="4EE7A43A">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w:t>
      </w:r>
      <w:r w:rsidR="007709C9">
        <w:rPr>
          <w:rFonts w:ascii="Palatino Linotype" w:hAnsi="Palatino Linotype"/>
        </w:rPr>
        <w:t>R</w:t>
      </w:r>
      <w:r w:rsidRPr="0051493D">
        <w:rPr>
          <w:rFonts w:ascii="Palatino Linotype" w:hAnsi="Palatino Linotype"/>
        </w:rPr>
        <w:t xml:space="preserve">esolution was duly introduced, passed and adopted at a conference of the Public Utilities Commission of the State of California held on </w:t>
      </w:r>
      <w:r w:rsidRPr="0051493D">
        <w:rPr>
          <w:rFonts w:ascii="Palatino Linotype" w:hAnsi="Palatino Linotype"/>
          <w:highlight w:val="yellow"/>
        </w:rPr>
        <w:t>[DATE];</w:t>
      </w:r>
      <w:r w:rsidRPr="0051493D">
        <w:rPr>
          <w:rFonts w:ascii="Palatino Linotype" w:hAnsi="Palatino Linotype"/>
        </w:rPr>
        <w:t xml:space="preserve"> the following Commissioners voting favorably thereon:</w:t>
      </w:r>
    </w:p>
    <w:p w:rsidRPr="001942D0" w:rsidR="00A76F4A" w:rsidP="006A5360" w:rsidRDefault="542AC687" w14:paraId="6E385009" w14:textId="75CDA1A6">
      <w:pPr>
        <w:keepNext/>
        <w:spacing w:after="0" w:line="240" w:lineRule="auto"/>
        <w:ind w:firstLine="4176"/>
        <w:rPr>
          <w:rFonts w:ascii="Palatino Linotype" w:hAnsi="Palatino Linotype" w:eastAsia="Palatino Linotype" w:cs="Times New Roman"/>
        </w:rPr>
      </w:pPr>
      <w:r w:rsidRPr="4B8EF7B2">
        <w:rPr>
          <w:rFonts w:ascii="Palatino Linotype" w:hAnsi="Palatino Linotype" w:eastAsia="Palatino Linotype" w:cs="Times New Roman"/>
        </w:rPr>
        <w:t xml:space="preserve">Commissioner Signature blocks to be added </w:t>
      </w:r>
    </w:p>
    <w:p w:rsidRPr="001942D0" w:rsidR="00A76F4A" w:rsidP="006A5360" w:rsidRDefault="542AC687" w14:paraId="6FDD2628" w14:textId="64BD399A">
      <w:pPr>
        <w:keepNext/>
        <w:spacing w:after="0" w:line="240" w:lineRule="auto"/>
        <w:ind w:firstLine="4176"/>
        <w:rPr>
          <w:rFonts w:ascii="Palatino Linotype" w:hAnsi="Palatino Linotype" w:eastAsia="Palatino Linotype" w:cs="Times New Roman"/>
        </w:rPr>
      </w:pPr>
      <w:r w:rsidRPr="4B8EF7B2">
        <w:rPr>
          <w:rFonts w:ascii="Palatino Linotype" w:hAnsi="Palatino Linotype" w:eastAsia="Palatino Linotype" w:cs="Times New Roman"/>
        </w:rPr>
        <w:t xml:space="preserve">upon adoption of the </w:t>
      </w:r>
      <w:r w:rsidR="007709C9">
        <w:rPr>
          <w:rFonts w:ascii="Palatino Linotype" w:hAnsi="Palatino Linotype" w:eastAsia="Palatino Linotype" w:cs="Times New Roman"/>
        </w:rPr>
        <w:t>R</w:t>
      </w:r>
      <w:r w:rsidRPr="4B8EF7B2">
        <w:rPr>
          <w:rFonts w:ascii="Palatino Linotype" w:hAnsi="Palatino Linotype" w:eastAsia="Palatino Linotype" w:cs="Times New Roman"/>
        </w:rPr>
        <w:t>esolution</w:t>
      </w:r>
    </w:p>
    <w:p w:rsidRPr="001942D0" w:rsidR="00A76F4A" w:rsidP="006A5360" w:rsidRDefault="00A76F4A" w14:paraId="0B7DFB9B" w14:textId="1BDC677F">
      <w:pPr>
        <w:keepNext/>
        <w:spacing w:after="0" w:line="240" w:lineRule="auto"/>
        <w:rPr>
          <w:rFonts w:ascii="Palatino Linotype" w:hAnsi="Palatino Linotype" w:eastAsia="Palatino Linotype" w:cs="Times New Roman"/>
          <w:kern w:val="0"/>
          <w14:ligatures w14:val="none"/>
        </w:rPr>
      </w:pPr>
    </w:p>
    <w:p w:rsidRPr="001942D0" w:rsidR="00A76F4A" w:rsidP="006A5360" w:rsidRDefault="00A76F4A" w14:paraId="7B2A2C97" w14:textId="77777777">
      <w:pPr>
        <w:keepNext/>
        <w:spacing w:after="0" w:line="240" w:lineRule="auto"/>
        <w:rPr>
          <w:rFonts w:ascii="Palatino Linotype" w:hAnsi="Palatino Linotype" w:eastAsia="Palatino Linotype" w:cs="Times New Roman"/>
          <w:kern w:val="0"/>
          <w14:ligatures w14:val="none"/>
        </w:rPr>
      </w:pPr>
    </w:p>
    <w:p w:rsidR="00A76F4A" w:rsidP="006A5360" w:rsidRDefault="00A76F4A" w14:paraId="1BFDA168" w14:textId="569A457D">
      <w:pPr>
        <w:keepNext/>
        <w:spacing w:after="0" w:line="240" w:lineRule="auto"/>
        <w:rPr>
          <w:rFonts w:ascii="Palatino Linotype" w:hAnsi="Palatino Linotype" w:eastAsia="Palatino Linotype" w:cs="Times New Roman"/>
        </w:rPr>
      </w:pPr>
      <w:r w:rsidRPr="00921E87">
        <w:rPr>
          <w:rFonts w:ascii="Palatino Linotype" w:hAnsi="Palatino Linotype" w:eastAsia="Palatino Linotype" w:cs="Times New Roman"/>
        </w:rPr>
        <w:t xml:space="preserve">Dated </w:t>
      </w:r>
      <w:r>
        <w:rPr>
          <w:rFonts w:ascii="Palatino Linotype" w:hAnsi="Palatino Linotype" w:eastAsia="Palatino Linotype" w:cs="Times New Roman"/>
          <w:u w:val="single"/>
        </w:rPr>
        <w:t xml:space="preserve">                                                                   </w:t>
      </w:r>
      <w:r w:rsidRPr="00921E87">
        <w:rPr>
          <w:rFonts w:ascii="Palatino Linotype" w:hAnsi="Palatino Linotype" w:eastAsia="Palatino Linotype" w:cs="Times New Roman"/>
        </w:rPr>
        <w:t xml:space="preserve">, at </w:t>
      </w:r>
      <w:r w:rsidR="00DB7E32">
        <w:rPr>
          <w:rFonts w:ascii="Palatino Linotype" w:hAnsi="Palatino Linotype" w:eastAsia="Palatino Linotype" w:cs="Times New Roman"/>
        </w:rPr>
        <w:t>San Francisco</w:t>
      </w:r>
      <w:r w:rsidRPr="00921E87">
        <w:rPr>
          <w:rFonts w:ascii="Palatino Linotype" w:hAnsi="Palatino Linotype" w:eastAsia="Palatino Linotype" w:cs="Times New Roman"/>
        </w:rPr>
        <w:t>, California</w:t>
      </w:r>
      <w:r w:rsidR="00DB7E32">
        <w:rPr>
          <w:rFonts w:ascii="Palatino Linotype" w:hAnsi="Palatino Linotype" w:eastAsia="Palatino Linotype" w:cs="Times New Roman"/>
        </w:rPr>
        <w:t>.</w:t>
      </w:r>
      <w:r>
        <w:tab/>
      </w:r>
    </w:p>
    <w:p w:rsidR="00A76F4A" w:rsidP="00A76F4A" w:rsidRDefault="00A76F4A" w14:paraId="6C25D2B1" w14:textId="77777777">
      <w:pPr>
        <w:keepNext/>
        <w:spacing w:after="0" w:line="240" w:lineRule="auto"/>
        <w:rPr>
          <w:rFonts w:ascii="Palatino Linotype" w:hAnsi="Palatino Linotype" w:eastAsia="Palatino Linotype" w:cs="Times New Roman"/>
        </w:rPr>
      </w:pPr>
    </w:p>
    <w:p w:rsidR="00A76F4A" w:rsidP="00A76F4A" w:rsidRDefault="00A76F4A" w14:paraId="0210CE2F" w14:textId="77777777">
      <w:pPr>
        <w:keepNext/>
        <w:spacing w:after="0" w:line="240" w:lineRule="auto"/>
        <w:rPr>
          <w:rFonts w:ascii="Palatino Linotype" w:hAnsi="Palatino Linotype" w:eastAsia="Palatino Linotype" w:cs="Times New Roman"/>
        </w:rPr>
      </w:pPr>
    </w:p>
    <w:p w:rsidR="00A76F4A" w:rsidP="00A76F4A" w:rsidRDefault="00A76F4A" w14:paraId="59C29A8B" w14:textId="77777777">
      <w:pPr>
        <w:keepNext/>
        <w:spacing w:after="0" w:line="240" w:lineRule="auto"/>
        <w:rPr>
          <w:rFonts w:ascii="Palatino Linotype" w:hAnsi="Palatino Linotype" w:eastAsia="Palatino Linotype" w:cs="Times New Roman"/>
        </w:rPr>
      </w:pPr>
    </w:p>
    <w:p w:rsidR="00A76F4A" w:rsidP="00A76F4A" w:rsidRDefault="00A76F4A" w14:paraId="19AFAC8E" w14:textId="77777777">
      <w:pPr>
        <w:keepNext/>
        <w:spacing w:after="0" w:line="240" w:lineRule="auto"/>
        <w:rPr>
          <w:rFonts w:ascii="Palatino Linotype" w:hAnsi="Palatino Linotype" w:eastAsia="Palatino Linotype" w:cs="Times New Roman"/>
        </w:rPr>
      </w:pPr>
    </w:p>
    <w:p w:rsidR="00A76F4A" w:rsidP="00E851DF" w:rsidRDefault="00A76F4A" w14:paraId="1FD216D4" w14:textId="77777777">
      <w:pPr>
        <w:keepNext/>
        <w:spacing w:after="0" w:line="240" w:lineRule="auto"/>
      </w:pPr>
    </w:p>
    <w:sectPr w:rsidR="00A76F4A" w:rsidSect="00750E9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5C234" w14:textId="77777777" w:rsidR="00945804" w:rsidRDefault="00945804" w:rsidP="00A76F4A">
      <w:pPr>
        <w:spacing w:after="0" w:line="240" w:lineRule="auto"/>
      </w:pPr>
      <w:r>
        <w:separator/>
      </w:r>
    </w:p>
  </w:endnote>
  <w:endnote w:type="continuationSeparator" w:id="0">
    <w:p w14:paraId="5040A18F" w14:textId="77777777" w:rsidR="00945804" w:rsidRDefault="00945804" w:rsidP="00A76F4A">
      <w:pPr>
        <w:spacing w:after="0" w:line="240" w:lineRule="auto"/>
      </w:pPr>
      <w:r>
        <w:continuationSeparator/>
      </w:r>
    </w:p>
  </w:endnote>
  <w:endnote w:type="continuationNotice" w:id="1">
    <w:p w14:paraId="64E9D4E2" w14:textId="77777777" w:rsidR="00945804" w:rsidRDefault="009458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variable"/>
    <w:sig w:usb0="E0002AFF" w:usb1="5000785B" w:usb2="00000000"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6AE7E73A" w:rsidR="004A7A4C" w:rsidRPr="004A7A4C" w:rsidRDefault="00606F26" w:rsidP="004A7A4C">
        <w:pPr>
          <w:pStyle w:val="Footer"/>
          <w:rPr>
            <w:rFonts w:ascii="Palatino Linotype" w:hAnsi="Palatino Linotype"/>
          </w:rPr>
        </w:pPr>
        <w:r w:rsidRPr="00606F26">
          <w:rPr>
            <w:rFonts w:ascii="Tahoma" w:hAnsi="Tahoma" w:cs="Tahoma"/>
            <w:sz w:val="16"/>
            <w:szCs w:val="22"/>
          </w:rPr>
          <w:t>607718746</w:t>
        </w:r>
        <w:r w:rsidR="00FB7C7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4EB4C" w14:textId="77777777" w:rsidR="00945804" w:rsidRDefault="00945804" w:rsidP="00A76F4A">
      <w:pPr>
        <w:spacing w:after="0" w:line="240" w:lineRule="auto"/>
      </w:pPr>
      <w:r>
        <w:separator/>
      </w:r>
    </w:p>
  </w:footnote>
  <w:footnote w:type="continuationSeparator" w:id="0">
    <w:p w14:paraId="127650CA" w14:textId="77777777" w:rsidR="00945804" w:rsidRDefault="00945804" w:rsidP="00A76F4A">
      <w:pPr>
        <w:spacing w:after="0" w:line="240" w:lineRule="auto"/>
      </w:pPr>
      <w:r>
        <w:continuationSeparator/>
      </w:r>
    </w:p>
  </w:footnote>
  <w:footnote w:type="continuationNotice" w:id="1">
    <w:p w14:paraId="615B1F6E" w14:textId="77777777" w:rsidR="00945804" w:rsidRDefault="00945804">
      <w:pPr>
        <w:spacing w:after="0" w:line="240" w:lineRule="auto"/>
      </w:pPr>
    </w:p>
  </w:footnote>
  <w:footnote w:id="2">
    <w:p w14:paraId="05E7B6F6" w14:textId="675F8CE9" w:rsidR="00A6263C" w:rsidRPr="0030610D" w:rsidRDefault="00A6263C">
      <w:pPr>
        <w:pStyle w:val="FootnoteText"/>
        <w:rPr>
          <w:rFonts w:ascii="Palatino Linotype" w:hAnsi="Palatino Linotype"/>
        </w:rPr>
      </w:pPr>
      <w:r w:rsidRPr="0030610D">
        <w:rPr>
          <w:rStyle w:val="FootnoteReference"/>
          <w:rFonts w:ascii="Palatino Linotype" w:hAnsi="Palatino Linotype"/>
        </w:rPr>
        <w:footnoteRef/>
      </w:r>
      <w:r w:rsidRPr="0030610D">
        <w:rPr>
          <w:rFonts w:ascii="Palatino Linotype" w:hAnsi="Palatino Linotype"/>
        </w:rPr>
        <w:t xml:space="preserve"> Calculated based on the </w:t>
      </w:r>
      <w:r w:rsidR="0032577E" w:rsidRPr="0030610D">
        <w:rPr>
          <w:rFonts w:ascii="Palatino Linotype" w:hAnsi="Palatino Linotype"/>
        </w:rPr>
        <w:t>California Energy Commission Energy Consumption Dashboard.</w:t>
      </w:r>
    </w:p>
  </w:footnote>
  <w:footnote w:id="3">
    <w:p w14:paraId="69D79C4D" w14:textId="77777777" w:rsidR="00555D5D" w:rsidRPr="0030610D" w:rsidRDefault="00555D5D" w:rsidP="00555D5D">
      <w:pPr>
        <w:pStyle w:val="FootnoteText"/>
        <w:rPr>
          <w:rFonts w:ascii="Palatino Linotype" w:hAnsi="Palatino Linotype"/>
        </w:rPr>
      </w:pPr>
      <w:r w:rsidRPr="0030610D">
        <w:rPr>
          <w:rStyle w:val="FootnoteReference"/>
          <w:rFonts w:ascii="Palatino Linotype" w:hAnsi="Palatino Linotype"/>
        </w:rPr>
        <w:footnoteRef/>
      </w:r>
      <w:r w:rsidRPr="0030610D">
        <w:rPr>
          <w:rFonts w:ascii="Palatino Linotype" w:hAnsi="Palatino Linotype"/>
        </w:rPr>
        <w:t xml:space="preserve"> For additional detail on the BARC methodology, including an example, see PG&amp;E Supplemental Testimony Work Paper 1 in A. 24-11-007, submitted March 21, 2025.</w:t>
      </w:r>
    </w:p>
  </w:footnote>
  <w:footnote w:id="4">
    <w:p w14:paraId="72FE0AE7" w14:textId="18BB3703" w:rsidR="009566DE" w:rsidRPr="0030610D" w:rsidRDefault="009566DE">
      <w:pPr>
        <w:pStyle w:val="FootnoteText"/>
        <w:rPr>
          <w:rFonts w:ascii="Palatino Linotype" w:hAnsi="Palatino Linotype"/>
        </w:rPr>
      </w:pPr>
      <w:r w:rsidRPr="0030610D">
        <w:rPr>
          <w:rStyle w:val="FootnoteReference"/>
          <w:rFonts w:ascii="Palatino Linotype" w:hAnsi="Palatino Linotype"/>
        </w:rPr>
        <w:footnoteRef/>
      </w:r>
      <w:r w:rsidRPr="0030610D">
        <w:rPr>
          <w:rFonts w:ascii="Palatino Linotype" w:hAnsi="Palatino Linotype"/>
        </w:rPr>
        <w:t xml:space="preserve"> Cal Advocates Protest at p. 4.</w:t>
      </w:r>
    </w:p>
  </w:footnote>
  <w:footnote w:id="5">
    <w:p w14:paraId="7244ED36" w14:textId="3BC8EB02" w:rsidR="00DD6B07" w:rsidRPr="0030610D" w:rsidRDefault="00DD6B07">
      <w:pPr>
        <w:pStyle w:val="FootnoteText"/>
        <w:rPr>
          <w:rFonts w:ascii="Palatino Linotype" w:hAnsi="Palatino Linotype"/>
        </w:rPr>
      </w:pPr>
      <w:r w:rsidRPr="0030610D">
        <w:rPr>
          <w:rStyle w:val="FootnoteReference"/>
          <w:rFonts w:ascii="Palatino Linotype" w:hAnsi="Palatino Linotype"/>
        </w:rPr>
        <w:footnoteRef/>
      </w:r>
      <w:r w:rsidRPr="0030610D">
        <w:rPr>
          <w:rFonts w:ascii="Palatino Linotype" w:hAnsi="Palatino Linotype"/>
        </w:rPr>
        <w:t xml:space="preserve"> Cal Advocates Protest at p. 4.</w:t>
      </w:r>
    </w:p>
  </w:footnote>
  <w:footnote w:id="6">
    <w:p w14:paraId="661BC9CE" w14:textId="1C68E0FD" w:rsidR="00D260EC" w:rsidRPr="0030610D" w:rsidRDefault="00D260EC">
      <w:pPr>
        <w:pStyle w:val="FootnoteText"/>
        <w:rPr>
          <w:rFonts w:ascii="Palatino Linotype" w:hAnsi="Palatino Linotype"/>
        </w:rPr>
      </w:pPr>
      <w:r w:rsidRPr="0030610D">
        <w:rPr>
          <w:rStyle w:val="FootnoteReference"/>
          <w:rFonts w:ascii="Palatino Linotype" w:hAnsi="Palatino Linotype"/>
        </w:rPr>
        <w:footnoteRef/>
      </w:r>
      <w:r w:rsidRPr="0030610D">
        <w:rPr>
          <w:rFonts w:ascii="Palatino Linotype" w:hAnsi="Palatino Linotype"/>
        </w:rPr>
        <w:t xml:space="preserve"> Cal Advocates Protest at p. 4.</w:t>
      </w:r>
    </w:p>
  </w:footnote>
  <w:footnote w:id="7">
    <w:p w14:paraId="5A68E797" w14:textId="794BFC12" w:rsidR="00215850" w:rsidRPr="0030610D" w:rsidRDefault="00215850">
      <w:pPr>
        <w:pStyle w:val="FootnoteText"/>
        <w:rPr>
          <w:rFonts w:ascii="Palatino Linotype" w:hAnsi="Palatino Linotype"/>
        </w:rPr>
      </w:pPr>
      <w:r w:rsidRPr="0030610D">
        <w:rPr>
          <w:rStyle w:val="FootnoteReference"/>
          <w:rFonts w:ascii="Palatino Linotype" w:hAnsi="Palatino Linotype"/>
        </w:rPr>
        <w:footnoteRef/>
      </w:r>
      <w:r w:rsidRPr="0030610D">
        <w:rPr>
          <w:rFonts w:ascii="Palatino Linotype" w:hAnsi="Palatino Linotype"/>
        </w:rPr>
        <w:t xml:space="preserve"> Cal Advocates at p. </w:t>
      </w:r>
      <w:r w:rsidR="009F09FF" w:rsidRPr="0030610D">
        <w:rPr>
          <w:rFonts w:ascii="Palatino Linotype" w:hAnsi="Palatino Linotype"/>
        </w:rPr>
        <w:t>4.</w:t>
      </w:r>
    </w:p>
  </w:footnote>
  <w:footnote w:id="8">
    <w:p w14:paraId="17E87617" w14:textId="4E04FF63" w:rsidR="00321D8C" w:rsidRPr="0030610D" w:rsidRDefault="00321D8C">
      <w:pPr>
        <w:pStyle w:val="FootnoteText"/>
        <w:rPr>
          <w:rFonts w:ascii="Palatino Linotype" w:hAnsi="Palatino Linotype"/>
        </w:rPr>
      </w:pPr>
      <w:r w:rsidRPr="0030610D">
        <w:rPr>
          <w:rStyle w:val="FootnoteReference"/>
          <w:rFonts w:ascii="Palatino Linotype" w:hAnsi="Palatino Linotype"/>
        </w:rPr>
        <w:footnoteRef/>
      </w:r>
      <w:r w:rsidRPr="0030610D">
        <w:rPr>
          <w:rFonts w:ascii="Palatino Linotype" w:hAnsi="Palatino Linotype"/>
        </w:rPr>
        <w:t xml:space="preserve"> For a total revenue requirement </w:t>
      </w:r>
      <w:r w:rsidR="00105E5A" w:rsidRPr="0030610D">
        <w:rPr>
          <w:rFonts w:ascii="Palatino Linotype" w:hAnsi="Palatino Linotype"/>
        </w:rPr>
        <w:t>of roughly</w:t>
      </w:r>
      <w:r w:rsidRPr="0030610D">
        <w:rPr>
          <w:rFonts w:ascii="Palatino Linotype" w:hAnsi="Palatino Linotype"/>
        </w:rPr>
        <w:t xml:space="preserve"> $2.8 billion dollars over 40 years.</w:t>
      </w:r>
    </w:p>
  </w:footnote>
  <w:footnote w:id="9">
    <w:p w14:paraId="3A31036C" w14:textId="02980B79" w:rsidR="004C564F" w:rsidRPr="0030610D" w:rsidRDefault="00C37C6C">
      <w:pPr>
        <w:pStyle w:val="FootnoteText"/>
        <w:rPr>
          <w:rFonts w:ascii="Palatino Linotype" w:hAnsi="Palatino Linotype"/>
        </w:rPr>
      </w:pPr>
      <w:r w:rsidRPr="0030610D">
        <w:rPr>
          <w:rStyle w:val="FootnoteReference"/>
          <w:rFonts w:ascii="Palatino Linotype" w:hAnsi="Palatino Linotype"/>
        </w:rPr>
        <w:footnoteRef/>
      </w:r>
      <w:r w:rsidRPr="0030610D">
        <w:rPr>
          <w:rFonts w:ascii="Palatino Linotype" w:hAnsi="Palatino Linotype"/>
        </w:rPr>
        <w:t xml:space="preserve"> D. 26-03-043, which closed A.24-05-014, at p. 26-28</w:t>
      </w:r>
      <w:r w:rsidR="003E6366" w:rsidRPr="0030610D">
        <w:rPr>
          <w:rFonts w:ascii="Palatino Linotype" w:hAnsi="Palatino Linotype"/>
        </w:rPr>
        <w:t xml:space="preserve"> and p. 42. </w:t>
      </w:r>
      <w:hyperlink r:id="rId1" w:history="1">
        <w:r w:rsidR="003E6366" w:rsidRPr="0030610D">
          <w:rPr>
            <w:rStyle w:val="Hyperlink"/>
            <w:rFonts w:ascii="Palatino Linotype" w:hAnsi="Palatino Linotype"/>
          </w:rPr>
          <w:t>https://docs.cpuc.ca.gov/PublishedDocs/Published/G000/M599/K351/599351814.PDF</w:t>
        </w:r>
      </w:hyperlink>
    </w:p>
  </w:footnote>
  <w:footnote w:id="10">
    <w:p w14:paraId="59724A30" w14:textId="7D38E162" w:rsidR="00846CDD" w:rsidRPr="0030610D" w:rsidRDefault="00846CDD">
      <w:pPr>
        <w:pStyle w:val="FootnoteText"/>
        <w:rPr>
          <w:rFonts w:ascii="Palatino Linotype" w:hAnsi="Palatino Linotype"/>
        </w:rPr>
      </w:pPr>
      <w:r w:rsidRPr="0030610D">
        <w:rPr>
          <w:rStyle w:val="FootnoteReference"/>
          <w:rFonts w:ascii="Palatino Linotype" w:hAnsi="Palatino Linotype"/>
        </w:rPr>
        <w:footnoteRef/>
      </w:r>
      <w:r w:rsidRPr="0030610D">
        <w:rPr>
          <w:rFonts w:ascii="Palatino Linotype" w:hAnsi="Palatino Linotype"/>
        </w:rPr>
        <w:t xml:space="preserve"> PG&amp;E Reply at p. 2.</w:t>
      </w:r>
    </w:p>
  </w:footnote>
  <w:footnote w:id="11">
    <w:p w14:paraId="710E381D" w14:textId="719BEA1E" w:rsidR="007C78D7" w:rsidRPr="0030610D" w:rsidRDefault="007C78D7">
      <w:pPr>
        <w:pStyle w:val="FootnoteText"/>
        <w:rPr>
          <w:rFonts w:ascii="Palatino Linotype" w:hAnsi="Palatino Linotype"/>
        </w:rPr>
      </w:pPr>
      <w:r w:rsidRPr="0030610D">
        <w:rPr>
          <w:rStyle w:val="FootnoteReference"/>
          <w:rFonts w:ascii="Palatino Linotype" w:hAnsi="Palatino Linotype"/>
        </w:rPr>
        <w:footnoteRef/>
      </w:r>
      <w:r w:rsidRPr="0030610D">
        <w:rPr>
          <w:rFonts w:ascii="Palatino Linotype" w:hAnsi="Palatino Linotype"/>
        </w:rPr>
        <w:t xml:space="preserve"> PG&amp;E Reply at p. 3.</w:t>
      </w:r>
    </w:p>
  </w:footnote>
  <w:footnote w:id="12">
    <w:p w14:paraId="2BB2D8B8" w14:textId="3E18E8B5" w:rsidR="004F1711" w:rsidRPr="0030610D" w:rsidRDefault="004F1711">
      <w:pPr>
        <w:pStyle w:val="FootnoteText"/>
        <w:rPr>
          <w:rFonts w:ascii="Palatino Linotype" w:hAnsi="Palatino Linotype"/>
        </w:rPr>
      </w:pPr>
      <w:r w:rsidRPr="0030610D">
        <w:rPr>
          <w:rStyle w:val="FootnoteReference"/>
          <w:rFonts w:ascii="Palatino Linotype" w:hAnsi="Palatino Linotype"/>
        </w:rPr>
        <w:footnoteRef/>
      </w:r>
      <w:r w:rsidRPr="0030610D">
        <w:rPr>
          <w:rFonts w:ascii="Palatino Linotype" w:hAnsi="Palatino Linotype"/>
        </w:rPr>
        <w:t xml:space="preserve"> PG&amp;E Reply at p. 3.</w:t>
      </w:r>
    </w:p>
  </w:footnote>
  <w:footnote w:id="13">
    <w:p w14:paraId="1982498A" w14:textId="4CCF703E" w:rsidR="00266D0B" w:rsidRPr="0030610D" w:rsidRDefault="00A613C2">
      <w:pPr>
        <w:pStyle w:val="FootnoteText"/>
        <w:rPr>
          <w:rFonts w:ascii="Palatino Linotype" w:hAnsi="Palatino Linotype"/>
        </w:rPr>
      </w:pPr>
      <w:r w:rsidRPr="0030610D">
        <w:rPr>
          <w:rStyle w:val="FootnoteReference"/>
          <w:rFonts w:ascii="Palatino Linotype" w:hAnsi="Palatino Linotype"/>
        </w:rPr>
        <w:footnoteRef/>
      </w:r>
      <w:r w:rsidRPr="0030610D">
        <w:rPr>
          <w:rFonts w:ascii="Palatino Linotype" w:hAnsi="Palatino Linotype"/>
        </w:rPr>
        <w:t xml:space="preserve"> </w:t>
      </w:r>
      <w:r w:rsidR="007A600C" w:rsidRPr="0030610D">
        <w:rPr>
          <w:rFonts w:ascii="Palatino Linotype" w:hAnsi="Palatino Linotype"/>
        </w:rPr>
        <w:t xml:space="preserve">CAISO San Jose Area Transmission Plan, Engineering Study Report, dated November 5, 2024. </w:t>
      </w:r>
      <w:r w:rsidR="00526FE0" w:rsidRPr="0030610D">
        <w:rPr>
          <w:rFonts w:ascii="Palatino Linotype" w:hAnsi="Palatino Linotype"/>
        </w:rPr>
        <w:t xml:space="preserve">Later in that report, the CAISO notes that </w:t>
      </w:r>
      <w:r w:rsidR="002C7473" w:rsidRPr="0030610D">
        <w:rPr>
          <w:rFonts w:ascii="Palatino Linotype" w:hAnsi="Palatino Linotype"/>
        </w:rPr>
        <w:t xml:space="preserve">this </w:t>
      </w:r>
      <w:r w:rsidR="0024494C" w:rsidRPr="0030610D">
        <w:rPr>
          <w:rFonts w:ascii="Palatino Linotype" w:hAnsi="Palatino Linotype"/>
        </w:rPr>
        <w:t>load growth, mostly driven by data centers, requires additional upgrades beyond just doubling the capacity of the Newark-NRS lin</w:t>
      </w:r>
      <w:r w:rsidR="00504F64" w:rsidRPr="0030610D">
        <w:rPr>
          <w:rFonts w:ascii="Palatino Linotype" w:hAnsi="Palatino Linotype"/>
        </w:rPr>
        <w:t>e. The report says that a “number of local overloads were identified in the need assessment s</w:t>
      </w:r>
      <w:r w:rsidR="001133CB" w:rsidRPr="0030610D">
        <w:rPr>
          <w:rFonts w:ascii="Palatino Linotype" w:hAnsi="Palatino Linotype"/>
        </w:rPr>
        <w:t>tudy results that will not be resolved by any of the alternatives considered” at pg</w:t>
      </w:r>
      <w:r w:rsidR="00902EC7" w:rsidRPr="0030610D">
        <w:rPr>
          <w:rFonts w:ascii="Palatino Linotype" w:hAnsi="Palatino Linotype"/>
        </w:rPr>
        <w:t>.</w:t>
      </w:r>
      <w:r w:rsidR="001133CB" w:rsidRPr="0030610D">
        <w:rPr>
          <w:rFonts w:ascii="Palatino Linotype" w:hAnsi="Palatino Linotype"/>
        </w:rPr>
        <w:t xml:space="preserve"> 11.</w:t>
      </w:r>
      <w:r w:rsidR="0024494C" w:rsidRPr="0030610D">
        <w:rPr>
          <w:rFonts w:ascii="Palatino Linotype" w:hAnsi="Palatino Linotype"/>
        </w:rPr>
        <w:t xml:space="preserve"> </w:t>
      </w:r>
      <w:hyperlink r:id="rId2" w:history="1">
        <w:r w:rsidR="0024494C" w:rsidRPr="0030610D">
          <w:rPr>
            <w:rStyle w:val="Hyperlink"/>
            <w:rFonts w:ascii="Palatino Linotype" w:hAnsi="Palatino Linotype"/>
          </w:rPr>
          <w:t>https://www.caiso.com/documents/decision-on-modifications-to-the-2021-2022-transmission-plan-study-nov-2024.pdf</w:t>
        </w:r>
      </w:hyperlink>
    </w:p>
  </w:footnote>
  <w:footnote w:id="14">
    <w:p w14:paraId="075FDA9E" w14:textId="2E23993F" w:rsidR="005972C2" w:rsidRPr="0030610D" w:rsidRDefault="005972C2">
      <w:pPr>
        <w:pStyle w:val="FootnoteText"/>
        <w:rPr>
          <w:rFonts w:ascii="Palatino Linotype" w:hAnsi="Palatino Linotype"/>
        </w:rPr>
      </w:pPr>
      <w:r w:rsidRPr="0030610D">
        <w:rPr>
          <w:rStyle w:val="FootnoteReference"/>
          <w:rFonts w:ascii="Palatino Linotype" w:hAnsi="Palatino Linotype"/>
        </w:rPr>
        <w:footnoteRef/>
      </w:r>
      <w:r w:rsidRPr="0030610D">
        <w:rPr>
          <w:rFonts w:ascii="Palatino Linotype" w:hAnsi="Palatino Linotype"/>
        </w:rPr>
        <w:t xml:space="preserve"> Cal Advocates Protest at p. 4-5.</w:t>
      </w:r>
    </w:p>
  </w:footnote>
  <w:footnote w:id="15">
    <w:p w14:paraId="208ECEF5" w14:textId="705691E9" w:rsidR="00F52BB3" w:rsidRPr="0030610D" w:rsidRDefault="00F52BB3">
      <w:pPr>
        <w:pStyle w:val="FootnoteText"/>
        <w:rPr>
          <w:rFonts w:ascii="Palatino Linotype" w:hAnsi="Palatino Linotype"/>
        </w:rPr>
      </w:pPr>
      <w:r w:rsidRPr="0030610D">
        <w:rPr>
          <w:rStyle w:val="FootnoteReference"/>
          <w:rFonts w:ascii="Palatino Linotype" w:hAnsi="Palatino Linotype"/>
        </w:rPr>
        <w:footnoteRef/>
      </w:r>
      <w:r w:rsidRPr="0030610D">
        <w:rPr>
          <w:rFonts w:ascii="Palatino Linotype" w:hAnsi="Palatino Linotype"/>
        </w:rPr>
        <w:t xml:space="preserve"> </w:t>
      </w:r>
      <w:r w:rsidRPr="0030610D">
        <w:rPr>
          <w:rFonts w:ascii="Palatino Linotype" w:eastAsia="Palatino Linotype" w:hAnsi="Palatino Linotype" w:cs="Times New Roman"/>
          <w:kern w:val="0"/>
          <w14:ligatures w14:val="none"/>
        </w:rPr>
        <w:t xml:space="preserve">However, we note that if the </w:t>
      </w:r>
      <w:r w:rsidR="00345654" w:rsidRPr="0030610D">
        <w:rPr>
          <w:rFonts w:ascii="Palatino Linotype" w:eastAsia="Palatino Linotype" w:hAnsi="Palatino Linotype" w:cs="Times New Roman"/>
          <w:kern w:val="0"/>
          <w14:ligatures w14:val="none"/>
        </w:rPr>
        <w:t>Rule 30 proceeding</w:t>
      </w:r>
      <w:r w:rsidRPr="0030610D">
        <w:rPr>
          <w:rFonts w:ascii="Palatino Linotype" w:eastAsia="Palatino Linotype" w:hAnsi="Palatino Linotype" w:cs="Times New Roman"/>
          <w:kern w:val="0"/>
          <w14:ligatures w14:val="none"/>
        </w:rPr>
        <w:t xml:space="preserve"> ultimately accounts for the costs of broader transmission network upgrades by limiting the refund amount to a smaller portion of net revenues (for example, to 75 percent of </w:t>
      </w:r>
      <w:r w:rsidR="0055283D" w:rsidRPr="0030610D">
        <w:rPr>
          <w:rFonts w:ascii="Palatino Linotype" w:eastAsia="Palatino Linotype" w:hAnsi="Palatino Linotype" w:cs="Times New Roman"/>
          <w:kern w:val="0"/>
          <w14:ligatures w14:val="none"/>
        </w:rPr>
        <w:t xml:space="preserve">annual </w:t>
      </w:r>
      <w:r w:rsidRPr="0030610D">
        <w:rPr>
          <w:rFonts w:ascii="Palatino Linotype" w:eastAsia="Palatino Linotype" w:hAnsi="Palatino Linotype" w:cs="Times New Roman"/>
          <w:kern w:val="0"/>
          <w14:ligatures w14:val="none"/>
        </w:rPr>
        <w:t>net revenues), a corresponding adjustment should be implemented here.</w:t>
      </w:r>
    </w:p>
  </w:footnote>
  <w:footnote w:id="16">
    <w:p w14:paraId="505ACA93" w14:textId="227583BE" w:rsidR="008B0AE8" w:rsidRPr="0030610D" w:rsidRDefault="008B0AE8">
      <w:pPr>
        <w:pStyle w:val="FootnoteText"/>
        <w:rPr>
          <w:rFonts w:ascii="Palatino Linotype" w:hAnsi="Palatino Linotype"/>
        </w:rPr>
      </w:pPr>
      <w:r w:rsidRPr="0030610D">
        <w:rPr>
          <w:rStyle w:val="FootnoteReference"/>
          <w:rFonts w:ascii="Palatino Linotype" w:hAnsi="Palatino Linotype"/>
        </w:rPr>
        <w:footnoteRef/>
      </w:r>
      <w:r w:rsidRPr="0030610D">
        <w:rPr>
          <w:rFonts w:ascii="Palatino Linotype" w:hAnsi="Palatino Linotype"/>
        </w:rPr>
        <w:t xml:space="preserve"> </w:t>
      </w:r>
      <w:r w:rsidR="002875E2" w:rsidRPr="0030610D">
        <w:rPr>
          <w:rFonts w:ascii="Palatino Linotype" w:hAnsi="Palatino Linotype"/>
        </w:rPr>
        <w:t>PG&amp;E Reply at p. 5-6.</w:t>
      </w:r>
    </w:p>
  </w:footnote>
  <w:footnote w:id="17">
    <w:p w14:paraId="27A3112C" w14:textId="7174BD3C" w:rsidR="00601878" w:rsidRPr="0030610D" w:rsidRDefault="00601878">
      <w:pPr>
        <w:pStyle w:val="FootnoteText"/>
        <w:rPr>
          <w:rFonts w:ascii="Palatino Linotype" w:hAnsi="Palatino Linotype"/>
        </w:rPr>
      </w:pPr>
      <w:r w:rsidRPr="0030610D">
        <w:rPr>
          <w:rStyle w:val="FootnoteReference"/>
          <w:rFonts w:ascii="Palatino Linotype" w:hAnsi="Palatino Linotype"/>
        </w:rPr>
        <w:footnoteRef/>
      </w:r>
      <w:r w:rsidRPr="0030610D">
        <w:rPr>
          <w:rFonts w:ascii="Palatino Linotype" w:hAnsi="Palatino Linotype"/>
        </w:rPr>
        <w:t xml:space="preserve"> Cal Advocates Protest at p. </w:t>
      </w:r>
      <w:r w:rsidR="004360C2" w:rsidRPr="0030610D">
        <w:rPr>
          <w:rFonts w:ascii="Palatino Linotype" w:hAnsi="Palatino Linotype"/>
        </w:rPr>
        <w:t>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280" w14:textId="7822F394" w:rsidR="00A76F4A" w:rsidRDefault="56DF6A51" w:rsidP="00CA3D13">
    <w:pPr>
      <w:pStyle w:val="Header"/>
      <w:tabs>
        <w:tab w:val="clear" w:pos="9360"/>
        <w:tab w:val="right" w:pos="9000"/>
      </w:tabs>
      <w:rPr>
        <w:rFonts w:ascii="Palatino Linotype" w:hAnsi="Palatino Linotype"/>
      </w:rPr>
    </w:pPr>
    <w:r w:rsidRPr="56DF6A51">
      <w:rPr>
        <w:rFonts w:ascii="Palatino Linotype" w:hAnsi="Palatino Linotype"/>
      </w:rPr>
      <w:t xml:space="preserve">ED/Resolution </w:t>
    </w:r>
    <w:r w:rsidR="00BE4D45">
      <w:rPr>
        <w:rFonts w:ascii="Palatino Linotype" w:hAnsi="Palatino Linotype"/>
      </w:rPr>
      <w:t>E-5455</w:t>
    </w:r>
    <w:r w:rsidR="008213BB">
      <w:tab/>
    </w:r>
    <w:r w:rsidRPr="56DF6A51">
      <w:rPr>
        <w:rFonts w:ascii="Palatino Linotype" w:hAnsi="Palatino Linotype"/>
      </w:rPr>
      <w:t>DRAFT</w:t>
    </w:r>
    <w:r w:rsidR="008213BB">
      <w:tab/>
    </w:r>
    <w:r w:rsidR="006A5360">
      <w:rPr>
        <w:rFonts w:ascii="Palatino Linotype" w:hAnsi="Palatino Linotype"/>
      </w:rPr>
      <w:t xml:space="preserve">July </w:t>
    </w:r>
    <w:r w:rsidR="00DB7E32">
      <w:rPr>
        <w:rFonts w:ascii="Palatino Linotype" w:hAnsi="Palatino Linotype"/>
      </w:rPr>
      <w:t>16</w:t>
    </w:r>
    <w:r w:rsidR="00371835">
      <w:rPr>
        <w:rFonts w:ascii="Palatino Linotype" w:hAnsi="Palatino Linotype"/>
      </w:rPr>
      <w:t>, 202</w:t>
    </w:r>
    <w:r w:rsidR="006A5360">
      <w:rPr>
        <w:rFonts w:ascii="Palatino Linotype" w:hAnsi="Palatino Linotype"/>
      </w:rPr>
      <w:t>6</w:t>
    </w:r>
  </w:p>
  <w:p w14:paraId="52548ECE" w14:textId="645714D2" w:rsidR="008213BB" w:rsidRDefault="00BE4D45" w:rsidP="00CA3D13">
    <w:pPr>
      <w:pStyle w:val="Header"/>
      <w:rPr>
        <w:rFonts w:ascii="Palatino Linotype" w:hAnsi="Palatino Linotype"/>
      </w:rPr>
    </w:pPr>
    <w:r>
      <w:rPr>
        <w:rFonts w:ascii="Palatino Linotype" w:hAnsi="Palatino Linotype"/>
      </w:rPr>
      <w:t xml:space="preserve">PG&amp;E AL </w:t>
    </w:r>
    <w:r w:rsidR="00371835">
      <w:rPr>
        <w:rFonts w:ascii="Palatino Linotype" w:hAnsi="Palatino Linotype"/>
      </w:rPr>
      <w:t>7785-E</w:t>
    </w:r>
    <w:r w:rsidR="00565F65">
      <w:rPr>
        <w:rFonts w:ascii="Palatino Linotype" w:hAnsi="Palatino Linotype"/>
      </w:rPr>
      <w:t>/</w:t>
    </w:r>
    <w:r>
      <w:rPr>
        <w:rFonts w:ascii="Palatino Linotype" w:hAnsi="Palatino Linotype"/>
      </w:rPr>
      <w:t>TUT</w:t>
    </w:r>
  </w:p>
  <w:p w14:paraId="02E08ADC" w14:textId="77777777" w:rsidR="006A5360" w:rsidRPr="002A1AD8" w:rsidRDefault="006A5360" w:rsidP="00CA3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775E2A77" w:rsidR="00750E92" w:rsidRPr="00750E92" w:rsidRDefault="00750E92" w:rsidP="00750E92">
    <w:pPr>
      <w:pStyle w:val="Header"/>
      <w:jc w:val="center"/>
      <w:rPr>
        <w:rFonts w:ascii="Palatino Linotype" w:hAnsi="Palatino Linotype"/>
      </w:rPr>
    </w:pPr>
    <w:r w:rsidRPr="00750E92">
      <w:rPr>
        <w:rFonts w:ascii="Palatino Linotype" w:hAnsi="Palatino Linotype"/>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3" w15:restartNumberingAfterBreak="0">
    <w:nsid w:val="598E5C63"/>
    <w:multiLevelType w:val="hybridMultilevel"/>
    <w:tmpl w:val="1E7E15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944842790">
    <w:abstractNumId w:val="2"/>
  </w:num>
  <w:num w:numId="2" w16cid:durableId="1991593136">
    <w:abstractNumId w:val="0"/>
  </w:num>
  <w:num w:numId="3" w16cid:durableId="1754620235">
    <w:abstractNumId w:val="1"/>
  </w:num>
  <w:num w:numId="4" w16cid:durableId="969365539">
    <w:abstractNumId w:val="5"/>
  </w:num>
  <w:num w:numId="5" w16cid:durableId="468133998">
    <w:abstractNumId w:val="4"/>
  </w:num>
  <w:num w:numId="6" w16cid:durableId="426273653">
    <w:abstractNumId w:val="6"/>
  </w:num>
  <w:num w:numId="7" w16cid:durableId="1989744586">
    <w:abstractNumId w:val="3"/>
  </w:num>
  <w:num w:numId="8" w16cid:durableId="1955941867">
    <w:abstractNumId w:val="5"/>
  </w:num>
  <w:num w:numId="9" w16cid:durableId="707603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3CD2"/>
    <w:rsid w:val="00007E00"/>
    <w:rsid w:val="00011EA5"/>
    <w:rsid w:val="00012287"/>
    <w:rsid w:val="00013676"/>
    <w:rsid w:val="00020D86"/>
    <w:rsid w:val="000232D3"/>
    <w:rsid w:val="000267D4"/>
    <w:rsid w:val="0002711B"/>
    <w:rsid w:val="000278E2"/>
    <w:rsid w:val="00032985"/>
    <w:rsid w:val="00036C6D"/>
    <w:rsid w:val="0003744A"/>
    <w:rsid w:val="00037E62"/>
    <w:rsid w:val="000415F2"/>
    <w:rsid w:val="00045E53"/>
    <w:rsid w:val="000471CC"/>
    <w:rsid w:val="000474B5"/>
    <w:rsid w:val="000479D9"/>
    <w:rsid w:val="00051049"/>
    <w:rsid w:val="00051860"/>
    <w:rsid w:val="00051AAB"/>
    <w:rsid w:val="000541FC"/>
    <w:rsid w:val="00054D11"/>
    <w:rsid w:val="00055FA1"/>
    <w:rsid w:val="000576A1"/>
    <w:rsid w:val="00057EFB"/>
    <w:rsid w:val="0006134C"/>
    <w:rsid w:val="00064D54"/>
    <w:rsid w:val="00064E6C"/>
    <w:rsid w:val="00065170"/>
    <w:rsid w:val="00065F29"/>
    <w:rsid w:val="00071D18"/>
    <w:rsid w:val="00073B5A"/>
    <w:rsid w:val="00076A6C"/>
    <w:rsid w:val="0008316C"/>
    <w:rsid w:val="00083496"/>
    <w:rsid w:val="00086B82"/>
    <w:rsid w:val="00087244"/>
    <w:rsid w:val="00087C88"/>
    <w:rsid w:val="00093183"/>
    <w:rsid w:val="00094C02"/>
    <w:rsid w:val="00096240"/>
    <w:rsid w:val="00097ABD"/>
    <w:rsid w:val="000A1D38"/>
    <w:rsid w:val="000A2EBD"/>
    <w:rsid w:val="000A372D"/>
    <w:rsid w:val="000A7E28"/>
    <w:rsid w:val="000B1AF7"/>
    <w:rsid w:val="000B21E4"/>
    <w:rsid w:val="000B2843"/>
    <w:rsid w:val="000B66A8"/>
    <w:rsid w:val="000C2B7A"/>
    <w:rsid w:val="000C2E5A"/>
    <w:rsid w:val="000C3476"/>
    <w:rsid w:val="000C37B7"/>
    <w:rsid w:val="000C41E1"/>
    <w:rsid w:val="000C6C70"/>
    <w:rsid w:val="000D017C"/>
    <w:rsid w:val="000D0F1B"/>
    <w:rsid w:val="000D280D"/>
    <w:rsid w:val="000D284C"/>
    <w:rsid w:val="000D2C0C"/>
    <w:rsid w:val="000D79F5"/>
    <w:rsid w:val="000E2756"/>
    <w:rsid w:val="000E3126"/>
    <w:rsid w:val="000E3539"/>
    <w:rsid w:val="000E3B79"/>
    <w:rsid w:val="000F2C5C"/>
    <w:rsid w:val="000F760D"/>
    <w:rsid w:val="00105E5A"/>
    <w:rsid w:val="001133CB"/>
    <w:rsid w:val="00117BB3"/>
    <w:rsid w:val="00121DA4"/>
    <w:rsid w:val="0012383B"/>
    <w:rsid w:val="001241D5"/>
    <w:rsid w:val="001256B6"/>
    <w:rsid w:val="00125B0D"/>
    <w:rsid w:val="0013015A"/>
    <w:rsid w:val="001316D3"/>
    <w:rsid w:val="001317EC"/>
    <w:rsid w:val="001343A0"/>
    <w:rsid w:val="00136DF7"/>
    <w:rsid w:val="001407ED"/>
    <w:rsid w:val="00140924"/>
    <w:rsid w:val="0014122F"/>
    <w:rsid w:val="001413E9"/>
    <w:rsid w:val="00142607"/>
    <w:rsid w:val="00147645"/>
    <w:rsid w:val="001514DD"/>
    <w:rsid w:val="001530D4"/>
    <w:rsid w:val="001543DE"/>
    <w:rsid w:val="00157EAE"/>
    <w:rsid w:val="001648A7"/>
    <w:rsid w:val="00164C61"/>
    <w:rsid w:val="001678C4"/>
    <w:rsid w:val="00167E2F"/>
    <w:rsid w:val="00171862"/>
    <w:rsid w:val="001723BD"/>
    <w:rsid w:val="0017250A"/>
    <w:rsid w:val="00172F1C"/>
    <w:rsid w:val="0017555B"/>
    <w:rsid w:val="001757E9"/>
    <w:rsid w:val="00183413"/>
    <w:rsid w:val="001854F1"/>
    <w:rsid w:val="00187162"/>
    <w:rsid w:val="001911B9"/>
    <w:rsid w:val="0019365A"/>
    <w:rsid w:val="00194447"/>
    <w:rsid w:val="00195C13"/>
    <w:rsid w:val="001A0572"/>
    <w:rsid w:val="001A13A1"/>
    <w:rsid w:val="001A25E4"/>
    <w:rsid w:val="001A2689"/>
    <w:rsid w:val="001A2D30"/>
    <w:rsid w:val="001A434F"/>
    <w:rsid w:val="001A5308"/>
    <w:rsid w:val="001A5480"/>
    <w:rsid w:val="001A5B7F"/>
    <w:rsid w:val="001A7C50"/>
    <w:rsid w:val="001B0126"/>
    <w:rsid w:val="001B0D28"/>
    <w:rsid w:val="001B2E31"/>
    <w:rsid w:val="001B3C8A"/>
    <w:rsid w:val="001B54A4"/>
    <w:rsid w:val="001B62E0"/>
    <w:rsid w:val="001C00B2"/>
    <w:rsid w:val="001C1085"/>
    <w:rsid w:val="001C1DF7"/>
    <w:rsid w:val="001C520D"/>
    <w:rsid w:val="001C5D12"/>
    <w:rsid w:val="001C74DB"/>
    <w:rsid w:val="001D0CD5"/>
    <w:rsid w:val="001D4D74"/>
    <w:rsid w:val="001D6F00"/>
    <w:rsid w:val="001E484D"/>
    <w:rsid w:val="001E75DC"/>
    <w:rsid w:val="001F0703"/>
    <w:rsid w:val="001F1236"/>
    <w:rsid w:val="001F1FC2"/>
    <w:rsid w:val="001F20D2"/>
    <w:rsid w:val="001F259A"/>
    <w:rsid w:val="001F4389"/>
    <w:rsid w:val="001F4659"/>
    <w:rsid w:val="001F50F3"/>
    <w:rsid w:val="001F72FA"/>
    <w:rsid w:val="001F7514"/>
    <w:rsid w:val="002028C9"/>
    <w:rsid w:val="00204B1B"/>
    <w:rsid w:val="002050BE"/>
    <w:rsid w:val="00205CF8"/>
    <w:rsid w:val="00207312"/>
    <w:rsid w:val="00207726"/>
    <w:rsid w:val="002121EC"/>
    <w:rsid w:val="002121F5"/>
    <w:rsid w:val="00213EBB"/>
    <w:rsid w:val="00215850"/>
    <w:rsid w:val="00216EC7"/>
    <w:rsid w:val="00217457"/>
    <w:rsid w:val="00217A2C"/>
    <w:rsid w:val="002204C7"/>
    <w:rsid w:val="002236D5"/>
    <w:rsid w:val="00224479"/>
    <w:rsid w:val="00224F89"/>
    <w:rsid w:val="002408F0"/>
    <w:rsid w:val="00244183"/>
    <w:rsid w:val="0024494C"/>
    <w:rsid w:val="00244BC9"/>
    <w:rsid w:val="002514A5"/>
    <w:rsid w:val="0025312D"/>
    <w:rsid w:val="00253185"/>
    <w:rsid w:val="002550C6"/>
    <w:rsid w:val="00257FE1"/>
    <w:rsid w:val="00262D03"/>
    <w:rsid w:val="00266D0B"/>
    <w:rsid w:val="00272D72"/>
    <w:rsid w:val="00273BA3"/>
    <w:rsid w:val="00276308"/>
    <w:rsid w:val="002803D0"/>
    <w:rsid w:val="00281AA5"/>
    <w:rsid w:val="0028293E"/>
    <w:rsid w:val="002875E2"/>
    <w:rsid w:val="0028C0D6"/>
    <w:rsid w:val="00292EEF"/>
    <w:rsid w:val="00294CD8"/>
    <w:rsid w:val="00294F44"/>
    <w:rsid w:val="002A3DB6"/>
    <w:rsid w:val="002A4F9E"/>
    <w:rsid w:val="002B56DA"/>
    <w:rsid w:val="002B5BEE"/>
    <w:rsid w:val="002B7B91"/>
    <w:rsid w:val="002B7B95"/>
    <w:rsid w:val="002C53B2"/>
    <w:rsid w:val="002C7473"/>
    <w:rsid w:val="002D127C"/>
    <w:rsid w:val="002D2F6A"/>
    <w:rsid w:val="002D4D39"/>
    <w:rsid w:val="002D70B5"/>
    <w:rsid w:val="002E0EBC"/>
    <w:rsid w:val="002E37C5"/>
    <w:rsid w:val="002E3DD8"/>
    <w:rsid w:val="002E43A3"/>
    <w:rsid w:val="002E4762"/>
    <w:rsid w:val="002E68FB"/>
    <w:rsid w:val="002E6C33"/>
    <w:rsid w:val="002F5FB0"/>
    <w:rsid w:val="002F796F"/>
    <w:rsid w:val="003012ED"/>
    <w:rsid w:val="0030494A"/>
    <w:rsid w:val="003052AB"/>
    <w:rsid w:val="0030610D"/>
    <w:rsid w:val="00312933"/>
    <w:rsid w:val="0031618B"/>
    <w:rsid w:val="00316EBC"/>
    <w:rsid w:val="00317D09"/>
    <w:rsid w:val="00321D8C"/>
    <w:rsid w:val="00322606"/>
    <w:rsid w:val="00323584"/>
    <w:rsid w:val="00323C6A"/>
    <w:rsid w:val="00324319"/>
    <w:rsid w:val="003246D5"/>
    <w:rsid w:val="003254A0"/>
    <w:rsid w:val="0032577E"/>
    <w:rsid w:val="00330F00"/>
    <w:rsid w:val="003317F7"/>
    <w:rsid w:val="0033227F"/>
    <w:rsid w:val="00332C70"/>
    <w:rsid w:val="00332E52"/>
    <w:rsid w:val="003345BC"/>
    <w:rsid w:val="00336394"/>
    <w:rsid w:val="00341244"/>
    <w:rsid w:val="00343E92"/>
    <w:rsid w:val="00345654"/>
    <w:rsid w:val="00353527"/>
    <w:rsid w:val="0035390A"/>
    <w:rsid w:val="00356E1F"/>
    <w:rsid w:val="003576D2"/>
    <w:rsid w:val="003606D7"/>
    <w:rsid w:val="0036096D"/>
    <w:rsid w:val="00360A69"/>
    <w:rsid w:val="00361D4C"/>
    <w:rsid w:val="003630C4"/>
    <w:rsid w:val="00364739"/>
    <w:rsid w:val="003679F0"/>
    <w:rsid w:val="00371835"/>
    <w:rsid w:val="003725DD"/>
    <w:rsid w:val="0037369E"/>
    <w:rsid w:val="003737D3"/>
    <w:rsid w:val="003739E4"/>
    <w:rsid w:val="00373CC1"/>
    <w:rsid w:val="00377526"/>
    <w:rsid w:val="003807E0"/>
    <w:rsid w:val="00390EE6"/>
    <w:rsid w:val="00394F01"/>
    <w:rsid w:val="0039648E"/>
    <w:rsid w:val="00397364"/>
    <w:rsid w:val="003A06F1"/>
    <w:rsid w:val="003A0F86"/>
    <w:rsid w:val="003A1469"/>
    <w:rsid w:val="003A2C1A"/>
    <w:rsid w:val="003B2BA4"/>
    <w:rsid w:val="003B2E27"/>
    <w:rsid w:val="003B3EF8"/>
    <w:rsid w:val="003B4F16"/>
    <w:rsid w:val="003B5BF0"/>
    <w:rsid w:val="003C1B53"/>
    <w:rsid w:val="003C63CC"/>
    <w:rsid w:val="003C6690"/>
    <w:rsid w:val="003C7F11"/>
    <w:rsid w:val="003D082A"/>
    <w:rsid w:val="003D1DBD"/>
    <w:rsid w:val="003D2BA3"/>
    <w:rsid w:val="003D3958"/>
    <w:rsid w:val="003D5399"/>
    <w:rsid w:val="003D72FC"/>
    <w:rsid w:val="003E01E6"/>
    <w:rsid w:val="003E1B0B"/>
    <w:rsid w:val="003E36BD"/>
    <w:rsid w:val="003E4194"/>
    <w:rsid w:val="003E6366"/>
    <w:rsid w:val="003E788F"/>
    <w:rsid w:val="003E79C4"/>
    <w:rsid w:val="003F0B92"/>
    <w:rsid w:val="003F1042"/>
    <w:rsid w:val="003F3175"/>
    <w:rsid w:val="003F5297"/>
    <w:rsid w:val="003F531E"/>
    <w:rsid w:val="003F65C2"/>
    <w:rsid w:val="003F6D71"/>
    <w:rsid w:val="00400795"/>
    <w:rsid w:val="00400C1D"/>
    <w:rsid w:val="00403ADB"/>
    <w:rsid w:val="00404243"/>
    <w:rsid w:val="0040576D"/>
    <w:rsid w:val="004140CF"/>
    <w:rsid w:val="00416E24"/>
    <w:rsid w:val="00421028"/>
    <w:rsid w:val="00422F7E"/>
    <w:rsid w:val="004255F8"/>
    <w:rsid w:val="00425FB0"/>
    <w:rsid w:val="00426844"/>
    <w:rsid w:val="00427DE4"/>
    <w:rsid w:val="00431324"/>
    <w:rsid w:val="004336D8"/>
    <w:rsid w:val="004344BC"/>
    <w:rsid w:val="00434BCB"/>
    <w:rsid w:val="004360C2"/>
    <w:rsid w:val="004427E6"/>
    <w:rsid w:val="00447687"/>
    <w:rsid w:val="00450C12"/>
    <w:rsid w:val="00453E25"/>
    <w:rsid w:val="00453F22"/>
    <w:rsid w:val="0045480A"/>
    <w:rsid w:val="004550CB"/>
    <w:rsid w:val="00455193"/>
    <w:rsid w:val="00457076"/>
    <w:rsid w:val="00457FB9"/>
    <w:rsid w:val="0046054F"/>
    <w:rsid w:val="00460D36"/>
    <w:rsid w:val="00462CA3"/>
    <w:rsid w:val="00465BF1"/>
    <w:rsid w:val="0046711C"/>
    <w:rsid w:val="0047147F"/>
    <w:rsid w:val="004716B0"/>
    <w:rsid w:val="00472C42"/>
    <w:rsid w:val="00473945"/>
    <w:rsid w:val="0047679E"/>
    <w:rsid w:val="004776A2"/>
    <w:rsid w:val="00477A4F"/>
    <w:rsid w:val="004801F1"/>
    <w:rsid w:val="004806D3"/>
    <w:rsid w:val="004828E5"/>
    <w:rsid w:val="00482E90"/>
    <w:rsid w:val="00493430"/>
    <w:rsid w:val="004937EB"/>
    <w:rsid w:val="004A19EB"/>
    <w:rsid w:val="004A4C08"/>
    <w:rsid w:val="004A4C92"/>
    <w:rsid w:val="004A53F8"/>
    <w:rsid w:val="004A7A4C"/>
    <w:rsid w:val="004B0766"/>
    <w:rsid w:val="004B2F6E"/>
    <w:rsid w:val="004B56A9"/>
    <w:rsid w:val="004C0852"/>
    <w:rsid w:val="004C2F82"/>
    <w:rsid w:val="004C36BE"/>
    <w:rsid w:val="004C4A3A"/>
    <w:rsid w:val="004C5488"/>
    <w:rsid w:val="004C564F"/>
    <w:rsid w:val="004C6F6D"/>
    <w:rsid w:val="004C7202"/>
    <w:rsid w:val="004C7EB9"/>
    <w:rsid w:val="004D33BE"/>
    <w:rsid w:val="004D46CE"/>
    <w:rsid w:val="004D5797"/>
    <w:rsid w:val="004D6008"/>
    <w:rsid w:val="004E17F6"/>
    <w:rsid w:val="004E466A"/>
    <w:rsid w:val="004F14A8"/>
    <w:rsid w:val="004F1711"/>
    <w:rsid w:val="004F3BD7"/>
    <w:rsid w:val="00500B0F"/>
    <w:rsid w:val="0050343D"/>
    <w:rsid w:val="00504F64"/>
    <w:rsid w:val="00506FFE"/>
    <w:rsid w:val="00512EFF"/>
    <w:rsid w:val="005146AD"/>
    <w:rsid w:val="0051725E"/>
    <w:rsid w:val="00520076"/>
    <w:rsid w:val="00521222"/>
    <w:rsid w:val="005214C0"/>
    <w:rsid w:val="00523D56"/>
    <w:rsid w:val="00524760"/>
    <w:rsid w:val="00526E10"/>
    <w:rsid w:val="00526FE0"/>
    <w:rsid w:val="005308B9"/>
    <w:rsid w:val="005319D9"/>
    <w:rsid w:val="00532EDE"/>
    <w:rsid w:val="00542F76"/>
    <w:rsid w:val="0054572F"/>
    <w:rsid w:val="0054574B"/>
    <w:rsid w:val="00545E16"/>
    <w:rsid w:val="0055031A"/>
    <w:rsid w:val="0055118C"/>
    <w:rsid w:val="0055283D"/>
    <w:rsid w:val="00555078"/>
    <w:rsid w:val="00555CBA"/>
    <w:rsid w:val="00555D5D"/>
    <w:rsid w:val="00561A45"/>
    <w:rsid w:val="00561D4C"/>
    <w:rsid w:val="0056244C"/>
    <w:rsid w:val="00563899"/>
    <w:rsid w:val="00565F65"/>
    <w:rsid w:val="00566C0F"/>
    <w:rsid w:val="005674C1"/>
    <w:rsid w:val="00575AEF"/>
    <w:rsid w:val="00581B80"/>
    <w:rsid w:val="005823C1"/>
    <w:rsid w:val="00582DBF"/>
    <w:rsid w:val="0058567A"/>
    <w:rsid w:val="00586D29"/>
    <w:rsid w:val="00587578"/>
    <w:rsid w:val="00591DC9"/>
    <w:rsid w:val="005926A4"/>
    <w:rsid w:val="0059303D"/>
    <w:rsid w:val="005972C2"/>
    <w:rsid w:val="005A0197"/>
    <w:rsid w:val="005A223B"/>
    <w:rsid w:val="005A25FD"/>
    <w:rsid w:val="005A2945"/>
    <w:rsid w:val="005A48FD"/>
    <w:rsid w:val="005A5C11"/>
    <w:rsid w:val="005A7F86"/>
    <w:rsid w:val="005B2E64"/>
    <w:rsid w:val="005C3016"/>
    <w:rsid w:val="005C7802"/>
    <w:rsid w:val="005D0B23"/>
    <w:rsid w:val="005D17C5"/>
    <w:rsid w:val="005D3CE2"/>
    <w:rsid w:val="005D438F"/>
    <w:rsid w:val="005D5A9B"/>
    <w:rsid w:val="005E046D"/>
    <w:rsid w:val="005E1EDE"/>
    <w:rsid w:val="005E260D"/>
    <w:rsid w:val="005E5295"/>
    <w:rsid w:val="005E66A9"/>
    <w:rsid w:val="005E7D03"/>
    <w:rsid w:val="005E7DD7"/>
    <w:rsid w:val="005F17C6"/>
    <w:rsid w:val="005F2296"/>
    <w:rsid w:val="005F7306"/>
    <w:rsid w:val="005F7F57"/>
    <w:rsid w:val="00600BE4"/>
    <w:rsid w:val="00601878"/>
    <w:rsid w:val="006018DB"/>
    <w:rsid w:val="00602476"/>
    <w:rsid w:val="00603C9E"/>
    <w:rsid w:val="00604BBD"/>
    <w:rsid w:val="0060562C"/>
    <w:rsid w:val="00606777"/>
    <w:rsid w:val="00606F26"/>
    <w:rsid w:val="0063054A"/>
    <w:rsid w:val="006324ED"/>
    <w:rsid w:val="00634262"/>
    <w:rsid w:val="006347A8"/>
    <w:rsid w:val="006360F1"/>
    <w:rsid w:val="00636F87"/>
    <w:rsid w:val="00637008"/>
    <w:rsid w:val="006373F8"/>
    <w:rsid w:val="00637A20"/>
    <w:rsid w:val="0064197B"/>
    <w:rsid w:val="00644AFD"/>
    <w:rsid w:val="0064526F"/>
    <w:rsid w:val="0064559B"/>
    <w:rsid w:val="00646CBC"/>
    <w:rsid w:val="00654001"/>
    <w:rsid w:val="006645BD"/>
    <w:rsid w:val="006650B6"/>
    <w:rsid w:val="00671614"/>
    <w:rsid w:val="0067499D"/>
    <w:rsid w:val="0067706F"/>
    <w:rsid w:val="00680E21"/>
    <w:rsid w:val="00681376"/>
    <w:rsid w:val="00682B95"/>
    <w:rsid w:val="0068358C"/>
    <w:rsid w:val="00683594"/>
    <w:rsid w:val="0068431F"/>
    <w:rsid w:val="00684A2A"/>
    <w:rsid w:val="006854D6"/>
    <w:rsid w:val="006860F0"/>
    <w:rsid w:val="00686221"/>
    <w:rsid w:val="00687559"/>
    <w:rsid w:val="00692253"/>
    <w:rsid w:val="00692F58"/>
    <w:rsid w:val="00693A4F"/>
    <w:rsid w:val="00694927"/>
    <w:rsid w:val="00695282"/>
    <w:rsid w:val="006956BE"/>
    <w:rsid w:val="00696095"/>
    <w:rsid w:val="006A2EA0"/>
    <w:rsid w:val="006A4542"/>
    <w:rsid w:val="006A5360"/>
    <w:rsid w:val="006C291D"/>
    <w:rsid w:val="006C29F9"/>
    <w:rsid w:val="006C4D8F"/>
    <w:rsid w:val="006D056E"/>
    <w:rsid w:val="006D41D2"/>
    <w:rsid w:val="006D6C6C"/>
    <w:rsid w:val="006E1D58"/>
    <w:rsid w:val="006F06DE"/>
    <w:rsid w:val="006F09E9"/>
    <w:rsid w:val="006F557B"/>
    <w:rsid w:val="006F61DE"/>
    <w:rsid w:val="006F6ED0"/>
    <w:rsid w:val="00700888"/>
    <w:rsid w:val="00701768"/>
    <w:rsid w:val="00701EF5"/>
    <w:rsid w:val="0070254A"/>
    <w:rsid w:val="0070304F"/>
    <w:rsid w:val="00704F76"/>
    <w:rsid w:val="007059B2"/>
    <w:rsid w:val="00717000"/>
    <w:rsid w:val="00725434"/>
    <w:rsid w:val="00727329"/>
    <w:rsid w:val="00727A68"/>
    <w:rsid w:val="0073089A"/>
    <w:rsid w:val="00730C11"/>
    <w:rsid w:val="007378EB"/>
    <w:rsid w:val="00737E72"/>
    <w:rsid w:val="007404DC"/>
    <w:rsid w:val="00740E32"/>
    <w:rsid w:val="00741057"/>
    <w:rsid w:val="00744E0E"/>
    <w:rsid w:val="007462AE"/>
    <w:rsid w:val="00750430"/>
    <w:rsid w:val="00750E92"/>
    <w:rsid w:val="00750EB8"/>
    <w:rsid w:val="0075470C"/>
    <w:rsid w:val="00754AF8"/>
    <w:rsid w:val="00757113"/>
    <w:rsid w:val="00761418"/>
    <w:rsid w:val="00762ACE"/>
    <w:rsid w:val="007658F7"/>
    <w:rsid w:val="007668AB"/>
    <w:rsid w:val="00767756"/>
    <w:rsid w:val="007708B1"/>
    <w:rsid w:val="007709C9"/>
    <w:rsid w:val="007711D8"/>
    <w:rsid w:val="007739D6"/>
    <w:rsid w:val="00776C78"/>
    <w:rsid w:val="00784A30"/>
    <w:rsid w:val="00793121"/>
    <w:rsid w:val="007A4380"/>
    <w:rsid w:val="007A43D2"/>
    <w:rsid w:val="007A600C"/>
    <w:rsid w:val="007B0189"/>
    <w:rsid w:val="007B1A23"/>
    <w:rsid w:val="007B2B5A"/>
    <w:rsid w:val="007C2B4C"/>
    <w:rsid w:val="007C2D81"/>
    <w:rsid w:val="007C542F"/>
    <w:rsid w:val="007C78D7"/>
    <w:rsid w:val="007D183A"/>
    <w:rsid w:val="007D5189"/>
    <w:rsid w:val="007D78E5"/>
    <w:rsid w:val="007E0F3F"/>
    <w:rsid w:val="007E19FE"/>
    <w:rsid w:val="007E66EA"/>
    <w:rsid w:val="007E6A87"/>
    <w:rsid w:val="007E6C35"/>
    <w:rsid w:val="007F0AE6"/>
    <w:rsid w:val="007F2391"/>
    <w:rsid w:val="007F2983"/>
    <w:rsid w:val="007F3FC9"/>
    <w:rsid w:val="007F4FC3"/>
    <w:rsid w:val="00801B51"/>
    <w:rsid w:val="00801EAF"/>
    <w:rsid w:val="00802705"/>
    <w:rsid w:val="008031C6"/>
    <w:rsid w:val="00804FC2"/>
    <w:rsid w:val="00810F85"/>
    <w:rsid w:val="00811787"/>
    <w:rsid w:val="00815DB2"/>
    <w:rsid w:val="00816B62"/>
    <w:rsid w:val="008203C0"/>
    <w:rsid w:val="008213BB"/>
    <w:rsid w:val="00821FCB"/>
    <w:rsid w:val="00822093"/>
    <w:rsid w:val="00825685"/>
    <w:rsid w:val="0082591B"/>
    <w:rsid w:val="00825DA3"/>
    <w:rsid w:val="0083105D"/>
    <w:rsid w:val="00831F3A"/>
    <w:rsid w:val="0083399C"/>
    <w:rsid w:val="008339E5"/>
    <w:rsid w:val="00836550"/>
    <w:rsid w:val="00841337"/>
    <w:rsid w:val="0084242D"/>
    <w:rsid w:val="00843CB9"/>
    <w:rsid w:val="00843D85"/>
    <w:rsid w:val="00844C39"/>
    <w:rsid w:val="00846CDD"/>
    <w:rsid w:val="00847E7D"/>
    <w:rsid w:val="00855E51"/>
    <w:rsid w:val="00856A68"/>
    <w:rsid w:val="0085714D"/>
    <w:rsid w:val="0086162D"/>
    <w:rsid w:val="0086579C"/>
    <w:rsid w:val="0086660A"/>
    <w:rsid w:val="008711A5"/>
    <w:rsid w:val="008771A8"/>
    <w:rsid w:val="00877CC2"/>
    <w:rsid w:val="00882689"/>
    <w:rsid w:val="008906AA"/>
    <w:rsid w:val="00890E1C"/>
    <w:rsid w:val="0089522B"/>
    <w:rsid w:val="0089567D"/>
    <w:rsid w:val="008968F4"/>
    <w:rsid w:val="008A03FB"/>
    <w:rsid w:val="008A2B7D"/>
    <w:rsid w:val="008A32E7"/>
    <w:rsid w:val="008A3D21"/>
    <w:rsid w:val="008A4F71"/>
    <w:rsid w:val="008A4F9A"/>
    <w:rsid w:val="008B0AE8"/>
    <w:rsid w:val="008B2105"/>
    <w:rsid w:val="008C1A45"/>
    <w:rsid w:val="008C1F32"/>
    <w:rsid w:val="008C2763"/>
    <w:rsid w:val="008C6A2A"/>
    <w:rsid w:val="008D0049"/>
    <w:rsid w:val="008D0706"/>
    <w:rsid w:val="008D2A91"/>
    <w:rsid w:val="008D3683"/>
    <w:rsid w:val="008E0B8F"/>
    <w:rsid w:val="008E2E80"/>
    <w:rsid w:val="008E603E"/>
    <w:rsid w:val="008E7B03"/>
    <w:rsid w:val="008E7CA8"/>
    <w:rsid w:val="008F0E91"/>
    <w:rsid w:val="008F22F5"/>
    <w:rsid w:val="008F351A"/>
    <w:rsid w:val="008F3642"/>
    <w:rsid w:val="008F44CF"/>
    <w:rsid w:val="008F6272"/>
    <w:rsid w:val="008F74B1"/>
    <w:rsid w:val="009000F7"/>
    <w:rsid w:val="009024C2"/>
    <w:rsid w:val="00902EC7"/>
    <w:rsid w:val="009047FF"/>
    <w:rsid w:val="0091055A"/>
    <w:rsid w:val="00917711"/>
    <w:rsid w:val="00917DF1"/>
    <w:rsid w:val="0092038C"/>
    <w:rsid w:val="00926646"/>
    <w:rsid w:val="0093299E"/>
    <w:rsid w:val="00933B14"/>
    <w:rsid w:val="00934FF8"/>
    <w:rsid w:val="00940A0D"/>
    <w:rsid w:val="00940CAD"/>
    <w:rsid w:val="0094245D"/>
    <w:rsid w:val="00945804"/>
    <w:rsid w:val="00946E08"/>
    <w:rsid w:val="00955BCB"/>
    <w:rsid w:val="00955D1B"/>
    <w:rsid w:val="009563C3"/>
    <w:rsid w:val="009566DE"/>
    <w:rsid w:val="00962DA1"/>
    <w:rsid w:val="00964412"/>
    <w:rsid w:val="00965576"/>
    <w:rsid w:val="00970971"/>
    <w:rsid w:val="00970F85"/>
    <w:rsid w:val="00972215"/>
    <w:rsid w:val="00984687"/>
    <w:rsid w:val="00984F1B"/>
    <w:rsid w:val="0098641A"/>
    <w:rsid w:val="00986A81"/>
    <w:rsid w:val="0099201B"/>
    <w:rsid w:val="00995EF7"/>
    <w:rsid w:val="009973C4"/>
    <w:rsid w:val="00997702"/>
    <w:rsid w:val="009A0CDD"/>
    <w:rsid w:val="009A13A1"/>
    <w:rsid w:val="009A5BB2"/>
    <w:rsid w:val="009A68EB"/>
    <w:rsid w:val="009B02F4"/>
    <w:rsid w:val="009B142A"/>
    <w:rsid w:val="009B3324"/>
    <w:rsid w:val="009B4A8D"/>
    <w:rsid w:val="009B4DC5"/>
    <w:rsid w:val="009B5973"/>
    <w:rsid w:val="009C30E8"/>
    <w:rsid w:val="009C48E8"/>
    <w:rsid w:val="009C49CA"/>
    <w:rsid w:val="009C5A3F"/>
    <w:rsid w:val="009D6561"/>
    <w:rsid w:val="009E380F"/>
    <w:rsid w:val="009E4BA2"/>
    <w:rsid w:val="009E4F07"/>
    <w:rsid w:val="009E7653"/>
    <w:rsid w:val="009F09FF"/>
    <w:rsid w:val="009F0FB5"/>
    <w:rsid w:val="009F1002"/>
    <w:rsid w:val="009F46FA"/>
    <w:rsid w:val="009F7028"/>
    <w:rsid w:val="00A011EB"/>
    <w:rsid w:val="00A01BCE"/>
    <w:rsid w:val="00A03617"/>
    <w:rsid w:val="00A06950"/>
    <w:rsid w:val="00A10CF4"/>
    <w:rsid w:val="00A20210"/>
    <w:rsid w:val="00A21C9D"/>
    <w:rsid w:val="00A22D86"/>
    <w:rsid w:val="00A2694B"/>
    <w:rsid w:val="00A331B9"/>
    <w:rsid w:val="00A353FE"/>
    <w:rsid w:val="00A35F2F"/>
    <w:rsid w:val="00A373B7"/>
    <w:rsid w:val="00A429A5"/>
    <w:rsid w:val="00A42E65"/>
    <w:rsid w:val="00A46222"/>
    <w:rsid w:val="00A53915"/>
    <w:rsid w:val="00A5406D"/>
    <w:rsid w:val="00A54341"/>
    <w:rsid w:val="00A55F1B"/>
    <w:rsid w:val="00A613C2"/>
    <w:rsid w:val="00A6263C"/>
    <w:rsid w:val="00A63638"/>
    <w:rsid w:val="00A66D78"/>
    <w:rsid w:val="00A67BB5"/>
    <w:rsid w:val="00A738E8"/>
    <w:rsid w:val="00A76F4A"/>
    <w:rsid w:val="00A82612"/>
    <w:rsid w:val="00A86376"/>
    <w:rsid w:val="00A93986"/>
    <w:rsid w:val="00A94E52"/>
    <w:rsid w:val="00A95CF7"/>
    <w:rsid w:val="00AA5C96"/>
    <w:rsid w:val="00AA67C4"/>
    <w:rsid w:val="00AA7C79"/>
    <w:rsid w:val="00AB1AEE"/>
    <w:rsid w:val="00AB3A5A"/>
    <w:rsid w:val="00AC00F2"/>
    <w:rsid w:val="00AC0821"/>
    <w:rsid w:val="00AC082B"/>
    <w:rsid w:val="00AD4A2F"/>
    <w:rsid w:val="00AD52FE"/>
    <w:rsid w:val="00AD74F2"/>
    <w:rsid w:val="00AD7B28"/>
    <w:rsid w:val="00AD7B93"/>
    <w:rsid w:val="00AE1B51"/>
    <w:rsid w:val="00AE2204"/>
    <w:rsid w:val="00AE6E4D"/>
    <w:rsid w:val="00AE7021"/>
    <w:rsid w:val="00B00D1C"/>
    <w:rsid w:val="00B0280E"/>
    <w:rsid w:val="00B05190"/>
    <w:rsid w:val="00B05CAC"/>
    <w:rsid w:val="00B13F44"/>
    <w:rsid w:val="00B146C4"/>
    <w:rsid w:val="00B165B5"/>
    <w:rsid w:val="00B20A38"/>
    <w:rsid w:val="00B2293A"/>
    <w:rsid w:val="00B25722"/>
    <w:rsid w:val="00B27F3B"/>
    <w:rsid w:val="00B313BE"/>
    <w:rsid w:val="00B36B2C"/>
    <w:rsid w:val="00B41180"/>
    <w:rsid w:val="00B43C1E"/>
    <w:rsid w:val="00B46903"/>
    <w:rsid w:val="00B530D9"/>
    <w:rsid w:val="00B56133"/>
    <w:rsid w:val="00B60EFA"/>
    <w:rsid w:val="00B655B1"/>
    <w:rsid w:val="00B66AE3"/>
    <w:rsid w:val="00B71235"/>
    <w:rsid w:val="00B722E8"/>
    <w:rsid w:val="00B77DEF"/>
    <w:rsid w:val="00B85109"/>
    <w:rsid w:val="00B86B43"/>
    <w:rsid w:val="00B87F78"/>
    <w:rsid w:val="00B92335"/>
    <w:rsid w:val="00B929F4"/>
    <w:rsid w:val="00B9347C"/>
    <w:rsid w:val="00B959EF"/>
    <w:rsid w:val="00B96A48"/>
    <w:rsid w:val="00B96B78"/>
    <w:rsid w:val="00B97832"/>
    <w:rsid w:val="00BA3AC9"/>
    <w:rsid w:val="00BA44D9"/>
    <w:rsid w:val="00BA68C8"/>
    <w:rsid w:val="00BB137D"/>
    <w:rsid w:val="00BB5FE9"/>
    <w:rsid w:val="00BB63E2"/>
    <w:rsid w:val="00BC54CE"/>
    <w:rsid w:val="00BC5F4A"/>
    <w:rsid w:val="00BC64C9"/>
    <w:rsid w:val="00BC7F96"/>
    <w:rsid w:val="00BD0030"/>
    <w:rsid w:val="00BD3939"/>
    <w:rsid w:val="00BD4055"/>
    <w:rsid w:val="00BE3D69"/>
    <w:rsid w:val="00BE4D45"/>
    <w:rsid w:val="00BE6B2A"/>
    <w:rsid w:val="00BF0069"/>
    <w:rsid w:val="00BF0CD0"/>
    <w:rsid w:val="00BF378A"/>
    <w:rsid w:val="00BF44FF"/>
    <w:rsid w:val="00C018AF"/>
    <w:rsid w:val="00C112F5"/>
    <w:rsid w:val="00C12CBE"/>
    <w:rsid w:val="00C1395F"/>
    <w:rsid w:val="00C16BF1"/>
    <w:rsid w:val="00C2162B"/>
    <w:rsid w:val="00C23E38"/>
    <w:rsid w:val="00C251AC"/>
    <w:rsid w:val="00C26CA3"/>
    <w:rsid w:val="00C27BDA"/>
    <w:rsid w:val="00C31B0C"/>
    <w:rsid w:val="00C35801"/>
    <w:rsid w:val="00C36E43"/>
    <w:rsid w:val="00C37C2C"/>
    <w:rsid w:val="00C37C6C"/>
    <w:rsid w:val="00C4148E"/>
    <w:rsid w:val="00C442F8"/>
    <w:rsid w:val="00C451A6"/>
    <w:rsid w:val="00C45737"/>
    <w:rsid w:val="00C463C3"/>
    <w:rsid w:val="00C46D08"/>
    <w:rsid w:val="00C51697"/>
    <w:rsid w:val="00C55940"/>
    <w:rsid w:val="00C56021"/>
    <w:rsid w:val="00C61639"/>
    <w:rsid w:val="00C621C3"/>
    <w:rsid w:val="00C64520"/>
    <w:rsid w:val="00C6781C"/>
    <w:rsid w:val="00C75BA7"/>
    <w:rsid w:val="00C76430"/>
    <w:rsid w:val="00C77D1F"/>
    <w:rsid w:val="00C85AFD"/>
    <w:rsid w:val="00C85C5A"/>
    <w:rsid w:val="00C85E57"/>
    <w:rsid w:val="00C87375"/>
    <w:rsid w:val="00C91649"/>
    <w:rsid w:val="00C94E09"/>
    <w:rsid w:val="00C9559A"/>
    <w:rsid w:val="00C9608C"/>
    <w:rsid w:val="00CA1C51"/>
    <w:rsid w:val="00CA22CA"/>
    <w:rsid w:val="00CA29E9"/>
    <w:rsid w:val="00CA35C4"/>
    <w:rsid w:val="00CA3D13"/>
    <w:rsid w:val="00CB2601"/>
    <w:rsid w:val="00CB2C8B"/>
    <w:rsid w:val="00CB4C13"/>
    <w:rsid w:val="00CC10C8"/>
    <w:rsid w:val="00CC1958"/>
    <w:rsid w:val="00CD303F"/>
    <w:rsid w:val="00CD47A0"/>
    <w:rsid w:val="00CD498A"/>
    <w:rsid w:val="00CD7544"/>
    <w:rsid w:val="00CD7F31"/>
    <w:rsid w:val="00CE0A95"/>
    <w:rsid w:val="00CE3C2A"/>
    <w:rsid w:val="00CF1110"/>
    <w:rsid w:val="00CF487B"/>
    <w:rsid w:val="00D02874"/>
    <w:rsid w:val="00D03796"/>
    <w:rsid w:val="00D125BB"/>
    <w:rsid w:val="00D13503"/>
    <w:rsid w:val="00D13E5C"/>
    <w:rsid w:val="00D22630"/>
    <w:rsid w:val="00D260EC"/>
    <w:rsid w:val="00D31601"/>
    <w:rsid w:val="00D323A1"/>
    <w:rsid w:val="00D32681"/>
    <w:rsid w:val="00D33BC7"/>
    <w:rsid w:val="00D344BE"/>
    <w:rsid w:val="00D3545F"/>
    <w:rsid w:val="00D357F7"/>
    <w:rsid w:val="00D35C0E"/>
    <w:rsid w:val="00D37187"/>
    <w:rsid w:val="00D40DC3"/>
    <w:rsid w:val="00D432DD"/>
    <w:rsid w:val="00D45C1C"/>
    <w:rsid w:val="00D46240"/>
    <w:rsid w:val="00D470A9"/>
    <w:rsid w:val="00D500FE"/>
    <w:rsid w:val="00D52C8D"/>
    <w:rsid w:val="00D55BEE"/>
    <w:rsid w:val="00D562E2"/>
    <w:rsid w:val="00D569BC"/>
    <w:rsid w:val="00D56F9C"/>
    <w:rsid w:val="00D57FEA"/>
    <w:rsid w:val="00D65E15"/>
    <w:rsid w:val="00D732B0"/>
    <w:rsid w:val="00D7536C"/>
    <w:rsid w:val="00D768F3"/>
    <w:rsid w:val="00D76B52"/>
    <w:rsid w:val="00D8031C"/>
    <w:rsid w:val="00D8129A"/>
    <w:rsid w:val="00D826EB"/>
    <w:rsid w:val="00D82B87"/>
    <w:rsid w:val="00D86049"/>
    <w:rsid w:val="00D86BC1"/>
    <w:rsid w:val="00D8792B"/>
    <w:rsid w:val="00D95AF7"/>
    <w:rsid w:val="00D95F23"/>
    <w:rsid w:val="00D96A5C"/>
    <w:rsid w:val="00D977B8"/>
    <w:rsid w:val="00D97CF3"/>
    <w:rsid w:val="00DA1C91"/>
    <w:rsid w:val="00DA4414"/>
    <w:rsid w:val="00DB26EB"/>
    <w:rsid w:val="00DB2C1C"/>
    <w:rsid w:val="00DB3551"/>
    <w:rsid w:val="00DB3BED"/>
    <w:rsid w:val="00DB54A8"/>
    <w:rsid w:val="00DB7E32"/>
    <w:rsid w:val="00DC45F2"/>
    <w:rsid w:val="00DC5DDC"/>
    <w:rsid w:val="00DC6CFB"/>
    <w:rsid w:val="00DD1319"/>
    <w:rsid w:val="00DD3A01"/>
    <w:rsid w:val="00DD6B07"/>
    <w:rsid w:val="00DD70EB"/>
    <w:rsid w:val="00DE128E"/>
    <w:rsid w:val="00DE28C9"/>
    <w:rsid w:val="00DE574F"/>
    <w:rsid w:val="00DE67E9"/>
    <w:rsid w:val="00DF428C"/>
    <w:rsid w:val="00E03A0B"/>
    <w:rsid w:val="00E03DE3"/>
    <w:rsid w:val="00E06064"/>
    <w:rsid w:val="00E071F8"/>
    <w:rsid w:val="00E118E3"/>
    <w:rsid w:val="00E13D2C"/>
    <w:rsid w:val="00E13DCA"/>
    <w:rsid w:val="00E17372"/>
    <w:rsid w:val="00E20BC3"/>
    <w:rsid w:val="00E215C4"/>
    <w:rsid w:val="00E2281A"/>
    <w:rsid w:val="00E251FD"/>
    <w:rsid w:val="00E30535"/>
    <w:rsid w:val="00E35217"/>
    <w:rsid w:val="00E4007F"/>
    <w:rsid w:val="00E42A29"/>
    <w:rsid w:val="00E45180"/>
    <w:rsid w:val="00E467F3"/>
    <w:rsid w:val="00E50E44"/>
    <w:rsid w:val="00E5292D"/>
    <w:rsid w:val="00E532AD"/>
    <w:rsid w:val="00E532C1"/>
    <w:rsid w:val="00E56DE5"/>
    <w:rsid w:val="00E575E2"/>
    <w:rsid w:val="00E57DB6"/>
    <w:rsid w:val="00E63257"/>
    <w:rsid w:val="00E65512"/>
    <w:rsid w:val="00E67099"/>
    <w:rsid w:val="00E706F0"/>
    <w:rsid w:val="00E71F52"/>
    <w:rsid w:val="00E722E9"/>
    <w:rsid w:val="00E737C0"/>
    <w:rsid w:val="00E76558"/>
    <w:rsid w:val="00E82301"/>
    <w:rsid w:val="00E83D9C"/>
    <w:rsid w:val="00E83EAD"/>
    <w:rsid w:val="00E851DF"/>
    <w:rsid w:val="00E878BC"/>
    <w:rsid w:val="00E91357"/>
    <w:rsid w:val="00E94016"/>
    <w:rsid w:val="00E95AF2"/>
    <w:rsid w:val="00EA111B"/>
    <w:rsid w:val="00EA34CF"/>
    <w:rsid w:val="00EA6E3D"/>
    <w:rsid w:val="00EB092E"/>
    <w:rsid w:val="00EB098E"/>
    <w:rsid w:val="00EB1BAC"/>
    <w:rsid w:val="00EB2EAD"/>
    <w:rsid w:val="00EB479A"/>
    <w:rsid w:val="00EC2B9B"/>
    <w:rsid w:val="00EC3CAE"/>
    <w:rsid w:val="00EC7CCE"/>
    <w:rsid w:val="00EC7FD3"/>
    <w:rsid w:val="00ED246C"/>
    <w:rsid w:val="00ED3625"/>
    <w:rsid w:val="00ED5182"/>
    <w:rsid w:val="00ED7AB3"/>
    <w:rsid w:val="00EE1211"/>
    <w:rsid w:val="00EE17B3"/>
    <w:rsid w:val="00EE307A"/>
    <w:rsid w:val="00EE3344"/>
    <w:rsid w:val="00EE7777"/>
    <w:rsid w:val="00EF2189"/>
    <w:rsid w:val="00EF422F"/>
    <w:rsid w:val="00EF42E2"/>
    <w:rsid w:val="00EF6878"/>
    <w:rsid w:val="00F02F01"/>
    <w:rsid w:val="00F046C7"/>
    <w:rsid w:val="00F04DC4"/>
    <w:rsid w:val="00F10316"/>
    <w:rsid w:val="00F16253"/>
    <w:rsid w:val="00F163CB"/>
    <w:rsid w:val="00F17055"/>
    <w:rsid w:val="00F171CB"/>
    <w:rsid w:val="00F17BA0"/>
    <w:rsid w:val="00F20F32"/>
    <w:rsid w:val="00F230EA"/>
    <w:rsid w:val="00F238BA"/>
    <w:rsid w:val="00F26535"/>
    <w:rsid w:val="00F30057"/>
    <w:rsid w:val="00F34495"/>
    <w:rsid w:val="00F34C67"/>
    <w:rsid w:val="00F36178"/>
    <w:rsid w:val="00F364DB"/>
    <w:rsid w:val="00F36654"/>
    <w:rsid w:val="00F41692"/>
    <w:rsid w:val="00F4244D"/>
    <w:rsid w:val="00F4352C"/>
    <w:rsid w:val="00F4574E"/>
    <w:rsid w:val="00F52790"/>
    <w:rsid w:val="00F52B08"/>
    <w:rsid w:val="00F52BB3"/>
    <w:rsid w:val="00F53844"/>
    <w:rsid w:val="00F53A33"/>
    <w:rsid w:val="00F64998"/>
    <w:rsid w:val="00F71477"/>
    <w:rsid w:val="00F73FC2"/>
    <w:rsid w:val="00F7744B"/>
    <w:rsid w:val="00F841E6"/>
    <w:rsid w:val="00F91BF5"/>
    <w:rsid w:val="00F928A5"/>
    <w:rsid w:val="00F93855"/>
    <w:rsid w:val="00F978E6"/>
    <w:rsid w:val="00FA4522"/>
    <w:rsid w:val="00FA58B9"/>
    <w:rsid w:val="00FA7536"/>
    <w:rsid w:val="00FB1387"/>
    <w:rsid w:val="00FB1E17"/>
    <w:rsid w:val="00FB6667"/>
    <w:rsid w:val="00FB7C7C"/>
    <w:rsid w:val="00FC04B3"/>
    <w:rsid w:val="00FC0E77"/>
    <w:rsid w:val="00FC20CD"/>
    <w:rsid w:val="00FC7DD3"/>
    <w:rsid w:val="00FD29EB"/>
    <w:rsid w:val="00FD308D"/>
    <w:rsid w:val="00FD710B"/>
    <w:rsid w:val="00FE4D5D"/>
    <w:rsid w:val="00FE5BED"/>
    <w:rsid w:val="00FE6B48"/>
    <w:rsid w:val="00FF0F18"/>
    <w:rsid w:val="00FF3768"/>
    <w:rsid w:val="00FF5227"/>
    <w:rsid w:val="00FF5DBB"/>
    <w:rsid w:val="00FF7105"/>
    <w:rsid w:val="04AC50F3"/>
    <w:rsid w:val="07BE1C3C"/>
    <w:rsid w:val="09F5CBB0"/>
    <w:rsid w:val="0C05A6C5"/>
    <w:rsid w:val="0CD41EBF"/>
    <w:rsid w:val="0CDADFD1"/>
    <w:rsid w:val="0D9C5F66"/>
    <w:rsid w:val="0E8B81A3"/>
    <w:rsid w:val="0F180FE3"/>
    <w:rsid w:val="12885BB8"/>
    <w:rsid w:val="16BF330A"/>
    <w:rsid w:val="17811559"/>
    <w:rsid w:val="1953FEF5"/>
    <w:rsid w:val="198A7A96"/>
    <w:rsid w:val="1BC0FF28"/>
    <w:rsid w:val="1D15D2A8"/>
    <w:rsid w:val="23A83998"/>
    <w:rsid w:val="2444F476"/>
    <w:rsid w:val="24B4403A"/>
    <w:rsid w:val="251370F6"/>
    <w:rsid w:val="282E75EB"/>
    <w:rsid w:val="283EB393"/>
    <w:rsid w:val="2953D467"/>
    <w:rsid w:val="29BD26BB"/>
    <w:rsid w:val="2A90B173"/>
    <w:rsid w:val="2D34C644"/>
    <w:rsid w:val="2DFF863A"/>
    <w:rsid w:val="30BD0AE8"/>
    <w:rsid w:val="31B3CC1F"/>
    <w:rsid w:val="3293C308"/>
    <w:rsid w:val="33B80F6E"/>
    <w:rsid w:val="34205871"/>
    <w:rsid w:val="345BC483"/>
    <w:rsid w:val="3646D732"/>
    <w:rsid w:val="37096792"/>
    <w:rsid w:val="39CC86C0"/>
    <w:rsid w:val="3B596D53"/>
    <w:rsid w:val="3CE557B3"/>
    <w:rsid w:val="3E528CB8"/>
    <w:rsid w:val="3EED0360"/>
    <w:rsid w:val="3FED7635"/>
    <w:rsid w:val="4158E6B1"/>
    <w:rsid w:val="41B3A9DD"/>
    <w:rsid w:val="432BBAD9"/>
    <w:rsid w:val="44E61BCA"/>
    <w:rsid w:val="45D7AD43"/>
    <w:rsid w:val="47B428E5"/>
    <w:rsid w:val="4B8EF7B2"/>
    <w:rsid w:val="4CA0231D"/>
    <w:rsid w:val="4D5A8052"/>
    <w:rsid w:val="4DB65DA6"/>
    <w:rsid w:val="4F47A123"/>
    <w:rsid w:val="4F54E284"/>
    <w:rsid w:val="517CBC75"/>
    <w:rsid w:val="532A924F"/>
    <w:rsid w:val="542AC687"/>
    <w:rsid w:val="546EE0F0"/>
    <w:rsid w:val="54DD4C47"/>
    <w:rsid w:val="56DF6A51"/>
    <w:rsid w:val="58937D51"/>
    <w:rsid w:val="589E8A35"/>
    <w:rsid w:val="5A0001D0"/>
    <w:rsid w:val="5E28BC41"/>
    <w:rsid w:val="6070C2C1"/>
    <w:rsid w:val="60820326"/>
    <w:rsid w:val="6254D03F"/>
    <w:rsid w:val="64A3A2AA"/>
    <w:rsid w:val="69FE6526"/>
    <w:rsid w:val="6A47C6E9"/>
    <w:rsid w:val="6C0ADE60"/>
    <w:rsid w:val="6C4DBC25"/>
    <w:rsid w:val="6D4C6FFA"/>
    <w:rsid w:val="6DECB496"/>
    <w:rsid w:val="70E3CE77"/>
    <w:rsid w:val="71E3E705"/>
    <w:rsid w:val="773DEE85"/>
    <w:rsid w:val="782531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FEAC"/>
  <w15:chartTrackingRefBased/>
  <w15:docId w15:val="{DAF8CDDD-ECD9-1C40-9FF1-5258B7D44B51}"/>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character" w:styleId="UnresolvedMention">
    <w:name w:val="Unresolved Mention"/>
    <w:basedOn w:val="DefaultParagraphFont"/>
    <w:uiPriority w:val="99"/>
    <w:semiHidden/>
    <w:unhideWhenUsed/>
    <w:rsid w:val="00681376"/>
    <w:rPr>
      <w:color w:val="605E5C"/>
      <w:shd w:val="clear" w:color="auto" w:fill="E1DFDD"/>
    </w:rPr>
  </w:style>
  <w:style w:type="character" w:styleId="FollowedHyperlink">
    <w:name w:val="FollowedHyperlink"/>
    <w:basedOn w:val="DefaultParagraphFont"/>
    <w:uiPriority w:val="99"/>
    <w:semiHidden/>
    <w:unhideWhenUsed/>
    <w:rsid w:val="00566C0F"/>
    <w:rPr>
      <w:color w:val="96607D" w:themeColor="followedHyperlink"/>
      <w:u w:val="single"/>
    </w:rPr>
  </w:style>
  <w:style w:type="paragraph" w:styleId="FootnoteText">
    <w:name w:val="footnote text"/>
    <w:basedOn w:val="Normal"/>
    <w:link w:val="FootnoteTextChar"/>
    <w:uiPriority w:val="99"/>
    <w:semiHidden/>
    <w:unhideWhenUsed/>
    <w:rsid w:val="00555D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5D5D"/>
    <w:rPr>
      <w:sz w:val="20"/>
      <w:szCs w:val="20"/>
    </w:rPr>
  </w:style>
  <w:style w:type="character" w:styleId="FootnoteReference">
    <w:name w:val="footnote reference"/>
    <w:basedOn w:val="DefaultParagraphFont"/>
    <w:uiPriority w:val="99"/>
    <w:semiHidden/>
    <w:unhideWhenUsed/>
    <w:rsid w:val="00555D5D"/>
    <w:rPr>
      <w:vertAlign w:val="superscript"/>
    </w:rPr>
  </w:style>
  <w:style w:type="paragraph" w:styleId="Revision">
    <w:name w:val="Revision"/>
    <w:hidden/>
    <w:uiPriority w:val="99"/>
    <w:semiHidden/>
    <w:rsid w:val="001648A7"/>
    <w:pPr>
      <w:spacing w:after="0" w:line="240" w:lineRule="auto"/>
    </w:pPr>
  </w:style>
  <w:style w:type="character" w:styleId="Mention">
    <w:name w:val="Mention"/>
    <w:basedOn w:val="DefaultParagraphFont"/>
    <w:uiPriority w:val="99"/>
    <w:unhideWhenUsed/>
    <w:rsid w:val="00F928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caiso.com/documents/decision-on-modifications-to-the-2021-2022-transmission-plan-study-nov-2024.pdf" TargetMode="External"/><Relationship Id="rId1" Type="http://schemas.openxmlformats.org/officeDocument/2006/relationships/hyperlink" Target="https://docs.cpuc.ca.gov/PublishedDocs/Published/G000/M599/K351/5993518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94eb0b-0742-491f-921b-4c8fe009313f" xsi:nil="true"/>
    <lcf76f155ced4ddcb4097134ff3c332f xmlns="b2d2777c-a1f1-404e-80d5-4b6b735f5353">
      <Terms xmlns="http://schemas.microsoft.com/office/infopath/2007/PartnerControls"/>
    </lcf76f155ced4ddcb4097134ff3c332f>
    <OtherDivisionLeads xmlns="b2d2777c-a1f1-404e-80d5-4b6b735f5353">
      <UserInfo>
        <DisplayName/>
        <AccountId xsi:nil="true"/>
        <AccountType/>
      </UserInfo>
    </OtherDivisionLeads>
    <BCPLead_x0028_s_x0029_ xmlns="b2d2777c-a1f1-404e-80d5-4b6b735f5353">
      <UserInfo>
        <DisplayName/>
        <AccountId xsi:nil="true"/>
        <AccountType/>
      </UserInfo>
    </BCPLead_x0028_s_x0029_>
    <Positions xmlns="b2d2777c-a1f1-404e-80d5-4b6b735f5353" xsi:nil="true"/>
    <BCPName xmlns="b2d2777c-a1f1-404e-80d5-4b6b735f5353" xsi:nil="true"/>
    <DateSignedbyGovernor xmlns="b2d2777c-a1f1-404e-80d5-4b6b735f5353" xsi:nil="true"/>
    <Link xmlns="b2d2777c-a1f1-404e-80d5-4b6b735f5353">
      <Url xsi:nil="true"/>
      <Description xsi:nil="true"/>
    </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D0DC434EC93649981C54FC51FEC81B" ma:contentTypeVersion="23" ma:contentTypeDescription="Create a new document." ma:contentTypeScope="" ma:versionID="a5562ebecc481c493f2640d6686b12cc">
  <xsd:schema xmlns:xsd="http://www.w3.org/2001/XMLSchema" xmlns:xs="http://www.w3.org/2001/XMLSchema" xmlns:p="http://schemas.microsoft.com/office/2006/metadata/properties" xmlns:ns2="b2d2777c-a1f1-404e-80d5-4b6b735f5353" xmlns:ns3="5294eb0b-0742-491f-921b-4c8fe009313f" targetNamespace="http://schemas.microsoft.com/office/2006/metadata/properties" ma:root="true" ma:fieldsID="a2c692c175dc4a9c562771b57dfd4237" ns2:_="" ns3:_="">
    <xsd:import namespace="b2d2777c-a1f1-404e-80d5-4b6b735f5353"/>
    <xsd:import namespace="5294eb0b-0742-491f-921b-4c8fe00931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BCPLead_x0028_s_x0029_" minOccurs="0"/>
                <xsd:element ref="ns2:BCPName" minOccurs="0"/>
                <xsd:element ref="ns2:Positions" minOccurs="0"/>
                <xsd:element ref="ns2:OtherDivisionLeads" minOccurs="0"/>
                <xsd:element ref="ns2:DateSignedbyGovernor" minOccurs="0"/>
                <xsd:element ref="ns2:lcf76f155ced4ddcb4097134ff3c332f" minOccurs="0"/>
                <xsd:element ref="ns3:TaxCatchAll"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2777c-a1f1-404e-80d5-4b6b735f5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BCPLead_x0028_s_x0029_" ma:index="19" nillable="true" ma:displayName="ED Lead" ma:description="Energy Division lead for BCP" ma:format="Dropdown" ma:list="UserInfo" ma:SharePointGroup="0" ma:internalName="BCPLead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CPName" ma:index="20" nillable="true" ma:displayName="BCP Name" ma:format="Dropdown" ma:internalName="BCPName">
      <xsd:simpleType>
        <xsd:restriction base="dms:Text">
          <xsd:maxLength value="255"/>
        </xsd:restriction>
      </xsd:simpleType>
    </xsd:element>
    <xsd:element name="Positions" ma:index="21" nillable="true" ma:displayName="Positions" ma:format="Dropdown" ma:internalName="Positions">
      <xsd:simpleType>
        <xsd:restriction base="dms:Note">
          <xsd:maxLength value="255"/>
        </xsd:restriction>
      </xsd:simpleType>
    </xsd:element>
    <xsd:element name="OtherDivisionLeads" ma:index="22" nillable="true" ma:displayName="Other Lead(s)" ma:format="Dropdown" ma:list="UserInfo" ma:SharePointGroup="0" ma:internalName="OtherDivisionLead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SignedbyGovernor" ma:index="23" nillable="true" ma:displayName="Date Signed by Governor" ma:format="DateTime" ma:internalName="DateSignedbyGovernor">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94eb0b-0742-491f-921b-4c8fe00931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186ee5c-bc1d-4224-b12b-34228e56b313}" ma:internalName="TaxCatchAll" ma:showField="CatchAllData" ma:web="5294eb0b-0742-491f-921b-4c8fe0093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5294eb0b-0742-491f-921b-4c8fe009313f"/>
    <ds:schemaRef ds:uri="b2d2777c-a1f1-404e-80d5-4b6b735f5353"/>
  </ds:schemaRefs>
</ds:datastoreItem>
</file>

<file path=customXml/itemProps2.xml><?xml version="1.0" encoding="utf-8"?>
<ds:datastoreItem xmlns:ds="http://schemas.openxmlformats.org/officeDocument/2006/customXml" ds:itemID="{C863C4B0-A340-448D-B71C-4F8989902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2777c-a1f1-404e-80d5-4b6b735f5353"/>
    <ds:schemaRef ds:uri="5294eb0b-0742-491f-921b-4c8fe0093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AA1A7D-E8C9-4A21-8934-A9155F39E658}">
  <ds:schemaRefs>
    <ds:schemaRef ds:uri="http://schemas.openxmlformats.org/officeDocument/2006/bibliography"/>
  </ds:schemaRefs>
</ds:datastoreItem>
</file>

<file path=customXml/itemProps4.xml><?xml version="1.0" encoding="utf-8"?>
<ds:datastoreItem xmlns:ds="http://schemas.openxmlformats.org/officeDocument/2006/customXml" ds:itemID="{C81C780E-3D08-4B0A-8821-488CAE882A12}">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22</ap:Pages>
  <ap:Words>7634</ap:Words>
  <ap:Characters>43519</ap:Characters>
  <ap:Application>Microsoft Office Word</ap:Application>
  <ap:DocSecurity>0</ap:DocSecurity>
  <ap:Lines>362</ap:Lines>
  <ap:Paragraphs>102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51051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2026-02-25T04:03:00Z</cp:lastPrinted>
  <dcterms:created xsi:type="dcterms:W3CDTF">2026-06-26T13:23:47Z</dcterms:created>
  <dcterms:modified xsi:type="dcterms:W3CDTF">2026-06-26T13:23:47Z</dcterms:modified>
</cp:coreProperties>
</file>