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9D5584" w:rsidR="00A76F4A" w:rsidP="00A76F4A" w:rsidRDefault="00A76F4A" w14:paraId="2AFEBBF1" w14:textId="7E1875F6">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9D5584">
        <w:rPr>
          <w:rFonts w:ascii="Palatino Linotype" w:hAnsi="Palatino Linotype" w:eastAsia="Times New Roman" w:cs="Times New Roman"/>
          <w:b/>
          <w:kern w:val="0"/>
          <w14:ligatures w14:val="none"/>
        </w:rPr>
        <w:t>Ag</w:t>
      </w:r>
      <w:r w:rsidRPr="009D5584">
        <w:rPr>
          <w:rFonts w:ascii="Palatino Linotype" w:hAnsi="Palatino Linotype" w:eastAsia="Times New Roman" w:cs="Times New Roman"/>
          <w:b/>
        </w:rPr>
        <w:t>e</w:t>
      </w:r>
      <w:r w:rsidRPr="009D5584">
        <w:rPr>
          <w:rFonts w:ascii="Palatino Linotype" w:hAnsi="Palatino Linotype" w:eastAsia="Times New Roman" w:cs="Times New Roman"/>
          <w:b/>
          <w:kern w:val="0"/>
          <w14:ligatures w14:val="none"/>
        </w:rPr>
        <w:t>nda ID #</w:t>
      </w:r>
      <w:r w:rsidRPr="00E655BD" w:rsidR="00E655BD">
        <w:rPr>
          <w:rFonts w:ascii="Palatino Linotype" w:hAnsi="Palatino Linotype" w:eastAsia="Times New Roman" w:cs="Times New Roman"/>
          <w:b/>
          <w:bCs/>
          <w:kern w:val="0"/>
          <w14:ligatures w14:val="none"/>
        </w:rPr>
        <w:t>24268</w:t>
      </w:r>
      <w:r w:rsidRPr="009D5584">
        <w:rPr>
          <w:rFonts w:ascii="Palatino Linotype" w:hAnsi="Palatino Linotype" w:eastAsia="Times New Roman" w:cs="Times New Roman"/>
          <w:b/>
          <w:kern w:val="0"/>
          <w14:ligatures w14:val="none"/>
        </w:rPr>
        <w:t xml:space="preserve"> </w:t>
      </w:r>
    </w:p>
    <w:p w:rsidRPr="0051493D" w:rsidR="00A76F4A" w:rsidP="007E3EC8" w:rsidRDefault="00204B1B" w14:paraId="097CE738" w14:textId="2445E94F">
      <w:pPr>
        <w:tabs>
          <w:tab w:val="right" w:pos="8820"/>
        </w:tabs>
        <w:spacing w:after="0" w:line="240" w:lineRule="auto"/>
        <w:ind w:left="540"/>
        <w:rPr>
          <w:rFonts w:ascii="Palatino Linotype" w:hAnsi="Palatino Linotype" w:eastAsia="Palatino Linotype" w:cs="Times New Roman"/>
          <w:b/>
          <w:kern w:val="0"/>
          <w:highlight w:val="yellow"/>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1B3A10" w:rsidR="00A76F4A">
        <w:rPr>
          <w:rFonts w:ascii="Palatino Linotype" w:hAnsi="Palatino Linotype" w:eastAsia="Palatino Linotype" w:cs="Times New Roman"/>
          <w:b/>
          <w:kern w:val="0"/>
          <w14:ligatures w14:val="none"/>
        </w:rPr>
        <w:t xml:space="preserve">       </w:t>
      </w:r>
      <w:r w:rsidRPr="001B3A10" w:rsidR="00A76F4A">
        <w:rPr>
          <w:rFonts w:ascii="Palatino Linotype" w:hAnsi="Palatino Linotype" w:eastAsia="Palatino Linotype" w:cs="Times New Roman"/>
          <w:b/>
        </w:rPr>
        <w:t>RESOLUTION E-</w:t>
      </w:r>
      <w:r w:rsidRPr="001B3A10" w:rsidR="001B3A10">
        <w:rPr>
          <w:rFonts w:ascii="Palatino Linotype" w:hAnsi="Palatino Linotype" w:eastAsia="Palatino Linotype" w:cs="Times New Roman"/>
          <w:b/>
        </w:rPr>
        <w:t>5453</w:t>
      </w:r>
    </w:p>
    <w:p w:rsidRPr="001942D0" w:rsidR="00A76F4A" w:rsidP="00A76F4A" w:rsidRDefault="003D1594" w14:paraId="17BEFA95" w14:textId="05B78A6F">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July 2, 2026</w:t>
      </w:r>
      <w:r>
        <w:rPr>
          <w:rFonts w:ascii="Palatino Linotype" w:hAnsi="Palatino Linotype" w:eastAsia="Times New Roman" w:cs="Times New Roman"/>
          <w:b/>
          <w:kern w:val="0"/>
          <w14:ligatures w14:val="none"/>
        </w:rPr>
        <w:tab/>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472C7B3E">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00F09B6" w14:textId="664DCD36">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1B3A10">
        <w:rPr>
          <w:rFonts w:ascii="Palatino Linotype" w:hAnsi="Palatino Linotype" w:eastAsia="Times New Roman" w:cs="Times New Roman"/>
          <w:kern w:val="0"/>
          <w14:ligatures w14:val="none"/>
        </w:rPr>
        <w:t>E-5453</w:t>
      </w:r>
      <w:r w:rsidR="00FA0DE4">
        <w:rPr>
          <w:rFonts w:ascii="Palatino Linotype" w:hAnsi="Palatino Linotype" w:eastAsia="Times New Roman" w:cs="Times New Roman"/>
          <w:kern w:val="0"/>
          <w14:ligatures w14:val="none"/>
        </w:rPr>
        <w:t xml:space="preserve">. </w:t>
      </w:r>
      <w:r w:rsidR="005A734F">
        <w:rPr>
          <w:rFonts w:ascii="Palatino Linotype" w:hAnsi="Palatino Linotype" w:eastAsia="Times New Roman" w:cs="Times New Roman"/>
          <w:kern w:val="0"/>
          <w14:ligatures w14:val="none"/>
        </w:rPr>
        <w:t xml:space="preserve">Approves </w:t>
      </w:r>
      <w:r w:rsidR="00C253B1">
        <w:rPr>
          <w:rFonts w:ascii="Palatino Linotype" w:hAnsi="Palatino Linotype" w:eastAsia="Times New Roman" w:cs="Times New Roman"/>
          <w:kern w:val="0"/>
          <w14:ligatures w14:val="none"/>
        </w:rPr>
        <w:t>Pacific Gas and Electric</w:t>
      </w:r>
      <w:r w:rsidR="005A734F">
        <w:rPr>
          <w:rFonts w:ascii="Palatino Linotype" w:hAnsi="Palatino Linotype" w:eastAsia="Times New Roman" w:cs="Times New Roman"/>
          <w:kern w:val="0"/>
          <w14:ligatures w14:val="none"/>
        </w:rPr>
        <w:t xml:space="preserve"> Company’s</w:t>
      </w:r>
      <w:r w:rsidR="00C253B1">
        <w:rPr>
          <w:rFonts w:ascii="Palatino Linotype" w:hAnsi="Palatino Linotype" w:eastAsia="Times New Roman" w:cs="Times New Roman"/>
          <w:kern w:val="0"/>
          <w14:ligatures w14:val="none"/>
        </w:rPr>
        <w:t xml:space="preserve"> and Southern California Edison</w:t>
      </w:r>
      <w:r w:rsidR="008A6BE2">
        <w:rPr>
          <w:rFonts w:ascii="Palatino Linotype" w:hAnsi="Palatino Linotype" w:eastAsia="Times New Roman" w:cs="Times New Roman"/>
          <w:kern w:val="0"/>
          <w14:ligatures w14:val="none"/>
        </w:rPr>
        <w:t xml:space="preserve"> Company’s revised</w:t>
      </w:r>
      <w:r w:rsidR="00C253B1">
        <w:rPr>
          <w:rFonts w:ascii="Palatino Linotype" w:hAnsi="Palatino Linotype" w:eastAsia="Times New Roman" w:cs="Times New Roman"/>
          <w:kern w:val="0"/>
          <w14:ligatures w14:val="none"/>
        </w:rPr>
        <w:t xml:space="preserve"> Automated Demand Response Technology Incentive Program</w:t>
      </w:r>
      <w:r>
        <w:rPr>
          <w:rFonts w:ascii="Palatino Linotype" w:hAnsi="Palatino Linotype" w:eastAsia="Times New Roman" w:cs="Times New Roman"/>
          <w:kern w:val="0"/>
          <w14:ligatures w14:val="none"/>
        </w:rPr>
        <w:t>.</w:t>
      </w:r>
      <w:r w:rsidRPr="001942D0">
        <w:rPr>
          <w:rFonts w:ascii="Palatino Linotype" w:hAnsi="Palatino Linotype" w:eastAsia="Times New Roman" w:cs="Times New Roman"/>
          <w:kern w:val="0"/>
          <w14:ligatures w14:val="none"/>
        </w:rPr>
        <w:t xml:space="preserve"> </w:t>
      </w:r>
    </w:p>
    <w:p w:rsidRPr="001942D0"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00A76F4A" w:rsidP="00A76F4A" w:rsidRDefault="008F5785" w14:paraId="6B3F292E" w14:textId="6BC6B72D">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a</w:t>
      </w:r>
      <w:r w:rsidR="00AD622A">
        <w:rPr>
          <w:rFonts w:ascii="Palatino Linotype" w:hAnsi="Palatino Linotype" w:eastAsia="Times New Roman" w:cs="Times New Roman"/>
          <w:kern w:val="0"/>
          <w14:ligatures w14:val="none"/>
        </w:rPr>
        <w:t xml:space="preserve">pproves, with modification, </w:t>
      </w:r>
      <w:r w:rsidR="00127E94">
        <w:rPr>
          <w:rFonts w:ascii="Palatino Linotype" w:hAnsi="Palatino Linotype" w:eastAsia="Times New Roman" w:cs="Times New Roman"/>
          <w:kern w:val="0"/>
          <w14:ligatures w14:val="none"/>
        </w:rPr>
        <w:t xml:space="preserve">the </w:t>
      </w:r>
      <w:r w:rsidR="00603456">
        <w:rPr>
          <w:rFonts w:ascii="Palatino Linotype" w:hAnsi="Palatino Linotype" w:eastAsia="Times New Roman" w:cs="Times New Roman"/>
          <w:kern w:val="0"/>
          <w14:ligatures w14:val="none"/>
        </w:rPr>
        <w:t xml:space="preserve">proposed changes </w:t>
      </w:r>
      <w:r w:rsidR="003020B1">
        <w:rPr>
          <w:rFonts w:ascii="Palatino Linotype" w:hAnsi="Palatino Linotype" w:eastAsia="Times New Roman" w:cs="Times New Roman"/>
          <w:kern w:val="0"/>
          <w14:ligatures w14:val="none"/>
        </w:rPr>
        <w:t xml:space="preserve">to </w:t>
      </w:r>
      <w:r w:rsidR="00CA7E45">
        <w:rPr>
          <w:rFonts w:ascii="Palatino Linotype" w:hAnsi="Palatino Linotype" w:eastAsia="Times New Roman" w:cs="Times New Roman"/>
          <w:kern w:val="0"/>
          <w14:ligatures w14:val="none"/>
        </w:rPr>
        <w:t>Pacific Gas and Electric</w:t>
      </w:r>
      <w:r w:rsidR="005228A3">
        <w:rPr>
          <w:rFonts w:ascii="Palatino Linotype" w:hAnsi="Palatino Linotype" w:eastAsia="Times New Roman" w:cs="Times New Roman"/>
          <w:kern w:val="0"/>
          <w14:ligatures w14:val="none"/>
        </w:rPr>
        <w:t xml:space="preserve"> Company’s</w:t>
      </w:r>
      <w:r w:rsidR="00CA7E45">
        <w:rPr>
          <w:rFonts w:ascii="Palatino Linotype" w:hAnsi="Palatino Linotype" w:eastAsia="Times New Roman" w:cs="Times New Roman"/>
          <w:kern w:val="0"/>
          <w14:ligatures w14:val="none"/>
        </w:rPr>
        <w:t xml:space="preserve"> (PG&amp;E) and Southern California Edison</w:t>
      </w:r>
      <w:r w:rsidR="005228A3">
        <w:rPr>
          <w:rFonts w:ascii="Palatino Linotype" w:hAnsi="Palatino Linotype" w:eastAsia="Times New Roman" w:cs="Times New Roman"/>
          <w:kern w:val="0"/>
          <w14:ligatures w14:val="none"/>
        </w:rPr>
        <w:t xml:space="preserve"> Company’s</w:t>
      </w:r>
      <w:r w:rsidR="00CA7E45">
        <w:rPr>
          <w:rFonts w:ascii="Palatino Linotype" w:hAnsi="Palatino Linotype" w:eastAsia="Times New Roman" w:cs="Times New Roman"/>
          <w:kern w:val="0"/>
          <w14:ligatures w14:val="none"/>
        </w:rPr>
        <w:t xml:space="preserve"> (SCE)</w:t>
      </w:r>
      <w:r w:rsidR="00E1599A">
        <w:rPr>
          <w:rFonts w:ascii="Palatino Linotype" w:hAnsi="Palatino Linotype" w:eastAsia="Times New Roman" w:cs="Times New Roman"/>
          <w:kern w:val="0"/>
          <w14:ligatures w14:val="none"/>
        </w:rPr>
        <w:t xml:space="preserve"> Automated Demand Response Technology Incentive Programs</w:t>
      </w:r>
      <w:r w:rsidR="00A575A5">
        <w:rPr>
          <w:rFonts w:ascii="Palatino Linotype" w:hAnsi="Palatino Linotype" w:eastAsia="Times New Roman" w:cs="Times New Roman"/>
          <w:kern w:val="0"/>
          <w14:ligatures w14:val="none"/>
        </w:rPr>
        <w:t xml:space="preserve"> proposed through the Mid-Cycle</w:t>
      </w:r>
      <w:r w:rsidR="007630AE">
        <w:rPr>
          <w:rFonts w:ascii="Palatino Linotype" w:hAnsi="Palatino Linotype" w:eastAsia="Times New Roman" w:cs="Times New Roman"/>
          <w:kern w:val="0"/>
          <w14:ligatures w14:val="none"/>
        </w:rPr>
        <w:t xml:space="preserve"> Review Advice Letter</w:t>
      </w:r>
      <w:r w:rsidR="00296078">
        <w:rPr>
          <w:rFonts w:ascii="Palatino Linotype" w:hAnsi="Palatino Linotype" w:eastAsia="Times New Roman" w:cs="Times New Roman"/>
          <w:kern w:val="0"/>
          <w14:ligatures w14:val="none"/>
        </w:rPr>
        <w:t xml:space="preserve"> (AL).</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AD3784" w:rsidR="00A76F4A" w:rsidP="00AD3784" w:rsidRDefault="00A76F4A" w14:paraId="64A6B8D1" w14:textId="2B966C5C">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There are no safety considerations associated with this resolution.</w:t>
      </w:r>
    </w:p>
    <w:p w:rsidRPr="001942D0" w:rsidR="00AD3784" w:rsidP="00AD3784" w:rsidRDefault="00AD3784" w14:paraId="6EA90E67" w14:textId="77777777">
      <w:pPr>
        <w:spacing w:after="0" w:line="240" w:lineRule="auto"/>
        <w:ind w:left="144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C818BC" w:rsidRDefault="009F4566" w14:paraId="0ADF6FD2" w14:textId="416E3C19">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resolution </w:t>
      </w:r>
      <w:r w:rsidR="00A2662A">
        <w:rPr>
          <w:rFonts w:ascii="Palatino Linotype" w:hAnsi="Palatino Linotype" w:eastAsia="Times New Roman" w:cs="Times New Roman"/>
          <w:kern w:val="0"/>
          <w14:ligatures w14:val="none"/>
        </w:rPr>
        <w:t xml:space="preserve">does not add any incremental budget beyond </w:t>
      </w:r>
      <w:r w:rsidR="00ED56E7">
        <w:rPr>
          <w:rFonts w:ascii="Palatino Linotype" w:hAnsi="Palatino Linotype" w:eastAsia="Times New Roman" w:cs="Times New Roman"/>
          <w:kern w:val="0"/>
          <w14:ligatures w14:val="none"/>
        </w:rPr>
        <w:t>budgets approved in D.23-12-005</w:t>
      </w:r>
      <w:r w:rsidR="00282091">
        <w:rPr>
          <w:rFonts w:ascii="Palatino Linotype" w:hAnsi="Palatino Linotype" w:eastAsia="Times New Roman" w:cs="Times New Roman"/>
          <w:kern w:val="0"/>
          <w14:ligatures w14:val="none"/>
        </w:rPr>
        <w:t>.</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14085776">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w:t>
      </w:r>
      <w:r w:rsidRPr="001942D0" w:rsidR="00E30943">
        <w:rPr>
          <w:rFonts w:ascii="Palatino Linotype" w:hAnsi="Palatino Linotype" w:eastAsia="Palatino Linotype" w:cs="Times New Roman"/>
          <w:kern w:val="0"/>
          <w14:ligatures w14:val="none"/>
        </w:rPr>
        <w:t>Advice Letter</w:t>
      </w:r>
      <w:r w:rsidR="005D0B4A">
        <w:rPr>
          <w:rFonts w:ascii="Palatino Linotype" w:hAnsi="Palatino Linotype" w:eastAsia="Palatino Linotype" w:cs="Times New Roman"/>
          <w:kern w:val="0"/>
          <w14:ligatures w14:val="none"/>
        </w:rPr>
        <w:t xml:space="preserve"> (AL)</w:t>
      </w:r>
      <w:r w:rsidRPr="001942D0" w:rsidR="00E30943">
        <w:rPr>
          <w:rFonts w:ascii="Palatino Linotype" w:hAnsi="Palatino Linotype" w:eastAsia="Palatino Linotype" w:cs="Times New Roman"/>
          <w:kern w:val="0"/>
          <w14:ligatures w14:val="none"/>
        </w:rPr>
        <w:t xml:space="preserve"> </w:t>
      </w:r>
      <w:r w:rsidR="00E30943">
        <w:rPr>
          <w:rFonts w:ascii="Palatino Linotype" w:hAnsi="Palatino Linotype" w:eastAsia="Palatino Linotype" w:cs="Times New Roman"/>
          <w:kern w:val="0"/>
          <w14:ligatures w14:val="none"/>
        </w:rPr>
        <w:t xml:space="preserve">7742-E (PG&amp;E) and </w:t>
      </w:r>
      <w:r w:rsidR="005D0B4A">
        <w:rPr>
          <w:rFonts w:ascii="Palatino Linotype" w:hAnsi="Palatino Linotype" w:eastAsia="Palatino Linotype" w:cs="Times New Roman"/>
          <w:kern w:val="0"/>
          <w14:ligatures w14:val="none"/>
        </w:rPr>
        <w:t>AL</w:t>
      </w:r>
      <w:r w:rsidR="00E30943">
        <w:rPr>
          <w:rFonts w:ascii="Palatino Linotype" w:hAnsi="Palatino Linotype" w:eastAsia="Palatino Linotype" w:cs="Times New Roman"/>
          <w:kern w:val="0"/>
          <w14:ligatures w14:val="none"/>
        </w:rPr>
        <w:t xml:space="preserve"> 5658-E (SCE)</w:t>
      </w:r>
      <w:r w:rsidRPr="001942D0" w:rsidR="00E30943">
        <w:rPr>
          <w:rFonts w:ascii="Palatino Linotype" w:hAnsi="Palatino Linotype" w:eastAsia="Palatino Linotype" w:cs="Times New Roman"/>
          <w:kern w:val="0"/>
          <w14:ligatures w14:val="none"/>
        </w:rPr>
        <w:t xml:space="preserve"> Filed on </w:t>
      </w:r>
      <w:r w:rsidR="00E30943">
        <w:rPr>
          <w:rFonts w:ascii="Palatino Linotype" w:hAnsi="Palatino Linotype" w:eastAsia="Palatino Linotype" w:cs="Times New Roman"/>
          <w:kern w:val="0"/>
          <w14:ligatures w14:val="none"/>
        </w:rPr>
        <w:t xml:space="preserve">October 28, 2025; and </w:t>
      </w:r>
      <w:r w:rsidR="000D5283">
        <w:rPr>
          <w:rFonts w:ascii="Palatino Linotype" w:hAnsi="Palatino Linotype" w:eastAsia="Palatino Linotype" w:cs="Times New Roman"/>
          <w:kern w:val="0"/>
          <w14:ligatures w14:val="none"/>
        </w:rPr>
        <w:t xml:space="preserve">Supplemental </w:t>
      </w:r>
      <w:r w:rsidR="005D0B4A">
        <w:rPr>
          <w:rFonts w:ascii="Palatino Linotype" w:hAnsi="Palatino Linotype" w:eastAsia="Palatino Linotype" w:cs="Times New Roman"/>
          <w:kern w:val="0"/>
          <w14:ligatures w14:val="none"/>
        </w:rPr>
        <w:t>AL</w:t>
      </w:r>
      <w:r w:rsidRPr="001942D0">
        <w:rPr>
          <w:rFonts w:ascii="Palatino Linotype" w:hAnsi="Palatino Linotype" w:eastAsia="Palatino Linotype" w:cs="Times New Roman"/>
          <w:kern w:val="0"/>
          <w14:ligatures w14:val="none"/>
        </w:rPr>
        <w:t xml:space="preserve"> </w:t>
      </w:r>
      <w:r w:rsidR="0029595F">
        <w:rPr>
          <w:rFonts w:ascii="Palatino Linotype" w:hAnsi="Palatino Linotype" w:eastAsia="Palatino Linotype" w:cs="Times New Roman"/>
          <w:kern w:val="0"/>
          <w14:ligatures w14:val="none"/>
        </w:rPr>
        <w:t>7742-E</w:t>
      </w:r>
      <w:r w:rsidR="000D5283">
        <w:rPr>
          <w:rFonts w:ascii="Palatino Linotype" w:hAnsi="Palatino Linotype" w:eastAsia="Palatino Linotype" w:cs="Times New Roman"/>
          <w:kern w:val="0"/>
          <w14:ligatures w14:val="none"/>
        </w:rPr>
        <w:t>-A</w:t>
      </w:r>
      <w:r w:rsidR="0029595F">
        <w:rPr>
          <w:rFonts w:ascii="Palatino Linotype" w:hAnsi="Palatino Linotype" w:eastAsia="Palatino Linotype" w:cs="Times New Roman"/>
          <w:kern w:val="0"/>
          <w14:ligatures w14:val="none"/>
        </w:rPr>
        <w:t xml:space="preserve"> (PG&amp;E) and </w:t>
      </w:r>
      <w:r w:rsidR="005D0B4A">
        <w:rPr>
          <w:rFonts w:ascii="Palatino Linotype" w:hAnsi="Palatino Linotype" w:eastAsia="Palatino Linotype" w:cs="Times New Roman"/>
          <w:kern w:val="0"/>
          <w14:ligatures w14:val="none"/>
        </w:rPr>
        <w:t xml:space="preserve">Supplemental AL </w:t>
      </w:r>
      <w:r w:rsidR="004C26DE">
        <w:rPr>
          <w:rFonts w:ascii="Palatino Linotype" w:hAnsi="Palatino Linotype" w:eastAsia="Palatino Linotype" w:cs="Times New Roman"/>
          <w:kern w:val="0"/>
          <w14:ligatures w14:val="none"/>
        </w:rPr>
        <w:t>5658-E</w:t>
      </w:r>
      <w:r w:rsidR="000D5283">
        <w:rPr>
          <w:rFonts w:ascii="Palatino Linotype" w:hAnsi="Palatino Linotype" w:eastAsia="Palatino Linotype" w:cs="Times New Roman"/>
          <w:kern w:val="0"/>
          <w14:ligatures w14:val="none"/>
        </w:rPr>
        <w:t>-A</w:t>
      </w:r>
      <w:r w:rsidR="004C26DE">
        <w:rPr>
          <w:rFonts w:ascii="Palatino Linotype" w:hAnsi="Palatino Linotype" w:eastAsia="Palatino Linotype" w:cs="Times New Roman"/>
          <w:kern w:val="0"/>
          <w14:ligatures w14:val="none"/>
        </w:rPr>
        <w:t xml:space="preserve"> (SCE)</w:t>
      </w:r>
      <w:r w:rsidRPr="001942D0">
        <w:rPr>
          <w:rFonts w:ascii="Palatino Linotype" w:hAnsi="Palatino Linotype" w:eastAsia="Palatino Linotype" w:cs="Times New Roman"/>
          <w:kern w:val="0"/>
          <w14:ligatures w14:val="none"/>
        </w:rPr>
        <w:t xml:space="preserve"> Filed on </w:t>
      </w:r>
      <w:r w:rsidR="000D5283">
        <w:rPr>
          <w:rFonts w:ascii="Palatino Linotype" w:hAnsi="Palatino Linotype" w:eastAsia="Palatino Linotype" w:cs="Times New Roman"/>
          <w:kern w:val="0"/>
          <w14:ligatures w14:val="none"/>
        </w:rPr>
        <w:t>March 31, 2026</w:t>
      </w:r>
      <w:r w:rsidR="004C26DE">
        <w:rPr>
          <w:rFonts w:ascii="Palatino Linotype" w:hAnsi="Palatino Linotype" w:eastAsia="Palatino Linotype" w:cs="Times New Roman"/>
          <w:kern w:val="0"/>
          <w14:ligatures w14:val="none"/>
        </w:rPr>
        <w:t>.</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E276DE" w:rsidP="00A76F4A" w:rsidRDefault="00365401" w14:paraId="144DBE25" w14:textId="7F79556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Pacific Gas and Electric Company (PG&amp;E) and Southern California Edison Company (SCE</w:t>
      </w:r>
      <w:r w:rsidR="0014463C">
        <w:rPr>
          <w:rFonts w:ascii="Palatino Linotype" w:hAnsi="Palatino Linotype" w:eastAsia="Times New Roman" w:cs="Times New Roman"/>
          <w:kern w:val="0"/>
          <w14:ligatures w14:val="none"/>
        </w:rPr>
        <w:t>), jointly submitted</w:t>
      </w:r>
      <w:r w:rsidR="00D251B5">
        <w:rPr>
          <w:rFonts w:ascii="Palatino Linotype" w:hAnsi="Palatino Linotype" w:eastAsia="Times New Roman" w:cs="Times New Roman"/>
          <w:kern w:val="0"/>
          <w14:ligatures w14:val="none"/>
        </w:rPr>
        <w:t xml:space="preserve"> </w:t>
      </w:r>
      <w:r w:rsidR="009D4316">
        <w:rPr>
          <w:rFonts w:ascii="Palatino Linotype" w:hAnsi="Palatino Linotype" w:eastAsia="Times New Roman" w:cs="Times New Roman"/>
          <w:kern w:val="0"/>
          <w14:ligatures w14:val="none"/>
        </w:rPr>
        <w:t xml:space="preserve">Tier 2 </w:t>
      </w:r>
      <w:r w:rsidR="00D251B5">
        <w:rPr>
          <w:rFonts w:ascii="Palatino Linotype" w:hAnsi="Palatino Linotype" w:eastAsia="Times New Roman" w:cs="Times New Roman"/>
          <w:kern w:val="0"/>
          <w14:ligatures w14:val="none"/>
        </w:rPr>
        <w:t xml:space="preserve">PG&amp;E Advice Letter </w:t>
      </w:r>
      <w:r w:rsidR="006711F8">
        <w:rPr>
          <w:rFonts w:ascii="Palatino Linotype" w:hAnsi="Palatino Linotype" w:eastAsia="Times New Roman" w:cs="Times New Roman"/>
          <w:kern w:val="0"/>
          <w14:ligatures w14:val="none"/>
        </w:rPr>
        <w:t xml:space="preserve">7742-E </w:t>
      </w:r>
      <w:r w:rsidR="006711F8">
        <w:rPr>
          <w:rFonts w:ascii="Palatino Linotype" w:hAnsi="Palatino Linotype" w:eastAsia="Times New Roman" w:cs="Times New Roman"/>
          <w:i/>
          <w:iCs/>
          <w:kern w:val="0"/>
          <w14:ligatures w14:val="none"/>
        </w:rPr>
        <w:t xml:space="preserve">et al. </w:t>
      </w:r>
      <w:r w:rsidR="006711F8">
        <w:rPr>
          <w:rFonts w:ascii="Palatino Linotype" w:hAnsi="Palatino Linotype" w:eastAsia="Times New Roman" w:cs="Times New Roman"/>
          <w:kern w:val="0"/>
          <w14:ligatures w14:val="none"/>
        </w:rPr>
        <w:t>(the Joint AL)</w:t>
      </w:r>
      <w:r w:rsidR="00141B07">
        <w:rPr>
          <w:rFonts w:ascii="Palatino Linotype" w:hAnsi="Palatino Linotype" w:eastAsia="Times New Roman" w:cs="Times New Roman"/>
          <w:kern w:val="0"/>
          <w14:ligatures w14:val="none"/>
        </w:rPr>
        <w:t xml:space="preserve"> </w:t>
      </w:r>
      <w:r w:rsidR="00DA4913">
        <w:rPr>
          <w:rFonts w:ascii="Palatino Linotype" w:hAnsi="Palatino Linotype" w:eastAsia="Times New Roman" w:cs="Times New Roman"/>
          <w:kern w:val="0"/>
          <w14:ligatures w14:val="none"/>
        </w:rPr>
        <w:t>on October 28, 2025</w:t>
      </w:r>
      <w:r w:rsidR="00990629">
        <w:rPr>
          <w:rFonts w:ascii="Palatino Linotype" w:hAnsi="Palatino Linotype" w:eastAsia="Times New Roman" w:cs="Times New Roman"/>
          <w:kern w:val="0"/>
          <w14:ligatures w14:val="none"/>
        </w:rPr>
        <w:t xml:space="preserve"> (PG&amp;E AL </w:t>
      </w:r>
      <w:r w:rsidR="0001191D">
        <w:rPr>
          <w:rFonts w:ascii="Palatino Linotype" w:hAnsi="Palatino Linotype" w:eastAsia="Times New Roman" w:cs="Times New Roman"/>
          <w:kern w:val="0"/>
          <w14:ligatures w14:val="none"/>
        </w:rPr>
        <w:t>7742-E and SCE AL 5658-E)</w:t>
      </w:r>
      <w:r w:rsidR="007A584D">
        <w:rPr>
          <w:rFonts w:ascii="Palatino Linotype" w:hAnsi="Palatino Linotype" w:eastAsia="Times New Roman" w:cs="Times New Roman"/>
          <w:kern w:val="0"/>
          <w14:ligatures w14:val="none"/>
        </w:rPr>
        <w:t xml:space="preserve">, and </w:t>
      </w:r>
      <w:r w:rsidR="006218B5">
        <w:rPr>
          <w:rFonts w:ascii="Palatino Linotype" w:hAnsi="Palatino Linotype" w:eastAsia="Times New Roman" w:cs="Times New Roman"/>
          <w:kern w:val="0"/>
          <w14:ligatures w14:val="none"/>
        </w:rPr>
        <w:t>Tier 3 PG&amp;E Advice Letter 7742-E-A</w:t>
      </w:r>
      <w:r w:rsidR="009A087C">
        <w:rPr>
          <w:rFonts w:ascii="Palatino Linotype" w:hAnsi="Palatino Linotype" w:eastAsia="Times New Roman" w:cs="Times New Roman"/>
          <w:kern w:val="0"/>
          <w14:ligatures w14:val="none"/>
        </w:rPr>
        <w:t xml:space="preserve"> </w:t>
      </w:r>
      <w:r w:rsidR="009A087C">
        <w:rPr>
          <w:rFonts w:ascii="Palatino Linotype" w:hAnsi="Palatino Linotype" w:eastAsia="Times New Roman" w:cs="Times New Roman"/>
          <w:i/>
          <w:iCs/>
          <w:kern w:val="0"/>
          <w14:ligatures w14:val="none"/>
        </w:rPr>
        <w:t xml:space="preserve">et al. </w:t>
      </w:r>
      <w:r w:rsidR="009A087C">
        <w:rPr>
          <w:rFonts w:ascii="Palatino Linotype" w:hAnsi="Palatino Linotype" w:eastAsia="Times New Roman" w:cs="Times New Roman"/>
          <w:kern w:val="0"/>
          <w14:ligatures w14:val="none"/>
        </w:rPr>
        <w:t>(</w:t>
      </w:r>
      <w:r w:rsidR="000F441C">
        <w:rPr>
          <w:rFonts w:ascii="Palatino Linotype" w:hAnsi="Palatino Linotype" w:eastAsia="Times New Roman" w:cs="Times New Roman"/>
          <w:kern w:val="0"/>
          <w14:ligatures w14:val="none"/>
        </w:rPr>
        <w:t>Supplemental Joint AL</w:t>
      </w:r>
      <w:r w:rsidR="009A087C">
        <w:rPr>
          <w:rFonts w:ascii="Palatino Linotype" w:hAnsi="Palatino Linotype" w:eastAsia="Times New Roman" w:cs="Times New Roman"/>
          <w:kern w:val="0"/>
          <w14:ligatures w14:val="none"/>
        </w:rPr>
        <w:t>)</w:t>
      </w:r>
      <w:r w:rsidR="000F441C">
        <w:rPr>
          <w:rFonts w:ascii="Palatino Linotype" w:hAnsi="Palatino Linotype" w:eastAsia="Times New Roman" w:cs="Times New Roman"/>
          <w:kern w:val="0"/>
          <w14:ligatures w14:val="none"/>
        </w:rPr>
        <w:t xml:space="preserve"> </w:t>
      </w:r>
      <w:r w:rsidR="009A087C">
        <w:rPr>
          <w:rFonts w:ascii="Palatino Linotype" w:hAnsi="Palatino Linotype" w:eastAsia="Times New Roman" w:cs="Times New Roman"/>
          <w:kern w:val="0"/>
          <w14:ligatures w14:val="none"/>
        </w:rPr>
        <w:t xml:space="preserve">on March 31, 2026 </w:t>
      </w:r>
      <w:r w:rsidR="000F441C">
        <w:rPr>
          <w:rFonts w:ascii="Palatino Linotype" w:hAnsi="Palatino Linotype" w:eastAsia="Times New Roman" w:cs="Times New Roman"/>
          <w:kern w:val="0"/>
          <w14:ligatures w14:val="none"/>
        </w:rPr>
        <w:t>(PG&amp;E AL 7742-E-A and SCE AL 5658-E-A)</w:t>
      </w:r>
      <w:r w:rsidR="00AA3B3B">
        <w:rPr>
          <w:rFonts w:ascii="Palatino Linotype" w:hAnsi="Palatino Linotype" w:eastAsia="Times New Roman" w:cs="Times New Roman"/>
          <w:kern w:val="0"/>
          <w14:ligatures w14:val="none"/>
        </w:rPr>
        <w:t>, proposing</w:t>
      </w:r>
      <w:r w:rsidR="00141B07">
        <w:rPr>
          <w:rFonts w:ascii="Palatino Linotype" w:hAnsi="Palatino Linotype" w:eastAsia="Times New Roman" w:cs="Times New Roman"/>
          <w:kern w:val="0"/>
          <w14:ligatures w14:val="none"/>
        </w:rPr>
        <w:t xml:space="preserve"> modifications to the Automated Demand Response </w:t>
      </w:r>
      <w:r w:rsidR="00F237CA">
        <w:rPr>
          <w:rFonts w:ascii="Palatino Linotype" w:hAnsi="Palatino Linotype" w:eastAsia="Times New Roman" w:cs="Times New Roman"/>
          <w:kern w:val="0"/>
          <w14:ligatures w14:val="none"/>
        </w:rPr>
        <w:t xml:space="preserve">(AutoDR </w:t>
      </w:r>
      <w:r w:rsidR="00F237CA">
        <w:rPr>
          <w:rFonts w:ascii="Palatino Linotype" w:hAnsi="Palatino Linotype" w:eastAsia="Times New Roman" w:cs="Times New Roman"/>
          <w:kern w:val="0"/>
          <w14:ligatures w14:val="none"/>
        </w:rPr>
        <w:lastRenderedPageBreak/>
        <w:t xml:space="preserve">or ADR) </w:t>
      </w:r>
      <w:r w:rsidR="00141B07">
        <w:rPr>
          <w:rFonts w:ascii="Palatino Linotype" w:hAnsi="Palatino Linotype" w:eastAsia="Times New Roman" w:cs="Times New Roman"/>
          <w:kern w:val="0"/>
          <w14:ligatures w14:val="none"/>
        </w:rPr>
        <w:t>Technology Incentive Program</w:t>
      </w:r>
      <w:r w:rsidR="009D4316">
        <w:rPr>
          <w:rFonts w:ascii="Palatino Linotype" w:hAnsi="Palatino Linotype" w:eastAsia="Times New Roman" w:cs="Times New Roman"/>
          <w:kern w:val="0"/>
          <w14:ligatures w14:val="none"/>
        </w:rPr>
        <w:t>.</w:t>
      </w:r>
      <w:r w:rsidR="007C028D">
        <w:rPr>
          <w:rFonts w:ascii="Palatino Linotype" w:hAnsi="Palatino Linotype" w:eastAsia="Times New Roman" w:cs="Times New Roman"/>
          <w:kern w:val="0"/>
          <w14:ligatures w14:val="none"/>
        </w:rPr>
        <w:t xml:space="preserve"> The Supplemental Joint AL replaces the </w:t>
      </w:r>
      <w:r w:rsidR="00FB026F">
        <w:rPr>
          <w:rFonts w:ascii="Palatino Linotype" w:hAnsi="Palatino Linotype" w:eastAsia="Times New Roman" w:cs="Times New Roman"/>
          <w:kern w:val="0"/>
          <w14:ligatures w14:val="none"/>
        </w:rPr>
        <w:t>original</w:t>
      </w:r>
      <w:r w:rsidR="002F131B">
        <w:rPr>
          <w:rFonts w:ascii="Palatino Linotype" w:hAnsi="Palatino Linotype" w:eastAsia="Times New Roman" w:cs="Times New Roman"/>
          <w:kern w:val="0"/>
          <w14:ligatures w14:val="none"/>
        </w:rPr>
        <w:t xml:space="preserve"> Joint A</w:t>
      </w:r>
      <w:r w:rsidR="00847594">
        <w:rPr>
          <w:rFonts w:ascii="Palatino Linotype" w:hAnsi="Palatino Linotype" w:eastAsia="Times New Roman" w:cs="Times New Roman"/>
          <w:kern w:val="0"/>
          <w14:ligatures w14:val="none"/>
        </w:rPr>
        <w:t xml:space="preserve">L </w:t>
      </w:r>
      <w:r w:rsidR="00DA20DA">
        <w:rPr>
          <w:rFonts w:ascii="Palatino Linotype" w:hAnsi="Palatino Linotype" w:eastAsia="Times New Roman" w:cs="Times New Roman"/>
          <w:kern w:val="0"/>
          <w14:ligatures w14:val="none"/>
        </w:rPr>
        <w:t>in its entirety.</w:t>
      </w:r>
    </w:p>
    <w:p w:rsidRPr="006711F8" w:rsidR="00AE4337" w:rsidP="00A76F4A" w:rsidRDefault="00AE4337" w14:paraId="1C6A79B3" w14:textId="77777777">
      <w:pPr>
        <w:spacing w:after="0" w:line="240" w:lineRule="auto"/>
        <w:rPr>
          <w:rFonts w:ascii="Palatino Linotype" w:hAnsi="Palatino Linotype" w:eastAsia="Times New Roman" w:cs="Times New Roman"/>
          <w:kern w:val="0"/>
          <w14:ligatures w14:val="none"/>
        </w:rPr>
      </w:pPr>
    </w:p>
    <w:p w:rsidR="00A76F4A" w:rsidP="00A76F4A" w:rsidRDefault="00A76F4A" w14:paraId="5BA743B0" w14:textId="58F58F43">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 xml:space="preserve">This Resolution </w:t>
      </w:r>
      <w:r w:rsidR="008354A9">
        <w:rPr>
          <w:rFonts w:ascii="Palatino Linotype" w:hAnsi="Palatino Linotype" w:eastAsia="Times New Roman" w:cs="Times New Roman"/>
          <w:kern w:val="0"/>
          <w14:ligatures w14:val="none"/>
        </w:rPr>
        <w:t>approves the Supplemental Joint AL</w:t>
      </w:r>
      <w:r w:rsidR="00FE5218">
        <w:rPr>
          <w:rFonts w:ascii="Palatino Linotype" w:hAnsi="Palatino Linotype" w:eastAsia="Times New Roman" w:cs="Times New Roman"/>
          <w:kern w:val="0"/>
          <w14:ligatures w14:val="none"/>
        </w:rPr>
        <w:t xml:space="preserve"> with modifications</w:t>
      </w:r>
      <w:r w:rsidR="00071D49">
        <w:rPr>
          <w:rFonts w:ascii="Palatino Linotype" w:hAnsi="Palatino Linotype" w:eastAsia="Times New Roman" w:cs="Times New Roman"/>
          <w:kern w:val="0"/>
          <w14:ligatures w14:val="none"/>
        </w:rPr>
        <w:t>. This Resolution discusses findings on</w:t>
      </w:r>
      <w:r w:rsidR="00793E29">
        <w:rPr>
          <w:rFonts w:ascii="Palatino Linotype" w:hAnsi="Palatino Linotype" w:eastAsia="Times New Roman" w:cs="Times New Roman"/>
          <w:kern w:val="0"/>
          <w14:ligatures w14:val="none"/>
        </w:rPr>
        <w:t xml:space="preserve"> </w:t>
      </w:r>
      <w:r w:rsidR="0010055F">
        <w:rPr>
          <w:rFonts w:ascii="Palatino Linotype" w:hAnsi="Palatino Linotype" w:eastAsia="Times New Roman" w:cs="Times New Roman"/>
          <w:kern w:val="0"/>
          <w14:ligatures w14:val="none"/>
        </w:rPr>
        <w:t xml:space="preserve">specific </w:t>
      </w:r>
      <w:r w:rsidR="002134B4">
        <w:rPr>
          <w:rFonts w:ascii="Palatino Linotype" w:hAnsi="Palatino Linotype" w:eastAsia="Times New Roman" w:cs="Times New Roman"/>
          <w:kern w:val="0"/>
          <w14:ligatures w14:val="none"/>
        </w:rPr>
        <w:t>proposed modification</w:t>
      </w:r>
      <w:r w:rsidR="00A808CF">
        <w:rPr>
          <w:rFonts w:ascii="Palatino Linotype" w:hAnsi="Palatino Linotype" w:eastAsia="Times New Roman" w:cs="Times New Roman"/>
          <w:kern w:val="0"/>
          <w14:ligatures w14:val="none"/>
        </w:rPr>
        <w:t>s</w:t>
      </w:r>
      <w:r w:rsidR="0010055F">
        <w:rPr>
          <w:rFonts w:ascii="Palatino Linotype" w:hAnsi="Palatino Linotype" w:eastAsia="Times New Roman" w:cs="Times New Roman"/>
          <w:kern w:val="0"/>
          <w14:ligatures w14:val="none"/>
        </w:rPr>
        <w:t>:</w:t>
      </w:r>
    </w:p>
    <w:p w:rsidR="0010055F" w:rsidP="0010055F" w:rsidRDefault="006572A7" w14:paraId="051CD4A9" w14:textId="47176E2D">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Addition of PG&amp;E’s Automated Response Technology Program (AR</w:t>
      </w:r>
      <w:r w:rsidR="001A75D0">
        <w:rPr>
          <w:rFonts w:ascii="Palatino Linotype" w:hAnsi="Palatino Linotype" w:eastAsia="Palatino Linotype" w:cs="Times New Roman"/>
          <w:kern w:val="0"/>
          <w14:ligatures w14:val="none"/>
        </w:rPr>
        <w:t>T</w:t>
      </w:r>
      <w:r>
        <w:rPr>
          <w:rFonts w:ascii="Palatino Linotype" w:hAnsi="Palatino Linotype" w:eastAsia="Palatino Linotype" w:cs="Times New Roman"/>
          <w:kern w:val="0"/>
          <w14:ligatures w14:val="none"/>
        </w:rPr>
        <w:t xml:space="preserve">) as an </w:t>
      </w:r>
      <w:r w:rsidR="00E72E69">
        <w:rPr>
          <w:rFonts w:ascii="Palatino Linotype" w:hAnsi="Palatino Linotype" w:eastAsia="Palatino Linotype" w:cs="Times New Roman"/>
          <w:kern w:val="0"/>
          <w14:ligatures w14:val="none"/>
        </w:rPr>
        <w:t>A</w:t>
      </w:r>
      <w:r w:rsidR="00145CFC">
        <w:rPr>
          <w:rFonts w:ascii="Palatino Linotype" w:hAnsi="Palatino Linotype" w:eastAsia="Palatino Linotype" w:cs="Times New Roman"/>
          <w:kern w:val="0"/>
          <w14:ligatures w14:val="none"/>
        </w:rPr>
        <w:t>uto</w:t>
      </w:r>
      <w:r w:rsidR="00E72E69">
        <w:rPr>
          <w:rFonts w:ascii="Palatino Linotype" w:hAnsi="Palatino Linotype" w:eastAsia="Palatino Linotype" w:cs="Times New Roman"/>
          <w:kern w:val="0"/>
          <w14:ligatures w14:val="none"/>
        </w:rPr>
        <w:t>DR Qualified Residential Program</w:t>
      </w:r>
      <w:r w:rsidR="00D258A0">
        <w:rPr>
          <w:rFonts w:ascii="Palatino Linotype" w:hAnsi="Palatino Linotype" w:eastAsia="Palatino Linotype" w:cs="Times New Roman"/>
          <w:kern w:val="0"/>
          <w14:ligatures w14:val="none"/>
        </w:rPr>
        <w:t>.</w:t>
      </w:r>
    </w:p>
    <w:p w:rsidRPr="0010055F" w:rsidR="00D258A0" w:rsidP="0010055F" w:rsidRDefault="000B6D31" w14:paraId="5D5DF1FA" w14:textId="609115D3">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Clarif</w:t>
      </w:r>
      <w:r w:rsidR="005277BC">
        <w:rPr>
          <w:rFonts w:ascii="Palatino Linotype" w:hAnsi="Palatino Linotype" w:eastAsia="Palatino Linotype" w:cs="Times New Roman"/>
          <w:kern w:val="0"/>
          <w14:ligatures w14:val="none"/>
        </w:rPr>
        <w:t>ication of</w:t>
      </w:r>
      <w:r w:rsidR="000D349E">
        <w:rPr>
          <w:rFonts w:ascii="Palatino Linotype" w:hAnsi="Palatino Linotype" w:eastAsia="Palatino Linotype" w:cs="Times New Roman"/>
          <w:kern w:val="0"/>
          <w14:ligatures w14:val="none"/>
        </w:rPr>
        <w:t xml:space="preserve"> the </w:t>
      </w:r>
      <w:r w:rsidR="005277BC">
        <w:rPr>
          <w:rFonts w:ascii="Palatino Linotype" w:hAnsi="Palatino Linotype" w:eastAsia="Palatino Linotype" w:cs="Times New Roman"/>
          <w:kern w:val="0"/>
          <w14:ligatures w14:val="none"/>
        </w:rPr>
        <w:t>cloud</w:t>
      </w:r>
      <w:r w:rsidR="00782423">
        <w:rPr>
          <w:rFonts w:ascii="Palatino Linotype" w:hAnsi="Palatino Linotype" w:eastAsia="Palatino Linotype" w:cs="Times New Roman"/>
          <w:kern w:val="0"/>
          <w14:ligatures w14:val="none"/>
        </w:rPr>
        <w:t>-</w:t>
      </w:r>
      <w:r w:rsidR="005277BC">
        <w:rPr>
          <w:rFonts w:ascii="Palatino Linotype" w:hAnsi="Palatino Linotype" w:eastAsia="Palatino Linotype" w:cs="Times New Roman"/>
          <w:kern w:val="0"/>
          <w14:ligatures w14:val="none"/>
        </w:rPr>
        <w:t xml:space="preserve">based technology provision </w:t>
      </w:r>
      <w:r w:rsidR="001A75D0">
        <w:rPr>
          <w:rFonts w:ascii="Palatino Linotype" w:hAnsi="Palatino Linotype" w:eastAsia="Palatino Linotype" w:cs="Times New Roman"/>
          <w:kern w:val="0"/>
          <w14:ligatures w14:val="none"/>
        </w:rPr>
        <w:t xml:space="preserve">for </w:t>
      </w:r>
      <w:r w:rsidR="0070056F">
        <w:rPr>
          <w:rFonts w:ascii="Palatino Linotype" w:hAnsi="Palatino Linotype" w:eastAsia="Palatino Linotype" w:cs="Times New Roman"/>
          <w:kern w:val="0"/>
          <w14:ligatures w14:val="none"/>
        </w:rPr>
        <w:t>relevant A</w:t>
      </w:r>
      <w:r w:rsidR="00075511">
        <w:rPr>
          <w:rFonts w:ascii="Palatino Linotype" w:hAnsi="Palatino Linotype" w:eastAsia="Palatino Linotype" w:cs="Times New Roman"/>
          <w:kern w:val="0"/>
          <w14:ligatures w14:val="none"/>
        </w:rPr>
        <w:t>uto</w:t>
      </w:r>
      <w:r w:rsidR="0070056F">
        <w:rPr>
          <w:rFonts w:ascii="Palatino Linotype" w:hAnsi="Palatino Linotype" w:eastAsia="Palatino Linotype" w:cs="Times New Roman"/>
          <w:kern w:val="0"/>
          <w14:ligatures w14:val="none"/>
        </w:rPr>
        <w:t>DR programs.</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075511" w:rsidP="00A76F4A" w:rsidRDefault="00075511" w14:paraId="0DA421FC" w14:textId="27D31EC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AutoDR is a program that offers customers financial incentives to install technologies that facilitate an automated response to demand response (DR) events or price signals. </w:t>
      </w:r>
    </w:p>
    <w:p w:rsidR="00401C7E" w:rsidP="00A76F4A" w:rsidRDefault="00401C7E" w14:paraId="69B42EDE" w14:textId="77777777">
      <w:pPr>
        <w:spacing w:after="0" w:line="240" w:lineRule="auto"/>
        <w:rPr>
          <w:rFonts w:ascii="Palatino Linotype" w:hAnsi="Palatino Linotype" w:eastAsia="Times New Roman" w:cs="Times New Roman"/>
          <w:kern w:val="0"/>
          <w14:ligatures w14:val="none"/>
        </w:rPr>
      </w:pPr>
    </w:p>
    <w:p w:rsidR="00827D3A" w:rsidP="00A76F4A" w:rsidRDefault="00401C7E" w14:paraId="15B471AA" w14:textId="333165E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w:t>
      </w:r>
      <w:r w:rsidR="00005F0E">
        <w:rPr>
          <w:rFonts w:ascii="Palatino Linotype" w:hAnsi="Palatino Linotype" w:eastAsia="Times New Roman" w:cs="Times New Roman"/>
          <w:kern w:val="0"/>
          <w14:ligatures w14:val="none"/>
        </w:rPr>
        <w:t xml:space="preserve"> </w:t>
      </w:r>
      <w:r w:rsidR="00B95ED8">
        <w:rPr>
          <w:rFonts w:ascii="Palatino Linotype" w:hAnsi="Palatino Linotype" w:eastAsia="Times New Roman" w:cs="Times New Roman"/>
          <w:kern w:val="0"/>
          <w14:ligatures w14:val="none"/>
        </w:rPr>
        <w:t>utilities’</w:t>
      </w:r>
      <w:r>
        <w:rPr>
          <w:rFonts w:ascii="Palatino Linotype" w:hAnsi="Palatino Linotype" w:eastAsia="Times New Roman" w:cs="Times New Roman"/>
          <w:kern w:val="0"/>
          <w14:ligatures w14:val="none"/>
        </w:rPr>
        <w:t xml:space="preserve"> AutoDR program</w:t>
      </w:r>
      <w:r w:rsidR="002C0615">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beg</w:t>
      </w:r>
      <w:r w:rsidR="009A2412">
        <w:rPr>
          <w:rFonts w:ascii="Palatino Linotype" w:hAnsi="Palatino Linotype" w:eastAsia="Times New Roman" w:cs="Times New Roman"/>
          <w:kern w:val="0"/>
          <w14:ligatures w14:val="none"/>
        </w:rPr>
        <w:t xml:space="preserve">an in </w:t>
      </w:r>
      <w:r w:rsidR="00BE61B0">
        <w:rPr>
          <w:rFonts w:ascii="Palatino Linotype" w:hAnsi="Palatino Linotype" w:eastAsia="Times New Roman" w:cs="Times New Roman"/>
          <w:kern w:val="0"/>
          <w14:ligatures w14:val="none"/>
        </w:rPr>
        <w:t>2007</w:t>
      </w:r>
      <w:r w:rsidR="00183F5A">
        <w:rPr>
          <w:rFonts w:ascii="Palatino Linotype" w:hAnsi="Palatino Linotype" w:eastAsia="Times New Roman" w:cs="Times New Roman"/>
          <w:kern w:val="0"/>
          <w14:ligatures w14:val="none"/>
        </w:rPr>
        <w:t>.</w:t>
      </w:r>
      <w:r w:rsidR="00183F5A">
        <w:rPr>
          <w:rStyle w:val="FootnoteReference"/>
          <w:rFonts w:ascii="Palatino Linotype" w:hAnsi="Palatino Linotype" w:eastAsia="Times New Roman" w:cs="Times New Roman"/>
          <w:kern w:val="0"/>
          <w14:ligatures w14:val="none"/>
        </w:rPr>
        <w:footnoteReference w:id="2"/>
      </w:r>
      <w:r w:rsidR="00007554">
        <w:rPr>
          <w:rFonts w:ascii="Palatino Linotype" w:hAnsi="Palatino Linotype" w:eastAsia="Times New Roman" w:cs="Times New Roman"/>
          <w:kern w:val="0"/>
          <w14:ligatures w14:val="none"/>
        </w:rPr>
        <w:t xml:space="preserve"> Utilities </w:t>
      </w:r>
      <w:r w:rsidR="00B95ED8">
        <w:rPr>
          <w:rFonts w:ascii="Palatino Linotype" w:hAnsi="Palatino Linotype" w:eastAsia="Times New Roman" w:cs="Times New Roman"/>
          <w:kern w:val="0"/>
          <w14:ligatures w14:val="none"/>
        </w:rPr>
        <w:t xml:space="preserve">initially offered </w:t>
      </w:r>
      <w:r w:rsidR="00007554">
        <w:rPr>
          <w:rFonts w:ascii="Palatino Linotype" w:hAnsi="Palatino Linotype" w:eastAsia="Times New Roman" w:cs="Times New Roman"/>
          <w:kern w:val="0"/>
          <w14:ligatures w14:val="none"/>
        </w:rPr>
        <w:t>th</w:t>
      </w:r>
      <w:r w:rsidR="002C0615">
        <w:rPr>
          <w:rFonts w:ascii="Palatino Linotype" w:hAnsi="Palatino Linotype" w:eastAsia="Times New Roman" w:cs="Times New Roman"/>
          <w:kern w:val="0"/>
          <w14:ligatures w14:val="none"/>
        </w:rPr>
        <w:t>e</w:t>
      </w:r>
      <w:r w:rsidR="00007554">
        <w:rPr>
          <w:rFonts w:ascii="Palatino Linotype" w:hAnsi="Palatino Linotype" w:eastAsia="Times New Roman" w:cs="Times New Roman"/>
          <w:kern w:val="0"/>
          <w14:ligatures w14:val="none"/>
        </w:rPr>
        <w:t>s</w:t>
      </w:r>
      <w:r w:rsidR="002C0615">
        <w:rPr>
          <w:rFonts w:ascii="Palatino Linotype" w:hAnsi="Palatino Linotype" w:eastAsia="Times New Roman" w:cs="Times New Roman"/>
          <w:kern w:val="0"/>
          <w14:ligatures w14:val="none"/>
        </w:rPr>
        <w:t>e</w:t>
      </w:r>
      <w:r w:rsidR="00007554">
        <w:rPr>
          <w:rFonts w:ascii="Palatino Linotype" w:hAnsi="Palatino Linotype" w:eastAsia="Times New Roman" w:cs="Times New Roman"/>
          <w:kern w:val="0"/>
          <w14:ligatures w14:val="none"/>
        </w:rPr>
        <w:t xml:space="preserve"> program</w:t>
      </w:r>
      <w:r w:rsidR="002C0615">
        <w:rPr>
          <w:rFonts w:ascii="Palatino Linotype" w:hAnsi="Palatino Linotype" w:eastAsia="Times New Roman" w:cs="Times New Roman"/>
          <w:kern w:val="0"/>
          <w14:ligatures w14:val="none"/>
        </w:rPr>
        <w:t>s</w:t>
      </w:r>
      <w:r w:rsidR="00007554">
        <w:rPr>
          <w:rFonts w:ascii="Palatino Linotype" w:hAnsi="Palatino Linotype" w:eastAsia="Times New Roman" w:cs="Times New Roman"/>
          <w:kern w:val="0"/>
          <w14:ligatures w14:val="none"/>
        </w:rPr>
        <w:t xml:space="preserve"> </w:t>
      </w:r>
      <w:r w:rsidR="00782CBF">
        <w:rPr>
          <w:rFonts w:ascii="Palatino Linotype" w:hAnsi="Palatino Linotype" w:eastAsia="Times New Roman" w:cs="Times New Roman"/>
          <w:kern w:val="0"/>
          <w14:ligatures w14:val="none"/>
        </w:rPr>
        <w:t xml:space="preserve">to </w:t>
      </w:r>
      <w:r w:rsidR="00B95ED8">
        <w:rPr>
          <w:rFonts w:ascii="Palatino Linotype" w:hAnsi="Palatino Linotype" w:eastAsia="Times New Roman" w:cs="Times New Roman"/>
          <w:kern w:val="0"/>
          <w14:ligatures w14:val="none"/>
        </w:rPr>
        <w:t>commercial, industrial, and agricultural customers</w:t>
      </w:r>
      <w:r w:rsidR="004751B8">
        <w:rPr>
          <w:rFonts w:ascii="Palatino Linotype" w:hAnsi="Palatino Linotype" w:eastAsia="Times New Roman" w:cs="Times New Roman"/>
          <w:kern w:val="0"/>
          <w14:ligatures w14:val="none"/>
        </w:rPr>
        <w:t>. The program</w:t>
      </w:r>
      <w:r w:rsidR="00711227">
        <w:rPr>
          <w:rFonts w:ascii="Palatino Linotype" w:hAnsi="Palatino Linotype" w:eastAsia="Times New Roman" w:cs="Times New Roman"/>
          <w:kern w:val="0"/>
          <w14:ligatures w14:val="none"/>
        </w:rPr>
        <w:t>s</w:t>
      </w:r>
      <w:r w:rsidR="004751B8">
        <w:rPr>
          <w:rFonts w:ascii="Palatino Linotype" w:hAnsi="Palatino Linotype" w:eastAsia="Times New Roman" w:cs="Times New Roman"/>
          <w:kern w:val="0"/>
          <w14:ligatures w14:val="none"/>
        </w:rPr>
        <w:t xml:space="preserve"> w</w:t>
      </w:r>
      <w:r w:rsidR="002C0615">
        <w:rPr>
          <w:rFonts w:ascii="Palatino Linotype" w:hAnsi="Palatino Linotype" w:eastAsia="Times New Roman" w:cs="Times New Roman"/>
          <w:kern w:val="0"/>
          <w14:ligatures w14:val="none"/>
        </w:rPr>
        <w:t>ere</w:t>
      </w:r>
      <w:r w:rsidR="004751B8">
        <w:rPr>
          <w:rFonts w:ascii="Palatino Linotype" w:hAnsi="Palatino Linotype" w:eastAsia="Times New Roman" w:cs="Times New Roman"/>
          <w:kern w:val="0"/>
          <w14:ligatures w14:val="none"/>
        </w:rPr>
        <w:t xml:space="preserve"> modified in multiple subsequent </w:t>
      </w:r>
      <w:r w:rsidR="008C318B">
        <w:rPr>
          <w:rFonts w:ascii="Palatino Linotype" w:hAnsi="Palatino Linotype" w:eastAsia="Times New Roman" w:cs="Times New Roman"/>
          <w:kern w:val="0"/>
          <w14:ligatures w14:val="none"/>
        </w:rPr>
        <w:t>decisions</w:t>
      </w:r>
      <w:r w:rsidR="00496300">
        <w:rPr>
          <w:rFonts w:ascii="Palatino Linotype" w:hAnsi="Palatino Linotype" w:eastAsia="Times New Roman" w:cs="Times New Roman"/>
          <w:kern w:val="0"/>
          <w14:ligatures w14:val="none"/>
        </w:rPr>
        <w:t xml:space="preserve"> and ALs</w:t>
      </w:r>
      <w:r w:rsidR="008C318B">
        <w:rPr>
          <w:rFonts w:ascii="Palatino Linotype" w:hAnsi="Palatino Linotype" w:eastAsia="Times New Roman" w:cs="Times New Roman"/>
          <w:kern w:val="0"/>
          <w14:ligatures w14:val="none"/>
        </w:rPr>
        <w:t xml:space="preserve"> to expand inclusion </w:t>
      </w:r>
      <w:r w:rsidR="0090600C">
        <w:rPr>
          <w:rFonts w:ascii="Palatino Linotype" w:hAnsi="Palatino Linotype" w:eastAsia="Times New Roman" w:cs="Times New Roman"/>
          <w:kern w:val="0"/>
          <w14:ligatures w14:val="none"/>
        </w:rPr>
        <w:t>for</w:t>
      </w:r>
      <w:r w:rsidR="008C318B">
        <w:rPr>
          <w:rFonts w:ascii="Palatino Linotype" w:hAnsi="Palatino Linotype" w:eastAsia="Times New Roman" w:cs="Times New Roman"/>
          <w:kern w:val="0"/>
          <w14:ligatures w14:val="none"/>
        </w:rPr>
        <w:t xml:space="preserve"> </w:t>
      </w:r>
      <w:r w:rsidR="00B96E37">
        <w:rPr>
          <w:rFonts w:ascii="Palatino Linotype" w:hAnsi="Palatino Linotype" w:eastAsia="Times New Roman" w:cs="Times New Roman"/>
          <w:kern w:val="0"/>
          <w14:ligatures w14:val="none"/>
        </w:rPr>
        <w:t>small and medium business customers</w:t>
      </w:r>
      <w:r w:rsidR="001C3B9C">
        <w:rPr>
          <w:rFonts w:ascii="Palatino Linotype" w:hAnsi="Palatino Linotype" w:eastAsia="Times New Roman" w:cs="Times New Roman"/>
          <w:kern w:val="0"/>
          <w14:ligatures w14:val="none"/>
        </w:rPr>
        <w:t xml:space="preserve">, </w:t>
      </w:r>
      <w:r w:rsidR="00A43E93">
        <w:rPr>
          <w:rFonts w:ascii="Palatino Linotype" w:hAnsi="Palatino Linotype" w:eastAsia="Times New Roman" w:cs="Times New Roman"/>
          <w:kern w:val="0"/>
          <w14:ligatures w14:val="none"/>
        </w:rPr>
        <w:t xml:space="preserve">and </w:t>
      </w:r>
      <w:r w:rsidR="008C318B">
        <w:rPr>
          <w:rFonts w:ascii="Palatino Linotype" w:hAnsi="Palatino Linotype" w:eastAsia="Times New Roman" w:cs="Times New Roman"/>
          <w:kern w:val="0"/>
          <w14:ligatures w14:val="none"/>
        </w:rPr>
        <w:t>residential</w:t>
      </w:r>
      <w:r w:rsidR="00B96E37">
        <w:rPr>
          <w:rFonts w:ascii="Palatino Linotype" w:hAnsi="Palatino Linotype" w:eastAsia="Times New Roman" w:cs="Times New Roman"/>
          <w:kern w:val="0"/>
          <w14:ligatures w14:val="none"/>
        </w:rPr>
        <w:t xml:space="preserve"> customers</w:t>
      </w:r>
      <w:r w:rsidR="00A43E93">
        <w:rPr>
          <w:rFonts w:ascii="Palatino Linotype" w:hAnsi="Palatino Linotype" w:eastAsia="Times New Roman" w:cs="Times New Roman"/>
          <w:kern w:val="0"/>
          <w14:ligatures w14:val="none"/>
        </w:rPr>
        <w:t xml:space="preserve">. </w:t>
      </w:r>
      <w:r w:rsidR="009E2773">
        <w:rPr>
          <w:rFonts w:ascii="Palatino Linotype" w:hAnsi="Palatino Linotype" w:eastAsia="Times New Roman" w:cs="Times New Roman"/>
          <w:kern w:val="0"/>
          <w14:ligatures w14:val="none"/>
        </w:rPr>
        <w:t>In D.16</w:t>
      </w:r>
      <w:r w:rsidR="00AC2A1C">
        <w:rPr>
          <w:rFonts w:ascii="Palatino Linotype" w:hAnsi="Palatino Linotype" w:eastAsia="Times New Roman" w:cs="Times New Roman"/>
          <w:kern w:val="0"/>
          <w14:ligatures w14:val="none"/>
        </w:rPr>
        <w:t>-</w:t>
      </w:r>
      <w:r w:rsidR="009E2773">
        <w:rPr>
          <w:rFonts w:ascii="Palatino Linotype" w:hAnsi="Palatino Linotype" w:eastAsia="Times New Roman" w:cs="Times New Roman"/>
          <w:kern w:val="0"/>
          <w14:ligatures w14:val="none"/>
        </w:rPr>
        <w:t>06</w:t>
      </w:r>
      <w:r w:rsidR="00AC2A1C">
        <w:rPr>
          <w:rFonts w:ascii="Palatino Linotype" w:hAnsi="Palatino Linotype" w:eastAsia="Times New Roman" w:cs="Times New Roman"/>
          <w:kern w:val="0"/>
          <w14:ligatures w14:val="none"/>
        </w:rPr>
        <w:t>-</w:t>
      </w:r>
      <w:r w:rsidR="009E2773">
        <w:rPr>
          <w:rFonts w:ascii="Palatino Linotype" w:hAnsi="Palatino Linotype" w:eastAsia="Times New Roman" w:cs="Times New Roman"/>
          <w:kern w:val="0"/>
          <w14:ligatures w14:val="none"/>
        </w:rPr>
        <w:t>029</w:t>
      </w:r>
      <w:r w:rsidR="00E34817">
        <w:rPr>
          <w:rFonts w:ascii="Palatino Linotype" w:hAnsi="Palatino Linotype" w:eastAsia="Times New Roman" w:cs="Times New Roman"/>
          <w:kern w:val="0"/>
          <w14:ligatures w14:val="none"/>
        </w:rPr>
        <w:t>,</w:t>
      </w:r>
      <w:r w:rsidR="009E2773">
        <w:rPr>
          <w:rFonts w:ascii="Palatino Linotype" w:hAnsi="Palatino Linotype" w:eastAsia="Times New Roman" w:cs="Times New Roman"/>
          <w:kern w:val="0"/>
          <w14:ligatures w14:val="none"/>
        </w:rPr>
        <w:t xml:space="preserve"> the Commission </w:t>
      </w:r>
      <w:r w:rsidR="00317C7A">
        <w:rPr>
          <w:rFonts w:ascii="Palatino Linotype" w:hAnsi="Palatino Linotype" w:eastAsia="Times New Roman" w:cs="Times New Roman"/>
          <w:kern w:val="0"/>
          <w14:ligatures w14:val="none"/>
        </w:rPr>
        <w:t>ordered u</w:t>
      </w:r>
      <w:r w:rsidR="00A43E93">
        <w:rPr>
          <w:rFonts w:ascii="Palatino Linotype" w:hAnsi="Palatino Linotype" w:eastAsia="Times New Roman" w:cs="Times New Roman"/>
          <w:kern w:val="0"/>
          <w14:ligatures w14:val="none"/>
        </w:rPr>
        <w:t xml:space="preserve">tility programs </w:t>
      </w:r>
      <w:r w:rsidR="00317C7A">
        <w:rPr>
          <w:rFonts w:ascii="Palatino Linotype" w:hAnsi="Palatino Linotype" w:eastAsia="Times New Roman" w:cs="Times New Roman"/>
          <w:kern w:val="0"/>
          <w14:ligatures w14:val="none"/>
        </w:rPr>
        <w:t xml:space="preserve">to standardize to achieve consistency across jurisdictions. </w:t>
      </w:r>
      <w:r w:rsidR="00DD2278">
        <w:rPr>
          <w:rFonts w:ascii="Palatino Linotype" w:hAnsi="Palatino Linotype" w:eastAsia="Times New Roman" w:cs="Times New Roman"/>
          <w:kern w:val="0"/>
          <w14:ligatures w14:val="none"/>
        </w:rPr>
        <w:t xml:space="preserve">Common </w:t>
      </w:r>
      <w:r w:rsidR="0010061F">
        <w:rPr>
          <w:rFonts w:ascii="Palatino Linotype" w:hAnsi="Palatino Linotype" w:eastAsia="Times New Roman" w:cs="Times New Roman"/>
          <w:kern w:val="0"/>
          <w14:ligatures w14:val="none"/>
        </w:rPr>
        <w:t xml:space="preserve">AutoDR Guidelines were first required to be drafted </w:t>
      </w:r>
      <w:r w:rsidR="0042376E">
        <w:rPr>
          <w:rFonts w:ascii="Palatino Linotype" w:hAnsi="Palatino Linotype" w:eastAsia="Times New Roman" w:cs="Times New Roman"/>
          <w:kern w:val="0"/>
          <w14:ligatures w14:val="none"/>
        </w:rPr>
        <w:t xml:space="preserve">by </w:t>
      </w:r>
      <w:r w:rsidR="00DD2278">
        <w:rPr>
          <w:rFonts w:ascii="Palatino Linotype" w:hAnsi="Palatino Linotype" w:eastAsia="Times New Roman" w:cs="Times New Roman"/>
          <w:kern w:val="0"/>
          <w14:ligatures w14:val="none"/>
        </w:rPr>
        <w:t>D.17</w:t>
      </w:r>
      <w:r w:rsidR="00AC2A1C">
        <w:rPr>
          <w:rFonts w:ascii="Palatino Linotype" w:hAnsi="Palatino Linotype" w:eastAsia="Times New Roman" w:cs="Times New Roman"/>
          <w:kern w:val="0"/>
          <w14:ligatures w14:val="none"/>
        </w:rPr>
        <w:t>-</w:t>
      </w:r>
      <w:r w:rsidR="00DD2278">
        <w:rPr>
          <w:rFonts w:ascii="Palatino Linotype" w:hAnsi="Palatino Linotype" w:eastAsia="Times New Roman" w:cs="Times New Roman"/>
          <w:kern w:val="0"/>
          <w14:ligatures w14:val="none"/>
        </w:rPr>
        <w:t>12</w:t>
      </w:r>
      <w:r w:rsidR="00AC2A1C">
        <w:rPr>
          <w:rFonts w:ascii="Palatino Linotype" w:hAnsi="Palatino Linotype" w:eastAsia="Times New Roman" w:cs="Times New Roman"/>
          <w:kern w:val="0"/>
          <w14:ligatures w14:val="none"/>
        </w:rPr>
        <w:t>-</w:t>
      </w:r>
      <w:r w:rsidR="00DD2278">
        <w:rPr>
          <w:rFonts w:ascii="Palatino Linotype" w:hAnsi="Palatino Linotype" w:eastAsia="Times New Roman" w:cs="Times New Roman"/>
          <w:kern w:val="0"/>
          <w14:ligatures w14:val="none"/>
        </w:rPr>
        <w:t xml:space="preserve">003, </w:t>
      </w:r>
      <w:r w:rsidR="008D198C">
        <w:rPr>
          <w:rFonts w:ascii="Palatino Linotype" w:hAnsi="Palatino Linotype" w:eastAsia="Times New Roman" w:cs="Times New Roman"/>
          <w:kern w:val="0"/>
          <w14:ligatures w14:val="none"/>
        </w:rPr>
        <w:t>Ordering Paragraph (</w:t>
      </w:r>
      <w:r w:rsidR="00DD2278">
        <w:rPr>
          <w:rFonts w:ascii="Palatino Linotype" w:hAnsi="Palatino Linotype" w:eastAsia="Times New Roman" w:cs="Times New Roman"/>
          <w:kern w:val="0"/>
          <w14:ligatures w14:val="none"/>
        </w:rPr>
        <w:t>OP</w:t>
      </w:r>
      <w:r w:rsidR="008D198C">
        <w:rPr>
          <w:rFonts w:ascii="Palatino Linotype" w:hAnsi="Palatino Linotype" w:eastAsia="Times New Roman" w:cs="Times New Roman"/>
          <w:kern w:val="0"/>
          <w14:ligatures w14:val="none"/>
        </w:rPr>
        <w:t>)</w:t>
      </w:r>
      <w:r w:rsidR="00DD2278">
        <w:rPr>
          <w:rFonts w:ascii="Palatino Linotype" w:hAnsi="Palatino Linotype" w:eastAsia="Times New Roman" w:cs="Times New Roman"/>
          <w:kern w:val="0"/>
          <w14:ligatures w14:val="none"/>
        </w:rPr>
        <w:t xml:space="preserve"> 29</w:t>
      </w:r>
      <w:r w:rsidR="0090157A">
        <w:rPr>
          <w:rFonts w:ascii="Palatino Linotype" w:hAnsi="Palatino Linotype" w:eastAsia="Times New Roman" w:cs="Times New Roman"/>
          <w:kern w:val="0"/>
          <w14:ligatures w14:val="none"/>
        </w:rPr>
        <w:t>. T</w:t>
      </w:r>
      <w:r w:rsidR="001A18BB">
        <w:rPr>
          <w:rFonts w:ascii="Palatino Linotype" w:hAnsi="Palatino Linotype" w:eastAsia="Times New Roman" w:cs="Times New Roman"/>
          <w:kern w:val="0"/>
          <w14:ligatures w14:val="none"/>
        </w:rPr>
        <w:t>hese are now known as the Auto Demand Response Control Incenti</w:t>
      </w:r>
      <w:r w:rsidR="00AC2BFC">
        <w:rPr>
          <w:rFonts w:ascii="Palatino Linotype" w:hAnsi="Palatino Linotype" w:eastAsia="Times New Roman" w:cs="Times New Roman"/>
          <w:kern w:val="0"/>
          <w14:ligatures w14:val="none"/>
        </w:rPr>
        <w:t>ves Guidelines and Adopted Policies</w:t>
      </w:r>
      <w:r w:rsidR="00C35193">
        <w:rPr>
          <w:rFonts w:ascii="Palatino Linotype" w:hAnsi="Palatino Linotype" w:eastAsia="Times New Roman" w:cs="Times New Roman"/>
          <w:kern w:val="0"/>
          <w14:ligatures w14:val="none"/>
        </w:rPr>
        <w:t xml:space="preserve"> (</w:t>
      </w:r>
      <w:r w:rsidR="00AC2BFC">
        <w:rPr>
          <w:rFonts w:ascii="Palatino Linotype" w:hAnsi="Palatino Linotype" w:eastAsia="Times New Roman" w:cs="Times New Roman"/>
          <w:kern w:val="0"/>
          <w14:ligatures w14:val="none"/>
        </w:rPr>
        <w:t xml:space="preserve">“Guidelines”) </w:t>
      </w:r>
      <w:r w:rsidR="0042376E">
        <w:rPr>
          <w:rFonts w:ascii="Palatino Linotype" w:hAnsi="Palatino Linotype" w:eastAsia="Times New Roman" w:cs="Times New Roman"/>
          <w:kern w:val="0"/>
          <w14:ligatures w14:val="none"/>
        </w:rPr>
        <w:t xml:space="preserve">and have been updated through </w:t>
      </w:r>
      <w:r w:rsidR="00136309">
        <w:rPr>
          <w:rFonts w:ascii="Palatino Linotype" w:hAnsi="Palatino Linotype" w:eastAsia="Times New Roman" w:cs="Times New Roman"/>
          <w:kern w:val="0"/>
          <w14:ligatures w14:val="none"/>
        </w:rPr>
        <w:t>decisions and ALs</w:t>
      </w:r>
      <w:r w:rsidR="0042376E">
        <w:rPr>
          <w:rFonts w:ascii="Palatino Linotype" w:hAnsi="Palatino Linotype" w:eastAsia="Times New Roman" w:cs="Times New Roman"/>
          <w:kern w:val="0"/>
          <w14:ligatures w14:val="none"/>
        </w:rPr>
        <w:t xml:space="preserve"> in subsequent years. </w:t>
      </w:r>
    </w:p>
    <w:p w:rsidR="00641D3E" w:rsidP="00A76F4A" w:rsidRDefault="00641D3E" w14:paraId="15282D5B" w14:textId="77777777">
      <w:pPr>
        <w:spacing w:after="0" w:line="240" w:lineRule="auto"/>
        <w:rPr>
          <w:rFonts w:ascii="Palatino Linotype" w:hAnsi="Palatino Linotype" w:eastAsia="Times New Roman" w:cs="Times New Roman"/>
          <w:kern w:val="0"/>
          <w14:ligatures w14:val="none"/>
        </w:rPr>
      </w:pPr>
    </w:p>
    <w:p w:rsidR="006B3DC6" w:rsidP="00A76F4A" w:rsidRDefault="00716097" w14:paraId="3B9D1D4C" w14:textId="517A85BC">
      <w:pPr>
        <w:spacing w:after="0" w:line="240" w:lineRule="auto"/>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D.18-11-029</w:t>
      </w:r>
      <w:r w:rsidR="00E16E05">
        <w:rPr>
          <w:rFonts w:ascii="Palatino Linotype" w:hAnsi="Palatino Linotype" w:eastAsia="Times New Roman" w:cs="Times New Roman"/>
          <w:kern w:val="0"/>
          <w14:ligatures w14:val="none"/>
        </w:rPr>
        <w:t>, OP 8,</w:t>
      </w:r>
      <w:r w:rsidR="00882BE2">
        <w:rPr>
          <w:rFonts w:ascii="Palatino Linotype" w:hAnsi="Palatino Linotype" w:eastAsia="Times New Roman" w:cs="Times New Roman"/>
          <w:kern w:val="0"/>
          <w14:ligatures w14:val="none"/>
        </w:rPr>
        <w:t xml:space="preserve"> outlines an annual process for </w:t>
      </w:r>
      <w:r w:rsidR="00631B09">
        <w:rPr>
          <w:rFonts w:ascii="Palatino Linotype" w:hAnsi="Palatino Linotype" w:eastAsia="Times New Roman" w:cs="Times New Roman"/>
          <w:kern w:val="0"/>
          <w14:ligatures w14:val="none"/>
        </w:rPr>
        <w:t xml:space="preserve">proposing and adopting </w:t>
      </w:r>
      <w:r w:rsidR="00970840">
        <w:rPr>
          <w:rFonts w:ascii="Palatino Linotype" w:hAnsi="Palatino Linotype" w:eastAsia="Times New Roman" w:cs="Times New Roman"/>
          <w:kern w:val="0"/>
          <w14:ligatures w14:val="none"/>
        </w:rPr>
        <w:t>updates to</w:t>
      </w:r>
      <w:r w:rsidR="00882BE2">
        <w:rPr>
          <w:rFonts w:ascii="Palatino Linotype" w:hAnsi="Palatino Linotype" w:eastAsia="Times New Roman" w:cs="Times New Roman"/>
          <w:kern w:val="0"/>
          <w14:ligatures w14:val="none"/>
        </w:rPr>
        <w:t xml:space="preserve"> </w:t>
      </w:r>
      <w:r w:rsidR="00FF0CD3">
        <w:rPr>
          <w:rFonts w:ascii="Palatino Linotype" w:hAnsi="Palatino Linotype" w:eastAsia="Times New Roman" w:cs="Times New Roman"/>
          <w:kern w:val="0"/>
          <w14:ligatures w14:val="none"/>
        </w:rPr>
        <w:t>AutoDR Guidelines</w:t>
      </w:r>
      <w:r>
        <w:rPr>
          <w:rFonts w:ascii="Palatino Linotype" w:hAnsi="Palatino Linotype" w:eastAsia="Times New Roman" w:cs="Times New Roman"/>
          <w:kern w:val="0"/>
          <w14:ligatures w14:val="none"/>
        </w:rPr>
        <w:t xml:space="preserve">, </w:t>
      </w:r>
      <w:r w:rsidR="00FF0CD3">
        <w:rPr>
          <w:rFonts w:ascii="Palatino Linotype" w:hAnsi="Palatino Linotype" w:eastAsia="Times New Roman" w:cs="Times New Roman"/>
          <w:kern w:val="0"/>
          <w14:ligatures w14:val="none"/>
        </w:rPr>
        <w:t xml:space="preserve">which includes </w:t>
      </w:r>
      <w:r w:rsidR="004964E1">
        <w:rPr>
          <w:rFonts w:ascii="Palatino Linotype" w:hAnsi="Palatino Linotype" w:eastAsia="Times New Roman" w:cs="Times New Roman"/>
          <w:kern w:val="0"/>
          <w14:ligatures w14:val="none"/>
        </w:rPr>
        <w:t xml:space="preserve">utility-led workshops/webinars for discussion of </w:t>
      </w:r>
      <w:r w:rsidR="00CB3EDE">
        <w:rPr>
          <w:rFonts w:ascii="Palatino Linotype" w:hAnsi="Palatino Linotype" w:eastAsia="Times New Roman" w:cs="Times New Roman"/>
          <w:kern w:val="0"/>
          <w14:ligatures w14:val="none"/>
        </w:rPr>
        <w:t>proposed modifications</w:t>
      </w:r>
      <w:r w:rsidR="004F03BC">
        <w:rPr>
          <w:rFonts w:ascii="Palatino Linotype" w:hAnsi="Palatino Linotype" w:eastAsia="Times New Roman" w:cs="Times New Roman"/>
          <w:kern w:val="0"/>
          <w14:ligatures w14:val="none"/>
        </w:rPr>
        <w:t xml:space="preserve">, to be followed by a Tier 2 AL incorporating </w:t>
      </w:r>
      <w:r w:rsidR="00260C37">
        <w:rPr>
          <w:rFonts w:ascii="Palatino Linotype" w:hAnsi="Palatino Linotype" w:eastAsia="Times New Roman" w:cs="Times New Roman"/>
          <w:kern w:val="0"/>
          <w14:ligatures w14:val="none"/>
        </w:rPr>
        <w:t>proposal</w:t>
      </w:r>
      <w:r w:rsidR="00CB3EDE">
        <w:rPr>
          <w:rFonts w:ascii="Palatino Linotype" w:hAnsi="Palatino Linotype" w:eastAsia="Times New Roman" w:cs="Times New Roman"/>
          <w:kern w:val="0"/>
          <w14:ligatures w14:val="none"/>
        </w:rPr>
        <w:t>s</w:t>
      </w:r>
      <w:r w:rsidR="00260C37">
        <w:rPr>
          <w:rFonts w:ascii="Palatino Linotype" w:hAnsi="Palatino Linotype" w:eastAsia="Times New Roman" w:cs="Times New Roman"/>
          <w:kern w:val="0"/>
          <w14:ligatures w14:val="none"/>
        </w:rPr>
        <w:t xml:space="preserve"> for modifications. </w:t>
      </w:r>
      <w:r w:rsidRPr="001F0D47" w:rsidR="00D159BC">
        <w:rPr>
          <w:rFonts w:ascii="Palatino Linotype" w:hAnsi="Palatino Linotype" w:eastAsia="Times New Roman" w:cs="Times New Roman"/>
          <w:kern w:val="0"/>
          <w14:ligatures w14:val="none"/>
        </w:rPr>
        <w:t>D.23-12-005</w:t>
      </w:r>
      <w:r w:rsidR="00C25CA9">
        <w:rPr>
          <w:rFonts w:ascii="Palatino Linotype" w:hAnsi="Palatino Linotype" w:eastAsia="Times New Roman" w:cs="Times New Roman"/>
          <w:kern w:val="0"/>
          <w14:ligatures w14:val="none"/>
        </w:rPr>
        <w:t xml:space="preserve"> </w:t>
      </w:r>
      <w:r w:rsidR="00016DAE">
        <w:rPr>
          <w:rFonts w:ascii="Palatino Linotype" w:hAnsi="Palatino Linotype" w:eastAsia="Times New Roman" w:cs="Times New Roman"/>
          <w:kern w:val="0"/>
          <w14:ligatures w14:val="none"/>
        </w:rPr>
        <w:t xml:space="preserve">directed </w:t>
      </w:r>
      <w:r w:rsidR="0044353A">
        <w:rPr>
          <w:rFonts w:ascii="Palatino Linotype" w:hAnsi="Palatino Linotype" w:eastAsia="Times New Roman" w:cs="Times New Roman"/>
          <w:kern w:val="0"/>
          <w14:ligatures w14:val="none"/>
        </w:rPr>
        <w:t xml:space="preserve">IOUs to </w:t>
      </w:r>
      <w:r w:rsidR="00016DAE">
        <w:rPr>
          <w:rFonts w:ascii="Palatino Linotype" w:hAnsi="Palatino Linotype" w:eastAsia="Times New Roman" w:cs="Times New Roman"/>
          <w:kern w:val="0"/>
          <w14:ligatures w14:val="none"/>
        </w:rPr>
        <w:t>modify</w:t>
      </w:r>
      <w:r w:rsidR="00472533">
        <w:rPr>
          <w:rFonts w:ascii="Palatino Linotype" w:hAnsi="Palatino Linotype" w:eastAsia="Times New Roman" w:cs="Times New Roman"/>
          <w:kern w:val="0"/>
          <w14:ligatures w14:val="none"/>
        </w:rPr>
        <w:t xml:space="preserve"> this annual process for</w:t>
      </w:r>
      <w:r w:rsidR="00A6416D">
        <w:rPr>
          <w:rFonts w:ascii="Palatino Linotype" w:hAnsi="Palatino Linotype" w:eastAsia="Times New Roman" w:cs="Times New Roman"/>
          <w:kern w:val="0"/>
          <w14:ligatures w14:val="none"/>
        </w:rPr>
        <w:t xml:space="preserve"> </w:t>
      </w:r>
      <w:r w:rsidR="00472533">
        <w:rPr>
          <w:rFonts w:ascii="Palatino Linotype" w:hAnsi="Palatino Linotype" w:eastAsia="Times New Roman" w:cs="Times New Roman"/>
          <w:kern w:val="0"/>
          <w14:ligatures w14:val="none"/>
        </w:rPr>
        <w:t>AutoDR</w:t>
      </w:r>
      <w:r w:rsidR="00A6416D">
        <w:rPr>
          <w:rFonts w:ascii="Palatino Linotype" w:hAnsi="Palatino Linotype" w:eastAsia="Times New Roman" w:cs="Times New Roman"/>
          <w:kern w:val="0"/>
          <w14:ligatures w14:val="none"/>
        </w:rPr>
        <w:t xml:space="preserve"> and other DR program updates, introducing the Mid-cycle Review </w:t>
      </w:r>
      <w:r w:rsidR="00207524">
        <w:rPr>
          <w:rFonts w:ascii="Palatino Linotype" w:hAnsi="Palatino Linotype" w:eastAsia="Times New Roman" w:cs="Times New Roman"/>
          <w:kern w:val="0"/>
          <w14:ligatures w14:val="none"/>
        </w:rPr>
        <w:t xml:space="preserve">(MCR) </w:t>
      </w:r>
      <w:r w:rsidR="00270A74">
        <w:rPr>
          <w:rFonts w:ascii="Palatino Linotype" w:hAnsi="Palatino Linotype" w:eastAsia="Times New Roman" w:cs="Times New Roman"/>
          <w:kern w:val="0"/>
          <w14:ligatures w14:val="none"/>
        </w:rPr>
        <w:t>process</w:t>
      </w:r>
      <w:r w:rsidR="00A6416D">
        <w:rPr>
          <w:rFonts w:ascii="Palatino Linotype" w:hAnsi="Palatino Linotype" w:eastAsia="Times New Roman" w:cs="Times New Roman"/>
          <w:kern w:val="0"/>
          <w14:ligatures w14:val="none"/>
        </w:rPr>
        <w:t xml:space="preserve">. </w:t>
      </w:r>
      <w:r w:rsidR="00207524">
        <w:rPr>
          <w:rFonts w:ascii="Palatino Linotype" w:hAnsi="Palatino Linotype" w:eastAsia="Times New Roman" w:cs="Times New Roman"/>
          <w:kern w:val="0"/>
          <w14:ligatures w14:val="none"/>
        </w:rPr>
        <w:t>In</w:t>
      </w:r>
      <w:r w:rsidR="00EF64E7">
        <w:rPr>
          <w:rFonts w:ascii="Palatino Linotype" w:hAnsi="Palatino Linotype" w:eastAsia="Times New Roman" w:cs="Times New Roman"/>
          <w:kern w:val="0"/>
          <w14:ligatures w14:val="none"/>
        </w:rPr>
        <w:t xml:space="preserve"> </w:t>
      </w:r>
      <w:r w:rsidR="005118E2">
        <w:rPr>
          <w:rFonts w:ascii="Palatino Linotype" w:hAnsi="Palatino Linotype" w:eastAsia="Times New Roman" w:cs="Times New Roman"/>
          <w:kern w:val="0"/>
          <w14:ligatures w14:val="none"/>
        </w:rPr>
        <w:br/>
      </w:r>
      <w:r w:rsidR="00EF64E7">
        <w:rPr>
          <w:rFonts w:ascii="Palatino Linotype" w:hAnsi="Palatino Linotype" w:eastAsia="Times New Roman" w:cs="Times New Roman"/>
          <w:kern w:val="0"/>
          <w14:ligatures w14:val="none"/>
        </w:rPr>
        <w:t>D.23-12-005</w:t>
      </w:r>
      <w:r w:rsidR="00207524">
        <w:rPr>
          <w:rFonts w:ascii="Palatino Linotype" w:hAnsi="Palatino Linotype" w:eastAsia="Times New Roman" w:cs="Times New Roman"/>
          <w:kern w:val="0"/>
          <w14:ligatures w14:val="none"/>
        </w:rPr>
        <w:t xml:space="preserve">, </w:t>
      </w:r>
      <w:r w:rsidR="009F5E15">
        <w:rPr>
          <w:rFonts w:ascii="Palatino Linotype" w:hAnsi="Palatino Linotype" w:eastAsia="Times New Roman" w:cs="Times New Roman"/>
          <w:kern w:val="0"/>
          <w14:ligatures w14:val="none"/>
        </w:rPr>
        <w:t xml:space="preserve">the Commission adopted the following </w:t>
      </w:r>
      <w:r w:rsidR="00207524">
        <w:rPr>
          <w:rFonts w:ascii="Palatino Linotype" w:hAnsi="Palatino Linotype" w:eastAsia="Times New Roman" w:cs="Times New Roman"/>
          <w:kern w:val="0"/>
          <w14:ligatures w14:val="none"/>
        </w:rPr>
        <w:t>guidance</w:t>
      </w:r>
      <w:r w:rsidR="006B3DC6">
        <w:rPr>
          <w:rFonts w:ascii="Palatino Linotype" w:hAnsi="Palatino Linotype" w:eastAsia="Times New Roman" w:cs="Times New Roman"/>
          <w:kern w:val="0"/>
          <w14:ligatures w14:val="none"/>
        </w:rPr>
        <w:t>:</w:t>
      </w:r>
    </w:p>
    <w:p w:rsidR="0052576C" w:rsidP="00A76F4A" w:rsidRDefault="0052576C" w14:paraId="4EBD3323" w14:textId="77777777">
      <w:pPr>
        <w:spacing w:after="0" w:line="240" w:lineRule="auto"/>
        <w:rPr>
          <w:rFonts w:ascii="Palatino Linotype" w:hAnsi="Palatino Linotype" w:eastAsia="Times New Roman" w:cs="Times New Roman"/>
          <w:kern w:val="0"/>
          <w14:ligatures w14:val="none"/>
        </w:rPr>
      </w:pPr>
    </w:p>
    <w:p w:rsidRPr="006B3DC6" w:rsidR="006B3DC6" w:rsidP="006B3DC6" w:rsidRDefault="006B3DC6" w14:paraId="46D78285" w14:textId="1915B5A8">
      <w:pPr>
        <w:spacing w:after="0" w:line="240" w:lineRule="auto"/>
        <w:ind w:left="540" w:right="720"/>
        <w:rPr>
          <w:rFonts w:ascii="Palatino Linotype" w:hAnsi="Palatino Linotype" w:eastAsia="Times New Roman" w:cs="Times New Roman"/>
          <w:kern w:val="0"/>
          <w14:ligatures w14:val="none"/>
        </w:rPr>
      </w:pPr>
      <w:r w:rsidRPr="006B3DC6">
        <w:rPr>
          <w:rFonts w:ascii="Palatino Linotype" w:hAnsi="Palatino Linotype" w:eastAsia="Times New Roman" w:cs="Times New Roman"/>
          <w:i/>
          <w:iCs/>
          <w:kern w:val="0"/>
          <w14:ligatures w14:val="none"/>
        </w:rPr>
        <w:t>T</w:t>
      </w:r>
      <w:r w:rsidRPr="006B3DC6" w:rsidR="00F11252">
        <w:rPr>
          <w:rFonts w:ascii="Palatino Linotype" w:hAnsi="Palatino Linotype" w:eastAsia="Times New Roman" w:cs="Times New Roman"/>
          <w:i/>
          <w:iCs/>
          <w:kern w:val="0"/>
          <w14:ligatures w14:val="none"/>
        </w:rPr>
        <w:t>he process to identify a</w:t>
      </w:r>
      <w:r w:rsidR="00040280">
        <w:rPr>
          <w:rFonts w:ascii="Palatino Linotype" w:hAnsi="Palatino Linotype" w:eastAsia="Times New Roman" w:cs="Times New Roman"/>
          <w:i/>
          <w:iCs/>
          <w:kern w:val="0"/>
          <w14:ligatures w14:val="none"/>
        </w:rPr>
        <w:t xml:space="preserve">nd mitigate issues with AutoDR as prescribed in </w:t>
      </w:r>
      <w:r w:rsidR="00EE6412">
        <w:rPr>
          <w:rFonts w:ascii="Palatino Linotype" w:hAnsi="Palatino Linotype" w:eastAsia="Times New Roman" w:cs="Times New Roman"/>
          <w:i/>
          <w:iCs/>
          <w:kern w:val="0"/>
          <w14:ligatures w14:val="none"/>
        </w:rPr>
        <w:br/>
      </w:r>
      <w:r w:rsidR="00040280">
        <w:rPr>
          <w:rFonts w:ascii="Palatino Linotype" w:hAnsi="Palatino Linotype" w:eastAsia="Times New Roman" w:cs="Times New Roman"/>
          <w:i/>
          <w:iCs/>
          <w:kern w:val="0"/>
          <w14:ligatures w14:val="none"/>
        </w:rPr>
        <w:t xml:space="preserve">D.18-11-029 may be conducted once during the current budgeting cycle, at the discretion of the Utilities with AutoDR offerings, and with Energy Division concurrence. Any proposed changes may be submitted via Tier 2 advice letter, by </w:t>
      </w:r>
      <w:r w:rsidR="00040280">
        <w:rPr>
          <w:rFonts w:ascii="Palatino Linotype" w:hAnsi="Palatino Linotype" w:eastAsia="Times New Roman" w:cs="Times New Roman"/>
          <w:i/>
          <w:iCs/>
          <w:kern w:val="0"/>
          <w14:ligatures w14:val="none"/>
        </w:rPr>
        <w:lastRenderedPageBreak/>
        <w:t xml:space="preserve">November 1, 2025. </w:t>
      </w:r>
      <w:r w:rsidR="000A32FF">
        <w:rPr>
          <w:rFonts w:ascii="Palatino Linotype" w:hAnsi="Palatino Linotype" w:eastAsia="Times New Roman" w:cs="Times New Roman"/>
          <w:i/>
          <w:iCs/>
          <w:kern w:val="0"/>
          <w14:ligatures w14:val="none"/>
        </w:rPr>
        <w:t>Utilities m</w:t>
      </w:r>
      <w:r w:rsidR="0069459D">
        <w:rPr>
          <w:rFonts w:ascii="Palatino Linotype" w:hAnsi="Palatino Linotype" w:eastAsia="Times New Roman" w:cs="Times New Roman"/>
          <w:i/>
          <w:iCs/>
          <w:kern w:val="0"/>
          <w14:ligatures w14:val="none"/>
        </w:rPr>
        <w:t>a</w:t>
      </w:r>
      <w:r w:rsidR="000A32FF">
        <w:rPr>
          <w:rFonts w:ascii="Palatino Linotype" w:hAnsi="Palatino Linotype" w:eastAsia="Times New Roman" w:cs="Times New Roman"/>
          <w:i/>
          <w:iCs/>
          <w:kern w:val="0"/>
          <w14:ligatures w14:val="none"/>
        </w:rPr>
        <w:t>y eliminate the stakeholder involvement and detailed schedule set in D.18-11-029 if flexibility is needed.</w:t>
      </w:r>
      <w:r w:rsidR="00A11C91">
        <w:rPr>
          <w:rStyle w:val="FootnoteReference"/>
          <w:rFonts w:ascii="Palatino Linotype" w:hAnsi="Palatino Linotype" w:eastAsia="Times New Roman" w:cs="Times New Roman"/>
          <w:i/>
          <w:iCs/>
          <w:kern w:val="0"/>
          <w14:ligatures w14:val="none"/>
        </w:rPr>
        <w:footnoteReference w:id="3"/>
      </w:r>
      <w:r w:rsidRPr="006B3DC6" w:rsidR="00D159BC">
        <w:rPr>
          <w:rFonts w:ascii="Palatino Linotype" w:hAnsi="Palatino Linotype" w:eastAsia="Times New Roman" w:cs="Times New Roman"/>
          <w:kern w:val="0"/>
          <w14:ligatures w14:val="none"/>
        </w:rPr>
        <w:t xml:space="preserve"> </w:t>
      </w:r>
    </w:p>
    <w:p w:rsidR="006B3DC6" w:rsidP="00A76F4A" w:rsidRDefault="006B3DC6" w14:paraId="0D0B3C7F" w14:textId="77777777">
      <w:pPr>
        <w:spacing w:after="0" w:line="240" w:lineRule="auto"/>
        <w:rPr>
          <w:rFonts w:ascii="Palatino Linotype" w:hAnsi="Palatino Linotype" w:eastAsia="Times New Roman" w:cs="Times New Roman"/>
          <w:kern w:val="0"/>
          <w14:ligatures w14:val="none"/>
        </w:rPr>
      </w:pPr>
    </w:p>
    <w:p w:rsidR="00CA2F9D" w:rsidP="00A76F4A" w:rsidRDefault="006B1BD1" w14:paraId="2CD1EA60" w14:textId="5E41DFA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D</w:t>
      </w:r>
      <w:r w:rsidR="007D6628">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23-12-005, </w:t>
      </w:r>
      <w:r w:rsidR="00D159BC">
        <w:rPr>
          <w:rFonts w:ascii="Palatino Linotype" w:hAnsi="Palatino Linotype" w:eastAsia="Times New Roman" w:cs="Times New Roman"/>
          <w:kern w:val="0"/>
          <w14:ligatures w14:val="none"/>
        </w:rPr>
        <w:t>OP</w:t>
      </w:r>
      <w:r w:rsidR="00E24CD4">
        <w:rPr>
          <w:rFonts w:ascii="Palatino Linotype" w:hAnsi="Palatino Linotype" w:eastAsia="Times New Roman" w:cs="Times New Roman"/>
          <w:kern w:val="0"/>
          <w14:ligatures w14:val="none"/>
        </w:rPr>
        <w:t xml:space="preserve"> 14</w:t>
      </w:r>
      <w:r w:rsidR="0083281E">
        <w:rPr>
          <w:rFonts w:ascii="Palatino Linotype" w:hAnsi="Palatino Linotype" w:eastAsia="Times New Roman" w:cs="Times New Roman"/>
          <w:kern w:val="0"/>
          <w14:ligatures w14:val="none"/>
        </w:rPr>
        <w:t xml:space="preserve"> </w:t>
      </w:r>
      <w:r w:rsidR="0039154C">
        <w:rPr>
          <w:rFonts w:ascii="Palatino Linotype" w:hAnsi="Palatino Linotype" w:eastAsia="Times New Roman" w:cs="Times New Roman"/>
          <w:kern w:val="0"/>
          <w14:ligatures w14:val="none"/>
        </w:rPr>
        <w:t xml:space="preserve">authorizes </w:t>
      </w:r>
      <w:r w:rsidR="007D6628">
        <w:rPr>
          <w:rFonts w:ascii="Palatino Linotype" w:hAnsi="Palatino Linotype" w:eastAsia="Times New Roman" w:cs="Times New Roman"/>
          <w:kern w:val="0"/>
          <w14:ligatures w14:val="none"/>
        </w:rPr>
        <w:t>the u</w:t>
      </w:r>
      <w:r w:rsidR="0039154C">
        <w:rPr>
          <w:rFonts w:ascii="Palatino Linotype" w:hAnsi="Palatino Linotype" w:eastAsia="Times New Roman" w:cs="Times New Roman"/>
          <w:kern w:val="0"/>
          <w14:ligatures w14:val="none"/>
        </w:rPr>
        <w:t xml:space="preserve">tilities to </w:t>
      </w:r>
      <w:r w:rsidR="003E1671">
        <w:rPr>
          <w:rFonts w:ascii="Palatino Linotype" w:hAnsi="Palatino Linotype" w:eastAsia="Times New Roman" w:cs="Times New Roman"/>
          <w:kern w:val="0"/>
          <w14:ligatures w14:val="none"/>
        </w:rPr>
        <w:t>submit changes</w:t>
      </w:r>
      <w:r w:rsidR="00D159BC">
        <w:rPr>
          <w:rFonts w:ascii="Palatino Linotype" w:hAnsi="Palatino Linotype" w:eastAsia="Times New Roman" w:cs="Times New Roman"/>
          <w:kern w:val="0"/>
          <w14:ligatures w14:val="none"/>
        </w:rPr>
        <w:t xml:space="preserve"> </w:t>
      </w:r>
      <w:r w:rsidR="00AE4A53">
        <w:rPr>
          <w:rFonts w:ascii="Palatino Linotype" w:hAnsi="Palatino Linotype" w:eastAsia="Times New Roman" w:cs="Times New Roman"/>
          <w:kern w:val="0"/>
          <w14:ligatures w14:val="none"/>
        </w:rPr>
        <w:t>to the AutoDR program via the MCR process in</w:t>
      </w:r>
      <w:r w:rsidR="000E121D">
        <w:rPr>
          <w:rFonts w:ascii="Palatino Linotype" w:hAnsi="Palatino Linotype" w:eastAsia="Times New Roman" w:cs="Times New Roman"/>
          <w:kern w:val="0"/>
          <w14:ligatures w14:val="none"/>
        </w:rPr>
        <w:t xml:space="preserve"> </w:t>
      </w:r>
      <w:r w:rsidR="00B225BB">
        <w:rPr>
          <w:rFonts w:ascii="Palatino Linotype" w:hAnsi="Palatino Linotype" w:eastAsia="Times New Roman" w:cs="Times New Roman"/>
          <w:kern w:val="0"/>
          <w14:ligatures w14:val="none"/>
        </w:rPr>
        <w:t xml:space="preserve">the </w:t>
      </w:r>
      <w:r w:rsidR="007E6198">
        <w:rPr>
          <w:rFonts w:ascii="Palatino Linotype" w:hAnsi="Palatino Linotype" w:eastAsia="Times New Roman" w:cs="Times New Roman"/>
          <w:kern w:val="0"/>
          <w14:ligatures w14:val="none"/>
        </w:rPr>
        <w:t>2024-2027</w:t>
      </w:r>
      <w:r w:rsidR="00E25C68">
        <w:rPr>
          <w:rFonts w:ascii="Palatino Linotype" w:hAnsi="Palatino Linotype" w:eastAsia="Times New Roman" w:cs="Times New Roman"/>
          <w:kern w:val="0"/>
          <w14:ligatures w14:val="none"/>
        </w:rPr>
        <w:t xml:space="preserve"> DR application cycle</w:t>
      </w:r>
      <w:r w:rsidR="00C42F16">
        <w:rPr>
          <w:rFonts w:ascii="Palatino Linotype" w:hAnsi="Palatino Linotype" w:eastAsia="Times New Roman" w:cs="Times New Roman"/>
          <w:kern w:val="0"/>
          <w14:ligatures w14:val="none"/>
        </w:rPr>
        <w:t>.</w:t>
      </w:r>
      <w:r w:rsidR="007E6198">
        <w:rPr>
          <w:rFonts w:ascii="Palatino Linotype" w:hAnsi="Palatino Linotype" w:eastAsia="Times New Roman" w:cs="Times New Roman"/>
          <w:kern w:val="0"/>
          <w14:ligatures w14:val="none"/>
        </w:rPr>
        <w:t xml:space="preserve"> </w:t>
      </w:r>
      <w:r w:rsidR="005D29AF">
        <w:rPr>
          <w:rFonts w:ascii="Palatino Linotype" w:hAnsi="Palatino Linotype" w:eastAsia="Times New Roman" w:cs="Times New Roman"/>
          <w:kern w:val="0"/>
          <w14:ligatures w14:val="none"/>
        </w:rPr>
        <w:t xml:space="preserve">OP 14 also </w:t>
      </w:r>
      <w:r w:rsidR="008B55FC">
        <w:rPr>
          <w:rFonts w:ascii="Palatino Linotype" w:hAnsi="Palatino Linotype" w:eastAsia="Times New Roman" w:cs="Times New Roman"/>
          <w:kern w:val="0"/>
          <w14:ligatures w14:val="none"/>
        </w:rPr>
        <w:t xml:space="preserve">limits the scope of changes that may be proposed </w:t>
      </w:r>
      <w:r w:rsidR="003035D1">
        <w:rPr>
          <w:rFonts w:ascii="Palatino Linotype" w:hAnsi="Palatino Linotype" w:eastAsia="Times New Roman" w:cs="Times New Roman"/>
          <w:kern w:val="0"/>
          <w14:ligatures w14:val="none"/>
        </w:rPr>
        <w:t xml:space="preserve">to changes that </w:t>
      </w:r>
      <w:r w:rsidRPr="003B7967" w:rsidR="003035D1">
        <w:rPr>
          <w:rFonts w:ascii="Palatino Linotype" w:hAnsi="Palatino Linotype" w:eastAsia="Times New Roman" w:cs="Times New Roman"/>
          <w:kern w:val="0"/>
          <w14:ligatures w14:val="none"/>
        </w:rPr>
        <w:t>“</w:t>
      </w:r>
      <w:r w:rsidRPr="003B7967" w:rsidR="00332016">
        <w:rPr>
          <w:rFonts w:ascii="Palatino Linotype" w:hAnsi="Palatino Linotype" w:eastAsia="Times New Roman" w:cs="Times New Roman"/>
          <w:kern w:val="0"/>
          <w14:ligatures w14:val="none"/>
        </w:rPr>
        <w:t>manage or increase program enrollment, improve program efficiency, increase potential load reduction available, improve program value, reduce costs, or bring the program in alignment or comply with Commission policies</w:t>
      </w:r>
      <w:r w:rsidR="007E47F9">
        <w:rPr>
          <w:rFonts w:ascii="Palatino Linotype" w:hAnsi="Palatino Linotype" w:eastAsia="Times New Roman" w:cs="Times New Roman"/>
          <w:kern w:val="0"/>
          <w14:ligatures w14:val="none"/>
        </w:rPr>
        <w:t>”</w:t>
      </w:r>
      <w:r w:rsidR="00A73BA6">
        <w:rPr>
          <w:rFonts w:ascii="Palatino Linotype" w:hAnsi="Palatino Linotype" w:eastAsia="Times New Roman" w:cs="Times New Roman"/>
          <w:kern w:val="0"/>
          <w14:ligatures w14:val="none"/>
        </w:rPr>
        <w:t xml:space="preserve"> </w:t>
      </w:r>
      <w:r w:rsidR="00570ECA">
        <w:rPr>
          <w:rFonts w:ascii="Palatino Linotype" w:hAnsi="Palatino Linotype" w:eastAsia="Times New Roman" w:cs="Times New Roman"/>
          <w:kern w:val="0"/>
          <w14:ligatures w14:val="none"/>
        </w:rPr>
        <w:t>a</w:t>
      </w:r>
      <w:r w:rsidR="007E47F9">
        <w:rPr>
          <w:rFonts w:ascii="Palatino Linotype" w:hAnsi="Palatino Linotype" w:eastAsia="Times New Roman" w:cs="Times New Roman"/>
          <w:kern w:val="0"/>
          <w14:ligatures w14:val="none"/>
        </w:rPr>
        <w:t xml:space="preserve">nd further clarifies the modifications permitted shall </w:t>
      </w:r>
      <w:r w:rsidR="003B7967">
        <w:rPr>
          <w:rFonts w:ascii="Palatino Linotype" w:hAnsi="Palatino Linotype" w:eastAsia="Times New Roman" w:cs="Times New Roman"/>
          <w:kern w:val="0"/>
          <w14:ligatures w14:val="none"/>
        </w:rPr>
        <w:t>b</w:t>
      </w:r>
      <w:r w:rsidR="007E47F9">
        <w:rPr>
          <w:rFonts w:ascii="Palatino Linotype" w:hAnsi="Palatino Linotype" w:eastAsia="Times New Roman" w:cs="Times New Roman"/>
          <w:kern w:val="0"/>
          <w14:ligatures w14:val="none"/>
        </w:rPr>
        <w:t>e limited to technical aspects of program design.</w:t>
      </w:r>
    </w:p>
    <w:p w:rsidR="005B5EF1" w:rsidP="00A76F4A" w:rsidRDefault="005B5EF1" w14:paraId="7F9E029D" w14:textId="77777777">
      <w:pPr>
        <w:spacing w:after="0" w:line="240" w:lineRule="auto"/>
        <w:rPr>
          <w:rFonts w:ascii="Palatino Linotype" w:hAnsi="Palatino Linotype" w:eastAsia="Times New Roman" w:cs="Times New Roman"/>
          <w:kern w:val="0"/>
          <w14:ligatures w14:val="none"/>
        </w:rPr>
      </w:pPr>
    </w:p>
    <w:p w:rsidR="00152603" w:rsidP="008A6484" w:rsidRDefault="005B5EF1" w14:paraId="0B935E12" w14:textId="7E629E73">
      <w:pPr>
        <w:spacing w:after="0" w:line="240" w:lineRule="auto"/>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D.23-12-005</w:t>
      </w:r>
      <w:r>
        <w:rPr>
          <w:rFonts w:ascii="Palatino Linotype" w:hAnsi="Palatino Linotype" w:eastAsia="Times New Roman" w:cs="Times New Roman"/>
          <w:kern w:val="0"/>
          <w14:ligatures w14:val="none"/>
        </w:rPr>
        <w:t xml:space="preserve">, </w:t>
      </w:r>
      <w:r w:rsidR="009A3EE5">
        <w:rPr>
          <w:rFonts w:ascii="Palatino Linotype" w:hAnsi="Palatino Linotype" w:eastAsia="Times New Roman" w:cs="Times New Roman"/>
          <w:kern w:val="0"/>
          <w14:ligatures w14:val="none"/>
        </w:rPr>
        <w:t>Conclusions of Law</w:t>
      </w:r>
      <w:r>
        <w:rPr>
          <w:rFonts w:ascii="Palatino Linotype" w:hAnsi="Palatino Linotype" w:eastAsia="Times New Roman" w:cs="Times New Roman"/>
          <w:kern w:val="0"/>
          <w14:ligatures w14:val="none"/>
        </w:rPr>
        <w:t xml:space="preserve"> 92-93 </w:t>
      </w:r>
      <w:r w:rsidR="00FA1C8F">
        <w:rPr>
          <w:rFonts w:ascii="Palatino Linotype" w:hAnsi="Palatino Linotype" w:eastAsia="Times New Roman" w:cs="Times New Roman"/>
          <w:kern w:val="0"/>
          <w14:ligatures w14:val="none"/>
        </w:rPr>
        <w:t>direct</w:t>
      </w:r>
      <w:r w:rsidR="00547F06">
        <w:rPr>
          <w:rFonts w:ascii="Palatino Linotype" w:hAnsi="Palatino Linotype" w:eastAsia="Times New Roman" w:cs="Times New Roman"/>
          <w:kern w:val="0"/>
          <w14:ligatures w14:val="none"/>
        </w:rPr>
        <w:t xml:space="preserve"> PG&amp;E and SCE to devote funds to</w:t>
      </w:r>
      <w:r w:rsidR="00BA6519">
        <w:rPr>
          <w:rFonts w:ascii="Palatino Linotype" w:hAnsi="Palatino Linotype" w:eastAsia="Times New Roman" w:cs="Times New Roman"/>
          <w:kern w:val="0"/>
          <w14:ligatures w14:val="none"/>
        </w:rPr>
        <w:t xml:space="preserve"> conduct</w:t>
      </w:r>
      <w:r w:rsidR="00547F0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 joint </w:t>
      </w:r>
      <w:r w:rsidR="00547F06">
        <w:rPr>
          <w:rFonts w:ascii="Palatino Linotype" w:hAnsi="Palatino Linotype" w:eastAsia="Times New Roman" w:cs="Times New Roman"/>
          <w:kern w:val="0"/>
          <w14:ligatures w14:val="none"/>
        </w:rPr>
        <w:t xml:space="preserve">study </w:t>
      </w:r>
      <w:r w:rsidR="00BA6519">
        <w:rPr>
          <w:rFonts w:ascii="Palatino Linotype" w:hAnsi="Palatino Linotype" w:eastAsia="Times New Roman" w:cs="Times New Roman"/>
          <w:kern w:val="0"/>
          <w14:ligatures w14:val="none"/>
        </w:rPr>
        <w:t>to identify additional customers and means to apply AutoDR</w:t>
      </w:r>
      <w:r w:rsidR="00EB131C">
        <w:rPr>
          <w:rFonts w:ascii="Palatino Linotype" w:hAnsi="Palatino Linotype" w:eastAsia="Times New Roman" w:cs="Times New Roman"/>
          <w:kern w:val="0"/>
          <w14:ligatures w14:val="none"/>
        </w:rPr>
        <w:t xml:space="preserve"> in its FastTrack Application process</w:t>
      </w:r>
      <w:r w:rsidR="00B718A2">
        <w:rPr>
          <w:rFonts w:ascii="Palatino Linotype" w:hAnsi="Palatino Linotype" w:eastAsia="Times New Roman" w:cs="Times New Roman"/>
          <w:kern w:val="0"/>
          <w14:ligatures w14:val="none"/>
        </w:rPr>
        <w:t xml:space="preserve"> (also known as its “</w:t>
      </w:r>
      <w:r w:rsidR="00FA1C8F">
        <w:rPr>
          <w:rFonts w:ascii="Palatino Linotype" w:hAnsi="Palatino Linotype" w:eastAsia="Times New Roman" w:cs="Times New Roman"/>
          <w:kern w:val="0"/>
          <w14:ligatures w14:val="none"/>
        </w:rPr>
        <w:t>Deemed Application” process</w:t>
      </w:r>
      <w:r w:rsidR="008A1A6F">
        <w:rPr>
          <w:rFonts w:ascii="Palatino Linotype" w:hAnsi="Palatino Linotype" w:eastAsia="Times New Roman" w:cs="Times New Roman"/>
          <w:kern w:val="0"/>
          <w14:ligatures w14:val="none"/>
        </w:rPr>
        <w:t xml:space="preserve"> and/or “Deemed Incentives”</w:t>
      </w:r>
      <w:r w:rsidR="00B718A2">
        <w:rPr>
          <w:rFonts w:ascii="Palatino Linotype" w:hAnsi="Palatino Linotype" w:eastAsia="Times New Roman" w:cs="Times New Roman"/>
          <w:kern w:val="0"/>
          <w14:ligatures w14:val="none"/>
        </w:rPr>
        <w:t>)</w:t>
      </w:r>
      <w:r w:rsidR="00EB131C">
        <w:rPr>
          <w:rFonts w:ascii="Palatino Linotype" w:hAnsi="Palatino Linotype" w:eastAsia="Times New Roman" w:cs="Times New Roman"/>
          <w:kern w:val="0"/>
          <w14:ligatures w14:val="none"/>
        </w:rPr>
        <w:t xml:space="preserve">. </w:t>
      </w:r>
      <w:r w:rsidR="008A6484">
        <w:rPr>
          <w:rFonts w:ascii="Palatino Linotype" w:hAnsi="Palatino Linotype" w:eastAsia="Times New Roman" w:cs="Times New Roman"/>
          <w:kern w:val="0"/>
          <w14:ligatures w14:val="none"/>
        </w:rPr>
        <w:t xml:space="preserve">More specifically, </w:t>
      </w:r>
      <w:r w:rsidR="00DA0A9B">
        <w:rPr>
          <w:rFonts w:ascii="Palatino Linotype" w:hAnsi="Palatino Linotype" w:eastAsia="Times New Roman" w:cs="Times New Roman"/>
          <w:kern w:val="0"/>
          <w14:ligatures w14:val="none"/>
        </w:rPr>
        <w:t>this decision</w:t>
      </w:r>
      <w:r w:rsidRPr="001C1DC3" w:rsidR="00152603">
        <w:rPr>
          <w:rFonts w:ascii="Palatino Linotype" w:hAnsi="Palatino Linotype" w:eastAsia="Times New Roman" w:cs="Times New Roman"/>
          <w:kern w:val="0"/>
          <w14:ligatures w14:val="none"/>
        </w:rPr>
        <w:t xml:space="preserve"> approved a PG&amp;E and SCE proposal for a joint study (</w:t>
      </w:r>
      <w:r w:rsidR="00E21DF6">
        <w:rPr>
          <w:rFonts w:ascii="Palatino Linotype" w:hAnsi="Palatino Linotype" w:eastAsia="Times New Roman" w:cs="Times New Roman"/>
          <w:kern w:val="0"/>
          <w14:ligatures w14:val="none"/>
        </w:rPr>
        <w:t>“</w:t>
      </w:r>
      <w:r w:rsidRPr="001C1DC3" w:rsidR="00152603">
        <w:rPr>
          <w:rFonts w:ascii="Palatino Linotype" w:hAnsi="Palatino Linotype" w:eastAsia="Times New Roman" w:cs="Times New Roman"/>
          <w:kern w:val="0"/>
          <w14:ligatures w14:val="none"/>
        </w:rPr>
        <w:t>Study</w:t>
      </w:r>
      <w:r w:rsidR="00E21DF6">
        <w:rPr>
          <w:rFonts w:ascii="Palatino Linotype" w:hAnsi="Palatino Linotype" w:eastAsia="Times New Roman" w:cs="Times New Roman"/>
          <w:kern w:val="0"/>
          <w14:ligatures w14:val="none"/>
        </w:rPr>
        <w:t>”</w:t>
      </w:r>
      <w:r w:rsidRPr="001C1DC3" w:rsidR="00152603">
        <w:rPr>
          <w:rFonts w:ascii="Palatino Linotype" w:hAnsi="Palatino Linotype" w:eastAsia="Times New Roman" w:cs="Times New Roman"/>
          <w:kern w:val="0"/>
          <w14:ligatures w14:val="none"/>
        </w:rPr>
        <w:t>) to 1) identify</w:t>
      </w:r>
      <w:r w:rsidR="00152603">
        <w:rPr>
          <w:rFonts w:ascii="Palatino Linotype" w:hAnsi="Palatino Linotype" w:eastAsia="Times New Roman" w:cs="Times New Roman"/>
          <w:kern w:val="0"/>
          <w14:ligatures w14:val="none"/>
        </w:rPr>
        <w:t xml:space="preserve"> </w:t>
      </w:r>
      <w:r w:rsidRPr="002108B0" w:rsidR="00152603">
        <w:rPr>
          <w:rFonts w:ascii="Palatino Linotype" w:hAnsi="Palatino Linotype" w:eastAsia="Times New Roman" w:cs="Times New Roman"/>
          <w:kern w:val="0"/>
          <w14:ligatures w14:val="none"/>
        </w:rPr>
        <w:t>additional customers and additional means to apply AutoDR in its Deemed Application</w:t>
      </w:r>
      <w:r w:rsidR="00152603">
        <w:rPr>
          <w:rFonts w:ascii="Palatino Linotype" w:hAnsi="Palatino Linotype" w:eastAsia="Times New Roman" w:cs="Times New Roman"/>
          <w:kern w:val="0"/>
          <w14:ligatures w14:val="none"/>
        </w:rPr>
        <w:t xml:space="preserve"> </w:t>
      </w:r>
      <w:r w:rsidRPr="002108B0" w:rsidR="00152603">
        <w:rPr>
          <w:rFonts w:ascii="Palatino Linotype" w:hAnsi="Palatino Linotype" w:eastAsia="Times New Roman" w:cs="Times New Roman"/>
          <w:kern w:val="0"/>
          <w14:ligatures w14:val="none"/>
        </w:rPr>
        <w:t>process, 2) identify additional large commercial and industrial customer segments</w:t>
      </w:r>
      <w:r w:rsidR="00152603">
        <w:rPr>
          <w:rFonts w:ascii="Palatino Linotype" w:hAnsi="Palatino Linotype" w:eastAsia="Times New Roman" w:cs="Times New Roman"/>
          <w:kern w:val="0"/>
          <w14:ligatures w14:val="none"/>
        </w:rPr>
        <w:t xml:space="preserve"> </w:t>
      </w:r>
      <w:r w:rsidRPr="002108B0" w:rsidR="00152603">
        <w:rPr>
          <w:rFonts w:ascii="Palatino Linotype" w:hAnsi="Palatino Linotype" w:eastAsia="Times New Roman" w:cs="Times New Roman"/>
          <w:kern w:val="0"/>
          <w14:ligatures w14:val="none"/>
        </w:rPr>
        <w:t>amenable to its FastTrack Application AutoDR program, and 3) further develop the</w:t>
      </w:r>
      <w:r w:rsidR="00152603">
        <w:rPr>
          <w:rFonts w:ascii="Palatino Linotype" w:hAnsi="Palatino Linotype" w:eastAsia="Times New Roman" w:cs="Times New Roman"/>
          <w:kern w:val="0"/>
          <w14:ligatures w14:val="none"/>
        </w:rPr>
        <w:t xml:space="preserve"> </w:t>
      </w:r>
      <w:r w:rsidRPr="00155295" w:rsidR="00152603">
        <w:rPr>
          <w:rFonts w:ascii="Palatino Linotype" w:hAnsi="Palatino Linotype" w:eastAsia="Times New Roman" w:cs="Times New Roman"/>
          <w:kern w:val="0"/>
          <w14:ligatures w14:val="none"/>
        </w:rPr>
        <w:t>FastTrack calculator to enable expansion of those controllable features that shed power</w:t>
      </w:r>
      <w:r w:rsidR="00152603">
        <w:rPr>
          <w:rFonts w:ascii="Palatino Linotype" w:hAnsi="Palatino Linotype" w:eastAsia="Times New Roman" w:cs="Times New Roman"/>
          <w:kern w:val="0"/>
          <w14:ligatures w14:val="none"/>
        </w:rPr>
        <w:t xml:space="preserve"> </w:t>
      </w:r>
      <w:r w:rsidRPr="00155295" w:rsidR="00152603">
        <w:rPr>
          <w:rFonts w:ascii="Palatino Linotype" w:hAnsi="Palatino Linotype" w:eastAsia="Times New Roman" w:cs="Times New Roman"/>
          <w:kern w:val="0"/>
          <w14:ligatures w14:val="none"/>
        </w:rPr>
        <w:t>demand.</w:t>
      </w:r>
      <w:r w:rsidR="002C6A1D">
        <w:rPr>
          <w:rStyle w:val="FootnoteReference"/>
          <w:rFonts w:ascii="Palatino Linotype" w:hAnsi="Palatino Linotype" w:eastAsia="Times New Roman" w:cs="Times New Roman"/>
          <w:kern w:val="0"/>
          <w14:ligatures w14:val="none"/>
        </w:rPr>
        <w:footnoteReference w:id="4"/>
      </w:r>
      <w:r w:rsidRPr="00155295" w:rsidR="00152603">
        <w:rPr>
          <w:rFonts w:ascii="Palatino Linotype" w:hAnsi="Palatino Linotype" w:eastAsia="Times New Roman" w:cs="Times New Roman"/>
          <w:kern w:val="0"/>
          <w14:ligatures w14:val="none"/>
        </w:rPr>
        <w:t xml:space="preserve"> This Study was conducted by Energy Solutions beginning in</w:t>
      </w:r>
      <w:r w:rsidR="00152603">
        <w:rPr>
          <w:rFonts w:ascii="Palatino Linotype" w:hAnsi="Palatino Linotype" w:eastAsia="Times New Roman" w:cs="Times New Roman"/>
          <w:kern w:val="0"/>
          <w14:ligatures w14:val="none"/>
        </w:rPr>
        <w:t xml:space="preserve"> </w:t>
      </w:r>
      <w:r w:rsidRPr="00155295" w:rsidR="00152603">
        <w:rPr>
          <w:rFonts w:ascii="Palatino Linotype" w:hAnsi="Palatino Linotype" w:eastAsia="Times New Roman" w:cs="Times New Roman"/>
          <w:kern w:val="0"/>
          <w14:ligatures w14:val="none"/>
        </w:rPr>
        <w:t>2024, with results published to the California Measurement Advisory Council</w:t>
      </w:r>
      <w:r w:rsidR="00152603">
        <w:rPr>
          <w:rFonts w:ascii="Palatino Linotype" w:hAnsi="Palatino Linotype" w:eastAsia="Times New Roman" w:cs="Times New Roman"/>
          <w:kern w:val="0"/>
          <w14:ligatures w14:val="none"/>
        </w:rPr>
        <w:t xml:space="preserve"> </w:t>
      </w:r>
      <w:r w:rsidRPr="00155295" w:rsidR="00152603">
        <w:rPr>
          <w:rFonts w:ascii="Palatino Linotype" w:hAnsi="Palatino Linotype" w:eastAsia="Times New Roman" w:cs="Times New Roman"/>
          <w:kern w:val="0"/>
          <w14:ligatures w14:val="none"/>
        </w:rPr>
        <w:t>(CALMAC)</w:t>
      </w:r>
      <w:r w:rsidR="0009733C">
        <w:rPr>
          <w:rFonts w:ascii="Palatino Linotype" w:hAnsi="Palatino Linotype" w:eastAsia="Times New Roman" w:cs="Times New Roman"/>
          <w:kern w:val="0"/>
          <w14:ligatures w14:val="none"/>
        </w:rPr>
        <w:t xml:space="preserve"> in 2025</w:t>
      </w:r>
      <w:r w:rsidRPr="00155295" w:rsidR="00152603">
        <w:rPr>
          <w:rFonts w:ascii="Palatino Linotype" w:hAnsi="Palatino Linotype" w:eastAsia="Times New Roman" w:cs="Times New Roman"/>
          <w:kern w:val="0"/>
          <w14:ligatures w14:val="none"/>
        </w:rPr>
        <w:t>.</w:t>
      </w:r>
      <w:r w:rsidR="003F79A2">
        <w:rPr>
          <w:rStyle w:val="FootnoteReference"/>
          <w:rFonts w:ascii="Palatino Linotype" w:hAnsi="Palatino Linotype" w:eastAsia="Times New Roman" w:cs="Times New Roman"/>
          <w:kern w:val="0"/>
          <w14:ligatures w14:val="none"/>
        </w:rPr>
        <w:footnoteReference w:id="5"/>
      </w:r>
      <w:r w:rsidR="00E569EB">
        <w:rPr>
          <w:rFonts w:ascii="Palatino Linotype" w:hAnsi="Palatino Linotype" w:eastAsia="Times New Roman" w:cs="Times New Roman"/>
          <w:kern w:val="0"/>
          <w14:ligatures w14:val="none"/>
        </w:rPr>
        <w:t xml:space="preserve"> The FastTrack Application AutoDR program</w:t>
      </w:r>
      <w:r w:rsidR="00D84DC4">
        <w:rPr>
          <w:rFonts w:ascii="Palatino Linotype" w:hAnsi="Palatino Linotype" w:eastAsia="Times New Roman" w:cs="Times New Roman"/>
          <w:kern w:val="0"/>
          <w14:ligatures w14:val="none"/>
        </w:rPr>
        <w:t xml:space="preserve"> is </w:t>
      </w:r>
      <w:r w:rsidR="00892300">
        <w:rPr>
          <w:rFonts w:ascii="Palatino Linotype" w:hAnsi="Palatino Linotype" w:eastAsia="Times New Roman" w:cs="Times New Roman"/>
          <w:kern w:val="0"/>
          <w14:ligatures w14:val="none"/>
        </w:rPr>
        <w:t xml:space="preserve">also </w:t>
      </w:r>
      <w:r w:rsidR="00D84DC4">
        <w:rPr>
          <w:rFonts w:ascii="Palatino Linotype" w:hAnsi="Palatino Linotype" w:eastAsia="Times New Roman" w:cs="Times New Roman"/>
          <w:kern w:val="0"/>
          <w14:ligatures w14:val="none"/>
        </w:rPr>
        <w:t>referred to as “</w:t>
      </w:r>
      <w:r w:rsidRPr="001C1DC3" w:rsidR="00D84DC4">
        <w:rPr>
          <w:rFonts w:ascii="Palatino Linotype" w:hAnsi="Palatino Linotype" w:eastAsia="Times New Roman" w:cs="Times New Roman"/>
          <w:kern w:val="0"/>
          <w14:ligatures w14:val="none"/>
        </w:rPr>
        <w:t>Non-Residential ADR</w:t>
      </w:r>
      <w:r w:rsidR="00D84DC4">
        <w:rPr>
          <w:rFonts w:ascii="Palatino Linotype" w:hAnsi="Palatino Linotype" w:eastAsia="Times New Roman" w:cs="Times New Roman"/>
          <w:kern w:val="0"/>
          <w14:ligatures w14:val="none"/>
        </w:rPr>
        <w:t xml:space="preserve"> </w:t>
      </w:r>
      <w:r w:rsidRPr="001C1DC3" w:rsidR="00D84DC4">
        <w:rPr>
          <w:rFonts w:ascii="Palatino Linotype" w:hAnsi="Palatino Linotype" w:eastAsia="Times New Roman" w:cs="Times New Roman"/>
          <w:kern w:val="0"/>
          <w14:ligatures w14:val="none"/>
        </w:rPr>
        <w:t>Deemed Incentives</w:t>
      </w:r>
      <w:r w:rsidR="00D84DC4">
        <w:rPr>
          <w:rFonts w:ascii="Palatino Linotype" w:hAnsi="Palatino Linotype" w:eastAsia="Times New Roman" w:cs="Times New Roman"/>
          <w:kern w:val="0"/>
          <w14:ligatures w14:val="none"/>
        </w:rPr>
        <w:t>”.</w:t>
      </w:r>
    </w:p>
    <w:p w:rsidR="00152603" w:rsidP="00A76F4A" w:rsidRDefault="00152603" w14:paraId="3C26BB2C" w14:textId="77777777">
      <w:pPr>
        <w:spacing w:after="0" w:line="240" w:lineRule="auto"/>
        <w:rPr>
          <w:rFonts w:ascii="Palatino Linotype" w:hAnsi="Palatino Linotype" w:eastAsia="Times New Roman" w:cs="Times New Roman"/>
          <w:kern w:val="0"/>
          <w14:ligatures w14:val="none"/>
        </w:rPr>
      </w:pPr>
    </w:p>
    <w:p w:rsidR="007924B1" w:rsidP="00A76F4A" w:rsidRDefault="00C50B99" w14:paraId="15295863" w14:textId="2517301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AL was submitted on time, and</w:t>
      </w:r>
      <w:r w:rsidR="0052576C">
        <w:rPr>
          <w:rFonts w:ascii="Palatino Linotype" w:hAnsi="Palatino Linotype" w:eastAsia="Times New Roman" w:cs="Times New Roman"/>
          <w:kern w:val="0"/>
          <w14:ligatures w14:val="none"/>
        </w:rPr>
        <w:t>, with Energy Division concurrence,</w:t>
      </w:r>
      <w:r>
        <w:rPr>
          <w:rFonts w:ascii="Palatino Linotype" w:hAnsi="Palatino Linotype" w:eastAsia="Times New Roman" w:cs="Times New Roman"/>
          <w:kern w:val="0"/>
          <w14:ligatures w14:val="none"/>
        </w:rPr>
        <w:t xml:space="preserve"> </w:t>
      </w:r>
      <w:r w:rsidR="004C3FE2">
        <w:rPr>
          <w:rFonts w:ascii="Palatino Linotype" w:hAnsi="Palatino Linotype" w:eastAsia="Times New Roman" w:cs="Times New Roman"/>
          <w:kern w:val="0"/>
          <w14:ligatures w14:val="none"/>
        </w:rPr>
        <w:t>PG&amp;E and SCE</w:t>
      </w:r>
      <w:r>
        <w:rPr>
          <w:rFonts w:ascii="Palatino Linotype" w:hAnsi="Palatino Linotype" w:eastAsia="Times New Roman" w:cs="Times New Roman"/>
          <w:kern w:val="0"/>
          <w14:ligatures w14:val="none"/>
        </w:rPr>
        <w:t xml:space="preserve"> did not engage in a stakeholder process</w:t>
      </w:r>
      <w:r w:rsidR="005A32BD">
        <w:rPr>
          <w:rFonts w:ascii="Palatino Linotype" w:hAnsi="Palatino Linotype" w:eastAsia="Times New Roman" w:cs="Times New Roman"/>
          <w:kern w:val="0"/>
          <w14:ligatures w14:val="none"/>
        </w:rPr>
        <w:t xml:space="preserve"> to inform </w:t>
      </w:r>
      <w:r w:rsidR="00122DD0">
        <w:rPr>
          <w:rFonts w:ascii="Palatino Linotype" w:hAnsi="Palatino Linotype" w:eastAsia="Times New Roman" w:cs="Times New Roman"/>
          <w:kern w:val="0"/>
          <w14:ligatures w14:val="none"/>
        </w:rPr>
        <w:t xml:space="preserve">their </w:t>
      </w:r>
      <w:r w:rsidR="005A32BD">
        <w:rPr>
          <w:rFonts w:ascii="Palatino Linotype" w:hAnsi="Palatino Linotype" w:eastAsia="Times New Roman" w:cs="Times New Roman"/>
          <w:kern w:val="0"/>
          <w14:ligatures w14:val="none"/>
        </w:rPr>
        <w:t>proposed modifications</w:t>
      </w:r>
      <w:r>
        <w:rPr>
          <w:rFonts w:ascii="Palatino Linotype" w:hAnsi="Palatino Linotype" w:eastAsia="Times New Roman" w:cs="Times New Roman"/>
          <w:kern w:val="0"/>
          <w14:ligatures w14:val="none"/>
        </w:rPr>
        <w:t xml:space="preserve">. </w:t>
      </w:r>
      <w:r w:rsidR="005B3232">
        <w:rPr>
          <w:rFonts w:ascii="Palatino Linotype" w:hAnsi="Palatino Linotype" w:eastAsia="Times New Roman" w:cs="Times New Roman"/>
          <w:kern w:val="0"/>
          <w14:ligatures w14:val="none"/>
        </w:rPr>
        <w:t>Proposed modifications</w:t>
      </w:r>
      <w:r w:rsidR="00BA0951">
        <w:rPr>
          <w:rFonts w:ascii="Palatino Linotype" w:hAnsi="Palatino Linotype" w:eastAsia="Times New Roman" w:cs="Times New Roman"/>
          <w:kern w:val="0"/>
          <w14:ligatures w14:val="none"/>
        </w:rPr>
        <w:t xml:space="preserve"> to the AutoDR Guidelines</w:t>
      </w:r>
      <w:r w:rsidR="005B3232">
        <w:rPr>
          <w:rFonts w:ascii="Palatino Linotype" w:hAnsi="Palatino Linotype" w:eastAsia="Times New Roman" w:cs="Times New Roman"/>
          <w:kern w:val="0"/>
          <w14:ligatures w14:val="none"/>
        </w:rPr>
        <w:t xml:space="preserve"> are listed below</w:t>
      </w:r>
      <w:r w:rsidR="00C70EC3">
        <w:rPr>
          <w:rFonts w:ascii="Palatino Linotype" w:hAnsi="Palatino Linotype" w:eastAsia="Times New Roman" w:cs="Times New Roman"/>
          <w:kern w:val="0"/>
          <w14:ligatures w14:val="none"/>
        </w:rPr>
        <w:t>:</w:t>
      </w:r>
    </w:p>
    <w:p w:rsidR="00C70EC3" w:rsidP="00A76F4A" w:rsidRDefault="00C70EC3" w14:paraId="605B633A" w14:textId="77777777">
      <w:pPr>
        <w:spacing w:after="0" w:line="240" w:lineRule="auto"/>
        <w:rPr>
          <w:rFonts w:ascii="Palatino Linotype" w:hAnsi="Palatino Linotype" w:eastAsia="Times New Roman" w:cs="Times New Roman"/>
          <w:kern w:val="0"/>
          <w14:ligatures w14:val="none"/>
        </w:rPr>
      </w:pPr>
    </w:p>
    <w:p w:rsidRPr="00735667" w:rsidR="00EE4ABC" w:rsidP="002108B0" w:rsidRDefault="002108B0" w14:paraId="7275072F" w14:textId="0E499821">
      <w:pPr>
        <w:pStyle w:val="ListParagraph"/>
        <w:numPr>
          <w:ilvl w:val="0"/>
          <w:numId w:val="7"/>
        </w:numPr>
        <w:spacing w:after="0" w:line="240" w:lineRule="auto"/>
        <w:rPr>
          <w:rFonts w:ascii="Palatino Linotype" w:hAnsi="Palatino Linotype" w:eastAsia="Times New Roman" w:cs="Times New Roman"/>
          <w:kern w:val="0"/>
          <w14:ligatures w14:val="none"/>
        </w:rPr>
      </w:pPr>
      <w:r w:rsidRPr="00EE4ABC">
        <w:rPr>
          <w:rFonts w:ascii="Palatino Linotype" w:hAnsi="Palatino Linotype" w:eastAsia="Times New Roman" w:cs="Times New Roman"/>
          <w:kern w:val="0"/>
          <w14:ligatures w14:val="none"/>
        </w:rPr>
        <w:t>Appendix A – Program Rules and Eligibility Requirements for Residential ADR</w:t>
      </w:r>
      <w:r w:rsidR="00735667">
        <w:rPr>
          <w:rFonts w:ascii="Palatino Linotype" w:hAnsi="Palatino Linotype" w:eastAsia="Times New Roman" w:cs="Times New Roman"/>
          <w:kern w:val="0"/>
          <w14:ligatures w14:val="none"/>
        </w:rPr>
        <w:t xml:space="preserve"> </w:t>
      </w:r>
      <w:r w:rsidRPr="00735667">
        <w:rPr>
          <w:rFonts w:ascii="Palatino Linotype" w:hAnsi="Palatino Linotype" w:eastAsia="Times New Roman" w:cs="Times New Roman"/>
          <w:kern w:val="0"/>
          <w14:ligatures w14:val="none"/>
        </w:rPr>
        <w:t>Incentives</w:t>
      </w:r>
    </w:p>
    <w:p w:rsidR="00EE4ABC" w:rsidP="002108B0" w:rsidRDefault="002108B0" w14:paraId="48A21AAC" w14:textId="059BDFAF">
      <w:pPr>
        <w:pStyle w:val="ListParagraph"/>
        <w:numPr>
          <w:ilvl w:val="1"/>
          <w:numId w:val="7"/>
        </w:numPr>
        <w:spacing w:after="0" w:line="240" w:lineRule="auto"/>
        <w:rPr>
          <w:rFonts w:ascii="Palatino Linotype" w:hAnsi="Palatino Linotype" w:eastAsia="Times New Roman" w:cs="Times New Roman"/>
          <w:kern w:val="0"/>
          <w14:ligatures w14:val="none"/>
        </w:rPr>
      </w:pPr>
      <w:r w:rsidRPr="00EE4ABC">
        <w:rPr>
          <w:rFonts w:ascii="Palatino Linotype" w:hAnsi="Palatino Linotype" w:eastAsia="Times New Roman" w:cs="Times New Roman"/>
          <w:kern w:val="0"/>
          <w14:ligatures w14:val="none"/>
        </w:rPr>
        <w:t>Add</w:t>
      </w:r>
      <w:r w:rsidR="008764BD">
        <w:rPr>
          <w:rFonts w:ascii="Palatino Linotype" w:hAnsi="Palatino Linotype" w:eastAsia="Times New Roman" w:cs="Times New Roman"/>
          <w:kern w:val="0"/>
          <w14:ligatures w14:val="none"/>
        </w:rPr>
        <w:t>s</w:t>
      </w:r>
      <w:r w:rsidRPr="00EE4ABC">
        <w:rPr>
          <w:rFonts w:ascii="Palatino Linotype" w:hAnsi="Palatino Linotype" w:eastAsia="Times New Roman" w:cs="Times New Roman"/>
          <w:kern w:val="0"/>
          <w14:ligatures w14:val="none"/>
        </w:rPr>
        <w:t xml:space="preserve"> &lt;200kW Size Limit</w:t>
      </w:r>
      <w:r w:rsidR="000F4FBE">
        <w:rPr>
          <w:rFonts w:ascii="Palatino Linotype" w:hAnsi="Palatino Linotype" w:eastAsia="Times New Roman" w:cs="Times New Roman"/>
          <w:kern w:val="0"/>
          <w14:ligatures w14:val="none"/>
        </w:rPr>
        <w:t>. This change c</w:t>
      </w:r>
      <w:r w:rsidRPr="00EE4ABC">
        <w:rPr>
          <w:rFonts w:ascii="Palatino Linotype" w:hAnsi="Palatino Linotype" w:eastAsia="Times New Roman" w:cs="Times New Roman"/>
          <w:kern w:val="0"/>
          <w14:ligatures w14:val="none"/>
        </w:rPr>
        <w:t>larif</w:t>
      </w:r>
      <w:r w:rsidR="000F4FBE">
        <w:rPr>
          <w:rFonts w:ascii="Palatino Linotype" w:hAnsi="Palatino Linotype" w:eastAsia="Times New Roman" w:cs="Times New Roman"/>
          <w:kern w:val="0"/>
          <w14:ligatures w14:val="none"/>
        </w:rPr>
        <w:t>ies</w:t>
      </w:r>
      <w:r w:rsidRPr="00EE4ABC">
        <w:rPr>
          <w:rFonts w:ascii="Palatino Linotype" w:hAnsi="Palatino Linotype" w:eastAsia="Times New Roman" w:cs="Times New Roman"/>
          <w:kern w:val="0"/>
          <w14:ligatures w14:val="none"/>
        </w:rPr>
        <w:t xml:space="preserve"> that </w:t>
      </w:r>
      <w:r w:rsidR="004C0B93">
        <w:rPr>
          <w:rFonts w:ascii="Palatino Linotype" w:hAnsi="Palatino Linotype" w:eastAsia="Times New Roman" w:cs="Times New Roman"/>
          <w:kern w:val="0"/>
          <w14:ligatures w14:val="none"/>
        </w:rPr>
        <w:t xml:space="preserve">Small and Medium Business </w:t>
      </w:r>
      <w:r w:rsidRPr="00664447" w:rsidR="004C0B93">
        <w:rPr>
          <w:rFonts w:ascii="Palatino Linotype" w:hAnsi="Palatino Linotype" w:eastAsia="Times New Roman" w:cs="Times New Roman"/>
          <w:kern w:val="0"/>
          <w14:ligatures w14:val="none"/>
        </w:rPr>
        <w:t>(</w:t>
      </w:r>
      <w:r w:rsidRPr="00664447">
        <w:rPr>
          <w:rFonts w:ascii="Palatino Linotype" w:hAnsi="Palatino Linotype" w:eastAsia="Times New Roman" w:cs="Times New Roman"/>
          <w:kern w:val="0"/>
          <w14:ligatures w14:val="none"/>
        </w:rPr>
        <w:t>SMB</w:t>
      </w:r>
      <w:r w:rsidRPr="00664447" w:rsidR="004C0B93">
        <w:rPr>
          <w:rFonts w:ascii="Palatino Linotype" w:hAnsi="Palatino Linotype" w:eastAsia="Times New Roman" w:cs="Times New Roman"/>
          <w:kern w:val="0"/>
          <w14:ligatures w14:val="none"/>
        </w:rPr>
        <w:t>)</w:t>
      </w:r>
      <w:r w:rsidRPr="00664447">
        <w:rPr>
          <w:rFonts w:ascii="Palatino Linotype" w:hAnsi="Palatino Linotype" w:eastAsia="Times New Roman" w:cs="Times New Roman"/>
          <w:kern w:val="0"/>
          <w14:ligatures w14:val="none"/>
        </w:rPr>
        <w:t xml:space="preserve"> customers with peak demand</w:t>
      </w:r>
      <w:r w:rsidRPr="00664447" w:rsidR="00EE4ABC">
        <w:rPr>
          <w:rFonts w:ascii="Palatino Linotype" w:hAnsi="Palatino Linotype" w:eastAsia="Times New Roman" w:cs="Times New Roman"/>
          <w:kern w:val="0"/>
          <w14:ligatures w14:val="none"/>
        </w:rPr>
        <w:t xml:space="preserve"> </w:t>
      </w:r>
      <w:r w:rsidRPr="00664447">
        <w:rPr>
          <w:rFonts w:ascii="Palatino Linotype" w:hAnsi="Palatino Linotype" w:eastAsia="Times New Roman" w:cs="Times New Roman"/>
          <w:kern w:val="0"/>
          <w14:ligatures w14:val="none"/>
        </w:rPr>
        <w:t>&lt;200kW who enroll a qualifying thermostat in</w:t>
      </w:r>
      <w:r w:rsidRPr="00664447" w:rsidR="004C0B93">
        <w:rPr>
          <w:rFonts w:ascii="Palatino Linotype" w:hAnsi="Palatino Linotype" w:eastAsia="Times New Roman" w:cs="Times New Roman"/>
          <w:kern w:val="0"/>
          <w14:ligatures w14:val="none"/>
        </w:rPr>
        <w:t xml:space="preserve"> </w:t>
      </w:r>
      <w:r w:rsidRPr="00664447" w:rsidR="00664447">
        <w:rPr>
          <w:rFonts w:ascii="Palatino Linotype" w:hAnsi="Palatino Linotype" w:eastAsia="Times New Roman" w:cs="Times New Roman"/>
          <w:kern w:val="0"/>
          <w14:ligatures w14:val="none"/>
        </w:rPr>
        <w:t xml:space="preserve">SCE’s </w:t>
      </w:r>
      <w:r w:rsidRPr="00664447" w:rsidR="004C0B93">
        <w:rPr>
          <w:rFonts w:ascii="Palatino Linotype" w:hAnsi="Palatino Linotype" w:eastAsia="Times New Roman" w:cs="Times New Roman"/>
          <w:kern w:val="0"/>
          <w14:ligatures w14:val="none"/>
        </w:rPr>
        <w:t>Smart Energy Program</w:t>
      </w:r>
      <w:r w:rsidRPr="00664447">
        <w:rPr>
          <w:rFonts w:ascii="Palatino Linotype" w:hAnsi="Palatino Linotype" w:eastAsia="Times New Roman" w:cs="Times New Roman"/>
          <w:kern w:val="0"/>
          <w14:ligatures w14:val="none"/>
        </w:rPr>
        <w:t xml:space="preserve"> </w:t>
      </w:r>
      <w:r w:rsidRPr="00664447" w:rsidR="004C0B93">
        <w:rPr>
          <w:rFonts w:ascii="Palatino Linotype" w:hAnsi="Palatino Linotype" w:eastAsia="Times New Roman" w:cs="Times New Roman"/>
          <w:kern w:val="0"/>
          <w14:ligatures w14:val="none"/>
        </w:rPr>
        <w:t>(</w:t>
      </w:r>
      <w:r w:rsidRPr="00664447">
        <w:rPr>
          <w:rFonts w:ascii="Palatino Linotype" w:hAnsi="Palatino Linotype" w:eastAsia="Times New Roman" w:cs="Times New Roman"/>
          <w:kern w:val="0"/>
          <w14:ligatures w14:val="none"/>
        </w:rPr>
        <w:t>SEP</w:t>
      </w:r>
      <w:r w:rsidRPr="00664447" w:rsidR="004C0B93">
        <w:rPr>
          <w:rFonts w:ascii="Palatino Linotype" w:hAnsi="Palatino Linotype" w:eastAsia="Times New Roman" w:cs="Times New Roman"/>
          <w:kern w:val="0"/>
          <w14:ligatures w14:val="none"/>
        </w:rPr>
        <w:t>)</w:t>
      </w:r>
      <w:r w:rsidRPr="00664447">
        <w:rPr>
          <w:rFonts w:ascii="Palatino Linotype" w:hAnsi="Palatino Linotype" w:eastAsia="Times New Roman" w:cs="Times New Roman"/>
          <w:kern w:val="0"/>
          <w14:ligatures w14:val="none"/>
        </w:rPr>
        <w:t xml:space="preserve"> can</w:t>
      </w:r>
      <w:r w:rsidRPr="00EE4ABC">
        <w:rPr>
          <w:rFonts w:ascii="Palatino Linotype" w:hAnsi="Palatino Linotype" w:eastAsia="Times New Roman" w:cs="Times New Roman"/>
          <w:kern w:val="0"/>
          <w14:ligatures w14:val="none"/>
        </w:rPr>
        <w:t xml:space="preserve"> </w:t>
      </w:r>
      <w:r w:rsidR="00B62FBD">
        <w:rPr>
          <w:rFonts w:ascii="Palatino Linotype" w:hAnsi="Palatino Linotype" w:eastAsia="Times New Roman" w:cs="Times New Roman"/>
          <w:kern w:val="0"/>
          <w14:ligatures w14:val="none"/>
        </w:rPr>
        <w:t>now</w:t>
      </w:r>
      <w:r w:rsidRPr="00EE4ABC">
        <w:rPr>
          <w:rFonts w:ascii="Palatino Linotype" w:hAnsi="Palatino Linotype" w:eastAsia="Times New Roman" w:cs="Times New Roman"/>
          <w:kern w:val="0"/>
          <w14:ligatures w14:val="none"/>
        </w:rPr>
        <w:t xml:space="preserve"> </w:t>
      </w:r>
      <w:r w:rsidRPr="00EE4ABC">
        <w:rPr>
          <w:rFonts w:ascii="Palatino Linotype" w:hAnsi="Palatino Linotype" w:eastAsia="Times New Roman" w:cs="Times New Roman"/>
          <w:kern w:val="0"/>
          <w14:ligatures w14:val="none"/>
        </w:rPr>
        <w:lastRenderedPageBreak/>
        <w:t>qualify for the $75</w:t>
      </w:r>
      <w:r w:rsidR="00EE4ABC">
        <w:rPr>
          <w:rFonts w:ascii="Palatino Linotype" w:hAnsi="Palatino Linotype" w:eastAsia="Times New Roman" w:cs="Times New Roman"/>
          <w:kern w:val="0"/>
          <w14:ligatures w14:val="none"/>
        </w:rPr>
        <w:t xml:space="preserve"> </w:t>
      </w:r>
      <w:r w:rsidRPr="00EE4ABC">
        <w:rPr>
          <w:rFonts w:ascii="Palatino Linotype" w:hAnsi="Palatino Linotype" w:eastAsia="Times New Roman" w:cs="Times New Roman"/>
          <w:kern w:val="0"/>
          <w14:ligatures w14:val="none"/>
        </w:rPr>
        <w:t xml:space="preserve">incentive. This administrative update was inadvertently omitted in Advice </w:t>
      </w:r>
      <w:r w:rsidR="00AE5597">
        <w:rPr>
          <w:rFonts w:ascii="Palatino Linotype" w:hAnsi="Palatino Linotype" w:eastAsia="Times New Roman" w:cs="Times New Roman"/>
          <w:kern w:val="0"/>
          <w14:ligatures w14:val="none"/>
        </w:rPr>
        <w:t xml:space="preserve">Letter </w:t>
      </w:r>
      <w:r w:rsidRPr="00EE4ABC">
        <w:rPr>
          <w:rFonts w:ascii="Palatino Linotype" w:hAnsi="Palatino Linotype" w:eastAsia="Times New Roman" w:cs="Times New Roman"/>
          <w:kern w:val="0"/>
          <w14:ligatures w14:val="none"/>
        </w:rPr>
        <w:t>5240-E</w:t>
      </w:r>
      <w:r w:rsidR="00A30AD2">
        <w:rPr>
          <w:rFonts w:ascii="Palatino Linotype" w:hAnsi="Palatino Linotype" w:eastAsia="Times New Roman" w:cs="Times New Roman"/>
          <w:kern w:val="0"/>
          <w14:ligatures w14:val="none"/>
        </w:rPr>
        <w:t xml:space="preserve">, filed </w:t>
      </w:r>
      <w:r w:rsidR="00675BAA">
        <w:rPr>
          <w:rFonts w:ascii="Palatino Linotype" w:hAnsi="Palatino Linotype" w:eastAsia="Times New Roman" w:cs="Times New Roman"/>
          <w:kern w:val="0"/>
          <w14:ligatures w14:val="none"/>
        </w:rPr>
        <w:t>February 28, 2024</w:t>
      </w:r>
      <w:r w:rsidRPr="00EE4ABC">
        <w:rPr>
          <w:rFonts w:ascii="Palatino Linotype" w:hAnsi="Palatino Linotype" w:eastAsia="Times New Roman" w:cs="Times New Roman"/>
          <w:kern w:val="0"/>
          <w14:ligatures w14:val="none"/>
        </w:rPr>
        <w:t>.</w:t>
      </w:r>
    </w:p>
    <w:p w:rsidRPr="0041170A" w:rsidR="00133F11" w:rsidP="002108B0" w:rsidRDefault="00B15613" w14:paraId="3B71C8C3" w14:textId="47144A5A">
      <w:pPr>
        <w:pStyle w:val="ListParagraph"/>
        <w:numPr>
          <w:ilvl w:val="1"/>
          <w:numId w:val="7"/>
        </w:numPr>
        <w:spacing w:after="0" w:line="240" w:lineRule="auto"/>
        <w:rPr>
          <w:rFonts w:ascii="Palatino Linotype" w:hAnsi="Palatino Linotype" w:eastAsia="Times New Roman" w:cs="Times New Roman"/>
          <w:kern w:val="0"/>
          <w14:ligatures w14:val="none"/>
        </w:rPr>
      </w:pPr>
      <w:r w:rsidRPr="0041170A">
        <w:rPr>
          <w:rFonts w:ascii="Palatino Linotype" w:hAnsi="Palatino Linotype" w:eastAsia="Times New Roman" w:cs="Times New Roman"/>
          <w:kern w:val="0"/>
          <w14:ligatures w14:val="none"/>
        </w:rPr>
        <w:t>Add</w:t>
      </w:r>
      <w:r>
        <w:rPr>
          <w:rFonts w:ascii="Palatino Linotype" w:hAnsi="Palatino Linotype" w:eastAsia="Times New Roman" w:cs="Times New Roman"/>
          <w:kern w:val="0"/>
          <w14:ligatures w14:val="none"/>
        </w:rPr>
        <w:t>s</w:t>
      </w:r>
      <w:r w:rsidRPr="0041170A" w:rsidR="002108B0">
        <w:rPr>
          <w:rFonts w:ascii="Palatino Linotype" w:hAnsi="Palatino Linotype" w:eastAsia="Times New Roman" w:cs="Times New Roman"/>
          <w:kern w:val="0"/>
          <w14:ligatures w14:val="none"/>
        </w:rPr>
        <w:t xml:space="preserve"> PG&amp;E’s Automated Response Technology Program (ART) as an ADR</w:t>
      </w:r>
      <w:r w:rsidRPr="0041170A" w:rsidR="00EE4ABC">
        <w:rPr>
          <w:rFonts w:ascii="Palatino Linotype" w:hAnsi="Palatino Linotype" w:eastAsia="Times New Roman" w:cs="Times New Roman"/>
          <w:kern w:val="0"/>
          <w14:ligatures w14:val="none"/>
        </w:rPr>
        <w:t xml:space="preserve"> </w:t>
      </w:r>
      <w:r w:rsidRPr="0041170A" w:rsidR="002108B0">
        <w:rPr>
          <w:rFonts w:ascii="Palatino Linotype" w:hAnsi="Palatino Linotype" w:eastAsia="Times New Roman" w:cs="Times New Roman"/>
          <w:kern w:val="0"/>
          <w14:ligatures w14:val="none"/>
        </w:rPr>
        <w:t>Qualified Residential Program</w:t>
      </w:r>
      <w:r w:rsidRPr="0041170A" w:rsidR="001535CA">
        <w:rPr>
          <w:rFonts w:ascii="Palatino Linotype" w:hAnsi="Palatino Linotype" w:eastAsia="Times New Roman" w:cs="Times New Roman"/>
          <w:kern w:val="0"/>
          <w14:ligatures w14:val="none"/>
        </w:rPr>
        <w:t xml:space="preserve">. </w:t>
      </w:r>
      <w:r w:rsidRPr="0041170A" w:rsidR="007808B3">
        <w:rPr>
          <w:rFonts w:ascii="Palatino Linotype" w:hAnsi="Palatino Linotype" w:eastAsia="Times New Roman" w:cs="Times New Roman"/>
          <w:kern w:val="0"/>
          <w14:ligatures w14:val="none"/>
        </w:rPr>
        <w:t xml:space="preserve">This change allows ART providers to </w:t>
      </w:r>
      <w:r w:rsidRPr="0041170A" w:rsidR="006F524A">
        <w:rPr>
          <w:rFonts w:ascii="Palatino Linotype" w:hAnsi="Palatino Linotype" w:eastAsia="Times New Roman" w:cs="Times New Roman"/>
          <w:kern w:val="0"/>
          <w14:ligatures w14:val="none"/>
        </w:rPr>
        <w:t xml:space="preserve">leverage PG&amp;E AutoDR approved funds </w:t>
      </w:r>
      <w:r w:rsidRPr="0041170A" w:rsidR="00CE3699">
        <w:rPr>
          <w:rFonts w:ascii="Palatino Linotype" w:hAnsi="Palatino Linotype" w:eastAsia="Times New Roman" w:cs="Times New Roman"/>
          <w:kern w:val="0"/>
          <w14:ligatures w14:val="none"/>
        </w:rPr>
        <w:t xml:space="preserve">for </w:t>
      </w:r>
      <w:r w:rsidR="00543B68">
        <w:rPr>
          <w:rFonts w:ascii="Palatino Linotype" w:hAnsi="Palatino Linotype" w:eastAsia="Times New Roman" w:cs="Times New Roman"/>
          <w:kern w:val="0"/>
          <w14:ligatures w14:val="none"/>
        </w:rPr>
        <w:t xml:space="preserve">automation technologies. It also allows </w:t>
      </w:r>
      <w:r w:rsidR="004A3B0A">
        <w:rPr>
          <w:rFonts w:ascii="Palatino Linotype" w:hAnsi="Palatino Linotype" w:eastAsia="Times New Roman" w:cs="Times New Roman"/>
          <w:kern w:val="0"/>
          <w14:ligatures w14:val="none"/>
        </w:rPr>
        <w:t xml:space="preserve">PG&amp;E to use </w:t>
      </w:r>
      <w:r w:rsidR="00BB3AC3">
        <w:rPr>
          <w:rFonts w:ascii="Palatino Linotype" w:hAnsi="Palatino Linotype" w:eastAsia="Times New Roman" w:cs="Times New Roman"/>
          <w:kern w:val="0"/>
          <w14:ligatures w14:val="none"/>
        </w:rPr>
        <w:t xml:space="preserve">the ADR incentives </w:t>
      </w:r>
      <w:r w:rsidR="009F43D6">
        <w:rPr>
          <w:rFonts w:ascii="Palatino Linotype" w:hAnsi="Palatino Linotype" w:eastAsia="Times New Roman" w:cs="Times New Roman"/>
          <w:kern w:val="0"/>
          <w14:ligatures w14:val="none"/>
        </w:rPr>
        <w:t xml:space="preserve">for </w:t>
      </w:r>
      <w:r w:rsidRPr="0041170A" w:rsidR="00CE3699">
        <w:rPr>
          <w:rFonts w:ascii="Palatino Linotype" w:hAnsi="Palatino Linotype" w:eastAsia="Times New Roman" w:cs="Times New Roman"/>
          <w:kern w:val="0"/>
          <w14:ligatures w14:val="none"/>
        </w:rPr>
        <w:t>smart thermostat rebates, in the event the Golden State Rebates (GSR)</w:t>
      </w:r>
      <w:r w:rsidRPr="0041170A" w:rsidR="002108B0">
        <w:rPr>
          <w:rFonts w:ascii="Palatino Linotype" w:hAnsi="Palatino Linotype" w:eastAsia="Times New Roman" w:cs="Times New Roman"/>
          <w:kern w:val="0"/>
          <w14:ligatures w14:val="none"/>
        </w:rPr>
        <w:t xml:space="preserve"> </w:t>
      </w:r>
      <w:r w:rsidRPr="0041170A" w:rsidR="00CE3699">
        <w:rPr>
          <w:rFonts w:ascii="Palatino Linotype" w:hAnsi="Palatino Linotype" w:eastAsia="Times New Roman" w:cs="Times New Roman"/>
          <w:kern w:val="0"/>
          <w14:ligatures w14:val="none"/>
        </w:rPr>
        <w:t xml:space="preserve">program </w:t>
      </w:r>
      <w:r w:rsidRPr="0041170A" w:rsidR="00E82A6C">
        <w:rPr>
          <w:rFonts w:ascii="Palatino Linotype" w:hAnsi="Palatino Linotype" w:eastAsia="Times New Roman" w:cs="Times New Roman"/>
          <w:kern w:val="0"/>
          <w14:ligatures w14:val="none"/>
        </w:rPr>
        <w:t xml:space="preserve">that currently funds these rebates </w:t>
      </w:r>
      <w:r w:rsidR="009F43D6">
        <w:rPr>
          <w:rFonts w:ascii="Palatino Linotype" w:hAnsi="Palatino Linotype" w:eastAsia="Times New Roman" w:cs="Times New Roman"/>
          <w:kern w:val="0"/>
          <w14:ligatures w14:val="none"/>
        </w:rPr>
        <w:t xml:space="preserve">in ART </w:t>
      </w:r>
      <w:r w:rsidRPr="0041170A" w:rsidR="00E82A6C">
        <w:rPr>
          <w:rFonts w:ascii="Palatino Linotype" w:hAnsi="Palatino Linotype" w:eastAsia="Times New Roman" w:cs="Times New Roman"/>
          <w:kern w:val="0"/>
          <w14:ligatures w14:val="none"/>
        </w:rPr>
        <w:t xml:space="preserve">experiences a pause, as occurred in 2025. </w:t>
      </w:r>
    </w:p>
    <w:p w:rsidR="001C1DC3" w:rsidP="002108B0" w:rsidRDefault="002108B0" w14:paraId="068E3DE1"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sidRPr="00133F11">
        <w:rPr>
          <w:rFonts w:ascii="Palatino Linotype" w:hAnsi="Palatino Linotype" w:eastAsia="Times New Roman" w:cs="Times New Roman"/>
          <w:kern w:val="0"/>
          <w14:ligatures w14:val="none"/>
        </w:rPr>
        <w:t>Appendix B – Program Rules and Eligibility Requirements for Non-Residential ADR</w:t>
      </w:r>
      <w:r w:rsidR="00BA0951">
        <w:rPr>
          <w:rFonts w:ascii="Palatino Linotype" w:hAnsi="Palatino Linotype" w:eastAsia="Times New Roman" w:cs="Times New Roman"/>
          <w:kern w:val="0"/>
          <w14:ligatures w14:val="none"/>
        </w:rPr>
        <w:t xml:space="preserve"> </w:t>
      </w:r>
      <w:r w:rsidRPr="00BA0951">
        <w:rPr>
          <w:rFonts w:ascii="Palatino Linotype" w:hAnsi="Palatino Linotype" w:eastAsia="Times New Roman" w:cs="Times New Roman"/>
          <w:kern w:val="0"/>
          <w14:ligatures w14:val="none"/>
        </w:rPr>
        <w:t>Calculated Incentives</w:t>
      </w:r>
    </w:p>
    <w:p w:rsidR="001C1DC3" w:rsidP="002108B0" w:rsidRDefault="00DA4C17" w14:paraId="1A3219E4" w14:textId="3F818741">
      <w:pPr>
        <w:pStyle w:val="ListParagraph"/>
        <w:numPr>
          <w:ilvl w:val="1"/>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Revises and aligns</w:t>
      </w:r>
      <w:r w:rsidR="007919CE">
        <w:rPr>
          <w:rFonts w:ascii="Palatino Linotype" w:hAnsi="Palatino Linotype" w:eastAsia="Times New Roman" w:cs="Times New Roman"/>
          <w:kern w:val="0"/>
          <w14:ligatures w14:val="none"/>
        </w:rPr>
        <w:t xml:space="preserve"> the</w:t>
      </w:r>
      <w:r>
        <w:rPr>
          <w:rFonts w:ascii="Palatino Linotype" w:hAnsi="Palatino Linotype" w:eastAsia="Times New Roman" w:cs="Times New Roman"/>
          <w:kern w:val="0"/>
          <w14:ligatures w14:val="none"/>
        </w:rPr>
        <w:t xml:space="preserve"> </w:t>
      </w:r>
      <w:r w:rsidRPr="001C1DC3" w:rsidR="002108B0">
        <w:rPr>
          <w:rFonts w:ascii="Palatino Linotype" w:hAnsi="Palatino Linotype" w:eastAsia="Times New Roman" w:cs="Times New Roman"/>
          <w:kern w:val="0"/>
          <w14:ligatures w14:val="none"/>
        </w:rPr>
        <w:t>PG&amp;E and SCE Customer Segment</w:t>
      </w:r>
      <w:r>
        <w:rPr>
          <w:rFonts w:ascii="Palatino Linotype" w:hAnsi="Palatino Linotype" w:eastAsia="Times New Roman" w:cs="Times New Roman"/>
          <w:kern w:val="0"/>
          <w14:ligatures w14:val="none"/>
        </w:rPr>
        <w:t xml:space="preserve"> section</w:t>
      </w:r>
      <w:r w:rsidR="008B5258">
        <w:rPr>
          <w:rFonts w:ascii="Palatino Linotype" w:hAnsi="Palatino Linotype" w:eastAsia="Times New Roman" w:cs="Times New Roman"/>
          <w:kern w:val="0"/>
          <w14:ligatures w14:val="none"/>
        </w:rPr>
        <w:t xml:space="preserve"> </w:t>
      </w:r>
      <w:r w:rsidR="00E63CF8">
        <w:rPr>
          <w:rFonts w:ascii="Palatino Linotype" w:hAnsi="Palatino Linotype" w:eastAsia="Times New Roman" w:cs="Times New Roman"/>
          <w:kern w:val="0"/>
          <w14:ligatures w14:val="none"/>
        </w:rPr>
        <w:t xml:space="preserve">of their </w:t>
      </w:r>
      <w:r w:rsidR="00440984">
        <w:rPr>
          <w:rFonts w:ascii="Palatino Linotype" w:hAnsi="Palatino Linotype" w:eastAsia="Times New Roman" w:cs="Times New Roman"/>
          <w:kern w:val="0"/>
          <w14:ligatures w14:val="none"/>
        </w:rPr>
        <w:t>Guidelines</w:t>
      </w:r>
      <w:r w:rsidR="008B5258">
        <w:rPr>
          <w:rFonts w:ascii="Palatino Linotype" w:hAnsi="Palatino Linotype" w:eastAsia="Times New Roman" w:cs="Times New Roman"/>
          <w:kern w:val="0"/>
          <w14:ligatures w14:val="none"/>
        </w:rPr>
        <w:t xml:space="preserve"> </w:t>
      </w:r>
      <w:r w:rsidRPr="001C1DC3" w:rsidR="002108B0">
        <w:rPr>
          <w:rFonts w:ascii="Palatino Linotype" w:hAnsi="Palatino Linotype" w:eastAsia="Times New Roman" w:cs="Times New Roman"/>
          <w:kern w:val="0"/>
          <w14:ligatures w14:val="none"/>
        </w:rPr>
        <w:t xml:space="preserve">to </w:t>
      </w:r>
      <w:r w:rsidR="001B6EC7">
        <w:rPr>
          <w:rFonts w:ascii="Palatino Linotype" w:hAnsi="Palatino Linotype" w:eastAsia="Times New Roman" w:cs="Times New Roman"/>
          <w:kern w:val="0"/>
          <w14:ligatures w14:val="none"/>
        </w:rPr>
        <w:t xml:space="preserve">include </w:t>
      </w:r>
      <w:r w:rsidR="00C97989">
        <w:rPr>
          <w:rFonts w:ascii="Palatino Linotype" w:hAnsi="Palatino Linotype" w:eastAsia="Times New Roman" w:cs="Times New Roman"/>
          <w:kern w:val="0"/>
          <w14:ligatures w14:val="none"/>
        </w:rPr>
        <w:t xml:space="preserve">customer segments </w:t>
      </w:r>
      <w:r w:rsidR="00B8107D">
        <w:rPr>
          <w:rFonts w:ascii="Palatino Linotype" w:hAnsi="Palatino Linotype" w:eastAsia="Times New Roman" w:cs="Times New Roman"/>
          <w:kern w:val="0"/>
          <w14:ligatures w14:val="none"/>
        </w:rPr>
        <w:t xml:space="preserve">that </w:t>
      </w:r>
      <w:r w:rsidR="00C97989">
        <w:rPr>
          <w:rFonts w:ascii="Palatino Linotype" w:hAnsi="Palatino Linotype" w:eastAsia="Times New Roman" w:cs="Times New Roman"/>
          <w:kern w:val="0"/>
          <w14:ligatures w14:val="none"/>
        </w:rPr>
        <w:t xml:space="preserve">do not qualify for Appendix A, or Appendix C. </w:t>
      </w:r>
      <w:r w:rsidRPr="001C1DC3" w:rsidR="002108B0">
        <w:rPr>
          <w:rFonts w:ascii="Palatino Linotype" w:hAnsi="Palatino Linotype" w:eastAsia="Times New Roman" w:cs="Times New Roman"/>
          <w:kern w:val="0"/>
          <w14:ligatures w14:val="none"/>
        </w:rPr>
        <w:t>The two customer segment groups are:</w:t>
      </w:r>
    </w:p>
    <w:p w:rsidR="001C1DC3" w:rsidP="002108B0" w:rsidRDefault="002108B0" w14:paraId="0E4B90B0" w14:textId="6232B698">
      <w:pPr>
        <w:pStyle w:val="ListParagraph"/>
        <w:numPr>
          <w:ilvl w:val="2"/>
          <w:numId w:val="7"/>
        </w:numPr>
        <w:spacing w:after="0" w:line="240" w:lineRule="auto"/>
        <w:rPr>
          <w:rFonts w:ascii="Palatino Linotype" w:hAnsi="Palatino Linotype" w:eastAsia="Times New Roman" w:cs="Times New Roman"/>
          <w:kern w:val="0"/>
          <w14:ligatures w14:val="none"/>
        </w:rPr>
      </w:pPr>
      <w:r w:rsidRPr="001C1DC3">
        <w:rPr>
          <w:rFonts w:ascii="Palatino Linotype" w:hAnsi="Palatino Linotype" w:eastAsia="Times New Roman" w:cs="Times New Roman"/>
          <w:kern w:val="0"/>
          <w14:ligatures w14:val="none"/>
        </w:rPr>
        <w:t>Non-qualifying Deemed Office, Retail, Restaurant, Conditioned</w:t>
      </w:r>
      <w:r w:rsidR="001C1DC3">
        <w:rPr>
          <w:rFonts w:ascii="Palatino Linotype" w:hAnsi="Palatino Linotype" w:eastAsia="Times New Roman" w:cs="Times New Roman"/>
          <w:kern w:val="0"/>
          <w14:ligatures w14:val="none"/>
        </w:rPr>
        <w:t xml:space="preserve"> </w:t>
      </w:r>
      <w:r w:rsidRPr="001C1DC3">
        <w:rPr>
          <w:rFonts w:ascii="Palatino Linotype" w:hAnsi="Palatino Linotype" w:eastAsia="Times New Roman" w:cs="Times New Roman"/>
          <w:kern w:val="0"/>
          <w14:ligatures w14:val="none"/>
        </w:rPr>
        <w:t>Warehouse, Hotel, Grocery/Liquor, Agricultural Pumps, and</w:t>
      </w:r>
    </w:p>
    <w:p w:rsidR="001C1DC3" w:rsidP="002108B0" w:rsidRDefault="002108B0" w14:paraId="30C6E3CC" w14:textId="208D6FFC">
      <w:pPr>
        <w:pStyle w:val="ListParagraph"/>
        <w:numPr>
          <w:ilvl w:val="2"/>
          <w:numId w:val="7"/>
        </w:numPr>
        <w:spacing w:after="0" w:line="240" w:lineRule="auto"/>
        <w:rPr>
          <w:rFonts w:ascii="Palatino Linotype" w:hAnsi="Palatino Linotype" w:eastAsia="Times New Roman" w:cs="Times New Roman"/>
          <w:kern w:val="0"/>
          <w14:ligatures w14:val="none"/>
        </w:rPr>
      </w:pPr>
      <w:r w:rsidRPr="001C1DC3">
        <w:rPr>
          <w:rFonts w:ascii="Palatino Linotype" w:hAnsi="Palatino Linotype" w:eastAsia="Times New Roman" w:cs="Times New Roman"/>
          <w:kern w:val="0"/>
          <w14:ligatures w14:val="none"/>
        </w:rPr>
        <w:t xml:space="preserve">Commercial, Industrial, </w:t>
      </w:r>
      <w:r w:rsidR="00A3576F">
        <w:rPr>
          <w:rFonts w:ascii="Palatino Linotype" w:hAnsi="Palatino Linotype" w:eastAsia="Times New Roman" w:cs="Times New Roman"/>
          <w:kern w:val="0"/>
          <w14:ligatures w14:val="none"/>
        </w:rPr>
        <w:t>and</w:t>
      </w:r>
      <w:r w:rsidRPr="001C1DC3">
        <w:rPr>
          <w:rFonts w:ascii="Palatino Linotype" w:hAnsi="Palatino Linotype" w:eastAsia="Times New Roman" w:cs="Times New Roman"/>
          <w:kern w:val="0"/>
          <w14:ligatures w14:val="none"/>
        </w:rPr>
        <w:t xml:space="preserve"> Agricultural.</w:t>
      </w:r>
    </w:p>
    <w:p w:rsidR="001C1DC3" w:rsidP="002108B0" w:rsidRDefault="002108B0" w14:paraId="4CBE1777"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sidRPr="001C1DC3">
        <w:rPr>
          <w:rFonts w:ascii="Palatino Linotype" w:hAnsi="Palatino Linotype" w:eastAsia="Times New Roman" w:cs="Times New Roman"/>
          <w:kern w:val="0"/>
          <w14:ligatures w14:val="none"/>
        </w:rPr>
        <w:t>Appendix C – Program Rules and Eligibility Requirements for Non-Residential ADR</w:t>
      </w:r>
      <w:r w:rsidR="001C1DC3">
        <w:rPr>
          <w:rFonts w:ascii="Palatino Linotype" w:hAnsi="Palatino Linotype" w:eastAsia="Times New Roman" w:cs="Times New Roman"/>
          <w:kern w:val="0"/>
          <w14:ligatures w14:val="none"/>
        </w:rPr>
        <w:t xml:space="preserve"> </w:t>
      </w:r>
      <w:r w:rsidRPr="001C1DC3">
        <w:rPr>
          <w:rFonts w:ascii="Palatino Linotype" w:hAnsi="Palatino Linotype" w:eastAsia="Times New Roman" w:cs="Times New Roman"/>
          <w:kern w:val="0"/>
          <w14:ligatures w14:val="none"/>
        </w:rPr>
        <w:t>Deemed Incentives</w:t>
      </w:r>
    </w:p>
    <w:p w:rsidR="007E4060" w:rsidP="007E4060" w:rsidRDefault="00155295" w14:paraId="195977FD" w14:textId="396FFEA9">
      <w:pPr>
        <w:pStyle w:val="ListParagraph"/>
        <w:numPr>
          <w:ilvl w:val="1"/>
          <w:numId w:val="7"/>
        </w:numPr>
        <w:rPr>
          <w:rFonts w:ascii="Palatino Linotype" w:hAnsi="Palatino Linotype" w:eastAsia="Times New Roman" w:cs="Times New Roman"/>
          <w:kern w:val="0"/>
          <w14:ligatures w14:val="none"/>
        </w:rPr>
      </w:pPr>
      <w:r w:rsidRPr="00155295">
        <w:rPr>
          <w:rFonts w:ascii="Palatino Linotype" w:hAnsi="Palatino Linotype" w:eastAsia="Times New Roman" w:cs="Times New Roman"/>
          <w:kern w:val="0"/>
          <w14:ligatures w14:val="none"/>
        </w:rPr>
        <w:t>Revise</w:t>
      </w:r>
      <w:r w:rsidR="00B15613">
        <w:rPr>
          <w:rFonts w:ascii="Palatino Linotype" w:hAnsi="Palatino Linotype" w:eastAsia="Times New Roman" w:cs="Times New Roman"/>
          <w:kern w:val="0"/>
          <w14:ligatures w14:val="none"/>
        </w:rPr>
        <w:t>s</w:t>
      </w:r>
      <w:r w:rsidRPr="00155295">
        <w:rPr>
          <w:rFonts w:ascii="Palatino Linotype" w:hAnsi="Palatino Linotype" w:eastAsia="Times New Roman" w:cs="Times New Roman"/>
          <w:kern w:val="0"/>
          <w14:ligatures w14:val="none"/>
        </w:rPr>
        <w:t xml:space="preserve"> “Customer Segment” for SCE ADR Express and PG&amp;E FastTrack:</w:t>
      </w:r>
    </w:p>
    <w:p w:rsidR="007E4060" w:rsidP="007E4060" w:rsidRDefault="00155295" w14:paraId="12FEC37A" w14:textId="3A4134A8">
      <w:pPr>
        <w:pStyle w:val="ListParagraph"/>
        <w:numPr>
          <w:ilvl w:val="2"/>
          <w:numId w:val="7"/>
        </w:numPr>
        <w:rPr>
          <w:rFonts w:ascii="Palatino Linotype" w:hAnsi="Palatino Linotype" w:eastAsia="Times New Roman" w:cs="Times New Roman"/>
          <w:kern w:val="0"/>
          <w14:ligatures w14:val="none"/>
        </w:rPr>
      </w:pPr>
      <w:r w:rsidRPr="007E4060">
        <w:rPr>
          <w:rFonts w:ascii="Palatino Linotype" w:hAnsi="Palatino Linotype" w:eastAsia="Times New Roman" w:cs="Times New Roman"/>
          <w:kern w:val="0"/>
          <w14:ligatures w14:val="none"/>
        </w:rPr>
        <w:t>Remove</w:t>
      </w:r>
      <w:r w:rsidR="00104FDB">
        <w:rPr>
          <w:rFonts w:ascii="Palatino Linotype" w:hAnsi="Palatino Linotype" w:eastAsia="Times New Roman" w:cs="Times New Roman"/>
          <w:kern w:val="0"/>
          <w14:ligatures w14:val="none"/>
        </w:rPr>
        <w:t>s</w:t>
      </w:r>
      <w:r w:rsidRPr="007E4060">
        <w:rPr>
          <w:rFonts w:ascii="Palatino Linotype" w:hAnsi="Palatino Linotype" w:eastAsia="Times New Roman" w:cs="Times New Roman"/>
          <w:kern w:val="0"/>
          <w14:ligatures w14:val="none"/>
        </w:rPr>
        <w:t xml:space="preserve"> “Small Retail Stores, Small Office (&lt;100,000 sq ft), and Food</w:t>
      </w:r>
      <w:r w:rsidR="007E4060">
        <w:rPr>
          <w:rFonts w:ascii="Palatino Linotype" w:hAnsi="Palatino Linotype" w:eastAsia="Times New Roman" w:cs="Times New Roman"/>
          <w:kern w:val="0"/>
          <w14:ligatures w14:val="none"/>
        </w:rPr>
        <w:t xml:space="preserve"> </w:t>
      </w:r>
      <w:r w:rsidRPr="007E4060">
        <w:rPr>
          <w:rFonts w:ascii="Palatino Linotype" w:hAnsi="Palatino Linotype" w:eastAsia="Times New Roman" w:cs="Times New Roman"/>
          <w:kern w:val="0"/>
          <w14:ligatures w14:val="none"/>
        </w:rPr>
        <w:t>Stores (including liquor stores)”;</w:t>
      </w:r>
    </w:p>
    <w:p w:rsidR="00F32B89" w:rsidP="00F32B89" w:rsidRDefault="00155295" w14:paraId="190F6665" w14:textId="14EA8E63">
      <w:pPr>
        <w:pStyle w:val="ListParagraph"/>
        <w:numPr>
          <w:ilvl w:val="2"/>
          <w:numId w:val="7"/>
        </w:numPr>
        <w:rPr>
          <w:rFonts w:ascii="Palatino Linotype" w:hAnsi="Palatino Linotype" w:eastAsia="Times New Roman" w:cs="Times New Roman"/>
          <w:kern w:val="0"/>
          <w14:ligatures w14:val="none"/>
        </w:rPr>
      </w:pPr>
      <w:r w:rsidRPr="007E4060">
        <w:rPr>
          <w:rFonts w:ascii="Palatino Linotype" w:hAnsi="Palatino Linotype" w:eastAsia="Times New Roman" w:cs="Times New Roman"/>
          <w:kern w:val="0"/>
          <w14:ligatures w14:val="none"/>
        </w:rPr>
        <w:t>Add</w:t>
      </w:r>
      <w:r w:rsidR="00104FDB">
        <w:rPr>
          <w:rFonts w:ascii="Palatino Linotype" w:hAnsi="Palatino Linotype" w:eastAsia="Times New Roman" w:cs="Times New Roman"/>
          <w:kern w:val="0"/>
          <w14:ligatures w14:val="none"/>
        </w:rPr>
        <w:t>s</w:t>
      </w:r>
      <w:r w:rsidRPr="007E4060">
        <w:rPr>
          <w:rFonts w:ascii="Palatino Linotype" w:hAnsi="Palatino Linotype" w:eastAsia="Times New Roman" w:cs="Times New Roman"/>
          <w:kern w:val="0"/>
          <w14:ligatures w14:val="none"/>
        </w:rPr>
        <w:t xml:space="preserve"> a size designation of &lt;499 kW for the following segments:</w:t>
      </w:r>
      <w:r w:rsidR="00F32B89">
        <w:rPr>
          <w:rFonts w:ascii="Palatino Linotype" w:hAnsi="Palatino Linotype" w:eastAsia="Times New Roman" w:cs="Times New Roman"/>
          <w:kern w:val="0"/>
          <w14:ligatures w14:val="none"/>
        </w:rPr>
        <w:t xml:space="preserve"> </w:t>
      </w:r>
      <w:r w:rsidRPr="00F32B89">
        <w:rPr>
          <w:rFonts w:ascii="Palatino Linotype" w:hAnsi="Palatino Linotype" w:eastAsia="Times New Roman" w:cs="Times New Roman"/>
          <w:kern w:val="0"/>
          <w14:ligatures w14:val="none"/>
        </w:rPr>
        <w:t>Office, Restaurant, Conditioned Warehouse, Hotel, Grocery/Liquor;</w:t>
      </w:r>
      <w:r w:rsidR="00F32B89">
        <w:rPr>
          <w:rFonts w:ascii="Palatino Linotype" w:hAnsi="Palatino Linotype" w:eastAsia="Times New Roman" w:cs="Times New Roman"/>
          <w:kern w:val="0"/>
          <w14:ligatures w14:val="none"/>
        </w:rPr>
        <w:t xml:space="preserve"> </w:t>
      </w:r>
      <w:r w:rsidRPr="00F32B89">
        <w:rPr>
          <w:rFonts w:ascii="Palatino Linotype" w:hAnsi="Palatino Linotype" w:eastAsia="Times New Roman" w:cs="Times New Roman"/>
          <w:kern w:val="0"/>
          <w14:ligatures w14:val="none"/>
        </w:rPr>
        <w:t>and</w:t>
      </w:r>
    </w:p>
    <w:p w:rsidR="00F32B89" w:rsidP="00F32B89" w:rsidRDefault="00155295" w14:paraId="055057BF" w14:textId="3438EE9B">
      <w:pPr>
        <w:pStyle w:val="ListParagraph"/>
        <w:numPr>
          <w:ilvl w:val="2"/>
          <w:numId w:val="7"/>
        </w:numPr>
        <w:rPr>
          <w:rFonts w:ascii="Palatino Linotype" w:hAnsi="Palatino Linotype" w:eastAsia="Times New Roman" w:cs="Times New Roman"/>
          <w:kern w:val="0"/>
          <w14:ligatures w14:val="none"/>
        </w:rPr>
      </w:pPr>
      <w:r w:rsidRPr="00F32B89">
        <w:rPr>
          <w:rFonts w:ascii="Palatino Linotype" w:hAnsi="Palatino Linotype" w:eastAsia="Times New Roman" w:cs="Times New Roman"/>
          <w:kern w:val="0"/>
          <w14:ligatures w14:val="none"/>
        </w:rPr>
        <w:t>Add</w:t>
      </w:r>
      <w:r w:rsidR="00104FDB">
        <w:rPr>
          <w:rFonts w:ascii="Palatino Linotype" w:hAnsi="Palatino Linotype" w:eastAsia="Times New Roman" w:cs="Times New Roman"/>
          <w:kern w:val="0"/>
          <w14:ligatures w14:val="none"/>
        </w:rPr>
        <w:t>s</w:t>
      </w:r>
      <w:r w:rsidRPr="00F32B89">
        <w:rPr>
          <w:rFonts w:ascii="Palatino Linotype" w:hAnsi="Palatino Linotype" w:eastAsia="Times New Roman" w:cs="Times New Roman"/>
          <w:kern w:val="0"/>
          <w14:ligatures w14:val="none"/>
        </w:rPr>
        <w:t xml:space="preserve"> all Retail, excluding Retail with existing refrigeration equipment;</w:t>
      </w:r>
      <w:r w:rsidR="00F32B89">
        <w:rPr>
          <w:rFonts w:ascii="Palatino Linotype" w:hAnsi="Palatino Linotype" w:eastAsia="Times New Roman" w:cs="Times New Roman"/>
          <w:kern w:val="0"/>
          <w14:ligatures w14:val="none"/>
        </w:rPr>
        <w:t xml:space="preserve"> </w:t>
      </w:r>
      <w:r w:rsidRPr="00F32B89">
        <w:rPr>
          <w:rFonts w:ascii="Palatino Linotype" w:hAnsi="Palatino Linotype" w:eastAsia="Times New Roman" w:cs="Times New Roman"/>
          <w:kern w:val="0"/>
          <w14:ligatures w14:val="none"/>
        </w:rPr>
        <w:t>and</w:t>
      </w:r>
    </w:p>
    <w:p w:rsidR="00F32B89" w:rsidP="00F32B89" w:rsidRDefault="00155295" w14:paraId="58F8CC56" w14:textId="2A93C723">
      <w:pPr>
        <w:pStyle w:val="ListParagraph"/>
        <w:numPr>
          <w:ilvl w:val="2"/>
          <w:numId w:val="7"/>
        </w:numPr>
        <w:rPr>
          <w:rFonts w:ascii="Palatino Linotype" w:hAnsi="Palatino Linotype" w:eastAsia="Times New Roman" w:cs="Times New Roman"/>
          <w:kern w:val="0"/>
          <w14:ligatures w14:val="none"/>
        </w:rPr>
      </w:pPr>
      <w:r w:rsidRPr="00F32B89">
        <w:rPr>
          <w:rFonts w:ascii="Palatino Linotype" w:hAnsi="Palatino Linotype" w:eastAsia="Times New Roman" w:cs="Times New Roman"/>
          <w:kern w:val="0"/>
          <w14:ligatures w14:val="none"/>
        </w:rPr>
        <w:t>Add</w:t>
      </w:r>
      <w:r w:rsidR="00104FDB">
        <w:rPr>
          <w:rFonts w:ascii="Palatino Linotype" w:hAnsi="Palatino Linotype" w:eastAsia="Times New Roman" w:cs="Times New Roman"/>
          <w:kern w:val="0"/>
          <w14:ligatures w14:val="none"/>
        </w:rPr>
        <w:t>s</w:t>
      </w:r>
      <w:r w:rsidRPr="00F32B89">
        <w:rPr>
          <w:rFonts w:ascii="Palatino Linotype" w:hAnsi="Palatino Linotype" w:eastAsia="Times New Roman" w:cs="Times New Roman"/>
          <w:kern w:val="0"/>
          <w14:ligatures w14:val="none"/>
        </w:rPr>
        <w:t xml:space="preserve"> &lt;599kW: Agricultural Pumps</w:t>
      </w:r>
    </w:p>
    <w:p w:rsidRPr="00F32B89" w:rsidR="00155295" w:rsidP="00F32B89" w:rsidRDefault="00155295" w14:paraId="3457FB30" w14:textId="4CEF7FF4">
      <w:pPr>
        <w:pStyle w:val="ListParagraph"/>
        <w:numPr>
          <w:ilvl w:val="1"/>
          <w:numId w:val="7"/>
        </w:numPr>
        <w:rPr>
          <w:rFonts w:ascii="Palatino Linotype" w:hAnsi="Palatino Linotype" w:eastAsia="Times New Roman" w:cs="Times New Roman"/>
          <w:kern w:val="0"/>
          <w14:ligatures w14:val="none"/>
        </w:rPr>
      </w:pPr>
      <w:r w:rsidRPr="00F32B89">
        <w:rPr>
          <w:rFonts w:ascii="Palatino Linotype" w:hAnsi="Palatino Linotype" w:eastAsia="Times New Roman" w:cs="Times New Roman"/>
          <w:kern w:val="0"/>
          <w14:ligatures w14:val="none"/>
        </w:rPr>
        <w:t>Expand</w:t>
      </w:r>
      <w:r w:rsidR="003D0A00">
        <w:rPr>
          <w:rFonts w:ascii="Palatino Linotype" w:hAnsi="Palatino Linotype" w:eastAsia="Times New Roman" w:cs="Times New Roman"/>
          <w:kern w:val="0"/>
          <w14:ligatures w14:val="none"/>
        </w:rPr>
        <w:t>s</w:t>
      </w:r>
      <w:r w:rsidRPr="00F32B89">
        <w:rPr>
          <w:rFonts w:ascii="Palatino Linotype" w:hAnsi="Palatino Linotype" w:eastAsia="Times New Roman" w:cs="Times New Roman"/>
          <w:kern w:val="0"/>
          <w14:ligatures w14:val="none"/>
        </w:rPr>
        <w:t xml:space="preserve"> “Eligible Measures” to include “grocery refrigeration, and agricultural</w:t>
      </w:r>
      <w:r w:rsidR="00F32B89">
        <w:rPr>
          <w:rFonts w:ascii="Palatino Linotype" w:hAnsi="Palatino Linotype" w:eastAsia="Times New Roman" w:cs="Times New Roman"/>
          <w:kern w:val="0"/>
          <w14:ligatures w14:val="none"/>
        </w:rPr>
        <w:t xml:space="preserve"> </w:t>
      </w:r>
      <w:r w:rsidRPr="00F32B89">
        <w:rPr>
          <w:rFonts w:ascii="Palatino Linotype" w:hAnsi="Palatino Linotype" w:eastAsia="Times New Roman" w:cs="Times New Roman"/>
          <w:kern w:val="0"/>
          <w14:ligatures w14:val="none"/>
        </w:rPr>
        <w:t>pumps.”</w:t>
      </w:r>
    </w:p>
    <w:p w:rsidR="00603DC6" w:rsidP="001F0D47" w:rsidRDefault="001F0D47" w14:paraId="1C68E156" w14:textId="43714100">
      <w:pPr>
        <w:pStyle w:val="ListParagraph"/>
        <w:numPr>
          <w:ilvl w:val="0"/>
          <w:numId w:val="7"/>
        </w:numPr>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Appendices A and C - Clarif</w:t>
      </w:r>
      <w:r w:rsidR="00D42409">
        <w:rPr>
          <w:rFonts w:ascii="Palatino Linotype" w:hAnsi="Palatino Linotype" w:eastAsia="Times New Roman" w:cs="Times New Roman"/>
          <w:kern w:val="0"/>
          <w14:ligatures w14:val="none"/>
        </w:rPr>
        <w:t>ies</w:t>
      </w:r>
      <w:r w:rsidRPr="001F0D47">
        <w:rPr>
          <w:rFonts w:ascii="Palatino Linotype" w:hAnsi="Palatino Linotype" w:eastAsia="Times New Roman" w:cs="Times New Roman"/>
          <w:kern w:val="0"/>
          <w14:ligatures w14:val="none"/>
        </w:rPr>
        <w:t xml:space="preserve"> the Cloud-Based Technology Provision</w:t>
      </w:r>
    </w:p>
    <w:p w:rsidR="00603DC6" w:rsidP="004D0D78" w:rsidRDefault="001F0D47" w14:paraId="2F9D1A42" w14:textId="0197A61F">
      <w:pPr>
        <w:pStyle w:val="ListParagraph"/>
        <w:ind w:left="1440"/>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IOUs propose to provide the following</w:t>
      </w:r>
      <w:r w:rsidR="00603DC6">
        <w:rPr>
          <w:rFonts w:ascii="Palatino Linotype" w:hAnsi="Palatino Linotype" w:eastAsia="Times New Roman" w:cs="Times New Roman"/>
          <w:kern w:val="0"/>
          <w14:ligatures w14:val="none"/>
        </w:rPr>
        <w:t xml:space="preserve"> </w:t>
      </w:r>
      <w:r w:rsidRPr="001F0D47">
        <w:rPr>
          <w:rFonts w:ascii="Palatino Linotype" w:hAnsi="Palatino Linotype" w:eastAsia="Times New Roman" w:cs="Times New Roman"/>
          <w:kern w:val="0"/>
          <w14:ligatures w14:val="none"/>
        </w:rPr>
        <w:t>clarification to be included in the Guidelines in order to provide greater customer clarity</w:t>
      </w:r>
      <w:r w:rsidR="00603DC6">
        <w:rPr>
          <w:rFonts w:ascii="Palatino Linotype" w:hAnsi="Palatino Linotype" w:eastAsia="Times New Roman" w:cs="Times New Roman"/>
          <w:kern w:val="0"/>
          <w14:ligatures w14:val="none"/>
        </w:rPr>
        <w:t xml:space="preserve"> </w:t>
      </w:r>
      <w:r w:rsidRPr="001F0D47">
        <w:rPr>
          <w:rFonts w:ascii="Palatino Linotype" w:hAnsi="Palatino Linotype" w:eastAsia="Times New Roman" w:cs="Times New Roman"/>
          <w:kern w:val="0"/>
          <w14:ligatures w14:val="none"/>
        </w:rPr>
        <w:t>and support a uniform approach across both PG&amp;E and SCE: “The control must be able</w:t>
      </w:r>
      <w:r w:rsidR="00603DC6">
        <w:rPr>
          <w:rFonts w:ascii="Palatino Linotype" w:hAnsi="Palatino Linotype" w:eastAsia="Times New Roman" w:cs="Times New Roman"/>
          <w:kern w:val="0"/>
          <w14:ligatures w14:val="none"/>
        </w:rPr>
        <w:t xml:space="preserve"> </w:t>
      </w:r>
      <w:r w:rsidRPr="001F0D47">
        <w:rPr>
          <w:rFonts w:ascii="Palatino Linotype" w:hAnsi="Palatino Linotype" w:eastAsia="Times New Roman" w:cs="Times New Roman"/>
          <w:kern w:val="0"/>
          <w14:ligatures w14:val="none"/>
        </w:rPr>
        <w:t>to communicate and demonstrate operability using the current Open Auto Demand</w:t>
      </w:r>
      <w:r w:rsidR="00603DC6">
        <w:rPr>
          <w:rFonts w:ascii="Palatino Linotype" w:hAnsi="Palatino Linotype" w:eastAsia="Times New Roman" w:cs="Times New Roman"/>
          <w:kern w:val="0"/>
          <w14:ligatures w14:val="none"/>
        </w:rPr>
        <w:t xml:space="preserve"> </w:t>
      </w:r>
      <w:r w:rsidRPr="001F0D47">
        <w:rPr>
          <w:rFonts w:ascii="Palatino Linotype" w:hAnsi="Palatino Linotype" w:eastAsia="Times New Roman" w:cs="Times New Roman"/>
          <w:kern w:val="0"/>
          <w14:ligatures w14:val="none"/>
        </w:rPr>
        <w:t>Response communication protocols and standards (currently OpenADR 2.0a, 2.0b, or 3).</w:t>
      </w:r>
    </w:p>
    <w:p w:rsidR="00603DC6" w:rsidP="00603DC6" w:rsidRDefault="00603DC6" w14:paraId="141CD83A" w14:textId="77777777">
      <w:pPr>
        <w:pStyle w:val="ListParagraph"/>
        <w:rPr>
          <w:rFonts w:ascii="Palatino Linotype" w:hAnsi="Palatino Linotype" w:eastAsia="Times New Roman" w:cs="Times New Roman"/>
          <w:kern w:val="0"/>
          <w14:ligatures w14:val="none"/>
        </w:rPr>
      </w:pPr>
    </w:p>
    <w:p w:rsidR="00CC2B4D" w:rsidP="00CC2B4D" w:rsidRDefault="001F0D47" w14:paraId="48014BEE" w14:textId="77777777">
      <w:pPr>
        <w:pStyle w:val="ListParagraph"/>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The control may be located at one of the following:</w:t>
      </w:r>
    </w:p>
    <w:p w:rsidR="00CC2B4D" w:rsidP="001F0D47" w:rsidRDefault="001F0D47" w14:paraId="1E71A6FF" w14:textId="77777777">
      <w:pPr>
        <w:pStyle w:val="ListParagraph"/>
        <w:numPr>
          <w:ilvl w:val="1"/>
          <w:numId w:val="7"/>
        </w:numPr>
        <w:rPr>
          <w:rFonts w:ascii="Palatino Linotype" w:hAnsi="Palatino Linotype" w:eastAsia="Times New Roman" w:cs="Times New Roman"/>
          <w:kern w:val="0"/>
          <w14:ligatures w14:val="none"/>
        </w:rPr>
      </w:pPr>
      <w:r w:rsidRPr="001F0D47">
        <w:rPr>
          <w:rFonts w:ascii="Palatino Linotype" w:hAnsi="Palatino Linotype" w:eastAsia="Times New Roman" w:cs="Times New Roman"/>
          <w:kern w:val="0"/>
          <w14:ligatures w14:val="none"/>
        </w:rPr>
        <w:t>Onsite – Physical or installed as part of a control or energy management system;</w:t>
      </w:r>
      <w:r w:rsidR="00CC2B4D">
        <w:rPr>
          <w:rFonts w:ascii="Palatino Linotype" w:hAnsi="Palatino Linotype" w:eastAsia="Times New Roman" w:cs="Times New Roman"/>
          <w:kern w:val="0"/>
          <w14:ligatures w14:val="none"/>
        </w:rPr>
        <w:t xml:space="preserve"> </w:t>
      </w:r>
      <w:r w:rsidRPr="00CC2B4D">
        <w:rPr>
          <w:rFonts w:ascii="Palatino Linotype" w:hAnsi="Palatino Linotype" w:eastAsia="Times New Roman" w:cs="Times New Roman"/>
          <w:kern w:val="0"/>
          <w14:ligatures w14:val="none"/>
        </w:rPr>
        <w:t>or</w:t>
      </w:r>
    </w:p>
    <w:p w:rsidR="00CC2B4D" w:rsidP="001F0D47" w:rsidRDefault="001F0D47" w14:paraId="51A7824F" w14:textId="77777777">
      <w:pPr>
        <w:pStyle w:val="ListParagraph"/>
        <w:numPr>
          <w:ilvl w:val="1"/>
          <w:numId w:val="7"/>
        </w:numPr>
        <w:rPr>
          <w:rFonts w:ascii="Palatino Linotype" w:hAnsi="Palatino Linotype" w:eastAsia="Times New Roman" w:cs="Times New Roman"/>
          <w:kern w:val="0"/>
          <w14:ligatures w14:val="none"/>
        </w:rPr>
      </w:pPr>
      <w:r w:rsidRPr="00CC2B4D">
        <w:rPr>
          <w:rFonts w:ascii="Palatino Linotype" w:hAnsi="Palatino Linotype" w:eastAsia="Times New Roman" w:cs="Times New Roman"/>
          <w:kern w:val="0"/>
          <w14:ligatures w14:val="none"/>
        </w:rPr>
        <w:t>Cloud level – Centralized at the manufacturer app or portal, demand response</w:t>
      </w:r>
      <w:r w:rsidR="00CC2B4D">
        <w:rPr>
          <w:rFonts w:ascii="Palatino Linotype" w:hAnsi="Palatino Linotype" w:eastAsia="Times New Roman" w:cs="Times New Roman"/>
          <w:kern w:val="0"/>
          <w14:ligatures w14:val="none"/>
        </w:rPr>
        <w:t xml:space="preserve"> </w:t>
      </w:r>
      <w:r w:rsidRPr="00CC2B4D">
        <w:rPr>
          <w:rFonts w:ascii="Palatino Linotype" w:hAnsi="Palatino Linotype" w:eastAsia="Times New Roman" w:cs="Times New Roman"/>
          <w:kern w:val="0"/>
          <w14:ligatures w14:val="none"/>
        </w:rPr>
        <w:t>aggregator, or customer control or energy management system.”</w:t>
      </w:r>
    </w:p>
    <w:p w:rsidRPr="00B26A00" w:rsidR="00B26A00" w:rsidP="00B26A00" w:rsidRDefault="00B26A00" w14:paraId="45730D73" w14:textId="3953F6A2">
      <w:pPr>
        <w:pStyle w:val="ListParagraph"/>
        <w:numPr>
          <w:ilvl w:val="0"/>
          <w:numId w:val="7"/>
        </w:num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Additional grammatical </w:t>
      </w:r>
      <w:r w:rsidR="00CE3818">
        <w:rPr>
          <w:rFonts w:ascii="Palatino Linotype" w:hAnsi="Palatino Linotype" w:eastAsia="Times New Roman" w:cs="Times New Roman"/>
          <w:kern w:val="0"/>
          <w14:ligatures w14:val="none"/>
        </w:rPr>
        <w:t xml:space="preserve">corrections </w:t>
      </w:r>
      <w:r w:rsidR="00BB0DDF">
        <w:rPr>
          <w:rFonts w:ascii="Palatino Linotype" w:hAnsi="Palatino Linotype" w:eastAsia="Times New Roman" w:cs="Times New Roman"/>
          <w:kern w:val="0"/>
          <w14:ligatures w14:val="none"/>
        </w:rPr>
        <w:t>and decision reference updates to the body of the AutoDR Guidelines document.</w:t>
      </w:r>
    </w:p>
    <w:p w:rsidRPr="001942D0" w:rsidR="00A76F4A" w:rsidP="00A76F4A" w:rsidRDefault="00A76F4A" w14:paraId="6B8C5E37"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029058B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F90637">
        <w:rPr>
          <w:rFonts w:ascii="Palatino Linotype" w:hAnsi="Palatino Linotype" w:eastAsia="Palatino Linotype" w:cs="Times New Roman"/>
          <w:kern w:val="0"/>
          <w14:ligatures w14:val="none"/>
        </w:rPr>
        <w:t>7742-E (PG&amp;E)</w:t>
      </w:r>
      <w:r w:rsidR="00F0679D">
        <w:rPr>
          <w:rFonts w:ascii="Palatino Linotype" w:hAnsi="Palatino Linotype" w:eastAsia="Palatino Linotype" w:cs="Times New Roman"/>
          <w:kern w:val="0"/>
          <w14:ligatures w14:val="none"/>
        </w:rPr>
        <w:t>,</w:t>
      </w:r>
      <w:r w:rsidRPr="001942D0">
        <w:rPr>
          <w:rFonts w:ascii="Palatino Linotype" w:hAnsi="Palatino Linotype" w:eastAsia="Palatino Linotype" w:cs="Times New Roman"/>
          <w:kern w:val="0"/>
          <w14:ligatures w14:val="none"/>
        </w:rPr>
        <w:t xml:space="preserve"> </w:t>
      </w:r>
      <w:r w:rsidR="002E7407">
        <w:rPr>
          <w:rFonts w:ascii="Palatino Linotype" w:hAnsi="Palatino Linotype" w:eastAsia="Palatino Linotype" w:cs="Times New Roman"/>
          <w:kern w:val="0"/>
          <w14:ligatures w14:val="none"/>
        </w:rPr>
        <w:t>AL 5658-E (SCE)</w:t>
      </w:r>
      <w:r w:rsidR="0093420B">
        <w:rPr>
          <w:rFonts w:ascii="Palatino Linotype" w:hAnsi="Palatino Linotype" w:eastAsia="Palatino Linotype" w:cs="Times New Roman"/>
          <w:kern w:val="0"/>
          <w14:ligatures w14:val="none"/>
        </w:rPr>
        <w:t xml:space="preserve">, </w:t>
      </w:r>
      <w:r w:rsidRPr="001942D0" w:rsidR="0093420B">
        <w:rPr>
          <w:rFonts w:ascii="Palatino Linotype" w:hAnsi="Palatino Linotype" w:eastAsia="Palatino Linotype" w:cs="Times New Roman"/>
          <w:kern w:val="0"/>
          <w14:ligatures w14:val="none"/>
        </w:rPr>
        <w:t xml:space="preserve">AL </w:t>
      </w:r>
      <w:r w:rsidR="0093420B">
        <w:rPr>
          <w:rFonts w:ascii="Palatino Linotype" w:hAnsi="Palatino Linotype" w:eastAsia="Palatino Linotype" w:cs="Times New Roman"/>
          <w:kern w:val="0"/>
          <w14:ligatures w14:val="none"/>
        </w:rPr>
        <w:t>7742-E-A (PG&amp;E),</w:t>
      </w:r>
      <w:r w:rsidRPr="001942D0" w:rsidR="0093420B">
        <w:rPr>
          <w:rFonts w:ascii="Palatino Linotype" w:hAnsi="Palatino Linotype" w:eastAsia="Palatino Linotype" w:cs="Times New Roman"/>
          <w:kern w:val="0"/>
          <w14:ligatures w14:val="none"/>
        </w:rPr>
        <w:t xml:space="preserve"> </w:t>
      </w:r>
      <w:r w:rsidR="0093420B">
        <w:rPr>
          <w:rFonts w:ascii="Palatino Linotype" w:hAnsi="Palatino Linotype" w:eastAsia="Palatino Linotype" w:cs="Times New Roman"/>
          <w:kern w:val="0"/>
          <w14:ligatures w14:val="none"/>
        </w:rPr>
        <w:t xml:space="preserve">AL 5658-E-A (SCE) </w:t>
      </w:r>
      <w:r w:rsidRPr="001942D0">
        <w:rPr>
          <w:rFonts w:ascii="Palatino Linotype" w:hAnsi="Palatino Linotype" w:eastAsia="Palatino Linotype" w:cs="Times New Roman"/>
          <w:kern w:val="0"/>
          <w14:ligatures w14:val="none"/>
        </w:rPr>
        <w:t xml:space="preserve">was made by publication in the Commission’s Daily Calendar.  </w:t>
      </w:r>
      <w:r w:rsidR="00066643">
        <w:rPr>
          <w:rFonts w:ascii="Palatino Linotype" w:hAnsi="Palatino Linotype" w:eastAsia="Palatino Linotype" w:cs="Times New Roman"/>
          <w:kern w:val="0"/>
          <w14:ligatures w14:val="none"/>
        </w:rPr>
        <w:t>PG&amp;E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50BAB9F4" w14:textId="4E93C593">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A47D90">
        <w:rPr>
          <w:rFonts w:ascii="Palatino Linotype" w:hAnsi="Palatino Linotype" w:eastAsia="Palatino Linotype" w:cs="Times New Roman"/>
          <w:kern w:val="0"/>
          <w14:ligatures w14:val="none"/>
        </w:rPr>
        <w:t>7742-E (PG&amp;E)</w:t>
      </w:r>
      <w:r w:rsidRPr="001942D0" w:rsidR="00A47D90">
        <w:rPr>
          <w:rFonts w:ascii="Palatino Linotype" w:hAnsi="Palatino Linotype" w:eastAsia="Palatino Linotype" w:cs="Times New Roman"/>
          <w:kern w:val="0"/>
          <w14:ligatures w14:val="none"/>
        </w:rPr>
        <w:t xml:space="preserve"> </w:t>
      </w:r>
      <w:r w:rsidR="00A47D90">
        <w:rPr>
          <w:rFonts w:ascii="Palatino Linotype" w:hAnsi="Palatino Linotype" w:eastAsia="Palatino Linotype" w:cs="Times New Roman"/>
          <w:kern w:val="0"/>
          <w14:ligatures w14:val="none"/>
        </w:rPr>
        <w:t xml:space="preserve">and 5658-E (SCE) </w:t>
      </w:r>
      <w:r w:rsidR="00272D5D">
        <w:rPr>
          <w:rFonts w:ascii="Palatino Linotype" w:hAnsi="Palatino Linotype" w:eastAsia="Palatino Linotype" w:cs="Times New Roman"/>
          <w:kern w:val="0"/>
          <w14:ligatures w14:val="none"/>
        </w:rPr>
        <w:t>were</w:t>
      </w:r>
      <w:r w:rsidRPr="001942D0" w:rsidR="00272D5D">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r w:rsidR="00E72456">
        <w:rPr>
          <w:rFonts w:ascii="Palatino Linotype" w:hAnsi="Palatino Linotype" w:eastAsia="Palatino Linotype" w:cs="Times New Roman"/>
          <w:kern w:val="0"/>
          <w14:ligatures w14:val="none"/>
        </w:rPr>
        <w:t>Supplemental Advice Letter 7742-E-A (PG&amp;E)</w:t>
      </w:r>
      <w:r w:rsidRPr="001942D0" w:rsidR="00E72456">
        <w:rPr>
          <w:rFonts w:ascii="Palatino Linotype" w:hAnsi="Palatino Linotype" w:eastAsia="Palatino Linotype" w:cs="Times New Roman"/>
          <w:kern w:val="0"/>
          <w14:ligatures w14:val="none"/>
        </w:rPr>
        <w:t xml:space="preserve"> </w:t>
      </w:r>
      <w:r w:rsidR="00E72456">
        <w:rPr>
          <w:rFonts w:ascii="Palatino Linotype" w:hAnsi="Palatino Linotype" w:eastAsia="Palatino Linotype" w:cs="Times New Roman"/>
          <w:kern w:val="0"/>
          <w14:ligatures w14:val="none"/>
        </w:rPr>
        <w:t xml:space="preserve">and 5658-E-A (SCE) did not </w:t>
      </w:r>
      <w:r w:rsidR="00FF25F7">
        <w:rPr>
          <w:rFonts w:ascii="Palatino Linotype" w:hAnsi="Palatino Linotype" w:eastAsia="Palatino Linotype" w:cs="Times New Roman"/>
          <w:kern w:val="0"/>
          <w14:ligatures w14:val="none"/>
        </w:rPr>
        <w:t>require</w:t>
      </w:r>
      <w:r w:rsidR="00E72456">
        <w:rPr>
          <w:rFonts w:ascii="Palatino Linotype" w:hAnsi="Palatino Linotype" w:eastAsia="Palatino Linotype" w:cs="Times New Roman"/>
          <w:kern w:val="0"/>
          <w14:ligatures w14:val="none"/>
        </w:rPr>
        <w:t xml:space="preserve"> </w:t>
      </w:r>
      <w:r w:rsidR="00884FFE">
        <w:rPr>
          <w:rFonts w:ascii="Palatino Linotype" w:hAnsi="Palatino Linotype" w:eastAsia="Palatino Linotype" w:cs="Times New Roman"/>
          <w:kern w:val="0"/>
          <w14:ligatures w14:val="none"/>
        </w:rPr>
        <w:t>reopening the</w:t>
      </w:r>
      <w:r w:rsidR="00F722F8">
        <w:rPr>
          <w:rFonts w:ascii="Palatino Linotype" w:hAnsi="Palatino Linotype" w:eastAsia="Palatino Linotype" w:cs="Times New Roman"/>
          <w:kern w:val="0"/>
          <w14:ligatures w14:val="none"/>
        </w:rPr>
        <w:t xml:space="preserve"> </w:t>
      </w:r>
      <w:r w:rsidR="00E72456">
        <w:rPr>
          <w:rFonts w:ascii="Palatino Linotype" w:hAnsi="Palatino Linotype" w:eastAsia="Palatino Linotype" w:cs="Times New Roman"/>
          <w:kern w:val="0"/>
          <w14:ligatures w14:val="none"/>
        </w:rPr>
        <w:t>protest period.</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76F4A" w:rsidRDefault="00A76F4A" w14:paraId="30076A79" w14:textId="1A049A86">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the </w:t>
      </w:r>
      <w:r w:rsidR="00F0145E">
        <w:rPr>
          <w:rFonts w:ascii="Palatino Linotype" w:hAnsi="Palatino Linotype" w:eastAsia="Palatino Linotype" w:cs="Times New Roman"/>
          <w:kern w:val="0"/>
          <w14:ligatures w14:val="none"/>
        </w:rPr>
        <w:t>AL</w:t>
      </w:r>
      <w:r w:rsidRPr="006F1D16">
        <w:rPr>
          <w:rFonts w:ascii="Palatino Linotype" w:hAnsi="Palatino Linotype" w:eastAsia="Palatino Linotype" w:cs="Times New Roman"/>
          <w:kern w:val="0"/>
          <w14:ligatures w14:val="none"/>
        </w:rPr>
        <w:t xml:space="preserve"> a</w:t>
      </w:r>
      <w:r w:rsidRPr="001942D0">
        <w:rPr>
          <w:rFonts w:ascii="Palatino Linotype" w:hAnsi="Palatino Linotype" w:eastAsia="Palatino Linotype" w:cs="Times New Roman"/>
          <w:kern w:val="0"/>
          <w14:ligatures w14:val="none"/>
        </w:rPr>
        <w:t>nd find</w:t>
      </w:r>
      <w:r>
        <w:rPr>
          <w:rFonts w:ascii="Palatino Linotype" w:hAnsi="Palatino Linotype" w:eastAsia="Palatino Linotype" w:cs="Times New Roman"/>
          <w:kern w:val="0"/>
          <w14:ligatures w14:val="none"/>
        </w:rPr>
        <w:t>s</w:t>
      </w:r>
      <w:r w:rsidR="00F0145E">
        <w:rPr>
          <w:rFonts w:ascii="Palatino Linotype" w:hAnsi="Palatino Linotype" w:eastAsia="Palatino Linotype" w:cs="Times New Roman"/>
          <w:kern w:val="0"/>
          <w14:ligatures w14:val="none"/>
        </w:rPr>
        <w:t xml:space="preserve"> the proposed modifications are consistent with the </w:t>
      </w:r>
      <w:r w:rsidR="000E2D08">
        <w:rPr>
          <w:rFonts w:ascii="Palatino Linotype" w:hAnsi="Palatino Linotype" w:eastAsia="Palatino Linotype" w:cs="Times New Roman"/>
          <w:kern w:val="0"/>
          <w14:ligatures w14:val="none"/>
        </w:rPr>
        <w:t xml:space="preserve">intent of </w:t>
      </w:r>
      <w:r w:rsidRPr="00BE1A8D" w:rsidR="000E2D08">
        <w:rPr>
          <w:rFonts w:ascii="Palatino Linotype" w:hAnsi="Palatino Linotype" w:eastAsia="Palatino Linotype" w:cs="Times New Roman"/>
          <w:kern w:val="0"/>
          <w14:ligatures w14:val="none"/>
        </w:rPr>
        <w:t xml:space="preserve">the </w:t>
      </w:r>
      <w:r w:rsidRPr="00BE1A8D" w:rsidR="00BE1A8D">
        <w:rPr>
          <w:rFonts w:ascii="Palatino Linotype" w:hAnsi="Palatino Linotype" w:eastAsia="Palatino Linotype" w:cs="Times New Roman"/>
          <w:kern w:val="0"/>
          <w14:ligatures w14:val="none"/>
        </w:rPr>
        <w:t>MCR</w:t>
      </w:r>
      <w:r w:rsidRPr="00BE1A8D" w:rsidR="000E2D08">
        <w:rPr>
          <w:rFonts w:ascii="Palatino Linotype" w:hAnsi="Palatino Linotype" w:eastAsia="Palatino Linotype" w:cs="Times New Roman"/>
          <w:kern w:val="0"/>
          <w14:ligatures w14:val="none"/>
        </w:rPr>
        <w:t xml:space="preserve"> process</w:t>
      </w:r>
      <w:r w:rsidR="00432265">
        <w:rPr>
          <w:rFonts w:ascii="Palatino Linotype" w:hAnsi="Palatino Linotype" w:eastAsia="Palatino Linotype" w:cs="Times New Roman"/>
          <w:kern w:val="0"/>
          <w14:ligatures w14:val="none"/>
        </w:rPr>
        <w:t xml:space="preserve"> and should be adopted</w:t>
      </w:r>
      <w:r w:rsidR="00536EB7">
        <w:rPr>
          <w:rFonts w:ascii="Palatino Linotype" w:hAnsi="Palatino Linotype" w:eastAsia="Palatino Linotype" w:cs="Times New Roman"/>
          <w:kern w:val="0"/>
          <w14:ligatures w14:val="none"/>
        </w:rPr>
        <w:t>, though with modifications in certain cases</w:t>
      </w:r>
      <w:r w:rsidR="00432265">
        <w:rPr>
          <w:rFonts w:ascii="Palatino Linotype" w:hAnsi="Palatino Linotype" w:eastAsia="Palatino Linotype" w:cs="Times New Roman"/>
          <w:kern w:val="0"/>
          <w14:ligatures w14:val="none"/>
        </w:rPr>
        <w:t>.</w:t>
      </w:r>
      <w:r w:rsidR="0049461E">
        <w:rPr>
          <w:rFonts w:ascii="Palatino Linotype" w:hAnsi="Palatino Linotype" w:eastAsia="Palatino Linotype" w:cs="Times New Roman"/>
          <w:kern w:val="0"/>
          <w14:ligatures w14:val="none"/>
        </w:rPr>
        <w:t xml:space="preserve"> </w:t>
      </w:r>
      <w:r w:rsidR="00B6773C">
        <w:rPr>
          <w:rFonts w:ascii="Palatino Linotype" w:hAnsi="Palatino Linotype" w:eastAsia="Palatino Linotype" w:cs="Times New Roman"/>
          <w:kern w:val="0"/>
          <w14:ligatures w14:val="none"/>
        </w:rPr>
        <w:t xml:space="preserve">This section first addresses </w:t>
      </w:r>
      <w:r w:rsidR="00204CE9">
        <w:rPr>
          <w:rFonts w:ascii="Palatino Linotype" w:hAnsi="Palatino Linotype" w:eastAsia="Palatino Linotype" w:cs="Times New Roman"/>
          <w:kern w:val="0"/>
          <w14:ligatures w14:val="none"/>
        </w:rPr>
        <w:t xml:space="preserve">the modifications </w:t>
      </w:r>
      <w:r w:rsidR="005E6EB4">
        <w:rPr>
          <w:rFonts w:ascii="Palatino Linotype" w:hAnsi="Palatino Linotype" w:eastAsia="Palatino Linotype" w:cs="Times New Roman"/>
          <w:kern w:val="0"/>
          <w14:ligatures w14:val="none"/>
        </w:rPr>
        <w:t>pursuant to the MCR guidance</w:t>
      </w:r>
      <w:r w:rsidR="47B240F9">
        <w:rPr>
          <w:rFonts w:ascii="Palatino Linotype" w:hAnsi="Palatino Linotype" w:eastAsia="Palatino Linotype" w:cs="Times New Roman"/>
          <w:kern w:val="0"/>
          <w14:ligatures w14:val="none"/>
        </w:rPr>
        <w:t>,</w:t>
      </w:r>
      <w:r w:rsidR="005E6EB4">
        <w:rPr>
          <w:rFonts w:ascii="Palatino Linotype" w:hAnsi="Palatino Linotype" w:eastAsia="Palatino Linotype" w:cs="Times New Roman"/>
          <w:kern w:val="0"/>
          <w14:ligatures w14:val="none"/>
        </w:rPr>
        <w:t xml:space="preserve"> </w:t>
      </w:r>
      <w:r w:rsidR="47B240F9">
        <w:rPr>
          <w:rFonts w:ascii="Palatino Linotype" w:hAnsi="Palatino Linotype" w:eastAsia="Palatino Linotype" w:cs="Times New Roman"/>
          <w:kern w:val="0"/>
          <w14:ligatures w14:val="none"/>
        </w:rPr>
        <w:t xml:space="preserve">and then </w:t>
      </w:r>
      <w:r w:rsidR="00B66D0E">
        <w:rPr>
          <w:rFonts w:ascii="Palatino Linotype" w:hAnsi="Palatino Linotype" w:eastAsia="Palatino Linotype" w:cs="Times New Roman"/>
          <w:kern w:val="0"/>
          <w14:ligatures w14:val="none"/>
        </w:rPr>
        <w:t>discusses items</w:t>
      </w:r>
      <w:r w:rsidR="00AF2EAA">
        <w:rPr>
          <w:rFonts w:ascii="Palatino Linotype" w:hAnsi="Palatino Linotype" w:eastAsia="Palatino Linotype" w:cs="Times New Roman"/>
          <w:kern w:val="0"/>
          <w14:ligatures w14:val="none"/>
        </w:rPr>
        <w:t xml:space="preserve"> not explicitly included in the MCR guidance</w:t>
      </w:r>
      <w:r w:rsidR="009922DC">
        <w:rPr>
          <w:rFonts w:ascii="Palatino Linotype" w:hAnsi="Palatino Linotype" w:eastAsia="Palatino Linotype" w:cs="Times New Roman"/>
          <w:kern w:val="0"/>
          <w14:ligatures w14:val="none"/>
        </w:rPr>
        <w:t>.</w:t>
      </w:r>
      <w:r w:rsidR="007510AD">
        <w:rPr>
          <w:rFonts w:ascii="Palatino Linotype" w:hAnsi="Palatino Linotype" w:eastAsia="Palatino Linotype" w:cs="Times New Roman"/>
          <w:kern w:val="0"/>
          <w14:ligatures w14:val="none"/>
        </w:rPr>
        <w:t xml:space="preserve"> Items are numbered as they appear in the Background section above, and </w:t>
      </w:r>
      <w:r w:rsidR="00A91A9F">
        <w:rPr>
          <w:rFonts w:ascii="Palatino Linotype" w:hAnsi="Palatino Linotype" w:eastAsia="Palatino Linotype" w:cs="Times New Roman"/>
          <w:kern w:val="0"/>
          <w14:ligatures w14:val="none"/>
        </w:rPr>
        <w:t>are, in some cases, shortened from their full</w:t>
      </w:r>
      <w:r w:rsidR="69FF9CB0">
        <w:rPr>
          <w:rFonts w:ascii="Palatino Linotype" w:hAnsi="Palatino Linotype" w:eastAsia="Palatino Linotype" w:cs="Times New Roman"/>
          <w:kern w:val="0"/>
          <w14:ligatures w14:val="none"/>
        </w:rPr>
        <w:t>-</w:t>
      </w:r>
      <w:r w:rsidR="00A91A9F">
        <w:rPr>
          <w:rFonts w:ascii="Palatino Linotype" w:hAnsi="Palatino Linotype" w:eastAsia="Palatino Linotype" w:cs="Times New Roman"/>
          <w:kern w:val="0"/>
          <w14:ligatures w14:val="none"/>
        </w:rPr>
        <w:t>length proposal in the AL.</w:t>
      </w:r>
    </w:p>
    <w:p w:rsidR="00A76F4A" w:rsidP="00A76F4A" w:rsidRDefault="00A76F4A" w14:paraId="278C776E" w14:textId="77777777">
      <w:pPr>
        <w:spacing w:after="0" w:line="240" w:lineRule="auto"/>
        <w:rPr>
          <w:rFonts w:ascii="Palatino Linotype" w:hAnsi="Palatino Linotype" w:eastAsia="Palatino Linotype" w:cs="Times New Roman"/>
          <w:kern w:val="0"/>
          <w14:ligatures w14:val="none"/>
        </w:rPr>
      </w:pPr>
    </w:p>
    <w:p w:rsidRPr="00E63906" w:rsidR="00A741D0" w:rsidP="006505CA" w:rsidRDefault="00E63906" w14:paraId="3AC897FA" w14:textId="6BE39919">
      <w:pPr>
        <w:spacing w:line="240" w:lineRule="auto"/>
        <w:rPr>
          <w:rFonts w:ascii="Palatino Linotype" w:hAnsi="Palatino Linotype" w:eastAsia="Palatino Linotype" w:cs="Times New Roman"/>
          <w:b/>
          <w:bCs/>
          <w:kern w:val="0"/>
          <w14:ligatures w14:val="none"/>
        </w:rPr>
      </w:pPr>
      <w:r w:rsidRPr="00E63906">
        <w:rPr>
          <w:rFonts w:ascii="Palatino Linotype" w:hAnsi="Palatino Linotype" w:eastAsia="Palatino Linotype" w:cs="Times New Roman"/>
          <w:b/>
          <w:bCs/>
          <w:kern w:val="0"/>
          <w14:ligatures w14:val="none"/>
        </w:rPr>
        <w:t xml:space="preserve">Modifications Consistent with </w:t>
      </w:r>
      <w:r w:rsidR="00BE1A8D">
        <w:rPr>
          <w:rFonts w:ascii="Palatino Linotype" w:hAnsi="Palatino Linotype" w:eastAsia="Palatino Linotype" w:cs="Times New Roman"/>
          <w:b/>
          <w:bCs/>
          <w:kern w:val="0"/>
          <w14:ligatures w14:val="none"/>
        </w:rPr>
        <w:t>MCR</w:t>
      </w:r>
      <w:r w:rsidRPr="00E63906">
        <w:rPr>
          <w:rFonts w:ascii="Palatino Linotype" w:hAnsi="Palatino Linotype" w:eastAsia="Palatino Linotype" w:cs="Times New Roman"/>
          <w:b/>
          <w:bCs/>
          <w:kern w:val="0"/>
          <w14:ligatures w14:val="none"/>
        </w:rPr>
        <w:t xml:space="preserve"> Process:</w:t>
      </w:r>
    </w:p>
    <w:p w:rsidRPr="001106D0" w:rsidR="00E63906" w:rsidP="00E63906" w:rsidRDefault="00E63906" w14:paraId="3BB07440" w14:textId="77777777">
      <w:pPr>
        <w:pStyle w:val="ListParagraph"/>
        <w:numPr>
          <w:ilvl w:val="0"/>
          <w:numId w:val="9"/>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Appendix A – Program Rules and Eligibility Requirements for Residential ADR Incentives</w:t>
      </w:r>
    </w:p>
    <w:p w:rsidRPr="001106D0" w:rsidR="00E63906" w:rsidP="0098596E" w:rsidRDefault="00E63906" w14:paraId="1BBB2F44" w14:textId="265E56BD">
      <w:pPr>
        <w:pStyle w:val="ListParagraph"/>
        <w:keepNext/>
        <w:numPr>
          <w:ilvl w:val="1"/>
          <w:numId w:val="9"/>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lastRenderedPageBreak/>
        <w:t>Add</w:t>
      </w:r>
      <w:r w:rsidR="007770F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&lt;200kW Size Limit.</w:t>
      </w:r>
    </w:p>
    <w:p w:rsidR="00022C85" w:rsidP="0098596E" w:rsidRDefault="00022C85" w14:paraId="0E02FE71" w14:textId="77777777">
      <w:pPr>
        <w:keepNext/>
        <w:spacing w:after="0" w:line="240" w:lineRule="auto"/>
        <w:rPr>
          <w:rFonts w:ascii="Palatino Linotype" w:hAnsi="Palatino Linotype" w:eastAsia="Times New Roman" w:cs="Times New Roman"/>
          <w:kern w:val="0"/>
          <w14:ligatures w14:val="none"/>
        </w:rPr>
      </w:pPr>
    </w:p>
    <w:p w:rsidR="00562806" w:rsidP="0098596E" w:rsidRDefault="0076296D" w14:paraId="63C8434E" w14:textId="58248F26">
      <w:pPr>
        <w:keepNext/>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w:t>
      </w:r>
      <w:r w:rsidR="00DA0C6C">
        <w:rPr>
          <w:rFonts w:ascii="Palatino Linotype" w:hAnsi="Palatino Linotype" w:eastAsia="Times New Roman" w:cs="Times New Roman"/>
          <w:kern w:val="0"/>
          <w14:ligatures w14:val="none"/>
        </w:rPr>
        <w:t>D.23-12-005</w:t>
      </w:r>
      <w:r w:rsidR="00C15046">
        <w:rPr>
          <w:rFonts w:ascii="Palatino Linotype" w:hAnsi="Palatino Linotype" w:eastAsia="Times New Roman" w:cs="Times New Roman"/>
          <w:kern w:val="0"/>
          <w14:ligatures w14:val="none"/>
        </w:rPr>
        <w:t>,</w:t>
      </w:r>
      <w:r w:rsidR="00DA0C6C">
        <w:rPr>
          <w:rFonts w:ascii="Palatino Linotype" w:hAnsi="Palatino Linotype" w:eastAsia="Times New Roman" w:cs="Times New Roman"/>
          <w:kern w:val="0"/>
          <w14:ligatures w14:val="none"/>
        </w:rPr>
        <w:t xml:space="preserve"> </w:t>
      </w:r>
      <w:r w:rsidR="0073794C">
        <w:rPr>
          <w:rFonts w:ascii="Palatino Linotype" w:hAnsi="Palatino Linotype" w:eastAsia="Times New Roman" w:cs="Times New Roman"/>
          <w:kern w:val="0"/>
          <w14:ligatures w14:val="none"/>
        </w:rPr>
        <w:t>Finding of Fact 65 states “Expanding</w:t>
      </w:r>
      <w:r w:rsidR="0070210A">
        <w:rPr>
          <w:rFonts w:ascii="Palatino Linotype" w:hAnsi="Palatino Linotype" w:eastAsia="Times New Roman" w:cs="Times New Roman"/>
          <w:kern w:val="0"/>
          <w14:ligatures w14:val="none"/>
        </w:rPr>
        <w:t xml:space="preserve"> the SEP to non-residential customers with less than 200kW load will allow SCE to reach new customers</w:t>
      </w:r>
      <w:r>
        <w:rPr>
          <w:rFonts w:ascii="Palatino Linotype" w:hAnsi="Palatino Linotype" w:eastAsia="Times New Roman" w:cs="Times New Roman"/>
          <w:kern w:val="0"/>
          <w14:ligatures w14:val="none"/>
        </w:rPr>
        <w:t>,</w:t>
      </w:r>
      <w:r w:rsidR="00747F3F">
        <w:rPr>
          <w:rFonts w:ascii="Palatino Linotype" w:hAnsi="Palatino Linotype" w:eastAsia="Times New Roman" w:cs="Times New Roman"/>
          <w:kern w:val="0"/>
          <w14:ligatures w14:val="none"/>
        </w:rPr>
        <w:t>”</w:t>
      </w:r>
      <w:r w:rsidR="0070210A">
        <w:rPr>
          <w:rFonts w:ascii="Palatino Linotype" w:hAnsi="Palatino Linotype" w:eastAsia="Times New Roman" w:cs="Times New Roman"/>
          <w:kern w:val="0"/>
          <w14:ligatures w14:val="none"/>
        </w:rPr>
        <w:t xml:space="preserve"> and Conclusion of Law 45 states</w:t>
      </w:r>
      <w:r>
        <w:rPr>
          <w:rFonts w:ascii="Palatino Linotype" w:hAnsi="Palatino Linotype" w:eastAsia="Times New Roman" w:cs="Times New Roman"/>
          <w:kern w:val="0"/>
          <w14:ligatures w14:val="none"/>
        </w:rPr>
        <w:t>,</w:t>
      </w:r>
      <w:r w:rsidR="0070210A">
        <w:rPr>
          <w:rFonts w:ascii="Palatino Linotype" w:hAnsi="Palatino Linotype" w:eastAsia="Times New Roman" w:cs="Times New Roman"/>
          <w:kern w:val="0"/>
          <w14:ligatures w14:val="none"/>
        </w:rPr>
        <w:t xml:space="preserve"> “</w:t>
      </w:r>
      <w:r w:rsidR="004F35D5">
        <w:rPr>
          <w:rFonts w:ascii="Palatino Linotype" w:hAnsi="Palatino Linotype" w:eastAsia="Times New Roman" w:cs="Times New Roman"/>
          <w:kern w:val="0"/>
          <w14:ligatures w14:val="none"/>
        </w:rPr>
        <w:t>SCE should be allowed to expand the SEP to non-residential customers with less than 200kW load</w:t>
      </w:r>
      <w:r>
        <w:rPr>
          <w:rFonts w:ascii="Palatino Linotype" w:hAnsi="Palatino Linotype" w:eastAsia="Times New Roman" w:cs="Times New Roman"/>
          <w:kern w:val="0"/>
          <w14:ligatures w14:val="none"/>
        </w:rPr>
        <w:t>.</w:t>
      </w:r>
      <w:r w:rsidR="00322FDA">
        <w:rPr>
          <w:rFonts w:ascii="Palatino Linotype" w:hAnsi="Palatino Linotype" w:eastAsia="Times New Roman" w:cs="Times New Roman"/>
          <w:kern w:val="0"/>
          <w14:ligatures w14:val="none"/>
        </w:rPr>
        <w:t>” As stated above, the</w:t>
      </w:r>
      <w:r w:rsidRPr="00EE4ABC" w:rsidR="00322FDA">
        <w:rPr>
          <w:rFonts w:ascii="Palatino Linotype" w:hAnsi="Palatino Linotype" w:eastAsia="Times New Roman" w:cs="Times New Roman"/>
          <w:kern w:val="0"/>
          <w14:ligatures w14:val="none"/>
        </w:rPr>
        <w:t xml:space="preserve"> administrative update </w:t>
      </w:r>
      <w:r w:rsidR="00322FDA">
        <w:rPr>
          <w:rFonts w:ascii="Palatino Linotype" w:hAnsi="Palatino Linotype" w:eastAsia="Times New Roman" w:cs="Times New Roman"/>
          <w:kern w:val="0"/>
          <w14:ligatures w14:val="none"/>
        </w:rPr>
        <w:t xml:space="preserve">to Appendix A </w:t>
      </w:r>
      <w:r w:rsidRPr="00EE4ABC" w:rsidR="00322FDA">
        <w:rPr>
          <w:rFonts w:ascii="Palatino Linotype" w:hAnsi="Palatino Linotype" w:eastAsia="Times New Roman" w:cs="Times New Roman"/>
          <w:kern w:val="0"/>
          <w14:ligatures w14:val="none"/>
        </w:rPr>
        <w:t xml:space="preserve">was inadvertently omitted in </w:t>
      </w:r>
      <w:r w:rsidR="00322FDA">
        <w:rPr>
          <w:rFonts w:ascii="Palatino Linotype" w:hAnsi="Palatino Linotype" w:eastAsia="Times New Roman" w:cs="Times New Roman"/>
          <w:kern w:val="0"/>
          <w14:ligatures w14:val="none"/>
        </w:rPr>
        <w:t>prior AL</w:t>
      </w:r>
      <w:r w:rsidRPr="00EE4ABC" w:rsidR="00322FDA">
        <w:rPr>
          <w:rFonts w:ascii="Palatino Linotype" w:hAnsi="Palatino Linotype" w:eastAsia="Times New Roman" w:cs="Times New Roman"/>
          <w:kern w:val="0"/>
          <w14:ligatures w14:val="none"/>
        </w:rPr>
        <w:t xml:space="preserve"> 5240-E.</w:t>
      </w:r>
      <w:r w:rsidR="00FB12CF">
        <w:rPr>
          <w:rFonts w:ascii="Palatino Linotype" w:hAnsi="Palatino Linotype" w:eastAsia="Times New Roman" w:cs="Times New Roman"/>
          <w:kern w:val="0"/>
          <w14:ligatures w14:val="none"/>
        </w:rPr>
        <w:t xml:space="preserve"> The proposed update is approved.</w:t>
      </w:r>
    </w:p>
    <w:p w:rsidRPr="00022C85" w:rsidR="00562806" w:rsidP="00022C85" w:rsidRDefault="00562806" w14:paraId="47A01C56" w14:textId="77777777">
      <w:pPr>
        <w:spacing w:after="0" w:line="240" w:lineRule="auto"/>
        <w:rPr>
          <w:rFonts w:ascii="Palatino Linotype" w:hAnsi="Palatino Linotype" w:eastAsia="Times New Roman" w:cs="Times New Roman"/>
          <w:kern w:val="0"/>
          <w14:ligatures w14:val="none"/>
        </w:rPr>
      </w:pPr>
    </w:p>
    <w:p w:rsidRPr="001106D0" w:rsidR="00355086" w:rsidP="00E63906" w:rsidRDefault="00E63906" w14:paraId="28CF7375" w14:textId="77777777">
      <w:pPr>
        <w:pStyle w:val="ListParagraph"/>
        <w:numPr>
          <w:ilvl w:val="0"/>
          <w:numId w:val="9"/>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Appendix B – Program Rules and Eligibility Requirements for Non-Residential ADR Calculated Incentives</w:t>
      </w:r>
    </w:p>
    <w:p w:rsidRPr="009E36E7" w:rsidR="003D3FF0" w:rsidP="003D3FF0" w:rsidRDefault="003D3FF0" w14:paraId="7343E071" w14:textId="77777777">
      <w:pPr>
        <w:pStyle w:val="ListParagraph"/>
        <w:numPr>
          <w:ilvl w:val="1"/>
          <w:numId w:val="9"/>
        </w:numPr>
        <w:spacing w:after="0" w:line="240" w:lineRule="auto"/>
        <w:rPr>
          <w:rFonts w:ascii="Palatino Linotype" w:hAnsi="Palatino Linotype" w:eastAsia="Times New Roman" w:cs="Times New Roman"/>
          <w:b/>
          <w:kern w:val="0"/>
          <w14:ligatures w14:val="none"/>
        </w:rPr>
      </w:pPr>
      <w:r w:rsidRPr="009E36E7">
        <w:rPr>
          <w:rFonts w:ascii="Palatino Linotype" w:hAnsi="Palatino Linotype" w:eastAsia="Times New Roman" w:cs="Times New Roman"/>
          <w:b/>
          <w:kern w:val="0"/>
          <w14:ligatures w14:val="none"/>
        </w:rPr>
        <w:t xml:space="preserve">Revises and aligns PG&amp;E and SCE Customer Segment section to allow customer segments which do not qualify for Appendix A above, or Appendix C below. </w:t>
      </w:r>
    </w:p>
    <w:p w:rsidR="00365811" w:rsidP="00022C85" w:rsidRDefault="00365811" w14:paraId="69652EC6" w14:textId="77777777">
      <w:pPr>
        <w:spacing w:after="0" w:line="240" w:lineRule="auto"/>
        <w:rPr>
          <w:rFonts w:ascii="Palatino Linotype" w:hAnsi="Palatino Linotype" w:eastAsia="Times New Roman" w:cs="Times New Roman"/>
          <w:kern w:val="0"/>
          <w14:ligatures w14:val="none"/>
        </w:rPr>
      </w:pPr>
    </w:p>
    <w:p w:rsidR="00FB3F41" w:rsidP="00022C85" w:rsidRDefault="008C3CCB" w14:paraId="4A7C411C" w14:textId="26B1B9C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proposal is a relevant modification to clarify eligibility </w:t>
      </w:r>
      <w:r w:rsidR="0029468B">
        <w:rPr>
          <w:rFonts w:ascii="Palatino Linotype" w:hAnsi="Palatino Linotype" w:eastAsia="Times New Roman" w:cs="Times New Roman"/>
          <w:kern w:val="0"/>
          <w14:ligatures w14:val="none"/>
        </w:rPr>
        <w:t xml:space="preserve">for Non-Residential Calculated Incentive AutoDR eligibility, </w:t>
      </w:r>
      <w:r w:rsidR="0039122E">
        <w:rPr>
          <w:rFonts w:ascii="Palatino Linotype" w:hAnsi="Palatino Linotype" w:eastAsia="Times New Roman" w:cs="Times New Roman"/>
          <w:kern w:val="0"/>
          <w14:ligatures w14:val="none"/>
        </w:rPr>
        <w:t xml:space="preserve">only so far as the subsequent proposed modification(s) for eligibility for Non-Residential </w:t>
      </w:r>
      <w:r w:rsidR="0076586A">
        <w:rPr>
          <w:rFonts w:ascii="Palatino Linotype" w:hAnsi="Palatino Linotype" w:eastAsia="Times New Roman" w:cs="Times New Roman"/>
          <w:kern w:val="0"/>
          <w14:ligatures w14:val="none"/>
        </w:rPr>
        <w:t>Deemed Incentive AutoDR eligibility</w:t>
      </w:r>
      <w:r w:rsidR="00394FC6">
        <w:rPr>
          <w:rFonts w:ascii="Palatino Linotype" w:hAnsi="Palatino Linotype" w:eastAsia="Times New Roman" w:cs="Times New Roman"/>
          <w:kern w:val="0"/>
          <w14:ligatures w14:val="none"/>
        </w:rPr>
        <w:t xml:space="preserve"> are adopted</w:t>
      </w:r>
      <w:r w:rsidR="0076586A">
        <w:rPr>
          <w:rFonts w:ascii="Palatino Linotype" w:hAnsi="Palatino Linotype" w:eastAsia="Times New Roman" w:cs="Times New Roman"/>
          <w:kern w:val="0"/>
          <w14:ligatures w14:val="none"/>
        </w:rPr>
        <w:t>.</w:t>
      </w:r>
      <w:r w:rsidR="004327DE">
        <w:rPr>
          <w:rFonts w:ascii="Palatino Linotype" w:hAnsi="Palatino Linotype" w:eastAsia="Times New Roman" w:cs="Times New Roman"/>
          <w:kern w:val="0"/>
          <w14:ligatures w14:val="none"/>
        </w:rPr>
        <w:t xml:space="preserve"> </w:t>
      </w:r>
      <w:r w:rsidR="00937735">
        <w:rPr>
          <w:rFonts w:ascii="Palatino Linotype" w:hAnsi="Palatino Linotype" w:eastAsia="Times New Roman" w:cs="Times New Roman"/>
          <w:kern w:val="0"/>
          <w14:ligatures w14:val="none"/>
        </w:rPr>
        <w:t xml:space="preserve">With this </w:t>
      </w:r>
      <w:r w:rsidR="00AF3A8B">
        <w:rPr>
          <w:rFonts w:ascii="Palatino Linotype" w:hAnsi="Palatino Linotype" w:eastAsia="Times New Roman" w:cs="Times New Roman"/>
          <w:kern w:val="0"/>
          <w14:ligatures w14:val="none"/>
        </w:rPr>
        <w:t>modification, a</w:t>
      </w:r>
      <w:r w:rsidR="004327DE">
        <w:rPr>
          <w:rFonts w:ascii="Palatino Linotype" w:hAnsi="Palatino Linotype" w:eastAsia="Times New Roman" w:cs="Times New Roman"/>
          <w:kern w:val="0"/>
          <w14:ligatures w14:val="none"/>
        </w:rPr>
        <w:t>ny non-residential AutoDR incentive which does not qualify for deemed incentives</w:t>
      </w:r>
      <w:r w:rsidR="00660894">
        <w:rPr>
          <w:rFonts w:ascii="Palatino Linotype" w:hAnsi="Palatino Linotype" w:eastAsia="Times New Roman" w:cs="Times New Roman"/>
          <w:kern w:val="0"/>
          <w14:ligatures w14:val="none"/>
        </w:rPr>
        <w:t xml:space="preserve"> </w:t>
      </w:r>
      <w:r w:rsidR="00AF3A8B">
        <w:rPr>
          <w:rFonts w:ascii="Palatino Linotype" w:hAnsi="Palatino Linotype" w:eastAsia="Times New Roman" w:cs="Times New Roman"/>
          <w:kern w:val="0"/>
          <w14:ligatures w14:val="none"/>
        </w:rPr>
        <w:t>has the opportunity to</w:t>
      </w:r>
      <w:r w:rsidR="00D215B9">
        <w:rPr>
          <w:rFonts w:ascii="Palatino Linotype" w:hAnsi="Palatino Linotype" w:eastAsia="Times New Roman" w:cs="Times New Roman"/>
          <w:kern w:val="0"/>
          <w14:ligatures w14:val="none"/>
        </w:rPr>
        <w:t xml:space="preserve"> qualify for calculated incentives.</w:t>
      </w:r>
      <w:r w:rsidR="00676A0D">
        <w:rPr>
          <w:rFonts w:ascii="Palatino Linotype" w:hAnsi="Palatino Linotype" w:eastAsia="Times New Roman" w:cs="Times New Roman"/>
          <w:kern w:val="0"/>
          <w14:ligatures w14:val="none"/>
        </w:rPr>
        <w:t xml:space="preserve"> The proposed </w:t>
      </w:r>
      <w:r w:rsidR="00F823F5">
        <w:rPr>
          <w:rFonts w:ascii="Palatino Linotype" w:hAnsi="Palatino Linotype" w:eastAsia="Times New Roman" w:cs="Times New Roman"/>
          <w:kern w:val="0"/>
          <w14:ligatures w14:val="none"/>
        </w:rPr>
        <w:t>modification</w:t>
      </w:r>
      <w:r w:rsidR="00676A0D">
        <w:rPr>
          <w:rFonts w:ascii="Palatino Linotype" w:hAnsi="Palatino Linotype" w:eastAsia="Times New Roman" w:cs="Times New Roman"/>
          <w:kern w:val="0"/>
          <w14:ligatures w14:val="none"/>
        </w:rPr>
        <w:t xml:space="preserve"> is approved.</w:t>
      </w:r>
    </w:p>
    <w:p w:rsidRPr="00022C85" w:rsidR="00FB3F41" w:rsidP="00022C85" w:rsidRDefault="00FB3F41" w14:paraId="2FF719BA" w14:textId="77777777">
      <w:pPr>
        <w:spacing w:after="0" w:line="240" w:lineRule="auto"/>
        <w:rPr>
          <w:rFonts w:ascii="Palatino Linotype" w:hAnsi="Palatino Linotype" w:eastAsia="Times New Roman" w:cs="Times New Roman"/>
          <w:kern w:val="0"/>
          <w14:ligatures w14:val="none"/>
        </w:rPr>
      </w:pPr>
    </w:p>
    <w:p w:rsidRPr="001106D0" w:rsidR="00365811" w:rsidP="00365811" w:rsidRDefault="00365811" w14:paraId="74FD25C2" w14:textId="2466A66A">
      <w:pPr>
        <w:pStyle w:val="ListParagraph"/>
        <w:numPr>
          <w:ilvl w:val="0"/>
          <w:numId w:val="9"/>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 xml:space="preserve">Appendix C – Program Rules and Eligibility Requirements for </w:t>
      </w:r>
      <w:r w:rsidR="00AC6540">
        <w:rPr>
          <w:rFonts w:ascii="Palatino Linotype" w:hAnsi="Palatino Linotype" w:eastAsia="Times New Roman" w:cs="Times New Roman"/>
          <w:b/>
          <w:bCs/>
          <w:kern w:val="0"/>
          <w14:ligatures w14:val="none"/>
        </w:rPr>
        <w:br/>
      </w:r>
      <w:r w:rsidRPr="001106D0">
        <w:rPr>
          <w:rFonts w:ascii="Palatino Linotype" w:hAnsi="Palatino Linotype" w:eastAsia="Times New Roman" w:cs="Times New Roman"/>
          <w:b/>
          <w:bCs/>
          <w:kern w:val="0"/>
          <w14:ligatures w14:val="none"/>
        </w:rPr>
        <w:t>Non-Residential ADR Deemed Incentives</w:t>
      </w:r>
    </w:p>
    <w:p w:rsidR="00365811" w:rsidP="00365811" w:rsidRDefault="00365811" w14:paraId="2E9E6E53" w14:textId="429EFF41">
      <w:pPr>
        <w:pStyle w:val="ListParagraph"/>
        <w:numPr>
          <w:ilvl w:val="1"/>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Revise</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“Customer Segment” for SCE ADR Express and PG&amp;E FastTrack:</w:t>
      </w:r>
    </w:p>
    <w:p w:rsidRPr="001106D0" w:rsidR="00F922EE" w:rsidP="00AC6540" w:rsidRDefault="00F922EE" w14:paraId="4C8BBC41" w14:textId="77777777">
      <w:pPr>
        <w:pStyle w:val="ListParagraph"/>
        <w:ind w:left="1440"/>
        <w:rPr>
          <w:rFonts w:ascii="Palatino Linotype" w:hAnsi="Palatino Linotype" w:eastAsia="Times New Roman" w:cs="Times New Roman"/>
          <w:b/>
          <w:bCs/>
          <w:kern w:val="0"/>
          <w14:ligatures w14:val="none"/>
        </w:rPr>
      </w:pPr>
    </w:p>
    <w:p w:rsidRPr="001106D0" w:rsidR="00365811" w:rsidP="00365811" w:rsidRDefault="00365811" w14:paraId="0EFB40E5" w14:textId="5FCD513B">
      <w:pPr>
        <w:pStyle w:val="ListParagraph"/>
        <w:numPr>
          <w:ilvl w:val="2"/>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Remove</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“Small Retail Stores, Small Office (&lt;100,000 sq ft), and Food Stores (including liquor stores)”;</w:t>
      </w:r>
    </w:p>
    <w:p w:rsidRPr="001106D0" w:rsidR="00365811" w:rsidP="00365811" w:rsidRDefault="00365811" w14:paraId="57F54364" w14:textId="285B43AD">
      <w:pPr>
        <w:pStyle w:val="ListParagraph"/>
        <w:numPr>
          <w:ilvl w:val="2"/>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Add</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a size designation of &lt;499 kW for the following segments: Office, Restaurant, Conditioned Warehouse, Hotel, Grocery/Liquor; and</w:t>
      </w:r>
    </w:p>
    <w:p w:rsidRPr="001106D0" w:rsidR="00365811" w:rsidP="00365811" w:rsidRDefault="00365811" w14:paraId="772747FD" w14:textId="00A982C1">
      <w:pPr>
        <w:pStyle w:val="ListParagraph"/>
        <w:numPr>
          <w:ilvl w:val="2"/>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Add</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all Retail, excluding Retail with existing refrigeration equipment; and</w:t>
      </w:r>
    </w:p>
    <w:p w:rsidRPr="001106D0" w:rsidR="00365811" w:rsidP="00365811" w:rsidRDefault="00365811" w14:paraId="3901ADFF" w14:textId="42CA1EE1">
      <w:pPr>
        <w:pStyle w:val="ListParagraph"/>
        <w:numPr>
          <w:ilvl w:val="2"/>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Add</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&lt;599kW: Agricultural Pumps</w:t>
      </w:r>
    </w:p>
    <w:p w:rsidRPr="001106D0" w:rsidR="00365811" w:rsidP="00F922EE" w:rsidRDefault="00365811" w14:paraId="107CD77F" w14:textId="16F4FF70">
      <w:pPr>
        <w:pStyle w:val="ListParagraph"/>
        <w:keepNext/>
        <w:numPr>
          <w:ilvl w:val="1"/>
          <w:numId w:val="9"/>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lastRenderedPageBreak/>
        <w:t>Expand</w:t>
      </w:r>
      <w:r w:rsidR="00D95E5A">
        <w:rPr>
          <w:rFonts w:ascii="Palatino Linotype" w:hAnsi="Palatino Linotype" w:eastAsia="Times New Roman" w:cs="Times New Roman"/>
          <w:b/>
          <w:bCs/>
          <w:kern w:val="0"/>
          <w14:ligatures w14:val="none"/>
        </w:rPr>
        <w:t>s</w:t>
      </w:r>
      <w:r w:rsidRPr="001106D0">
        <w:rPr>
          <w:rFonts w:ascii="Palatino Linotype" w:hAnsi="Palatino Linotype" w:eastAsia="Times New Roman" w:cs="Times New Roman"/>
          <w:b/>
          <w:bCs/>
          <w:kern w:val="0"/>
          <w14:ligatures w14:val="none"/>
        </w:rPr>
        <w:t xml:space="preserve"> “Eligible Measures” to include “grocery refrigeration, and agricultural pumps.”</w:t>
      </w:r>
    </w:p>
    <w:p w:rsidR="001106D0" w:rsidP="00F922EE" w:rsidRDefault="001106D0" w14:paraId="07E54EB7" w14:textId="77777777">
      <w:pPr>
        <w:pStyle w:val="ListParagraph"/>
        <w:keepNext/>
        <w:ind w:left="1440"/>
        <w:rPr>
          <w:rFonts w:ascii="Palatino Linotype" w:hAnsi="Palatino Linotype" w:eastAsia="Times New Roman" w:cs="Times New Roman"/>
          <w:kern w:val="0"/>
          <w14:ligatures w14:val="none"/>
        </w:rPr>
      </w:pPr>
    </w:p>
    <w:p w:rsidR="00FB6706" w:rsidP="00F922EE" w:rsidRDefault="00E35D44" w14:paraId="28867F9D" w14:textId="053313AC">
      <w:pPr>
        <w:keepNext/>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Study authorized by D.23-12.005</w:t>
      </w:r>
      <w:r w:rsidR="00832303">
        <w:rPr>
          <w:rFonts w:ascii="Palatino Linotype" w:hAnsi="Palatino Linotype" w:eastAsia="Times New Roman" w:cs="Times New Roman"/>
          <w:kern w:val="0"/>
          <w14:ligatures w14:val="none"/>
        </w:rPr>
        <w:t xml:space="preserve"> </w:t>
      </w:r>
      <w:r w:rsidR="00B279B5">
        <w:rPr>
          <w:rFonts w:ascii="Palatino Linotype" w:hAnsi="Palatino Linotype" w:eastAsia="Times New Roman" w:cs="Times New Roman"/>
          <w:kern w:val="0"/>
          <w14:ligatures w14:val="none"/>
        </w:rPr>
        <w:t xml:space="preserve">finds </w:t>
      </w:r>
      <w:r w:rsidR="00BC042B">
        <w:rPr>
          <w:rFonts w:ascii="Palatino Linotype" w:hAnsi="Palatino Linotype" w:eastAsia="Times New Roman" w:cs="Times New Roman"/>
          <w:kern w:val="0"/>
          <w14:ligatures w14:val="none"/>
        </w:rPr>
        <w:t xml:space="preserve">that </w:t>
      </w:r>
      <w:r w:rsidR="00CE535A">
        <w:rPr>
          <w:rFonts w:ascii="Palatino Linotype" w:hAnsi="Palatino Linotype" w:eastAsia="Times New Roman" w:cs="Times New Roman"/>
          <w:kern w:val="0"/>
          <w14:ligatures w14:val="none"/>
        </w:rPr>
        <w:t xml:space="preserve">sectors and measures that are </w:t>
      </w:r>
      <w:r w:rsidR="00B279B5">
        <w:rPr>
          <w:rFonts w:ascii="Palatino Linotype" w:hAnsi="Palatino Linotype" w:eastAsia="Times New Roman" w:cs="Times New Roman"/>
          <w:kern w:val="0"/>
          <w14:ligatures w14:val="none"/>
        </w:rPr>
        <w:t xml:space="preserve">most </w:t>
      </w:r>
      <w:r w:rsidR="00A5133C">
        <w:rPr>
          <w:rFonts w:ascii="Palatino Linotype" w:hAnsi="Palatino Linotype" w:eastAsia="Times New Roman" w:cs="Times New Roman"/>
          <w:kern w:val="0"/>
          <w14:ligatures w14:val="none"/>
        </w:rPr>
        <w:t xml:space="preserve">appropriate for AutoDR deemed incentives are those which have </w:t>
      </w:r>
      <w:r w:rsidR="00107725">
        <w:rPr>
          <w:rFonts w:ascii="Palatino Linotype" w:hAnsi="Palatino Linotype" w:eastAsia="Times New Roman" w:cs="Times New Roman"/>
          <w:kern w:val="0"/>
          <w14:ligatures w14:val="none"/>
        </w:rPr>
        <w:t>consistent load shapes that react to known and reliable stimul</w:t>
      </w:r>
      <w:r w:rsidR="00716B6E">
        <w:rPr>
          <w:rFonts w:ascii="Palatino Linotype" w:hAnsi="Palatino Linotype" w:eastAsia="Times New Roman" w:cs="Times New Roman"/>
          <w:kern w:val="0"/>
          <w14:ligatures w14:val="none"/>
        </w:rPr>
        <w:t xml:space="preserve">us, especially if that stimulus correlates with the </w:t>
      </w:r>
      <w:r w:rsidR="00B279B5">
        <w:rPr>
          <w:rFonts w:ascii="Palatino Linotype" w:hAnsi="Palatino Linotype" w:eastAsia="Times New Roman" w:cs="Times New Roman"/>
          <w:kern w:val="0"/>
          <w14:ligatures w14:val="none"/>
        </w:rPr>
        <w:t xml:space="preserve">likelihood </w:t>
      </w:r>
      <w:r w:rsidR="00716B6E">
        <w:rPr>
          <w:rFonts w:ascii="Palatino Linotype" w:hAnsi="Palatino Linotype" w:eastAsia="Times New Roman" w:cs="Times New Roman"/>
          <w:kern w:val="0"/>
          <w14:ligatures w14:val="none"/>
        </w:rPr>
        <w:t xml:space="preserve">of grid strain. </w:t>
      </w:r>
      <w:r w:rsidR="00860A71">
        <w:rPr>
          <w:rFonts w:ascii="Palatino Linotype" w:hAnsi="Palatino Linotype" w:eastAsia="Times New Roman" w:cs="Times New Roman"/>
          <w:kern w:val="0"/>
          <w14:ligatures w14:val="none"/>
        </w:rPr>
        <w:t>These types of loads lend themselves to predictable response to AutoDR</w:t>
      </w:r>
      <w:r w:rsidR="007C64F2">
        <w:rPr>
          <w:rFonts w:ascii="Palatino Linotype" w:hAnsi="Palatino Linotype" w:eastAsia="Times New Roman" w:cs="Times New Roman"/>
          <w:kern w:val="0"/>
          <w14:ligatures w14:val="none"/>
        </w:rPr>
        <w:t xml:space="preserve"> signals and are likely to have a meaningful impact when the grid </w:t>
      </w:r>
      <w:r w:rsidR="0028345B">
        <w:rPr>
          <w:rFonts w:ascii="Palatino Linotype" w:hAnsi="Palatino Linotype" w:eastAsia="Times New Roman" w:cs="Times New Roman"/>
          <w:kern w:val="0"/>
          <w14:ligatures w14:val="none"/>
        </w:rPr>
        <w:t>is stressed</w:t>
      </w:r>
      <w:r w:rsidR="007C64F2">
        <w:rPr>
          <w:rFonts w:ascii="Palatino Linotype" w:hAnsi="Palatino Linotype" w:eastAsia="Times New Roman" w:cs="Times New Roman"/>
          <w:kern w:val="0"/>
          <w14:ligatures w14:val="none"/>
        </w:rPr>
        <w:t xml:space="preserve">. </w:t>
      </w:r>
      <w:r w:rsidR="003765A3">
        <w:rPr>
          <w:rFonts w:ascii="Palatino Linotype" w:hAnsi="Palatino Linotype" w:eastAsia="Times New Roman" w:cs="Times New Roman"/>
          <w:kern w:val="0"/>
          <w14:ligatures w14:val="none"/>
        </w:rPr>
        <w:t>The Study</w:t>
      </w:r>
      <w:r w:rsidR="00FB6706">
        <w:rPr>
          <w:rFonts w:ascii="Palatino Linotype" w:hAnsi="Palatino Linotype" w:eastAsia="Times New Roman" w:cs="Times New Roman"/>
          <w:kern w:val="0"/>
          <w14:ligatures w14:val="none"/>
        </w:rPr>
        <w:t xml:space="preserve"> identified the following</w:t>
      </w:r>
      <w:r w:rsidR="00F7292D">
        <w:rPr>
          <w:rFonts w:ascii="Palatino Linotype" w:hAnsi="Palatino Linotype" w:eastAsia="Times New Roman" w:cs="Times New Roman"/>
          <w:kern w:val="0"/>
          <w14:ligatures w14:val="none"/>
        </w:rPr>
        <w:t xml:space="preserve"> promising sectors and measures to propose for inclusion in the deemed incentive methodology</w:t>
      </w:r>
      <w:r w:rsidR="00FB6706">
        <w:rPr>
          <w:rFonts w:ascii="Palatino Linotype" w:hAnsi="Palatino Linotype" w:eastAsia="Times New Roman" w:cs="Times New Roman"/>
          <w:kern w:val="0"/>
          <w14:ligatures w14:val="none"/>
        </w:rPr>
        <w:t>:</w:t>
      </w:r>
    </w:p>
    <w:p w:rsidR="003922AD" w:rsidP="00FB6706" w:rsidRDefault="00FB6706" w14:paraId="0CEFF557" w14:textId="7A6BB60E">
      <w:pPr>
        <w:pStyle w:val="ListParagraph"/>
        <w:numPr>
          <w:ilvl w:val="0"/>
          <w:numId w:val="14"/>
        </w:num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Retail </w:t>
      </w:r>
      <w:r w:rsidR="009C117D">
        <w:rPr>
          <w:rFonts w:ascii="Palatino Linotype" w:hAnsi="Palatino Linotype" w:eastAsia="Times New Roman" w:cs="Times New Roman"/>
          <w:kern w:val="0"/>
          <w14:ligatures w14:val="none"/>
        </w:rPr>
        <w:t xml:space="preserve">customers without significant refrigeration exhibited </w:t>
      </w:r>
      <w:r w:rsidR="00BF0AF5">
        <w:rPr>
          <w:rFonts w:ascii="Palatino Linotype" w:hAnsi="Palatino Linotype" w:eastAsia="Times New Roman" w:cs="Times New Roman"/>
          <w:kern w:val="0"/>
          <w14:ligatures w14:val="none"/>
        </w:rPr>
        <w:t>consistent load shapes</w:t>
      </w:r>
      <w:r w:rsidR="002E44AE">
        <w:rPr>
          <w:rFonts w:ascii="Palatino Linotype" w:hAnsi="Palatino Linotype" w:eastAsia="Times New Roman" w:cs="Times New Roman"/>
          <w:kern w:val="0"/>
          <w14:ligatures w14:val="none"/>
        </w:rPr>
        <w:t xml:space="preserve"> that correlated to summer peak hours</w:t>
      </w:r>
      <w:r w:rsidR="007925B1">
        <w:rPr>
          <w:rFonts w:ascii="Palatino Linotype" w:hAnsi="Palatino Linotype" w:eastAsia="Times New Roman" w:cs="Times New Roman"/>
          <w:kern w:val="0"/>
          <w14:ligatures w14:val="none"/>
        </w:rPr>
        <w:t xml:space="preserve"> at all peak load </w:t>
      </w:r>
      <w:r w:rsidR="001B523F">
        <w:rPr>
          <w:rFonts w:ascii="Palatino Linotype" w:hAnsi="Palatino Linotype" w:eastAsia="Times New Roman" w:cs="Times New Roman"/>
          <w:kern w:val="0"/>
          <w14:ligatures w14:val="none"/>
        </w:rPr>
        <w:t>sizes</w:t>
      </w:r>
      <w:r w:rsidR="00325035">
        <w:rPr>
          <w:rFonts w:ascii="Palatino Linotype" w:hAnsi="Palatino Linotype" w:eastAsia="Times New Roman" w:cs="Times New Roman"/>
          <w:kern w:val="0"/>
          <w14:ligatures w14:val="none"/>
        </w:rPr>
        <w:t xml:space="preserve">, such that </w:t>
      </w:r>
      <w:r w:rsidR="002E44AE">
        <w:rPr>
          <w:rFonts w:ascii="Palatino Linotype" w:hAnsi="Palatino Linotype" w:eastAsia="Times New Roman" w:cs="Times New Roman"/>
          <w:kern w:val="0"/>
          <w14:ligatures w14:val="none"/>
        </w:rPr>
        <w:t>the study recommends removing</w:t>
      </w:r>
      <w:r w:rsidR="00740C22">
        <w:rPr>
          <w:rFonts w:ascii="Palatino Linotype" w:hAnsi="Palatino Linotype" w:eastAsia="Times New Roman" w:cs="Times New Roman"/>
          <w:kern w:val="0"/>
          <w14:ligatures w14:val="none"/>
        </w:rPr>
        <w:t xml:space="preserve"> the</w:t>
      </w:r>
      <w:r w:rsidR="002E44AE">
        <w:rPr>
          <w:rFonts w:ascii="Palatino Linotype" w:hAnsi="Palatino Linotype" w:eastAsia="Times New Roman" w:cs="Times New Roman"/>
          <w:kern w:val="0"/>
          <w14:ligatures w14:val="none"/>
        </w:rPr>
        <w:t xml:space="preserve"> 499kW </w:t>
      </w:r>
      <w:r w:rsidR="00325035">
        <w:rPr>
          <w:rFonts w:ascii="Palatino Linotype" w:hAnsi="Palatino Linotype" w:eastAsia="Times New Roman" w:cs="Times New Roman"/>
          <w:kern w:val="0"/>
          <w14:ligatures w14:val="none"/>
        </w:rPr>
        <w:t xml:space="preserve">cap on the size of retail customer peak demand which </w:t>
      </w:r>
      <w:r w:rsidR="009F0403">
        <w:rPr>
          <w:rFonts w:ascii="Palatino Linotype" w:hAnsi="Palatino Linotype" w:eastAsia="Times New Roman" w:cs="Times New Roman"/>
          <w:kern w:val="0"/>
          <w14:ligatures w14:val="none"/>
        </w:rPr>
        <w:t>should qualify for the deemed incentive methodology</w:t>
      </w:r>
      <w:r w:rsidR="002E44AE">
        <w:rPr>
          <w:rFonts w:ascii="Palatino Linotype" w:hAnsi="Palatino Linotype" w:eastAsia="Times New Roman" w:cs="Times New Roman"/>
          <w:kern w:val="0"/>
          <w14:ligatures w14:val="none"/>
        </w:rPr>
        <w:t>.</w:t>
      </w:r>
    </w:p>
    <w:p w:rsidR="009F0403" w:rsidP="00FB6706" w:rsidRDefault="003F6A40" w14:paraId="664FBCE4" w14:textId="00753B5F">
      <w:pPr>
        <w:pStyle w:val="ListParagraph"/>
        <w:numPr>
          <w:ilvl w:val="0"/>
          <w:numId w:val="14"/>
        </w:num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Agricultural pumping loads, under specific conditions</w:t>
      </w:r>
      <w:r w:rsidR="001C0AC2">
        <w:rPr>
          <w:rFonts w:ascii="Palatino Linotype" w:hAnsi="Palatino Linotype" w:eastAsia="Times New Roman" w:cs="Times New Roman"/>
          <w:kern w:val="0"/>
          <w14:ligatures w14:val="none"/>
        </w:rPr>
        <w:t xml:space="preserve">, also exhibit </w:t>
      </w:r>
      <w:r w:rsidR="00531CF1">
        <w:rPr>
          <w:rFonts w:ascii="Palatino Linotype" w:hAnsi="Palatino Linotype" w:eastAsia="Times New Roman" w:cs="Times New Roman"/>
          <w:kern w:val="0"/>
          <w14:ligatures w14:val="none"/>
        </w:rPr>
        <w:t>relatively consistent load shapes</w:t>
      </w:r>
      <w:r w:rsidR="00B64419">
        <w:rPr>
          <w:rFonts w:ascii="Palatino Linotype" w:hAnsi="Palatino Linotype" w:eastAsia="Times New Roman" w:cs="Times New Roman"/>
          <w:kern w:val="0"/>
          <w14:ligatures w14:val="none"/>
        </w:rPr>
        <w:t xml:space="preserve">, though with daily and seasonal variability that may not </w:t>
      </w:r>
      <w:r w:rsidR="00A8256D">
        <w:rPr>
          <w:rFonts w:ascii="Palatino Linotype" w:hAnsi="Palatino Linotype" w:eastAsia="Times New Roman" w:cs="Times New Roman"/>
          <w:kern w:val="0"/>
          <w14:ligatures w14:val="none"/>
        </w:rPr>
        <w:t xml:space="preserve">always </w:t>
      </w:r>
      <w:r w:rsidR="00B64419">
        <w:rPr>
          <w:rFonts w:ascii="Palatino Linotype" w:hAnsi="Palatino Linotype" w:eastAsia="Times New Roman" w:cs="Times New Roman"/>
          <w:kern w:val="0"/>
          <w14:ligatures w14:val="none"/>
        </w:rPr>
        <w:t xml:space="preserve">correlate to </w:t>
      </w:r>
      <w:r w:rsidR="009C041F">
        <w:rPr>
          <w:rFonts w:ascii="Palatino Linotype" w:hAnsi="Palatino Linotype" w:eastAsia="Times New Roman" w:cs="Times New Roman"/>
          <w:kern w:val="0"/>
          <w14:ligatures w14:val="none"/>
        </w:rPr>
        <w:t>grid strain</w:t>
      </w:r>
      <w:r w:rsidR="00A8256D">
        <w:rPr>
          <w:rFonts w:ascii="Palatino Linotype" w:hAnsi="Palatino Linotype" w:eastAsia="Times New Roman" w:cs="Times New Roman"/>
          <w:kern w:val="0"/>
          <w14:ligatures w14:val="none"/>
        </w:rPr>
        <w:t xml:space="preserve"> periods. Nonetheless, </w:t>
      </w:r>
      <w:r w:rsidR="00D0384D">
        <w:rPr>
          <w:rFonts w:ascii="Palatino Linotype" w:hAnsi="Palatino Linotype" w:eastAsia="Times New Roman" w:cs="Times New Roman"/>
          <w:kern w:val="0"/>
          <w14:ligatures w14:val="none"/>
        </w:rPr>
        <w:t>a predicted load shed capability was constructed th</w:t>
      </w:r>
      <w:r w:rsidR="001D4F2E">
        <w:rPr>
          <w:rFonts w:ascii="Palatino Linotype" w:hAnsi="Palatino Linotype" w:eastAsia="Times New Roman" w:cs="Times New Roman"/>
          <w:kern w:val="0"/>
          <w14:ligatures w14:val="none"/>
        </w:rPr>
        <w:t>at</w:t>
      </w:r>
      <w:r w:rsidR="00D0384D">
        <w:rPr>
          <w:rFonts w:ascii="Palatino Linotype" w:hAnsi="Palatino Linotype" w:eastAsia="Times New Roman" w:cs="Times New Roman"/>
          <w:kern w:val="0"/>
          <w14:ligatures w14:val="none"/>
        </w:rPr>
        <w:t xml:space="preserve"> factored in </w:t>
      </w:r>
      <w:r w:rsidR="009732F4">
        <w:rPr>
          <w:rFonts w:ascii="Palatino Linotype" w:hAnsi="Palatino Linotype" w:eastAsia="Times New Roman" w:cs="Times New Roman"/>
          <w:kern w:val="0"/>
          <w14:ligatures w14:val="none"/>
        </w:rPr>
        <w:t>the observed variability,</w:t>
      </w:r>
      <w:r w:rsidR="001C0AC2">
        <w:rPr>
          <w:rFonts w:ascii="Palatino Linotype" w:hAnsi="Palatino Linotype" w:eastAsia="Times New Roman" w:cs="Times New Roman"/>
          <w:kern w:val="0"/>
          <w14:ligatures w14:val="none"/>
        </w:rPr>
        <w:t xml:space="preserve"> such that </w:t>
      </w:r>
      <w:r w:rsidR="003F768B">
        <w:rPr>
          <w:rFonts w:ascii="Palatino Linotype" w:hAnsi="Palatino Linotype" w:eastAsia="Times New Roman" w:cs="Times New Roman"/>
          <w:kern w:val="0"/>
          <w14:ligatures w14:val="none"/>
        </w:rPr>
        <w:t xml:space="preserve">this additional customer segment </w:t>
      </w:r>
      <w:r w:rsidR="009732F4">
        <w:rPr>
          <w:rFonts w:ascii="Palatino Linotype" w:hAnsi="Palatino Linotype" w:eastAsia="Times New Roman" w:cs="Times New Roman"/>
          <w:kern w:val="0"/>
          <w14:ligatures w14:val="none"/>
        </w:rPr>
        <w:t>was recommended to</w:t>
      </w:r>
      <w:r w:rsidR="003F768B">
        <w:rPr>
          <w:rFonts w:ascii="Palatino Linotype" w:hAnsi="Palatino Linotype" w:eastAsia="Times New Roman" w:cs="Times New Roman"/>
          <w:kern w:val="0"/>
          <w14:ligatures w14:val="none"/>
        </w:rPr>
        <w:t xml:space="preserve"> qualify for the deemed incentive methodology. The conditions </w:t>
      </w:r>
      <w:r w:rsidR="00447BB9">
        <w:rPr>
          <w:rFonts w:ascii="Palatino Linotype" w:hAnsi="Palatino Linotype" w:eastAsia="Times New Roman" w:cs="Times New Roman"/>
          <w:kern w:val="0"/>
          <w14:ligatures w14:val="none"/>
        </w:rPr>
        <w:t xml:space="preserve">under which response is predictable include a peak load of 599kW or less, and without onsite solar generation. </w:t>
      </w:r>
      <w:r w:rsidR="00DF0F59">
        <w:rPr>
          <w:rFonts w:ascii="Palatino Linotype" w:hAnsi="Palatino Linotype" w:eastAsia="Times New Roman" w:cs="Times New Roman"/>
          <w:kern w:val="0"/>
          <w14:ligatures w14:val="none"/>
        </w:rPr>
        <w:t>This change also requires agricultural pumps be added as an eligible measure</w:t>
      </w:r>
      <w:r w:rsidR="00EB1223">
        <w:rPr>
          <w:rFonts w:ascii="Palatino Linotype" w:hAnsi="Palatino Linotype" w:eastAsia="Times New Roman" w:cs="Times New Roman"/>
          <w:kern w:val="0"/>
          <w14:ligatures w14:val="none"/>
        </w:rPr>
        <w:t xml:space="preserve"> for controls.</w:t>
      </w:r>
    </w:p>
    <w:p w:rsidR="00EB1223" w:rsidP="00FB6706" w:rsidRDefault="00EB1223" w14:paraId="2CE07657" w14:textId="6DA9D1E3">
      <w:pPr>
        <w:pStyle w:val="ListParagraph"/>
        <w:numPr>
          <w:ilvl w:val="0"/>
          <w:numId w:val="14"/>
        </w:num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Control of refrigeration, another new eligible measure, </w:t>
      </w:r>
      <w:r w:rsidR="00B93FB7">
        <w:rPr>
          <w:rFonts w:ascii="Palatino Linotype" w:hAnsi="Palatino Linotype" w:eastAsia="Times New Roman" w:cs="Times New Roman"/>
          <w:kern w:val="0"/>
          <w14:ligatures w14:val="none"/>
        </w:rPr>
        <w:t xml:space="preserve">was also studied and found to have </w:t>
      </w:r>
      <w:r w:rsidR="002747C2">
        <w:rPr>
          <w:rFonts w:ascii="Palatino Linotype" w:hAnsi="Palatino Linotype" w:eastAsia="Times New Roman" w:cs="Times New Roman"/>
          <w:kern w:val="0"/>
          <w14:ligatures w14:val="none"/>
        </w:rPr>
        <w:t xml:space="preserve">consistent load shapes that </w:t>
      </w:r>
      <w:r w:rsidR="00FB2D0C">
        <w:rPr>
          <w:rFonts w:ascii="Palatino Linotype" w:hAnsi="Palatino Linotype" w:eastAsia="Times New Roman" w:cs="Times New Roman"/>
          <w:kern w:val="0"/>
          <w14:ligatures w14:val="none"/>
        </w:rPr>
        <w:t xml:space="preserve">represent a large portion of </w:t>
      </w:r>
      <w:r w:rsidR="00D14369">
        <w:rPr>
          <w:rFonts w:ascii="Palatino Linotype" w:hAnsi="Palatino Linotype" w:eastAsia="Times New Roman" w:cs="Times New Roman"/>
          <w:kern w:val="0"/>
          <w14:ligatures w14:val="none"/>
        </w:rPr>
        <w:t>loads in summer peak hours</w:t>
      </w:r>
      <w:r w:rsidR="00B93FB7">
        <w:rPr>
          <w:rFonts w:ascii="Palatino Linotype" w:hAnsi="Palatino Linotype" w:eastAsia="Times New Roman" w:cs="Times New Roman"/>
          <w:kern w:val="0"/>
          <w14:ligatures w14:val="none"/>
        </w:rPr>
        <w:t xml:space="preserve">. </w:t>
      </w:r>
      <w:r w:rsidR="006805CB">
        <w:rPr>
          <w:rFonts w:ascii="Palatino Linotype" w:hAnsi="Palatino Linotype" w:eastAsia="Times New Roman" w:cs="Times New Roman"/>
          <w:kern w:val="0"/>
          <w14:ligatures w14:val="none"/>
        </w:rPr>
        <w:t>Inclusion of refrigeration controls as an eligible measure is relevant to the Grocery/Liquor</w:t>
      </w:r>
      <w:r w:rsidR="000B2E24">
        <w:rPr>
          <w:rFonts w:ascii="Palatino Linotype" w:hAnsi="Palatino Linotype" w:eastAsia="Times New Roman" w:cs="Times New Roman"/>
          <w:kern w:val="0"/>
          <w14:ligatures w14:val="none"/>
        </w:rPr>
        <w:t xml:space="preserve"> </w:t>
      </w:r>
      <w:r w:rsidR="00D51219">
        <w:rPr>
          <w:rFonts w:ascii="Palatino Linotype" w:hAnsi="Palatino Linotype" w:eastAsia="Times New Roman" w:cs="Times New Roman"/>
          <w:kern w:val="0"/>
          <w14:ligatures w14:val="none"/>
        </w:rPr>
        <w:t xml:space="preserve">store </w:t>
      </w:r>
      <w:r w:rsidR="000B2E24">
        <w:rPr>
          <w:rFonts w:ascii="Palatino Linotype" w:hAnsi="Palatino Linotype" w:eastAsia="Times New Roman" w:cs="Times New Roman"/>
          <w:kern w:val="0"/>
          <w14:ligatures w14:val="none"/>
        </w:rPr>
        <w:t>customer segment</w:t>
      </w:r>
      <w:r w:rsidR="00233327">
        <w:rPr>
          <w:rFonts w:ascii="Palatino Linotype" w:hAnsi="Palatino Linotype" w:eastAsia="Times New Roman" w:cs="Times New Roman"/>
          <w:kern w:val="0"/>
          <w14:ligatures w14:val="none"/>
        </w:rPr>
        <w:t>.</w:t>
      </w:r>
    </w:p>
    <w:p w:rsidR="00BA6E4D" w:rsidP="00BA6E4D" w:rsidRDefault="00233327" w14:paraId="15ACA714" w14:textId="209A5133">
      <w:pP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Study </w:t>
      </w:r>
      <w:r w:rsidR="00904BF7">
        <w:rPr>
          <w:rFonts w:ascii="Palatino Linotype" w:hAnsi="Palatino Linotype" w:eastAsia="Times New Roman" w:cs="Times New Roman"/>
          <w:kern w:val="0"/>
          <w14:ligatures w14:val="none"/>
        </w:rPr>
        <w:t xml:space="preserve">uses the data from its </w:t>
      </w:r>
      <w:r w:rsidR="00F234B7">
        <w:rPr>
          <w:rFonts w:ascii="Palatino Linotype" w:hAnsi="Palatino Linotype" w:eastAsia="Times New Roman" w:cs="Times New Roman"/>
          <w:kern w:val="0"/>
          <w14:ligatures w14:val="none"/>
        </w:rPr>
        <w:t>analysis</w:t>
      </w:r>
      <w:r w:rsidR="00904BF7">
        <w:rPr>
          <w:rFonts w:ascii="Palatino Linotype" w:hAnsi="Palatino Linotype" w:eastAsia="Times New Roman" w:cs="Times New Roman"/>
          <w:kern w:val="0"/>
          <w14:ligatures w14:val="none"/>
        </w:rPr>
        <w:t xml:space="preserve"> to create calculators specific to these new </w:t>
      </w:r>
      <w:r w:rsidR="001706C8">
        <w:rPr>
          <w:rFonts w:ascii="Palatino Linotype" w:hAnsi="Palatino Linotype" w:eastAsia="Times New Roman" w:cs="Times New Roman"/>
          <w:kern w:val="0"/>
          <w14:ligatures w14:val="none"/>
        </w:rPr>
        <w:t>eligible measures.</w:t>
      </w:r>
      <w:r w:rsidR="00904BF7">
        <w:rPr>
          <w:rFonts w:ascii="Palatino Linotype" w:hAnsi="Palatino Linotype" w:eastAsia="Times New Roman" w:cs="Times New Roman"/>
          <w:kern w:val="0"/>
          <w14:ligatures w14:val="none"/>
        </w:rPr>
        <w:t xml:space="preserve"> </w:t>
      </w:r>
      <w:r w:rsidR="00990167">
        <w:rPr>
          <w:rFonts w:ascii="Palatino Linotype" w:hAnsi="Palatino Linotype" w:eastAsia="Times New Roman" w:cs="Times New Roman"/>
          <w:kern w:val="0"/>
          <w14:ligatures w14:val="none"/>
        </w:rPr>
        <w:t xml:space="preserve">In the case of the agricultural pumping calculator, the Study proposes a </w:t>
      </w:r>
      <w:r w:rsidR="003823CB">
        <w:rPr>
          <w:rFonts w:ascii="Palatino Linotype" w:hAnsi="Palatino Linotype" w:eastAsia="Times New Roman" w:cs="Times New Roman"/>
          <w:kern w:val="0"/>
          <w14:ligatures w14:val="none"/>
        </w:rPr>
        <w:t>calculation scheme</w:t>
      </w:r>
      <w:r w:rsidR="00497D1B">
        <w:rPr>
          <w:rFonts w:ascii="Palatino Linotype" w:hAnsi="Palatino Linotype" w:eastAsia="Times New Roman" w:cs="Times New Roman"/>
          <w:kern w:val="0"/>
          <w14:ligatures w14:val="none"/>
        </w:rPr>
        <w:t xml:space="preserve"> that manages the risk of over and under prediction of outcomes correlated with </w:t>
      </w:r>
      <w:r w:rsidR="003F08D7">
        <w:rPr>
          <w:rFonts w:ascii="Palatino Linotype" w:hAnsi="Palatino Linotype" w:eastAsia="Times New Roman" w:cs="Times New Roman"/>
          <w:kern w:val="0"/>
          <w14:ligatures w14:val="none"/>
        </w:rPr>
        <w:t xml:space="preserve">low and high precipitation years by incorporating a 5-year </w:t>
      </w:r>
      <w:r w:rsidR="009A51F9">
        <w:rPr>
          <w:rFonts w:ascii="Palatino Linotype" w:hAnsi="Palatino Linotype" w:eastAsia="Times New Roman" w:cs="Times New Roman"/>
          <w:kern w:val="0"/>
          <w14:ligatures w14:val="none"/>
        </w:rPr>
        <w:t>analysis period</w:t>
      </w:r>
      <w:r w:rsidR="003823CB">
        <w:rPr>
          <w:rFonts w:ascii="Palatino Linotype" w:hAnsi="Palatino Linotype" w:eastAsia="Times New Roman" w:cs="Times New Roman"/>
          <w:kern w:val="0"/>
          <w14:ligatures w14:val="none"/>
        </w:rPr>
        <w:t>.</w:t>
      </w:r>
      <w:r w:rsidR="002E49A4">
        <w:rPr>
          <w:rFonts w:ascii="Palatino Linotype" w:hAnsi="Palatino Linotype" w:eastAsia="Times New Roman" w:cs="Times New Roman"/>
          <w:kern w:val="0"/>
          <w14:ligatures w14:val="none"/>
        </w:rPr>
        <w:t xml:space="preserve"> The refrigeration </w:t>
      </w:r>
      <w:r w:rsidR="008F7638">
        <w:rPr>
          <w:rFonts w:ascii="Palatino Linotype" w:hAnsi="Palatino Linotype" w:eastAsia="Times New Roman" w:cs="Times New Roman"/>
          <w:kern w:val="0"/>
          <w14:ligatures w14:val="none"/>
        </w:rPr>
        <w:t xml:space="preserve">calculator methodology </w:t>
      </w:r>
      <w:r w:rsidR="0061303C">
        <w:rPr>
          <w:rFonts w:ascii="Palatino Linotype" w:hAnsi="Palatino Linotype" w:eastAsia="Times New Roman" w:cs="Times New Roman"/>
          <w:kern w:val="0"/>
          <w14:ligatures w14:val="none"/>
        </w:rPr>
        <w:t>for load shed potential</w:t>
      </w:r>
      <w:r w:rsidR="00816E08">
        <w:rPr>
          <w:rFonts w:ascii="Palatino Linotype" w:hAnsi="Palatino Linotype" w:eastAsia="Times New Roman" w:cs="Times New Roman"/>
          <w:kern w:val="0"/>
          <w14:ligatures w14:val="none"/>
        </w:rPr>
        <w:t xml:space="preserve"> was </w:t>
      </w:r>
      <w:r w:rsidR="00816E08">
        <w:rPr>
          <w:rFonts w:ascii="Palatino Linotype" w:hAnsi="Palatino Linotype" w:eastAsia="Times New Roman" w:cs="Times New Roman"/>
          <w:kern w:val="0"/>
          <w14:ligatures w14:val="none"/>
        </w:rPr>
        <w:lastRenderedPageBreak/>
        <w:t>developed from research originated at NREL, subsequently tested</w:t>
      </w:r>
      <w:r w:rsidR="00BA683B">
        <w:rPr>
          <w:rFonts w:ascii="Palatino Linotype" w:hAnsi="Palatino Linotype" w:eastAsia="Times New Roman" w:cs="Times New Roman"/>
          <w:kern w:val="0"/>
          <w14:ligatures w14:val="none"/>
        </w:rPr>
        <w:t xml:space="preserve"> for verification</w:t>
      </w:r>
      <w:r w:rsidR="00061A6D">
        <w:rPr>
          <w:rFonts w:ascii="Palatino Linotype" w:hAnsi="Palatino Linotype" w:eastAsia="Times New Roman" w:cs="Times New Roman"/>
          <w:kern w:val="0"/>
          <w14:ligatures w14:val="none"/>
        </w:rPr>
        <w:t xml:space="preserve">, </w:t>
      </w:r>
      <w:r w:rsidR="00BA683B">
        <w:rPr>
          <w:rFonts w:ascii="Palatino Linotype" w:hAnsi="Palatino Linotype" w:eastAsia="Times New Roman" w:cs="Times New Roman"/>
          <w:kern w:val="0"/>
          <w14:ligatures w14:val="none"/>
        </w:rPr>
        <w:t xml:space="preserve">and adjusted </w:t>
      </w:r>
      <w:r w:rsidR="00061A6D">
        <w:rPr>
          <w:rFonts w:ascii="Palatino Linotype" w:hAnsi="Palatino Linotype" w:eastAsia="Times New Roman" w:cs="Times New Roman"/>
          <w:kern w:val="0"/>
          <w14:ligatures w14:val="none"/>
        </w:rPr>
        <w:t>based on results.</w:t>
      </w:r>
      <w:r w:rsidR="00BA683B">
        <w:rPr>
          <w:rFonts w:ascii="Palatino Linotype" w:hAnsi="Palatino Linotype" w:eastAsia="Times New Roman" w:cs="Times New Roman"/>
          <w:kern w:val="0"/>
          <w14:ligatures w14:val="none"/>
        </w:rPr>
        <w:t xml:space="preserve"> </w:t>
      </w:r>
    </w:p>
    <w:p w:rsidR="00C85F7E" w:rsidP="00C85F7E" w:rsidRDefault="00200E67" w14:paraId="1F786988" w14:textId="110AE76F">
      <w:pPr>
        <w:rPr>
          <w:rFonts w:ascii="Palatino Linotype" w:hAnsi="Palatino Linotype" w:eastAsia="Times New Roman" w:cs="Times New Roman"/>
          <w:kern w:val="0"/>
          <w14:ligatures w14:val="none"/>
        </w:rPr>
      </w:pPr>
      <w:r w:rsidRPr="00C21F6D">
        <w:rPr>
          <w:rFonts w:ascii="Palatino Linotype" w:hAnsi="Palatino Linotype" w:eastAsia="Times New Roman" w:cs="Times New Roman"/>
          <w:kern w:val="0"/>
          <w14:ligatures w14:val="none"/>
        </w:rPr>
        <w:t xml:space="preserve">Energy Division </w:t>
      </w:r>
      <w:r w:rsidRPr="00C21F6D" w:rsidR="00005441">
        <w:rPr>
          <w:rFonts w:ascii="Palatino Linotype" w:hAnsi="Palatino Linotype" w:eastAsia="Times New Roman" w:cs="Times New Roman"/>
          <w:kern w:val="0"/>
          <w14:ligatures w14:val="none"/>
        </w:rPr>
        <w:t>s</w:t>
      </w:r>
      <w:r w:rsidRPr="00C21F6D">
        <w:rPr>
          <w:rFonts w:ascii="Palatino Linotype" w:hAnsi="Palatino Linotype" w:eastAsia="Times New Roman" w:cs="Times New Roman"/>
          <w:kern w:val="0"/>
          <w14:ligatures w14:val="none"/>
        </w:rPr>
        <w:t xml:space="preserve">taff </w:t>
      </w:r>
      <w:r w:rsidR="007B33A8">
        <w:rPr>
          <w:rFonts w:ascii="Palatino Linotype" w:hAnsi="Palatino Linotype" w:eastAsia="Times New Roman" w:cs="Times New Roman"/>
          <w:kern w:val="0"/>
          <w14:ligatures w14:val="none"/>
        </w:rPr>
        <w:t xml:space="preserve">requested </w:t>
      </w:r>
      <w:r w:rsidR="008E0783">
        <w:rPr>
          <w:rFonts w:ascii="Palatino Linotype" w:hAnsi="Palatino Linotype" w:eastAsia="Times New Roman" w:cs="Times New Roman"/>
          <w:kern w:val="0"/>
          <w14:ligatures w14:val="none"/>
        </w:rPr>
        <w:t xml:space="preserve">additional information from the IOUs on </w:t>
      </w:r>
      <w:r w:rsidR="000D6D9E">
        <w:rPr>
          <w:rFonts w:ascii="Palatino Linotype" w:hAnsi="Palatino Linotype" w:eastAsia="Times New Roman" w:cs="Times New Roman"/>
          <w:kern w:val="0"/>
          <w14:ligatures w14:val="none"/>
        </w:rPr>
        <w:t xml:space="preserve">whether </w:t>
      </w:r>
      <w:r w:rsidRPr="00C21F6D" w:rsidR="00E37E30">
        <w:rPr>
          <w:rFonts w:ascii="Palatino Linotype" w:hAnsi="Palatino Linotype" w:eastAsia="Times New Roman" w:cs="Times New Roman"/>
          <w:kern w:val="0"/>
          <w14:ligatures w14:val="none"/>
        </w:rPr>
        <w:t>any of the new eligible measures opened the possibility for duplicate</w:t>
      </w:r>
      <w:r w:rsidRPr="00C21F6D" w:rsidR="00B32BEB">
        <w:rPr>
          <w:rFonts w:ascii="Palatino Linotype" w:hAnsi="Palatino Linotype" w:eastAsia="Times New Roman" w:cs="Times New Roman"/>
          <w:kern w:val="0"/>
          <w14:ligatures w14:val="none"/>
        </w:rPr>
        <w:t xml:space="preserve"> technology incentive</w:t>
      </w:r>
      <w:r w:rsidRPr="00C21F6D" w:rsidR="00B1196E">
        <w:rPr>
          <w:rFonts w:ascii="Palatino Linotype" w:hAnsi="Palatino Linotype" w:eastAsia="Times New Roman" w:cs="Times New Roman"/>
          <w:kern w:val="0"/>
          <w14:ligatures w14:val="none"/>
        </w:rPr>
        <w:t xml:space="preserve"> payments for the same measure</w:t>
      </w:r>
      <w:r w:rsidRPr="00C21F6D" w:rsidR="00B32BEB">
        <w:rPr>
          <w:rFonts w:ascii="Palatino Linotype" w:hAnsi="Palatino Linotype" w:eastAsia="Times New Roman" w:cs="Times New Roman"/>
          <w:kern w:val="0"/>
          <w14:ligatures w14:val="none"/>
        </w:rPr>
        <w:t>.</w:t>
      </w:r>
      <w:r w:rsidRPr="00C21F6D" w:rsidR="00B1196E">
        <w:rPr>
          <w:rFonts w:ascii="Palatino Linotype" w:hAnsi="Palatino Linotype" w:eastAsia="Times New Roman" w:cs="Times New Roman"/>
          <w:kern w:val="0"/>
          <w14:ligatures w14:val="none"/>
        </w:rPr>
        <w:t xml:space="preserve"> </w:t>
      </w:r>
      <w:r w:rsidRPr="00C21F6D" w:rsidR="000D1906">
        <w:rPr>
          <w:rFonts w:ascii="Palatino Linotype" w:hAnsi="Palatino Linotype" w:eastAsia="Times New Roman" w:cs="Times New Roman"/>
          <w:kern w:val="0"/>
          <w14:ligatures w14:val="none"/>
        </w:rPr>
        <w:t>SCE</w:t>
      </w:r>
      <w:r w:rsidR="001615F3">
        <w:rPr>
          <w:rFonts w:ascii="Palatino Linotype" w:hAnsi="Palatino Linotype" w:eastAsia="Times New Roman" w:cs="Times New Roman"/>
          <w:kern w:val="0"/>
          <w14:ligatures w14:val="none"/>
        </w:rPr>
        <w:t>’s</w:t>
      </w:r>
      <w:r w:rsidRPr="00C21F6D" w:rsidR="002355EA">
        <w:rPr>
          <w:rFonts w:ascii="Palatino Linotype" w:hAnsi="Palatino Linotype" w:eastAsia="Times New Roman" w:cs="Times New Roman"/>
          <w:kern w:val="0"/>
          <w14:ligatures w14:val="none"/>
        </w:rPr>
        <w:t xml:space="preserve"> response</w:t>
      </w:r>
      <w:r w:rsidRPr="00C21F6D" w:rsidR="00B32BEB">
        <w:rPr>
          <w:rFonts w:ascii="Palatino Linotype" w:hAnsi="Palatino Linotype" w:eastAsia="Times New Roman" w:cs="Times New Roman"/>
          <w:kern w:val="0"/>
          <w14:ligatures w14:val="none"/>
        </w:rPr>
        <w:t xml:space="preserve"> </w:t>
      </w:r>
      <w:r w:rsidRPr="00C21F6D" w:rsidR="004800DF">
        <w:rPr>
          <w:rFonts w:ascii="Palatino Linotype" w:hAnsi="Palatino Linotype" w:eastAsia="Times New Roman" w:cs="Times New Roman"/>
          <w:kern w:val="0"/>
          <w14:ligatures w14:val="none"/>
        </w:rPr>
        <w:t xml:space="preserve">outlined </w:t>
      </w:r>
      <w:r w:rsidRPr="00C21F6D" w:rsidR="00366146">
        <w:rPr>
          <w:rFonts w:ascii="Palatino Linotype" w:hAnsi="Palatino Linotype" w:eastAsia="Times New Roman" w:cs="Times New Roman"/>
          <w:kern w:val="0"/>
          <w14:ligatures w14:val="none"/>
        </w:rPr>
        <w:t xml:space="preserve">how </w:t>
      </w:r>
      <w:r w:rsidRPr="00C21F6D" w:rsidR="0085231D">
        <w:rPr>
          <w:rFonts w:ascii="Palatino Linotype" w:hAnsi="Palatino Linotype" w:eastAsia="Times New Roman" w:cs="Times New Roman"/>
          <w:kern w:val="0"/>
          <w14:ligatures w14:val="none"/>
        </w:rPr>
        <w:t>the primary</w:t>
      </w:r>
      <w:r w:rsidR="000E6A81">
        <w:rPr>
          <w:rFonts w:ascii="Palatino Linotype" w:hAnsi="Palatino Linotype" w:eastAsia="Times New Roman" w:cs="Times New Roman"/>
          <w:kern w:val="0"/>
          <w14:ligatures w14:val="none"/>
        </w:rPr>
        <w:t xml:space="preserve"> existing</w:t>
      </w:r>
      <w:r w:rsidRPr="00C21F6D" w:rsidR="0085231D">
        <w:rPr>
          <w:rFonts w:ascii="Palatino Linotype" w:hAnsi="Palatino Linotype" w:eastAsia="Times New Roman" w:cs="Times New Roman"/>
          <w:kern w:val="0"/>
          <w14:ligatures w14:val="none"/>
        </w:rPr>
        <w:t xml:space="preserve"> </w:t>
      </w:r>
      <w:r w:rsidRPr="00C21F6D" w:rsidR="00AE3628">
        <w:rPr>
          <w:rFonts w:ascii="Palatino Linotype" w:hAnsi="Palatino Linotype" w:eastAsia="Times New Roman" w:cs="Times New Roman"/>
          <w:kern w:val="0"/>
          <w14:ligatures w14:val="none"/>
        </w:rPr>
        <w:t xml:space="preserve">technology incentive </w:t>
      </w:r>
      <w:r w:rsidRPr="00C21F6D" w:rsidR="0085231D">
        <w:rPr>
          <w:rFonts w:ascii="Palatino Linotype" w:hAnsi="Palatino Linotype" w:eastAsia="Times New Roman" w:cs="Times New Roman"/>
          <w:kern w:val="0"/>
          <w14:ligatures w14:val="none"/>
        </w:rPr>
        <w:t>program</w:t>
      </w:r>
      <w:r w:rsidRPr="00C21F6D" w:rsidR="00AE3628">
        <w:rPr>
          <w:rFonts w:ascii="Palatino Linotype" w:hAnsi="Palatino Linotype" w:eastAsia="Times New Roman" w:cs="Times New Roman"/>
          <w:kern w:val="0"/>
          <w14:ligatures w14:val="none"/>
        </w:rPr>
        <w:t xml:space="preserve"> of concern, the </w:t>
      </w:r>
      <w:r w:rsidRPr="00C21F6D" w:rsidR="00322999">
        <w:rPr>
          <w:rFonts w:ascii="Palatino Linotype" w:hAnsi="Palatino Linotype" w:eastAsia="Times New Roman" w:cs="Times New Roman"/>
          <w:kern w:val="0"/>
          <w14:ligatures w14:val="none"/>
        </w:rPr>
        <w:t xml:space="preserve">Agricultural Interruptible Program </w:t>
      </w:r>
      <w:r w:rsidR="00AC6540">
        <w:rPr>
          <w:rFonts w:ascii="Palatino Linotype" w:hAnsi="Palatino Linotype" w:eastAsia="Times New Roman" w:cs="Times New Roman"/>
          <w:kern w:val="0"/>
          <w14:ligatures w14:val="none"/>
        </w:rPr>
        <w:br/>
      </w:r>
      <w:r w:rsidRPr="00C21F6D" w:rsidR="00322999">
        <w:rPr>
          <w:rFonts w:ascii="Palatino Linotype" w:hAnsi="Palatino Linotype" w:eastAsia="Times New Roman" w:cs="Times New Roman"/>
          <w:kern w:val="0"/>
          <w14:ligatures w14:val="none"/>
        </w:rPr>
        <w:t>(AP-I)</w:t>
      </w:r>
      <w:r w:rsidRPr="00C21F6D" w:rsidR="000D1906">
        <w:rPr>
          <w:rFonts w:ascii="Palatino Linotype" w:hAnsi="Palatino Linotype" w:eastAsia="Times New Roman" w:cs="Times New Roman"/>
          <w:kern w:val="0"/>
          <w14:ligatures w14:val="none"/>
        </w:rPr>
        <w:t>,</w:t>
      </w:r>
      <w:r w:rsidRPr="00C21F6D" w:rsidR="00E36C3D">
        <w:rPr>
          <w:rFonts w:ascii="Palatino Linotype" w:hAnsi="Palatino Linotype" w:eastAsia="Times New Roman" w:cs="Times New Roman"/>
          <w:kern w:val="0"/>
          <w14:ligatures w14:val="none"/>
        </w:rPr>
        <w:t xml:space="preserve"> is not compatible with Non-Residential ADR Deemed Incentive</w:t>
      </w:r>
      <w:r w:rsidRPr="00C21F6D" w:rsidR="0050200A">
        <w:rPr>
          <w:rFonts w:ascii="Palatino Linotype" w:hAnsi="Palatino Linotype" w:eastAsia="Times New Roman" w:cs="Times New Roman"/>
          <w:kern w:val="0"/>
          <w14:ligatures w14:val="none"/>
        </w:rPr>
        <w:t xml:space="preserve">s, as the load control device required by AP-I </w:t>
      </w:r>
      <w:r w:rsidRPr="00C21F6D" w:rsidR="00CD39CA">
        <w:rPr>
          <w:rFonts w:ascii="Palatino Linotype" w:hAnsi="Palatino Linotype" w:eastAsia="Times New Roman" w:cs="Times New Roman"/>
          <w:kern w:val="0"/>
          <w14:ligatures w14:val="none"/>
        </w:rPr>
        <w:t>does not use</w:t>
      </w:r>
      <w:r w:rsidRPr="00C21F6D" w:rsidR="0050200A">
        <w:rPr>
          <w:rFonts w:ascii="Palatino Linotype" w:hAnsi="Palatino Linotype" w:eastAsia="Times New Roman" w:cs="Times New Roman"/>
          <w:kern w:val="0"/>
          <w14:ligatures w14:val="none"/>
        </w:rPr>
        <w:t xml:space="preserve"> OpenADR</w:t>
      </w:r>
      <w:r w:rsidRPr="00C21F6D" w:rsidR="00CD39CA">
        <w:rPr>
          <w:rFonts w:ascii="Palatino Linotype" w:hAnsi="Palatino Linotype" w:eastAsia="Times New Roman" w:cs="Times New Roman"/>
          <w:kern w:val="0"/>
          <w14:ligatures w14:val="none"/>
        </w:rPr>
        <w:t xml:space="preserve"> communication protocol</w:t>
      </w:r>
      <w:r w:rsidRPr="00C21F6D" w:rsidR="00163E35">
        <w:rPr>
          <w:rFonts w:ascii="Palatino Linotype" w:hAnsi="Palatino Linotype" w:eastAsia="Times New Roman" w:cs="Times New Roman"/>
          <w:kern w:val="0"/>
          <w14:ligatures w14:val="none"/>
        </w:rPr>
        <w:t>s, and the program is not a</w:t>
      </w:r>
      <w:r w:rsidR="0069305D">
        <w:rPr>
          <w:rFonts w:ascii="Palatino Linotype" w:hAnsi="Palatino Linotype" w:eastAsia="Times New Roman" w:cs="Times New Roman"/>
          <w:kern w:val="0"/>
          <w14:ligatures w14:val="none"/>
        </w:rPr>
        <w:t>n</w:t>
      </w:r>
      <w:r w:rsidRPr="00C21F6D" w:rsidR="00163E35">
        <w:rPr>
          <w:rFonts w:ascii="Palatino Linotype" w:hAnsi="Palatino Linotype" w:eastAsia="Times New Roman" w:cs="Times New Roman"/>
          <w:kern w:val="0"/>
          <w14:ligatures w14:val="none"/>
        </w:rPr>
        <w:t xml:space="preserve"> </w:t>
      </w:r>
      <w:r w:rsidR="0073188C">
        <w:rPr>
          <w:rFonts w:ascii="Palatino Linotype" w:hAnsi="Palatino Linotype" w:eastAsia="Times New Roman" w:cs="Times New Roman"/>
          <w:kern w:val="0"/>
          <w14:ligatures w14:val="none"/>
        </w:rPr>
        <w:t xml:space="preserve">ADR </w:t>
      </w:r>
      <w:r w:rsidRPr="00C21F6D" w:rsidR="00163E35">
        <w:rPr>
          <w:rFonts w:ascii="Palatino Linotype" w:hAnsi="Palatino Linotype" w:eastAsia="Times New Roman" w:cs="Times New Roman"/>
          <w:kern w:val="0"/>
          <w14:ligatures w14:val="none"/>
        </w:rPr>
        <w:t>Qualifying program</w:t>
      </w:r>
      <w:r w:rsidRPr="00C21F6D" w:rsidR="00CD39CA">
        <w:rPr>
          <w:rFonts w:ascii="Palatino Linotype" w:hAnsi="Palatino Linotype" w:eastAsia="Times New Roman" w:cs="Times New Roman"/>
          <w:kern w:val="0"/>
          <w14:ligatures w14:val="none"/>
        </w:rPr>
        <w:t>.</w:t>
      </w:r>
      <w:r w:rsidRPr="00C21F6D" w:rsidR="002A707A">
        <w:rPr>
          <w:rFonts w:ascii="Palatino Linotype" w:hAnsi="Palatino Linotype" w:eastAsia="Times New Roman" w:cs="Times New Roman"/>
          <w:kern w:val="0"/>
          <w14:ligatures w14:val="none"/>
        </w:rPr>
        <w:t xml:space="preserve"> Both IOUs stated they </w:t>
      </w:r>
      <w:r w:rsidRPr="00C21F6D" w:rsidR="007842A3">
        <w:rPr>
          <w:rFonts w:ascii="Palatino Linotype" w:hAnsi="Palatino Linotype" w:eastAsia="Times New Roman" w:cs="Times New Roman"/>
          <w:kern w:val="0"/>
          <w14:ligatures w14:val="none"/>
        </w:rPr>
        <w:t xml:space="preserve">do check </w:t>
      </w:r>
      <w:r w:rsidR="00B4497E">
        <w:rPr>
          <w:rFonts w:ascii="Palatino Linotype" w:hAnsi="Palatino Linotype" w:eastAsia="Times New Roman" w:cs="Times New Roman"/>
          <w:kern w:val="0"/>
          <w14:ligatures w14:val="none"/>
        </w:rPr>
        <w:t xml:space="preserve">proposed </w:t>
      </w:r>
      <w:r w:rsidRPr="00C21F6D" w:rsidR="007842A3">
        <w:rPr>
          <w:rFonts w:ascii="Palatino Linotype" w:hAnsi="Palatino Linotype" w:eastAsia="Times New Roman" w:cs="Times New Roman"/>
          <w:kern w:val="0"/>
          <w14:ligatures w14:val="none"/>
        </w:rPr>
        <w:t>projects for potential dual and conflicting enrollment</w:t>
      </w:r>
      <w:r w:rsidRPr="00C21F6D" w:rsidR="00B12A29">
        <w:rPr>
          <w:rFonts w:ascii="Palatino Linotype" w:hAnsi="Palatino Linotype" w:eastAsia="Times New Roman" w:cs="Times New Roman"/>
          <w:kern w:val="0"/>
          <w14:ligatures w14:val="none"/>
        </w:rPr>
        <w:t>/participation.</w:t>
      </w:r>
      <w:r w:rsidRPr="00C21F6D" w:rsidR="0085231D">
        <w:rPr>
          <w:rFonts w:ascii="Palatino Linotype" w:hAnsi="Palatino Linotype" w:eastAsia="Times New Roman" w:cs="Times New Roman"/>
          <w:kern w:val="0"/>
          <w14:ligatures w14:val="none"/>
        </w:rPr>
        <w:t xml:space="preserve"> </w:t>
      </w:r>
      <w:r w:rsidRPr="00C21F6D" w:rsidR="00223AD4">
        <w:rPr>
          <w:rFonts w:ascii="Palatino Linotype" w:hAnsi="Palatino Linotype" w:eastAsia="Times New Roman" w:cs="Times New Roman"/>
          <w:kern w:val="0"/>
          <w14:ligatures w14:val="none"/>
        </w:rPr>
        <w:t xml:space="preserve"> </w:t>
      </w:r>
      <w:r w:rsidR="00D95FA6">
        <w:rPr>
          <w:rFonts w:ascii="Palatino Linotype" w:hAnsi="Palatino Linotype" w:eastAsia="Times New Roman" w:cs="Times New Roman"/>
          <w:kern w:val="0"/>
          <w14:ligatures w14:val="none"/>
        </w:rPr>
        <w:t>The proposed modifications are approved.</w:t>
      </w:r>
    </w:p>
    <w:p w:rsidRPr="00BA6E4D" w:rsidR="00C85F7E" w:rsidP="003D7870" w:rsidRDefault="00C85F7E" w14:paraId="2C4A425A" w14:textId="77777777">
      <w:pPr>
        <w:spacing w:after="0" w:line="240" w:lineRule="auto"/>
        <w:rPr>
          <w:rFonts w:ascii="Palatino Linotype" w:hAnsi="Palatino Linotype" w:eastAsia="Times New Roman" w:cs="Times New Roman"/>
          <w:kern w:val="0"/>
          <w14:ligatures w14:val="none"/>
        </w:rPr>
      </w:pPr>
    </w:p>
    <w:p w:rsidRPr="001106D0" w:rsidR="00530275" w:rsidP="001106D0" w:rsidRDefault="00530275" w14:paraId="54764DFB" w14:textId="35D0A328">
      <w:pPr>
        <w:pStyle w:val="ListParagraph"/>
        <w:numPr>
          <w:ilvl w:val="0"/>
          <w:numId w:val="10"/>
        </w:numPr>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 xml:space="preserve">Additional grammatical </w:t>
      </w:r>
      <w:r w:rsidR="0069305D">
        <w:rPr>
          <w:rFonts w:ascii="Palatino Linotype" w:hAnsi="Palatino Linotype" w:eastAsia="Times New Roman" w:cs="Times New Roman"/>
          <w:b/>
          <w:bCs/>
          <w:kern w:val="0"/>
          <w14:ligatures w14:val="none"/>
        </w:rPr>
        <w:t xml:space="preserve">corrections </w:t>
      </w:r>
      <w:r w:rsidRPr="001106D0">
        <w:rPr>
          <w:rFonts w:ascii="Palatino Linotype" w:hAnsi="Palatino Linotype" w:eastAsia="Times New Roman" w:cs="Times New Roman"/>
          <w:b/>
          <w:bCs/>
          <w:kern w:val="0"/>
          <w14:ligatures w14:val="none"/>
        </w:rPr>
        <w:t>and decision reference updates to the body of the AutoDR Guidelines document.</w:t>
      </w:r>
    </w:p>
    <w:p w:rsidR="001254C5" w:rsidP="001254C5" w:rsidRDefault="00E75A67" w14:paraId="54826944" w14:textId="5245752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grammatical and decision reference updates in various locations of the body of the AutoDR Guidelines document are trivial in nature, and</w:t>
      </w:r>
      <w:r w:rsidR="0080069C">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were verified for accuracy.</w:t>
      </w:r>
    </w:p>
    <w:p w:rsidR="00BC3D04" w:rsidP="001254C5" w:rsidRDefault="00BC3D04" w14:paraId="5C501DE4" w14:textId="193BAFED">
      <w:p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The proposed modifications are approved.</w:t>
      </w:r>
    </w:p>
    <w:p w:rsidR="00840338" w:rsidP="003D7870" w:rsidRDefault="00840338" w14:paraId="45D36A24" w14:textId="77777777">
      <w:pPr>
        <w:spacing w:after="120" w:line="240" w:lineRule="auto"/>
        <w:rPr>
          <w:rFonts w:ascii="Palatino Linotype" w:hAnsi="Palatino Linotype" w:eastAsia="Palatino Linotype" w:cs="Times New Roman"/>
          <w:b/>
          <w:bCs/>
          <w:kern w:val="0"/>
          <w14:ligatures w14:val="none"/>
        </w:rPr>
      </w:pPr>
    </w:p>
    <w:p w:rsidR="004E6958" w:rsidP="006505CA" w:rsidRDefault="004E6958" w14:paraId="7FE9D44E" w14:textId="3361B116">
      <w:pPr>
        <w:spacing w:line="240" w:lineRule="auto"/>
        <w:rPr>
          <w:rFonts w:ascii="Palatino Linotype" w:hAnsi="Palatino Linotype" w:eastAsia="Palatino Linotype" w:cs="Times New Roman"/>
          <w:b/>
          <w:bCs/>
          <w:kern w:val="0"/>
          <w14:ligatures w14:val="none"/>
        </w:rPr>
      </w:pPr>
      <w:r w:rsidRPr="00E63906">
        <w:rPr>
          <w:rFonts w:ascii="Palatino Linotype" w:hAnsi="Palatino Linotype" w:eastAsia="Palatino Linotype" w:cs="Times New Roman"/>
          <w:b/>
          <w:bCs/>
          <w:kern w:val="0"/>
          <w14:ligatures w14:val="none"/>
        </w:rPr>
        <w:t xml:space="preserve">Modifications </w:t>
      </w:r>
      <w:r>
        <w:rPr>
          <w:rFonts w:ascii="Palatino Linotype" w:hAnsi="Palatino Linotype" w:eastAsia="Palatino Linotype" w:cs="Times New Roman"/>
          <w:b/>
          <w:bCs/>
          <w:kern w:val="0"/>
          <w14:ligatures w14:val="none"/>
        </w:rPr>
        <w:t>Requiring Additional Discussion</w:t>
      </w:r>
      <w:r w:rsidRPr="00E63906">
        <w:rPr>
          <w:rFonts w:ascii="Palatino Linotype" w:hAnsi="Palatino Linotype" w:eastAsia="Palatino Linotype" w:cs="Times New Roman"/>
          <w:b/>
          <w:bCs/>
          <w:kern w:val="0"/>
          <w14:ligatures w14:val="none"/>
        </w:rPr>
        <w:t>:</w:t>
      </w:r>
    </w:p>
    <w:p w:rsidRPr="00840338" w:rsidR="00C21F6D" w:rsidP="00840338" w:rsidRDefault="00C21F6D" w14:paraId="4F42A74C" w14:textId="15FF9481">
      <w:pPr>
        <w:rPr>
          <w:rFonts w:ascii="Palatino Linotype" w:hAnsi="Palatino Linotype" w:eastAsia="Palatino Linotype" w:cs="Times New Roman"/>
          <w:kern w:val="0"/>
          <w14:ligatures w14:val="none"/>
        </w:rPr>
      </w:pPr>
      <w:r w:rsidRPr="001254C5">
        <w:rPr>
          <w:rFonts w:ascii="Palatino Linotype" w:hAnsi="Palatino Linotype" w:eastAsia="Palatino Linotype" w:cs="Times New Roman"/>
          <w:kern w:val="0"/>
          <w14:ligatures w14:val="none"/>
        </w:rPr>
        <w:t xml:space="preserve">The Commission </w:t>
      </w:r>
      <w:r w:rsidR="008840F1">
        <w:rPr>
          <w:rFonts w:ascii="Palatino Linotype" w:hAnsi="Palatino Linotype" w:eastAsia="Palatino Linotype" w:cs="Times New Roman"/>
          <w:kern w:val="0"/>
          <w14:ligatures w14:val="none"/>
        </w:rPr>
        <w:t>now addresses</w:t>
      </w:r>
      <w:r w:rsidRPr="001254C5">
        <w:rPr>
          <w:rFonts w:ascii="Palatino Linotype" w:hAnsi="Palatino Linotype" w:eastAsia="Palatino Linotype" w:cs="Times New Roman"/>
          <w:kern w:val="0"/>
          <w14:ligatures w14:val="none"/>
        </w:rPr>
        <w:t xml:space="preserve"> two specific proposed modifications </w:t>
      </w:r>
      <w:r w:rsidR="006C6223">
        <w:rPr>
          <w:rFonts w:ascii="Palatino Linotype" w:hAnsi="Palatino Linotype" w:eastAsia="Palatino Linotype" w:cs="Times New Roman"/>
          <w:kern w:val="0"/>
          <w14:ligatures w14:val="none"/>
        </w:rPr>
        <w:t>that</w:t>
      </w:r>
      <w:r w:rsidRPr="001254C5" w:rsidR="006C6223">
        <w:rPr>
          <w:rFonts w:ascii="Palatino Linotype" w:hAnsi="Palatino Linotype" w:eastAsia="Palatino Linotype" w:cs="Times New Roman"/>
          <w:kern w:val="0"/>
          <w14:ligatures w14:val="none"/>
        </w:rPr>
        <w:t xml:space="preserve"> </w:t>
      </w:r>
      <w:r w:rsidRPr="001254C5">
        <w:rPr>
          <w:rFonts w:ascii="Palatino Linotype" w:hAnsi="Palatino Linotype" w:eastAsia="Palatino Linotype" w:cs="Times New Roman"/>
          <w:kern w:val="0"/>
          <w14:ligatures w14:val="none"/>
        </w:rPr>
        <w:t xml:space="preserve">seek to </w:t>
      </w:r>
      <w:r w:rsidR="00D41A25">
        <w:rPr>
          <w:rFonts w:ascii="Palatino Linotype" w:hAnsi="Palatino Linotype" w:eastAsia="Palatino Linotype" w:cs="Times New Roman"/>
          <w:kern w:val="0"/>
          <w14:ligatures w14:val="none"/>
        </w:rPr>
        <w:t>clarify</w:t>
      </w:r>
      <w:r w:rsidR="00C804ED">
        <w:rPr>
          <w:rFonts w:ascii="Palatino Linotype" w:hAnsi="Palatino Linotype" w:eastAsia="Palatino Linotype" w:cs="Times New Roman"/>
          <w:kern w:val="0"/>
          <w14:ligatures w14:val="none"/>
        </w:rPr>
        <w:t xml:space="preserve"> a </w:t>
      </w:r>
      <w:r w:rsidRPr="001254C5">
        <w:rPr>
          <w:rFonts w:ascii="Palatino Linotype" w:hAnsi="Palatino Linotype" w:eastAsia="Palatino Linotype" w:cs="Times New Roman"/>
          <w:kern w:val="0"/>
          <w14:ligatures w14:val="none"/>
        </w:rPr>
        <w:t xml:space="preserve">prior Commission decision. </w:t>
      </w:r>
      <w:r w:rsidR="00195A14">
        <w:rPr>
          <w:rFonts w:ascii="Palatino Linotype" w:hAnsi="Palatino Linotype" w:eastAsia="Palatino Linotype" w:cs="Times New Roman"/>
          <w:kern w:val="0"/>
          <w14:ligatures w14:val="none"/>
        </w:rPr>
        <w:t xml:space="preserve"> </w:t>
      </w:r>
    </w:p>
    <w:p w:rsidR="00355086" w:rsidP="00E63906" w:rsidRDefault="00355086" w14:paraId="2014C53F" w14:textId="77777777">
      <w:pPr>
        <w:spacing w:after="0" w:line="240" w:lineRule="auto"/>
        <w:rPr>
          <w:rFonts w:ascii="Palatino Linotype" w:hAnsi="Palatino Linotype" w:eastAsia="Times New Roman" w:cs="Times New Roman"/>
          <w:kern w:val="0"/>
          <w14:ligatures w14:val="none"/>
        </w:rPr>
      </w:pPr>
    </w:p>
    <w:p w:rsidRPr="001106D0" w:rsidR="005A6C89" w:rsidP="005A6C89" w:rsidRDefault="005A6C89" w14:paraId="11E63A40" w14:textId="77777777">
      <w:pPr>
        <w:pStyle w:val="ListParagraph"/>
        <w:numPr>
          <w:ilvl w:val="0"/>
          <w:numId w:val="11"/>
        </w:numPr>
        <w:spacing w:after="0" w:line="240" w:lineRule="auto"/>
        <w:rPr>
          <w:rFonts w:ascii="Palatino Linotype" w:hAnsi="Palatino Linotype" w:eastAsia="Times New Roman" w:cs="Times New Roman"/>
          <w:b/>
          <w:bCs/>
          <w:kern w:val="0"/>
          <w14:ligatures w14:val="none"/>
        </w:rPr>
      </w:pPr>
      <w:r w:rsidRPr="001106D0">
        <w:rPr>
          <w:rFonts w:ascii="Palatino Linotype" w:hAnsi="Palatino Linotype" w:eastAsia="Times New Roman" w:cs="Times New Roman"/>
          <w:b/>
          <w:bCs/>
          <w:kern w:val="0"/>
          <w14:ligatures w14:val="none"/>
        </w:rPr>
        <w:t>Appendix A – Program Rules and Eligibility Requirements for Residential ADR Incentives</w:t>
      </w:r>
    </w:p>
    <w:p w:rsidRPr="00CD2DEB" w:rsidR="005A6C89" w:rsidP="00CD2DEB" w:rsidRDefault="001A3380" w14:paraId="680DC39D" w14:textId="6FF6B87B">
      <w:pPr>
        <w:pStyle w:val="ListParagraph"/>
        <w:numPr>
          <w:ilvl w:val="0"/>
          <w:numId w:val="12"/>
        </w:numPr>
        <w:spacing w:after="0" w:line="240" w:lineRule="auto"/>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Add</w:t>
      </w:r>
      <w:r>
        <w:rPr>
          <w:rFonts w:ascii="Palatino Linotype" w:hAnsi="Palatino Linotype" w:eastAsia="Times New Roman" w:cs="Times New Roman"/>
          <w:b/>
          <w:bCs/>
          <w:kern w:val="0"/>
          <w14:ligatures w14:val="none"/>
        </w:rPr>
        <w:t>s</w:t>
      </w:r>
      <w:r w:rsidRPr="00CD2DEB">
        <w:rPr>
          <w:rFonts w:ascii="Palatino Linotype" w:hAnsi="Palatino Linotype" w:eastAsia="Times New Roman" w:cs="Times New Roman"/>
          <w:b/>
          <w:bCs/>
          <w:kern w:val="0"/>
          <w14:ligatures w14:val="none"/>
        </w:rPr>
        <w:t xml:space="preserve"> </w:t>
      </w:r>
      <w:r w:rsidRPr="00CD2DEB" w:rsidR="005A6C89">
        <w:rPr>
          <w:rFonts w:ascii="Palatino Linotype" w:hAnsi="Palatino Linotype" w:eastAsia="Times New Roman" w:cs="Times New Roman"/>
          <w:b/>
          <w:bCs/>
          <w:kern w:val="0"/>
          <w14:ligatures w14:val="none"/>
        </w:rPr>
        <w:t xml:space="preserve">PG&amp;E’s Automated Response Technology Program (ART) as an ADR Qualified Residential Program. This change allows ART providers to leverage PG&amp;E AutoDR approved funds for smart thermostat rebates, in the event the Golden State Rebates (GSR) program that currently funds these rebates experiences a pause, as occurred in 2025. </w:t>
      </w:r>
    </w:p>
    <w:p w:rsidR="00355086" w:rsidP="00E63906" w:rsidRDefault="00355086" w14:paraId="3D1238E3" w14:textId="77777777">
      <w:pPr>
        <w:spacing w:after="0" w:line="240" w:lineRule="auto"/>
        <w:rPr>
          <w:rFonts w:ascii="Palatino Linotype" w:hAnsi="Palatino Linotype" w:eastAsia="Times New Roman" w:cs="Times New Roman"/>
          <w:kern w:val="0"/>
          <w14:ligatures w14:val="none"/>
        </w:rPr>
      </w:pPr>
    </w:p>
    <w:p w:rsidR="00505BA9" w:rsidP="0089537C" w:rsidRDefault="0089537C" w14:paraId="74B1900E" w14:textId="734FF61E">
      <w:pPr>
        <w:spacing w:after="0" w:line="240" w:lineRule="auto"/>
        <w:rPr>
          <w:rFonts w:ascii="Palatino Linotype" w:hAnsi="Palatino Linotype" w:eastAsia="Palatino Linotype" w:cs="Times New Roman"/>
          <w:kern w:val="0"/>
          <w14:ligatures w14:val="none"/>
        </w:rPr>
      </w:pPr>
      <w:r w:rsidRPr="0089537C">
        <w:rPr>
          <w:rFonts w:ascii="Palatino Linotype" w:hAnsi="Palatino Linotype" w:eastAsia="Palatino Linotype" w:cs="Times New Roman"/>
          <w:kern w:val="0"/>
          <w14:ligatures w14:val="none"/>
        </w:rPr>
        <w:lastRenderedPageBreak/>
        <w:t xml:space="preserve">In </w:t>
      </w:r>
      <w:r w:rsidR="00024F2C">
        <w:rPr>
          <w:rFonts w:ascii="Palatino Linotype" w:hAnsi="Palatino Linotype" w:eastAsia="Palatino Linotype" w:cs="Times New Roman"/>
          <w:kern w:val="0"/>
          <w14:ligatures w14:val="none"/>
        </w:rPr>
        <w:t>AL</w:t>
      </w:r>
      <w:r w:rsidRPr="0089537C">
        <w:rPr>
          <w:rFonts w:ascii="Palatino Linotype" w:hAnsi="Palatino Linotype" w:eastAsia="Palatino Linotype" w:cs="Times New Roman"/>
          <w:kern w:val="0"/>
          <w14:ligatures w14:val="none"/>
        </w:rPr>
        <w:t xml:space="preserve"> 7192-E</w:t>
      </w:r>
      <w:r>
        <w:rPr>
          <w:rStyle w:val="FootnoteReference"/>
          <w:rFonts w:ascii="Palatino Linotype" w:hAnsi="Palatino Linotype" w:eastAsia="Palatino Linotype" w:cs="Times New Roman"/>
          <w:kern w:val="0"/>
          <w14:ligatures w14:val="none"/>
        </w:rPr>
        <w:footnoteReference w:id="6"/>
      </w:r>
      <w:r w:rsidRPr="0089537C">
        <w:rPr>
          <w:rFonts w:ascii="Palatino Linotype" w:hAnsi="Palatino Linotype" w:eastAsia="Palatino Linotype" w:cs="Times New Roman"/>
          <w:kern w:val="0"/>
          <w14:ligatures w14:val="none"/>
        </w:rPr>
        <w:t>, PG&amp;E removed residential incentives of smart thermostats in Appendix A Residential, section “Customer Segment”</w:t>
      </w:r>
      <w:r w:rsidR="005E5781">
        <w:rPr>
          <w:rFonts w:ascii="Palatino Linotype" w:hAnsi="Palatino Linotype" w:eastAsia="Palatino Linotype" w:cs="Times New Roman"/>
          <w:kern w:val="0"/>
          <w14:ligatures w14:val="none"/>
        </w:rPr>
        <w:t xml:space="preserve">, consistent with </w:t>
      </w:r>
      <w:r w:rsidR="004545DE">
        <w:rPr>
          <w:rFonts w:ascii="Palatino Linotype" w:hAnsi="Palatino Linotype" w:eastAsia="Palatino Linotype" w:cs="Times New Roman"/>
          <w:kern w:val="0"/>
          <w14:ligatures w14:val="none"/>
        </w:rPr>
        <w:t>D</w:t>
      </w:r>
      <w:r w:rsidR="00BB51E3">
        <w:rPr>
          <w:rFonts w:ascii="Palatino Linotype" w:hAnsi="Palatino Linotype" w:eastAsia="Palatino Linotype" w:cs="Times New Roman"/>
          <w:kern w:val="0"/>
          <w14:ligatures w14:val="none"/>
        </w:rPr>
        <w:t xml:space="preserve">.23-12-005, </w:t>
      </w:r>
      <w:r w:rsidR="00CD4B42">
        <w:rPr>
          <w:rFonts w:ascii="Palatino Linotype" w:hAnsi="Palatino Linotype" w:eastAsia="Palatino Linotype" w:cs="Times New Roman"/>
          <w:kern w:val="0"/>
          <w14:ligatures w14:val="none"/>
        </w:rPr>
        <w:t>Conclusion of Law</w:t>
      </w:r>
      <w:r w:rsidR="00BB51E3">
        <w:rPr>
          <w:rFonts w:ascii="Palatino Linotype" w:hAnsi="Palatino Linotype" w:eastAsia="Palatino Linotype" w:cs="Times New Roman"/>
          <w:kern w:val="0"/>
          <w14:ligatures w14:val="none"/>
        </w:rPr>
        <w:t xml:space="preserve"> 88</w:t>
      </w:r>
      <w:r w:rsidR="00DA2937">
        <w:rPr>
          <w:rFonts w:ascii="Palatino Linotype" w:hAnsi="Palatino Linotype" w:eastAsia="Palatino Linotype" w:cs="Times New Roman"/>
          <w:kern w:val="0"/>
          <w14:ligatures w14:val="none"/>
        </w:rPr>
        <w:t>.</w:t>
      </w:r>
      <w:r w:rsidR="00C95B61">
        <w:rPr>
          <w:rFonts w:ascii="Palatino Linotype" w:hAnsi="Palatino Linotype" w:eastAsia="Palatino Linotype" w:cs="Times New Roman"/>
          <w:kern w:val="0"/>
          <w14:ligatures w14:val="none"/>
        </w:rPr>
        <w:t xml:space="preserve"> In this decision, </w:t>
      </w:r>
      <w:r w:rsidR="0038519E">
        <w:rPr>
          <w:rFonts w:ascii="Palatino Linotype" w:hAnsi="Palatino Linotype" w:eastAsia="Palatino Linotype" w:cs="Times New Roman"/>
          <w:kern w:val="0"/>
          <w14:ligatures w14:val="none"/>
        </w:rPr>
        <w:t xml:space="preserve">the Commission agreed with PG&amp;E that programs already existed to provide smart thermostat </w:t>
      </w:r>
      <w:r w:rsidR="00F1011E">
        <w:rPr>
          <w:rFonts w:ascii="Palatino Linotype" w:hAnsi="Palatino Linotype" w:eastAsia="Palatino Linotype" w:cs="Times New Roman"/>
          <w:kern w:val="0"/>
          <w14:ligatures w14:val="none"/>
        </w:rPr>
        <w:t>technology incentives</w:t>
      </w:r>
      <w:r w:rsidR="00F1011E">
        <w:rPr>
          <w:rStyle w:val="FootnoteReference"/>
          <w:rFonts w:ascii="Palatino Linotype" w:hAnsi="Palatino Linotype" w:eastAsia="Palatino Linotype" w:cs="Times New Roman"/>
          <w:kern w:val="0"/>
          <w14:ligatures w14:val="none"/>
        </w:rPr>
        <w:footnoteReference w:id="7"/>
      </w:r>
      <w:r w:rsidR="00F1011E">
        <w:rPr>
          <w:rFonts w:ascii="Palatino Linotype" w:hAnsi="Palatino Linotype" w:eastAsia="Palatino Linotype" w:cs="Times New Roman"/>
          <w:kern w:val="0"/>
          <w14:ligatures w14:val="none"/>
        </w:rPr>
        <w:t>.</w:t>
      </w:r>
      <w:r w:rsidR="00DA2937">
        <w:rPr>
          <w:rFonts w:ascii="Palatino Linotype" w:hAnsi="Palatino Linotype" w:eastAsia="Palatino Linotype" w:cs="Times New Roman"/>
          <w:kern w:val="0"/>
          <w14:ligatures w14:val="none"/>
        </w:rPr>
        <w:t xml:space="preserve"> </w:t>
      </w:r>
      <w:r w:rsidR="00BF05CE">
        <w:rPr>
          <w:rFonts w:ascii="Palatino Linotype" w:hAnsi="Palatino Linotype" w:eastAsia="Palatino Linotype" w:cs="Times New Roman"/>
          <w:kern w:val="0"/>
          <w14:ligatures w14:val="none"/>
        </w:rPr>
        <w:t>As a result,</w:t>
      </w:r>
      <w:r w:rsidRPr="0089537C">
        <w:rPr>
          <w:rFonts w:ascii="Palatino Linotype" w:hAnsi="Palatino Linotype" w:eastAsia="Palatino Linotype" w:cs="Times New Roman"/>
          <w:kern w:val="0"/>
          <w14:ligatures w14:val="none"/>
        </w:rPr>
        <w:t xml:space="preserve"> ART program providers relied on </w:t>
      </w:r>
      <w:r w:rsidRPr="0089537C" w:rsidR="00157169">
        <w:rPr>
          <w:rFonts w:ascii="Palatino Linotype" w:hAnsi="Palatino Linotype" w:eastAsia="Palatino Linotype" w:cs="Times New Roman"/>
          <w:kern w:val="0"/>
          <w14:ligatures w14:val="none"/>
        </w:rPr>
        <w:t>the Statewide Energy Efficiency Plug Load and Appliance (PLA) program called Golden State Rebates (GSR)</w:t>
      </w:r>
      <w:r w:rsidR="00505BA9">
        <w:rPr>
          <w:rFonts w:ascii="Palatino Linotype" w:hAnsi="Palatino Linotype" w:eastAsia="Palatino Linotype" w:cs="Times New Roman"/>
          <w:kern w:val="0"/>
          <w14:ligatures w14:val="none"/>
        </w:rPr>
        <w:t xml:space="preserve"> </w:t>
      </w:r>
      <w:r w:rsidR="00710A25">
        <w:rPr>
          <w:rFonts w:ascii="Palatino Linotype" w:hAnsi="Palatino Linotype" w:eastAsia="Palatino Linotype" w:cs="Times New Roman"/>
          <w:kern w:val="0"/>
          <w14:ligatures w14:val="none"/>
        </w:rPr>
        <w:t>to</w:t>
      </w:r>
      <w:r w:rsidR="00505BA9">
        <w:rPr>
          <w:rFonts w:ascii="Palatino Linotype" w:hAnsi="Palatino Linotype" w:eastAsia="Palatino Linotype" w:cs="Times New Roman"/>
          <w:kern w:val="0"/>
          <w14:ligatures w14:val="none"/>
        </w:rPr>
        <w:t xml:space="preserve"> fund </w:t>
      </w:r>
      <w:r w:rsidRPr="0089537C" w:rsidR="00505BA9">
        <w:rPr>
          <w:rFonts w:ascii="Palatino Linotype" w:hAnsi="Palatino Linotype" w:eastAsia="Palatino Linotype" w:cs="Times New Roman"/>
          <w:kern w:val="0"/>
          <w14:ligatures w14:val="none"/>
        </w:rPr>
        <w:t>smart thermostat rebates</w:t>
      </w:r>
      <w:r w:rsidR="00505BA9">
        <w:rPr>
          <w:rFonts w:ascii="Palatino Linotype" w:hAnsi="Palatino Linotype" w:eastAsia="Palatino Linotype" w:cs="Times New Roman"/>
          <w:kern w:val="0"/>
          <w14:ligatures w14:val="none"/>
        </w:rPr>
        <w:t>.</w:t>
      </w:r>
      <w:r w:rsidR="006A3A69">
        <w:rPr>
          <w:rFonts w:ascii="Palatino Linotype" w:hAnsi="Palatino Linotype" w:eastAsia="Palatino Linotype" w:cs="Times New Roman"/>
          <w:kern w:val="0"/>
          <w14:ligatures w14:val="none"/>
        </w:rPr>
        <w:t xml:space="preserve"> </w:t>
      </w:r>
      <w:r w:rsidR="00415916">
        <w:rPr>
          <w:rFonts w:ascii="Palatino Linotype" w:hAnsi="Palatino Linotype" w:eastAsia="Palatino Linotype" w:cs="Times New Roman"/>
          <w:kern w:val="0"/>
          <w14:ligatures w14:val="none"/>
        </w:rPr>
        <w:t>The Commission’s decision</w:t>
      </w:r>
      <w:r w:rsidR="005952BF">
        <w:rPr>
          <w:rFonts w:ascii="Palatino Linotype" w:hAnsi="Palatino Linotype" w:eastAsia="Palatino Linotype" w:cs="Times New Roman"/>
          <w:kern w:val="0"/>
          <w14:ligatures w14:val="none"/>
        </w:rPr>
        <w:t xml:space="preserve"> in D.23-12-005 was conditio</w:t>
      </w:r>
      <w:r w:rsidR="005432B1">
        <w:rPr>
          <w:rFonts w:ascii="Palatino Linotype" w:hAnsi="Palatino Linotype" w:eastAsia="Palatino Linotype" w:cs="Times New Roman"/>
          <w:kern w:val="0"/>
          <w14:ligatures w14:val="none"/>
        </w:rPr>
        <w:t xml:space="preserve">ned on the </w:t>
      </w:r>
      <w:r w:rsidR="00EA05A4">
        <w:rPr>
          <w:rFonts w:ascii="Palatino Linotype" w:hAnsi="Palatino Linotype" w:eastAsia="Palatino Linotype" w:cs="Times New Roman"/>
          <w:kern w:val="0"/>
          <w14:ligatures w14:val="none"/>
        </w:rPr>
        <w:t>GSR</w:t>
      </w:r>
      <w:r w:rsidR="00B660F3">
        <w:rPr>
          <w:rFonts w:ascii="Palatino Linotype" w:hAnsi="Palatino Linotype" w:eastAsia="Palatino Linotype" w:cs="Times New Roman"/>
          <w:kern w:val="0"/>
          <w14:ligatures w14:val="none"/>
        </w:rPr>
        <w:t xml:space="preserve"> program</w:t>
      </w:r>
      <w:r w:rsidR="00EA05A4">
        <w:rPr>
          <w:rFonts w:ascii="Palatino Linotype" w:hAnsi="Palatino Linotype" w:eastAsia="Palatino Linotype" w:cs="Times New Roman"/>
          <w:kern w:val="0"/>
          <w14:ligatures w14:val="none"/>
        </w:rPr>
        <w:t xml:space="preserve"> funding being in place</w:t>
      </w:r>
      <w:r w:rsidR="00B660F3">
        <w:rPr>
          <w:rFonts w:ascii="Palatino Linotype" w:hAnsi="Palatino Linotype" w:eastAsia="Palatino Linotype" w:cs="Times New Roman"/>
          <w:kern w:val="0"/>
          <w14:ligatures w14:val="none"/>
        </w:rPr>
        <w:t xml:space="preserve">. </w:t>
      </w:r>
      <w:r w:rsidRPr="0089537C" w:rsidR="006A3A69">
        <w:rPr>
          <w:rFonts w:ascii="Palatino Linotype" w:hAnsi="Palatino Linotype" w:eastAsia="Palatino Linotype" w:cs="Times New Roman"/>
          <w:kern w:val="0"/>
          <w14:ligatures w14:val="none"/>
        </w:rPr>
        <w:t xml:space="preserve">GSR </w:t>
      </w:r>
      <w:r w:rsidR="00BB6BFF">
        <w:rPr>
          <w:rFonts w:ascii="Palatino Linotype" w:hAnsi="Palatino Linotype" w:eastAsia="Palatino Linotype" w:cs="Times New Roman"/>
          <w:kern w:val="0"/>
          <w14:ligatures w14:val="none"/>
        </w:rPr>
        <w:t>funding</w:t>
      </w:r>
      <w:r w:rsidRPr="0089537C" w:rsidR="006A3A69">
        <w:rPr>
          <w:rFonts w:ascii="Palatino Linotype" w:hAnsi="Palatino Linotype" w:eastAsia="Palatino Linotype" w:cs="Times New Roman"/>
          <w:kern w:val="0"/>
          <w14:ligatures w14:val="none"/>
        </w:rPr>
        <w:t xml:space="preserve"> </w:t>
      </w:r>
      <w:r w:rsidR="00943811">
        <w:rPr>
          <w:rFonts w:ascii="Palatino Linotype" w:hAnsi="Palatino Linotype" w:eastAsia="Palatino Linotype" w:cs="Times New Roman"/>
          <w:kern w:val="0"/>
          <w14:ligatures w14:val="none"/>
        </w:rPr>
        <w:t>was</w:t>
      </w:r>
      <w:r w:rsidRPr="0089537C" w:rsidR="006A3A69">
        <w:rPr>
          <w:rFonts w:ascii="Palatino Linotype" w:hAnsi="Palatino Linotype" w:eastAsia="Palatino Linotype" w:cs="Times New Roman"/>
          <w:kern w:val="0"/>
          <w14:ligatures w14:val="none"/>
        </w:rPr>
        <w:t xml:space="preserve"> inconsistent in 2025, having been offline from </w:t>
      </w:r>
      <w:r w:rsidR="006B0B8E">
        <w:rPr>
          <w:rFonts w:ascii="Palatino Linotype" w:hAnsi="Palatino Linotype" w:eastAsia="Palatino Linotype" w:cs="Times New Roman"/>
          <w:kern w:val="0"/>
          <w14:ligatures w14:val="none"/>
        </w:rPr>
        <w:br/>
      </w:r>
      <w:r w:rsidRPr="0089537C" w:rsidR="006A3A69">
        <w:rPr>
          <w:rFonts w:ascii="Palatino Linotype" w:hAnsi="Palatino Linotype" w:eastAsia="Palatino Linotype" w:cs="Times New Roman"/>
          <w:kern w:val="0"/>
          <w14:ligatures w14:val="none"/>
        </w:rPr>
        <w:t>May – November 2025.</w:t>
      </w:r>
      <w:r w:rsidR="006A3A69">
        <w:rPr>
          <w:rFonts w:ascii="Palatino Linotype" w:hAnsi="Palatino Linotype" w:eastAsia="Palatino Linotype" w:cs="Times New Roman"/>
          <w:kern w:val="0"/>
          <w14:ligatures w14:val="none"/>
        </w:rPr>
        <w:t xml:space="preserve"> During that time, ART providers were without a funding source for smart thermostat rebates.</w:t>
      </w:r>
    </w:p>
    <w:p w:rsidR="004A471C" w:rsidP="0089537C" w:rsidRDefault="004A471C" w14:paraId="60711A4C" w14:textId="77777777">
      <w:pPr>
        <w:spacing w:after="0" w:line="240" w:lineRule="auto"/>
        <w:rPr>
          <w:rFonts w:ascii="Palatino Linotype" w:hAnsi="Palatino Linotype" w:eastAsia="Palatino Linotype" w:cs="Times New Roman"/>
          <w:kern w:val="0"/>
          <w14:ligatures w14:val="none"/>
        </w:rPr>
      </w:pPr>
    </w:p>
    <w:p w:rsidR="00C5366B" w:rsidP="00C5366B" w:rsidRDefault="00FB084D" w14:paraId="38003B16" w14:textId="76295C3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GSR funding has been restored at this point</w:t>
      </w:r>
      <w:r w:rsidR="0087639A">
        <w:rPr>
          <w:rFonts w:ascii="Palatino Linotype" w:hAnsi="Palatino Linotype" w:eastAsia="Palatino Linotype" w:cs="Times New Roman"/>
          <w:kern w:val="0"/>
          <w14:ligatures w14:val="none"/>
        </w:rPr>
        <w:t>, but this proposal allows PG&amp;E’s AutoDR budget</w:t>
      </w:r>
      <w:r w:rsidR="00652B90">
        <w:rPr>
          <w:rFonts w:ascii="Palatino Linotype" w:hAnsi="Palatino Linotype" w:eastAsia="Palatino Linotype" w:cs="Times New Roman"/>
          <w:kern w:val="0"/>
          <w14:ligatures w14:val="none"/>
        </w:rPr>
        <w:t xml:space="preserve"> </w:t>
      </w:r>
      <w:r w:rsidR="00AE6A94">
        <w:rPr>
          <w:rFonts w:ascii="Palatino Linotype" w:hAnsi="Palatino Linotype" w:eastAsia="Palatino Linotype" w:cs="Times New Roman"/>
          <w:kern w:val="0"/>
          <w14:ligatures w14:val="none"/>
        </w:rPr>
        <w:t>funding</w:t>
      </w:r>
      <w:r w:rsidR="0087639A">
        <w:rPr>
          <w:rFonts w:ascii="Palatino Linotype" w:hAnsi="Palatino Linotype" w:eastAsia="Palatino Linotype" w:cs="Times New Roman"/>
          <w:kern w:val="0"/>
          <w14:ligatures w14:val="none"/>
        </w:rPr>
        <w:t xml:space="preserve"> for smart thermostat rebates, should </w:t>
      </w:r>
      <w:r w:rsidR="001C10A8">
        <w:rPr>
          <w:rFonts w:ascii="Palatino Linotype" w:hAnsi="Palatino Linotype" w:eastAsia="Palatino Linotype" w:cs="Times New Roman"/>
          <w:kern w:val="0"/>
          <w14:ligatures w14:val="none"/>
        </w:rPr>
        <w:t>GSR funding become unavailable</w:t>
      </w:r>
      <w:r w:rsidR="00765AFC">
        <w:rPr>
          <w:rFonts w:ascii="Palatino Linotype" w:hAnsi="Palatino Linotype" w:eastAsia="Palatino Linotype" w:cs="Times New Roman"/>
          <w:kern w:val="0"/>
          <w14:ligatures w14:val="none"/>
        </w:rPr>
        <w:t xml:space="preserve"> in the future. AutoDR</w:t>
      </w:r>
      <w:r w:rsidR="001A6D53">
        <w:rPr>
          <w:rFonts w:ascii="Palatino Linotype" w:hAnsi="Palatino Linotype" w:eastAsia="Palatino Linotype" w:cs="Times New Roman"/>
          <w:kern w:val="0"/>
          <w14:ligatures w14:val="none"/>
        </w:rPr>
        <w:t xml:space="preserve"> </w:t>
      </w:r>
      <w:r w:rsidRPr="0089537C" w:rsidR="001A6D53">
        <w:rPr>
          <w:rFonts w:ascii="Palatino Linotype" w:hAnsi="Palatino Linotype" w:eastAsia="Palatino Linotype" w:cs="Times New Roman"/>
          <w:kern w:val="0"/>
          <w14:ligatures w14:val="none"/>
        </w:rPr>
        <w:t xml:space="preserve">incentives would only be used to cover smart thermostat rebates </w:t>
      </w:r>
      <w:r w:rsidR="001A6D53">
        <w:rPr>
          <w:rFonts w:ascii="Palatino Linotype" w:hAnsi="Palatino Linotype" w:eastAsia="Palatino Linotype" w:cs="Times New Roman"/>
          <w:kern w:val="0"/>
          <w14:ligatures w14:val="none"/>
        </w:rPr>
        <w:t xml:space="preserve">in </w:t>
      </w:r>
      <w:r w:rsidR="00E76F81">
        <w:rPr>
          <w:rFonts w:ascii="Palatino Linotype" w:hAnsi="Palatino Linotype" w:eastAsia="Palatino Linotype" w:cs="Times New Roman"/>
          <w:kern w:val="0"/>
          <w14:ligatures w14:val="none"/>
        </w:rPr>
        <w:t xml:space="preserve">the ART program </w:t>
      </w:r>
      <w:r w:rsidRPr="0089537C" w:rsidR="001A6D53">
        <w:rPr>
          <w:rFonts w:ascii="Palatino Linotype" w:hAnsi="Palatino Linotype" w:eastAsia="Palatino Linotype" w:cs="Times New Roman"/>
          <w:kern w:val="0"/>
          <w14:ligatures w14:val="none"/>
        </w:rPr>
        <w:t xml:space="preserve">when GSR </w:t>
      </w:r>
      <w:r w:rsidR="009A4465">
        <w:rPr>
          <w:rFonts w:ascii="Palatino Linotype" w:hAnsi="Palatino Linotype" w:eastAsia="Palatino Linotype" w:cs="Times New Roman"/>
          <w:kern w:val="0"/>
          <w14:ligatures w14:val="none"/>
        </w:rPr>
        <w:t>funding is</w:t>
      </w:r>
      <w:r w:rsidRPr="0089537C" w:rsidR="009A4465">
        <w:rPr>
          <w:rFonts w:ascii="Palatino Linotype" w:hAnsi="Palatino Linotype" w:eastAsia="Palatino Linotype" w:cs="Times New Roman"/>
          <w:kern w:val="0"/>
          <w14:ligatures w14:val="none"/>
        </w:rPr>
        <w:t xml:space="preserve"> </w:t>
      </w:r>
      <w:r w:rsidRPr="0089537C" w:rsidR="001A6D53">
        <w:rPr>
          <w:rFonts w:ascii="Palatino Linotype" w:hAnsi="Palatino Linotype" w:eastAsia="Palatino Linotype" w:cs="Times New Roman"/>
          <w:kern w:val="0"/>
          <w14:ligatures w14:val="none"/>
        </w:rPr>
        <w:t>unavailable.</w:t>
      </w:r>
      <w:r w:rsidR="00714145">
        <w:rPr>
          <w:rFonts w:ascii="Palatino Linotype" w:hAnsi="Palatino Linotype" w:eastAsia="Palatino Linotype" w:cs="Times New Roman"/>
          <w:kern w:val="0"/>
          <w14:ligatures w14:val="none"/>
        </w:rPr>
        <w:t xml:space="preserve"> </w:t>
      </w:r>
      <w:r w:rsidR="00C5366B">
        <w:rPr>
          <w:rFonts w:ascii="Palatino Linotype" w:hAnsi="Palatino Linotype" w:eastAsia="Times New Roman" w:cs="Times New Roman"/>
          <w:kern w:val="0"/>
          <w14:ligatures w14:val="none"/>
        </w:rPr>
        <w:t>The proposed modification is approved.</w:t>
      </w:r>
    </w:p>
    <w:p w:rsidR="00355086" w:rsidP="006B0B8E" w:rsidRDefault="00355086" w14:paraId="1EF29D6C" w14:textId="77777777">
      <w:pPr>
        <w:spacing w:after="120" w:line="240" w:lineRule="auto"/>
        <w:rPr>
          <w:rFonts w:ascii="Palatino Linotype" w:hAnsi="Palatino Linotype" w:eastAsia="Times New Roman" w:cs="Times New Roman"/>
          <w:kern w:val="0"/>
          <w14:ligatures w14:val="none"/>
        </w:rPr>
      </w:pPr>
    </w:p>
    <w:p w:rsidRPr="00CD2DEB" w:rsidR="00CD2DEB" w:rsidP="00CD2DEB" w:rsidRDefault="00CD2DEB" w14:paraId="2E950641" w14:textId="78FC2AB5">
      <w:pPr>
        <w:pStyle w:val="ListParagraph"/>
        <w:numPr>
          <w:ilvl w:val="0"/>
          <w:numId w:val="13"/>
        </w:numPr>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 xml:space="preserve">Appendices A and C - </w:t>
      </w:r>
      <w:r w:rsidRPr="00CD2DEB" w:rsidR="00F0175B">
        <w:rPr>
          <w:rFonts w:ascii="Palatino Linotype" w:hAnsi="Palatino Linotype" w:eastAsia="Times New Roman" w:cs="Times New Roman"/>
          <w:b/>
          <w:bCs/>
          <w:kern w:val="0"/>
          <w14:ligatures w14:val="none"/>
        </w:rPr>
        <w:t>Clarif</w:t>
      </w:r>
      <w:r w:rsidR="00F0175B">
        <w:rPr>
          <w:rFonts w:ascii="Palatino Linotype" w:hAnsi="Palatino Linotype" w:eastAsia="Times New Roman" w:cs="Times New Roman"/>
          <w:b/>
          <w:bCs/>
          <w:kern w:val="0"/>
          <w14:ligatures w14:val="none"/>
        </w:rPr>
        <w:t>ies</w:t>
      </w:r>
      <w:r w:rsidRPr="00CD2DEB" w:rsidR="00F0175B">
        <w:rPr>
          <w:rFonts w:ascii="Palatino Linotype" w:hAnsi="Palatino Linotype" w:eastAsia="Times New Roman" w:cs="Times New Roman"/>
          <w:b/>
          <w:bCs/>
          <w:kern w:val="0"/>
          <w14:ligatures w14:val="none"/>
        </w:rPr>
        <w:t xml:space="preserve"> </w:t>
      </w:r>
      <w:r w:rsidRPr="00CD2DEB">
        <w:rPr>
          <w:rFonts w:ascii="Palatino Linotype" w:hAnsi="Palatino Linotype" w:eastAsia="Times New Roman" w:cs="Times New Roman"/>
          <w:b/>
          <w:bCs/>
          <w:kern w:val="0"/>
          <w14:ligatures w14:val="none"/>
        </w:rPr>
        <w:t>the Cloud-Based Technology Provision</w:t>
      </w:r>
      <w:r w:rsidR="00FC7023">
        <w:rPr>
          <w:rFonts w:ascii="Palatino Linotype" w:hAnsi="Palatino Linotype" w:eastAsia="Times New Roman" w:cs="Times New Roman"/>
          <w:b/>
          <w:bCs/>
          <w:kern w:val="0"/>
          <w14:ligatures w14:val="none"/>
        </w:rPr>
        <w:t>.</w:t>
      </w:r>
    </w:p>
    <w:p w:rsidRPr="00CD2DEB" w:rsidR="00CD2DEB" w:rsidP="00CD2DEB" w:rsidRDefault="006B201C" w14:paraId="261DB113" w14:textId="3002F21E">
      <w:pPr>
        <w:pStyle w:val="ListParagraph"/>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PG&amp;E and SCE</w:t>
      </w:r>
      <w:r w:rsidRPr="00CD2DEB" w:rsidR="00CD2DEB">
        <w:rPr>
          <w:rFonts w:ascii="Palatino Linotype" w:hAnsi="Palatino Linotype" w:eastAsia="Times New Roman" w:cs="Times New Roman"/>
          <w:b/>
          <w:bCs/>
          <w:kern w:val="0"/>
          <w14:ligatures w14:val="none"/>
        </w:rPr>
        <w:t xml:space="preserve"> propose to provide the following clarification to be included in the Guidelines to provide greater customer clarity and support a uniform approach across both PG&amp;E and SCE: “The control must be able to communicate and demonstrate operability using the current Open Auto Demand Response communication protocols and standards (currently OpenADR 2.0a, 2.0b, or 3).</w:t>
      </w:r>
    </w:p>
    <w:p w:rsidRPr="00CD2DEB" w:rsidR="00CD2DEB" w:rsidP="00CD2DEB" w:rsidRDefault="00CD2DEB" w14:paraId="5C1EE7FD" w14:textId="77777777">
      <w:pPr>
        <w:pStyle w:val="ListParagraph"/>
        <w:rPr>
          <w:rFonts w:ascii="Palatino Linotype" w:hAnsi="Palatino Linotype" w:eastAsia="Times New Roman" w:cs="Times New Roman"/>
          <w:b/>
          <w:bCs/>
          <w:kern w:val="0"/>
          <w14:ligatures w14:val="none"/>
        </w:rPr>
      </w:pPr>
    </w:p>
    <w:p w:rsidRPr="00CD2DEB" w:rsidR="00CD2DEB" w:rsidP="00CD2DEB" w:rsidRDefault="00CD2DEB" w14:paraId="28B6B6B1" w14:textId="77777777">
      <w:pPr>
        <w:pStyle w:val="ListParagraph"/>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The control may be located at one of the following:</w:t>
      </w:r>
    </w:p>
    <w:p w:rsidRPr="00CD2DEB" w:rsidR="00CD2DEB" w:rsidP="00CD2DEB" w:rsidRDefault="00CD2DEB" w14:paraId="048B7FB8" w14:textId="77777777">
      <w:pPr>
        <w:pStyle w:val="ListParagraph"/>
        <w:numPr>
          <w:ilvl w:val="1"/>
          <w:numId w:val="13"/>
        </w:numPr>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Onsite – Physical or installed as part of a control or energy management system; or</w:t>
      </w:r>
    </w:p>
    <w:p w:rsidRPr="00CD2DEB" w:rsidR="00CD2DEB" w:rsidP="00CD2DEB" w:rsidRDefault="00CD2DEB" w14:paraId="76AF5A08" w14:textId="50D74A85">
      <w:pPr>
        <w:pStyle w:val="ListParagraph"/>
        <w:numPr>
          <w:ilvl w:val="1"/>
          <w:numId w:val="13"/>
        </w:numPr>
        <w:rPr>
          <w:rFonts w:ascii="Palatino Linotype" w:hAnsi="Palatino Linotype" w:eastAsia="Times New Roman" w:cs="Times New Roman"/>
          <w:b/>
          <w:bCs/>
          <w:kern w:val="0"/>
          <w14:ligatures w14:val="none"/>
        </w:rPr>
      </w:pPr>
      <w:r w:rsidRPr="00CD2DEB">
        <w:rPr>
          <w:rFonts w:ascii="Palatino Linotype" w:hAnsi="Palatino Linotype" w:eastAsia="Times New Roman" w:cs="Times New Roman"/>
          <w:b/>
          <w:bCs/>
          <w:kern w:val="0"/>
          <w14:ligatures w14:val="none"/>
        </w:rPr>
        <w:t>Cloud level – Centralized at the manufacturer app or portal, demand response aggregator, or customer control or energy management system.”</w:t>
      </w:r>
    </w:p>
    <w:p w:rsidR="00355086" w:rsidP="00E63906" w:rsidRDefault="00355086" w14:paraId="50723EEB" w14:textId="77777777">
      <w:pPr>
        <w:spacing w:after="0" w:line="240" w:lineRule="auto"/>
        <w:rPr>
          <w:rFonts w:ascii="Palatino Linotype" w:hAnsi="Palatino Linotype" w:eastAsia="Times New Roman" w:cs="Times New Roman"/>
          <w:kern w:val="0"/>
          <w14:ligatures w14:val="none"/>
        </w:rPr>
      </w:pPr>
    </w:p>
    <w:p w:rsidR="00636AF2" w:rsidP="00E63906" w:rsidRDefault="00636AF2" w14:paraId="4D5FEFB6" w14:textId="203C6EE0">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the AL, </w:t>
      </w:r>
      <w:r w:rsidR="007D18E3">
        <w:rPr>
          <w:rFonts w:ascii="Palatino Linotype" w:hAnsi="Palatino Linotype" w:eastAsia="Times New Roman" w:cs="Times New Roman"/>
          <w:kern w:val="0"/>
          <w14:ligatures w14:val="none"/>
        </w:rPr>
        <w:t>PG&amp;E and SCE provide the following additional information about this proposed change:</w:t>
      </w:r>
    </w:p>
    <w:p w:rsidR="007D18E3" w:rsidP="00E63906" w:rsidRDefault="007D18E3" w14:paraId="6BBCCA1E" w14:textId="77777777">
      <w:pPr>
        <w:spacing w:after="0" w:line="240" w:lineRule="auto"/>
        <w:rPr>
          <w:rFonts w:ascii="Palatino Linotype" w:hAnsi="Palatino Linotype" w:eastAsia="Times New Roman" w:cs="Times New Roman"/>
          <w:kern w:val="0"/>
          <w14:ligatures w14:val="none"/>
        </w:rPr>
      </w:pPr>
    </w:p>
    <w:p w:rsidRPr="00161CBB" w:rsidR="007D18E3" w:rsidP="00161CBB" w:rsidRDefault="007D18E3" w14:paraId="3643C3F9" w14:textId="25081DFD">
      <w:pPr>
        <w:spacing w:after="0" w:line="240" w:lineRule="auto"/>
        <w:ind w:left="540" w:right="720"/>
        <w:rPr>
          <w:rFonts w:ascii="Palatino Linotype" w:hAnsi="Palatino Linotype" w:eastAsia="Times New Roman" w:cs="Times New Roman"/>
          <w:i/>
          <w:iCs/>
          <w:kern w:val="0"/>
          <w14:ligatures w14:val="none"/>
        </w:rPr>
      </w:pPr>
      <w:r w:rsidRPr="00161CBB">
        <w:rPr>
          <w:rFonts w:ascii="Palatino Linotype" w:hAnsi="Palatino Linotype" w:eastAsia="Times New Roman" w:cs="Times New Roman"/>
          <w:i/>
          <w:iCs/>
          <w:kern w:val="0"/>
          <w14:ligatures w14:val="none"/>
        </w:rPr>
        <w:t>At page 53 and in OP 6</w:t>
      </w:r>
      <w:r w:rsidRPr="00161CBB" w:rsidR="00964F0B">
        <w:rPr>
          <w:rFonts w:ascii="Palatino Linotype" w:hAnsi="Palatino Linotype" w:eastAsia="Times New Roman" w:cs="Times New Roman"/>
          <w:i/>
          <w:iCs/>
          <w:kern w:val="0"/>
          <w14:ligatures w14:val="none"/>
        </w:rPr>
        <w:t>.g</w:t>
      </w:r>
      <w:r w:rsidRPr="00161CBB">
        <w:rPr>
          <w:rFonts w:ascii="Palatino Linotype" w:hAnsi="Palatino Linotype" w:eastAsia="Times New Roman" w:cs="Times New Roman"/>
          <w:i/>
          <w:iCs/>
          <w:kern w:val="0"/>
          <w14:ligatures w14:val="none"/>
        </w:rPr>
        <w:t xml:space="preserve"> of D.18-11-029, the CPUC identified policies associated with ADR control incentives. As the Commission explained, “the control must be able to communicate and demonstrate operability using the current Open ADR communication protocols and standards (currently OpenADR 2.0a or 2.0b). The control may be located either on site or (as part of a control system) on site and at the manufacturer/demand response aggregator or provider cloud level. Only the customer is eligible for the ADR control incentive, not the aggregator, DR provider, or manufacturer cloud portion of the control</w:t>
      </w:r>
      <w:r w:rsidRPr="00161CBB" w:rsidR="00207684">
        <w:rPr>
          <w:rFonts w:ascii="Palatino Linotype" w:hAnsi="Palatino Linotype" w:eastAsia="Times New Roman" w:cs="Times New Roman"/>
          <w:i/>
          <w:iCs/>
          <w:kern w:val="0"/>
          <w14:ligatures w14:val="none"/>
        </w:rPr>
        <w:t>.</w:t>
      </w:r>
      <w:r w:rsidRPr="00161CBB">
        <w:rPr>
          <w:rFonts w:ascii="Palatino Linotype" w:hAnsi="Palatino Linotype" w:eastAsia="Times New Roman" w:cs="Times New Roman"/>
          <w:i/>
          <w:iCs/>
          <w:kern w:val="0"/>
          <w14:ligatures w14:val="none"/>
        </w:rPr>
        <w:t>”</w:t>
      </w:r>
      <w:r w:rsidRPr="00161CBB" w:rsidR="00807A3F">
        <w:rPr>
          <w:rStyle w:val="FootnoteReference"/>
          <w:rFonts w:ascii="Palatino Linotype" w:hAnsi="Palatino Linotype" w:eastAsia="Times New Roman" w:cs="Times New Roman"/>
          <w:i/>
          <w:iCs/>
          <w:kern w:val="0"/>
          <w14:ligatures w14:val="none"/>
        </w:rPr>
        <w:footnoteReference w:id="8"/>
      </w:r>
    </w:p>
    <w:p w:rsidRPr="00161CBB" w:rsidR="00355086" w:rsidP="00161CBB" w:rsidRDefault="00355086" w14:paraId="64E25DBF" w14:textId="77777777">
      <w:pPr>
        <w:spacing w:after="0" w:line="240" w:lineRule="auto"/>
        <w:ind w:left="540" w:right="720"/>
        <w:rPr>
          <w:rFonts w:ascii="Palatino Linotype" w:hAnsi="Palatino Linotype" w:eastAsia="Palatino Linotype" w:cs="Times New Roman"/>
          <w:i/>
          <w:iCs/>
          <w:kern w:val="0"/>
          <w14:ligatures w14:val="none"/>
        </w:rPr>
      </w:pPr>
    </w:p>
    <w:p w:rsidRPr="00161CBB" w:rsidR="007A6D43" w:rsidP="00161CBB" w:rsidRDefault="007A6D43" w14:paraId="7793A941" w14:textId="77777777">
      <w:pPr>
        <w:spacing w:after="0" w:line="240" w:lineRule="auto"/>
        <w:ind w:left="540" w:right="720"/>
        <w:contextualSpacing/>
        <w:rPr>
          <w:rFonts w:ascii="Palatino Linotype" w:hAnsi="Palatino Linotype" w:eastAsia="Palatino Linotype" w:cs="Times New Roman"/>
          <w:i/>
          <w:iCs/>
          <w:kern w:val="0"/>
          <w14:ligatures w14:val="none"/>
        </w:rPr>
      </w:pPr>
      <w:r w:rsidRPr="00161CBB">
        <w:rPr>
          <w:rFonts w:ascii="Palatino Linotype" w:hAnsi="Palatino Linotype" w:eastAsia="Times New Roman" w:cs="Times New Roman"/>
          <w:i/>
          <w:iCs/>
          <w:kern w:val="0"/>
          <w14:ligatures w14:val="none"/>
        </w:rPr>
        <w:t>IOUs recently identified that the sentence structure of this section rendered different interpretations and subsequent implementations.</w:t>
      </w:r>
    </w:p>
    <w:p w:rsidR="007A6D43" w:rsidP="00E63906" w:rsidRDefault="007A6D43" w14:paraId="0B207776" w14:textId="77777777">
      <w:pPr>
        <w:spacing w:after="0" w:line="240" w:lineRule="auto"/>
        <w:rPr>
          <w:rFonts w:ascii="Palatino Linotype" w:hAnsi="Palatino Linotype" w:eastAsia="Palatino Linotype" w:cs="Times New Roman"/>
          <w:kern w:val="0"/>
          <w14:ligatures w14:val="none"/>
        </w:rPr>
      </w:pPr>
    </w:p>
    <w:p w:rsidR="00161CBB" w:rsidP="00E63906" w:rsidRDefault="00161CBB" w14:paraId="6A781A13" w14:textId="50F4561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And later:</w:t>
      </w:r>
    </w:p>
    <w:p w:rsidR="00161CBB" w:rsidP="00E63906" w:rsidRDefault="00161CBB" w14:paraId="288F899E" w14:textId="77777777">
      <w:pPr>
        <w:spacing w:after="0" w:line="240" w:lineRule="auto"/>
        <w:rPr>
          <w:rFonts w:ascii="Palatino Linotype" w:hAnsi="Palatino Linotype" w:eastAsia="Palatino Linotype" w:cs="Times New Roman"/>
          <w:kern w:val="0"/>
          <w14:ligatures w14:val="none"/>
        </w:rPr>
      </w:pPr>
    </w:p>
    <w:p w:rsidRPr="00161CBB" w:rsidR="00161CBB" w:rsidP="00161CBB" w:rsidRDefault="00161CBB" w14:paraId="7AAE8920" w14:textId="2ED9AF00">
      <w:pPr>
        <w:spacing w:after="0" w:line="240" w:lineRule="auto"/>
        <w:ind w:left="540" w:right="720"/>
        <w:contextualSpacing/>
        <w:rPr>
          <w:rFonts w:ascii="Palatino Linotype" w:hAnsi="Palatino Linotype" w:eastAsia="Times New Roman" w:cs="Times New Roman"/>
          <w:i/>
          <w:iCs/>
          <w:kern w:val="0"/>
          <w14:ligatures w14:val="none"/>
        </w:rPr>
      </w:pPr>
      <w:r w:rsidRPr="00161CBB">
        <w:rPr>
          <w:rFonts w:ascii="Palatino Linotype" w:hAnsi="Palatino Linotype" w:eastAsia="Times New Roman" w:cs="Times New Roman"/>
          <w:i/>
          <w:iCs/>
          <w:kern w:val="0"/>
          <w14:ligatures w14:val="none"/>
        </w:rPr>
        <w:t>SCE will align its ADR Express option with PG&amp;E’s current practice. This operational change will expand SCE customer eligibility for cloud-based controls with incentives for those customers with peak demand at or greater than 200 kW. Further, in alignment with PG&amp;E and current technology and industry practice, SCE will no longer require the customer’s on-site controls to be OpenADR certified for cloud-based projects because cloud-level controls only require OpenADR at the manufacturer, DR aggregator or provider cloud-level. Assuming there are no protests specific to the SCE-specific operational updates that would expand eligibility, align with PG&amp;E, and current technology and industry practice</w:t>
      </w:r>
      <w:r w:rsidR="0064243D">
        <w:rPr>
          <w:rFonts w:ascii="Palatino Linotype" w:hAnsi="Palatino Linotype" w:eastAsia="Times New Roman" w:cs="Times New Roman"/>
          <w:i/>
          <w:iCs/>
          <w:kern w:val="0"/>
          <w14:ligatures w14:val="none"/>
        </w:rPr>
        <w:t>…</w:t>
      </w:r>
    </w:p>
    <w:p w:rsidR="007A6D43" w:rsidP="00161CBB" w:rsidRDefault="007A6D43" w14:paraId="770CDD94" w14:textId="77777777">
      <w:pPr>
        <w:spacing w:after="0" w:line="240" w:lineRule="auto"/>
        <w:ind w:left="540" w:right="720"/>
        <w:contextualSpacing/>
        <w:rPr>
          <w:rFonts w:ascii="Palatino Linotype" w:hAnsi="Palatino Linotype" w:eastAsia="Times New Roman" w:cs="Times New Roman"/>
          <w:i/>
          <w:iCs/>
          <w:kern w:val="0"/>
          <w14:ligatures w14:val="none"/>
        </w:rPr>
      </w:pPr>
    </w:p>
    <w:p w:rsidR="00B83A1A" w:rsidP="00C81CC1" w:rsidRDefault="00C81CC1" w14:paraId="2EF52A74" w14:textId="56441FAB">
      <w:pPr>
        <w:pStyle w:val="10sp0"/>
        <w:spacing w:after="0"/>
        <w:rPr>
          <w:rFonts w:ascii="Palatino Linotype" w:hAnsi="Palatino Linotype"/>
        </w:rPr>
      </w:pPr>
      <w:r w:rsidRPr="00C81CC1">
        <w:rPr>
          <w:rFonts w:ascii="Palatino Linotype" w:hAnsi="Palatino Linotype"/>
        </w:rPr>
        <w:t xml:space="preserve">Prior to the introduction of </w:t>
      </w:r>
      <w:r>
        <w:rPr>
          <w:rFonts w:ascii="Palatino Linotype" w:hAnsi="Palatino Linotype"/>
        </w:rPr>
        <w:t>requirements for OpenADR</w:t>
      </w:r>
      <w:r w:rsidR="00C872F3">
        <w:rPr>
          <w:rFonts w:ascii="Palatino Linotype" w:hAnsi="Palatino Linotype"/>
        </w:rPr>
        <w:t xml:space="preserve"> as a standardized communication protocol for AutoDR controls</w:t>
      </w:r>
      <w:r w:rsidR="007871EF">
        <w:rPr>
          <w:rFonts w:ascii="Palatino Linotype" w:hAnsi="Palatino Linotype"/>
        </w:rPr>
        <w:t xml:space="preserve"> in D.18-11-029, each participating IOU had unique </w:t>
      </w:r>
      <w:r w:rsidR="00B1304A">
        <w:rPr>
          <w:rFonts w:ascii="Palatino Linotype" w:hAnsi="Palatino Linotype"/>
        </w:rPr>
        <w:t>control communication requirements</w:t>
      </w:r>
      <w:r w:rsidR="000371EF">
        <w:rPr>
          <w:rFonts w:ascii="Palatino Linotype" w:hAnsi="Palatino Linotype"/>
        </w:rPr>
        <w:t xml:space="preserve">, both </w:t>
      </w:r>
      <w:r w:rsidR="0025513C">
        <w:rPr>
          <w:rFonts w:ascii="Palatino Linotype" w:hAnsi="Palatino Linotype"/>
        </w:rPr>
        <w:t xml:space="preserve">with </w:t>
      </w:r>
      <w:r w:rsidR="000371EF">
        <w:rPr>
          <w:rFonts w:ascii="Palatino Linotype" w:hAnsi="Palatino Linotype"/>
        </w:rPr>
        <w:t xml:space="preserve">respect to </w:t>
      </w:r>
      <w:r w:rsidR="00B83A1A">
        <w:rPr>
          <w:rFonts w:ascii="Palatino Linotype" w:hAnsi="Palatino Linotype"/>
        </w:rPr>
        <w:t>technical communication standard, and whether a cloud-based controls platform would suffice</w:t>
      </w:r>
      <w:r w:rsidR="00B1304A">
        <w:rPr>
          <w:rFonts w:ascii="Palatino Linotype" w:hAnsi="Palatino Linotype"/>
        </w:rPr>
        <w:t>.</w:t>
      </w:r>
    </w:p>
    <w:p w:rsidR="00B83A1A" w:rsidP="00C81CC1" w:rsidRDefault="00B83A1A" w14:paraId="23ACB7AC" w14:textId="77777777">
      <w:pPr>
        <w:pStyle w:val="10sp0"/>
        <w:spacing w:after="0"/>
        <w:rPr>
          <w:rFonts w:ascii="Palatino Linotype" w:hAnsi="Palatino Linotype"/>
        </w:rPr>
      </w:pPr>
    </w:p>
    <w:p w:rsidRPr="00C81CC1" w:rsidR="0064243D" w:rsidP="00C81CC1" w:rsidRDefault="004A3776" w14:paraId="666AAE71" w14:textId="7C0F36E5">
      <w:pPr>
        <w:pStyle w:val="10sp0"/>
        <w:spacing w:after="0"/>
        <w:rPr>
          <w:rFonts w:ascii="Palatino Linotype" w:hAnsi="Palatino Linotype"/>
        </w:rPr>
      </w:pPr>
      <w:r>
        <w:rPr>
          <w:rFonts w:ascii="Palatino Linotype" w:hAnsi="Palatino Linotype"/>
        </w:rPr>
        <w:lastRenderedPageBreak/>
        <w:t>In the proceedings which informed D.18-11-029</w:t>
      </w:r>
      <w:r w:rsidR="00D6679A">
        <w:rPr>
          <w:rStyle w:val="FootnoteReference"/>
          <w:rFonts w:ascii="Palatino Linotype" w:hAnsi="Palatino Linotype"/>
        </w:rPr>
        <w:footnoteReference w:id="9"/>
      </w:r>
      <w:r>
        <w:rPr>
          <w:rFonts w:ascii="Palatino Linotype" w:hAnsi="Palatino Linotype"/>
        </w:rPr>
        <w:t xml:space="preserve">, </w:t>
      </w:r>
      <w:r w:rsidR="00CE2127">
        <w:rPr>
          <w:rFonts w:ascii="Palatino Linotype" w:hAnsi="Palatino Linotype"/>
        </w:rPr>
        <w:t xml:space="preserve">several </w:t>
      </w:r>
      <w:r w:rsidR="004D56F2">
        <w:rPr>
          <w:rFonts w:ascii="Palatino Linotype" w:hAnsi="Palatino Linotype"/>
        </w:rPr>
        <w:t>engagement session</w:t>
      </w:r>
      <w:r w:rsidR="0065732D">
        <w:rPr>
          <w:rFonts w:ascii="Palatino Linotype" w:hAnsi="Palatino Linotype"/>
        </w:rPr>
        <w:t>s</w:t>
      </w:r>
      <w:r w:rsidR="004D56F2">
        <w:rPr>
          <w:rFonts w:ascii="Palatino Linotype" w:hAnsi="Palatino Linotype"/>
        </w:rPr>
        <w:t xml:space="preserve"> with parties (</w:t>
      </w:r>
      <w:r w:rsidR="004B0A70">
        <w:rPr>
          <w:rFonts w:ascii="Palatino Linotype" w:hAnsi="Palatino Linotype"/>
        </w:rPr>
        <w:t xml:space="preserve">i.e., </w:t>
      </w:r>
      <w:r w:rsidR="00AC6CD9">
        <w:rPr>
          <w:rFonts w:ascii="Palatino Linotype" w:hAnsi="Palatino Linotype"/>
        </w:rPr>
        <w:t>discussion</w:t>
      </w:r>
      <w:r w:rsidR="00003374">
        <w:rPr>
          <w:rFonts w:ascii="Palatino Linotype" w:hAnsi="Palatino Linotype"/>
        </w:rPr>
        <w:t>s</w:t>
      </w:r>
      <w:r w:rsidR="00AC6CD9">
        <w:rPr>
          <w:rFonts w:ascii="Palatino Linotype" w:hAnsi="Palatino Linotype"/>
        </w:rPr>
        <w:t xml:space="preserve"> via teleconference and workshop)</w:t>
      </w:r>
      <w:r w:rsidR="004B0A70">
        <w:rPr>
          <w:rFonts w:ascii="Palatino Linotype" w:hAnsi="Palatino Linotype"/>
        </w:rPr>
        <w:t xml:space="preserve"> occurred</w:t>
      </w:r>
      <w:r w:rsidR="00AC6CD9">
        <w:rPr>
          <w:rFonts w:ascii="Palatino Linotype" w:hAnsi="Palatino Linotype"/>
        </w:rPr>
        <w:t xml:space="preserve">. Following these discussions, the Administrative Law Judge </w:t>
      </w:r>
      <w:r w:rsidR="00C23ADE">
        <w:rPr>
          <w:rFonts w:ascii="Palatino Linotype" w:hAnsi="Palatino Linotype"/>
        </w:rPr>
        <w:t xml:space="preserve">(ALJ) issued a ruling requesting responses to </w:t>
      </w:r>
      <w:r w:rsidR="000C1737">
        <w:rPr>
          <w:rFonts w:ascii="Palatino Linotype" w:hAnsi="Palatino Linotype"/>
        </w:rPr>
        <w:t xml:space="preserve">several </w:t>
      </w:r>
      <w:r w:rsidR="00C23ADE">
        <w:rPr>
          <w:rFonts w:ascii="Palatino Linotype" w:hAnsi="Palatino Linotype"/>
        </w:rPr>
        <w:t>questions</w:t>
      </w:r>
      <w:r w:rsidR="00F0355E">
        <w:rPr>
          <w:rFonts w:ascii="Palatino Linotype" w:hAnsi="Palatino Linotype"/>
        </w:rPr>
        <w:t>.</w:t>
      </w:r>
      <w:r w:rsidR="00C23ADE">
        <w:rPr>
          <w:rStyle w:val="FootnoteReference"/>
          <w:rFonts w:ascii="Palatino Linotype" w:hAnsi="Palatino Linotype"/>
        </w:rPr>
        <w:footnoteReference w:id="10"/>
      </w:r>
      <w:r w:rsidR="00F0355E">
        <w:rPr>
          <w:rFonts w:ascii="Palatino Linotype" w:hAnsi="Palatino Linotype"/>
        </w:rPr>
        <w:t xml:space="preserve"> The questions covered a range of topics, including</w:t>
      </w:r>
      <w:r w:rsidR="00637764">
        <w:rPr>
          <w:rFonts w:ascii="Palatino Linotype" w:hAnsi="Palatino Linotype"/>
        </w:rPr>
        <w:t xml:space="preserve"> section 2.3</w:t>
      </w:r>
      <w:r w:rsidR="000E2E3E">
        <w:rPr>
          <w:rStyle w:val="FootnoteReference"/>
          <w:rFonts w:ascii="Palatino Linotype" w:hAnsi="Palatino Linotype"/>
        </w:rPr>
        <w:footnoteReference w:id="11"/>
      </w:r>
      <w:r w:rsidR="00075523">
        <w:rPr>
          <w:rFonts w:ascii="Palatino Linotype" w:hAnsi="Palatino Linotype"/>
        </w:rPr>
        <w:t xml:space="preserve"> </w:t>
      </w:r>
      <w:r w:rsidR="00637764">
        <w:rPr>
          <w:rFonts w:ascii="Palatino Linotype" w:hAnsi="Palatino Linotype"/>
        </w:rPr>
        <w:t xml:space="preserve"> covering multiple issues for AutoDR Incentiv</w:t>
      </w:r>
      <w:r w:rsidR="000A72FC">
        <w:rPr>
          <w:rFonts w:ascii="Palatino Linotype" w:hAnsi="Palatino Linotype"/>
        </w:rPr>
        <w:t xml:space="preserve">e Policy. Question 3 of that section specifically asked stakeholders to weigh in on </w:t>
      </w:r>
      <w:r w:rsidR="00305144">
        <w:rPr>
          <w:rFonts w:ascii="Palatino Linotype" w:hAnsi="Palatino Linotype"/>
        </w:rPr>
        <w:t xml:space="preserve">OpenADR as a required communication protocol for </w:t>
      </w:r>
      <w:r w:rsidR="00D01BAB">
        <w:rPr>
          <w:rFonts w:ascii="Palatino Linotype" w:hAnsi="Palatino Linotype"/>
        </w:rPr>
        <w:t xml:space="preserve">AutoDR incentives. </w:t>
      </w:r>
      <w:r w:rsidR="00DA5F2E">
        <w:rPr>
          <w:rFonts w:ascii="Palatino Linotype" w:hAnsi="Palatino Linotype"/>
        </w:rPr>
        <w:t>Stakeholder comments</w:t>
      </w:r>
      <w:r w:rsidR="007E76AC">
        <w:rPr>
          <w:rFonts w:ascii="Palatino Linotype" w:hAnsi="Palatino Linotype"/>
        </w:rPr>
        <w:t xml:space="preserve"> in response to these questions</w:t>
      </w:r>
      <w:r w:rsidR="00DA5F2E">
        <w:rPr>
          <w:rFonts w:ascii="Palatino Linotype" w:hAnsi="Palatino Linotype"/>
        </w:rPr>
        <w:t xml:space="preserve"> </w:t>
      </w:r>
      <w:r w:rsidR="007E76AC">
        <w:rPr>
          <w:rFonts w:ascii="Palatino Linotype" w:hAnsi="Palatino Linotype"/>
        </w:rPr>
        <w:t xml:space="preserve">were filed by July 20, 2018. </w:t>
      </w:r>
      <w:r w:rsidR="00D01BAB">
        <w:rPr>
          <w:rFonts w:ascii="Palatino Linotype" w:hAnsi="Palatino Linotype"/>
        </w:rPr>
        <w:t xml:space="preserve">In </w:t>
      </w:r>
      <w:r w:rsidR="00FB763B">
        <w:rPr>
          <w:rFonts w:ascii="Palatino Linotype" w:hAnsi="Palatino Linotype"/>
        </w:rPr>
        <w:t xml:space="preserve">a </w:t>
      </w:r>
      <w:r w:rsidR="00D01BAB">
        <w:rPr>
          <w:rFonts w:ascii="Palatino Linotype" w:hAnsi="Palatino Linotype"/>
        </w:rPr>
        <w:t>review of the stakeholder comments</w:t>
      </w:r>
      <w:r w:rsidR="00D56656">
        <w:rPr>
          <w:rFonts w:ascii="Palatino Linotype" w:hAnsi="Palatino Linotype"/>
        </w:rPr>
        <w:t xml:space="preserve"> responsive to this particular question</w:t>
      </w:r>
      <w:r w:rsidR="00D01BAB">
        <w:rPr>
          <w:rFonts w:ascii="Palatino Linotype" w:hAnsi="Palatino Linotype"/>
        </w:rPr>
        <w:t xml:space="preserve">, it is clear there was a shared understanding, at the time, that </w:t>
      </w:r>
      <w:r w:rsidR="00D56656">
        <w:rPr>
          <w:rFonts w:ascii="Palatino Linotype" w:hAnsi="Palatino Linotype"/>
        </w:rPr>
        <w:t xml:space="preserve">the intention </w:t>
      </w:r>
      <w:r w:rsidR="00B47934">
        <w:rPr>
          <w:rFonts w:ascii="Palatino Linotype" w:hAnsi="Palatino Linotype"/>
        </w:rPr>
        <w:t xml:space="preserve">of the </w:t>
      </w:r>
      <w:r w:rsidR="003267C1">
        <w:rPr>
          <w:rFonts w:ascii="Palatino Linotype" w:hAnsi="Palatino Linotype"/>
        </w:rPr>
        <w:t xml:space="preserve">standardized criteria for control eligibility </w:t>
      </w:r>
      <w:r w:rsidR="00A5644D">
        <w:rPr>
          <w:rFonts w:ascii="Palatino Linotype" w:hAnsi="Palatino Linotype"/>
        </w:rPr>
        <w:t xml:space="preserve">for customers </w:t>
      </w:r>
      <w:r w:rsidR="00D21F3F">
        <w:rPr>
          <w:rFonts w:ascii="Palatino Linotype" w:hAnsi="Palatino Linotype"/>
        </w:rPr>
        <w:t xml:space="preserve">qualifying either for residential (Appendix A) or </w:t>
      </w:r>
      <w:r w:rsidR="009C0EF7">
        <w:rPr>
          <w:rFonts w:ascii="Palatino Linotype" w:hAnsi="Palatino Linotype"/>
        </w:rPr>
        <w:t>small and medium business</w:t>
      </w:r>
      <w:r w:rsidR="00704252">
        <w:rPr>
          <w:rFonts w:ascii="Palatino Linotype" w:hAnsi="Palatino Linotype"/>
        </w:rPr>
        <w:t xml:space="preserve"> class deemed incentives (Appendix C) was to allow </w:t>
      </w:r>
      <w:r w:rsidR="00ED068F">
        <w:rPr>
          <w:rFonts w:ascii="Palatino Linotype" w:hAnsi="Palatino Linotype"/>
        </w:rPr>
        <w:t>the option for cloud-level controls</w:t>
      </w:r>
      <w:r w:rsidR="0058535F">
        <w:rPr>
          <w:rFonts w:ascii="Palatino Linotype" w:hAnsi="Palatino Linotype"/>
        </w:rPr>
        <w:t xml:space="preserve"> responsive to an OpenADR signal</w:t>
      </w:r>
      <w:r w:rsidR="00711FC2">
        <w:rPr>
          <w:rFonts w:ascii="Palatino Linotype" w:hAnsi="Palatino Linotype"/>
        </w:rPr>
        <w:t xml:space="preserve"> at a centralized </w:t>
      </w:r>
      <w:r w:rsidR="00B40D50">
        <w:rPr>
          <w:rFonts w:ascii="Palatino Linotype" w:hAnsi="Palatino Linotype"/>
        </w:rPr>
        <w:t>control, not necessarily requiring on-site device-level responsiveness to an OpenADR signal.</w:t>
      </w:r>
      <w:r w:rsidR="006E4BA6">
        <w:rPr>
          <w:rFonts w:ascii="Palatino Linotype" w:hAnsi="Palatino Linotype"/>
        </w:rPr>
        <w:t xml:space="preserve"> </w:t>
      </w:r>
      <w:r w:rsidR="00AC3A22">
        <w:rPr>
          <w:rFonts w:ascii="Palatino Linotype" w:hAnsi="Palatino Linotype"/>
        </w:rPr>
        <w:t xml:space="preserve">This additional information bolsters support for </w:t>
      </w:r>
      <w:r w:rsidR="00BB0D9A">
        <w:rPr>
          <w:rFonts w:ascii="Palatino Linotype" w:hAnsi="Palatino Linotype"/>
        </w:rPr>
        <w:t>the IOUs</w:t>
      </w:r>
      <w:r w:rsidR="00100565">
        <w:rPr>
          <w:rFonts w:ascii="Palatino Linotype" w:hAnsi="Palatino Linotype"/>
        </w:rPr>
        <w:t>’</w:t>
      </w:r>
      <w:r w:rsidR="00BB0D9A">
        <w:rPr>
          <w:rFonts w:ascii="Palatino Linotype" w:hAnsi="Palatino Linotype"/>
        </w:rPr>
        <w:t xml:space="preserve"> position that the clarification proposed is consistent with the Commission’s original intent in the ruling. </w:t>
      </w:r>
    </w:p>
    <w:p w:rsidRPr="00161CBB" w:rsidR="0064243D" w:rsidP="00161CBB" w:rsidRDefault="0064243D" w14:paraId="5FFD3615" w14:textId="77777777">
      <w:pPr>
        <w:spacing w:after="0" w:line="240" w:lineRule="auto"/>
        <w:ind w:left="540" w:right="720"/>
        <w:contextualSpacing/>
        <w:rPr>
          <w:rFonts w:ascii="Palatino Linotype" w:hAnsi="Palatino Linotype" w:eastAsia="Times New Roman" w:cs="Times New Roman"/>
          <w:i/>
          <w:iCs/>
          <w:kern w:val="0"/>
          <w14:ligatures w14:val="none"/>
        </w:rPr>
      </w:pPr>
    </w:p>
    <w:p w:rsidR="0064243D" w:rsidP="0064243D" w:rsidRDefault="00DA1630" w14:paraId="0D5C3233" w14:textId="28DF6C6C">
      <w:pPr>
        <w:pStyle w:val="10sp0"/>
        <w:spacing w:after="0"/>
        <w:rPr>
          <w:rFonts w:ascii="Palatino Linotype" w:hAnsi="Palatino Linotype" w:eastAsia="Times New Roman"/>
        </w:rPr>
      </w:pPr>
      <w:r>
        <w:rPr>
          <w:rFonts w:ascii="Palatino Linotype" w:hAnsi="Palatino Linotype"/>
        </w:rPr>
        <w:t xml:space="preserve">We find the proposed clarification of language </w:t>
      </w:r>
      <w:r w:rsidR="001F1FDD">
        <w:rPr>
          <w:rFonts w:ascii="Palatino Linotype" w:hAnsi="Palatino Linotype"/>
        </w:rPr>
        <w:t xml:space="preserve">in the </w:t>
      </w:r>
      <w:r w:rsidRPr="00AC5F86" w:rsidR="001F1FDD">
        <w:rPr>
          <w:rFonts w:ascii="Palatino Linotype" w:hAnsi="Palatino Linotype" w:eastAsia="Times New Roman"/>
        </w:rPr>
        <w:t xml:space="preserve">Cloud-Based Technology Provision of the AutoDR </w:t>
      </w:r>
      <w:r w:rsidRPr="00AC5F86" w:rsidR="006F2050">
        <w:rPr>
          <w:rFonts w:ascii="Palatino Linotype" w:hAnsi="Palatino Linotype" w:eastAsia="Times New Roman"/>
        </w:rPr>
        <w:t>Guidelines</w:t>
      </w:r>
      <w:r w:rsidR="00314E21">
        <w:rPr>
          <w:rFonts w:ascii="Palatino Linotype" w:hAnsi="Palatino Linotype" w:eastAsia="Times New Roman"/>
        </w:rPr>
        <w:t xml:space="preserve"> (Appendices A &amp; C)</w:t>
      </w:r>
      <w:r w:rsidRPr="00AC5F86" w:rsidR="006F2050">
        <w:rPr>
          <w:rFonts w:ascii="Palatino Linotype" w:hAnsi="Palatino Linotype" w:eastAsia="Times New Roman"/>
        </w:rPr>
        <w:t xml:space="preserve"> </w:t>
      </w:r>
      <w:r w:rsidRPr="00AC5F86" w:rsidR="00230D05">
        <w:rPr>
          <w:rFonts w:ascii="Palatino Linotype" w:hAnsi="Palatino Linotype" w:eastAsia="Times New Roman"/>
        </w:rPr>
        <w:t>to be consistent with the intent of D.18-11-029, OP 6.g</w:t>
      </w:r>
      <w:r w:rsidR="000D565F">
        <w:rPr>
          <w:rFonts w:ascii="Palatino Linotype" w:hAnsi="Palatino Linotype" w:eastAsia="Times New Roman"/>
        </w:rPr>
        <w:t xml:space="preserve"> and</w:t>
      </w:r>
      <w:r w:rsidRPr="00AC5F86" w:rsidR="000D170F">
        <w:rPr>
          <w:rFonts w:ascii="Palatino Linotype" w:hAnsi="Palatino Linotype" w:eastAsia="Times New Roman"/>
        </w:rPr>
        <w:t xml:space="preserve"> page 53</w:t>
      </w:r>
      <w:r w:rsidRPr="00AC5F86" w:rsidR="00934BFE">
        <w:rPr>
          <w:rFonts w:ascii="Palatino Linotype" w:hAnsi="Palatino Linotype" w:eastAsia="Times New Roman"/>
        </w:rPr>
        <w:t xml:space="preserve">, and </w:t>
      </w:r>
      <w:r w:rsidR="006C0251">
        <w:rPr>
          <w:rFonts w:ascii="Palatino Linotype" w:hAnsi="Palatino Linotype" w:eastAsia="Times New Roman"/>
        </w:rPr>
        <w:t xml:space="preserve">we </w:t>
      </w:r>
      <w:r w:rsidRPr="00AC5F86" w:rsidR="00934BFE">
        <w:rPr>
          <w:rFonts w:ascii="Palatino Linotype" w:hAnsi="Palatino Linotype" w:eastAsia="Times New Roman"/>
        </w:rPr>
        <w:t xml:space="preserve">are supportive of the effort to </w:t>
      </w:r>
      <w:r w:rsidRPr="00AC5F86" w:rsidR="00AC5F86">
        <w:rPr>
          <w:rFonts w:ascii="Palatino Linotype" w:hAnsi="Palatino Linotype" w:eastAsia="Times New Roman"/>
        </w:rPr>
        <w:t>align IOU interpretations and practices for their respective programs.</w:t>
      </w:r>
      <w:r w:rsidR="00934BFE">
        <w:rPr>
          <w:rFonts w:ascii="Palatino Linotype" w:hAnsi="Palatino Linotype" w:eastAsia="Times New Roman"/>
          <w:b/>
          <w:bCs/>
        </w:rPr>
        <w:t xml:space="preserve"> </w:t>
      </w:r>
      <w:r w:rsidRPr="00E118D9" w:rsidR="000C5A8E">
        <w:rPr>
          <w:rFonts w:ascii="Palatino Linotype" w:hAnsi="Palatino Linotype" w:eastAsia="Times New Roman"/>
        </w:rPr>
        <w:t xml:space="preserve">We </w:t>
      </w:r>
      <w:r w:rsidR="00D81CD7">
        <w:rPr>
          <w:rFonts w:ascii="Palatino Linotype" w:hAnsi="Palatino Linotype" w:eastAsia="Times New Roman"/>
        </w:rPr>
        <w:t>clarify</w:t>
      </w:r>
      <w:r w:rsidR="00337AE9">
        <w:rPr>
          <w:rFonts w:ascii="Palatino Linotype" w:hAnsi="Palatino Linotype" w:eastAsia="Times New Roman"/>
        </w:rPr>
        <w:t>, however,</w:t>
      </w:r>
      <w:r w:rsidRPr="00E118D9" w:rsidR="000C5A8E">
        <w:rPr>
          <w:rFonts w:ascii="Palatino Linotype" w:hAnsi="Palatino Linotype" w:eastAsia="Times New Roman"/>
        </w:rPr>
        <w:t xml:space="preserve"> </w:t>
      </w:r>
      <w:r w:rsidR="00337AE9">
        <w:rPr>
          <w:rFonts w:ascii="Palatino Linotype" w:hAnsi="Palatino Linotype" w:eastAsia="Times New Roman"/>
        </w:rPr>
        <w:t xml:space="preserve">that </w:t>
      </w:r>
      <w:r w:rsidRPr="00E118D9" w:rsidDel="007516C7" w:rsidR="00D424BA">
        <w:rPr>
          <w:rFonts w:ascii="Palatino Linotype" w:hAnsi="Palatino Linotype" w:eastAsia="Times New Roman"/>
        </w:rPr>
        <w:t>th</w:t>
      </w:r>
      <w:r w:rsidRPr="00E118D9" w:rsidDel="007516C7" w:rsidR="009D4E8B">
        <w:rPr>
          <w:rFonts w:ascii="Palatino Linotype" w:hAnsi="Palatino Linotype" w:eastAsia="Times New Roman"/>
        </w:rPr>
        <w:t>e</w:t>
      </w:r>
      <w:r w:rsidRPr="000C1BEC" w:rsidR="007516C7">
        <w:rPr>
          <w:rFonts w:ascii="Palatino Linotype" w:hAnsi="Palatino Linotype" w:eastAsia="Times New Roman"/>
        </w:rPr>
        <w:t xml:space="preserve"> </w:t>
      </w:r>
      <w:r w:rsidRPr="00E118D9" w:rsidR="009D4E8B">
        <w:rPr>
          <w:rFonts w:ascii="Palatino Linotype" w:hAnsi="Palatino Linotype" w:eastAsia="Times New Roman"/>
        </w:rPr>
        <w:t xml:space="preserve">cloud-level control option </w:t>
      </w:r>
      <w:r w:rsidR="00CF47A8">
        <w:rPr>
          <w:rFonts w:ascii="Palatino Linotype" w:hAnsi="Palatino Linotype" w:eastAsia="Times New Roman"/>
        </w:rPr>
        <w:t xml:space="preserve">still </w:t>
      </w:r>
      <w:r w:rsidRPr="00E118D9" w:rsidR="009D4E8B">
        <w:rPr>
          <w:rFonts w:ascii="Palatino Linotype" w:hAnsi="Palatino Linotype" w:eastAsia="Times New Roman"/>
        </w:rPr>
        <w:t>require</w:t>
      </w:r>
      <w:r w:rsidR="001540E0">
        <w:rPr>
          <w:rFonts w:ascii="Palatino Linotype" w:hAnsi="Palatino Linotype" w:eastAsia="Times New Roman"/>
        </w:rPr>
        <w:t>s</w:t>
      </w:r>
      <w:r w:rsidRPr="00E118D9" w:rsidR="009D4E8B">
        <w:rPr>
          <w:rFonts w:ascii="Palatino Linotype" w:hAnsi="Palatino Linotype" w:eastAsia="Times New Roman"/>
        </w:rPr>
        <w:t xml:space="preserve"> onsite </w:t>
      </w:r>
      <w:r w:rsidRPr="00E118D9" w:rsidR="00A03052">
        <w:rPr>
          <w:rFonts w:ascii="Palatino Linotype" w:hAnsi="Palatino Linotype" w:eastAsia="Times New Roman"/>
        </w:rPr>
        <w:t>control hardw</w:t>
      </w:r>
      <w:r w:rsidR="00832E0D">
        <w:rPr>
          <w:rFonts w:ascii="Palatino Linotype" w:hAnsi="Palatino Linotype" w:eastAsia="Times New Roman"/>
        </w:rPr>
        <w:t>a</w:t>
      </w:r>
      <w:r w:rsidRPr="00E118D9" w:rsidR="00A03052">
        <w:rPr>
          <w:rFonts w:ascii="Palatino Linotype" w:hAnsi="Palatino Linotype" w:eastAsia="Times New Roman"/>
        </w:rPr>
        <w:t xml:space="preserve">re, but </w:t>
      </w:r>
      <w:r w:rsidR="0047679C">
        <w:rPr>
          <w:rFonts w:ascii="Palatino Linotype" w:hAnsi="Palatino Linotype" w:eastAsia="Times New Roman"/>
        </w:rPr>
        <w:t>that such</w:t>
      </w:r>
      <w:r w:rsidRPr="00E118D9" w:rsidR="00A03052">
        <w:rPr>
          <w:rFonts w:ascii="Palatino Linotype" w:hAnsi="Palatino Linotype" w:eastAsia="Times New Roman"/>
        </w:rPr>
        <w:t xml:space="preserve"> </w:t>
      </w:r>
      <w:r w:rsidRPr="00E118D9" w:rsidR="00256023">
        <w:rPr>
          <w:rFonts w:ascii="Palatino Linotype" w:hAnsi="Palatino Linotype" w:eastAsia="Times New Roman"/>
        </w:rPr>
        <w:t xml:space="preserve">onsite hardware is not required to </w:t>
      </w:r>
      <w:r w:rsidRPr="00E118D9" w:rsidR="008E06E3">
        <w:rPr>
          <w:rFonts w:ascii="Palatino Linotype" w:hAnsi="Palatino Linotype" w:eastAsia="Times New Roman"/>
        </w:rPr>
        <w:t>communicate via</w:t>
      </w:r>
      <w:r w:rsidRPr="00E118D9" w:rsidR="00256023">
        <w:rPr>
          <w:rFonts w:ascii="Palatino Linotype" w:hAnsi="Palatino Linotype" w:eastAsia="Times New Roman"/>
        </w:rPr>
        <w:t xml:space="preserve"> OpenADR</w:t>
      </w:r>
      <w:r w:rsidRPr="00E118D9" w:rsidR="008E06E3">
        <w:rPr>
          <w:rFonts w:ascii="Palatino Linotype" w:hAnsi="Palatino Linotype" w:eastAsia="Times New Roman"/>
        </w:rPr>
        <w:t xml:space="preserve"> standards.</w:t>
      </w:r>
      <w:r w:rsidR="00C55FB1">
        <w:rPr>
          <w:rFonts w:ascii="Palatino Linotype" w:hAnsi="Palatino Linotype" w:eastAsia="Times New Roman"/>
        </w:rPr>
        <w:t xml:space="preserve"> </w:t>
      </w:r>
      <w:r w:rsidRPr="00E118D9" w:rsidR="00B21373">
        <w:rPr>
          <w:rFonts w:ascii="Palatino Linotype" w:hAnsi="Palatino Linotype" w:eastAsia="Times New Roman"/>
        </w:rPr>
        <w:t>The C</w:t>
      </w:r>
      <w:r w:rsidRPr="00E118D9" w:rsidR="005F0DF2">
        <w:rPr>
          <w:rFonts w:ascii="Palatino Linotype" w:hAnsi="Palatino Linotype" w:eastAsia="Times New Roman"/>
        </w:rPr>
        <w:t>l</w:t>
      </w:r>
      <w:r w:rsidRPr="00E118D9" w:rsidR="00C55FB1">
        <w:rPr>
          <w:rFonts w:ascii="Palatino Linotype" w:hAnsi="Palatino Linotype" w:eastAsia="Times New Roman"/>
        </w:rPr>
        <w:t xml:space="preserve">oud-Based Technology Provision </w:t>
      </w:r>
      <w:r w:rsidRPr="00E118D9" w:rsidR="001B60C3">
        <w:rPr>
          <w:rFonts w:ascii="Palatino Linotype" w:hAnsi="Palatino Linotype" w:eastAsia="Times New Roman"/>
        </w:rPr>
        <w:t xml:space="preserve">of </w:t>
      </w:r>
      <w:r w:rsidRPr="00E118D9" w:rsidR="00B21373">
        <w:rPr>
          <w:rFonts w:ascii="Palatino Linotype" w:hAnsi="Palatino Linotype" w:eastAsia="Times New Roman"/>
        </w:rPr>
        <w:t>PG&amp;E’s and SCE’s</w:t>
      </w:r>
      <w:r w:rsidRPr="00E118D9" w:rsidR="001B60C3">
        <w:rPr>
          <w:rFonts w:ascii="Palatino Linotype" w:hAnsi="Palatino Linotype" w:eastAsia="Times New Roman"/>
        </w:rPr>
        <w:t xml:space="preserve"> AutoDR Guidelines </w:t>
      </w:r>
      <w:r w:rsidRPr="00E118D9" w:rsidR="00B21373">
        <w:rPr>
          <w:rFonts w:ascii="Palatino Linotype" w:hAnsi="Palatino Linotype" w:eastAsia="Times New Roman"/>
        </w:rPr>
        <w:t>must be modified through</w:t>
      </w:r>
      <w:r w:rsidRPr="00E118D9" w:rsidR="00C55FB1">
        <w:rPr>
          <w:rFonts w:ascii="Palatino Linotype" w:hAnsi="Palatino Linotype" w:eastAsia="Times New Roman"/>
        </w:rPr>
        <w:t xml:space="preserve"> subsequent Tier </w:t>
      </w:r>
      <w:r w:rsidR="00AC3CB4">
        <w:rPr>
          <w:rFonts w:ascii="Palatino Linotype" w:hAnsi="Palatino Linotype" w:eastAsia="Times New Roman"/>
        </w:rPr>
        <w:t>1</w:t>
      </w:r>
      <w:r w:rsidRPr="00E118D9" w:rsidR="00C55FB1">
        <w:rPr>
          <w:rFonts w:ascii="Palatino Linotype" w:hAnsi="Palatino Linotype" w:eastAsia="Times New Roman"/>
        </w:rPr>
        <w:t xml:space="preserve"> AL to </w:t>
      </w:r>
      <w:r w:rsidRPr="00E118D9" w:rsidDel="00EE382C" w:rsidR="00C55FB1">
        <w:rPr>
          <w:rFonts w:ascii="Palatino Linotype" w:hAnsi="Palatino Linotype" w:eastAsia="Times New Roman"/>
        </w:rPr>
        <w:t xml:space="preserve">include this </w:t>
      </w:r>
      <w:r w:rsidRPr="00E118D9" w:rsidDel="00EE382C" w:rsidR="00AB3AE9">
        <w:rPr>
          <w:rFonts w:ascii="Palatino Linotype" w:hAnsi="Palatino Linotype" w:eastAsia="Times New Roman"/>
        </w:rPr>
        <w:t>clarification</w:t>
      </w:r>
      <w:r w:rsidR="00EE382C">
        <w:rPr>
          <w:rFonts w:ascii="Palatino Linotype" w:hAnsi="Palatino Linotype" w:eastAsia="Times New Roman"/>
        </w:rPr>
        <w:t>:</w:t>
      </w:r>
    </w:p>
    <w:p w:rsidR="00EE382C" w:rsidP="0064243D" w:rsidRDefault="00EE382C" w14:paraId="1333B841" w14:textId="77777777">
      <w:pPr>
        <w:pStyle w:val="10sp0"/>
        <w:spacing w:after="0"/>
        <w:rPr>
          <w:rFonts w:ascii="Palatino Linotype" w:hAnsi="Palatino Linotype" w:eastAsia="Times New Roman"/>
        </w:rPr>
      </w:pPr>
    </w:p>
    <w:p w:rsidRPr="003A0819" w:rsidR="00EE382C" w:rsidP="00EE382C" w:rsidRDefault="006747E8" w14:paraId="2732A744" w14:textId="42293785">
      <w:pPr>
        <w:pStyle w:val="ListParagrap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w:t>
      </w:r>
      <w:r w:rsidRPr="003A0819" w:rsidR="00EE382C">
        <w:rPr>
          <w:rFonts w:ascii="Palatino Linotype" w:hAnsi="Palatino Linotype" w:eastAsia="Times New Roman" w:cs="Times New Roman"/>
          <w:kern w:val="0"/>
          <w14:ligatures w14:val="none"/>
        </w:rPr>
        <w:t xml:space="preserve">The </w:t>
      </w:r>
      <w:r w:rsidR="003B2DE4">
        <w:rPr>
          <w:rFonts w:ascii="Palatino Linotype" w:hAnsi="Palatino Linotype" w:eastAsia="Times New Roman" w:cs="Times New Roman"/>
          <w:kern w:val="0"/>
          <w14:ligatures w14:val="none"/>
        </w:rPr>
        <w:t>Virtual End Node(s) (VEN)</w:t>
      </w:r>
      <w:r w:rsidRPr="003A0819" w:rsidR="00EE382C">
        <w:rPr>
          <w:rFonts w:ascii="Palatino Linotype" w:hAnsi="Palatino Linotype" w:eastAsia="Times New Roman" w:cs="Times New Roman"/>
          <w:kern w:val="0"/>
          <w14:ligatures w14:val="none"/>
        </w:rPr>
        <w:t xml:space="preserve"> must be able to communicate and demonstrate operability using the current Open Auto Demand Response communication protocols and standards (currently OpenADR 2.0a, 2.0b, or 3)</w:t>
      </w:r>
      <w:r w:rsidR="00DE02DE">
        <w:rPr>
          <w:rFonts w:ascii="Palatino Linotype" w:hAnsi="Palatino Linotype" w:eastAsia="Times New Roman" w:cs="Times New Roman"/>
          <w:kern w:val="0"/>
          <w14:ligatures w14:val="none"/>
        </w:rPr>
        <w:t xml:space="preserve"> to dispatch on-site control hardware</w:t>
      </w:r>
      <w:r w:rsidRPr="003A0819" w:rsidR="00EE382C">
        <w:rPr>
          <w:rFonts w:ascii="Palatino Linotype" w:hAnsi="Palatino Linotype" w:eastAsia="Times New Roman" w:cs="Times New Roman"/>
          <w:kern w:val="0"/>
          <w14:ligatures w14:val="none"/>
        </w:rPr>
        <w:t>.</w:t>
      </w:r>
      <w:r w:rsidR="009219ED">
        <w:rPr>
          <w:rFonts w:ascii="Palatino Linotype" w:hAnsi="Palatino Linotype" w:eastAsia="Times New Roman" w:cs="Times New Roman"/>
          <w:kern w:val="0"/>
          <w14:ligatures w14:val="none"/>
        </w:rPr>
        <w:t xml:space="preserve"> This on-site control hardware is not required to communicate and demonstrate operability using the current Ope</w:t>
      </w:r>
      <w:r w:rsidR="009B5AF8">
        <w:rPr>
          <w:rFonts w:ascii="Palatino Linotype" w:hAnsi="Palatino Linotype" w:eastAsia="Times New Roman" w:cs="Times New Roman"/>
          <w:kern w:val="0"/>
          <w14:ligatures w14:val="none"/>
        </w:rPr>
        <w:t>n Auto Demand Response communication protocols and standards.</w:t>
      </w:r>
    </w:p>
    <w:p w:rsidRPr="003A0819" w:rsidR="00EE382C" w:rsidP="00EE382C" w:rsidRDefault="00EE382C" w14:paraId="5D47A668" w14:textId="77777777">
      <w:pPr>
        <w:pStyle w:val="ListParagraph"/>
        <w:rPr>
          <w:rFonts w:ascii="Palatino Linotype" w:hAnsi="Palatino Linotype" w:eastAsia="Times New Roman" w:cs="Times New Roman"/>
          <w:kern w:val="0"/>
          <w14:ligatures w14:val="none"/>
        </w:rPr>
      </w:pPr>
    </w:p>
    <w:p w:rsidRPr="003A0819" w:rsidR="00EE382C" w:rsidP="00EE382C" w:rsidRDefault="00EE382C" w14:paraId="20C7C14B" w14:textId="4908CC75">
      <w:pPr>
        <w:pStyle w:val="ListParagraph"/>
        <w:rPr>
          <w:rFonts w:ascii="Palatino Linotype" w:hAnsi="Palatino Linotype" w:eastAsia="Times New Roman" w:cs="Times New Roman"/>
          <w:kern w:val="0"/>
          <w14:ligatures w14:val="none"/>
        </w:rPr>
      </w:pPr>
      <w:r w:rsidRPr="003A0819">
        <w:rPr>
          <w:rFonts w:ascii="Palatino Linotype" w:hAnsi="Palatino Linotype" w:eastAsia="Times New Roman" w:cs="Times New Roman"/>
          <w:kern w:val="0"/>
          <w14:ligatures w14:val="none"/>
        </w:rPr>
        <w:t xml:space="preserve">The </w:t>
      </w:r>
      <w:r w:rsidR="009B5AF8">
        <w:rPr>
          <w:rFonts w:ascii="Palatino Linotype" w:hAnsi="Palatino Linotype" w:eastAsia="Times New Roman" w:cs="Times New Roman"/>
          <w:kern w:val="0"/>
          <w14:ligatures w14:val="none"/>
        </w:rPr>
        <w:t>VEN</w:t>
      </w:r>
      <w:r w:rsidRPr="003A0819">
        <w:rPr>
          <w:rFonts w:ascii="Palatino Linotype" w:hAnsi="Palatino Linotype" w:eastAsia="Times New Roman" w:cs="Times New Roman"/>
          <w:kern w:val="0"/>
          <w14:ligatures w14:val="none"/>
        </w:rPr>
        <w:t xml:space="preserve"> may be located at one of the following:</w:t>
      </w:r>
    </w:p>
    <w:p w:rsidRPr="003A0819" w:rsidR="00EE382C" w:rsidP="00EE382C" w:rsidRDefault="00EE382C" w14:paraId="2A4F2819" w14:textId="2B12861E">
      <w:pPr>
        <w:pStyle w:val="ListParagraph"/>
        <w:numPr>
          <w:ilvl w:val="0"/>
          <w:numId w:val="17"/>
        </w:numPr>
        <w:rPr>
          <w:rFonts w:ascii="Palatino Linotype" w:hAnsi="Palatino Linotype" w:eastAsia="Times New Roman" w:cs="Times New Roman"/>
          <w:kern w:val="0"/>
          <w14:ligatures w14:val="none"/>
        </w:rPr>
      </w:pPr>
      <w:r w:rsidRPr="003A0819">
        <w:rPr>
          <w:rFonts w:ascii="Palatino Linotype" w:hAnsi="Palatino Linotype" w:eastAsia="Times New Roman" w:cs="Times New Roman"/>
          <w:kern w:val="0"/>
          <w14:ligatures w14:val="none"/>
        </w:rPr>
        <w:t>Onsite – Physical</w:t>
      </w:r>
      <w:r w:rsidR="007C74EA">
        <w:rPr>
          <w:rFonts w:ascii="Palatino Linotype" w:hAnsi="Palatino Linotype" w:eastAsia="Times New Roman" w:cs="Times New Roman"/>
          <w:kern w:val="0"/>
          <w14:ligatures w14:val="none"/>
        </w:rPr>
        <w:t xml:space="preserve"> (i.e.</w:t>
      </w:r>
      <w:r w:rsidR="008E368A">
        <w:rPr>
          <w:rFonts w:ascii="Palatino Linotype" w:hAnsi="Palatino Linotype" w:eastAsia="Times New Roman" w:cs="Times New Roman"/>
          <w:kern w:val="0"/>
          <w14:ligatures w14:val="none"/>
        </w:rPr>
        <w:t xml:space="preserve"> hardware installed at t</w:t>
      </w:r>
      <w:r w:rsidR="00ED00A2">
        <w:rPr>
          <w:rFonts w:ascii="Palatino Linotype" w:hAnsi="Palatino Linotype" w:eastAsia="Times New Roman" w:cs="Times New Roman"/>
          <w:kern w:val="0"/>
          <w14:ligatures w14:val="none"/>
        </w:rPr>
        <w:t>h</w:t>
      </w:r>
      <w:r w:rsidR="008E368A">
        <w:rPr>
          <w:rFonts w:ascii="Palatino Linotype" w:hAnsi="Palatino Linotype" w:eastAsia="Times New Roman" w:cs="Times New Roman"/>
          <w:kern w:val="0"/>
          <w14:ligatures w14:val="none"/>
        </w:rPr>
        <w:t>e customer site)</w:t>
      </w:r>
      <w:r w:rsidRPr="003A0819">
        <w:rPr>
          <w:rFonts w:ascii="Palatino Linotype" w:hAnsi="Palatino Linotype" w:eastAsia="Times New Roman" w:cs="Times New Roman"/>
          <w:kern w:val="0"/>
          <w14:ligatures w14:val="none"/>
        </w:rPr>
        <w:t xml:space="preserve"> or installed as part of a control or energy management system; or</w:t>
      </w:r>
    </w:p>
    <w:p w:rsidRPr="00594F92" w:rsidR="00EE382C" w:rsidP="00EE382C" w:rsidRDefault="00EE382C" w14:paraId="39C2165B" w14:textId="2D507B35">
      <w:pPr>
        <w:pStyle w:val="ListParagraph"/>
        <w:numPr>
          <w:ilvl w:val="0"/>
          <w:numId w:val="17"/>
        </w:numPr>
        <w:rPr>
          <w:rFonts w:ascii="Palatino Linotype" w:hAnsi="Palatino Linotype" w:eastAsia="Times New Roman" w:cs="Times New Roman"/>
          <w:kern w:val="0"/>
          <w14:ligatures w14:val="none"/>
        </w:rPr>
      </w:pPr>
      <w:r w:rsidRPr="003A0819">
        <w:rPr>
          <w:rFonts w:ascii="Palatino Linotype" w:hAnsi="Palatino Linotype" w:eastAsia="Times New Roman" w:cs="Times New Roman"/>
          <w:kern w:val="0"/>
          <w14:ligatures w14:val="none"/>
        </w:rPr>
        <w:t>Cloud level – Centralized at the manufacturer app or portal, demand response aggregator, or customer control or energy management system</w:t>
      </w:r>
      <w:r w:rsidR="00514EF0">
        <w:rPr>
          <w:rFonts w:ascii="Palatino Linotype" w:hAnsi="Palatino Linotype" w:eastAsia="Times New Roman" w:cs="Times New Roman"/>
          <w:kern w:val="0"/>
          <w14:ligatures w14:val="none"/>
        </w:rPr>
        <w:t xml:space="preserve"> which dispatches to on-site control hardware</w:t>
      </w:r>
      <w:r w:rsidRPr="003A0819">
        <w:rPr>
          <w:rFonts w:ascii="Palatino Linotype" w:hAnsi="Palatino Linotype" w:eastAsia="Times New Roman" w:cs="Times New Roman"/>
          <w:kern w:val="0"/>
          <w14:ligatures w14:val="none"/>
        </w:rPr>
        <w:t>.</w:t>
      </w:r>
      <w:r w:rsidR="006747E8">
        <w:rPr>
          <w:rFonts w:ascii="Palatino Linotype" w:hAnsi="Palatino Linotype" w:eastAsia="Times New Roman" w:cs="Times New Roman"/>
          <w:kern w:val="0"/>
          <w14:ligatures w14:val="none"/>
        </w:rPr>
        <w:t>”</w:t>
      </w:r>
    </w:p>
    <w:p w:rsidR="00F30221" w:rsidP="0064243D" w:rsidRDefault="00FE0076" w14:paraId="79B69C65" w14:textId="02452415">
      <w:pPr>
        <w:pStyle w:val="10sp0"/>
        <w:spacing w:after="0"/>
        <w:rPr>
          <w:rFonts w:ascii="Palatino Linotype" w:hAnsi="Palatino Linotype" w:eastAsia="Times New Roman"/>
          <w:b/>
          <w:bCs/>
        </w:rPr>
      </w:pPr>
      <w:r w:rsidRPr="00594F92">
        <w:rPr>
          <w:rFonts w:ascii="Palatino Linotype" w:hAnsi="Palatino Linotype" w:eastAsia="Times New Roman"/>
          <w:bCs/>
        </w:rPr>
        <w:t xml:space="preserve">PG&amp;E’s and SCE’s AutoDR Guidelines </w:t>
      </w:r>
      <w:r w:rsidRPr="00594F92" w:rsidR="00125088">
        <w:rPr>
          <w:rFonts w:ascii="Palatino Linotype" w:hAnsi="Palatino Linotype" w:eastAsia="Times New Roman"/>
          <w:bCs/>
        </w:rPr>
        <w:t>shall also add a</w:t>
      </w:r>
      <w:r w:rsidRPr="00594F92" w:rsidR="00DC5F44">
        <w:rPr>
          <w:rFonts w:ascii="Palatino Linotype" w:hAnsi="Palatino Linotype" w:eastAsia="Times New Roman"/>
          <w:bCs/>
        </w:rPr>
        <w:t>n industry-standard definition of Virtual End Node where appropriate.</w:t>
      </w:r>
      <w:r w:rsidR="00657DE9">
        <w:rPr>
          <w:rFonts w:ascii="Palatino Linotype" w:hAnsi="Palatino Linotype" w:eastAsia="Times New Roman"/>
          <w:bCs/>
        </w:rPr>
        <w:t xml:space="preserve"> The following definition</w:t>
      </w:r>
      <w:r w:rsidR="00B351D5">
        <w:rPr>
          <w:rFonts w:ascii="Palatino Linotype" w:hAnsi="Palatino Linotype" w:eastAsia="Times New Roman"/>
          <w:bCs/>
        </w:rPr>
        <w:t xml:space="preserve"> adapted from the OpenADR Alliance</w:t>
      </w:r>
      <w:r w:rsidR="00657DE9">
        <w:rPr>
          <w:rFonts w:ascii="Palatino Linotype" w:hAnsi="Palatino Linotype" w:eastAsia="Times New Roman"/>
          <w:bCs/>
        </w:rPr>
        <w:t xml:space="preserve"> is acceptable</w:t>
      </w:r>
      <w:r w:rsidR="00195371">
        <w:rPr>
          <w:rFonts w:ascii="Palatino Linotype" w:hAnsi="Palatino Linotype" w:eastAsia="Times New Roman"/>
          <w:bCs/>
        </w:rPr>
        <w:t>, “</w:t>
      </w:r>
      <w:r w:rsidRPr="00195371" w:rsidR="00195371">
        <w:rPr>
          <w:rFonts w:ascii="Palatino Linotype" w:hAnsi="Palatino Linotype" w:eastAsia="Times New Roman"/>
          <w:bCs/>
        </w:rPr>
        <w:t>Virtual End Node (VEN) is typically a device or system endpoint that accepts OpenADR signals from the Virtual Top Node (VTN). A VEN can be an Energy Management System (EMS), a thermostat, or another end device.</w:t>
      </w:r>
      <w:r w:rsidR="00195371">
        <w:rPr>
          <w:rFonts w:ascii="Palatino Linotype" w:hAnsi="Palatino Linotype" w:eastAsia="Times New Roman"/>
          <w:bCs/>
        </w:rPr>
        <w:t>”</w:t>
      </w:r>
    </w:p>
    <w:p w:rsidR="00907029" w:rsidP="0064243D" w:rsidRDefault="00907029" w14:paraId="32B2A0F5" w14:textId="77777777">
      <w:pPr>
        <w:pStyle w:val="10sp0"/>
        <w:spacing w:after="0"/>
        <w:rPr>
          <w:rFonts w:ascii="Palatino Linotype" w:hAnsi="Palatino Linotype" w:eastAsia="Times New Roman"/>
        </w:rPr>
      </w:pPr>
    </w:p>
    <w:p w:rsidR="00F30221" w:rsidP="0064243D" w:rsidRDefault="00E4349F" w14:paraId="45CDB51F" w14:textId="5F95E65A">
      <w:pPr>
        <w:pStyle w:val="10sp0"/>
        <w:spacing w:after="0"/>
        <w:rPr>
          <w:rFonts w:ascii="Palatino Linotype" w:hAnsi="Palatino Linotype"/>
        </w:rPr>
      </w:pPr>
      <w:r>
        <w:rPr>
          <w:rFonts w:ascii="Palatino Linotype" w:hAnsi="Palatino Linotype" w:eastAsia="Times New Roman"/>
        </w:rPr>
        <w:t xml:space="preserve">This </w:t>
      </w:r>
      <w:r w:rsidR="008435D1">
        <w:rPr>
          <w:rFonts w:ascii="Palatino Linotype" w:hAnsi="Palatino Linotype" w:eastAsia="Times New Roman"/>
        </w:rPr>
        <w:t xml:space="preserve">proposal </w:t>
      </w:r>
      <w:r w:rsidR="00F647CD">
        <w:rPr>
          <w:rFonts w:ascii="Palatino Linotype" w:hAnsi="Palatino Linotype" w:eastAsia="Times New Roman"/>
        </w:rPr>
        <w:t xml:space="preserve">also modifies the list of </w:t>
      </w:r>
      <w:r w:rsidRPr="005E2F06" w:rsidR="00F647CD">
        <w:rPr>
          <w:rFonts w:ascii="Palatino Linotype" w:hAnsi="Palatino Linotype" w:eastAsia="Times New Roman"/>
        </w:rPr>
        <w:t>current Open Auto Demand Response communication protocols and standards to include OpenADR</w:t>
      </w:r>
      <w:r w:rsidR="003F7724">
        <w:rPr>
          <w:rFonts w:ascii="Palatino Linotype" w:hAnsi="Palatino Linotype" w:eastAsia="Times New Roman"/>
        </w:rPr>
        <w:t xml:space="preserve"> </w:t>
      </w:r>
      <w:r w:rsidRPr="005E2F06" w:rsidR="00F647CD">
        <w:rPr>
          <w:rFonts w:ascii="Palatino Linotype" w:hAnsi="Palatino Linotype" w:eastAsia="Times New Roman"/>
        </w:rPr>
        <w:t>3</w:t>
      </w:r>
      <w:r w:rsidR="00581F22">
        <w:rPr>
          <w:rFonts w:ascii="Palatino Linotype" w:hAnsi="Palatino Linotype" w:eastAsia="Times New Roman"/>
        </w:rPr>
        <w:t xml:space="preserve">, which </w:t>
      </w:r>
      <w:r w:rsidR="00A65EDD">
        <w:rPr>
          <w:rFonts w:ascii="Palatino Linotype" w:hAnsi="Palatino Linotype" w:eastAsia="Times New Roman"/>
        </w:rPr>
        <w:t xml:space="preserve">is now the latest version of the OpenADR </w:t>
      </w:r>
      <w:r w:rsidR="009951A0">
        <w:rPr>
          <w:rFonts w:ascii="Palatino Linotype" w:hAnsi="Palatino Linotype" w:eastAsia="Times New Roman"/>
        </w:rPr>
        <w:t>protocol</w:t>
      </w:r>
      <w:r w:rsidR="00615089">
        <w:rPr>
          <w:rFonts w:ascii="Palatino Linotype" w:hAnsi="Palatino Linotype" w:eastAsia="Times New Roman"/>
        </w:rPr>
        <w:t xml:space="preserve">. </w:t>
      </w:r>
    </w:p>
    <w:p w:rsidR="0059219F" w:rsidP="0064243D" w:rsidRDefault="0059219F" w14:paraId="040D3468" w14:textId="77777777">
      <w:pPr>
        <w:pStyle w:val="10sp0"/>
        <w:spacing w:after="0"/>
        <w:rPr>
          <w:rFonts w:ascii="Palatino Linotype" w:hAnsi="Palatino Linotype" w:eastAsia="Times New Roman"/>
          <w:b/>
          <w:bCs/>
        </w:rPr>
      </w:pPr>
    </w:p>
    <w:p w:rsidR="0059219F" w:rsidP="0059219F" w:rsidRDefault="0059219F" w14:paraId="14C71BB2" w14:textId="0097BDF2">
      <w:p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 proposed </w:t>
      </w:r>
      <w:r w:rsidR="0080212A">
        <w:rPr>
          <w:rFonts w:ascii="Palatino Linotype" w:hAnsi="Palatino Linotype" w:eastAsia="Times New Roman" w:cs="Times New Roman"/>
          <w:kern w:val="0"/>
          <w14:ligatures w14:val="none"/>
        </w:rPr>
        <w:t>amendments</w:t>
      </w:r>
      <w:r>
        <w:rPr>
          <w:rFonts w:ascii="Palatino Linotype" w:hAnsi="Palatino Linotype" w:eastAsia="Times New Roman" w:cs="Times New Roman"/>
          <w:kern w:val="0"/>
          <w14:ligatures w14:val="none"/>
        </w:rPr>
        <w:t xml:space="preserve"> are approved</w:t>
      </w:r>
      <w:r w:rsidR="00CC0AD0">
        <w:rPr>
          <w:rFonts w:ascii="Palatino Linotype" w:hAnsi="Palatino Linotype" w:eastAsia="Times New Roman" w:cs="Times New Roman"/>
          <w:kern w:val="0"/>
          <w14:ligatures w14:val="none"/>
        </w:rPr>
        <w:t xml:space="preserve">, </w:t>
      </w:r>
      <w:r w:rsidR="00F06C19">
        <w:rPr>
          <w:rFonts w:ascii="Palatino Linotype" w:hAnsi="Palatino Linotype" w:eastAsia="Times New Roman" w:cs="Times New Roman"/>
          <w:kern w:val="0"/>
          <w14:ligatures w14:val="none"/>
        </w:rPr>
        <w:t xml:space="preserve">with the modification discussed herein. </w:t>
      </w:r>
      <w:r w:rsidRPr="00E118D9" w:rsidR="00E74F5B">
        <w:rPr>
          <w:rFonts w:ascii="Palatino Linotype" w:hAnsi="Palatino Linotype" w:eastAsia="Times New Roman" w:cs="Times New Roman"/>
          <w:kern w:val="0"/>
          <w:szCs w:val="20"/>
          <w14:ligatures w14:val="none"/>
        </w:rPr>
        <w:t xml:space="preserve">PG&amp;E and SCE shall file Tier </w:t>
      </w:r>
      <w:r w:rsidR="00AC3CB4">
        <w:rPr>
          <w:rFonts w:ascii="Palatino Linotype" w:hAnsi="Palatino Linotype" w:eastAsia="Times New Roman" w:cs="Times New Roman"/>
          <w:kern w:val="0"/>
          <w:szCs w:val="20"/>
          <w14:ligatures w14:val="none"/>
        </w:rPr>
        <w:t>1</w:t>
      </w:r>
      <w:r w:rsidRPr="00E118D9" w:rsidR="00E74F5B">
        <w:rPr>
          <w:rFonts w:ascii="Palatino Linotype" w:hAnsi="Palatino Linotype" w:eastAsia="Times New Roman" w:cs="Times New Roman"/>
          <w:kern w:val="0"/>
          <w:szCs w:val="20"/>
          <w14:ligatures w14:val="none"/>
        </w:rPr>
        <w:t xml:space="preserve"> Advice Letters to incorporate the modifications ordered herein</w:t>
      </w:r>
      <w:r w:rsidR="00F14003">
        <w:rPr>
          <w:rFonts w:ascii="Palatino Linotype" w:hAnsi="Palatino Linotype" w:eastAsia="Times New Roman" w:cs="Times New Roman"/>
          <w:kern w:val="0"/>
          <w:szCs w:val="20"/>
          <w14:ligatures w14:val="none"/>
        </w:rPr>
        <w:t xml:space="preserve"> within 60 days of the effective date of this resolution</w:t>
      </w:r>
      <w:r w:rsidRPr="00E118D9" w:rsidR="00E74F5B">
        <w:rPr>
          <w:rFonts w:ascii="Palatino Linotype" w:hAnsi="Palatino Linotype" w:eastAsia="Times New Roman" w:cs="Times New Roman"/>
          <w:kern w:val="0"/>
          <w:szCs w:val="20"/>
          <w14:ligatures w14:val="none"/>
        </w:rPr>
        <w:t>.</w:t>
      </w:r>
    </w:p>
    <w:p w:rsidRPr="001942D0" w:rsidR="007A347B" w:rsidP="00A76F4A" w:rsidRDefault="007A347B" w14:paraId="20D1F0D0" w14:textId="77777777">
      <w:pPr>
        <w:spacing w:after="0" w:line="240" w:lineRule="auto"/>
        <w:rPr>
          <w:rFonts w:ascii="Palatino Linotype" w:hAnsi="Palatino Linotype" w:eastAsia="Palatino Linotype" w:cs="Times New Roman"/>
          <w:kern w:val="0"/>
          <w14:ligatures w14:val="none"/>
        </w:rPr>
      </w:pPr>
    </w:p>
    <w:p w:rsidRPr="00494E0B" w:rsidR="00A76F4A" w:rsidP="00494E0B" w:rsidRDefault="00A76F4A" w14:paraId="3D85FD64" w14:textId="12078DA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73D79B48"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1942D0" w:rsidR="00A76F4A" w:rsidP="00A76F4A" w:rsidRDefault="00A76F4A" w14:paraId="316D035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Findings</w:t>
      </w:r>
      <w:r>
        <w:rPr>
          <w:rFonts w:ascii="Palatino Linotype" w:hAnsi="Palatino Linotype" w:eastAsia="Palatino Linotype" w:cs="Times New Roman"/>
          <w:b/>
          <w:caps/>
          <w:kern w:val="28"/>
          <w:u w:val="single"/>
          <w14:ligatures w14:val="none"/>
        </w:rPr>
        <w:t xml:space="preserve"> AND CONCLUSIONS</w:t>
      </w:r>
    </w:p>
    <w:p w:rsidR="005E10CC" w:rsidP="00A76F4A" w:rsidRDefault="00E5269D" w14:paraId="48317AB3" w14:textId="123DAC23">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w:t>
      </w:r>
      <w:r w:rsidR="005A612C">
        <w:rPr>
          <w:rFonts w:ascii="Palatino Linotype" w:hAnsi="Palatino Linotype" w:eastAsia="Palatino Linotype" w:cs="Times New Roman"/>
          <w:kern w:val="0"/>
          <w14:ligatures w14:val="none"/>
        </w:rPr>
        <w:t>23</w:t>
      </w:r>
      <w:r>
        <w:rPr>
          <w:rFonts w:ascii="Palatino Linotype" w:hAnsi="Palatino Linotype" w:eastAsia="Palatino Linotype" w:cs="Times New Roman"/>
          <w:kern w:val="0"/>
          <w14:ligatures w14:val="none"/>
        </w:rPr>
        <w:t>-</w:t>
      </w:r>
      <w:r w:rsidR="005A612C">
        <w:rPr>
          <w:rFonts w:ascii="Palatino Linotype" w:hAnsi="Palatino Linotype" w:eastAsia="Palatino Linotype" w:cs="Times New Roman"/>
          <w:kern w:val="0"/>
          <w14:ligatures w14:val="none"/>
        </w:rPr>
        <w:t>12-005</w:t>
      </w:r>
      <w:r w:rsidRPr="006F1D16" w:rsidR="00A76F4A">
        <w:rPr>
          <w:rFonts w:ascii="Palatino Linotype" w:hAnsi="Palatino Linotype" w:eastAsia="Palatino Linotype" w:cs="Times New Roman"/>
          <w:kern w:val="0"/>
          <w14:ligatures w14:val="none"/>
        </w:rPr>
        <w:t xml:space="preserve"> </w:t>
      </w:r>
      <w:r w:rsidR="005A612C">
        <w:rPr>
          <w:rFonts w:ascii="Palatino Linotype" w:hAnsi="Palatino Linotype" w:eastAsia="Palatino Linotype" w:cs="Times New Roman"/>
          <w:kern w:val="0"/>
          <w14:ligatures w14:val="none"/>
        </w:rPr>
        <w:t>allows</w:t>
      </w:r>
      <w:r w:rsidRPr="006F1D16" w:rsidR="00A76F4A">
        <w:rPr>
          <w:rFonts w:ascii="Palatino Linotype" w:hAnsi="Palatino Linotype" w:eastAsia="Palatino Linotype" w:cs="Times New Roman"/>
          <w:kern w:val="0"/>
          <w14:ligatures w14:val="none"/>
        </w:rPr>
        <w:t xml:space="preserve"> </w:t>
      </w:r>
      <w:r w:rsidR="00292746">
        <w:rPr>
          <w:rFonts w:ascii="Palatino Linotype" w:hAnsi="Palatino Linotype" w:eastAsia="Palatino Linotype" w:cs="Times New Roman"/>
          <w:kern w:val="0"/>
          <w14:ligatures w14:val="none"/>
        </w:rPr>
        <w:t xml:space="preserve">PG&amp;E and SCE </w:t>
      </w:r>
      <w:r w:rsidRPr="006F1D16" w:rsidR="00A76F4A">
        <w:rPr>
          <w:rFonts w:ascii="Palatino Linotype" w:hAnsi="Palatino Linotype" w:eastAsia="Palatino Linotype" w:cs="Times New Roman"/>
          <w:kern w:val="0"/>
          <w14:ligatures w14:val="none"/>
        </w:rPr>
        <w:t>to file a</w:t>
      </w:r>
      <w:r w:rsidR="00292746">
        <w:rPr>
          <w:rFonts w:ascii="Palatino Linotype" w:hAnsi="Palatino Linotype" w:eastAsia="Palatino Linotype" w:cs="Times New Roman"/>
          <w:kern w:val="0"/>
          <w14:ligatures w14:val="none"/>
        </w:rPr>
        <w:t xml:space="preserve"> Tier 2</w:t>
      </w:r>
      <w:r w:rsidRPr="006F1D16" w:rsidR="00A76F4A">
        <w:rPr>
          <w:rFonts w:ascii="Palatino Linotype" w:hAnsi="Palatino Linotype" w:eastAsia="Palatino Linotype" w:cs="Times New Roman"/>
          <w:kern w:val="0"/>
          <w14:ligatures w14:val="none"/>
        </w:rPr>
        <w:t xml:space="preserve"> </w:t>
      </w:r>
      <w:r w:rsidR="0048091D">
        <w:rPr>
          <w:rFonts w:ascii="Palatino Linotype" w:hAnsi="Palatino Linotype" w:eastAsia="Palatino Linotype" w:cs="Times New Roman"/>
          <w:kern w:val="0"/>
          <w14:ligatures w14:val="none"/>
        </w:rPr>
        <w:t>AL</w:t>
      </w:r>
      <w:r w:rsidRPr="006F1D16" w:rsidR="00A76F4A">
        <w:rPr>
          <w:rFonts w:ascii="Palatino Linotype" w:hAnsi="Palatino Linotype" w:eastAsia="Palatino Linotype" w:cs="Times New Roman"/>
          <w:kern w:val="0"/>
          <w14:ligatures w14:val="none"/>
        </w:rPr>
        <w:t xml:space="preserve"> to </w:t>
      </w:r>
      <w:r w:rsidR="0043789B">
        <w:rPr>
          <w:rFonts w:ascii="Palatino Linotype" w:hAnsi="Palatino Linotype" w:eastAsia="Palatino Linotype" w:cs="Times New Roman"/>
          <w:kern w:val="0"/>
          <w14:ligatures w14:val="none"/>
        </w:rPr>
        <w:t>propose changes</w:t>
      </w:r>
      <w:r w:rsidR="0022138B">
        <w:rPr>
          <w:rFonts w:ascii="Palatino Linotype" w:hAnsi="Palatino Linotype" w:eastAsia="Palatino Linotype" w:cs="Times New Roman"/>
          <w:kern w:val="0"/>
          <w14:ligatures w14:val="none"/>
        </w:rPr>
        <w:t xml:space="preserve"> to Auto DR</w:t>
      </w:r>
      <w:r w:rsidR="005A0FB4">
        <w:rPr>
          <w:rFonts w:ascii="Palatino Linotype" w:hAnsi="Palatino Linotype" w:eastAsia="Palatino Linotype" w:cs="Times New Roman"/>
          <w:kern w:val="0"/>
          <w14:ligatures w14:val="none"/>
        </w:rPr>
        <w:t xml:space="preserve"> Guidelines</w:t>
      </w:r>
      <w:r w:rsidR="009F16B4">
        <w:rPr>
          <w:rFonts w:ascii="Palatino Linotype" w:hAnsi="Palatino Linotype" w:eastAsia="Palatino Linotype" w:cs="Times New Roman"/>
          <w:kern w:val="0"/>
          <w14:ligatures w14:val="none"/>
        </w:rPr>
        <w:t>, to address evolving needs of auto demand response</w:t>
      </w:r>
      <w:r w:rsidR="005E10CC">
        <w:rPr>
          <w:rFonts w:ascii="Palatino Linotype" w:hAnsi="Palatino Linotype" w:eastAsia="Palatino Linotype" w:cs="Times New Roman"/>
          <w:kern w:val="0"/>
          <w14:ligatures w14:val="none"/>
        </w:rPr>
        <w:t>.</w:t>
      </w:r>
    </w:p>
    <w:p w:rsidR="005E10CC" w:rsidP="005E10CC" w:rsidRDefault="005E10CC" w14:paraId="52DF5777" w14:textId="77777777">
      <w:pPr>
        <w:spacing w:after="0" w:line="240" w:lineRule="auto"/>
        <w:ind w:left="420"/>
        <w:rPr>
          <w:rFonts w:ascii="Palatino Linotype" w:hAnsi="Palatino Linotype" w:eastAsia="Palatino Linotype" w:cs="Times New Roman"/>
          <w:kern w:val="0"/>
          <w14:ligatures w14:val="none"/>
        </w:rPr>
      </w:pPr>
    </w:p>
    <w:p w:rsidR="00A76F4A" w:rsidP="00A76F4A" w:rsidRDefault="005E10CC" w14:paraId="75300465" w14:textId="7A929B80">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D.23-12-005</w:t>
      </w:r>
      <w:r w:rsidRPr="006F1D16" w:rsidR="00A76F4A">
        <w:rPr>
          <w:rFonts w:ascii="Palatino Linotype" w:hAnsi="Palatino Linotype" w:eastAsia="Palatino Linotype" w:cs="Times New Roman"/>
          <w:kern w:val="0"/>
          <w14:ligatures w14:val="none"/>
        </w:rPr>
        <w:t xml:space="preserve"> </w:t>
      </w:r>
      <w:r w:rsidR="009237BE">
        <w:rPr>
          <w:rFonts w:ascii="Palatino Linotype" w:hAnsi="Palatino Linotype" w:eastAsia="Palatino Linotype" w:cs="Times New Roman"/>
          <w:kern w:val="0"/>
          <w14:ligatures w14:val="none"/>
        </w:rPr>
        <w:t xml:space="preserve">allows </w:t>
      </w:r>
      <w:r w:rsidR="00975734">
        <w:rPr>
          <w:rFonts w:ascii="Palatino Linotype" w:hAnsi="Palatino Linotype" w:eastAsia="Palatino Linotype" w:cs="Times New Roman"/>
          <w:kern w:val="0"/>
          <w14:ligatures w14:val="none"/>
        </w:rPr>
        <w:t xml:space="preserve">PG&amp;E and SCE to </w:t>
      </w:r>
      <w:r w:rsidR="00BE3820">
        <w:rPr>
          <w:rFonts w:ascii="Palatino Linotype" w:hAnsi="Palatino Linotype" w:eastAsia="Palatino Linotype" w:cs="Times New Roman"/>
          <w:kern w:val="0"/>
          <w14:ligatures w14:val="none"/>
        </w:rPr>
        <w:t>conduct the process to identify and mitigate issues with Auto DR</w:t>
      </w:r>
      <w:r w:rsidR="00B51DCD">
        <w:rPr>
          <w:rFonts w:ascii="Palatino Linotype" w:hAnsi="Palatino Linotype" w:eastAsia="Palatino Linotype" w:cs="Times New Roman"/>
          <w:kern w:val="0"/>
          <w14:ligatures w14:val="none"/>
        </w:rPr>
        <w:t xml:space="preserve"> prescribed in D.18-11-029, </w:t>
      </w:r>
      <w:r w:rsidR="00D55FD7">
        <w:rPr>
          <w:rFonts w:ascii="Palatino Linotype" w:hAnsi="Palatino Linotype" w:eastAsia="Palatino Linotype" w:cs="Times New Roman"/>
          <w:kern w:val="0"/>
          <w14:ligatures w14:val="none"/>
        </w:rPr>
        <w:t xml:space="preserve"> </w:t>
      </w:r>
      <w:r w:rsidRPr="00D55FD7" w:rsidR="00D55FD7">
        <w:rPr>
          <w:rFonts w:ascii="Palatino Linotype" w:hAnsi="Palatino Linotype" w:eastAsia="Palatino Linotype" w:cs="Times New Roman"/>
          <w:kern w:val="0"/>
          <w14:ligatures w14:val="none"/>
        </w:rPr>
        <w:t>once during the budgeting cycle, at the discretion of Utilities with Auto DR offerings, and with Energy Division concurrence</w:t>
      </w:r>
      <w:r w:rsidR="00D55FD7">
        <w:rPr>
          <w:rFonts w:ascii="Palatino Linotype" w:hAnsi="Palatino Linotype" w:eastAsia="Palatino Linotype" w:cs="Times New Roman"/>
          <w:kern w:val="0"/>
          <w14:ligatures w14:val="none"/>
        </w:rPr>
        <w:t xml:space="preserve">, </w:t>
      </w:r>
      <w:r w:rsidR="00D37D7E">
        <w:rPr>
          <w:rFonts w:ascii="Palatino Linotype" w:hAnsi="Palatino Linotype" w:eastAsia="Palatino Linotype" w:cs="Times New Roman"/>
          <w:kern w:val="0"/>
          <w14:ligatures w14:val="none"/>
        </w:rPr>
        <w:t>and allows PG&amp;E and SCE to eliminate the stakeholder involvement and detailed schedule set in D.18-11-029 if flexibility is needed.</w:t>
      </w:r>
      <w:r w:rsidRPr="006F1D16" w:rsidR="00A76F4A">
        <w:rPr>
          <w:rFonts w:ascii="Palatino Linotype" w:hAnsi="Palatino Linotype" w:eastAsia="Palatino Linotype" w:cs="Times New Roman"/>
          <w:kern w:val="0"/>
          <w14:ligatures w14:val="none"/>
        </w:rPr>
        <w:t xml:space="preserve">  </w:t>
      </w:r>
    </w:p>
    <w:p w:rsidR="00AE71FE" w:rsidP="00AE71FE" w:rsidRDefault="00AE71FE" w14:paraId="678C7443" w14:textId="77777777">
      <w:pPr>
        <w:spacing w:after="0" w:line="240" w:lineRule="auto"/>
        <w:rPr>
          <w:rFonts w:ascii="Palatino Linotype" w:hAnsi="Palatino Linotype" w:eastAsia="Palatino Linotype" w:cs="Times New Roman"/>
          <w:kern w:val="0"/>
          <w14:ligatures w14:val="none"/>
        </w:rPr>
      </w:pPr>
    </w:p>
    <w:p w:rsidRPr="006F1D16" w:rsidR="00602554" w:rsidP="00602554" w:rsidRDefault="00602554" w14:paraId="46293AE3"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D.23-12-005, OP 14 limits the scope of changes that may be proposed to changes that </w:t>
      </w:r>
      <w:r w:rsidRPr="003B7967">
        <w:rPr>
          <w:rFonts w:ascii="Palatino Linotype" w:hAnsi="Palatino Linotype" w:eastAsia="Times New Roman" w:cs="Times New Roman"/>
          <w:kern w:val="0"/>
          <w14:ligatures w14:val="none"/>
        </w:rPr>
        <w:t>“manage or increase program enrollment, improve program efficiency, increase potential load reduction available, improve program value, reduce costs, or bring the program in alignment or comply with Commission policies</w:t>
      </w:r>
      <w:r w:rsidRPr="00602554">
        <w:rPr>
          <w:rFonts w:ascii="Palatino Linotype" w:hAnsi="Palatino Linotype" w:eastAsia="Times New Roman" w:cs="Times New Roman"/>
          <w:kern w:val="0"/>
          <w14:ligatures w14:val="none"/>
        </w:rPr>
        <w:t>.”</w:t>
      </w:r>
    </w:p>
    <w:p w:rsidRPr="00602554" w:rsidR="00602554" w:rsidP="00602554" w:rsidRDefault="00602554" w14:paraId="20C94E9A" w14:textId="77777777">
      <w:pPr>
        <w:spacing w:after="0" w:line="240" w:lineRule="auto"/>
        <w:ind w:left="420"/>
        <w:rPr>
          <w:rFonts w:ascii="Palatino Linotype" w:hAnsi="Palatino Linotype" w:eastAsia="Palatino Linotype" w:cs="Times New Roman"/>
          <w:kern w:val="0"/>
          <w14:ligatures w14:val="none"/>
        </w:rPr>
      </w:pPr>
    </w:p>
    <w:p w:rsidRPr="00671470" w:rsidR="00671470" w:rsidP="00671470" w:rsidRDefault="00BE3ADB" w14:paraId="22E92635" w14:textId="11841163">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PG&amp;E and SCE </w:t>
      </w:r>
      <w:r w:rsidR="0048091D">
        <w:rPr>
          <w:rFonts w:ascii="Palatino Linotype" w:hAnsi="Palatino Linotype" w:eastAsia="Times New Roman" w:cs="Times New Roman"/>
          <w:kern w:val="0"/>
          <w14:ligatures w14:val="none"/>
        </w:rPr>
        <w:t xml:space="preserve">followed </w:t>
      </w:r>
      <w:r w:rsidR="00036A5E">
        <w:rPr>
          <w:rFonts w:ascii="Palatino Linotype" w:hAnsi="Palatino Linotype" w:eastAsia="Times New Roman" w:cs="Times New Roman"/>
          <w:kern w:val="0"/>
          <w14:ligatures w14:val="none"/>
        </w:rPr>
        <w:t xml:space="preserve">the guidance adopted by the Commission in D.23-12-005 </w:t>
      </w:r>
      <w:r w:rsidR="00444F8A">
        <w:rPr>
          <w:rFonts w:ascii="Palatino Linotype" w:hAnsi="Palatino Linotype" w:eastAsia="Times New Roman" w:cs="Times New Roman"/>
          <w:kern w:val="0"/>
          <w14:ligatures w14:val="none"/>
        </w:rPr>
        <w:t>appropriately</w:t>
      </w:r>
      <w:r>
        <w:rPr>
          <w:rFonts w:ascii="Palatino Linotype" w:hAnsi="Palatino Linotype" w:eastAsia="Times New Roman" w:cs="Times New Roman"/>
          <w:kern w:val="0"/>
          <w14:ligatures w14:val="none"/>
        </w:rPr>
        <w:t xml:space="preserve"> for this </w:t>
      </w:r>
      <w:r w:rsidR="00444F8A">
        <w:rPr>
          <w:rFonts w:ascii="Palatino Linotype" w:hAnsi="Palatino Linotype" w:eastAsia="Times New Roman" w:cs="Times New Roman"/>
          <w:kern w:val="0"/>
          <w14:ligatures w14:val="none"/>
        </w:rPr>
        <w:t>M</w:t>
      </w:r>
      <w:r w:rsidR="00770BE2">
        <w:rPr>
          <w:rFonts w:ascii="Palatino Linotype" w:hAnsi="Palatino Linotype" w:eastAsia="Times New Roman" w:cs="Times New Roman"/>
          <w:kern w:val="0"/>
          <w14:ligatures w14:val="none"/>
        </w:rPr>
        <w:t>id-</w:t>
      </w:r>
      <w:r w:rsidR="00444F8A">
        <w:rPr>
          <w:rFonts w:ascii="Palatino Linotype" w:hAnsi="Palatino Linotype" w:eastAsia="Times New Roman" w:cs="Times New Roman"/>
          <w:kern w:val="0"/>
          <w14:ligatures w14:val="none"/>
        </w:rPr>
        <w:t>C</w:t>
      </w:r>
      <w:r w:rsidR="00770BE2">
        <w:rPr>
          <w:rFonts w:ascii="Palatino Linotype" w:hAnsi="Palatino Linotype" w:eastAsia="Times New Roman" w:cs="Times New Roman"/>
          <w:kern w:val="0"/>
          <w14:ligatures w14:val="none"/>
        </w:rPr>
        <w:t xml:space="preserve">ycle </w:t>
      </w:r>
      <w:r w:rsidR="00444F8A">
        <w:rPr>
          <w:rFonts w:ascii="Palatino Linotype" w:hAnsi="Palatino Linotype" w:eastAsia="Times New Roman" w:cs="Times New Roman"/>
          <w:kern w:val="0"/>
          <w14:ligatures w14:val="none"/>
        </w:rPr>
        <w:t>R</w:t>
      </w:r>
      <w:r w:rsidR="00770BE2">
        <w:rPr>
          <w:rFonts w:ascii="Palatino Linotype" w:hAnsi="Palatino Linotype" w:eastAsia="Times New Roman" w:cs="Times New Roman"/>
          <w:kern w:val="0"/>
          <w14:ligatures w14:val="none"/>
        </w:rPr>
        <w:t>eview</w:t>
      </w:r>
      <w:r w:rsidR="00444F8A">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A</w:t>
      </w:r>
      <w:r w:rsidR="00770BE2">
        <w:rPr>
          <w:rFonts w:ascii="Palatino Linotype" w:hAnsi="Palatino Linotype" w:eastAsia="Times New Roman" w:cs="Times New Roman"/>
          <w:kern w:val="0"/>
          <w14:ligatures w14:val="none"/>
        </w:rPr>
        <w:t xml:space="preserve">dvice </w:t>
      </w:r>
      <w:r>
        <w:rPr>
          <w:rFonts w:ascii="Palatino Linotype" w:hAnsi="Palatino Linotype" w:eastAsia="Times New Roman" w:cs="Times New Roman"/>
          <w:kern w:val="0"/>
          <w14:ligatures w14:val="none"/>
        </w:rPr>
        <w:t>L</w:t>
      </w:r>
      <w:r w:rsidR="00770BE2">
        <w:rPr>
          <w:rFonts w:ascii="Palatino Linotype" w:hAnsi="Palatino Linotype" w:eastAsia="Times New Roman" w:cs="Times New Roman"/>
          <w:kern w:val="0"/>
          <w14:ligatures w14:val="none"/>
        </w:rPr>
        <w:t>etter</w:t>
      </w:r>
      <w:r>
        <w:rPr>
          <w:rFonts w:ascii="Palatino Linotype" w:hAnsi="Palatino Linotype" w:eastAsia="Times New Roman" w:cs="Times New Roman"/>
          <w:kern w:val="0"/>
          <w14:ligatures w14:val="none"/>
        </w:rPr>
        <w:t>.</w:t>
      </w:r>
    </w:p>
    <w:p w:rsidR="00671470" w:rsidP="00671470" w:rsidRDefault="00671470" w14:paraId="65F3C0EA" w14:textId="77777777">
      <w:pPr>
        <w:spacing w:after="0" w:line="240" w:lineRule="auto"/>
        <w:rPr>
          <w:rFonts w:ascii="Palatino Linotype" w:hAnsi="Palatino Linotype" w:eastAsia="Palatino Linotype" w:cs="Times New Roman"/>
          <w:kern w:val="0"/>
          <w14:ligatures w14:val="none"/>
        </w:rPr>
      </w:pPr>
    </w:p>
    <w:p w:rsidRPr="00AD4972" w:rsidR="00671470" w:rsidP="00671470" w:rsidRDefault="00671470" w14:paraId="339C6E6E" w14:textId="7B2699A6">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joint Study </w:t>
      </w:r>
      <w:r w:rsidR="00227E5F">
        <w:rPr>
          <w:rFonts w:ascii="Palatino Linotype" w:hAnsi="Palatino Linotype" w:eastAsia="Palatino Linotype" w:cs="Times New Roman"/>
          <w:kern w:val="0"/>
          <w14:ligatures w14:val="none"/>
        </w:rPr>
        <w:t xml:space="preserve">authorized by D.23-12-005 </w:t>
      </w:r>
      <w:r w:rsidRPr="001C1DC3" w:rsidR="00227E5F">
        <w:rPr>
          <w:rFonts w:ascii="Palatino Linotype" w:hAnsi="Palatino Linotype" w:eastAsia="Times New Roman" w:cs="Times New Roman"/>
          <w:kern w:val="0"/>
          <w14:ligatures w14:val="none"/>
        </w:rPr>
        <w:t>identif</w:t>
      </w:r>
      <w:r w:rsidR="00227E5F">
        <w:rPr>
          <w:rFonts w:ascii="Palatino Linotype" w:hAnsi="Palatino Linotype" w:eastAsia="Times New Roman" w:cs="Times New Roman"/>
          <w:kern w:val="0"/>
          <w14:ligatures w14:val="none"/>
        </w:rPr>
        <w:t xml:space="preserve">ied </w:t>
      </w:r>
      <w:r w:rsidRPr="002108B0" w:rsidR="00227E5F">
        <w:rPr>
          <w:rFonts w:ascii="Palatino Linotype" w:hAnsi="Palatino Linotype" w:eastAsia="Times New Roman" w:cs="Times New Roman"/>
          <w:kern w:val="0"/>
          <w14:ligatures w14:val="none"/>
        </w:rPr>
        <w:t>additional customers and additional means to apply AutoDR in its Deemed Application</w:t>
      </w:r>
      <w:r w:rsidR="00227E5F">
        <w:rPr>
          <w:rFonts w:ascii="Palatino Linotype" w:hAnsi="Palatino Linotype" w:eastAsia="Times New Roman" w:cs="Times New Roman"/>
          <w:kern w:val="0"/>
          <w14:ligatures w14:val="none"/>
        </w:rPr>
        <w:t xml:space="preserve"> </w:t>
      </w:r>
      <w:r w:rsidRPr="002108B0" w:rsidR="00227E5F">
        <w:rPr>
          <w:rFonts w:ascii="Palatino Linotype" w:hAnsi="Palatino Linotype" w:eastAsia="Times New Roman" w:cs="Times New Roman"/>
          <w:kern w:val="0"/>
          <w14:ligatures w14:val="none"/>
        </w:rPr>
        <w:t>process, identif</w:t>
      </w:r>
      <w:r w:rsidR="00D62D1D">
        <w:rPr>
          <w:rFonts w:ascii="Palatino Linotype" w:hAnsi="Palatino Linotype" w:eastAsia="Times New Roman" w:cs="Times New Roman"/>
          <w:kern w:val="0"/>
          <w14:ligatures w14:val="none"/>
        </w:rPr>
        <w:t>ied</w:t>
      </w:r>
      <w:r w:rsidRPr="002108B0" w:rsidR="00227E5F">
        <w:rPr>
          <w:rFonts w:ascii="Palatino Linotype" w:hAnsi="Palatino Linotype" w:eastAsia="Times New Roman" w:cs="Times New Roman"/>
          <w:kern w:val="0"/>
          <w14:ligatures w14:val="none"/>
        </w:rPr>
        <w:t xml:space="preserve"> additional large commercial and industrial customer segments</w:t>
      </w:r>
      <w:r w:rsidR="00227E5F">
        <w:rPr>
          <w:rFonts w:ascii="Palatino Linotype" w:hAnsi="Palatino Linotype" w:eastAsia="Times New Roman" w:cs="Times New Roman"/>
          <w:kern w:val="0"/>
          <w14:ligatures w14:val="none"/>
        </w:rPr>
        <w:t xml:space="preserve"> </w:t>
      </w:r>
      <w:r w:rsidRPr="002108B0" w:rsidR="00227E5F">
        <w:rPr>
          <w:rFonts w:ascii="Palatino Linotype" w:hAnsi="Palatino Linotype" w:eastAsia="Times New Roman" w:cs="Times New Roman"/>
          <w:kern w:val="0"/>
          <w14:ligatures w14:val="none"/>
        </w:rPr>
        <w:t xml:space="preserve">amenable to its FastTrack Application AutoDR program, and </w:t>
      </w:r>
      <w:r w:rsidRPr="002108B0" w:rsidR="000F2636">
        <w:rPr>
          <w:rFonts w:ascii="Palatino Linotype" w:hAnsi="Palatino Linotype" w:eastAsia="Times New Roman" w:cs="Times New Roman"/>
          <w:kern w:val="0"/>
          <w14:ligatures w14:val="none"/>
        </w:rPr>
        <w:t>develop</w:t>
      </w:r>
      <w:r w:rsidR="000F2636">
        <w:rPr>
          <w:rFonts w:ascii="Palatino Linotype" w:hAnsi="Palatino Linotype" w:eastAsia="Times New Roman" w:cs="Times New Roman"/>
          <w:kern w:val="0"/>
          <w14:ligatures w14:val="none"/>
        </w:rPr>
        <w:t>ed</w:t>
      </w:r>
      <w:r w:rsidRPr="002108B0" w:rsidR="00227E5F">
        <w:rPr>
          <w:rFonts w:ascii="Palatino Linotype" w:hAnsi="Palatino Linotype" w:eastAsia="Times New Roman" w:cs="Times New Roman"/>
          <w:kern w:val="0"/>
          <w14:ligatures w14:val="none"/>
        </w:rPr>
        <w:t xml:space="preserve"> the</w:t>
      </w:r>
      <w:r w:rsidR="00227E5F">
        <w:rPr>
          <w:rFonts w:ascii="Palatino Linotype" w:hAnsi="Palatino Linotype" w:eastAsia="Times New Roman" w:cs="Times New Roman"/>
          <w:kern w:val="0"/>
          <w14:ligatures w14:val="none"/>
        </w:rPr>
        <w:t xml:space="preserve"> </w:t>
      </w:r>
      <w:r w:rsidRPr="00155295" w:rsidR="00227E5F">
        <w:rPr>
          <w:rFonts w:ascii="Palatino Linotype" w:hAnsi="Palatino Linotype" w:eastAsia="Times New Roman" w:cs="Times New Roman"/>
          <w:kern w:val="0"/>
          <w14:ligatures w14:val="none"/>
        </w:rPr>
        <w:t>FastTrack calculator to enable expansion of those controllable features that shed power</w:t>
      </w:r>
      <w:r w:rsidR="00227E5F">
        <w:rPr>
          <w:rFonts w:ascii="Palatino Linotype" w:hAnsi="Palatino Linotype" w:eastAsia="Times New Roman" w:cs="Times New Roman"/>
          <w:kern w:val="0"/>
          <w14:ligatures w14:val="none"/>
        </w:rPr>
        <w:t xml:space="preserve"> </w:t>
      </w:r>
      <w:r w:rsidRPr="00155295" w:rsidR="00227E5F">
        <w:rPr>
          <w:rFonts w:ascii="Palatino Linotype" w:hAnsi="Palatino Linotype" w:eastAsia="Times New Roman" w:cs="Times New Roman"/>
          <w:kern w:val="0"/>
          <w14:ligatures w14:val="none"/>
        </w:rPr>
        <w:t>demand</w:t>
      </w:r>
      <w:r w:rsidR="00D62D1D">
        <w:rPr>
          <w:rFonts w:ascii="Palatino Linotype" w:hAnsi="Palatino Linotype" w:eastAsia="Times New Roman" w:cs="Times New Roman"/>
          <w:kern w:val="0"/>
          <w14:ligatures w14:val="none"/>
        </w:rPr>
        <w:t xml:space="preserve"> for </w:t>
      </w:r>
      <w:r w:rsidR="00AD4972">
        <w:rPr>
          <w:rFonts w:ascii="Palatino Linotype" w:hAnsi="Palatino Linotype" w:eastAsia="Times New Roman" w:cs="Times New Roman"/>
          <w:kern w:val="0"/>
          <w14:ligatures w14:val="none"/>
        </w:rPr>
        <w:t>these customers and means</w:t>
      </w:r>
      <w:r w:rsidRPr="00155295" w:rsidR="00227E5F">
        <w:rPr>
          <w:rFonts w:ascii="Palatino Linotype" w:hAnsi="Palatino Linotype" w:eastAsia="Times New Roman" w:cs="Times New Roman"/>
          <w:kern w:val="0"/>
          <w14:ligatures w14:val="none"/>
        </w:rPr>
        <w:t>.</w:t>
      </w:r>
      <w:r w:rsidR="00227E5F">
        <w:rPr>
          <w:rFonts w:ascii="Palatino Linotype" w:hAnsi="Palatino Linotype" w:eastAsia="Palatino Linotype" w:cs="Times New Roman"/>
          <w:kern w:val="0"/>
          <w14:ligatures w14:val="none"/>
        </w:rPr>
        <w:t xml:space="preserve"> </w:t>
      </w:r>
    </w:p>
    <w:p w:rsidR="00AD4972" w:rsidP="00AD4972" w:rsidRDefault="00AD4972" w14:paraId="571B84C4" w14:textId="77777777">
      <w:pPr>
        <w:spacing w:after="0" w:line="240" w:lineRule="auto"/>
        <w:ind w:left="420"/>
        <w:rPr>
          <w:rFonts w:ascii="Palatino Linotype" w:hAnsi="Palatino Linotype" w:eastAsia="Palatino Linotype" w:cs="Times New Roman"/>
          <w:kern w:val="0"/>
          <w14:ligatures w14:val="none"/>
        </w:rPr>
      </w:pPr>
    </w:p>
    <w:p w:rsidRPr="00FB6945" w:rsidR="00FB6945" w:rsidP="00FB6945" w:rsidRDefault="00F72201" w14:paraId="77111D31" w14:textId="43199E58">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All of the proposed modifications of </w:t>
      </w:r>
      <w:r w:rsidR="00970F9F">
        <w:rPr>
          <w:rFonts w:ascii="Palatino Linotype" w:hAnsi="Palatino Linotype" w:eastAsia="Palatino Linotype" w:cs="Times New Roman"/>
          <w:kern w:val="0"/>
          <w14:ligatures w14:val="none"/>
        </w:rPr>
        <w:t xml:space="preserve">Supplemental </w:t>
      </w:r>
      <w:r w:rsidR="00782132">
        <w:rPr>
          <w:rFonts w:ascii="Palatino Linotype" w:hAnsi="Palatino Linotype" w:eastAsia="Palatino Linotype" w:cs="Times New Roman"/>
          <w:kern w:val="0"/>
          <w14:ligatures w14:val="none"/>
        </w:rPr>
        <w:t xml:space="preserve">Joint </w:t>
      </w:r>
      <w:r w:rsidR="00970F9F">
        <w:rPr>
          <w:rFonts w:ascii="Palatino Linotype" w:hAnsi="Palatino Linotype" w:eastAsia="Palatino Linotype" w:cs="Times New Roman"/>
          <w:kern w:val="0"/>
          <w14:ligatures w14:val="none"/>
        </w:rPr>
        <w:t>AL 7742-E-A (PG&amp;E)</w:t>
      </w:r>
      <w:r w:rsidRPr="001942D0" w:rsidR="00970F9F">
        <w:rPr>
          <w:rFonts w:ascii="Palatino Linotype" w:hAnsi="Palatino Linotype" w:eastAsia="Palatino Linotype" w:cs="Times New Roman"/>
          <w:kern w:val="0"/>
          <w14:ligatures w14:val="none"/>
        </w:rPr>
        <w:t xml:space="preserve"> </w:t>
      </w:r>
      <w:r w:rsidR="00970F9F">
        <w:rPr>
          <w:rFonts w:ascii="Palatino Linotype" w:hAnsi="Palatino Linotype" w:eastAsia="Palatino Linotype" w:cs="Times New Roman"/>
          <w:kern w:val="0"/>
          <w14:ligatures w14:val="none"/>
        </w:rPr>
        <w:t>and 5658-E-A (SCE)</w:t>
      </w:r>
      <w:r w:rsidR="00390D36">
        <w:rPr>
          <w:rFonts w:ascii="Palatino Linotype" w:hAnsi="Palatino Linotype" w:eastAsia="Palatino Linotype" w:cs="Times New Roman"/>
          <w:kern w:val="0"/>
          <w14:ligatures w14:val="none"/>
        </w:rPr>
        <w:t xml:space="preserve">, with the modification </w:t>
      </w:r>
      <w:r w:rsidR="00E13328">
        <w:rPr>
          <w:rFonts w:ascii="Palatino Linotype" w:hAnsi="Palatino Linotype" w:eastAsia="Palatino Linotype" w:cs="Times New Roman"/>
          <w:kern w:val="0"/>
          <w14:ligatures w14:val="none"/>
        </w:rPr>
        <w:t>discussed herein,</w:t>
      </w:r>
      <w:r w:rsidR="00663252">
        <w:rPr>
          <w:rFonts w:ascii="Palatino Linotype" w:hAnsi="Palatino Linotype" w:eastAsia="Palatino Linotype" w:cs="Times New Roman"/>
          <w:kern w:val="0"/>
          <w14:ligatures w14:val="none"/>
        </w:rPr>
        <w:t xml:space="preserve"> </w:t>
      </w:r>
      <w:r w:rsidR="00EE2EDF">
        <w:rPr>
          <w:rFonts w:ascii="Palatino Linotype" w:hAnsi="Palatino Linotype" w:eastAsia="Palatino Linotype" w:cs="Times New Roman"/>
          <w:kern w:val="0"/>
          <w14:ligatures w14:val="none"/>
        </w:rPr>
        <w:t xml:space="preserve">either improve </w:t>
      </w:r>
      <w:r w:rsidR="000D6856">
        <w:rPr>
          <w:rFonts w:ascii="Palatino Linotype" w:hAnsi="Palatino Linotype" w:eastAsia="Palatino Linotype" w:cs="Times New Roman"/>
          <w:kern w:val="0"/>
          <w14:ligatures w14:val="none"/>
        </w:rPr>
        <w:t xml:space="preserve">the AutoDR Guidelines through trivial grammatical </w:t>
      </w:r>
      <w:r w:rsidR="00FB6945">
        <w:rPr>
          <w:rFonts w:ascii="Palatino Linotype" w:hAnsi="Palatino Linotype" w:eastAsia="Palatino Linotype" w:cs="Times New Roman"/>
          <w:kern w:val="0"/>
          <w14:ligatures w14:val="none"/>
        </w:rPr>
        <w:t xml:space="preserve">or reference updates, or, where non-trivial, meet the standard required that they </w:t>
      </w:r>
      <w:r w:rsidRPr="00FB6945" w:rsidR="00FB6945">
        <w:rPr>
          <w:rFonts w:ascii="Palatino Linotype" w:hAnsi="Palatino Linotype" w:eastAsia="Palatino Linotype" w:cs="Times New Roman"/>
          <w:kern w:val="0"/>
          <w14:ligatures w14:val="none"/>
        </w:rPr>
        <w:t>manage or increase program enrollment, improve program efficiency, increase potential load reduction available, improve program value, reduce costs, or bring the program in alignment or comply with Commission policies.</w:t>
      </w:r>
    </w:p>
    <w:p w:rsidRPr="00FB6945" w:rsidR="00FB6945" w:rsidP="00FB6945" w:rsidRDefault="00FB6945" w14:paraId="251A252E" w14:textId="77777777">
      <w:pPr>
        <w:spacing w:after="0" w:line="240" w:lineRule="auto"/>
        <w:ind w:left="420"/>
        <w:rPr>
          <w:rFonts w:ascii="Palatino Linotype" w:hAnsi="Palatino Linotype" w:eastAsia="Palatino Linotype" w:cs="Times New Roman"/>
          <w:kern w:val="0"/>
          <w14:ligatures w14:val="none"/>
        </w:rPr>
      </w:pPr>
    </w:p>
    <w:p w:rsidRPr="00A30AC4" w:rsidR="00C10B7A" w:rsidP="00671470" w:rsidRDefault="000D7226" w14:paraId="54A9AB6B" w14:textId="129BB70B">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to </w:t>
      </w:r>
      <w:r w:rsidR="005804E9">
        <w:rPr>
          <w:rFonts w:ascii="Palatino Linotype" w:hAnsi="Palatino Linotype" w:eastAsia="Palatino Linotype" w:cs="Times New Roman"/>
          <w:kern w:val="0"/>
          <w14:ligatures w14:val="none"/>
        </w:rPr>
        <w:t xml:space="preserve">revise Appendix A of Guidelines to </w:t>
      </w:r>
      <w:r w:rsidR="00A30AC4">
        <w:rPr>
          <w:rFonts w:ascii="Palatino Linotype" w:hAnsi="Palatino Linotype" w:eastAsia="Times New Roman" w:cs="Times New Roman"/>
          <w:kern w:val="0"/>
          <w14:ligatures w14:val="none"/>
        </w:rPr>
        <w:t xml:space="preserve">clarify </w:t>
      </w:r>
      <w:r w:rsidRPr="00EE4ABC" w:rsidR="005804E9">
        <w:rPr>
          <w:rFonts w:ascii="Palatino Linotype" w:hAnsi="Palatino Linotype" w:eastAsia="Times New Roman" w:cs="Times New Roman"/>
          <w:kern w:val="0"/>
          <w14:ligatures w14:val="none"/>
        </w:rPr>
        <w:t xml:space="preserve">that </w:t>
      </w:r>
      <w:r w:rsidR="005804E9">
        <w:rPr>
          <w:rFonts w:ascii="Palatino Linotype" w:hAnsi="Palatino Linotype" w:eastAsia="Times New Roman" w:cs="Times New Roman"/>
          <w:kern w:val="0"/>
          <w14:ligatures w14:val="none"/>
        </w:rPr>
        <w:t xml:space="preserve">Small and Medium Business </w:t>
      </w:r>
      <w:r w:rsidRPr="00664447" w:rsidR="005804E9">
        <w:rPr>
          <w:rFonts w:ascii="Palatino Linotype" w:hAnsi="Palatino Linotype" w:eastAsia="Times New Roman" w:cs="Times New Roman"/>
          <w:kern w:val="0"/>
          <w14:ligatures w14:val="none"/>
        </w:rPr>
        <w:t xml:space="preserve">(SMB) customers with peak demand </w:t>
      </w:r>
      <w:r w:rsidR="006952FF">
        <w:rPr>
          <w:rFonts w:ascii="Palatino Linotype" w:hAnsi="Palatino Linotype" w:eastAsia="Times New Roman" w:cs="Times New Roman"/>
          <w:kern w:val="0"/>
          <w14:ligatures w14:val="none"/>
        </w:rPr>
        <w:t xml:space="preserve">less than </w:t>
      </w:r>
      <w:r w:rsidRPr="00664447" w:rsidR="005804E9">
        <w:rPr>
          <w:rFonts w:ascii="Palatino Linotype" w:hAnsi="Palatino Linotype" w:eastAsia="Times New Roman" w:cs="Times New Roman"/>
          <w:kern w:val="0"/>
          <w14:ligatures w14:val="none"/>
        </w:rPr>
        <w:t>200kW who enroll a qualifying thermostat in SCE’s Smart Energy Program (SEP) can</w:t>
      </w:r>
      <w:r w:rsidRPr="00EE4ABC" w:rsidR="005804E9">
        <w:rPr>
          <w:rFonts w:ascii="Palatino Linotype" w:hAnsi="Palatino Linotype" w:eastAsia="Times New Roman" w:cs="Times New Roman"/>
          <w:kern w:val="0"/>
          <w14:ligatures w14:val="none"/>
        </w:rPr>
        <w:t xml:space="preserve"> also qualify for the $75</w:t>
      </w:r>
      <w:r w:rsidR="005804E9">
        <w:rPr>
          <w:rFonts w:ascii="Palatino Linotype" w:hAnsi="Palatino Linotype" w:eastAsia="Times New Roman" w:cs="Times New Roman"/>
          <w:kern w:val="0"/>
          <w14:ligatures w14:val="none"/>
        </w:rPr>
        <w:t xml:space="preserve"> </w:t>
      </w:r>
      <w:r w:rsidRPr="00EE4ABC" w:rsidR="005804E9">
        <w:rPr>
          <w:rFonts w:ascii="Palatino Linotype" w:hAnsi="Palatino Linotype" w:eastAsia="Times New Roman" w:cs="Times New Roman"/>
          <w:kern w:val="0"/>
          <w14:ligatures w14:val="none"/>
        </w:rPr>
        <w:t>incentive</w:t>
      </w:r>
      <w:r w:rsidR="00A30AC4">
        <w:rPr>
          <w:rFonts w:ascii="Palatino Linotype" w:hAnsi="Palatino Linotype" w:eastAsia="Times New Roman" w:cs="Times New Roman"/>
          <w:kern w:val="0"/>
          <w14:ligatures w14:val="none"/>
        </w:rPr>
        <w:t>.</w:t>
      </w:r>
    </w:p>
    <w:p w:rsidR="00A30AC4" w:rsidP="00A30AC4" w:rsidRDefault="00A30AC4" w14:paraId="1CD32F4B" w14:textId="77777777">
      <w:pPr>
        <w:pStyle w:val="ListParagraph"/>
        <w:rPr>
          <w:rFonts w:ascii="Palatino Linotype" w:hAnsi="Palatino Linotype" w:eastAsia="Palatino Linotype" w:cs="Times New Roman"/>
          <w:kern w:val="0"/>
          <w14:ligatures w14:val="none"/>
        </w:rPr>
      </w:pPr>
    </w:p>
    <w:p w:rsidRPr="001A658B" w:rsidR="00A30AC4" w:rsidP="00671470" w:rsidRDefault="00A30AC4" w14:paraId="421438C8" w14:textId="49809F0A">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It is reasonable to </w:t>
      </w:r>
      <w:r>
        <w:rPr>
          <w:rFonts w:ascii="Palatino Linotype" w:hAnsi="Palatino Linotype" w:eastAsia="Times New Roman" w:cs="Times New Roman"/>
          <w:kern w:val="0"/>
          <w14:ligatures w14:val="none"/>
        </w:rPr>
        <w:t>add</w:t>
      </w:r>
      <w:r w:rsidRPr="0041170A">
        <w:rPr>
          <w:rFonts w:ascii="Palatino Linotype" w:hAnsi="Palatino Linotype" w:eastAsia="Times New Roman" w:cs="Times New Roman"/>
          <w:kern w:val="0"/>
          <w14:ligatures w14:val="none"/>
        </w:rPr>
        <w:t xml:space="preserve"> PG&amp;E’s Automated Response Technology Program (ART) as an ADR Qualified Residential Program</w:t>
      </w:r>
      <w:r w:rsidR="00AF40E1">
        <w:rPr>
          <w:rFonts w:ascii="Palatino Linotype" w:hAnsi="Palatino Linotype" w:eastAsia="Times New Roman" w:cs="Times New Roman"/>
          <w:kern w:val="0"/>
          <w14:ligatures w14:val="none"/>
        </w:rPr>
        <w:t xml:space="preserve">, should GSR’s funding become </w:t>
      </w:r>
      <w:r w:rsidR="00514AD9">
        <w:rPr>
          <w:rFonts w:ascii="Palatino Linotype" w:hAnsi="Palatino Linotype" w:eastAsia="Times New Roman" w:cs="Times New Roman"/>
          <w:kern w:val="0"/>
          <w14:ligatures w14:val="none"/>
        </w:rPr>
        <w:t xml:space="preserve">unavailable </w:t>
      </w:r>
      <w:r w:rsidR="00AF40E1">
        <w:rPr>
          <w:rFonts w:ascii="Palatino Linotype" w:hAnsi="Palatino Linotype" w:eastAsia="Times New Roman" w:cs="Times New Roman"/>
          <w:kern w:val="0"/>
          <w14:ligatures w14:val="none"/>
        </w:rPr>
        <w:t>in the future.</w:t>
      </w:r>
    </w:p>
    <w:p w:rsidR="001A658B" w:rsidP="001A658B" w:rsidRDefault="001A658B" w14:paraId="638E7C46" w14:textId="77777777">
      <w:pPr>
        <w:pStyle w:val="ListParagraph"/>
        <w:rPr>
          <w:rFonts w:ascii="Palatino Linotype" w:hAnsi="Palatino Linotype" w:eastAsia="Palatino Linotype" w:cs="Times New Roman"/>
          <w:kern w:val="0"/>
          <w14:ligatures w14:val="none"/>
        </w:rPr>
      </w:pPr>
    </w:p>
    <w:p w:rsidR="001A658B" w:rsidP="00671470" w:rsidRDefault="001A658B" w14:paraId="18F75542" w14:textId="4940395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w:t>
      </w:r>
      <w:r w:rsidR="00961681">
        <w:rPr>
          <w:rFonts w:ascii="Palatino Linotype" w:hAnsi="Palatino Linotype" w:eastAsia="Palatino Linotype" w:cs="Times New Roman"/>
          <w:kern w:val="0"/>
          <w14:ligatures w14:val="none"/>
        </w:rPr>
        <w:t xml:space="preserve"> revise Appendix B of Guidelines to modify customer segments so they a</w:t>
      </w:r>
      <w:r w:rsidR="00A63861">
        <w:rPr>
          <w:rFonts w:ascii="Palatino Linotype" w:hAnsi="Palatino Linotype" w:eastAsia="Palatino Linotype" w:cs="Times New Roman"/>
          <w:kern w:val="0"/>
          <w14:ligatures w14:val="none"/>
        </w:rPr>
        <w:t>llow any customers which do not qualify for Appendix C deemed incentives.</w:t>
      </w:r>
      <w:r w:rsidR="00AB458A">
        <w:rPr>
          <w:rFonts w:ascii="Palatino Linotype" w:hAnsi="Palatino Linotype" w:eastAsia="Palatino Linotype" w:cs="Times New Roman"/>
          <w:kern w:val="0"/>
          <w14:ligatures w14:val="none"/>
        </w:rPr>
        <w:t xml:space="preserve"> The revisions provide alignment between customer segments of Appendix B and C.</w:t>
      </w:r>
    </w:p>
    <w:p w:rsidR="00AB458A" w:rsidP="00AB458A" w:rsidRDefault="00AB458A" w14:paraId="20DB1EDC" w14:textId="77777777">
      <w:pPr>
        <w:pStyle w:val="ListParagraph"/>
        <w:rPr>
          <w:rFonts w:ascii="Palatino Linotype" w:hAnsi="Palatino Linotype" w:eastAsia="Palatino Linotype" w:cs="Times New Roman"/>
          <w:kern w:val="0"/>
          <w14:ligatures w14:val="none"/>
        </w:rPr>
      </w:pPr>
    </w:p>
    <w:p w:rsidR="00DE587E" w:rsidP="00671470" w:rsidRDefault="00DE587E" w14:paraId="426FC3D9" w14:textId="492ACA85">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We find</w:t>
      </w:r>
      <w:r w:rsidR="00D4576B">
        <w:rPr>
          <w:rFonts w:ascii="Palatino Linotype" w:hAnsi="Palatino Linotype" w:eastAsia="Palatino Linotype" w:cs="Times New Roman"/>
          <w:kern w:val="0"/>
          <w14:ligatures w14:val="none"/>
        </w:rPr>
        <w:t xml:space="preserve"> that</w:t>
      </w:r>
      <w:r>
        <w:rPr>
          <w:rFonts w:ascii="Palatino Linotype" w:hAnsi="Palatino Linotype" w:eastAsia="Palatino Linotype" w:cs="Times New Roman"/>
          <w:kern w:val="0"/>
          <w14:ligatures w14:val="none"/>
        </w:rPr>
        <w:t xml:space="preserve"> the revised Appendix C Customer Segments and Eligible Measures are consistent </w:t>
      </w:r>
      <w:r w:rsidR="0021214B">
        <w:rPr>
          <w:rFonts w:ascii="Palatino Linotype" w:hAnsi="Palatino Linotype" w:eastAsia="Palatino Linotype" w:cs="Times New Roman"/>
          <w:kern w:val="0"/>
          <w14:ligatures w14:val="none"/>
        </w:rPr>
        <w:t>with the findings and recommendations of the Study.</w:t>
      </w:r>
    </w:p>
    <w:p w:rsidR="0021214B" w:rsidP="0021214B" w:rsidRDefault="0021214B" w14:paraId="397CBEB9" w14:textId="77777777">
      <w:pPr>
        <w:pStyle w:val="ListParagraph"/>
        <w:rPr>
          <w:rFonts w:ascii="Palatino Linotype" w:hAnsi="Palatino Linotype" w:eastAsia="Palatino Linotype" w:cs="Times New Roman"/>
          <w:kern w:val="0"/>
          <w14:ligatures w14:val="none"/>
        </w:rPr>
      </w:pPr>
    </w:p>
    <w:p w:rsidR="0021214B" w:rsidP="00671470" w:rsidRDefault="0021214B" w14:paraId="71CF51A9" w14:textId="04F2335C">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to revise Appendix C Customer Segments for </w:t>
      </w:r>
      <w:r w:rsidR="00EB6BCF">
        <w:rPr>
          <w:rFonts w:ascii="Palatino Linotype" w:hAnsi="Palatino Linotype" w:eastAsia="Palatino Linotype" w:cs="Times New Roman"/>
          <w:kern w:val="0"/>
          <w14:ligatures w14:val="none"/>
        </w:rPr>
        <w:t>new customer types and revised upper peak limits as proposed.</w:t>
      </w:r>
    </w:p>
    <w:p w:rsidR="00EB6BCF" w:rsidP="00EB6BCF" w:rsidRDefault="00EB6BCF" w14:paraId="3EAAFD0F" w14:textId="77777777">
      <w:pPr>
        <w:pStyle w:val="ListParagraph"/>
        <w:rPr>
          <w:rFonts w:ascii="Palatino Linotype" w:hAnsi="Palatino Linotype" w:eastAsia="Palatino Linotype" w:cs="Times New Roman"/>
          <w:kern w:val="0"/>
          <w14:ligatures w14:val="none"/>
        </w:rPr>
      </w:pPr>
    </w:p>
    <w:p w:rsidR="00EB6BCF" w:rsidP="00671470" w:rsidRDefault="00EB6BCF" w14:paraId="21FE951B" w14:textId="33CD52EB">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to revise Appendix C Eligible Means </w:t>
      </w:r>
      <w:r w:rsidR="00B90FE1">
        <w:rPr>
          <w:rFonts w:ascii="Palatino Linotype" w:hAnsi="Palatino Linotype" w:eastAsia="Palatino Linotype" w:cs="Times New Roman"/>
          <w:kern w:val="0"/>
          <w14:ligatures w14:val="none"/>
        </w:rPr>
        <w:t>to add grocery refrigeration and agricultural pumps, as proposed.</w:t>
      </w:r>
    </w:p>
    <w:p w:rsidR="00DE587E" w:rsidP="00DE587E" w:rsidRDefault="00DE587E" w14:paraId="54B920D7" w14:textId="77777777">
      <w:pPr>
        <w:pStyle w:val="ListParagraph"/>
        <w:rPr>
          <w:rFonts w:ascii="Palatino Linotype" w:hAnsi="Palatino Linotype" w:eastAsia="Palatino Linotype" w:cs="Times New Roman"/>
          <w:kern w:val="0"/>
          <w14:ligatures w14:val="none"/>
        </w:rPr>
      </w:pPr>
    </w:p>
    <w:p w:rsidRPr="00A835EE" w:rsidR="00AB458A" w:rsidP="00671470" w:rsidRDefault="0014401C" w14:paraId="009CF7CD" w14:textId="22B665E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 revise Appendi</w:t>
      </w:r>
      <w:r w:rsidR="00B90FE1">
        <w:rPr>
          <w:rFonts w:ascii="Palatino Linotype" w:hAnsi="Palatino Linotype" w:eastAsia="Palatino Linotype" w:cs="Times New Roman"/>
          <w:kern w:val="0"/>
          <w14:ligatures w14:val="none"/>
        </w:rPr>
        <w:t xml:space="preserve">ces A and </w:t>
      </w:r>
      <w:r>
        <w:rPr>
          <w:rFonts w:ascii="Palatino Linotype" w:hAnsi="Palatino Linotype" w:eastAsia="Palatino Linotype" w:cs="Times New Roman"/>
          <w:kern w:val="0"/>
          <w14:ligatures w14:val="none"/>
        </w:rPr>
        <w:t xml:space="preserve">C of </w:t>
      </w:r>
      <w:r w:rsidR="001863AD">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 xml:space="preserve">Guidelines to </w:t>
      </w:r>
      <w:r w:rsidR="00B90FE1">
        <w:rPr>
          <w:rFonts w:ascii="Palatino Linotype" w:hAnsi="Palatino Linotype" w:eastAsia="Palatino Linotype" w:cs="Times New Roman"/>
          <w:kern w:val="0"/>
          <w14:ligatures w14:val="none"/>
        </w:rPr>
        <w:t xml:space="preserve">clarify </w:t>
      </w:r>
      <w:r w:rsidRPr="00A835EE" w:rsidR="00A835EE">
        <w:rPr>
          <w:rFonts w:ascii="Palatino Linotype" w:hAnsi="Palatino Linotype" w:eastAsia="Times New Roman" w:cs="Times New Roman"/>
          <w:kern w:val="0"/>
          <w14:ligatures w14:val="none"/>
        </w:rPr>
        <w:t>the Cloud-Based Technology Provision.</w:t>
      </w:r>
    </w:p>
    <w:p w:rsidR="00A835EE" w:rsidP="00A835EE" w:rsidRDefault="00A835EE" w14:paraId="341A04F7" w14:textId="77777777">
      <w:pPr>
        <w:pStyle w:val="ListParagraph"/>
        <w:rPr>
          <w:rFonts w:ascii="Palatino Linotype" w:hAnsi="Palatino Linotype" w:eastAsia="Palatino Linotype" w:cs="Times New Roman"/>
          <w:kern w:val="0"/>
          <w14:ligatures w14:val="none"/>
        </w:rPr>
      </w:pPr>
    </w:p>
    <w:p w:rsidR="006D5447" w:rsidP="00671470" w:rsidRDefault="00A835EE" w14:paraId="2A3A61A9"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We </w:t>
      </w:r>
      <w:r w:rsidR="00856CA8">
        <w:rPr>
          <w:rFonts w:ascii="Palatino Linotype" w:hAnsi="Palatino Linotype" w:eastAsia="Palatino Linotype" w:cs="Times New Roman"/>
          <w:kern w:val="0"/>
          <w14:ligatures w14:val="none"/>
        </w:rPr>
        <w:t xml:space="preserve">find </w:t>
      </w:r>
      <w:r w:rsidR="00593ED8">
        <w:rPr>
          <w:rFonts w:ascii="Palatino Linotype" w:hAnsi="Palatino Linotype" w:eastAsia="Palatino Linotype" w:cs="Times New Roman"/>
          <w:kern w:val="0"/>
          <w14:ligatures w14:val="none"/>
        </w:rPr>
        <w:t xml:space="preserve">that </w:t>
      </w:r>
      <w:r>
        <w:rPr>
          <w:rFonts w:ascii="Palatino Linotype" w:hAnsi="Palatino Linotype" w:eastAsia="Palatino Linotype" w:cs="Times New Roman"/>
          <w:kern w:val="0"/>
          <w14:ligatures w14:val="none"/>
        </w:rPr>
        <w:t xml:space="preserve">the proposed clarification to the Cloud-Based Technology Provision </w:t>
      </w:r>
      <w:r w:rsidR="0003439E">
        <w:rPr>
          <w:rFonts w:ascii="Palatino Linotype" w:hAnsi="Palatino Linotype" w:eastAsia="Palatino Linotype" w:cs="Times New Roman"/>
          <w:kern w:val="0"/>
          <w14:ligatures w14:val="none"/>
        </w:rPr>
        <w:t>is</w:t>
      </w:r>
      <w:r w:rsidR="00856CA8">
        <w:rPr>
          <w:rFonts w:ascii="Palatino Linotype" w:hAnsi="Palatino Linotype" w:eastAsia="Palatino Linotype" w:cs="Times New Roman"/>
          <w:kern w:val="0"/>
          <w14:ligatures w14:val="none"/>
        </w:rPr>
        <w:t xml:space="preserve"> </w:t>
      </w:r>
      <w:r w:rsidR="001B7E1B">
        <w:rPr>
          <w:rFonts w:ascii="Palatino Linotype" w:hAnsi="Palatino Linotype" w:eastAsia="Palatino Linotype" w:cs="Times New Roman"/>
          <w:kern w:val="0"/>
          <w14:ligatures w14:val="none"/>
        </w:rPr>
        <w:t>reasonable</w:t>
      </w:r>
      <w:r w:rsidR="006D5447">
        <w:rPr>
          <w:rFonts w:ascii="Palatino Linotype" w:hAnsi="Palatino Linotype" w:eastAsia="Palatino Linotype" w:cs="Times New Roman"/>
          <w:kern w:val="0"/>
          <w14:ligatures w14:val="none"/>
        </w:rPr>
        <w:t xml:space="preserve">. </w:t>
      </w:r>
    </w:p>
    <w:p w:rsidR="006D5447" w:rsidP="00CA717B" w:rsidRDefault="006D5447" w14:paraId="1CC15D80" w14:textId="77777777">
      <w:pPr>
        <w:pStyle w:val="ListParagraph"/>
        <w:rPr>
          <w:rFonts w:ascii="Palatino Linotype" w:hAnsi="Palatino Linotype" w:eastAsia="Palatino Linotype" w:cs="Times New Roman"/>
          <w:kern w:val="0"/>
          <w14:ligatures w14:val="none"/>
        </w:rPr>
      </w:pPr>
    </w:p>
    <w:p w:rsidRPr="00AF40E1" w:rsidR="00A835EE" w:rsidP="00671470" w:rsidRDefault="006D5447" w14:paraId="47D0E625" w14:textId="6BB8BBD2">
      <w:pPr>
        <w:numPr>
          <w:ilvl w:val="0"/>
          <w:numId w:val="1"/>
        </w:numPr>
        <w:spacing w:after="0" w:line="240" w:lineRule="auto"/>
        <w:rPr>
          <w:rFonts w:ascii="Palatino Linotype" w:hAnsi="Palatino Linotype" w:eastAsia="Palatino Linotype" w:cs="Times New Roman"/>
          <w:kern w:val="0"/>
          <w14:ligatures w14:val="none"/>
        </w:rPr>
      </w:pPr>
      <w:r w:rsidRPr="006D5447">
        <w:rPr>
          <w:rFonts w:ascii="Palatino Linotype" w:hAnsi="Palatino Linotype" w:eastAsia="Palatino Linotype" w:cs="Times New Roman"/>
          <w:kern w:val="0"/>
          <w14:ligatures w14:val="none"/>
        </w:rPr>
        <w:t xml:space="preserve">It is reasonable that </w:t>
      </w:r>
      <w:r w:rsidRPr="00F82C7C" w:rsidR="00686540">
        <w:rPr>
          <w:rFonts w:ascii="Palatino Linotype" w:hAnsi="Palatino Linotype" w:eastAsia="Times New Roman" w:cs="Times New Roman"/>
          <w:kern w:val="0"/>
          <w:szCs w:val="20"/>
          <w14:ligatures w14:val="none"/>
        </w:rPr>
        <w:t xml:space="preserve">PG&amp;E and SCE file Tier </w:t>
      </w:r>
      <w:r w:rsidR="00AC3CB4">
        <w:rPr>
          <w:rFonts w:ascii="Palatino Linotype" w:hAnsi="Palatino Linotype" w:eastAsia="Times New Roman" w:cs="Times New Roman"/>
          <w:kern w:val="0"/>
          <w:szCs w:val="20"/>
          <w14:ligatures w14:val="none"/>
        </w:rPr>
        <w:t>1</w:t>
      </w:r>
      <w:r w:rsidRPr="00F82C7C" w:rsidR="00686540">
        <w:rPr>
          <w:rFonts w:ascii="Palatino Linotype" w:hAnsi="Palatino Linotype" w:eastAsia="Times New Roman" w:cs="Times New Roman"/>
          <w:kern w:val="0"/>
          <w:szCs w:val="20"/>
          <w14:ligatures w14:val="none"/>
        </w:rPr>
        <w:t xml:space="preserve"> Advice Letters </w:t>
      </w:r>
      <w:r w:rsidRPr="006D5447">
        <w:rPr>
          <w:rFonts w:ascii="Palatino Linotype" w:hAnsi="Palatino Linotype" w:eastAsia="Palatino Linotype" w:cs="Times New Roman"/>
          <w:kern w:val="0"/>
          <w14:ligatures w14:val="none"/>
        </w:rPr>
        <w:t>with additional language clarifying</w:t>
      </w:r>
      <w:r w:rsidR="00D6710E">
        <w:rPr>
          <w:rFonts w:ascii="Palatino Linotype" w:hAnsi="Palatino Linotype" w:eastAsia="Palatino Linotype" w:cs="Times New Roman"/>
          <w:kern w:val="0"/>
          <w14:ligatures w14:val="none"/>
        </w:rPr>
        <w:t xml:space="preserve"> that</w:t>
      </w:r>
      <w:r w:rsidRPr="006D5447">
        <w:rPr>
          <w:rFonts w:ascii="Palatino Linotype" w:hAnsi="Palatino Linotype" w:eastAsia="Palatino Linotype" w:cs="Times New Roman"/>
          <w:kern w:val="0"/>
          <w14:ligatures w14:val="none"/>
        </w:rPr>
        <w:t xml:space="preserve"> </w:t>
      </w:r>
      <w:r w:rsidRPr="006D5447">
        <w:rPr>
          <w:rFonts w:ascii="Palatino Linotype" w:hAnsi="Palatino Linotype" w:eastAsia="Times New Roman"/>
        </w:rPr>
        <w:t>the cloud-level control option requires onsite control hardware, but that such onsite hardware is not required to communicate via OpenADR standards</w:t>
      </w:r>
      <w:r w:rsidRPr="006D5447">
        <w:rPr>
          <w:rFonts w:ascii="Palatino Linotype" w:hAnsi="Palatino Linotype" w:eastAsia="Palatino Linotype" w:cs="Times New Roman"/>
          <w:kern w:val="0"/>
          <w14:ligatures w14:val="none"/>
        </w:rPr>
        <w:t xml:space="preserve">, </w:t>
      </w:r>
      <w:r w:rsidR="000A6294">
        <w:rPr>
          <w:rFonts w:ascii="Palatino Linotype" w:hAnsi="Palatino Linotype" w:eastAsia="Times New Roman" w:cs="Times New Roman"/>
          <w:kern w:val="0"/>
          <w:szCs w:val="20"/>
          <w14:ligatures w14:val="none"/>
        </w:rPr>
        <w:t xml:space="preserve">within 60 days of the effective date of this </w:t>
      </w:r>
      <w:r w:rsidR="00D948B3">
        <w:rPr>
          <w:rFonts w:ascii="Palatino Linotype" w:hAnsi="Palatino Linotype" w:eastAsia="Times New Roman" w:cs="Times New Roman"/>
          <w:kern w:val="0"/>
          <w:szCs w:val="20"/>
          <w14:ligatures w14:val="none"/>
        </w:rPr>
        <w:t>Resolution</w:t>
      </w:r>
      <w:r w:rsidRPr="00F82C7C" w:rsidR="00686540">
        <w:rPr>
          <w:rFonts w:ascii="Palatino Linotype" w:hAnsi="Palatino Linotype" w:eastAsia="Times New Roman" w:cs="Times New Roman"/>
          <w:kern w:val="0"/>
          <w:szCs w:val="20"/>
          <w14:ligatures w14:val="none"/>
        </w:rPr>
        <w:t>.</w:t>
      </w:r>
    </w:p>
    <w:p w:rsidR="00AF40E1" w:rsidP="00AF40E1" w:rsidRDefault="00AF40E1" w14:paraId="20BD46C8" w14:textId="77777777">
      <w:pPr>
        <w:pStyle w:val="ListParagraph"/>
        <w:rPr>
          <w:rFonts w:ascii="Palatino Linotype" w:hAnsi="Palatino Linotype" w:eastAsia="Palatino Linotype" w:cs="Times New Roman"/>
          <w:kern w:val="0"/>
          <w14:ligatures w14:val="none"/>
        </w:rPr>
      </w:pPr>
    </w:p>
    <w:p w:rsidRPr="00671470" w:rsidR="00AF40E1" w:rsidP="00671470" w:rsidRDefault="003F7724" w14:paraId="17C5F7BA" w14:textId="48CA2C5A">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T</w:t>
      </w:r>
      <w:r w:rsidR="001A658B">
        <w:rPr>
          <w:rFonts w:ascii="Palatino Linotype" w:hAnsi="Palatino Linotype" w:eastAsia="Times New Roman" w:cs="Times New Roman"/>
          <w:kern w:val="0"/>
          <w14:ligatures w14:val="none"/>
        </w:rPr>
        <w:t>he proposed</w:t>
      </w:r>
      <w:r w:rsidR="00AF40E1">
        <w:rPr>
          <w:rFonts w:ascii="Palatino Linotype" w:hAnsi="Palatino Linotype" w:eastAsia="Times New Roman" w:cs="Times New Roman"/>
          <w:kern w:val="0"/>
          <w14:ligatures w14:val="none"/>
        </w:rPr>
        <w:t xml:space="preserve"> changes </w:t>
      </w:r>
      <w:r w:rsidR="00264FEC">
        <w:rPr>
          <w:rFonts w:ascii="Palatino Linotype" w:hAnsi="Palatino Linotype" w:eastAsia="Times New Roman" w:cs="Times New Roman"/>
          <w:kern w:val="0"/>
          <w14:ligatures w14:val="none"/>
        </w:rPr>
        <w:t xml:space="preserve">in </w:t>
      </w:r>
      <w:r w:rsidR="00066DA6">
        <w:rPr>
          <w:rFonts w:ascii="Palatino Linotype" w:hAnsi="Palatino Linotype" w:eastAsia="Times New Roman" w:cs="Times New Roman"/>
          <w:kern w:val="0"/>
          <w14:ligatures w14:val="none"/>
        </w:rPr>
        <w:t xml:space="preserve">the Joint AL </w:t>
      </w:r>
      <w:r w:rsidR="001A658B">
        <w:rPr>
          <w:rFonts w:ascii="Palatino Linotype" w:hAnsi="Palatino Linotype" w:eastAsia="Times New Roman" w:cs="Times New Roman"/>
          <w:kern w:val="0"/>
          <w14:ligatures w14:val="none"/>
        </w:rPr>
        <w:t xml:space="preserve">do not </w:t>
      </w:r>
      <w:r w:rsidR="00AF40E1">
        <w:rPr>
          <w:rFonts w:ascii="Palatino Linotype" w:hAnsi="Palatino Linotype" w:eastAsia="Times New Roman" w:cs="Times New Roman"/>
          <w:kern w:val="0"/>
          <w14:ligatures w14:val="none"/>
        </w:rPr>
        <w:t>require modifications to any existing approved program budgets</w:t>
      </w:r>
      <w:r w:rsidR="001A658B">
        <w:rPr>
          <w:rFonts w:ascii="Palatino Linotype" w:hAnsi="Palatino Linotype" w:eastAsia="Times New Roman" w:cs="Times New Roman"/>
          <w:kern w:val="0"/>
          <w14:ligatures w14:val="none"/>
        </w:rPr>
        <w:t>.</w:t>
      </w:r>
    </w:p>
    <w:p w:rsidR="00A76F4A" w:rsidP="00A76F4A" w:rsidRDefault="00A76F4A" w14:paraId="79D6F30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36079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Therefore it is ordered that:</w:t>
      </w:r>
    </w:p>
    <w:p w:rsidR="00225AA9" w:rsidP="006658DB" w:rsidRDefault="00A76F4A" w14:paraId="0336EDF2" w14:textId="77777777">
      <w:pPr>
        <w:pStyle w:val="ListParagraph"/>
        <w:numPr>
          <w:ilvl w:val="0"/>
          <w:numId w:val="16"/>
        </w:numPr>
        <w:spacing w:after="0" w:line="240" w:lineRule="auto"/>
        <w:rPr>
          <w:rFonts w:ascii="Palatino Linotype" w:hAnsi="Palatino Linotype" w:eastAsia="Palatino Linotype" w:cs="Times New Roman"/>
          <w:snapToGrid w:val="0"/>
          <w:kern w:val="0"/>
          <w14:ligatures w14:val="none"/>
        </w:rPr>
      </w:pPr>
      <w:r w:rsidRPr="006658DB">
        <w:rPr>
          <w:rFonts w:ascii="Palatino Linotype" w:hAnsi="Palatino Linotype" w:eastAsia="Palatino Linotype" w:cs="Times New Roman"/>
          <w:snapToGrid w:val="0"/>
          <w:kern w:val="0"/>
          <w14:ligatures w14:val="none"/>
        </w:rPr>
        <w:t xml:space="preserve">The request of the </w:t>
      </w:r>
      <w:r w:rsidRPr="006658DB" w:rsidR="00C24C26">
        <w:rPr>
          <w:rFonts w:ascii="Palatino Linotype" w:hAnsi="Palatino Linotype" w:eastAsia="Times New Roman" w:cs="Times New Roman"/>
          <w:kern w:val="0"/>
          <w14:ligatures w14:val="none"/>
        </w:rPr>
        <w:t>Pacific Gas and Electric Company (PG&amp;E) and Southern California Edison Company (SCE)</w:t>
      </w:r>
      <w:r w:rsidRPr="006658DB" w:rsidR="00EB52A3">
        <w:rPr>
          <w:rFonts w:ascii="Palatino Linotype" w:hAnsi="Palatino Linotype" w:eastAsia="Times New Roman" w:cs="Times New Roman"/>
          <w:kern w:val="0"/>
          <w14:ligatures w14:val="none"/>
        </w:rPr>
        <w:t xml:space="preserve"> </w:t>
      </w:r>
      <w:r w:rsidRPr="006658DB">
        <w:rPr>
          <w:rFonts w:ascii="Palatino Linotype" w:hAnsi="Palatino Linotype" w:eastAsia="Palatino Linotype" w:cs="Times New Roman"/>
          <w:snapToGrid w:val="0"/>
          <w:kern w:val="0"/>
          <w14:ligatures w14:val="none"/>
        </w:rPr>
        <w:t xml:space="preserve">to </w:t>
      </w:r>
      <w:r w:rsidRPr="006658DB" w:rsidR="00EB52A3">
        <w:rPr>
          <w:rFonts w:ascii="Palatino Linotype" w:hAnsi="Palatino Linotype" w:eastAsia="Times New Roman" w:cs="Times New Roman"/>
          <w:kern w:val="0"/>
          <w14:ligatures w14:val="none"/>
        </w:rPr>
        <w:t>modify the Automated Demand Response (AutoDR or ADR) Technology Incentive Program</w:t>
      </w:r>
      <w:r w:rsidRPr="006658DB" w:rsidR="00EB52A3">
        <w:rPr>
          <w:rFonts w:ascii="Palatino Linotype" w:hAnsi="Palatino Linotype" w:eastAsia="Palatino Linotype" w:cs="Times New Roman"/>
          <w:snapToGrid w:val="0"/>
          <w:kern w:val="0"/>
          <w14:ligatures w14:val="none"/>
        </w:rPr>
        <w:t xml:space="preserve"> </w:t>
      </w:r>
      <w:r w:rsidRPr="006658DB">
        <w:rPr>
          <w:rFonts w:ascii="Palatino Linotype" w:hAnsi="Palatino Linotype" w:eastAsia="Palatino Linotype" w:cs="Times New Roman"/>
          <w:snapToGrid w:val="0"/>
          <w:kern w:val="0"/>
          <w14:ligatures w14:val="none"/>
        </w:rPr>
        <w:t xml:space="preserve">as requested in </w:t>
      </w:r>
      <w:r w:rsidRPr="006658DB" w:rsidR="006658DB">
        <w:rPr>
          <w:rFonts w:ascii="Palatino Linotype" w:hAnsi="Palatino Linotype" w:eastAsia="Palatino Linotype" w:cs="Times New Roman"/>
          <w:kern w:val="0"/>
          <w14:ligatures w14:val="none"/>
        </w:rPr>
        <w:t>Supplemental Advice Letter 7742-E-A (PG&amp;E) and Supplemental Advice Letter 5658-E-A (SCE) Filed on March 31, 2026</w:t>
      </w:r>
      <w:r w:rsidRPr="006658DB" w:rsidR="006658DB">
        <w:rPr>
          <w:rFonts w:ascii="Palatino Linotype" w:hAnsi="Palatino Linotype" w:eastAsia="Palatino Linotype" w:cs="Times New Roman"/>
          <w:snapToGrid w:val="0"/>
          <w:kern w:val="0"/>
          <w14:ligatures w14:val="none"/>
        </w:rPr>
        <w:t xml:space="preserve"> </w:t>
      </w:r>
      <w:r w:rsidRPr="006658DB">
        <w:rPr>
          <w:rFonts w:ascii="Palatino Linotype" w:hAnsi="Palatino Linotype" w:eastAsia="Palatino Linotype" w:cs="Times New Roman"/>
          <w:snapToGrid w:val="0"/>
          <w:kern w:val="0"/>
          <w14:ligatures w14:val="none"/>
        </w:rPr>
        <w:t>is approved</w:t>
      </w:r>
      <w:r w:rsidR="00225AA9">
        <w:rPr>
          <w:rFonts w:ascii="Palatino Linotype" w:hAnsi="Palatino Linotype" w:eastAsia="Palatino Linotype" w:cs="Times New Roman"/>
          <w:snapToGrid w:val="0"/>
          <w:kern w:val="0"/>
          <w14:ligatures w14:val="none"/>
        </w:rPr>
        <w:t xml:space="preserve"> as modified</w:t>
      </w:r>
      <w:r w:rsidRPr="006658DB" w:rsidR="006658DB">
        <w:rPr>
          <w:rFonts w:ascii="Palatino Linotype" w:hAnsi="Palatino Linotype" w:eastAsia="Palatino Linotype" w:cs="Times New Roman"/>
          <w:snapToGrid w:val="0"/>
          <w:kern w:val="0"/>
          <w14:ligatures w14:val="none"/>
        </w:rPr>
        <w:t>.</w:t>
      </w:r>
    </w:p>
    <w:p w:rsidR="00EF3ECA" w:rsidP="00E118D9" w:rsidRDefault="00EF3ECA" w14:paraId="750813A7" w14:textId="77777777">
      <w:pPr>
        <w:pStyle w:val="ListParagraph"/>
        <w:spacing w:after="0" w:line="240" w:lineRule="auto"/>
        <w:ind w:left="360"/>
        <w:rPr>
          <w:rFonts w:ascii="Palatino Linotype" w:hAnsi="Palatino Linotype" w:eastAsia="Palatino Linotype" w:cs="Times New Roman"/>
          <w:snapToGrid w:val="0"/>
          <w:kern w:val="0"/>
          <w14:ligatures w14:val="none"/>
        </w:rPr>
      </w:pPr>
    </w:p>
    <w:p w:rsidRPr="00022D34" w:rsidR="00A76F4A" w:rsidP="006658DB" w:rsidRDefault="00A76F4A" w14:paraId="787F3235" w14:textId="041B04F1">
      <w:pPr>
        <w:pStyle w:val="ListParagraph"/>
        <w:numPr>
          <w:ilvl w:val="0"/>
          <w:numId w:val="16"/>
        </w:numPr>
        <w:spacing w:after="0" w:line="240" w:lineRule="auto"/>
        <w:rPr>
          <w:rFonts w:ascii="Palatino Linotype" w:hAnsi="Palatino Linotype" w:eastAsia="Palatino Linotype" w:cs="Times New Roman"/>
          <w:snapToGrid w:val="0"/>
          <w:kern w:val="0"/>
          <w14:ligatures w14:val="none"/>
        </w:rPr>
      </w:pPr>
      <w:r w:rsidRPr="006658DB">
        <w:rPr>
          <w:rFonts w:ascii="Palatino Linotype" w:hAnsi="Palatino Linotype" w:eastAsia="Palatino Linotype" w:cs="Times New Roman"/>
          <w:snapToGrid w:val="0"/>
          <w:kern w:val="0"/>
          <w14:ligatures w14:val="none"/>
        </w:rPr>
        <w:t xml:space="preserve"> </w:t>
      </w:r>
      <w:r w:rsidRPr="6D8BBBA9" w:rsidR="00840884">
        <w:rPr>
          <w:rFonts w:ascii="Palatino Linotype" w:hAnsi="Palatino Linotype" w:eastAsia="Times New Roman" w:cs="Times New Roman"/>
        </w:rPr>
        <w:t>Pacific Gas and Electric Company (PG&amp;E) and Southern California Edison Company (SCE)</w:t>
      </w:r>
      <w:r w:rsidRPr="6D8BBBA9" w:rsidR="006D5CA0">
        <w:rPr>
          <w:rFonts w:ascii="Palatino Linotype" w:hAnsi="Palatino Linotype" w:eastAsia="Times New Roman" w:cs="Times New Roman"/>
        </w:rPr>
        <w:t xml:space="preserve"> are ordered to submit via Tier 1 Advice Letter</w:t>
      </w:r>
      <w:r w:rsidRPr="6D8BBBA9" w:rsidR="002D4511">
        <w:rPr>
          <w:rFonts w:ascii="Palatino Linotype" w:hAnsi="Palatino Linotype" w:eastAsia="Times New Roman" w:cs="Times New Roman"/>
        </w:rPr>
        <w:t xml:space="preserve"> </w:t>
      </w:r>
      <w:r w:rsidRPr="6D8BBBA9" w:rsidR="00044934">
        <w:rPr>
          <w:rFonts w:ascii="Palatino Linotype" w:hAnsi="Palatino Linotype" w:eastAsia="Times New Roman" w:cs="Times New Roman"/>
        </w:rPr>
        <w:t xml:space="preserve">modification to </w:t>
      </w:r>
      <w:r w:rsidRPr="6D8BBBA9" w:rsidR="005A0F21">
        <w:rPr>
          <w:rFonts w:ascii="Palatino Linotype" w:hAnsi="Palatino Linotype" w:eastAsia="Times New Roman" w:cs="Times New Roman"/>
        </w:rPr>
        <w:t>the Auto Demand Response Control Incentives Guidelines and Adopted Policies</w:t>
      </w:r>
      <w:r w:rsidR="003C2639">
        <w:rPr>
          <w:rFonts w:ascii="Palatino Linotype" w:hAnsi="Palatino Linotype" w:eastAsia="Times New Roman" w:cs="Times New Roman"/>
        </w:rPr>
        <w:t>, within 60 days of the effective date of this Resolution,</w:t>
      </w:r>
      <w:r w:rsidRPr="6D8BBBA9" w:rsidR="0067437C">
        <w:rPr>
          <w:rFonts w:ascii="Palatino Linotype" w:hAnsi="Palatino Linotype" w:eastAsia="Times New Roman" w:cs="Times New Roman"/>
        </w:rPr>
        <w:t xml:space="preserve"> to re</w:t>
      </w:r>
      <w:r w:rsidRPr="6D8BBBA9" w:rsidR="00B5765D">
        <w:rPr>
          <w:rFonts w:ascii="Palatino Linotype" w:hAnsi="Palatino Linotype" w:eastAsia="Times New Roman" w:cs="Times New Roman"/>
        </w:rPr>
        <w:t xml:space="preserve">flect </w:t>
      </w:r>
      <w:r w:rsidRPr="6D8BBBA9" w:rsidR="00583A4F">
        <w:rPr>
          <w:rFonts w:ascii="Palatino Linotype" w:hAnsi="Palatino Linotype" w:eastAsia="Times New Roman" w:cs="Times New Roman"/>
        </w:rPr>
        <w:t>clarification</w:t>
      </w:r>
      <w:r w:rsidRPr="6D8BBBA9" w:rsidR="00090214">
        <w:rPr>
          <w:rFonts w:ascii="Palatino Linotype" w:hAnsi="Palatino Linotype" w:eastAsia="Times New Roman" w:cs="Times New Roman"/>
        </w:rPr>
        <w:t xml:space="preserve"> </w:t>
      </w:r>
      <w:r w:rsidRPr="6D8BBBA9" w:rsidR="00583A4F">
        <w:rPr>
          <w:rFonts w:ascii="Palatino Linotype" w:hAnsi="Palatino Linotype" w:eastAsia="Times New Roman" w:cs="Times New Roman"/>
        </w:rPr>
        <w:t>of</w:t>
      </w:r>
      <w:r w:rsidRPr="6D8BBBA9" w:rsidR="00090214">
        <w:rPr>
          <w:rFonts w:ascii="Palatino Linotype" w:hAnsi="Palatino Linotype" w:eastAsia="Times New Roman" w:cs="Times New Roman"/>
        </w:rPr>
        <w:t xml:space="preserve"> the Cloud-Based Technology Provision</w:t>
      </w:r>
      <w:r w:rsidRPr="6D8BBBA9" w:rsidR="000C0CFA">
        <w:rPr>
          <w:rFonts w:ascii="Palatino Linotype" w:hAnsi="Palatino Linotype" w:eastAsia="Times New Roman" w:cs="Times New Roman"/>
        </w:rPr>
        <w:t xml:space="preserve"> </w:t>
      </w:r>
      <w:r w:rsidR="00C86E34">
        <w:rPr>
          <w:rFonts w:ascii="Palatino Linotype" w:hAnsi="Palatino Linotype" w:eastAsia="Times New Roman" w:cs="Times New Roman"/>
        </w:rPr>
        <w:t>as follows:</w:t>
      </w:r>
    </w:p>
    <w:p w:rsidRPr="009934D4" w:rsidR="005E5E8E" w:rsidP="009934D4" w:rsidRDefault="005E5E8E" w14:paraId="0B1FD81B" w14:textId="77777777">
      <w:pPr>
        <w:pStyle w:val="ListParagraph"/>
        <w:rPr>
          <w:rFonts w:ascii="Palatino Linotype" w:hAnsi="Palatino Linotype" w:eastAsia="Palatino Linotype" w:cs="Times New Roman"/>
          <w:snapToGrid w:val="0"/>
          <w:kern w:val="0"/>
          <w14:ligatures w14:val="none"/>
        </w:rPr>
      </w:pPr>
    </w:p>
    <w:p w:rsidR="005E5E8E" w:rsidP="009934D4" w:rsidRDefault="005E5E8E" w14:paraId="3BBADF93" w14:textId="451C706B">
      <w:pPr>
        <w:pStyle w:val="ListParagraph"/>
        <w:numPr>
          <w:ilvl w:val="0"/>
          <w:numId w:val="19"/>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Appendices A and C, Controllability/Technology </w:t>
      </w:r>
      <w:r w:rsidR="00156F0B">
        <w:rPr>
          <w:rFonts w:ascii="Palatino Linotype" w:hAnsi="Palatino Linotype" w:eastAsia="Palatino Linotype" w:cs="Times New Roman"/>
          <w:snapToGrid w:val="0"/>
          <w:kern w:val="0"/>
          <w14:ligatures w14:val="none"/>
        </w:rPr>
        <w:t xml:space="preserve">Registration Requirement shall </w:t>
      </w:r>
      <w:r w:rsidR="00CB1C24">
        <w:rPr>
          <w:rFonts w:ascii="Palatino Linotype" w:hAnsi="Palatino Linotype" w:eastAsia="Palatino Linotype" w:cs="Times New Roman"/>
          <w:snapToGrid w:val="0"/>
          <w:kern w:val="0"/>
          <w14:ligatures w14:val="none"/>
        </w:rPr>
        <w:t>read:</w:t>
      </w:r>
    </w:p>
    <w:p w:rsidR="00E94234" w:rsidP="00E94234" w:rsidRDefault="00E94234" w14:paraId="7584CC89" w14:textId="77777777">
      <w:pPr>
        <w:pStyle w:val="10sp0"/>
        <w:spacing w:after="0"/>
        <w:rPr>
          <w:rFonts w:ascii="Palatino Linotype" w:hAnsi="Palatino Linotype" w:eastAsia="Times New Roman"/>
        </w:rPr>
      </w:pPr>
    </w:p>
    <w:p w:rsidRPr="00766BCD" w:rsidR="00E94234" w:rsidP="009934D4" w:rsidRDefault="00E94234" w14:paraId="02A790A6" w14:textId="4D71D6C5">
      <w:pPr>
        <w:pStyle w:val="ListParagraph"/>
        <w:ind w:left="144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w:t>
      </w:r>
      <w:r w:rsidRPr="00766BCD">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Virtual End Node(s) (VEN)</w:t>
      </w:r>
      <w:r w:rsidRPr="00766BCD">
        <w:rPr>
          <w:rFonts w:ascii="Palatino Linotype" w:hAnsi="Palatino Linotype" w:eastAsia="Times New Roman" w:cs="Times New Roman"/>
          <w:kern w:val="0"/>
          <w14:ligatures w14:val="none"/>
        </w:rPr>
        <w:t xml:space="preserve"> must be able to communicate and demonstrate operability using the current Open Auto Demand Response communication protocols and standards (currently OpenADR 2.0a, 2.0b, or 3)</w:t>
      </w:r>
      <w:r>
        <w:rPr>
          <w:rFonts w:ascii="Palatino Linotype" w:hAnsi="Palatino Linotype" w:eastAsia="Times New Roman" w:cs="Times New Roman"/>
          <w:kern w:val="0"/>
          <w14:ligatures w14:val="none"/>
        </w:rPr>
        <w:t xml:space="preserve"> to dispatch on-site control hardware</w:t>
      </w:r>
      <w:r w:rsidRPr="00766BC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This on-site control hardware is not required to communicate and demonstrate operability using the current Open Auto Demand Response communication protocols and standards.</w:t>
      </w:r>
    </w:p>
    <w:p w:rsidRPr="00766BCD" w:rsidR="00E94234" w:rsidP="009934D4" w:rsidRDefault="00E94234" w14:paraId="7164D17F" w14:textId="77777777">
      <w:pPr>
        <w:pStyle w:val="ListParagraph"/>
        <w:ind w:left="1440"/>
        <w:rPr>
          <w:rFonts w:ascii="Palatino Linotype" w:hAnsi="Palatino Linotype" w:eastAsia="Times New Roman" w:cs="Times New Roman"/>
          <w:kern w:val="0"/>
          <w14:ligatures w14:val="none"/>
        </w:rPr>
      </w:pPr>
    </w:p>
    <w:p w:rsidRPr="00766BCD" w:rsidR="00E94234" w:rsidP="009934D4" w:rsidRDefault="00E94234" w14:paraId="43C5E0E3" w14:textId="77777777">
      <w:pPr>
        <w:pStyle w:val="ListParagraph"/>
        <w:ind w:left="1440"/>
        <w:rPr>
          <w:rFonts w:ascii="Palatino Linotype" w:hAnsi="Palatino Linotype" w:eastAsia="Times New Roman" w:cs="Times New Roman"/>
          <w:kern w:val="0"/>
          <w14:ligatures w14:val="none"/>
        </w:rPr>
      </w:pPr>
      <w:r w:rsidRPr="00766BCD">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VEN</w:t>
      </w:r>
      <w:r w:rsidRPr="00766BCD">
        <w:rPr>
          <w:rFonts w:ascii="Palatino Linotype" w:hAnsi="Palatino Linotype" w:eastAsia="Times New Roman" w:cs="Times New Roman"/>
          <w:kern w:val="0"/>
          <w14:ligatures w14:val="none"/>
        </w:rPr>
        <w:t xml:space="preserve"> may be located at one of the following:</w:t>
      </w:r>
    </w:p>
    <w:p w:rsidRPr="00766BCD" w:rsidR="00E94234" w:rsidP="00B85D48" w:rsidRDefault="00E94234" w14:paraId="195136AA" w14:textId="77777777">
      <w:pPr>
        <w:pStyle w:val="ListParagraph"/>
        <w:numPr>
          <w:ilvl w:val="0"/>
          <w:numId w:val="18"/>
        </w:numPr>
        <w:ind w:left="2160"/>
        <w:rPr>
          <w:rFonts w:ascii="Palatino Linotype" w:hAnsi="Palatino Linotype" w:eastAsia="Times New Roman" w:cs="Times New Roman"/>
          <w:kern w:val="0"/>
          <w14:ligatures w14:val="none"/>
        </w:rPr>
      </w:pPr>
      <w:r w:rsidRPr="00766BCD">
        <w:rPr>
          <w:rFonts w:ascii="Palatino Linotype" w:hAnsi="Palatino Linotype" w:eastAsia="Times New Roman" w:cs="Times New Roman"/>
          <w:kern w:val="0"/>
          <w14:ligatures w14:val="none"/>
        </w:rPr>
        <w:t>Onsite – Physical</w:t>
      </w:r>
      <w:r>
        <w:rPr>
          <w:rFonts w:ascii="Palatino Linotype" w:hAnsi="Palatino Linotype" w:eastAsia="Times New Roman" w:cs="Times New Roman"/>
          <w:kern w:val="0"/>
          <w14:ligatures w14:val="none"/>
        </w:rPr>
        <w:t xml:space="preserve"> (i.e. hardware installed at the customer site)</w:t>
      </w:r>
      <w:r w:rsidRPr="00766BCD">
        <w:rPr>
          <w:rFonts w:ascii="Palatino Linotype" w:hAnsi="Palatino Linotype" w:eastAsia="Times New Roman" w:cs="Times New Roman"/>
          <w:kern w:val="0"/>
          <w14:ligatures w14:val="none"/>
        </w:rPr>
        <w:t xml:space="preserve"> or installed as part of a control or energy management system; or</w:t>
      </w:r>
    </w:p>
    <w:p w:rsidR="00E94234" w:rsidP="007E3EC8" w:rsidRDefault="00E94234" w14:paraId="5BAAD533" w14:textId="77777777">
      <w:pPr>
        <w:pStyle w:val="ListParagraph"/>
        <w:numPr>
          <w:ilvl w:val="0"/>
          <w:numId w:val="18"/>
        </w:numPr>
        <w:spacing w:after="0" w:line="240" w:lineRule="auto"/>
        <w:ind w:left="2160"/>
        <w:rPr>
          <w:rFonts w:ascii="Palatino Linotype" w:hAnsi="Palatino Linotype" w:eastAsia="Times New Roman" w:cs="Times New Roman"/>
          <w:kern w:val="0"/>
          <w14:ligatures w14:val="none"/>
        </w:rPr>
      </w:pPr>
      <w:r w:rsidRPr="00766BCD">
        <w:rPr>
          <w:rFonts w:ascii="Palatino Linotype" w:hAnsi="Palatino Linotype" w:eastAsia="Times New Roman" w:cs="Times New Roman"/>
          <w:kern w:val="0"/>
          <w14:ligatures w14:val="none"/>
        </w:rPr>
        <w:t>Cloud level – Centralized at the manufacturer app or portal, demand response aggregator, or customer control or energy management system</w:t>
      </w:r>
      <w:r>
        <w:rPr>
          <w:rFonts w:ascii="Palatino Linotype" w:hAnsi="Palatino Linotype" w:eastAsia="Times New Roman" w:cs="Times New Roman"/>
          <w:kern w:val="0"/>
          <w14:ligatures w14:val="none"/>
        </w:rPr>
        <w:t xml:space="preserve"> which dispatches to on-site control hardware</w:t>
      </w:r>
      <w:r w:rsidRPr="00766BC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w:t>
      </w:r>
    </w:p>
    <w:p w:rsidRPr="007E3EC8" w:rsidR="007E3EC8" w:rsidP="007E3EC8" w:rsidRDefault="007E3EC8" w14:paraId="7A2FD551" w14:textId="77777777">
      <w:pPr>
        <w:spacing w:after="0" w:line="240" w:lineRule="auto"/>
        <w:rPr>
          <w:rFonts w:ascii="Palatino Linotype" w:hAnsi="Palatino Linotype" w:eastAsia="Times New Roman" w:cs="Times New Roman"/>
          <w:kern w:val="0"/>
          <w14:ligatures w14:val="none"/>
        </w:rPr>
      </w:pPr>
    </w:p>
    <w:p w:rsidRPr="006658DB" w:rsidR="004302AA" w:rsidP="00B85D48" w:rsidRDefault="00E94234" w14:paraId="48A22B08" w14:textId="2CCBF5BF">
      <w:pPr>
        <w:pStyle w:val="ListParagraph"/>
        <w:numPr>
          <w:ilvl w:val="0"/>
          <w:numId w:val="19"/>
        </w:numPr>
        <w:spacing w:after="0" w:line="240" w:lineRule="auto"/>
        <w:rPr>
          <w:rFonts w:ascii="Palatino Linotype" w:hAnsi="Palatino Linotype" w:eastAsia="Palatino Linotype" w:cs="Times New Roman"/>
          <w:snapToGrid w:val="0"/>
          <w:kern w:val="0"/>
          <w14:ligatures w14:val="none"/>
        </w:rPr>
      </w:pPr>
      <w:r w:rsidRPr="00766BCD">
        <w:rPr>
          <w:rFonts w:ascii="Palatino Linotype" w:hAnsi="Palatino Linotype" w:eastAsia="Times New Roman"/>
          <w:bCs/>
        </w:rPr>
        <w:t>PG&amp;E’s and SCE’s AutoDR Guidelines shall also add an industry-standard definition of Virtual End Node where appropriate.</w:t>
      </w:r>
      <w:r w:rsidR="00B07F23">
        <w:rPr>
          <w:rFonts w:ascii="Palatino Linotype" w:hAnsi="Palatino Linotype" w:eastAsia="Times New Roman"/>
          <w:bCs/>
        </w:rPr>
        <w:t xml:space="preserve"> The following definition</w:t>
      </w:r>
      <w:r w:rsidRPr="0052406B" w:rsidR="0052406B">
        <w:rPr>
          <w:rFonts w:ascii="Palatino Linotype" w:hAnsi="Palatino Linotype" w:eastAsia="Times New Roman"/>
          <w:bCs/>
        </w:rPr>
        <w:t xml:space="preserve"> </w:t>
      </w:r>
      <w:r w:rsidR="0052406B">
        <w:rPr>
          <w:rFonts w:ascii="Palatino Linotype" w:hAnsi="Palatino Linotype" w:eastAsia="Times New Roman"/>
          <w:bCs/>
        </w:rPr>
        <w:t>adapted from the OpenADR Alliance</w:t>
      </w:r>
      <w:r w:rsidR="00B07F23">
        <w:rPr>
          <w:rFonts w:ascii="Palatino Linotype" w:hAnsi="Palatino Linotype" w:eastAsia="Times New Roman"/>
          <w:bCs/>
        </w:rPr>
        <w:t xml:space="preserve"> is acceptable, “</w:t>
      </w:r>
      <w:r w:rsidRPr="00195371" w:rsidR="00B07F23">
        <w:rPr>
          <w:rFonts w:ascii="Palatino Linotype" w:hAnsi="Palatino Linotype" w:eastAsia="Times New Roman"/>
          <w:bCs/>
        </w:rPr>
        <w:t xml:space="preserve">Virtual End Node (VEN) is typically a device or system endpoint that accepts OpenADR signals from </w:t>
      </w:r>
      <w:r w:rsidRPr="00195371" w:rsidR="00B07F23">
        <w:rPr>
          <w:rFonts w:ascii="Palatino Linotype" w:hAnsi="Palatino Linotype" w:eastAsia="Times New Roman"/>
          <w:bCs/>
        </w:rPr>
        <w:lastRenderedPageBreak/>
        <w:t>the Virtual Top Node (VTN). A VEN can be an Energy Management System (EMS), a thermostat, or another end device.</w:t>
      </w:r>
      <w:r w:rsidR="00B07F23">
        <w:rPr>
          <w:rFonts w:ascii="Palatino Linotype" w:hAnsi="Palatino Linotype" w:eastAsia="Times New Roman"/>
          <w:bCs/>
        </w:rPr>
        <w:t>”</w:t>
      </w:r>
    </w:p>
    <w:p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7E3EC8" w:rsidP="00A76F4A" w:rsidRDefault="007E3EC8" w14:paraId="361F283A"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AF7A44" w:rsidR="00A76F4A" w:rsidP="00A76F4A" w:rsidRDefault="00A76F4A" w14:paraId="203AD159" w14:textId="0B2C106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AF7A44">
        <w:rPr>
          <w:rFonts w:ascii="Palatino Linotype" w:hAnsi="Palatino Linotype"/>
        </w:rPr>
        <w:t>July 2, 2026</w:t>
      </w:r>
      <w:r w:rsidRPr="00AF7A44">
        <w:rPr>
          <w:rFonts w:ascii="Palatino Linotype" w:hAnsi="Palatino Linotype"/>
        </w:rPr>
        <w:t>;</w:t>
      </w:r>
      <w:r w:rsidRPr="0051493D">
        <w:rPr>
          <w:rFonts w:ascii="Palatino Linotype" w:hAnsi="Palatino Linotype"/>
        </w:rPr>
        <w:t xml:space="preserve"> the following </w:t>
      </w:r>
      <w:r w:rsidRPr="00AF7A44">
        <w:rPr>
          <w:rFonts w:ascii="Palatino Linotype" w:hAnsi="Palatino Linotype"/>
        </w:rPr>
        <w:t>Commissioners voting favorably thereon:</w:t>
      </w:r>
    </w:p>
    <w:p w:rsidRPr="00AF7A44" w:rsidR="00A76F4A" w:rsidP="00AF7A44" w:rsidRDefault="542AC687" w14:paraId="6E385009" w14:textId="75CDA1A6">
      <w:pPr>
        <w:keepNext/>
        <w:spacing w:after="0" w:line="240" w:lineRule="auto"/>
        <w:ind w:firstLine="4176"/>
        <w:rPr>
          <w:rFonts w:ascii="Palatino Linotype" w:hAnsi="Palatino Linotype" w:eastAsia="Palatino Linotype" w:cs="Times New Roman"/>
        </w:rPr>
      </w:pPr>
      <w:r w:rsidRPr="00AF7A44">
        <w:rPr>
          <w:rFonts w:ascii="Palatino Linotype" w:hAnsi="Palatino Linotype" w:eastAsia="Palatino Linotype" w:cs="Times New Roman"/>
        </w:rPr>
        <w:t xml:space="preserve">Commissioner Signature blocks to be added </w:t>
      </w:r>
    </w:p>
    <w:p w:rsidRPr="001942D0" w:rsidR="00A76F4A" w:rsidP="00AF7A44" w:rsidRDefault="542AC687" w14:paraId="6FDD2628" w14:textId="21A4F054">
      <w:pPr>
        <w:keepNext/>
        <w:spacing w:after="0" w:line="240" w:lineRule="auto"/>
        <w:ind w:firstLine="4176"/>
        <w:rPr>
          <w:rFonts w:ascii="Palatino Linotype" w:hAnsi="Palatino Linotype" w:eastAsia="Palatino Linotype" w:cs="Times New Roman"/>
        </w:rPr>
      </w:pPr>
      <w:r w:rsidRPr="00AF7A44">
        <w:rPr>
          <w:rFonts w:ascii="Palatino Linotype" w:hAnsi="Palatino Linotype" w:eastAsia="Palatino Linotype" w:cs="Times New Roman"/>
        </w:rPr>
        <w:t>upon adoption of the resolution</w:t>
      </w:r>
    </w:p>
    <w:p w:rsidRPr="001942D0" w:rsidR="00A76F4A" w:rsidP="00AF7A44" w:rsidRDefault="00A76F4A" w14:paraId="0B7DFB9B" w14:textId="1BDC677F">
      <w:pPr>
        <w:keepNext/>
        <w:spacing w:after="0" w:line="240" w:lineRule="auto"/>
        <w:rPr>
          <w:rFonts w:ascii="Palatino Linotype" w:hAnsi="Palatino Linotype" w:eastAsia="Palatino Linotype" w:cs="Times New Roman"/>
          <w:kern w:val="0"/>
          <w14:ligatures w14:val="none"/>
        </w:rPr>
      </w:pPr>
    </w:p>
    <w:p w:rsidRPr="001942D0" w:rsidR="00A76F4A" w:rsidP="00AF7A44" w:rsidRDefault="00A76F4A" w14:paraId="7B2A2C97" w14:textId="77777777">
      <w:pPr>
        <w:keepNext/>
        <w:spacing w:after="0" w:line="240" w:lineRule="auto"/>
        <w:rPr>
          <w:rFonts w:ascii="Palatino Linotype" w:hAnsi="Palatino Linotype" w:eastAsia="Palatino Linotype" w:cs="Times New Roman"/>
          <w:kern w:val="0"/>
          <w14:ligatures w14:val="none"/>
        </w:rPr>
      </w:pPr>
    </w:p>
    <w:p w:rsidR="00A76F4A" w:rsidP="00A76F4A" w:rsidRDefault="00A76F4A" w14:paraId="1BFDA168" w14:textId="347DEB0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D23C" w14:textId="77777777" w:rsidR="009D254B" w:rsidRDefault="009D254B" w:rsidP="00A76F4A">
      <w:pPr>
        <w:spacing w:after="0" w:line="240" w:lineRule="auto"/>
      </w:pPr>
      <w:r>
        <w:separator/>
      </w:r>
    </w:p>
  </w:endnote>
  <w:endnote w:type="continuationSeparator" w:id="0">
    <w:p w14:paraId="5E3552A6" w14:textId="77777777" w:rsidR="009D254B" w:rsidRDefault="009D254B" w:rsidP="00A76F4A">
      <w:pPr>
        <w:spacing w:after="0" w:line="240" w:lineRule="auto"/>
      </w:pPr>
      <w:r>
        <w:continuationSeparator/>
      </w:r>
    </w:p>
  </w:endnote>
  <w:endnote w:type="continuationNotice" w:id="1">
    <w:p w14:paraId="142F181A" w14:textId="77777777" w:rsidR="009D254B" w:rsidRDefault="009D2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AA43" w14:textId="77777777" w:rsidR="001E4D04" w:rsidRDefault="001E4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6D53292F" w:rsidR="004A7A4C" w:rsidRPr="004A7A4C" w:rsidRDefault="001E4D04" w:rsidP="004A7A4C">
        <w:pPr>
          <w:pStyle w:val="Footer"/>
          <w:rPr>
            <w:rFonts w:ascii="Palatino Linotype" w:hAnsi="Palatino Linotype"/>
          </w:rPr>
        </w:pPr>
        <w:r w:rsidRPr="001E4D04">
          <w:rPr>
            <w:rFonts w:ascii="Tahoma" w:hAnsi="Tahoma" w:cs="Tahoma"/>
            <w:sz w:val="16"/>
            <w:szCs w:val="22"/>
          </w:rPr>
          <w:t>608056801</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151D" w14:textId="77777777" w:rsidR="009D254B" w:rsidRDefault="009D254B" w:rsidP="00A76F4A">
      <w:pPr>
        <w:spacing w:after="0" w:line="240" w:lineRule="auto"/>
      </w:pPr>
      <w:r>
        <w:separator/>
      </w:r>
    </w:p>
  </w:footnote>
  <w:footnote w:type="continuationSeparator" w:id="0">
    <w:p w14:paraId="343187B0" w14:textId="77777777" w:rsidR="009D254B" w:rsidRDefault="009D254B" w:rsidP="00A76F4A">
      <w:pPr>
        <w:spacing w:after="0" w:line="240" w:lineRule="auto"/>
      </w:pPr>
      <w:r>
        <w:continuationSeparator/>
      </w:r>
    </w:p>
  </w:footnote>
  <w:footnote w:type="continuationNotice" w:id="1">
    <w:p w14:paraId="0EECFDCA" w14:textId="77777777" w:rsidR="009D254B" w:rsidRDefault="009D254B">
      <w:pPr>
        <w:spacing w:after="0" w:line="240" w:lineRule="auto"/>
      </w:pPr>
    </w:p>
  </w:footnote>
  <w:footnote w:id="2">
    <w:p w14:paraId="58596FEE" w14:textId="55298BE4" w:rsidR="00183F5A" w:rsidRPr="00EE6412" w:rsidRDefault="00183F5A">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D.06-11-069, Ordering Paragraph</w:t>
      </w:r>
      <w:r w:rsidR="00182F96" w:rsidRPr="00EE6412">
        <w:rPr>
          <w:rFonts w:ascii="Palatino Linotype" w:hAnsi="Palatino Linotype"/>
        </w:rPr>
        <w:t>s (OP) 6, 7.</w:t>
      </w:r>
    </w:p>
  </w:footnote>
  <w:footnote w:id="3">
    <w:p w14:paraId="3428FD60" w14:textId="5A3177F2" w:rsidR="00A11C91" w:rsidRPr="00EE6412" w:rsidRDefault="00A11C91">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D.</w:t>
      </w:r>
      <w:r w:rsidR="00F77EC8" w:rsidRPr="00EE6412">
        <w:rPr>
          <w:rFonts w:ascii="Palatino Linotype" w:hAnsi="Palatino Linotype"/>
        </w:rPr>
        <w:t>23-12-005</w:t>
      </w:r>
      <w:r w:rsidRPr="00EE6412">
        <w:rPr>
          <w:rFonts w:ascii="Palatino Linotype" w:hAnsi="Palatino Linotype"/>
        </w:rPr>
        <w:t xml:space="preserve"> at 34.</w:t>
      </w:r>
    </w:p>
  </w:footnote>
  <w:footnote w:id="4">
    <w:p w14:paraId="421EF543" w14:textId="1612D020" w:rsidR="002C6A1D" w:rsidRPr="00EE6412" w:rsidRDefault="002C6A1D">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D.23-12-005 at </w:t>
      </w:r>
      <w:r w:rsidR="00E205FC" w:rsidRPr="00EE6412">
        <w:rPr>
          <w:rFonts w:ascii="Palatino Linotype" w:hAnsi="Palatino Linotype"/>
        </w:rPr>
        <w:t>117-118.</w:t>
      </w:r>
    </w:p>
  </w:footnote>
  <w:footnote w:id="5">
    <w:p w14:paraId="3146F2C8" w14:textId="1288FFDB" w:rsidR="003F79A2" w:rsidRPr="00EE6412" w:rsidRDefault="003F79A2">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hyperlink r:id="rId1" w:history="1">
        <w:r w:rsidR="006B491F" w:rsidRPr="00EE6412">
          <w:rPr>
            <w:rStyle w:val="Hyperlink"/>
            <w:rFonts w:ascii="Palatino Linotype" w:hAnsi="Palatino Linotype"/>
          </w:rPr>
          <w:t xml:space="preserve">Energy Solutions: </w:t>
        </w:r>
        <w:r w:rsidR="00791B94" w:rsidRPr="00EE6412">
          <w:rPr>
            <w:rStyle w:val="Hyperlink"/>
            <w:rFonts w:ascii="Palatino Linotype" w:hAnsi="Palatino Linotype"/>
          </w:rPr>
          <w:t>Automated Demand Response Technology Enabling Incentives: Deemed Tool Expansion Project, October 17, 2025.</w:t>
        </w:r>
      </w:hyperlink>
    </w:p>
  </w:footnote>
  <w:footnote w:id="6">
    <w:p w14:paraId="6282E58C" w14:textId="3F5D7C5D" w:rsidR="0089537C" w:rsidRPr="00EE6412" w:rsidRDefault="0089537C">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024F2C" w:rsidRPr="00EE6412">
        <w:rPr>
          <w:rFonts w:ascii="Palatino Linotype" w:hAnsi="Palatino Linotype"/>
        </w:rPr>
        <w:t xml:space="preserve">Advice </w:t>
      </w:r>
      <w:r w:rsidR="00C15046" w:rsidRPr="00EE6412">
        <w:rPr>
          <w:rFonts w:ascii="Palatino Linotype" w:hAnsi="Palatino Linotype"/>
        </w:rPr>
        <w:t>Letter</w:t>
      </w:r>
      <w:r w:rsidR="00024F2C" w:rsidRPr="00EE6412">
        <w:rPr>
          <w:rFonts w:ascii="Palatino Linotype" w:hAnsi="Palatino Linotype"/>
        </w:rPr>
        <w:t xml:space="preserve"> 7192-E was submitted on 2/28/24 and accepted by the CPUC on 10/07/2024. PG&amp;E removed “Residential” from the “Customer Segment” section based on the availability of Energy Efficiency rebates in A.22-05-002.  </w:t>
      </w:r>
    </w:p>
  </w:footnote>
  <w:footnote w:id="7">
    <w:p w14:paraId="16EF2276" w14:textId="1E7DD88E" w:rsidR="00F1011E" w:rsidRPr="00EE6412" w:rsidRDefault="00F1011E">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E920CD" w:rsidRPr="00EE6412">
        <w:rPr>
          <w:rFonts w:ascii="Palatino Linotype" w:hAnsi="Palatino Linotype"/>
        </w:rPr>
        <w:t>D.</w:t>
      </w:r>
      <w:r w:rsidR="00E3471B" w:rsidRPr="00EE6412">
        <w:rPr>
          <w:rFonts w:ascii="Palatino Linotype" w:hAnsi="Palatino Linotype"/>
        </w:rPr>
        <w:t>23-12-005, p. 112.</w:t>
      </w:r>
    </w:p>
  </w:footnote>
  <w:footnote w:id="8">
    <w:p w14:paraId="4AFE0947" w14:textId="1CE293C9" w:rsidR="00807A3F" w:rsidRPr="00EE6412" w:rsidRDefault="00807A3F" w:rsidP="00964F0B">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7C7FAB" w:rsidRPr="00EE6412">
        <w:rPr>
          <w:rFonts w:ascii="Palatino Linotype" w:hAnsi="Palatino Linotype"/>
        </w:rPr>
        <w:t>D.18-11-029</w:t>
      </w:r>
      <w:r w:rsidR="005532C9" w:rsidRPr="00EE6412">
        <w:rPr>
          <w:rFonts w:ascii="Palatino Linotype" w:hAnsi="Palatino Linotype"/>
        </w:rPr>
        <w:t>, OP 6 states, “The control may be located either on site or as part of a control system, on site and at the manufacturer/demand response aggregator or provider cloud level.” However, on page 35, that decision</w:t>
      </w:r>
      <w:r w:rsidR="005C6562" w:rsidRPr="00EE6412">
        <w:rPr>
          <w:rFonts w:ascii="Palatino Linotype" w:hAnsi="Palatino Linotype"/>
        </w:rPr>
        <w:t xml:space="preserve"> includes the parenthetical around “(as part of a control system</w:t>
      </w:r>
      <w:r w:rsidR="007B319F" w:rsidRPr="00EE6412">
        <w:rPr>
          <w:rFonts w:ascii="Palatino Linotype" w:hAnsi="Palatino Linotype"/>
        </w:rPr>
        <w:t>)</w:t>
      </w:r>
      <w:r w:rsidR="005532C9" w:rsidRPr="00EE6412">
        <w:rPr>
          <w:rFonts w:ascii="Palatino Linotype" w:hAnsi="Palatino Linotype"/>
        </w:rPr>
        <w:t>.</w:t>
      </w:r>
      <w:r w:rsidR="007B319F" w:rsidRPr="00EE6412">
        <w:rPr>
          <w:rFonts w:ascii="Palatino Linotype" w:hAnsi="Palatino Linotype"/>
        </w:rPr>
        <w:t>”</w:t>
      </w:r>
    </w:p>
  </w:footnote>
  <w:footnote w:id="9">
    <w:p w14:paraId="4B7E8650" w14:textId="3C7D7393" w:rsidR="00D6679A" w:rsidRPr="00EE6412" w:rsidRDefault="00D6679A">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A.17-01-012, A.17-01-018 &amp; A.17-01-019</w:t>
      </w:r>
      <w:r w:rsidR="007560D6" w:rsidRPr="00EE6412">
        <w:rPr>
          <w:rFonts w:ascii="Palatino Linotype" w:hAnsi="Palatino Linotype"/>
        </w:rPr>
        <w:t>.</w:t>
      </w:r>
    </w:p>
  </w:footnote>
  <w:footnote w:id="10">
    <w:p w14:paraId="711BEA18" w14:textId="3B4C35F9" w:rsidR="00C23ADE" w:rsidRPr="00EE6412" w:rsidRDefault="00C23ADE">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656E6F" w:rsidRPr="00EE6412">
        <w:rPr>
          <w:rFonts w:ascii="Palatino Linotype" w:hAnsi="Palatino Linotype"/>
          <w:i/>
          <w:iCs/>
        </w:rPr>
        <w:t>Administrative Law Judges’ Ruling Requesting Responses to Questions</w:t>
      </w:r>
      <w:r w:rsidR="00656E6F" w:rsidRPr="00EE6412">
        <w:rPr>
          <w:rFonts w:ascii="Palatino Linotype" w:hAnsi="Palatino Linotype"/>
        </w:rPr>
        <w:t>, issued June 15, 2018, in</w:t>
      </w:r>
      <w:r w:rsidRPr="00EE6412">
        <w:rPr>
          <w:rFonts w:ascii="Palatino Linotype" w:hAnsi="Palatino Linotype"/>
        </w:rPr>
        <w:t xml:space="preserve"> </w:t>
      </w:r>
      <w:r w:rsidR="004B4170" w:rsidRPr="00EE6412">
        <w:rPr>
          <w:rFonts w:ascii="Palatino Linotype" w:hAnsi="Palatino Linotype"/>
        </w:rPr>
        <w:t>A.17-01-012, A.17-01-018 &amp; A.17-01-019</w:t>
      </w:r>
      <w:r w:rsidR="00F0355E" w:rsidRPr="00EE6412">
        <w:rPr>
          <w:rFonts w:ascii="Palatino Linotype" w:hAnsi="Palatino Linotype"/>
        </w:rPr>
        <w:t>.</w:t>
      </w:r>
    </w:p>
  </w:footnote>
  <w:footnote w:id="11">
    <w:p w14:paraId="19F1AE84" w14:textId="75BF74E2" w:rsidR="000E2E3E" w:rsidRPr="00EE6412" w:rsidRDefault="000E2E3E">
      <w:pPr>
        <w:pStyle w:val="FootnoteText"/>
        <w:rPr>
          <w:rFonts w:ascii="Palatino Linotype" w:hAnsi="Palatino Linotype"/>
        </w:rPr>
      </w:pPr>
      <w:r w:rsidRPr="00EE6412">
        <w:rPr>
          <w:rStyle w:val="FootnoteReference"/>
          <w:rFonts w:ascii="Palatino Linotype" w:hAnsi="Palatino Linotype"/>
        </w:rPr>
        <w:footnoteRef/>
      </w:r>
      <w:r w:rsidRPr="00EE6412">
        <w:rPr>
          <w:rFonts w:ascii="Palatino Linotype" w:hAnsi="Palatino Linotype"/>
        </w:rPr>
        <w:t xml:space="preserve"> </w:t>
      </w:r>
      <w:r w:rsidR="00656E6F" w:rsidRPr="00EE6412">
        <w:rPr>
          <w:rFonts w:ascii="Palatino Linotype" w:hAnsi="Palatino Linotype"/>
          <w:i/>
          <w:iCs/>
        </w:rPr>
        <w:t>Administrative Law Judges’ Ruling Requesting Responses to Questions</w:t>
      </w:r>
      <w:r w:rsidR="00656E6F" w:rsidRPr="00EE6412">
        <w:rPr>
          <w:rFonts w:ascii="Palatino Linotype" w:hAnsi="Palatino Linotype"/>
        </w:rPr>
        <w:t>, issued June 15, 2018, in A.17-01-012, A.17-01-018 &amp; A.17-01-019.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7AD0" w14:textId="77777777" w:rsidR="001E4D04" w:rsidRDefault="001E4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765EEBCE"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E938C3">
      <w:rPr>
        <w:rFonts w:ascii="Palatino Linotype" w:hAnsi="Palatino Linotype"/>
      </w:rPr>
      <w:t>E-5453</w:t>
    </w:r>
    <w:r w:rsidR="008213BB">
      <w:tab/>
    </w:r>
    <w:r w:rsidRPr="56DF6A51">
      <w:rPr>
        <w:rFonts w:ascii="Palatino Linotype" w:hAnsi="Palatino Linotype"/>
      </w:rPr>
      <w:t>DRAFT</w:t>
    </w:r>
    <w:r w:rsidR="008213BB">
      <w:tab/>
    </w:r>
    <w:r w:rsidR="00E938C3">
      <w:rPr>
        <w:rFonts w:ascii="Palatino Linotype" w:hAnsi="Palatino Linotype"/>
      </w:rPr>
      <w:t>July 2, 2026</w:t>
    </w:r>
  </w:p>
  <w:p w14:paraId="52548ECE" w14:textId="36DA223B" w:rsidR="008213BB" w:rsidRDefault="00E938C3" w:rsidP="00CA3D13">
    <w:pPr>
      <w:pStyle w:val="Header"/>
      <w:rPr>
        <w:rFonts w:ascii="Palatino Linotype" w:hAnsi="Palatino Linotype"/>
      </w:rPr>
    </w:pPr>
    <w:r>
      <w:rPr>
        <w:rFonts w:ascii="Palatino Linotype" w:hAnsi="Palatino Linotype"/>
      </w:rPr>
      <w:t>PG&amp;E</w:t>
    </w:r>
    <w:r w:rsidR="00171862">
      <w:rPr>
        <w:rFonts w:ascii="Palatino Linotype" w:hAnsi="Palatino Linotype"/>
      </w:rPr>
      <w:t xml:space="preserve"> </w:t>
    </w:r>
    <w:r w:rsidR="008213BB">
      <w:rPr>
        <w:rFonts w:ascii="Palatino Linotype" w:hAnsi="Palatino Linotype"/>
      </w:rPr>
      <w:t>AL</w:t>
    </w:r>
    <w:r>
      <w:rPr>
        <w:rFonts w:ascii="Palatino Linotype" w:hAnsi="Palatino Linotype"/>
      </w:rPr>
      <w:t xml:space="preserve"> </w:t>
    </w:r>
    <w:r w:rsidR="008244DC">
      <w:rPr>
        <w:rFonts w:ascii="Palatino Linotype" w:hAnsi="Palatino Linotype"/>
      </w:rPr>
      <w:t>7742-E, SCE AL 5658-E</w:t>
    </w:r>
    <w:r w:rsidR="00565F65">
      <w:rPr>
        <w:rFonts w:ascii="Palatino Linotype" w:hAnsi="Palatino Linotype"/>
      </w:rPr>
      <w:t>/</w:t>
    </w:r>
    <w:r w:rsidR="00F929A6">
      <w:rPr>
        <w:rFonts w:ascii="Palatino Linotype" w:hAnsi="Palatino Linotype"/>
      </w:rPr>
      <w:t>SMX</w:t>
    </w:r>
  </w:p>
  <w:p w14:paraId="3F874B70" w14:textId="77777777" w:rsidR="00E938C3" w:rsidRPr="002A1AD8" w:rsidRDefault="00E938C3" w:rsidP="00E938C3">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B5510"/>
    <w:multiLevelType w:val="hybridMultilevel"/>
    <w:tmpl w:val="2EF2530E"/>
    <w:lvl w:ilvl="0" w:tplc="75F0E14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85E08"/>
    <w:multiLevelType w:val="hybridMultilevel"/>
    <w:tmpl w:val="2BBA0DF4"/>
    <w:lvl w:ilvl="0" w:tplc="D4A4285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1F6807"/>
    <w:multiLevelType w:val="hybridMultilevel"/>
    <w:tmpl w:val="58F891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23C1602C"/>
    <w:multiLevelType w:val="hybridMultilevel"/>
    <w:tmpl w:val="91A27122"/>
    <w:lvl w:ilvl="0" w:tplc="6D549A1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8414F"/>
    <w:multiLevelType w:val="hybridMultilevel"/>
    <w:tmpl w:val="2A28C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BB3632"/>
    <w:multiLevelType w:val="hybridMultilevel"/>
    <w:tmpl w:val="925C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D54AA"/>
    <w:multiLevelType w:val="hybridMultilevel"/>
    <w:tmpl w:val="BC6AD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3116AD"/>
    <w:multiLevelType w:val="hybridMultilevel"/>
    <w:tmpl w:val="47BA25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0249FC"/>
    <w:multiLevelType w:val="hybridMultilevel"/>
    <w:tmpl w:val="F606F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42657C"/>
    <w:multiLevelType w:val="hybridMultilevel"/>
    <w:tmpl w:val="C2083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34755"/>
    <w:multiLevelType w:val="hybridMultilevel"/>
    <w:tmpl w:val="7E225932"/>
    <w:lvl w:ilvl="0" w:tplc="809668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6599A"/>
    <w:multiLevelType w:val="hybridMultilevel"/>
    <w:tmpl w:val="47BA25E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4" w15:restartNumberingAfterBreak="0">
    <w:nsid w:val="5A1E7479"/>
    <w:multiLevelType w:val="hybridMultilevel"/>
    <w:tmpl w:val="0742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8693F"/>
    <w:multiLevelType w:val="hybridMultilevel"/>
    <w:tmpl w:val="C20830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13"/>
  </w:num>
  <w:num w:numId="2" w16cid:durableId="1991593136">
    <w:abstractNumId w:val="0"/>
  </w:num>
  <w:num w:numId="3" w16cid:durableId="1754620235">
    <w:abstractNumId w:val="5"/>
  </w:num>
  <w:num w:numId="4" w16cid:durableId="969365539">
    <w:abstractNumId w:val="17"/>
  </w:num>
  <w:num w:numId="5" w16cid:durableId="468133998">
    <w:abstractNumId w:val="15"/>
  </w:num>
  <w:num w:numId="6" w16cid:durableId="426273653">
    <w:abstractNumId w:val="18"/>
  </w:num>
  <w:num w:numId="7" w16cid:durableId="715400018">
    <w:abstractNumId w:val="10"/>
  </w:num>
  <w:num w:numId="8" w16cid:durableId="2061663040">
    <w:abstractNumId w:val="6"/>
  </w:num>
  <w:num w:numId="9" w16cid:durableId="1906453898">
    <w:abstractNumId w:val="16"/>
  </w:num>
  <w:num w:numId="10" w16cid:durableId="1320042344">
    <w:abstractNumId w:val="11"/>
  </w:num>
  <w:num w:numId="11" w16cid:durableId="787700239">
    <w:abstractNumId w:val="2"/>
  </w:num>
  <w:num w:numId="12" w16cid:durableId="933518161">
    <w:abstractNumId w:val="1"/>
  </w:num>
  <w:num w:numId="13" w16cid:durableId="1812821607">
    <w:abstractNumId w:val="4"/>
  </w:num>
  <w:num w:numId="14" w16cid:durableId="1818957198">
    <w:abstractNumId w:val="3"/>
  </w:num>
  <w:num w:numId="15" w16cid:durableId="721102969">
    <w:abstractNumId w:val="14"/>
  </w:num>
  <w:num w:numId="16" w16cid:durableId="1075006083">
    <w:abstractNumId w:val="9"/>
  </w:num>
  <w:num w:numId="17" w16cid:durableId="224220076">
    <w:abstractNumId w:val="8"/>
  </w:num>
  <w:num w:numId="18" w16cid:durableId="782068856">
    <w:abstractNumId w:val="12"/>
  </w:num>
  <w:num w:numId="19" w16cid:durableId="1752851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7A6"/>
    <w:rsid w:val="000019EE"/>
    <w:rsid w:val="00003144"/>
    <w:rsid w:val="00003374"/>
    <w:rsid w:val="00005441"/>
    <w:rsid w:val="00005F0E"/>
    <w:rsid w:val="00006E71"/>
    <w:rsid w:val="00007554"/>
    <w:rsid w:val="00010951"/>
    <w:rsid w:val="0001191D"/>
    <w:rsid w:val="00016BFD"/>
    <w:rsid w:val="00016DAE"/>
    <w:rsid w:val="00021003"/>
    <w:rsid w:val="00022C85"/>
    <w:rsid w:val="00022D34"/>
    <w:rsid w:val="00023B41"/>
    <w:rsid w:val="00024779"/>
    <w:rsid w:val="00024F2C"/>
    <w:rsid w:val="00027C4F"/>
    <w:rsid w:val="0003439E"/>
    <w:rsid w:val="00035881"/>
    <w:rsid w:val="0003627D"/>
    <w:rsid w:val="00036A5E"/>
    <w:rsid w:val="00036E55"/>
    <w:rsid w:val="000371EF"/>
    <w:rsid w:val="00040280"/>
    <w:rsid w:val="000426EB"/>
    <w:rsid w:val="00044934"/>
    <w:rsid w:val="00046AB6"/>
    <w:rsid w:val="00047467"/>
    <w:rsid w:val="000475DC"/>
    <w:rsid w:val="00050F63"/>
    <w:rsid w:val="00051AAB"/>
    <w:rsid w:val="00051CB3"/>
    <w:rsid w:val="00052E64"/>
    <w:rsid w:val="00053316"/>
    <w:rsid w:val="00053A64"/>
    <w:rsid w:val="00054994"/>
    <w:rsid w:val="00054D11"/>
    <w:rsid w:val="00055F1F"/>
    <w:rsid w:val="000571F7"/>
    <w:rsid w:val="00060909"/>
    <w:rsid w:val="00061A6D"/>
    <w:rsid w:val="00062E38"/>
    <w:rsid w:val="000632D7"/>
    <w:rsid w:val="00066643"/>
    <w:rsid w:val="00066DA6"/>
    <w:rsid w:val="000719FE"/>
    <w:rsid w:val="00071D49"/>
    <w:rsid w:val="00073B1B"/>
    <w:rsid w:val="000750C2"/>
    <w:rsid w:val="00075511"/>
    <w:rsid w:val="00075523"/>
    <w:rsid w:val="00082F11"/>
    <w:rsid w:val="00083C8A"/>
    <w:rsid w:val="00086793"/>
    <w:rsid w:val="00090214"/>
    <w:rsid w:val="00090570"/>
    <w:rsid w:val="00096E5C"/>
    <w:rsid w:val="0009733C"/>
    <w:rsid w:val="000A0CB1"/>
    <w:rsid w:val="000A26CD"/>
    <w:rsid w:val="000A2895"/>
    <w:rsid w:val="000A32FF"/>
    <w:rsid w:val="000A39B2"/>
    <w:rsid w:val="000A4453"/>
    <w:rsid w:val="000A5EDF"/>
    <w:rsid w:val="000A6294"/>
    <w:rsid w:val="000A72FC"/>
    <w:rsid w:val="000B0139"/>
    <w:rsid w:val="000B2E24"/>
    <w:rsid w:val="000B2FC7"/>
    <w:rsid w:val="000B45F0"/>
    <w:rsid w:val="000B4AAE"/>
    <w:rsid w:val="000B6D31"/>
    <w:rsid w:val="000B70D8"/>
    <w:rsid w:val="000B727E"/>
    <w:rsid w:val="000C0CFA"/>
    <w:rsid w:val="000C1737"/>
    <w:rsid w:val="000C1BEC"/>
    <w:rsid w:val="000C211F"/>
    <w:rsid w:val="000C49A5"/>
    <w:rsid w:val="000C58B0"/>
    <w:rsid w:val="000C5A8E"/>
    <w:rsid w:val="000C60C9"/>
    <w:rsid w:val="000C6EF5"/>
    <w:rsid w:val="000D170F"/>
    <w:rsid w:val="000D1906"/>
    <w:rsid w:val="000D2BED"/>
    <w:rsid w:val="000D349E"/>
    <w:rsid w:val="000D5283"/>
    <w:rsid w:val="000D565F"/>
    <w:rsid w:val="000D5D7C"/>
    <w:rsid w:val="000D6317"/>
    <w:rsid w:val="000D661F"/>
    <w:rsid w:val="000D6856"/>
    <w:rsid w:val="000D6AA0"/>
    <w:rsid w:val="000D6B37"/>
    <w:rsid w:val="000D6D9E"/>
    <w:rsid w:val="000D7226"/>
    <w:rsid w:val="000E01CE"/>
    <w:rsid w:val="000E0FC5"/>
    <w:rsid w:val="000E121D"/>
    <w:rsid w:val="000E18FF"/>
    <w:rsid w:val="000E2D08"/>
    <w:rsid w:val="000E2E3E"/>
    <w:rsid w:val="000E62C0"/>
    <w:rsid w:val="000E677F"/>
    <w:rsid w:val="000E6A81"/>
    <w:rsid w:val="000E6FD6"/>
    <w:rsid w:val="000F2636"/>
    <w:rsid w:val="000F441C"/>
    <w:rsid w:val="000F4FBE"/>
    <w:rsid w:val="000F6CEE"/>
    <w:rsid w:val="000F6E81"/>
    <w:rsid w:val="0010055F"/>
    <w:rsid w:val="00100565"/>
    <w:rsid w:val="0010061F"/>
    <w:rsid w:val="00101D0B"/>
    <w:rsid w:val="00104707"/>
    <w:rsid w:val="00104FDB"/>
    <w:rsid w:val="0010560F"/>
    <w:rsid w:val="00105CA4"/>
    <w:rsid w:val="00106687"/>
    <w:rsid w:val="0010688B"/>
    <w:rsid w:val="001076DF"/>
    <w:rsid w:val="00107725"/>
    <w:rsid w:val="001102EF"/>
    <w:rsid w:val="00110515"/>
    <w:rsid w:val="001106D0"/>
    <w:rsid w:val="0011076F"/>
    <w:rsid w:val="001209B8"/>
    <w:rsid w:val="00122DD0"/>
    <w:rsid w:val="00123C61"/>
    <w:rsid w:val="00125088"/>
    <w:rsid w:val="001254C5"/>
    <w:rsid w:val="00127E94"/>
    <w:rsid w:val="001303DD"/>
    <w:rsid w:val="00130AF5"/>
    <w:rsid w:val="001317EC"/>
    <w:rsid w:val="001332D0"/>
    <w:rsid w:val="00133F11"/>
    <w:rsid w:val="00136309"/>
    <w:rsid w:val="00140048"/>
    <w:rsid w:val="00141B07"/>
    <w:rsid w:val="0014401C"/>
    <w:rsid w:val="0014463C"/>
    <w:rsid w:val="00144E7E"/>
    <w:rsid w:val="00145CFC"/>
    <w:rsid w:val="00150069"/>
    <w:rsid w:val="001503B1"/>
    <w:rsid w:val="0015181A"/>
    <w:rsid w:val="00152603"/>
    <w:rsid w:val="001535CA"/>
    <w:rsid w:val="001540E0"/>
    <w:rsid w:val="00155295"/>
    <w:rsid w:val="00156F0B"/>
    <w:rsid w:val="00157169"/>
    <w:rsid w:val="001577C7"/>
    <w:rsid w:val="001615F3"/>
    <w:rsid w:val="00161CBB"/>
    <w:rsid w:val="00162E7B"/>
    <w:rsid w:val="00163E35"/>
    <w:rsid w:val="0016612E"/>
    <w:rsid w:val="001706C8"/>
    <w:rsid w:val="00171353"/>
    <w:rsid w:val="00171862"/>
    <w:rsid w:val="00171EDD"/>
    <w:rsid w:val="00173DDB"/>
    <w:rsid w:val="00177569"/>
    <w:rsid w:val="00177F2F"/>
    <w:rsid w:val="00180728"/>
    <w:rsid w:val="0018131C"/>
    <w:rsid w:val="00182F96"/>
    <w:rsid w:val="00183F5A"/>
    <w:rsid w:val="001858C5"/>
    <w:rsid w:val="0018636C"/>
    <w:rsid w:val="001863AD"/>
    <w:rsid w:val="00192ECB"/>
    <w:rsid w:val="00195371"/>
    <w:rsid w:val="0019561A"/>
    <w:rsid w:val="00195A14"/>
    <w:rsid w:val="00195D75"/>
    <w:rsid w:val="00196884"/>
    <w:rsid w:val="00197FFC"/>
    <w:rsid w:val="001A18BB"/>
    <w:rsid w:val="001A2A56"/>
    <w:rsid w:val="001A2E3A"/>
    <w:rsid w:val="001A3380"/>
    <w:rsid w:val="001A5773"/>
    <w:rsid w:val="001A5F9F"/>
    <w:rsid w:val="001A658B"/>
    <w:rsid w:val="001A68F2"/>
    <w:rsid w:val="001A6D53"/>
    <w:rsid w:val="001A7383"/>
    <w:rsid w:val="001A75D0"/>
    <w:rsid w:val="001A7C28"/>
    <w:rsid w:val="001A7F4D"/>
    <w:rsid w:val="001B0443"/>
    <w:rsid w:val="001B3A10"/>
    <w:rsid w:val="001B3BE8"/>
    <w:rsid w:val="001B5086"/>
    <w:rsid w:val="001B523F"/>
    <w:rsid w:val="001B5F1C"/>
    <w:rsid w:val="001B60C3"/>
    <w:rsid w:val="001B6EC7"/>
    <w:rsid w:val="001B7E1B"/>
    <w:rsid w:val="001C0AC2"/>
    <w:rsid w:val="001C10A8"/>
    <w:rsid w:val="001C1DC3"/>
    <w:rsid w:val="001C249F"/>
    <w:rsid w:val="001C3B9C"/>
    <w:rsid w:val="001C3FEE"/>
    <w:rsid w:val="001C412E"/>
    <w:rsid w:val="001C5D12"/>
    <w:rsid w:val="001CCE71"/>
    <w:rsid w:val="001D295A"/>
    <w:rsid w:val="001D2A94"/>
    <w:rsid w:val="001D2DDD"/>
    <w:rsid w:val="001D4231"/>
    <w:rsid w:val="001D4AB6"/>
    <w:rsid w:val="001D4F2E"/>
    <w:rsid w:val="001D5527"/>
    <w:rsid w:val="001D6258"/>
    <w:rsid w:val="001D67E5"/>
    <w:rsid w:val="001D7D85"/>
    <w:rsid w:val="001E048F"/>
    <w:rsid w:val="001E0E90"/>
    <w:rsid w:val="001E2A15"/>
    <w:rsid w:val="001E2C47"/>
    <w:rsid w:val="001E3B1D"/>
    <w:rsid w:val="001E4D04"/>
    <w:rsid w:val="001E6B30"/>
    <w:rsid w:val="001F0D47"/>
    <w:rsid w:val="001F1FDD"/>
    <w:rsid w:val="001F20D7"/>
    <w:rsid w:val="001F2CED"/>
    <w:rsid w:val="001F41D8"/>
    <w:rsid w:val="001F7F5F"/>
    <w:rsid w:val="00200219"/>
    <w:rsid w:val="00200E67"/>
    <w:rsid w:val="00201FFE"/>
    <w:rsid w:val="00204B1B"/>
    <w:rsid w:val="00204CE9"/>
    <w:rsid w:val="00205C48"/>
    <w:rsid w:val="00206381"/>
    <w:rsid w:val="00207524"/>
    <w:rsid w:val="00207684"/>
    <w:rsid w:val="002108B0"/>
    <w:rsid w:val="0021214B"/>
    <w:rsid w:val="002121EC"/>
    <w:rsid w:val="002122A3"/>
    <w:rsid w:val="002134B4"/>
    <w:rsid w:val="002154CA"/>
    <w:rsid w:val="00215A14"/>
    <w:rsid w:val="00216F35"/>
    <w:rsid w:val="00221314"/>
    <w:rsid w:val="0022138B"/>
    <w:rsid w:val="00221DF9"/>
    <w:rsid w:val="00223AD4"/>
    <w:rsid w:val="00225835"/>
    <w:rsid w:val="00225AA9"/>
    <w:rsid w:val="00226F62"/>
    <w:rsid w:val="00227E5F"/>
    <w:rsid w:val="00230D05"/>
    <w:rsid w:val="00232B93"/>
    <w:rsid w:val="00233327"/>
    <w:rsid w:val="00233D16"/>
    <w:rsid w:val="002355EA"/>
    <w:rsid w:val="00236087"/>
    <w:rsid w:val="00236717"/>
    <w:rsid w:val="00237174"/>
    <w:rsid w:val="0024713B"/>
    <w:rsid w:val="002514A5"/>
    <w:rsid w:val="00253185"/>
    <w:rsid w:val="00253889"/>
    <w:rsid w:val="0025513C"/>
    <w:rsid w:val="00256023"/>
    <w:rsid w:val="00260C37"/>
    <w:rsid w:val="00262462"/>
    <w:rsid w:val="00263D8C"/>
    <w:rsid w:val="00264FEC"/>
    <w:rsid w:val="0026503F"/>
    <w:rsid w:val="002705CD"/>
    <w:rsid w:val="00270A74"/>
    <w:rsid w:val="00272D5D"/>
    <w:rsid w:val="0027323E"/>
    <w:rsid w:val="00273779"/>
    <w:rsid w:val="002747C2"/>
    <w:rsid w:val="00275F52"/>
    <w:rsid w:val="00275FAE"/>
    <w:rsid w:val="0027743B"/>
    <w:rsid w:val="002812CD"/>
    <w:rsid w:val="00282091"/>
    <w:rsid w:val="002820C4"/>
    <w:rsid w:val="002826C9"/>
    <w:rsid w:val="00283237"/>
    <w:rsid w:val="0028345B"/>
    <w:rsid w:val="00286462"/>
    <w:rsid w:val="00286D69"/>
    <w:rsid w:val="0029178C"/>
    <w:rsid w:val="00291AF7"/>
    <w:rsid w:val="00291F8F"/>
    <w:rsid w:val="00292746"/>
    <w:rsid w:val="0029468B"/>
    <w:rsid w:val="00294967"/>
    <w:rsid w:val="0029595F"/>
    <w:rsid w:val="00296078"/>
    <w:rsid w:val="00296E5F"/>
    <w:rsid w:val="002A1AE2"/>
    <w:rsid w:val="002A2360"/>
    <w:rsid w:val="002A3C69"/>
    <w:rsid w:val="002A5F7A"/>
    <w:rsid w:val="002A707A"/>
    <w:rsid w:val="002B2081"/>
    <w:rsid w:val="002B328A"/>
    <w:rsid w:val="002B32AA"/>
    <w:rsid w:val="002B4405"/>
    <w:rsid w:val="002B52EF"/>
    <w:rsid w:val="002B5313"/>
    <w:rsid w:val="002C0615"/>
    <w:rsid w:val="002C1261"/>
    <w:rsid w:val="002C1429"/>
    <w:rsid w:val="002C2276"/>
    <w:rsid w:val="002C353B"/>
    <w:rsid w:val="002C50E2"/>
    <w:rsid w:val="002C6683"/>
    <w:rsid w:val="002C6A1D"/>
    <w:rsid w:val="002D014B"/>
    <w:rsid w:val="002D1221"/>
    <w:rsid w:val="002D4511"/>
    <w:rsid w:val="002D5857"/>
    <w:rsid w:val="002D6398"/>
    <w:rsid w:val="002D6ACA"/>
    <w:rsid w:val="002D6C34"/>
    <w:rsid w:val="002E0540"/>
    <w:rsid w:val="002E11CB"/>
    <w:rsid w:val="002E44AE"/>
    <w:rsid w:val="002E47B3"/>
    <w:rsid w:val="002E49A4"/>
    <w:rsid w:val="002E4E0C"/>
    <w:rsid w:val="002E5768"/>
    <w:rsid w:val="002E5AA7"/>
    <w:rsid w:val="002E631F"/>
    <w:rsid w:val="002E7407"/>
    <w:rsid w:val="002E7FFB"/>
    <w:rsid w:val="002F056A"/>
    <w:rsid w:val="002F131B"/>
    <w:rsid w:val="002F21E1"/>
    <w:rsid w:val="002F2FDF"/>
    <w:rsid w:val="002F2FE9"/>
    <w:rsid w:val="002F3F33"/>
    <w:rsid w:val="002F6C9C"/>
    <w:rsid w:val="00302003"/>
    <w:rsid w:val="003020B1"/>
    <w:rsid w:val="00302898"/>
    <w:rsid w:val="003035D1"/>
    <w:rsid w:val="00305144"/>
    <w:rsid w:val="003055A1"/>
    <w:rsid w:val="003061A7"/>
    <w:rsid w:val="003069CB"/>
    <w:rsid w:val="00307CAC"/>
    <w:rsid w:val="00310DF6"/>
    <w:rsid w:val="00310DFA"/>
    <w:rsid w:val="003122AE"/>
    <w:rsid w:val="00313791"/>
    <w:rsid w:val="00314E21"/>
    <w:rsid w:val="0031551A"/>
    <w:rsid w:val="00317C7A"/>
    <w:rsid w:val="00317D72"/>
    <w:rsid w:val="0032175F"/>
    <w:rsid w:val="00321865"/>
    <w:rsid w:val="0032291A"/>
    <w:rsid w:val="00322999"/>
    <w:rsid w:val="00322A9D"/>
    <w:rsid w:val="00322FDA"/>
    <w:rsid w:val="003236F6"/>
    <w:rsid w:val="00324D65"/>
    <w:rsid w:val="00325035"/>
    <w:rsid w:val="00325538"/>
    <w:rsid w:val="00325A66"/>
    <w:rsid w:val="003267C1"/>
    <w:rsid w:val="003279E2"/>
    <w:rsid w:val="003314E6"/>
    <w:rsid w:val="00332016"/>
    <w:rsid w:val="00332C3E"/>
    <w:rsid w:val="00333212"/>
    <w:rsid w:val="0033470F"/>
    <w:rsid w:val="003369B3"/>
    <w:rsid w:val="00336AD2"/>
    <w:rsid w:val="003378CE"/>
    <w:rsid w:val="00337AE9"/>
    <w:rsid w:val="00340FE2"/>
    <w:rsid w:val="00343659"/>
    <w:rsid w:val="00346A58"/>
    <w:rsid w:val="0035114B"/>
    <w:rsid w:val="00355086"/>
    <w:rsid w:val="0035655C"/>
    <w:rsid w:val="00357AC9"/>
    <w:rsid w:val="003630FB"/>
    <w:rsid w:val="00365401"/>
    <w:rsid w:val="00365811"/>
    <w:rsid w:val="00365E3E"/>
    <w:rsid w:val="00366146"/>
    <w:rsid w:val="00366241"/>
    <w:rsid w:val="00366695"/>
    <w:rsid w:val="00366F4C"/>
    <w:rsid w:val="003710BC"/>
    <w:rsid w:val="003725D2"/>
    <w:rsid w:val="003728B3"/>
    <w:rsid w:val="00373CC1"/>
    <w:rsid w:val="00374679"/>
    <w:rsid w:val="003765A3"/>
    <w:rsid w:val="00376648"/>
    <w:rsid w:val="0037677C"/>
    <w:rsid w:val="003805C3"/>
    <w:rsid w:val="003823CB"/>
    <w:rsid w:val="00382505"/>
    <w:rsid w:val="00382BE0"/>
    <w:rsid w:val="0038519E"/>
    <w:rsid w:val="003878EE"/>
    <w:rsid w:val="00387E99"/>
    <w:rsid w:val="00390D36"/>
    <w:rsid w:val="0039122E"/>
    <w:rsid w:val="0039154C"/>
    <w:rsid w:val="003922AD"/>
    <w:rsid w:val="00394FC6"/>
    <w:rsid w:val="003A0819"/>
    <w:rsid w:val="003A2846"/>
    <w:rsid w:val="003A344A"/>
    <w:rsid w:val="003A49D9"/>
    <w:rsid w:val="003A5A00"/>
    <w:rsid w:val="003A5F2D"/>
    <w:rsid w:val="003B14C7"/>
    <w:rsid w:val="003B18FC"/>
    <w:rsid w:val="003B2DE4"/>
    <w:rsid w:val="003B3AF0"/>
    <w:rsid w:val="003B6333"/>
    <w:rsid w:val="003B7967"/>
    <w:rsid w:val="003C2639"/>
    <w:rsid w:val="003C2DA6"/>
    <w:rsid w:val="003C36EE"/>
    <w:rsid w:val="003C3CB9"/>
    <w:rsid w:val="003D082A"/>
    <w:rsid w:val="003D0A00"/>
    <w:rsid w:val="003D1594"/>
    <w:rsid w:val="003D2446"/>
    <w:rsid w:val="003D2B45"/>
    <w:rsid w:val="003D3948"/>
    <w:rsid w:val="003D3FF0"/>
    <w:rsid w:val="003D4805"/>
    <w:rsid w:val="003D49A4"/>
    <w:rsid w:val="003D5B3F"/>
    <w:rsid w:val="003D6105"/>
    <w:rsid w:val="003D7870"/>
    <w:rsid w:val="003E0C06"/>
    <w:rsid w:val="003E1250"/>
    <w:rsid w:val="003E1671"/>
    <w:rsid w:val="003E234A"/>
    <w:rsid w:val="003E276B"/>
    <w:rsid w:val="003E4A98"/>
    <w:rsid w:val="003E4E95"/>
    <w:rsid w:val="003E5AE9"/>
    <w:rsid w:val="003E669D"/>
    <w:rsid w:val="003E6D13"/>
    <w:rsid w:val="003F08D7"/>
    <w:rsid w:val="003F55AD"/>
    <w:rsid w:val="003F6A40"/>
    <w:rsid w:val="003F768B"/>
    <w:rsid w:val="003F7724"/>
    <w:rsid w:val="003F7933"/>
    <w:rsid w:val="003F79A2"/>
    <w:rsid w:val="00401A48"/>
    <w:rsid w:val="00401C7E"/>
    <w:rsid w:val="004031CE"/>
    <w:rsid w:val="0040415D"/>
    <w:rsid w:val="0040568F"/>
    <w:rsid w:val="004073AA"/>
    <w:rsid w:val="00411038"/>
    <w:rsid w:val="0041170A"/>
    <w:rsid w:val="00412F0E"/>
    <w:rsid w:val="0041361A"/>
    <w:rsid w:val="0041393F"/>
    <w:rsid w:val="00414676"/>
    <w:rsid w:val="0041505A"/>
    <w:rsid w:val="00415916"/>
    <w:rsid w:val="00417280"/>
    <w:rsid w:val="0042114A"/>
    <w:rsid w:val="00421412"/>
    <w:rsid w:val="004214FC"/>
    <w:rsid w:val="0042312A"/>
    <w:rsid w:val="0042376E"/>
    <w:rsid w:val="00423A02"/>
    <w:rsid w:val="00423B0A"/>
    <w:rsid w:val="004255F8"/>
    <w:rsid w:val="00427266"/>
    <w:rsid w:val="0042739F"/>
    <w:rsid w:val="004302AA"/>
    <w:rsid w:val="004305CC"/>
    <w:rsid w:val="00432265"/>
    <w:rsid w:val="004327DE"/>
    <w:rsid w:val="00432DC9"/>
    <w:rsid w:val="00433A04"/>
    <w:rsid w:val="0043496D"/>
    <w:rsid w:val="00436E5E"/>
    <w:rsid w:val="0043789B"/>
    <w:rsid w:val="00440984"/>
    <w:rsid w:val="0044353A"/>
    <w:rsid w:val="00443F8A"/>
    <w:rsid w:val="00444081"/>
    <w:rsid w:val="00444F8A"/>
    <w:rsid w:val="00445925"/>
    <w:rsid w:val="00446029"/>
    <w:rsid w:val="00446066"/>
    <w:rsid w:val="00446DEA"/>
    <w:rsid w:val="00447BB9"/>
    <w:rsid w:val="00450C12"/>
    <w:rsid w:val="004531C1"/>
    <w:rsid w:val="00453A4F"/>
    <w:rsid w:val="00453EA1"/>
    <w:rsid w:val="004545DE"/>
    <w:rsid w:val="004616AA"/>
    <w:rsid w:val="004625AD"/>
    <w:rsid w:val="00464261"/>
    <w:rsid w:val="00470321"/>
    <w:rsid w:val="00471191"/>
    <w:rsid w:val="00471701"/>
    <w:rsid w:val="00472533"/>
    <w:rsid w:val="004726F0"/>
    <w:rsid w:val="00473945"/>
    <w:rsid w:val="00474196"/>
    <w:rsid w:val="004751B8"/>
    <w:rsid w:val="0047679C"/>
    <w:rsid w:val="004767E4"/>
    <w:rsid w:val="004800DF"/>
    <w:rsid w:val="0048091D"/>
    <w:rsid w:val="00481787"/>
    <w:rsid w:val="0048278C"/>
    <w:rsid w:val="00482E90"/>
    <w:rsid w:val="00483585"/>
    <w:rsid w:val="0048457C"/>
    <w:rsid w:val="00485CFE"/>
    <w:rsid w:val="00490D7E"/>
    <w:rsid w:val="00491DC6"/>
    <w:rsid w:val="00492DBB"/>
    <w:rsid w:val="00492DE9"/>
    <w:rsid w:val="00493737"/>
    <w:rsid w:val="00494457"/>
    <w:rsid w:val="0049461E"/>
    <w:rsid w:val="00494E0B"/>
    <w:rsid w:val="00495C69"/>
    <w:rsid w:val="00496300"/>
    <w:rsid w:val="004964E1"/>
    <w:rsid w:val="00497D1B"/>
    <w:rsid w:val="004A056E"/>
    <w:rsid w:val="004A21EC"/>
    <w:rsid w:val="004A3776"/>
    <w:rsid w:val="004A3B0A"/>
    <w:rsid w:val="004A471C"/>
    <w:rsid w:val="004A497C"/>
    <w:rsid w:val="004A4D01"/>
    <w:rsid w:val="004A7A4C"/>
    <w:rsid w:val="004B0A70"/>
    <w:rsid w:val="004B1E3C"/>
    <w:rsid w:val="004B1F1A"/>
    <w:rsid w:val="004B3208"/>
    <w:rsid w:val="004B346D"/>
    <w:rsid w:val="004B4170"/>
    <w:rsid w:val="004B67DD"/>
    <w:rsid w:val="004B7BF0"/>
    <w:rsid w:val="004C0B93"/>
    <w:rsid w:val="004C0E87"/>
    <w:rsid w:val="004C1EAA"/>
    <w:rsid w:val="004C26DE"/>
    <w:rsid w:val="004C29AF"/>
    <w:rsid w:val="004C3FE2"/>
    <w:rsid w:val="004C6C61"/>
    <w:rsid w:val="004D0D78"/>
    <w:rsid w:val="004D11BF"/>
    <w:rsid w:val="004D24A3"/>
    <w:rsid w:val="004D5164"/>
    <w:rsid w:val="004D56F2"/>
    <w:rsid w:val="004E004A"/>
    <w:rsid w:val="004E14A7"/>
    <w:rsid w:val="004E1AD9"/>
    <w:rsid w:val="004E3133"/>
    <w:rsid w:val="004E41EF"/>
    <w:rsid w:val="004E6958"/>
    <w:rsid w:val="004F03BC"/>
    <w:rsid w:val="004F0CBF"/>
    <w:rsid w:val="004F35D5"/>
    <w:rsid w:val="004F4C22"/>
    <w:rsid w:val="00501609"/>
    <w:rsid w:val="0050200A"/>
    <w:rsid w:val="005024E9"/>
    <w:rsid w:val="00503CC0"/>
    <w:rsid w:val="0050553D"/>
    <w:rsid w:val="00505BA9"/>
    <w:rsid w:val="0050670D"/>
    <w:rsid w:val="005069EF"/>
    <w:rsid w:val="005103A7"/>
    <w:rsid w:val="0051157E"/>
    <w:rsid w:val="0051165A"/>
    <w:rsid w:val="005118E2"/>
    <w:rsid w:val="00513260"/>
    <w:rsid w:val="00514AD9"/>
    <w:rsid w:val="00514EF0"/>
    <w:rsid w:val="00516354"/>
    <w:rsid w:val="00516EC1"/>
    <w:rsid w:val="00521E53"/>
    <w:rsid w:val="005228A3"/>
    <w:rsid w:val="0052406B"/>
    <w:rsid w:val="005244A6"/>
    <w:rsid w:val="00524B2A"/>
    <w:rsid w:val="0052576C"/>
    <w:rsid w:val="0052693A"/>
    <w:rsid w:val="005271FE"/>
    <w:rsid w:val="005273A7"/>
    <w:rsid w:val="005277BC"/>
    <w:rsid w:val="00527CC2"/>
    <w:rsid w:val="00530275"/>
    <w:rsid w:val="00531CF1"/>
    <w:rsid w:val="005330E3"/>
    <w:rsid w:val="00536EB7"/>
    <w:rsid w:val="00540204"/>
    <w:rsid w:val="0054184C"/>
    <w:rsid w:val="00542E2E"/>
    <w:rsid w:val="005432B1"/>
    <w:rsid w:val="00543B68"/>
    <w:rsid w:val="00547F06"/>
    <w:rsid w:val="005532C9"/>
    <w:rsid w:val="00553BA1"/>
    <w:rsid w:val="0055566B"/>
    <w:rsid w:val="005570A4"/>
    <w:rsid w:val="005615C3"/>
    <w:rsid w:val="005620A9"/>
    <w:rsid w:val="00562561"/>
    <w:rsid w:val="00562806"/>
    <w:rsid w:val="00562ED9"/>
    <w:rsid w:val="00564D01"/>
    <w:rsid w:val="00565F65"/>
    <w:rsid w:val="00566C0F"/>
    <w:rsid w:val="00567ABA"/>
    <w:rsid w:val="00570ECA"/>
    <w:rsid w:val="00573DBE"/>
    <w:rsid w:val="00574C29"/>
    <w:rsid w:val="00577C78"/>
    <w:rsid w:val="005804E9"/>
    <w:rsid w:val="00580FC3"/>
    <w:rsid w:val="005815FF"/>
    <w:rsid w:val="00581F22"/>
    <w:rsid w:val="00583A4F"/>
    <w:rsid w:val="00583B03"/>
    <w:rsid w:val="00583D9E"/>
    <w:rsid w:val="0058535F"/>
    <w:rsid w:val="005910F0"/>
    <w:rsid w:val="0059219F"/>
    <w:rsid w:val="00593ED8"/>
    <w:rsid w:val="00594A14"/>
    <w:rsid w:val="00594F92"/>
    <w:rsid w:val="005952BF"/>
    <w:rsid w:val="005963E9"/>
    <w:rsid w:val="00596B9D"/>
    <w:rsid w:val="005A06E8"/>
    <w:rsid w:val="005A0F21"/>
    <w:rsid w:val="005A0FB4"/>
    <w:rsid w:val="005A2945"/>
    <w:rsid w:val="005A2A55"/>
    <w:rsid w:val="005A32BD"/>
    <w:rsid w:val="005A47B2"/>
    <w:rsid w:val="005A5246"/>
    <w:rsid w:val="005A612C"/>
    <w:rsid w:val="005A666D"/>
    <w:rsid w:val="005A6C89"/>
    <w:rsid w:val="005A734F"/>
    <w:rsid w:val="005B3232"/>
    <w:rsid w:val="005B3FB5"/>
    <w:rsid w:val="005B488D"/>
    <w:rsid w:val="005B4E59"/>
    <w:rsid w:val="005B5EDE"/>
    <w:rsid w:val="005B5EF1"/>
    <w:rsid w:val="005B782C"/>
    <w:rsid w:val="005B7AA5"/>
    <w:rsid w:val="005B7BFF"/>
    <w:rsid w:val="005C2B7A"/>
    <w:rsid w:val="005C3496"/>
    <w:rsid w:val="005C38A5"/>
    <w:rsid w:val="005C6224"/>
    <w:rsid w:val="005C6562"/>
    <w:rsid w:val="005C78D4"/>
    <w:rsid w:val="005C7DCC"/>
    <w:rsid w:val="005D0B4A"/>
    <w:rsid w:val="005D0E83"/>
    <w:rsid w:val="005D29AF"/>
    <w:rsid w:val="005D6CA6"/>
    <w:rsid w:val="005D710F"/>
    <w:rsid w:val="005E10CC"/>
    <w:rsid w:val="005E1672"/>
    <w:rsid w:val="005E2C56"/>
    <w:rsid w:val="005E2F06"/>
    <w:rsid w:val="005E3A59"/>
    <w:rsid w:val="005E4C2F"/>
    <w:rsid w:val="005E4CDF"/>
    <w:rsid w:val="005E52E4"/>
    <w:rsid w:val="005E5781"/>
    <w:rsid w:val="005E5E8E"/>
    <w:rsid w:val="005E6EB4"/>
    <w:rsid w:val="005F08F7"/>
    <w:rsid w:val="005F0D41"/>
    <w:rsid w:val="005F0DF2"/>
    <w:rsid w:val="005F2D3F"/>
    <w:rsid w:val="005F34D1"/>
    <w:rsid w:val="005F4DCE"/>
    <w:rsid w:val="005F6CAB"/>
    <w:rsid w:val="00602554"/>
    <w:rsid w:val="00603456"/>
    <w:rsid w:val="0060362D"/>
    <w:rsid w:val="00603B0F"/>
    <w:rsid w:val="00603BBF"/>
    <w:rsid w:val="00603DC6"/>
    <w:rsid w:val="0060406E"/>
    <w:rsid w:val="0061303C"/>
    <w:rsid w:val="00615089"/>
    <w:rsid w:val="00615506"/>
    <w:rsid w:val="006178AD"/>
    <w:rsid w:val="006218B5"/>
    <w:rsid w:val="00621C1C"/>
    <w:rsid w:val="00623707"/>
    <w:rsid w:val="00623F16"/>
    <w:rsid w:val="00630444"/>
    <w:rsid w:val="00631B09"/>
    <w:rsid w:val="00631C5E"/>
    <w:rsid w:val="00635155"/>
    <w:rsid w:val="00635698"/>
    <w:rsid w:val="00635895"/>
    <w:rsid w:val="00635B8A"/>
    <w:rsid w:val="00636AF2"/>
    <w:rsid w:val="00637764"/>
    <w:rsid w:val="00640F16"/>
    <w:rsid w:val="0064197B"/>
    <w:rsid w:val="00641D3E"/>
    <w:rsid w:val="00641F57"/>
    <w:rsid w:val="0064243D"/>
    <w:rsid w:val="00642DDD"/>
    <w:rsid w:val="00644D03"/>
    <w:rsid w:val="00645387"/>
    <w:rsid w:val="006479E6"/>
    <w:rsid w:val="00647A8A"/>
    <w:rsid w:val="006505CA"/>
    <w:rsid w:val="006508C8"/>
    <w:rsid w:val="00652B55"/>
    <w:rsid w:val="00652B90"/>
    <w:rsid w:val="006532CD"/>
    <w:rsid w:val="00655E98"/>
    <w:rsid w:val="00656E6F"/>
    <w:rsid w:val="006572A7"/>
    <w:rsid w:val="0065732D"/>
    <w:rsid w:val="00657DE9"/>
    <w:rsid w:val="00660854"/>
    <w:rsid w:val="00660894"/>
    <w:rsid w:val="00662250"/>
    <w:rsid w:val="00662354"/>
    <w:rsid w:val="00663252"/>
    <w:rsid w:val="00664447"/>
    <w:rsid w:val="006653A8"/>
    <w:rsid w:val="006658DB"/>
    <w:rsid w:val="00666EFE"/>
    <w:rsid w:val="00667DAA"/>
    <w:rsid w:val="00670B7E"/>
    <w:rsid w:val="006711F8"/>
    <w:rsid w:val="00671470"/>
    <w:rsid w:val="00673251"/>
    <w:rsid w:val="0067437C"/>
    <w:rsid w:val="006747E8"/>
    <w:rsid w:val="00675BAA"/>
    <w:rsid w:val="00676A0D"/>
    <w:rsid w:val="00676B4D"/>
    <w:rsid w:val="00677764"/>
    <w:rsid w:val="006805CB"/>
    <w:rsid w:val="006808D9"/>
    <w:rsid w:val="00680DE2"/>
    <w:rsid w:val="0068120F"/>
    <w:rsid w:val="00681376"/>
    <w:rsid w:val="00681F64"/>
    <w:rsid w:val="00685B98"/>
    <w:rsid w:val="00685F6D"/>
    <w:rsid w:val="00686540"/>
    <w:rsid w:val="00690623"/>
    <w:rsid w:val="006914D7"/>
    <w:rsid w:val="0069270B"/>
    <w:rsid w:val="0069305D"/>
    <w:rsid w:val="006941AB"/>
    <w:rsid w:val="0069459D"/>
    <w:rsid w:val="006952FF"/>
    <w:rsid w:val="006A1410"/>
    <w:rsid w:val="006A2E27"/>
    <w:rsid w:val="006A3A69"/>
    <w:rsid w:val="006B052F"/>
    <w:rsid w:val="006B0625"/>
    <w:rsid w:val="006B0B8E"/>
    <w:rsid w:val="006B1BD1"/>
    <w:rsid w:val="006B201C"/>
    <w:rsid w:val="006B2F15"/>
    <w:rsid w:val="006B3DC6"/>
    <w:rsid w:val="006B491F"/>
    <w:rsid w:val="006B7EE7"/>
    <w:rsid w:val="006C0251"/>
    <w:rsid w:val="006C3046"/>
    <w:rsid w:val="006C3F7D"/>
    <w:rsid w:val="006C49E2"/>
    <w:rsid w:val="006C4D8F"/>
    <w:rsid w:val="006C6223"/>
    <w:rsid w:val="006C662B"/>
    <w:rsid w:val="006C6BFC"/>
    <w:rsid w:val="006C6EF7"/>
    <w:rsid w:val="006C6F46"/>
    <w:rsid w:val="006D03F4"/>
    <w:rsid w:val="006D0B1A"/>
    <w:rsid w:val="006D2EBA"/>
    <w:rsid w:val="006D42EF"/>
    <w:rsid w:val="006D5447"/>
    <w:rsid w:val="006D5CA0"/>
    <w:rsid w:val="006D6BEA"/>
    <w:rsid w:val="006E2CB7"/>
    <w:rsid w:val="006E389A"/>
    <w:rsid w:val="006E4BA6"/>
    <w:rsid w:val="006F2050"/>
    <w:rsid w:val="006F224B"/>
    <w:rsid w:val="006F35DD"/>
    <w:rsid w:val="006F4B12"/>
    <w:rsid w:val="006F524A"/>
    <w:rsid w:val="006F610F"/>
    <w:rsid w:val="0070056F"/>
    <w:rsid w:val="00700E05"/>
    <w:rsid w:val="0070210A"/>
    <w:rsid w:val="00704252"/>
    <w:rsid w:val="00704CD9"/>
    <w:rsid w:val="00710A25"/>
    <w:rsid w:val="00711227"/>
    <w:rsid w:val="00711FC2"/>
    <w:rsid w:val="00714145"/>
    <w:rsid w:val="00716097"/>
    <w:rsid w:val="00716B6E"/>
    <w:rsid w:val="00716D25"/>
    <w:rsid w:val="00721E9A"/>
    <w:rsid w:val="007233A3"/>
    <w:rsid w:val="00723DD3"/>
    <w:rsid w:val="00724538"/>
    <w:rsid w:val="0072456A"/>
    <w:rsid w:val="00727BDA"/>
    <w:rsid w:val="0073089A"/>
    <w:rsid w:val="0073188C"/>
    <w:rsid w:val="00731F08"/>
    <w:rsid w:val="007329C2"/>
    <w:rsid w:val="00735667"/>
    <w:rsid w:val="00735DC7"/>
    <w:rsid w:val="007367D0"/>
    <w:rsid w:val="0073794C"/>
    <w:rsid w:val="00737E16"/>
    <w:rsid w:val="00740C22"/>
    <w:rsid w:val="00741933"/>
    <w:rsid w:val="00742860"/>
    <w:rsid w:val="007448E4"/>
    <w:rsid w:val="00744E0E"/>
    <w:rsid w:val="00745361"/>
    <w:rsid w:val="00747F3F"/>
    <w:rsid w:val="00750E92"/>
    <w:rsid w:val="007510AD"/>
    <w:rsid w:val="007516C7"/>
    <w:rsid w:val="007518A2"/>
    <w:rsid w:val="00752624"/>
    <w:rsid w:val="0075453B"/>
    <w:rsid w:val="00755A0D"/>
    <w:rsid w:val="007560D6"/>
    <w:rsid w:val="0076287F"/>
    <w:rsid w:val="0076296D"/>
    <w:rsid w:val="00762ACE"/>
    <w:rsid w:val="007630AE"/>
    <w:rsid w:val="00765240"/>
    <w:rsid w:val="0076586A"/>
    <w:rsid w:val="00765AFC"/>
    <w:rsid w:val="00767667"/>
    <w:rsid w:val="00767BBD"/>
    <w:rsid w:val="007706B6"/>
    <w:rsid w:val="007708B1"/>
    <w:rsid w:val="00770BE2"/>
    <w:rsid w:val="00770EC3"/>
    <w:rsid w:val="00771D96"/>
    <w:rsid w:val="00772BAB"/>
    <w:rsid w:val="00773B2C"/>
    <w:rsid w:val="00773D9A"/>
    <w:rsid w:val="00775A1D"/>
    <w:rsid w:val="007770FA"/>
    <w:rsid w:val="007808B3"/>
    <w:rsid w:val="007817E2"/>
    <w:rsid w:val="00782132"/>
    <w:rsid w:val="00782326"/>
    <w:rsid w:val="00782423"/>
    <w:rsid w:val="00782CBF"/>
    <w:rsid w:val="007837F3"/>
    <w:rsid w:val="00783893"/>
    <w:rsid w:val="007842A3"/>
    <w:rsid w:val="00785DF1"/>
    <w:rsid w:val="00786BC0"/>
    <w:rsid w:val="00786D75"/>
    <w:rsid w:val="007871EF"/>
    <w:rsid w:val="00787B20"/>
    <w:rsid w:val="007919CE"/>
    <w:rsid w:val="00791B94"/>
    <w:rsid w:val="00791E86"/>
    <w:rsid w:val="007924B1"/>
    <w:rsid w:val="007925B1"/>
    <w:rsid w:val="00792816"/>
    <w:rsid w:val="00793E29"/>
    <w:rsid w:val="00794CBC"/>
    <w:rsid w:val="007954EF"/>
    <w:rsid w:val="0079624A"/>
    <w:rsid w:val="00796DCB"/>
    <w:rsid w:val="007A1CC5"/>
    <w:rsid w:val="007A347B"/>
    <w:rsid w:val="007A4380"/>
    <w:rsid w:val="007A584D"/>
    <w:rsid w:val="007A60C0"/>
    <w:rsid w:val="007A6848"/>
    <w:rsid w:val="007A6D43"/>
    <w:rsid w:val="007A7F33"/>
    <w:rsid w:val="007B0189"/>
    <w:rsid w:val="007B0418"/>
    <w:rsid w:val="007B300D"/>
    <w:rsid w:val="007B319F"/>
    <w:rsid w:val="007B33A8"/>
    <w:rsid w:val="007B3944"/>
    <w:rsid w:val="007B46C4"/>
    <w:rsid w:val="007B5D52"/>
    <w:rsid w:val="007B6375"/>
    <w:rsid w:val="007B7980"/>
    <w:rsid w:val="007B7E49"/>
    <w:rsid w:val="007C028D"/>
    <w:rsid w:val="007C1557"/>
    <w:rsid w:val="007C432C"/>
    <w:rsid w:val="007C64F2"/>
    <w:rsid w:val="007C74EA"/>
    <w:rsid w:val="007C7FAB"/>
    <w:rsid w:val="007D023F"/>
    <w:rsid w:val="007D18E3"/>
    <w:rsid w:val="007D1CF1"/>
    <w:rsid w:val="007D4DA3"/>
    <w:rsid w:val="007D6628"/>
    <w:rsid w:val="007E0399"/>
    <w:rsid w:val="007E0AA9"/>
    <w:rsid w:val="007E3AED"/>
    <w:rsid w:val="007E3EC8"/>
    <w:rsid w:val="007E4060"/>
    <w:rsid w:val="007E44E9"/>
    <w:rsid w:val="007E47D8"/>
    <w:rsid w:val="007E47F9"/>
    <w:rsid w:val="007E482B"/>
    <w:rsid w:val="007E6198"/>
    <w:rsid w:val="007E76AC"/>
    <w:rsid w:val="007F07E3"/>
    <w:rsid w:val="007F0845"/>
    <w:rsid w:val="007F3FC9"/>
    <w:rsid w:val="0080069C"/>
    <w:rsid w:val="0080212A"/>
    <w:rsid w:val="00802705"/>
    <w:rsid w:val="008061E2"/>
    <w:rsid w:val="00806FA3"/>
    <w:rsid w:val="00807A3F"/>
    <w:rsid w:val="0081015B"/>
    <w:rsid w:val="00810431"/>
    <w:rsid w:val="00810F4D"/>
    <w:rsid w:val="0081203B"/>
    <w:rsid w:val="00815AB4"/>
    <w:rsid w:val="00816399"/>
    <w:rsid w:val="008169DA"/>
    <w:rsid w:val="00816B62"/>
    <w:rsid w:val="00816E08"/>
    <w:rsid w:val="0082078D"/>
    <w:rsid w:val="008213BB"/>
    <w:rsid w:val="00821FCB"/>
    <w:rsid w:val="00822AC8"/>
    <w:rsid w:val="008244DC"/>
    <w:rsid w:val="00827D3A"/>
    <w:rsid w:val="00831DE3"/>
    <w:rsid w:val="00832303"/>
    <w:rsid w:val="0083281E"/>
    <w:rsid w:val="00832E0D"/>
    <w:rsid w:val="008354A9"/>
    <w:rsid w:val="00840090"/>
    <w:rsid w:val="00840338"/>
    <w:rsid w:val="00840884"/>
    <w:rsid w:val="00842379"/>
    <w:rsid w:val="008435D1"/>
    <w:rsid w:val="008452F0"/>
    <w:rsid w:val="00845D7E"/>
    <w:rsid w:val="008472EB"/>
    <w:rsid w:val="00847324"/>
    <w:rsid w:val="00847336"/>
    <w:rsid w:val="00847594"/>
    <w:rsid w:val="00847825"/>
    <w:rsid w:val="00847AD7"/>
    <w:rsid w:val="0085231D"/>
    <w:rsid w:val="008527DB"/>
    <w:rsid w:val="00855DA9"/>
    <w:rsid w:val="008562DB"/>
    <w:rsid w:val="008568B7"/>
    <w:rsid w:val="00856CA8"/>
    <w:rsid w:val="00860A71"/>
    <w:rsid w:val="00860CE9"/>
    <w:rsid w:val="00860EF1"/>
    <w:rsid w:val="00861761"/>
    <w:rsid w:val="008625A2"/>
    <w:rsid w:val="00864758"/>
    <w:rsid w:val="008659B1"/>
    <w:rsid w:val="0086660A"/>
    <w:rsid w:val="00867AD0"/>
    <w:rsid w:val="00871DFA"/>
    <w:rsid w:val="0087552C"/>
    <w:rsid w:val="008762C6"/>
    <w:rsid w:val="0087639A"/>
    <w:rsid w:val="008764BD"/>
    <w:rsid w:val="0087664B"/>
    <w:rsid w:val="00877249"/>
    <w:rsid w:val="00880925"/>
    <w:rsid w:val="00880EA6"/>
    <w:rsid w:val="00882BE2"/>
    <w:rsid w:val="008840F1"/>
    <w:rsid w:val="00884ED1"/>
    <w:rsid w:val="00884FFE"/>
    <w:rsid w:val="00885AC2"/>
    <w:rsid w:val="008863AC"/>
    <w:rsid w:val="0088736D"/>
    <w:rsid w:val="00890105"/>
    <w:rsid w:val="00892300"/>
    <w:rsid w:val="008933B1"/>
    <w:rsid w:val="00893750"/>
    <w:rsid w:val="0089537C"/>
    <w:rsid w:val="00896BF6"/>
    <w:rsid w:val="0089780E"/>
    <w:rsid w:val="008A13DA"/>
    <w:rsid w:val="008A1A6F"/>
    <w:rsid w:val="008A3935"/>
    <w:rsid w:val="008A4F71"/>
    <w:rsid w:val="008A6484"/>
    <w:rsid w:val="008A6BE2"/>
    <w:rsid w:val="008B0665"/>
    <w:rsid w:val="008B08F8"/>
    <w:rsid w:val="008B5258"/>
    <w:rsid w:val="008B5486"/>
    <w:rsid w:val="008B55FC"/>
    <w:rsid w:val="008C2F19"/>
    <w:rsid w:val="008C318B"/>
    <w:rsid w:val="008C37A3"/>
    <w:rsid w:val="008C3CCB"/>
    <w:rsid w:val="008D07B1"/>
    <w:rsid w:val="008D198C"/>
    <w:rsid w:val="008D1DF5"/>
    <w:rsid w:val="008D252D"/>
    <w:rsid w:val="008D3481"/>
    <w:rsid w:val="008E024E"/>
    <w:rsid w:val="008E06E3"/>
    <w:rsid w:val="008E0783"/>
    <w:rsid w:val="008E0A1B"/>
    <w:rsid w:val="008E368A"/>
    <w:rsid w:val="008E3A9D"/>
    <w:rsid w:val="008E44A6"/>
    <w:rsid w:val="008F07F7"/>
    <w:rsid w:val="008F1571"/>
    <w:rsid w:val="008F22F5"/>
    <w:rsid w:val="008F246E"/>
    <w:rsid w:val="008F2888"/>
    <w:rsid w:val="008F47F9"/>
    <w:rsid w:val="008F5785"/>
    <w:rsid w:val="008F59B7"/>
    <w:rsid w:val="008F728E"/>
    <w:rsid w:val="008F7638"/>
    <w:rsid w:val="0090124F"/>
    <w:rsid w:val="00901508"/>
    <w:rsid w:val="0090157A"/>
    <w:rsid w:val="00904BF7"/>
    <w:rsid w:val="00904E93"/>
    <w:rsid w:val="009057FA"/>
    <w:rsid w:val="0090600C"/>
    <w:rsid w:val="00907029"/>
    <w:rsid w:val="00913956"/>
    <w:rsid w:val="00914B4E"/>
    <w:rsid w:val="009158F0"/>
    <w:rsid w:val="00915B74"/>
    <w:rsid w:val="00916971"/>
    <w:rsid w:val="009175D1"/>
    <w:rsid w:val="00917C36"/>
    <w:rsid w:val="00917EAB"/>
    <w:rsid w:val="009202A5"/>
    <w:rsid w:val="00920D5B"/>
    <w:rsid w:val="009219ED"/>
    <w:rsid w:val="00921C6D"/>
    <w:rsid w:val="00922760"/>
    <w:rsid w:val="009237BE"/>
    <w:rsid w:val="0092396B"/>
    <w:rsid w:val="00925F4F"/>
    <w:rsid w:val="00927825"/>
    <w:rsid w:val="00933031"/>
    <w:rsid w:val="0093420B"/>
    <w:rsid w:val="00934BFE"/>
    <w:rsid w:val="00935219"/>
    <w:rsid w:val="009366D8"/>
    <w:rsid w:val="009368D8"/>
    <w:rsid w:val="00937735"/>
    <w:rsid w:val="00940D7F"/>
    <w:rsid w:val="00940F15"/>
    <w:rsid w:val="00943811"/>
    <w:rsid w:val="00944058"/>
    <w:rsid w:val="0094579C"/>
    <w:rsid w:val="00946694"/>
    <w:rsid w:val="00946C61"/>
    <w:rsid w:val="009474F8"/>
    <w:rsid w:val="00951336"/>
    <w:rsid w:val="00951977"/>
    <w:rsid w:val="0095274B"/>
    <w:rsid w:val="00953CE3"/>
    <w:rsid w:val="00956DBD"/>
    <w:rsid w:val="00961681"/>
    <w:rsid w:val="009616E3"/>
    <w:rsid w:val="009623AA"/>
    <w:rsid w:val="00963779"/>
    <w:rsid w:val="00964E7D"/>
    <w:rsid w:val="00964F0B"/>
    <w:rsid w:val="00965F73"/>
    <w:rsid w:val="00970840"/>
    <w:rsid w:val="00970971"/>
    <w:rsid w:val="00970EB2"/>
    <w:rsid w:val="00970F9F"/>
    <w:rsid w:val="009712A8"/>
    <w:rsid w:val="0097137A"/>
    <w:rsid w:val="00973165"/>
    <w:rsid w:val="009732F4"/>
    <w:rsid w:val="00975734"/>
    <w:rsid w:val="00980A64"/>
    <w:rsid w:val="0098296D"/>
    <w:rsid w:val="00983062"/>
    <w:rsid w:val="009838F4"/>
    <w:rsid w:val="00984217"/>
    <w:rsid w:val="009842FC"/>
    <w:rsid w:val="0098596E"/>
    <w:rsid w:val="00986710"/>
    <w:rsid w:val="00990167"/>
    <w:rsid w:val="009905F7"/>
    <w:rsid w:val="00990629"/>
    <w:rsid w:val="009922DC"/>
    <w:rsid w:val="009934D4"/>
    <w:rsid w:val="00993A93"/>
    <w:rsid w:val="00994612"/>
    <w:rsid w:val="009947B5"/>
    <w:rsid w:val="009951A0"/>
    <w:rsid w:val="00995976"/>
    <w:rsid w:val="009978C2"/>
    <w:rsid w:val="009A087C"/>
    <w:rsid w:val="009A0935"/>
    <w:rsid w:val="009A10F6"/>
    <w:rsid w:val="009A2379"/>
    <w:rsid w:val="009A2412"/>
    <w:rsid w:val="009A3EE5"/>
    <w:rsid w:val="009A4465"/>
    <w:rsid w:val="009A5030"/>
    <w:rsid w:val="009A51F9"/>
    <w:rsid w:val="009A6A14"/>
    <w:rsid w:val="009A7888"/>
    <w:rsid w:val="009B07B5"/>
    <w:rsid w:val="009B5AF8"/>
    <w:rsid w:val="009B7280"/>
    <w:rsid w:val="009C041F"/>
    <w:rsid w:val="009C0EF7"/>
    <w:rsid w:val="009C1056"/>
    <w:rsid w:val="009C117D"/>
    <w:rsid w:val="009C2101"/>
    <w:rsid w:val="009C4810"/>
    <w:rsid w:val="009D0209"/>
    <w:rsid w:val="009D254B"/>
    <w:rsid w:val="009D2BCB"/>
    <w:rsid w:val="009D3F6E"/>
    <w:rsid w:val="009D4316"/>
    <w:rsid w:val="009D4E8B"/>
    <w:rsid w:val="009D5584"/>
    <w:rsid w:val="009D681F"/>
    <w:rsid w:val="009D7A27"/>
    <w:rsid w:val="009E19C8"/>
    <w:rsid w:val="009E2773"/>
    <w:rsid w:val="009E2F35"/>
    <w:rsid w:val="009E36E7"/>
    <w:rsid w:val="009E3F12"/>
    <w:rsid w:val="009E74E2"/>
    <w:rsid w:val="009F0403"/>
    <w:rsid w:val="009F16B4"/>
    <w:rsid w:val="009F21F9"/>
    <w:rsid w:val="009F43D6"/>
    <w:rsid w:val="009F4566"/>
    <w:rsid w:val="009F4EC2"/>
    <w:rsid w:val="009F5D8B"/>
    <w:rsid w:val="009F5E15"/>
    <w:rsid w:val="009F6915"/>
    <w:rsid w:val="009F72F5"/>
    <w:rsid w:val="00A02687"/>
    <w:rsid w:val="00A03052"/>
    <w:rsid w:val="00A05335"/>
    <w:rsid w:val="00A0594F"/>
    <w:rsid w:val="00A0598A"/>
    <w:rsid w:val="00A1104D"/>
    <w:rsid w:val="00A11C91"/>
    <w:rsid w:val="00A1230B"/>
    <w:rsid w:val="00A13AE9"/>
    <w:rsid w:val="00A1466C"/>
    <w:rsid w:val="00A17028"/>
    <w:rsid w:val="00A2108D"/>
    <w:rsid w:val="00A23F90"/>
    <w:rsid w:val="00A2662A"/>
    <w:rsid w:val="00A279C4"/>
    <w:rsid w:val="00A30A30"/>
    <w:rsid w:val="00A30AC4"/>
    <w:rsid w:val="00A30AD2"/>
    <w:rsid w:val="00A3173F"/>
    <w:rsid w:val="00A3442B"/>
    <w:rsid w:val="00A3576F"/>
    <w:rsid w:val="00A35D10"/>
    <w:rsid w:val="00A36767"/>
    <w:rsid w:val="00A37AE5"/>
    <w:rsid w:val="00A403C9"/>
    <w:rsid w:val="00A41FC1"/>
    <w:rsid w:val="00A429A5"/>
    <w:rsid w:val="00A42BAD"/>
    <w:rsid w:val="00A43A3E"/>
    <w:rsid w:val="00A43E93"/>
    <w:rsid w:val="00A44F13"/>
    <w:rsid w:val="00A45762"/>
    <w:rsid w:val="00A4618B"/>
    <w:rsid w:val="00A47488"/>
    <w:rsid w:val="00A47AB3"/>
    <w:rsid w:val="00A47D90"/>
    <w:rsid w:val="00A502A4"/>
    <w:rsid w:val="00A5037A"/>
    <w:rsid w:val="00A50FE0"/>
    <w:rsid w:val="00A5133C"/>
    <w:rsid w:val="00A51514"/>
    <w:rsid w:val="00A520CD"/>
    <w:rsid w:val="00A52778"/>
    <w:rsid w:val="00A5616E"/>
    <w:rsid w:val="00A5644D"/>
    <w:rsid w:val="00A56F75"/>
    <w:rsid w:val="00A575A5"/>
    <w:rsid w:val="00A62F1C"/>
    <w:rsid w:val="00A63861"/>
    <w:rsid w:val="00A63D37"/>
    <w:rsid w:val="00A6416D"/>
    <w:rsid w:val="00A6452B"/>
    <w:rsid w:val="00A64CAA"/>
    <w:rsid w:val="00A65EDD"/>
    <w:rsid w:val="00A66D78"/>
    <w:rsid w:val="00A70516"/>
    <w:rsid w:val="00A70C81"/>
    <w:rsid w:val="00A73BA6"/>
    <w:rsid w:val="00A741D0"/>
    <w:rsid w:val="00A743AC"/>
    <w:rsid w:val="00A74731"/>
    <w:rsid w:val="00A74879"/>
    <w:rsid w:val="00A74E9E"/>
    <w:rsid w:val="00A76F4A"/>
    <w:rsid w:val="00A808CF"/>
    <w:rsid w:val="00A8256D"/>
    <w:rsid w:val="00A833AE"/>
    <w:rsid w:val="00A835EE"/>
    <w:rsid w:val="00A8410F"/>
    <w:rsid w:val="00A84A42"/>
    <w:rsid w:val="00A91A9F"/>
    <w:rsid w:val="00A929D5"/>
    <w:rsid w:val="00A92C94"/>
    <w:rsid w:val="00A947EA"/>
    <w:rsid w:val="00A94D7F"/>
    <w:rsid w:val="00A96C37"/>
    <w:rsid w:val="00AA38AE"/>
    <w:rsid w:val="00AA3B3B"/>
    <w:rsid w:val="00AA4A7F"/>
    <w:rsid w:val="00AA4C30"/>
    <w:rsid w:val="00AA6EAF"/>
    <w:rsid w:val="00AA7EAD"/>
    <w:rsid w:val="00AB0337"/>
    <w:rsid w:val="00AB1B65"/>
    <w:rsid w:val="00AB3AE9"/>
    <w:rsid w:val="00AB458A"/>
    <w:rsid w:val="00AB6E29"/>
    <w:rsid w:val="00AB7455"/>
    <w:rsid w:val="00AC1C87"/>
    <w:rsid w:val="00AC1FC0"/>
    <w:rsid w:val="00AC2A1C"/>
    <w:rsid w:val="00AC2BFC"/>
    <w:rsid w:val="00AC2E5F"/>
    <w:rsid w:val="00AC3A22"/>
    <w:rsid w:val="00AC3CB4"/>
    <w:rsid w:val="00AC41B2"/>
    <w:rsid w:val="00AC4EA5"/>
    <w:rsid w:val="00AC594C"/>
    <w:rsid w:val="00AC5F86"/>
    <w:rsid w:val="00AC6540"/>
    <w:rsid w:val="00AC6CD9"/>
    <w:rsid w:val="00AC7711"/>
    <w:rsid w:val="00AD0303"/>
    <w:rsid w:val="00AD0500"/>
    <w:rsid w:val="00AD2D47"/>
    <w:rsid w:val="00AD32E7"/>
    <w:rsid w:val="00AD36EA"/>
    <w:rsid w:val="00AD3784"/>
    <w:rsid w:val="00AD4972"/>
    <w:rsid w:val="00AD622A"/>
    <w:rsid w:val="00AE0426"/>
    <w:rsid w:val="00AE14E5"/>
    <w:rsid w:val="00AE2936"/>
    <w:rsid w:val="00AE3628"/>
    <w:rsid w:val="00AE4337"/>
    <w:rsid w:val="00AE4A53"/>
    <w:rsid w:val="00AE5513"/>
    <w:rsid w:val="00AE5597"/>
    <w:rsid w:val="00AE5790"/>
    <w:rsid w:val="00AE5794"/>
    <w:rsid w:val="00AE6A94"/>
    <w:rsid w:val="00AE71FE"/>
    <w:rsid w:val="00AE7E5D"/>
    <w:rsid w:val="00AF0262"/>
    <w:rsid w:val="00AF03F0"/>
    <w:rsid w:val="00AF0694"/>
    <w:rsid w:val="00AF1C52"/>
    <w:rsid w:val="00AF2EAA"/>
    <w:rsid w:val="00AF3A8B"/>
    <w:rsid w:val="00AF40E1"/>
    <w:rsid w:val="00AF4DF8"/>
    <w:rsid w:val="00AF4F78"/>
    <w:rsid w:val="00AF6440"/>
    <w:rsid w:val="00AF7A44"/>
    <w:rsid w:val="00B00757"/>
    <w:rsid w:val="00B04AB6"/>
    <w:rsid w:val="00B04D51"/>
    <w:rsid w:val="00B05190"/>
    <w:rsid w:val="00B055C6"/>
    <w:rsid w:val="00B05E2E"/>
    <w:rsid w:val="00B063AF"/>
    <w:rsid w:val="00B0768E"/>
    <w:rsid w:val="00B07F23"/>
    <w:rsid w:val="00B10D64"/>
    <w:rsid w:val="00B1196E"/>
    <w:rsid w:val="00B11CEE"/>
    <w:rsid w:val="00B124B0"/>
    <w:rsid w:val="00B12A29"/>
    <w:rsid w:val="00B1304A"/>
    <w:rsid w:val="00B136CF"/>
    <w:rsid w:val="00B13974"/>
    <w:rsid w:val="00B14BF6"/>
    <w:rsid w:val="00B14C27"/>
    <w:rsid w:val="00B15613"/>
    <w:rsid w:val="00B211F4"/>
    <w:rsid w:val="00B21366"/>
    <w:rsid w:val="00B21373"/>
    <w:rsid w:val="00B225BB"/>
    <w:rsid w:val="00B23874"/>
    <w:rsid w:val="00B23AB2"/>
    <w:rsid w:val="00B23DD1"/>
    <w:rsid w:val="00B25341"/>
    <w:rsid w:val="00B26A00"/>
    <w:rsid w:val="00B279B5"/>
    <w:rsid w:val="00B30655"/>
    <w:rsid w:val="00B30963"/>
    <w:rsid w:val="00B30D8F"/>
    <w:rsid w:val="00B32658"/>
    <w:rsid w:val="00B3277C"/>
    <w:rsid w:val="00B32BEB"/>
    <w:rsid w:val="00B33385"/>
    <w:rsid w:val="00B351D5"/>
    <w:rsid w:val="00B35D78"/>
    <w:rsid w:val="00B40D50"/>
    <w:rsid w:val="00B4125C"/>
    <w:rsid w:val="00B41388"/>
    <w:rsid w:val="00B4497E"/>
    <w:rsid w:val="00B44F49"/>
    <w:rsid w:val="00B4573C"/>
    <w:rsid w:val="00B473B4"/>
    <w:rsid w:val="00B47425"/>
    <w:rsid w:val="00B47934"/>
    <w:rsid w:val="00B515A5"/>
    <w:rsid w:val="00B51713"/>
    <w:rsid w:val="00B51DCD"/>
    <w:rsid w:val="00B52AAF"/>
    <w:rsid w:val="00B53F1C"/>
    <w:rsid w:val="00B54EED"/>
    <w:rsid w:val="00B5529D"/>
    <w:rsid w:val="00B56AF0"/>
    <w:rsid w:val="00B5765D"/>
    <w:rsid w:val="00B61ABA"/>
    <w:rsid w:val="00B62A40"/>
    <w:rsid w:val="00B62FBD"/>
    <w:rsid w:val="00B64419"/>
    <w:rsid w:val="00B6455C"/>
    <w:rsid w:val="00B660F3"/>
    <w:rsid w:val="00B66AF5"/>
    <w:rsid w:val="00B66D0E"/>
    <w:rsid w:val="00B67617"/>
    <w:rsid w:val="00B6773C"/>
    <w:rsid w:val="00B70C64"/>
    <w:rsid w:val="00B718A2"/>
    <w:rsid w:val="00B733D6"/>
    <w:rsid w:val="00B73BAD"/>
    <w:rsid w:val="00B77B4B"/>
    <w:rsid w:val="00B77F0F"/>
    <w:rsid w:val="00B8107D"/>
    <w:rsid w:val="00B83A1A"/>
    <w:rsid w:val="00B84DC0"/>
    <w:rsid w:val="00B85D48"/>
    <w:rsid w:val="00B875B2"/>
    <w:rsid w:val="00B9023A"/>
    <w:rsid w:val="00B90FE1"/>
    <w:rsid w:val="00B93FB7"/>
    <w:rsid w:val="00B946FE"/>
    <w:rsid w:val="00B94F74"/>
    <w:rsid w:val="00B95ED8"/>
    <w:rsid w:val="00B96E37"/>
    <w:rsid w:val="00BA07A9"/>
    <w:rsid w:val="00BA0951"/>
    <w:rsid w:val="00BA3269"/>
    <w:rsid w:val="00BA521E"/>
    <w:rsid w:val="00BA6519"/>
    <w:rsid w:val="00BA683B"/>
    <w:rsid w:val="00BA6E4D"/>
    <w:rsid w:val="00BA730C"/>
    <w:rsid w:val="00BB0D9A"/>
    <w:rsid w:val="00BB0DDF"/>
    <w:rsid w:val="00BB1DB5"/>
    <w:rsid w:val="00BB2244"/>
    <w:rsid w:val="00BB22C8"/>
    <w:rsid w:val="00BB35E8"/>
    <w:rsid w:val="00BB3AC3"/>
    <w:rsid w:val="00BB51E3"/>
    <w:rsid w:val="00BB54DC"/>
    <w:rsid w:val="00BB6BFF"/>
    <w:rsid w:val="00BB7805"/>
    <w:rsid w:val="00BC042B"/>
    <w:rsid w:val="00BC1140"/>
    <w:rsid w:val="00BC19B7"/>
    <w:rsid w:val="00BC255E"/>
    <w:rsid w:val="00BC3D04"/>
    <w:rsid w:val="00BD0145"/>
    <w:rsid w:val="00BD3618"/>
    <w:rsid w:val="00BD365A"/>
    <w:rsid w:val="00BD4D52"/>
    <w:rsid w:val="00BD71AE"/>
    <w:rsid w:val="00BE1A8D"/>
    <w:rsid w:val="00BE360D"/>
    <w:rsid w:val="00BE3820"/>
    <w:rsid w:val="00BE3ADB"/>
    <w:rsid w:val="00BE61B0"/>
    <w:rsid w:val="00BE7365"/>
    <w:rsid w:val="00BF05CE"/>
    <w:rsid w:val="00BF0AF5"/>
    <w:rsid w:val="00BF11B8"/>
    <w:rsid w:val="00BF4AED"/>
    <w:rsid w:val="00BF6C82"/>
    <w:rsid w:val="00C0149B"/>
    <w:rsid w:val="00C02273"/>
    <w:rsid w:val="00C034A0"/>
    <w:rsid w:val="00C04DB9"/>
    <w:rsid w:val="00C06B0B"/>
    <w:rsid w:val="00C06D30"/>
    <w:rsid w:val="00C075C7"/>
    <w:rsid w:val="00C0794F"/>
    <w:rsid w:val="00C07DDC"/>
    <w:rsid w:val="00C10B7A"/>
    <w:rsid w:val="00C122E8"/>
    <w:rsid w:val="00C14930"/>
    <w:rsid w:val="00C15046"/>
    <w:rsid w:val="00C209CB"/>
    <w:rsid w:val="00C21F6D"/>
    <w:rsid w:val="00C23ADE"/>
    <w:rsid w:val="00C24C26"/>
    <w:rsid w:val="00C251AC"/>
    <w:rsid w:val="00C253B1"/>
    <w:rsid w:val="00C25907"/>
    <w:rsid w:val="00C25CA9"/>
    <w:rsid w:val="00C2789F"/>
    <w:rsid w:val="00C3240E"/>
    <w:rsid w:val="00C337AA"/>
    <w:rsid w:val="00C35193"/>
    <w:rsid w:val="00C36E43"/>
    <w:rsid w:val="00C4063E"/>
    <w:rsid w:val="00C42E44"/>
    <w:rsid w:val="00C42F16"/>
    <w:rsid w:val="00C43F3C"/>
    <w:rsid w:val="00C503D1"/>
    <w:rsid w:val="00C5093B"/>
    <w:rsid w:val="00C50B99"/>
    <w:rsid w:val="00C526B6"/>
    <w:rsid w:val="00C5366B"/>
    <w:rsid w:val="00C5392D"/>
    <w:rsid w:val="00C54334"/>
    <w:rsid w:val="00C55FB1"/>
    <w:rsid w:val="00C562A0"/>
    <w:rsid w:val="00C6188C"/>
    <w:rsid w:val="00C63E89"/>
    <w:rsid w:val="00C65374"/>
    <w:rsid w:val="00C659E9"/>
    <w:rsid w:val="00C70EC3"/>
    <w:rsid w:val="00C70F82"/>
    <w:rsid w:val="00C738EB"/>
    <w:rsid w:val="00C73F20"/>
    <w:rsid w:val="00C804ED"/>
    <w:rsid w:val="00C818BC"/>
    <w:rsid w:val="00C81CC1"/>
    <w:rsid w:val="00C82F70"/>
    <w:rsid w:val="00C85DBD"/>
    <w:rsid w:val="00C85F7E"/>
    <w:rsid w:val="00C86E34"/>
    <w:rsid w:val="00C872F3"/>
    <w:rsid w:val="00C95B61"/>
    <w:rsid w:val="00C97989"/>
    <w:rsid w:val="00CA0830"/>
    <w:rsid w:val="00CA224C"/>
    <w:rsid w:val="00CA2946"/>
    <w:rsid w:val="00CA2F9D"/>
    <w:rsid w:val="00CA35C4"/>
    <w:rsid w:val="00CA3D13"/>
    <w:rsid w:val="00CA6D22"/>
    <w:rsid w:val="00CA717B"/>
    <w:rsid w:val="00CA7C54"/>
    <w:rsid w:val="00CA7E45"/>
    <w:rsid w:val="00CB06DC"/>
    <w:rsid w:val="00CB127F"/>
    <w:rsid w:val="00CB1C24"/>
    <w:rsid w:val="00CB36CB"/>
    <w:rsid w:val="00CB3EDE"/>
    <w:rsid w:val="00CB40B3"/>
    <w:rsid w:val="00CC0AD0"/>
    <w:rsid w:val="00CC190F"/>
    <w:rsid w:val="00CC2B4D"/>
    <w:rsid w:val="00CC33F9"/>
    <w:rsid w:val="00CC3B19"/>
    <w:rsid w:val="00CC6C26"/>
    <w:rsid w:val="00CD2DEB"/>
    <w:rsid w:val="00CD39CA"/>
    <w:rsid w:val="00CD3C65"/>
    <w:rsid w:val="00CD3D8A"/>
    <w:rsid w:val="00CD4A0F"/>
    <w:rsid w:val="00CD4B42"/>
    <w:rsid w:val="00CD6A55"/>
    <w:rsid w:val="00CD707E"/>
    <w:rsid w:val="00CE0274"/>
    <w:rsid w:val="00CE06A6"/>
    <w:rsid w:val="00CE2127"/>
    <w:rsid w:val="00CE2F5E"/>
    <w:rsid w:val="00CE31A3"/>
    <w:rsid w:val="00CE3699"/>
    <w:rsid w:val="00CE3818"/>
    <w:rsid w:val="00CE535A"/>
    <w:rsid w:val="00CF0BAE"/>
    <w:rsid w:val="00CF254A"/>
    <w:rsid w:val="00CF337D"/>
    <w:rsid w:val="00CF35A0"/>
    <w:rsid w:val="00CF47A8"/>
    <w:rsid w:val="00CF50AD"/>
    <w:rsid w:val="00D01BAB"/>
    <w:rsid w:val="00D01D8E"/>
    <w:rsid w:val="00D0337D"/>
    <w:rsid w:val="00D0384D"/>
    <w:rsid w:val="00D053E5"/>
    <w:rsid w:val="00D057E0"/>
    <w:rsid w:val="00D06E23"/>
    <w:rsid w:val="00D10A51"/>
    <w:rsid w:val="00D10BF5"/>
    <w:rsid w:val="00D1114A"/>
    <w:rsid w:val="00D14369"/>
    <w:rsid w:val="00D14E55"/>
    <w:rsid w:val="00D15452"/>
    <w:rsid w:val="00D159BC"/>
    <w:rsid w:val="00D17111"/>
    <w:rsid w:val="00D172CB"/>
    <w:rsid w:val="00D1774A"/>
    <w:rsid w:val="00D215B9"/>
    <w:rsid w:val="00D21661"/>
    <w:rsid w:val="00D21F3F"/>
    <w:rsid w:val="00D23336"/>
    <w:rsid w:val="00D246AA"/>
    <w:rsid w:val="00D251B5"/>
    <w:rsid w:val="00D254DE"/>
    <w:rsid w:val="00D258A0"/>
    <w:rsid w:val="00D264E1"/>
    <w:rsid w:val="00D32764"/>
    <w:rsid w:val="00D32BAF"/>
    <w:rsid w:val="00D34F98"/>
    <w:rsid w:val="00D365FA"/>
    <w:rsid w:val="00D3670F"/>
    <w:rsid w:val="00D37D7E"/>
    <w:rsid w:val="00D41637"/>
    <w:rsid w:val="00D41A25"/>
    <w:rsid w:val="00D42409"/>
    <w:rsid w:val="00D424BA"/>
    <w:rsid w:val="00D4576B"/>
    <w:rsid w:val="00D46364"/>
    <w:rsid w:val="00D50C52"/>
    <w:rsid w:val="00D50DA6"/>
    <w:rsid w:val="00D51219"/>
    <w:rsid w:val="00D5149F"/>
    <w:rsid w:val="00D52652"/>
    <w:rsid w:val="00D52C8D"/>
    <w:rsid w:val="00D55215"/>
    <w:rsid w:val="00D55341"/>
    <w:rsid w:val="00D55FD7"/>
    <w:rsid w:val="00D56656"/>
    <w:rsid w:val="00D60BA7"/>
    <w:rsid w:val="00D60D88"/>
    <w:rsid w:val="00D62D1D"/>
    <w:rsid w:val="00D62EDA"/>
    <w:rsid w:val="00D64D0E"/>
    <w:rsid w:val="00D66730"/>
    <w:rsid w:val="00D6679A"/>
    <w:rsid w:val="00D6710E"/>
    <w:rsid w:val="00D6781F"/>
    <w:rsid w:val="00D679E5"/>
    <w:rsid w:val="00D70B77"/>
    <w:rsid w:val="00D7122A"/>
    <w:rsid w:val="00D71924"/>
    <w:rsid w:val="00D71A32"/>
    <w:rsid w:val="00D74D56"/>
    <w:rsid w:val="00D756D6"/>
    <w:rsid w:val="00D75E6F"/>
    <w:rsid w:val="00D8003C"/>
    <w:rsid w:val="00D80408"/>
    <w:rsid w:val="00D805CA"/>
    <w:rsid w:val="00D80D62"/>
    <w:rsid w:val="00D813AC"/>
    <w:rsid w:val="00D81CD7"/>
    <w:rsid w:val="00D82CA7"/>
    <w:rsid w:val="00D82F4A"/>
    <w:rsid w:val="00D84DC4"/>
    <w:rsid w:val="00D86E43"/>
    <w:rsid w:val="00D91381"/>
    <w:rsid w:val="00D91E60"/>
    <w:rsid w:val="00D92397"/>
    <w:rsid w:val="00D93595"/>
    <w:rsid w:val="00D93718"/>
    <w:rsid w:val="00D948B3"/>
    <w:rsid w:val="00D95E5A"/>
    <w:rsid w:val="00D95FA6"/>
    <w:rsid w:val="00DA0165"/>
    <w:rsid w:val="00DA0A9B"/>
    <w:rsid w:val="00DA0C6C"/>
    <w:rsid w:val="00DA1630"/>
    <w:rsid w:val="00DA20DA"/>
    <w:rsid w:val="00DA2937"/>
    <w:rsid w:val="00DA4913"/>
    <w:rsid w:val="00DA4C17"/>
    <w:rsid w:val="00DA5F2E"/>
    <w:rsid w:val="00DA7E57"/>
    <w:rsid w:val="00DB2A61"/>
    <w:rsid w:val="00DB4E6A"/>
    <w:rsid w:val="00DC3323"/>
    <w:rsid w:val="00DC3593"/>
    <w:rsid w:val="00DC47F7"/>
    <w:rsid w:val="00DC4BE2"/>
    <w:rsid w:val="00DC5F44"/>
    <w:rsid w:val="00DC683F"/>
    <w:rsid w:val="00DC6ED8"/>
    <w:rsid w:val="00DC770E"/>
    <w:rsid w:val="00DD0D2B"/>
    <w:rsid w:val="00DD2278"/>
    <w:rsid w:val="00DD35FE"/>
    <w:rsid w:val="00DD6250"/>
    <w:rsid w:val="00DD6429"/>
    <w:rsid w:val="00DD6C2A"/>
    <w:rsid w:val="00DE02DE"/>
    <w:rsid w:val="00DE416B"/>
    <w:rsid w:val="00DE587E"/>
    <w:rsid w:val="00DE5BC9"/>
    <w:rsid w:val="00DE644F"/>
    <w:rsid w:val="00DE6A43"/>
    <w:rsid w:val="00DF0F59"/>
    <w:rsid w:val="00DF3EC0"/>
    <w:rsid w:val="00DF4055"/>
    <w:rsid w:val="00DF796D"/>
    <w:rsid w:val="00E03413"/>
    <w:rsid w:val="00E03AE1"/>
    <w:rsid w:val="00E04C9E"/>
    <w:rsid w:val="00E050CC"/>
    <w:rsid w:val="00E06064"/>
    <w:rsid w:val="00E118D9"/>
    <w:rsid w:val="00E12471"/>
    <w:rsid w:val="00E13328"/>
    <w:rsid w:val="00E13588"/>
    <w:rsid w:val="00E13F65"/>
    <w:rsid w:val="00E1599A"/>
    <w:rsid w:val="00E16E05"/>
    <w:rsid w:val="00E1735D"/>
    <w:rsid w:val="00E203D8"/>
    <w:rsid w:val="00E205FC"/>
    <w:rsid w:val="00E206C9"/>
    <w:rsid w:val="00E206E5"/>
    <w:rsid w:val="00E21DF6"/>
    <w:rsid w:val="00E2216F"/>
    <w:rsid w:val="00E235E1"/>
    <w:rsid w:val="00E2406A"/>
    <w:rsid w:val="00E24CD4"/>
    <w:rsid w:val="00E256B7"/>
    <w:rsid w:val="00E25C68"/>
    <w:rsid w:val="00E2691B"/>
    <w:rsid w:val="00E276DE"/>
    <w:rsid w:val="00E30943"/>
    <w:rsid w:val="00E32FEC"/>
    <w:rsid w:val="00E33AA7"/>
    <w:rsid w:val="00E3471B"/>
    <w:rsid w:val="00E34817"/>
    <w:rsid w:val="00E356B8"/>
    <w:rsid w:val="00E357B6"/>
    <w:rsid w:val="00E35D44"/>
    <w:rsid w:val="00E36C3D"/>
    <w:rsid w:val="00E36D3F"/>
    <w:rsid w:val="00E371DE"/>
    <w:rsid w:val="00E3735F"/>
    <w:rsid w:val="00E37E30"/>
    <w:rsid w:val="00E4007F"/>
    <w:rsid w:val="00E428AF"/>
    <w:rsid w:val="00E4349F"/>
    <w:rsid w:val="00E503E5"/>
    <w:rsid w:val="00E5269D"/>
    <w:rsid w:val="00E527CC"/>
    <w:rsid w:val="00E552EA"/>
    <w:rsid w:val="00E55949"/>
    <w:rsid w:val="00E569EB"/>
    <w:rsid w:val="00E57B4F"/>
    <w:rsid w:val="00E63906"/>
    <w:rsid w:val="00E63CF8"/>
    <w:rsid w:val="00E655BD"/>
    <w:rsid w:val="00E66243"/>
    <w:rsid w:val="00E66254"/>
    <w:rsid w:val="00E66A7B"/>
    <w:rsid w:val="00E71DF8"/>
    <w:rsid w:val="00E72456"/>
    <w:rsid w:val="00E72E69"/>
    <w:rsid w:val="00E733FB"/>
    <w:rsid w:val="00E73D7E"/>
    <w:rsid w:val="00E73E4C"/>
    <w:rsid w:val="00E745FB"/>
    <w:rsid w:val="00E74F1C"/>
    <w:rsid w:val="00E74F5B"/>
    <w:rsid w:val="00E7535B"/>
    <w:rsid w:val="00E75A67"/>
    <w:rsid w:val="00E75B22"/>
    <w:rsid w:val="00E76F81"/>
    <w:rsid w:val="00E82A6C"/>
    <w:rsid w:val="00E851DF"/>
    <w:rsid w:val="00E869E4"/>
    <w:rsid w:val="00E875CA"/>
    <w:rsid w:val="00E917E3"/>
    <w:rsid w:val="00E920CD"/>
    <w:rsid w:val="00E938C3"/>
    <w:rsid w:val="00E94234"/>
    <w:rsid w:val="00E9542B"/>
    <w:rsid w:val="00E97B41"/>
    <w:rsid w:val="00EA0334"/>
    <w:rsid w:val="00EA05A4"/>
    <w:rsid w:val="00EA0788"/>
    <w:rsid w:val="00EA4A89"/>
    <w:rsid w:val="00EA57B5"/>
    <w:rsid w:val="00EA75C9"/>
    <w:rsid w:val="00EB1223"/>
    <w:rsid w:val="00EB131C"/>
    <w:rsid w:val="00EB145D"/>
    <w:rsid w:val="00EB1F1F"/>
    <w:rsid w:val="00EB2602"/>
    <w:rsid w:val="00EB3F00"/>
    <w:rsid w:val="00EB479A"/>
    <w:rsid w:val="00EB52A3"/>
    <w:rsid w:val="00EB5C99"/>
    <w:rsid w:val="00EB67BC"/>
    <w:rsid w:val="00EB6BCF"/>
    <w:rsid w:val="00EC10D7"/>
    <w:rsid w:val="00EC2749"/>
    <w:rsid w:val="00EC2FA4"/>
    <w:rsid w:val="00EC3E6C"/>
    <w:rsid w:val="00EC6A4B"/>
    <w:rsid w:val="00EC7526"/>
    <w:rsid w:val="00ED00A2"/>
    <w:rsid w:val="00ED068F"/>
    <w:rsid w:val="00ED0EFE"/>
    <w:rsid w:val="00ED234F"/>
    <w:rsid w:val="00ED4869"/>
    <w:rsid w:val="00ED56E7"/>
    <w:rsid w:val="00ED5B9E"/>
    <w:rsid w:val="00ED7F72"/>
    <w:rsid w:val="00ED7FA0"/>
    <w:rsid w:val="00EE2EDF"/>
    <w:rsid w:val="00EE382C"/>
    <w:rsid w:val="00EE49D2"/>
    <w:rsid w:val="00EE4ABC"/>
    <w:rsid w:val="00EE6412"/>
    <w:rsid w:val="00EF0DFC"/>
    <w:rsid w:val="00EF3ECA"/>
    <w:rsid w:val="00EF64E7"/>
    <w:rsid w:val="00EF76ED"/>
    <w:rsid w:val="00EF79FE"/>
    <w:rsid w:val="00F00BF9"/>
    <w:rsid w:val="00F0145E"/>
    <w:rsid w:val="00F0175B"/>
    <w:rsid w:val="00F02599"/>
    <w:rsid w:val="00F0355E"/>
    <w:rsid w:val="00F03769"/>
    <w:rsid w:val="00F0679D"/>
    <w:rsid w:val="00F06C19"/>
    <w:rsid w:val="00F07632"/>
    <w:rsid w:val="00F10050"/>
    <w:rsid w:val="00F1011E"/>
    <w:rsid w:val="00F11252"/>
    <w:rsid w:val="00F11AF8"/>
    <w:rsid w:val="00F122D2"/>
    <w:rsid w:val="00F14003"/>
    <w:rsid w:val="00F14515"/>
    <w:rsid w:val="00F146B8"/>
    <w:rsid w:val="00F20899"/>
    <w:rsid w:val="00F234B7"/>
    <w:rsid w:val="00F237CA"/>
    <w:rsid w:val="00F2431A"/>
    <w:rsid w:val="00F2477C"/>
    <w:rsid w:val="00F24B06"/>
    <w:rsid w:val="00F26861"/>
    <w:rsid w:val="00F30221"/>
    <w:rsid w:val="00F32B89"/>
    <w:rsid w:val="00F32DAE"/>
    <w:rsid w:val="00F345C2"/>
    <w:rsid w:val="00F34E6F"/>
    <w:rsid w:val="00F3742E"/>
    <w:rsid w:val="00F40569"/>
    <w:rsid w:val="00F41BED"/>
    <w:rsid w:val="00F44013"/>
    <w:rsid w:val="00F45FF7"/>
    <w:rsid w:val="00F47A23"/>
    <w:rsid w:val="00F47B5D"/>
    <w:rsid w:val="00F50ED5"/>
    <w:rsid w:val="00F530D6"/>
    <w:rsid w:val="00F5336D"/>
    <w:rsid w:val="00F5602D"/>
    <w:rsid w:val="00F61849"/>
    <w:rsid w:val="00F61BDF"/>
    <w:rsid w:val="00F62360"/>
    <w:rsid w:val="00F641CF"/>
    <w:rsid w:val="00F647CD"/>
    <w:rsid w:val="00F65ACE"/>
    <w:rsid w:val="00F72201"/>
    <w:rsid w:val="00F722F8"/>
    <w:rsid w:val="00F72489"/>
    <w:rsid w:val="00F7292D"/>
    <w:rsid w:val="00F73FC2"/>
    <w:rsid w:val="00F77EC8"/>
    <w:rsid w:val="00F823F5"/>
    <w:rsid w:val="00F832B9"/>
    <w:rsid w:val="00F85C32"/>
    <w:rsid w:val="00F85F90"/>
    <w:rsid w:val="00F87FD8"/>
    <w:rsid w:val="00F90637"/>
    <w:rsid w:val="00F917E5"/>
    <w:rsid w:val="00F919DA"/>
    <w:rsid w:val="00F922EE"/>
    <w:rsid w:val="00F929A6"/>
    <w:rsid w:val="00F961E7"/>
    <w:rsid w:val="00F96DD3"/>
    <w:rsid w:val="00F96E3A"/>
    <w:rsid w:val="00FA074A"/>
    <w:rsid w:val="00FA0DE4"/>
    <w:rsid w:val="00FA1C8F"/>
    <w:rsid w:val="00FA1E41"/>
    <w:rsid w:val="00FA27EB"/>
    <w:rsid w:val="00FA3A73"/>
    <w:rsid w:val="00FA4A5C"/>
    <w:rsid w:val="00FA6D21"/>
    <w:rsid w:val="00FB026F"/>
    <w:rsid w:val="00FB084D"/>
    <w:rsid w:val="00FB0EE4"/>
    <w:rsid w:val="00FB12CF"/>
    <w:rsid w:val="00FB2D0C"/>
    <w:rsid w:val="00FB3F24"/>
    <w:rsid w:val="00FB3F41"/>
    <w:rsid w:val="00FB6706"/>
    <w:rsid w:val="00FB6945"/>
    <w:rsid w:val="00FB763B"/>
    <w:rsid w:val="00FB7C7C"/>
    <w:rsid w:val="00FC0638"/>
    <w:rsid w:val="00FC21F5"/>
    <w:rsid w:val="00FC2940"/>
    <w:rsid w:val="00FC2EAA"/>
    <w:rsid w:val="00FC5E7D"/>
    <w:rsid w:val="00FC6B2F"/>
    <w:rsid w:val="00FC7023"/>
    <w:rsid w:val="00FC719A"/>
    <w:rsid w:val="00FD11F3"/>
    <w:rsid w:val="00FD263B"/>
    <w:rsid w:val="00FD2D7C"/>
    <w:rsid w:val="00FD6985"/>
    <w:rsid w:val="00FD7A76"/>
    <w:rsid w:val="00FE0076"/>
    <w:rsid w:val="00FE02A6"/>
    <w:rsid w:val="00FE3EF5"/>
    <w:rsid w:val="00FE5218"/>
    <w:rsid w:val="00FE5A78"/>
    <w:rsid w:val="00FE5ECC"/>
    <w:rsid w:val="00FE601B"/>
    <w:rsid w:val="00FE6926"/>
    <w:rsid w:val="00FE6B48"/>
    <w:rsid w:val="00FF0CD3"/>
    <w:rsid w:val="00FF25F7"/>
    <w:rsid w:val="00FF2AA8"/>
    <w:rsid w:val="00FF5227"/>
    <w:rsid w:val="00FF7006"/>
    <w:rsid w:val="030000DC"/>
    <w:rsid w:val="04A3F549"/>
    <w:rsid w:val="05333986"/>
    <w:rsid w:val="09610878"/>
    <w:rsid w:val="0F3FA265"/>
    <w:rsid w:val="1953FEF5"/>
    <w:rsid w:val="1F82F811"/>
    <w:rsid w:val="23579F27"/>
    <w:rsid w:val="251370F6"/>
    <w:rsid w:val="28E2169E"/>
    <w:rsid w:val="2EDB1839"/>
    <w:rsid w:val="3325F4C3"/>
    <w:rsid w:val="3C162AF1"/>
    <w:rsid w:val="47B240F9"/>
    <w:rsid w:val="4B8EF7B2"/>
    <w:rsid w:val="50176481"/>
    <w:rsid w:val="532A924F"/>
    <w:rsid w:val="542AC687"/>
    <w:rsid w:val="56DF6A51"/>
    <w:rsid w:val="5789778B"/>
    <w:rsid w:val="69FF9CB0"/>
    <w:rsid w:val="6A5FB9FF"/>
    <w:rsid w:val="6C0ADE60"/>
    <w:rsid w:val="6D8BBBA9"/>
    <w:rsid w:val="72DC1317"/>
    <w:rsid w:val="743B0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4C9D2ABE-F79D-467E-95E5-C55AA01F616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unhideWhenUsed/>
    <w:rsid w:val="0089537C"/>
    <w:pPr>
      <w:spacing w:after="0" w:line="240" w:lineRule="auto"/>
    </w:pPr>
    <w:rPr>
      <w:sz w:val="20"/>
      <w:szCs w:val="20"/>
    </w:rPr>
  </w:style>
  <w:style w:type="character" w:customStyle="1" w:styleId="FootnoteTextChar">
    <w:name w:val="Footnote Text Char"/>
    <w:basedOn w:val="DefaultParagraphFont"/>
    <w:link w:val="FootnoteText"/>
    <w:uiPriority w:val="99"/>
    <w:rsid w:val="0089537C"/>
    <w:rPr>
      <w:sz w:val="20"/>
      <w:szCs w:val="20"/>
    </w:rPr>
  </w:style>
  <w:style w:type="character" w:styleId="FootnoteReference">
    <w:name w:val="footnote reference"/>
    <w:basedOn w:val="DefaultParagraphFont"/>
    <w:uiPriority w:val="99"/>
    <w:semiHidden/>
    <w:unhideWhenUsed/>
    <w:rsid w:val="0089537C"/>
    <w:rPr>
      <w:vertAlign w:val="superscript"/>
    </w:rPr>
  </w:style>
  <w:style w:type="paragraph" w:styleId="Revision">
    <w:name w:val="Revision"/>
    <w:hidden/>
    <w:uiPriority w:val="99"/>
    <w:semiHidden/>
    <w:rsid w:val="007954EF"/>
    <w:pPr>
      <w:spacing w:after="0" w:line="240" w:lineRule="auto"/>
    </w:pPr>
  </w:style>
  <w:style w:type="character" w:styleId="Mention">
    <w:name w:val="Mention"/>
    <w:basedOn w:val="DefaultParagraphFont"/>
    <w:uiPriority w:val="99"/>
    <w:unhideWhenUsed/>
    <w:rsid w:val="00C503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almac.org/publications/ADR_Deemed_Tool_Expansion_for_CPU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bec146-3512-4d38-aef5-c19abec7e287" xsi:nil="true"/>
    <lcf76f155ced4ddcb4097134ff3c332f xmlns="a4b74002-bcb3-4562-bbe5-7749ad956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DFF23-06B5-4B23-9D4F-081E4BE7ADBC}">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D0DF58BB-BB7C-43D6-9298-71878BA26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37bec146-3512-4d38-aef5-c19abec7e287"/>
    <ds:schemaRef ds:uri="a4b74002-bcb3-4562-bbe5-7749ad956d9b"/>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4344</ap:Words>
  <ap:Characters>24764</ap:Characters>
  <ap:Application>Microsoft Office Word</ap:Application>
  <ap:DocSecurity>0</ap:DocSecurity>
  <ap:Lines>206</ap:Lines>
  <ap:Paragraphs>58</ap:Paragraphs>
  <ap:ScaleCrop>false</ap:ScaleCrop>
  <ap:Company/>
  <ap:LinksUpToDate>false</ap:LinksUpToDate>
  <ap:CharactersWithSpaces>29050</ap:CharactersWithSpaces>
  <ap:SharedDoc>false</ap:SharedDoc>
  <ap:HLinks>
    <vt:vector baseType="variant" size="30">
      <vt:variant>
        <vt:i4>6357072</vt:i4>
      </vt:variant>
      <vt:variant>
        <vt:i4>0</vt:i4>
      </vt:variant>
      <vt:variant>
        <vt:i4>0</vt:i4>
      </vt:variant>
      <vt:variant>
        <vt:i4>5</vt:i4>
      </vt:variant>
      <vt:variant>
        <vt:lpwstr>https://www.calmac.org/publications/ADR_Deemed_Tool_Expansion_for_CPUC.pdf</vt:lpwstr>
      </vt:variant>
      <vt:variant>
        <vt:lpwstr/>
      </vt:variant>
      <vt:variant>
        <vt:i4>4980862</vt:i4>
      </vt:variant>
      <vt:variant>
        <vt:i4>9</vt:i4>
      </vt:variant>
      <vt:variant>
        <vt:i4>0</vt:i4>
      </vt:variant>
      <vt:variant>
        <vt:i4>5</vt:i4>
      </vt:variant>
      <vt:variant>
        <vt:lpwstr>mailto:Maya.Benatar@cpuc.ca.gov</vt:lpwstr>
      </vt:variant>
      <vt:variant>
        <vt:lpwstr/>
      </vt:variant>
      <vt:variant>
        <vt:i4>8126541</vt:i4>
      </vt:variant>
      <vt:variant>
        <vt:i4>6</vt:i4>
      </vt:variant>
      <vt:variant>
        <vt:i4>0</vt:i4>
      </vt:variant>
      <vt:variant>
        <vt:i4>5</vt:i4>
      </vt:variant>
      <vt:variant>
        <vt:lpwstr>mailto:Maryam.Mozafari@cpuc.ca.gov</vt:lpwstr>
      </vt:variant>
      <vt:variant>
        <vt:lpwstr/>
      </vt:variant>
      <vt:variant>
        <vt:i4>8126541</vt:i4>
      </vt:variant>
      <vt:variant>
        <vt:i4>3</vt:i4>
      </vt:variant>
      <vt:variant>
        <vt:i4>0</vt:i4>
      </vt:variant>
      <vt:variant>
        <vt:i4>5</vt:i4>
      </vt:variant>
      <vt:variant>
        <vt:lpwstr>mailto:Maryam.Mozafari@cpuc.ca.gov</vt:lpwstr>
      </vt:variant>
      <vt:variant>
        <vt:lpwstr/>
      </vt:variant>
      <vt:variant>
        <vt:i4>8126541</vt:i4>
      </vt:variant>
      <vt:variant>
        <vt:i4>0</vt:i4>
      </vt:variant>
      <vt:variant>
        <vt:i4>0</vt:i4>
      </vt:variant>
      <vt:variant>
        <vt:i4>5</vt:i4>
      </vt:variant>
      <vt:variant>
        <vt:lpwstr>mailto:Maryam.Mozafari@cpuc.ca.gov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2026-06-01T11:40:14Z</dcterms:created>
  <dcterms:modified xsi:type="dcterms:W3CDTF">2026-06-01T11:40:14Z</dcterms:modified>
</cp:coreProperties>
</file>