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010E21" w:rsidP="006E265B" w:rsidRDefault="00010E21" w14:paraId="5931F288" w14:textId="28CAE8BF">
      <w:pPr>
        <w:jc w:val="center"/>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010E21" w:rsidP="00010E21" w:rsidRDefault="00010E21" w14:paraId="6C322E29" w14:textId="77777777">
      <w:pPr>
        <w:suppressAutoHyphens/>
        <w:rPr>
          <w:rFonts w:ascii="Palatino" w:hAnsi="Palatino" w:eastAsia="Times New Roman" w:cs="Times New Roman"/>
          <w:kern w:val="0"/>
          <w:sz w:val="26"/>
          <w:szCs w:val="20"/>
          <w14:ligatures w14:val="none"/>
        </w:rPr>
      </w:pPr>
    </w:p>
    <w:p w:rsidRPr="001942D0" w:rsidR="00010E21" w:rsidP="00010E21" w:rsidRDefault="00010E21" w14:paraId="5C21C42B" w14:textId="77777777">
      <w:pPr>
        <w:suppressAutoHyphens/>
        <w:rPr>
          <w:rFonts w:ascii="Palatino" w:hAnsi="Palatino" w:eastAsia="Times New Roman" w:cs="Times New Roman"/>
          <w:kern w:val="0"/>
          <w:sz w:val="26"/>
          <w:szCs w:val="20"/>
          <w14:ligatures w14:val="none"/>
        </w:rPr>
      </w:pPr>
    </w:p>
    <w:p w:rsidRPr="009502BE" w:rsidR="00010E21" w:rsidP="008A7483" w:rsidRDefault="0045722F" w14:paraId="166F8768" w14:textId="31457231">
      <w:pPr>
        <w:tabs>
          <w:tab w:val="right" w:pos="8820"/>
        </w:tabs>
        <w:jc w:val="right"/>
        <w:rPr>
          <w:rFonts w:ascii="Palatino Linotype" w:hAnsi="Palatino Linotype" w:eastAsia="Times New Roman" w:cs="Times New Roman"/>
          <w:b/>
          <w:bCs/>
          <w:kern w:val="0"/>
          <w14:ligatures w14:val="none"/>
        </w:rPr>
      </w:pPr>
      <w:r w:rsidRPr="00347F4F">
        <w:rPr>
          <w:b/>
          <w:bCs/>
        </w:rPr>
        <w:t>Agenda ID # 241</w:t>
      </w:r>
      <w:r>
        <w:rPr>
          <w:b/>
          <w:bCs/>
        </w:rPr>
        <w:t>86</w:t>
      </w:r>
      <w:r w:rsidRPr="00347F4F">
        <w:rPr>
          <w:b/>
          <w:bCs/>
        </w:rPr>
        <w:t> (Rev.1)</w:t>
      </w:r>
      <w:r w:rsidRPr="00347F4F">
        <w:t> </w:t>
      </w:r>
      <w:r w:rsidRPr="001942D0" w:rsidR="00010E21">
        <w:rPr>
          <w:rFonts w:ascii="Palatino Linotype" w:hAnsi="Palatino Linotype" w:eastAsia="Times New Roman" w:cs="Times New Roman"/>
          <w:b/>
          <w:kern w:val="0"/>
          <w14:ligatures w14:val="none"/>
        </w:rPr>
        <w:tab/>
      </w:r>
      <w:r>
        <w:rPr>
          <w:rFonts w:ascii="Palatino Linotype" w:hAnsi="Palatino Linotype" w:eastAsia="Times New Roman" w:cs="Times New Roman"/>
          <w:b/>
          <w:kern w:val="0"/>
          <w14:ligatures w14:val="none"/>
        </w:rPr>
        <w:t xml:space="preserve"> RESOLUTION T-17919</w:t>
      </w:r>
      <w:r w:rsidRPr="00010E21" w:rsidR="00010E21">
        <w:rPr>
          <w:rFonts w:ascii="Palatino Linotype" w:hAnsi="Palatino Linotype" w:eastAsia="Times New Roman" w:cs="Times New Roman"/>
          <w:b/>
          <w:bCs/>
          <w:kern w:val="0"/>
          <w14:ligatures w14:val="none"/>
        </w:rPr>
        <w:t xml:space="preserve">  </w:t>
      </w:r>
    </w:p>
    <w:p w:rsidRPr="009502BE" w:rsidR="00010E21" w:rsidP="008A7483" w:rsidRDefault="00010E21" w14:paraId="4FAA55D4" w14:textId="2B4ACAA8">
      <w:pPr>
        <w:tabs>
          <w:tab w:val="right" w:pos="8820"/>
        </w:tabs>
        <w:jc w:val="right"/>
        <w:rPr>
          <w:rFonts w:ascii="Palatino Linotype" w:hAnsi="Palatino Linotype" w:eastAsia="Palatino Linotype" w:cs="Times New Roman"/>
          <w:b/>
          <w:kern w:val="0"/>
          <w14:ligatures w14:val="none"/>
        </w:rPr>
      </w:pPr>
      <w:r w:rsidRPr="009502BE">
        <w:rPr>
          <w:rFonts w:ascii="Palatino Linotype" w:hAnsi="Palatino Linotype" w:eastAsia="Palatino Linotype" w:cs="Times New Roman"/>
          <w:b/>
          <w:kern w:val="0"/>
          <w14:ligatures w14:val="none"/>
        </w:rPr>
        <w:t>COMMUNICATION</w:t>
      </w:r>
      <w:r w:rsidRPr="009502BE" w:rsidR="00732391">
        <w:rPr>
          <w:rFonts w:ascii="Palatino Linotype" w:hAnsi="Palatino Linotype" w:eastAsia="Palatino Linotype" w:cs="Times New Roman"/>
          <w:b/>
          <w:kern w:val="0"/>
          <w14:ligatures w14:val="none"/>
        </w:rPr>
        <w:t>S</w:t>
      </w:r>
      <w:r w:rsidRPr="009502BE">
        <w:rPr>
          <w:rFonts w:ascii="Palatino Linotype" w:hAnsi="Palatino Linotype" w:eastAsia="Palatino Linotype" w:cs="Times New Roman"/>
          <w:b/>
          <w:kern w:val="0"/>
          <w14:ligatures w14:val="none"/>
        </w:rPr>
        <w:t xml:space="preserve"> DIVISION</w:t>
      </w:r>
      <w:r w:rsidRPr="009502BE">
        <w:rPr>
          <w:rFonts w:ascii="Palatino Linotype" w:hAnsi="Palatino Linotype" w:eastAsia="Times New Roman" w:cs="Times New Roman"/>
          <w:b/>
          <w:kern w:val="0"/>
          <w14:ligatures w14:val="none"/>
        </w:rPr>
        <w:tab/>
      </w:r>
      <w:r w:rsidRPr="009502BE">
        <w:rPr>
          <w:rFonts w:ascii="Palatino Linotype" w:hAnsi="Palatino Linotype" w:eastAsia="Palatino Linotype" w:cs="Times New Roman"/>
          <w:b/>
          <w:kern w:val="0"/>
          <w14:ligatures w14:val="none"/>
        </w:rPr>
        <w:t xml:space="preserve">       </w:t>
      </w:r>
      <w:r w:rsidR="0045722F">
        <w:rPr>
          <w:rFonts w:ascii="Palatino Linotype" w:hAnsi="Palatino Linotype" w:eastAsia="Palatino Linotype" w:cs="Times New Roman"/>
          <w:b/>
        </w:rPr>
        <w:t>June 11, 2026</w:t>
      </w:r>
    </w:p>
    <w:p w:rsidRPr="001942D0" w:rsidR="00010E21" w:rsidP="7E5E4676" w:rsidRDefault="0045722F" w14:paraId="54AB96EE" w14:textId="54F760B2">
      <w:pPr>
        <w:tabs>
          <w:tab w:val="right" w:pos="8820"/>
        </w:tabs>
        <w:ind w:left="5040"/>
        <w:jc w:val="right"/>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Item 54</w:t>
      </w:r>
    </w:p>
    <w:p w:rsidRPr="001942D0" w:rsidR="00010E21" w:rsidP="00010E21" w:rsidRDefault="00010E21" w14:paraId="55CA1E66" w14:textId="77777777">
      <w:pPr>
        <w:tabs>
          <w:tab w:val="right" w:pos="8910"/>
        </w:tabs>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214741" w:rsidP="00010E21" w:rsidRDefault="00214741" w14:paraId="3A8AD99E" w14:textId="77777777">
      <w:pPr>
        <w:tabs>
          <w:tab w:val="right" w:pos="8910"/>
        </w:tabs>
        <w:ind w:left="1440" w:firstLine="720"/>
        <w:rPr>
          <w:rFonts w:ascii="Palatino" w:hAnsi="Palatino" w:eastAsia="Times New Roman" w:cs="Times New Roman"/>
          <w:b/>
          <w:kern w:val="0"/>
          <w:szCs w:val="20"/>
          <w14:ligatures w14:val="none"/>
        </w:rPr>
      </w:pPr>
    </w:p>
    <w:p w:rsidRPr="001942D0" w:rsidR="00010E21" w:rsidP="00010E21" w:rsidRDefault="00010E21" w14:paraId="16BB5155" w14:textId="77777777">
      <w:pPr>
        <w:keepNext/>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010E21" w:rsidP="00010E21" w:rsidRDefault="00010E21" w14:paraId="2B2BEB25" w14:textId="77777777">
      <w:pPr>
        <w:rPr>
          <w:rFonts w:ascii="Palatino" w:hAnsi="Palatino" w:eastAsia="Palatino Linotype" w:cs="Times New Roman"/>
          <w:kern w:val="0"/>
          <w:sz w:val="26"/>
          <w:szCs w:val="20"/>
          <w14:ligatures w14:val="none"/>
        </w:rPr>
      </w:pPr>
    </w:p>
    <w:p w:rsidR="00B01882" w:rsidP="00B01882" w:rsidRDefault="00010E21" w14:paraId="4AD067E5" w14:textId="0C0F176A">
      <w:pPr>
        <w:ind w:left="720" w:right="72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Pr>
          <w:rFonts w:ascii="Palatino Linotype" w:hAnsi="Palatino Linotype" w:eastAsia="Times New Roman" w:cs="Times New Roman"/>
          <w:kern w:val="0"/>
          <w14:ligatures w14:val="none"/>
        </w:rPr>
        <w:t>T-</w:t>
      </w:r>
      <w:r w:rsidR="004E601E">
        <w:rPr>
          <w:rFonts w:ascii="Palatino Linotype" w:hAnsi="Palatino Linotype" w:eastAsia="Times New Roman" w:cs="Times New Roman"/>
          <w:kern w:val="0"/>
          <w14:ligatures w14:val="none"/>
        </w:rPr>
        <w:t>1791</w:t>
      </w:r>
      <w:r w:rsidR="00BE15FC">
        <w:rPr>
          <w:rFonts w:ascii="Palatino Linotype" w:hAnsi="Palatino Linotype" w:eastAsia="Times New Roman" w:cs="Times New Roman"/>
          <w:kern w:val="0"/>
          <w14:ligatures w14:val="none"/>
        </w:rPr>
        <w:t>9</w:t>
      </w:r>
      <w:r w:rsidR="00B01882">
        <w:rPr>
          <w:rFonts w:ascii="Palatino Linotype" w:hAnsi="Palatino Linotype" w:eastAsia="Times New Roman" w:cs="Times New Roman"/>
          <w:kern w:val="0"/>
          <w14:ligatures w14:val="none"/>
        </w:rPr>
        <w:t xml:space="preserve">: </w:t>
      </w:r>
      <w:r w:rsidRPr="00B01882" w:rsidR="00B01882">
        <w:rPr>
          <w:rFonts w:ascii="Palatino Linotype" w:hAnsi="Palatino Linotype" w:eastAsia="Times New Roman" w:cs="Times New Roman"/>
          <w:kern w:val="0"/>
          <w14:ligatures w14:val="none"/>
        </w:rPr>
        <w:t xml:space="preserve">California Advanced Services Fund </w:t>
      </w:r>
      <w:r w:rsidRPr="0098586B" w:rsidR="00B01882">
        <w:rPr>
          <w:rFonts w:ascii="Palatino Linotype" w:hAnsi="Palatino Linotype" w:eastAsia="Times New Roman" w:cs="Times New Roman"/>
          <w:kern w:val="0"/>
          <w14:ligatures w14:val="none"/>
        </w:rPr>
        <w:t xml:space="preserve">Rural and Urban Regional Broadband Consortia Grant Account </w:t>
      </w:r>
      <w:r w:rsidR="00BD2595">
        <w:rPr>
          <w:rFonts w:ascii="Palatino Linotype" w:hAnsi="Palatino Linotype" w:eastAsia="Times New Roman" w:cs="Times New Roman"/>
          <w:kern w:val="0"/>
          <w14:ligatures w14:val="none"/>
        </w:rPr>
        <w:t>December</w:t>
      </w:r>
      <w:r w:rsidRPr="00B01882" w:rsidR="00B01882">
        <w:rPr>
          <w:rFonts w:ascii="Palatino Linotype" w:hAnsi="Palatino Linotype" w:eastAsia="Times New Roman" w:cs="Times New Roman"/>
          <w:kern w:val="0"/>
          <w14:ligatures w14:val="none"/>
        </w:rPr>
        <w:t xml:space="preserve"> 202</w:t>
      </w:r>
      <w:r w:rsidR="00BD2595">
        <w:rPr>
          <w:rFonts w:ascii="Palatino Linotype" w:hAnsi="Palatino Linotype" w:eastAsia="Times New Roman" w:cs="Times New Roman"/>
          <w:kern w:val="0"/>
          <w14:ligatures w14:val="none"/>
        </w:rPr>
        <w:t>5</w:t>
      </w:r>
      <w:r w:rsidRPr="00B01882" w:rsidR="00B01882">
        <w:rPr>
          <w:rFonts w:ascii="Palatino Linotype" w:hAnsi="Palatino Linotype" w:eastAsia="Times New Roman" w:cs="Times New Roman"/>
          <w:kern w:val="0"/>
          <w14:ligatures w14:val="none"/>
        </w:rPr>
        <w:t xml:space="preserve"> application round grant approvals.</w:t>
      </w:r>
      <w:r w:rsidR="00584CD4">
        <w:rPr>
          <w:rFonts w:ascii="Palatino Linotype" w:hAnsi="Palatino Linotype" w:eastAsia="Times New Roman" w:cs="Times New Roman"/>
          <w:kern w:val="0"/>
          <w14:ligatures w14:val="none"/>
        </w:rPr>
        <w:t xml:space="preserve"> </w:t>
      </w:r>
      <w:r w:rsidR="00F10434">
        <w:rPr>
          <w:rFonts w:ascii="Palatino Linotype" w:hAnsi="Palatino Linotype" w:eastAsia="Times New Roman" w:cs="Times New Roman"/>
          <w:kern w:val="0"/>
          <w14:ligatures w14:val="none"/>
        </w:rPr>
        <w:t xml:space="preserve"> </w:t>
      </w:r>
    </w:p>
    <w:p w:rsidRPr="001942D0" w:rsidR="00010E21" w:rsidP="00010E21" w:rsidRDefault="00010E21" w14:paraId="4E32A434" w14:textId="77777777">
      <w:pPr>
        <w:ind w:left="720" w:right="720"/>
        <w:rPr>
          <w:rFonts w:ascii="Palatino Linotype" w:hAnsi="Palatino Linotype" w:eastAsia="Times New Roman" w:cs="Times New Roman"/>
          <w:kern w:val="0"/>
          <w14:ligatures w14:val="none"/>
        </w:rPr>
      </w:pPr>
    </w:p>
    <w:p w:rsidRPr="001942D0" w:rsidR="00010E21" w:rsidP="00010E21" w:rsidRDefault="00010E21" w14:paraId="6847C05C" w14:textId="77777777">
      <w:pPr>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004D1440" w:rsidP="00DB4B1D" w:rsidRDefault="00132EF1" w14:paraId="795F95B5" w14:textId="5113EF81">
      <w:pPr>
        <w:numPr>
          <w:ilvl w:val="0"/>
          <w:numId w:val="4"/>
        </w:numPr>
        <w:ind w:right="720"/>
        <w:rPr>
          <w:rFonts w:ascii="Palatino Linotype" w:hAnsi="Palatino Linotype" w:eastAsia="Times New Roman" w:cs="Times New Roman"/>
          <w:kern w:val="0"/>
          <w14:ligatures w14:val="none"/>
        </w:rPr>
      </w:pPr>
      <w:r w:rsidRPr="00132EF1">
        <w:rPr>
          <w:rFonts w:ascii="Palatino Linotype" w:hAnsi="Palatino Linotype" w:eastAsia="Times New Roman" w:cs="Times New Roman"/>
          <w:kern w:val="0"/>
          <w14:ligatures w14:val="none"/>
        </w:rPr>
        <w:t xml:space="preserve">This Resolution approves up to </w:t>
      </w:r>
      <w:r w:rsidRPr="00F42947">
        <w:rPr>
          <w:rFonts w:ascii="Palatino Linotype" w:hAnsi="Palatino Linotype" w:eastAsia="Times New Roman" w:cs="Times New Roman"/>
          <w:kern w:val="0"/>
          <w14:ligatures w14:val="none"/>
        </w:rPr>
        <w:t>$3,</w:t>
      </w:r>
      <w:r w:rsidRPr="00F42947" w:rsidR="00D36D09">
        <w:rPr>
          <w:rFonts w:ascii="Palatino Linotype" w:hAnsi="Palatino Linotype" w:eastAsia="Times New Roman" w:cs="Times New Roman"/>
          <w:kern w:val="0"/>
          <w14:ligatures w14:val="none"/>
        </w:rPr>
        <w:t>400,000.00</w:t>
      </w:r>
      <w:r w:rsidRPr="00132EF1">
        <w:rPr>
          <w:rFonts w:ascii="Palatino Linotype" w:hAnsi="Palatino Linotype" w:eastAsia="Times New Roman" w:cs="Times New Roman"/>
          <w:kern w:val="0"/>
          <w14:ligatures w14:val="none"/>
        </w:rPr>
        <w:t xml:space="preserve"> in funding from the California Advanced Services Fund (CASF) Rural and Urban Regional Broadband Consortia Grant Account (Consortia Account) for </w:t>
      </w:r>
      <w:r w:rsidR="003B5CF3">
        <w:rPr>
          <w:rFonts w:ascii="Palatino Linotype" w:hAnsi="Palatino Linotype" w:eastAsia="Times New Roman" w:cs="Times New Roman"/>
          <w:kern w:val="0"/>
          <w14:ligatures w14:val="none"/>
        </w:rPr>
        <w:t>six (6)</w:t>
      </w:r>
      <w:r w:rsidRPr="00132EF1">
        <w:rPr>
          <w:rFonts w:ascii="Palatino Linotype" w:hAnsi="Palatino Linotype" w:eastAsia="Times New Roman" w:cs="Times New Roman"/>
          <w:kern w:val="0"/>
          <w14:ligatures w14:val="none"/>
        </w:rPr>
        <w:t xml:space="preserve"> projects. </w:t>
      </w:r>
      <w:r w:rsidR="00B85845">
        <w:rPr>
          <w:rFonts w:ascii="Palatino Linotype" w:hAnsi="Palatino Linotype" w:eastAsia="Times New Roman" w:cs="Times New Roman"/>
          <w:kern w:val="0"/>
          <w14:ligatures w14:val="none"/>
        </w:rPr>
        <w:t>T</w:t>
      </w:r>
      <w:r w:rsidRPr="00132EF1">
        <w:rPr>
          <w:rFonts w:ascii="Palatino Linotype" w:hAnsi="Palatino Linotype" w:eastAsia="Times New Roman" w:cs="Times New Roman"/>
          <w:kern w:val="0"/>
          <w14:ligatures w14:val="none"/>
        </w:rPr>
        <w:t xml:space="preserve">hese projects will facilitate the deployment of broadband services by assisting CASF infrastructure grant applicants </w:t>
      </w:r>
      <w:r w:rsidR="00BF763D">
        <w:rPr>
          <w:rFonts w:ascii="Palatino Linotype" w:hAnsi="Palatino Linotype" w:eastAsia="Times New Roman" w:cs="Times New Roman"/>
          <w:kern w:val="0"/>
          <w14:ligatures w14:val="none"/>
        </w:rPr>
        <w:t xml:space="preserve">in the </w:t>
      </w:r>
      <w:r w:rsidRPr="00132EF1">
        <w:rPr>
          <w:rFonts w:ascii="Palatino Linotype" w:hAnsi="Palatino Linotype" w:eastAsia="Times New Roman" w:cs="Times New Roman"/>
          <w:kern w:val="0"/>
          <w14:ligatures w14:val="none"/>
        </w:rPr>
        <w:t xml:space="preserve">project development </w:t>
      </w:r>
      <w:r w:rsidR="00AA746D">
        <w:rPr>
          <w:rFonts w:ascii="Palatino Linotype" w:hAnsi="Palatino Linotype" w:eastAsia="Times New Roman" w:cs="Times New Roman"/>
          <w:kern w:val="0"/>
          <w14:ligatures w14:val="none"/>
        </w:rPr>
        <w:t xml:space="preserve">or </w:t>
      </w:r>
      <w:r w:rsidRPr="00132EF1">
        <w:rPr>
          <w:rFonts w:ascii="Palatino Linotype" w:hAnsi="Palatino Linotype" w:eastAsia="Times New Roman" w:cs="Times New Roman"/>
          <w:kern w:val="0"/>
          <w14:ligatures w14:val="none"/>
        </w:rPr>
        <w:t xml:space="preserve">grant application process, </w:t>
      </w:r>
      <w:r w:rsidR="003F0390">
        <w:rPr>
          <w:rFonts w:ascii="Palatino Linotype" w:hAnsi="Palatino Linotype" w:eastAsia="Times New Roman" w:cs="Times New Roman"/>
          <w:kern w:val="0"/>
          <w14:ligatures w14:val="none"/>
        </w:rPr>
        <w:t>or</w:t>
      </w:r>
      <w:r w:rsidRPr="00132EF1">
        <w:rPr>
          <w:rFonts w:ascii="Palatino Linotype" w:hAnsi="Palatino Linotype" w:eastAsia="Times New Roman" w:cs="Times New Roman"/>
          <w:kern w:val="0"/>
          <w14:ligatures w14:val="none"/>
        </w:rPr>
        <w:t xml:space="preserve"> assisting broadband deployment projects related to programs created under Senate Bill (SB) 156 and Assembly Bill (AB) 164</w:t>
      </w:r>
      <w:r w:rsidR="0003658E">
        <w:rPr>
          <w:rFonts w:ascii="Palatino Linotype" w:hAnsi="Palatino Linotype" w:eastAsia="Times New Roman" w:cs="Times New Roman"/>
          <w:kern w:val="0"/>
          <w14:ligatures w14:val="none"/>
        </w:rPr>
        <w:t>.</w:t>
      </w:r>
    </w:p>
    <w:p w:rsidRPr="001942D0" w:rsidR="00010E21" w:rsidP="00010E21" w:rsidRDefault="00010E21" w14:paraId="3C6D3089" w14:textId="77777777">
      <w:pPr>
        <w:rPr>
          <w:rFonts w:ascii="Palatino" w:hAnsi="Palatino" w:eastAsia="Palatino Linotype" w:cs="Times New Roman"/>
          <w:kern w:val="0"/>
          <w:sz w:val="26"/>
          <w:szCs w:val="20"/>
          <w14:ligatures w14:val="none"/>
        </w:rPr>
      </w:pPr>
    </w:p>
    <w:p w:rsidRPr="001942D0" w:rsidR="00010E21" w:rsidP="00010E21" w:rsidRDefault="00010E21" w14:paraId="43EBD8BA" w14:textId="77777777">
      <w:pPr>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1942D0" w:rsidR="00C551B8" w:rsidP="00C551B8" w:rsidRDefault="00BD4A3B" w14:paraId="4AA1467E" w14:textId="340352E4">
      <w:pPr>
        <w:numPr>
          <w:ilvl w:val="0"/>
          <w:numId w:val="3"/>
        </w:numPr>
        <w:ind w:right="720"/>
        <w:rPr>
          <w:rFonts w:ascii="Palatino Linotype" w:hAnsi="Palatino Linotype" w:eastAsia="Times New Roman" w:cs="Times New Roman"/>
          <w:kern w:val="0"/>
          <w14:ligatures w14:val="none"/>
        </w:rPr>
      </w:pPr>
      <w:r w:rsidRPr="009C0A91">
        <w:rPr>
          <w:rFonts w:ascii="Palatino Linotype" w:hAnsi="Palatino Linotype" w:eastAsia="Times New Roman" w:cs="Times New Roman"/>
          <w:kern w:val="0"/>
          <w14:ligatures w14:val="none"/>
        </w:rPr>
        <w:t xml:space="preserve">The CASF Consortia Account supports the deployment of broadband infrastructure essential for </w:t>
      </w:r>
      <w:r w:rsidRPr="00475718" w:rsidR="00C551B8">
        <w:rPr>
          <w:rFonts w:ascii="Palatino Linotype" w:hAnsi="Palatino Linotype" w:eastAsia="Times New Roman" w:cs="Times New Roman"/>
          <w:kern w:val="0"/>
          <w14:ligatures w14:val="none"/>
        </w:rPr>
        <w:t>the operation and management of critical infrastructure and public safety and emergency response networks. </w:t>
      </w:r>
    </w:p>
    <w:p w:rsidRPr="001942D0" w:rsidR="00273FA6" w:rsidP="00010E21" w:rsidRDefault="00273FA6" w14:paraId="4AB36EAC" w14:textId="77777777">
      <w:pPr>
        <w:ind w:left="720" w:right="720"/>
        <w:rPr>
          <w:rFonts w:ascii="Palatino Linotype" w:hAnsi="Palatino Linotype" w:eastAsia="Palatino Linotype" w:cs="Times New Roman"/>
          <w:kern w:val="0"/>
          <w14:ligatures w14:val="none"/>
        </w:rPr>
      </w:pPr>
    </w:p>
    <w:p w:rsidRPr="001942D0" w:rsidR="00010E21" w:rsidP="00010E21" w:rsidRDefault="00010E21" w14:paraId="0C601F1E" w14:textId="77777777">
      <w:pPr>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9E18DD" w:rsidR="009E18DD" w:rsidP="009E18DD" w:rsidRDefault="005E30BD" w14:paraId="20CD5607" w14:textId="5F2139BB">
      <w:pPr>
        <w:numPr>
          <w:ilvl w:val="0"/>
          <w:numId w:val="3"/>
        </w:numPr>
        <w:ind w:right="720"/>
        <w:rPr>
          <w:rFonts w:ascii="Palatino Linotype" w:hAnsi="Palatino Linotype" w:eastAsia="Times New Roman" w:cs="Times New Roman"/>
          <w:kern w:val="0"/>
          <w14:ligatures w14:val="none"/>
        </w:rPr>
      </w:pPr>
      <w:r w:rsidRPr="00F42947">
        <w:rPr>
          <w:rFonts w:ascii="Palatino Linotype" w:hAnsi="Palatino Linotype" w:eastAsia="Times New Roman" w:cs="Times New Roman"/>
          <w:kern w:val="0"/>
          <w14:ligatures w14:val="none"/>
        </w:rPr>
        <w:t>$3,</w:t>
      </w:r>
      <w:r w:rsidRPr="00F42947" w:rsidR="00D36D09">
        <w:rPr>
          <w:rFonts w:ascii="Palatino Linotype" w:hAnsi="Palatino Linotype" w:eastAsia="Times New Roman" w:cs="Times New Roman"/>
          <w:kern w:val="0"/>
          <w14:ligatures w14:val="none"/>
        </w:rPr>
        <w:t>400,000.00</w:t>
      </w:r>
      <w:r>
        <w:rPr>
          <w:rFonts w:ascii="Palatino Linotype" w:hAnsi="Palatino Linotype" w:eastAsia="Times New Roman" w:cs="Times New Roman"/>
          <w:kern w:val="0"/>
          <w14:ligatures w14:val="none"/>
        </w:rPr>
        <w:t xml:space="preserve"> </w:t>
      </w:r>
      <w:r>
        <w:rPr>
          <w:rFonts w:ascii="Palatino Linotype" w:hAnsi="Palatino Linotype" w:eastAsia="Palatino Linotype" w:cs="Palatino Linotype"/>
          <w:color w:val="000000" w:themeColor="text1"/>
        </w:rPr>
        <w:t xml:space="preserve">from the </w:t>
      </w:r>
      <w:r w:rsidR="00EF223B">
        <w:rPr>
          <w:rFonts w:ascii="Palatino Linotype" w:hAnsi="Palatino Linotype" w:eastAsia="Palatino Linotype" w:cs="Palatino Linotype"/>
          <w:color w:val="000000" w:themeColor="text1"/>
        </w:rPr>
        <w:t xml:space="preserve">CASF </w:t>
      </w:r>
      <w:r>
        <w:rPr>
          <w:rFonts w:ascii="Palatino Linotype" w:hAnsi="Palatino Linotype" w:eastAsia="Palatino Linotype" w:cs="Palatino Linotype"/>
          <w:color w:val="000000" w:themeColor="text1"/>
        </w:rPr>
        <w:t>Consortia Account</w:t>
      </w:r>
      <w:r w:rsidR="25C9D5AC">
        <w:rPr>
          <w:rFonts w:ascii="Palatino Linotype" w:hAnsi="Palatino Linotype" w:eastAsia="Palatino Linotype" w:cs="Palatino Linotype"/>
          <w:color w:val="000000" w:themeColor="text1"/>
        </w:rPr>
        <w:t>.</w:t>
      </w:r>
      <w:r w:rsidR="00EF223B">
        <w:rPr>
          <w:rStyle w:val="FootnoteReference"/>
          <w:rFonts w:ascii="Palatino Linotype" w:hAnsi="Palatino Linotype" w:eastAsia="Palatino Linotype" w:cs="Palatino Linotype"/>
          <w:color w:val="000000" w:themeColor="text1"/>
        </w:rPr>
        <w:footnoteReference w:id="1"/>
      </w:r>
      <w:r w:rsidR="00D7218F">
        <w:rPr>
          <w:rFonts w:ascii="Palatino Linotype" w:hAnsi="Palatino Linotype" w:eastAsia="Times New Roman" w:cs="Times New Roman"/>
          <w:kern w:val="0"/>
          <w14:ligatures w14:val="none"/>
        </w:rPr>
        <w:t xml:space="preserve"> </w:t>
      </w:r>
      <w:r w:rsidRPr="009E18DD" w:rsidR="009E18DD">
        <w:rPr>
          <w:rFonts w:ascii="Palatino Linotype" w:hAnsi="Palatino Linotype" w:eastAsia="Times New Roman" w:cs="Times New Roman"/>
          <w:kern w:val="0"/>
          <w14:ligatures w14:val="none"/>
        </w:rPr>
        <w:t>For fiscal year 2025</w:t>
      </w:r>
      <w:r w:rsidR="005749B9">
        <w:rPr>
          <w:rFonts w:ascii="Palatino Linotype" w:hAnsi="Palatino Linotype" w:eastAsia="Times New Roman" w:cs="Times New Roman"/>
          <w:kern w:val="0"/>
          <w14:ligatures w14:val="none"/>
        </w:rPr>
        <w:t>-</w:t>
      </w:r>
      <w:r w:rsidRPr="009E18DD" w:rsidR="009E18DD">
        <w:rPr>
          <w:rFonts w:ascii="Palatino Linotype" w:hAnsi="Palatino Linotype" w:eastAsia="Times New Roman" w:cs="Times New Roman"/>
          <w:kern w:val="0"/>
          <w14:ligatures w14:val="none"/>
        </w:rPr>
        <w:t xml:space="preserve">26, the Commission issued Resolution T-17884 which set an </w:t>
      </w:r>
      <w:r w:rsidRPr="009E18DD" w:rsidR="009E18DD">
        <w:rPr>
          <w:rFonts w:ascii="Palatino Linotype" w:hAnsi="Palatino Linotype" w:eastAsia="Times New Roman" w:cs="Times New Roman"/>
          <w:kern w:val="0"/>
          <w14:ligatures w14:val="none"/>
        </w:rPr>
        <w:lastRenderedPageBreak/>
        <w:t xml:space="preserve">appropriation amount of </w:t>
      </w:r>
      <w:r w:rsidRPr="00EF0E87" w:rsidR="00E42ED1">
        <w:rPr>
          <w:rFonts w:ascii="Palatino Linotype" w:hAnsi="Palatino Linotype" w:eastAsia="Times New Roman" w:cs="Times New Roman"/>
          <w:kern w:val="0"/>
          <w14:ligatures w14:val="none"/>
        </w:rPr>
        <w:t>$9.818</w:t>
      </w:r>
      <w:r w:rsidRPr="009E18DD" w:rsidR="009E18DD">
        <w:rPr>
          <w:rFonts w:ascii="Palatino Linotype" w:hAnsi="Palatino Linotype" w:eastAsia="Times New Roman" w:cs="Times New Roman"/>
          <w:kern w:val="0"/>
          <w14:ligatures w14:val="none"/>
        </w:rPr>
        <w:t xml:space="preserve"> million for the </w:t>
      </w:r>
      <w:r w:rsidRPr="00EF0E87" w:rsidR="00E42ED1">
        <w:rPr>
          <w:rFonts w:ascii="Palatino Linotype" w:hAnsi="Palatino Linotype" w:eastAsia="Times New Roman" w:cs="Times New Roman"/>
          <w:kern w:val="0"/>
          <w14:ligatures w14:val="none"/>
        </w:rPr>
        <w:t>Consortia</w:t>
      </w:r>
      <w:r w:rsidRPr="009E18DD" w:rsidR="009E18DD">
        <w:rPr>
          <w:rFonts w:ascii="Palatino Linotype" w:hAnsi="Palatino Linotype" w:eastAsia="Times New Roman" w:cs="Times New Roman"/>
          <w:kern w:val="0"/>
          <w14:ligatures w14:val="none"/>
        </w:rPr>
        <w:t xml:space="preserve"> Account. These appropriations were adopted in the California Budget Act for the</w:t>
      </w:r>
      <w:r w:rsidRPr="00EF0E87" w:rsidR="00606A6C">
        <w:rPr>
          <w:rFonts w:ascii="Palatino Linotype" w:hAnsi="Palatino Linotype" w:eastAsia="Times New Roman" w:cs="Times New Roman"/>
          <w:kern w:val="0"/>
          <w14:ligatures w14:val="none"/>
        </w:rPr>
        <w:t xml:space="preserve"> respective fiscal year.</w:t>
      </w:r>
    </w:p>
    <w:p w:rsidR="00AF46E8" w:rsidP="00E42ED1" w:rsidRDefault="00AF46E8" w14:paraId="0F6F7645" w14:textId="77777777">
      <w:pPr>
        <w:ind w:left="1440" w:right="720"/>
        <w:rPr>
          <w:rFonts w:ascii="Palatino Linotype" w:hAnsi="Palatino Linotype" w:eastAsia="Times New Roman" w:cs="Times New Roman"/>
          <w:kern w:val="0"/>
          <w14:ligatures w14:val="none"/>
        </w:rPr>
      </w:pPr>
    </w:p>
    <w:p w:rsidRPr="001942D0" w:rsidR="00010E21" w:rsidP="00010E21" w:rsidRDefault="00010E21" w14:paraId="77862A1B" w14:textId="77777777">
      <w:pPr>
        <w:keepNext/>
        <w:spacing w:before="120" w:after="240"/>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00B458B2" w:rsidP="008631EB" w:rsidRDefault="0098586B" w14:paraId="41BC6B40" w14:textId="06AB2CAD">
      <w:pPr>
        <w:rPr>
          <w:rFonts w:ascii="Palatino Linotype" w:hAnsi="Palatino Linotype" w:eastAsia="Times New Roman" w:cs="Times New Roman"/>
          <w:kern w:val="0"/>
          <w14:ligatures w14:val="none"/>
        </w:rPr>
      </w:pPr>
      <w:r w:rsidRPr="0098586B">
        <w:rPr>
          <w:rFonts w:ascii="Palatino Linotype" w:hAnsi="Palatino Linotype" w:eastAsia="Times New Roman" w:cs="Times New Roman"/>
          <w:kern w:val="0"/>
          <w14:ligatures w14:val="none"/>
        </w:rPr>
        <w:t xml:space="preserve">This Resolution approves grant funding in the amount of </w:t>
      </w:r>
      <w:r w:rsidR="008F2CDA">
        <w:rPr>
          <w:rFonts w:ascii="Palatino Linotype" w:hAnsi="Palatino Linotype" w:eastAsia="Times New Roman" w:cs="Times New Roman"/>
          <w:kern w:val="0"/>
          <w14:ligatures w14:val="none"/>
        </w:rPr>
        <w:t>up to</w:t>
      </w:r>
      <w:r w:rsidRPr="0098586B">
        <w:rPr>
          <w:rFonts w:ascii="Palatino Linotype" w:hAnsi="Palatino Linotype" w:eastAsia="Times New Roman" w:cs="Times New Roman"/>
          <w:kern w:val="0"/>
          <w14:ligatures w14:val="none"/>
        </w:rPr>
        <w:t xml:space="preserve"> </w:t>
      </w:r>
      <w:r w:rsidRPr="00F42947">
        <w:rPr>
          <w:rFonts w:ascii="Palatino Linotype" w:hAnsi="Palatino Linotype" w:eastAsia="Times New Roman" w:cs="Times New Roman"/>
          <w:kern w:val="0"/>
          <w14:ligatures w14:val="none"/>
        </w:rPr>
        <w:t>$3,</w:t>
      </w:r>
      <w:r w:rsidRPr="00F42947" w:rsidR="00D36D09">
        <w:rPr>
          <w:rFonts w:ascii="Palatino Linotype" w:hAnsi="Palatino Linotype" w:eastAsia="Times New Roman" w:cs="Times New Roman"/>
          <w:kern w:val="0"/>
          <w14:ligatures w14:val="none"/>
        </w:rPr>
        <w:t>400,000.00</w:t>
      </w:r>
      <w:r w:rsidRPr="0098586B">
        <w:rPr>
          <w:rFonts w:ascii="Palatino Linotype" w:hAnsi="Palatino Linotype" w:eastAsia="Times New Roman" w:cs="Times New Roman"/>
          <w:kern w:val="0"/>
          <w14:ligatures w14:val="none"/>
        </w:rPr>
        <w:t xml:space="preserve"> from the California Advanced Services Fund (CASF) Rural and Urban Regional Broadband Consortia Grant Account (Consortia Account) for the grant applications of </w:t>
      </w:r>
      <w:r w:rsidRPr="007770BF" w:rsidR="007770BF">
        <w:rPr>
          <w:rFonts w:ascii="Palatino Linotype" w:hAnsi="Palatino Linotype" w:eastAsia="Times New Roman" w:cs="Times New Roman"/>
          <w:kern w:val="0"/>
          <w14:ligatures w14:val="none"/>
        </w:rPr>
        <w:t>Broadband Consortium of Pacific Coast (BCPC), East Bay Broadband Consortium (EBBC), E = mc² Silicon Valley Consortium (EMCSVC), Gold Country Broadband Consortium (GCBC), Inyo-Mono Broadband Consortium (IMBC), and Los Angeles Digital Equity Action League Consortium (LA DEAL)</w:t>
      </w:r>
      <w:r w:rsidR="007770BF">
        <w:rPr>
          <w:rFonts w:ascii="Palatino Linotype" w:hAnsi="Palatino Linotype" w:eastAsia="Times New Roman" w:cs="Times New Roman"/>
          <w:kern w:val="0"/>
          <w14:ligatures w14:val="none"/>
        </w:rPr>
        <w:t>.</w:t>
      </w:r>
      <w:r w:rsidRPr="0098586B">
        <w:rPr>
          <w:rFonts w:ascii="Palatino Linotype" w:hAnsi="Palatino Linotype" w:eastAsia="Times New Roman" w:cs="Times New Roman"/>
          <w:kern w:val="0"/>
          <w14:ligatures w14:val="none"/>
        </w:rPr>
        <w:t xml:space="preserve">  These six projects will facilitate the deployment of broadband services by assisting CASF infrastructure grant applicants in the project development or grant application process or assisting broadband deployment projects related to programs created under</w:t>
      </w:r>
      <w:r w:rsidRPr="36C679D2">
        <w:rPr>
          <w:rFonts w:ascii="Palatino Linotype" w:hAnsi="Palatino Linotype" w:eastAsia="Times New Roman" w:cs="Times New Roman"/>
        </w:rPr>
        <w:t xml:space="preserve"> </w:t>
      </w:r>
      <w:r w:rsidRPr="36C679D2" w:rsidR="5D1AFA21">
        <w:rPr>
          <w:rFonts w:ascii="Palatino Linotype" w:hAnsi="Palatino Linotype" w:eastAsia="Times New Roman" w:cs="Times New Roman"/>
        </w:rPr>
        <w:t>Senate Bill</w:t>
      </w:r>
      <w:r w:rsidRPr="0098586B">
        <w:rPr>
          <w:rFonts w:ascii="Palatino Linotype" w:hAnsi="Palatino Linotype" w:eastAsia="Times New Roman" w:cs="Times New Roman"/>
          <w:kern w:val="0"/>
          <w14:ligatures w14:val="none"/>
        </w:rPr>
        <w:t xml:space="preserve"> </w:t>
      </w:r>
      <w:r w:rsidRPr="0098586B" w:rsidR="52649679">
        <w:rPr>
          <w:rFonts w:ascii="Palatino Linotype" w:hAnsi="Palatino Linotype" w:eastAsia="Times New Roman" w:cs="Times New Roman"/>
          <w:kern w:val="0"/>
          <w14:ligatures w14:val="none"/>
        </w:rPr>
        <w:t>(</w:t>
      </w:r>
      <w:r w:rsidRPr="0098586B">
        <w:rPr>
          <w:rFonts w:ascii="Palatino Linotype" w:hAnsi="Palatino Linotype" w:eastAsia="Times New Roman" w:cs="Times New Roman"/>
          <w:kern w:val="0"/>
          <w14:ligatures w14:val="none"/>
        </w:rPr>
        <w:t>SB</w:t>
      </w:r>
      <w:r w:rsidRPr="0098586B" w:rsidR="564A41A6">
        <w:rPr>
          <w:rFonts w:ascii="Palatino Linotype" w:hAnsi="Palatino Linotype" w:eastAsia="Times New Roman" w:cs="Times New Roman"/>
          <w:kern w:val="0"/>
          <w14:ligatures w14:val="none"/>
        </w:rPr>
        <w:t>)</w:t>
      </w:r>
      <w:r w:rsidRPr="0098586B">
        <w:rPr>
          <w:rFonts w:ascii="Palatino Linotype" w:hAnsi="Palatino Linotype" w:eastAsia="Times New Roman" w:cs="Times New Roman"/>
          <w:kern w:val="0"/>
          <w14:ligatures w14:val="none"/>
        </w:rPr>
        <w:t xml:space="preserve"> 156 and </w:t>
      </w:r>
      <w:r w:rsidRPr="36C679D2" w:rsidR="1E766502">
        <w:rPr>
          <w:rFonts w:ascii="Palatino Linotype" w:hAnsi="Palatino Linotype" w:eastAsia="Times New Roman" w:cs="Times New Roman"/>
        </w:rPr>
        <w:t>Assembly Bill (</w:t>
      </w:r>
      <w:r w:rsidRPr="0098586B">
        <w:rPr>
          <w:rFonts w:ascii="Palatino Linotype" w:hAnsi="Palatino Linotype" w:eastAsia="Times New Roman" w:cs="Times New Roman"/>
          <w:kern w:val="0"/>
          <w14:ligatures w14:val="none"/>
        </w:rPr>
        <w:t>AB</w:t>
      </w:r>
      <w:r w:rsidRPr="0098586B" w:rsidR="734B7EE8">
        <w:rPr>
          <w:rFonts w:ascii="Palatino Linotype" w:hAnsi="Palatino Linotype" w:eastAsia="Times New Roman" w:cs="Times New Roman"/>
          <w:kern w:val="0"/>
          <w14:ligatures w14:val="none"/>
        </w:rPr>
        <w:t>)</w:t>
      </w:r>
      <w:r w:rsidRPr="0098586B">
        <w:rPr>
          <w:rFonts w:ascii="Palatino Linotype" w:hAnsi="Palatino Linotype" w:eastAsia="Times New Roman" w:cs="Times New Roman"/>
          <w:kern w:val="0"/>
          <w14:ligatures w14:val="none"/>
        </w:rPr>
        <w:t xml:space="preserve"> 164.</w:t>
      </w:r>
    </w:p>
    <w:p w:rsidR="00B458B2" w:rsidP="008631EB" w:rsidRDefault="00B458B2" w14:paraId="53345C4E" w14:textId="77777777">
      <w:pPr>
        <w:rPr>
          <w:rFonts w:ascii="Palatino Linotype" w:hAnsi="Palatino Linotype" w:eastAsia="Times New Roman" w:cs="Times New Roman"/>
          <w:kern w:val="0"/>
          <w14:ligatures w14:val="none"/>
        </w:rPr>
      </w:pPr>
    </w:p>
    <w:p w:rsidR="008631EB" w:rsidP="008631EB" w:rsidRDefault="00233E02" w14:paraId="2CE7A20C" w14:textId="73892B4A">
      <w:pPr>
        <w:rPr>
          <w:rFonts w:ascii="Palatino Linotype" w:hAnsi="Palatino Linotype" w:eastAsia="Times New Roman" w:cs="Times New Roman"/>
          <w:kern w:val="0"/>
          <w14:ligatures w14:val="none"/>
        </w:rPr>
      </w:pPr>
      <w:r w:rsidRPr="00233E02">
        <w:rPr>
          <w:rFonts w:ascii="Palatino Linotype" w:hAnsi="Palatino Linotype" w:eastAsia="Times New Roman" w:cs="Times New Roman"/>
          <w:kern w:val="0"/>
          <w14:ligatures w14:val="none"/>
        </w:rPr>
        <w:t>Table 1</w:t>
      </w:r>
      <w:r w:rsidRPr="00202B15" w:rsidR="00202B15">
        <w:rPr>
          <w:rFonts w:ascii="Palatino Linotype" w:hAnsi="Palatino Linotype" w:cs="Palatino Linotype"/>
          <w:color w:val="000000"/>
          <w:kern w:val="0"/>
          <w:sz w:val="23"/>
          <w:szCs w:val="23"/>
        </w:rPr>
        <w:t xml:space="preserve"> </w:t>
      </w:r>
      <w:r w:rsidRPr="00233E02">
        <w:rPr>
          <w:rFonts w:ascii="Palatino Linotype" w:hAnsi="Palatino Linotype" w:eastAsia="Times New Roman" w:cs="Times New Roman"/>
          <w:kern w:val="0"/>
          <w14:ligatures w14:val="none"/>
        </w:rPr>
        <w:t xml:space="preserve">lists the </w:t>
      </w:r>
      <w:r w:rsidR="00254A65">
        <w:rPr>
          <w:rFonts w:ascii="Palatino Linotype" w:hAnsi="Palatino Linotype" w:eastAsia="Times New Roman" w:cs="Times New Roman"/>
          <w:kern w:val="0"/>
          <w14:ligatures w14:val="none"/>
        </w:rPr>
        <w:t>six</w:t>
      </w:r>
      <w:r w:rsidRPr="00233E02">
        <w:rPr>
          <w:rFonts w:ascii="Palatino Linotype" w:hAnsi="Palatino Linotype" w:eastAsia="Times New Roman" w:cs="Times New Roman"/>
          <w:kern w:val="0"/>
          <w14:ligatures w14:val="none"/>
        </w:rPr>
        <w:t xml:space="preserve"> recommended </w:t>
      </w:r>
      <w:r>
        <w:rPr>
          <w:rFonts w:ascii="Palatino Linotype" w:hAnsi="Palatino Linotype" w:eastAsia="Times New Roman" w:cs="Times New Roman"/>
          <w:kern w:val="0"/>
          <w14:ligatures w14:val="none"/>
        </w:rPr>
        <w:t>Consortia</w:t>
      </w:r>
      <w:r w:rsidRPr="00233E02">
        <w:rPr>
          <w:rFonts w:ascii="Palatino Linotype" w:hAnsi="Palatino Linotype" w:eastAsia="Times New Roman" w:cs="Times New Roman"/>
          <w:kern w:val="0"/>
          <w14:ligatures w14:val="none"/>
        </w:rPr>
        <w:t xml:space="preserve"> Account projects.</w:t>
      </w:r>
    </w:p>
    <w:p w:rsidR="00076E39" w:rsidP="008631EB" w:rsidRDefault="00076E39" w14:paraId="2B2E952C" w14:textId="77777777">
      <w:pPr>
        <w:rPr>
          <w:rFonts w:ascii="Palatino Linotype" w:hAnsi="Palatino Linotype" w:eastAsia="Times New Roman" w:cs="Times New Roman"/>
          <w:kern w:val="0"/>
          <w14:ligatures w14:val="none"/>
        </w:rPr>
      </w:pPr>
    </w:p>
    <w:p w:rsidR="005564DE" w:rsidP="008631EB" w:rsidRDefault="005564DE" w14:paraId="524D3B58" w14:textId="77777777">
      <w:pPr>
        <w:rPr>
          <w:rFonts w:ascii="Palatino Linotype" w:hAnsi="Palatino Linotype" w:eastAsia="Times New Roman" w:cs="Times New Roman"/>
          <w:kern w:val="0"/>
          <w14:ligatures w14:val="none"/>
        </w:rPr>
      </w:pPr>
    </w:p>
    <w:tbl>
      <w:tblPr>
        <w:tblpPr w:leftFromText="180" w:rightFromText="180" w:vertAnchor="text" w:horzAnchor="margin" w:tblpY="-34"/>
        <w:tblW w:w="1034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2"/>
        <w:gridCol w:w="1530"/>
        <w:gridCol w:w="2430"/>
        <w:gridCol w:w="2070"/>
        <w:gridCol w:w="1620"/>
        <w:gridCol w:w="1440"/>
        <w:gridCol w:w="900"/>
      </w:tblGrid>
      <w:tr w:rsidRPr="008631EB" w:rsidR="0001256E" w14:paraId="2720C042" w14:textId="77777777">
        <w:trPr>
          <w:trHeight w:val="315"/>
        </w:trPr>
        <w:tc>
          <w:tcPr>
            <w:tcW w:w="10342" w:type="dxa"/>
            <w:gridSpan w:val="7"/>
            <w:tcBorders>
              <w:right w:val="single" w:color="auto" w:sz="6" w:space="0"/>
            </w:tcBorders>
          </w:tcPr>
          <w:p w:rsidRPr="008631EB" w:rsidR="0001256E" w:rsidP="00E67C85" w:rsidRDefault="0001256E" w14:paraId="0A6A3285" w14:textId="4C315413">
            <w:pPr>
              <w:jc w:val="center"/>
              <w:rPr>
                <w:rFonts w:ascii="Palatino Linotype" w:hAnsi="Palatino Linotype" w:eastAsia="Times New Roman" w:cs="Times New Roman"/>
                <w:kern w:val="0"/>
                <w14:ligatures w14:val="none"/>
              </w:rPr>
            </w:pPr>
            <w:r w:rsidRPr="008631EB">
              <w:rPr>
                <w:rFonts w:ascii="Palatino Linotype" w:hAnsi="Palatino Linotype" w:eastAsia="Times New Roman" w:cs="Times New Roman"/>
                <w:b/>
                <w:bCs/>
                <w:kern w:val="0"/>
                <w14:ligatures w14:val="none"/>
              </w:rPr>
              <w:t xml:space="preserve">Table 1 </w:t>
            </w:r>
            <w:r>
              <w:rPr>
                <w:rFonts w:ascii="Palatino Linotype" w:hAnsi="Palatino Linotype" w:eastAsia="Times New Roman" w:cs="Times New Roman"/>
                <w:b/>
                <w:bCs/>
                <w:kern w:val="0"/>
                <w14:ligatures w14:val="none"/>
              </w:rPr>
              <w:t>–</w:t>
            </w:r>
            <w:r w:rsidRPr="008631EB">
              <w:rPr>
                <w:rFonts w:ascii="Palatino Linotype" w:hAnsi="Palatino Linotype" w:eastAsia="Times New Roman" w:cs="Times New Roman"/>
                <w:b/>
                <w:bCs/>
                <w:kern w:val="0"/>
                <w14:ligatures w14:val="none"/>
              </w:rPr>
              <w:t xml:space="preserve"> </w:t>
            </w:r>
            <w:r>
              <w:rPr>
                <w:rFonts w:ascii="Palatino Linotype" w:hAnsi="Palatino Linotype" w:eastAsia="Times New Roman" w:cs="Times New Roman"/>
                <w:b/>
                <w:bCs/>
                <w:kern w:val="0"/>
                <w14:ligatures w14:val="none"/>
              </w:rPr>
              <w:t>Projects Addressed in Resolution T-17919</w:t>
            </w:r>
          </w:p>
        </w:tc>
      </w:tr>
      <w:tr w:rsidRPr="008631EB" w:rsidR="0001256E" w:rsidTr="00EA6956" w14:paraId="24C94BC4" w14:textId="77777777">
        <w:trPr>
          <w:trHeight w:val="675"/>
        </w:trPr>
        <w:tc>
          <w:tcPr>
            <w:tcW w:w="352" w:type="dxa"/>
            <w:tcBorders>
              <w:top w:val="single" w:color="auto" w:sz="6" w:space="0"/>
              <w:left w:val="single" w:color="auto" w:sz="6" w:space="0"/>
              <w:bottom w:val="single" w:color="auto" w:sz="6" w:space="0"/>
              <w:right w:val="single" w:color="auto" w:sz="6" w:space="0"/>
            </w:tcBorders>
            <w:vAlign w:val="center"/>
            <w:hideMark/>
          </w:tcPr>
          <w:p w:rsidRPr="008631EB" w:rsidR="0001256E" w:rsidP="00E67C85" w:rsidRDefault="0001256E" w14:paraId="2E7C6754" w14:textId="77777777">
            <w:pPr>
              <w:jc w:val="center"/>
              <w:rPr>
                <w:rFonts w:ascii="Palatino Linotype" w:hAnsi="Palatino Linotype" w:eastAsia="Times New Roman" w:cs="Times New Roman"/>
                <w:kern w:val="0"/>
                <w14:ligatures w14:val="none"/>
              </w:rPr>
            </w:pPr>
          </w:p>
        </w:tc>
        <w:tc>
          <w:tcPr>
            <w:tcW w:w="1530" w:type="dxa"/>
            <w:tcBorders>
              <w:top w:val="single" w:color="auto" w:sz="6" w:space="0"/>
              <w:left w:val="single" w:color="auto" w:sz="6" w:space="0"/>
              <w:bottom w:val="single" w:color="auto" w:sz="6" w:space="0"/>
              <w:right w:val="single" w:color="auto" w:sz="6" w:space="0"/>
            </w:tcBorders>
            <w:vAlign w:val="center"/>
            <w:hideMark/>
          </w:tcPr>
          <w:p w:rsidRPr="00685838" w:rsidR="0001256E" w:rsidP="00E67C85" w:rsidRDefault="0001256E" w14:paraId="7594D76B" w14:textId="77777777">
            <w:pPr>
              <w:jc w:val="center"/>
              <w:rPr>
                <w:rFonts w:ascii="Palatino Linotype" w:hAnsi="Palatino Linotype" w:eastAsia="Times New Roman" w:cs="Times New Roman"/>
                <w:b/>
                <w:bCs/>
                <w:kern w:val="0"/>
                <w14:ligatures w14:val="none"/>
              </w:rPr>
            </w:pPr>
            <w:r w:rsidRPr="00685838">
              <w:rPr>
                <w:rFonts w:ascii="Palatino Linotype" w:hAnsi="Palatino Linotype" w:eastAsia="Times New Roman" w:cs="Times New Roman"/>
                <w:b/>
                <w:bCs/>
                <w:kern w:val="0"/>
                <w14:ligatures w14:val="none"/>
              </w:rPr>
              <w:t>Applicant</w:t>
            </w:r>
          </w:p>
        </w:tc>
        <w:tc>
          <w:tcPr>
            <w:tcW w:w="2430" w:type="dxa"/>
            <w:tcBorders>
              <w:top w:val="single" w:color="auto" w:sz="6" w:space="0"/>
              <w:left w:val="single" w:color="auto" w:sz="6" w:space="0"/>
              <w:bottom w:val="single" w:color="auto" w:sz="6" w:space="0"/>
              <w:right w:val="single" w:color="auto" w:sz="6" w:space="0"/>
            </w:tcBorders>
            <w:vAlign w:val="center"/>
            <w:hideMark/>
          </w:tcPr>
          <w:p w:rsidRPr="00685838" w:rsidR="0001256E" w:rsidP="00E67C85" w:rsidRDefault="0001256E" w14:paraId="6A191A85" w14:textId="77777777">
            <w:pPr>
              <w:jc w:val="center"/>
              <w:rPr>
                <w:rFonts w:ascii="Palatino Linotype" w:hAnsi="Palatino Linotype" w:eastAsia="Times New Roman" w:cs="Times New Roman"/>
                <w:b/>
                <w:bCs/>
                <w:kern w:val="0"/>
                <w14:ligatures w14:val="none"/>
              </w:rPr>
            </w:pPr>
            <w:r w:rsidRPr="00685838">
              <w:rPr>
                <w:rFonts w:ascii="Palatino Linotype" w:hAnsi="Palatino Linotype" w:eastAsia="Times New Roman" w:cs="Times New Roman"/>
                <w:b/>
                <w:bCs/>
                <w:kern w:val="0"/>
                <w14:ligatures w14:val="none"/>
              </w:rPr>
              <w:t>Project Name</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685838" w:rsidR="0001256E" w:rsidP="00E67C85" w:rsidRDefault="0001256E" w14:paraId="601B3F19" w14:textId="77777777">
            <w:pPr>
              <w:jc w:val="center"/>
              <w:rPr>
                <w:rFonts w:ascii="Palatino Linotype" w:hAnsi="Palatino Linotype" w:eastAsia="Times New Roman" w:cs="Times New Roman"/>
                <w:b/>
                <w:bCs/>
                <w:kern w:val="0"/>
                <w14:ligatures w14:val="none"/>
              </w:rPr>
            </w:pPr>
            <w:r w:rsidRPr="00685838">
              <w:rPr>
                <w:rFonts w:ascii="Palatino Linotype" w:hAnsi="Palatino Linotype" w:eastAsia="Times New Roman" w:cs="Times New Roman"/>
                <w:b/>
                <w:bCs/>
                <w:kern w:val="0"/>
                <w14:ligatures w14:val="none"/>
              </w:rPr>
              <w:t>Counties Served</w:t>
            </w:r>
          </w:p>
        </w:tc>
        <w:tc>
          <w:tcPr>
            <w:tcW w:w="1620" w:type="dxa"/>
            <w:tcBorders>
              <w:top w:val="single" w:color="auto" w:sz="6" w:space="0"/>
              <w:left w:val="single" w:color="auto" w:sz="6" w:space="0"/>
              <w:bottom w:val="single" w:color="auto" w:sz="6" w:space="0"/>
              <w:right w:val="single" w:color="auto" w:sz="4" w:space="0"/>
            </w:tcBorders>
            <w:vAlign w:val="center"/>
            <w:hideMark/>
          </w:tcPr>
          <w:p w:rsidRPr="00685838" w:rsidR="0001256E" w:rsidP="00E67C85" w:rsidRDefault="0001256E" w14:paraId="105099AC" w14:textId="1426B12B">
            <w:pPr>
              <w:jc w:val="center"/>
              <w:rPr>
                <w:rFonts w:ascii="Palatino Linotype" w:hAnsi="Palatino Linotype" w:eastAsia="Times New Roman" w:cs="Times New Roman"/>
                <w:b/>
                <w:bCs/>
                <w:kern w:val="0"/>
                <w14:ligatures w14:val="none"/>
              </w:rPr>
            </w:pPr>
            <w:r w:rsidRPr="00685838">
              <w:rPr>
                <w:rFonts w:ascii="Palatino Linotype" w:hAnsi="Palatino Linotype" w:eastAsia="Times New Roman" w:cs="Times New Roman"/>
                <w:b/>
                <w:bCs/>
                <w:kern w:val="0"/>
                <w14:ligatures w14:val="none"/>
              </w:rPr>
              <w:t>Requested Amounts</w:t>
            </w:r>
          </w:p>
        </w:tc>
        <w:tc>
          <w:tcPr>
            <w:tcW w:w="1440" w:type="dxa"/>
            <w:tcBorders>
              <w:top w:val="single" w:color="auto" w:sz="4" w:space="0"/>
              <w:left w:val="single" w:color="auto" w:sz="4" w:space="0"/>
              <w:bottom w:val="single" w:color="auto" w:sz="4" w:space="0"/>
              <w:right w:val="single" w:color="auto" w:sz="4" w:space="0"/>
            </w:tcBorders>
            <w:vAlign w:val="center"/>
          </w:tcPr>
          <w:p w:rsidRPr="003757A9" w:rsidR="003757A9" w:rsidP="003757A9" w:rsidRDefault="003757A9" w14:paraId="095D0BDF" w14:textId="0802A3A5">
            <w:pPr>
              <w:jc w:val="center"/>
              <w:rPr>
                <w:rFonts w:ascii="Palatino Linotype" w:hAnsi="Palatino Linotype" w:eastAsia="Times New Roman" w:cs="Times New Roman"/>
                <w:b/>
                <w:bCs/>
                <w:kern w:val="0"/>
                <w14:ligatures w14:val="none"/>
              </w:rPr>
            </w:pPr>
            <w:r w:rsidRPr="003757A9">
              <w:rPr>
                <w:rFonts w:ascii="Palatino Linotype" w:hAnsi="Palatino Linotype" w:eastAsia="Times New Roman" w:cs="Times New Roman"/>
                <w:b/>
                <w:bCs/>
                <w:kern w:val="0"/>
                <w14:ligatures w14:val="none"/>
              </w:rPr>
              <w:t xml:space="preserve">CASF </w:t>
            </w:r>
            <w:r>
              <w:rPr>
                <w:rFonts w:ascii="Palatino Linotype" w:hAnsi="Palatino Linotype" w:eastAsia="Times New Roman" w:cs="Times New Roman"/>
                <w:b/>
                <w:bCs/>
                <w:kern w:val="0"/>
                <w14:ligatures w14:val="none"/>
              </w:rPr>
              <w:t>A</w:t>
            </w:r>
            <w:r w:rsidRPr="003757A9">
              <w:rPr>
                <w:rFonts w:ascii="Palatino Linotype" w:hAnsi="Palatino Linotype" w:eastAsia="Times New Roman" w:cs="Times New Roman"/>
                <w:b/>
                <w:bCs/>
                <w:kern w:val="0"/>
                <w14:ligatures w14:val="none"/>
              </w:rPr>
              <w:t xml:space="preserve">pproved </w:t>
            </w:r>
            <w:r>
              <w:rPr>
                <w:rFonts w:ascii="Palatino Linotype" w:hAnsi="Palatino Linotype" w:eastAsia="Times New Roman" w:cs="Times New Roman"/>
                <w:b/>
                <w:bCs/>
                <w:kern w:val="0"/>
                <w14:ligatures w14:val="none"/>
              </w:rPr>
              <w:t>A</w:t>
            </w:r>
            <w:r w:rsidRPr="003757A9">
              <w:rPr>
                <w:rFonts w:ascii="Palatino Linotype" w:hAnsi="Palatino Linotype" w:eastAsia="Times New Roman" w:cs="Times New Roman"/>
                <w:b/>
                <w:bCs/>
                <w:kern w:val="0"/>
                <w14:ligatures w14:val="none"/>
              </w:rPr>
              <w:t>mount</w:t>
            </w:r>
          </w:p>
        </w:tc>
        <w:tc>
          <w:tcPr>
            <w:tcW w:w="900" w:type="dxa"/>
            <w:tcBorders>
              <w:top w:val="single" w:color="auto" w:sz="6" w:space="0"/>
              <w:left w:val="single" w:color="auto" w:sz="4" w:space="0"/>
              <w:bottom w:val="single" w:color="auto" w:sz="6" w:space="0"/>
              <w:right w:val="single" w:color="auto" w:sz="6" w:space="0"/>
            </w:tcBorders>
            <w:vAlign w:val="center"/>
            <w:hideMark/>
          </w:tcPr>
          <w:p w:rsidRPr="00685838" w:rsidR="0001256E" w:rsidP="00E67C85" w:rsidRDefault="0001256E" w14:paraId="7F240B0F" w14:textId="395EEAA8">
            <w:pPr>
              <w:jc w:val="center"/>
              <w:rPr>
                <w:rFonts w:ascii="Palatino Linotype" w:hAnsi="Palatino Linotype" w:eastAsia="Times New Roman" w:cs="Times New Roman"/>
                <w:b/>
                <w:bCs/>
                <w:kern w:val="0"/>
                <w14:ligatures w14:val="none"/>
              </w:rPr>
            </w:pPr>
            <w:r w:rsidRPr="00685838">
              <w:rPr>
                <w:rFonts w:ascii="Palatino Linotype" w:hAnsi="Palatino Linotype" w:eastAsia="Times New Roman" w:cs="Times New Roman"/>
                <w:b/>
                <w:bCs/>
                <w:kern w:val="0"/>
                <w14:ligatures w14:val="none"/>
              </w:rPr>
              <w:t># Years</w:t>
            </w:r>
          </w:p>
        </w:tc>
      </w:tr>
      <w:tr w:rsidRPr="008631EB" w:rsidR="00574B00" w:rsidTr="00EA6956" w14:paraId="512B6FD4" w14:textId="77777777">
        <w:trPr>
          <w:trHeight w:val="330"/>
        </w:trPr>
        <w:tc>
          <w:tcPr>
            <w:tcW w:w="352"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596C67DB" w14:textId="7777777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1</w:t>
            </w:r>
          </w:p>
        </w:tc>
        <w:tc>
          <w:tcPr>
            <w:tcW w:w="15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2ED92B9B" w14:textId="2746983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Broadband Consortium Pacific Coast</w:t>
            </w:r>
          </w:p>
        </w:tc>
        <w:tc>
          <w:tcPr>
            <w:tcW w:w="24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5C6A9420" w14:textId="6F2FE51B">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Broadband as the Fourth Utility</w:t>
            </w:r>
          </w:p>
        </w:tc>
        <w:tc>
          <w:tcPr>
            <w:tcW w:w="207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7FC18004" w14:textId="7A4B1E13">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San Luis Obispo, Santa Barbara, Ventura</w:t>
            </w:r>
          </w:p>
        </w:tc>
        <w:tc>
          <w:tcPr>
            <w:tcW w:w="1620" w:type="dxa"/>
            <w:tcBorders>
              <w:top w:val="single" w:color="auto" w:sz="6" w:space="0"/>
              <w:left w:val="single" w:color="auto" w:sz="6" w:space="0"/>
              <w:bottom w:val="single" w:color="auto" w:sz="6" w:space="0"/>
              <w:right w:val="single" w:color="auto" w:sz="4" w:space="0"/>
            </w:tcBorders>
            <w:vAlign w:val="center"/>
          </w:tcPr>
          <w:p w:rsidRPr="00C32E1C" w:rsidR="00574B00" w:rsidP="00574B00" w:rsidRDefault="00574B00" w14:paraId="3D5904FA" w14:textId="24E46F3F">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1440" w:type="dxa"/>
            <w:tcBorders>
              <w:top w:val="single" w:color="auto" w:sz="4" w:space="0"/>
              <w:left w:val="single" w:color="auto" w:sz="4" w:space="0"/>
              <w:bottom w:val="single" w:color="auto" w:sz="4" w:space="0"/>
              <w:right w:val="single" w:color="auto" w:sz="4" w:space="0"/>
            </w:tcBorders>
            <w:vAlign w:val="center"/>
          </w:tcPr>
          <w:p w:rsidRPr="00C32E1C" w:rsidR="003757A9" w:rsidP="003757A9" w:rsidRDefault="003757A9" w14:paraId="305BEC84" w14:textId="1F86B81B">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900" w:type="dxa"/>
            <w:tcBorders>
              <w:top w:val="single" w:color="auto" w:sz="6" w:space="0"/>
              <w:left w:val="single" w:color="auto" w:sz="4" w:space="0"/>
              <w:bottom w:val="single" w:color="auto" w:sz="6" w:space="0"/>
              <w:right w:val="single" w:color="auto" w:sz="6" w:space="0"/>
            </w:tcBorders>
            <w:vAlign w:val="center"/>
          </w:tcPr>
          <w:p w:rsidRPr="00C32E1C" w:rsidR="00574B00" w:rsidP="00574B00" w:rsidRDefault="00574B00" w14:paraId="1B20B779" w14:textId="7BA62810">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3</w:t>
            </w:r>
          </w:p>
        </w:tc>
      </w:tr>
      <w:tr w:rsidRPr="008631EB" w:rsidR="00574B00" w:rsidTr="00EA6956" w14:paraId="39780E4B" w14:textId="77777777">
        <w:trPr>
          <w:trHeight w:val="330"/>
        </w:trPr>
        <w:tc>
          <w:tcPr>
            <w:tcW w:w="352"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0A6DEDD0" w14:textId="7777777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2</w:t>
            </w:r>
          </w:p>
        </w:tc>
        <w:tc>
          <w:tcPr>
            <w:tcW w:w="15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3648F737" w14:textId="21A5DB50">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East Bay Broadband Consortium</w:t>
            </w:r>
          </w:p>
        </w:tc>
        <w:tc>
          <w:tcPr>
            <w:tcW w:w="24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2840CABB" w14:textId="63885B9E">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 xml:space="preserve">Connecting </w:t>
            </w:r>
            <w:proofErr w:type="gramStart"/>
            <w:r w:rsidRPr="00C32E1C">
              <w:rPr>
                <w:rFonts w:ascii="Palatino Linotype" w:hAnsi="Palatino Linotype" w:eastAsia="Times New Roman" w:cs="Times New Roman"/>
                <w:kern w:val="0"/>
                <w:sz w:val="20"/>
                <w:szCs w:val="20"/>
                <w14:ligatures w14:val="none"/>
              </w:rPr>
              <w:t>the East</w:t>
            </w:r>
            <w:proofErr w:type="gramEnd"/>
            <w:r w:rsidRPr="00C32E1C">
              <w:rPr>
                <w:rFonts w:ascii="Palatino Linotype" w:hAnsi="Palatino Linotype" w:eastAsia="Times New Roman" w:cs="Times New Roman"/>
                <w:kern w:val="0"/>
                <w:sz w:val="20"/>
                <w:szCs w:val="20"/>
                <w14:ligatures w14:val="none"/>
              </w:rPr>
              <w:t xml:space="preserve"> Bay for Good</w:t>
            </w:r>
          </w:p>
        </w:tc>
        <w:tc>
          <w:tcPr>
            <w:tcW w:w="207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58AE21ED" w14:textId="1C2D169B">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Alameda, Contra Costa, Solano</w:t>
            </w:r>
          </w:p>
        </w:tc>
        <w:tc>
          <w:tcPr>
            <w:tcW w:w="1620" w:type="dxa"/>
            <w:tcBorders>
              <w:top w:val="single" w:color="auto" w:sz="6" w:space="0"/>
              <w:left w:val="single" w:color="auto" w:sz="6" w:space="0"/>
              <w:bottom w:val="single" w:color="auto" w:sz="6" w:space="0"/>
              <w:right w:val="single" w:color="auto" w:sz="4" w:space="0"/>
            </w:tcBorders>
            <w:vAlign w:val="center"/>
          </w:tcPr>
          <w:p w:rsidRPr="00C32E1C" w:rsidR="00574B00" w:rsidP="00574B00" w:rsidRDefault="00574B00" w14:paraId="2B587191" w14:textId="2320AC1F">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1440" w:type="dxa"/>
            <w:tcBorders>
              <w:top w:val="single" w:color="auto" w:sz="4" w:space="0"/>
              <w:left w:val="single" w:color="auto" w:sz="4" w:space="0"/>
              <w:bottom w:val="single" w:color="auto" w:sz="4" w:space="0"/>
              <w:right w:val="single" w:color="auto" w:sz="4" w:space="0"/>
            </w:tcBorders>
            <w:vAlign w:val="center"/>
          </w:tcPr>
          <w:p w:rsidRPr="00C32E1C" w:rsidR="003757A9" w:rsidP="003757A9" w:rsidRDefault="003757A9" w14:paraId="3960B8C9" w14:textId="0E51B64F">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900" w:type="dxa"/>
            <w:tcBorders>
              <w:top w:val="single" w:color="auto" w:sz="6" w:space="0"/>
              <w:left w:val="single" w:color="auto" w:sz="4" w:space="0"/>
              <w:bottom w:val="single" w:color="auto" w:sz="6" w:space="0"/>
              <w:right w:val="single" w:color="auto" w:sz="6" w:space="0"/>
            </w:tcBorders>
            <w:vAlign w:val="center"/>
          </w:tcPr>
          <w:p w:rsidRPr="00C32E1C" w:rsidR="00574B00" w:rsidP="00574B00" w:rsidRDefault="00574B00" w14:paraId="7B0993CD" w14:textId="23882784">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3</w:t>
            </w:r>
          </w:p>
        </w:tc>
      </w:tr>
      <w:tr w:rsidRPr="008631EB" w:rsidR="00574B00" w:rsidTr="00EA6956" w14:paraId="22F13398" w14:textId="77777777">
        <w:trPr>
          <w:trHeight w:val="330"/>
        </w:trPr>
        <w:tc>
          <w:tcPr>
            <w:tcW w:w="352"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4DC91F99" w14:textId="7777777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3</w:t>
            </w:r>
          </w:p>
        </w:tc>
        <w:tc>
          <w:tcPr>
            <w:tcW w:w="15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37CE0DF2" w14:textId="42FAAF3D">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E = mc²</w:t>
            </w:r>
          </w:p>
        </w:tc>
        <w:tc>
          <w:tcPr>
            <w:tcW w:w="24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76F9BCD3" w14:textId="6E465B61">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E = mc² Silicon Valley Consortium</w:t>
            </w:r>
          </w:p>
        </w:tc>
        <w:tc>
          <w:tcPr>
            <w:tcW w:w="207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65CDE888" w14:textId="74EF83A8">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San Francisco, San Mateo, Santa Clara</w:t>
            </w:r>
          </w:p>
        </w:tc>
        <w:tc>
          <w:tcPr>
            <w:tcW w:w="1620" w:type="dxa"/>
            <w:tcBorders>
              <w:top w:val="single" w:color="auto" w:sz="6" w:space="0"/>
              <w:left w:val="single" w:color="auto" w:sz="6" w:space="0"/>
              <w:bottom w:val="single" w:color="auto" w:sz="6" w:space="0"/>
              <w:right w:val="single" w:color="auto" w:sz="4" w:space="0"/>
            </w:tcBorders>
            <w:vAlign w:val="center"/>
          </w:tcPr>
          <w:p w:rsidRPr="00C32E1C" w:rsidR="00574B00" w:rsidP="00574B00" w:rsidRDefault="00574B00" w14:paraId="275E893E" w14:textId="048396D2">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$400,000.00</w:t>
            </w:r>
          </w:p>
        </w:tc>
        <w:tc>
          <w:tcPr>
            <w:tcW w:w="1440" w:type="dxa"/>
            <w:tcBorders>
              <w:top w:val="single" w:color="auto" w:sz="4" w:space="0"/>
              <w:left w:val="single" w:color="auto" w:sz="4" w:space="0"/>
              <w:bottom w:val="single" w:color="auto" w:sz="4" w:space="0"/>
              <w:right w:val="single" w:color="auto" w:sz="4" w:space="0"/>
            </w:tcBorders>
            <w:vAlign w:val="center"/>
          </w:tcPr>
          <w:p w:rsidRPr="00C32E1C" w:rsidR="003757A9" w:rsidP="003757A9" w:rsidRDefault="003757A9" w14:paraId="07E08DE9" w14:textId="6FCBA7A6">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$400,000.00</w:t>
            </w:r>
          </w:p>
        </w:tc>
        <w:tc>
          <w:tcPr>
            <w:tcW w:w="900" w:type="dxa"/>
            <w:tcBorders>
              <w:top w:val="single" w:color="auto" w:sz="6" w:space="0"/>
              <w:left w:val="single" w:color="auto" w:sz="4" w:space="0"/>
              <w:bottom w:val="single" w:color="auto" w:sz="6" w:space="0"/>
              <w:right w:val="single" w:color="auto" w:sz="6" w:space="0"/>
            </w:tcBorders>
            <w:vAlign w:val="center"/>
          </w:tcPr>
          <w:p w:rsidRPr="00C32E1C" w:rsidR="00574B00" w:rsidP="00574B00" w:rsidRDefault="00574B00" w14:paraId="70C3CF36" w14:textId="3BDE164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2</w:t>
            </w:r>
          </w:p>
        </w:tc>
      </w:tr>
      <w:tr w:rsidRPr="008631EB" w:rsidR="00574B00" w:rsidTr="00EA6956" w14:paraId="2B784C8F" w14:textId="77777777">
        <w:trPr>
          <w:trHeight w:val="330"/>
        </w:trPr>
        <w:tc>
          <w:tcPr>
            <w:tcW w:w="352"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1A551421" w14:textId="7777777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4</w:t>
            </w:r>
          </w:p>
        </w:tc>
        <w:tc>
          <w:tcPr>
            <w:tcW w:w="15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4CF1FB85" w14:textId="25553F0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Gold Country Broadband Consortium</w:t>
            </w:r>
          </w:p>
        </w:tc>
        <w:tc>
          <w:tcPr>
            <w:tcW w:w="24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7A4B0CBB" w14:textId="3F6A2A06">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Gold Country Broadband Consortium</w:t>
            </w:r>
          </w:p>
        </w:tc>
        <w:tc>
          <w:tcPr>
            <w:tcW w:w="207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2C3465F5" w14:textId="7B81A4A1">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El Dorado, Nevada, Placer, Sierra</w:t>
            </w:r>
          </w:p>
        </w:tc>
        <w:tc>
          <w:tcPr>
            <w:tcW w:w="1620" w:type="dxa"/>
            <w:tcBorders>
              <w:top w:val="single" w:color="auto" w:sz="6" w:space="0"/>
              <w:left w:val="single" w:color="auto" w:sz="6" w:space="0"/>
              <w:bottom w:val="single" w:color="auto" w:sz="6" w:space="0"/>
              <w:right w:val="single" w:color="auto" w:sz="4" w:space="0"/>
            </w:tcBorders>
            <w:vAlign w:val="center"/>
          </w:tcPr>
          <w:p w:rsidRPr="00C32E1C" w:rsidR="00574B00" w:rsidP="00574B00" w:rsidRDefault="003757A9" w14:paraId="713843F0" w14:textId="47546873">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1440" w:type="dxa"/>
            <w:tcBorders>
              <w:top w:val="single" w:color="auto" w:sz="4" w:space="0"/>
              <w:left w:val="single" w:color="auto" w:sz="4" w:space="0"/>
              <w:bottom w:val="single" w:color="auto" w:sz="4" w:space="0"/>
              <w:right w:val="single" w:color="auto" w:sz="4" w:space="0"/>
            </w:tcBorders>
            <w:vAlign w:val="center"/>
          </w:tcPr>
          <w:p w:rsidRPr="00C32E1C" w:rsidR="003757A9" w:rsidP="003757A9" w:rsidRDefault="003757A9" w14:paraId="0F662C13" w14:textId="72EB78EC">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900" w:type="dxa"/>
            <w:tcBorders>
              <w:top w:val="single" w:color="auto" w:sz="6" w:space="0"/>
              <w:left w:val="single" w:color="auto" w:sz="4" w:space="0"/>
              <w:bottom w:val="single" w:color="auto" w:sz="6" w:space="0"/>
              <w:right w:val="single" w:color="auto" w:sz="6" w:space="0"/>
            </w:tcBorders>
            <w:vAlign w:val="center"/>
          </w:tcPr>
          <w:p w:rsidRPr="00C32E1C" w:rsidR="00574B00" w:rsidP="00574B00" w:rsidRDefault="00574B00" w14:paraId="16934986" w14:textId="0D3A4498">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3</w:t>
            </w:r>
          </w:p>
        </w:tc>
      </w:tr>
      <w:tr w:rsidRPr="008631EB" w:rsidR="00574B00" w:rsidTr="00EA6956" w14:paraId="2E20724E" w14:textId="77777777">
        <w:trPr>
          <w:trHeight w:val="330"/>
        </w:trPr>
        <w:tc>
          <w:tcPr>
            <w:tcW w:w="352"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411DCA3D" w14:textId="7777777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5</w:t>
            </w:r>
          </w:p>
        </w:tc>
        <w:tc>
          <w:tcPr>
            <w:tcW w:w="15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2EE45A28" w14:textId="46875E7A">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Inyo Mono Broadband Consortium</w:t>
            </w:r>
          </w:p>
        </w:tc>
        <w:tc>
          <w:tcPr>
            <w:tcW w:w="24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09637BC3" w14:textId="09E31EA0">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Connected Eastern Sierra Project</w:t>
            </w:r>
          </w:p>
        </w:tc>
        <w:tc>
          <w:tcPr>
            <w:tcW w:w="207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488FA967" w14:textId="3E3B0E7C">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Inyo, Mono</w:t>
            </w:r>
          </w:p>
        </w:tc>
        <w:tc>
          <w:tcPr>
            <w:tcW w:w="1620" w:type="dxa"/>
            <w:tcBorders>
              <w:top w:val="single" w:color="auto" w:sz="6" w:space="0"/>
              <w:left w:val="single" w:color="auto" w:sz="6" w:space="0"/>
              <w:bottom w:val="single" w:color="auto" w:sz="6" w:space="0"/>
              <w:right w:val="single" w:color="auto" w:sz="4" w:space="0"/>
            </w:tcBorders>
            <w:vAlign w:val="center"/>
          </w:tcPr>
          <w:p w:rsidRPr="00C32E1C" w:rsidR="00574B00" w:rsidP="00574B00" w:rsidRDefault="00574B00" w14:paraId="4A62ABC9" w14:textId="07656CDB">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1440" w:type="dxa"/>
            <w:tcBorders>
              <w:top w:val="single" w:color="auto" w:sz="4" w:space="0"/>
              <w:left w:val="single" w:color="auto" w:sz="4" w:space="0"/>
              <w:bottom w:val="single" w:color="auto" w:sz="4" w:space="0"/>
              <w:right w:val="single" w:color="auto" w:sz="4" w:space="0"/>
            </w:tcBorders>
            <w:vAlign w:val="center"/>
          </w:tcPr>
          <w:p w:rsidRPr="00C32E1C" w:rsidR="003757A9" w:rsidP="003757A9" w:rsidRDefault="003757A9" w14:paraId="46CC9A1A" w14:textId="4E8AEC0C">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900" w:type="dxa"/>
            <w:tcBorders>
              <w:top w:val="single" w:color="auto" w:sz="6" w:space="0"/>
              <w:left w:val="single" w:color="auto" w:sz="4" w:space="0"/>
              <w:bottom w:val="single" w:color="auto" w:sz="6" w:space="0"/>
              <w:right w:val="single" w:color="auto" w:sz="6" w:space="0"/>
            </w:tcBorders>
            <w:vAlign w:val="center"/>
          </w:tcPr>
          <w:p w:rsidRPr="00C32E1C" w:rsidR="00574B00" w:rsidP="00574B00" w:rsidRDefault="00574B00" w14:paraId="46650FEB" w14:textId="58EE3DFB">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3</w:t>
            </w:r>
          </w:p>
        </w:tc>
      </w:tr>
      <w:tr w:rsidRPr="008631EB" w:rsidR="00574B00" w:rsidTr="00EA6956" w14:paraId="58C53F5D" w14:textId="77777777">
        <w:trPr>
          <w:trHeight w:val="330"/>
        </w:trPr>
        <w:tc>
          <w:tcPr>
            <w:tcW w:w="352"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2DCDDC33" w14:textId="77777777">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w:t>
            </w:r>
          </w:p>
        </w:tc>
        <w:tc>
          <w:tcPr>
            <w:tcW w:w="15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4D855D67" w14:textId="783B8253">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LA DEAL</w:t>
            </w:r>
          </w:p>
        </w:tc>
        <w:tc>
          <w:tcPr>
            <w:tcW w:w="243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105D2032" w14:textId="0A0500EA">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Los Angeles Digital Equity Action League</w:t>
            </w:r>
          </w:p>
        </w:tc>
        <w:tc>
          <w:tcPr>
            <w:tcW w:w="2070" w:type="dxa"/>
            <w:tcBorders>
              <w:top w:val="single" w:color="auto" w:sz="6" w:space="0"/>
              <w:left w:val="single" w:color="auto" w:sz="6" w:space="0"/>
              <w:bottom w:val="single" w:color="auto" w:sz="6" w:space="0"/>
              <w:right w:val="single" w:color="auto" w:sz="6" w:space="0"/>
            </w:tcBorders>
            <w:vAlign w:val="center"/>
          </w:tcPr>
          <w:p w:rsidRPr="00C32E1C" w:rsidR="00574B00" w:rsidP="00574B00" w:rsidRDefault="00574B00" w14:paraId="5FA8E798" w14:textId="2302A943">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Los Angeles</w:t>
            </w:r>
          </w:p>
        </w:tc>
        <w:tc>
          <w:tcPr>
            <w:tcW w:w="1620" w:type="dxa"/>
            <w:tcBorders>
              <w:top w:val="single" w:color="auto" w:sz="6" w:space="0"/>
              <w:left w:val="single" w:color="auto" w:sz="6" w:space="0"/>
              <w:bottom w:val="single" w:color="auto" w:sz="6" w:space="0"/>
              <w:right w:val="single" w:color="auto" w:sz="4" w:space="0"/>
            </w:tcBorders>
            <w:vAlign w:val="center"/>
          </w:tcPr>
          <w:p w:rsidRPr="00C32E1C" w:rsidR="00574B00" w:rsidP="00574B00" w:rsidRDefault="00574B00" w14:paraId="6DC98C5B" w14:textId="60271D44">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1440" w:type="dxa"/>
            <w:tcBorders>
              <w:top w:val="single" w:color="auto" w:sz="4" w:space="0"/>
              <w:left w:val="single" w:color="auto" w:sz="4" w:space="0"/>
              <w:bottom w:val="single" w:color="auto" w:sz="4" w:space="0"/>
              <w:right w:val="single" w:color="auto" w:sz="4" w:space="0"/>
            </w:tcBorders>
            <w:vAlign w:val="center"/>
          </w:tcPr>
          <w:p w:rsidRPr="00C32E1C" w:rsidR="003757A9" w:rsidP="003757A9" w:rsidRDefault="003757A9" w14:paraId="49E2E785" w14:textId="428E5B01">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$600,000.00</w:t>
            </w:r>
          </w:p>
        </w:tc>
        <w:tc>
          <w:tcPr>
            <w:tcW w:w="900" w:type="dxa"/>
            <w:tcBorders>
              <w:top w:val="single" w:color="auto" w:sz="6" w:space="0"/>
              <w:left w:val="single" w:color="auto" w:sz="4" w:space="0"/>
              <w:bottom w:val="single" w:color="auto" w:sz="6" w:space="0"/>
              <w:right w:val="single" w:color="auto" w:sz="6" w:space="0"/>
            </w:tcBorders>
            <w:vAlign w:val="center"/>
          </w:tcPr>
          <w:p w:rsidRPr="00C32E1C" w:rsidR="00574B00" w:rsidP="00574B00" w:rsidRDefault="00574B00" w14:paraId="681A6C9A" w14:textId="3D964BB3">
            <w:pPr>
              <w:jc w:val="center"/>
              <w:rPr>
                <w:rFonts w:ascii="Palatino Linotype" w:hAnsi="Palatino Linotype" w:eastAsia="Times New Roman" w:cs="Times New Roman"/>
                <w:kern w:val="0"/>
                <w:sz w:val="20"/>
                <w:szCs w:val="20"/>
                <w14:ligatures w14:val="none"/>
              </w:rPr>
            </w:pPr>
            <w:r w:rsidRPr="00C32E1C">
              <w:rPr>
                <w:rFonts w:ascii="Palatino Linotype" w:hAnsi="Palatino Linotype" w:eastAsia="Times New Roman" w:cs="Times New Roman"/>
                <w:kern w:val="0"/>
                <w:sz w:val="20"/>
                <w:szCs w:val="20"/>
                <w14:ligatures w14:val="none"/>
              </w:rPr>
              <w:t>3</w:t>
            </w:r>
          </w:p>
        </w:tc>
      </w:tr>
    </w:tbl>
    <w:p w:rsidRPr="008631EB" w:rsidR="0001256E" w:rsidP="008631EB" w:rsidRDefault="0001256E" w14:paraId="4F208347" w14:textId="77777777">
      <w:pPr>
        <w:rPr>
          <w:rFonts w:ascii="Palatino Linotype" w:hAnsi="Palatino Linotype" w:eastAsia="Times New Roman" w:cs="Times New Roman"/>
          <w:kern w:val="0"/>
          <w14:ligatures w14:val="none"/>
        </w:rPr>
      </w:pPr>
    </w:p>
    <w:p w:rsidRPr="001942D0" w:rsidR="00010E21" w:rsidP="00010E21" w:rsidRDefault="00010E21" w14:paraId="64A5DF99" w14:textId="77777777">
      <w:pPr>
        <w:keepNext/>
        <w:spacing w:before="120" w:after="240"/>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Background</w:t>
      </w:r>
    </w:p>
    <w:p w:rsidR="00AB2FAB" w:rsidP="00BF5165" w:rsidRDefault="00AB2FAB" w14:paraId="2C5075C1" w14:textId="38C14258">
      <w:pPr>
        <w:rPr>
          <w:rFonts w:ascii="Palatino Linotype" w:hAnsi="Palatino Linotype" w:eastAsia="Times New Roman" w:cs="Times New Roman"/>
          <w:kern w:val="0"/>
          <w14:ligatures w14:val="none"/>
        </w:rPr>
      </w:pPr>
      <w:r w:rsidRPr="00AB2FAB">
        <w:rPr>
          <w:rFonts w:ascii="Palatino Linotype" w:hAnsi="Palatino Linotype" w:eastAsia="Times New Roman" w:cs="Times New Roman"/>
          <w:kern w:val="0"/>
          <w14:ligatures w14:val="none"/>
        </w:rPr>
        <w:t>On October 15, 2017, Governor Brown signed AB 1665 (Garcia, Chapter 851, Statutes of 2017) into law</w:t>
      </w:r>
      <w:r w:rsidRPr="00AB2FAB" w:rsidR="3FDD1194">
        <w:rPr>
          <w:rFonts w:ascii="Palatino Linotype" w:hAnsi="Palatino Linotype" w:eastAsia="Times New Roman" w:cs="Times New Roman"/>
          <w:kern w:val="0"/>
          <w14:ligatures w14:val="none"/>
        </w:rPr>
        <w:t>,</w:t>
      </w:r>
      <w:r w:rsidR="00A61321">
        <w:rPr>
          <w:rStyle w:val="FootnoteReference"/>
          <w:rFonts w:ascii="Palatino Linotype" w:hAnsi="Palatino Linotype" w:eastAsia="Times New Roman" w:cs="Times New Roman"/>
          <w:kern w:val="0"/>
          <w14:ligatures w14:val="none"/>
        </w:rPr>
        <w:footnoteReference w:id="2"/>
      </w:r>
      <w:r w:rsidRPr="00AB2FAB">
        <w:rPr>
          <w:rFonts w:ascii="Palatino Linotype" w:hAnsi="Palatino Linotype" w:eastAsia="Times New Roman" w:cs="Times New Roman"/>
          <w:kern w:val="0"/>
          <w14:ligatures w14:val="none"/>
        </w:rPr>
        <w:t xml:space="preserve"> which among other things, established </w:t>
      </w:r>
      <w:r w:rsidRPr="00AB2FAB" w:rsidR="293F7D97">
        <w:rPr>
          <w:rFonts w:ascii="Palatino Linotype" w:hAnsi="Palatino Linotype" w:eastAsia="Times New Roman" w:cs="Times New Roman"/>
          <w:kern w:val="0"/>
          <w14:ligatures w14:val="none"/>
        </w:rPr>
        <w:t xml:space="preserve">a </w:t>
      </w:r>
      <w:r w:rsidRPr="00AB2FAB">
        <w:rPr>
          <w:rFonts w:ascii="Palatino Linotype" w:hAnsi="Palatino Linotype" w:eastAsia="Times New Roman" w:cs="Times New Roman"/>
          <w:kern w:val="0"/>
          <w14:ligatures w14:val="none"/>
        </w:rPr>
        <w:t>continuation of the Consortia Account with an additional $10 million in available funds.</w:t>
      </w:r>
      <w:r w:rsidR="0013354D">
        <w:rPr>
          <w:rStyle w:val="FootnoteReference"/>
          <w:rFonts w:ascii="Palatino Linotype" w:hAnsi="Palatino Linotype" w:eastAsia="Times New Roman" w:cs="Times New Roman"/>
          <w:kern w:val="0"/>
          <w14:ligatures w14:val="none"/>
        </w:rPr>
        <w:footnoteReference w:id="3"/>
      </w:r>
    </w:p>
    <w:p w:rsidRPr="00BF5165" w:rsidR="00BF5165" w:rsidP="00BF5165" w:rsidRDefault="00BF5165" w14:paraId="6830F1CE" w14:textId="26FBFE1D">
      <w:pPr>
        <w:rPr>
          <w:rFonts w:ascii="Palatino Linotype" w:hAnsi="Palatino Linotype" w:eastAsia="Times New Roman" w:cs="Times New Roman"/>
          <w:kern w:val="0"/>
          <w14:ligatures w14:val="none"/>
        </w:rPr>
      </w:pPr>
      <w:r w:rsidRPr="00BF5165">
        <w:rPr>
          <w:rFonts w:ascii="Palatino Linotype" w:hAnsi="Palatino Linotype" w:eastAsia="Times New Roman" w:cs="Times New Roman"/>
          <w:kern w:val="0"/>
          <w14:ligatures w14:val="none"/>
        </w:rPr>
        <w:t> </w:t>
      </w:r>
    </w:p>
    <w:p w:rsidRPr="00BF5165" w:rsidR="00BF5165" w:rsidP="00BF5165" w:rsidRDefault="00160A33" w14:paraId="3BFCB29C" w14:textId="31799E84">
      <w:pPr>
        <w:rPr>
          <w:rFonts w:ascii="Palatino Linotype" w:hAnsi="Palatino Linotype" w:eastAsia="Times New Roman" w:cs="Times New Roman"/>
          <w:kern w:val="0"/>
          <w14:ligatures w14:val="none"/>
        </w:rPr>
      </w:pPr>
      <w:r w:rsidRPr="00160A33">
        <w:rPr>
          <w:rFonts w:ascii="Palatino Linotype" w:hAnsi="Palatino Linotype" w:eastAsia="Times New Roman" w:cs="Times New Roman"/>
          <w:kern w:val="0"/>
          <w14:ligatures w14:val="none"/>
        </w:rPr>
        <w:t>On May 19, 2022, the California Public Utilities Commission (Commission) adopted Decision (D.) 22-05-029, modifying the CASF program per SB 156 and AB 164 and implementing programmatic changes to the Consortia Account</w:t>
      </w:r>
      <w:r w:rsidRPr="377423A9" w:rsidR="624167FC">
        <w:rPr>
          <w:rFonts w:ascii="Palatino Linotype" w:hAnsi="Palatino Linotype" w:eastAsia="Times New Roman" w:cs="Times New Roman"/>
        </w:rPr>
        <w:t>,</w:t>
      </w:r>
      <w:r w:rsidRPr="00160A33">
        <w:rPr>
          <w:rFonts w:ascii="Palatino Linotype" w:hAnsi="Palatino Linotype" w:eastAsia="Times New Roman" w:cs="Times New Roman"/>
          <w:kern w:val="0"/>
          <w14:ligatures w14:val="none"/>
        </w:rPr>
        <w:t xml:space="preserve"> including expansion of allowable Consortia activities, increasing annual maximum funding cap, and clarifying Consortia regional boundary requirements</w:t>
      </w:r>
      <w:r w:rsidRPr="377423A9" w:rsidR="4522B795">
        <w:rPr>
          <w:rFonts w:ascii="Palatino Linotype" w:hAnsi="Palatino Linotype" w:eastAsia="Times New Roman" w:cs="Times New Roman"/>
        </w:rPr>
        <w:t>.</w:t>
      </w:r>
      <w:r w:rsidR="00315EC1">
        <w:rPr>
          <w:rFonts w:ascii="Palatino Linotype" w:hAnsi="Palatino Linotype" w:eastAsia="Times New Roman" w:cs="Times New Roman"/>
        </w:rPr>
        <w:t xml:space="preserve"> </w:t>
      </w:r>
      <w:r w:rsidRPr="377423A9" w:rsidR="4C3EC947">
        <w:rPr>
          <w:rFonts w:ascii="Palatino Linotype" w:hAnsi="Palatino Linotype" w:eastAsia="Times New Roman" w:cs="Times New Roman"/>
        </w:rPr>
        <w:t>D.22-05-0</w:t>
      </w:r>
      <w:r w:rsidRPr="377423A9" w:rsidR="10B5D474">
        <w:rPr>
          <w:rFonts w:ascii="Palatino Linotype" w:hAnsi="Palatino Linotype" w:eastAsia="Times New Roman" w:cs="Times New Roman"/>
        </w:rPr>
        <w:t>2</w:t>
      </w:r>
      <w:r w:rsidRPr="377423A9" w:rsidR="4C3EC947">
        <w:rPr>
          <w:rFonts w:ascii="Palatino Linotype" w:hAnsi="Palatino Linotype" w:eastAsia="Times New Roman" w:cs="Times New Roman"/>
        </w:rPr>
        <w:t>9 also</w:t>
      </w:r>
      <w:r w:rsidRPr="00160A33">
        <w:rPr>
          <w:rFonts w:ascii="Palatino Linotype" w:hAnsi="Palatino Linotype" w:eastAsia="Times New Roman" w:cs="Times New Roman"/>
          <w:kern w:val="0"/>
          <w14:ligatures w14:val="none"/>
        </w:rPr>
        <w:t xml:space="preserve"> allocated an additional $10.71 million in available funding for fiscal year 2022-23.   </w:t>
      </w:r>
    </w:p>
    <w:p w:rsidR="00ED3B66" w:rsidP="00BF5165" w:rsidRDefault="00ED3B66" w14:paraId="329183D2" w14:textId="77777777">
      <w:pPr>
        <w:rPr>
          <w:rFonts w:ascii="Palatino Linotype" w:hAnsi="Palatino Linotype" w:eastAsia="Times New Roman" w:cs="Times New Roman"/>
          <w:kern w:val="0"/>
          <w14:ligatures w14:val="none"/>
        </w:rPr>
      </w:pPr>
    </w:p>
    <w:p w:rsidR="00150B86" w:rsidP="00BF5165" w:rsidRDefault="00150B86" w14:paraId="4FBECA33" w14:textId="7AD87FCE">
      <w:pPr>
        <w:rPr>
          <w:rFonts w:ascii="Palatino Linotype" w:hAnsi="Palatino Linotype" w:eastAsia="Times New Roman" w:cs="Times New Roman"/>
          <w:kern w:val="0"/>
          <w14:ligatures w14:val="none"/>
        </w:rPr>
      </w:pPr>
      <w:r w:rsidRPr="00150B86">
        <w:rPr>
          <w:rFonts w:ascii="Palatino Linotype" w:hAnsi="Palatino Linotype" w:eastAsia="Times New Roman" w:cs="Times New Roman"/>
          <w:kern w:val="0"/>
          <w14:ligatures w14:val="none"/>
        </w:rPr>
        <w:t>On November 20, 2025, the Commission adopted D.25-11-003, which modified program rules for the Consortia Account</w:t>
      </w:r>
      <w:r w:rsidR="0084196B">
        <w:rPr>
          <w:rFonts w:ascii="Palatino Linotype" w:hAnsi="Palatino Linotype" w:eastAsia="Times New Roman" w:cs="Times New Roman"/>
          <w:kern w:val="0"/>
          <w14:ligatures w14:val="none"/>
        </w:rPr>
        <w:t>, among others</w:t>
      </w:r>
      <w:r w:rsidRPr="00150B86">
        <w:rPr>
          <w:rFonts w:ascii="Palatino Linotype" w:hAnsi="Palatino Linotype" w:eastAsia="Times New Roman" w:cs="Times New Roman"/>
          <w:kern w:val="0"/>
          <w14:ligatures w14:val="none"/>
        </w:rPr>
        <w:t>. These changes include authorizing applications to form Tribal Consortia from Regional Tribal Consortia in Northern, Central, and Southern California, expanding the scope of reimbursable work to include work related to the federal Broadband, Equity, Access and Deployment (BEAD) program and future broadband deployment programs, and streamlining administrative burdens.</w:t>
      </w:r>
      <w:r w:rsidR="004629FD">
        <w:rPr>
          <w:rStyle w:val="FootnoteReference"/>
          <w:rFonts w:ascii="Palatino Linotype" w:hAnsi="Palatino Linotype" w:eastAsia="Times New Roman" w:cs="Times New Roman"/>
          <w:kern w:val="0"/>
          <w14:ligatures w14:val="none"/>
        </w:rPr>
        <w:footnoteReference w:id="4"/>
      </w:r>
    </w:p>
    <w:p w:rsidR="00ED3B66" w:rsidP="00BF5165" w:rsidRDefault="00ED3B66" w14:paraId="37BE2270" w14:textId="77777777">
      <w:pPr>
        <w:rPr>
          <w:rFonts w:ascii="Palatino Linotype" w:hAnsi="Palatino Linotype" w:eastAsia="Times New Roman" w:cs="Times New Roman"/>
          <w:kern w:val="0"/>
          <w14:ligatures w14:val="none"/>
        </w:rPr>
      </w:pPr>
    </w:p>
    <w:p w:rsidR="00DF3B60" w:rsidP="00DF3B60" w:rsidRDefault="00DF3B60" w14:paraId="74C4E2DE" w14:textId="77777777">
      <w:pPr>
        <w:rPr>
          <w:rFonts w:ascii="Palatino Linotype" w:hAnsi="Palatino Linotype" w:eastAsia="Palatino Linotype" w:cs="Palatino Linotype"/>
        </w:rPr>
      </w:pPr>
      <w:r w:rsidRPr="002D619C">
        <w:rPr>
          <w:rFonts w:ascii="Palatino Linotype" w:hAnsi="Palatino Linotype" w:eastAsia="Palatino Linotype" w:cs="Palatino Linotype"/>
        </w:rPr>
        <w:t xml:space="preserve">Pursuant to the CASF rules adopted </w:t>
      </w:r>
      <w:proofErr w:type="gramStart"/>
      <w:r w:rsidRPr="002D619C">
        <w:rPr>
          <w:rFonts w:ascii="Palatino Linotype" w:hAnsi="Palatino Linotype" w:eastAsia="Palatino Linotype" w:cs="Palatino Linotype"/>
        </w:rPr>
        <w:t>in</w:t>
      </w:r>
      <w:proofErr w:type="gramEnd"/>
      <w:r w:rsidRPr="002D619C">
        <w:rPr>
          <w:rFonts w:ascii="Palatino Linotype" w:hAnsi="Palatino Linotype" w:eastAsia="Palatino Linotype" w:cs="Palatino Linotype"/>
        </w:rPr>
        <w:t xml:space="preserve"> D.25-11-003, Consortia activities that achieve the following objectives may be eligible for funding:</w:t>
      </w:r>
    </w:p>
    <w:p w:rsidRPr="00FE5BF3" w:rsidR="00DF3B60" w:rsidP="00DF3B60" w:rsidRDefault="00DF3B60" w14:paraId="40404D65" w14:textId="77777777">
      <w:pPr>
        <w:pStyle w:val="ListParagraph"/>
        <w:numPr>
          <w:ilvl w:val="0"/>
          <w:numId w:val="16"/>
        </w:numPr>
        <w:rPr>
          <w:rFonts w:ascii="Palatino Linotype" w:hAnsi="Palatino Linotype" w:eastAsia="Palatino Linotype" w:cs="Palatino Linotype"/>
        </w:rPr>
      </w:pPr>
      <w:r w:rsidRPr="00FE5BF3">
        <w:rPr>
          <w:rFonts w:ascii="Palatino Linotype" w:hAnsi="Palatino Linotype" w:eastAsia="Palatino Linotype" w:cs="Palatino Linotype"/>
          <w:u w:val="single"/>
        </w:rPr>
        <w:t>Objective 1</w:t>
      </w:r>
      <w:r w:rsidRPr="00FE5BF3">
        <w:rPr>
          <w:rFonts w:ascii="Palatino Linotype" w:hAnsi="Palatino Linotype" w:eastAsia="Palatino Linotype" w:cs="Palatino Linotype"/>
        </w:rPr>
        <w:t>: Collaborating with the Commission and other state agencies to engage regional Consortia, local officials, internet service providers (ISPs), stakeholders, and consumers regarding priority areas and cost-effective strategies to achieve the broadband access goal.</w:t>
      </w:r>
    </w:p>
    <w:p w:rsidRPr="00FE5BF3" w:rsidR="00DF3B60" w:rsidP="00DF3B60" w:rsidRDefault="00DF3B60" w14:paraId="7DE5E125" w14:textId="09594A03">
      <w:pPr>
        <w:pStyle w:val="ListParagraph"/>
        <w:numPr>
          <w:ilvl w:val="0"/>
          <w:numId w:val="16"/>
        </w:numPr>
        <w:rPr>
          <w:rFonts w:ascii="Palatino Linotype" w:hAnsi="Palatino Linotype" w:eastAsia="Palatino Linotype" w:cs="Palatino Linotype"/>
        </w:rPr>
      </w:pPr>
      <w:r w:rsidRPr="00FE5BF3">
        <w:rPr>
          <w:rFonts w:ascii="Palatino Linotype" w:hAnsi="Palatino Linotype" w:eastAsia="Palatino Linotype" w:cs="Palatino Linotype"/>
          <w:u w:val="single"/>
        </w:rPr>
        <w:t xml:space="preserve">Objective </w:t>
      </w:r>
      <w:r>
        <w:rPr>
          <w:rFonts w:ascii="Palatino Linotype" w:hAnsi="Palatino Linotype" w:eastAsia="Palatino Linotype" w:cs="Palatino Linotype"/>
          <w:u w:val="single"/>
        </w:rPr>
        <w:t>2</w:t>
      </w:r>
      <w:r w:rsidRPr="00FE5BF3">
        <w:rPr>
          <w:rFonts w:ascii="Palatino Linotype" w:hAnsi="Palatino Linotype" w:eastAsia="Palatino Linotype" w:cs="Palatino Linotype"/>
        </w:rPr>
        <w:t>: Identifying potential CASF infrastructure projects or potential broadband deployment projects related to new programs created under SB 156 and AB 164, where providers can expand and improve their infrastructure and service offerings to achieve the goal of reaching 98% broadband deployment in each consortia region.</w:t>
      </w:r>
    </w:p>
    <w:p w:rsidRPr="00FE5BF3" w:rsidR="00DF3B60" w:rsidP="00DF3B60" w:rsidRDefault="00DF3B60" w14:paraId="76FB5740" w14:textId="5F3A050F">
      <w:pPr>
        <w:pStyle w:val="ListParagraph"/>
        <w:numPr>
          <w:ilvl w:val="0"/>
          <w:numId w:val="16"/>
        </w:numPr>
        <w:rPr>
          <w:rFonts w:ascii="Palatino Linotype" w:hAnsi="Palatino Linotype" w:eastAsia="Palatino Linotype" w:cs="Palatino Linotype"/>
        </w:rPr>
      </w:pPr>
      <w:r w:rsidRPr="00FE5BF3">
        <w:rPr>
          <w:rFonts w:ascii="Palatino Linotype" w:hAnsi="Palatino Linotype" w:eastAsia="Palatino Linotype" w:cs="Palatino Linotype"/>
          <w:u w:val="single"/>
        </w:rPr>
        <w:t>Objective 3</w:t>
      </w:r>
      <w:r w:rsidRPr="00FE5BF3">
        <w:rPr>
          <w:rFonts w:ascii="Palatino Linotype" w:hAnsi="Palatino Linotype" w:eastAsia="Palatino Linotype" w:cs="Palatino Linotype"/>
        </w:rPr>
        <w:t xml:space="preserve">: Assisting potential CASF infrastructure applicants </w:t>
      </w:r>
      <w:r w:rsidR="00BF33EC">
        <w:rPr>
          <w:rFonts w:ascii="Palatino Linotype" w:hAnsi="Palatino Linotype" w:eastAsia="Palatino Linotype" w:cs="Palatino Linotype"/>
        </w:rPr>
        <w:t>o</w:t>
      </w:r>
      <w:r w:rsidRPr="00FE5BF3">
        <w:rPr>
          <w:rFonts w:ascii="Palatino Linotype" w:hAnsi="Palatino Linotype" w:eastAsia="Palatino Linotype" w:cs="Palatino Linotype"/>
        </w:rPr>
        <w:t xml:space="preserve">r potential applicants </w:t>
      </w:r>
      <w:r w:rsidRPr="36C679D2" w:rsidR="4AB7E3E0">
        <w:rPr>
          <w:rFonts w:ascii="Palatino Linotype" w:hAnsi="Palatino Linotype" w:eastAsia="Palatino Linotype" w:cs="Palatino Linotype"/>
        </w:rPr>
        <w:t xml:space="preserve">in the project development or grant application process, </w:t>
      </w:r>
      <w:r w:rsidRPr="00FE5BF3">
        <w:rPr>
          <w:rFonts w:ascii="Palatino Linotype" w:hAnsi="Palatino Linotype" w:eastAsia="Palatino Linotype" w:cs="Palatino Linotype"/>
        </w:rPr>
        <w:t xml:space="preserve">for broadband deployment projects related to the new programs created under SB </w:t>
      </w:r>
      <w:r w:rsidRPr="00FE5BF3">
        <w:rPr>
          <w:rFonts w:ascii="Palatino Linotype" w:hAnsi="Palatino Linotype" w:eastAsia="Palatino Linotype" w:cs="Palatino Linotype"/>
        </w:rPr>
        <w:lastRenderedPageBreak/>
        <w:t>156 and AB 164 or other state and federal programs deploying broadband in California, including BEAD.</w:t>
      </w:r>
    </w:p>
    <w:p w:rsidRPr="00FE5BF3" w:rsidR="00DF3B60" w:rsidP="00DF3B60" w:rsidRDefault="00DF3B60" w14:paraId="234F3A8C" w14:textId="5897C18C">
      <w:pPr>
        <w:pStyle w:val="ListParagraph"/>
        <w:numPr>
          <w:ilvl w:val="0"/>
          <w:numId w:val="16"/>
        </w:numPr>
        <w:rPr>
          <w:rFonts w:ascii="Palatino Linotype" w:hAnsi="Palatino Linotype" w:eastAsia="Palatino Linotype" w:cs="Palatino Linotype"/>
        </w:rPr>
      </w:pPr>
      <w:r w:rsidRPr="00FE5BF3">
        <w:rPr>
          <w:rFonts w:ascii="Palatino Linotype" w:hAnsi="Palatino Linotype" w:eastAsia="Palatino Linotype" w:cs="Palatino Linotype"/>
          <w:u w:val="single"/>
        </w:rPr>
        <w:t>Objective 4</w:t>
      </w:r>
      <w:r w:rsidRPr="00FE5BF3">
        <w:rPr>
          <w:rFonts w:ascii="Palatino Linotype" w:hAnsi="Palatino Linotype" w:eastAsia="Palatino Linotype" w:cs="Palatino Linotype"/>
        </w:rPr>
        <w:t>: Conducting activities that will lead to</w:t>
      </w:r>
      <w:r w:rsidRPr="36C679D2" w:rsidR="6E60BDC6">
        <w:rPr>
          <w:rFonts w:ascii="Palatino Linotype" w:hAnsi="Palatino Linotype" w:eastAsia="Palatino Linotype" w:cs="Palatino Linotype"/>
        </w:rPr>
        <w:t>,</w:t>
      </w:r>
      <w:r w:rsidRPr="00FE5BF3">
        <w:rPr>
          <w:rFonts w:ascii="Palatino Linotype" w:hAnsi="Palatino Linotype" w:eastAsia="Palatino Linotype" w:cs="Palatino Linotype"/>
        </w:rPr>
        <w:t xml:space="preserve"> or that can be reasonably expected to lead to</w:t>
      </w:r>
      <w:r w:rsidRPr="36C679D2" w:rsidR="2C80EFF0">
        <w:rPr>
          <w:rFonts w:ascii="Palatino Linotype" w:hAnsi="Palatino Linotype" w:eastAsia="Palatino Linotype" w:cs="Palatino Linotype"/>
        </w:rPr>
        <w:t>,</w:t>
      </w:r>
      <w:r w:rsidRPr="00FE5BF3">
        <w:rPr>
          <w:rFonts w:ascii="Palatino Linotype" w:hAnsi="Palatino Linotype" w:eastAsia="Palatino Linotype" w:cs="Palatino Linotype"/>
        </w:rPr>
        <w:t xml:space="preserve"> CASF infrastructure projects or broadband deployment projects related to new programs created under SB 156 and AB 164, or other state and federal programs deploying broadband in California, including BEAD, including but not limited to the following examples of allowable activities:</w:t>
      </w:r>
    </w:p>
    <w:p w:rsidRPr="00FE5BF3" w:rsidR="00DF3B60" w:rsidP="00DF3B60" w:rsidRDefault="00DF3B60" w14:paraId="3185CFEC" w14:textId="77777777">
      <w:pPr>
        <w:pStyle w:val="ListParagraph"/>
        <w:numPr>
          <w:ilvl w:val="1"/>
          <w:numId w:val="17"/>
        </w:numPr>
        <w:rPr>
          <w:rFonts w:ascii="Palatino Linotype" w:hAnsi="Palatino Linotype" w:eastAsia="Palatino Linotype" w:cs="Palatino Linotype"/>
        </w:rPr>
      </w:pPr>
      <w:r w:rsidRPr="00FE5BF3">
        <w:rPr>
          <w:rFonts w:ascii="Palatino Linotype" w:hAnsi="Palatino Linotype" w:eastAsia="Palatino Linotype" w:cs="Palatino Linotype"/>
        </w:rPr>
        <w:t>Supporting project permitting activities.</w:t>
      </w:r>
    </w:p>
    <w:p w:rsidRPr="00FE5BF3" w:rsidR="00DF3B60" w:rsidP="00DF3B60" w:rsidRDefault="00DF3B60" w14:paraId="75865A03" w14:textId="77777777">
      <w:pPr>
        <w:pStyle w:val="ListParagraph"/>
        <w:numPr>
          <w:ilvl w:val="1"/>
          <w:numId w:val="17"/>
        </w:numPr>
        <w:rPr>
          <w:rFonts w:ascii="Palatino Linotype" w:hAnsi="Palatino Linotype" w:eastAsia="Palatino Linotype" w:cs="Palatino Linotype"/>
        </w:rPr>
      </w:pPr>
      <w:r w:rsidRPr="00FE5BF3">
        <w:rPr>
          <w:rFonts w:ascii="Palatino Linotype" w:hAnsi="Palatino Linotype" w:eastAsia="Palatino Linotype" w:cs="Palatino Linotype"/>
        </w:rPr>
        <w:t xml:space="preserve">Engaging local government officials and communities to better understand and explain regional broadband needs and solutions and </w:t>
      </w:r>
      <w:proofErr w:type="gramStart"/>
      <w:r w:rsidRPr="00FE5BF3">
        <w:rPr>
          <w:rFonts w:ascii="Palatino Linotype" w:hAnsi="Palatino Linotype" w:eastAsia="Palatino Linotype" w:cs="Palatino Linotype"/>
        </w:rPr>
        <w:t>providing</w:t>
      </w:r>
      <w:proofErr w:type="gramEnd"/>
      <w:r w:rsidRPr="00FE5BF3">
        <w:rPr>
          <w:rFonts w:ascii="Palatino Linotype" w:hAnsi="Palatino Linotype" w:eastAsia="Palatino Linotype" w:cs="Palatino Linotype"/>
        </w:rPr>
        <w:t xml:space="preserve"> technical assistance to such entities.</w:t>
      </w:r>
    </w:p>
    <w:p w:rsidRPr="00FE5BF3" w:rsidR="00DF3B60" w:rsidP="00DF3B60" w:rsidRDefault="00DF3B60" w14:paraId="3E3817A8" w14:textId="77777777">
      <w:pPr>
        <w:pStyle w:val="ListParagraph"/>
        <w:numPr>
          <w:ilvl w:val="1"/>
          <w:numId w:val="17"/>
        </w:numPr>
        <w:rPr>
          <w:rFonts w:ascii="Palatino Linotype" w:hAnsi="Palatino Linotype" w:eastAsia="Palatino Linotype" w:cs="Palatino Linotype"/>
        </w:rPr>
      </w:pPr>
      <w:r w:rsidRPr="00FE5BF3">
        <w:rPr>
          <w:rFonts w:ascii="Palatino Linotype" w:hAnsi="Palatino Linotype" w:eastAsia="Palatino Linotype" w:cs="Palatino Linotype"/>
        </w:rPr>
        <w:t>Conducting an inventory of public assets (e.g. rights-of-ways, publicly owned towers, public utility poles, equipment housing, publicly owned property) and aggregate demand, including speed tests and the identification and updates of priority areas.</w:t>
      </w:r>
    </w:p>
    <w:p w:rsidRPr="00FE5BF3" w:rsidR="00DF3B60" w:rsidP="00DF3B60" w:rsidRDefault="00DF3B60" w14:paraId="08F05789" w14:textId="77777777">
      <w:pPr>
        <w:pStyle w:val="ListParagraph"/>
        <w:numPr>
          <w:ilvl w:val="0"/>
          <w:numId w:val="16"/>
        </w:numPr>
        <w:rPr>
          <w:rFonts w:ascii="Palatino Linotype" w:hAnsi="Palatino Linotype" w:eastAsia="Palatino Linotype" w:cs="Palatino Linotype"/>
        </w:rPr>
      </w:pPr>
      <w:r w:rsidRPr="00FE5BF3">
        <w:rPr>
          <w:rFonts w:ascii="Palatino Linotype" w:hAnsi="Palatino Linotype" w:eastAsia="Palatino Linotype" w:cs="Palatino Linotype"/>
          <w:u w:val="single"/>
        </w:rPr>
        <w:t>Objective 5</w:t>
      </w:r>
      <w:r w:rsidRPr="00FE5BF3">
        <w:rPr>
          <w:rFonts w:ascii="Palatino Linotype" w:hAnsi="Palatino Linotype" w:eastAsia="Palatino Linotype" w:cs="Palatino Linotype"/>
        </w:rPr>
        <w:t>: Assisting the Commission in publicizing requests for wireline testing volunteers in areas, as needed.</w:t>
      </w:r>
    </w:p>
    <w:p w:rsidRPr="00FE5BF3" w:rsidR="00DF3B60" w:rsidP="00DF3B60" w:rsidRDefault="00DF3B60" w14:paraId="075ACB89" w14:textId="6EDAF330">
      <w:pPr>
        <w:pStyle w:val="ListParagraph"/>
        <w:numPr>
          <w:ilvl w:val="0"/>
          <w:numId w:val="16"/>
        </w:numPr>
        <w:rPr>
          <w:rFonts w:ascii="Palatino Linotype" w:hAnsi="Palatino Linotype" w:eastAsia="Palatino Linotype" w:cs="Palatino Linotype"/>
        </w:rPr>
      </w:pPr>
      <w:r w:rsidRPr="00FE5BF3">
        <w:rPr>
          <w:rFonts w:ascii="Palatino Linotype" w:hAnsi="Palatino Linotype" w:eastAsia="Palatino Linotype" w:cs="Palatino Linotype"/>
          <w:u w:val="single"/>
        </w:rPr>
        <w:t>Objective 6</w:t>
      </w:r>
      <w:r w:rsidRPr="00FE5BF3">
        <w:rPr>
          <w:rFonts w:ascii="Palatino Linotype" w:hAnsi="Palatino Linotype" w:eastAsia="Palatino Linotype" w:cs="Palatino Linotype"/>
        </w:rPr>
        <w:t xml:space="preserve">: Assisting the Commission in promoting broadband deployment in California, related to CASF Infrastructure Projects, the Federal Funding Account, Middle-Mile Broadband Initiative, Broadband Loan Loss Reserve, and Local Agency Technical Assistance </w:t>
      </w:r>
      <w:r w:rsidRPr="1DD94329" w:rsidR="26FC4B7A">
        <w:rPr>
          <w:rFonts w:ascii="Palatino Linotype" w:hAnsi="Palatino Linotype" w:eastAsia="Palatino Linotype" w:cs="Palatino Linotype"/>
        </w:rPr>
        <w:t xml:space="preserve">(LATA) </w:t>
      </w:r>
      <w:r w:rsidRPr="00FE5BF3">
        <w:rPr>
          <w:rFonts w:ascii="Palatino Linotype" w:hAnsi="Palatino Linotype" w:eastAsia="Palatino Linotype" w:cs="Palatino Linotype"/>
        </w:rPr>
        <w:t xml:space="preserve">programs created under SB 156 and AB 164, or other state and federal programs deploying broadband in California, including BEAD.  </w:t>
      </w:r>
    </w:p>
    <w:p w:rsidR="005564DE" w:rsidP="00BF5165" w:rsidRDefault="005564DE" w14:paraId="3F5FD169" w14:textId="77777777">
      <w:pPr>
        <w:rPr>
          <w:rFonts w:ascii="Palatino Linotype" w:hAnsi="Palatino Linotype" w:eastAsia="Times New Roman" w:cs="Times New Roman"/>
          <w:kern w:val="0"/>
          <w14:ligatures w14:val="none"/>
        </w:rPr>
      </w:pPr>
    </w:p>
    <w:p w:rsidR="005564DE" w:rsidP="00BF5165" w:rsidRDefault="00DC731E" w14:paraId="2317F9C1" w14:textId="3AEC79F7">
      <w:pPr>
        <w:rPr>
          <w:rFonts w:ascii="Palatino Linotype" w:hAnsi="Palatino Linotype" w:eastAsia="Times New Roman" w:cs="Times New Roman"/>
          <w:kern w:val="0"/>
          <w14:ligatures w14:val="none"/>
        </w:rPr>
      </w:pPr>
      <w:r w:rsidRPr="00DC731E">
        <w:rPr>
          <w:rFonts w:ascii="Palatino Linotype" w:hAnsi="Palatino Linotype" w:eastAsia="Times New Roman" w:cs="Times New Roman"/>
          <w:kern w:val="0"/>
          <w14:ligatures w14:val="none"/>
        </w:rPr>
        <w:t>The most recent four rounds of solicitation for Consortia grant applications were on March 29, 2019, April 23, 2020, December 18, 2020, and June 1, 2022.</w:t>
      </w:r>
      <w:r w:rsidR="00FD3538">
        <w:rPr>
          <w:rStyle w:val="FootnoteReference"/>
          <w:rFonts w:ascii="Palatino Linotype" w:hAnsi="Palatino Linotype" w:eastAsia="Times New Roman" w:cs="Times New Roman"/>
          <w:kern w:val="0"/>
          <w14:ligatures w14:val="none"/>
        </w:rPr>
        <w:footnoteReference w:id="5"/>
      </w:r>
      <w:r w:rsidRPr="00DC731E">
        <w:rPr>
          <w:rFonts w:ascii="Palatino Linotype" w:hAnsi="Palatino Linotype" w:eastAsia="Times New Roman" w:cs="Times New Roman"/>
          <w:kern w:val="0"/>
          <w14:ligatures w14:val="none"/>
        </w:rPr>
        <w:t xml:space="preserve">  Subsequently, the Commission approved a total of twenty-eight Consortia grants in the following Resolutions: Resolution T-17669 (9 grants) on October 24, 2019, Resolution T-17708 (2 grants) on October 22, 2020, Resolution T-17726 (1 grant) on April 15, 2021, Resolution T-17738 (1 project) on August 19, 2021, and Resolution T-17778 (15 grants) on January 12, 2023. The</w:t>
      </w:r>
      <w:r w:rsidR="00005FB3">
        <w:rPr>
          <w:rFonts w:ascii="Palatino Linotype" w:hAnsi="Palatino Linotype" w:eastAsia="Times New Roman" w:cs="Times New Roman"/>
          <w:kern w:val="0"/>
          <w14:ligatures w14:val="none"/>
        </w:rPr>
        <w:t xml:space="preserve"> four</w:t>
      </w:r>
      <w:r w:rsidRPr="00DC731E">
        <w:rPr>
          <w:rFonts w:ascii="Palatino Linotype" w:hAnsi="Palatino Linotype" w:eastAsia="Times New Roman" w:cs="Times New Roman"/>
          <w:kern w:val="0"/>
          <w14:ligatures w14:val="none"/>
        </w:rPr>
        <w:t xml:space="preserve"> active Consortia grants from Resolution T-17778 that are eligible for this application cycle are expected to end </w:t>
      </w:r>
      <w:r w:rsidR="00DB239B">
        <w:rPr>
          <w:rFonts w:ascii="Palatino Linotype" w:hAnsi="Palatino Linotype" w:eastAsia="Times New Roman" w:cs="Times New Roman"/>
          <w:kern w:val="0"/>
          <w14:ligatures w14:val="none"/>
        </w:rPr>
        <w:t>by</w:t>
      </w:r>
      <w:r w:rsidRPr="00DC731E">
        <w:rPr>
          <w:rFonts w:ascii="Palatino Linotype" w:hAnsi="Palatino Linotype" w:eastAsia="Times New Roman" w:cs="Times New Roman"/>
          <w:kern w:val="0"/>
          <w14:ligatures w14:val="none"/>
        </w:rPr>
        <w:t xml:space="preserve"> June 2026.</w:t>
      </w:r>
      <w:r w:rsidR="00A95076">
        <w:rPr>
          <w:rStyle w:val="FootnoteReference"/>
          <w:rFonts w:ascii="Palatino Linotype" w:hAnsi="Palatino Linotype" w:eastAsia="Times New Roman" w:cs="Times New Roman"/>
          <w:kern w:val="0"/>
          <w14:ligatures w14:val="none"/>
        </w:rPr>
        <w:footnoteReference w:id="6"/>
      </w:r>
      <w:r w:rsidRPr="00DC731E">
        <w:rPr>
          <w:rFonts w:ascii="Palatino Linotype" w:hAnsi="Palatino Linotype" w:eastAsia="Times New Roman" w:cs="Times New Roman"/>
          <w:kern w:val="0"/>
          <w14:ligatures w14:val="none"/>
        </w:rPr>
        <w:t xml:space="preserve"> Consortia grants awarded in this Resolution are expected to start </w:t>
      </w:r>
      <w:proofErr w:type="gramStart"/>
      <w:r w:rsidRPr="00DC731E">
        <w:rPr>
          <w:rFonts w:ascii="Palatino Linotype" w:hAnsi="Palatino Linotype" w:eastAsia="Times New Roman" w:cs="Times New Roman"/>
          <w:kern w:val="0"/>
          <w14:ligatures w14:val="none"/>
        </w:rPr>
        <w:t>in</w:t>
      </w:r>
      <w:proofErr w:type="gramEnd"/>
      <w:r w:rsidRPr="00DC731E">
        <w:rPr>
          <w:rFonts w:ascii="Palatino Linotype" w:hAnsi="Palatino Linotype" w:eastAsia="Times New Roman" w:cs="Times New Roman"/>
          <w:kern w:val="0"/>
          <w14:ligatures w14:val="none"/>
        </w:rPr>
        <w:t xml:space="preserve"> July </w:t>
      </w:r>
      <w:r w:rsidR="00B71FC1">
        <w:rPr>
          <w:rFonts w:ascii="Palatino Linotype" w:hAnsi="Palatino Linotype" w:eastAsia="Times New Roman" w:cs="Times New Roman"/>
          <w:kern w:val="0"/>
          <w14:ligatures w14:val="none"/>
        </w:rPr>
        <w:t xml:space="preserve">1, </w:t>
      </w:r>
      <w:r w:rsidRPr="00DC731E">
        <w:rPr>
          <w:rFonts w:ascii="Palatino Linotype" w:hAnsi="Palatino Linotype" w:eastAsia="Times New Roman" w:cs="Times New Roman"/>
          <w:kern w:val="0"/>
          <w14:ligatures w14:val="none"/>
        </w:rPr>
        <w:t>2026.</w:t>
      </w:r>
    </w:p>
    <w:p w:rsidR="005564DE" w:rsidP="00BF5165" w:rsidRDefault="005564DE" w14:paraId="2F69AC2F" w14:textId="77777777">
      <w:pPr>
        <w:rPr>
          <w:rFonts w:ascii="Palatino Linotype" w:hAnsi="Palatino Linotype" w:eastAsia="Times New Roman" w:cs="Times New Roman"/>
          <w:kern w:val="0"/>
          <w14:ligatures w14:val="none"/>
        </w:rPr>
      </w:pPr>
    </w:p>
    <w:p w:rsidR="00C92909" w:rsidP="002349EF" w:rsidRDefault="003728DA" w14:paraId="2D79D12D" w14:textId="203453CD">
      <w:pPr>
        <w:rPr>
          <w:rFonts w:ascii="Palatino Linotype" w:hAnsi="Palatino Linotype" w:eastAsia="Palatino Linotype" w:cs="Times New Roman"/>
          <w:b/>
          <w:caps/>
          <w:kern w:val="28"/>
          <w:u w:val="single"/>
          <w14:ligatures w14:val="none"/>
        </w:rPr>
      </w:pPr>
      <w:r w:rsidRPr="003728DA">
        <w:rPr>
          <w:rFonts w:ascii="Palatino Linotype" w:hAnsi="Palatino Linotype" w:eastAsia="Times New Roman" w:cs="Times New Roman"/>
          <w:kern w:val="0"/>
          <w14:ligatures w14:val="none"/>
        </w:rPr>
        <w:t>On December 10, 2025, following adoption of D.25-11-003, the Commission opened a new application cycle for Consortia grant applications. Prospective applicants were invited to submit applications by February 20, 2026.</w:t>
      </w:r>
    </w:p>
    <w:p w:rsidR="002349EF" w:rsidP="001E08D2" w:rsidRDefault="002349EF" w14:paraId="344EF6B4" w14:textId="77777777">
      <w:pPr>
        <w:keepNext/>
        <w:spacing w:before="120" w:after="240"/>
        <w:outlineLvl w:val="0"/>
        <w:rPr>
          <w:rFonts w:ascii="Palatino Linotype" w:hAnsi="Palatino Linotype" w:eastAsia="Palatino Linotype" w:cs="Times New Roman"/>
          <w:b/>
          <w:caps/>
          <w:kern w:val="28"/>
          <w:u w:val="single"/>
          <w14:ligatures w14:val="none"/>
        </w:rPr>
      </w:pPr>
    </w:p>
    <w:p w:rsidRPr="001E08D2" w:rsidR="00D75DB2" w:rsidP="001E08D2" w:rsidRDefault="00010E21" w14:paraId="5C8B11D8" w14:textId="6A9369CE">
      <w:pPr>
        <w:keepNext/>
        <w:spacing w:before="120" w:after="240"/>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2F0BE6" w:rsidP="00EF399B" w:rsidRDefault="00375FBF" w14:paraId="5C3BBC2B" w14:textId="75CF3EB7">
      <w:pPr>
        <w:contextualSpacing/>
        <w:rPr>
          <w:rFonts w:ascii="Palatino Linotype" w:hAnsi="Palatino Linotype" w:eastAsia="Palatino Linotype" w:cs="Times New Roman"/>
          <w:b/>
          <w:bCs/>
          <w:kern w:val="0"/>
          <w14:ligatures w14:val="none"/>
        </w:rPr>
      </w:pPr>
      <w:r w:rsidRPr="00375FBF">
        <w:rPr>
          <w:rFonts w:ascii="Palatino Linotype" w:hAnsi="Palatino Linotype" w:eastAsia="Palatino Linotype" w:cs="Times New Roman"/>
          <w:b/>
          <w:bCs/>
          <w:kern w:val="0"/>
          <w14:ligatures w14:val="none"/>
        </w:rPr>
        <w:tab/>
        <w:t>a. Applicant Requests and Notice</w:t>
      </w:r>
    </w:p>
    <w:p w:rsidRPr="001E08D2" w:rsidR="001E08D2" w:rsidP="00EF399B" w:rsidRDefault="001E08D2" w14:paraId="3C86E7DF" w14:textId="77777777">
      <w:pPr>
        <w:contextualSpacing/>
        <w:rPr>
          <w:rFonts w:ascii="Palatino Linotype" w:hAnsi="Palatino Linotype" w:eastAsia="Palatino Linotype" w:cs="Times New Roman"/>
          <w:b/>
          <w:bCs/>
          <w:kern w:val="0"/>
          <w14:ligatures w14:val="none"/>
        </w:rPr>
      </w:pPr>
    </w:p>
    <w:p w:rsidR="00885E7F" w:rsidP="00EF399B" w:rsidRDefault="00EE7114" w14:paraId="36290CD5" w14:textId="72B7C2C0">
      <w:pPr>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Eight</w:t>
      </w:r>
      <w:r w:rsidRPr="00EE7114">
        <w:rPr>
          <w:rFonts w:ascii="Palatino Linotype" w:hAnsi="Palatino Linotype" w:eastAsia="Palatino Linotype" w:cs="Times New Roman"/>
          <w:kern w:val="0"/>
          <w14:ligatures w14:val="none"/>
        </w:rPr>
        <w:t xml:space="preserve"> applicants, including </w:t>
      </w:r>
      <w:r w:rsidR="004265C9">
        <w:rPr>
          <w:rFonts w:ascii="Palatino Linotype" w:hAnsi="Palatino Linotype" w:eastAsia="Palatino Linotype" w:cs="Times New Roman"/>
          <w:kern w:val="0"/>
          <w14:ligatures w14:val="none"/>
        </w:rPr>
        <w:t xml:space="preserve">BCPC, EBBC, EMCSVC, GCBC, IMBC, </w:t>
      </w:r>
      <w:r w:rsidR="005F25D0">
        <w:rPr>
          <w:rFonts w:ascii="Palatino Linotype" w:hAnsi="Palatino Linotype" w:eastAsia="Palatino Linotype" w:cs="Times New Roman"/>
          <w:kern w:val="0"/>
          <w14:ligatures w14:val="none"/>
        </w:rPr>
        <w:t>LA DEAL (Grantees),</w:t>
      </w:r>
      <w:r w:rsidR="00535782">
        <w:rPr>
          <w:rFonts w:ascii="Palatino Linotype" w:hAnsi="Palatino Linotype" w:eastAsia="Palatino Linotype" w:cs="Times New Roman"/>
          <w:kern w:val="0"/>
          <w14:ligatures w14:val="none"/>
        </w:rPr>
        <w:t xml:space="preserve"> </w:t>
      </w:r>
      <w:r w:rsidRPr="001D5568" w:rsidR="001D5568">
        <w:rPr>
          <w:rFonts w:ascii="Palatino Linotype" w:hAnsi="Palatino Linotype" w:eastAsia="Palatino Linotype" w:cs="Times New Roman"/>
          <w:kern w:val="0"/>
          <w14:ligatures w14:val="none"/>
        </w:rPr>
        <w:t>Golden Gate Broadband Consortium</w:t>
      </w:r>
      <w:r w:rsidR="00AE2D4A">
        <w:rPr>
          <w:rFonts w:ascii="Palatino Linotype" w:hAnsi="Palatino Linotype" w:eastAsia="Palatino Linotype" w:cs="Times New Roman"/>
          <w:kern w:val="0"/>
          <w14:ligatures w14:val="none"/>
        </w:rPr>
        <w:t xml:space="preserve"> (GGBC)</w:t>
      </w:r>
      <w:r w:rsidR="001D5568">
        <w:rPr>
          <w:rFonts w:ascii="Palatino Linotype" w:hAnsi="Palatino Linotype" w:eastAsia="Palatino Linotype" w:cs="Times New Roman"/>
          <w:kern w:val="0"/>
          <w14:ligatures w14:val="none"/>
        </w:rPr>
        <w:t xml:space="preserve"> and Silicon Valley Broadband </w:t>
      </w:r>
      <w:r w:rsidR="001A2E2D">
        <w:rPr>
          <w:rFonts w:ascii="Palatino Linotype" w:hAnsi="Palatino Linotype" w:eastAsia="Palatino Linotype" w:cs="Times New Roman"/>
          <w:kern w:val="0"/>
          <w14:ligatures w14:val="none"/>
        </w:rPr>
        <w:t>Consortium</w:t>
      </w:r>
      <w:r w:rsidR="00AE2D4A">
        <w:rPr>
          <w:rFonts w:ascii="Palatino Linotype" w:hAnsi="Palatino Linotype" w:eastAsia="Palatino Linotype" w:cs="Times New Roman"/>
          <w:kern w:val="0"/>
          <w14:ligatures w14:val="none"/>
        </w:rPr>
        <w:t xml:space="preserve"> (SVBC)</w:t>
      </w:r>
      <w:r w:rsidRPr="00EE7114">
        <w:rPr>
          <w:rFonts w:ascii="Palatino Linotype" w:hAnsi="Palatino Linotype" w:eastAsia="Palatino Linotype" w:cs="Times New Roman"/>
          <w:kern w:val="0"/>
          <w14:ligatures w14:val="none"/>
        </w:rPr>
        <w:t xml:space="preserve"> submitted applications for CASF Consortia grant funding by the deadline</w:t>
      </w:r>
      <w:r w:rsidR="006974CC">
        <w:rPr>
          <w:rFonts w:ascii="Palatino Linotype" w:hAnsi="Palatino Linotype" w:eastAsia="Palatino Linotype" w:cs="Times New Roman"/>
          <w:kern w:val="0"/>
          <w14:ligatures w14:val="none"/>
        </w:rPr>
        <w:t xml:space="preserve"> </w:t>
      </w:r>
      <w:r w:rsidR="317DFA9A">
        <w:rPr>
          <w:rFonts w:ascii="Palatino Linotype" w:hAnsi="Palatino Linotype" w:eastAsia="Palatino Linotype" w:cs="Times New Roman"/>
          <w:kern w:val="0"/>
          <w14:ligatures w14:val="none"/>
        </w:rPr>
        <w:t xml:space="preserve">of </w:t>
      </w:r>
      <w:r w:rsidR="001A2E2D">
        <w:rPr>
          <w:rFonts w:ascii="Palatino Linotype" w:hAnsi="Palatino Linotype" w:eastAsia="Palatino Linotype" w:cs="Times New Roman"/>
          <w:kern w:val="0"/>
          <w14:ligatures w14:val="none"/>
        </w:rPr>
        <w:t>February</w:t>
      </w:r>
      <w:r w:rsidR="006974CC">
        <w:rPr>
          <w:rFonts w:ascii="Palatino Linotype" w:hAnsi="Palatino Linotype" w:eastAsia="Palatino Linotype" w:cs="Times New Roman"/>
          <w:kern w:val="0"/>
          <w14:ligatures w14:val="none"/>
        </w:rPr>
        <w:t xml:space="preserve"> 20,</w:t>
      </w:r>
      <w:r w:rsidR="001A2E2D">
        <w:rPr>
          <w:rFonts w:ascii="Palatino Linotype" w:hAnsi="Palatino Linotype" w:eastAsia="Palatino Linotype" w:cs="Times New Roman"/>
          <w:kern w:val="0"/>
          <w14:ligatures w14:val="none"/>
        </w:rPr>
        <w:t xml:space="preserve"> </w:t>
      </w:r>
      <w:r w:rsidR="006974CC">
        <w:rPr>
          <w:rFonts w:ascii="Palatino Linotype" w:hAnsi="Palatino Linotype" w:eastAsia="Palatino Linotype" w:cs="Times New Roman"/>
          <w:kern w:val="0"/>
          <w14:ligatures w14:val="none"/>
        </w:rPr>
        <w:t>2026</w:t>
      </w:r>
      <w:r w:rsidRPr="00EE7114">
        <w:rPr>
          <w:rFonts w:ascii="Palatino Linotype" w:hAnsi="Palatino Linotype" w:eastAsia="Palatino Linotype" w:cs="Times New Roman"/>
          <w:kern w:val="0"/>
          <w14:ligatures w14:val="none"/>
        </w:rPr>
        <w:t>.</w:t>
      </w:r>
      <w:r w:rsidDel="00AD27F1" w:rsidR="00AD27F1">
        <w:rPr>
          <w:rStyle w:val="FootnoteReference"/>
          <w:rFonts w:ascii="Palatino Linotype" w:hAnsi="Palatino Linotype" w:eastAsia="Palatino Linotype" w:cs="Times New Roman"/>
          <w:kern w:val="0"/>
          <w14:ligatures w14:val="none"/>
        </w:rPr>
        <w:t xml:space="preserve"> </w:t>
      </w:r>
    </w:p>
    <w:p w:rsidR="006618D8" w:rsidP="00EF399B" w:rsidRDefault="006618D8" w14:paraId="5754F4CB" w14:textId="77777777">
      <w:pPr>
        <w:contextualSpacing/>
        <w:rPr>
          <w:rFonts w:ascii="Palatino Linotype" w:hAnsi="Palatino Linotype" w:eastAsia="Palatino Linotype" w:cs="Times New Roman"/>
          <w:kern w:val="0"/>
          <w14:ligatures w14:val="none"/>
        </w:rPr>
      </w:pPr>
    </w:p>
    <w:p w:rsidR="00253491" w:rsidP="00EF399B" w:rsidRDefault="00C46166" w14:paraId="4D61F560" w14:textId="531AADBA">
      <w:pPr>
        <w:contextualSpacing/>
        <w:rPr>
          <w:rFonts w:ascii="Palatino Linotype" w:hAnsi="Palatino Linotype" w:eastAsia="Palatino Linotype" w:cs="Times New Roman"/>
          <w:kern w:val="0"/>
          <w14:ligatures w14:val="none"/>
        </w:rPr>
      </w:pPr>
      <w:r w:rsidRPr="00C46166">
        <w:rPr>
          <w:rFonts w:ascii="Palatino Linotype" w:hAnsi="Palatino Linotype" w:eastAsia="Palatino Linotype" w:cs="Times New Roman"/>
          <w:kern w:val="0"/>
          <w14:ligatures w14:val="none"/>
        </w:rPr>
        <w:t>GGBC, EMCSVC, and SVBC applied for overlapping regions. Consistent with D.25-11-003, Staff evaluated all applications under the program scoring criteria and determined that only applications receiving at least 70 points would be considered for funding, and that where multiple Consortia apply for the same region, only the highest-scoring application would be considered for an award.</w:t>
      </w:r>
      <w:r>
        <w:rPr>
          <w:rStyle w:val="FootnoteReference"/>
          <w:rFonts w:ascii="Palatino Linotype" w:hAnsi="Palatino Linotype" w:eastAsia="Palatino Linotype" w:cs="Times New Roman"/>
          <w:kern w:val="0"/>
          <w14:ligatures w14:val="none"/>
        </w:rPr>
        <w:footnoteReference w:id="7"/>
      </w:r>
      <w:r w:rsidRPr="00C46166">
        <w:rPr>
          <w:rFonts w:ascii="Palatino Linotype" w:hAnsi="Palatino Linotype" w:eastAsia="Palatino Linotype" w:cs="Times New Roman"/>
          <w:kern w:val="0"/>
          <w14:ligatures w14:val="none"/>
        </w:rPr>
        <w:t xml:space="preserve"> Of the three overlapping applications, EMCSVC and SVBC met the minimum scoring threshold, while GGBC did not.</w:t>
      </w:r>
      <w:r w:rsidR="00AD27F1">
        <w:rPr>
          <w:rStyle w:val="FootnoteReference"/>
          <w:rFonts w:ascii="Palatino Linotype" w:hAnsi="Palatino Linotype" w:eastAsia="Palatino Linotype" w:cs="Times New Roman"/>
          <w:kern w:val="0"/>
          <w14:ligatures w14:val="none"/>
        </w:rPr>
        <w:footnoteReference w:id="8"/>
      </w:r>
      <w:r w:rsidRPr="00C46166">
        <w:rPr>
          <w:rFonts w:ascii="Palatino Linotype" w:hAnsi="Palatino Linotype" w:eastAsia="Palatino Linotype" w:cs="Times New Roman"/>
          <w:kern w:val="0"/>
          <w14:ligatures w14:val="none"/>
        </w:rPr>
        <w:t xml:space="preserve"> Staff comparatively evaluated EMCSVC and SVBC and </w:t>
      </w:r>
      <w:r w:rsidRPr="2FB20F05" w:rsidR="0CC06077">
        <w:rPr>
          <w:rFonts w:ascii="Palatino Linotype" w:hAnsi="Palatino Linotype" w:eastAsia="Palatino Linotype" w:cs="Times New Roman"/>
        </w:rPr>
        <w:t>recommends</w:t>
      </w:r>
      <w:r w:rsidRPr="2FB20F05" w:rsidR="7D2BDBBF">
        <w:rPr>
          <w:rFonts w:ascii="Palatino Linotype" w:hAnsi="Palatino Linotype" w:eastAsia="Palatino Linotype" w:cs="Times New Roman"/>
        </w:rPr>
        <w:t xml:space="preserve"> </w:t>
      </w:r>
      <w:r w:rsidRPr="00C46166">
        <w:rPr>
          <w:rFonts w:ascii="Palatino Linotype" w:hAnsi="Palatino Linotype" w:eastAsia="Palatino Linotype" w:cs="Times New Roman"/>
          <w:kern w:val="0"/>
          <w14:ligatures w14:val="none"/>
        </w:rPr>
        <w:t>that EMCSVC should b</w:t>
      </w:r>
      <w:r w:rsidRPr="2FB20F05">
        <w:rPr>
          <w:rFonts w:ascii="Palatino Linotype" w:hAnsi="Palatino Linotype" w:eastAsia="Palatino Linotype" w:cs="Times New Roman"/>
        </w:rPr>
        <w:t xml:space="preserve">e </w:t>
      </w:r>
      <w:r w:rsidRPr="2FB20F05" w:rsidR="3336B411">
        <w:rPr>
          <w:rFonts w:ascii="Palatino Linotype" w:hAnsi="Palatino Linotype" w:eastAsia="Palatino Linotype" w:cs="Times New Roman"/>
        </w:rPr>
        <w:t>approved</w:t>
      </w:r>
      <w:r w:rsidRPr="00C46166">
        <w:rPr>
          <w:rFonts w:ascii="Palatino Linotype" w:hAnsi="Palatino Linotype" w:eastAsia="Palatino Linotype" w:cs="Times New Roman"/>
          <w:kern w:val="0"/>
          <w14:ligatures w14:val="none"/>
        </w:rPr>
        <w:t xml:space="preserve"> because it received the higher score</w:t>
      </w:r>
      <w:r w:rsidR="00FF5C4B">
        <w:rPr>
          <w:rFonts w:ascii="Palatino Linotype" w:hAnsi="Palatino Linotype" w:eastAsia="Palatino Linotype" w:cs="Times New Roman"/>
          <w:kern w:val="0"/>
          <w14:ligatures w14:val="none"/>
        </w:rPr>
        <w:t xml:space="preserve"> based on the fact that EMCSV</w:t>
      </w:r>
      <w:r w:rsidR="00B95B37">
        <w:rPr>
          <w:rFonts w:ascii="Palatino Linotype" w:hAnsi="Palatino Linotype" w:eastAsia="Palatino Linotype" w:cs="Times New Roman"/>
          <w:kern w:val="0"/>
          <w14:ligatures w14:val="none"/>
        </w:rPr>
        <w:t>C</w:t>
      </w:r>
      <w:r w:rsidRPr="00C46166">
        <w:rPr>
          <w:rFonts w:ascii="Palatino Linotype" w:hAnsi="Palatino Linotype" w:eastAsia="Palatino Linotype" w:cs="Times New Roman"/>
          <w:kern w:val="0"/>
          <w14:ligatures w14:val="none"/>
        </w:rPr>
        <w:t xml:space="preserve"> represents all three counties in the proposed region, submitted more endorsements, and includes direct broadband infrastructure deployment experience among its members. SVBC demonstrated strong telecommunications policy and public-sector information technology experience, but more limited direct broadband infrastructure deployment experience.</w:t>
      </w:r>
    </w:p>
    <w:p w:rsidR="00C46166" w:rsidP="00EF399B" w:rsidRDefault="00C46166" w14:paraId="5BF592F2" w14:textId="77777777">
      <w:pPr>
        <w:contextualSpacing/>
        <w:rPr>
          <w:rFonts w:ascii="Palatino Linotype" w:hAnsi="Palatino Linotype" w:eastAsia="Palatino Linotype" w:cs="Times New Roman"/>
          <w:kern w:val="0"/>
          <w14:ligatures w14:val="none"/>
        </w:rPr>
      </w:pPr>
    </w:p>
    <w:p w:rsidR="00885E7F" w:rsidP="00EF399B" w:rsidRDefault="00885E7F" w14:paraId="02C11E6B" w14:textId="6D2E4AF3">
      <w:pPr>
        <w:contextualSpacing/>
        <w:rPr>
          <w:rFonts w:ascii="Palatino Linotype" w:hAnsi="Palatino Linotype" w:eastAsia="Palatino Linotype" w:cs="Times New Roman"/>
          <w:kern w:val="0"/>
          <w14:ligatures w14:val="none"/>
        </w:rPr>
      </w:pPr>
      <w:r w:rsidRPr="00885E7F">
        <w:rPr>
          <w:rFonts w:ascii="Palatino Linotype" w:hAnsi="Palatino Linotype" w:eastAsia="Palatino Linotype" w:cs="Times New Roman"/>
          <w:kern w:val="0"/>
          <w14:ligatures w14:val="none"/>
        </w:rPr>
        <w:lastRenderedPageBreak/>
        <w:t xml:space="preserve">On </w:t>
      </w:r>
      <w:r w:rsidRPr="003A0D90" w:rsidR="003A0D90">
        <w:rPr>
          <w:rFonts w:ascii="Palatino Linotype" w:hAnsi="Palatino Linotype" w:eastAsia="Palatino Linotype" w:cs="Times New Roman"/>
          <w:kern w:val="0"/>
          <w14:ligatures w14:val="none"/>
        </w:rPr>
        <w:t>March 23, 2026</w:t>
      </w:r>
      <w:r w:rsidRPr="00885E7F">
        <w:rPr>
          <w:rFonts w:ascii="Palatino Linotype" w:hAnsi="Palatino Linotype" w:eastAsia="Palatino Linotype" w:cs="Times New Roman"/>
          <w:kern w:val="0"/>
          <w14:ligatures w14:val="none"/>
        </w:rPr>
        <w:t xml:space="preserve">, Communications Division (CD) staff (Staff) posted </w:t>
      </w:r>
      <w:r w:rsidRPr="377423A9" w:rsidR="3E320532">
        <w:rPr>
          <w:rFonts w:ascii="Palatino Linotype" w:hAnsi="Palatino Linotype" w:eastAsia="Palatino Linotype" w:cs="Times New Roman"/>
        </w:rPr>
        <w:t xml:space="preserve">the </w:t>
      </w:r>
      <w:r w:rsidRPr="00885E7F">
        <w:rPr>
          <w:rFonts w:ascii="Palatino Linotype" w:hAnsi="Palatino Linotype" w:eastAsia="Palatino Linotype" w:cs="Times New Roman"/>
          <w:kern w:val="0"/>
          <w14:ligatures w14:val="none"/>
        </w:rPr>
        <w:t>applications received on the Commission</w:t>
      </w:r>
      <w:r w:rsidR="004E7D77">
        <w:rPr>
          <w:rFonts w:ascii="Palatino Linotype" w:hAnsi="Palatino Linotype" w:eastAsia="Palatino Linotype" w:cs="Times New Roman"/>
          <w:kern w:val="0"/>
          <w14:ligatures w14:val="none"/>
        </w:rPr>
        <w:t>’</w:t>
      </w:r>
      <w:r w:rsidRPr="00885E7F">
        <w:rPr>
          <w:rFonts w:ascii="Palatino Linotype" w:hAnsi="Palatino Linotype" w:eastAsia="Palatino Linotype" w:cs="Times New Roman"/>
          <w:kern w:val="0"/>
          <w14:ligatures w14:val="none"/>
        </w:rPr>
        <w:t>s CASF Consortia Account webpage.</w:t>
      </w:r>
      <w:r w:rsidR="005239C4">
        <w:rPr>
          <w:rStyle w:val="FootnoteReference"/>
          <w:rFonts w:ascii="Palatino Linotype" w:hAnsi="Palatino Linotype" w:eastAsia="Palatino Linotype" w:cs="Times New Roman"/>
          <w:kern w:val="0"/>
          <w14:ligatures w14:val="none"/>
        </w:rPr>
        <w:footnoteReference w:id="9"/>
      </w:r>
      <w:r w:rsidRPr="00885E7F">
        <w:rPr>
          <w:rFonts w:ascii="Palatino Linotype" w:hAnsi="Palatino Linotype" w:eastAsia="Palatino Linotype" w:cs="Times New Roman"/>
          <w:kern w:val="0"/>
          <w14:ligatures w14:val="none"/>
        </w:rPr>
        <w:t xml:space="preserve">  </w:t>
      </w:r>
    </w:p>
    <w:p w:rsidR="00300CB7" w:rsidP="00FC0CB9" w:rsidRDefault="00300CB7" w14:paraId="4B48208F" w14:textId="497BFE9A">
      <w:pPr>
        <w:contextualSpacing/>
        <w:rPr>
          <w:rFonts w:ascii="Palatino Linotype" w:hAnsi="Palatino Linotype" w:eastAsia="Palatino Linotype" w:cs="Times New Roman"/>
          <w:b/>
          <w:bCs/>
          <w:kern w:val="0"/>
          <w14:ligatures w14:val="none"/>
        </w:rPr>
      </w:pPr>
    </w:p>
    <w:p w:rsidRPr="00375FBF" w:rsidR="00FC0CB9" w:rsidP="00FC0CB9" w:rsidRDefault="00300CB7" w14:paraId="25470253" w14:textId="2915F880">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r w:rsidR="00FC0CB9">
        <w:rPr>
          <w:rFonts w:ascii="Palatino Linotype" w:hAnsi="Palatino Linotype" w:eastAsia="Palatino Linotype" w:cs="Times New Roman"/>
          <w:b/>
          <w:bCs/>
          <w:kern w:val="0"/>
          <w14:ligatures w14:val="none"/>
        </w:rPr>
        <w:t>b</w:t>
      </w:r>
      <w:r w:rsidRPr="00375FBF" w:rsidR="00FC0CB9">
        <w:rPr>
          <w:rFonts w:ascii="Palatino Linotype" w:hAnsi="Palatino Linotype" w:eastAsia="Palatino Linotype" w:cs="Times New Roman"/>
          <w:b/>
          <w:bCs/>
          <w:kern w:val="0"/>
          <w14:ligatures w14:val="none"/>
        </w:rPr>
        <w:t xml:space="preserve">. </w:t>
      </w:r>
      <w:r w:rsidRPr="0007699E" w:rsidR="0007699E">
        <w:rPr>
          <w:rFonts w:ascii="Palatino Linotype" w:hAnsi="Palatino Linotype" w:eastAsia="Palatino Linotype" w:cs="Times New Roman"/>
          <w:b/>
          <w:bCs/>
          <w:kern w:val="0"/>
          <w14:ligatures w14:val="none"/>
        </w:rPr>
        <w:t>Application Review and Evaluation</w:t>
      </w:r>
    </w:p>
    <w:p w:rsidR="00D42B2E" w:rsidP="00EF399B" w:rsidRDefault="00D42B2E" w14:paraId="1BFA0AAD" w14:textId="77777777">
      <w:pPr>
        <w:contextualSpacing/>
        <w:rPr>
          <w:rFonts w:ascii="Palatino Linotype" w:hAnsi="Palatino Linotype" w:eastAsia="Palatino Linotype" w:cs="Times New Roman"/>
          <w:kern w:val="0"/>
          <w14:ligatures w14:val="none"/>
        </w:rPr>
      </w:pPr>
    </w:p>
    <w:p w:rsidRPr="00712AAD" w:rsidR="00712AAD" w:rsidP="00712AAD" w:rsidRDefault="00712AAD" w14:paraId="612AF182" w14:textId="77777777">
      <w:pPr>
        <w:contextualSpacing/>
        <w:rPr>
          <w:rFonts w:ascii="Palatino Linotype" w:hAnsi="Palatino Linotype" w:eastAsia="Palatino Linotype" w:cs="Times New Roman"/>
          <w:kern w:val="0"/>
          <w14:ligatures w14:val="none"/>
        </w:rPr>
      </w:pPr>
      <w:r w:rsidRPr="00712AAD">
        <w:rPr>
          <w:rFonts w:ascii="Palatino Linotype" w:hAnsi="Palatino Linotype" w:eastAsia="Palatino Linotype" w:cs="Times New Roman"/>
          <w:kern w:val="0"/>
          <w14:ligatures w14:val="none"/>
        </w:rPr>
        <w:t xml:space="preserve">Staff reviewed all applications according to the guidelines, requirements, and evaluation criteria adopted </w:t>
      </w:r>
      <w:proofErr w:type="gramStart"/>
      <w:r w:rsidRPr="00712AAD">
        <w:rPr>
          <w:rFonts w:ascii="Palatino Linotype" w:hAnsi="Palatino Linotype" w:eastAsia="Palatino Linotype" w:cs="Times New Roman"/>
          <w:kern w:val="0"/>
          <w14:ligatures w14:val="none"/>
        </w:rPr>
        <w:t>in</w:t>
      </w:r>
      <w:proofErr w:type="gramEnd"/>
      <w:r w:rsidRPr="00712AAD">
        <w:rPr>
          <w:rFonts w:ascii="Palatino Linotype" w:hAnsi="Palatino Linotype" w:eastAsia="Palatino Linotype" w:cs="Times New Roman"/>
          <w:kern w:val="0"/>
          <w14:ligatures w14:val="none"/>
        </w:rPr>
        <w:t xml:space="preserve"> D.25-11-003, as follows:</w:t>
      </w:r>
    </w:p>
    <w:p w:rsidRPr="00712AAD" w:rsidR="00712AAD" w:rsidP="00712AAD" w:rsidRDefault="00712AAD" w14:paraId="4780014F" w14:textId="77777777">
      <w:pPr>
        <w:contextualSpacing/>
        <w:rPr>
          <w:rFonts w:ascii="Palatino Linotype" w:hAnsi="Palatino Linotype" w:eastAsia="Palatino Linotype" w:cs="Times New Roman"/>
          <w:kern w:val="0"/>
          <w14:ligatures w14:val="none"/>
        </w:rPr>
      </w:pPr>
    </w:p>
    <w:p w:rsidRPr="0088606A" w:rsidR="003B6881" w:rsidP="00AE044F" w:rsidRDefault="003B6881" w14:paraId="4006D2F0" w14:textId="77777777">
      <w:pPr>
        <w:pStyle w:val="ListParagraph"/>
        <w:numPr>
          <w:ilvl w:val="0"/>
          <w:numId w:val="20"/>
        </w:numPr>
        <w:rPr>
          <w:rFonts w:ascii="Palatino Linotype" w:hAnsi="Palatino Linotype" w:eastAsia="Palatino Linotype" w:cs="Times New Roman"/>
          <w:kern w:val="0"/>
          <w14:ligatures w14:val="none"/>
        </w:rPr>
      </w:pPr>
      <w:r w:rsidRPr="0088606A">
        <w:rPr>
          <w:rFonts w:ascii="Palatino Linotype" w:hAnsi="Palatino Linotype" w:eastAsia="Palatino Linotype" w:cs="Times New Roman"/>
          <w:kern w:val="0"/>
          <w14:ligatures w14:val="none"/>
        </w:rPr>
        <w:t xml:space="preserve">Regional Consortium Representation and Endorsements; </w:t>
      </w:r>
    </w:p>
    <w:p w:rsidRPr="0088606A" w:rsidR="003B6881" w:rsidP="00AE044F" w:rsidRDefault="003B6881" w14:paraId="783C9BB5" w14:textId="77777777">
      <w:pPr>
        <w:pStyle w:val="ListParagraph"/>
        <w:numPr>
          <w:ilvl w:val="0"/>
          <w:numId w:val="20"/>
        </w:numPr>
        <w:rPr>
          <w:rFonts w:ascii="Palatino Linotype" w:hAnsi="Palatino Linotype" w:eastAsia="Palatino Linotype" w:cs="Times New Roman"/>
          <w:kern w:val="0"/>
          <w14:ligatures w14:val="none"/>
        </w:rPr>
      </w:pPr>
      <w:r w:rsidRPr="0088606A">
        <w:rPr>
          <w:rFonts w:ascii="Palatino Linotype" w:hAnsi="Palatino Linotype" w:eastAsia="Palatino Linotype" w:cs="Times New Roman"/>
          <w:kern w:val="0"/>
          <w14:ligatures w14:val="none"/>
        </w:rPr>
        <w:t xml:space="preserve">Regional Consortium / Members’ Experience; </w:t>
      </w:r>
    </w:p>
    <w:p w:rsidRPr="0088606A" w:rsidR="003B6881" w:rsidP="00AE044F" w:rsidRDefault="003B6881" w14:paraId="59BA57B2" w14:textId="50B81571">
      <w:pPr>
        <w:pStyle w:val="ListParagraph"/>
        <w:numPr>
          <w:ilvl w:val="0"/>
          <w:numId w:val="20"/>
        </w:numPr>
        <w:rPr>
          <w:rFonts w:ascii="Palatino Linotype" w:hAnsi="Palatino Linotype" w:eastAsia="Palatino Linotype" w:cs="Times New Roman"/>
          <w:kern w:val="0"/>
          <w14:ligatures w14:val="none"/>
        </w:rPr>
      </w:pPr>
      <w:r w:rsidRPr="00FB4BB1">
        <w:rPr>
          <w:rFonts w:ascii="Palatino Linotype" w:hAnsi="Palatino Linotype" w:eastAsia="Palatino Linotype" w:cs="Times New Roman"/>
          <w:kern w:val="0"/>
          <w14:ligatures w14:val="none"/>
        </w:rPr>
        <w:t>Work Plan and Performance Metrics Plan;</w:t>
      </w:r>
      <w:r w:rsidRPr="0088606A" w:rsidR="00EB2BEB">
        <w:rPr>
          <w:rFonts w:ascii="Palatino Linotype" w:hAnsi="Palatino Linotype" w:eastAsia="Palatino Linotype" w:cs="Times New Roman"/>
          <w:kern w:val="0"/>
          <w14:ligatures w14:val="none"/>
        </w:rPr>
        <w:t xml:space="preserve"> and</w:t>
      </w:r>
    </w:p>
    <w:p w:rsidRPr="00FB4BB1" w:rsidR="003B6881" w:rsidP="00FB4BB1" w:rsidRDefault="003B6881" w14:paraId="10C46946" w14:textId="7AA65290">
      <w:pPr>
        <w:pStyle w:val="ListParagraph"/>
        <w:numPr>
          <w:ilvl w:val="0"/>
          <w:numId w:val="20"/>
        </w:numPr>
        <w:rPr>
          <w:rFonts w:ascii="Palatino Linotype" w:hAnsi="Palatino Linotype" w:eastAsia="Palatino Linotype" w:cs="Times New Roman"/>
          <w:kern w:val="0"/>
          <w14:ligatures w14:val="none"/>
        </w:rPr>
      </w:pPr>
      <w:r w:rsidRPr="00FB4BB1">
        <w:rPr>
          <w:rFonts w:ascii="Palatino Linotype" w:hAnsi="Palatino Linotype" w:eastAsia="Palatino Linotype" w:cs="Times New Roman"/>
          <w:kern w:val="0"/>
          <w14:ligatures w14:val="none"/>
        </w:rPr>
        <w:t>Budget.</w:t>
      </w:r>
    </w:p>
    <w:p w:rsidR="003B6881" w:rsidP="003B6881" w:rsidRDefault="003B6881" w14:paraId="15121485" w14:textId="77777777">
      <w:pPr>
        <w:contextualSpacing/>
        <w:rPr>
          <w:rFonts w:ascii="Palatino Linotype" w:hAnsi="Palatino Linotype" w:eastAsia="Palatino Linotype" w:cs="Times New Roman"/>
          <w:b/>
          <w:bCs/>
          <w:kern w:val="0"/>
          <w14:ligatures w14:val="none"/>
        </w:rPr>
      </w:pPr>
    </w:p>
    <w:p w:rsidR="002F0BE6" w:rsidP="00712AAD" w:rsidRDefault="00712AAD" w14:paraId="558EDBFD" w14:textId="6C12C4FF">
      <w:pPr>
        <w:contextualSpacing/>
        <w:rPr>
          <w:rFonts w:ascii="Palatino Linotype" w:hAnsi="Palatino Linotype" w:eastAsia="Palatino Linotype" w:cs="Times New Roman"/>
          <w:kern w:val="0"/>
          <w14:ligatures w14:val="none"/>
        </w:rPr>
      </w:pPr>
      <w:r w:rsidRPr="00712AAD">
        <w:rPr>
          <w:rFonts w:ascii="Palatino Linotype" w:hAnsi="Palatino Linotype" w:eastAsia="Palatino Linotype" w:cs="Times New Roman"/>
          <w:kern w:val="0"/>
          <w14:ligatures w14:val="none"/>
        </w:rPr>
        <w:t xml:space="preserve">Applications from previously funded regional Consortia were also considered in the context of past performance in implementing their </w:t>
      </w:r>
      <w:r w:rsidRPr="0019300F" w:rsidR="0019300F">
        <w:rPr>
          <w:rFonts w:ascii="Palatino Linotype" w:hAnsi="Palatino Linotype" w:eastAsia="Palatino Linotype" w:cs="Times New Roman"/>
          <w:kern w:val="0"/>
          <w14:ligatures w14:val="none"/>
        </w:rPr>
        <w:t>Work Plan and Performance Metrics Plan</w:t>
      </w:r>
      <w:r w:rsidRPr="00712AAD">
        <w:rPr>
          <w:rFonts w:ascii="Palatino Linotype" w:hAnsi="Palatino Linotype" w:eastAsia="Palatino Linotype" w:cs="Times New Roman"/>
          <w:kern w:val="0"/>
          <w14:ligatures w14:val="none"/>
        </w:rPr>
        <w:t xml:space="preserve">. </w:t>
      </w:r>
      <w:r w:rsidRPr="00A50885" w:rsidR="00A50885">
        <w:rPr>
          <w:rFonts w:ascii="Palatino Linotype" w:hAnsi="Palatino Linotype" w:eastAsia="Palatino Linotype" w:cs="Times New Roman"/>
          <w:kern w:val="0"/>
          <w14:ligatures w14:val="none"/>
        </w:rPr>
        <w:t xml:space="preserve">Applications </w:t>
      </w:r>
      <w:r w:rsidRPr="377423A9" w:rsidR="7579996F">
        <w:rPr>
          <w:rFonts w:ascii="Palatino Linotype" w:hAnsi="Palatino Linotype" w:eastAsia="Palatino Linotype" w:cs="Times New Roman"/>
        </w:rPr>
        <w:t>that</w:t>
      </w:r>
      <w:r w:rsidRPr="00EE3357" w:rsidR="00EE3357">
        <w:rPr>
          <w:rFonts w:ascii="Palatino Linotype" w:hAnsi="Palatino Linotype" w:eastAsia="Palatino Linotype" w:cs="Times New Roman"/>
          <w:kern w:val="0"/>
          <w14:ligatures w14:val="none"/>
        </w:rPr>
        <w:t xml:space="preserve"> meet a minimum score of 70 points (out of a possible 100 points) </w:t>
      </w:r>
      <w:r w:rsidRPr="377423A9" w:rsidR="0C53263D">
        <w:rPr>
          <w:rFonts w:ascii="Palatino Linotype" w:hAnsi="Palatino Linotype" w:eastAsia="Palatino Linotype" w:cs="Times New Roman"/>
        </w:rPr>
        <w:t>were</w:t>
      </w:r>
      <w:r w:rsidRPr="00EE3357" w:rsidR="00EE3357">
        <w:rPr>
          <w:rFonts w:ascii="Palatino Linotype" w:hAnsi="Palatino Linotype" w:eastAsia="Palatino Linotype" w:cs="Times New Roman"/>
          <w:kern w:val="0"/>
          <w14:ligatures w14:val="none"/>
        </w:rPr>
        <w:t xml:space="preserve"> </w:t>
      </w:r>
      <w:r w:rsidRPr="00A50885" w:rsidR="00A50885">
        <w:rPr>
          <w:rFonts w:ascii="Palatino Linotype" w:hAnsi="Palatino Linotype" w:eastAsia="Palatino Linotype" w:cs="Times New Roman"/>
          <w:kern w:val="0"/>
          <w14:ligatures w14:val="none"/>
        </w:rPr>
        <w:t xml:space="preserve">considered for funding. Where multiple Consortia apply for the same region, </w:t>
      </w:r>
      <w:r w:rsidR="00BE5757">
        <w:rPr>
          <w:rFonts w:ascii="Palatino Linotype" w:hAnsi="Palatino Linotype" w:eastAsia="Palatino Linotype" w:cs="Times New Roman"/>
          <w:kern w:val="0"/>
          <w14:ligatures w14:val="none"/>
        </w:rPr>
        <w:t xml:space="preserve">only </w:t>
      </w:r>
      <w:r w:rsidRPr="00A50885" w:rsidR="00A50885">
        <w:rPr>
          <w:rFonts w:ascii="Palatino Linotype" w:hAnsi="Palatino Linotype" w:eastAsia="Palatino Linotype" w:cs="Times New Roman"/>
          <w:kern w:val="0"/>
          <w14:ligatures w14:val="none"/>
        </w:rPr>
        <w:t>the applica</w:t>
      </w:r>
      <w:r w:rsidRPr="00A50885" w:rsidR="03CE7DFF">
        <w:rPr>
          <w:rFonts w:ascii="Palatino Linotype" w:hAnsi="Palatino Linotype" w:eastAsia="Palatino Linotype" w:cs="Times New Roman"/>
          <w:kern w:val="0"/>
          <w14:ligatures w14:val="none"/>
        </w:rPr>
        <w:t>nt</w:t>
      </w:r>
      <w:r w:rsidRPr="00A50885" w:rsidR="00A50885">
        <w:rPr>
          <w:rFonts w:ascii="Palatino Linotype" w:hAnsi="Palatino Linotype" w:eastAsia="Palatino Linotype" w:cs="Times New Roman"/>
          <w:kern w:val="0"/>
          <w14:ligatures w14:val="none"/>
        </w:rPr>
        <w:t xml:space="preserve"> </w:t>
      </w:r>
      <w:r w:rsidR="00D82115">
        <w:rPr>
          <w:rFonts w:ascii="Palatino Linotype" w:hAnsi="Palatino Linotype" w:eastAsia="Palatino Linotype" w:cs="Times New Roman"/>
          <w:kern w:val="0"/>
          <w14:ligatures w14:val="none"/>
        </w:rPr>
        <w:t xml:space="preserve">in a region who has </w:t>
      </w:r>
      <w:r w:rsidRPr="00A50885" w:rsidR="00A50885">
        <w:rPr>
          <w:rFonts w:ascii="Palatino Linotype" w:hAnsi="Palatino Linotype" w:eastAsia="Palatino Linotype" w:cs="Times New Roman"/>
          <w:kern w:val="0"/>
          <w14:ligatures w14:val="none"/>
        </w:rPr>
        <w:t xml:space="preserve">the highest score </w:t>
      </w:r>
      <w:r w:rsidRPr="377423A9" w:rsidR="00072DCF">
        <w:rPr>
          <w:rFonts w:ascii="Palatino Linotype" w:hAnsi="Palatino Linotype" w:eastAsia="Palatino Linotype" w:cs="Times New Roman"/>
        </w:rPr>
        <w:t>will be</w:t>
      </w:r>
      <w:r w:rsidRPr="00A50885" w:rsidR="00A50885">
        <w:rPr>
          <w:rFonts w:ascii="Palatino Linotype" w:hAnsi="Palatino Linotype" w:eastAsia="Palatino Linotype" w:cs="Times New Roman"/>
          <w:kern w:val="0"/>
          <w14:ligatures w14:val="none"/>
        </w:rPr>
        <w:t xml:space="preserve"> considered for </w:t>
      </w:r>
      <w:r w:rsidR="00C800EB">
        <w:rPr>
          <w:rFonts w:ascii="Palatino Linotype" w:hAnsi="Palatino Linotype" w:eastAsia="Palatino Linotype" w:cs="Times New Roman"/>
          <w:kern w:val="0"/>
          <w14:ligatures w14:val="none"/>
        </w:rPr>
        <w:t xml:space="preserve">an </w:t>
      </w:r>
      <w:r w:rsidRPr="00A50885" w:rsidR="00A50885">
        <w:rPr>
          <w:rFonts w:ascii="Palatino Linotype" w:hAnsi="Palatino Linotype" w:eastAsia="Palatino Linotype" w:cs="Times New Roman"/>
          <w:kern w:val="0"/>
          <w14:ligatures w14:val="none"/>
        </w:rPr>
        <w:t>award.</w:t>
      </w:r>
      <w:r w:rsidR="006C25FD">
        <w:rPr>
          <w:rStyle w:val="FootnoteReference"/>
          <w:rFonts w:ascii="Palatino Linotype" w:hAnsi="Palatino Linotype" w:eastAsia="Palatino Linotype" w:cs="Times New Roman"/>
          <w:kern w:val="0"/>
          <w14:ligatures w14:val="none"/>
        </w:rPr>
        <w:footnoteReference w:id="10"/>
      </w:r>
    </w:p>
    <w:p w:rsidR="00144CD1" w:rsidP="00712AAD" w:rsidRDefault="00144CD1" w14:paraId="62343733" w14:textId="77777777">
      <w:pPr>
        <w:contextualSpacing/>
        <w:rPr>
          <w:rFonts w:ascii="Palatino Linotype" w:hAnsi="Palatino Linotype" w:eastAsia="Palatino Linotype" w:cs="Times New Roman"/>
          <w:kern w:val="0"/>
          <w14:ligatures w14:val="none"/>
        </w:rPr>
      </w:pPr>
    </w:p>
    <w:p w:rsidR="00266956" w:rsidP="00712AAD" w:rsidRDefault="00266956" w14:paraId="7F0A28C9" w14:textId="77777777">
      <w:pPr>
        <w:contextualSpacing/>
        <w:rPr>
          <w:rFonts w:ascii="Palatino Linotype" w:hAnsi="Palatino Linotype" w:eastAsia="Palatino Linotype" w:cs="Times New Roman"/>
          <w:kern w:val="0"/>
          <w14:ligatures w14:val="none"/>
        </w:rPr>
      </w:pPr>
    </w:p>
    <w:p w:rsidR="00266956" w:rsidP="00266956" w:rsidRDefault="00266956" w14:paraId="08DF7768" w14:textId="4187A3CB">
      <w:pPr>
        <w:ind w:right="-14"/>
        <w:rPr>
          <w:rFonts w:ascii="Palatino Linotype" w:hAnsi="Palatino Linotype"/>
        </w:rPr>
      </w:pPr>
      <w:r w:rsidRPr="00F42947">
        <w:rPr>
          <w:rFonts w:ascii="Palatino Linotype" w:hAnsi="Palatino Linotype"/>
        </w:rPr>
        <w:t>Detailed Work Plan and Performance Metrics Plan for each</w:t>
      </w:r>
      <w:r w:rsidRPr="00F42947" w:rsidR="00267C30">
        <w:rPr>
          <w:rFonts w:ascii="Palatino Linotype" w:hAnsi="Palatino Linotype"/>
        </w:rPr>
        <w:t xml:space="preserve"> proposed</w:t>
      </w:r>
      <w:r w:rsidRPr="00F42947">
        <w:rPr>
          <w:rFonts w:ascii="Palatino Linotype" w:hAnsi="Palatino Linotype"/>
        </w:rPr>
        <w:t xml:space="preserve"> Consortium</w:t>
      </w:r>
      <w:r w:rsidRPr="00F42947" w:rsidR="00267C30">
        <w:rPr>
          <w:rFonts w:ascii="Palatino Linotype" w:hAnsi="Palatino Linotype"/>
        </w:rPr>
        <w:t xml:space="preserve"> awardee</w:t>
      </w:r>
      <w:r w:rsidRPr="00F42947" w:rsidR="00995D4C">
        <w:rPr>
          <w:rFonts w:ascii="Palatino Linotype" w:hAnsi="Palatino Linotype"/>
        </w:rPr>
        <w:t xml:space="preserve"> will be</w:t>
      </w:r>
      <w:r w:rsidRPr="00F42947">
        <w:rPr>
          <w:rFonts w:ascii="Palatino Linotype" w:hAnsi="Palatino Linotype"/>
        </w:rPr>
        <w:t xml:space="preserve"> available at the CASF Consortia Account webpage</w:t>
      </w:r>
      <w:r w:rsidRPr="00F42947" w:rsidR="00995D4C">
        <w:rPr>
          <w:rFonts w:ascii="Palatino Linotype" w:hAnsi="Palatino Linotype"/>
        </w:rPr>
        <w:t xml:space="preserve"> </w:t>
      </w:r>
      <w:r w:rsidRPr="00F42947" w:rsidR="0005235E">
        <w:rPr>
          <w:rFonts w:ascii="Palatino Linotype" w:hAnsi="Palatino Linotype"/>
        </w:rPr>
        <w:t>after issuance of the resolution</w:t>
      </w:r>
      <w:r w:rsidRPr="00F42947">
        <w:rPr>
          <w:rFonts w:ascii="Palatino Linotype" w:hAnsi="Palatino Linotype"/>
        </w:rPr>
        <w:t>.</w:t>
      </w:r>
      <w:r w:rsidRPr="00F42947">
        <w:rPr>
          <w:rStyle w:val="FootnoteReference"/>
          <w:rFonts w:ascii="Palatino Linotype" w:hAnsi="Palatino Linotype"/>
        </w:rPr>
        <w:footnoteReference w:id="11"/>
      </w:r>
    </w:p>
    <w:p w:rsidR="00266956" w:rsidP="00712AAD" w:rsidRDefault="00266956" w14:paraId="28B9ABCA" w14:textId="77777777">
      <w:pPr>
        <w:contextualSpacing/>
        <w:rPr>
          <w:rFonts w:ascii="Palatino Linotype" w:hAnsi="Palatino Linotype" w:eastAsia="Palatino Linotype" w:cs="Times New Roman"/>
          <w:kern w:val="0"/>
          <w14:ligatures w14:val="none"/>
        </w:rPr>
      </w:pPr>
    </w:p>
    <w:p w:rsidRPr="006042DE" w:rsidR="00144CD1" w:rsidP="006042DE" w:rsidRDefault="00144CD1" w14:paraId="30AC30DA" w14:textId="7C911BFA">
      <w:pPr>
        <w:ind w:right="-14"/>
        <w:rPr>
          <w:rFonts w:ascii="Palatino Linotype" w:hAnsi="Palatino Linotype"/>
        </w:rPr>
      </w:pPr>
      <w:r>
        <w:rPr>
          <w:rFonts w:ascii="Palatino Linotype" w:hAnsi="Palatino Linotype"/>
        </w:rPr>
        <w:t xml:space="preserve">Staff’s review and evaluation of applications are summarized below.   </w:t>
      </w:r>
    </w:p>
    <w:p w:rsidR="00C6464C" w:rsidP="00712AAD" w:rsidRDefault="00C6464C" w14:paraId="761ADC5F" w14:textId="77777777">
      <w:pPr>
        <w:contextualSpacing/>
        <w:rPr>
          <w:rFonts w:ascii="Palatino Linotype" w:hAnsi="Palatino Linotype" w:eastAsia="Palatino Linotype" w:cs="Times New Roman"/>
          <w:kern w:val="0"/>
          <w14:ligatures w14:val="none"/>
        </w:rPr>
      </w:pPr>
    </w:p>
    <w:p w:rsidRPr="00375FBF" w:rsidR="00C6464C" w:rsidP="00C6464C" w:rsidRDefault="001B4F1D" w14:paraId="7CDA1DFC" w14:textId="4A9A924B">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r w:rsidR="00C6464C">
        <w:rPr>
          <w:rFonts w:ascii="Palatino Linotype" w:hAnsi="Palatino Linotype" w:eastAsia="Palatino Linotype" w:cs="Times New Roman"/>
          <w:b/>
          <w:bCs/>
          <w:kern w:val="0"/>
          <w14:ligatures w14:val="none"/>
        </w:rPr>
        <w:t>1</w:t>
      </w:r>
      <w:r w:rsidRPr="00375FBF" w:rsidR="00C6464C">
        <w:rPr>
          <w:rFonts w:ascii="Palatino Linotype" w:hAnsi="Palatino Linotype" w:eastAsia="Palatino Linotype" w:cs="Times New Roman"/>
          <w:b/>
          <w:bCs/>
          <w:kern w:val="0"/>
          <w14:ligatures w14:val="none"/>
        </w:rPr>
        <w:t xml:space="preserve">. </w:t>
      </w:r>
      <w:r w:rsidRPr="0079141C" w:rsidR="00617F9E">
        <w:rPr>
          <w:rFonts w:ascii="Palatino Linotype" w:hAnsi="Palatino Linotype" w:eastAsia="Palatino Linotype" w:cs="Palatino Linotype"/>
          <w:b/>
          <w:bCs/>
        </w:rPr>
        <w:t>Broadband Consortium of the Pacific Coast (BCPC)</w:t>
      </w:r>
    </w:p>
    <w:p w:rsidR="002F0BE6" w:rsidP="00EF399B" w:rsidRDefault="002F0BE6" w14:paraId="1059B66F" w14:textId="77777777">
      <w:pPr>
        <w:contextualSpacing/>
        <w:rPr>
          <w:rFonts w:ascii="Palatino Linotype" w:hAnsi="Palatino Linotype" w:eastAsia="Palatino Linotype" w:cs="Times New Roman"/>
          <w:kern w:val="0"/>
          <w14:ligatures w14:val="none"/>
        </w:rPr>
      </w:pPr>
    </w:p>
    <w:p w:rsidRPr="000E2CE6" w:rsidR="00D95795" w:rsidP="00D95795" w:rsidRDefault="00D95795" w14:paraId="25807E79" w14:textId="77777777">
      <w:pPr>
        <w:pStyle w:val="Default"/>
        <w:rPr>
          <w:rFonts w:ascii="Palatino Linotype" w:hAnsi="Palatino Linotype"/>
          <w:i/>
          <w:color w:val="000000" w:themeColor="text1"/>
        </w:rPr>
      </w:pPr>
      <w:r w:rsidRPr="005C67B3">
        <w:rPr>
          <w:rFonts w:ascii="Palatino Linotype" w:hAnsi="Palatino Linotype"/>
          <w:i/>
          <w:color w:val="000000" w:themeColor="text1"/>
        </w:rPr>
        <w:t>Applicant</w:t>
      </w:r>
    </w:p>
    <w:p w:rsidR="002F0BE6" w:rsidP="00EF399B" w:rsidRDefault="008C386F" w14:paraId="5D73C7CD" w14:textId="28CB895B">
      <w:pPr>
        <w:contextualSpacing/>
        <w:rPr>
          <w:rFonts w:ascii="Palatino Linotype" w:hAnsi="Palatino Linotype" w:eastAsia="Palatino Linotype" w:cs="Times New Roman"/>
          <w:kern w:val="0"/>
          <w14:ligatures w14:val="none"/>
        </w:rPr>
      </w:pPr>
      <w:r w:rsidRPr="008C386F">
        <w:rPr>
          <w:rFonts w:ascii="Palatino Linotype" w:hAnsi="Palatino Linotype" w:eastAsia="Palatino Linotype" w:cs="Palatino Linotype"/>
        </w:rPr>
        <w:t>BCPC is a regional collaborative organization conducted by the Economic Development Collaborative</w:t>
      </w:r>
      <w:r w:rsidRPr="1DD94329" w:rsidR="5DBC692A">
        <w:rPr>
          <w:rFonts w:ascii="Palatino Linotype" w:hAnsi="Palatino Linotype" w:eastAsia="Palatino Linotype" w:cs="Palatino Linotype"/>
        </w:rPr>
        <w:t>,</w:t>
      </w:r>
      <w:r w:rsidRPr="008C386F">
        <w:rPr>
          <w:rFonts w:ascii="Palatino Linotype" w:hAnsi="Palatino Linotype" w:eastAsia="Palatino Linotype" w:cs="Palatino Linotype"/>
        </w:rPr>
        <w:t xml:space="preserve"> comprised of government, economic development, education, health, business, and other not-for-profit organizations collaborating to facilitate measures that </w:t>
      </w:r>
      <w:r w:rsidRPr="289D394A">
        <w:rPr>
          <w:rFonts w:ascii="Palatino Linotype" w:hAnsi="Palatino Linotype" w:eastAsia="Palatino Linotype" w:cs="Palatino Linotype"/>
        </w:rPr>
        <w:t>aim</w:t>
      </w:r>
      <w:r w:rsidRPr="008C386F">
        <w:rPr>
          <w:rFonts w:ascii="Palatino Linotype" w:hAnsi="Palatino Linotype" w:eastAsia="Palatino Linotype" w:cs="Palatino Linotype"/>
        </w:rPr>
        <w:t xml:space="preserve"> to achieve the deployment of broadband.  Formed in 2014, the BCPC represents the Pacific Coast Tri-County Area of San Luis Obispo, Santa Barbara, and Ventura counties. </w:t>
      </w:r>
      <w:r w:rsidRPr="008C386F">
        <w:rPr>
          <w:rFonts w:ascii="Palatino Linotype" w:hAnsi="Palatino Linotype" w:eastAsia="Palatino Linotype" w:cs="Palatino Linotype"/>
        </w:rPr>
        <w:lastRenderedPageBreak/>
        <w:t xml:space="preserve">BCPC received approval for four Consortia Account grants: $300,000 in June 2014 (Resolution T-17445), $251,500 in January 2017 (Resolution T-17550), $450,000 in October 2019 (Resolution T-17669) and $600,000 in January 2023 (Resolution T-17778). Funding granted </w:t>
      </w:r>
      <w:r w:rsidRPr="289D394A" w:rsidR="6FBBB9D6">
        <w:rPr>
          <w:rFonts w:ascii="Palatino Linotype" w:hAnsi="Palatino Linotype" w:eastAsia="Palatino Linotype" w:cs="Palatino Linotype"/>
        </w:rPr>
        <w:t>to</w:t>
      </w:r>
      <w:r w:rsidRPr="008C386F">
        <w:rPr>
          <w:rFonts w:ascii="Palatino Linotype" w:hAnsi="Palatino Linotype" w:eastAsia="Palatino Linotype" w:cs="Palatino Linotype"/>
        </w:rPr>
        <w:t xml:space="preserve"> BCPC in Resolution T-17778 will conclude on June 30, 2026.</w:t>
      </w:r>
    </w:p>
    <w:p w:rsidR="002F0BE6" w:rsidP="00EF399B" w:rsidRDefault="002F0BE6" w14:paraId="4656A19F" w14:textId="77777777">
      <w:pPr>
        <w:contextualSpacing/>
        <w:rPr>
          <w:rFonts w:ascii="Palatino Linotype" w:hAnsi="Palatino Linotype" w:eastAsia="Palatino Linotype" w:cs="Times New Roman"/>
          <w:kern w:val="0"/>
          <w14:ligatures w14:val="none"/>
        </w:rPr>
      </w:pPr>
    </w:p>
    <w:p w:rsidR="00B15955" w:rsidP="00B15955" w:rsidRDefault="00B15955" w14:paraId="64B5B33D" w14:textId="3BF89758">
      <w:pPr>
        <w:pStyle w:val="NormalWeb"/>
        <w:spacing w:before="0" w:after="0"/>
        <w:rPr>
          <w:rFonts w:ascii="Palatino Linotype" w:hAnsi="Palatino Linotype"/>
          <w:i/>
        </w:rPr>
      </w:pPr>
      <w:r>
        <w:rPr>
          <w:rFonts w:ascii="Palatino Linotype" w:hAnsi="Palatino Linotype"/>
          <w:i/>
        </w:rPr>
        <w:t>Past CASF</w:t>
      </w:r>
      <w:r w:rsidR="0075570C">
        <w:rPr>
          <w:rFonts w:ascii="Palatino Linotype" w:hAnsi="Palatino Linotype"/>
          <w:i/>
        </w:rPr>
        <w:t xml:space="preserve"> Project</w:t>
      </w:r>
      <w:r>
        <w:rPr>
          <w:rFonts w:ascii="Palatino Linotype" w:hAnsi="Palatino Linotype"/>
          <w:i/>
        </w:rPr>
        <w:t xml:space="preserve"> Performance</w:t>
      </w:r>
    </w:p>
    <w:p w:rsidR="00F56308" w:rsidP="00F56308" w:rsidRDefault="00F56308" w14:paraId="12AA9973" w14:textId="040AB9C7">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kern w:val="0"/>
          <w14:ligatures w14:val="none"/>
        </w:rPr>
        <w:t>This s</w:t>
      </w:r>
      <w:r w:rsidRPr="00312D58">
        <w:rPr>
          <w:rFonts w:ascii="Palatino Linotype" w:hAnsi="Palatino Linotype" w:eastAsia="Palatino Linotype" w:cs="Times New Roman"/>
          <w:kern w:val="0"/>
          <w14:ligatures w14:val="none"/>
        </w:rPr>
        <w:t xml:space="preserve">ummary of past CASF project performance is based on applicant-provided materials and staff program </w:t>
      </w:r>
      <w:proofErr w:type="gramStart"/>
      <w:r w:rsidRPr="00A4307B">
        <w:rPr>
          <w:rFonts w:ascii="Palatino Linotype" w:hAnsi="Palatino Linotype" w:eastAsia="Palatino Linotype" w:cs="Times New Roman"/>
          <w:kern w:val="0"/>
          <w14:ligatures w14:val="none"/>
        </w:rPr>
        <w:t>records</w:t>
      </w:r>
      <w:r>
        <w:rPr>
          <w:rFonts w:ascii="Palatino Linotype" w:hAnsi="Palatino Linotype" w:eastAsia="Palatino Linotype" w:cs="Times New Roman"/>
          <w:kern w:val="0"/>
          <w14:ligatures w14:val="none"/>
        </w:rPr>
        <w:t>,</w:t>
      </w:r>
      <w:r w:rsidRPr="00A4307B">
        <w:rPr>
          <w:rFonts w:ascii="Palatino Linotype" w:hAnsi="Palatino Linotype" w:eastAsia="Palatino Linotype" w:cs="Times New Roman"/>
          <w:kern w:val="0"/>
          <w14:ligatures w14:val="none"/>
        </w:rPr>
        <w:t xml:space="preserve"> and</w:t>
      </w:r>
      <w:proofErr w:type="gramEnd"/>
      <w:r w:rsidRPr="00312D58">
        <w:rPr>
          <w:rFonts w:ascii="Palatino Linotype" w:hAnsi="Palatino Linotype" w:eastAsia="Palatino Linotype" w:cs="Times New Roman"/>
          <w:kern w:val="0"/>
          <w14:ligatures w14:val="none"/>
        </w:rPr>
        <w:t xml:space="preserve"> should not be understood as independent verification of every statement summarized</w:t>
      </w:r>
      <w:r w:rsidR="0051669D">
        <w:rPr>
          <w:rFonts w:ascii="Palatino Linotype" w:hAnsi="Palatino Linotype" w:eastAsia="Palatino Linotype" w:cs="Times New Roman"/>
          <w:kern w:val="0"/>
          <w14:ligatures w14:val="none"/>
        </w:rPr>
        <w:t xml:space="preserve"> below</w:t>
      </w:r>
      <w:r w:rsidRPr="00312D58">
        <w:rPr>
          <w:rFonts w:ascii="Palatino Linotype" w:hAnsi="Palatino Linotype" w:eastAsia="Palatino Linotype" w:cs="Times New Roman"/>
          <w:kern w:val="0"/>
          <w14:ligatures w14:val="none"/>
        </w:rPr>
        <w:t>.</w:t>
      </w:r>
      <w:r>
        <w:rPr>
          <w:rFonts w:ascii="Palatino Linotype" w:hAnsi="Palatino Linotype" w:eastAsia="Palatino Linotype" w:cs="Times New Roman"/>
          <w:b/>
          <w:bCs/>
          <w:kern w:val="0"/>
          <w14:ligatures w14:val="none"/>
        </w:rPr>
        <w:t xml:space="preserve"> </w:t>
      </w:r>
    </w:p>
    <w:p w:rsidR="00F56308" w:rsidP="00B15955" w:rsidRDefault="00F56308" w14:paraId="1844D955" w14:textId="77777777">
      <w:pPr>
        <w:pStyle w:val="ListParagraph"/>
        <w:ind w:left="0"/>
        <w:rPr>
          <w:rFonts w:ascii="Palatino Linotype" w:hAnsi="Palatino Linotype" w:eastAsia="Palatino Linotype" w:cs="Palatino Linotype"/>
        </w:rPr>
      </w:pPr>
    </w:p>
    <w:p w:rsidRPr="007668B2" w:rsidR="00B15955" w:rsidP="00B15955" w:rsidRDefault="00304026" w14:paraId="29AA28D1" w14:textId="0F675425">
      <w:pPr>
        <w:pStyle w:val="ListParagraph"/>
        <w:ind w:left="0"/>
        <w:rPr>
          <w:rFonts w:ascii="Palatino Linotype" w:hAnsi="Palatino Linotype" w:eastAsia="Palatino Linotype" w:cs="Palatino Linotype"/>
        </w:rPr>
      </w:pPr>
      <w:r>
        <w:rPr>
          <w:rFonts w:ascii="Palatino Linotype" w:hAnsi="Palatino Linotype" w:eastAsia="Palatino Linotype" w:cs="Palatino Linotype"/>
        </w:rPr>
        <w:t>BCPC reported</w:t>
      </w:r>
      <w:r w:rsidRPr="00304026">
        <w:rPr>
          <w:rFonts w:ascii="Palatino Linotype" w:hAnsi="Palatino Linotype" w:eastAsia="Palatino Linotype" w:cs="Palatino Linotype"/>
        </w:rPr>
        <w:t xml:space="preserve"> that over the previous three years, </w:t>
      </w:r>
      <w:r>
        <w:rPr>
          <w:rFonts w:ascii="Palatino Linotype" w:hAnsi="Palatino Linotype" w:eastAsia="Palatino Linotype" w:cs="Palatino Linotype"/>
        </w:rPr>
        <w:t>the consortium</w:t>
      </w:r>
      <w:r w:rsidR="00F130A6">
        <w:rPr>
          <w:rFonts w:ascii="Palatino Linotype" w:hAnsi="Palatino Linotype" w:eastAsia="Palatino Linotype" w:cs="Palatino Linotype"/>
        </w:rPr>
        <w:t>’</w:t>
      </w:r>
      <w:r>
        <w:rPr>
          <w:rFonts w:ascii="Palatino Linotype" w:hAnsi="Palatino Linotype" w:eastAsia="Palatino Linotype" w:cs="Palatino Linotype"/>
        </w:rPr>
        <w:t>s</w:t>
      </w:r>
      <w:r w:rsidRPr="00304026">
        <w:rPr>
          <w:rFonts w:ascii="Palatino Linotype" w:hAnsi="Palatino Linotype" w:eastAsia="Palatino Linotype" w:cs="Palatino Linotype"/>
        </w:rPr>
        <w:t xml:space="preserve"> work included early engagement</w:t>
      </w:r>
      <w:r>
        <w:rPr>
          <w:rFonts w:ascii="Palatino Linotype" w:hAnsi="Palatino Linotype" w:eastAsia="Palatino Linotype" w:cs="Palatino Linotype"/>
        </w:rPr>
        <w:t xml:space="preserve"> </w:t>
      </w:r>
      <w:r w:rsidRPr="0028407A" w:rsidR="00B15955">
        <w:rPr>
          <w:rFonts w:ascii="Palatino Linotype" w:hAnsi="Palatino Linotype" w:eastAsia="Palatino Linotype" w:cs="Palatino Linotype"/>
        </w:rPr>
        <w:t>with community organizations to leverage established relationships and trus</w:t>
      </w:r>
      <w:r w:rsidR="00B15955">
        <w:rPr>
          <w:rFonts w:ascii="Palatino Linotype" w:hAnsi="Palatino Linotype" w:eastAsia="Palatino Linotype" w:cs="Palatino Linotype"/>
        </w:rPr>
        <w:t xml:space="preserve">t, </w:t>
      </w:r>
      <w:r w:rsidRPr="0028407A" w:rsidR="00B15955">
        <w:rPr>
          <w:rFonts w:ascii="Palatino Linotype" w:hAnsi="Palatino Linotype" w:eastAsia="Palatino Linotype" w:cs="Palatino Linotype"/>
        </w:rPr>
        <w:t>particularly within socioeconomically disadvantaged communitie</w:t>
      </w:r>
      <w:r w:rsidR="00B15955">
        <w:rPr>
          <w:rFonts w:ascii="Palatino Linotype" w:hAnsi="Palatino Linotype" w:eastAsia="Palatino Linotype" w:cs="Palatino Linotype"/>
        </w:rPr>
        <w:t xml:space="preserve">s </w:t>
      </w:r>
      <w:r w:rsidRPr="0028407A" w:rsidR="00B15955">
        <w:rPr>
          <w:rFonts w:ascii="Palatino Linotype" w:hAnsi="Palatino Linotype" w:eastAsia="Palatino Linotype" w:cs="Palatino Linotype"/>
        </w:rPr>
        <w:t xml:space="preserve">to support data collection and to elevate community needs as a core pillar of broadband deployment planning. </w:t>
      </w:r>
      <w:r w:rsidRPr="007668B2" w:rsidR="00B15955">
        <w:rPr>
          <w:rFonts w:ascii="Palatino Linotype" w:hAnsi="Palatino Linotype" w:eastAsia="Palatino Linotype" w:cs="Palatino Linotype"/>
        </w:rPr>
        <w:t xml:space="preserve">BCPC </w:t>
      </w:r>
      <w:r w:rsidRPr="007859B4" w:rsidR="007859B4">
        <w:rPr>
          <w:rFonts w:ascii="Palatino Linotype" w:hAnsi="Palatino Linotype" w:eastAsia="Palatino Linotype" w:cs="Palatino Linotype"/>
        </w:rPr>
        <w:t>reported</w:t>
      </w:r>
      <w:r w:rsidR="006133E4">
        <w:rPr>
          <w:rFonts w:ascii="Palatino Linotype" w:hAnsi="Palatino Linotype" w:eastAsia="Palatino Linotype" w:cs="Palatino Linotype"/>
        </w:rPr>
        <w:t xml:space="preserve"> </w:t>
      </w:r>
      <w:r w:rsidRPr="006133E4" w:rsidR="006133E4">
        <w:rPr>
          <w:rFonts w:ascii="Palatino Linotype" w:hAnsi="Palatino Linotype" w:eastAsia="Palatino Linotype" w:cs="Palatino Linotype"/>
        </w:rPr>
        <w:t>serving</w:t>
      </w:r>
      <w:r w:rsidR="006133E4">
        <w:rPr>
          <w:rFonts w:ascii="Palatino Linotype" w:hAnsi="Palatino Linotype" w:eastAsia="Palatino Linotype" w:cs="Palatino Linotype"/>
        </w:rPr>
        <w:t xml:space="preserve"> as a</w:t>
      </w:r>
      <w:r w:rsidRPr="007859B4" w:rsidR="007859B4">
        <w:rPr>
          <w:rFonts w:ascii="Palatino Linotype" w:hAnsi="Palatino Linotype" w:eastAsia="Palatino Linotype" w:cs="Palatino Linotype"/>
        </w:rPr>
        <w:t xml:space="preserve"> regional</w:t>
      </w:r>
      <w:r w:rsidR="007859B4">
        <w:rPr>
          <w:rFonts w:ascii="Palatino Linotype" w:hAnsi="Palatino Linotype" w:eastAsia="Palatino Linotype" w:cs="Palatino Linotype"/>
        </w:rPr>
        <w:t xml:space="preserve"> </w:t>
      </w:r>
      <w:r w:rsidRPr="007668B2" w:rsidR="00B15955">
        <w:rPr>
          <w:rFonts w:ascii="Palatino Linotype" w:hAnsi="Palatino Linotype" w:eastAsia="Palatino Linotype" w:cs="Palatino Linotype"/>
        </w:rPr>
        <w:t>convener, collector, and coordinator of conversations in the following strategic areas:</w:t>
      </w:r>
    </w:p>
    <w:p w:rsidRPr="007668B2" w:rsidR="00B15955" w:rsidP="00B15955" w:rsidRDefault="00B15955" w14:paraId="7FECA4DA" w14:textId="77777777">
      <w:pPr>
        <w:pStyle w:val="ListParagraph"/>
        <w:numPr>
          <w:ilvl w:val="0"/>
          <w:numId w:val="18"/>
        </w:numPr>
        <w:rPr>
          <w:rFonts w:ascii="Palatino Linotype" w:hAnsi="Palatino Linotype" w:eastAsia="Palatino Linotype" w:cs="Palatino Linotype"/>
        </w:rPr>
      </w:pPr>
      <w:r w:rsidRPr="007668B2">
        <w:rPr>
          <w:rFonts w:ascii="Palatino Linotype" w:hAnsi="Palatino Linotype" w:eastAsia="Palatino Linotype" w:cs="Palatino Linotype"/>
        </w:rPr>
        <w:t>Tracking statewide initiatives and conveying progress to key stakeholders.</w:t>
      </w:r>
    </w:p>
    <w:p w:rsidRPr="007668B2" w:rsidR="00B15955" w:rsidP="00B15955" w:rsidRDefault="00B15955" w14:paraId="347D319D" w14:textId="77777777">
      <w:pPr>
        <w:pStyle w:val="ListParagraph"/>
        <w:numPr>
          <w:ilvl w:val="0"/>
          <w:numId w:val="18"/>
        </w:numPr>
        <w:rPr>
          <w:rFonts w:ascii="Palatino Linotype" w:hAnsi="Palatino Linotype" w:eastAsia="Palatino Linotype" w:cs="Palatino Linotype"/>
        </w:rPr>
      </w:pPr>
      <w:r w:rsidRPr="007668B2">
        <w:rPr>
          <w:rFonts w:ascii="Palatino Linotype" w:hAnsi="Palatino Linotype" w:eastAsia="Palatino Linotype" w:cs="Palatino Linotype"/>
        </w:rPr>
        <w:t>Planning regional middle mile networks to supplement state deployment.</w:t>
      </w:r>
    </w:p>
    <w:p w:rsidRPr="007668B2" w:rsidR="00B15955" w:rsidP="00B15955" w:rsidRDefault="00B15955" w14:paraId="41E51599" w14:textId="77777777">
      <w:pPr>
        <w:pStyle w:val="ListParagraph"/>
        <w:numPr>
          <w:ilvl w:val="0"/>
          <w:numId w:val="18"/>
        </w:numPr>
        <w:rPr>
          <w:rFonts w:ascii="Palatino Linotype" w:hAnsi="Palatino Linotype" w:eastAsia="Palatino Linotype" w:cs="Palatino Linotype"/>
          <w:lang w:val="en"/>
        </w:rPr>
      </w:pPr>
      <w:r w:rsidRPr="007668B2">
        <w:rPr>
          <w:rFonts w:ascii="Palatino Linotype" w:hAnsi="Palatino Linotype" w:eastAsia="Palatino Linotype" w:cs="Palatino Linotype"/>
          <w:lang w:val="en"/>
        </w:rPr>
        <w:t>Drafting and promoting policy for regional and local levels to accelerate deployment.</w:t>
      </w:r>
    </w:p>
    <w:p w:rsidRPr="007668B2" w:rsidR="00B15955" w:rsidP="00B15955" w:rsidRDefault="00B15955" w14:paraId="0C7A65F4" w14:textId="77777777">
      <w:pPr>
        <w:pStyle w:val="ListParagraph"/>
        <w:numPr>
          <w:ilvl w:val="0"/>
          <w:numId w:val="18"/>
        </w:numPr>
        <w:rPr>
          <w:rFonts w:ascii="Palatino Linotype" w:hAnsi="Palatino Linotype" w:eastAsia="Palatino Linotype" w:cs="Palatino Linotype"/>
        </w:rPr>
      </w:pPr>
      <w:r w:rsidRPr="007668B2">
        <w:rPr>
          <w:rFonts w:ascii="Palatino Linotype" w:hAnsi="Palatino Linotype" w:eastAsia="Palatino Linotype" w:cs="Palatino Linotype"/>
        </w:rPr>
        <w:t>Developing proposals for priority projects and encouraging pathways toward quick wins as outcomes.</w:t>
      </w:r>
    </w:p>
    <w:p w:rsidRPr="007668B2" w:rsidR="00B15955" w:rsidP="00B15955" w:rsidRDefault="00B15955" w14:paraId="4EA5ED2C" w14:textId="77777777">
      <w:pPr>
        <w:pStyle w:val="ListParagraph"/>
        <w:numPr>
          <w:ilvl w:val="0"/>
          <w:numId w:val="18"/>
        </w:numPr>
        <w:rPr>
          <w:rFonts w:ascii="Palatino Linotype" w:hAnsi="Palatino Linotype" w:eastAsia="Palatino Linotype" w:cs="Palatino Linotype"/>
          <w:lang w:val="en"/>
        </w:rPr>
      </w:pPr>
      <w:r w:rsidRPr="007668B2">
        <w:rPr>
          <w:rFonts w:ascii="Palatino Linotype" w:hAnsi="Palatino Linotype" w:eastAsia="Palatino Linotype" w:cs="Palatino Linotype"/>
          <w:lang w:val="en"/>
        </w:rPr>
        <w:t>Mapping fiber assets and community networks to interconnect anchors for resiliency.</w:t>
      </w:r>
    </w:p>
    <w:p w:rsidRPr="007668B2" w:rsidR="00B15955" w:rsidP="00B15955" w:rsidRDefault="00B15955" w14:paraId="4E889F47" w14:textId="77777777">
      <w:pPr>
        <w:pStyle w:val="ListParagraph"/>
        <w:numPr>
          <w:ilvl w:val="0"/>
          <w:numId w:val="18"/>
        </w:numPr>
        <w:rPr>
          <w:rFonts w:ascii="Palatino Linotype" w:hAnsi="Palatino Linotype" w:eastAsia="Palatino Linotype" w:cs="Palatino Linotype"/>
        </w:rPr>
      </w:pPr>
      <w:r w:rsidRPr="007668B2">
        <w:rPr>
          <w:rFonts w:ascii="Palatino Linotype" w:hAnsi="Palatino Linotype" w:eastAsia="Palatino Linotype" w:cs="Palatino Linotype"/>
        </w:rPr>
        <w:t>Creating a mechanism to support public oversight of potential regional networks.</w:t>
      </w:r>
    </w:p>
    <w:p w:rsidR="00B15955" w:rsidP="00B15955" w:rsidRDefault="00B15955" w14:paraId="6A534F04" w14:textId="77777777">
      <w:pPr>
        <w:pStyle w:val="ListParagraph"/>
        <w:numPr>
          <w:ilvl w:val="0"/>
          <w:numId w:val="18"/>
        </w:numPr>
        <w:rPr>
          <w:rFonts w:ascii="Palatino Linotype" w:hAnsi="Palatino Linotype" w:eastAsia="Palatino Linotype" w:cs="Palatino Linotype"/>
        </w:rPr>
      </w:pPr>
      <w:r w:rsidRPr="007668B2">
        <w:rPr>
          <w:rFonts w:ascii="Palatino Linotype" w:hAnsi="Palatino Linotype" w:eastAsia="Palatino Linotype" w:cs="Palatino Linotype"/>
        </w:rPr>
        <w:t>Developing recommendations for “shovel ready” projects for technical assistance, and the build out of the middle and last mile.</w:t>
      </w:r>
    </w:p>
    <w:p w:rsidRPr="00DE4977" w:rsidR="00B15955" w:rsidP="00B15955" w:rsidRDefault="00B15955" w14:paraId="190B3FB2" w14:textId="7EE1EE1C">
      <w:pPr>
        <w:pStyle w:val="ListParagraph"/>
        <w:numPr>
          <w:ilvl w:val="0"/>
          <w:numId w:val="18"/>
        </w:numPr>
        <w:rPr>
          <w:rFonts w:ascii="Palatino Linotype" w:hAnsi="Palatino Linotype" w:eastAsia="Palatino Linotype" w:cs="Palatino Linotype"/>
        </w:rPr>
      </w:pPr>
      <w:r w:rsidRPr="00DE4977">
        <w:rPr>
          <w:rFonts w:ascii="Palatino Linotype" w:hAnsi="Palatino Linotype" w:eastAsia="Palatino Linotype" w:cs="Palatino Linotype"/>
        </w:rPr>
        <w:t>Engaging with digital inclusion advocates through coalitions to continue to inform their efforts with technical insight and ground-truth data on broadband availability and costs</w:t>
      </w:r>
      <w:r w:rsidR="003C6550">
        <w:rPr>
          <w:rFonts w:ascii="Palatino Linotype" w:hAnsi="Palatino Linotype" w:eastAsia="Palatino Linotype" w:cs="Palatino Linotype"/>
        </w:rPr>
        <w:t>.</w:t>
      </w:r>
    </w:p>
    <w:p w:rsidR="00B15955" w:rsidP="00B15955" w:rsidRDefault="00B15955" w14:paraId="5F975113" w14:textId="77777777">
      <w:pPr>
        <w:pStyle w:val="NormalWeb"/>
        <w:spacing w:before="0" w:after="0"/>
        <w:rPr>
          <w:rFonts w:ascii="Palatino Linotype" w:hAnsi="Palatino Linotype"/>
          <w:i/>
        </w:rPr>
      </w:pPr>
    </w:p>
    <w:p w:rsidRPr="00FF7AC6" w:rsidR="00B15955" w:rsidP="00B15955" w:rsidRDefault="00B15955" w14:paraId="4B0E35B2" w14:textId="77777777">
      <w:pPr>
        <w:pStyle w:val="NormalWeb"/>
        <w:spacing w:before="0" w:after="0"/>
        <w:rPr>
          <w:rFonts w:ascii="Palatino Linotype" w:hAnsi="Palatino Linotype"/>
          <w:i/>
        </w:rPr>
      </w:pPr>
      <w:r w:rsidRPr="005C67B3">
        <w:rPr>
          <w:rFonts w:ascii="Palatino Linotype" w:hAnsi="Palatino Linotype"/>
          <w:i/>
        </w:rPr>
        <w:t>Regional Consortium Representation and Endorsements</w:t>
      </w:r>
      <w:r>
        <w:rPr>
          <w:rFonts w:ascii="Palatino Linotype" w:hAnsi="Palatino Linotype"/>
          <w:i/>
        </w:rPr>
        <w:t xml:space="preserve"> </w:t>
      </w:r>
    </w:p>
    <w:p w:rsidR="002F0BE6" w:rsidP="00BB4A98" w:rsidRDefault="00B15955" w14:paraId="34D5A0D6" w14:textId="62ECADB0">
      <w:pPr>
        <w:pStyle w:val="ListParagraph"/>
        <w:ind w:left="0"/>
        <w:rPr>
          <w:rFonts w:ascii="Palatino Linotype" w:hAnsi="Palatino Linotype" w:eastAsia="Palatino Linotype" w:cs="Palatino Linotype"/>
          <w:color w:val="000000"/>
          <w:kern w:val="0"/>
          <w14:ligatures w14:val="none"/>
        </w:rPr>
      </w:pPr>
      <w:r w:rsidRPr="00616B63">
        <w:rPr>
          <w:rFonts w:ascii="Palatino Linotype" w:hAnsi="Palatino Linotype" w:eastAsia="Palatino Linotype" w:cs="Palatino Linotype"/>
          <w:color w:val="000000"/>
          <w:kern w:val="0"/>
          <w14:ligatures w14:val="none"/>
        </w:rPr>
        <w:t>BCPC representation includes multiple sectors across the tri-county region from local governments; business entities, and various regional and community-based organizations. The governing board structure has a steering committee and an advisory board. BCPC received a total of 29 endorsements from various organizations such as city governments, internet service providers (ISP), elected representatives, and schools among others.</w:t>
      </w:r>
    </w:p>
    <w:p w:rsidRPr="00616B63" w:rsidR="004F3D52" w:rsidP="004F3D52" w:rsidRDefault="004F3D52" w14:paraId="2DA04863" w14:textId="77777777">
      <w:pPr>
        <w:pStyle w:val="ListParagraph"/>
        <w:ind w:left="0"/>
        <w:rPr>
          <w:rFonts w:ascii="Palatino Linotype" w:hAnsi="Palatino Linotype" w:eastAsia="Palatino Linotype" w:cs="Palatino Linotype"/>
          <w:color w:val="000000"/>
          <w:kern w:val="0"/>
          <w14:ligatures w14:val="none"/>
        </w:rPr>
      </w:pPr>
    </w:p>
    <w:p w:rsidR="000B0A58" w:rsidP="004F3D52" w:rsidRDefault="000B0A58" w14:paraId="24CBEFAB" w14:textId="77777777">
      <w:pPr>
        <w:pStyle w:val="Default"/>
        <w:rPr>
          <w:rFonts w:ascii="Palatino Linotype" w:hAnsi="Palatino Linotype"/>
          <w:b/>
          <w:color w:val="000000" w:themeColor="text1"/>
        </w:rPr>
      </w:pPr>
      <w:r w:rsidRPr="005C67B3">
        <w:rPr>
          <w:rFonts w:ascii="Palatino Linotype" w:hAnsi="Palatino Linotype"/>
          <w:i/>
        </w:rPr>
        <w:lastRenderedPageBreak/>
        <w:t>Regional Consortium Members’ Experience</w:t>
      </w:r>
    </w:p>
    <w:p w:rsidR="000B0A58" w:rsidP="004F3D52" w:rsidRDefault="000B0A58" w14:paraId="6D3B6A05" w14:textId="6594A8A3">
      <w:pPr>
        <w:pStyle w:val="ListParagraph"/>
        <w:ind w:left="0"/>
        <w:rPr>
          <w:rFonts w:ascii="Palatino Linotype" w:hAnsi="Palatino Linotype" w:eastAsia="Palatino Linotype" w:cs="Palatino Linotype"/>
        </w:rPr>
      </w:pPr>
      <w:r w:rsidRPr="00705BC6">
        <w:rPr>
          <w:rFonts w:ascii="Palatino Linotype" w:hAnsi="Palatino Linotype" w:eastAsia="Palatino Linotype" w:cs="Palatino Linotype"/>
        </w:rPr>
        <w:t>BCPC’s members have direct</w:t>
      </w:r>
      <w:r>
        <w:rPr>
          <w:rFonts w:ascii="Palatino Linotype" w:hAnsi="Palatino Linotype" w:eastAsia="Palatino Linotype" w:cs="Palatino Linotype"/>
        </w:rPr>
        <w:t xml:space="preserve"> and ongoing</w:t>
      </w:r>
      <w:r w:rsidRPr="00705BC6">
        <w:rPr>
          <w:rFonts w:ascii="Palatino Linotype" w:hAnsi="Palatino Linotype" w:eastAsia="Palatino Linotype" w:cs="Palatino Linotype"/>
        </w:rPr>
        <w:t xml:space="preserve"> experience with broadband deployment</w:t>
      </w:r>
      <w:r>
        <w:rPr>
          <w:rFonts w:ascii="Palatino Linotype" w:hAnsi="Palatino Linotype" w:eastAsia="Palatino Linotype" w:cs="Palatino Linotype"/>
        </w:rPr>
        <w:t xml:space="preserve"> </w:t>
      </w:r>
      <w:r w:rsidRPr="00705BC6">
        <w:rPr>
          <w:rFonts w:ascii="Palatino Linotype" w:hAnsi="Palatino Linotype" w:eastAsia="Palatino Linotype" w:cs="Palatino Linotype"/>
        </w:rPr>
        <w:t>efforts</w:t>
      </w:r>
      <w:r>
        <w:rPr>
          <w:rFonts w:ascii="Palatino Linotype" w:hAnsi="Palatino Linotype" w:eastAsia="Palatino Linotype" w:cs="Palatino Linotype"/>
        </w:rPr>
        <w:t xml:space="preserve">.  </w:t>
      </w:r>
      <w:r w:rsidRPr="00705BC6">
        <w:rPr>
          <w:rFonts w:ascii="Palatino Linotype" w:hAnsi="Palatino Linotype" w:eastAsia="Palatino Linotype" w:cs="Palatino Linotype"/>
        </w:rPr>
        <w:t>As government officials, educators, business owners</w:t>
      </w:r>
      <w:r>
        <w:rPr>
          <w:rFonts w:ascii="Palatino Linotype" w:hAnsi="Palatino Linotype" w:eastAsia="Palatino Linotype" w:cs="Palatino Linotype"/>
        </w:rPr>
        <w:t xml:space="preserve"> and </w:t>
      </w:r>
      <w:r w:rsidRPr="00705BC6">
        <w:rPr>
          <w:rFonts w:ascii="Palatino Linotype" w:hAnsi="Palatino Linotype" w:eastAsia="Palatino Linotype" w:cs="Palatino Linotype"/>
        </w:rPr>
        <w:t xml:space="preserve">developers, they have direct experience working with </w:t>
      </w:r>
      <w:r w:rsidRPr="1DAC259C">
        <w:rPr>
          <w:rFonts w:ascii="Palatino Linotype" w:hAnsi="Palatino Linotype" w:eastAsia="Palatino Linotype" w:cs="Palatino Linotype"/>
        </w:rPr>
        <w:t>their regional</w:t>
      </w:r>
      <w:r w:rsidRPr="00705BC6">
        <w:rPr>
          <w:rFonts w:ascii="Palatino Linotype" w:hAnsi="Palatino Linotype" w:eastAsia="Palatino Linotype" w:cs="Palatino Linotype"/>
        </w:rPr>
        <w:t xml:space="preserve"> communities.</w:t>
      </w:r>
    </w:p>
    <w:p w:rsidRPr="00176799" w:rsidR="004F3D52" w:rsidP="004F3D52" w:rsidRDefault="004F3D52" w14:paraId="6519630C" w14:textId="77777777">
      <w:pPr>
        <w:pStyle w:val="ListParagraph"/>
        <w:ind w:left="0"/>
        <w:rPr>
          <w:rFonts w:ascii="Palatino Linotype" w:hAnsi="Palatino Linotype" w:eastAsia="Palatino Linotype" w:cs="Palatino Linotype"/>
        </w:rPr>
      </w:pPr>
    </w:p>
    <w:p w:rsidRPr="000B0A58" w:rsidR="000B0A58" w:rsidP="004F3D52" w:rsidRDefault="000B0A58" w14:paraId="476323FA" w14:textId="77777777">
      <w:pPr>
        <w:pStyle w:val="Default"/>
        <w:rPr>
          <w:rFonts w:ascii="Palatino Linotype" w:hAnsi="Palatino Linotype"/>
          <w:i/>
        </w:rPr>
      </w:pPr>
      <w:r w:rsidRPr="000B0A58">
        <w:rPr>
          <w:rFonts w:ascii="Palatino Linotype" w:hAnsi="Palatino Linotype"/>
          <w:i/>
        </w:rPr>
        <w:t>Work Plan and Performance Metrics Plan</w:t>
      </w:r>
    </w:p>
    <w:p w:rsidRPr="00076E39" w:rsidR="00076E39" w:rsidP="000B0A58" w:rsidRDefault="000B0A58" w14:paraId="6D124B63" w14:textId="62DCC48C">
      <w:pPr>
        <w:pStyle w:val="Default"/>
        <w:rPr>
          <w:rFonts w:ascii="Palatino Linotype" w:hAnsi="Palatino Linotype" w:eastAsia="Palatino Linotype" w:cs="Palatino Linotype"/>
        </w:rPr>
      </w:pPr>
      <w:r w:rsidRPr="000B0A58">
        <w:rPr>
          <w:rFonts w:ascii="Palatino Linotype" w:hAnsi="Palatino Linotype"/>
          <w:iCs/>
        </w:rPr>
        <w:t>BCPC proposes to continue with a three</w:t>
      </w:r>
      <w:r w:rsidRPr="00C53FC7">
        <w:rPr>
          <w:rFonts w:ascii="Palatino Linotype" w:hAnsi="Palatino Linotype" w:eastAsia="Palatino Linotype" w:cs="Palatino Linotype"/>
        </w:rPr>
        <w:t xml:space="preserve">-year </w:t>
      </w:r>
      <w:r>
        <w:rPr>
          <w:rFonts w:ascii="Palatino Linotype" w:hAnsi="Palatino Linotype" w:eastAsia="Palatino Linotype" w:cs="Palatino Linotype"/>
        </w:rPr>
        <w:t xml:space="preserve">project </w:t>
      </w:r>
      <w:r w:rsidRPr="00C53FC7">
        <w:rPr>
          <w:rFonts w:ascii="Palatino Linotype" w:hAnsi="Palatino Linotype" w:eastAsia="Palatino Linotype" w:cs="Palatino Linotype"/>
        </w:rPr>
        <w:t>program</w:t>
      </w:r>
      <w:r>
        <w:rPr>
          <w:rFonts w:ascii="Palatino Linotype" w:hAnsi="Palatino Linotype" w:eastAsia="Palatino Linotype" w:cs="Palatino Linotype"/>
        </w:rPr>
        <w:t xml:space="preserve"> plan</w:t>
      </w:r>
      <w:r w:rsidRPr="00C53FC7">
        <w:rPr>
          <w:rFonts w:ascii="Palatino Linotype" w:hAnsi="Palatino Linotype" w:eastAsia="Palatino Linotype" w:cs="Palatino Linotype"/>
        </w:rPr>
        <w:t>. The proposed work aligns with the</w:t>
      </w:r>
      <w:r>
        <w:rPr>
          <w:rFonts w:ascii="Palatino Linotype" w:hAnsi="Palatino Linotype" w:eastAsia="Palatino Linotype" w:cs="Palatino Linotype"/>
        </w:rPr>
        <w:t xml:space="preserve"> stated goals of the</w:t>
      </w:r>
      <w:r w:rsidRPr="00C53FC7">
        <w:rPr>
          <w:rFonts w:ascii="Palatino Linotype" w:hAnsi="Palatino Linotype" w:eastAsia="Palatino Linotype" w:cs="Palatino Linotype"/>
        </w:rPr>
        <w:t xml:space="preserve"> Consortia Account</w:t>
      </w:r>
      <w:r w:rsidRPr="377423A9" w:rsidR="71CB7314">
        <w:rPr>
          <w:rFonts w:ascii="Palatino Linotype" w:hAnsi="Palatino Linotype" w:eastAsia="Palatino Linotype" w:cs="Palatino Linotype"/>
        </w:rPr>
        <w:t>,</w:t>
      </w:r>
      <w:r w:rsidRPr="00C53FC7">
        <w:rPr>
          <w:rFonts w:ascii="Palatino Linotype" w:hAnsi="Palatino Linotype" w:eastAsia="Palatino Linotype" w:cs="Palatino Linotype"/>
        </w:rPr>
        <w:t xml:space="preserve"> including engaging regional stakeholders around priority areas and deployment strategies</w:t>
      </w:r>
      <w:r w:rsidRPr="377423A9" w:rsidR="31FD597C">
        <w:rPr>
          <w:rFonts w:ascii="Palatino Linotype" w:hAnsi="Palatino Linotype" w:eastAsia="Palatino Linotype" w:cs="Palatino Linotype"/>
        </w:rPr>
        <w:t>,</w:t>
      </w:r>
      <w:r w:rsidRPr="00C53FC7">
        <w:rPr>
          <w:rFonts w:ascii="Palatino Linotype" w:hAnsi="Palatino Linotype" w:eastAsia="Palatino Linotype" w:cs="Palatino Linotype"/>
        </w:rPr>
        <w:t xml:space="preserve"> identifying potential infrastructure projects</w:t>
      </w:r>
      <w:r w:rsidRPr="377423A9" w:rsidR="1BFF647B">
        <w:rPr>
          <w:rFonts w:ascii="Palatino Linotype" w:hAnsi="Palatino Linotype" w:eastAsia="Palatino Linotype" w:cs="Palatino Linotype"/>
        </w:rPr>
        <w:t xml:space="preserve"> and</w:t>
      </w:r>
      <w:r w:rsidRPr="00C53FC7">
        <w:rPr>
          <w:rFonts w:ascii="Palatino Linotype" w:hAnsi="Palatino Linotype" w:eastAsia="Palatino Linotype" w:cs="Palatino Linotype"/>
        </w:rPr>
        <w:t xml:space="preserve"> assisting infrastructure applicants in project development </w:t>
      </w:r>
      <w:r>
        <w:rPr>
          <w:rFonts w:ascii="Palatino Linotype" w:hAnsi="Palatino Linotype" w:eastAsia="Palatino Linotype" w:cs="Palatino Linotype"/>
        </w:rPr>
        <w:t>and the</w:t>
      </w:r>
      <w:r w:rsidRPr="00C53FC7">
        <w:rPr>
          <w:rFonts w:ascii="Palatino Linotype" w:hAnsi="Palatino Linotype" w:eastAsia="Palatino Linotype" w:cs="Palatino Linotype"/>
        </w:rPr>
        <w:t xml:space="preserve"> grant application processes</w:t>
      </w:r>
      <w:r w:rsidRPr="377423A9" w:rsidR="59141AA9">
        <w:rPr>
          <w:rFonts w:ascii="Palatino Linotype" w:hAnsi="Palatino Linotype" w:eastAsia="Palatino Linotype" w:cs="Palatino Linotype"/>
        </w:rPr>
        <w:t xml:space="preserve"> </w:t>
      </w:r>
      <w:r w:rsidRPr="00C53FC7">
        <w:rPr>
          <w:rFonts w:ascii="Palatino Linotype" w:hAnsi="Palatino Linotype" w:eastAsia="Palatino Linotype" w:cs="Palatino Linotype"/>
        </w:rPr>
        <w:t>including state and federal broadband programs</w:t>
      </w:r>
      <w:r>
        <w:rPr>
          <w:rFonts w:ascii="Palatino Linotype" w:hAnsi="Palatino Linotype" w:eastAsia="Palatino Linotype" w:cs="Palatino Linotype"/>
        </w:rPr>
        <w:t>. BCPC plans on</w:t>
      </w:r>
      <w:r w:rsidRPr="00C53FC7">
        <w:rPr>
          <w:rFonts w:ascii="Palatino Linotype" w:hAnsi="Palatino Linotype" w:eastAsia="Palatino Linotype" w:cs="Palatino Linotype"/>
        </w:rPr>
        <w:t xml:space="preserve"> conducting activities </w:t>
      </w:r>
      <w:r>
        <w:rPr>
          <w:rFonts w:ascii="Palatino Linotype" w:hAnsi="Palatino Linotype" w:eastAsia="Palatino Linotype" w:cs="Palatino Linotype"/>
        </w:rPr>
        <w:t>supporting needed</w:t>
      </w:r>
      <w:r w:rsidRPr="00C53FC7">
        <w:rPr>
          <w:rFonts w:ascii="Palatino Linotype" w:hAnsi="Palatino Linotype" w:eastAsia="Palatino Linotype" w:cs="Palatino Linotype"/>
        </w:rPr>
        <w:t xml:space="preserve"> infrastructure projects</w:t>
      </w:r>
      <w:r>
        <w:rPr>
          <w:rFonts w:ascii="Palatino Linotype" w:hAnsi="Palatino Linotype" w:eastAsia="Palatino Linotype" w:cs="Palatino Linotype"/>
        </w:rPr>
        <w:t xml:space="preserve"> such as </w:t>
      </w:r>
      <w:r w:rsidRPr="00C53FC7">
        <w:rPr>
          <w:rFonts w:ascii="Palatino Linotype" w:hAnsi="Palatino Linotype" w:eastAsia="Palatino Linotype" w:cs="Palatino Linotype"/>
        </w:rPr>
        <w:t>permitting, inventories of public assets, and data updates</w:t>
      </w:r>
      <w:r>
        <w:rPr>
          <w:rFonts w:ascii="Palatino Linotype" w:hAnsi="Palatino Linotype" w:eastAsia="Palatino Linotype" w:cs="Palatino Linotype"/>
        </w:rPr>
        <w:t xml:space="preserve">. </w:t>
      </w:r>
      <w:r w:rsidRPr="00C53FC7">
        <w:rPr>
          <w:rFonts w:ascii="Palatino Linotype" w:hAnsi="Palatino Linotype" w:eastAsia="Palatino Linotype" w:cs="Palatino Linotype"/>
        </w:rPr>
        <w:t>BCPC emphasizes that its approach relies on localized county coordination, the use of G</w:t>
      </w:r>
      <w:r w:rsidR="003C6550">
        <w:rPr>
          <w:rFonts w:ascii="Palatino Linotype" w:hAnsi="Palatino Linotype" w:eastAsia="Palatino Linotype" w:cs="Palatino Linotype"/>
        </w:rPr>
        <w:t xml:space="preserve">eographic </w:t>
      </w:r>
      <w:r w:rsidRPr="00C53FC7">
        <w:rPr>
          <w:rFonts w:ascii="Palatino Linotype" w:hAnsi="Palatino Linotype" w:eastAsia="Palatino Linotype" w:cs="Palatino Linotype"/>
        </w:rPr>
        <w:t>I</w:t>
      </w:r>
      <w:r w:rsidR="003C6550">
        <w:rPr>
          <w:rFonts w:ascii="Palatino Linotype" w:hAnsi="Palatino Linotype" w:eastAsia="Palatino Linotype" w:cs="Palatino Linotype"/>
        </w:rPr>
        <w:t xml:space="preserve">nformation </w:t>
      </w:r>
      <w:r w:rsidRPr="00C53FC7">
        <w:rPr>
          <w:rFonts w:ascii="Palatino Linotype" w:hAnsi="Palatino Linotype" w:eastAsia="Palatino Linotype" w:cs="Palatino Linotype"/>
        </w:rPr>
        <w:t>S</w:t>
      </w:r>
      <w:r w:rsidR="003C6550">
        <w:rPr>
          <w:rFonts w:ascii="Palatino Linotype" w:hAnsi="Palatino Linotype" w:eastAsia="Palatino Linotype" w:cs="Palatino Linotype"/>
        </w:rPr>
        <w:t>ystem (GIS)</w:t>
      </w:r>
      <w:r w:rsidRPr="00C53FC7">
        <w:rPr>
          <w:rFonts w:ascii="Palatino Linotype" w:hAnsi="Palatino Linotype" w:eastAsia="Palatino Linotype" w:cs="Palatino Linotype"/>
        </w:rPr>
        <w:t xml:space="preserve"> tools</w:t>
      </w:r>
      <w:r>
        <w:rPr>
          <w:rFonts w:ascii="Palatino Linotype" w:hAnsi="Palatino Linotype" w:eastAsia="Palatino Linotype" w:cs="Palatino Linotype"/>
        </w:rPr>
        <w:t>,</w:t>
      </w:r>
      <w:r w:rsidRPr="00C53FC7">
        <w:rPr>
          <w:rFonts w:ascii="Palatino Linotype" w:hAnsi="Palatino Linotype" w:eastAsia="Palatino Linotype" w:cs="Palatino Linotype"/>
        </w:rPr>
        <w:t xml:space="preserve"> including the Regional Collaboration Portal</w:t>
      </w:r>
      <w:r>
        <w:rPr>
          <w:rFonts w:ascii="Palatino Linotype" w:hAnsi="Palatino Linotype" w:eastAsia="Palatino Linotype" w:cs="Palatino Linotype"/>
        </w:rPr>
        <w:t xml:space="preserve"> (RCP)</w:t>
      </w:r>
      <w:r w:rsidRPr="00C53FC7">
        <w:rPr>
          <w:rFonts w:ascii="Palatino Linotype" w:hAnsi="Palatino Linotype" w:eastAsia="Palatino Linotype" w:cs="Palatino Linotype"/>
        </w:rPr>
        <w:t>, and structured stakeholder engagement to inform deployment planning and accelerate progress in priority areas</w:t>
      </w:r>
      <w:r>
        <w:rPr>
          <w:rFonts w:ascii="Palatino Linotype" w:hAnsi="Palatino Linotype" w:eastAsia="Palatino Linotype" w:cs="Palatino Linotype"/>
        </w:rPr>
        <w:t xml:space="preserve">. </w:t>
      </w:r>
    </w:p>
    <w:p w:rsidR="00A868A4" w:rsidP="000B0A58" w:rsidRDefault="00A868A4" w14:paraId="61AFEA7D" w14:textId="77777777">
      <w:pPr>
        <w:pStyle w:val="Default"/>
        <w:rPr>
          <w:rFonts w:ascii="Palatino Linotype" w:hAnsi="Palatino Linotype" w:eastAsia="Palatino Linotype" w:cs="Palatino Linotype"/>
        </w:rPr>
      </w:pPr>
    </w:p>
    <w:p w:rsidRPr="000B0A58" w:rsidR="000B0A58" w:rsidP="000B0A58" w:rsidRDefault="000B0A58" w14:paraId="04F86B8C" w14:textId="343B4AC3">
      <w:pPr>
        <w:pStyle w:val="Default"/>
        <w:rPr>
          <w:rFonts w:ascii="Palatino Linotype" w:hAnsi="Palatino Linotype" w:eastAsia="Palatino Linotype" w:cs="Palatino Linotype"/>
        </w:rPr>
      </w:pPr>
      <w:r w:rsidRPr="000B0A58">
        <w:rPr>
          <w:rFonts w:ascii="Palatino Linotype" w:hAnsi="Palatino Linotype" w:eastAsia="Palatino Linotype" w:cs="Palatino Linotype"/>
        </w:rPr>
        <w:t>BCPC’s Work Plan and Performance Metrics Plan are directly related to SB 156 and AB 164 goals and objectives, and consistent with program requirements defined in D.25-11-003.</w:t>
      </w:r>
      <w:r w:rsidR="00A868A4">
        <w:rPr>
          <w:rStyle w:val="FootnoteReference"/>
          <w:rFonts w:ascii="Palatino Linotype" w:hAnsi="Palatino Linotype" w:eastAsia="Palatino Linotype" w:cs="Palatino Linotype"/>
        </w:rPr>
        <w:footnoteReference w:id="12"/>
      </w:r>
    </w:p>
    <w:p w:rsidR="00A868A4" w:rsidP="000B0A58" w:rsidRDefault="00A868A4" w14:paraId="4F09DE5C" w14:textId="77777777">
      <w:pPr>
        <w:pStyle w:val="Default"/>
        <w:rPr>
          <w:rFonts w:ascii="Palatino Linotype" w:hAnsi="Palatino Linotype" w:eastAsia="Palatino Linotype" w:cs="Palatino Linotype"/>
          <w:i/>
          <w:iCs/>
        </w:rPr>
      </w:pPr>
    </w:p>
    <w:p w:rsidRPr="000B0A58" w:rsidR="000B0A58" w:rsidP="000B0A58" w:rsidRDefault="000B0A58" w14:paraId="641420C5" w14:textId="34C39A79">
      <w:pPr>
        <w:pStyle w:val="Default"/>
        <w:rPr>
          <w:rFonts w:ascii="Palatino Linotype" w:hAnsi="Palatino Linotype" w:eastAsia="Palatino Linotype" w:cs="Palatino Linotype"/>
          <w:i/>
          <w:iCs/>
        </w:rPr>
      </w:pPr>
      <w:r w:rsidRPr="000B0A58">
        <w:rPr>
          <w:rFonts w:ascii="Palatino Linotype" w:hAnsi="Palatino Linotype" w:eastAsia="Palatino Linotype" w:cs="Palatino Linotype"/>
          <w:i/>
          <w:iCs/>
        </w:rPr>
        <w:t>Budget</w:t>
      </w:r>
    </w:p>
    <w:p w:rsidR="006964E2" w:rsidP="00D41725" w:rsidRDefault="000B0A58" w14:paraId="0D98B86B" w14:textId="35DC2DFB">
      <w:pPr>
        <w:pStyle w:val="Default"/>
        <w:rPr>
          <w:rFonts w:eastAsia="Palatino Linotype"/>
        </w:rPr>
      </w:pPr>
      <w:r w:rsidRPr="00705BC6">
        <w:rPr>
          <w:rFonts w:ascii="Palatino Linotype" w:hAnsi="Palatino Linotype" w:eastAsia="Palatino Linotype" w:cs="Palatino Linotype"/>
        </w:rPr>
        <w:t>BCPC requests $600,000 for a three-year grant</w:t>
      </w:r>
      <w:r>
        <w:rPr>
          <w:rFonts w:ascii="Palatino Linotype" w:hAnsi="Palatino Linotype" w:eastAsia="Palatino Linotype" w:cs="Palatino Linotype"/>
        </w:rPr>
        <w:t>.</w:t>
      </w:r>
      <w:r w:rsidRPr="008C7E9D">
        <w:rPr>
          <w:rFonts w:eastAsia="Palatino Linotype"/>
          <w:sz w:val="22"/>
          <w:szCs w:val="22"/>
          <w:vertAlign w:val="superscript"/>
        </w:rPr>
        <w:footnoteReference w:id="13"/>
      </w:r>
      <w:r>
        <w:rPr>
          <w:rFonts w:ascii="Palatino Linotype" w:hAnsi="Palatino Linotype" w:eastAsia="Palatino Linotype" w:cs="Palatino Linotype"/>
        </w:rPr>
        <w:t xml:space="preserve">  </w:t>
      </w:r>
      <w:r w:rsidRPr="00705BC6">
        <w:rPr>
          <w:rFonts w:ascii="Palatino Linotype" w:hAnsi="Palatino Linotype" w:eastAsia="Palatino Linotype" w:cs="Palatino Linotype"/>
        </w:rPr>
        <w:t>Of its total budget, BCPC allocates</w:t>
      </w:r>
      <w:r>
        <w:rPr>
          <w:rFonts w:ascii="Palatino Linotype" w:hAnsi="Palatino Linotype" w:eastAsia="Palatino Linotype" w:cs="Palatino Linotype"/>
        </w:rPr>
        <w:t xml:space="preserve"> </w:t>
      </w:r>
      <w:r w:rsidRPr="00705BC6">
        <w:rPr>
          <w:rFonts w:ascii="Palatino Linotype" w:hAnsi="Palatino Linotype" w:eastAsia="Palatino Linotype" w:cs="Palatino Linotype"/>
        </w:rPr>
        <w:t>approximately</w:t>
      </w:r>
      <w:r>
        <w:rPr>
          <w:rFonts w:ascii="Palatino Linotype" w:hAnsi="Palatino Linotype" w:eastAsia="Palatino Linotype" w:cs="Palatino Linotype"/>
        </w:rPr>
        <w:t xml:space="preserve"> </w:t>
      </w:r>
      <w:r w:rsidRPr="009277C8">
        <w:rPr>
          <w:rFonts w:ascii="Palatino Linotype" w:hAnsi="Palatino Linotype" w:eastAsia="Palatino Linotype" w:cs="Palatino Linotype"/>
        </w:rPr>
        <w:t>24.</w:t>
      </w:r>
      <w:r w:rsidR="00745693">
        <w:rPr>
          <w:rFonts w:ascii="Palatino Linotype" w:hAnsi="Palatino Linotype" w:eastAsia="Palatino Linotype" w:cs="Palatino Linotype"/>
        </w:rPr>
        <w:t>6</w:t>
      </w:r>
      <w:r w:rsidRPr="00705BC6">
        <w:rPr>
          <w:rFonts w:ascii="Palatino Linotype" w:hAnsi="Palatino Linotype" w:eastAsia="Palatino Linotype" w:cs="Palatino Linotype"/>
        </w:rPr>
        <w:t>% to conduct marketing</w:t>
      </w:r>
      <w:r>
        <w:rPr>
          <w:rFonts w:ascii="Palatino Linotype" w:hAnsi="Palatino Linotype" w:eastAsia="Palatino Linotype" w:cs="Palatino Linotype"/>
        </w:rPr>
        <w:t>/</w:t>
      </w:r>
      <w:r w:rsidRPr="00705BC6">
        <w:rPr>
          <w:rFonts w:ascii="Palatino Linotype" w:hAnsi="Palatino Linotype" w:eastAsia="Palatino Linotype" w:cs="Palatino Linotype"/>
        </w:rPr>
        <w:t xml:space="preserve">outreach and develop strategies (Objective 1), </w:t>
      </w:r>
      <w:r w:rsidRPr="000D392A">
        <w:rPr>
          <w:rFonts w:ascii="Palatino Linotype" w:hAnsi="Palatino Linotype" w:eastAsia="Palatino Linotype" w:cs="Palatino Linotype"/>
        </w:rPr>
        <w:t>44.7</w:t>
      </w:r>
      <w:r w:rsidRPr="00705BC6">
        <w:rPr>
          <w:rFonts w:ascii="Palatino Linotype" w:hAnsi="Palatino Linotype" w:eastAsia="Palatino Linotype" w:cs="Palatino Linotype"/>
        </w:rPr>
        <w:t>% to assist in developing CASF infrastructure applications (Objectives 2, 3, and</w:t>
      </w:r>
      <w:r>
        <w:rPr>
          <w:rFonts w:ascii="Palatino Linotype" w:hAnsi="Palatino Linotype" w:eastAsia="Palatino Linotype" w:cs="Palatino Linotype"/>
        </w:rPr>
        <w:t xml:space="preserve"> </w:t>
      </w:r>
      <w:r w:rsidRPr="00705BC6">
        <w:rPr>
          <w:rFonts w:ascii="Palatino Linotype" w:hAnsi="Palatino Linotype" w:eastAsia="Palatino Linotype" w:cs="Palatino Linotype"/>
        </w:rPr>
        <w:t xml:space="preserve">4), </w:t>
      </w:r>
      <w:r w:rsidRPr="000D392A">
        <w:rPr>
          <w:rFonts w:ascii="Palatino Linotype" w:hAnsi="Palatino Linotype" w:eastAsia="Palatino Linotype" w:cs="Palatino Linotype"/>
        </w:rPr>
        <w:t>6.2</w:t>
      </w:r>
      <w:r>
        <w:rPr>
          <w:rFonts w:ascii="Palatino Linotype" w:hAnsi="Palatino Linotype" w:eastAsia="Palatino Linotype" w:cs="Palatino Linotype"/>
        </w:rPr>
        <w:t xml:space="preserve">% </w:t>
      </w:r>
      <w:r w:rsidRPr="00AD1F24" w:rsidR="00D41725">
        <w:rPr>
          <w:rFonts w:ascii="Palatino Linotype" w:hAnsi="Palatino Linotype" w:eastAsia="Palatino Linotype" w:cs="Times New Roman"/>
        </w:rPr>
        <w:t>to assist in publicizing wireline testing requests (</w:t>
      </w:r>
      <w:r w:rsidRPr="003B6CD2" w:rsidR="00D41725">
        <w:rPr>
          <w:rFonts w:ascii="Palatino Linotype" w:hAnsi="Palatino Linotype" w:eastAsia="Palatino Linotype" w:cs="Palatino Linotype"/>
        </w:rPr>
        <w:t>Objective 5</w:t>
      </w:r>
      <w:r w:rsidRPr="00AD1F24" w:rsidR="00D41725">
        <w:rPr>
          <w:rFonts w:ascii="Palatino Linotype" w:hAnsi="Palatino Linotype" w:eastAsia="Palatino Linotype" w:cs="Times New Roman"/>
        </w:rPr>
        <w:t>)</w:t>
      </w:r>
      <w:r w:rsidRPr="00705BC6">
        <w:rPr>
          <w:rFonts w:ascii="Palatino Linotype" w:hAnsi="Palatino Linotype" w:eastAsia="Palatino Linotype" w:cs="Palatino Linotype"/>
        </w:rPr>
        <w:t xml:space="preserve">, </w:t>
      </w:r>
      <w:r w:rsidRPr="000B5A46">
        <w:rPr>
          <w:rFonts w:ascii="Palatino Linotype" w:hAnsi="Palatino Linotype" w:eastAsia="Palatino Linotype" w:cs="Palatino Linotype"/>
        </w:rPr>
        <w:t>17.0</w:t>
      </w:r>
      <w:r w:rsidRPr="00705BC6">
        <w:rPr>
          <w:rFonts w:ascii="Palatino Linotype" w:hAnsi="Palatino Linotype" w:eastAsia="Palatino Linotype" w:cs="Palatino Linotype"/>
        </w:rPr>
        <w:t xml:space="preserve">% </w:t>
      </w:r>
      <w:r w:rsidR="00D41725">
        <w:rPr>
          <w:rFonts w:ascii="Palatino Linotype" w:hAnsi="Palatino Linotype" w:eastAsia="Palatino Linotype" w:cs="Times New Roman"/>
        </w:rPr>
        <w:t>to assist in promoting broadband deployment in California</w:t>
      </w:r>
      <w:r w:rsidRPr="00AD1F24" w:rsidR="00D41725">
        <w:rPr>
          <w:rFonts w:ascii="Palatino Linotype" w:hAnsi="Palatino Linotype" w:eastAsia="Palatino Linotype" w:cs="Times New Roman"/>
        </w:rPr>
        <w:t xml:space="preserve"> </w:t>
      </w:r>
      <w:r w:rsidR="00D41725">
        <w:rPr>
          <w:rFonts w:ascii="Palatino Linotype" w:hAnsi="Palatino Linotype" w:eastAsia="Palatino Linotype" w:cs="Times New Roman"/>
        </w:rPr>
        <w:t>(</w:t>
      </w:r>
      <w:r w:rsidR="00D41725">
        <w:rPr>
          <w:rFonts w:ascii="Palatino Linotype" w:hAnsi="Palatino Linotype" w:eastAsia="Palatino Linotype" w:cs="Palatino Linotype"/>
        </w:rPr>
        <w:t>Objective 6</w:t>
      </w:r>
      <w:r w:rsidR="00D41725">
        <w:rPr>
          <w:rFonts w:ascii="Palatino Linotype" w:hAnsi="Palatino Linotype" w:eastAsia="Palatino Linotype" w:cs="Times New Roman"/>
        </w:rPr>
        <w:t>)</w:t>
      </w:r>
      <w:r>
        <w:rPr>
          <w:rFonts w:ascii="Palatino Linotype" w:hAnsi="Palatino Linotype" w:eastAsia="Palatino Linotype" w:cs="Palatino Linotype"/>
        </w:rPr>
        <w:t xml:space="preserve">, and 7.5% </w:t>
      </w:r>
      <w:r w:rsidRPr="00D41725" w:rsidR="00D41725">
        <w:rPr>
          <w:rFonts w:ascii="Palatino Linotype" w:hAnsi="Palatino Linotype" w:eastAsia="Palatino Linotype" w:cs="Palatino Linotype"/>
        </w:rPr>
        <w:t>for conducting and submitting the annual audit reports</w:t>
      </w:r>
      <w:r>
        <w:rPr>
          <w:rFonts w:ascii="Palatino Linotype" w:hAnsi="Palatino Linotype" w:eastAsia="Palatino Linotype" w:cs="Palatino Linotype"/>
        </w:rPr>
        <w:t xml:space="preserve">.  </w:t>
      </w:r>
      <w:r w:rsidRPr="00705BC6">
        <w:rPr>
          <w:rFonts w:ascii="Palatino Linotype" w:hAnsi="Palatino Linotype" w:eastAsia="Palatino Linotype" w:cs="Palatino Linotype"/>
        </w:rPr>
        <w:t>BCPC’s</w:t>
      </w:r>
      <w:r>
        <w:rPr>
          <w:rFonts w:ascii="Palatino Linotype" w:hAnsi="Palatino Linotype" w:eastAsia="Palatino Linotype" w:cs="Palatino Linotype"/>
        </w:rPr>
        <w:t xml:space="preserve"> </w:t>
      </w:r>
      <w:r w:rsidRPr="00705BC6">
        <w:rPr>
          <w:rFonts w:ascii="Palatino Linotype" w:hAnsi="Palatino Linotype" w:eastAsia="Palatino Linotype" w:cs="Palatino Linotype"/>
        </w:rPr>
        <w:t>budget is cost-effective and consistent with budget requirements defined in</w:t>
      </w:r>
      <w:r>
        <w:rPr>
          <w:rFonts w:ascii="Palatino Linotype" w:hAnsi="Palatino Linotype" w:eastAsia="Palatino Linotype" w:cs="Palatino Linotype"/>
        </w:rPr>
        <w:t xml:space="preserve"> </w:t>
      </w:r>
      <w:r w:rsidRPr="00505F7B">
        <w:rPr>
          <w:rFonts w:ascii="Palatino Linotype" w:hAnsi="Palatino Linotype" w:eastAsia="Palatino Linotype" w:cs="Palatino Linotype"/>
        </w:rPr>
        <w:t>D.25-11</w:t>
      </w:r>
      <w:r>
        <w:rPr>
          <w:rFonts w:ascii="Palatino Linotype" w:hAnsi="Palatino Linotype" w:eastAsia="Palatino Linotype" w:cs="Palatino Linotype"/>
        </w:rPr>
        <w:t>-</w:t>
      </w:r>
      <w:r w:rsidRPr="00505F7B">
        <w:rPr>
          <w:rFonts w:ascii="Palatino Linotype" w:hAnsi="Palatino Linotype" w:eastAsia="Palatino Linotype" w:cs="Palatino Linotype"/>
        </w:rPr>
        <w:t>003</w:t>
      </w:r>
      <w:r w:rsidRPr="00705BC6">
        <w:rPr>
          <w:rFonts w:ascii="Palatino Linotype" w:hAnsi="Palatino Linotype" w:eastAsia="Palatino Linotype" w:cs="Palatino Linotype"/>
        </w:rPr>
        <w:t>.</w:t>
      </w:r>
    </w:p>
    <w:p w:rsidR="006964E2" w:rsidP="00EF399B" w:rsidRDefault="006964E2" w14:paraId="7A558227" w14:textId="77777777">
      <w:pPr>
        <w:contextualSpacing/>
        <w:rPr>
          <w:rFonts w:ascii="Palatino Linotype" w:hAnsi="Palatino Linotype" w:eastAsia="Palatino Linotype" w:cs="Times New Roman"/>
          <w:kern w:val="0"/>
          <w14:ligatures w14:val="none"/>
        </w:rPr>
      </w:pPr>
    </w:p>
    <w:p w:rsidRPr="00375FBF" w:rsidR="00A65FDD" w:rsidP="00A65FDD" w:rsidRDefault="00A65FDD" w14:paraId="36070C3F" w14:textId="59907CFB">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t>2</w:t>
      </w:r>
      <w:r w:rsidRPr="00375FBF">
        <w:rPr>
          <w:rFonts w:ascii="Palatino Linotype" w:hAnsi="Palatino Linotype" w:eastAsia="Palatino Linotype" w:cs="Times New Roman"/>
          <w:b/>
          <w:bCs/>
          <w:kern w:val="0"/>
          <w14:ligatures w14:val="none"/>
        </w:rPr>
        <w:t xml:space="preserve">. </w:t>
      </w:r>
      <w:r w:rsidRPr="00E04657">
        <w:rPr>
          <w:rFonts w:ascii="Palatino Linotype" w:hAnsi="Palatino Linotype" w:eastAsia="Palatino Linotype" w:cs="Palatino Linotype"/>
          <w:b/>
          <w:bCs/>
        </w:rPr>
        <w:t>East Bay Broadband Consortium (EBBC)</w:t>
      </w:r>
    </w:p>
    <w:p w:rsidR="00A65FDD" w:rsidP="00A65FDD" w:rsidRDefault="00A65FDD" w14:paraId="476DA4C7" w14:textId="77777777">
      <w:pPr>
        <w:contextualSpacing/>
        <w:rPr>
          <w:rFonts w:ascii="Palatino Linotype" w:hAnsi="Palatino Linotype" w:eastAsia="Palatino Linotype" w:cs="Times New Roman"/>
          <w:kern w:val="0"/>
          <w14:ligatures w14:val="none"/>
        </w:rPr>
      </w:pPr>
    </w:p>
    <w:p w:rsidRPr="00930EA4" w:rsidR="00A65FDD" w:rsidP="00A65FDD" w:rsidRDefault="00A65FDD" w14:paraId="5457429B" w14:textId="77777777">
      <w:pPr>
        <w:contextualSpacing/>
        <w:rPr>
          <w:rFonts w:ascii="Palatino Linotype" w:hAnsi="Palatino Linotype" w:eastAsia="Palatino Linotype" w:cs="Times New Roman"/>
          <w:i/>
          <w:iCs/>
          <w:kern w:val="0"/>
          <w14:ligatures w14:val="none"/>
        </w:rPr>
      </w:pPr>
      <w:r w:rsidRPr="00930EA4">
        <w:rPr>
          <w:rFonts w:ascii="Palatino Linotype" w:hAnsi="Palatino Linotype" w:eastAsia="Palatino Linotype" w:cs="Times New Roman"/>
          <w:i/>
          <w:iCs/>
          <w:kern w:val="0"/>
          <w14:ligatures w14:val="none"/>
        </w:rPr>
        <w:lastRenderedPageBreak/>
        <w:t xml:space="preserve">Applicant </w:t>
      </w:r>
    </w:p>
    <w:p w:rsidR="00A65FDD" w:rsidP="00A65FDD" w:rsidRDefault="00A65FDD" w14:paraId="32A305C2" w14:textId="3BA6D63A">
      <w:pPr>
        <w:contextualSpacing/>
        <w:rPr>
          <w:rFonts w:ascii="Palatino Linotype" w:hAnsi="Palatino Linotype" w:eastAsia="Palatino Linotype" w:cs="Times New Roman"/>
          <w:kern w:val="0"/>
          <w14:ligatures w14:val="none"/>
        </w:rPr>
      </w:pPr>
      <w:r w:rsidRPr="00930EA4">
        <w:rPr>
          <w:rFonts w:ascii="Palatino Linotype" w:hAnsi="Palatino Linotype" w:eastAsia="Palatino Linotype" w:cs="Times New Roman"/>
          <w:kern w:val="0"/>
          <w14:ligatures w14:val="none"/>
        </w:rPr>
        <w:t>EBBC represents Alameda, Contra Costa, and Solano counties. EBBC proposes to implement the project, “Connecting the East Bay for Good,” with the Oakland Fund for Public Innovation serving as fiscal agent. EBBC proposes a seven-member Governing Board with representation from county and city government, public education, public libraries, and nonprofit technology and digital inclusion organizations. The East Bay region has lacked representation as a Regional Broadband Consortium since 2019.</w:t>
      </w:r>
      <w:r>
        <w:rPr>
          <w:rFonts w:ascii="Palatino Linotype" w:hAnsi="Palatino Linotype" w:eastAsia="Palatino Linotype" w:cs="Times New Roman"/>
          <w:kern w:val="0"/>
          <w14:ligatures w14:val="none"/>
        </w:rPr>
        <w:t xml:space="preserve"> </w:t>
      </w:r>
    </w:p>
    <w:p w:rsidR="00A65FDD" w:rsidP="00A65FDD" w:rsidRDefault="00A65FDD" w14:paraId="3320A7F6" w14:textId="77777777">
      <w:pPr>
        <w:contextualSpacing/>
        <w:rPr>
          <w:rFonts w:ascii="Palatino Linotype" w:hAnsi="Palatino Linotype" w:eastAsia="Palatino Linotype" w:cs="Times New Roman"/>
          <w:kern w:val="0"/>
          <w14:ligatures w14:val="none"/>
        </w:rPr>
      </w:pPr>
    </w:p>
    <w:p w:rsidR="007D6602" w:rsidP="3DC706F8" w:rsidRDefault="007D6602" w14:paraId="39D65CB7" w14:textId="29E0D2C8">
      <w:pPr>
        <w:pStyle w:val="NormalWeb"/>
        <w:spacing w:before="0" w:after="0"/>
        <w:rPr>
          <w:rFonts w:ascii="Palatino Linotype" w:hAnsi="Palatino Linotype"/>
          <w:i/>
          <w:iCs/>
        </w:rPr>
      </w:pPr>
      <w:r w:rsidRPr="007D6602">
        <w:rPr>
          <w:rFonts w:ascii="Palatino Linotype" w:hAnsi="Palatino Linotype"/>
          <w:i/>
          <w:iCs/>
        </w:rPr>
        <w:t>Past CASF Project Performance</w:t>
      </w:r>
    </w:p>
    <w:p w:rsidRPr="00930EA4" w:rsidR="00A65FDD" w:rsidP="00A65FDD" w:rsidRDefault="00A65FDD" w14:paraId="06D862F6" w14:textId="77777777">
      <w:pPr>
        <w:contextualSpacing/>
        <w:rPr>
          <w:rFonts w:ascii="Palatino Linotype" w:hAnsi="Palatino Linotype" w:eastAsia="Palatino Linotype" w:cs="Times New Roman"/>
          <w:kern w:val="0"/>
          <w14:ligatures w14:val="none"/>
        </w:rPr>
      </w:pPr>
      <w:r w:rsidRPr="00930EA4">
        <w:rPr>
          <w:rFonts w:ascii="Palatino Linotype" w:hAnsi="Palatino Linotype" w:eastAsia="Palatino Linotype" w:cs="Times New Roman"/>
          <w:kern w:val="0"/>
          <w14:ligatures w14:val="none"/>
        </w:rPr>
        <w:t>EBBC is a first-time applicant to the CASF Consortia Account and therefore does not report prior CASF Consortia grant performance. However, the application shows that EBBC’s leadership and partner organizations have conducted related broadband and digital equity work in the region, particularly through Oakland Undivided and Solano Connected.</w:t>
      </w:r>
    </w:p>
    <w:p w:rsidR="00A868A4" w:rsidP="00A65FDD" w:rsidRDefault="00A868A4" w14:paraId="11BA9947" w14:textId="77777777">
      <w:pPr>
        <w:contextualSpacing/>
        <w:rPr>
          <w:rFonts w:ascii="Palatino Linotype" w:hAnsi="Palatino Linotype" w:eastAsia="Palatino Linotype" w:cs="Times New Roman"/>
          <w:kern w:val="0"/>
          <w14:ligatures w14:val="none"/>
        </w:rPr>
      </w:pPr>
    </w:p>
    <w:p w:rsidRPr="00930EA4" w:rsidR="00A65FDD" w:rsidP="00A65FDD" w:rsidRDefault="00A65FDD" w14:paraId="13CAB0AA" w14:textId="67B123E3">
      <w:pPr>
        <w:contextualSpacing/>
        <w:rPr>
          <w:rFonts w:ascii="Palatino Linotype" w:hAnsi="Palatino Linotype" w:eastAsia="Palatino Linotype" w:cs="Times New Roman"/>
          <w:i/>
          <w:iCs/>
          <w:kern w:val="0"/>
          <w14:ligatures w14:val="none"/>
        </w:rPr>
      </w:pPr>
      <w:r w:rsidRPr="00930EA4">
        <w:rPr>
          <w:rFonts w:ascii="Palatino Linotype" w:hAnsi="Palatino Linotype" w:eastAsia="Palatino Linotype" w:cs="Times New Roman"/>
          <w:i/>
          <w:iCs/>
          <w:kern w:val="0"/>
          <w14:ligatures w14:val="none"/>
        </w:rPr>
        <w:t>Regional Consortium Representation and Endorsements</w:t>
      </w:r>
    </w:p>
    <w:p w:rsidRPr="00930EA4" w:rsidR="00A65FDD" w:rsidP="00A65FDD" w:rsidRDefault="00A65FDD" w14:paraId="61E838A8" w14:textId="6658FA2E">
      <w:pPr>
        <w:contextualSpacing/>
        <w:rPr>
          <w:rFonts w:ascii="Palatino Linotype" w:hAnsi="Palatino Linotype" w:eastAsia="Palatino Linotype" w:cs="Times New Roman"/>
          <w:kern w:val="0"/>
          <w14:ligatures w14:val="none"/>
        </w:rPr>
      </w:pPr>
      <w:r w:rsidRPr="00930EA4">
        <w:rPr>
          <w:rFonts w:ascii="Palatino Linotype" w:hAnsi="Palatino Linotype" w:eastAsia="Palatino Linotype" w:cs="Times New Roman"/>
          <w:kern w:val="0"/>
          <w14:ligatures w14:val="none"/>
        </w:rPr>
        <w:t>EBBC’s representation includes the Alameda County Office of Education, City of Fairfield, City of Oakland, Contra Costa County Library, Kapor Foundation, Solano County Department of Information Technology, and Tech Exchange. The consortium’s Governing Board is intended to provide broad geographic and sectoral representation across the three-county region and includes expertise from local government, education, libraries, digital inclusion, and community-based organizations. EBBC received support from more than 30 organizations and individuals, including endorsement letters from Assembly member Mia Bonta, Assembly member Buffy Wicks, Alameda County Supervisor Lena Tam, and Oakland City Councilmember At-Large Rowena Brown, as well as support from cities, nonprofits</w:t>
      </w:r>
      <w:r w:rsidRPr="2716BBBD" w:rsidR="009B286A">
        <w:rPr>
          <w:rFonts w:ascii="Palatino Linotype" w:hAnsi="Palatino Linotype" w:eastAsia="Palatino Linotype" w:cs="Times New Roman"/>
        </w:rPr>
        <w:t>, and other regional stakeholders across the region.</w:t>
      </w:r>
      <w:r w:rsidR="001B7586">
        <w:rPr>
          <w:rStyle w:val="FootnoteReference"/>
          <w:rFonts w:ascii="Palatino Linotype" w:hAnsi="Palatino Linotype" w:eastAsia="Palatino Linotype" w:cs="Times New Roman"/>
        </w:rPr>
        <w:footnoteReference w:id="14"/>
      </w:r>
    </w:p>
    <w:p w:rsidRPr="00930EA4" w:rsidR="00A65FDD" w:rsidP="00A65FDD" w:rsidRDefault="00A65FDD" w14:paraId="24D26923" w14:textId="77777777">
      <w:pPr>
        <w:contextualSpacing/>
        <w:rPr>
          <w:rFonts w:ascii="Palatino Linotype" w:hAnsi="Palatino Linotype" w:eastAsia="Palatino Linotype" w:cs="Times New Roman"/>
          <w:kern w:val="0"/>
          <w14:ligatures w14:val="none"/>
        </w:rPr>
      </w:pPr>
    </w:p>
    <w:p w:rsidRPr="00930EA4" w:rsidR="00A65FDD" w:rsidP="00A65FDD" w:rsidRDefault="00A65FDD" w14:paraId="371830F7" w14:textId="77777777">
      <w:pPr>
        <w:contextualSpacing/>
        <w:rPr>
          <w:rFonts w:ascii="Palatino Linotype" w:hAnsi="Palatino Linotype" w:eastAsia="Palatino Linotype" w:cs="Times New Roman"/>
          <w:i/>
          <w:iCs/>
          <w:kern w:val="0"/>
          <w14:ligatures w14:val="none"/>
        </w:rPr>
      </w:pPr>
      <w:r w:rsidRPr="00930EA4">
        <w:rPr>
          <w:rFonts w:ascii="Palatino Linotype" w:hAnsi="Palatino Linotype" w:eastAsia="Palatino Linotype" w:cs="Times New Roman"/>
          <w:i/>
          <w:iCs/>
          <w:kern w:val="0"/>
          <w14:ligatures w14:val="none"/>
        </w:rPr>
        <w:t>Regional Consortium Members’ Experience</w:t>
      </w:r>
    </w:p>
    <w:p w:rsidR="00A65FDD" w:rsidP="00A65FDD" w:rsidRDefault="00A65FDD" w14:paraId="361B57FC" w14:textId="53FF1807">
      <w:pPr>
        <w:contextualSpacing/>
        <w:rPr>
          <w:rFonts w:ascii="Palatino Linotype" w:hAnsi="Palatino Linotype" w:eastAsia="Palatino Linotype" w:cs="Times New Roman"/>
          <w:kern w:val="0"/>
          <w14:ligatures w14:val="none"/>
        </w:rPr>
      </w:pPr>
      <w:r w:rsidRPr="00930EA4">
        <w:rPr>
          <w:rFonts w:ascii="Palatino Linotype" w:hAnsi="Palatino Linotype" w:eastAsia="Palatino Linotype" w:cs="Times New Roman"/>
          <w:kern w:val="0"/>
          <w14:ligatures w14:val="none"/>
        </w:rPr>
        <w:t>EBBC accomplishments include regional convening and digital equity advocacy, broadband mapping and performance analysis, BEAD map challenges, internal wiring studies in low-income multi-dwelling units</w:t>
      </w:r>
      <w:r w:rsidR="00466E99">
        <w:rPr>
          <w:rFonts w:ascii="Palatino Linotype" w:hAnsi="Palatino Linotype" w:eastAsia="Palatino Linotype" w:cs="Times New Roman"/>
          <w:kern w:val="0"/>
          <w14:ligatures w14:val="none"/>
        </w:rPr>
        <w:t xml:space="preserve"> (MDU)</w:t>
      </w:r>
      <w:r w:rsidRPr="00930EA4">
        <w:rPr>
          <w:rFonts w:ascii="Palatino Linotype" w:hAnsi="Palatino Linotype" w:eastAsia="Palatino Linotype" w:cs="Times New Roman"/>
          <w:kern w:val="0"/>
          <w14:ligatures w14:val="none"/>
        </w:rPr>
        <w:t xml:space="preserve">, technical assistance tied to middle-mile and last-mile opportunities, and support for Oakland broadband investment efforts. </w:t>
      </w:r>
      <w:r w:rsidRPr="002372BB">
        <w:rPr>
          <w:rFonts w:ascii="Palatino Linotype" w:hAnsi="Palatino Linotype" w:eastAsia="Palatino Linotype" w:cs="Times New Roman"/>
          <w:kern w:val="0"/>
          <w14:ligatures w14:val="none"/>
        </w:rPr>
        <w:t xml:space="preserve">EBBC’s members </w:t>
      </w:r>
      <w:r w:rsidR="00974162">
        <w:rPr>
          <w:rFonts w:ascii="Palatino Linotype" w:hAnsi="Palatino Linotype" w:eastAsia="Palatino Linotype" w:cs="Times New Roman"/>
          <w:kern w:val="0"/>
          <w14:ligatures w14:val="none"/>
        </w:rPr>
        <w:t>have</w:t>
      </w:r>
      <w:r w:rsidRPr="002372BB">
        <w:rPr>
          <w:rFonts w:ascii="Palatino Linotype" w:hAnsi="Palatino Linotype" w:eastAsia="Palatino Linotype" w:cs="Times New Roman"/>
          <w:kern w:val="0"/>
          <w14:ligatures w14:val="none"/>
        </w:rPr>
        <w:t xml:space="preserve"> experience in broadband planning, municipal </w:t>
      </w:r>
      <w:r w:rsidRPr="002372BB">
        <w:rPr>
          <w:rFonts w:ascii="Palatino Linotype" w:hAnsi="Palatino Linotype" w:eastAsia="Palatino Linotype" w:cs="Times New Roman"/>
          <w:kern w:val="0"/>
          <w14:ligatures w14:val="none"/>
        </w:rPr>
        <w:lastRenderedPageBreak/>
        <w:t xml:space="preserve">information technology, education connectivity, library-based access, digital inclusion, community engagement, and regional infrastructure coordination. </w:t>
      </w:r>
    </w:p>
    <w:p w:rsidR="00A65FDD" w:rsidP="00A65FDD" w:rsidRDefault="00A65FDD" w14:paraId="520B39BC" w14:textId="77777777">
      <w:pPr>
        <w:contextualSpacing/>
        <w:rPr>
          <w:rFonts w:ascii="Palatino Linotype" w:hAnsi="Palatino Linotype" w:eastAsia="Palatino Linotype" w:cs="Times New Roman"/>
          <w:kern w:val="0"/>
          <w14:ligatures w14:val="none"/>
        </w:rPr>
      </w:pPr>
    </w:p>
    <w:p w:rsidRPr="002372BB" w:rsidR="00A65FDD" w:rsidP="00A65FDD" w:rsidRDefault="00A65FDD" w14:paraId="13B2BD50" w14:textId="77777777">
      <w:pPr>
        <w:contextualSpacing/>
        <w:rPr>
          <w:rFonts w:ascii="Palatino Linotype" w:hAnsi="Palatino Linotype" w:eastAsia="Palatino Linotype" w:cs="Times New Roman"/>
          <w:kern w:val="0"/>
          <w14:ligatures w14:val="none"/>
        </w:rPr>
      </w:pPr>
      <w:r w:rsidRPr="002372BB">
        <w:rPr>
          <w:rFonts w:ascii="Palatino Linotype" w:hAnsi="Palatino Linotype" w:eastAsia="Palatino Linotype" w:cs="Times New Roman"/>
          <w:kern w:val="0"/>
          <w14:ligatures w14:val="none"/>
        </w:rPr>
        <w:t xml:space="preserve">Board members include municipal and county technology leaders with experience in broadband, public safety communications, GIS, permitting systems, public fiber assets, and public Wi-Fi initiatives, as well as leaders from education, libraries, and nonprofit technology organizations. EBBC proposes to staff the consortium through a full-time Director and full-time Deputy Director. Senior staff have experience in broadband policy, infrastructure planning, mapping, grant development, BEAD challenges, performance studies, MDU infrastructure analysis, and CASF as well as FFA related project support. </w:t>
      </w:r>
    </w:p>
    <w:p w:rsidRPr="002372BB" w:rsidR="00A65FDD" w:rsidP="00A65FDD" w:rsidRDefault="00A65FDD" w14:paraId="4B155BA3" w14:textId="77777777">
      <w:pPr>
        <w:contextualSpacing/>
        <w:rPr>
          <w:rFonts w:ascii="Palatino Linotype" w:hAnsi="Palatino Linotype" w:eastAsia="Palatino Linotype" w:cs="Times New Roman"/>
          <w:kern w:val="0"/>
          <w14:ligatures w14:val="none"/>
        </w:rPr>
      </w:pPr>
    </w:p>
    <w:p w:rsidRPr="002372BB" w:rsidR="00A65FDD" w:rsidP="00A65FDD" w:rsidRDefault="00A65FDD" w14:paraId="0D695130" w14:textId="77777777">
      <w:pPr>
        <w:contextualSpacing/>
        <w:rPr>
          <w:rFonts w:ascii="Palatino Linotype" w:hAnsi="Palatino Linotype" w:eastAsia="Palatino Linotype" w:cs="Times New Roman"/>
          <w:i/>
          <w:iCs/>
          <w:kern w:val="0"/>
          <w14:ligatures w14:val="none"/>
        </w:rPr>
      </w:pPr>
      <w:r w:rsidRPr="002372BB">
        <w:rPr>
          <w:rFonts w:ascii="Palatino Linotype" w:hAnsi="Palatino Linotype" w:eastAsia="Palatino Linotype" w:cs="Times New Roman"/>
          <w:i/>
          <w:iCs/>
          <w:kern w:val="0"/>
          <w14:ligatures w14:val="none"/>
        </w:rPr>
        <w:t>Work Plan and Performance Metrics Plan</w:t>
      </w:r>
    </w:p>
    <w:p w:rsidR="00A65FDD" w:rsidP="00A65FDD" w:rsidRDefault="00A65FDD" w14:paraId="1C5C512B" w14:textId="77777777">
      <w:pPr>
        <w:contextualSpacing/>
        <w:rPr>
          <w:rFonts w:ascii="Palatino Linotype" w:hAnsi="Palatino Linotype" w:eastAsia="Palatino Linotype" w:cs="Times New Roman"/>
          <w:kern w:val="0"/>
          <w14:ligatures w14:val="none"/>
        </w:rPr>
      </w:pPr>
      <w:r w:rsidRPr="002372BB">
        <w:rPr>
          <w:rFonts w:ascii="Palatino Linotype" w:hAnsi="Palatino Linotype" w:eastAsia="Palatino Linotype" w:cs="Times New Roman"/>
          <w:kern w:val="0"/>
          <w14:ligatures w14:val="none"/>
        </w:rPr>
        <w:t xml:space="preserve">EBBC’s Work Plan and Performance Metrics Plan focus on infrastructure oriented regional coordination and project advancement activities across all six current Consortia objectives. EBBC proposes to compile county level broadband summaries; refine priority deployment areas; engage local governments, providers, anchor institutions, and stakeholders; identify and screen potential deployment opportunities; provide advisory support to potential applicants; conduct pre-development, feasibility, barrier identification, and deployment readiness activities; publicize wireline testing volunteer requests if requested by the Commission; and participate in statewide coordination and information-sharing. </w:t>
      </w:r>
    </w:p>
    <w:p w:rsidR="00A65FDD" w:rsidP="00A65FDD" w:rsidRDefault="00A65FDD" w14:paraId="1CA290FA" w14:textId="77777777">
      <w:pPr>
        <w:contextualSpacing/>
        <w:rPr>
          <w:rFonts w:ascii="Palatino Linotype" w:hAnsi="Palatino Linotype" w:eastAsia="Palatino Linotype" w:cs="Times New Roman"/>
          <w:kern w:val="0"/>
          <w14:ligatures w14:val="none"/>
        </w:rPr>
      </w:pPr>
    </w:p>
    <w:p w:rsidRPr="002372BB" w:rsidR="00A65FDD" w:rsidP="00A65FDD" w:rsidRDefault="00A65FDD" w14:paraId="23A07CB2" w14:textId="77777777">
      <w:pPr>
        <w:contextualSpacing/>
        <w:rPr>
          <w:rFonts w:ascii="Palatino Linotype" w:hAnsi="Palatino Linotype" w:eastAsia="Palatino Linotype" w:cs="Times New Roman"/>
          <w:kern w:val="0"/>
          <w14:ligatures w14:val="none"/>
        </w:rPr>
      </w:pPr>
      <w:r w:rsidRPr="002372BB">
        <w:rPr>
          <w:rFonts w:ascii="Palatino Linotype" w:hAnsi="Palatino Linotype" w:eastAsia="Palatino Linotype" w:cs="Times New Roman"/>
          <w:kern w:val="0"/>
          <w14:ligatures w14:val="none"/>
        </w:rPr>
        <w:t xml:space="preserve">The application includes measurable annual performance targets, including completion or update of three county-level broadband summaries, at least six regional coordination or engagement activities, identification or update of at least five potential deployment opportunities annually, advancement of at least three opportunities to preliminary feasibility or funding-alignment stage annually, at least three advisory engagements during reporting periods, assistance with at least one project grant application, advancement of at least three project concepts to pre-development stage annually, and at least two feasibility, barrier-identification, or deployment-readiness analyses annually. </w:t>
      </w:r>
    </w:p>
    <w:p w:rsidRPr="002372BB" w:rsidR="00A65FDD" w:rsidP="00A65FDD" w:rsidRDefault="00A65FDD" w14:paraId="5EDC8324" w14:textId="77777777">
      <w:pPr>
        <w:contextualSpacing/>
        <w:rPr>
          <w:rFonts w:ascii="Palatino Linotype" w:hAnsi="Palatino Linotype" w:eastAsia="Palatino Linotype" w:cs="Times New Roman"/>
          <w:kern w:val="0"/>
          <w14:ligatures w14:val="none"/>
        </w:rPr>
      </w:pPr>
    </w:p>
    <w:p w:rsidRPr="002372BB" w:rsidR="00A65FDD" w:rsidP="00A65FDD" w:rsidRDefault="00A65FDD" w14:paraId="4C9FEB0C" w14:textId="77777777">
      <w:pPr>
        <w:contextualSpacing/>
        <w:rPr>
          <w:rFonts w:ascii="Palatino Linotype" w:hAnsi="Palatino Linotype" w:eastAsia="Palatino Linotype" w:cs="Times New Roman"/>
          <w:kern w:val="0"/>
          <w14:ligatures w14:val="none"/>
        </w:rPr>
      </w:pPr>
      <w:r w:rsidRPr="002372BB">
        <w:rPr>
          <w:rFonts w:ascii="Palatino Linotype" w:hAnsi="Palatino Linotype" w:eastAsia="Palatino Linotype" w:cs="Times New Roman"/>
          <w:kern w:val="0"/>
          <w14:ligatures w14:val="none"/>
        </w:rPr>
        <w:t>EBBC’s Work Plan and Performance Metrics Plan are directly related to SB 156 and AB 164 goals and objectives, and consistent with program requirements defined in D.25-11-003.</w:t>
      </w:r>
    </w:p>
    <w:p w:rsidRPr="002372BB" w:rsidR="00A65FDD" w:rsidP="00A65FDD" w:rsidRDefault="00A65FDD" w14:paraId="2E090593" w14:textId="77777777">
      <w:pPr>
        <w:contextualSpacing/>
        <w:rPr>
          <w:rFonts w:ascii="Palatino Linotype" w:hAnsi="Palatino Linotype" w:eastAsia="Palatino Linotype" w:cs="Times New Roman"/>
          <w:kern w:val="0"/>
          <w14:ligatures w14:val="none"/>
        </w:rPr>
      </w:pPr>
    </w:p>
    <w:p w:rsidRPr="002372BB" w:rsidR="00A65FDD" w:rsidP="00A65FDD" w:rsidRDefault="00A65FDD" w14:paraId="2B27A68E" w14:textId="77777777">
      <w:pPr>
        <w:contextualSpacing/>
        <w:rPr>
          <w:rFonts w:ascii="Palatino Linotype" w:hAnsi="Palatino Linotype" w:eastAsia="Palatino Linotype" w:cs="Times New Roman"/>
          <w:i/>
          <w:iCs/>
          <w:kern w:val="0"/>
          <w14:ligatures w14:val="none"/>
        </w:rPr>
      </w:pPr>
      <w:r w:rsidRPr="002372BB">
        <w:rPr>
          <w:rFonts w:ascii="Palatino Linotype" w:hAnsi="Palatino Linotype" w:eastAsia="Palatino Linotype" w:cs="Times New Roman"/>
          <w:i/>
          <w:iCs/>
          <w:kern w:val="0"/>
          <w14:ligatures w14:val="none"/>
        </w:rPr>
        <w:t>Budget</w:t>
      </w:r>
    </w:p>
    <w:p w:rsidRPr="00A74D0E" w:rsidR="00A65FDD" w:rsidP="00A65FDD" w:rsidRDefault="00A65FDD" w14:paraId="2B2D5A5F" w14:textId="1F8574E8">
      <w:pPr>
        <w:contextualSpacing/>
        <w:rPr>
          <w:rFonts w:ascii="Palatino Linotype" w:hAnsi="Palatino Linotype" w:eastAsia="Palatino Linotype" w:cs="Times New Roman"/>
          <w:kern w:val="0"/>
          <w14:ligatures w14:val="none"/>
        </w:rPr>
      </w:pPr>
      <w:r w:rsidRPr="002372BB">
        <w:rPr>
          <w:rFonts w:ascii="Palatino Linotype" w:hAnsi="Palatino Linotype" w:eastAsia="Palatino Linotype" w:cs="Times New Roman"/>
          <w:kern w:val="0"/>
          <w14:ligatures w14:val="none"/>
        </w:rPr>
        <w:lastRenderedPageBreak/>
        <w:t>EBBC requests $</w:t>
      </w:r>
      <w:r w:rsidR="00275FEC">
        <w:rPr>
          <w:rFonts w:ascii="Palatino Linotype" w:hAnsi="Palatino Linotype" w:eastAsia="Palatino Linotype" w:cs="Times New Roman"/>
          <w:kern w:val="0"/>
          <w14:ligatures w14:val="none"/>
        </w:rPr>
        <w:t>600</w:t>
      </w:r>
      <w:r w:rsidRPr="002372BB">
        <w:rPr>
          <w:rFonts w:ascii="Palatino Linotype" w:hAnsi="Palatino Linotype" w:eastAsia="Palatino Linotype" w:cs="Times New Roman"/>
          <w:kern w:val="0"/>
          <w14:ligatures w14:val="none"/>
        </w:rPr>
        <w:t>,000 for a three-year grant.  Of its total budget, EBBC allocates approximately 8.</w:t>
      </w:r>
      <w:r>
        <w:rPr>
          <w:rFonts w:ascii="Palatino Linotype" w:hAnsi="Palatino Linotype" w:eastAsia="Palatino Linotype" w:cs="Times New Roman"/>
          <w:kern w:val="0"/>
          <w14:ligatures w14:val="none"/>
        </w:rPr>
        <w:t>5</w:t>
      </w:r>
      <w:r w:rsidRPr="002372BB">
        <w:rPr>
          <w:rFonts w:ascii="Palatino Linotype" w:hAnsi="Palatino Linotype" w:eastAsia="Palatino Linotype" w:cs="Times New Roman"/>
          <w:kern w:val="0"/>
          <w14:ligatures w14:val="none"/>
        </w:rPr>
        <w:t>% to start-up costs</w:t>
      </w:r>
      <w:r w:rsidR="00F22D22">
        <w:rPr>
          <w:rStyle w:val="FootnoteReference"/>
          <w:rFonts w:ascii="Palatino Linotype" w:hAnsi="Palatino Linotype" w:eastAsia="Palatino Linotype" w:cs="Times New Roman"/>
          <w:kern w:val="0"/>
          <w14:ligatures w14:val="none"/>
        </w:rPr>
        <w:footnoteReference w:id="15"/>
      </w:r>
      <w:r w:rsidRPr="002372BB">
        <w:rPr>
          <w:rFonts w:ascii="Palatino Linotype" w:hAnsi="Palatino Linotype" w:eastAsia="Palatino Linotype" w:cs="Times New Roman"/>
          <w:kern w:val="0"/>
          <w14:ligatures w14:val="none"/>
        </w:rPr>
        <w:t>, 27.</w:t>
      </w:r>
      <w:r>
        <w:rPr>
          <w:rFonts w:ascii="Palatino Linotype" w:hAnsi="Palatino Linotype" w:eastAsia="Palatino Linotype" w:cs="Times New Roman"/>
          <w:kern w:val="0"/>
          <w14:ligatures w14:val="none"/>
        </w:rPr>
        <w:t>4</w:t>
      </w:r>
      <w:r w:rsidRPr="002372BB">
        <w:rPr>
          <w:rFonts w:ascii="Palatino Linotype" w:hAnsi="Palatino Linotype" w:eastAsia="Palatino Linotype" w:cs="Times New Roman"/>
          <w:kern w:val="0"/>
          <w14:ligatures w14:val="none"/>
        </w:rPr>
        <w:t>% to conduct marketing/outreach and develop</w:t>
      </w:r>
      <w:r>
        <w:rPr>
          <w:rFonts w:ascii="Palatino Linotype" w:hAnsi="Palatino Linotype" w:eastAsia="Palatino Linotype" w:cs="Times New Roman"/>
          <w:kern w:val="0"/>
          <w14:ligatures w14:val="none"/>
        </w:rPr>
        <w:t xml:space="preserve"> </w:t>
      </w:r>
      <w:r w:rsidRPr="00A74D0E">
        <w:rPr>
          <w:rFonts w:ascii="Palatino Linotype" w:hAnsi="Palatino Linotype" w:eastAsia="Palatino Linotype" w:cs="Times New Roman"/>
          <w:kern w:val="0"/>
          <w14:ligatures w14:val="none"/>
        </w:rPr>
        <w:t xml:space="preserve">strategies (Objective 1), </w:t>
      </w:r>
      <w:r>
        <w:rPr>
          <w:rFonts w:ascii="Palatino Linotype" w:hAnsi="Palatino Linotype" w:eastAsia="Palatino Linotype" w:cs="Times New Roman"/>
          <w:kern w:val="0"/>
          <w14:ligatures w14:val="none"/>
        </w:rPr>
        <w:t>52.3</w:t>
      </w:r>
      <w:r w:rsidRPr="00A74D0E">
        <w:rPr>
          <w:rFonts w:ascii="Palatino Linotype" w:hAnsi="Palatino Linotype" w:eastAsia="Palatino Linotype" w:cs="Times New Roman"/>
          <w:kern w:val="0"/>
          <w14:ligatures w14:val="none"/>
        </w:rPr>
        <w:t xml:space="preserve">% to identify, support, and advance broadband infrastructure opportunities (Objectives 2, 3, and 4), 1.7% to assist in publicizing wireline testing requests (Objective 5), 2.5% </w:t>
      </w:r>
      <w:r w:rsidRPr="00014752">
        <w:rPr>
          <w:rFonts w:ascii="Palatino Linotype" w:hAnsi="Palatino Linotype" w:eastAsia="Palatino Linotype" w:cs="Times New Roman"/>
          <w:kern w:val="0"/>
          <w14:ligatures w14:val="none"/>
        </w:rPr>
        <w:t>to assist in promoting broadband deployment in California (Objective 6)</w:t>
      </w:r>
      <w:r w:rsidRPr="00A74D0E">
        <w:rPr>
          <w:rFonts w:ascii="Palatino Linotype" w:hAnsi="Palatino Linotype" w:eastAsia="Palatino Linotype" w:cs="Times New Roman"/>
          <w:kern w:val="0"/>
          <w14:ligatures w14:val="none"/>
        </w:rPr>
        <w:t>, and 7.</w:t>
      </w:r>
      <w:r>
        <w:rPr>
          <w:rFonts w:ascii="Palatino Linotype" w:hAnsi="Palatino Linotype" w:eastAsia="Palatino Linotype" w:cs="Times New Roman"/>
          <w:kern w:val="0"/>
          <w14:ligatures w14:val="none"/>
        </w:rPr>
        <w:t>6</w:t>
      </w:r>
      <w:r w:rsidRPr="00A74D0E">
        <w:rPr>
          <w:rFonts w:ascii="Palatino Linotype" w:hAnsi="Palatino Linotype" w:eastAsia="Palatino Linotype" w:cs="Times New Roman"/>
          <w:kern w:val="0"/>
          <w14:ligatures w14:val="none"/>
        </w:rPr>
        <w:t xml:space="preserve">% </w:t>
      </w:r>
      <w:r w:rsidRPr="00014752">
        <w:rPr>
          <w:rFonts w:ascii="Palatino Linotype" w:hAnsi="Palatino Linotype" w:eastAsia="Palatino Linotype" w:cs="Times New Roman"/>
          <w:kern w:val="0"/>
          <w14:ligatures w14:val="none"/>
        </w:rPr>
        <w:t>for conducting and submitting the annual audit reports</w:t>
      </w:r>
      <w:r w:rsidRPr="00A74D0E">
        <w:rPr>
          <w:rFonts w:ascii="Palatino Linotype" w:hAnsi="Palatino Linotype" w:eastAsia="Palatino Linotype" w:cs="Times New Roman"/>
          <w:kern w:val="0"/>
          <w14:ligatures w14:val="none"/>
        </w:rPr>
        <w:t>. EBBC’s budget is cost-effective and consistent with budget requirements defined in D.25-11-003.</w:t>
      </w:r>
    </w:p>
    <w:p w:rsidR="00DB7B33" w:rsidP="00A65FDD" w:rsidRDefault="00DB7B33" w14:paraId="032FA67D" w14:textId="77777777">
      <w:pPr>
        <w:contextualSpacing/>
        <w:rPr>
          <w:rFonts w:ascii="Palatino Linotype" w:hAnsi="Palatino Linotype" w:eastAsia="Palatino Linotype" w:cs="Times New Roman"/>
          <w:kern w:val="0"/>
          <w14:ligatures w14:val="none"/>
        </w:rPr>
      </w:pPr>
    </w:p>
    <w:p w:rsidR="00DB7B33" w:rsidP="00DB7B33" w:rsidRDefault="00445A9B" w14:paraId="2A667433" w14:textId="5D2A1FAC">
      <w:pPr>
        <w:contextualSpacing/>
        <w:rPr>
          <w:rFonts w:ascii="Palatino Linotype" w:hAnsi="Palatino Linotype" w:eastAsia="Palatino Linotype" w:cs="Times New Roman"/>
          <w:kern w:val="0"/>
          <w14:ligatures w14:val="none"/>
        </w:rPr>
      </w:pPr>
      <w:r w:rsidRPr="002372BB">
        <w:rPr>
          <w:rFonts w:ascii="Palatino Linotype" w:hAnsi="Palatino Linotype" w:eastAsia="Palatino Linotype" w:cs="Times New Roman"/>
          <w:kern w:val="0"/>
          <w14:ligatures w14:val="none"/>
        </w:rPr>
        <w:t>EBBC</w:t>
      </w:r>
      <w:r>
        <w:rPr>
          <w:rFonts w:ascii="Palatino Linotype" w:hAnsi="Palatino Linotype" w:eastAsia="Palatino Linotype" w:cs="Times New Roman"/>
          <w:kern w:val="0"/>
          <w14:ligatures w14:val="none"/>
        </w:rPr>
        <w:t xml:space="preserve">’s </w:t>
      </w:r>
      <w:r w:rsidRPr="00254B82" w:rsidR="00DB7B33">
        <w:rPr>
          <w:rFonts w:ascii="Palatino Linotype" w:hAnsi="Palatino Linotype" w:eastAsia="Palatino Linotype" w:cs="Times New Roman"/>
          <w:kern w:val="0"/>
          <w14:ligatures w14:val="none"/>
        </w:rPr>
        <w:t>start-up budget (</w:t>
      </w:r>
      <w:r w:rsidR="00DB7B33">
        <w:rPr>
          <w:rFonts w:ascii="Palatino Linotype" w:hAnsi="Palatino Linotype" w:eastAsia="Palatino Linotype" w:cs="Times New Roman"/>
          <w:kern w:val="0"/>
          <w14:ligatures w14:val="none"/>
        </w:rPr>
        <w:t>8.</w:t>
      </w:r>
      <w:r w:rsidR="006829B3">
        <w:rPr>
          <w:rFonts w:ascii="Palatino Linotype" w:hAnsi="Palatino Linotype" w:eastAsia="Palatino Linotype" w:cs="Times New Roman"/>
          <w:kern w:val="0"/>
          <w14:ligatures w14:val="none"/>
        </w:rPr>
        <w:t>5</w:t>
      </w:r>
      <w:r w:rsidRPr="00254B82" w:rsidR="00DB7B33">
        <w:rPr>
          <w:rFonts w:ascii="Palatino Linotype" w:hAnsi="Palatino Linotype" w:eastAsia="Palatino Linotype" w:cs="Times New Roman"/>
          <w:kern w:val="0"/>
          <w14:ligatures w14:val="none"/>
        </w:rPr>
        <w:t>%) provides funding for</w:t>
      </w:r>
      <w:r w:rsidR="00165398">
        <w:rPr>
          <w:rFonts w:ascii="Palatino Linotype" w:hAnsi="Palatino Linotype" w:eastAsia="Palatino Linotype" w:cs="Times New Roman"/>
          <w:kern w:val="0"/>
          <w14:ligatures w14:val="none"/>
        </w:rPr>
        <w:t xml:space="preserve"> </w:t>
      </w:r>
      <w:r w:rsidRPr="00165398" w:rsidR="00165398">
        <w:rPr>
          <w:rFonts w:ascii="Palatino Linotype" w:hAnsi="Palatino Linotype" w:eastAsia="Palatino Linotype" w:cs="Times New Roman"/>
          <w:kern w:val="0"/>
          <w14:ligatures w14:val="none"/>
        </w:rPr>
        <w:t>initial launch activities, including</w:t>
      </w:r>
      <w:r w:rsidRPr="00254B82" w:rsidR="00DB7B33">
        <w:rPr>
          <w:rFonts w:ascii="Palatino Linotype" w:hAnsi="Palatino Linotype" w:eastAsia="Palatino Linotype" w:cs="Times New Roman"/>
          <w:kern w:val="0"/>
          <w14:ligatures w14:val="none"/>
        </w:rPr>
        <w:t xml:space="preserve"> </w:t>
      </w:r>
      <w:r w:rsidRPr="00A74D0E" w:rsidR="00353560">
        <w:rPr>
          <w:rFonts w:ascii="Palatino Linotype" w:hAnsi="Palatino Linotype" w:eastAsia="Palatino Linotype" w:cs="Times New Roman"/>
          <w:kern w:val="0"/>
          <w14:ligatures w14:val="none"/>
        </w:rPr>
        <w:t>Regional Broadband Analysis and Priority Area Development, Stakeholder Engagement and Regional Technical Assistance, and Deployment Opportunity Identification and Feasibility Screening</w:t>
      </w:r>
      <w:r w:rsidR="001E77B8">
        <w:rPr>
          <w:rFonts w:ascii="Palatino Linotype" w:hAnsi="Palatino Linotype" w:eastAsia="Palatino Linotype" w:cs="Times New Roman"/>
          <w:kern w:val="0"/>
          <w14:ligatures w14:val="none"/>
        </w:rPr>
        <w:t>.</w:t>
      </w:r>
    </w:p>
    <w:p w:rsidR="00DB7B33" w:rsidP="00A65FDD" w:rsidRDefault="00DB7B33" w14:paraId="265873FD" w14:textId="77777777">
      <w:pPr>
        <w:contextualSpacing/>
        <w:rPr>
          <w:rFonts w:ascii="Palatino Linotype" w:hAnsi="Palatino Linotype" w:eastAsia="Palatino Linotype" w:cs="Times New Roman"/>
          <w:kern w:val="0"/>
          <w14:ligatures w14:val="none"/>
        </w:rPr>
      </w:pPr>
    </w:p>
    <w:p w:rsidR="00A65FDD" w:rsidP="00A65FDD" w:rsidRDefault="00A65FDD" w14:paraId="013087C1" w14:textId="77777777">
      <w:pPr>
        <w:contextualSpacing/>
        <w:rPr>
          <w:rFonts w:ascii="Palatino Linotype" w:hAnsi="Palatino Linotype" w:eastAsia="Palatino Linotype" w:cs="Times New Roman"/>
          <w:kern w:val="0"/>
          <w14:ligatures w14:val="none"/>
        </w:rPr>
      </w:pPr>
    </w:p>
    <w:p w:rsidRPr="00375FBF" w:rsidR="00A65FDD" w:rsidP="00A65FDD" w:rsidRDefault="00A65FDD" w14:paraId="3DD4BB13" w14:textId="2EC073F2">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t>3</w:t>
      </w:r>
      <w:r w:rsidRPr="00375FBF">
        <w:rPr>
          <w:rFonts w:ascii="Palatino Linotype" w:hAnsi="Palatino Linotype" w:eastAsia="Palatino Linotype" w:cs="Times New Roman"/>
          <w:b/>
          <w:bCs/>
          <w:kern w:val="0"/>
          <w14:ligatures w14:val="none"/>
        </w:rPr>
        <w:t xml:space="preserve">. </w:t>
      </w:r>
      <w:r w:rsidRPr="0032538D">
        <w:rPr>
          <w:rFonts w:ascii="Palatino Linotype" w:hAnsi="Palatino Linotype" w:eastAsia="Palatino Linotype" w:cs="Palatino Linotype"/>
          <w:b/>
          <w:bCs/>
        </w:rPr>
        <w:t>E = mc² Silicon Valley Consortium (EMCSVC)</w:t>
      </w:r>
    </w:p>
    <w:p w:rsidR="00A65FDD" w:rsidP="00A65FDD" w:rsidRDefault="00A65FDD" w14:paraId="25199814" w14:textId="77777777">
      <w:pPr>
        <w:contextualSpacing/>
        <w:rPr>
          <w:rFonts w:ascii="Palatino Linotype" w:hAnsi="Palatino Linotype" w:eastAsia="Palatino Linotype" w:cs="Times New Roman"/>
          <w:kern w:val="0"/>
          <w14:ligatures w14:val="none"/>
        </w:rPr>
      </w:pPr>
    </w:p>
    <w:p w:rsidRPr="00E76CA3" w:rsidR="00A65FDD" w:rsidP="00A65FDD" w:rsidRDefault="00A65FDD" w14:paraId="61EC03D7" w14:textId="77777777">
      <w:pPr>
        <w:contextualSpacing/>
        <w:rPr>
          <w:rFonts w:ascii="Palatino Linotype" w:hAnsi="Palatino Linotype" w:eastAsia="Palatino Linotype" w:cs="Times New Roman"/>
          <w:i/>
          <w:iCs/>
          <w:kern w:val="0"/>
          <w14:ligatures w14:val="none"/>
        </w:rPr>
      </w:pPr>
      <w:r w:rsidRPr="00E76CA3">
        <w:rPr>
          <w:rFonts w:ascii="Palatino Linotype" w:hAnsi="Palatino Linotype" w:eastAsia="Palatino Linotype" w:cs="Times New Roman"/>
          <w:i/>
          <w:iCs/>
          <w:kern w:val="0"/>
          <w14:ligatures w14:val="none"/>
        </w:rPr>
        <w:t xml:space="preserve">Applicant </w:t>
      </w:r>
    </w:p>
    <w:p w:rsidRPr="00E76CA3" w:rsidR="00A65FDD" w:rsidP="00A65FDD" w:rsidRDefault="00A65FDD" w14:paraId="365C415F" w14:textId="25962257">
      <w:pPr>
        <w:contextualSpacing/>
        <w:rPr>
          <w:rFonts w:ascii="Palatino Linotype" w:hAnsi="Palatino Linotype" w:eastAsia="Palatino Linotype" w:cs="Times New Roman"/>
          <w:kern w:val="0"/>
          <w14:ligatures w14:val="none"/>
        </w:rPr>
      </w:pPr>
      <w:r w:rsidRPr="00E76CA3">
        <w:rPr>
          <w:rFonts w:ascii="Palatino Linotype" w:hAnsi="Palatino Linotype" w:eastAsia="Palatino Linotype" w:cs="Times New Roman"/>
          <w:kern w:val="0"/>
          <w14:ligatures w14:val="none"/>
        </w:rPr>
        <w:t>EMCSVC represents San Francisco</w:t>
      </w:r>
      <w:r w:rsidR="008D65E5">
        <w:rPr>
          <w:rFonts w:ascii="Palatino Linotype" w:hAnsi="Palatino Linotype" w:eastAsia="Palatino Linotype" w:cs="Times New Roman"/>
          <w:kern w:val="0"/>
          <w14:ligatures w14:val="none"/>
        </w:rPr>
        <w:t xml:space="preserve"> (SF)</w:t>
      </w:r>
      <w:r w:rsidRPr="00E76CA3">
        <w:rPr>
          <w:rFonts w:ascii="Palatino Linotype" w:hAnsi="Palatino Linotype" w:eastAsia="Palatino Linotype" w:cs="Times New Roman"/>
          <w:kern w:val="0"/>
          <w14:ligatures w14:val="none"/>
        </w:rPr>
        <w:t xml:space="preserve">, San Mateo, and Santa Clara counties. ASIAN, Inc. is the applicant and proposed fiscal agent. The Consortium is led by ASIAN, Inc. in partnership with SF Tech Council and </w:t>
      </w:r>
      <w:proofErr w:type="spellStart"/>
      <w:r w:rsidRPr="00E76CA3">
        <w:rPr>
          <w:rFonts w:ascii="Palatino Linotype" w:hAnsi="Palatino Linotype" w:eastAsia="Palatino Linotype" w:cs="Times New Roman"/>
          <w:kern w:val="0"/>
          <w14:ligatures w14:val="none"/>
        </w:rPr>
        <w:t>DigitalLift</w:t>
      </w:r>
      <w:proofErr w:type="spellEnd"/>
      <w:r w:rsidRPr="00E76CA3">
        <w:rPr>
          <w:rFonts w:ascii="Palatino Linotype" w:hAnsi="Palatino Linotype" w:eastAsia="Palatino Linotype" w:cs="Times New Roman"/>
          <w:kern w:val="0"/>
          <w14:ligatures w14:val="none"/>
        </w:rPr>
        <w:t xml:space="preserve">, and proposes a two-year regional broadband consortium project focused on supporting broadband infrastructure planning and deployment in low income and underserved communities across the </w:t>
      </w:r>
      <w:r w:rsidRPr="00E76CA3" w:rsidR="00974162">
        <w:rPr>
          <w:rFonts w:ascii="Palatino Linotype" w:hAnsi="Palatino Linotype" w:eastAsia="Palatino Linotype" w:cs="Times New Roman"/>
          <w:kern w:val="0"/>
          <w14:ligatures w14:val="none"/>
        </w:rPr>
        <w:t>three-county</w:t>
      </w:r>
      <w:r w:rsidRPr="00E76CA3">
        <w:rPr>
          <w:rFonts w:ascii="Palatino Linotype" w:hAnsi="Palatino Linotype" w:eastAsia="Palatino Linotype" w:cs="Times New Roman"/>
          <w:kern w:val="0"/>
          <w14:ligatures w14:val="none"/>
        </w:rPr>
        <w:t xml:space="preserve"> region.</w:t>
      </w:r>
    </w:p>
    <w:p w:rsidR="00A65FDD" w:rsidP="00A65FDD" w:rsidRDefault="00A65FDD" w14:paraId="0C44B36E" w14:textId="77777777">
      <w:pPr>
        <w:contextualSpacing/>
        <w:rPr>
          <w:rFonts w:ascii="Palatino Linotype" w:hAnsi="Palatino Linotype" w:eastAsia="Palatino Linotype" w:cs="Times New Roman"/>
          <w:kern w:val="0"/>
          <w14:ligatures w14:val="none"/>
        </w:rPr>
      </w:pPr>
    </w:p>
    <w:p w:rsidR="007D6602" w:rsidP="3DC706F8" w:rsidRDefault="007D6602" w14:paraId="2506009C" w14:textId="0DE4710B">
      <w:pPr>
        <w:pStyle w:val="NormalWeb"/>
        <w:spacing w:before="0" w:after="0"/>
        <w:rPr>
          <w:rFonts w:ascii="Palatino Linotype" w:hAnsi="Palatino Linotype"/>
          <w:i/>
          <w:iCs/>
        </w:rPr>
      </w:pPr>
      <w:r w:rsidRPr="007D6602">
        <w:rPr>
          <w:rFonts w:ascii="Palatino Linotype" w:hAnsi="Palatino Linotype"/>
          <w:i/>
          <w:iCs/>
        </w:rPr>
        <w:t>Past CASF Project Performance</w:t>
      </w:r>
    </w:p>
    <w:p w:rsidR="00A65FDD" w:rsidP="00A65FDD" w:rsidRDefault="00A65FDD" w14:paraId="42A4353D" w14:textId="67DDDE6F">
      <w:pPr>
        <w:contextualSpacing/>
        <w:rPr>
          <w:rFonts w:ascii="Palatino Linotype" w:hAnsi="Palatino Linotype" w:eastAsia="Palatino Linotype" w:cs="Times New Roman"/>
          <w:kern w:val="0"/>
          <w14:ligatures w14:val="none"/>
        </w:rPr>
      </w:pPr>
      <w:r w:rsidRPr="00E76CA3">
        <w:rPr>
          <w:rFonts w:ascii="Palatino Linotype" w:hAnsi="Palatino Linotype" w:eastAsia="Palatino Linotype" w:cs="Times New Roman"/>
          <w:kern w:val="0"/>
          <w14:ligatures w14:val="none"/>
        </w:rPr>
        <w:t xml:space="preserve">EMCSVC is a first-time applicant to the CASF Consortia Account and therefore does not have prior CASF Consortia grant performance. However, ASIAN, Inc. and its partners </w:t>
      </w:r>
      <w:r w:rsidR="00974162">
        <w:rPr>
          <w:rFonts w:ascii="Palatino Linotype" w:hAnsi="Palatino Linotype" w:eastAsia="Palatino Linotype" w:cs="Times New Roman"/>
          <w:kern w:val="0"/>
          <w14:ligatures w14:val="none"/>
        </w:rPr>
        <w:t>have</w:t>
      </w:r>
      <w:r w:rsidRPr="00E76CA3">
        <w:rPr>
          <w:rFonts w:ascii="Palatino Linotype" w:hAnsi="Palatino Linotype" w:eastAsia="Palatino Linotype" w:cs="Times New Roman"/>
          <w:kern w:val="0"/>
          <w14:ligatures w14:val="none"/>
        </w:rPr>
        <w:t xml:space="preserve"> relevant prior </w:t>
      </w:r>
      <w:r w:rsidRPr="00E76CA3" w:rsidR="12CC8C07">
        <w:rPr>
          <w:rFonts w:ascii="Palatino Linotype" w:hAnsi="Palatino Linotype" w:eastAsia="Palatino Linotype" w:cs="Times New Roman"/>
          <w:kern w:val="0"/>
          <w14:ligatures w14:val="none"/>
        </w:rPr>
        <w:t>Commission</w:t>
      </w:r>
      <w:r w:rsidRPr="00E76CA3">
        <w:rPr>
          <w:rFonts w:ascii="Palatino Linotype" w:hAnsi="Palatino Linotype" w:eastAsia="Palatino Linotype" w:cs="Times New Roman"/>
          <w:kern w:val="0"/>
          <w14:ligatures w14:val="none"/>
        </w:rPr>
        <w:t xml:space="preserve"> and broadband-related experience.</w:t>
      </w:r>
    </w:p>
    <w:p w:rsidRPr="00E76CA3" w:rsidR="00A65FDD" w:rsidP="00A65FDD" w:rsidRDefault="00A65FDD" w14:paraId="309B3A6E" w14:textId="77777777">
      <w:pPr>
        <w:contextualSpacing/>
        <w:rPr>
          <w:rFonts w:ascii="Palatino Linotype" w:hAnsi="Palatino Linotype" w:eastAsia="Palatino Linotype" w:cs="Times New Roman"/>
          <w:kern w:val="0"/>
          <w14:ligatures w14:val="none"/>
        </w:rPr>
      </w:pPr>
    </w:p>
    <w:p w:rsidRPr="00E76CA3" w:rsidR="00A65FDD" w:rsidP="00A65FDD" w:rsidRDefault="00A65FDD" w14:paraId="4E1D5C8F" w14:textId="77777777">
      <w:pPr>
        <w:contextualSpacing/>
        <w:rPr>
          <w:rFonts w:ascii="Palatino Linotype" w:hAnsi="Palatino Linotype" w:eastAsia="Palatino Linotype" w:cs="Times New Roman"/>
          <w:i/>
          <w:iCs/>
          <w:kern w:val="0"/>
          <w14:ligatures w14:val="none"/>
        </w:rPr>
      </w:pPr>
      <w:r w:rsidRPr="00E76CA3">
        <w:rPr>
          <w:rFonts w:ascii="Palatino Linotype" w:hAnsi="Palatino Linotype" w:eastAsia="Palatino Linotype" w:cs="Times New Roman"/>
          <w:i/>
          <w:iCs/>
          <w:kern w:val="0"/>
          <w14:ligatures w14:val="none"/>
        </w:rPr>
        <w:t>Regional Consortium Representation and Endorsements</w:t>
      </w:r>
    </w:p>
    <w:p w:rsidRPr="000A6489" w:rsidR="00A65FDD" w:rsidP="00A65FDD" w:rsidRDefault="00651A6D" w14:paraId="5774C88B" w14:textId="7F7F282B">
      <w:pPr>
        <w:contextualSpacing/>
        <w:rPr>
          <w:rFonts w:ascii="Palatino Linotype" w:hAnsi="Palatino Linotype" w:eastAsia="Palatino Linotype" w:cs="Times New Roman"/>
          <w:kern w:val="0"/>
          <w14:ligatures w14:val="none"/>
        </w:rPr>
      </w:pPr>
      <w:r w:rsidRPr="00651A6D">
        <w:rPr>
          <w:rFonts w:ascii="Palatino Linotype" w:hAnsi="Palatino Linotype" w:eastAsia="Palatino Linotype" w:cs="Times New Roman"/>
        </w:rPr>
        <w:t>As stated in its application,</w:t>
      </w:r>
      <w:r>
        <w:rPr>
          <w:rFonts w:ascii="Palatino Linotype" w:hAnsi="Palatino Linotype" w:eastAsia="Palatino Linotype" w:cs="Times New Roman"/>
        </w:rPr>
        <w:t xml:space="preserve"> </w:t>
      </w:r>
      <w:r w:rsidRPr="2AA5603E" w:rsidR="1B01A20D">
        <w:rPr>
          <w:rFonts w:ascii="Palatino Linotype" w:hAnsi="Palatino Linotype" w:eastAsia="Palatino Linotype" w:cs="Times New Roman"/>
        </w:rPr>
        <w:t>EMCSVC’s</w:t>
      </w:r>
      <w:r w:rsidRPr="00E76CA3" w:rsidR="00A65FDD">
        <w:rPr>
          <w:rFonts w:ascii="Palatino Linotype" w:hAnsi="Palatino Linotype" w:eastAsia="Palatino Linotype" w:cs="Times New Roman"/>
          <w:kern w:val="0"/>
          <w14:ligatures w14:val="none"/>
        </w:rPr>
        <w:t xml:space="preserve"> governing structure includes five voting members, with two representatives from ASIAN, Inc., two representatives from SF Tech Council, and one representative from </w:t>
      </w:r>
      <w:proofErr w:type="spellStart"/>
      <w:r w:rsidRPr="00E76CA3" w:rsidR="00A65FDD">
        <w:rPr>
          <w:rFonts w:ascii="Palatino Linotype" w:hAnsi="Palatino Linotype" w:eastAsia="Palatino Linotype" w:cs="Times New Roman"/>
          <w:kern w:val="0"/>
          <w14:ligatures w14:val="none"/>
        </w:rPr>
        <w:t>DigitalLift</w:t>
      </w:r>
      <w:proofErr w:type="spellEnd"/>
      <w:r w:rsidRPr="00E76CA3" w:rsidR="00A65FDD">
        <w:rPr>
          <w:rFonts w:ascii="Palatino Linotype" w:hAnsi="Palatino Linotype" w:eastAsia="Palatino Linotype" w:cs="Times New Roman"/>
          <w:kern w:val="0"/>
          <w14:ligatures w14:val="none"/>
        </w:rPr>
        <w:t xml:space="preserve">, as well as non-voting advisory </w:t>
      </w:r>
      <w:r w:rsidRPr="00E76CA3" w:rsidR="00A65FDD">
        <w:rPr>
          <w:rFonts w:ascii="Palatino Linotype" w:hAnsi="Palatino Linotype" w:eastAsia="Palatino Linotype" w:cs="Times New Roman"/>
          <w:kern w:val="0"/>
          <w14:ligatures w14:val="none"/>
        </w:rPr>
        <w:lastRenderedPageBreak/>
        <w:t xml:space="preserve">members that may include regional ISPs, state broadband representatives, workforce agencies, educational institutions, and philanthropic partners. </w:t>
      </w:r>
      <w:r w:rsidRPr="00EB64A0" w:rsidR="00EB64A0">
        <w:rPr>
          <w:rFonts w:ascii="Palatino Linotype" w:hAnsi="Palatino Linotype" w:eastAsia="Palatino Linotype" w:cs="Times New Roman"/>
          <w:kern w:val="0"/>
          <w14:ligatures w14:val="none"/>
        </w:rPr>
        <w:t>The application states that</w:t>
      </w:r>
      <w:r w:rsidR="00EB64A0">
        <w:rPr>
          <w:rFonts w:ascii="Palatino Linotype" w:hAnsi="Palatino Linotype" w:eastAsia="Palatino Linotype" w:cs="Times New Roman"/>
          <w:kern w:val="0"/>
          <w14:ligatures w14:val="none"/>
        </w:rPr>
        <w:t xml:space="preserve"> t</w:t>
      </w:r>
      <w:r w:rsidRPr="00E76CA3" w:rsidR="00A65FDD">
        <w:rPr>
          <w:rFonts w:ascii="Palatino Linotype" w:hAnsi="Palatino Linotype" w:eastAsia="Palatino Linotype" w:cs="Times New Roman"/>
          <w:kern w:val="0"/>
          <w14:ligatures w14:val="none"/>
        </w:rPr>
        <w:t>he governance model is intended to provide</w:t>
      </w:r>
      <w:r w:rsidR="00A65FDD">
        <w:rPr>
          <w:rFonts w:ascii="Palatino Linotype" w:hAnsi="Palatino Linotype" w:eastAsia="Palatino Linotype" w:cs="Times New Roman"/>
          <w:kern w:val="0"/>
          <w14:ligatures w14:val="none"/>
        </w:rPr>
        <w:t xml:space="preserve"> </w:t>
      </w:r>
      <w:r w:rsidRPr="000A6489" w:rsidR="00A65FDD">
        <w:rPr>
          <w:rFonts w:ascii="Palatino Linotype" w:hAnsi="Palatino Linotype" w:eastAsia="Palatino Linotype" w:cs="Times New Roman"/>
          <w:kern w:val="0"/>
          <w14:ligatures w14:val="none"/>
        </w:rPr>
        <w:t xml:space="preserve">equitable regional representation, transparency, accountability, and fiscal oversight. </w:t>
      </w:r>
    </w:p>
    <w:p w:rsidRPr="000A6489" w:rsidR="00A65FDD" w:rsidP="00A65FDD" w:rsidRDefault="00A65FDD" w14:paraId="363E5A3B" w14:textId="77777777">
      <w:pPr>
        <w:contextualSpacing/>
        <w:rPr>
          <w:rFonts w:ascii="Palatino Linotype" w:hAnsi="Palatino Linotype" w:eastAsia="Palatino Linotype" w:cs="Times New Roman"/>
          <w:kern w:val="0"/>
          <w14:ligatures w14:val="none"/>
        </w:rPr>
      </w:pPr>
    </w:p>
    <w:p w:rsidRPr="000A6489" w:rsidR="00A65FDD" w:rsidP="00A65FDD" w:rsidRDefault="00A65FDD" w14:paraId="11186C31" w14:textId="787D5B3B">
      <w:pPr>
        <w:contextualSpacing/>
        <w:rPr>
          <w:rFonts w:ascii="Palatino Linotype" w:hAnsi="Palatino Linotype" w:eastAsia="Palatino Linotype" w:cs="Times New Roman"/>
          <w:kern w:val="0"/>
          <w14:ligatures w14:val="none"/>
        </w:rPr>
      </w:pPr>
      <w:r w:rsidRPr="000A6489">
        <w:rPr>
          <w:rFonts w:ascii="Palatino Linotype" w:hAnsi="Palatino Linotype" w:eastAsia="Palatino Linotype" w:cs="Times New Roman"/>
          <w:kern w:val="0"/>
          <w14:ligatures w14:val="none"/>
        </w:rPr>
        <w:t xml:space="preserve">EMCSVC received 12 endorsements from organizations and stakeholders including Daly City Partnership, Dev/Mission, EAH Housing, Greenlining Institute, IW Group Inc., </w:t>
      </w:r>
      <w:proofErr w:type="spellStart"/>
      <w:r w:rsidRPr="000A6489">
        <w:rPr>
          <w:rFonts w:ascii="Palatino Linotype" w:hAnsi="Palatino Linotype" w:eastAsia="Palatino Linotype" w:cs="Times New Roman"/>
          <w:kern w:val="0"/>
          <w14:ligatures w14:val="none"/>
        </w:rPr>
        <w:t>Monkeybrains</w:t>
      </w:r>
      <w:proofErr w:type="spellEnd"/>
      <w:r w:rsidRPr="000A6489">
        <w:rPr>
          <w:rFonts w:ascii="Palatino Linotype" w:hAnsi="Palatino Linotype" w:eastAsia="Palatino Linotype" w:cs="Times New Roman"/>
          <w:kern w:val="0"/>
          <w14:ligatures w14:val="none"/>
        </w:rPr>
        <w:t xml:space="preserve">, National </w:t>
      </w:r>
      <w:r w:rsidRPr="00A225A4" w:rsidR="00A225A4">
        <w:rPr>
          <w:rFonts w:ascii="Palatino Linotype" w:hAnsi="Palatino Linotype" w:eastAsia="Palatino Linotype" w:cs="Times New Roman"/>
          <w:kern w:val="0"/>
          <w14:ligatures w14:val="none"/>
        </w:rPr>
        <w:t>Coalition for Asian Pacific American Community Development</w:t>
      </w:r>
      <w:r w:rsidR="00A225A4">
        <w:rPr>
          <w:rFonts w:ascii="Palatino Linotype" w:hAnsi="Palatino Linotype" w:eastAsia="Palatino Linotype" w:cs="Times New Roman"/>
          <w:kern w:val="0"/>
          <w14:ligatures w14:val="none"/>
        </w:rPr>
        <w:t xml:space="preserve"> (</w:t>
      </w:r>
      <w:r w:rsidRPr="000A6489">
        <w:rPr>
          <w:rFonts w:ascii="Palatino Linotype" w:hAnsi="Palatino Linotype" w:eastAsia="Palatino Linotype" w:cs="Times New Roman"/>
          <w:kern w:val="0"/>
          <w14:ligatures w14:val="none"/>
        </w:rPr>
        <w:t>CAPACD</w:t>
      </w:r>
      <w:r w:rsidR="00A225A4">
        <w:rPr>
          <w:rFonts w:ascii="Palatino Linotype" w:hAnsi="Palatino Linotype" w:eastAsia="Palatino Linotype" w:cs="Times New Roman"/>
          <w:kern w:val="0"/>
          <w14:ligatures w14:val="none"/>
        </w:rPr>
        <w:t>)</w:t>
      </w:r>
      <w:r w:rsidRPr="000A6489">
        <w:rPr>
          <w:rFonts w:ascii="Palatino Linotype" w:hAnsi="Palatino Linotype" w:eastAsia="Palatino Linotype" w:cs="Times New Roman"/>
          <w:kern w:val="0"/>
          <w14:ligatures w14:val="none"/>
        </w:rPr>
        <w:t xml:space="preserve">, Rise Economy, Santa Clara County Digital Inclusion Workgroup, Senior </w:t>
      </w:r>
      <w:proofErr w:type="spellStart"/>
      <w:r w:rsidRPr="000A6489">
        <w:rPr>
          <w:rFonts w:ascii="Palatino Linotype" w:hAnsi="Palatino Linotype" w:eastAsia="Palatino Linotype" w:cs="Times New Roman"/>
          <w:kern w:val="0"/>
          <w14:ligatures w14:val="none"/>
        </w:rPr>
        <w:t>Coastsiders</w:t>
      </w:r>
      <w:proofErr w:type="spellEnd"/>
      <w:r w:rsidRPr="000A6489">
        <w:rPr>
          <w:rFonts w:ascii="Palatino Linotype" w:hAnsi="Palatino Linotype" w:eastAsia="Palatino Linotype" w:cs="Times New Roman"/>
          <w:kern w:val="0"/>
          <w14:ligatures w14:val="none"/>
        </w:rPr>
        <w:t xml:space="preserve">, </w:t>
      </w:r>
      <w:proofErr w:type="spellStart"/>
      <w:r w:rsidRPr="000A6489">
        <w:rPr>
          <w:rFonts w:ascii="Palatino Linotype" w:hAnsi="Palatino Linotype" w:eastAsia="Palatino Linotype" w:cs="Times New Roman"/>
          <w:kern w:val="0"/>
          <w14:ligatures w14:val="none"/>
        </w:rPr>
        <w:t>DigitalLift</w:t>
      </w:r>
      <w:proofErr w:type="spellEnd"/>
      <w:r w:rsidRPr="000A6489">
        <w:rPr>
          <w:rFonts w:ascii="Palatino Linotype" w:hAnsi="Palatino Linotype" w:eastAsia="Palatino Linotype" w:cs="Times New Roman"/>
          <w:kern w:val="0"/>
          <w14:ligatures w14:val="none"/>
        </w:rPr>
        <w:t>, and former F</w:t>
      </w:r>
      <w:r w:rsidR="0015198C">
        <w:rPr>
          <w:rFonts w:ascii="Palatino Linotype" w:hAnsi="Palatino Linotype" w:eastAsia="Palatino Linotype" w:cs="Times New Roman"/>
          <w:kern w:val="0"/>
          <w14:ligatures w14:val="none"/>
        </w:rPr>
        <w:t xml:space="preserve">ederal </w:t>
      </w:r>
      <w:r w:rsidRPr="000A6489">
        <w:rPr>
          <w:rFonts w:ascii="Palatino Linotype" w:hAnsi="Palatino Linotype" w:eastAsia="Palatino Linotype" w:cs="Times New Roman"/>
          <w:kern w:val="0"/>
          <w14:ligatures w14:val="none"/>
        </w:rPr>
        <w:t>C</w:t>
      </w:r>
      <w:r w:rsidR="0015198C">
        <w:rPr>
          <w:rFonts w:ascii="Palatino Linotype" w:hAnsi="Palatino Linotype" w:eastAsia="Palatino Linotype" w:cs="Times New Roman"/>
          <w:kern w:val="0"/>
          <w14:ligatures w14:val="none"/>
        </w:rPr>
        <w:t xml:space="preserve">ommunications </w:t>
      </w:r>
      <w:r w:rsidRPr="000A6489">
        <w:rPr>
          <w:rFonts w:ascii="Palatino Linotype" w:hAnsi="Palatino Linotype" w:eastAsia="Palatino Linotype" w:cs="Times New Roman"/>
          <w:kern w:val="0"/>
          <w14:ligatures w14:val="none"/>
        </w:rPr>
        <w:t>C</w:t>
      </w:r>
      <w:r w:rsidR="0015198C">
        <w:rPr>
          <w:rFonts w:ascii="Palatino Linotype" w:hAnsi="Palatino Linotype" w:eastAsia="Palatino Linotype" w:cs="Times New Roman"/>
          <w:kern w:val="0"/>
          <w14:ligatures w14:val="none"/>
        </w:rPr>
        <w:t>ommission (FCC) and CPUC</w:t>
      </w:r>
      <w:r w:rsidRPr="000A6489">
        <w:rPr>
          <w:rFonts w:ascii="Palatino Linotype" w:hAnsi="Palatino Linotype" w:eastAsia="Palatino Linotype" w:cs="Times New Roman"/>
          <w:kern w:val="0"/>
          <w14:ligatures w14:val="none"/>
        </w:rPr>
        <w:t xml:space="preserve"> Commissioner Rachelle Chong.</w:t>
      </w:r>
    </w:p>
    <w:p w:rsidRPr="000A6489" w:rsidR="00A65FDD" w:rsidP="00A65FDD" w:rsidRDefault="00A65FDD" w14:paraId="70FB56B6" w14:textId="77777777">
      <w:pPr>
        <w:contextualSpacing/>
        <w:rPr>
          <w:rFonts w:ascii="Palatino Linotype" w:hAnsi="Palatino Linotype" w:eastAsia="Palatino Linotype" w:cs="Times New Roman"/>
          <w:kern w:val="0"/>
          <w14:ligatures w14:val="none"/>
        </w:rPr>
      </w:pPr>
    </w:p>
    <w:p w:rsidRPr="000A6489" w:rsidR="00A65FDD" w:rsidP="00A65FDD" w:rsidRDefault="00A65FDD" w14:paraId="753A65D2" w14:textId="77777777">
      <w:pPr>
        <w:contextualSpacing/>
        <w:rPr>
          <w:rFonts w:ascii="Palatino Linotype" w:hAnsi="Palatino Linotype" w:eastAsia="Palatino Linotype" w:cs="Times New Roman"/>
          <w:i/>
          <w:iCs/>
          <w:kern w:val="0"/>
          <w14:ligatures w14:val="none"/>
        </w:rPr>
      </w:pPr>
      <w:r w:rsidRPr="000A6489">
        <w:rPr>
          <w:rFonts w:ascii="Palatino Linotype" w:hAnsi="Palatino Linotype" w:eastAsia="Palatino Linotype" w:cs="Times New Roman"/>
          <w:i/>
          <w:iCs/>
          <w:kern w:val="0"/>
          <w14:ligatures w14:val="none"/>
        </w:rPr>
        <w:t>Regional Consortium Members’ Experience</w:t>
      </w:r>
    </w:p>
    <w:p w:rsidRPr="000A6489" w:rsidR="00A65FDD" w:rsidP="00A65FDD" w:rsidRDefault="10B12FD8" w14:paraId="5C612418" w14:textId="7140E336">
      <w:pPr>
        <w:contextualSpacing/>
        <w:rPr>
          <w:rFonts w:ascii="Palatino Linotype" w:hAnsi="Palatino Linotype" w:eastAsia="Palatino Linotype" w:cs="Times New Roman"/>
          <w:kern w:val="0"/>
          <w14:ligatures w14:val="none"/>
        </w:rPr>
      </w:pPr>
      <w:r w:rsidRPr="000A6489">
        <w:rPr>
          <w:rFonts w:ascii="Palatino Linotype" w:hAnsi="Palatino Linotype" w:eastAsia="Palatino Linotype" w:cs="Times New Roman"/>
          <w:kern w:val="0"/>
          <w14:ligatures w14:val="none"/>
        </w:rPr>
        <w:t>EMCSVC’s</w:t>
      </w:r>
      <w:r w:rsidRPr="000A6489" w:rsidR="00A65FDD">
        <w:rPr>
          <w:rFonts w:ascii="Palatino Linotype" w:hAnsi="Palatino Linotype" w:eastAsia="Palatino Linotype" w:cs="Times New Roman"/>
          <w:kern w:val="0"/>
          <w14:ligatures w14:val="none"/>
        </w:rPr>
        <w:t xml:space="preserve"> members </w:t>
      </w:r>
      <w:r w:rsidR="0015198C">
        <w:rPr>
          <w:rFonts w:ascii="Palatino Linotype" w:hAnsi="Palatino Linotype" w:eastAsia="Palatino Linotype" w:cs="Times New Roman"/>
          <w:kern w:val="0"/>
          <w14:ligatures w14:val="none"/>
        </w:rPr>
        <w:t>have</w:t>
      </w:r>
      <w:r w:rsidRPr="000A6489" w:rsidR="00A65FDD">
        <w:rPr>
          <w:rFonts w:ascii="Palatino Linotype" w:hAnsi="Palatino Linotype" w:eastAsia="Palatino Linotype" w:cs="Times New Roman"/>
          <w:kern w:val="0"/>
          <w14:ligatures w14:val="none"/>
        </w:rPr>
        <w:t xml:space="preserve"> experience in broadband project implementation, community engagement, mapping, technical assistance, and cross-sector coordination. ASIAN, Inc., founded in 1971, </w:t>
      </w:r>
      <w:r w:rsidR="0015198C">
        <w:rPr>
          <w:rFonts w:ascii="Palatino Linotype" w:hAnsi="Palatino Linotype" w:eastAsia="Palatino Linotype" w:cs="Times New Roman"/>
          <w:kern w:val="0"/>
          <w14:ligatures w14:val="none"/>
        </w:rPr>
        <w:t>states they have</w:t>
      </w:r>
      <w:r w:rsidRPr="000A6489" w:rsidR="00A65FDD">
        <w:rPr>
          <w:rFonts w:ascii="Palatino Linotype" w:hAnsi="Palatino Linotype" w:eastAsia="Palatino Linotype" w:cs="Times New Roman"/>
          <w:kern w:val="0"/>
          <w14:ligatures w14:val="none"/>
        </w:rPr>
        <w:t xml:space="preserve"> experience as a community convener, direct service provider, affordable housing operator, and </w:t>
      </w:r>
      <w:r w:rsidR="0015198C">
        <w:rPr>
          <w:rFonts w:ascii="Palatino Linotype" w:hAnsi="Palatino Linotype" w:eastAsia="Palatino Linotype" w:cs="Times New Roman"/>
          <w:kern w:val="0"/>
          <w14:ligatures w14:val="none"/>
        </w:rPr>
        <w:t xml:space="preserve">as </w:t>
      </w:r>
      <w:r w:rsidRPr="2716BBBD" w:rsidR="623EF3A4">
        <w:rPr>
          <w:rFonts w:ascii="Palatino Linotype" w:hAnsi="Palatino Linotype" w:eastAsia="Palatino Linotype" w:cs="Times New Roman"/>
        </w:rPr>
        <w:t>a Commission</w:t>
      </w:r>
      <w:r w:rsidRPr="000A6489" w:rsidR="00A65FDD">
        <w:rPr>
          <w:rFonts w:ascii="Palatino Linotype" w:hAnsi="Palatino Linotype" w:eastAsia="Palatino Linotype" w:cs="Times New Roman"/>
          <w:kern w:val="0"/>
          <w14:ligatures w14:val="none"/>
        </w:rPr>
        <w:t xml:space="preserve"> grant manager. SF Tech Council contributes multi-agency coalition building, digital inclusion planning, mapping, and grant application facilitation, including work related to a </w:t>
      </w:r>
      <w:r w:rsidRPr="002B168A" w:rsidR="002B168A">
        <w:rPr>
          <w:rFonts w:ascii="Palatino Linotype" w:hAnsi="Palatino Linotype" w:eastAsia="Palatino Linotype" w:cs="Times New Roman"/>
          <w:kern w:val="0"/>
          <w14:ligatures w14:val="none"/>
        </w:rPr>
        <w:t>National Telecommunications and Information Administration</w:t>
      </w:r>
      <w:r w:rsidR="002B168A">
        <w:rPr>
          <w:rFonts w:ascii="Palatino Linotype" w:hAnsi="Palatino Linotype" w:eastAsia="Palatino Linotype" w:cs="Times New Roman"/>
          <w:kern w:val="0"/>
          <w14:ligatures w14:val="none"/>
        </w:rPr>
        <w:t xml:space="preserve"> (</w:t>
      </w:r>
      <w:r w:rsidRPr="000A6489" w:rsidR="00A65FDD">
        <w:rPr>
          <w:rFonts w:ascii="Palatino Linotype" w:hAnsi="Palatino Linotype" w:eastAsia="Palatino Linotype" w:cs="Times New Roman"/>
          <w:kern w:val="0"/>
          <w14:ligatures w14:val="none"/>
        </w:rPr>
        <w:t>NTIA</w:t>
      </w:r>
      <w:r w:rsidR="002B168A">
        <w:rPr>
          <w:rFonts w:ascii="Palatino Linotype" w:hAnsi="Palatino Linotype" w:eastAsia="Palatino Linotype" w:cs="Times New Roman"/>
          <w:kern w:val="0"/>
          <w14:ligatures w14:val="none"/>
        </w:rPr>
        <w:t>)</w:t>
      </w:r>
      <w:r w:rsidRPr="000A6489" w:rsidR="00A65FDD">
        <w:rPr>
          <w:rFonts w:ascii="Palatino Linotype" w:hAnsi="Palatino Linotype" w:eastAsia="Palatino Linotype" w:cs="Times New Roman"/>
          <w:kern w:val="0"/>
          <w14:ligatures w14:val="none"/>
        </w:rPr>
        <w:t xml:space="preserve"> Digital Equity Act application and San Francisco digital equity planning. </w:t>
      </w:r>
      <w:proofErr w:type="spellStart"/>
      <w:r w:rsidRPr="000A6489" w:rsidR="00A65FDD">
        <w:rPr>
          <w:rFonts w:ascii="Palatino Linotype" w:hAnsi="Palatino Linotype" w:eastAsia="Palatino Linotype" w:cs="Times New Roman"/>
          <w:kern w:val="0"/>
          <w14:ligatures w14:val="none"/>
        </w:rPr>
        <w:t>DigitalLift</w:t>
      </w:r>
      <w:proofErr w:type="spellEnd"/>
      <w:r w:rsidRPr="000A6489" w:rsidR="00A65FDD">
        <w:rPr>
          <w:rFonts w:ascii="Palatino Linotype" w:hAnsi="Palatino Linotype" w:eastAsia="Palatino Linotype" w:cs="Times New Roman"/>
          <w:kern w:val="0"/>
          <w14:ligatures w14:val="none"/>
        </w:rPr>
        <w:t xml:space="preserve"> </w:t>
      </w:r>
      <w:r w:rsidR="0015198C">
        <w:rPr>
          <w:rFonts w:ascii="Palatino Linotype" w:hAnsi="Palatino Linotype" w:eastAsia="Palatino Linotype" w:cs="Times New Roman"/>
          <w:kern w:val="0"/>
          <w14:ligatures w14:val="none"/>
        </w:rPr>
        <w:t>states they have</w:t>
      </w:r>
      <w:r w:rsidRPr="000A6489" w:rsidR="00A65FDD">
        <w:rPr>
          <w:rFonts w:ascii="Palatino Linotype" w:hAnsi="Palatino Linotype" w:eastAsia="Palatino Linotype" w:cs="Times New Roman"/>
          <w:kern w:val="0"/>
          <w14:ligatures w14:val="none"/>
        </w:rPr>
        <w:t xml:space="preserve"> experience in community engagement, capacity building, needs assessments, and asset mapping for underserved communities. The proposed Governing Board and advisory structure also include leaders with experience in program management, communications, grant administration, digital equity, and ISP operations, including </w:t>
      </w:r>
      <w:proofErr w:type="spellStart"/>
      <w:r w:rsidRPr="000A6489" w:rsidR="00A65FDD">
        <w:rPr>
          <w:rFonts w:ascii="Palatino Linotype" w:hAnsi="Palatino Linotype" w:eastAsia="Palatino Linotype" w:cs="Times New Roman"/>
          <w:kern w:val="0"/>
          <w14:ligatures w14:val="none"/>
        </w:rPr>
        <w:t>Monkeybrains</w:t>
      </w:r>
      <w:proofErr w:type="spellEnd"/>
      <w:r w:rsidRPr="000A6489" w:rsidR="00A65FDD">
        <w:rPr>
          <w:rFonts w:ascii="Palatino Linotype" w:hAnsi="Palatino Linotype" w:eastAsia="Palatino Linotype" w:cs="Times New Roman"/>
          <w:kern w:val="0"/>
          <w14:ligatures w14:val="none"/>
        </w:rPr>
        <w:t xml:space="preserve"> founder as a non-voting advisory member.</w:t>
      </w:r>
    </w:p>
    <w:p w:rsidRPr="000A6489" w:rsidR="00A65FDD" w:rsidP="00A65FDD" w:rsidRDefault="00A65FDD" w14:paraId="15B2A1D6" w14:textId="77777777">
      <w:pPr>
        <w:contextualSpacing/>
        <w:rPr>
          <w:rFonts w:ascii="Palatino Linotype" w:hAnsi="Palatino Linotype" w:eastAsia="Palatino Linotype" w:cs="Times New Roman"/>
          <w:kern w:val="0"/>
          <w14:ligatures w14:val="none"/>
        </w:rPr>
      </w:pPr>
    </w:p>
    <w:p w:rsidRPr="000A6489" w:rsidR="00A65FDD" w:rsidP="00A65FDD" w:rsidRDefault="00A65FDD" w14:paraId="00F73E8D" w14:textId="77777777">
      <w:pPr>
        <w:contextualSpacing/>
        <w:rPr>
          <w:rFonts w:ascii="Palatino Linotype" w:hAnsi="Palatino Linotype" w:eastAsia="Palatino Linotype" w:cs="Times New Roman"/>
          <w:i/>
          <w:iCs/>
          <w:kern w:val="0"/>
          <w14:ligatures w14:val="none"/>
        </w:rPr>
      </w:pPr>
      <w:r w:rsidRPr="000A6489">
        <w:rPr>
          <w:rFonts w:ascii="Palatino Linotype" w:hAnsi="Palatino Linotype" w:eastAsia="Palatino Linotype" w:cs="Times New Roman"/>
          <w:i/>
          <w:iCs/>
          <w:kern w:val="0"/>
          <w14:ligatures w14:val="none"/>
        </w:rPr>
        <w:t>Work Plan and Performance Metrics Plan</w:t>
      </w:r>
    </w:p>
    <w:p w:rsidR="00A65FDD" w:rsidP="00506D42" w:rsidRDefault="00A65FDD" w14:paraId="2827565B" w14:textId="2741B966">
      <w:pPr>
        <w:rPr>
          <w:rFonts w:ascii="Palatino Linotype" w:hAnsi="Palatino Linotype" w:eastAsia="Palatino Linotype" w:cs="Times New Roman"/>
        </w:rPr>
      </w:pPr>
      <w:r w:rsidRPr="000A6489">
        <w:rPr>
          <w:rFonts w:ascii="Palatino Linotype" w:hAnsi="Palatino Linotype" w:eastAsia="Palatino Linotype" w:cs="Times New Roman"/>
          <w:kern w:val="0"/>
          <w14:ligatures w14:val="none"/>
        </w:rPr>
        <w:t xml:space="preserve">EMCSVC proposes an infrastructure focused work plan that includes convening a regional broadband infrastructure task force, developing localized “Dig Once” coordination strategies, conducting multilingual outreach and listening sessions in priority geographies, collecting qualitative and quantitative data to identify infrastructure gaps, completing a vertical asset and multi-dwelling unit inventory, analyzing </w:t>
      </w:r>
      <w:r w:rsidRPr="36C679D2" w:rsidR="262F10D9">
        <w:rPr>
          <w:rFonts w:ascii="Palatino Linotype" w:hAnsi="Palatino Linotype" w:eastAsia="Palatino Linotype" w:cs="Times New Roman"/>
        </w:rPr>
        <w:t>Commission</w:t>
      </w:r>
      <w:r w:rsidRPr="000A6489">
        <w:rPr>
          <w:rFonts w:ascii="Palatino Linotype" w:hAnsi="Palatino Linotype" w:eastAsia="Palatino Linotype" w:cs="Times New Roman"/>
          <w:kern w:val="0"/>
          <w14:ligatures w14:val="none"/>
        </w:rPr>
        <w:t xml:space="preserve"> maps against ground-truth data, facilitating partnerships between ISPs and housing authorities, assisting with CASF Infrastructure and Federal Funding Account applications, supporting permitting and broadband planning efforts, conducting GIS mapping, publicizing and supporting wireline testing and speed-test campaigns, and promoting </w:t>
      </w:r>
      <w:r w:rsidRPr="36C679D2" w:rsidR="07CA2BD3">
        <w:rPr>
          <w:rFonts w:ascii="Palatino Linotype" w:hAnsi="Palatino Linotype" w:eastAsia="Palatino Linotype" w:cs="Times New Roman"/>
        </w:rPr>
        <w:t>Commission</w:t>
      </w:r>
      <w:r w:rsidRPr="000A6489">
        <w:rPr>
          <w:rFonts w:ascii="Palatino Linotype" w:hAnsi="Palatino Linotype" w:eastAsia="Palatino Linotype" w:cs="Times New Roman"/>
          <w:kern w:val="0"/>
          <w14:ligatures w14:val="none"/>
        </w:rPr>
        <w:t xml:space="preserve"> and related broadband deployment programs. The work plan is aligned with CASF Consortia objectives and includes measurable </w:t>
      </w:r>
      <w:r w:rsidRPr="000A6489">
        <w:rPr>
          <w:rFonts w:ascii="Palatino Linotype" w:hAnsi="Palatino Linotype" w:eastAsia="Palatino Linotype" w:cs="Times New Roman"/>
          <w:kern w:val="0"/>
          <w14:ligatures w14:val="none"/>
        </w:rPr>
        <w:lastRenderedPageBreak/>
        <w:t>deliverables such as reports, spreadsheets,</w:t>
      </w:r>
      <w:r w:rsidR="00D22D46">
        <w:rPr>
          <w:rFonts w:ascii="Palatino Linotype" w:hAnsi="Palatino Linotype" w:eastAsia="Palatino Linotype" w:cs="Times New Roman"/>
          <w:kern w:val="0"/>
          <w14:ligatures w14:val="none"/>
        </w:rPr>
        <w:t xml:space="preserve"> memorandum of understanding</w:t>
      </w:r>
      <w:r w:rsidR="0026004C">
        <w:rPr>
          <w:rFonts w:ascii="Palatino Linotype" w:hAnsi="Palatino Linotype" w:eastAsia="Palatino Linotype" w:cs="Times New Roman"/>
          <w:kern w:val="0"/>
          <w14:ligatures w14:val="none"/>
        </w:rPr>
        <w:t>s</w:t>
      </w:r>
      <w:r w:rsidR="00CE67B5">
        <w:rPr>
          <w:rFonts w:ascii="Palatino Linotype" w:hAnsi="Palatino Linotype" w:eastAsia="Palatino Linotype" w:cs="Times New Roman"/>
          <w:kern w:val="0"/>
          <w14:ligatures w14:val="none"/>
        </w:rPr>
        <w:t>,</w:t>
      </w:r>
      <w:r w:rsidRPr="000A6489">
        <w:rPr>
          <w:rFonts w:ascii="Palatino Linotype" w:hAnsi="Palatino Linotype" w:eastAsia="Palatino Linotype" w:cs="Times New Roman"/>
          <w:kern w:val="0"/>
          <w14:ligatures w14:val="none"/>
        </w:rPr>
        <w:t xml:space="preserve"> GIS maps, training materials, validated test datasets, and outreach and briefing activities.</w:t>
      </w:r>
    </w:p>
    <w:p w:rsidR="00A65FDD" w:rsidP="00A65FDD" w:rsidRDefault="00A65FDD" w14:paraId="08289E34" w14:textId="77777777">
      <w:pPr>
        <w:contextualSpacing/>
        <w:rPr>
          <w:rFonts w:ascii="Palatino Linotype" w:hAnsi="Palatino Linotype" w:eastAsia="Palatino Linotype" w:cs="Times New Roman"/>
          <w:kern w:val="0"/>
          <w14:ligatures w14:val="none"/>
        </w:rPr>
      </w:pPr>
    </w:p>
    <w:p w:rsidRPr="00D6125E" w:rsidR="00A65FDD" w:rsidP="00A65FDD" w:rsidRDefault="00A65FDD" w14:paraId="1949F843" w14:textId="77777777">
      <w:pPr>
        <w:contextualSpacing/>
        <w:rPr>
          <w:rFonts w:ascii="Palatino Linotype" w:hAnsi="Palatino Linotype" w:eastAsia="Palatino Linotype" w:cs="Times New Roman"/>
          <w:kern w:val="0"/>
          <w14:ligatures w14:val="none"/>
        </w:rPr>
      </w:pPr>
      <w:r w:rsidRPr="00D6125E">
        <w:rPr>
          <w:rFonts w:ascii="Palatino Linotype" w:hAnsi="Palatino Linotype" w:eastAsia="Palatino Linotype" w:cs="Times New Roman"/>
          <w:kern w:val="0"/>
          <w14:ligatures w14:val="none"/>
        </w:rPr>
        <w:t>EMCSVC’s Work Plan and Performance Metrics Plan are directly related to SB 156 and AB 164 goals and objectives, and consistent with program requirements defined in D.25-11-003.</w:t>
      </w:r>
    </w:p>
    <w:p w:rsidRPr="00D6125E" w:rsidR="00A65FDD" w:rsidP="00A65FDD" w:rsidRDefault="00A65FDD" w14:paraId="45C5E97C" w14:textId="77777777">
      <w:pPr>
        <w:contextualSpacing/>
        <w:rPr>
          <w:rFonts w:ascii="Palatino Linotype" w:hAnsi="Palatino Linotype" w:eastAsia="Palatino Linotype" w:cs="Times New Roman"/>
          <w:kern w:val="0"/>
          <w14:ligatures w14:val="none"/>
        </w:rPr>
      </w:pPr>
    </w:p>
    <w:p w:rsidRPr="00D6125E" w:rsidR="00A65FDD" w:rsidP="00A65FDD" w:rsidRDefault="00A65FDD" w14:paraId="549B12A6" w14:textId="77777777">
      <w:pPr>
        <w:contextualSpacing/>
        <w:rPr>
          <w:rFonts w:ascii="Palatino Linotype" w:hAnsi="Palatino Linotype" w:eastAsia="Palatino Linotype" w:cs="Times New Roman"/>
          <w:i/>
          <w:iCs/>
          <w:kern w:val="0"/>
          <w14:ligatures w14:val="none"/>
        </w:rPr>
      </w:pPr>
      <w:r w:rsidRPr="00D6125E">
        <w:rPr>
          <w:rFonts w:ascii="Palatino Linotype" w:hAnsi="Palatino Linotype" w:eastAsia="Palatino Linotype" w:cs="Times New Roman"/>
          <w:i/>
          <w:iCs/>
          <w:kern w:val="0"/>
          <w14:ligatures w14:val="none"/>
        </w:rPr>
        <w:t>Budget</w:t>
      </w:r>
    </w:p>
    <w:p w:rsidRPr="00D6125E" w:rsidR="00A65FDD" w:rsidP="00A65FDD" w:rsidRDefault="00A65FDD" w14:paraId="5C274F4E" w14:textId="77777777">
      <w:pPr>
        <w:contextualSpacing/>
        <w:rPr>
          <w:rFonts w:ascii="Palatino Linotype" w:hAnsi="Palatino Linotype" w:eastAsia="Palatino Linotype" w:cs="Times New Roman"/>
          <w:kern w:val="0"/>
          <w14:ligatures w14:val="none"/>
        </w:rPr>
      </w:pPr>
      <w:r w:rsidRPr="00C50398">
        <w:rPr>
          <w:rFonts w:ascii="Palatino Linotype" w:hAnsi="Palatino Linotype" w:eastAsia="Palatino Linotype" w:cs="Times New Roman"/>
          <w:kern w:val="0"/>
          <w14:ligatures w14:val="none"/>
        </w:rPr>
        <w:t>EMCSVC requests $400,000</w:t>
      </w:r>
      <w:r w:rsidRPr="00D6125E">
        <w:rPr>
          <w:rFonts w:ascii="Palatino Linotype" w:hAnsi="Palatino Linotype" w:eastAsia="Palatino Linotype" w:cs="Times New Roman"/>
          <w:kern w:val="0"/>
          <w14:ligatures w14:val="none"/>
        </w:rPr>
        <w:t xml:space="preserve"> for a two-year grant.  EMCSVC allocates approximately 7.9% to start-up costs, 18.7% to conduct marketing/outreach and develop strategies (Objective 1), 51.</w:t>
      </w:r>
      <w:r>
        <w:rPr>
          <w:rFonts w:ascii="Palatino Linotype" w:hAnsi="Palatino Linotype" w:eastAsia="Palatino Linotype" w:cs="Times New Roman"/>
          <w:kern w:val="0"/>
          <w14:ligatures w14:val="none"/>
        </w:rPr>
        <w:t>4</w:t>
      </w:r>
      <w:r w:rsidRPr="00D6125E">
        <w:rPr>
          <w:rFonts w:ascii="Palatino Linotype" w:hAnsi="Palatino Linotype" w:eastAsia="Palatino Linotype" w:cs="Times New Roman"/>
          <w:kern w:val="0"/>
          <w14:ligatures w14:val="none"/>
        </w:rPr>
        <w:t xml:space="preserve">% to assist in developing CASF infrastructure applications (Objectives 2, 3, and 4), 11.1% to assist in publicizing wireline testing requests (Objective 5), 8.4% </w:t>
      </w:r>
      <w:r w:rsidRPr="0025762C">
        <w:rPr>
          <w:rFonts w:ascii="Palatino Linotype" w:hAnsi="Palatino Linotype" w:eastAsia="Palatino Linotype" w:cs="Times New Roman"/>
          <w:kern w:val="0"/>
          <w14:ligatures w14:val="none"/>
        </w:rPr>
        <w:t>to assist in promoting broadband deployment in California (Objective 6)</w:t>
      </w:r>
      <w:r w:rsidRPr="00D6125E">
        <w:rPr>
          <w:rFonts w:ascii="Palatino Linotype" w:hAnsi="Palatino Linotype" w:eastAsia="Palatino Linotype" w:cs="Times New Roman"/>
          <w:kern w:val="0"/>
          <w14:ligatures w14:val="none"/>
        </w:rPr>
        <w:t xml:space="preserve">, and 2.5% </w:t>
      </w:r>
      <w:r w:rsidRPr="009B4A4D">
        <w:rPr>
          <w:rFonts w:ascii="Palatino Linotype" w:hAnsi="Palatino Linotype" w:eastAsia="Palatino Linotype" w:cs="Times New Roman"/>
          <w:kern w:val="0"/>
          <w14:ligatures w14:val="none"/>
        </w:rPr>
        <w:t>for conducting and submitting the annual audit reports</w:t>
      </w:r>
      <w:r w:rsidRPr="00D6125E">
        <w:rPr>
          <w:rFonts w:ascii="Palatino Linotype" w:hAnsi="Palatino Linotype" w:eastAsia="Palatino Linotype" w:cs="Times New Roman"/>
          <w:kern w:val="0"/>
          <w14:ligatures w14:val="none"/>
        </w:rPr>
        <w:t xml:space="preserve">. EMCSVC’s budget is cost-effective and consistent with budget requirements defined in D.25-11-003. </w:t>
      </w:r>
    </w:p>
    <w:p w:rsidRPr="00D6125E" w:rsidR="00A65FDD" w:rsidP="00A65FDD" w:rsidRDefault="00A65FDD" w14:paraId="6B1A5DD7" w14:textId="77777777">
      <w:pPr>
        <w:contextualSpacing/>
        <w:rPr>
          <w:rFonts w:ascii="Palatino Linotype" w:hAnsi="Palatino Linotype" w:eastAsia="Palatino Linotype" w:cs="Times New Roman"/>
          <w:kern w:val="0"/>
          <w14:ligatures w14:val="none"/>
        </w:rPr>
      </w:pPr>
    </w:p>
    <w:p w:rsidR="00A65FDD" w:rsidP="00EF399B" w:rsidRDefault="00202425" w14:paraId="3AF72303" w14:textId="0FD15970">
      <w:pPr>
        <w:contextualSpacing/>
        <w:rPr>
          <w:rFonts w:ascii="Palatino Linotype" w:hAnsi="Palatino Linotype" w:eastAsia="Palatino Linotype" w:cs="Times New Roman"/>
          <w:kern w:val="0"/>
          <w14:ligatures w14:val="none"/>
        </w:rPr>
      </w:pPr>
      <w:r w:rsidRPr="00C50398">
        <w:rPr>
          <w:rFonts w:ascii="Palatino Linotype" w:hAnsi="Palatino Linotype" w:eastAsia="Palatino Linotype" w:cs="Times New Roman"/>
          <w:kern w:val="0"/>
          <w14:ligatures w14:val="none"/>
        </w:rPr>
        <w:t>EMCSVC</w:t>
      </w:r>
      <w:r>
        <w:rPr>
          <w:rFonts w:ascii="Palatino Linotype" w:hAnsi="Palatino Linotype" w:eastAsia="Palatino Linotype" w:cs="Times New Roman"/>
          <w:kern w:val="0"/>
          <w14:ligatures w14:val="none"/>
        </w:rPr>
        <w:t>’s</w:t>
      </w:r>
      <w:r w:rsidRPr="00C50398">
        <w:rPr>
          <w:rFonts w:ascii="Palatino Linotype" w:hAnsi="Palatino Linotype" w:eastAsia="Palatino Linotype" w:cs="Times New Roman"/>
          <w:kern w:val="0"/>
          <w14:ligatures w14:val="none"/>
        </w:rPr>
        <w:t xml:space="preserve"> </w:t>
      </w:r>
      <w:r w:rsidRPr="00254B82" w:rsidR="00254B82">
        <w:rPr>
          <w:rFonts w:ascii="Palatino Linotype" w:hAnsi="Palatino Linotype" w:eastAsia="Palatino Linotype" w:cs="Times New Roman"/>
          <w:kern w:val="0"/>
          <w14:ligatures w14:val="none"/>
        </w:rPr>
        <w:t>start-up budget (7.9%) provides funding for initial personnel, project supplies, and indirect/administrative expenses necessary to launch implementation of the Work Plan.</w:t>
      </w:r>
    </w:p>
    <w:p w:rsidR="00A65FDD" w:rsidP="00EF399B" w:rsidRDefault="00A65FDD" w14:paraId="7BC03765" w14:textId="77777777">
      <w:pPr>
        <w:contextualSpacing/>
        <w:rPr>
          <w:rFonts w:ascii="Palatino Linotype" w:hAnsi="Palatino Linotype" w:eastAsia="Palatino Linotype" w:cs="Times New Roman"/>
          <w:kern w:val="0"/>
          <w14:ligatures w14:val="none"/>
        </w:rPr>
      </w:pPr>
    </w:p>
    <w:p w:rsidRPr="00375FBF" w:rsidR="00F939D4" w:rsidP="00F939D4" w:rsidRDefault="001B4F1D" w14:paraId="54D480C8" w14:textId="6D60D821">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r w:rsidR="00A65FDD">
        <w:rPr>
          <w:rFonts w:ascii="Palatino Linotype" w:hAnsi="Palatino Linotype" w:eastAsia="Palatino Linotype" w:cs="Times New Roman"/>
          <w:b/>
          <w:bCs/>
          <w:kern w:val="0"/>
          <w14:ligatures w14:val="none"/>
        </w:rPr>
        <w:t>4</w:t>
      </w:r>
      <w:r w:rsidRPr="00375FBF" w:rsidR="00F939D4">
        <w:rPr>
          <w:rFonts w:ascii="Palatino Linotype" w:hAnsi="Palatino Linotype" w:eastAsia="Palatino Linotype" w:cs="Times New Roman"/>
          <w:b/>
          <w:bCs/>
          <w:kern w:val="0"/>
          <w14:ligatures w14:val="none"/>
        </w:rPr>
        <w:t xml:space="preserve">. </w:t>
      </w:r>
      <w:r w:rsidRPr="004F57EB" w:rsidR="004F57EB">
        <w:rPr>
          <w:rFonts w:ascii="Palatino Linotype" w:hAnsi="Palatino Linotype" w:eastAsia="Palatino Linotype" w:cs="Palatino Linotype"/>
          <w:b/>
          <w:bCs/>
        </w:rPr>
        <w:t xml:space="preserve">Gold </w:t>
      </w:r>
      <w:r w:rsidRPr="00A35D78" w:rsidR="00A35D78">
        <w:rPr>
          <w:rFonts w:ascii="Palatino Linotype" w:hAnsi="Palatino Linotype" w:eastAsia="Palatino Linotype" w:cs="Palatino Linotype"/>
          <w:b/>
          <w:bCs/>
        </w:rPr>
        <w:t>Country</w:t>
      </w:r>
      <w:r w:rsidR="00A35D78">
        <w:rPr>
          <w:rFonts w:ascii="Palatino Linotype" w:hAnsi="Palatino Linotype" w:eastAsia="Palatino Linotype" w:cs="Palatino Linotype"/>
          <w:b/>
          <w:bCs/>
        </w:rPr>
        <w:t xml:space="preserve"> </w:t>
      </w:r>
      <w:r w:rsidRPr="004F57EB" w:rsidR="004F57EB">
        <w:rPr>
          <w:rFonts w:ascii="Palatino Linotype" w:hAnsi="Palatino Linotype" w:eastAsia="Palatino Linotype" w:cs="Palatino Linotype"/>
          <w:b/>
          <w:bCs/>
        </w:rPr>
        <w:t>Broadband Consortium (GCBC)</w:t>
      </w:r>
    </w:p>
    <w:p w:rsidR="002F0BE6" w:rsidP="00EF399B" w:rsidRDefault="002F0BE6" w14:paraId="3B587678" w14:textId="77777777">
      <w:pPr>
        <w:contextualSpacing/>
        <w:rPr>
          <w:rFonts w:ascii="Palatino Linotype" w:hAnsi="Palatino Linotype" w:eastAsia="Palatino Linotype" w:cs="Times New Roman"/>
          <w:kern w:val="0"/>
          <w14:ligatures w14:val="none"/>
        </w:rPr>
      </w:pPr>
    </w:p>
    <w:p w:rsidRPr="009B7D33" w:rsidR="009B7D33" w:rsidP="009B7D33" w:rsidRDefault="009B7D33" w14:paraId="33A4DC46" w14:textId="77777777">
      <w:pPr>
        <w:contextualSpacing/>
        <w:rPr>
          <w:rFonts w:ascii="Palatino Linotype" w:hAnsi="Palatino Linotype" w:eastAsia="Palatino Linotype" w:cs="Times New Roman"/>
          <w:i/>
          <w:iCs/>
          <w:kern w:val="0"/>
          <w14:ligatures w14:val="none"/>
        </w:rPr>
      </w:pPr>
      <w:r w:rsidRPr="009B7D33">
        <w:rPr>
          <w:rFonts w:ascii="Palatino Linotype" w:hAnsi="Palatino Linotype" w:eastAsia="Palatino Linotype" w:cs="Times New Roman"/>
          <w:i/>
          <w:iCs/>
          <w:kern w:val="0"/>
          <w14:ligatures w14:val="none"/>
        </w:rPr>
        <w:t xml:space="preserve">Applicant </w:t>
      </w:r>
    </w:p>
    <w:p w:rsidRPr="005147FA" w:rsidR="005147FA" w:rsidP="005147FA" w:rsidRDefault="009B7D33" w14:paraId="7B12CB1B" w14:textId="4FE0F96C">
      <w:pPr>
        <w:contextualSpacing/>
        <w:rPr>
          <w:rFonts w:ascii="Palatino Linotype" w:hAnsi="Palatino Linotype" w:eastAsia="Palatino Linotype" w:cs="Times New Roman"/>
          <w:kern w:val="0"/>
          <w14:ligatures w14:val="none"/>
        </w:rPr>
      </w:pPr>
      <w:r w:rsidRPr="009B7D33">
        <w:rPr>
          <w:rFonts w:ascii="Palatino Linotype" w:hAnsi="Palatino Linotype" w:eastAsia="Palatino Linotype" w:cs="Times New Roman"/>
          <w:kern w:val="0"/>
          <w14:ligatures w14:val="none"/>
        </w:rPr>
        <w:t>GCBC represents Sierra, Nevada, Placer, and El Dorado counties.  GCBC received approval for four Consortia Account grants: $450,000 in February 2012 (Resolution T-</w:t>
      </w:r>
      <w:r w:rsidRPr="005147FA" w:rsidR="005147FA">
        <w:rPr>
          <w:rFonts w:ascii="Palatino Linotype" w:hAnsi="Palatino Linotype" w:eastAsia="Palatino Linotype" w:cs="Times New Roman"/>
          <w:kern w:val="0"/>
          <w14:ligatures w14:val="none"/>
        </w:rPr>
        <w:t xml:space="preserve">17355), $300,000 in November 2016 (Resolution T-17538), $423,010 in October 2019 (Resolution T-17669), and $565,582 in January 2023 (Resolution T-17778). </w:t>
      </w:r>
      <w:r w:rsidRPr="008C386F" w:rsidR="00F32F29">
        <w:rPr>
          <w:rFonts w:ascii="Palatino Linotype" w:hAnsi="Palatino Linotype" w:eastAsia="Palatino Linotype" w:cs="Palatino Linotype"/>
        </w:rPr>
        <w:t xml:space="preserve">Funding granted </w:t>
      </w:r>
      <w:r w:rsidRPr="008C386F" w:rsidR="6B9BAAFA">
        <w:rPr>
          <w:rFonts w:ascii="Palatino Linotype" w:hAnsi="Palatino Linotype" w:eastAsia="Palatino Linotype" w:cs="Palatino Linotype"/>
        </w:rPr>
        <w:t>to</w:t>
      </w:r>
      <w:r w:rsidRPr="008C386F" w:rsidR="00F32F29">
        <w:rPr>
          <w:rFonts w:ascii="Palatino Linotype" w:hAnsi="Palatino Linotype" w:eastAsia="Palatino Linotype" w:cs="Palatino Linotype"/>
        </w:rPr>
        <w:t xml:space="preserve"> </w:t>
      </w:r>
      <w:r w:rsidR="00F32F29">
        <w:rPr>
          <w:rFonts w:ascii="Palatino Linotype" w:hAnsi="Palatino Linotype" w:eastAsia="Palatino Linotype" w:cs="Palatino Linotype"/>
        </w:rPr>
        <w:t>GCBC</w:t>
      </w:r>
      <w:r w:rsidRPr="008C386F" w:rsidR="00F32F29">
        <w:rPr>
          <w:rFonts w:ascii="Palatino Linotype" w:hAnsi="Palatino Linotype" w:eastAsia="Palatino Linotype" w:cs="Palatino Linotype"/>
        </w:rPr>
        <w:t xml:space="preserve"> in Resolution T-17778 conclude</w:t>
      </w:r>
      <w:r w:rsidR="00F32F29">
        <w:rPr>
          <w:rFonts w:ascii="Palatino Linotype" w:hAnsi="Palatino Linotype" w:eastAsia="Palatino Linotype" w:cs="Palatino Linotype"/>
        </w:rPr>
        <w:t>d</w:t>
      </w:r>
      <w:r w:rsidRPr="008C386F" w:rsidR="00F32F29">
        <w:rPr>
          <w:rFonts w:ascii="Palatino Linotype" w:hAnsi="Palatino Linotype" w:eastAsia="Palatino Linotype" w:cs="Palatino Linotype"/>
        </w:rPr>
        <w:t xml:space="preserve"> on </w:t>
      </w:r>
      <w:r w:rsidRPr="005147FA" w:rsidR="00F32F29">
        <w:rPr>
          <w:rFonts w:ascii="Palatino Linotype" w:hAnsi="Palatino Linotype" w:eastAsia="Palatino Linotype" w:cs="Times New Roman"/>
          <w:kern w:val="0"/>
          <w14:ligatures w14:val="none"/>
        </w:rPr>
        <w:t>January 30, 2026</w:t>
      </w:r>
      <w:r w:rsidRPr="008C386F" w:rsidR="00F32F29">
        <w:rPr>
          <w:rFonts w:ascii="Palatino Linotype" w:hAnsi="Palatino Linotype" w:eastAsia="Palatino Linotype" w:cs="Palatino Linotype"/>
        </w:rPr>
        <w:t>.</w:t>
      </w:r>
      <w:r w:rsidRPr="005147FA" w:rsidR="005147FA">
        <w:rPr>
          <w:rFonts w:ascii="Palatino Linotype" w:hAnsi="Palatino Linotype" w:eastAsia="Palatino Linotype" w:cs="Times New Roman"/>
          <w:kern w:val="0"/>
          <w14:ligatures w14:val="none"/>
        </w:rPr>
        <w:t xml:space="preserve"> </w:t>
      </w:r>
    </w:p>
    <w:p w:rsidRPr="005147FA" w:rsidR="005147FA" w:rsidP="005147FA" w:rsidRDefault="005147FA" w14:paraId="1B06B5A9" w14:textId="77777777">
      <w:pPr>
        <w:contextualSpacing/>
        <w:rPr>
          <w:rFonts w:ascii="Palatino Linotype" w:hAnsi="Palatino Linotype" w:eastAsia="Palatino Linotype" w:cs="Times New Roman"/>
          <w:kern w:val="0"/>
          <w14:ligatures w14:val="none"/>
        </w:rPr>
      </w:pPr>
    </w:p>
    <w:p w:rsidRPr="005147FA" w:rsidR="005147FA" w:rsidP="005147FA" w:rsidRDefault="005147FA" w14:paraId="6B73C8C4" w14:textId="77777777">
      <w:pPr>
        <w:contextualSpacing/>
        <w:rPr>
          <w:rFonts w:ascii="Palatino Linotype" w:hAnsi="Palatino Linotype" w:eastAsia="Palatino Linotype" w:cs="Times New Roman"/>
          <w:i/>
          <w:iCs/>
          <w:kern w:val="0"/>
          <w14:ligatures w14:val="none"/>
        </w:rPr>
      </w:pPr>
      <w:r w:rsidRPr="005147FA">
        <w:rPr>
          <w:rFonts w:ascii="Palatino Linotype" w:hAnsi="Palatino Linotype" w:eastAsia="Palatino Linotype" w:cs="Times New Roman"/>
          <w:i/>
          <w:iCs/>
          <w:kern w:val="0"/>
          <w14:ligatures w14:val="none"/>
        </w:rPr>
        <w:t>Past CASF Project Performance</w:t>
      </w:r>
    </w:p>
    <w:p w:rsidR="00C81910" w:rsidP="005147FA" w:rsidRDefault="004820F4" w14:paraId="68B09CEF" w14:textId="693FDA26">
      <w:pPr>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This s</w:t>
      </w:r>
      <w:r w:rsidRPr="00312D58">
        <w:rPr>
          <w:rFonts w:ascii="Palatino Linotype" w:hAnsi="Palatino Linotype" w:eastAsia="Palatino Linotype" w:cs="Times New Roman"/>
          <w:kern w:val="0"/>
          <w14:ligatures w14:val="none"/>
        </w:rPr>
        <w:t xml:space="preserve">ummary of past CASF project performance is based on applicant-provided materials and staff program </w:t>
      </w:r>
      <w:proofErr w:type="gramStart"/>
      <w:r w:rsidRPr="00A4307B">
        <w:rPr>
          <w:rFonts w:ascii="Palatino Linotype" w:hAnsi="Palatino Linotype" w:eastAsia="Palatino Linotype" w:cs="Times New Roman"/>
          <w:kern w:val="0"/>
          <w14:ligatures w14:val="none"/>
        </w:rPr>
        <w:t>records</w:t>
      </w:r>
      <w:r>
        <w:rPr>
          <w:rFonts w:ascii="Palatino Linotype" w:hAnsi="Palatino Linotype" w:eastAsia="Palatino Linotype" w:cs="Times New Roman"/>
          <w:kern w:val="0"/>
          <w14:ligatures w14:val="none"/>
        </w:rPr>
        <w:t>,</w:t>
      </w:r>
      <w:r w:rsidRPr="00A4307B">
        <w:rPr>
          <w:rFonts w:ascii="Palatino Linotype" w:hAnsi="Palatino Linotype" w:eastAsia="Palatino Linotype" w:cs="Times New Roman"/>
          <w:kern w:val="0"/>
          <w14:ligatures w14:val="none"/>
        </w:rPr>
        <w:t xml:space="preserve"> and</w:t>
      </w:r>
      <w:proofErr w:type="gramEnd"/>
      <w:r w:rsidRPr="00312D58">
        <w:rPr>
          <w:rFonts w:ascii="Palatino Linotype" w:hAnsi="Palatino Linotype" w:eastAsia="Palatino Linotype" w:cs="Times New Roman"/>
          <w:kern w:val="0"/>
          <w14:ligatures w14:val="none"/>
        </w:rPr>
        <w:t xml:space="preserve"> should not be understood as independent verification of every statement summarized</w:t>
      </w:r>
      <w:r>
        <w:rPr>
          <w:rFonts w:ascii="Palatino Linotype" w:hAnsi="Palatino Linotype" w:eastAsia="Palatino Linotype" w:cs="Times New Roman"/>
          <w:kern w:val="0"/>
          <w14:ligatures w14:val="none"/>
        </w:rPr>
        <w:t xml:space="preserve"> below</w:t>
      </w:r>
      <w:r w:rsidRPr="00312D58">
        <w:rPr>
          <w:rFonts w:ascii="Palatino Linotype" w:hAnsi="Palatino Linotype" w:eastAsia="Palatino Linotype" w:cs="Times New Roman"/>
          <w:kern w:val="0"/>
          <w14:ligatures w14:val="none"/>
        </w:rPr>
        <w:t>.</w:t>
      </w:r>
    </w:p>
    <w:p w:rsidR="004820F4" w:rsidP="005147FA" w:rsidRDefault="004820F4" w14:paraId="6FD4AD77" w14:textId="77777777">
      <w:pPr>
        <w:contextualSpacing/>
        <w:rPr>
          <w:rFonts w:ascii="Palatino Linotype" w:hAnsi="Palatino Linotype" w:eastAsia="Palatino Linotype" w:cs="Times New Roman"/>
          <w:b/>
          <w:bCs/>
          <w:kern w:val="0"/>
          <w14:ligatures w14:val="none"/>
        </w:rPr>
      </w:pPr>
    </w:p>
    <w:p w:rsidRPr="00EA6956" w:rsidR="00895675" w:rsidP="005147FA" w:rsidRDefault="005147FA" w14:paraId="1DAC6C54" w14:textId="37505DE7">
      <w:pPr>
        <w:contextualSpacing/>
        <w:rPr>
          <w:rFonts w:ascii="Palatino Linotype" w:hAnsi="Palatino Linotype" w:eastAsia="Palatino Linotype" w:cs="Times New Roman"/>
          <w:b/>
          <w:bCs/>
          <w:kern w:val="0"/>
          <w14:ligatures w14:val="none"/>
        </w:rPr>
      </w:pPr>
      <w:r w:rsidRPr="005147FA">
        <w:rPr>
          <w:rFonts w:ascii="Palatino Linotype" w:hAnsi="Palatino Linotype" w:eastAsia="Palatino Linotype" w:cs="Times New Roman"/>
          <w:kern w:val="0"/>
          <w14:ligatures w14:val="none"/>
        </w:rPr>
        <w:t>GCBC’s</w:t>
      </w:r>
      <w:r w:rsidR="00C81910">
        <w:rPr>
          <w:rFonts w:ascii="Palatino Linotype" w:hAnsi="Palatino Linotype" w:eastAsia="Palatino Linotype" w:cs="Times New Roman"/>
          <w:kern w:val="0"/>
          <w14:ligatures w14:val="none"/>
        </w:rPr>
        <w:t xml:space="preserve"> </w:t>
      </w:r>
      <w:r w:rsidRPr="00EA6956" w:rsidR="00C81910">
        <w:rPr>
          <w:rFonts w:ascii="Palatino Linotype" w:hAnsi="Palatino Linotype" w:eastAsia="Palatino Linotype" w:cs="Times New Roman"/>
          <w:kern w:val="0"/>
          <w14:ligatures w14:val="none"/>
        </w:rPr>
        <w:t>reported past project activities include</w:t>
      </w:r>
      <w:r w:rsidR="00C81910">
        <w:rPr>
          <w:rFonts w:ascii="Palatino Linotype" w:hAnsi="Palatino Linotype" w:eastAsia="Palatino Linotype" w:cs="Times New Roman"/>
          <w:kern w:val="0"/>
          <w14:ligatures w14:val="none"/>
        </w:rPr>
        <w:t xml:space="preserve"> </w:t>
      </w:r>
      <w:r w:rsidRPr="005147FA">
        <w:rPr>
          <w:rFonts w:ascii="Palatino Linotype" w:hAnsi="Palatino Linotype" w:eastAsia="Palatino Linotype" w:cs="Times New Roman"/>
          <w:kern w:val="0"/>
          <w14:ligatures w14:val="none"/>
        </w:rPr>
        <w:t xml:space="preserve">conducting resident engagement, including speed tests and direct outreach, partnering with ISPs on current and future infrastructure projects, coordinating with local governments to improve policies and processes supporting deployment, and maintaining regional stakeholder engagement to keep projects moving forward. Attention was given specifically to assisting unserved neighborhoods, CASF project transition, and maintaining progress. </w:t>
      </w:r>
    </w:p>
    <w:p w:rsidR="00895675" w:rsidP="005147FA" w:rsidRDefault="00895675" w14:paraId="2A59B7C2" w14:textId="77777777">
      <w:pPr>
        <w:contextualSpacing/>
        <w:rPr>
          <w:rFonts w:ascii="Palatino Linotype" w:hAnsi="Palatino Linotype" w:eastAsia="Palatino Linotype" w:cs="Times New Roman"/>
          <w:kern w:val="0"/>
          <w14:ligatures w14:val="none"/>
        </w:rPr>
      </w:pPr>
    </w:p>
    <w:p w:rsidRPr="005147FA" w:rsidR="005147FA" w:rsidP="005147FA" w:rsidRDefault="00895675" w14:paraId="53EA0621" w14:textId="212F40C2">
      <w:pPr>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GCBC c</w:t>
      </w:r>
      <w:r w:rsidRPr="00895675">
        <w:rPr>
          <w:rFonts w:ascii="Palatino Linotype" w:hAnsi="Palatino Linotype" w:eastAsia="Palatino Linotype" w:cs="Times New Roman"/>
          <w:kern w:val="0"/>
          <w14:ligatures w14:val="none"/>
        </w:rPr>
        <w:t>ollaborated with County I</w:t>
      </w:r>
      <w:r w:rsidR="0015198C">
        <w:rPr>
          <w:rFonts w:ascii="Palatino Linotype" w:hAnsi="Palatino Linotype" w:eastAsia="Palatino Linotype" w:cs="Times New Roman"/>
          <w:kern w:val="0"/>
          <w14:ligatures w14:val="none"/>
        </w:rPr>
        <w:t xml:space="preserve">nformation </w:t>
      </w:r>
      <w:r w:rsidRPr="00895675">
        <w:rPr>
          <w:rFonts w:ascii="Palatino Linotype" w:hAnsi="Palatino Linotype" w:eastAsia="Palatino Linotype" w:cs="Times New Roman"/>
          <w:kern w:val="0"/>
          <w14:ligatures w14:val="none"/>
        </w:rPr>
        <w:t>T</w:t>
      </w:r>
      <w:r w:rsidR="0015198C">
        <w:rPr>
          <w:rFonts w:ascii="Palatino Linotype" w:hAnsi="Palatino Linotype" w:eastAsia="Palatino Linotype" w:cs="Times New Roman"/>
          <w:kern w:val="0"/>
          <w14:ligatures w14:val="none"/>
        </w:rPr>
        <w:t>echnology (IT)</w:t>
      </w:r>
      <w:r w:rsidRPr="00895675">
        <w:rPr>
          <w:rFonts w:ascii="Palatino Linotype" w:hAnsi="Palatino Linotype" w:eastAsia="Palatino Linotype" w:cs="Times New Roman"/>
          <w:kern w:val="0"/>
          <w14:ligatures w14:val="none"/>
        </w:rPr>
        <w:t xml:space="preserve"> departments to promote and track survey data, speed test results, and reliability metrics.</w:t>
      </w:r>
      <w:r w:rsidR="00E0000E">
        <w:rPr>
          <w:rFonts w:ascii="Palatino Linotype" w:hAnsi="Palatino Linotype" w:eastAsia="Palatino Linotype" w:cs="Times New Roman"/>
          <w:kern w:val="0"/>
          <w14:ligatures w14:val="none"/>
        </w:rPr>
        <w:t xml:space="preserve"> They also h</w:t>
      </w:r>
      <w:r w:rsidRPr="00E0000E" w:rsidR="00E0000E">
        <w:rPr>
          <w:rFonts w:ascii="Palatino Linotype" w:hAnsi="Palatino Linotype" w:eastAsia="Palatino Linotype" w:cs="Times New Roman"/>
          <w:kern w:val="0"/>
          <w14:ligatures w14:val="none"/>
        </w:rPr>
        <w:t>eld regular meetings with ISPs and local jurisdictions to identify service issues, address mapping inaccuracies, and explore funding opportunities to facilitate private/public broadband investment in priority areas.</w:t>
      </w:r>
      <w:r w:rsidR="003C779E">
        <w:rPr>
          <w:rFonts w:ascii="Palatino Linotype" w:hAnsi="Palatino Linotype" w:eastAsia="Palatino Linotype" w:cs="Times New Roman"/>
          <w:kern w:val="0"/>
          <w14:ligatures w14:val="none"/>
        </w:rPr>
        <w:t xml:space="preserve"> Furthermore, GCBC a</w:t>
      </w:r>
      <w:r w:rsidRPr="003C779E" w:rsidR="003C779E">
        <w:rPr>
          <w:rFonts w:ascii="Palatino Linotype" w:hAnsi="Palatino Linotype" w:eastAsia="Palatino Linotype" w:cs="Times New Roman"/>
          <w:kern w:val="0"/>
          <w14:ligatures w14:val="none"/>
        </w:rPr>
        <w:t xml:space="preserve">nalyzed </w:t>
      </w:r>
      <w:r w:rsidR="00276F29">
        <w:rPr>
          <w:rFonts w:ascii="Palatino Linotype" w:hAnsi="Palatino Linotype" w:eastAsia="Palatino Linotype" w:cs="Times New Roman"/>
          <w:kern w:val="0"/>
          <w14:ligatures w14:val="none"/>
        </w:rPr>
        <w:t>q</w:t>
      </w:r>
      <w:r w:rsidRPr="003C779E" w:rsidR="003C779E">
        <w:rPr>
          <w:rFonts w:ascii="Palatino Linotype" w:hAnsi="Palatino Linotype" w:eastAsia="Palatino Linotype" w:cs="Times New Roman"/>
          <w:kern w:val="0"/>
          <w14:ligatures w14:val="none"/>
        </w:rPr>
        <w:t xml:space="preserve">uarterly </w:t>
      </w:r>
      <w:proofErr w:type="spellStart"/>
      <w:r w:rsidRPr="003C779E" w:rsidR="003C779E">
        <w:rPr>
          <w:rFonts w:ascii="Palatino Linotype" w:hAnsi="Palatino Linotype" w:eastAsia="Palatino Linotype" w:cs="Times New Roman"/>
          <w:kern w:val="0"/>
          <w14:ligatures w14:val="none"/>
        </w:rPr>
        <w:t>GeoTel</w:t>
      </w:r>
      <w:proofErr w:type="spellEnd"/>
      <w:r w:rsidRPr="003C779E" w:rsidR="003C779E">
        <w:rPr>
          <w:rFonts w:ascii="Palatino Linotype" w:hAnsi="Palatino Linotype" w:eastAsia="Palatino Linotype" w:cs="Times New Roman"/>
          <w:kern w:val="0"/>
          <w14:ligatures w14:val="none"/>
        </w:rPr>
        <w:t xml:space="preserve"> data extracts to map public and private broadband assets, including cellular towers, fiber-lit buildings, government facilities, anchor institutions, and other key infrastructure.</w:t>
      </w:r>
    </w:p>
    <w:p w:rsidRPr="005147FA" w:rsidR="005147FA" w:rsidP="005147FA" w:rsidRDefault="005147FA" w14:paraId="53FA14CD" w14:textId="77777777">
      <w:pPr>
        <w:contextualSpacing/>
        <w:rPr>
          <w:rFonts w:ascii="Palatino Linotype" w:hAnsi="Palatino Linotype" w:eastAsia="Palatino Linotype" w:cs="Times New Roman"/>
          <w:kern w:val="0"/>
          <w14:ligatures w14:val="none"/>
        </w:rPr>
      </w:pPr>
    </w:p>
    <w:p w:rsidRPr="00176799" w:rsidR="005147FA" w:rsidP="005147FA" w:rsidRDefault="005147FA" w14:paraId="3BFCDD21" w14:textId="77777777">
      <w:pPr>
        <w:contextualSpacing/>
        <w:rPr>
          <w:rFonts w:ascii="Palatino Linotype" w:hAnsi="Palatino Linotype" w:eastAsia="Palatino Linotype" w:cs="Times New Roman"/>
          <w:i/>
          <w:iCs/>
          <w:kern w:val="0"/>
          <w14:ligatures w14:val="none"/>
        </w:rPr>
      </w:pPr>
      <w:r w:rsidRPr="00176799">
        <w:rPr>
          <w:rFonts w:ascii="Palatino Linotype" w:hAnsi="Palatino Linotype" w:eastAsia="Palatino Linotype" w:cs="Times New Roman"/>
          <w:i/>
          <w:iCs/>
          <w:kern w:val="0"/>
          <w14:ligatures w14:val="none"/>
        </w:rPr>
        <w:t>Regional Consortium Representation and Endorsements</w:t>
      </w:r>
    </w:p>
    <w:p w:rsidRPr="005147FA" w:rsidR="005147FA" w:rsidP="005147FA" w:rsidRDefault="005147FA" w14:paraId="6EBC20F7" w14:textId="189D2FAC">
      <w:pPr>
        <w:contextualSpacing/>
        <w:rPr>
          <w:rFonts w:ascii="Palatino Linotype" w:hAnsi="Palatino Linotype" w:eastAsia="Palatino Linotype" w:cs="Times New Roman"/>
          <w:kern w:val="0"/>
          <w14:ligatures w14:val="none"/>
        </w:rPr>
      </w:pPr>
      <w:r w:rsidRPr="005147FA">
        <w:rPr>
          <w:rFonts w:ascii="Palatino Linotype" w:hAnsi="Palatino Linotype" w:eastAsia="Palatino Linotype" w:cs="Times New Roman"/>
          <w:kern w:val="0"/>
          <w14:ligatures w14:val="none"/>
        </w:rPr>
        <w:t xml:space="preserve">GCBC representation includes member organizations from local cities and counties, and local ISPs who work on issues of regional importance.  Elected officials, public agency staff, as well as local ISPs, act as the current Consortium oversight committee.  GCBC received a total of </w:t>
      </w:r>
      <w:r w:rsidR="00276F29">
        <w:rPr>
          <w:rFonts w:ascii="Palatino Linotype" w:hAnsi="Palatino Linotype" w:eastAsia="Palatino Linotype" w:cs="Times New Roman"/>
          <w:kern w:val="0"/>
          <w14:ligatures w14:val="none"/>
        </w:rPr>
        <w:t>four</w:t>
      </w:r>
      <w:r w:rsidRPr="005147FA">
        <w:rPr>
          <w:rFonts w:ascii="Palatino Linotype" w:hAnsi="Palatino Linotype" w:eastAsia="Palatino Linotype" w:cs="Times New Roman"/>
          <w:kern w:val="0"/>
          <w14:ligatures w14:val="none"/>
        </w:rPr>
        <w:t xml:space="preserve"> endorsements from the California Emerging Technology Fund (CETF), County of Nevada, Tahoe Prosperity Center, and Oasis Broadband. Endorsements state the consortium played a critical role identifying gaps and supporting investment across underserved communities.</w:t>
      </w:r>
    </w:p>
    <w:p w:rsidRPr="005147FA" w:rsidR="005147FA" w:rsidP="005147FA" w:rsidRDefault="005147FA" w14:paraId="424985BD" w14:textId="77777777">
      <w:pPr>
        <w:contextualSpacing/>
        <w:rPr>
          <w:rFonts w:ascii="Palatino Linotype" w:hAnsi="Palatino Linotype" w:eastAsia="Palatino Linotype" w:cs="Times New Roman"/>
          <w:kern w:val="0"/>
          <w14:ligatures w14:val="none"/>
        </w:rPr>
      </w:pPr>
    </w:p>
    <w:p w:rsidRPr="00870702" w:rsidR="005147FA" w:rsidP="005147FA" w:rsidRDefault="005147FA" w14:paraId="199C6D9E" w14:textId="77777777">
      <w:pPr>
        <w:contextualSpacing/>
        <w:rPr>
          <w:rFonts w:ascii="Palatino Linotype" w:hAnsi="Palatino Linotype" w:eastAsia="Palatino Linotype" w:cs="Times New Roman"/>
          <w:i/>
          <w:iCs/>
          <w:kern w:val="0"/>
          <w14:ligatures w14:val="none"/>
        </w:rPr>
      </w:pPr>
      <w:r w:rsidRPr="00870702">
        <w:rPr>
          <w:rFonts w:ascii="Palatino Linotype" w:hAnsi="Palatino Linotype" w:eastAsia="Palatino Linotype" w:cs="Times New Roman"/>
          <w:i/>
          <w:iCs/>
          <w:kern w:val="0"/>
          <w14:ligatures w14:val="none"/>
        </w:rPr>
        <w:t>Regional Consortium Members’ Experience</w:t>
      </w:r>
    </w:p>
    <w:p w:rsidRPr="005147FA" w:rsidR="005147FA" w:rsidP="005147FA" w:rsidRDefault="005147FA" w14:paraId="21260497" w14:textId="77777777">
      <w:pPr>
        <w:contextualSpacing/>
        <w:rPr>
          <w:rFonts w:ascii="Palatino Linotype" w:hAnsi="Palatino Linotype" w:eastAsia="Palatino Linotype" w:cs="Times New Roman"/>
          <w:kern w:val="0"/>
          <w14:ligatures w14:val="none"/>
        </w:rPr>
      </w:pPr>
      <w:r w:rsidRPr="005147FA">
        <w:rPr>
          <w:rFonts w:ascii="Palatino Linotype" w:hAnsi="Palatino Linotype" w:eastAsia="Palatino Linotype" w:cs="Times New Roman"/>
          <w:kern w:val="0"/>
          <w14:ligatures w14:val="none"/>
        </w:rPr>
        <w:t>GCBC’s members have experience working with residents and local stakeholders to validate service gaps and elevate community-backed priority areas, and experience coordinating with ISPs and local jurisdictions to advance broadband infrastructure concepts toward implementation. GCBC also includes experience assisting infrastructure grant applicants through project development support and building a pipeline of grant ready projects.</w:t>
      </w:r>
    </w:p>
    <w:p w:rsidRPr="005147FA" w:rsidR="005147FA" w:rsidP="005147FA" w:rsidRDefault="005147FA" w14:paraId="4A8AE58E" w14:textId="77777777">
      <w:pPr>
        <w:contextualSpacing/>
        <w:rPr>
          <w:rFonts w:ascii="Palatino Linotype" w:hAnsi="Palatino Linotype" w:eastAsia="Palatino Linotype" w:cs="Times New Roman"/>
          <w:kern w:val="0"/>
          <w14:ligatures w14:val="none"/>
        </w:rPr>
      </w:pPr>
    </w:p>
    <w:p w:rsidRPr="00870702" w:rsidR="005147FA" w:rsidP="005147FA" w:rsidRDefault="005147FA" w14:paraId="4D95441D" w14:textId="77777777">
      <w:pPr>
        <w:contextualSpacing/>
        <w:rPr>
          <w:rFonts w:ascii="Palatino Linotype" w:hAnsi="Palatino Linotype" w:eastAsia="Palatino Linotype" w:cs="Times New Roman"/>
          <w:i/>
          <w:iCs/>
          <w:kern w:val="0"/>
          <w14:ligatures w14:val="none"/>
        </w:rPr>
      </w:pPr>
      <w:r w:rsidRPr="00870702">
        <w:rPr>
          <w:rFonts w:ascii="Palatino Linotype" w:hAnsi="Palatino Linotype" w:eastAsia="Palatino Linotype" w:cs="Times New Roman"/>
          <w:i/>
          <w:iCs/>
          <w:kern w:val="0"/>
          <w14:ligatures w14:val="none"/>
        </w:rPr>
        <w:t>Work Plan and Performance Metrics Plan</w:t>
      </w:r>
    </w:p>
    <w:p w:rsidR="002F0BE6" w:rsidP="005147FA" w:rsidRDefault="005147FA" w14:paraId="78091772" w14:textId="7262E9F8">
      <w:pPr>
        <w:contextualSpacing/>
        <w:rPr>
          <w:rFonts w:ascii="Palatino Linotype" w:hAnsi="Palatino Linotype" w:eastAsia="Palatino Linotype" w:cs="Times New Roman"/>
          <w:kern w:val="0"/>
          <w14:ligatures w14:val="none"/>
        </w:rPr>
      </w:pPr>
      <w:r w:rsidRPr="005147FA">
        <w:rPr>
          <w:rFonts w:ascii="Palatino Linotype" w:hAnsi="Palatino Linotype" w:eastAsia="Palatino Linotype" w:cs="Times New Roman"/>
          <w:kern w:val="0"/>
          <w14:ligatures w14:val="none"/>
        </w:rPr>
        <w:t>GCBC proposes to continue assisting with broadband infrastructure project development and grant readiness by improving data accuracy, strengthening regional coordination, and advancing infrastructure projects toward funding readiness in El Dorado, Nevada, Placer, and Sierra counties. GCBC will focus on data and mapping collaborations with the Commission; assist ISPs with infrastructure grant applicants; assist the Commission wireline testing; and maintain a regional stakeholder list to implement innovative broadband solutions. GCBC also plans to incorporate the services of a consulting group to expand technical capacity with areas such as mapping, data analysis, and gap assessments.</w:t>
      </w:r>
    </w:p>
    <w:p w:rsidR="002F0BE6" w:rsidP="00EF399B" w:rsidRDefault="002F0BE6" w14:paraId="0820883D" w14:textId="77777777">
      <w:pPr>
        <w:contextualSpacing/>
        <w:rPr>
          <w:rFonts w:ascii="Palatino Linotype" w:hAnsi="Palatino Linotype" w:eastAsia="Palatino Linotype" w:cs="Times New Roman"/>
          <w:kern w:val="0"/>
          <w14:ligatures w14:val="none"/>
        </w:rPr>
      </w:pPr>
    </w:p>
    <w:p w:rsidR="002F0BE6" w:rsidP="00EF399B" w:rsidRDefault="006C60D3" w14:paraId="0DFF813E" w14:textId="3E5C9C2D">
      <w:pPr>
        <w:contextualSpacing/>
        <w:rPr>
          <w:rFonts w:ascii="Palatino Linotype" w:hAnsi="Palatino Linotype" w:eastAsia="Palatino Linotype" w:cs="Times New Roman"/>
          <w:kern w:val="0"/>
          <w14:ligatures w14:val="none"/>
        </w:rPr>
      </w:pPr>
      <w:r w:rsidRPr="006C60D3">
        <w:rPr>
          <w:rFonts w:ascii="Palatino Linotype" w:hAnsi="Palatino Linotype" w:eastAsia="Palatino Linotype" w:cs="Times New Roman"/>
          <w:kern w:val="0"/>
          <w14:ligatures w14:val="none"/>
        </w:rPr>
        <w:t xml:space="preserve">GCBC’s Work Plan and Performance Metrics Plan are directly related to SB 156 and AB 164 goals and objectives, and consistent with program requirements defined in D.25-11-003.  </w:t>
      </w:r>
    </w:p>
    <w:p w:rsidR="007A7C66" w:rsidP="00A413B2" w:rsidRDefault="007A7C66" w14:paraId="53358109" w14:textId="77777777">
      <w:pPr>
        <w:contextualSpacing/>
        <w:rPr>
          <w:rFonts w:ascii="Palatino Linotype" w:hAnsi="Palatino Linotype" w:eastAsia="Palatino Linotype" w:cs="Times New Roman"/>
          <w:i/>
          <w:iCs/>
          <w:kern w:val="0"/>
          <w14:ligatures w14:val="none"/>
        </w:rPr>
      </w:pPr>
    </w:p>
    <w:p w:rsidRPr="00A413B2" w:rsidR="00A413B2" w:rsidP="00A413B2" w:rsidRDefault="00A413B2" w14:paraId="223F3144" w14:textId="00302CDB">
      <w:pPr>
        <w:contextualSpacing/>
        <w:rPr>
          <w:rFonts w:ascii="Palatino Linotype" w:hAnsi="Palatino Linotype" w:eastAsia="Palatino Linotype" w:cs="Times New Roman"/>
          <w:i/>
          <w:iCs/>
          <w:kern w:val="0"/>
          <w14:ligatures w14:val="none"/>
        </w:rPr>
      </w:pPr>
      <w:r w:rsidRPr="00A413B2">
        <w:rPr>
          <w:rFonts w:ascii="Palatino Linotype" w:hAnsi="Palatino Linotype" w:eastAsia="Palatino Linotype" w:cs="Times New Roman"/>
          <w:i/>
          <w:iCs/>
          <w:kern w:val="0"/>
          <w14:ligatures w14:val="none"/>
        </w:rPr>
        <w:t>Budget</w:t>
      </w:r>
    </w:p>
    <w:p w:rsidR="00120EC1" w:rsidP="00EF399B" w:rsidRDefault="00A413B2" w14:paraId="4AC93628" w14:textId="2BA6110B">
      <w:pPr>
        <w:contextualSpacing/>
        <w:rPr>
          <w:rFonts w:ascii="Palatino Linotype" w:hAnsi="Palatino Linotype" w:eastAsia="Palatino Linotype" w:cs="Times New Roman"/>
          <w:kern w:val="0"/>
          <w14:ligatures w14:val="none"/>
        </w:rPr>
      </w:pPr>
      <w:r w:rsidRPr="00A413B2">
        <w:rPr>
          <w:rFonts w:ascii="Palatino Linotype" w:hAnsi="Palatino Linotype" w:eastAsia="Palatino Linotype" w:cs="Times New Roman"/>
          <w:kern w:val="0"/>
          <w14:ligatures w14:val="none"/>
        </w:rPr>
        <w:t>GCBC requests $</w:t>
      </w:r>
      <w:r w:rsidR="00AE4A12">
        <w:rPr>
          <w:rFonts w:ascii="Palatino Linotype" w:hAnsi="Palatino Linotype" w:eastAsia="Palatino Linotype" w:cs="Times New Roman"/>
          <w:kern w:val="0"/>
          <w14:ligatures w14:val="none"/>
        </w:rPr>
        <w:t>600</w:t>
      </w:r>
      <w:r w:rsidRPr="00A413B2">
        <w:rPr>
          <w:rFonts w:ascii="Palatino Linotype" w:hAnsi="Palatino Linotype" w:eastAsia="Palatino Linotype" w:cs="Times New Roman"/>
          <w:kern w:val="0"/>
          <w14:ligatures w14:val="none"/>
        </w:rPr>
        <w:t>,</w:t>
      </w:r>
      <w:r w:rsidR="00AE4A12">
        <w:rPr>
          <w:rFonts w:ascii="Palatino Linotype" w:hAnsi="Palatino Linotype" w:eastAsia="Palatino Linotype" w:cs="Times New Roman"/>
          <w:kern w:val="0"/>
          <w14:ligatures w14:val="none"/>
        </w:rPr>
        <w:t>000</w:t>
      </w:r>
      <w:r w:rsidRPr="00A413B2">
        <w:rPr>
          <w:rFonts w:ascii="Palatino Linotype" w:hAnsi="Palatino Linotype" w:eastAsia="Palatino Linotype" w:cs="Times New Roman"/>
          <w:kern w:val="0"/>
          <w14:ligatures w14:val="none"/>
        </w:rPr>
        <w:t xml:space="preserve"> for a three-year grant. Of its total budget, GCBC allocates approximately 20.7% to conduct marketing/outreach and develop strategies (Objective 1), 73% to assist in developing CASF infrastructure applications (Objectives 2, 3, and 4), 1</w:t>
      </w:r>
      <w:r w:rsidR="004D65FA">
        <w:rPr>
          <w:rFonts w:ascii="Palatino Linotype" w:hAnsi="Palatino Linotype" w:eastAsia="Palatino Linotype" w:cs="Times New Roman"/>
          <w:kern w:val="0"/>
          <w14:ligatures w14:val="none"/>
        </w:rPr>
        <w:t>.1</w:t>
      </w:r>
      <w:r w:rsidRPr="00A413B2">
        <w:rPr>
          <w:rFonts w:ascii="Palatino Linotype" w:hAnsi="Palatino Linotype" w:eastAsia="Palatino Linotype" w:cs="Times New Roman"/>
          <w:kern w:val="0"/>
          <w14:ligatures w14:val="none"/>
        </w:rPr>
        <w:t xml:space="preserve">% to assist in publicizing wireline testing requests (Objective 5), 2.7% </w:t>
      </w:r>
      <w:r w:rsidRPr="00DC1A09" w:rsidR="00DC1A09">
        <w:rPr>
          <w:rFonts w:ascii="Palatino Linotype" w:hAnsi="Palatino Linotype" w:eastAsia="Palatino Linotype" w:cs="Times New Roman"/>
          <w:kern w:val="0"/>
          <w14:ligatures w14:val="none"/>
        </w:rPr>
        <w:t>to assist in promoting broadband deployment in California (Objective 6)</w:t>
      </w:r>
      <w:r w:rsidRPr="00A413B2">
        <w:rPr>
          <w:rFonts w:ascii="Palatino Linotype" w:hAnsi="Palatino Linotype" w:eastAsia="Palatino Linotype" w:cs="Times New Roman"/>
          <w:kern w:val="0"/>
          <w14:ligatures w14:val="none"/>
        </w:rPr>
        <w:t xml:space="preserve"> and 2.5% </w:t>
      </w:r>
      <w:r w:rsidRPr="00DC1A09" w:rsidR="00DC1A09">
        <w:rPr>
          <w:rFonts w:ascii="Palatino Linotype" w:hAnsi="Palatino Linotype" w:eastAsia="Palatino Linotype" w:cs="Times New Roman"/>
          <w:kern w:val="0"/>
          <w14:ligatures w14:val="none"/>
        </w:rPr>
        <w:t>for conducting and submitting the annual audit reports</w:t>
      </w:r>
      <w:r w:rsidRPr="00A413B2">
        <w:rPr>
          <w:rFonts w:ascii="Palatino Linotype" w:hAnsi="Palatino Linotype" w:eastAsia="Palatino Linotype" w:cs="Times New Roman"/>
          <w:kern w:val="0"/>
          <w14:ligatures w14:val="none"/>
        </w:rPr>
        <w:t>. GCBC’s budget is cost-effective and consistent with budget requirements defined in D.25-11-003.</w:t>
      </w:r>
    </w:p>
    <w:p w:rsidR="009E1767" w:rsidP="00EF399B" w:rsidRDefault="009E1767" w14:paraId="5E0C09E3" w14:textId="77777777">
      <w:pPr>
        <w:contextualSpacing/>
        <w:rPr>
          <w:rFonts w:ascii="Palatino Linotype" w:hAnsi="Palatino Linotype" w:eastAsia="Palatino Linotype" w:cs="Times New Roman"/>
          <w:kern w:val="0"/>
          <w14:ligatures w14:val="none"/>
        </w:rPr>
      </w:pPr>
    </w:p>
    <w:p w:rsidRPr="007D6FD5" w:rsidR="002F0BE6" w:rsidP="00EF399B" w:rsidRDefault="001B4F1D" w14:paraId="0B4A1365" w14:textId="614E9829">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r w:rsidR="00A65FDD">
        <w:rPr>
          <w:rFonts w:ascii="Palatino Linotype" w:hAnsi="Palatino Linotype" w:eastAsia="Palatino Linotype" w:cs="Times New Roman"/>
          <w:b/>
          <w:bCs/>
          <w:kern w:val="0"/>
          <w14:ligatures w14:val="none"/>
        </w:rPr>
        <w:t>5</w:t>
      </w:r>
      <w:r w:rsidRPr="00375FBF" w:rsidR="00891384">
        <w:rPr>
          <w:rFonts w:ascii="Palatino Linotype" w:hAnsi="Palatino Linotype" w:eastAsia="Palatino Linotype" w:cs="Times New Roman"/>
          <w:b/>
          <w:bCs/>
          <w:kern w:val="0"/>
          <w14:ligatures w14:val="none"/>
        </w:rPr>
        <w:t xml:space="preserve">. </w:t>
      </w:r>
      <w:r w:rsidRPr="001C0E03" w:rsidR="001C0E03">
        <w:rPr>
          <w:rFonts w:ascii="Palatino Linotype" w:hAnsi="Palatino Linotype" w:eastAsia="Palatino Linotype" w:cs="Palatino Linotype"/>
          <w:b/>
          <w:bCs/>
        </w:rPr>
        <w:t>Inyo-Mono Broadband Consortium (IMBC)</w:t>
      </w:r>
    </w:p>
    <w:p w:rsidR="003D0039" w:rsidP="00EF399B" w:rsidRDefault="003D0039" w14:paraId="51AE4016" w14:textId="77777777">
      <w:pPr>
        <w:contextualSpacing/>
        <w:rPr>
          <w:rFonts w:ascii="Palatino Linotype" w:hAnsi="Palatino Linotype" w:eastAsia="Palatino Linotype" w:cs="Times New Roman"/>
          <w:kern w:val="0"/>
          <w14:ligatures w14:val="none"/>
        </w:rPr>
      </w:pPr>
    </w:p>
    <w:p w:rsidRPr="003D0039" w:rsidR="003D0039" w:rsidP="003D0039" w:rsidRDefault="003D0039" w14:paraId="3F5369EB" w14:textId="77777777">
      <w:pPr>
        <w:contextualSpacing/>
        <w:rPr>
          <w:rFonts w:ascii="Palatino Linotype" w:hAnsi="Palatino Linotype" w:eastAsia="Palatino Linotype" w:cs="Times New Roman"/>
          <w:i/>
          <w:iCs/>
          <w:kern w:val="0"/>
          <w14:ligatures w14:val="none"/>
        </w:rPr>
      </w:pPr>
      <w:r w:rsidRPr="003D0039">
        <w:rPr>
          <w:rFonts w:ascii="Palatino Linotype" w:hAnsi="Palatino Linotype" w:eastAsia="Palatino Linotype" w:cs="Times New Roman"/>
          <w:i/>
          <w:iCs/>
          <w:kern w:val="0"/>
          <w14:ligatures w14:val="none"/>
        </w:rPr>
        <w:t xml:space="preserve">Applicant </w:t>
      </w:r>
    </w:p>
    <w:p w:rsidRPr="003D0039" w:rsidR="003D0039" w:rsidP="003D0039" w:rsidRDefault="003D0039" w14:paraId="7E13213A" w14:textId="04CD906F">
      <w:pPr>
        <w:contextualSpacing/>
        <w:rPr>
          <w:rFonts w:ascii="Palatino Linotype" w:hAnsi="Palatino Linotype" w:eastAsia="Palatino Linotype" w:cs="Times New Roman"/>
          <w:kern w:val="0"/>
          <w14:ligatures w14:val="none"/>
        </w:rPr>
      </w:pPr>
      <w:r w:rsidRPr="003D0039">
        <w:rPr>
          <w:rFonts w:ascii="Palatino Linotype" w:hAnsi="Palatino Linotype" w:eastAsia="Palatino Linotype" w:cs="Times New Roman"/>
          <w:kern w:val="0"/>
          <w14:ligatures w14:val="none"/>
        </w:rPr>
        <w:t xml:space="preserve">IMBC represents Inyo and Mono counties. IMBC received approval for two Consortia Account grants: $105,216 in October 2016 (Resolution T-17537), and $600,000 in January 2023 (Resolution T-17778). </w:t>
      </w:r>
      <w:r w:rsidRPr="008C386F" w:rsidR="00F32F29">
        <w:rPr>
          <w:rFonts w:ascii="Palatino Linotype" w:hAnsi="Palatino Linotype" w:eastAsia="Palatino Linotype" w:cs="Palatino Linotype"/>
        </w:rPr>
        <w:t xml:space="preserve">Funding granted </w:t>
      </w:r>
      <w:r w:rsidRPr="008C386F" w:rsidR="4A250E6C">
        <w:rPr>
          <w:rFonts w:ascii="Palatino Linotype" w:hAnsi="Palatino Linotype" w:eastAsia="Palatino Linotype" w:cs="Palatino Linotype"/>
        </w:rPr>
        <w:t>to</w:t>
      </w:r>
      <w:r w:rsidRPr="008C386F" w:rsidR="00F32F29">
        <w:rPr>
          <w:rFonts w:ascii="Palatino Linotype" w:hAnsi="Palatino Linotype" w:eastAsia="Palatino Linotype" w:cs="Palatino Linotype"/>
        </w:rPr>
        <w:t xml:space="preserve"> </w:t>
      </w:r>
      <w:r w:rsidR="00F32F29">
        <w:rPr>
          <w:rFonts w:ascii="Palatino Linotype" w:hAnsi="Palatino Linotype" w:eastAsia="Palatino Linotype" w:cs="Palatino Linotype"/>
        </w:rPr>
        <w:t>IMBC</w:t>
      </w:r>
      <w:r w:rsidRPr="008C386F" w:rsidR="00F32F29">
        <w:rPr>
          <w:rFonts w:ascii="Palatino Linotype" w:hAnsi="Palatino Linotype" w:eastAsia="Palatino Linotype" w:cs="Palatino Linotype"/>
        </w:rPr>
        <w:t xml:space="preserve"> in Resolution T-17778 conclude</w:t>
      </w:r>
      <w:r w:rsidR="00F32F29">
        <w:rPr>
          <w:rFonts w:ascii="Palatino Linotype" w:hAnsi="Palatino Linotype" w:eastAsia="Palatino Linotype" w:cs="Palatino Linotype"/>
        </w:rPr>
        <w:t>d</w:t>
      </w:r>
      <w:r w:rsidRPr="008C386F" w:rsidR="00F32F29">
        <w:rPr>
          <w:rFonts w:ascii="Palatino Linotype" w:hAnsi="Palatino Linotype" w:eastAsia="Palatino Linotype" w:cs="Palatino Linotype"/>
        </w:rPr>
        <w:t xml:space="preserve"> on </w:t>
      </w:r>
      <w:r w:rsidRPr="005147FA" w:rsidR="00F32F29">
        <w:rPr>
          <w:rFonts w:ascii="Palatino Linotype" w:hAnsi="Palatino Linotype" w:eastAsia="Palatino Linotype" w:cs="Times New Roman"/>
          <w:kern w:val="0"/>
          <w14:ligatures w14:val="none"/>
        </w:rPr>
        <w:t>January 30, 2026</w:t>
      </w:r>
      <w:r w:rsidRPr="008C386F" w:rsidR="00F32F29">
        <w:rPr>
          <w:rFonts w:ascii="Palatino Linotype" w:hAnsi="Palatino Linotype" w:eastAsia="Palatino Linotype" w:cs="Palatino Linotype"/>
        </w:rPr>
        <w:t>.</w:t>
      </w:r>
    </w:p>
    <w:p w:rsidRPr="003D0039" w:rsidR="003D0039" w:rsidP="003D0039" w:rsidRDefault="003D0039" w14:paraId="3EEEAB80" w14:textId="77777777">
      <w:pPr>
        <w:contextualSpacing/>
        <w:rPr>
          <w:rFonts w:ascii="Palatino Linotype" w:hAnsi="Palatino Linotype" w:eastAsia="Palatino Linotype" w:cs="Times New Roman"/>
          <w:kern w:val="0"/>
          <w14:ligatures w14:val="none"/>
        </w:rPr>
      </w:pPr>
    </w:p>
    <w:p w:rsidRPr="003D0039" w:rsidR="003D0039" w:rsidP="003D0039" w:rsidRDefault="003D0039" w14:paraId="65362A09" w14:textId="77777777">
      <w:pPr>
        <w:contextualSpacing/>
        <w:rPr>
          <w:rFonts w:ascii="Palatino Linotype" w:hAnsi="Palatino Linotype" w:eastAsia="Palatino Linotype" w:cs="Times New Roman"/>
          <w:i/>
          <w:iCs/>
          <w:kern w:val="0"/>
          <w14:ligatures w14:val="none"/>
        </w:rPr>
      </w:pPr>
      <w:r w:rsidRPr="003D0039">
        <w:rPr>
          <w:rFonts w:ascii="Palatino Linotype" w:hAnsi="Palatino Linotype" w:eastAsia="Palatino Linotype" w:cs="Times New Roman"/>
          <w:i/>
          <w:iCs/>
          <w:kern w:val="0"/>
          <w14:ligatures w14:val="none"/>
        </w:rPr>
        <w:t>Past CASF Project Performance</w:t>
      </w:r>
    </w:p>
    <w:p w:rsidR="00A4307B" w:rsidP="003D0039" w:rsidRDefault="00B30AAE" w14:paraId="0B168ADF" w14:textId="0A6D814B">
      <w:pPr>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This s</w:t>
      </w:r>
      <w:r w:rsidRPr="00312D58">
        <w:rPr>
          <w:rFonts w:ascii="Palatino Linotype" w:hAnsi="Palatino Linotype" w:eastAsia="Palatino Linotype" w:cs="Times New Roman"/>
          <w:kern w:val="0"/>
          <w14:ligatures w14:val="none"/>
        </w:rPr>
        <w:t xml:space="preserve">ummary of past CASF project performance is based on applicant-provided materials and staff program </w:t>
      </w:r>
      <w:proofErr w:type="gramStart"/>
      <w:r w:rsidRPr="00A4307B">
        <w:rPr>
          <w:rFonts w:ascii="Palatino Linotype" w:hAnsi="Palatino Linotype" w:eastAsia="Palatino Linotype" w:cs="Times New Roman"/>
          <w:kern w:val="0"/>
          <w14:ligatures w14:val="none"/>
        </w:rPr>
        <w:t>records</w:t>
      </w:r>
      <w:r>
        <w:rPr>
          <w:rFonts w:ascii="Palatino Linotype" w:hAnsi="Palatino Linotype" w:eastAsia="Palatino Linotype" w:cs="Times New Roman"/>
          <w:kern w:val="0"/>
          <w14:ligatures w14:val="none"/>
        </w:rPr>
        <w:t>,</w:t>
      </w:r>
      <w:r w:rsidRPr="00A4307B">
        <w:rPr>
          <w:rFonts w:ascii="Palatino Linotype" w:hAnsi="Palatino Linotype" w:eastAsia="Palatino Linotype" w:cs="Times New Roman"/>
          <w:kern w:val="0"/>
          <w14:ligatures w14:val="none"/>
        </w:rPr>
        <w:t xml:space="preserve"> and</w:t>
      </w:r>
      <w:proofErr w:type="gramEnd"/>
      <w:r w:rsidRPr="00312D58">
        <w:rPr>
          <w:rFonts w:ascii="Palatino Linotype" w:hAnsi="Palatino Linotype" w:eastAsia="Palatino Linotype" w:cs="Times New Roman"/>
          <w:kern w:val="0"/>
          <w14:ligatures w14:val="none"/>
        </w:rPr>
        <w:t xml:space="preserve"> should not be understood as independent verification of every statement summarized</w:t>
      </w:r>
      <w:r>
        <w:rPr>
          <w:rFonts w:ascii="Palatino Linotype" w:hAnsi="Palatino Linotype" w:eastAsia="Palatino Linotype" w:cs="Times New Roman"/>
          <w:kern w:val="0"/>
          <w14:ligatures w14:val="none"/>
        </w:rPr>
        <w:t xml:space="preserve"> below</w:t>
      </w:r>
      <w:r w:rsidRPr="00312D58">
        <w:rPr>
          <w:rFonts w:ascii="Palatino Linotype" w:hAnsi="Palatino Linotype" w:eastAsia="Palatino Linotype" w:cs="Times New Roman"/>
          <w:kern w:val="0"/>
          <w14:ligatures w14:val="none"/>
        </w:rPr>
        <w:t>.</w:t>
      </w:r>
    </w:p>
    <w:p w:rsidR="00B30AAE" w:rsidP="003D0039" w:rsidRDefault="00B30AAE" w14:paraId="14188481" w14:textId="77777777">
      <w:pPr>
        <w:contextualSpacing/>
        <w:rPr>
          <w:rFonts w:ascii="Palatino Linotype" w:hAnsi="Palatino Linotype" w:eastAsia="Palatino Linotype" w:cs="Times New Roman"/>
          <w:kern w:val="0"/>
          <w14:ligatures w14:val="none"/>
        </w:rPr>
      </w:pPr>
    </w:p>
    <w:p w:rsidRPr="003D0039" w:rsidR="003D0039" w:rsidP="003D0039" w:rsidRDefault="003D0039" w14:paraId="69F7819F" w14:textId="617B9F31">
      <w:pPr>
        <w:contextualSpacing/>
        <w:rPr>
          <w:rFonts w:ascii="Palatino Linotype" w:hAnsi="Palatino Linotype" w:eastAsia="Palatino Linotype" w:cs="Times New Roman"/>
          <w:kern w:val="0"/>
          <w14:ligatures w14:val="none"/>
        </w:rPr>
      </w:pPr>
      <w:r w:rsidRPr="003D0039">
        <w:rPr>
          <w:rFonts w:ascii="Palatino Linotype" w:hAnsi="Palatino Linotype" w:eastAsia="Palatino Linotype" w:cs="Times New Roman"/>
          <w:kern w:val="0"/>
          <w14:ligatures w14:val="none"/>
        </w:rPr>
        <w:t>IMBC’s</w:t>
      </w:r>
      <w:r w:rsidR="006808F8">
        <w:rPr>
          <w:rFonts w:ascii="Palatino Linotype" w:hAnsi="Palatino Linotype" w:eastAsia="Palatino Linotype" w:cs="Times New Roman"/>
          <w:kern w:val="0"/>
          <w14:ligatures w14:val="none"/>
        </w:rPr>
        <w:t xml:space="preserve"> </w:t>
      </w:r>
      <w:r w:rsidRPr="00EA6956" w:rsidR="006808F8">
        <w:rPr>
          <w:rFonts w:ascii="Palatino Linotype" w:hAnsi="Palatino Linotype" w:eastAsia="Palatino Linotype" w:cs="Times New Roman"/>
          <w:kern w:val="0"/>
          <w14:ligatures w14:val="none"/>
        </w:rPr>
        <w:t>reported past project activities include</w:t>
      </w:r>
      <w:r w:rsidRPr="003D0039">
        <w:rPr>
          <w:rFonts w:ascii="Palatino Linotype" w:hAnsi="Palatino Linotype" w:eastAsia="Palatino Linotype" w:cs="Times New Roman"/>
          <w:kern w:val="0"/>
          <w14:ligatures w14:val="none"/>
        </w:rPr>
        <w:t xml:space="preserve"> </w:t>
      </w:r>
      <w:r w:rsidR="00C5367C">
        <w:rPr>
          <w:rFonts w:ascii="Palatino Linotype" w:hAnsi="Palatino Linotype" w:eastAsia="Palatino Linotype" w:cs="Times New Roman"/>
          <w:kern w:val="0"/>
          <w14:ligatures w14:val="none"/>
        </w:rPr>
        <w:t>m</w:t>
      </w:r>
      <w:r w:rsidRPr="0073080A" w:rsidR="001E2C30">
        <w:rPr>
          <w:rFonts w:ascii="Palatino Linotype" w:hAnsi="Palatino Linotype" w:eastAsia="Palatino Linotype" w:cs="Times New Roman"/>
          <w:kern w:val="0"/>
          <w14:ligatures w14:val="none"/>
        </w:rPr>
        <w:t>app</w:t>
      </w:r>
      <w:r w:rsidR="00276F29">
        <w:rPr>
          <w:rFonts w:ascii="Palatino Linotype" w:hAnsi="Palatino Linotype" w:eastAsia="Palatino Linotype" w:cs="Times New Roman"/>
          <w:kern w:val="0"/>
          <w14:ligatures w14:val="none"/>
        </w:rPr>
        <w:t>ing</w:t>
      </w:r>
      <w:r w:rsidRPr="0073080A" w:rsidR="001E2C30">
        <w:rPr>
          <w:rFonts w:ascii="Palatino Linotype" w:hAnsi="Palatino Linotype" w:eastAsia="Palatino Linotype" w:cs="Times New Roman"/>
          <w:kern w:val="0"/>
          <w14:ligatures w14:val="none"/>
        </w:rPr>
        <w:t xml:space="preserve"> and document</w:t>
      </w:r>
      <w:r w:rsidR="00276F29">
        <w:rPr>
          <w:rFonts w:ascii="Palatino Linotype" w:hAnsi="Palatino Linotype" w:eastAsia="Palatino Linotype" w:cs="Times New Roman"/>
          <w:kern w:val="0"/>
          <w14:ligatures w14:val="none"/>
        </w:rPr>
        <w:t>ing</w:t>
      </w:r>
      <w:r w:rsidRPr="0073080A" w:rsidR="001E2C30">
        <w:rPr>
          <w:rFonts w:ascii="Palatino Linotype" w:hAnsi="Palatino Linotype" w:eastAsia="Palatino Linotype" w:cs="Times New Roman"/>
          <w:kern w:val="0"/>
          <w14:ligatures w14:val="none"/>
        </w:rPr>
        <w:t xml:space="preserve"> agency priorities, refining them with public input and data analysis, while communicating broadband updates via press releases, meetings, and newsletters. </w:t>
      </w:r>
      <w:r w:rsidRPr="0073080A" w:rsidR="6196C141">
        <w:rPr>
          <w:rFonts w:ascii="Palatino Linotype" w:hAnsi="Palatino Linotype" w:eastAsia="Palatino Linotype" w:cs="Times New Roman"/>
          <w:kern w:val="0"/>
          <w14:ligatures w14:val="none"/>
        </w:rPr>
        <w:t>IMBC c</w:t>
      </w:r>
      <w:r w:rsidRPr="0073080A" w:rsidR="001E2C30">
        <w:rPr>
          <w:rFonts w:ascii="Palatino Linotype" w:hAnsi="Palatino Linotype" w:eastAsia="Palatino Linotype" w:cs="Times New Roman"/>
          <w:kern w:val="0"/>
          <w14:ligatures w14:val="none"/>
        </w:rPr>
        <w:t xml:space="preserve">oordinated with regional ISPs, managed Digital 395 middle-mile network activities, and updated the Broadband Access Tool. </w:t>
      </w:r>
      <w:r w:rsidRPr="0073080A" w:rsidR="6DC998E8">
        <w:rPr>
          <w:rFonts w:ascii="Palatino Linotype" w:hAnsi="Palatino Linotype" w:eastAsia="Palatino Linotype" w:cs="Times New Roman"/>
          <w:kern w:val="0"/>
          <w14:ligatures w14:val="none"/>
        </w:rPr>
        <w:t>IMBC c</w:t>
      </w:r>
      <w:r w:rsidRPr="0073080A" w:rsidR="001E2C30">
        <w:rPr>
          <w:rFonts w:ascii="Palatino Linotype" w:hAnsi="Palatino Linotype" w:eastAsia="Palatino Linotype" w:cs="Times New Roman"/>
          <w:kern w:val="0"/>
          <w14:ligatures w14:val="none"/>
        </w:rPr>
        <w:t xml:space="preserve">oordinated the development and submission of </w:t>
      </w:r>
      <w:r w:rsidR="00BA69EF">
        <w:rPr>
          <w:rFonts w:ascii="Palatino Linotype" w:hAnsi="Palatino Linotype" w:eastAsia="Palatino Linotype" w:cs="Times New Roman"/>
          <w:kern w:val="0"/>
          <w14:ligatures w14:val="none"/>
        </w:rPr>
        <w:t>nine</w:t>
      </w:r>
      <w:r w:rsidRPr="0073080A" w:rsidR="001E2C30">
        <w:rPr>
          <w:rFonts w:ascii="Palatino Linotype" w:hAnsi="Palatino Linotype" w:eastAsia="Palatino Linotype" w:cs="Times New Roman"/>
          <w:kern w:val="0"/>
          <w14:ligatures w14:val="none"/>
        </w:rPr>
        <w:t xml:space="preserve"> </w:t>
      </w:r>
      <w:r w:rsidRPr="0073080A" w:rsidR="73F1740C">
        <w:rPr>
          <w:rFonts w:ascii="Palatino Linotype" w:hAnsi="Palatino Linotype" w:eastAsia="Palatino Linotype" w:cs="Times New Roman"/>
          <w:kern w:val="0"/>
          <w14:ligatures w14:val="none"/>
        </w:rPr>
        <w:t>Federal Funding Account (</w:t>
      </w:r>
      <w:r w:rsidRPr="0073080A" w:rsidR="001E2C30">
        <w:rPr>
          <w:rFonts w:ascii="Palatino Linotype" w:hAnsi="Palatino Linotype" w:eastAsia="Palatino Linotype" w:cs="Times New Roman"/>
          <w:kern w:val="0"/>
          <w14:ligatures w14:val="none"/>
        </w:rPr>
        <w:t>FFA</w:t>
      </w:r>
      <w:r w:rsidRPr="0073080A" w:rsidR="0D9F2512">
        <w:rPr>
          <w:rFonts w:ascii="Palatino Linotype" w:hAnsi="Palatino Linotype" w:eastAsia="Palatino Linotype" w:cs="Times New Roman"/>
          <w:kern w:val="0"/>
          <w14:ligatures w14:val="none"/>
        </w:rPr>
        <w:t>)</w:t>
      </w:r>
      <w:r w:rsidRPr="0073080A" w:rsidR="001E2C30">
        <w:rPr>
          <w:rFonts w:ascii="Palatino Linotype" w:hAnsi="Palatino Linotype" w:eastAsia="Palatino Linotype" w:cs="Times New Roman"/>
          <w:kern w:val="0"/>
          <w14:ligatures w14:val="none"/>
        </w:rPr>
        <w:t xml:space="preserve"> Round 2 grant applications for projects in Inyo County and </w:t>
      </w:r>
      <w:r w:rsidR="00BA69EF">
        <w:rPr>
          <w:rFonts w:ascii="Palatino Linotype" w:hAnsi="Palatino Linotype" w:eastAsia="Palatino Linotype" w:cs="Times New Roman"/>
          <w:kern w:val="0"/>
          <w14:ligatures w14:val="none"/>
        </w:rPr>
        <w:t>one</w:t>
      </w:r>
      <w:r w:rsidRPr="0073080A" w:rsidR="001E2C30">
        <w:rPr>
          <w:rFonts w:ascii="Palatino Linotype" w:hAnsi="Palatino Linotype" w:eastAsia="Palatino Linotype" w:cs="Times New Roman"/>
          <w:kern w:val="0"/>
          <w14:ligatures w14:val="none"/>
        </w:rPr>
        <w:t xml:space="preserve"> CASF Infrastructure Grant Account application for Darwin in Inyo County. </w:t>
      </w:r>
      <w:r w:rsidRPr="0073080A" w:rsidR="6839444E">
        <w:rPr>
          <w:rFonts w:ascii="Palatino Linotype" w:hAnsi="Palatino Linotype" w:eastAsia="Palatino Linotype" w:cs="Times New Roman"/>
          <w:kern w:val="0"/>
          <w14:ligatures w14:val="none"/>
        </w:rPr>
        <w:t>IMBC c</w:t>
      </w:r>
      <w:r w:rsidRPr="0073080A" w:rsidR="001E2C30">
        <w:rPr>
          <w:rFonts w:ascii="Palatino Linotype" w:hAnsi="Palatino Linotype" w:eastAsia="Palatino Linotype" w:cs="Times New Roman"/>
          <w:kern w:val="0"/>
          <w14:ligatures w14:val="none"/>
        </w:rPr>
        <w:t>ollaborated with local agencies, maintained a GIS map of broadband assets, and draft</w:t>
      </w:r>
      <w:r w:rsidR="00BA69EF">
        <w:rPr>
          <w:rFonts w:ascii="Palatino Linotype" w:hAnsi="Palatino Linotype" w:eastAsia="Palatino Linotype" w:cs="Times New Roman"/>
          <w:kern w:val="0"/>
          <w14:ligatures w14:val="none"/>
        </w:rPr>
        <w:t>ed</w:t>
      </w:r>
      <w:r w:rsidRPr="0073080A" w:rsidR="001E2C30">
        <w:rPr>
          <w:rFonts w:ascii="Palatino Linotype" w:hAnsi="Palatino Linotype" w:eastAsia="Palatino Linotype" w:cs="Times New Roman"/>
          <w:kern w:val="0"/>
          <w14:ligatures w14:val="none"/>
        </w:rPr>
        <w:t xml:space="preserve"> a broadband strategic plan for Mono County. </w:t>
      </w:r>
      <w:r w:rsidRPr="0073080A" w:rsidR="30568E66">
        <w:rPr>
          <w:rFonts w:ascii="Palatino Linotype" w:hAnsi="Palatino Linotype" w:eastAsia="Palatino Linotype" w:cs="Times New Roman"/>
          <w:kern w:val="0"/>
          <w14:ligatures w14:val="none"/>
        </w:rPr>
        <w:t>IM</w:t>
      </w:r>
      <w:r w:rsidR="0066243B">
        <w:rPr>
          <w:rFonts w:ascii="Palatino Linotype" w:hAnsi="Palatino Linotype" w:eastAsia="Palatino Linotype" w:cs="Times New Roman"/>
          <w:kern w:val="0"/>
          <w14:ligatures w14:val="none"/>
        </w:rPr>
        <w:t>B</w:t>
      </w:r>
      <w:r w:rsidRPr="0073080A" w:rsidR="30568E66">
        <w:rPr>
          <w:rFonts w:ascii="Palatino Linotype" w:hAnsi="Palatino Linotype" w:eastAsia="Palatino Linotype" w:cs="Times New Roman"/>
          <w:kern w:val="0"/>
          <w14:ligatures w14:val="none"/>
        </w:rPr>
        <w:t>C e</w:t>
      </w:r>
      <w:r w:rsidRPr="0073080A" w:rsidR="001E2C30">
        <w:rPr>
          <w:rFonts w:ascii="Palatino Linotype" w:hAnsi="Palatino Linotype" w:eastAsia="Palatino Linotype" w:cs="Times New Roman"/>
          <w:kern w:val="0"/>
          <w14:ligatures w14:val="none"/>
        </w:rPr>
        <w:t>ncouraged and analyzed speed tests, developing a tool for regional analysis using external speed test servers.</w:t>
      </w:r>
    </w:p>
    <w:p w:rsidRPr="003D0039" w:rsidR="003D0039" w:rsidP="003D0039" w:rsidRDefault="003D0039" w14:paraId="57348F3F" w14:textId="77777777">
      <w:pPr>
        <w:contextualSpacing/>
        <w:rPr>
          <w:rFonts w:ascii="Palatino Linotype" w:hAnsi="Palatino Linotype" w:eastAsia="Palatino Linotype" w:cs="Times New Roman"/>
          <w:kern w:val="0"/>
          <w14:ligatures w14:val="none"/>
        </w:rPr>
      </w:pPr>
    </w:p>
    <w:p w:rsidRPr="003D0039" w:rsidR="003D0039" w:rsidP="003D0039" w:rsidRDefault="003D0039" w14:paraId="16683F9A" w14:textId="77777777">
      <w:pPr>
        <w:contextualSpacing/>
        <w:rPr>
          <w:rFonts w:ascii="Palatino Linotype" w:hAnsi="Palatino Linotype" w:eastAsia="Palatino Linotype" w:cs="Times New Roman"/>
          <w:i/>
          <w:iCs/>
          <w:kern w:val="0"/>
          <w14:ligatures w14:val="none"/>
        </w:rPr>
      </w:pPr>
      <w:r w:rsidRPr="003D0039">
        <w:rPr>
          <w:rFonts w:ascii="Palatino Linotype" w:hAnsi="Palatino Linotype" w:eastAsia="Palatino Linotype" w:cs="Times New Roman"/>
          <w:i/>
          <w:iCs/>
          <w:kern w:val="0"/>
          <w14:ligatures w14:val="none"/>
        </w:rPr>
        <w:t>Regional Consortium Representation and Endorsements</w:t>
      </w:r>
    </w:p>
    <w:p w:rsidRPr="003D0039" w:rsidR="003D0039" w:rsidP="003D0039" w:rsidRDefault="003D0039" w14:paraId="385CB703" w14:textId="24BAC149">
      <w:pPr>
        <w:contextualSpacing/>
        <w:rPr>
          <w:rFonts w:ascii="Palatino Linotype" w:hAnsi="Palatino Linotype" w:eastAsia="Palatino Linotype" w:cs="Times New Roman"/>
          <w:kern w:val="0"/>
          <w14:ligatures w14:val="none"/>
        </w:rPr>
      </w:pPr>
      <w:r w:rsidRPr="003D0039">
        <w:rPr>
          <w:rFonts w:ascii="Palatino Linotype" w:hAnsi="Palatino Linotype" w:eastAsia="Palatino Linotype" w:cs="Times New Roman"/>
          <w:kern w:val="0"/>
          <w14:ligatures w14:val="none"/>
        </w:rPr>
        <w:t>IMBC representation includes two officials each from Inyo</w:t>
      </w:r>
      <w:r w:rsidR="00826AA9">
        <w:rPr>
          <w:rFonts w:ascii="Palatino Linotype" w:hAnsi="Palatino Linotype" w:eastAsia="Palatino Linotype" w:cs="Times New Roman"/>
          <w:kern w:val="0"/>
          <w14:ligatures w14:val="none"/>
        </w:rPr>
        <w:t xml:space="preserve"> County</w:t>
      </w:r>
      <w:r w:rsidRPr="003D0039">
        <w:rPr>
          <w:rFonts w:ascii="Palatino Linotype" w:hAnsi="Palatino Linotype" w:eastAsia="Palatino Linotype" w:cs="Times New Roman"/>
          <w:kern w:val="0"/>
          <w14:ligatures w14:val="none"/>
        </w:rPr>
        <w:t xml:space="preserve">, Mono </w:t>
      </w:r>
      <w:r w:rsidR="001966A4">
        <w:rPr>
          <w:rFonts w:ascii="Palatino Linotype" w:hAnsi="Palatino Linotype" w:eastAsia="Palatino Linotype" w:cs="Times New Roman"/>
          <w:kern w:val="0"/>
          <w14:ligatures w14:val="none"/>
        </w:rPr>
        <w:t>C</w:t>
      </w:r>
      <w:r w:rsidRPr="003D0039">
        <w:rPr>
          <w:rFonts w:ascii="Palatino Linotype" w:hAnsi="Palatino Linotype" w:eastAsia="Palatino Linotype" w:cs="Times New Roman"/>
          <w:kern w:val="0"/>
          <w14:ligatures w14:val="none"/>
        </w:rPr>
        <w:t>ount</w:t>
      </w:r>
      <w:r w:rsidR="001966A4">
        <w:rPr>
          <w:rFonts w:ascii="Palatino Linotype" w:hAnsi="Palatino Linotype" w:eastAsia="Palatino Linotype" w:cs="Times New Roman"/>
          <w:kern w:val="0"/>
          <w14:ligatures w14:val="none"/>
        </w:rPr>
        <w:t>y</w:t>
      </w:r>
      <w:r w:rsidRPr="003D0039">
        <w:rPr>
          <w:rFonts w:ascii="Palatino Linotype" w:hAnsi="Palatino Linotype" w:eastAsia="Palatino Linotype" w:cs="Times New Roman"/>
          <w:kern w:val="0"/>
          <w14:ligatures w14:val="none"/>
        </w:rPr>
        <w:t xml:space="preserve">, the </w:t>
      </w:r>
      <w:r w:rsidR="00B276D4">
        <w:rPr>
          <w:rFonts w:ascii="Palatino Linotype" w:hAnsi="Palatino Linotype" w:eastAsia="Palatino Linotype" w:cs="Times New Roman"/>
          <w:kern w:val="0"/>
          <w14:ligatures w14:val="none"/>
        </w:rPr>
        <w:t>C</w:t>
      </w:r>
      <w:r w:rsidRPr="003D0039">
        <w:rPr>
          <w:rFonts w:ascii="Palatino Linotype" w:hAnsi="Palatino Linotype" w:eastAsia="Palatino Linotype" w:cs="Times New Roman"/>
          <w:kern w:val="0"/>
          <w14:ligatures w14:val="none"/>
        </w:rPr>
        <w:t xml:space="preserve">ity of Bishop, and the </w:t>
      </w:r>
      <w:r w:rsidR="001966A4">
        <w:rPr>
          <w:rFonts w:ascii="Palatino Linotype" w:hAnsi="Palatino Linotype" w:eastAsia="Palatino Linotype" w:cs="Times New Roman"/>
          <w:kern w:val="0"/>
          <w14:ligatures w14:val="none"/>
        </w:rPr>
        <w:t xml:space="preserve">Town </w:t>
      </w:r>
      <w:r w:rsidRPr="003D0039">
        <w:rPr>
          <w:rFonts w:ascii="Palatino Linotype" w:hAnsi="Palatino Linotype" w:eastAsia="Palatino Linotype" w:cs="Times New Roman"/>
          <w:kern w:val="0"/>
          <w14:ligatures w14:val="none"/>
        </w:rPr>
        <w:t>of Mammoth Lakes. IMBC received four endorsements from local governments</w:t>
      </w:r>
      <w:r w:rsidR="00274402">
        <w:rPr>
          <w:rFonts w:ascii="Palatino Linotype" w:hAnsi="Palatino Linotype" w:eastAsia="Palatino Linotype" w:cs="Times New Roman"/>
          <w:kern w:val="0"/>
          <w14:ligatures w14:val="none"/>
        </w:rPr>
        <w:t>.</w:t>
      </w:r>
    </w:p>
    <w:p w:rsidRPr="003D0039" w:rsidR="003D0039" w:rsidP="003D0039" w:rsidRDefault="003D0039" w14:paraId="57E5AD2E" w14:textId="77777777">
      <w:pPr>
        <w:contextualSpacing/>
        <w:rPr>
          <w:rFonts w:ascii="Palatino Linotype" w:hAnsi="Palatino Linotype" w:eastAsia="Palatino Linotype" w:cs="Times New Roman"/>
          <w:kern w:val="0"/>
          <w14:ligatures w14:val="none"/>
        </w:rPr>
      </w:pPr>
    </w:p>
    <w:p w:rsidRPr="003D0039" w:rsidR="003D0039" w:rsidP="003D0039" w:rsidRDefault="003D0039" w14:paraId="2131954E" w14:textId="77777777">
      <w:pPr>
        <w:contextualSpacing/>
        <w:rPr>
          <w:rFonts w:ascii="Palatino Linotype" w:hAnsi="Palatino Linotype" w:eastAsia="Palatino Linotype" w:cs="Times New Roman"/>
          <w:i/>
          <w:iCs/>
          <w:kern w:val="0"/>
          <w14:ligatures w14:val="none"/>
        </w:rPr>
      </w:pPr>
      <w:r w:rsidRPr="003D0039">
        <w:rPr>
          <w:rFonts w:ascii="Palatino Linotype" w:hAnsi="Palatino Linotype" w:eastAsia="Palatino Linotype" w:cs="Times New Roman"/>
          <w:i/>
          <w:iCs/>
          <w:kern w:val="0"/>
          <w14:ligatures w14:val="none"/>
        </w:rPr>
        <w:t>Regional Consortium Members’ Experience</w:t>
      </w:r>
    </w:p>
    <w:p w:rsidR="00F939D4" w:rsidP="003608AE" w:rsidRDefault="003D0039" w14:paraId="0B578D80" w14:textId="0F85609C">
      <w:pPr>
        <w:contextualSpacing/>
        <w:rPr>
          <w:rFonts w:ascii="Palatino Linotype" w:hAnsi="Palatino Linotype" w:eastAsia="Palatino Linotype" w:cs="Times New Roman"/>
          <w:kern w:val="0"/>
          <w14:ligatures w14:val="none"/>
        </w:rPr>
      </w:pPr>
      <w:r w:rsidRPr="003D0039">
        <w:rPr>
          <w:rFonts w:ascii="Palatino Linotype" w:hAnsi="Palatino Linotype" w:eastAsia="Palatino Linotype" w:cs="Times New Roman"/>
          <w:kern w:val="0"/>
          <w14:ligatures w14:val="none"/>
        </w:rPr>
        <w:lastRenderedPageBreak/>
        <w:t xml:space="preserve">IMBC and its members have experience with community groups and have demonstrated success in helping to achieve broadband deployment in the region.  They have also had success in building regional, collaborative </w:t>
      </w:r>
      <w:r w:rsidRPr="003D0039" w:rsidR="002E158E">
        <w:rPr>
          <w:rFonts w:ascii="Palatino Linotype" w:hAnsi="Palatino Linotype" w:eastAsia="Palatino Linotype" w:cs="Times New Roman"/>
          <w:kern w:val="0"/>
          <w14:ligatures w14:val="none"/>
        </w:rPr>
        <w:t>broadband</w:t>
      </w:r>
      <w:r w:rsidR="002E158E">
        <w:rPr>
          <w:rFonts w:ascii="Palatino Linotype" w:hAnsi="Palatino Linotype" w:eastAsia="Palatino Linotype" w:cs="Times New Roman"/>
          <w:kern w:val="0"/>
          <w14:ligatures w14:val="none"/>
        </w:rPr>
        <w:t>-related</w:t>
      </w:r>
      <w:r w:rsidRPr="003D0039">
        <w:rPr>
          <w:rFonts w:ascii="Palatino Linotype" w:hAnsi="Palatino Linotype" w:eastAsia="Palatino Linotype" w:cs="Times New Roman"/>
          <w:kern w:val="0"/>
          <w14:ligatures w14:val="none"/>
        </w:rPr>
        <w:t xml:space="preserve"> efforts.  </w:t>
      </w:r>
      <w:r w:rsidRPr="00C21336" w:rsidR="00C21336">
        <w:rPr>
          <w:rFonts w:ascii="Palatino Linotype" w:hAnsi="Palatino Linotype" w:eastAsia="Palatino Linotype" w:cs="Times New Roman"/>
          <w:kern w:val="0"/>
          <w14:ligatures w14:val="none"/>
        </w:rPr>
        <w:t>Most board members also served during the 2023-2026 IMBC cycle, giving them familiarity with the regional broadband implementation issues.</w:t>
      </w:r>
    </w:p>
    <w:p w:rsidR="00F939D4" w:rsidP="00EF399B" w:rsidRDefault="00F939D4" w14:paraId="6DCA6896" w14:textId="77777777">
      <w:pPr>
        <w:contextualSpacing/>
        <w:rPr>
          <w:rFonts w:ascii="Palatino Linotype" w:hAnsi="Palatino Linotype" w:eastAsia="Palatino Linotype" w:cs="Times New Roman"/>
          <w:kern w:val="0"/>
          <w14:ligatures w14:val="none"/>
        </w:rPr>
      </w:pPr>
    </w:p>
    <w:p w:rsidRPr="00AD1F24" w:rsidR="00AD1F24" w:rsidP="00AD1F24" w:rsidRDefault="00AD1F24" w14:paraId="47CE214B" w14:textId="77777777">
      <w:pPr>
        <w:contextualSpacing/>
        <w:rPr>
          <w:rFonts w:ascii="Palatino Linotype" w:hAnsi="Palatino Linotype" w:eastAsia="Palatino Linotype" w:cs="Times New Roman"/>
          <w:i/>
          <w:iCs/>
          <w:kern w:val="0"/>
          <w14:ligatures w14:val="none"/>
        </w:rPr>
      </w:pPr>
      <w:r w:rsidRPr="00AD1F24">
        <w:rPr>
          <w:rFonts w:ascii="Palatino Linotype" w:hAnsi="Palatino Linotype" w:eastAsia="Palatino Linotype" w:cs="Times New Roman"/>
          <w:i/>
          <w:iCs/>
          <w:kern w:val="0"/>
          <w14:ligatures w14:val="none"/>
        </w:rPr>
        <w:t>Work Plan and Performance Metrics Plan</w:t>
      </w:r>
    </w:p>
    <w:p w:rsidRPr="00AD1F24" w:rsidR="00AD1F24" w:rsidP="00AD1F24" w:rsidRDefault="00AD1F24" w14:paraId="2641E19E" w14:textId="15E52B76">
      <w:pPr>
        <w:contextualSpacing/>
        <w:rPr>
          <w:rFonts w:ascii="Palatino Linotype" w:hAnsi="Palatino Linotype" w:eastAsia="Palatino Linotype" w:cs="Times New Roman"/>
          <w:kern w:val="0"/>
          <w14:ligatures w14:val="none"/>
        </w:rPr>
      </w:pPr>
      <w:r w:rsidRPr="00AD1F24">
        <w:rPr>
          <w:rFonts w:ascii="Palatino Linotype" w:hAnsi="Palatino Linotype" w:eastAsia="Palatino Linotype" w:cs="Times New Roman"/>
          <w:kern w:val="0"/>
          <w14:ligatures w14:val="none"/>
        </w:rPr>
        <w:t xml:space="preserve">IMBC proposes a six-objective work plan aligned with SB 156 and AB 164. The work plan includes mapping and documenting priority areas, public engagement and outreach, maintaining a project management system, coordinating with ISPs and middle-mile access opportunities, supporting project development and grant applications, maintaining public-asset inventories and regional broadband strategies, conducting recurring speed-test activities, and carrying out a focus on </w:t>
      </w:r>
      <w:r w:rsidRPr="00AD1F24" w:rsidR="1D95130D">
        <w:rPr>
          <w:rFonts w:ascii="Palatino Linotype" w:hAnsi="Palatino Linotype" w:eastAsia="Palatino Linotype" w:cs="Times New Roman"/>
          <w:kern w:val="0"/>
          <w14:ligatures w14:val="none"/>
        </w:rPr>
        <w:t>Commission</w:t>
      </w:r>
      <w:r w:rsidRPr="00AD1F24">
        <w:rPr>
          <w:rFonts w:ascii="Palatino Linotype" w:hAnsi="Palatino Linotype" w:eastAsia="Palatino Linotype" w:cs="Times New Roman"/>
          <w:kern w:val="0"/>
          <w14:ligatures w14:val="none"/>
        </w:rPr>
        <w:t xml:space="preserve"> program outreach and a regional project opportunity pipeline. The proposed work plan is tailored to regional needs, supported by measurable deliverables and performance tracking through project management software, and structured to build on prior consortia work.</w:t>
      </w:r>
      <w:r w:rsidR="00AF7239">
        <w:rPr>
          <w:rFonts w:ascii="Palatino Linotype" w:hAnsi="Palatino Linotype" w:eastAsia="Palatino Linotype" w:cs="Times New Roman"/>
          <w:kern w:val="0"/>
          <w14:ligatures w14:val="none"/>
        </w:rPr>
        <w:t xml:space="preserve"> </w:t>
      </w:r>
      <w:r w:rsidRPr="00AD1F24">
        <w:rPr>
          <w:rFonts w:ascii="Palatino Linotype" w:hAnsi="Palatino Linotype" w:eastAsia="Palatino Linotype" w:cs="Times New Roman"/>
          <w:kern w:val="0"/>
          <w14:ligatures w14:val="none"/>
        </w:rPr>
        <w:t>IMBC’s Work Plan and Performance Metrics Plan are directly related to SB 156 and AB 164 goals and objectives, and consistent with program requirements defined in D.25-11-003.</w:t>
      </w:r>
    </w:p>
    <w:p w:rsidRPr="00AD1F24" w:rsidR="00AD1F24" w:rsidP="00AD1F24" w:rsidRDefault="00AD1F24" w14:paraId="487925E4" w14:textId="77777777">
      <w:pPr>
        <w:contextualSpacing/>
        <w:rPr>
          <w:rFonts w:ascii="Palatino Linotype" w:hAnsi="Palatino Linotype" w:eastAsia="Palatino Linotype" w:cs="Times New Roman"/>
          <w:kern w:val="0"/>
          <w14:ligatures w14:val="none"/>
        </w:rPr>
      </w:pPr>
    </w:p>
    <w:p w:rsidRPr="00AD1F24" w:rsidR="00AD1F24" w:rsidP="00AD1F24" w:rsidRDefault="00AD1F24" w14:paraId="6AAF7E35" w14:textId="77777777">
      <w:pPr>
        <w:contextualSpacing/>
        <w:rPr>
          <w:rFonts w:ascii="Palatino Linotype" w:hAnsi="Palatino Linotype" w:eastAsia="Palatino Linotype" w:cs="Times New Roman"/>
          <w:i/>
          <w:iCs/>
          <w:kern w:val="0"/>
          <w14:ligatures w14:val="none"/>
        </w:rPr>
      </w:pPr>
      <w:r w:rsidRPr="00AD1F24">
        <w:rPr>
          <w:rFonts w:ascii="Palatino Linotype" w:hAnsi="Palatino Linotype" w:eastAsia="Palatino Linotype" w:cs="Times New Roman"/>
          <w:i/>
          <w:iCs/>
          <w:kern w:val="0"/>
          <w14:ligatures w14:val="none"/>
        </w:rPr>
        <w:t>Budget</w:t>
      </w:r>
    </w:p>
    <w:p w:rsidR="00F939D4" w:rsidP="00AD1F24" w:rsidRDefault="00AD1F24" w14:paraId="741CEC61" w14:textId="37CF5138">
      <w:pPr>
        <w:contextualSpacing/>
        <w:rPr>
          <w:rFonts w:ascii="Palatino Linotype" w:hAnsi="Palatino Linotype" w:eastAsia="Palatino Linotype" w:cs="Times New Roman"/>
          <w:kern w:val="0"/>
          <w14:ligatures w14:val="none"/>
        </w:rPr>
      </w:pPr>
      <w:r w:rsidRPr="00AD1F24">
        <w:rPr>
          <w:rFonts w:ascii="Palatino Linotype" w:hAnsi="Palatino Linotype" w:eastAsia="Palatino Linotype" w:cs="Times New Roman"/>
          <w:kern w:val="0"/>
          <w14:ligatures w14:val="none"/>
        </w:rPr>
        <w:t xml:space="preserve">IMBC requests $600,000 for a three-year grant.  Of its total budget, IMBC allocates approximately 18.5% to conduct marketing/outreach and develop strategies (Objective 1), 43% to assist in developing CASF infrastructure applications (Objectives 2, 3, and 4), 13% to assist in publicizing wireline testing requests (Objective 5), 18% </w:t>
      </w:r>
      <w:r w:rsidR="00C771FD">
        <w:rPr>
          <w:rFonts w:ascii="Palatino Linotype" w:hAnsi="Palatino Linotype" w:eastAsia="Palatino Linotype" w:cs="Times New Roman"/>
          <w:kern w:val="0"/>
          <w14:ligatures w14:val="none"/>
        </w:rPr>
        <w:t xml:space="preserve">to assist </w:t>
      </w:r>
      <w:r w:rsidR="004D4D96">
        <w:rPr>
          <w:rFonts w:ascii="Palatino Linotype" w:hAnsi="Palatino Linotype" w:eastAsia="Palatino Linotype" w:cs="Times New Roman"/>
          <w:kern w:val="0"/>
          <w14:ligatures w14:val="none"/>
        </w:rPr>
        <w:t>in promoting broadband dep</w:t>
      </w:r>
      <w:r w:rsidR="00AE0731">
        <w:rPr>
          <w:rFonts w:ascii="Palatino Linotype" w:hAnsi="Palatino Linotype" w:eastAsia="Palatino Linotype" w:cs="Times New Roman"/>
          <w:kern w:val="0"/>
          <w14:ligatures w14:val="none"/>
        </w:rPr>
        <w:t>loyment in California</w:t>
      </w:r>
      <w:r w:rsidRPr="00AD1F24" w:rsidR="00C771FD">
        <w:rPr>
          <w:rFonts w:ascii="Palatino Linotype" w:hAnsi="Palatino Linotype" w:eastAsia="Palatino Linotype" w:cs="Times New Roman"/>
          <w:kern w:val="0"/>
          <w14:ligatures w14:val="none"/>
        </w:rPr>
        <w:t xml:space="preserve"> </w:t>
      </w:r>
      <w:r w:rsidR="00AE0731">
        <w:rPr>
          <w:rFonts w:ascii="Palatino Linotype" w:hAnsi="Palatino Linotype" w:eastAsia="Palatino Linotype" w:cs="Times New Roman"/>
          <w:kern w:val="0"/>
          <w14:ligatures w14:val="none"/>
        </w:rPr>
        <w:t>(</w:t>
      </w:r>
      <w:r w:rsidRPr="00AD1F24">
        <w:rPr>
          <w:rFonts w:ascii="Palatino Linotype" w:hAnsi="Palatino Linotype" w:eastAsia="Palatino Linotype" w:cs="Times New Roman"/>
          <w:kern w:val="0"/>
          <w14:ligatures w14:val="none"/>
        </w:rPr>
        <w:t>Objective 6</w:t>
      </w:r>
      <w:r w:rsidR="00AE0731">
        <w:rPr>
          <w:rFonts w:ascii="Palatino Linotype" w:hAnsi="Palatino Linotype" w:eastAsia="Palatino Linotype" w:cs="Times New Roman"/>
          <w:kern w:val="0"/>
          <w14:ligatures w14:val="none"/>
        </w:rPr>
        <w:t>)</w:t>
      </w:r>
      <w:r w:rsidRPr="00AD1F24">
        <w:rPr>
          <w:rFonts w:ascii="Palatino Linotype" w:hAnsi="Palatino Linotype" w:eastAsia="Palatino Linotype" w:cs="Times New Roman"/>
          <w:kern w:val="0"/>
          <w14:ligatures w14:val="none"/>
        </w:rPr>
        <w:t xml:space="preserve">, and 7.5% </w:t>
      </w:r>
      <w:r w:rsidRPr="000A0A18" w:rsidR="000A0A18">
        <w:rPr>
          <w:rFonts w:ascii="Palatino Linotype" w:hAnsi="Palatino Linotype" w:eastAsia="Palatino Linotype" w:cs="Times New Roman"/>
          <w:kern w:val="0"/>
          <w14:ligatures w14:val="none"/>
        </w:rPr>
        <w:t>for conducting and submitting the annual audit report</w:t>
      </w:r>
      <w:r w:rsidR="00725A66">
        <w:rPr>
          <w:rFonts w:ascii="Palatino Linotype" w:hAnsi="Palatino Linotype" w:eastAsia="Palatino Linotype" w:cs="Times New Roman"/>
          <w:kern w:val="0"/>
          <w14:ligatures w14:val="none"/>
        </w:rPr>
        <w:t>s</w:t>
      </w:r>
      <w:r w:rsidRPr="00AD1F24">
        <w:rPr>
          <w:rFonts w:ascii="Palatino Linotype" w:hAnsi="Palatino Linotype" w:eastAsia="Palatino Linotype" w:cs="Times New Roman"/>
          <w:kern w:val="0"/>
          <w14:ligatures w14:val="none"/>
        </w:rPr>
        <w:t>. IMBC’s budget is cost-effective and consistent with budget requirements defined in D.25-11-003.</w:t>
      </w:r>
    </w:p>
    <w:p w:rsidR="00F939D4" w:rsidP="00EF399B" w:rsidRDefault="00F939D4" w14:paraId="215209CD" w14:textId="77777777">
      <w:pPr>
        <w:contextualSpacing/>
        <w:rPr>
          <w:rFonts w:ascii="Palatino Linotype" w:hAnsi="Palatino Linotype" w:eastAsia="Palatino Linotype" w:cs="Times New Roman"/>
          <w:kern w:val="0"/>
          <w14:ligatures w14:val="none"/>
        </w:rPr>
      </w:pPr>
    </w:p>
    <w:p w:rsidR="00A65FDD" w:rsidP="00A65FDD" w:rsidRDefault="00A65FDD" w14:paraId="02A746D2" w14:textId="77777777">
      <w:pPr>
        <w:contextualSpacing/>
        <w:rPr>
          <w:rFonts w:ascii="Palatino Linotype" w:hAnsi="Palatino Linotype" w:eastAsia="Palatino Linotype" w:cs="Times New Roman"/>
          <w:kern w:val="0"/>
          <w14:ligatures w14:val="none"/>
        </w:rPr>
      </w:pPr>
    </w:p>
    <w:p w:rsidRPr="00375FBF" w:rsidR="00A65FDD" w:rsidP="00A65FDD" w:rsidRDefault="00A65FDD" w14:paraId="665493FE" w14:textId="49D62981">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r w:rsidR="00A22C80">
        <w:rPr>
          <w:rFonts w:ascii="Palatino Linotype" w:hAnsi="Palatino Linotype" w:eastAsia="Palatino Linotype" w:cs="Times New Roman"/>
          <w:b/>
          <w:bCs/>
          <w:kern w:val="0"/>
          <w14:ligatures w14:val="none"/>
        </w:rPr>
        <w:t>6</w:t>
      </w:r>
      <w:r w:rsidRPr="00375FBF">
        <w:rPr>
          <w:rFonts w:ascii="Palatino Linotype" w:hAnsi="Palatino Linotype" w:eastAsia="Palatino Linotype" w:cs="Times New Roman"/>
          <w:b/>
          <w:bCs/>
          <w:kern w:val="0"/>
          <w14:ligatures w14:val="none"/>
        </w:rPr>
        <w:t xml:space="preserve">. </w:t>
      </w:r>
      <w:r w:rsidRPr="00573AFF">
        <w:rPr>
          <w:rFonts w:ascii="Palatino Linotype" w:hAnsi="Palatino Linotype" w:eastAsia="Palatino Linotype" w:cs="Palatino Linotype"/>
          <w:b/>
          <w:bCs/>
        </w:rPr>
        <w:t>Los Angeles Digital Equity Action League Consortium (LA DEAL)</w:t>
      </w:r>
    </w:p>
    <w:p w:rsidR="00A65FDD" w:rsidP="00A65FDD" w:rsidRDefault="00A65FDD" w14:paraId="55BE6FD6" w14:textId="77777777">
      <w:pPr>
        <w:contextualSpacing/>
        <w:rPr>
          <w:rFonts w:ascii="Palatino Linotype" w:hAnsi="Palatino Linotype" w:eastAsia="Palatino Linotype" w:cs="Times New Roman"/>
          <w:kern w:val="0"/>
          <w14:ligatures w14:val="none"/>
        </w:rPr>
      </w:pPr>
    </w:p>
    <w:p w:rsidRPr="004239DC" w:rsidR="00A65FDD" w:rsidP="00A65FDD" w:rsidRDefault="00A65FDD" w14:paraId="05D53931" w14:textId="77777777">
      <w:pPr>
        <w:contextualSpacing/>
        <w:rPr>
          <w:rFonts w:ascii="Palatino Linotype" w:hAnsi="Palatino Linotype" w:eastAsia="Palatino Linotype" w:cs="Times New Roman"/>
          <w:i/>
          <w:iCs/>
          <w:kern w:val="0"/>
          <w14:ligatures w14:val="none"/>
        </w:rPr>
      </w:pPr>
      <w:r w:rsidRPr="004239DC">
        <w:rPr>
          <w:rFonts w:ascii="Palatino Linotype" w:hAnsi="Palatino Linotype" w:eastAsia="Palatino Linotype" w:cs="Times New Roman"/>
          <w:i/>
          <w:iCs/>
          <w:kern w:val="0"/>
          <w14:ligatures w14:val="none"/>
        </w:rPr>
        <w:t xml:space="preserve">Applicant </w:t>
      </w:r>
    </w:p>
    <w:p w:rsidRPr="004239DC" w:rsidR="00A65FDD" w:rsidP="00506D42" w:rsidRDefault="00A65FDD" w14:paraId="5FFFB51C" w14:textId="2CD82E6F">
      <w:pPr>
        <w:rPr>
          <w:rFonts w:ascii="Palatino Linotype" w:hAnsi="Palatino Linotype" w:eastAsia="Palatino Linotype" w:cs="Times New Roman"/>
        </w:rPr>
      </w:pPr>
      <w:r w:rsidRPr="004239DC">
        <w:rPr>
          <w:rFonts w:ascii="Palatino Linotype" w:hAnsi="Palatino Linotype" w:eastAsia="Palatino Linotype" w:cs="Times New Roman"/>
          <w:kern w:val="0"/>
          <w14:ligatures w14:val="none"/>
        </w:rPr>
        <w:t>The LA DEAL Consortium represents Los Angeles County, consisting of the following five subregions:  San Fernando Valley/Santa Clarita, Antelope Valley, San Gabriel Valley, South Bay</w:t>
      </w:r>
      <w:r>
        <w:rPr>
          <w:rFonts w:ascii="Palatino Linotype" w:hAnsi="Palatino Linotype" w:eastAsia="Palatino Linotype" w:cs="Times New Roman"/>
          <w:kern w:val="0"/>
          <w14:ligatures w14:val="none"/>
        </w:rPr>
        <w:t xml:space="preserve">, </w:t>
      </w:r>
      <w:r w:rsidRPr="004239DC">
        <w:rPr>
          <w:rFonts w:ascii="Palatino Linotype" w:hAnsi="Palatino Linotype" w:eastAsia="Palatino Linotype" w:cs="Times New Roman"/>
          <w:kern w:val="0"/>
          <w14:ligatures w14:val="none"/>
        </w:rPr>
        <w:t>Gateway Cities, and Central/West Los Angeles.</w:t>
      </w:r>
      <w:r>
        <w:rPr>
          <w:rFonts w:ascii="Palatino Linotype" w:hAnsi="Palatino Linotype" w:eastAsia="Palatino Linotype" w:cs="Times New Roman"/>
          <w:kern w:val="0"/>
          <w14:ligatures w14:val="none"/>
        </w:rPr>
        <w:t xml:space="preserve"> </w:t>
      </w:r>
      <w:r w:rsidRPr="004239DC">
        <w:rPr>
          <w:rFonts w:ascii="Palatino Linotype" w:hAnsi="Palatino Linotype" w:eastAsia="Palatino Linotype" w:cs="Times New Roman"/>
          <w:kern w:val="0"/>
          <w14:ligatures w14:val="none"/>
        </w:rPr>
        <w:t xml:space="preserve">LA DEAL </w:t>
      </w:r>
      <w:r w:rsidRPr="004239DC" w:rsidR="00F53C92">
        <w:rPr>
          <w:rFonts w:ascii="Palatino Linotype" w:hAnsi="Palatino Linotype" w:eastAsia="Palatino Linotype" w:cs="Times New Roman"/>
          <w:kern w:val="0"/>
          <w14:ligatures w14:val="none"/>
        </w:rPr>
        <w:t>received approval</w:t>
      </w:r>
      <w:r w:rsidRPr="004239DC">
        <w:rPr>
          <w:rFonts w:ascii="Palatino Linotype" w:hAnsi="Palatino Linotype" w:eastAsia="Palatino Linotype" w:cs="Times New Roman"/>
          <w:kern w:val="0"/>
          <w14:ligatures w14:val="none"/>
        </w:rPr>
        <w:t xml:space="preserve"> for a $300,000 Consortia Account grant in August 2021 (Resolution T-17738) as well as $600,000 in January 2023 (Resolution T-17778). </w:t>
      </w:r>
      <w:r w:rsidRPr="008C386F">
        <w:rPr>
          <w:rFonts w:ascii="Palatino Linotype" w:hAnsi="Palatino Linotype" w:eastAsia="Palatino Linotype" w:cs="Palatino Linotype"/>
        </w:rPr>
        <w:t xml:space="preserve">Funding granted </w:t>
      </w:r>
      <w:r w:rsidRPr="2FB20F05" w:rsidR="3F785083">
        <w:rPr>
          <w:rFonts w:ascii="Palatino Linotype" w:hAnsi="Palatino Linotype" w:eastAsia="Palatino Linotype" w:cs="Times New Roman"/>
        </w:rPr>
        <w:t>to</w:t>
      </w:r>
      <w:r w:rsidRPr="008C386F">
        <w:rPr>
          <w:rFonts w:ascii="Palatino Linotype" w:hAnsi="Palatino Linotype" w:eastAsia="Palatino Linotype" w:cs="Palatino Linotype"/>
        </w:rPr>
        <w:t xml:space="preserve"> </w:t>
      </w:r>
      <w:r w:rsidRPr="004239DC">
        <w:rPr>
          <w:rFonts w:ascii="Palatino Linotype" w:hAnsi="Palatino Linotype" w:eastAsia="Palatino Linotype" w:cs="Times New Roman"/>
          <w:kern w:val="0"/>
          <w14:ligatures w14:val="none"/>
        </w:rPr>
        <w:t>LA DEAL</w:t>
      </w:r>
      <w:r w:rsidRPr="008C386F">
        <w:rPr>
          <w:rFonts w:ascii="Palatino Linotype" w:hAnsi="Palatino Linotype" w:eastAsia="Palatino Linotype" w:cs="Palatino Linotype"/>
        </w:rPr>
        <w:t xml:space="preserve"> in Resolution T-17778 conclude</w:t>
      </w:r>
      <w:r>
        <w:rPr>
          <w:rFonts w:ascii="Palatino Linotype" w:hAnsi="Palatino Linotype" w:eastAsia="Palatino Linotype" w:cs="Palatino Linotype"/>
        </w:rPr>
        <w:t>d</w:t>
      </w:r>
      <w:r w:rsidRPr="008C386F">
        <w:rPr>
          <w:rFonts w:ascii="Palatino Linotype" w:hAnsi="Palatino Linotype" w:eastAsia="Palatino Linotype" w:cs="Palatino Linotype"/>
        </w:rPr>
        <w:t xml:space="preserve"> on </w:t>
      </w:r>
      <w:r w:rsidRPr="005147FA">
        <w:rPr>
          <w:rFonts w:ascii="Palatino Linotype" w:hAnsi="Palatino Linotype" w:eastAsia="Palatino Linotype" w:cs="Times New Roman"/>
          <w:kern w:val="0"/>
          <w14:ligatures w14:val="none"/>
        </w:rPr>
        <w:t>January 30, 2026</w:t>
      </w:r>
      <w:r w:rsidRPr="008C386F">
        <w:rPr>
          <w:rFonts w:ascii="Palatino Linotype" w:hAnsi="Palatino Linotype" w:eastAsia="Palatino Linotype" w:cs="Palatino Linotype"/>
        </w:rPr>
        <w:t>.</w:t>
      </w:r>
    </w:p>
    <w:p w:rsidRPr="004239DC" w:rsidR="00A65FDD" w:rsidP="00A65FDD" w:rsidRDefault="00A65FDD" w14:paraId="6FD3E8BB" w14:textId="77777777">
      <w:pPr>
        <w:contextualSpacing/>
        <w:rPr>
          <w:rFonts w:ascii="Palatino Linotype" w:hAnsi="Palatino Linotype" w:eastAsia="Palatino Linotype" w:cs="Times New Roman"/>
          <w:kern w:val="0"/>
          <w14:ligatures w14:val="none"/>
        </w:rPr>
      </w:pPr>
    </w:p>
    <w:p w:rsidRPr="004239DC" w:rsidR="00A65FDD" w:rsidP="00A65FDD" w:rsidRDefault="00A65FDD" w14:paraId="2F944DEA" w14:textId="77777777">
      <w:pPr>
        <w:contextualSpacing/>
        <w:rPr>
          <w:rFonts w:ascii="Palatino Linotype" w:hAnsi="Palatino Linotype" w:eastAsia="Palatino Linotype" w:cs="Times New Roman"/>
          <w:i/>
          <w:iCs/>
          <w:kern w:val="0"/>
          <w14:ligatures w14:val="none"/>
        </w:rPr>
      </w:pPr>
      <w:r w:rsidRPr="004239DC">
        <w:rPr>
          <w:rFonts w:ascii="Palatino Linotype" w:hAnsi="Palatino Linotype" w:eastAsia="Palatino Linotype" w:cs="Times New Roman"/>
          <w:i/>
          <w:iCs/>
          <w:kern w:val="0"/>
          <w14:ligatures w14:val="none"/>
        </w:rPr>
        <w:lastRenderedPageBreak/>
        <w:t>Past CASF Project Performance</w:t>
      </w:r>
    </w:p>
    <w:p w:rsidR="00A4307B" w:rsidP="00A65FDD" w:rsidRDefault="00B30AAE" w14:paraId="3158E99B" w14:textId="4F1F1932">
      <w:pPr>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This s</w:t>
      </w:r>
      <w:r w:rsidRPr="00312D58">
        <w:rPr>
          <w:rFonts w:ascii="Palatino Linotype" w:hAnsi="Palatino Linotype" w:eastAsia="Palatino Linotype" w:cs="Times New Roman"/>
          <w:kern w:val="0"/>
          <w14:ligatures w14:val="none"/>
        </w:rPr>
        <w:t xml:space="preserve">ummary of past CASF project performance is based on applicant-provided materials and staff program </w:t>
      </w:r>
      <w:proofErr w:type="gramStart"/>
      <w:r w:rsidRPr="00A4307B">
        <w:rPr>
          <w:rFonts w:ascii="Palatino Linotype" w:hAnsi="Palatino Linotype" w:eastAsia="Palatino Linotype" w:cs="Times New Roman"/>
          <w:kern w:val="0"/>
          <w14:ligatures w14:val="none"/>
        </w:rPr>
        <w:t>records</w:t>
      </w:r>
      <w:r>
        <w:rPr>
          <w:rFonts w:ascii="Palatino Linotype" w:hAnsi="Palatino Linotype" w:eastAsia="Palatino Linotype" w:cs="Times New Roman"/>
          <w:kern w:val="0"/>
          <w14:ligatures w14:val="none"/>
        </w:rPr>
        <w:t>,</w:t>
      </w:r>
      <w:r w:rsidRPr="00A4307B">
        <w:rPr>
          <w:rFonts w:ascii="Palatino Linotype" w:hAnsi="Palatino Linotype" w:eastAsia="Palatino Linotype" w:cs="Times New Roman"/>
          <w:kern w:val="0"/>
          <w14:ligatures w14:val="none"/>
        </w:rPr>
        <w:t xml:space="preserve"> and</w:t>
      </w:r>
      <w:proofErr w:type="gramEnd"/>
      <w:r w:rsidRPr="00312D58">
        <w:rPr>
          <w:rFonts w:ascii="Palatino Linotype" w:hAnsi="Palatino Linotype" w:eastAsia="Palatino Linotype" w:cs="Times New Roman"/>
          <w:kern w:val="0"/>
          <w14:ligatures w14:val="none"/>
        </w:rPr>
        <w:t xml:space="preserve"> should not be understood as independent verification of every statement summarized</w:t>
      </w:r>
      <w:r>
        <w:rPr>
          <w:rFonts w:ascii="Palatino Linotype" w:hAnsi="Palatino Linotype" w:eastAsia="Palatino Linotype" w:cs="Times New Roman"/>
          <w:kern w:val="0"/>
          <w14:ligatures w14:val="none"/>
        </w:rPr>
        <w:t xml:space="preserve"> below</w:t>
      </w:r>
      <w:r w:rsidRPr="00312D58">
        <w:rPr>
          <w:rFonts w:ascii="Palatino Linotype" w:hAnsi="Palatino Linotype" w:eastAsia="Palatino Linotype" w:cs="Times New Roman"/>
          <w:kern w:val="0"/>
          <w14:ligatures w14:val="none"/>
        </w:rPr>
        <w:t>.</w:t>
      </w:r>
    </w:p>
    <w:p w:rsidR="00B30AAE" w:rsidP="00A65FDD" w:rsidRDefault="00B30AAE" w14:paraId="4BEBB46F" w14:textId="77777777">
      <w:pPr>
        <w:contextualSpacing/>
        <w:rPr>
          <w:rFonts w:ascii="Palatino Linotype" w:hAnsi="Palatino Linotype" w:eastAsia="Palatino Linotype" w:cs="Times New Roman"/>
          <w:b/>
          <w:bCs/>
          <w:kern w:val="0"/>
          <w14:ligatures w14:val="none"/>
        </w:rPr>
      </w:pPr>
    </w:p>
    <w:p w:rsidR="00A65FDD" w:rsidP="00A65FDD" w:rsidRDefault="00A65FDD" w14:paraId="677DC6C6" w14:textId="7C7A2366">
      <w:pPr>
        <w:contextualSpacing/>
        <w:rPr>
          <w:rFonts w:ascii="Palatino Linotype" w:hAnsi="Palatino Linotype" w:eastAsia="Palatino Linotype" w:cs="Times New Roman"/>
          <w:kern w:val="0"/>
          <w14:ligatures w14:val="none"/>
        </w:rPr>
      </w:pPr>
      <w:r w:rsidRPr="004239DC">
        <w:rPr>
          <w:rFonts w:ascii="Palatino Linotype" w:hAnsi="Palatino Linotype" w:eastAsia="Palatino Linotype" w:cs="Times New Roman"/>
          <w:kern w:val="0"/>
          <w14:ligatures w14:val="none"/>
        </w:rPr>
        <w:t>LA DEAL</w:t>
      </w:r>
      <w:r w:rsidR="00A02558">
        <w:rPr>
          <w:rFonts w:ascii="Palatino Linotype" w:hAnsi="Palatino Linotype" w:eastAsia="Palatino Linotype" w:cs="Times New Roman"/>
          <w:kern w:val="0"/>
          <w14:ligatures w14:val="none"/>
        </w:rPr>
        <w:t xml:space="preserve"> reported that it</w:t>
      </w:r>
      <w:r w:rsidRPr="004239DC">
        <w:rPr>
          <w:rFonts w:ascii="Palatino Linotype" w:hAnsi="Palatino Linotype" w:eastAsia="Palatino Linotype" w:cs="Times New Roman"/>
          <w:kern w:val="0"/>
          <w14:ligatures w14:val="none"/>
        </w:rPr>
        <w:t xml:space="preserve"> has convened a cross-sector coalition of more than 300 stakeholders and helped create multiple broadband project pipelines. </w:t>
      </w:r>
      <w:r w:rsidR="00BA69EF">
        <w:rPr>
          <w:rFonts w:ascii="Palatino Linotype" w:hAnsi="Palatino Linotype" w:eastAsia="Palatino Linotype" w:cs="Times New Roman"/>
          <w:kern w:val="0"/>
          <w14:ligatures w14:val="none"/>
        </w:rPr>
        <w:t xml:space="preserve">LA DEAL </w:t>
      </w:r>
      <w:r w:rsidRPr="004239DC">
        <w:rPr>
          <w:rFonts w:ascii="Palatino Linotype" w:hAnsi="Palatino Linotype" w:eastAsia="Palatino Linotype" w:cs="Times New Roman"/>
          <w:kern w:val="0"/>
          <w14:ligatures w14:val="none"/>
        </w:rPr>
        <w:t>support</w:t>
      </w:r>
      <w:r w:rsidR="00BA69EF">
        <w:rPr>
          <w:rFonts w:ascii="Palatino Linotype" w:hAnsi="Palatino Linotype" w:eastAsia="Palatino Linotype" w:cs="Times New Roman"/>
          <w:kern w:val="0"/>
          <w14:ligatures w14:val="none"/>
        </w:rPr>
        <w:t>ed</w:t>
      </w:r>
      <w:r w:rsidRPr="004239DC">
        <w:rPr>
          <w:rFonts w:ascii="Palatino Linotype" w:hAnsi="Palatino Linotype" w:eastAsia="Palatino Linotype" w:cs="Times New Roman"/>
          <w:kern w:val="0"/>
          <w14:ligatures w14:val="none"/>
        </w:rPr>
        <w:t xml:space="preserve"> </w:t>
      </w:r>
      <w:r w:rsidRPr="004239DC" w:rsidR="625B9555">
        <w:rPr>
          <w:rFonts w:ascii="Palatino Linotype" w:hAnsi="Palatino Linotype" w:eastAsia="Palatino Linotype" w:cs="Times New Roman"/>
          <w:kern w:val="0"/>
          <w14:ligatures w14:val="none"/>
        </w:rPr>
        <w:t>LATA</w:t>
      </w:r>
      <w:r w:rsidRPr="004239DC">
        <w:rPr>
          <w:rFonts w:ascii="Palatino Linotype" w:hAnsi="Palatino Linotype" w:eastAsia="Palatino Linotype" w:cs="Times New Roman"/>
          <w:kern w:val="0"/>
          <w14:ligatures w14:val="none"/>
        </w:rPr>
        <w:t xml:space="preserve"> grants across Los Angeles County; develop</w:t>
      </w:r>
      <w:r w:rsidR="00BA69EF">
        <w:rPr>
          <w:rFonts w:ascii="Palatino Linotype" w:hAnsi="Palatino Linotype" w:eastAsia="Palatino Linotype" w:cs="Times New Roman"/>
          <w:kern w:val="0"/>
          <w14:ligatures w14:val="none"/>
        </w:rPr>
        <w:t>ed</w:t>
      </w:r>
      <w:r w:rsidRPr="004239DC">
        <w:rPr>
          <w:rFonts w:ascii="Palatino Linotype" w:hAnsi="Palatino Linotype" w:eastAsia="Palatino Linotype" w:cs="Times New Roman"/>
          <w:kern w:val="0"/>
          <w14:ligatures w14:val="none"/>
        </w:rPr>
        <w:t xml:space="preserve"> a Digital Distress Heat Map and data dashboard to help guide broadband investment decisions; coordinat</w:t>
      </w:r>
      <w:r w:rsidR="00BA69EF">
        <w:rPr>
          <w:rFonts w:ascii="Palatino Linotype" w:hAnsi="Palatino Linotype" w:eastAsia="Palatino Linotype" w:cs="Times New Roman"/>
          <w:kern w:val="0"/>
          <w14:ligatures w14:val="none"/>
        </w:rPr>
        <w:t>ed</w:t>
      </w:r>
      <w:r w:rsidRPr="004239DC">
        <w:rPr>
          <w:rFonts w:ascii="Palatino Linotype" w:hAnsi="Palatino Linotype" w:eastAsia="Palatino Linotype" w:cs="Times New Roman"/>
          <w:kern w:val="0"/>
          <w14:ligatures w14:val="none"/>
        </w:rPr>
        <w:t xml:space="preserve"> with the State on middle-mile planning; facilitat</w:t>
      </w:r>
      <w:r w:rsidR="00BA69EF">
        <w:rPr>
          <w:rFonts w:ascii="Palatino Linotype" w:hAnsi="Palatino Linotype" w:eastAsia="Palatino Linotype" w:cs="Times New Roman"/>
          <w:kern w:val="0"/>
          <w14:ligatures w14:val="none"/>
        </w:rPr>
        <w:t>ed</w:t>
      </w:r>
      <w:r w:rsidRPr="004239DC">
        <w:rPr>
          <w:rFonts w:ascii="Palatino Linotype" w:hAnsi="Palatino Linotype" w:eastAsia="Palatino Linotype" w:cs="Times New Roman"/>
          <w:kern w:val="0"/>
          <w14:ligatures w14:val="none"/>
        </w:rPr>
        <w:t xml:space="preserve"> municipal broadband permitting best-practice trainings; support</w:t>
      </w:r>
      <w:r w:rsidR="00BA69EF">
        <w:rPr>
          <w:rFonts w:ascii="Palatino Linotype" w:hAnsi="Palatino Linotype" w:eastAsia="Palatino Linotype" w:cs="Times New Roman"/>
          <w:kern w:val="0"/>
          <w14:ligatures w14:val="none"/>
        </w:rPr>
        <w:t>ed</w:t>
      </w:r>
      <w:r w:rsidRPr="004239DC">
        <w:rPr>
          <w:rFonts w:ascii="Palatino Linotype" w:hAnsi="Palatino Linotype" w:eastAsia="Palatino Linotype" w:cs="Times New Roman"/>
          <w:kern w:val="0"/>
          <w14:ligatures w14:val="none"/>
        </w:rPr>
        <w:t xml:space="preserve"> the launch of the Destination Crenshaw Wi-Fi Network; and assist</w:t>
      </w:r>
      <w:r w:rsidR="00BA69EF">
        <w:rPr>
          <w:rFonts w:ascii="Palatino Linotype" w:hAnsi="Palatino Linotype" w:eastAsia="Palatino Linotype" w:cs="Times New Roman"/>
          <w:kern w:val="0"/>
          <w14:ligatures w14:val="none"/>
        </w:rPr>
        <w:t>ed</w:t>
      </w:r>
      <w:r w:rsidRPr="004239DC">
        <w:rPr>
          <w:rFonts w:ascii="Palatino Linotype" w:hAnsi="Palatino Linotype" w:eastAsia="Palatino Linotype" w:cs="Times New Roman"/>
          <w:kern w:val="0"/>
          <w14:ligatures w14:val="none"/>
        </w:rPr>
        <w:t xml:space="preserve"> development of a CASF Broadband Infrastructure grant application for Antelope Acres that would connect approximately 1,000 residents with fiber-to-the-home service. </w:t>
      </w:r>
      <w:r>
        <w:rPr>
          <w:rFonts w:ascii="Palatino Linotype" w:hAnsi="Palatino Linotype" w:eastAsia="Palatino Linotype" w:cs="Times New Roman"/>
          <w:kern w:val="0"/>
          <w14:ligatures w14:val="none"/>
        </w:rPr>
        <w:t xml:space="preserve"> </w:t>
      </w:r>
    </w:p>
    <w:p w:rsidR="00A65FDD" w:rsidP="00A65FDD" w:rsidRDefault="00A65FDD" w14:paraId="5F3F7FAE" w14:textId="77777777">
      <w:pPr>
        <w:contextualSpacing/>
        <w:rPr>
          <w:rFonts w:ascii="Palatino Linotype" w:hAnsi="Palatino Linotype" w:eastAsia="Palatino Linotype" w:cs="Times New Roman"/>
          <w:kern w:val="0"/>
          <w14:ligatures w14:val="none"/>
        </w:rPr>
      </w:pPr>
    </w:p>
    <w:p w:rsidRPr="004239DC" w:rsidR="00A65FDD" w:rsidP="00A65FDD" w:rsidRDefault="000F4BCC" w14:paraId="221229AD" w14:textId="58D408B7">
      <w:pPr>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Application</w:t>
      </w:r>
      <w:r w:rsidRPr="00EA6956" w:rsidR="00A4307B">
        <w:rPr>
          <w:rFonts w:ascii="Palatino Linotype" w:hAnsi="Palatino Linotype" w:eastAsia="Palatino Linotype" w:cs="Times New Roman"/>
          <w:kern w:val="0"/>
          <w14:ligatures w14:val="none"/>
        </w:rPr>
        <w:t xml:space="preserve"> materials further </w:t>
      </w:r>
      <w:r w:rsidR="00A4307B">
        <w:rPr>
          <w:rFonts w:ascii="Palatino Linotype" w:hAnsi="Palatino Linotype" w:eastAsia="Palatino Linotype" w:cs="Times New Roman"/>
          <w:kern w:val="0"/>
          <w14:ligatures w14:val="none"/>
        </w:rPr>
        <w:t>state</w:t>
      </w:r>
      <w:r w:rsidRPr="00EA6956" w:rsidR="00A4307B">
        <w:rPr>
          <w:rFonts w:ascii="Palatino Linotype" w:hAnsi="Palatino Linotype" w:eastAsia="Palatino Linotype" w:cs="Times New Roman"/>
          <w:kern w:val="0"/>
          <w14:ligatures w14:val="none"/>
        </w:rPr>
        <w:t xml:space="preserve"> that</w:t>
      </w:r>
      <w:r w:rsidR="00A4307B">
        <w:rPr>
          <w:rFonts w:ascii="Palatino Linotype" w:hAnsi="Palatino Linotype" w:eastAsia="Palatino Linotype" w:cs="Times New Roman"/>
          <w:b/>
          <w:bCs/>
          <w:kern w:val="0"/>
          <w14:ligatures w14:val="none"/>
        </w:rPr>
        <w:t xml:space="preserve"> </w:t>
      </w:r>
      <w:r w:rsidRPr="004239DC" w:rsidR="00A65FDD">
        <w:rPr>
          <w:rFonts w:ascii="Palatino Linotype" w:hAnsi="Palatino Linotype" w:eastAsia="Palatino Linotype" w:cs="Times New Roman"/>
          <w:kern w:val="0"/>
          <w14:ligatures w14:val="none"/>
        </w:rPr>
        <w:t xml:space="preserve">LA DEAL has engaged more than 50 cross-sector stakeholders in broadband projects, identified 15 potential future infrastructure projects, helped secure four </w:t>
      </w:r>
      <w:r w:rsidRPr="004239DC" w:rsidR="2BC62948">
        <w:rPr>
          <w:rFonts w:ascii="Palatino Linotype" w:hAnsi="Palatino Linotype" w:eastAsia="Palatino Linotype" w:cs="Times New Roman"/>
          <w:kern w:val="0"/>
          <w14:ligatures w14:val="none"/>
        </w:rPr>
        <w:t>FFA</w:t>
      </w:r>
      <w:r w:rsidRPr="004239DC" w:rsidR="00A65FDD">
        <w:rPr>
          <w:rFonts w:ascii="Palatino Linotype" w:hAnsi="Palatino Linotype" w:eastAsia="Palatino Linotype" w:cs="Times New Roman"/>
          <w:kern w:val="0"/>
          <w14:ligatures w14:val="none"/>
        </w:rPr>
        <w:t xml:space="preserve"> grants for community partners, and supported 12 </w:t>
      </w:r>
      <w:r w:rsidRPr="004239DC" w:rsidR="54DA9401">
        <w:rPr>
          <w:rFonts w:ascii="Palatino Linotype" w:hAnsi="Palatino Linotype" w:eastAsia="Palatino Linotype" w:cs="Times New Roman"/>
          <w:kern w:val="0"/>
          <w14:ligatures w14:val="none"/>
        </w:rPr>
        <w:t>LATA</w:t>
      </w:r>
      <w:r w:rsidRPr="004239DC" w:rsidR="00A65FDD">
        <w:rPr>
          <w:rFonts w:ascii="Palatino Linotype" w:hAnsi="Palatino Linotype" w:eastAsia="Palatino Linotype" w:cs="Times New Roman"/>
          <w:kern w:val="0"/>
          <w14:ligatures w14:val="none"/>
        </w:rPr>
        <w:t xml:space="preserve"> grant applications.</w:t>
      </w:r>
    </w:p>
    <w:p w:rsidRPr="004239DC" w:rsidR="00A65FDD" w:rsidP="00A65FDD" w:rsidRDefault="00A65FDD" w14:paraId="2DD5A82B" w14:textId="77777777">
      <w:pPr>
        <w:contextualSpacing/>
        <w:rPr>
          <w:rFonts w:ascii="Palatino Linotype" w:hAnsi="Palatino Linotype" w:eastAsia="Palatino Linotype" w:cs="Times New Roman"/>
          <w:kern w:val="0"/>
          <w14:ligatures w14:val="none"/>
        </w:rPr>
      </w:pPr>
    </w:p>
    <w:p w:rsidRPr="004239DC" w:rsidR="00A65FDD" w:rsidP="00A65FDD" w:rsidRDefault="00A65FDD" w14:paraId="78A136AF" w14:textId="77777777">
      <w:pPr>
        <w:contextualSpacing/>
        <w:rPr>
          <w:rFonts w:ascii="Palatino Linotype" w:hAnsi="Palatino Linotype" w:eastAsia="Palatino Linotype" w:cs="Times New Roman"/>
          <w:i/>
          <w:iCs/>
          <w:kern w:val="0"/>
          <w14:ligatures w14:val="none"/>
        </w:rPr>
      </w:pPr>
      <w:r w:rsidRPr="004239DC">
        <w:rPr>
          <w:rFonts w:ascii="Palatino Linotype" w:hAnsi="Palatino Linotype" w:eastAsia="Palatino Linotype" w:cs="Times New Roman"/>
          <w:i/>
          <w:iCs/>
          <w:kern w:val="0"/>
          <w14:ligatures w14:val="none"/>
        </w:rPr>
        <w:t>Regional Consortium Representation and Endorsements</w:t>
      </w:r>
    </w:p>
    <w:p w:rsidRPr="004239DC" w:rsidR="00A65FDD" w:rsidP="00A65FDD" w:rsidRDefault="00A65FDD" w14:paraId="5BBBD933" w14:textId="2929FAA1">
      <w:pPr>
        <w:contextualSpacing/>
        <w:rPr>
          <w:rFonts w:ascii="Palatino Linotype" w:hAnsi="Palatino Linotype" w:eastAsia="Palatino Linotype" w:cs="Times New Roman"/>
          <w:kern w:val="0"/>
          <w14:ligatures w14:val="none"/>
        </w:rPr>
      </w:pPr>
      <w:r w:rsidRPr="004239DC">
        <w:rPr>
          <w:rFonts w:ascii="Palatino Linotype" w:hAnsi="Palatino Linotype" w:eastAsia="Palatino Linotype" w:cs="Times New Roman"/>
          <w:kern w:val="0"/>
          <w14:ligatures w14:val="none"/>
        </w:rPr>
        <w:t>LA DEAL’s representation includes local and regional government, councils of governments, county and city agencies, K-12 education, community-based organizations, workforce and economic development partners, and Internet service providers. The Stewardship Committee includes UNITE-LA, California Community Foundation, the County of Los Angeles Internal Services Department, the City of Los Angeles Bureau of Street Lighting, South Bay Cities Council of Governments, San Gabriel Valley Council of Governments, Gateway Cities Council of Governments, Los Angeles County Office of Education, Los Angeles Unified School District</w:t>
      </w:r>
      <w:r w:rsidR="00E34E63">
        <w:rPr>
          <w:rFonts w:ascii="Palatino Linotype" w:hAnsi="Palatino Linotype" w:eastAsia="Palatino Linotype" w:cs="Times New Roman"/>
          <w:kern w:val="0"/>
          <w14:ligatures w14:val="none"/>
        </w:rPr>
        <w:t xml:space="preserve"> (LAUSD)</w:t>
      </w:r>
      <w:r w:rsidRPr="004239DC">
        <w:rPr>
          <w:rFonts w:ascii="Palatino Linotype" w:hAnsi="Palatino Linotype" w:eastAsia="Palatino Linotype" w:cs="Times New Roman"/>
          <w:kern w:val="0"/>
          <w14:ligatures w14:val="none"/>
        </w:rPr>
        <w:t xml:space="preserve">, the Los Angeles County Board of Supervisors, and the Community Coalition of Antelope Valley. LA DEAL also convenes ISP quarterly gatherings with providers including AT&amp;T, Cox, Charter, Sonic, T-Mobile, and Verizon. </w:t>
      </w:r>
    </w:p>
    <w:p w:rsidRPr="004239DC" w:rsidR="00A65FDD" w:rsidP="00A65FDD" w:rsidRDefault="00A65FDD" w14:paraId="50885CA8" w14:textId="77777777">
      <w:pPr>
        <w:contextualSpacing/>
        <w:rPr>
          <w:rFonts w:ascii="Palatino Linotype" w:hAnsi="Palatino Linotype" w:eastAsia="Palatino Linotype" w:cs="Times New Roman"/>
          <w:kern w:val="0"/>
          <w14:ligatures w14:val="none"/>
        </w:rPr>
      </w:pPr>
    </w:p>
    <w:p w:rsidRPr="004239DC" w:rsidR="00A65FDD" w:rsidP="00A65FDD" w:rsidRDefault="00A65FDD" w14:paraId="1A577EC9" w14:textId="77777777">
      <w:pPr>
        <w:contextualSpacing/>
        <w:rPr>
          <w:rFonts w:ascii="Palatino Linotype" w:hAnsi="Palatino Linotype" w:eastAsia="Palatino Linotype" w:cs="Times New Roman"/>
          <w:kern w:val="0"/>
          <w14:ligatures w14:val="none"/>
        </w:rPr>
      </w:pPr>
      <w:r w:rsidRPr="004239DC">
        <w:rPr>
          <w:rFonts w:ascii="Palatino Linotype" w:hAnsi="Palatino Linotype" w:eastAsia="Palatino Linotype" w:cs="Times New Roman"/>
          <w:kern w:val="0"/>
          <w14:ligatures w14:val="none"/>
        </w:rPr>
        <w:t>The LA DEAL Consortium received forty-</w:t>
      </w:r>
      <w:r>
        <w:rPr>
          <w:rFonts w:ascii="Palatino Linotype" w:hAnsi="Palatino Linotype" w:eastAsia="Palatino Linotype" w:cs="Times New Roman"/>
          <w:kern w:val="0"/>
          <w14:ligatures w14:val="none"/>
        </w:rPr>
        <w:t>one</w:t>
      </w:r>
      <w:r w:rsidRPr="004239DC">
        <w:rPr>
          <w:rFonts w:ascii="Palatino Linotype" w:hAnsi="Palatino Linotype" w:eastAsia="Palatino Linotype" w:cs="Times New Roman"/>
          <w:kern w:val="0"/>
          <w14:ligatures w14:val="none"/>
        </w:rPr>
        <w:t xml:space="preserve"> endorsement support letters from: local governments, public agencies, educational institutions, nonprofits, community organizations, and broadband stakeholders.</w:t>
      </w:r>
    </w:p>
    <w:p w:rsidRPr="004239DC" w:rsidR="00A65FDD" w:rsidP="00A65FDD" w:rsidRDefault="00A65FDD" w14:paraId="29A7B21F" w14:textId="77777777">
      <w:pPr>
        <w:contextualSpacing/>
        <w:rPr>
          <w:rFonts w:ascii="Palatino Linotype" w:hAnsi="Palatino Linotype" w:eastAsia="Palatino Linotype" w:cs="Times New Roman"/>
          <w:kern w:val="0"/>
          <w14:ligatures w14:val="none"/>
        </w:rPr>
      </w:pPr>
    </w:p>
    <w:p w:rsidRPr="004239DC" w:rsidR="00A65FDD" w:rsidP="00A65FDD" w:rsidRDefault="00A65FDD" w14:paraId="21692595" w14:textId="77777777">
      <w:pPr>
        <w:contextualSpacing/>
        <w:rPr>
          <w:rFonts w:ascii="Palatino Linotype" w:hAnsi="Palatino Linotype" w:eastAsia="Palatino Linotype" w:cs="Times New Roman"/>
          <w:i/>
          <w:iCs/>
          <w:kern w:val="0"/>
          <w14:ligatures w14:val="none"/>
        </w:rPr>
      </w:pPr>
      <w:r w:rsidRPr="004239DC">
        <w:rPr>
          <w:rFonts w:ascii="Palatino Linotype" w:hAnsi="Palatino Linotype" w:eastAsia="Palatino Linotype" w:cs="Times New Roman"/>
          <w:i/>
          <w:iCs/>
          <w:kern w:val="0"/>
          <w14:ligatures w14:val="none"/>
        </w:rPr>
        <w:t>Regional Consortium Members’ Experience</w:t>
      </w:r>
    </w:p>
    <w:p w:rsidR="00A65FDD" w:rsidP="00A65FDD" w:rsidRDefault="00A65FDD" w14:paraId="59D38232" w14:textId="7579422A">
      <w:pPr>
        <w:contextualSpacing/>
        <w:rPr>
          <w:rFonts w:ascii="Palatino Linotype" w:hAnsi="Palatino Linotype" w:eastAsia="Palatino Linotype" w:cs="Times New Roman"/>
          <w:kern w:val="0"/>
          <w14:ligatures w14:val="none"/>
        </w:rPr>
      </w:pPr>
      <w:r w:rsidRPr="004239DC">
        <w:rPr>
          <w:rFonts w:ascii="Palatino Linotype" w:hAnsi="Palatino Linotype" w:eastAsia="Palatino Linotype" w:cs="Times New Roman"/>
          <w:kern w:val="0"/>
          <w14:ligatures w14:val="none"/>
        </w:rPr>
        <w:t xml:space="preserve">The LA DEAL Consortium’s members have direct experience with broadband planning, public-private partnerships, digital equity, GIS and mapping, education connectivity, </w:t>
      </w:r>
      <w:r w:rsidRPr="004239DC">
        <w:rPr>
          <w:rFonts w:ascii="Palatino Linotype" w:hAnsi="Palatino Linotype" w:eastAsia="Palatino Linotype" w:cs="Times New Roman"/>
          <w:kern w:val="0"/>
          <w14:ligatures w14:val="none"/>
        </w:rPr>
        <w:lastRenderedPageBreak/>
        <w:t>and infrastructure deployment. UNITE-LA has over 28 years of experience convening cross-sector partnerships and serving as an intermediary among business, education, government, and community organizations. The County’s Internal Services Department is leading a community broadband project intended to serve more than</w:t>
      </w:r>
      <w:r>
        <w:rPr>
          <w:rFonts w:ascii="Palatino Linotype" w:hAnsi="Palatino Linotype" w:eastAsia="Palatino Linotype" w:cs="Times New Roman"/>
          <w:kern w:val="0"/>
          <w14:ligatures w14:val="none"/>
        </w:rPr>
        <w:t xml:space="preserve"> </w:t>
      </w:r>
      <w:r w:rsidRPr="007F0D7E">
        <w:rPr>
          <w:rFonts w:ascii="Palatino Linotype" w:hAnsi="Palatino Linotype" w:eastAsia="Palatino Linotype" w:cs="Times New Roman"/>
          <w:kern w:val="0"/>
          <w14:ligatures w14:val="none"/>
        </w:rPr>
        <w:t>200,000 Angelenos. The City of Los Angeles Bureau of Street Lighting is leveraging public assets for broadband deployment, including the 110 Middle-Mile Project and community Wi-Fi projects. Gateway Cities Council of Governments is advancing a $104 million, 125-mile open-access fiber network</w:t>
      </w:r>
      <w:r>
        <w:rPr>
          <w:rFonts w:ascii="Palatino Linotype" w:hAnsi="Palatino Linotype" w:eastAsia="Palatino Linotype" w:cs="Times New Roman"/>
          <w:kern w:val="0"/>
          <w14:ligatures w14:val="none"/>
        </w:rPr>
        <w:t xml:space="preserve"> in Southeast Los Angeles County</w:t>
      </w:r>
      <w:r w:rsidRPr="007F0D7E">
        <w:rPr>
          <w:rFonts w:ascii="Palatino Linotype" w:hAnsi="Palatino Linotype" w:eastAsia="Palatino Linotype" w:cs="Times New Roman"/>
          <w:kern w:val="0"/>
          <w14:ligatures w14:val="none"/>
        </w:rPr>
        <w:t xml:space="preserve">. South Bay Cities Council of Governments operates a regional middle-mile fiber ring with more than 40 active circuits. </w:t>
      </w:r>
      <w:r>
        <w:rPr>
          <w:rFonts w:ascii="Palatino Linotype" w:hAnsi="Palatino Linotype" w:eastAsia="Palatino Linotype" w:cs="Times New Roman"/>
          <w:kern w:val="0"/>
          <w14:ligatures w14:val="none"/>
        </w:rPr>
        <w:t xml:space="preserve">In November 2022, the </w:t>
      </w:r>
      <w:r w:rsidRPr="007F0D7E">
        <w:rPr>
          <w:rFonts w:ascii="Palatino Linotype" w:hAnsi="Palatino Linotype" w:eastAsia="Palatino Linotype" w:cs="Times New Roman"/>
          <w:kern w:val="0"/>
          <w14:ligatures w14:val="none"/>
        </w:rPr>
        <w:t xml:space="preserve">San Gabriel Valley Council of Governments secured </w:t>
      </w:r>
      <w:r>
        <w:rPr>
          <w:rFonts w:ascii="Palatino Linotype" w:hAnsi="Palatino Linotype" w:eastAsia="Palatino Linotype" w:cs="Times New Roman"/>
          <w:kern w:val="0"/>
          <w14:ligatures w14:val="none"/>
        </w:rPr>
        <w:t>$496,960 in</w:t>
      </w:r>
      <w:r w:rsidRPr="007F0D7E">
        <w:rPr>
          <w:rFonts w:ascii="Palatino Linotype" w:hAnsi="Palatino Linotype" w:eastAsia="Palatino Linotype" w:cs="Times New Roman"/>
          <w:kern w:val="0"/>
          <w14:ligatures w14:val="none"/>
        </w:rPr>
        <w:t xml:space="preserve"> </w:t>
      </w:r>
      <w:r w:rsidR="00D24CAA">
        <w:rPr>
          <w:rFonts w:ascii="Palatino Linotype" w:hAnsi="Palatino Linotype" w:eastAsia="Palatino Linotype" w:cs="Times New Roman"/>
          <w:kern w:val="0"/>
          <w14:ligatures w14:val="none"/>
        </w:rPr>
        <w:t>LATA</w:t>
      </w:r>
      <w:r w:rsidRPr="007F0D7E">
        <w:rPr>
          <w:rFonts w:ascii="Palatino Linotype" w:hAnsi="Palatino Linotype" w:eastAsia="Palatino Linotype" w:cs="Times New Roman"/>
          <w:kern w:val="0"/>
          <w14:ligatures w14:val="none"/>
        </w:rPr>
        <w:t xml:space="preserve"> funding to</w:t>
      </w:r>
      <w:r w:rsidRPr="008B7A24">
        <w:rPr>
          <w:rFonts w:ascii="Palatino Linotype" w:hAnsi="Palatino Linotype" w:eastAsia="Palatino Linotype" w:cs="Times New Roman"/>
          <w:kern w:val="0"/>
          <w14:ligatures w14:val="none"/>
        </w:rPr>
        <w:t xml:space="preserve"> conduct a region-wide broadband needs assessment and develop a Regional Broadband Master Plan, identifying infrastructure priorities, investment strategies, and partnerships to expand broadband access </w:t>
      </w:r>
      <w:r>
        <w:rPr>
          <w:rFonts w:ascii="Palatino Linotype" w:hAnsi="Palatino Linotype" w:eastAsia="Palatino Linotype" w:cs="Times New Roman"/>
          <w:kern w:val="0"/>
          <w14:ligatures w14:val="none"/>
        </w:rPr>
        <w:t xml:space="preserve">across </w:t>
      </w:r>
      <w:r w:rsidRPr="008B7A24">
        <w:rPr>
          <w:rFonts w:ascii="Palatino Linotype" w:hAnsi="Palatino Linotype" w:eastAsia="Palatino Linotype" w:cs="Times New Roman"/>
          <w:kern w:val="0"/>
          <w14:ligatures w14:val="none"/>
        </w:rPr>
        <w:t>the San Gabriel Valley</w:t>
      </w:r>
      <w:r w:rsidRPr="007F0D7E">
        <w:rPr>
          <w:rFonts w:ascii="Palatino Linotype" w:hAnsi="Palatino Linotype" w:eastAsia="Palatino Linotype" w:cs="Times New Roman"/>
          <w:kern w:val="0"/>
          <w14:ligatures w14:val="none"/>
        </w:rPr>
        <w:t xml:space="preserve">. </w:t>
      </w:r>
      <w:r w:rsidR="00930E35">
        <w:rPr>
          <w:rFonts w:ascii="Palatino Linotype" w:hAnsi="Palatino Linotype" w:eastAsia="Palatino Linotype" w:cs="Times New Roman"/>
          <w:kern w:val="0"/>
          <w14:ligatures w14:val="none"/>
        </w:rPr>
        <w:t>Los Angeles Unified School District (</w:t>
      </w:r>
      <w:r w:rsidRPr="007F0D7E">
        <w:rPr>
          <w:rFonts w:ascii="Palatino Linotype" w:hAnsi="Palatino Linotype" w:eastAsia="Palatino Linotype" w:cs="Times New Roman"/>
          <w:kern w:val="0"/>
          <w14:ligatures w14:val="none"/>
        </w:rPr>
        <w:t>LAUSD</w:t>
      </w:r>
      <w:r w:rsidR="00930E35">
        <w:rPr>
          <w:rFonts w:ascii="Palatino Linotype" w:hAnsi="Palatino Linotype" w:eastAsia="Palatino Linotype" w:cs="Times New Roman"/>
          <w:kern w:val="0"/>
          <w14:ligatures w14:val="none"/>
        </w:rPr>
        <w:t>)</w:t>
      </w:r>
      <w:r w:rsidRPr="007F0D7E">
        <w:rPr>
          <w:rFonts w:ascii="Palatino Linotype" w:hAnsi="Palatino Linotype" w:eastAsia="Palatino Linotype" w:cs="Times New Roman"/>
          <w:kern w:val="0"/>
          <w14:ligatures w14:val="none"/>
        </w:rPr>
        <w:t xml:space="preserve"> and </w:t>
      </w:r>
      <w:r w:rsidRPr="007B37C9" w:rsidR="007B37C9">
        <w:rPr>
          <w:rFonts w:ascii="Palatino Linotype" w:hAnsi="Palatino Linotype" w:eastAsia="Palatino Linotype" w:cs="Times New Roman"/>
          <w:kern w:val="0"/>
          <w14:ligatures w14:val="none"/>
        </w:rPr>
        <w:t>Los Angeles County Office of Education</w:t>
      </w:r>
      <w:r w:rsidR="007B37C9">
        <w:rPr>
          <w:rFonts w:ascii="Palatino Linotype" w:hAnsi="Palatino Linotype" w:eastAsia="Palatino Linotype" w:cs="Times New Roman"/>
          <w:kern w:val="0"/>
          <w14:ligatures w14:val="none"/>
        </w:rPr>
        <w:t xml:space="preserve"> (</w:t>
      </w:r>
      <w:r w:rsidRPr="007F0D7E">
        <w:rPr>
          <w:rFonts w:ascii="Palatino Linotype" w:hAnsi="Palatino Linotype" w:eastAsia="Palatino Linotype" w:cs="Times New Roman"/>
          <w:kern w:val="0"/>
          <w14:ligatures w14:val="none"/>
        </w:rPr>
        <w:t>LACOE</w:t>
      </w:r>
      <w:r w:rsidR="007B37C9">
        <w:rPr>
          <w:rFonts w:ascii="Palatino Linotype" w:hAnsi="Palatino Linotype" w:eastAsia="Palatino Linotype" w:cs="Times New Roman"/>
          <w:kern w:val="0"/>
          <w14:ligatures w14:val="none"/>
        </w:rPr>
        <w:t>)</w:t>
      </w:r>
      <w:r w:rsidRPr="007F0D7E">
        <w:rPr>
          <w:rFonts w:ascii="Palatino Linotype" w:hAnsi="Palatino Linotype" w:eastAsia="Palatino Linotype" w:cs="Times New Roman"/>
          <w:kern w:val="0"/>
          <w14:ligatures w14:val="none"/>
        </w:rPr>
        <w:t xml:space="preserve"> </w:t>
      </w:r>
      <w:r w:rsidR="00D24CAA">
        <w:rPr>
          <w:rFonts w:ascii="Palatino Linotype" w:hAnsi="Palatino Linotype" w:eastAsia="Palatino Linotype" w:cs="Times New Roman"/>
          <w:kern w:val="0"/>
          <w14:ligatures w14:val="none"/>
        </w:rPr>
        <w:t>have</w:t>
      </w:r>
      <w:r w:rsidRPr="007F0D7E">
        <w:rPr>
          <w:rFonts w:ascii="Palatino Linotype" w:hAnsi="Palatino Linotype" w:eastAsia="Palatino Linotype" w:cs="Times New Roman"/>
          <w:kern w:val="0"/>
          <w14:ligatures w14:val="none"/>
        </w:rPr>
        <w:t xml:space="preserve"> experience in school connectivity and digital equity programs</w:t>
      </w:r>
      <w:r>
        <w:rPr>
          <w:rFonts w:ascii="Palatino Linotype" w:hAnsi="Palatino Linotype" w:eastAsia="Palatino Linotype" w:cs="Times New Roman"/>
          <w:kern w:val="0"/>
          <w14:ligatures w14:val="none"/>
        </w:rPr>
        <w:t>. T</w:t>
      </w:r>
      <w:r w:rsidRPr="007F0D7E">
        <w:rPr>
          <w:rFonts w:ascii="Palatino Linotype" w:hAnsi="Palatino Linotype" w:eastAsia="Palatino Linotype" w:cs="Times New Roman"/>
          <w:kern w:val="0"/>
          <w14:ligatures w14:val="none"/>
        </w:rPr>
        <w:t>he Community Coalition of Antelope Valley has designed fiber projects</w:t>
      </w:r>
      <w:r>
        <w:rPr>
          <w:rFonts w:ascii="Palatino Linotype" w:hAnsi="Palatino Linotype" w:eastAsia="Palatino Linotype" w:cs="Times New Roman"/>
          <w:kern w:val="0"/>
          <w14:ligatures w14:val="none"/>
        </w:rPr>
        <w:t>, completed a LATA broadband plan</w:t>
      </w:r>
      <w:r w:rsidRPr="007F0D7E">
        <w:rPr>
          <w:rFonts w:ascii="Palatino Linotype" w:hAnsi="Palatino Linotype" w:eastAsia="Palatino Linotype" w:cs="Times New Roman"/>
          <w:kern w:val="0"/>
          <w14:ligatures w14:val="none"/>
        </w:rPr>
        <w:t xml:space="preserve"> and supported a CASF infrastructure </w:t>
      </w:r>
      <w:r>
        <w:rPr>
          <w:rFonts w:ascii="Palatino Linotype" w:hAnsi="Palatino Linotype" w:eastAsia="Palatino Linotype" w:cs="Times New Roman"/>
          <w:kern w:val="0"/>
          <w14:ligatures w14:val="none"/>
        </w:rPr>
        <w:t xml:space="preserve">grant </w:t>
      </w:r>
      <w:r w:rsidRPr="007F0D7E">
        <w:rPr>
          <w:rFonts w:ascii="Palatino Linotype" w:hAnsi="Palatino Linotype" w:eastAsia="Palatino Linotype" w:cs="Times New Roman"/>
          <w:kern w:val="0"/>
          <w14:ligatures w14:val="none"/>
        </w:rPr>
        <w:t>application in the Antelope Valley.</w:t>
      </w:r>
      <w:r w:rsidR="00E67C85">
        <w:rPr>
          <w:rFonts w:ascii="Palatino Linotype" w:hAnsi="Palatino Linotype" w:eastAsia="Palatino Linotype" w:cs="Times New Roman"/>
          <w:kern w:val="0"/>
          <w14:ligatures w14:val="none"/>
        </w:rPr>
        <w:t xml:space="preserve"> </w:t>
      </w:r>
    </w:p>
    <w:p w:rsidR="00A65FDD" w:rsidP="00A65FDD" w:rsidRDefault="00A65FDD" w14:paraId="2236936E" w14:textId="77777777">
      <w:pPr>
        <w:contextualSpacing/>
        <w:rPr>
          <w:rFonts w:ascii="Palatino Linotype" w:hAnsi="Palatino Linotype" w:eastAsia="Palatino Linotype" w:cs="Times New Roman"/>
          <w:kern w:val="0"/>
          <w14:ligatures w14:val="none"/>
        </w:rPr>
      </w:pPr>
    </w:p>
    <w:p w:rsidRPr="007E22E7" w:rsidR="00A65FDD" w:rsidP="00A65FDD" w:rsidRDefault="00A65FDD" w14:paraId="22C29F94" w14:textId="77777777">
      <w:pPr>
        <w:contextualSpacing/>
        <w:rPr>
          <w:rFonts w:ascii="Palatino Linotype" w:hAnsi="Palatino Linotype" w:eastAsia="Palatino Linotype" w:cs="Times New Roman"/>
          <w:i/>
          <w:iCs/>
          <w:kern w:val="0"/>
          <w14:ligatures w14:val="none"/>
        </w:rPr>
      </w:pPr>
      <w:r w:rsidRPr="007E22E7">
        <w:rPr>
          <w:rFonts w:ascii="Palatino Linotype" w:hAnsi="Palatino Linotype" w:eastAsia="Palatino Linotype" w:cs="Times New Roman"/>
          <w:i/>
          <w:iCs/>
          <w:kern w:val="0"/>
          <w14:ligatures w14:val="none"/>
        </w:rPr>
        <w:t>Work Plan and Performance Metrics Plan</w:t>
      </w:r>
    </w:p>
    <w:p w:rsidRPr="007E22E7" w:rsidR="00A65FDD" w:rsidP="00A65FDD" w:rsidRDefault="00A65FDD" w14:paraId="1F70C895" w14:textId="503F18C4">
      <w:pPr>
        <w:contextualSpacing/>
        <w:rPr>
          <w:rFonts w:ascii="Palatino Linotype" w:hAnsi="Palatino Linotype" w:eastAsia="Palatino Linotype" w:cs="Times New Roman"/>
          <w:kern w:val="0"/>
          <w14:ligatures w14:val="none"/>
        </w:rPr>
      </w:pPr>
      <w:r w:rsidRPr="007E22E7">
        <w:rPr>
          <w:rFonts w:ascii="Palatino Linotype" w:hAnsi="Palatino Linotype" w:eastAsia="Palatino Linotype" w:cs="Times New Roman"/>
          <w:kern w:val="0"/>
          <w14:ligatures w14:val="none"/>
        </w:rPr>
        <w:t xml:space="preserve">LA DEAL’s Work Plan and Performance Metrics Plan </w:t>
      </w:r>
      <w:r w:rsidRPr="00084B22">
        <w:rPr>
          <w:rFonts w:ascii="Palatino Linotype" w:hAnsi="Palatino Linotype" w:eastAsia="Palatino Linotype" w:cs="Times New Roman"/>
          <w:kern w:val="0"/>
          <w14:ligatures w14:val="none"/>
        </w:rPr>
        <w:t>focuses on key goals such as</w:t>
      </w:r>
      <w:r w:rsidRPr="007E22E7">
        <w:rPr>
          <w:rFonts w:ascii="Palatino Linotype" w:hAnsi="Palatino Linotype" w:eastAsia="Palatino Linotype" w:cs="Times New Roman"/>
          <w:kern w:val="0"/>
          <w14:ligatures w14:val="none"/>
        </w:rPr>
        <w:t xml:space="preserve"> activating community stakeholders</w:t>
      </w:r>
      <w:r>
        <w:rPr>
          <w:rFonts w:ascii="Palatino Linotype" w:hAnsi="Palatino Linotype" w:eastAsia="Palatino Linotype" w:cs="Times New Roman"/>
          <w:kern w:val="0"/>
          <w14:ligatures w14:val="none"/>
        </w:rPr>
        <w:t>,</w:t>
      </w:r>
      <w:r w:rsidRPr="007E22E7">
        <w:rPr>
          <w:rFonts w:ascii="Palatino Linotype" w:hAnsi="Palatino Linotype" w:eastAsia="Palatino Linotype" w:cs="Times New Roman"/>
          <w:kern w:val="0"/>
          <w14:ligatures w14:val="none"/>
        </w:rPr>
        <w:t xml:space="preserve"> ensuring equitable deployment of broadband infrastructure</w:t>
      </w:r>
      <w:r>
        <w:rPr>
          <w:rFonts w:ascii="Palatino Linotype" w:hAnsi="Palatino Linotype" w:eastAsia="Palatino Linotype" w:cs="Times New Roman"/>
          <w:kern w:val="0"/>
          <w14:ligatures w14:val="none"/>
        </w:rPr>
        <w:t>,</w:t>
      </w:r>
      <w:r w:rsidR="00C453FE">
        <w:rPr>
          <w:rFonts w:ascii="Palatino Linotype" w:hAnsi="Palatino Linotype" w:eastAsia="Palatino Linotype" w:cs="Times New Roman"/>
          <w:kern w:val="0"/>
          <w14:ligatures w14:val="none"/>
        </w:rPr>
        <w:t xml:space="preserve"> </w:t>
      </w:r>
      <w:r w:rsidRPr="007E22E7">
        <w:rPr>
          <w:rFonts w:ascii="Palatino Linotype" w:hAnsi="Palatino Linotype" w:eastAsia="Palatino Linotype" w:cs="Times New Roman"/>
          <w:kern w:val="0"/>
          <w14:ligatures w14:val="none"/>
        </w:rPr>
        <w:t>and promoting collaborative investment. The work plan includes regular coordination with the California Department of Technology</w:t>
      </w:r>
      <w:r w:rsidR="00AD053B">
        <w:rPr>
          <w:rFonts w:ascii="Palatino Linotype" w:hAnsi="Palatino Linotype" w:eastAsia="Palatino Linotype" w:cs="Times New Roman"/>
          <w:kern w:val="0"/>
          <w14:ligatures w14:val="none"/>
        </w:rPr>
        <w:t xml:space="preserve"> (CDT)</w:t>
      </w:r>
      <w:r w:rsidRPr="007E22E7">
        <w:rPr>
          <w:rFonts w:ascii="Palatino Linotype" w:hAnsi="Palatino Linotype" w:eastAsia="Palatino Linotype" w:cs="Times New Roman"/>
          <w:kern w:val="0"/>
          <w14:ligatures w14:val="none"/>
        </w:rPr>
        <w:t xml:space="preserve"> and </w:t>
      </w:r>
      <w:r w:rsidRPr="007E22E7" w:rsidR="035C7C62">
        <w:rPr>
          <w:rFonts w:ascii="Palatino Linotype" w:hAnsi="Palatino Linotype" w:eastAsia="Palatino Linotype" w:cs="Times New Roman"/>
          <w:kern w:val="0"/>
          <w14:ligatures w14:val="none"/>
        </w:rPr>
        <w:t>the Commission</w:t>
      </w:r>
      <w:r w:rsidRPr="007E22E7">
        <w:rPr>
          <w:rFonts w:ascii="Palatino Linotype" w:hAnsi="Palatino Linotype" w:eastAsia="Palatino Linotype" w:cs="Times New Roman"/>
          <w:kern w:val="0"/>
          <w14:ligatures w14:val="none"/>
        </w:rPr>
        <w:t xml:space="preserve">, Stewardship Committee meetings, quarterly ISP convenings, newsletters, mapping and dashboard updates, identification of priority areas and prospective projects, workshops on CASF and other infrastructure funding opportunities, project permitting support, public asset and GIS mapping, assistance with wireline testing when needed, and outreach to promote deployment programs including CASF, </w:t>
      </w:r>
      <w:r w:rsidRPr="007E22E7" w:rsidR="25925459">
        <w:rPr>
          <w:rFonts w:ascii="Palatino Linotype" w:hAnsi="Palatino Linotype" w:eastAsia="Palatino Linotype" w:cs="Times New Roman"/>
          <w:kern w:val="0"/>
          <w14:ligatures w14:val="none"/>
        </w:rPr>
        <w:t>FFA</w:t>
      </w:r>
      <w:r w:rsidRPr="007E22E7">
        <w:rPr>
          <w:rFonts w:ascii="Palatino Linotype" w:hAnsi="Palatino Linotype" w:eastAsia="Palatino Linotype" w:cs="Times New Roman"/>
          <w:kern w:val="0"/>
          <w14:ligatures w14:val="none"/>
        </w:rPr>
        <w:t xml:space="preserve">, Public Housing Account, </w:t>
      </w:r>
      <w:r w:rsidRPr="007E22E7" w:rsidR="76C2749E">
        <w:rPr>
          <w:rFonts w:ascii="Palatino Linotype" w:hAnsi="Palatino Linotype" w:eastAsia="Palatino Linotype" w:cs="Times New Roman"/>
          <w:kern w:val="0"/>
          <w14:ligatures w14:val="none"/>
        </w:rPr>
        <w:t>LATA</w:t>
      </w:r>
      <w:r w:rsidRPr="007E22E7">
        <w:rPr>
          <w:rFonts w:ascii="Palatino Linotype" w:hAnsi="Palatino Linotype" w:eastAsia="Palatino Linotype" w:cs="Times New Roman"/>
          <w:kern w:val="0"/>
          <w14:ligatures w14:val="none"/>
        </w:rPr>
        <w:t>, Middle-Mile, and BEAD-related infrastructure opportunities. The performance measures include output such as meeting agendas, newsletters, spreadsheets of priority areas and prospective projects, workshop materials, GIS maps, outreach artifacts, and project and grant assistance. LA DEAL’s Work Plan and Performance Metrics Plan are directly related to SB 156 and AB 164 goals and objectives, and consistent with program requirements defined in D.25-11-003.</w:t>
      </w:r>
    </w:p>
    <w:p w:rsidRPr="007E22E7" w:rsidR="00A65FDD" w:rsidP="00A65FDD" w:rsidRDefault="00A65FDD" w14:paraId="44CBD179" w14:textId="77777777">
      <w:pPr>
        <w:contextualSpacing/>
        <w:rPr>
          <w:rFonts w:ascii="Palatino Linotype" w:hAnsi="Palatino Linotype" w:eastAsia="Palatino Linotype" w:cs="Times New Roman"/>
          <w:kern w:val="0"/>
          <w14:ligatures w14:val="none"/>
        </w:rPr>
      </w:pPr>
    </w:p>
    <w:p w:rsidRPr="007E22E7" w:rsidR="00A65FDD" w:rsidP="00A65FDD" w:rsidRDefault="00A65FDD" w14:paraId="5A2FE486" w14:textId="77777777">
      <w:pPr>
        <w:contextualSpacing/>
        <w:rPr>
          <w:rFonts w:ascii="Palatino Linotype" w:hAnsi="Palatino Linotype" w:eastAsia="Palatino Linotype" w:cs="Times New Roman"/>
          <w:i/>
          <w:iCs/>
          <w:kern w:val="0"/>
          <w14:ligatures w14:val="none"/>
        </w:rPr>
      </w:pPr>
      <w:r w:rsidRPr="007E22E7">
        <w:rPr>
          <w:rFonts w:ascii="Palatino Linotype" w:hAnsi="Palatino Linotype" w:eastAsia="Palatino Linotype" w:cs="Times New Roman"/>
          <w:i/>
          <w:iCs/>
          <w:kern w:val="0"/>
          <w14:ligatures w14:val="none"/>
        </w:rPr>
        <w:t>Budget</w:t>
      </w:r>
    </w:p>
    <w:p w:rsidR="001B4F1D" w:rsidP="00EF399B" w:rsidRDefault="00A65FDD" w14:paraId="26052992" w14:textId="304ADD60">
      <w:pPr>
        <w:contextualSpacing/>
        <w:rPr>
          <w:rFonts w:ascii="Palatino Linotype" w:hAnsi="Palatino Linotype" w:eastAsia="Palatino Linotype" w:cs="Times New Roman"/>
          <w:kern w:val="0"/>
          <w14:ligatures w14:val="none"/>
        </w:rPr>
      </w:pPr>
      <w:r w:rsidRPr="007E22E7">
        <w:rPr>
          <w:rFonts w:ascii="Palatino Linotype" w:hAnsi="Palatino Linotype" w:eastAsia="Palatino Linotype" w:cs="Times New Roman"/>
          <w:kern w:val="0"/>
          <w14:ligatures w14:val="none"/>
        </w:rPr>
        <w:t xml:space="preserve">LA DEAL requests $600,000 for a three-year grant. Of its total budget, LA DEAL allocates approximately 20.5% to conduct marketing/outreach and develop strategies (Objective 1), 52.7% to assist in developing CASF infrastructure applications (Objectives </w:t>
      </w:r>
      <w:r w:rsidRPr="007E22E7">
        <w:rPr>
          <w:rFonts w:ascii="Palatino Linotype" w:hAnsi="Palatino Linotype" w:eastAsia="Palatino Linotype" w:cs="Times New Roman"/>
          <w:kern w:val="0"/>
          <w14:ligatures w14:val="none"/>
        </w:rPr>
        <w:lastRenderedPageBreak/>
        <w:t>2, 3, and 4), less than 1%</w:t>
      </w:r>
      <w:r w:rsidR="00D24CAA">
        <w:rPr>
          <w:rFonts w:ascii="Palatino Linotype" w:hAnsi="Palatino Linotype" w:eastAsia="Palatino Linotype" w:cs="Times New Roman"/>
          <w:kern w:val="0"/>
          <w14:ligatures w14:val="none"/>
        </w:rPr>
        <w:t xml:space="preserve"> (0.1%)</w:t>
      </w:r>
      <w:r w:rsidRPr="007E22E7">
        <w:rPr>
          <w:rFonts w:ascii="Palatino Linotype" w:hAnsi="Palatino Linotype" w:eastAsia="Palatino Linotype" w:cs="Times New Roman"/>
          <w:kern w:val="0"/>
          <w14:ligatures w14:val="none"/>
        </w:rPr>
        <w:t xml:space="preserve"> to assist in publicizing wireline testing requests (Objective 5), 19</w:t>
      </w:r>
      <w:r>
        <w:rPr>
          <w:rFonts w:ascii="Palatino Linotype" w:hAnsi="Palatino Linotype" w:eastAsia="Palatino Linotype" w:cs="Times New Roman"/>
          <w:kern w:val="0"/>
          <w14:ligatures w14:val="none"/>
        </w:rPr>
        <w:t>.3</w:t>
      </w:r>
      <w:r w:rsidRPr="007E22E7">
        <w:rPr>
          <w:rFonts w:ascii="Palatino Linotype" w:hAnsi="Palatino Linotype" w:eastAsia="Palatino Linotype" w:cs="Times New Roman"/>
          <w:kern w:val="0"/>
          <w14:ligatures w14:val="none"/>
        </w:rPr>
        <w:t xml:space="preserve">% </w:t>
      </w:r>
      <w:r w:rsidRPr="005423D0">
        <w:rPr>
          <w:rFonts w:ascii="Palatino Linotype" w:hAnsi="Palatino Linotype" w:eastAsia="Palatino Linotype" w:cs="Times New Roman"/>
          <w:kern w:val="0"/>
          <w14:ligatures w14:val="none"/>
        </w:rPr>
        <w:t>to assist in promoting broadband deployment in California (Objective 6)</w:t>
      </w:r>
      <w:r w:rsidRPr="007E22E7">
        <w:rPr>
          <w:rFonts w:ascii="Palatino Linotype" w:hAnsi="Palatino Linotype" w:eastAsia="Palatino Linotype" w:cs="Times New Roman"/>
          <w:kern w:val="0"/>
          <w14:ligatures w14:val="none"/>
        </w:rPr>
        <w:t>, and 7</w:t>
      </w:r>
      <w:r>
        <w:rPr>
          <w:rFonts w:ascii="Palatino Linotype" w:hAnsi="Palatino Linotype" w:eastAsia="Palatino Linotype" w:cs="Times New Roman"/>
          <w:kern w:val="0"/>
          <w14:ligatures w14:val="none"/>
        </w:rPr>
        <w:t>.4</w:t>
      </w:r>
      <w:r w:rsidRPr="007E22E7">
        <w:rPr>
          <w:rFonts w:ascii="Palatino Linotype" w:hAnsi="Palatino Linotype" w:eastAsia="Palatino Linotype" w:cs="Times New Roman"/>
          <w:kern w:val="0"/>
          <w14:ligatures w14:val="none"/>
        </w:rPr>
        <w:t xml:space="preserve">% </w:t>
      </w:r>
      <w:r w:rsidRPr="005423D0">
        <w:rPr>
          <w:rFonts w:ascii="Palatino Linotype" w:hAnsi="Palatino Linotype" w:eastAsia="Palatino Linotype" w:cs="Times New Roman"/>
          <w:kern w:val="0"/>
          <w14:ligatures w14:val="none"/>
        </w:rPr>
        <w:t>for conducting and submitting the annual audit reports</w:t>
      </w:r>
      <w:r w:rsidRPr="007E22E7">
        <w:rPr>
          <w:rFonts w:ascii="Palatino Linotype" w:hAnsi="Palatino Linotype" w:eastAsia="Palatino Linotype" w:cs="Times New Roman"/>
          <w:kern w:val="0"/>
          <w14:ligatures w14:val="none"/>
        </w:rPr>
        <w:t xml:space="preserve">. LA DEAL’s budget is cost-effective and consistent with budget requirements </w:t>
      </w:r>
      <w:proofErr w:type="gramStart"/>
      <w:r w:rsidRPr="007E22E7">
        <w:rPr>
          <w:rFonts w:ascii="Palatino Linotype" w:hAnsi="Palatino Linotype" w:eastAsia="Palatino Linotype" w:cs="Times New Roman"/>
          <w:kern w:val="0"/>
          <w14:ligatures w14:val="none"/>
        </w:rPr>
        <w:t>defined in</w:t>
      </w:r>
      <w:proofErr w:type="gramEnd"/>
      <w:r w:rsidRPr="007E22E7">
        <w:rPr>
          <w:rFonts w:ascii="Palatino Linotype" w:hAnsi="Palatino Linotype" w:eastAsia="Palatino Linotype" w:cs="Times New Roman"/>
          <w:kern w:val="0"/>
          <w14:ligatures w14:val="none"/>
        </w:rPr>
        <w:t xml:space="preserve"> D.25-11-003.</w:t>
      </w:r>
    </w:p>
    <w:p w:rsidR="00FD6F13" w:rsidP="0088606A" w:rsidRDefault="001B4F1D" w14:paraId="15E4A744" w14:textId="5FF9D649">
      <w:pPr>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b/>
          <w:bCs/>
          <w:kern w:val="0"/>
          <w14:ligatures w14:val="none"/>
        </w:rPr>
        <w:tab/>
      </w:r>
      <w:r w:rsidR="00A8036E">
        <w:rPr>
          <w:rFonts w:ascii="Palatino Linotype" w:hAnsi="Palatino Linotype" w:eastAsia="Palatino Linotype" w:cs="Times New Roman"/>
          <w:b/>
          <w:bCs/>
          <w:kern w:val="0"/>
          <w14:ligatures w14:val="none"/>
        </w:rPr>
        <w:tab/>
      </w:r>
    </w:p>
    <w:p w:rsidRPr="00375FBF" w:rsidR="00FD50DD" w:rsidP="00FD50DD" w:rsidRDefault="00FD50DD" w14:paraId="4FA8AA6B" w14:textId="0A7D1051">
      <w:pPr>
        <w:contextualSpacing/>
        <w:rPr>
          <w:rFonts w:ascii="Palatino Linotype" w:hAnsi="Palatino Linotype" w:eastAsia="Palatino Linotype" w:cs="Times New Roman"/>
          <w:b/>
          <w:bCs/>
          <w:kern w:val="0"/>
          <w14:ligatures w14:val="none"/>
        </w:rPr>
      </w:pPr>
      <w:r>
        <w:rPr>
          <w:rFonts w:ascii="Palatino Linotype" w:hAnsi="Palatino Linotype" w:eastAsia="Palatino Linotype" w:cs="Times New Roman"/>
          <w:b/>
          <w:bCs/>
          <w:kern w:val="0"/>
          <w14:ligatures w14:val="none"/>
        </w:rPr>
        <w:tab/>
      </w:r>
      <w:r w:rsidR="00991968">
        <w:rPr>
          <w:rFonts w:ascii="Palatino Linotype" w:hAnsi="Palatino Linotype" w:eastAsia="Palatino Linotype" w:cs="Times New Roman"/>
          <w:b/>
          <w:bCs/>
          <w:kern w:val="0"/>
          <w14:ligatures w14:val="none"/>
        </w:rPr>
        <w:t>c</w:t>
      </w:r>
      <w:r w:rsidRPr="00375FBF">
        <w:rPr>
          <w:rFonts w:ascii="Palatino Linotype" w:hAnsi="Palatino Linotype" w:eastAsia="Palatino Linotype" w:cs="Times New Roman"/>
          <w:b/>
          <w:bCs/>
          <w:kern w:val="0"/>
          <w14:ligatures w14:val="none"/>
        </w:rPr>
        <w:t xml:space="preserve">. </w:t>
      </w:r>
      <w:r w:rsidRPr="00592C49" w:rsidR="00592C49">
        <w:rPr>
          <w:rFonts w:ascii="Palatino Linotype" w:hAnsi="Palatino Linotype" w:eastAsia="Palatino Linotype" w:cs="Times New Roman"/>
          <w:b/>
          <w:bCs/>
          <w:kern w:val="0"/>
          <w14:ligatures w14:val="none"/>
        </w:rPr>
        <w:t>Compliance Requirement</w:t>
      </w:r>
      <w:r w:rsidR="00DB4AE2">
        <w:rPr>
          <w:rFonts w:ascii="Palatino Linotype" w:hAnsi="Palatino Linotype" w:eastAsia="Palatino Linotype" w:cs="Times New Roman"/>
          <w:b/>
          <w:bCs/>
          <w:kern w:val="0"/>
          <w14:ligatures w14:val="none"/>
        </w:rPr>
        <w:t>s</w:t>
      </w:r>
    </w:p>
    <w:p w:rsidR="00F3746E" w:rsidP="000B7BAB" w:rsidRDefault="00F3746E" w14:paraId="15368447" w14:textId="77777777">
      <w:pPr>
        <w:tabs>
          <w:tab w:val="left" w:pos="2210"/>
        </w:tabs>
        <w:contextualSpacing/>
        <w:rPr>
          <w:rFonts w:ascii="Palatino Linotype" w:hAnsi="Palatino Linotype" w:eastAsia="Palatino Linotype" w:cs="Times New Roman"/>
          <w:kern w:val="0"/>
          <w14:ligatures w14:val="none"/>
        </w:rPr>
      </w:pPr>
    </w:p>
    <w:p w:rsidR="00F3746E" w:rsidP="000B7BAB" w:rsidRDefault="004E57AF" w14:paraId="4E3BB68A" w14:textId="3A5CAEE6">
      <w:pPr>
        <w:tabs>
          <w:tab w:val="left" w:pos="2210"/>
        </w:tabs>
        <w:contextualSpacing/>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Grantees </w:t>
      </w:r>
      <w:r w:rsidRPr="00A90E00" w:rsidR="00A90E00">
        <w:rPr>
          <w:rFonts w:ascii="Palatino Linotype" w:hAnsi="Palatino Linotype" w:eastAsia="Palatino Linotype" w:cs="Times New Roman"/>
          <w:kern w:val="0"/>
          <w14:ligatures w14:val="none"/>
        </w:rPr>
        <w:t xml:space="preserve">are required to comply with all the guidelines, requirements, and conditions associated with the grant of CASF funds as specified in </w:t>
      </w:r>
      <w:r w:rsidRPr="00420A3B" w:rsidR="00420A3B">
        <w:rPr>
          <w:rFonts w:ascii="Palatino Linotype" w:hAnsi="Palatino Linotype" w:eastAsia="Palatino Linotype" w:cs="Times New Roman"/>
          <w:kern w:val="0"/>
          <w14:ligatures w14:val="none"/>
        </w:rPr>
        <w:t>D.25-11-003</w:t>
      </w:r>
      <w:r w:rsidR="000F14A5">
        <w:rPr>
          <w:rFonts w:ascii="Palatino Linotype" w:hAnsi="Palatino Linotype" w:eastAsia="Palatino Linotype" w:cs="Times New Roman"/>
          <w:kern w:val="0"/>
          <w14:ligatures w14:val="none"/>
        </w:rPr>
        <w:t xml:space="preserve"> </w:t>
      </w:r>
      <w:r w:rsidRPr="000F14A5" w:rsidR="000F14A5">
        <w:rPr>
          <w:rFonts w:ascii="Palatino Linotype" w:hAnsi="Palatino Linotype" w:eastAsia="Palatino Linotype" w:cs="Times New Roman"/>
          <w:kern w:val="0"/>
          <w14:ligatures w14:val="none"/>
        </w:rPr>
        <w:t>and this Resolution</w:t>
      </w:r>
      <w:r w:rsidRPr="00A90E00" w:rsidR="00A90E00">
        <w:rPr>
          <w:rFonts w:ascii="Palatino Linotype" w:hAnsi="Palatino Linotype" w:eastAsia="Palatino Linotype" w:cs="Times New Roman"/>
          <w:kern w:val="0"/>
          <w14:ligatures w14:val="none"/>
        </w:rPr>
        <w:t>. Such compliance includes but is not limited to the items listed below</w:t>
      </w:r>
      <w:r w:rsidR="00791A19">
        <w:rPr>
          <w:rFonts w:ascii="Palatino Linotype" w:hAnsi="Palatino Linotype" w:eastAsia="Palatino Linotype" w:cs="Times New Roman"/>
          <w:kern w:val="0"/>
          <w14:ligatures w14:val="none"/>
        </w:rPr>
        <w:t xml:space="preserve">, </w:t>
      </w:r>
      <w:r w:rsidRPr="00791A19" w:rsidR="00791A19">
        <w:rPr>
          <w:rFonts w:ascii="Palatino Linotype" w:hAnsi="Palatino Linotype" w:eastAsia="Palatino Linotype" w:cs="Times New Roman"/>
          <w:kern w:val="0"/>
          <w14:ligatures w14:val="none"/>
        </w:rPr>
        <w:t>with details provided</w:t>
      </w:r>
      <w:r w:rsidR="007827D0">
        <w:rPr>
          <w:rFonts w:ascii="Palatino Linotype" w:hAnsi="Palatino Linotype" w:eastAsia="Palatino Linotype" w:cs="Times New Roman"/>
          <w:kern w:val="0"/>
          <w14:ligatures w14:val="none"/>
        </w:rPr>
        <w:t xml:space="preserve"> </w:t>
      </w:r>
      <w:r w:rsidR="00B4768E">
        <w:rPr>
          <w:rFonts w:ascii="Palatino Linotype" w:hAnsi="Palatino Linotype" w:eastAsia="Palatino Linotype" w:cs="Times New Roman"/>
          <w:kern w:val="0"/>
          <w14:ligatures w14:val="none"/>
        </w:rPr>
        <w:t>in Appendix A</w:t>
      </w:r>
      <w:r w:rsidRPr="00A90E00" w:rsidR="00A90E00">
        <w:rPr>
          <w:rFonts w:ascii="Palatino Linotype" w:hAnsi="Palatino Linotype" w:eastAsia="Palatino Linotype" w:cs="Times New Roman"/>
          <w:kern w:val="0"/>
          <w14:ligatures w14:val="none"/>
        </w:rPr>
        <w:t>.</w:t>
      </w:r>
      <w:r w:rsidRPr="00055838" w:rsidR="003162F2">
        <w:rPr>
          <w:rStyle w:val="FootnoteReference"/>
          <w:rFonts w:ascii="Palatino Linotype" w:hAnsi="Palatino Linotype" w:eastAsia="Palatino Linotype" w:cs="Times New Roman"/>
          <w:kern w:val="0"/>
          <w14:ligatures w14:val="none"/>
        </w:rPr>
        <w:footnoteReference w:id="16"/>
      </w:r>
    </w:p>
    <w:p w:rsidR="00F3746E" w:rsidP="000B7BAB" w:rsidRDefault="00F3746E" w14:paraId="3AF246EB" w14:textId="77777777">
      <w:pPr>
        <w:tabs>
          <w:tab w:val="left" w:pos="2210"/>
        </w:tabs>
        <w:contextualSpacing/>
        <w:rPr>
          <w:rFonts w:ascii="Palatino Linotype" w:hAnsi="Palatino Linotype" w:eastAsia="Palatino Linotype" w:cs="Times New Roman"/>
          <w:kern w:val="0"/>
          <w14:ligatures w14:val="none"/>
        </w:rPr>
      </w:pPr>
    </w:p>
    <w:p w:rsidRPr="0004014D" w:rsidR="0053175E" w:rsidP="0004014D" w:rsidRDefault="00F05CEB" w14:paraId="3B1784D1" w14:textId="616BF15A">
      <w:pPr>
        <w:pStyle w:val="ListParagraph"/>
        <w:numPr>
          <w:ilvl w:val="0"/>
          <w:numId w:val="34"/>
        </w:numPr>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Execution and Performance</w:t>
      </w:r>
    </w:p>
    <w:p w:rsidRPr="0004014D" w:rsidR="000333EB" w:rsidP="0004014D" w:rsidRDefault="00B571B6" w14:paraId="7C0015AB" w14:textId="66938C24">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 xml:space="preserve">Public Workshop </w:t>
      </w:r>
      <w:r w:rsidRPr="0004014D" w:rsidR="00EB1BD4">
        <w:rPr>
          <w:rFonts w:ascii="Palatino Linotype" w:hAnsi="Palatino Linotype" w:eastAsia="Palatino Linotype" w:cs="Times New Roman"/>
          <w:i/>
          <w:iCs/>
          <w:kern w:val="0"/>
          <w14:ligatures w14:val="none"/>
        </w:rPr>
        <w:t>R</w:t>
      </w:r>
      <w:r w:rsidRPr="0004014D">
        <w:rPr>
          <w:rFonts w:ascii="Palatino Linotype" w:hAnsi="Palatino Linotype" w:eastAsia="Palatino Linotype" w:cs="Times New Roman"/>
          <w:i/>
          <w:iCs/>
          <w:kern w:val="0"/>
          <w14:ligatures w14:val="none"/>
        </w:rPr>
        <w:t>equirement</w:t>
      </w:r>
    </w:p>
    <w:p w:rsidRPr="0004014D" w:rsidR="0072707E" w:rsidP="0004014D" w:rsidRDefault="00B332C0" w14:paraId="602A83AA" w14:textId="08AD7FDF">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Fiscal Agent</w:t>
      </w:r>
    </w:p>
    <w:p w:rsidRPr="0004014D" w:rsidR="008B139F" w:rsidP="0004014D" w:rsidRDefault="008B139F" w14:paraId="26B26478" w14:textId="27AA200C">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Distinguishing CASF from other Financial Resources</w:t>
      </w:r>
    </w:p>
    <w:p w:rsidRPr="0004014D" w:rsidR="00F00F20" w:rsidP="0004014D" w:rsidRDefault="00A950D1" w14:paraId="7B1F62E3" w14:textId="6C219411">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Annual Audit</w:t>
      </w:r>
    </w:p>
    <w:p w:rsidRPr="0004014D" w:rsidR="00A950D1" w:rsidP="0004014D" w:rsidRDefault="00A950D1" w14:paraId="659547EB" w14:textId="0A5BA41B">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Reporting</w:t>
      </w:r>
    </w:p>
    <w:p w:rsidRPr="0004014D" w:rsidR="003125AF" w:rsidP="0004014D" w:rsidRDefault="0064264A" w14:paraId="20DCC23B" w14:textId="1B8E2549">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Payments</w:t>
      </w:r>
    </w:p>
    <w:p w:rsidRPr="0004014D" w:rsidR="004240FC" w:rsidP="0004014D" w:rsidRDefault="004240FC" w14:paraId="4192065D" w14:textId="2CA8002E">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Oversight of Consortia Activities</w:t>
      </w:r>
    </w:p>
    <w:p w:rsidRPr="0004014D" w:rsidR="004240FC" w:rsidP="0004014D" w:rsidRDefault="002F68D7" w14:paraId="42AC5294" w14:textId="230707B5">
      <w:pPr>
        <w:pStyle w:val="ListParagraph"/>
        <w:numPr>
          <w:ilvl w:val="0"/>
          <w:numId w:val="34"/>
        </w:numPr>
        <w:tabs>
          <w:tab w:val="left" w:pos="720"/>
        </w:tabs>
        <w:rPr>
          <w:rFonts w:ascii="Palatino Linotype" w:hAnsi="Palatino Linotype" w:eastAsia="Palatino Linotype" w:cs="Times New Roman"/>
          <w:i/>
          <w:iCs/>
          <w:kern w:val="0"/>
          <w14:ligatures w14:val="none"/>
        </w:rPr>
      </w:pPr>
      <w:r w:rsidRPr="0004014D">
        <w:rPr>
          <w:rFonts w:ascii="Palatino Linotype" w:hAnsi="Palatino Linotype" w:eastAsia="Palatino Linotype" w:cs="Times New Roman"/>
          <w:i/>
          <w:iCs/>
          <w:kern w:val="0"/>
          <w14:ligatures w14:val="none"/>
        </w:rPr>
        <w:t>Use of CASF Funds</w:t>
      </w:r>
    </w:p>
    <w:p w:rsidR="00FD6F13" w:rsidP="00EF399B" w:rsidRDefault="00FD6F13" w14:paraId="54D3A23B" w14:textId="0868ADFE">
      <w:pPr>
        <w:contextualSpacing/>
        <w:rPr>
          <w:rFonts w:ascii="Palatino Linotype" w:hAnsi="Palatino Linotype" w:eastAsia="Palatino Linotype" w:cs="Times New Roman"/>
          <w:kern w:val="0"/>
          <w14:ligatures w14:val="none"/>
        </w:rPr>
      </w:pPr>
    </w:p>
    <w:p w:rsidRPr="001E08D2" w:rsidR="00297EFE" w:rsidP="00297EFE" w:rsidRDefault="004B01B6" w14:paraId="3B85818D" w14:textId="68131017">
      <w:pPr>
        <w:keepNext/>
        <w:spacing w:before="120" w:after="240"/>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COMMENTS</w:t>
      </w:r>
    </w:p>
    <w:p w:rsidR="00FD621E" w:rsidP="00EF399B" w:rsidRDefault="00C90678" w14:paraId="093D2163" w14:textId="371C4CF4">
      <w:pPr>
        <w:contextualSpacing/>
        <w:rPr>
          <w:rFonts w:ascii="Palatino Linotype" w:hAnsi="Palatino Linotype" w:eastAsia="Palatino Linotype" w:cs="Times New Roman"/>
          <w:kern w:val="0"/>
          <w14:ligatures w14:val="none"/>
        </w:rPr>
      </w:pPr>
      <w:r w:rsidRPr="00C90678">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00FD621E" w:rsidP="00EF399B" w:rsidRDefault="00FD621E" w14:paraId="0E0F54DC" w14:textId="77777777">
      <w:pPr>
        <w:contextualSpacing/>
        <w:rPr>
          <w:rFonts w:ascii="Palatino Linotype" w:hAnsi="Palatino Linotype" w:eastAsia="Palatino Linotype" w:cs="Times New Roman"/>
          <w:kern w:val="0"/>
          <w14:ligatures w14:val="none"/>
        </w:rPr>
      </w:pPr>
    </w:p>
    <w:p w:rsidR="00FD621E" w:rsidP="00EF399B" w:rsidRDefault="004B01B6" w14:paraId="1143ACE9" w14:textId="63FD5B6D">
      <w:pPr>
        <w:contextualSpacing/>
        <w:rPr>
          <w:rFonts w:ascii="Palatino Linotype" w:hAnsi="Palatino Linotype" w:eastAsia="Palatino Linotype" w:cs="Times New Roman"/>
          <w:kern w:val="0"/>
          <w14:ligatures w14:val="none"/>
        </w:rPr>
      </w:pPr>
      <w:r w:rsidRPr="004B01B6">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4B01B6">
        <w:rPr>
          <w:rFonts w:ascii="Palatino Linotype" w:hAnsi="Palatino Linotype" w:eastAsia="Palatino Linotype" w:cs="Times New Roman"/>
          <w:kern w:val="0"/>
          <w14:ligatures w14:val="none"/>
        </w:rPr>
        <w:lastRenderedPageBreak/>
        <w:t xml:space="preserve">comments </w:t>
      </w:r>
      <w:r w:rsidRPr="002654B4" w:rsidR="00982FCC">
        <w:rPr>
          <w:rFonts w:ascii="Palatino Linotype" w:hAnsi="Palatino Linotype" w:eastAsia="Palatino Linotype" w:cs="Times New Roman"/>
          <w:kern w:val="0"/>
          <w14:ligatures w14:val="none"/>
        </w:rPr>
        <w:t xml:space="preserve">and will be placed on the Commission’s agenda no earlier than 30 days from </w:t>
      </w:r>
      <w:r w:rsidR="00D44BBE">
        <w:rPr>
          <w:rFonts w:ascii="Palatino Linotype" w:hAnsi="Palatino Linotype" w:eastAsia="Palatino Linotype" w:cs="Times New Roman"/>
          <w:kern w:val="0"/>
          <w14:ligatures w14:val="none"/>
        </w:rPr>
        <w:t>today</w:t>
      </w:r>
      <w:r w:rsidR="002654B4">
        <w:rPr>
          <w:rFonts w:ascii="Palatino Linotype" w:hAnsi="Palatino Linotype" w:eastAsia="Palatino Linotype" w:cs="Times New Roman"/>
          <w:kern w:val="0"/>
          <w14:ligatures w14:val="none"/>
        </w:rPr>
        <w:t>.</w:t>
      </w:r>
    </w:p>
    <w:p w:rsidR="00FD621E" w:rsidP="00EF399B" w:rsidRDefault="00FD621E" w14:paraId="64A52C4B" w14:textId="77777777">
      <w:pPr>
        <w:contextualSpacing/>
        <w:rPr>
          <w:rFonts w:ascii="Palatino Linotype" w:hAnsi="Palatino Linotype" w:eastAsia="Palatino Linotype" w:cs="Times New Roman"/>
          <w:kern w:val="0"/>
          <w14:ligatures w14:val="none"/>
        </w:rPr>
      </w:pPr>
    </w:p>
    <w:p w:rsidR="00840174" w:rsidP="00840174" w:rsidRDefault="001D5DD5" w14:paraId="6521EA68" w14:textId="279F0F61">
      <w:pPr>
        <w:contextualSpacing/>
        <w:rPr>
          <w:rFonts w:ascii="Palatino Linotype" w:hAnsi="Palatino Linotype" w:eastAsia="Palatino Linotype" w:cs="Times New Roman"/>
          <w:kern w:val="0"/>
          <w14:ligatures w14:val="none"/>
        </w:rPr>
      </w:pPr>
      <w:r w:rsidRPr="001D5DD5">
        <w:rPr>
          <w:rFonts w:ascii="Palatino Linotype" w:hAnsi="Palatino Linotype" w:eastAsia="Palatino Linotype" w:cs="Times New Roman"/>
          <w:kern w:val="0"/>
          <w14:ligatures w14:val="none"/>
        </w:rPr>
        <w:t xml:space="preserve">The Commission received comments from the County of San Mateo on May 20, </w:t>
      </w:r>
      <w:proofErr w:type="gramStart"/>
      <w:r w:rsidRPr="001D5DD5">
        <w:rPr>
          <w:rFonts w:ascii="Palatino Linotype" w:hAnsi="Palatino Linotype" w:eastAsia="Palatino Linotype" w:cs="Times New Roman"/>
          <w:kern w:val="0"/>
          <w14:ligatures w14:val="none"/>
        </w:rPr>
        <w:t>2026</w:t>
      </w:r>
      <w:proofErr w:type="gramEnd"/>
      <w:r w:rsidRPr="001D5DD5">
        <w:rPr>
          <w:rFonts w:ascii="Palatino Linotype" w:hAnsi="Palatino Linotype" w:eastAsia="Palatino Linotype" w:cs="Times New Roman"/>
          <w:kern w:val="0"/>
          <w14:ligatures w14:val="none"/>
        </w:rPr>
        <w:t xml:space="preserve"> and the County of Santa Clara</w:t>
      </w:r>
      <w:r>
        <w:rPr>
          <w:rFonts w:ascii="Palatino Linotype" w:hAnsi="Palatino Linotype" w:eastAsia="Palatino Linotype" w:cs="Times New Roman"/>
          <w:kern w:val="0"/>
          <w14:ligatures w14:val="none"/>
        </w:rPr>
        <w:t xml:space="preserve"> on</w:t>
      </w:r>
      <w:r w:rsidRPr="001D5DD5">
        <w:rPr>
          <w:rFonts w:ascii="Palatino Linotype" w:hAnsi="Palatino Linotype" w:eastAsia="Palatino Linotype" w:cs="Times New Roman"/>
          <w:kern w:val="0"/>
          <w14:ligatures w14:val="none"/>
        </w:rPr>
        <w:t xml:space="preserve"> May 21</w:t>
      </w:r>
      <w:r w:rsidR="00C92AC2">
        <w:rPr>
          <w:rFonts w:ascii="Palatino Linotype" w:hAnsi="Palatino Linotype" w:eastAsia="Palatino Linotype" w:cs="Times New Roman"/>
          <w:kern w:val="0"/>
          <w14:ligatures w14:val="none"/>
        </w:rPr>
        <w:t>, 2026</w:t>
      </w:r>
      <w:r w:rsidRPr="001D5DD5">
        <w:rPr>
          <w:rFonts w:ascii="Palatino Linotype" w:hAnsi="Palatino Linotype" w:eastAsia="Palatino Linotype" w:cs="Times New Roman"/>
          <w:kern w:val="0"/>
          <w14:ligatures w14:val="none"/>
        </w:rPr>
        <w:t>.</w:t>
      </w:r>
      <w:r w:rsidR="00104228">
        <w:rPr>
          <w:rStyle w:val="FootnoteReference"/>
          <w:rFonts w:ascii="Palatino Linotype" w:hAnsi="Palatino Linotype" w:eastAsia="Palatino Linotype" w:cs="Times New Roman"/>
          <w:kern w:val="0"/>
          <w14:ligatures w14:val="none"/>
        </w:rPr>
        <w:footnoteReference w:id="17"/>
      </w:r>
      <w:r w:rsidRPr="001D5DD5">
        <w:rPr>
          <w:rFonts w:ascii="Palatino Linotype" w:hAnsi="Palatino Linotype" w:eastAsia="Palatino Linotype" w:cs="Times New Roman"/>
          <w:kern w:val="0"/>
          <w14:ligatures w14:val="none"/>
        </w:rPr>
        <w:t xml:space="preserve"> </w:t>
      </w:r>
    </w:p>
    <w:p w:rsidRPr="00840174" w:rsidR="001D5DD5" w:rsidP="00840174" w:rsidRDefault="001D5DD5" w14:paraId="3D614A59" w14:textId="77777777">
      <w:pPr>
        <w:contextualSpacing/>
        <w:rPr>
          <w:rFonts w:ascii="Palatino Linotype" w:hAnsi="Palatino Linotype" w:eastAsia="Palatino Linotype" w:cs="Times New Roman"/>
          <w:kern w:val="0"/>
          <w14:ligatures w14:val="none"/>
        </w:rPr>
      </w:pPr>
    </w:p>
    <w:p w:rsidRPr="00840174" w:rsidR="00840174" w:rsidP="00840174" w:rsidRDefault="00840174" w14:paraId="612A71D8" w14:textId="32BEA4F2">
      <w:pPr>
        <w:contextualSpacing/>
        <w:rPr>
          <w:rFonts w:ascii="Palatino Linotype" w:hAnsi="Palatino Linotype" w:eastAsia="Palatino Linotype" w:cs="Times New Roman"/>
          <w:kern w:val="0"/>
          <w14:ligatures w14:val="none"/>
        </w:rPr>
      </w:pPr>
      <w:r w:rsidRPr="00840174">
        <w:rPr>
          <w:rFonts w:ascii="Palatino Linotype" w:hAnsi="Palatino Linotype" w:eastAsia="Palatino Linotype" w:cs="Times New Roman"/>
          <w:kern w:val="0"/>
          <w14:ligatures w14:val="none"/>
        </w:rPr>
        <w:t>The Commission received no reply comments.</w:t>
      </w:r>
    </w:p>
    <w:p w:rsidRPr="00840174" w:rsidR="00840174" w:rsidP="00840174" w:rsidRDefault="00840174" w14:paraId="345E520C" w14:textId="77777777">
      <w:pPr>
        <w:contextualSpacing/>
        <w:rPr>
          <w:rFonts w:ascii="Palatino Linotype" w:hAnsi="Palatino Linotype" w:eastAsia="Palatino Linotype" w:cs="Times New Roman"/>
          <w:kern w:val="0"/>
          <w14:ligatures w14:val="none"/>
        </w:rPr>
      </w:pPr>
    </w:p>
    <w:p w:rsidRPr="00840174" w:rsidR="00840174" w:rsidP="00840174" w:rsidRDefault="00840174" w14:paraId="217E6363" w14:textId="72BF6E6D">
      <w:pPr>
        <w:contextualSpacing/>
        <w:rPr>
          <w:rFonts w:ascii="Palatino Linotype" w:hAnsi="Palatino Linotype" w:eastAsia="Palatino Linotype" w:cs="Times New Roman"/>
          <w:kern w:val="0"/>
          <w14:ligatures w14:val="none"/>
        </w:rPr>
      </w:pPr>
      <w:r w:rsidRPr="5BCFE9D5">
        <w:rPr>
          <w:rFonts w:ascii="Palatino Linotype" w:hAnsi="Palatino Linotype" w:eastAsia="Palatino Linotype" w:cs="Times New Roman"/>
        </w:rPr>
        <w:t xml:space="preserve">The County of San Mateo </w:t>
      </w:r>
      <w:r w:rsidRPr="5BCFE9D5" w:rsidR="00032C26">
        <w:rPr>
          <w:rFonts w:ascii="Palatino Linotype" w:hAnsi="Palatino Linotype" w:eastAsia="Palatino Linotype" w:cs="Times New Roman"/>
        </w:rPr>
        <w:t xml:space="preserve">and County of Santa Clara </w:t>
      </w:r>
      <w:r w:rsidRPr="5BCFE9D5">
        <w:rPr>
          <w:rFonts w:ascii="Palatino Linotype" w:hAnsi="Palatino Linotype" w:eastAsia="Palatino Linotype" w:cs="Times New Roman"/>
        </w:rPr>
        <w:t>recommend that the Commission re-evaluate the scoring of the Silicon Valley Broadband Consortium (SVBC) application. The comments state that SVBC should receive additional consideration for regional representation and endorsements, regional consortium and member experience, Work Plan and Performance Metrics Plan, and budget. The comments also state that SVBC’s proposed consortium</w:t>
      </w:r>
      <w:r w:rsidR="005D4377">
        <w:rPr>
          <w:rFonts w:ascii="Palatino Linotype" w:hAnsi="Palatino Linotype" w:eastAsia="Palatino Linotype" w:cs="Times New Roman"/>
        </w:rPr>
        <w:t xml:space="preserve"> representation</w:t>
      </w:r>
      <w:r w:rsidRPr="5BCFE9D5">
        <w:rPr>
          <w:rFonts w:ascii="Palatino Linotype" w:hAnsi="Palatino Linotype" w:eastAsia="Palatino Linotype" w:cs="Times New Roman"/>
        </w:rPr>
        <w:t xml:space="preserve"> includes government participation from San Mateo County and Santa Clara County, and that Joint Venture Silicon Valley has additional wireless and broadband-related project experience.</w:t>
      </w:r>
      <w:r w:rsidR="0022701E">
        <w:rPr>
          <w:rStyle w:val="FootnoteReference"/>
          <w:rFonts w:ascii="Palatino Linotype" w:hAnsi="Palatino Linotype" w:eastAsia="Palatino Linotype" w:cs="Times New Roman"/>
        </w:rPr>
        <w:footnoteReference w:id="18"/>
      </w:r>
    </w:p>
    <w:p w:rsidRPr="00840174" w:rsidR="00840174" w:rsidP="00840174" w:rsidRDefault="00840174" w14:paraId="08B79C51" w14:textId="77777777">
      <w:pPr>
        <w:contextualSpacing/>
        <w:rPr>
          <w:rFonts w:ascii="Palatino Linotype" w:hAnsi="Palatino Linotype" w:eastAsia="Palatino Linotype" w:cs="Times New Roman"/>
          <w:kern w:val="0"/>
          <w14:ligatures w14:val="none"/>
        </w:rPr>
      </w:pPr>
    </w:p>
    <w:p w:rsidRPr="00840174" w:rsidR="00840174" w:rsidP="1F6BF898" w:rsidRDefault="00840174" w14:paraId="06F4909E" w14:textId="5A65D2EE">
      <w:pPr>
        <w:contextualSpacing/>
        <w:rPr>
          <w:rFonts w:ascii="Palatino Linotype" w:hAnsi="Palatino Linotype" w:eastAsia="Palatino Linotype" w:cs="Times New Roman"/>
          <w:kern w:val="0"/>
          <w14:ligatures w14:val="none"/>
        </w:rPr>
      </w:pPr>
      <w:r w:rsidRPr="1F6BF898">
        <w:rPr>
          <w:rFonts w:ascii="Palatino Linotype" w:hAnsi="Palatino Linotype" w:eastAsia="Palatino Linotype" w:cs="Times New Roman"/>
        </w:rPr>
        <w:t xml:space="preserve">Staff evaluated SVBC’s application </w:t>
      </w:r>
      <w:r w:rsidRPr="1F6BF898" w:rsidR="450C7F95">
        <w:rPr>
          <w:rFonts w:ascii="Palatino Linotype" w:hAnsi="Palatino Linotype" w:eastAsia="Palatino Linotype" w:cs="Times New Roman"/>
        </w:rPr>
        <w:t>according to the guidelines, requirements, and evaluation criteria adopted in D.25-11-003</w:t>
      </w:r>
      <w:r w:rsidRPr="1F6BF898" w:rsidR="1B0D6485">
        <w:rPr>
          <w:rFonts w:ascii="Palatino Linotype" w:hAnsi="Palatino Linotype" w:eastAsia="Palatino Linotype" w:cs="Times New Roman"/>
        </w:rPr>
        <w:t>.</w:t>
      </w:r>
      <w:r w:rsidRPr="1F6BF898">
        <w:rPr>
          <w:rFonts w:ascii="Palatino Linotype" w:hAnsi="Palatino Linotype" w:eastAsia="Palatino Linotype" w:cs="Times New Roman"/>
        </w:rPr>
        <w:t xml:space="preserve"> </w:t>
      </w:r>
      <w:r w:rsidRPr="1F6BF898" w:rsidR="4F9CFA43">
        <w:rPr>
          <w:rFonts w:ascii="Palatino Linotype" w:hAnsi="Palatino Linotype" w:eastAsia="Palatino Linotype" w:cs="Times New Roman"/>
        </w:rPr>
        <w:t xml:space="preserve">Consistent with D.25-11-003, </w:t>
      </w:r>
      <w:r w:rsidRPr="1F6BF898">
        <w:rPr>
          <w:rFonts w:ascii="Palatino Linotype" w:hAnsi="Palatino Linotype" w:eastAsia="Palatino Linotype" w:cs="Times New Roman"/>
        </w:rPr>
        <w:t>SVBC</w:t>
      </w:r>
      <w:r w:rsidRPr="1F6BF898" w:rsidR="4627E64A">
        <w:rPr>
          <w:rFonts w:ascii="Palatino Linotype" w:hAnsi="Palatino Linotype" w:eastAsia="Palatino Linotype" w:cs="Times New Roman"/>
        </w:rPr>
        <w:t xml:space="preserve"> received a numerical score</w:t>
      </w:r>
      <w:r w:rsidRPr="1F6BF898">
        <w:rPr>
          <w:rFonts w:ascii="Palatino Linotype" w:hAnsi="Palatino Linotype" w:eastAsia="Palatino Linotype" w:cs="Times New Roman"/>
        </w:rPr>
        <w:t xml:space="preserve"> for its local government participation, endorsement letters, telecommunications policy expertise, public-sector information technology leadership, and detailed work plan. Staff also </w:t>
      </w:r>
      <w:r w:rsidRPr="1F6BF898" w:rsidR="00A668B7">
        <w:rPr>
          <w:rFonts w:ascii="Palatino Linotype" w:hAnsi="Palatino Linotype" w:eastAsia="Palatino Linotype" w:cs="Times New Roman"/>
        </w:rPr>
        <w:t>evaluated the</w:t>
      </w:r>
      <w:r w:rsidRPr="1F6BF898">
        <w:rPr>
          <w:rFonts w:ascii="Palatino Linotype" w:hAnsi="Palatino Linotype" w:eastAsia="Palatino Linotype" w:cs="Times New Roman"/>
        </w:rPr>
        <w:t xml:space="preserve"> application materials submitted for EMCSVC under the same scoring criteria.</w:t>
      </w:r>
      <w:r w:rsidR="008225AF">
        <w:rPr>
          <w:rStyle w:val="FootnoteReference"/>
          <w:rFonts w:ascii="Palatino Linotype" w:hAnsi="Palatino Linotype" w:eastAsia="Palatino Linotype" w:cs="Times New Roman"/>
        </w:rPr>
        <w:footnoteReference w:id="19"/>
      </w:r>
      <w:r w:rsidRPr="1F6BF898">
        <w:rPr>
          <w:rFonts w:ascii="Palatino Linotype" w:hAnsi="Palatino Linotype" w:eastAsia="Palatino Linotype" w:cs="Times New Roman"/>
        </w:rPr>
        <w:t xml:space="preserve"> </w:t>
      </w:r>
      <w:r w:rsidRPr="1F6BF898" w:rsidR="51B37D3D">
        <w:rPr>
          <w:rFonts w:ascii="Palatino Linotype" w:hAnsi="Palatino Linotype" w:eastAsia="Palatino Linotype" w:cs="Times New Roman"/>
        </w:rPr>
        <w:t>B</w:t>
      </w:r>
      <w:r w:rsidRPr="1F6BF898" w:rsidR="4623D576">
        <w:rPr>
          <w:rFonts w:ascii="Palatino Linotype" w:hAnsi="Palatino Linotype" w:eastAsia="Palatino Linotype" w:cs="Times New Roman"/>
        </w:rPr>
        <w:t>ased on the submitted materials,</w:t>
      </w:r>
      <w:r w:rsidRPr="1F6BF898">
        <w:rPr>
          <w:rFonts w:ascii="Palatino Linotype" w:hAnsi="Palatino Linotype" w:eastAsia="Palatino Linotype" w:cs="Times New Roman"/>
        </w:rPr>
        <w:t xml:space="preserve"> EMCSVC receiv</w:t>
      </w:r>
      <w:r w:rsidRPr="1F6BF898" w:rsidR="5EDA9FE8">
        <w:rPr>
          <w:rFonts w:ascii="Palatino Linotype" w:hAnsi="Palatino Linotype" w:eastAsia="Palatino Linotype" w:cs="Times New Roman"/>
        </w:rPr>
        <w:t>ed</w:t>
      </w:r>
      <w:r w:rsidRPr="1F6BF898">
        <w:rPr>
          <w:rFonts w:ascii="Palatino Linotype" w:hAnsi="Palatino Linotype" w:eastAsia="Palatino Linotype" w:cs="Times New Roman"/>
        </w:rPr>
        <w:t xml:space="preserve"> </w:t>
      </w:r>
      <w:r w:rsidRPr="1F6BF898" w:rsidR="296082CA">
        <w:rPr>
          <w:rFonts w:ascii="Palatino Linotype" w:hAnsi="Palatino Linotype" w:eastAsia="Palatino Linotype" w:cs="Times New Roman"/>
        </w:rPr>
        <w:t>a</w:t>
      </w:r>
      <w:r w:rsidRPr="1F6BF898">
        <w:rPr>
          <w:rFonts w:ascii="Palatino Linotype" w:hAnsi="Palatino Linotype" w:eastAsia="Palatino Linotype" w:cs="Times New Roman"/>
        </w:rPr>
        <w:t xml:space="preserve"> higher final score and</w:t>
      </w:r>
      <w:r w:rsidRPr="1F6BF898" w:rsidR="190605DB">
        <w:rPr>
          <w:rFonts w:ascii="Palatino Linotype" w:hAnsi="Palatino Linotype" w:eastAsia="Palatino Linotype" w:cs="Times New Roman"/>
        </w:rPr>
        <w:t xml:space="preserve"> therefore</w:t>
      </w:r>
      <w:r w:rsidRPr="1F6BF898">
        <w:rPr>
          <w:rFonts w:ascii="Palatino Linotype" w:hAnsi="Palatino Linotype" w:eastAsia="Palatino Linotype" w:cs="Times New Roman"/>
        </w:rPr>
        <w:t xml:space="preserve"> </w:t>
      </w:r>
      <w:r w:rsidRPr="1F6BF898" w:rsidR="6218EA02">
        <w:rPr>
          <w:rFonts w:ascii="Palatino Linotype" w:hAnsi="Palatino Linotype" w:eastAsia="Palatino Linotype" w:cs="Times New Roman"/>
        </w:rPr>
        <w:t>is</w:t>
      </w:r>
      <w:r w:rsidRPr="1F6BF898">
        <w:rPr>
          <w:rFonts w:ascii="Palatino Linotype" w:hAnsi="Palatino Linotype" w:eastAsia="Palatino Linotype" w:cs="Times New Roman"/>
        </w:rPr>
        <w:t xml:space="preserve"> the recommended awardee for the overlapping San Francisco, San Mateo, and </w:t>
      </w:r>
      <w:r w:rsidRPr="1F6BF898" w:rsidR="00A668B7">
        <w:rPr>
          <w:rFonts w:ascii="Palatino Linotype" w:hAnsi="Palatino Linotype" w:eastAsia="Palatino Linotype" w:cs="Times New Roman"/>
        </w:rPr>
        <w:t>Santa Clara County</w:t>
      </w:r>
      <w:r w:rsidRPr="1F6BF898">
        <w:rPr>
          <w:rFonts w:ascii="Palatino Linotype" w:hAnsi="Palatino Linotype" w:eastAsia="Palatino Linotype" w:cs="Times New Roman"/>
        </w:rPr>
        <w:t xml:space="preserve"> region.</w:t>
      </w:r>
      <w:r w:rsidRPr="1F6BF898" w:rsidR="004F1A8B">
        <w:rPr>
          <w:rFonts w:ascii="Palatino Linotype" w:hAnsi="Palatino Linotype" w:eastAsia="Palatino Linotype" w:cs="Times New Roman"/>
        </w:rPr>
        <w:t xml:space="preserve"> </w:t>
      </w:r>
    </w:p>
    <w:p w:rsidRPr="00840174" w:rsidR="00840174" w:rsidP="00840174" w:rsidRDefault="00840174" w14:paraId="6F5CB1EC" w14:textId="77777777">
      <w:pPr>
        <w:contextualSpacing/>
        <w:rPr>
          <w:rFonts w:ascii="Palatino Linotype" w:hAnsi="Palatino Linotype" w:eastAsia="Palatino Linotype" w:cs="Times New Roman"/>
          <w:kern w:val="0"/>
          <w14:ligatures w14:val="none"/>
        </w:rPr>
      </w:pPr>
    </w:p>
    <w:p w:rsidR="00840174" w:rsidP="00EF399B" w:rsidRDefault="00840174" w14:paraId="0E49C8C4" w14:textId="2310474F">
      <w:pPr>
        <w:contextualSpacing/>
        <w:rPr>
          <w:rFonts w:ascii="Palatino Linotype" w:hAnsi="Palatino Linotype" w:eastAsia="Palatino Linotype" w:cs="Times New Roman"/>
          <w:kern w:val="0"/>
          <w14:ligatures w14:val="none"/>
        </w:rPr>
      </w:pPr>
      <w:r w:rsidRPr="4B6B02F3">
        <w:rPr>
          <w:rFonts w:ascii="Palatino Linotype" w:hAnsi="Palatino Linotype" w:eastAsia="Palatino Linotype" w:cs="Times New Roman"/>
        </w:rPr>
        <w:t>The County of San Mateo’s</w:t>
      </w:r>
      <w:r w:rsidRPr="4B6B02F3" w:rsidR="008401AF">
        <w:rPr>
          <w:rFonts w:ascii="Palatino Linotype" w:hAnsi="Palatino Linotype" w:eastAsia="Palatino Linotype" w:cs="Times New Roman"/>
        </w:rPr>
        <w:t xml:space="preserve"> and Santa Clara’s</w:t>
      </w:r>
      <w:r w:rsidRPr="4B6B02F3">
        <w:rPr>
          <w:rFonts w:ascii="Palatino Linotype" w:hAnsi="Palatino Linotype" w:eastAsia="Palatino Linotype" w:cs="Times New Roman"/>
        </w:rPr>
        <w:t xml:space="preserve"> comments identify additional information</w:t>
      </w:r>
      <w:r w:rsidRPr="4B6B02F3" w:rsidR="15C74357">
        <w:rPr>
          <w:rFonts w:ascii="Palatino Linotype" w:hAnsi="Palatino Linotype" w:eastAsia="Palatino Linotype" w:cs="Times New Roman"/>
        </w:rPr>
        <w:t xml:space="preserve"> not included in the submitted applications</w:t>
      </w:r>
      <w:r w:rsidRPr="4B6B02F3">
        <w:rPr>
          <w:rFonts w:ascii="Palatino Linotype" w:hAnsi="Palatino Linotype" w:eastAsia="Palatino Linotype" w:cs="Times New Roman"/>
        </w:rPr>
        <w:t xml:space="preserve"> regarding Joint Venture Silicon Valley projects.</w:t>
      </w:r>
      <w:r w:rsidR="0022701E">
        <w:rPr>
          <w:rStyle w:val="FootnoteReference"/>
          <w:rFonts w:ascii="Palatino Linotype" w:hAnsi="Palatino Linotype" w:eastAsia="Palatino Linotype" w:cs="Times New Roman"/>
        </w:rPr>
        <w:footnoteReference w:id="20"/>
      </w:r>
      <w:r w:rsidRPr="4B6B02F3">
        <w:rPr>
          <w:rFonts w:ascii="Palatino Linotype" w:hAnsi="Palatino Linotype" w:eastAsia="Palatino Linotype" w:cs="Times New Roman"/>
        </w:rPr>
        <w:t xml:space="preserve"> </w:t>
      </w:r>
      <w:r w:rsidRPr="4B6B02F3" w:rsidR="6333CC73">
        <w:rPr>
          <w:rFonts w:ascii="Palatino Linotype" w:hAnsi="Palatino Linotype" w:eastAsia="Palatino Linotype" w:cs="Times New Roman"/>
        </w:rPr>
        <w:t>Applications are evaluated</w:t>
      </w:r>
      <w:r w:rsidRPr="4B6B02F3" w:rsidR="300D03E4">
        <w:rPr>
          <w:rFonts w:ascii="Palatino Linotype" w:hAnsi="Palatino Linotype" w:eastAsia="Palatino Linotype" w:cs="Times New Roman"/>
        </w:rPr>
        <w:t xml:space="preserve"> </w:t>
      </w:r>
      <w:r w:rsidRPr="4B6B02F3" w:rsidR="6333CC73">
        <w:rPr>
          <w:rFonts w:ascii="Palatino Linotype" w:hAnsi="Palatino Linotype" w:eastAsia="Palatino Linotype" w:cs="Times New Roman"/>
        </w:rPr>
        <w:t xml:space="preserve">based on </w:t>
      </w:r>
      <w:r w:rsidRPr="4B6B02F3" w:rsidR="2BB3F4FE">
        <w:rPr>
          <w:rFonts w:ascii="Palatino Linotype" w:hAnsi="Palatino Linotype" w:eastAsia="Palatino Linotype" w:cs="Times New Roman"/>
        </w:rPr>
        <w:t xml:space="preserve">the </w:t>
      </w:r>
      <w:r w:rsidRPr="4B6B02F3" w:rsidR="6333CC73">
        <w:rPr>
          <w:rFonts w:ascii="Palatino Linotype" w:hAnsi="Palatino Linotype" w:eastAsia="Palatino Linotype" w:cs="Times New Roman"/>
        </w:rPr>
        <w:t xml:space="preserve">information </w:t>
      </w:r>
      <w:r w:rsidRPr="4B6B02F3" w:rsidR="24DD1845">
        <w:rPr>
          <w:rFonts w:ascii="Palatino Linotype" w:hAnsi="Palatino Linotype" w:eastAsia="Palatino Linotype" w:cs="Times New Roman"/>
        </w:rPr>
        <w:t>contained</w:t>
      </w:r>
      <w:r w:rsidRPr="4B6B02F3" w:rsidR="6333CC73">
        <w:rPr>
          <w:rFonts w:ascii="Palatino Linotype" w:hAnsi="Palatino Linotype" w:eastAsia="Palatino Linotype" w:cs="Times New Roman"/>
        </w:rPr>
        <w:t xml:space="preserve"> in the application</w:t>
      </w:r>
      <w:r w:rsidRPr="4B6B02F3" w:rsidR="18E1D69A">
        <w:rPr>
          <w:rFonts w:ascii="Palatino Linotype" w:hAnsi="Palatino Linotype" w:eastAsia="Palatino Linotype" w:cs="Times New Roman"/>
        </w:rPr>
        <w:t xml:space="preserve"> </w:t>
      </w:r>
      <w:r w:rsidRPr="4B6B02F3" w:rsidR="47FC0628">
        <w:rPr>
          <w:rFonts w:ascii="Palatino Linotype" w:hAnsi="Palatino Linotype" w:eastAsia="Palatino Linotype" w:cs="Times New Roman"/>
        </w:rPr>
        <w:t>as</w:t>
      </w:r>
      <w:r w:rsidRPr="4B6B02F3" w:rsidR="18E1D69A">
        <w:rPr>
          <w:rFonts w:ascii="Palatino Linotype" w:hAnsi="Palatino Linotype" w:eastAsia="Palatino Linotype" w:cs="Times New Roman"/>
        </w:rPr>
        <w:t xml:space="preserve"> submitted</w:t>
      </w:r>
      <w:r w:rsidRPr="4B6B02F3" w:rsidR="51CFFE96">
        <w:rPr>
          <w:rFonts w:ascii="Palatino Linotype" w:hAnsi="Palatino Linotype" w:eastAsia="Palatino Linotype" w:cs="Times New Roman"/>
        </w:rPr>
        <w:t xml:space="preserve"> consistent with</w:t>
      </w:r>
      <w:r w:rsidRPr="4B6B02F3" w:rsidR="3BD4E89B">
        <w:rPr>
          <w:rFonts w:ascii="Palatino Linotype" w:hAnsi="Palatino Linotype" w:eastAsia="Palatino Linotype" w:cs="Times New Roman"/>
        </w:rPr>
        <w:t xml:space="preserve"> criteria established in</w:t>
      </w:r>
      <w:r w:rsidRPr="4B6B02F3" w:rsidR="51CFFE96">
        <w:rPr>
          <w:rFonts w:ascii="Palatino Linotype" w:hAnsi="Palatino Linotype" w:eastAsia="Palatino Linotype" w:cs="Times New Roman"/>
        </w:rPr>
        <w:t xml:space="preserve"> the</w:t>
      </w:r>
      <w:r w:rsidRPr="4B6B02F3" w:rsidR="51CFFE96">
        <w:rPr>
          <w:rFonts w:ascii="Palatino Linotype" w:hAnsi="Palatino Linotype" w:eastAsia="Palatino Linotype" w:cs="Palatino Linotype"/>
          <w:color w:val="000000" w:themeColor="text1"/>
        </w:rPr>
        <w:t xml:space="preserve"> guideline</w:t>
      </w:r>
      <w:r w:rsidRPr="4B6B02F3" w:rsidR="61704C23">
        <w:rPr>
          <w:rFonts w:ascii="Palatino Linotype" w:hAnsi="Palatino Linotype" w:eastAsia="Palatino Linotype" w:cs="Palatino Linotype"/>
          <w:color w:val="000000" w:themeColor="text1"/>
        </w:rPr>
        <w:t>s</w:t>
      </w:r>
      <w:r w:rsidRPr="4B6B02F3" w:rsidR="7553A968">
        <w:rPr>
          <w:rFonts w:ascii="Palatino Linotype" w:hAnsi="Palatino Linotype" w:eastAsia="Palatino Linotype" w:cs="Palatino Linotype"/>
          <w:color w:val="000000" w:themeColor="text1"/>
        </w:rPr>
        <w:t xml:space="preserve"> and</w:t>
      </w:r>
      <w:r w:rsidRPr="4B6B02F3" w:rsidR="51CFFE96">
        <w:rPr>
          <w:rFonts w:ascii="Palatino Linotype" w:hAnsi="Palatino Linotype" w:eastAsia="Palatino Linotype" w:cs="Palatino Linotype"/>
          <w:color w:val="000000" w:themeColor="text1"/>
        </w:rPr>
        <w:t xml:space="preserve"> requirements </w:t>
      </w:r>
      <w:r w:rsidRPr="4B6B02F3" w:rsidR="22BFEC75">
        <w:rPr>
          <w:rFonts w:ascii="Palatino Linotype" w:hAnsi="Palatino Linotype" w:eastAsia="Palatino Linotype" w:cs="Palatino Linotype"/>
          <w:color w:val="000000" w:themeColor="text1"/>
        </w:rPr>
        <w:t>specified</w:t>
      </w:r>
      <w:r w:rsidRPr="4B6B02F3" w:rsidR="51CFFE96">
        <w:rPr>
          <w:rFonts w:ascii="Palatino Linotype" w:hAnsi="Palatino Linotype" w:eastAsia="Palatino Linotype" w:cs="Palatino Linotype"/>
          <w:color w:val="000000" w:themeColor="text1"/>
        </w:rPr>
        <w:t xml:space="preserve"> in D.25-11-003</w:t>
      </w:r>
      <w:r w:rsidRPr="4B6B02F3" w:rsidR="419EDEDD">
        <w:rPr>
          <w:rFonts w:ascii="Palatino Linotype" w:hAnsi="Palatino Linotype" w:eastAsia="Palatino Linotype" w:cs="Palatino Linotype"/>
          <w:color w:val="000000" w:themeColor="text1"/>
        </w:rPr>
        <w:t>.</w:t>
      </w:r>
      <w:r w:rsidRPr="4B6B02F3" w:rsidR="6A35BA27">
        <w:rPr>
          <w:rFonts w:ascii="Palatino Linotype" w:hAnsi="Palatino Linotype" w:eastAsia="Palatino Linotype" w:cs="Palatino Linotype"/>
          <w:color w:val="000000" w:themeColor="text1"/>
        </w:rPr>
        <w:t xml:space="preserve"> </w:t>
      </w:r>
      <w:r w:rsidRPr="4B6B02F3" w:rsidR="4B6B02F3">
        <w:rPr>
          <w:rFonts w:ascii="Palatino Linotype" w:hAnsi="Palatino Linotype" w:eastAsia="Palatino Linotype" w:cs="Times New Roman"/>
        </w:rPr>
        <w:t xml:space="preserve">Therefore, the County </w:t>
      </w:r>
      <w:r w:rsidRPr="4B6B02F3" w:rsidR="44F44811">
        <w:rPr>
          <w:rFonts w:ascii="Palatino Linotype" w:hAnsi="Palatino Linotype" w:eastAsia="Palatino Linotype" w:cs="Times New Roman"/>
        </w:rPr>
        <w:t>of</w:t>
      </w:r>
      <w:r w:rsidRPr="4B6B02F3" w:rsidR="4B6B02F3">
        <w:rPr>
          <w:rFonts w:ascii="Palatino Linotype" w:hAnsi="Palatino Linotype" w:eastAsia="Palatino Linotype" w:cs="Times New Roman"/>
        </w:rPr>
        <w:t xml:space="preserve"> San Mateo’s and Santa Clara’s comments carry no weight in the scoring of this application.</w:t>
      </w:r>
      <w:r w:rsidRPr="4B6B02F3" w:rsidR="48025144">
        <w:rPr>
          <w:rFonts w:ascii="Palatino Linotype" w:hAnsi="Palatino Linotype" w:eastAsia="Palatino Linotype" w:cs="Times New Roman"/>
        </w:rPr>
        <w:t xml:space="preserve"> </w:t>
      </w:r>
      <w:r w:rsidRPr="4B6B02F3" w:rsidR="4B6B02F3">
        <w:rPr>
          <w:rFonts w:ascii="Palatino Linotype" w:hAnsi="Palatino Linotype" w:eastAsia="Palatino Linotype" w:cs="Palatino Linotype"/>
          <w:color w:val="000000" w:themeColor="text1"/>
        </w:rPr>
        <w:t xml:space="preserve">Staff considered the County of San </w:t>
      </w:r>
      <w:proofErr w:type="gramStart"/>
      <w:r w:rsidRPr="4B6B02F3" w:rsidR="4B6B02F3">
        <w:rPr>
          <w:rFonts w:ascii="Palatino Linotype" w:hAnsi="Palatino Linotype" w:eastAsia="Palatino Linotype" w:cs="Palatino Linotype"/>
          <w:color w:val="000000" w:themeColor="text1"/>
        </w:rPr>
        <w:t>Mateo‘</w:t>
      </w:r>
      <w:proofErr w:type="gramEnd"/>
      <w:r w:rsidRPr="4B6B02F3" w:rsidR="4B6B02F3">
        <w:rPr>
          <w:rFonts w:ascii="Palatino Linotype" w:hAnsi="Palatino Linotype" w:eastAsia="Palatino Linotype" w:cs="Palatino Linotype"/>
          <w:color w:val="000000" w:themeColor="text1"/>
        </w:rPr>
        <w:t xml:space="preserve">s and Santa </w:t>
      </w:r>
      <w:proofErr w:type="gramStart"/>
      <w:r w:rsidRPr="4B6B02F3" w:rsidR="4B6B02F3">
        <w:rPr>
          <w:rFonts w:ascii="Palatino Linotype" w:hAnsi="Palatino Linotype" w:eastAsia="Palatino Linotype" w:cs="Palatino Linotype"/>
          <w:color w:val="000000" w:themeColor="text1"/>
        </w:rPr>
        <w:t>Clara‘</w:t>
      </w:r>
      <w:proofErr w:type="gramEnd"/>
      <w:r w:rsidRPr="4B6B02F3" w:rsidR="4B6B02F3">
        <w:rPr>
          <w:rFonts w:ascii="Palatino Linotype" w:hAnsi="Palatino Linotype" w:eastAsia="Palatino Linotype" w:cs="Palatino Linotype"/>
          <w:color w:val="000000" w:themeColor="text1"/>
        </w:rPr>
        <w:t>s comments and finds no basis to modify its recommendation.</w:t>
      </w:r>
      <w:r w:rsidRPr="4B6B02F3" w:rsidR="4B6B02F3">
        <w:rPr>
          <w:rFonts w:ascii="Palatino Linotype" w:hAnsi="Palatino Linotype" w:eastAsia="Palatino Linotype" w:cs="Times New Roman"/>
        </w:rPr>
        <w:t xml:space="preserve">  </w:t>
      </w:r>
    </w:p>
    <w:p w:rsidR="00840174" w:rsidP="00EF399B" w:rsidRDefault="00840174" w14:paraId="4E007EA5" w14:textId="77777777">
      <w:pPr>
        <w:contextualSpacing/>
        <w:rPr>
          <w:rFonts w:ascii="Palatino Linotype" w:hAnsi="Palatino Linotype" w:eastAsia="Palatino Linotype" w:cs="Times New Roman"/>
          <w:kern w:val="0"/>
          <w14:ligatures w14:val="none"/>
        </w:rPr>
      </w:pPr>
    </w:p>
    <w:p w:rsidRPr="00297BA6" w:rsidR="00FD621E" w:rsidP="00297BA6" w:rsidRDefault="009E3393" w14:paraId="55E3D0EF" w14:textId="6B5BC089">
      <w:pPr>
        <w:keepNext/>
        <w:spacing w:before="120" w:after="240"/>
        <w:outlineLvl w:val="0"/>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b/>
          <w:caps/>
          <w:kern w:val="28"/>
          <w:u w:val="single"/>
          <w14:ligatures w14:val="none"/>
        </w:rPr>
        <w:t>FINDINGS AND CONCLUSIONS</w:t>
      </w:r>
    </w:p>
    <w:p w:rsidR="00CB2BCD" w:rsidP="00CB2BCD" w:rsidRDefault="00CB2BCD" w14:paraId="155901E1" w14:textId="791D2C63">
      <w:pPr>
        <w:pStyle w:val="ListParagraph"/>
        <w:numPr>
          <w:ilvl w:val="0"/>
          <w:numId w:val="21"/>
        </w:numPr>
        <w:ind w:left="360"/>
        <w:rPr>
          <w:rFonts w:ascii="Palatino Linotype" w:hAnsi="Palatino Linotype" w:eastAsia="Palatino Linotype" w:cs="Times New Roman"/>
          <w:kern w:val="0"/>
          <w14:ligatures w14:val="none"/>
        </w:rPr>
      </w:pPr>
      <w:r w:rsidRPr="0088606A">
        <w:rPr>
          <w:rFonts w:ascii="Palatino Linotype" w:hAnsi="Palatino Linotype" w:eastAsia="Palatino Linotype" w:cs="Times New Roman"/>
          <w:kern w:val="0"/>
          <w14:ligatures w14:val="none"/>
        </w:rPr>
        <w:t>In July 2021, Governor Newsom signed legislation</w:t>
      </w:r>
      <w:r w:rsidRPr="0088606A" w:rsidR="11A4AC02">
        <w:rPr>
          <w:rFonts w:ascii="Palatino Linotype" w:hAnsi="Palatino Linotype" w:eastAsia="Palatino Linotype" w:cs="Times New Roman"/>
          <w:kern w:val="0"/>
          <w14:ligatures w14:val="none"/>
        </w:rPr>
        <w:t>,</w:t>
      </w:r>
      <w:r w:rsidRPr="0088606A">
        <w:rPr>
          <w:rFonts w:ascii="Palatino Linotype" w:hAnsi="Palatino Linotype" w:eastAsia="Palatino Linotype" w:cs="Times New Roman"/>
          <w:kern w:val="0"/>
          <w14:ligatures w14:val="none"/>
        </w:rPr>
        <w:t xml:space="preserve"> SB 156 and AB 164</w:t>
      </w:r>
      <w:r w:rsidRPr="0088606A" w:rsidR="28816878">
        <w:rPr>
          <w:rFonts w:ascii="Palatino Linotype" w:hAnsi="Palatino Linotype" w:eastAsia="Palatino Linotype" w:cs="Times New Roman"/>
          <w:kern w:val="0"/>
          <w14:ligatures w14:val="none"/>
        </w:rPr>
        <w:t>,</w:t>
      </w:r>
      <w:r w:rsidRPr="0088606A">
        <w:rPr>
          <w:rFonts w:ascii="Palatino Linotype" w:hAnsi="Palatino Linotype" w:eastAsia="Palatino Linotype" w:cs="Times New Roman"/>
          <w:kern w:val="0"/>
          <w14:ligatures w14:val="none"/>
        </w:rPr>
        <w:t xml:space="preserve"> that affected program administration of the CASF through the creation of new CASF subaccounts and through increase or extension of total program funding.</w:t>
      </w:r>
    </w:p>
    <w:p w:rsidR="00AD3FAB" w:rsidP="00AB658C" w:rsidRDefault="00AD3FAB" w14:paraId="049A5C9A" w14:textId="77777777">
      <w:pPr>
        <w:pStyle w:val="ListParagraph"/>
        <w:ind w:left="360"/>
        <w:rPr>
          <w:rFonts w:ascii="Palatino Linotype" w:hAnsi="Palatino Linotype" w:eastAsia="Palatino Linotype" w:cs="Times New Roman"/>
          <w:kern w:val="0"/>
          <w14:ligatures w14:val="none"/>
        </w:rPr>
      </w:pPr>
    </w:p>
    <w:p w:rsidRPr="004F5C07" w:rsidR="00CB2BCD" w:rsidP="00AB658C" w:rsidRDefault="00AD3FAB" w14:paraId="28682CF5" w14:textId="3B1227C4">
      <w:pPr>
        <w:pStyle w:val="ListParagraph"/>
        <w:numPr>
          <w:ilvl w:val="0"/>
          <w:numId w:val="21"/>
        </w:numPr>
        <w:ind w:left="36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Eight</w:t>
      </w:r>
      <w:r w:rsidRPr="0088606A" w:rsidR="00CB2BCD">
        <w:rPr>
          <w:rFonts w:ascii="Palatino Linotype" w:hAnsi="Palatino Linotype" w:eastAsia="Palatino Linotype" w:cs="Times New Roman"/>
          <w:kern w:val="0"/>
          <w14:ligatures w14:val="none"/>
        </w:rPr>
        <w:t xml:space="preserve"> prospective applicants submitted applications</w:t>
      </w:r>
      <w:r w:rsidR="00C96BD8">
        <w:rPr>
          <w:rFonts w:ascii="Palatino Linotype" w:hAnsi="Palatino Linotype" w:eastAsia="Palatino Linotype" w:cs="Times New Roman"/>
          <w:kern w:val="0"/>
          <w14:ligatures w14:val="none"/>
        </w:rPr>
        <w:t xml:space="preserve"> </w:t>
      </w:r>
      <w:r w:rsidRPr="00C96BD8" w:rsidR="00C96BD8">
        <w:rPr>
          <w:rFonts w:ascii="Palatino Linotype" w:hAnsi="Palatino Linotype" w:eastAsia="Palatino Linotype" w:cs="Times New Roman"/>
          <w:kern w:val="0"/>
          <w14:ligatures w14:val="none"/>
        </w:rPr>
        <w:t>for Consortia Account grant funding</w:t>
      </w:r>
      <w:r w:rsidRPr="0088606A" w:rsidR="00CB2BCD">
        <w:rPr>
          <w:rFonts w:ascii="Palatino Linotype" w:hAnsi="Palatino Linotype" w:eastAsia="Palatino Linotype" w:cs="Times New Roman"/>
          <w:kern w:val="0"/>
          <w14:ligatures w14:val="none"/>
        </w:rPr>
        <w:t xml:space="preserve"> by </w:t>
      </w:r>
      <w:proofErr w:type="gramStart"/>
      <w:r w:rsidRPr="0088606A" w:rsidR="00CB2BCD">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February</w:t>
      </w:r>
      <w:proofErr w:type="gramEnd"/>
      <w:r w:rsidRPr="0088606A" w:rsidR="00CB2BCD">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20</w:t>
      </w:r>
      <w:r w:rsidRPr="0088606A" w:rsidR="00CB2BCD">
        <w:rPr>
          <w:rFonts w:ascii="Palatino Linotype" w:hAnsi="Palatino Linotype" w:eastAsia="Palatino Linotype" w:cs="Times New Roman"/>
          <w:kern w:val="0"/>
          <w14:ligatures w14:val="none"/>
        </w:rPr>
        <w:t>, 202</w:t>
      </w:r>
      <w:r>
        <w:rPr>
          <w:rFonts w:ascii="Palatino Linotype" w:hAnsi="Palatino Linotype" w:eastAsia="Palatino Linotype" w:cs="Times New Roman"/>
          <w:kern w:val="0"/>
          <w14:ligatures w14:val="none"/>
        </w:rPr>
        <w:t>6</w:t>
      </w:r>
      <w:r w:rsidRPr="0088606A" w:rsidR="00CB2BCD">
        <w:rPr>
          <w:rFonts w:ascii="Palatino Linotype" w:hAnsi="Palatino Linotype" w:eastAsia="Palatino Linotype" w:cs="Times New Roman"/>
          <w:kern w:val="0"/>
          <w14:ligatures w14:val="none"/>
        </w:rPr>
        <w:t xml:space="preserve">, deadline. Staff posted each applicant's name, contact information, and coverage area by county on the Commission Consortia Account webpage on </w:t>
      </w:r>
      <w:r w:rsidRPr="00E97C36" w:rsidR="009746FC">
        <w:rPr>
          <w:rFonts w:ascii="Palatino Linotype" w:hAnsi="Palatino Linotype" w:eastAsia="Palatino Linotype" w:cs="Times New Roman"/>
          <w:kern w:val="0"/>
          <w14:ligatures w14:val="none"/>
        </w:rPr>
        <w:t>March 23, 2026</w:t>
      </w:r>
      <w:r w:rsidRPr="004F5C07" w:rsidR="00CB2BCD">
        <w:rPr>
          <w:rFonts w:ascii="Palatino Linotype" w:hAnsi="Palatino Linotype" w:eastAsia="Palatino Linotype" w:cs="Times New Roman"/>
          <w:kern w:val="0"/>
          <w14:ligatures w14:val="none"/>
        </w:rPr>
        <w:t>.</w:t>
      </w:r>
    </w:p>
    <w:p w:rsidR="00FD621E" w:rsidP="00EF399B" w:rsidRDefault="00FD621E" w14:paraId="11447E59" w14:textId="77777777">
      <w:pPr>
        <w:contextualSpacing/>
        <w:rPr>
          <w:rFonts w:ascii="Palatino Linotype" w:hAnsi="Palatino Linotype" w:eastAsia="Palatino Linotype" w:cs="Times New Roman"/>
          <w:kern w:val="0"/>
          <w14:ligatures w14:val="none"/>
        </w:rPr>
      </w:pPr>
    </w:p>
    <w:p w:rsidR="00493F4E" w:rsidP="00493F4E" w:rsidRDefault="00493F4E" w14:paraId="1EAED03E" w14:textId="17EDDBF6">
      <w:pPr>
        <w:pStyle w:val="ListParagraph"/>
        <w:numPr>
          <w:ilvl w:val="0"/>
          <w:numId w:val="21"/>
        </w:numPr>
        <w:ind w:left="360"/>
        <w:rPr>
          <w:rFonts w:ascii="Palatino Linotype" w:hAnsi="Palatino Linotype" w:eastAsia="Palatino Linotype" w:cs="Times New Roman"/>
          <w:kern w:val="0"/>
          <w14:ligatures w14:val="none"/>
        </w:rPr>
      </w:pPr>
      <w:r w:rsidRPr="00493F4E">
        <w:rPr>
          <w:rFonts w:ascii="Palatino Linotype" w:hAnsi="Palatino Linotype" w:eastAsia="Palatino Linotype" w:cs="Times New Roman"/>
          <w:kern w:val="0"/>
          <w14:ligatures w14:val="none"/>
        </w:rPr>
        <w:t>Staff reviewed each application according to the guidelines, requirements, and evaluation criteria adopted in D.2</w:t>
      </w:r>
      <w:r>
        <w:rPr>
          <w:rFonts w:ascii="Palatino Linotype" w:hAnsi="Palatino Linotype" w:eastAsia="Palatino Linotype" w:cs="Times New Roman"/>
          <w:kern w:val="0"/>
          <w14:ligatures w14:val="none"/>
        </w:rPr>
        <w:t>5</w:t>
      </w:r>
      <w:r w:rsidRPr="00493F4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11</w:t>
      </w:r>
      <w:r w:rsidRPr="00493F4E">
        <w:rPr>
          <w:rFonts w:ascii="Palatino Linotype" w:hAnsi="Palatino Linotype" w:eastAsia="Palatino Linotype" w:cs="Times New Roman"/>
          <w:kern w:val="0"/>
          <w14:ligatures w14:val="none"/>
        </w:rPr>
        <w:t>-0</w:t>
      </w:r>
      <w:r>
        <w:rPr>
          <w:rFonts w:ascii="Palatino Linotype" w:hAnsi="Palatino Linotype" w:eastAsia="Palatino Linotype" w:cs="Times New Roman"/>
          <w:kern w:val="0"/>
          <w14:ligatures w14:val="none"/>
        </w:rPr>
        <w:t>0</w:t>
      </w:r>
      <w:r w:rsidR="0065583F">
        <w:rPr>
          <w:rFonts w:ascii="Palatino Linotype" w:hAnsi="Palatino Linotype" w:eastAsia="Palatino Linotype" w:cs="Times New Roman"/>
          <w:kern w:val="0"/>
          <w14:ligatures w14:val="none"/>
        </w:rPr>
        <w:t>3</w:t>
      </w:r>
      <w:r w:rsidRPr="00493F4E">
        <w:rPr>
          <w:rFonts w:ascii="Palatino Linotype" w:hAnsi="Palatino Linotype" w:eastAsia="Palatino Linotype" w:cs="Times New Roman"/>
          <w:kern w:val="0"/>
          <w14:ligatures w14:val="none"/>
        </w:rPr>
        <w:t>, which include regional consortium representation and endorsements, regional consortium members’ experience, Work Plan and Performance Metrics Plan, and budget. Staff also evaluated the applications based on the merits of each proposal, including achievements, fiscal responsibility, and cost-effectiveness.</w:t>
      </w:r>
    </w:p>
    <w:p w:rsidR="00AB658C" w:rsidP="00AB658C" w:rsidRDefault="00AB658C" w14:paraId="7656FA47" w14:textId="77777777">
      <w:pPr>
        <w:pStyle w:val="ListParagraph"/>
        <w:ind w:left="360"/>
        <w:rPr>
          <w:rFonts w:ascii="Palatino Linotype" w:hAnsi="Palatino Linotype" w:eastAsia="Palatino Linotype" w:cs="Times New Roman"/>
          <w:kern w:val="0"/>
          <w14:ligatures w14:val="none"/>
        </w:rPr>
      </w:pPr>
    </w:p>
    <w:p w:rsidR="00846E90" w:rsidP="005A26B4" w:rsidRDefault="00B26E98" w14:paraId="35DD0DB2" w14:textId="43532A26">
      <w:pPr>
        <w:pStyle w:val="ListParagraph"/>
        <w:numPr>
          <w:ilvl w:val="0"/>
          <w:numId w:val="21"/>
        </w:numPr>
        <w:ind w:left="360"/>
        <w:rPr>
          <w:rFonts w:ascii="Palatino Linotype" w:hAnsi="Palatino Linotype" w:eastAsia="Palatino Linotype" w:cs="Times New Roman"/>
          <w:kern w:val="0"/>
          <w14:ligatures w14:val="none"/>
        </w:rPr>
      </w:pPr>
      <w:r w:rsidRPr="004102BE">
        <w:rPr>
          <w:rFonts w:ascii="Palatino Linotype" w:hAnsi="Palatino Linotype" w:eastAsia="Palatino Linotype" w:cs="Times New Roman"/>
          <w:kern w:val="0"/>
          <w14:ligatures w14:val="none"/>
        </w:rPr>
        <w:t xml:space="preserve">Based on </w:t>
      </w:r>
      <w:r w:rsidRPr="004102BE" w:rsidR="003D6A81">
        <w:rPr>
          <w:rFonts w:ascii="Palatino Linotype" w:hAnsi="Palatino Linotype" w:eastAsia="Palatino Linotype" w:cs="Times New Roman"/>
          <w:kern w:val="0"/>
          <w14:ligatures w14:val="none"/>
        </w:rPr>
        <w:t xml:space="preserve">the </w:t>
      </w:r>
      <w:r w:rsidRPr="004102BE">
        <w:rPr>
          <w:rFonts w:ascii="Palatino Linotype" w:hAnsi="Palatino Linotype" w:eastAsia="Palatino Linotype" w:cs="Times New Roman"/>
          <w:kern w:val="0"/>
          <w14:ligatures w14:val="none"/>
        </w:rPr>
        <w:t>review, Staff determined that seven of the eight applications met eligibility requirements</w:t>
      </w:r>
      <w:r w:rsidR="002A45BE">
        <w:rPr>
          <w:rFonts w:ascii="Palatino Linotype" w:hAnsi="Palatino Linotype" w:eastAsia="Palatino Linotype" w:cs="Times New Roman"/>
          <w:kern w:val="0"/>
          <w14:ligatures w14:val="none"/>
        </w:rPr>
        <w:t>.</w:t>
      </w:r>
      <w:r w:rsidRPr="004102BE">
        <w:rPr>
          <w:rFonts w:ascii="Palatino Linotype" w:hAnsi="Palatino Linotype" w:eastAsia="Palatino Linotype" w:cs="Times New Roman"/>
          <w:kern w:val="0"/>
          <w14:ligatures w14:val="none"/>
        </w:rPr>
        <w:t xml:space="preserve"> </w:t>
      </w:r>
      <w:r w:rsidRPr="00BF64F5" w:rsidR="00BF64F5">
        <w:rPr>
          <w:rFonts w:ascii="Palatino Linotype" w:hAnsi="Palatino Linotype" w:eastAsia="Palatino Linotype" w:cs="Times New Roman"/>
          <w:kern w:val="0"/>
          <w14:ligatures w14:val="none"/>
        </w:rPr>
        <w:t xml:space="preserve">Staff further determined that </w:t>
      </w:r>
      <w:r w:rsidR="00D87BB4">
        <w:rPr>
          <w:rFonts w:ascii="Palatino Linotype" w:hAnsi="Palatino Linotype" w:eastAsia="Palatino Linotype" w:cs="Times New Roman"/>
          <w:kern w:val="0"/>
          <w14:ligatures w14:val="none"/>
        </w:rPr>
        <w:t xml:space="preserve">out of the seven applications, </w:t>
      </w:r>
      <w:r w:rsidR="007503E8">
        <w:rPr>
          <w:rFonts w:ascii="Palatino Linotype" w:hAnsi="Palatino Linotype" w:eastAsia="Palatino Linotype" w:cs="Times New Roman"/>
          <w:kern w:val="0"/>
          <w14:ligatures w14:val="none"/>
        </w:rPr>
        <w:t>six</w:t>
      </w:r>
      <w:r w:rsidRPr="00BF64F5" w:rsidR="00BF64F5">
        <w:rPr>
          <w:rFonts w:ascii="Palatino Linotype" w:hAnsi="Palatino Linotype" w:eastAsia="Palatino Linotype" w:cs="Times New Roman"/>
          <w:kern w:val="0"/>
          <w14:ligatures w14:val="none"/>
        </w:rPr>
        <w:t xml:space="preserve"> proposed projects qualify for funding under D.2</w:t>
      </w:r>
      <w:r w:rsidR="007503E8">
        <w:rPr>
          <w:rFonts w:ascii="Palatino Linotype" w:hAnsi="Palatino Linotype" w:eastAsia="Palatino Linotype" w:cs="Times New Roman"/>
          <w:kern w:val="0"/>
          <w14:ligatures w14:val="none"/>
        </w:rPr>
        <w:t>5</w:t>
      </w:r>
      <w:r w:rsidRPr="00BF64F5" w:rsidR="00BF64F5">
        <w:rPr>
          <w:rFonts w:ascii="Palatino Linotype" w:hAnsi="Palatino Linotype" w:eastAsia="Palatino Linotype" w:cs="Times New Roman"/>
          <w:kern w:val="0"/>
          <w14:ligatures w14:val="none"/>
        </w:rPr>
        <w:t>-</w:t>
      </w:r>
      <w:r w:rsidR="007503E8">
        <w:rPr>
          <w:rFonts w:ascii="Palatino Linotype" w:hAnsi="Palatino Linotype" w:eastAsia="Palatino Linotype" w:cs="Times New Roman"/>
          <w:kern w:val="0"/>
          <w14:ligatures w14:val="none"/>
        </w:rPr>
        <w:t>11</w:t>
      </w:r>
      <w:r w:rsidRPr="00BF64F5" w:rsidR="00BF64F5">
        <w:rPr>
          <w:rFonts w:ascii="Palatino Linotype" w:hAnsi="Palatino Linotype" w:eastAsia="Palatino Linotype" w:cs="Times New Roman"/>
          <w:kern w:val="0"/>
          <w14:ligatures w14:val="none"/>
        </w:rPr>
        <w:t>-</w:t>
      </w:r>
      <w:r w:rsidRPr="00BF64F5" w:rsidR="539C2A88">
        <w:rPr>
          <w:rFonts w:ascii="Palatino Linotype" w:hAnsi="Palatino Linotype" w:eastAsia="Palatino Linotype" w:cs="Times New Roman"/>
          <w:kern w:val="0"/>
          <w14:ligatures w14:val="none"/>
        </w:rPr>
        <w:t>0</w:t>
      </w:r>
      <w:r w:rsidR="3664EAF4">
        <w:rPr>
          <w:rFonts w:ascii="Palatino Linotype" w:hAnsi="Palatino Linotype" w:eastAsia="Palatino Linotype" w:cs="Times New Roman"/>
          <w:kern w:val="0"/>
          <w14:ligatures w14:val="none"/>
        </w:rPr>
        <w:t>0</w:t>
      </w:r>
      <w:r w:rsidR="542166C4">
        <w:rPr>
          <w:rFonts w:ascii="Palatino Linotype" w:hAnsi="Palatino Linotype" w:eastAsia="Palatino Linotype" w:cs="Times New Roman"/>
          <w:kern w:val="0"/>
          <w14:ligatures w14:val="none"/>
        </w:rPr>
        <w:t>3</w:t>
      </w:r>
      <w:r w:rsidRPr="00BF64F5" w:rsidR="00BF64F5">
        <w:rPr>
          <w:rFonts w:ascii="Palatino Linotype" w:hAnsi="Palatino Linotype" w:eastAsia="Palatino Linotype" w:cs="Times New Roman"/>
          <w:kern w:val="0"/>
          <w14:ligatures w14:val="none"/>
        </w:rPr>
        <w:t>.</w:t>
      </w:r>
    </w:p>
    <w:p w:rsidR="3A3300F7" w:rsidP="236C310C" w:rsidRDefault="3A3300F7" w14:paraId="4B838D7D" w14:textId="5E2D554C">
      <w:pPr>
        <w:pStyle w:val="ListParagraph"/>
        <w:ind w:left="360"/>
        <w:rPr>
          <w:rFonts w:ascii="Palatino Linotype" w:hAnsi="Palatino Linotype" w:eastAsia="Palatino Linotype" w:cs="Times New Roman"/>
        </w:rPr>
      </w:pPr>
    </w:p>
    <w:p w:rsidR="29C991A6" w:rsidP="29C991A6" w:rsidRDefault="40D4D59E" w14:paraId="419875C0" w14:textId="283D7DE9">
      <w:pPr>
        <w:pStyle w:val="ListParagraph"/>
        <w:numPr>
          <w:ilvl w:val="0"/>
          <w:numId w:val="21"/>
        </w:numPr>
        <w:ind w:left="360"/>
        <w:rPr>
          <w:rFonts w:ascii="Palatino Linotype" w:hAnsi="Palatino Linotype" w:eastAsia="Palatino Linotype" w:cs="Times New Roman"/>
        </w:rPr>
      </w:pPr>
      <w:r w:rsidRPr="5D19140C">
        <w:rPr>
          <w:rFonts w:ascii="Palatino Linotype" w:hAnsi="Palatino Linotype" w:eastAsia="Palatino Linotype" w:cs="Times New Roman"/>
        </w:rPr>
        <w:t>One of the eight applications did not achieve the minimum score of 70 points required under D.25-11-003 to be considered for funding. In addition, where multiple consortia apply for the same region, only the highest-scoring application may be considered for an award.</w:t>
      </w:r>
    </w:p>
    <w:p w:rsidR="00846E90" w:rsidP="00AB658C" w:rsidRDefault="00846E90" w14:paraId="511F5DC3" w14:textId="77777777">
      <w:pPr>
        <w:pStyle w:val="ListParagraph"/>
        <w:ind w:left="360"/>
        <w:rPr>
          <w:rFonts w:ascii="Palatino Linotype" w:hAnsi="Palatino Linotype" w:eastAsia="Palatino Linotype" w:cs="Times New Roman"/>
          <w:kern w:val="0"/>
          <w14:ligatures w14:val="none"/>
        </w:rPr>
      </w:pPr>
    </w:p>
    <w:p w:rsidRPr="0088606A" w:rsidR="00FD621E" w:rsidP="0088606A" w:rsidRDefault="00B26E98" w14:paraId="72680E02" w14:textId="5FB5BD9D">
      <w:pPr>
        <w:pStyle w:val="ListParagraph"/>
        <w:numPr>
          <w:ilvl w:val="0"/>
          <w:numId w:val="21"/>
        </w:numPr>
        <w:ind w:left="360"/>
        <w:rPr>
          <w:rFonts w:ascii="Palatino Linotype" w:hAnsi="Palatino Linotype" w:eastAsia="Palatino Linotype" w:cs="Times New Roman"/>
          <w:kern w:val="0"/>
          <w14:ligatures w14:val="none"/>
        </w:rPr>
      </w:pPr>
      <w:r w:rsidRPr="0088606A">
        <w:rPr>
          <w:rFonts w:ascii="Palatino Linotype" w:hAnsi="Palatino Linotype" w:eastAsia="Palatino Linotype" w:cs="Times New Roman"/>
          <w:kern w:val="0"/>
          <w14:ligatures w14:val="none"/>
        </w:rPr>
        <w:t xml:space="preserve">Staff </w:t>
      </w:r>
      <w:proofErr w:type="gramStart"/>
      <w:r w:rsidRPr="0088606A">
        <w:rPr>
          <w:rFonts w:ascii="Palatino Linotype" w:hAnsi="Palatino Linotype" w:eastAsia="Palatino Linotype" w:cs="Times New Roman"/>
          <w:kern w:val="0"/>
          <w14:ligatures w14:val="none"/>
        </w:rPr>
        <w:t>recommends</w:t>
      </w:r>
      <w:proofErr w:type="gramEnd"/>
      <w:r w:rsidRPr="0088606A">
        <w:rPr>
          <w:rFonts w:ascii="Palatino Linotype" w:hAnsi="Palatino Linotype" w:eastAsia="Palatino Linotype" w:cs="Times New Roman"/>
          <w:kern w:val="0"/>
          <w14:ligatures w14:val="none"/>
        </w:rPr>
        <w:t xml:space="preserve"> </w:t>
      </w:r>
      <w:r w:rsidRPr="0088606A" w:rsidR="00556D2A">
        <w:rPr>
          <w:rFonts w:ascii="Palatino Linotype" w:hAnsi="Palatino Linotype" w:eastAsia="Palatino Linotype" w:cs="Times New Roman"/>
          <w:kern w:val="0"/>
          <w14:ligatures w14:val="none"/>
        </w:rPr>
        <w:t xml:space="preserve">CASF Consortia grant approval of total funding of </w:t>
      </w:r>
      <w:r w:rsidRPr="0088606A" w:rsidR="7F6B5C75">
        <w:rPr>
          <w:rFonts w:ascii="Palatino Linotype" w:hAnsi="Palatino Linotype" w:eastAsia="Palatino Linotype" w:cs="Times New Roman"/>
          <w:kern w:val="0"/>
          <w14:ligatures w14:val="none"/>
        </w:rPr>
        <w:t xml:space="preserve">up to </w:t>
      </w:r>
      <w:r w:rsidRPr="00F42947" w:rsidR="00556D2A">
        <w:rPr>
          <w:rFonts w:ascii="Palatino Linotype" w:hAnsi="Palatino Linotype" w:eastAsia="Palatino Linotype" w:cs="Times New Roman"/>
          <w:kern w:val="0"/>
          <w14:ligatures w14:val="none"/>
        </w:rPr>
        <w:t>$3,</w:t>
      </w:r>
      <w:r w:rsidRPr="00F42947" w:rsidR="0048123E">
        <w:rPr>
          <w:rFonts w:ascii="Palatino Linotype" w:hAnsi="Palatino Linotype" w:eastAsia="Palatino Linotype" w:cs="Times New Roman"/>
          <w:kern w:val="0"/>
          <w14:ligatures w14:val="none"/>
        </w:rPr>
        <w:t>400</w:t>
      </w:r>
      <w:r w:rsidRPr="00F42947" w:rsidR="00556D2A">
        <w:rPr>
          <w:rFonts w:ascii="Palatino Linotype" w:hAnsi="Palatino Linotype" w:eastAsia="Palatino Linotype" w:cs="Times New Roman"/>
          <w:kern w:val="0"/>
          <w14:ligatures w14:val="none"/>
        </w:rPr>
        <w:t>,</w:t>
      </w:r>
      <w:r w:rsidRPr="00F42947" w:rsidR="0048123E">
        <w:rPr>
          <w:rFonts w:ascii="Palatino Linotype" w:hAnsi="Palatino Linotype" w:eastAsia="Palatino Linotype" w:cs="Times New Roman"/>
          <w:kern w:val="0"/>
          <w14:ligatures w14:val="none"/>
        </w:rPr>
        <w:t>000</w:t>
      </w:r>
      <w:r w:rsidRPr="0088606A" w:rsidR="00556D2A">
        <w:rPr>
          <w:rFonts w:ascii="Palatino Linotype" w:hAnsi="Palatino Linotype" w:eastAsia="Palatino Linotype" w:cs="Times New Roman"/>
          <w:kern w:val="0"/>
          <w14:ligatures w14:val="none"/>
        </w:rPr>
        <w:t xml:space="preserve"> for the </w:t>
      </w:r>
      <w:r w:rsidR="00556D2A">
        <w:rPr>
          <w:rFonts w:ascii="Palatino Linotype" w:hAnsi="Palatino Linotype" w:eastAsia="Palatino Linotype" w:cs="Times New Roman"/>
          <w:kern w:val="0"/>
          <w14:ligatures w14:val="none"/>
        </w:rPr>
        <w:t>six</w:t>
      </w:r>
      <w:r w:rsidRPr="0088606A" w:rsidR="00556D2A">
        <w:rPr>
          <w:rFonts w:ascii="Palatino Linotype" w:hAnsi="Palatino Linotype" w:eastAsia="Palatino Linotype" w:cs="Times New Roman"/>
          <w:kern w:val="0"/>
          <w14:ligatures w14:val="none"/>
        </w:rPr>
        <w:t xml:space="preserve"> Consortia.</w:t>
      </w:r>
    </w:p>
    <w:p w:rsidR="00E31ECC" w:rsidP="00EF399B" w:rsidRDefault="00E31ECC" w14:paraId="479D22CE" w14:textId="77777777">
      <w:pPr>
        <w:contextualSpacing/>
        <w:rPr>
          <w:rFonts w:ascii="Palatino Linotype" w:hAnsi="Palatino Linotype" w:eastAsia="Palatino Linotype" w:cs="Times New Roman"/>
          <w:kern w:val="0"/>
          <w14:ligatures w14:val="none"/>
        </w:rPr>
      </w:pPr>
    </w:p>
    <w:p w:rsidR="00B7347D" w:rsidP="007503E8" w:rsidRDefault="00EA6B85" w14:paraId="6B64F76B" w14:textId="74AD0067">
      <w:pPr>
        <w:pStyle w:val="ListParagraph"/>
        <w:numPr>
          <w:ilvl w:val="0"/>
          <w:numId w:val="21"/>
        </w:numPr>
        <w:ind w:left="360"/>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Grantees</w:t>
      </w:r>
      <w:r w:rsidRPr="0033485F" w:rsidR="00B7347D">
        <w:rPr>
          <w:rFonts w:ascii="Palatino Linotype" w:hAnsi="Palatino Linotype" w:eastAsia="Palatino Linotype" w:cs="Times New Roman"/>
          <w:kern w:val="0"/>
          <w14:ligatures w14:val="none"/>
        </w:rPr>
        <w:t xml:space="preserve"> must comply with all guidelines, requirements, and conditions associated with the grant of CASF funds as specified in D.25-11-003 and this Resolution</w:t>
      </w:r>
      <w:r w:rsidRPr="005A195F" w:rsidR="005A195F">
        <w:rPr>
          <w:rFonts w:ascii="Palatino Linotype" w:hAnsi="Palatino Linotype" w:eastAsia="Palatino Linotype" w:cs="Times New Roman"/>
          <w:kern w:val="0"/>
          <w14:ligatures w14:val="none"/>
        </w:rPr>
        <w:t xml:space="preserve">, including, but not limited to, only billing for activities related to </w:t>
      </w:r>
      <w:r w:rsidR="004805FC">
        <w:rPr>
          <w:rFonts w:ascii="Palatino Linotype" w:hAnsi="Palatino Linotype" w:eastAsia="Palatino Linotype" w:cs="Times New Roman"/>
          <w:kern w:val="0"/>
          <w14:ligatures w14:val="none"/>
        </w:rPr>
        <w:t>those</w:t>
      </w:r>
      <w:r w:rsidRPr="005A195F" w:rsidR="005A195F">
        <w:rPr>
          <w:rFonts w:ascii="Palatino Linotype" w:hAnsi="Palatino Linotype" w:eastAsia="Palatino Linotype" w:cs="Times New Roman"/>
          <w:kern w:val="0"/>
          <w14:ligatures w14:val="none"/>
        </w:rPr>
        <w:t xml:space="preserve"> in </w:t>
      </w:r>
      <w:r w:rsidR="00FA76AD">
        <w:rPr>
          <w:rFonts w:ascii="Palatino Linotype" w:hAnsi="Palatino Linotype" w:eastAsia="Palatino Linotype" w:cs="Times New Roman"/>
          <w:kern w:val="0"/>
          <w14:ligatures w14:val="none"/>
        </w:rPr>
        <w:t xml:space="preserve">the </w:t>
      </w:r>
      <w:r w:rsidRPr="005A195F" w:rsidR="005A195F">
        <w:rPr>
          <w:rFonts w:ascii="Palatino Linotype" w:hAnsi="Palatino Linotype" w:eastAsia="Palatino Linotype" w:cs="Times New Roman"/>
          <w:kern w:val="0"/>
          <w14:ligatures w14:val="none"/>
        </w:rPr>
        <w:t>approved Work Plans.</w:t>
      </w:r>
    </w:p>
    <w:p w:rsidR="009F5F5B" w:rsidP="00AB658C" w:rsidRDefault="009F5F5B" w14:paraId="2DAAF002" w14:textId="77777777">
      <w:pPr>
        <w:pStyle w:val="ListParagraph"/>
        <w:ind w:left="360"/>
        <w:rPr>
          <w:rFonts w:ascii="Palatino Linotype" w:hAnsi="Palatino Linotype" w:eastAsia="Palatino Linotype" w:cs="Times New Roman"/>
          <w:kern w:val="0"/>
          <w14:ligatures w14:val="none"/>
        </w:rPr>
      </w:pPr>
    </w:p>
    <w:p w:rsidR="009F5F5B" w:rsidP="007503E8" w:rsidRDefault="009F5F5B" w14:paraId="6AA0E674" w14:textId="0C107760">
      <w:pPr>
        <w:pStyle w:val="ListParagraph"/>
        <w:numPr>
          <w:ilvl w:val="0"/>
          <w:numId w:val="21"/>
        </w:numPr>
        <w:ind w:left="360"/>
        <w:rPr>
          <w:rFonts w:ascii="Palatino Linotype" w:hAnsi="Palatino Linotype" w:eastAsia="Palatino Linotype" w:cs="Times New Roman"/>
          <w:kern w:val="0"/>
          <w14:ligatures w14:val="none"/>
        </w:rPr>
      </w:pPr>
      <w:r w:rsidRPr="009F5F5B">
        <w:rPr>
          <w:rFonts w:ascii="Palatino Linotype" w:hAnsi="Palatino Linotype" w:eastAsia="Palatino Linotype" w:cs="Times New Roman"/>
          <w:kern w:val="0"/>
          <w14:ligatures w14:val="none"/>
        </w:rPr>
        <w:t xml:space="preserve">Grantees are required </w:t>
      </w:r>
      <w:proofErr w:type="gramStart"/>
      <w:r w:rsidRPr="009F5F5B">
        <w:rPr>
          <w:rFonts w:ascii="Palatino Linotype" w:hAnsi="Palatino Linotype" w:eastAsia="Palatino Linotype" w:cs="Times New Roman"/>
          <w:kern w:val="0"/>
          <w14:ligatures w14:val="none"/>
        </w:rPr>
        <w:t>to expressly</w:t>
      </w:r>
      <w:proofErr w:type="gramEnd"/>
      <w:r w:rsidRPr="009F5F5B">
        <w:rPr>
          <w:rFonts w:ascii="Palatino Linotype" w:hAnsi="Palatino Linotype" w:eastAsia="Palatino Linotype" w:cs="Times New Roman"/>
          <w:kern w:val="0"/>
          <w14:ligatures w14:val="none"/>
        </w:rPr>
        <w:t xml:space="preserve"> exclude any costs for activities or programs from the proposed consortium budget that are separately funded from any other sources </w:t>
      </w:r>
      <w:proofErr w:type="gramStart"/>
      <w:r w:rsidRPr="009F5F5B">
        <w:rPr>
          <w:rFonts w:ascii="Palatino Linotype" w:hAnsi="Palatino Linotype" w:eastAsia="Palatino Linotype" w:cs="Times New Roman"/>
          <w:kern w:val="0"/>
          <w14:ligatures w14:val="none"/>
        </w:rPr>
        <w:lastRenderedPageBreak/>
        <w:t>in order to</w:t>
      </w:r>
      <w:proofErr w:type="gramEnd"/>
      <w:r w:rsidRPr="009F5F5B">
        <w:rPr>
          <w:rFonts w:ascii="Palatino Linotype" w:hAnsi="Palatino Linotype" w:eastAsia="Palatino Linotype" w:cs="Times New Roman"/>
          <w:kern w:val="0"/>
          <w14:ligatures w14:val="none"/>
        </w:rPr>
        <w:t xml:space="preserve"> ensure that CASF grants do not duplicate funding from any other sources.</w:t>
      </w:r>
      <w:r w:rsidRPr="009F5F5B" w:rsidR="39183124">
        <w:rPr>
          <w:rFonts w:ascii="Palatino Linotype" w:hAnsi="Palatino Linotype" w:eastAsia="Palatino Linotype" w:cs="Times New Roman"/>
          <w:kern w:val="0"/>
          <w14:ligatures w14:val="none"/>
        </w:rPr>
        <w:t xml:space="preserve"> </w:t>
      </w:r>
    </w:p>
    <w:p w:rsidR="0053567E" w:rsidP="00AB658C" w:rsidRDefault="0053567E" w14:paraId="13C913EC" w14:textId="77777777">
      <w:pPr>
        <w:pStyle w:val="ListParagraph"/>
        <w:ind w:left="360"/>
        <w:rPr>
          <w:rFonts w:ascii="Palatino Linotype" w:hAnsi="Palatino Linotype" w:eastAsia="Palatino Linotype" w:cs="Times New Roman"/>
          <w:kern w:val="0"/>
          <w14:ligatures w14:val="none"/>
        </w:rPr>
      </w:pPr>
    </w:p>
    <w:p w:rsidRPr="0088606A" w:rsidR="0053567E" w:rsidP="0088606A" w:rsidRDefault="0053567E" w14:paraId="568969C4" w14:textId="5D2AB0E3">
      <w:pPr>
        <w:pStyle w:val="ListParagraph"/>
        <w:numPr>
          <w:ilvl w:val="0"/>
          <w:numId w:val="21"/>
        </w:numPr>
        <w:ind w:left="36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D.25-11-003 directs CD to </w:t>
      </w:r>
      <w:r w:rsidRPr="0053567E">
        <w:rPr>
          <w:rFonts w:ascii="Palatino Linotype" w:hAnsi="Palatino Linotype" w:eastAsia="Palatino Linotype" w:cs="Times New Roman"/>
          <w:kern w:val="0"/>
          <w14:ligatures w14:val="none"/>
        </w:rPr>
        <w:t>consult with regional consortia, stakeholders, local governments, existing facility-based broadband providers and consumers</w:t>
      </w:r>
      <w:r w:rsidRPr="0053567E" w:rsidR="0683E79C">
        <w:rPr>
          <w:rFonts w:ascii="Palatino Linotype" w:hAnsi="Palatino Linotype" w:eastAsia="Palatino Linotype" w:cs="Times New Roman"/>
          <w:kern w:val="0"/>
          <w14:ligatures w14:val="none"/>
        </w:rPr>
        <w:t>,</w:t>
      </w:r>
      <w:r w:rsidRPr="0053567E">
        <w:rPr>
          <w:rFonts w:ascii="Palatino Linotype" w:hAnsi="Palatino Linotype" w:eastAsia="Palatino Linotype" w:cs="Times New Roman"/>
          <w:kern w:val="0"/>
          <w14:ligatures w14:val="none"/>
        </w:rPr>
        <w:t xml:space="preserve"> regarding unserved areas and cost-effective strategies to achieve the </w:t>
      </w:r>
      <w:r w:rsidRPr="0088606A">
        <w:rPr>
          <w:rFonts w:ascii="Palatino Linotype" w:hAnsi="Palatino Linotype" w:eastAsia="Palatino Linotype" w:cs="Times New Roman"/>
          <w:kern w:val="0"/>
          <w14:ligatures w14:val="none"/>
        </w:rPr>
        <w:t xml:space="preserve">broadband access goal, through public workshops at </w:t>
      </w:r>
      <w:proofErr w:type="gramStart"/>
      <w:r w:rsidRPr="0088606A">
        <w:rPr>
          <w:rFonts w:ascii="Palatino Linotype" w:hAnsi="Palatino Linotype" w:eastAsia="Palatino Linotype" w:cs="Times New Roman"/>
          <w:kern w:val="0"/>
          <w14:ligatures w14:val="none"/>
        </w:rPr>
        <w:t>least annually</w:t>
      </w:r>
      <w:proofErr w:type="gramEnd"/>
      <w:r w:rsidRPr="0088606A">
        <w:rPr>
          <w:rFonts w:ascii="Palatino Linotype" w:hAnsi="Palatino Linotype" w:eastAsia="Palatino Linotype" w:cs="Times New Roman"/>
          <w:kern w:val="0"/>
          <w14:ligatures w14:val="none"/>
        </w:rPr>
        <w:t xml:space="preserve"> no later than April 30 of each year. All consortia receiving CASF grants shall attend at least one of the annual public workshops to be conducted by </w:t>
      </w:r>
      <w:r w:rsidRPr="0088606A" w:rsidR="1918AF59">
        <w:rPr>
          <w:rFonts w:ascii="Palatino Linotype" w:hAnsi="Palatino Linotype" w:eastAsia="Palatino Linotype" w:cs="Times New Roman"/>
          <w:kern w:val="0"/>
          <w14:ligatures w14:val="none"/>
        </w:rPr>
        <w:t>CD</w:t>
      </w:r>
      <w:r w:rsidRPr="0088606A">
        <w:rPr>
          <w:rFonts w:ascii="Palatino Linotype" w:hAnsi="Palatino Linotype" w:eastAsia="Palatino Linotype" w:cs="Times New Roman"/>
          <w:kern w:val="0"/>
          <w14:ligatures w14:val="none"/>
        </w:rPr>
        <w:t>.</w:t>
      </w:r>
      <w:r w:rsidR="00B06A18">
        <w:rPr>
          <w:rFonts w:ascii="Palatino Linotype" w:hAnsi="Palatino Linotype" w:eastAsia="Palatino Linotype" w:cs="Times New Roman"/>
          <w:kern w:val="0"/>
          <w14:ligatures w14:val="none"/>
        </w:rPr>
        <w:t xml:space="preserve"> </w:t>
      </w:r>
      <w:r w:rsidRPr="00B06A18" w:rsidR="00B06A18">
        <w:rPr>
          <w:rFonts w:ascii="Palatino Linotype" w:hAnsi="Palatino Linotype" w:eastAsia="Palatino Linotype" w:cs="Times New Roman"/>
          <w:kern w:val="0"/>
          <w14:ligatures w14:val="none"/>
        </w:rPr>
        <w:t>The maximum reimbursement allowable is $2,000 per person for up to five delegates for each workshop, for a total of up to $10,000 per consortium.</w:t>
      </w:r>
      <w:r w:rsidR="00AD053B">
        <w:rPr>
          <w:rFonts w:ascii="Palatino Linotype" w:hAnsi="Palatino Linotype" w:eastAsia="Palatino Linotype" w:cs="Times New Roman"/>
          <w:kern w:val="0"/>
          <w14:ligatures w14:val="none"/>
        </w:rPr>
        <w:t xml:space="preserve"> Reimbursement is only allowed for delegates attending the workshop in-person.</w:t>
      </w:r>
    </w:p>
    <w:p w:rsidR="00FD621E" w:rsidP="00EF399B" w:rsidRDefault="00FD621E" w14:paraId="7D08FC3A" w14:textId="77777777">
      <w:pPr>
        <w:contextualSpacing/>
        <w:rPr>
          <w:rFonts w:ascii="Palatino Linotype" w:hAnsi="Palatino Linotype" w:eastAsia="Palatino Linotype" w:cs="Times New Roman"/>
          <w:kern w:val="0"/>
          <w14:ligatures w14:val="none"/>
        </w:rPr>
      </w:pPr>
    </w:p>
    <w:p w:rsidR="00A367EB" w:rsidP="00A367EB" w:rsidRDefault="00522DE2" w14:paraId="63BC3A2F" w14:textId="77777777">
      <w:pPr>
        <w:numPr>
          <w:ilvl w:val="0"/>
          <w:numId w:val="21"/>
        </w:numPr>
        <w:tabs>
          <w:tab w:val="num" w:pos="450"/>
        </w:tabs>
        <w:ind w:left="360"/>
        <w:rPr>
          <w:rFonts w:ascii="Palatino Linotype" w:hAnsi="Palatino Linotype" w:eastAsia="Palatino Linotype" w:cs="Times New Roman"/>
          <w:kern w:val="0"/>
          <w14:ligatures w14:val="none"/>
        </w:rPr>
      </w:pPr>
      <w:r w:rsidRPr="00C9227E">
        <w:rPr>
          <w:rFonts w:ascii="Palatino Linotype" w:hAnsi="Palatino Linotype" w:eastAsia="Palatino Linotype" w:cs="Times New Roman"/>
          <w:kern w:val="0"/>
          <w14:ligatures w14:val="none"/>
        </w:rPr>
        <w:t xml:space="preserve">In compliance with Public Utilities Code section 311, subdivision (g), a notice letter was emailed </w:t>
      </w:r>
      <w:r w:rsidRPr="009502BE">
        <w:rPr>
          <w:rFonts w:ascii="Palatino Linotype" w:hAnsi="Palatino Linotype" w:eastAsia="Palatino Linotype" w:cs="Times New Roman"/>
          <w:kern w:val="0"/>
          <w14:ligatures w14:val="none"/>
        </w:rPr>
        <w:t xml:space="preserve">on </w:t>
      </w:r>
      <w:r w:rsidRPr="009502BE" w:rsidR="00986516">
        <w:rPr>
          <w:rFonts w:ascii="Palatino Linotype" w:hAnsi="Palatino Linotype" w:eastAsia="Palatino Linotype" w:cs="Times New Roman"/>
          <w:kern w:val="0"/>
          <w14:ligatures w14:val="none"/>
        </w:rPr>
        <w:t>May</w:t>
      </w:r>
      <w:r w:rsidRPr="009502BE">
        <w:rPr>
          <w:rFonts w:ascii="Palatino Linotype" w:hAnsi="Palatino Linotype" w:eastAsia="Palatino Linotype" w:cs="Times New Roman"/>
          <w:kern w:val="0"/>
          <w14:ligatures w14:val="none"/>
        </w:rPr>
        <w:t xml:space="preserve"> 1, 2026</w:t>
      </w:r>
      <w:r w:rsidRPr="008037C0" w:rsidR="1AC6C182">
        <w:rPr>
          <w:rFonts w:ascii="Palatino Linotype" w:hAnsi="Palatino Linotype" w:eastAsia="Palatino Linotype" w:cs="Times New Roman"/>
          <w:kern w:val="0"/>
          <w14:ligatures w14:val="none"/>
        </w:rPr>
        <w:t>,</w:t>
      </w:r>
      <w:r w:rsidRPr="00C9227E">
        <w:rPr>
          <w:rFonts w:ascii="Palatino Linotype" w:hAnsi="Palatino Linotype" w:eastAsia="Palatino Linotype" w:cs="Times New Roman"/>
          <w:kern w:val="0"/>
          <w14:ligatures w14:val="none"/>
        </w:rPr>
        <w:t xml:space="preserve"> informing parties on the CASF Distribution List of this draft Resolution, and of the opportunity for comment, at the Commission’s website </w:t>
      </w:r>
      <w:hyperlink w:tgtFrame="_blank" w:history="1" r:id="rId8">
        <w:r w:rsidRPr="00C9227E">
          <w:rPr>
            <w:rStyle w:val="Hyperlink"/>
            <w:rFonts w:ascii="Palatino Linotype" w:hAnsi="Palatino Linotype" w:eastAsia="Palatino Linotype" w:cs="Times New Roman"/>
            <w:kern w:val="0"/>
            <w14:ligatures w14:val="none"/>
          </w:rPr>
          <w:t>https://www.cpuc.ca.gov/</w:t>
        </w:r>
      </w:hyperlink>
      <w:r w:rsidRPr="00C9227E">
        <w:rPr>
          <w:rFonts w:ascii="Palatino Linotype" w:hAnsi="Palatino Linotype" w:eastAsia="Palatino Linotype" w:cs="Times New Roman"/>
          <w:kern w:val="0"/>
          <w14:ligatures w14:val="none"/>
        </w:rPr>
        <w:t>. The letter also informed parties that the final conf</w:t>
      </w:r>
      <w:r>
        <w:rPr>
          <w:rFonts w:ascii="Palatino Linotype" w:hAnsi="Palatino Linotype" w:eastAsia="Palatino Linotype" w:cs="Times New Roman"/>
          <w:kern w:val="0"/>
          <w14:ligatures w14:val="none"/>
        </w:rPr>
        <w:t>i</w:t>
      </w:r>
      <w:r w:rsidRPr="00C9227E">
        <w:rPr>
          <w:rFonts w:ascii="Palatino Linotype" w:hAnsi="Palatino Linotype" w:eastAsia="Palatino Linotype" w:cs="Times New Roman"/>
          <w:kern w:val="0"/>
          <w14:ligatures w14:val="none"/>
        </w:rPr>
        <w:t>rmed Resolution adopted by the Commission will be posted and available at the same website.  </w:t>
      </w:r>
    </w:p>
    <w:p w:rsidR="00A367EB" w:rsidP="00A367EB" w:rsidRDefault="00A367EB" w14:paraId="464FE22F" w14:textId="6E0DE323">
      <w:pPr>
        <w:ind w:left="360"/>
        <w:rPr>
          <w:rFonts w:ascii="Palatino Linotype" w:hAnsi="Palatino Linotype" w:eastAsia="Palatino Linotype" w:cs="Times New Roman"/>
          <w:kern w:val="0"/>
          <w14:ligatures w14:val="none"/>
        </w:rPr>
      </w:pPr>
    </w:p>
    <w:p w:rsidRPr="00A367EB" w:rsidR="00840174" w:rsidP="00A367EB" w:rsidRDefault="00ED0043" w14:paraId="4574464D" w14:textId="0DAF4A61">
      <w:pPr>
        <w:numPr>
          <w:ilvl w:val="0"/>
          <w:numId w:val="21"/>
        </w:numPr>
        <w:tabs>
          <w:tab w:val="num" w:pos="450"/>
        </w:tabs>
        <w:ind w:left="360"/>
        <w:rPr>
          <w:rFonts w:ascii="Palatino Linotype" w:hAnsi="Palatino Linotype" w:eastAsia="Palatino Linotype" w:cs="Times New Roman"/>
          <w:kern w:val="0"/>
          <w14:ligatures w14:val="none"/>
        </w:rPr>
      </w:pPr>
      <w:r w:rsidRPr="00A367EB">
        <w:rPr>
          <w:rFonts w:ascii="Palatino Linotype" w:hAnsi="Palatino Linotype" w:eastAsia="Palatino Linotype" w:cs="Times New Roman"/>
          <w:kern w:val="0"/>
          <w14:ligatures w14:val="none"/>
        </w:rPr>
        <w:t>On May 20, 2026, the County of San Mateo submitted comments.</w:t>
      </w:r>
      <w:r w:rsidRPr="00A367EB" w:rsidR="008F2050">
        <w:rPr>
          <w:rFonts w:ascii="Palatino Linotype" w:hAnsi="Palatino Linotype" w:eastAsia="Palatino Linotype" w:cs="Times New Roman"/>
          <w:kern w:val="0"/>
          <w14:ligatures w14:val="none"/>
        </w:rPr>
        <w:t xml:space="preserve"> </w:t>
      </w:r>
      <w:r w:rsidRPr="00A367EB" w:rsidR="00067993">
        <w:rPr>
          <w:rFonts w:ascii="Palatino Linotype" w:hAnsi="Palatino Linotype" w:eastAsia="Palatino Linotype" w:cs="Times New Roman"/>
          <w:kern w:val="0"/>
          <w14:ligatures w14:val="none"/>
        </w:rPr>
        <w:t xml:space="preserve">On </w:t>
      </w:r>
      <w:r w:rsidRPr="00A367EB" w:rsidR="00840174">
        <w:rPr>
          <w:rFonts w:ascii="Palatino Linotype" w:hAnsi="Palatino Linotype" w:eastAsia="Palatino Linotype" w:cs="Times New Roman"/>
          <w:kern w:val="0"/>
          <w14:ligatures w14:val="none"/>
        </w:rPr>
        <w:t>May 2</w:t>
      </w:r>
      <w:r w:rsidRPr="00A367EB" w:rsidR="008F2050">
        <w:rPr>
          <w:rFonts w:ascii="Palatino Linotype" w:hAnsi="Palatino Linotype" w:eastAsia="Palatino Linotype" w:cs="Times New Roman"/>
          <w:kern w:val="0"/>
          <w14:ligatures w14:val="none"/>
        </w:rPr>
        <w:t>1</w:t>
      </w:r>
      <w:r w:rsidRPr="00A367EB" w:rsidR="00840174">
        <w:rPr>
          <w:rFonts w:ascii="Palatino Linotype" w:hAnsi="Palatino Linotype" w:eastAsia="Palatino Linotype" w:cs="Times New Roman"/>
          <w:kern w:val="0"/>
          <w14:ligatures w14:val="none"/>
        </w:rPr>
        <w:t xml:space="preserve">, 2026, the County of </w:t>
      </w:r>
      <w:r w:rsidRPr="00A367EB" w:rsidR="008F2050">
        <w:rPr>
          <w:rFonts w:ascii="Palatino Linotype" w:hAnsi="Palatino Linotype" w:eastAsia="Palatino Linotype" w:cs="Times New Roman"/>
          <w:kern w:val="0"/>
          <w14:ligatures w14:val="none"/>
        </w:rPr>
        <w:t>Santa Clara</w:t>
      </w:r>
      <w:r w:rsidRPr="00A367EB" w:rsidR="00840174">
        <w:rPr>
          <w:rFonts w:ascii="Palatino Linotype" w:hAnsi="Palatino Linotype" w:eastAsia="Palatino Linotype" w:cs="Times New Roman"/>
          <w:kern w:val="0"/>
          <w14:ligatures w14:val="none"/>
        </w:rPr>
        <w:t xml:space="preserve"> </w:t>
      </w:r>
      <w:r w:rsidR="0076523F">
        <w:rPr>
          <w:rFonts w:ascii="Palatino Linotype" w:hAnsi="Palatino Linotype" w:eastAsia="Palatino Linotype" w:cs="Times New Roman"/>
          <w:kern w:val="0"/>
          <w14:ligatures w14:val="none"/>
        </w:rPr>
        <w:t>sent</w:t>
      </w:r>
      <w:r w:rsidRPr="00A367EB" w:rsidR="009D222E">
        <w:rPr>
          <w:rFonts w:ascii="Palatino Linotype" w:hAnsi="Palatino Linotype" w:eastAsia="Palatino Linotype" w:cs="Times New Roman"/>
          <w:kern w:val="0"/>
          <w14:ligatures w14:val="none"/>
        </w:rPr>
        <w:t xml:space="preserve"> comments</w:t>
      </w:r>
      <w:r w:rsidRPr="00A367EB" w:rsidR="00DF6AE1">
        <w:rPr>
          <w:rFonts w:ascii="Palatino Linotype" w:hAnsi="Palatino Linotype" w:eastAsia="Palatino Linotype" w:cs="Times New Roman"/>
          <w:kern w:val="0"/>
          <w14:ligatures w14:val="none"/>
        </w:rPr>
        <w:t xml:space="preserve"> </w:t>
      </w:r>
      <w:r w:rsidRPr="00A367EB" w:rsidR="00374808">
        <w:rPr>
          <w:rFonts w:ascii="Palatino Linotype" w:hAnsi="Palatino Linotype" w:eastAsia="Palatino Linotype" w:cs="Times New Roman"/>
          <w:kern w:val="0"/>
          <w14:ligatures w14:val="none"/>
        </w:rPr>
        <w:t>to staff</w:t>
      </w:r>
      <w:r w:rsidRPr="00A367EB" w:rsidR="00F3736E">
        <w:rPr>
          <w:rFonts w:ascii="Palatino Linotype" w:hAnsi="Palatino Linotype" w:eastAsia="Palatino Linotype" w:cs="Times New Roman"/>
          <w:kern w:val="0"/>
          <w14:ligatures w14:val="none"/>
        </w:rPr>
        <w:t xml:space="preserve"> after</w:t>
      </w:r>
      <w:r w:rsidR="00AE3733">
        <w:rPr>
          <w:rFonts w:ascii="Palatino Linotype" w:hAnsi="Palatino Linotype" w:eastAsia="Palatino Linotype" w:cs="Times New Roman"/>
          <w:kern w:val="0"/>
          <w14:ligatures w14:val="none"/>
        </w:rPr>
        <w:t xml:space="preserve"> a</w:t>
      </w:r>
      <w:r w:rsidRPr="00A367EB" w:rsidR="00F3736E">
        <w:rPr>
          <w:rFonts w:ascii="Palatino Linotype" w:hAnsi="Palatino Linotype" w:eastAsia="Palatino Linotype" w:cs="Times New Roman"/>
          <w:kern w:val="0"/>
          <w14:ligatures w14:val="none"/>
        </w:rPr>
        <w:t xml:space="preserve"> good faith attempt at </w:t>
      </w:r>
      <w:r w:rsidRPr="00A367EB" w:rsidR="000F728C">
        <w:rPr>
          <w:rFonts w:ascii="Palatino Linotype" w:hAnsi="Palatino Linotype" w:eastAsia="Palatino Linotype" w:cs="Times New Roman"/>
          <w:kern w:val="0"/>
          <w14:ligatures w14:val="none"/>
        </w:rPr>
        <w:t xml:space="preserve">submitting to the </w:t>
      </w:r>
      <w:r w:rsidRPr="00A367EB" w:rsidR="00A367EB">
        <w:rPr>
          <w:rFonts w:ascii="Palatino Linotype" w:hAnsi="Palatino Linotype" w:eastAsia="Palatino Linotype" w:cs="Times New Roman"/>
          <w:kern w:val="0"/>
          <w14:ligatures w14:val="none"/>
        </w:rPr>
        <w:t>CASF Distribution List before the deadline.</w:t>
      </w:r>
    </w:p>
    <w:p w:rsidR="00840174" w:rsidP="009925C4" w:rsidRDefault="00840174" w14:paraId="695C95BC" w14:textId="0049F93B">
      <w:pPr>
        <w:rPr>
          <w:rFonts w:ascii="Palatino Linotype" w:hAnsi="Palatino Linotype" w:eastAsia="Palatino Linotype" w:cs="Times New Roman"/>
          <w:kern w:val="0"/>
          <w14:ligatures w14:val="none"/>
        </w:rPr>
      </w:pPr>
    </w:p>
    <w:p w:rsidR="00FD621E" w:rsidP="00EF399B" w:rsidRDefault="00FD621E" w14:paraId="02A6B97A" w14:textId="77777777">
      <w:pPr>
        <w:contextualSpacing/>
        <w:rPr>
          <w:rFonts w:ascii="Palatino Linotype" w:hAnsi="Palatino Linotype" w:eastAsia="Palatino Linotype" w:cs="Times New Roman"/>
          <w:kern w:val="0"/>
          <w14:ligatures w14:val="none"/>
        </w:rPr>
      </w:pPr>
    </w:p>
    <w:p w:rsidR="00FD621E" w:rsidP="00EF399B" w:rsidRDefault="00297BA6" w14:paraId="412DB3A8" w14:textId="23A995FC">
      <w:pPr>
        <w:contextualSpacing/>
        <w:rPr>
          <w:rFonts w:ascii="Palatino Linotype" w:hAnsi="Palatino Linotype" w:eastAsia="Palatino Linotype" w:cs="Times New Roman"/>
          <w:kern w:val="0"/>
          <w14:ligatures w14:val="none"/>
        </w:rPr>
      </w:pPr>
      <w:r w:rsidRPr="00297BA6">
        <w:rPr>
          <w:rFonts w:ascii="Palatino Linotype" w:hAnsi="Palatino Linotype" w:eastAsia="Palatino Linotype" w:cs="Times New Roman"/>
          <w:b/>
          <w:caps/>
          <w:kern w:val="28"/>
          <w:u w:val="single"/>
          <w14:ligatures w14:val="none"/>
        </w:rPr>
        <w:t>THEREFORE, IT IS ORDERED THAT:</w:t>
      </w:r>
    </w:p>
    <w:p w:rsidRPr="00317F83" w:rsidR="00317F83" w:rsidP="00317F83" w:rsidRDefault="00317F83" w14:paraId="5831D35B" w14:textId="77777777">
      <w:pPr>
        <w:contextualSpacing/>
        <w:rPr>
          <w:rFonts w:ascii="Palatino Linotype" w:hAnsi="Palatino Linotype" w:eastAsia="Palatino Linotype" w:cs="Times New Roman"/>
          <w:kern w:val="0"/>
          <w14:ligatures w14:val="none"/>
        </w:rPr>
      </w:pPr>
    </w:p>
    <w:p w:rsidRPr="0033485F" w:rsidR="00317F83" w:rsidP="0025725A" w:rsidRDefault="00317F83" w14:paraId="0A863A61" w14:textId="1204D16C">
      <w:pPr>
        <w:pStyle w:val="ListParagraph"/>
        <w:numPr>
          <w:ilvl w:val="0"/>
          <w:numId w:val="32"/>
        </w:numPr>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 xml:space="preserve">The Commission shall award the following grant amounts: </w:t>
      </w:r>
    </w:p>
    <w:p w:rsidR="00FD621E" w:rsidP="00EF399B" w:rsidRDefault="00FD621E" w14:paraId="3D1F6305" w14:textId="77777777">
      <w:pPr>
        <w:contextualSpacing/>
        <w:rPr>
          <w:rFonts w:ascii="Palatino Linotype" w:hAnsi="Palatino Linotype" w:eastAsia="Palatino Linotype" w:cs="Times New Roman"/>
          <w:kern w:val="0"/>
          <w14:ligatures w14:val="none"/>
        </w:rPr>
      </w:pPr>
    </w:p>
    <w:p w:rsidR="00A1702E" w:rsidP="00D75788" w:rsidRDefault="00A1702E" w14:paraId="5BB81712" w14:textId="1A229DB7">
      <w:pPr>
        <w:pStyle w:val="ListParagraph"/>
        <w:numPr>
          <w:ilvl w:val="2"/>
          <w:numId w:val="32"/>
        </w:numPr>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$600,000 to the Broadband Consortium of the Pacific Coast (BCPC)</w:t>
      </w:r>
    </w:p>
    <w:p w:rsidR="00B4250A" w:rsidP="00B4250A" w:rsidRDefault="00B4250A" w14:paraId="19401111" w14:textId="77777777">
      <w:pPr>
        <w:pStyle w:val="ListParagraph"/>
        <w:numPr>
          <w:ilvl w:val="2"/>
          <w:numId w:val="32"/>
        </w:numPr>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$600,000 to the East Bay Broadband Consortium (EBBC)</w:t>
      </w:r>
    </w:p>
    <w:p w:rsidRPr="0033485F" w:rsidR="00A673A0" w:rsidP="00A673A0" w:rsidRDefault="00A673A0" w14:paraId="0CCDB710" w14:textId="77777777">
      <w:pPr>
        <w:pStyle w:val="ListParagraph"/>
        <w:numPr>
          <w:ilvl w:val="2"/>
          <w:numId w:val="32"/>
        </w:numPr>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$400,000 to the E = mc² Silicon Valley Consortium (EMCSVC)</w:t>
      </w:r>
    </w:p>
    <w:p w:rsidR="00A673A0" w:rsidP="00A673A0" w:rsidRDefault="00A673A0" w14:paraId="0F72AF75" w14:textId="68048DD2">
      <w:pPr>
        <w:pStyle w:val="ListParagraph"/>
        <w:numPr>
          <w:ilvl w:val="2"/>
          <w:numId w:val="32"/>
        </w:numPr>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w:t>
      </w:r>
      <w:r w:rsidRPr="0033485F" w:rsidR="0048123E">
        <w:rPr>
          <w:rFonts w:ascii="Palatino Linotype" w:hAnsi="Palatino Linotype" w:eastAsia="Palatino Linotype" w:cs="Times New Roman"/>
          <w:kern w:val="0"/>
          <w14:ligatures w14:val="none"/>
        </w:rPr>
        <w:t>600,000</w:t>
      </w:r>
      <w:r w:rsidRPr="0033485F">
        <w:rPr>
          <w:rFonts w:ascii="Palatino Linotype" w:hAnsi="Palatino Linotype" w:eastAsia="Palatino Linotype" w:cs="Times New Roman"/>
          <w:kern w:val="0"/>
          <w14:ligatures w14:val="none"/>
        </w:rPr>
        <w:t xml:space="preserve"> to the Gold Country Broadband Consortium (GCBC)</w:t>
      </w:r>
    </w:p>
    <w:p w:rsidR="00A673A0" w:rsidP="00A673A0" w:rsidRDefault="00A673A0" w14:paraId="259F3728" w14:textId="77777777">
      <w:pPr>
        <w:pStyle w:val="ListParagraph"/>
        <w:numPr>
          <w:ilvl w:val="2"/>
          <w:numId w:val="32"/>
        </w:numPr>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$600,000 to the Inyo-Mono Broadband Consortium (IMBC)</w:t>
      </w:r>
    </w:p>
    <w:p w:rsidRPr="00A673A0" w:rsidR="00B4250A" w:rsidP="00A673A0" w:rsidRDefault="00A673A0" w14:paraId="7B29FC27" w14:textId="438A7D95">
      <w:pPr>
        <w:pStyle w:val="ListParagraph"/>
        <w:numPr>
          <w:ilvl w:val="2"/>
          <w:numId w:val="32"/>
        </w:numPr>
        <w:rPr>
          <w:rFonts w:ascii="Palatino Linotype" w:hAnsi="Palatino Linotype" w:eastAsia="Palatino Linotype" w:cs="Times New Roman"/>
          <w:kern w:val="0"/>
          <w14:ligatures w14:val="none"/>
        </w:rPr>
      </w:pPr>
      <w:r w:rsidRPr="0033485F">
        <w:rPr>
          <w:rFonts w:ascii="Palatino Linotype" w:hAnsi="Palatino Linotype" w:eastAsia="Palatino Linotype" w:cs="Times New Roman"/>
          <w:kern w:val="0"/>
          <w14:ligatures w14:val="none"/>
        </w:rPr>
        <w:t>$600,000 to the Los Angeles Digital Equity Action League Consortium (LA DEAL)</w:t>
      </w:r>
    </w:p>
    <w:p w:rsidR="00297BA6" w:rsidP="00EF399B" w:rsidRDefault="00297BA6" w14:paraId="58C96920" w14:textId="77777777">
      <w:pPr>
        <w:contextualSpacing/>
        <w:rPr>
          <w:rFonts w:ascii="Palatino Linotype" w:hAnsi="Palatino Linotype" w:eastAsia="Palatino Linotype" w:cs="Times New Roman"/>
          <w:kern w:val="0"/>
          <w14:ligatures w14:val="none"/>
        </w:rPr>
      </w:pPr>
    </w:p>
    <w:p w:rsidRPr="00383017" w:rsidR="00297BA6" w:rsidP="00BB4A98" w:rsidRDefault="000C5402" w14:paraId="68F5B1B1" w14:textId="14C9EA06">
      <w:pPr>
        <w:pStyle w:val="ListParagraph"/>
        <w:ind w:left="360"/>
        <w:rPr>
          <w:rFonts w:ascii="Palatino Linotype" w:hAnsi="Palatino Linotype" w:eastAsia="Palatino Linotype" w:cs="Times New Roman"/>
          <w:kern w:val="0"/>
          <w14:ligatures w14:val="none"/>
        </w:rPr>
      </w:pPr>
      <w:r w:rsidRPr="00383017">
        <w:rPr>
          <w:rFonts w:ascii="Palatino Linotype" w:hAnsi="Palatino Linotype" w:eastAsia="Palatino Linotype" w:cs="Times New Roman"/>
          <w:kern w:val="0"/>
          <w14:ligatures w14:val="none"/>
        </w:rPr>
        <w:t xml:space="preserve">The total grant award is in the amount of up </w:t>
      </w:r>
      <w:r w:rsidRPr="00986516">
        <w:rPr>
          <w:rFonts w:ascii="Palatino Linotype" w:hAnsi="Palatino Linotype" w:eastAsia="Palatino Linotype" w:cs="Times New Roman"/>
          <w:kern w:val="0"/>
          <w14:ligatures w14:val="none"/>
        </w:rPr>
        <w:t>to $3,</w:t>
      </w:r>
      <w:r w:rsidRPr="00986516" w:rsidR="0048123E">
        <w:rPr>
          <w:rFonts w:ascii="Palatino Linotype" w:hAnsi="Palatino Linotype" w:eastAsia="Palatino Linotype" w:cs="Times New Roman"/>
          <w:kern w:val="0"/>
          <w14:ligatures w14:val="none"/>
        </w:rPr>
        <w:t>400,000.</w:t>
      </w:r>
      <w:r w:rsidRPr="00383017">
        <w:rPr>
          <w:rFonts w:ascii="Palatino Linotype" w:hAnsi="Palatino Linotype" w:eastAsia="Palatino Linotype" w:cs="Times New Roman"/>
          <w:kern w:val="0"/>
          <w14:ligatures w14:val="none"/>
        </w:rPr>
        <w:t xml:space="preserve"> All awards are based on the descriptions of the </w:t>
      </w:r>
      <w:proofErr w:type="gramStart"/>
      <w:r w:rsidRPr="00383017">
        <w:rPr>
          <w:rFonts w:ascii="Palatino Linotype" w:hAnsi="Palatino Linotype" w:eastAsia="Palatino Linotype" w:cs="Times New Roman"/>
          <w:kern w:val="0"/>
          <w14:ligatures w14:val="none"/>
        </w:rPr>
        <w:t>projects as</w:t>
      </w:r>
      <w:proofErr w:type="gramEnd"/>
      <w:r w:rsidRPr="00383017">
        <w:rPr>
          <w:rFonts w:ascii="Palatino Linotype" w:hAnsi="Palatino Linotype" w:eastAsia="Palatino Linotype" w:cs="Times New Roman"/>
          <w:kern w:val="0"/>
          <w14:ligatures w14:val="none"/>
        </w:rPr>
        <w:t xml:space="preserve"> described herein</w:t>
      </w:r>
      <w:r w:rsidRPr="00383017" w:rsidR="00825EED">
        <w:rPr>
          <w:rFonts w:ascii="Palatino Linotype" w:hAnsi="Palatino Linotype" w:eastAsia="Palatino Linotype" w:cs="Times New Roman"/>
          <w:kern w:val="0"/>
          <w14:ligatures w14:val="none"/>
        </w:rPr>
        <w:t>.</w:t>
      </w:r>
    </w:p>
    <w:p w:rsidR="00297BA6" w:rsidP="00EF399B" w:rsidRDefault="00297BA6" w14:paraId="305C9FE7" w14:textId="77777777">
      <w:pPr>
        <w:contextualSpacing/>
        <w:rPr>
          <w:rFonts w:ascii="Palatino Linotype" w:hAnsi="Palatino Linotype" w:eastAsia="Palatino Linotype" w:cs="Times New Roman"/>
          <w:kern w:val="0"/>
          <w14:ligatures w14:val="none"/>
        </w:rPr>
      </w:pPr>
    </w:p>
    <w:p w:rsidR="00825EED" w:rsidP="0025725A" w:rsidRDefault="001C0E31" w14:paraId="02DFE4EE" w14:textId="2182AD32">
      <w:pPr>
        <w:pStyle w:val="ListParagraph"/>
        <w:numPr>
          <w:ilvl w:val="0"/>
          <w:numId w:val="32"/>
        </w:numPr>
        <w:rPr>
          <w:rFonts w:ascii="Palatino Linotype" w:hAnsi="Palatino Linotype" w:eastAsia="Palatino Linotype" w:cs="Times New Roman"/>
          <w:kern w:val="0"/>
          <w14:ligatures w14:val="none"/>
        </w:rPr>
      </w:pPr>
      <w:r w:rsidRPr="001C0E31">
        <w:rPr>
          <w:rFonts w:ascii="Palatino Linotype" w:hAnsi="Palatino Linotype" w:eastAsia="Palatino Linotype" w:cs="Times New Roman"/>
          <w:kern w:val="0"/>
          <w14:ligatures w14:val="none"/>
        </w:rPr>
        <w:lastRenderedPageBreak/>
        <w:t>Payments to the CASF grantees shall be in accordance with guidelines adopted in D.2</w:t>
      </w:r>
      <w:r>
        <w:rPr>
          <w:rFonts w:ascii="Palatino Linotype" w:hAnsi="Palatino Linotype" w:eastAsia="Palatino Linotype" w:cs="Times New Roman"/>
          <w:kern w:val="0"/>
          <w14:ligatures w14:val="none"/>
        </w:rPr>
        <w:t>5</w:t>
      </w:r>
      <w:r w:rsidRPr="001C0E31">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11</w:t>
      </w:r>
      <w:r w:rsidRPr="001C0E31">
        <w:rPr>
          <w:rFonts w:ascii="Palatino Linotype" w:hAnsi="Palatino Linotype" w:eastAsia="Palatino Linotype" w:cs="Times New Roman"/>
          <w:kern w:val="0"/>
          <w14:ligatures w14:val="none"/>
        </w:rPr>
        <w:t>-0</w:t>
      </w:r>
      <w:r>
        <w:rPr>
          <w:rFonts w:ascii="Palatino Linotype" w:hAnsi="Palatino Linotype" w:eastAsia="Palatino Linotype" w:cs="Times New Roman"/>
          <w:kern w:val="0"/>
          <w14:ligatures w14:val="none"/>
        </w:rPr>
        <w:t>0</w:t>
      </w:r>
      <w:r w:rsidR="0065583F">
        <w:rPr>
          <w:rFonts w:ascii="Palatino Linotype" w:hAnsi="Palatino Linotype" w:eastAsia="Palatino Linotype" w:cs="Times New Roman"/>
          <w:kern w:val="0"/>
          <w14:ligatures w14:val="none"/>
        </w:rPr>
        <w:t>3</w:t>
      </w:r>
      <w:r w:rsidRPr="001C0E31">
        <w:rPr>
          <w:rFonts w:ascii="Palatino Linotype" w:hAnsi="Palatino Linotype" w:eastAsia="Palatino Linotype" w:cs="Times New Roman"/>
          <w:kern w:val="0"/>
          <w14:ligatures w14:val="none"/>
        </w:rPr>
        <w:t xml:space="preserve"> and in accordance with the process defined in the “Payments” section of this Resolution.</w:t>
      </w:r>
    </w:p>
    <w:p w:rsidRPr="006032A0" w:rsidR="001C0E31" w:rsidP="006032A0" w:rsidRDefault="001C0E31" w14:paraId="2E3868BF" w14:textId="0292227C">
      <w:pPr>
        <w:rPr>
          <w:rFonts w:ascii="Palatino Linotype" w:hAnsi="Palatino Linotype" w:eastAsia="Palatino Linotype" w:cs="Times New Roman"/>
          <w:kern w:val="0"/>
          <w14:ligatures w14:val="none"/>
        </w:rPr>
      </w:pPr>
    </w:p>
    <w:p w:rsidR="00E32EB4" w:rsidP="0025725A" w:rsidRDefault="00E32EB4" w14:paraId="19C5A233" w14:textId="12849CD9">
      <w:pPr>
        <w:pStyle w:val="ListParagraph"/>
        <w:numPr>
          <w:ilvl w:val="0"/>
          <w:numId w:val="32"/>
        </w:numPr>
        <w:rPr>
          <w:rFonts w:ascii="Palatino Linotype" w:hAnsi="Palatino Linotype" w:eastAsia="Palatino Linotype" w:cs="Times New Roman"/>
          <w:kern w:val="0"/>
          <w14:ligatures w14:val="none"/>
        </w:rPr>
      </w:pPr>
      <w:r w:rsidRPr="00E32EB4">
        <w:rPr>
          <w:rFonts w:ascii="Palatino Linotype" w:hAnsi="Palatino Linotype" w:eastAsia="Palatino Linotype" w:cs="Times New Roman"/>
          <w:kern w:val="0"/>
          <w14:ligatures w14:val="none"/>
        </w:rPr>
        <w:t xml:space="preserve">Each grantee must retain at least one Fiscal Agent with lead responsibility and legal authority to represent the Consortium for purposes of sponsoring the </w:t>
      </w:r>
      <w:r w:rsidRPr="00E32EB4" w:rsidR="00AD053B">
        <w:rPr>
          <w:rFonts w:ascii="Palatino Linotype" w:hAnsi="Palatino Linotype" w:eastAsia="Palatino Linotype" w:cs="Times New Roman"/>
          <w:kern w:val="0"/>
          <w14:ligatures w14:val="none"/>
        </w:rPr>
        <w:t>application</w:t>
      </w:r>
      <w:r w:rsidR="00AD053B">
        <w:rPr>
          <w:rFonts w:ascii="Palatino Linotype" w:hAnsi="Palatino Linotype" w:eastAsia="Palatino Linotype" w:cs="Times New Roman"/>
          <w:kern w:val="0"/>
          <w14:ligatures w14:val="none"/>
        </w:rPr>
        <w:t>,</w:t>
      </w:r>
      <w:r w:rsidRPr="00E32EB4" w:rsidR="00AD053B">
        <w:rPr>
          <w:rFonts w:ascii="Palatino Linotype" w:hAnsi="Palatino Linotype" w:eastAsia="Palatino Linotype" w:cs="Times New Roman"/>
          <w:kern w:val="0"/>
          <w14:ligatures w14:val="none"/>
        </w:rPr>
        <w:t xml:space="preserve"> </w:t>
      </w:r>
      <w:r w:rsidRPr="001202D7" w:rsidR="00AD053B">
        <w:rPr>
          <w:rFonts w:ascii="Palatino Linotype" w:hAnsi="Palatino Linotype" w:eastAsia="Palatino Linotype" w:cs="Times New Roman"/>
          <w:kern w:val="0"/>
          <w14:ligatures w14:val="none"/>
        </w:rPr>
        <w:t>administering</w:t>
      </w:r>
      <w:r w:rsidRPr="00127077" w:rsidR="001202D7">
        <w:rPr>
          <w:rFonts w:ascii="Palatino Linotype" w:hAnsi="Palatino Linotype" w:eastAsia="Palatino Linotype" w:cs="Times New Roman"/>
          <w:kern w:val="0"/>
          <w14:ligatures w14:val="none"/>
        </w:rPr>
        <w:t xml:space="preserve"> fiscal activities between the Consortium and the Commission, receiving and disbursing Consortium grant funds and ensuring Consortium compliance with the grant.</w:t>
      </w:r>
    </w:p>
    <w:p w:rsidR="00F16281" w:rsidP="0088606A" w:rsidRDefault="00F16281" w14:paraId="2B69C2C9" w14:textId="3BED5D9A">
      <w:pPr>
        <w:pStyle w:val="ListParagraph"/>
        <w:ind w:left="0"/>
        <w:rPr>
          <w:rFonts w:ascii="Palatino Linotype" w:hAnsi="Palatino Linotype" w:eastAsia="Palatino Linotype" w:cs="Times New Roman"/>
          <w:kern w:val="0"/>
          <w14:ligatures w14:val="none"/>
        </w:rPr>
      </w:pPr>
    </w:p>
    <w:p w:rsidR="00F16281" w:rsidP="0025725A" w:rsidRDefault="00506556" w14:paraId="01EE318D" w14:textId="49D0E801">
      <w:pPr>
        <w:pStyle w:val="ListParagraph"/>
        <w:numPr>
          <w:ilvl w:val="0"/>
          <w:numId w:val="32"/>
        </w:numPr>
        <w:rPr>
          <w:rFonts w:ascii="Palatino Linotype" w:hAnsi="Palatino Linotype" w:eastAsia="Palatino Linotype" w:cs="Times New Roman"/>
          <w:kern w:val="0"/>
          <w14:ligatures w14:val="none"/>
        </w:rPr>
      </w:pPr>
      <w:r w:rsidRPr="00506556">
        <w:rPr>
          <w:rFonts w:ascii="Palatino Linotype" w:hAnsi="Palatino Linotype" w:eastAsia="Palatino Linotype" w:cs="Times New Roman"/>
          <w:kern w:val="0"/>
          <w14:ligatures w14:val="none"/>
        </w:rPr>
        <w:t>Each Fiscal Agent must affirmatively agree on behalf of the grantee to comply with the Commission’s directives and conditions relating to the review, approval, and administration of any Consortia application grants.</w:t>
      </w:r>
    </w:p>
    <w:p w:rsidR="00E32EB4" w:rsidP="0088606A" w:rsidRDefault="00E32EB4" w14:paraId="47808F39" w14:textId="5A263B6C">
      <w:pPr>
        <w:pStyle w:val="ListParagraph"/>
        <w:ind w:left="0"/>
        <w:rPr>
          <w:rFonts w:ascii="Palatino Linotype" w:hAnsi="Palatino Linotype" w:eastAsia="Palatino Linotype" w:cs="Times New Roman"/>
          <w:kern w:val="0"/>
          <w14:ligatures w14:val="none"/>
        </w:rPr>
      </w:pPr>
    </w:p>
    <w:p w:rsidR="003B3607" w:rsidP="0025725A" w:rsidRDefault="003B3607" w14:paraId="54D93A7B" w14:textId="7213385A">
      <w:pPr>
        <w:pStyle w:val="ListParagraph"/>
        <w:numPr>
          <w:ilvl w:val="0"/>
          <w:numId w:val="32"/>
        </w:numPr>
        <w:rPr>
          <w:rFonts w:ascii="Palatino Linotype" w:hAnsi="Palatino Linotype" w:eastAsia="Palatino Linotype" w:cs="Times New Roman"/>
          <w:kern w:val="0"/>
          <w14:ligatures w14:val="none"/>
        </w:rPr>
      </w:pPr>
      <w:r w:rsidRPr="003B3607">
        <w:rPr>
          <w:rFonts w:ascii="Palatino Linotype" w:hAnsi="Palatino Linotype" w:eastAsia="Palatino Linotype" w:cs="Times New Roman"/>
          <w:kern w:val="0"/>
          <w14:ligatures w14:val="none"/>
        </w:rPr>
        <w:t xml:space="preserve">Prior to commencement of each </w:t>
      </w:r>
      <w:r w:rsidRPr="003B3607" w:rsidR="00AD053B">
        <w:rPr>
          <w:rFonts w:ascii="Palatino Linotype" w:hAnsi="Palatino Linotype" w:eastAsia="Palatino Linotype" w:cs="Times New Roman"/>
          <w:kern w:val="0"/>
          <w14:ligatures w14:val="none"/>
        </w:rPr>
        <w:t>grantee’s</w:t>
      </w:r>
      <w:r w:rsidRPr="003B3607">
        <w:rPr>
          <w:rFonts w:ascii="Palatino Linotype" w:hAnsi="Palatino Linotype" w:eastAsia="Palatino Linotype" w:cs="Times New Roman"/>
          <w:kern w:val="0"/>
          <w14:ligatures w14:val="none"/>
        </w:rPr>
        <w:t xml:space="preserve"> projects, </w:t>
      </w:r>
      <w:r w:rsidR="00AD053B">
        <w:rPr>
          <w:rFonts w:ascii="Palatino Linotype" w:hAnsi="Palatino Linotype" w:eastAsia="Palatino Linotype" w:cs="Times New Roman"/>
          <w:kern w:val="0"/>
          <w14:ligatures w14:val="none"/>
        </w:rPr>
        <w:t xml:space="preserve">the </w:t>
      </w:r>
      <w:r w:rsidRPr="003B3607">
        <w:rPr>
          <w:rFonts w:ascii="Palatino Linotype" w:hAnsi="Palatino Linotype" w:eastAsia="Palatino Linotype" w:cs="Times New Roman"/>
          <w:kern w:val="0"/>
          <w14:ligatures w14:val="none"/>
        </w:rPr>
        <w:t>Consortium’s Fiscal Agent must provide CD staff with the method chosen to distinguish funding sources and billing practices, to ensure that CASF payments are not duplicated by other sources, and that only CASF-approved activities are billed to the Consortia Account.</w:t>
      </w:r>
    </w:p>
    <w:p w:rsidR="00D16911" w:rsidP="0088606A" w:rsidRDefault="00D16911" w14:paraId="3A745224" w14:textId="3E25174B">
      <w:pPr>
        <w:pStyle w:val="ListParagraph"/>
        <w:ind w:left="0"/>
        <w:rPr>
          <w:rFonts w:ascii="Palatino Linotype" w:hAnsi="Palatino Linotype" w:eastAsia="Palatino Linotype" w:cs="Times New Roman"/>
          <w:kern w:val="0"/>
          <w14:ligatures w14:val="none"/>
        </w:rPr>
      </w:pPr>
    </w:p>
    <w:p w:rsidR="00D16911" w:rsidP="0025725A" w:rsidRDefault="00D16911" w14:paraId="2E79D6A7" w14:textId="79126BCF">
      <w:pPr>
        <w:pStyle w:val="ListParagraph"/>
        <w:numPr>
          <w:ilvl w:val="0"/>
          <w:numId w:val="32"/>
        </w:numPr>
        <w:rPr>
          <w:rFonts w:ascii="Palatino Linotype" w:hAnsi="Palatino Linotype" w:eastAsia="Palatino Linotype" w:cs="Times New Roman"/>
          <w:kern w:val="0"/>
          <w14:ligatures w14:val="none"/>
        </w:rPr>
      </w:pPr>
      <w:r w:rsidRPr="00D16911">
        <w:rPr>
          <w:rFonts w:ascii="Palatino Linotype" w:hAnsi="Palatino Linotype" w:eastAsia="Palatino Linotype" w:cs="Times New Roman"/>
          <w:kern w:val="0"/>
          <w14:ligatures w14:val="none"/>
        </w:rPr>
        <w:t>The disbursement of funds shall be subject to the requirements set forth in D.2</w:t>
      </w:r>
      <w:r w:rsidR="00FF5DAE">
        <w:rPr>
          <w:rFonts w:ascii="Palatino Linotype" w:hAnsi="Palatino Linotype" w:eastAsia="Palatino Linotype" w:cs="Times New Roman"/>
          <w:kern w:val="0"/>
          <w14:ligatures w14:val="none"/>
        </w:rPr>
        <w:t>5</w:t>
      </w:r>
      <w:r w:rsidRPr="00D16911">
        <w:rPr>
          <w:rFonts w:ascii="Palatino Linotype" w:hAnsi="Palatino Linotype" w:eastAsia="Palatino Linotype" w:cs="Times New Roman"/>
          <w:kern w:val="0"/>
          <w14:ligatures w14:val="none"/>
        </w:rPr>
        <w:t>-</w:t>
      </w:r>
      <w:r w:rsidR="00FF5DAE">
        <w:rPr>
          <w:rFonts w:ascii="Palatino Linotype" w:hAnsi="Palatino Linotype" w:eastAsia="Palatino Linotype" w:cs="Times New Roman"/>
          <w:kern w:val="0"/>
          <w14:ligatures w14:val="none"/>
        </w:rPr>
        <w:t>11</w:t>
      </w:r>
      <w:r w:rsidRPr="00D16911">
        <w:rPr>
          <w:rFonts w:ascii="Palatino Linotype" w:hAnsi="Palatino Linotype" w:eastAsia="Palatino Linotype" w:cs="Times New Roman"/>
          <w:kern w:val="0"/>
          <w14:ligatures w14:val="none"/>
        </w:rPr>
        <w:t>-0</w:t>
      </w:r>
      <w:r w:rsidR="00FF5DAE">
        <w:rPr>
          <w:rFonts w:ascii="Palatino Linotype" w:hAnsi="Palatino Linotype" w:eastAsia="Palatino Linotype" w:cs="Times New Roman"/>
          <w:kern w:val="0"/>
          <w14:ligatures w14:val="none"/>
        </w:rPr>
        <w:t>03</w:t>
      </w:r>
      <w:r w:rsidRPr="2FB20F05" w:rsidR="400BF433">
        <w:rPr>
          <w:rFonts w:ascii="Palatino Linotype" w:hAnsi="Palatino Linotype" w:eastAsia="Palatino Linotype" w:cs="Times New Roman"/>
        </w:rPr>
        <w:t>,</w:t>
      </w:r>
      <w:r w:rsidRPr="00D16911">
        <w:rPr>
          <w:rFonts w:ascii="Palatino Linotype" w:hAnsi="Palatino Linotype" w:eastAsia="Palatino Linotype" w:cs="Times New Roman"/>
          <w:kern w:val="0"/>
          <w14:ligatures w14:val="none"/>
        </w:rPr>
        <w:t xml:space="preserve"> including the submission of bi-annual progress reports and supporting documentation for payment reimbursement,</w:t>
      </w:r>
      <w:r w:rsidRPr="0030552E" w:rsidR="0030552E">
        <w:t xml:space="preserve"> </w:t>
      </w:r>
      <w:r w:rsidRPr="003137FB" w:rsidR="0030552E">
        <w:rPr>
          <w:rFonts w:ascii="Palatino Linotype" w:hAnsi="Palatino Linotype" w:eastAsia="Palatino Linotype" w:cs="Times New Roman"/>
          <w:kern w:val="0"/>
          <w14:ligatures w14:val="none"/>
        </w:rPr>
        <w:t>annual audit reports</w:t>
      </w:r>
      <w:r w:rsidR="0030552E">
        <w:rPr>
          <w:rFonts w:ascii="Palatino Linotype" w:hAnsi="Palatino Linotype" w:eastAsia="Palatino Linotype" w:cs="Times New Roman"/>
          <w:kern w:val="0"/>
          <w14:ligatures w14:val="none"/>
        </w:rPr>
        <w:t>,</w:t>
      </w:r>
      <w:r w:rsidRPr="0030552E" w:rsidR="0030552E">
        <w:t xml:space="preserve"> </w:t>
      </w:r>
      <w:r w:rsidRPr="00506D42" w:rsidR="004F518E">
        <w:rPr>
          <w:rFonts w:ascii="Palatino Linotype" w:hAnsi="Palatino Linotype"/>
        </w:rPr>
        <w:t xml:space="preserve">CASF </w:t>
      </w:r>
      <w:r w:rsidRPr="2FB20F05" w:rsidR="0030552E">
        <w:rPr>
          <w:rFonts w:ascii="Palatino Linotype" w:hAnsi="Palatino Linotype" w:eastAsia="Palatino Linotype" w:cs="Times New Roman"/>
        </w:rPr>
        <w:t xml:space="preserve">annual </w:t>
      </w:r>
      <w:r w:rsidRPr="00215CF2" w:rsidR="00215CF2">
        <w:rPr>
          <w:rFonts w:ascii="Palatino Linotype" w:hAnsi="Palatino Linotype" w:eastAsia="Palatino Linotype" w:cs="Times New Roman"/>
        </w:rPr>
        <w:t>report</w:t>
      </w:r>
      <w:r w:rsidR="00215CF2">
        <w:rPr>
          <w:rFonts w:ascii="Palatino Linotype" w:hAnsi="Palatino Linotype" w:eastAsia="Palatino Linotype" w:cs="Times New Roman"/>
        </w:rPr>
        <w:t>s</w:t>
      </w:r>
      <w:r w:rsidR="00E42F34">
        <w:rPr>
          <w:rFonts w:ascii="Palatino Linotype" w:hAnsi="Palatino Linotype" w:eastAsia="Palatino Linotype" w:cs="Times New Roman"/>
        </w:rPr>
        <w:t>,</w:t>
      </w:r>
      <w:r w:rsidR="00CA1552">
        <w:rPr>
          <w:rStyle w:val="FootnoteReference"/>
          <w:rFonts w:ascii="Palatino Linotype" w:hAnsi="Palatino Linotype" w:eastAsia="Palatino Linotype" w:cs="Times New Roman"/>
        </w:rPr>
        <w:footnoteReference w:id="21"/>
      </w:r>
      <w:r w:rsidRPr="2FB20F05" w:rsidR="0030552E">
        <w:rPr>
          <w:rFonts w:ascii="Palatino Linotype" w:hAnsi="Palatino Linotype" w:eastAsia="Palatino Linotype" w:cs="Times New Roman"/>
        </w:rPr>
        <w:t xml:space="preserve"> </w:t>
      </w:r>
      <w:r w:rsidRPr="00D16911">
        <w:rPr>
          <w:rFonts w:ascii="Palatino Linotype" w:hAnsi="Palatino Linotype" w:eastAsia="Palatino Linotype" w:cs="Times New Roman"/>
          <w:kern w:val="0"/>
          <w14:ligatures w14:val="none"/>
        </w:rPr>
        <w:t>and a Completion Report to be submitted before the final payment reimbursement will be made.</w:t>
      </w:r>
    </w:p>
    <w:p w:rsidR="00103C56" w:rsidP="0088606A" w:rsidRDefault="00103C56" w14:paraId="3029E442" w14:textId="084C14C2">
      <w:pPr>
        <w:pStyle w:val="ListParagraph"/>
        <w:ind w:left="0"/>
        <w:rPr>
          <w:rFonts w:ascii="Palatino Linotype" w:hAnsi="Palatino Linotype" w:eastAsia="Palatino Linotype" w:cs="Times New Roman"/>
          <w:kern w:val="0"/>
          <w14:ligatures w14:val="none"/>
        </w:rPr>
      </w:pPr>
    </w:p>
    <w:p w:rsidR="00103C56" w:rsidP="0025725A" w:rsidRDefault="00103C56" w14:paraId="73783C11" w14:textId="7F3ED88E">
      <w:pPr>
        <w:pStyle w:val="ListParagraph"/>
        <w:numPr>
          <w:ilvl w:val="0"/>
          <w:numId w:val="32"/>
        </w:numPr>
        <w:rPr>
          <w:rFonts w:ascii="Palatino Linotype" w:hAnsi="Palatino Linotype" w:eastAsia="Palatino Linotype" w:cs="Times New Roman"/>
          <w:kern w:val="0"/>
          <w14:ligatures w14:val="none"/>
        </w:rPr>
      </w:pPr>
      <w:r w:rsidRPr="00103C56">
        <w:rPr>
          <w:rFonts w:ascii="Palatino Linotype" w:hAnsi="Palatino Linotype" w:eastAsia="Palatino Linotype" w:cs="Times New Roman"/>
          <w:kern w:val="0"/>
          <w14:ligatures w14:val="none"/>
        </w:rPr>
        <w:t xml:space="preserve">By receiving a CASF grant from the Commission, grantees agree to comply with the terms, conditions, and requirements of the grant and thus submit to the jurisdiction of the Commission </w:t>
      </w:r>
      <w:proofErr w:type="gramStart"/>
      <w:r w:rsidRPr="00103C56">
        <w:rPr>
          <w:rFonts w:ascii="Palatino Linotype" w:hAnsi="Palatino Linotype" w:eastAsia="Palatino Linotype" w:cs="Times New Roman"/>
          <w:kern w:val="0"/>
          <w14:ligatures w14:val="none"/>
        </w:rPr>
        <w:t>with regard to</w:t>
      </w:r>
      <w:proofErr w:type="gramEnd"/>
      <w:r w:rsidRPr="00103C56">
        <w:rPr>
          <w:rFonts w:ascii="Palatino Linotype" w:hAnsi="Palatino Linotype" w:eastAsia="Palatino Linotype" w:cs="Times New Roman"/>
          <w:kern w:val="0"/>
          <w14:ligatures w14:val="none"/>
        </w:rPr>
        <w:t xml:space="preserve"> disbursement and administration of the grant.</w:t>
      </w:r>
    </w:p>
    <w:p w:rsidR="00F55BCE" w:rsidP="0088606A" w:rsidRDefault="00F55BCE" w14:paraId="3F16AEB7" w14:textId="69C4FE69">
      <w:pPr>
        <w:pStyle w:val="ListParagraph"/>
        <w:ind w:left="0"/>
        <w:rPr>
          <w:rFonts w:ascii="Palatino Linotype" w:hAnsi="Palatino Linotype" w:eastAsia="Palatino Linotype" w:cs="Times New Roman"/>
          <w:kern w:val="0"/>
          <w14:ligatures w14:val="none"/>
        </w:rPr>
      </w:pPr>
    </w:p>
    <w:p w:rsidR="0025310A" w:rsidP="0025725A" w:rsidRDefault="00F55BCE" w14:paraId="2FAE75E6" w14:textId="4703B19B">
      <w:pPr>
        <w:pStyle w:val="ListParagraph"/>
        <w:numPr>
          <w:ilvl w:val="0"/>
          <w:numId w:val="32"/>
        </w:numPr>
        <w:rPr>
          <w:rFonts w:ascii="Palatino Linotype" w:hAnsi="Palatino Linotype" w:eastAsia="Palatino Linotype" w:cs="Times New Roman"/>
          <w:kern w:val="0"/>
          <w14:ligatures w14:val="none"/>
        </w:rPr>
      </w:pPr>
      <w:r w:rsidRPr="00F55BCE">
        <w:rPr>
          <w:rFonts w:ascii="Palatino Linotype" w:hAnsi="Palatino Linotype" w:eastAsia="Palatino Linotype" w:cs="Times New Roman"/>
          <w:kern w:val="0"/>
          <w14:ligatures w14:val="none"/>
        </w:rPr>
        <w:t>Grantees shall complete activities in accordance with and within the performance period set forth in the Commission-approved Work Plans.</w:t>
      </w:r>
    </w:p>
    <w:p w:rsidR="0025310A" w:rsidP="0088606A" w:rsidRDefault="0025310A" w14:paraId="14A2D676" w14:textId="77777777">
      <w:pPr>
        <w:pStyle w:val="ListParagraph"/>
        <w:ind w:left="0"/>
        <w:rPr>
          <w:rFonts w:ascii="Palatino Linotype" w:hAnsi="Palatino Linotype" w:eastAsia="Palatino Linotype" w:cs="Times New Roman"/>
          <w:kern w:val="0"/>
          <w14:ligatures w14:val="none"/>
        </w:rPr>
      </w:pPr>
    </w:p>
    <w:p w:rsidR="0025310A" w:rsidP="0025725A" w:rsidRDefault="0025310A" w14:paraId="772EAC0F" w14:textId="1161C944">
      <w:pPr>
        <w:pStyle w:val="ListParagraph"/>
        <w:numPr>
          <w:ilvl w:val="0"/>
          <w:numId w:val="32"/>
        </w:numPr>
        <w:rPr>
          <w:rFonts w:ascii="Palatino Linotype" w:hAnsi="Palatino Linotype" w:eastAsia="Palatino Linotype" w:cs="Times New Roman"/>
          <w:kern w:val="0"/>
          <w14:ligatures w14:val="none"/>
        </w:rPr>
      </w:pPr>
      <w:r w:rsidRPr="0025310A">
        <w:rPr>
          <w:rFonts w:ascii="Palatino Linotype" w:hAnsi="Palatino Linotype" w:eastAsia="Palatino Linotype" w:cs="Times New Roman"/>
          <w:kern w:val="0"/>
          <w14:ligatures w14:val="none"/>
        </w:rPr>
        <w:t>Grantees must use the grant funding solely for the approved projects/activities as described in the Commission-approved Work Plan and Budget Plan, (or approved revisions to such Plans and budgets).</w:t>
      </w:r>
    </w:p>
    <w:p w:rsidR="0025310A" w:rsidP="0088606A" w:rsidRDefault="0025310A" w14:paraId="0C195EE8" w14:textId="523B7A51">
      <w:pPr>
        <w:pStyle w:val="ListParagraph"/>
        <w:ind w:left="0"/>
        <w:rPr>
          <w:rFonts w:ascii="Palatino Linotype" w:hAnsi="Palatino Linotype" w:eastAsia="Palatino Linotype" w:cs="Times New Roman"/>
          <w:kern w:val="0"/>
          <w14:ligatures w14:val="none"/>
        </w:rPr>
      </w:pPr>
    </w:p>
    <w:p w:rsidR="0025310A" w:rsidP="0025725A" w:rsidRDefault="0025310A" w14:paraId="5EA74385" w14:textId="6295F20B">
      <w:pPr>
        <w:pStyle w:val="ListParagraph"/>
        <w:numPr>
          <w:ilvl w:val="0"/>
          <w:numId w:val="32"/>
        </w:num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Each Consortia grantee shall make records available to the Commission upon request and shall agree that these records are subject to a financial audit by the Commission at any time within five years after the grantee incurred the expense being audited. A Consortia grantee shall provide access to the Commission upon 24-hour notice to evaluate work completed or being performed pursuant to the grant. </w:t>
      </w:r>
    </w:p>
    <w:p w:rsidR="0025310A" w:rsidP="0088606A" w:rsidRDefault="0025310A" w14:paraId="04C69B45" w14:textId="7595AFD6">
      <w:pPr>
        <w:pStyle w:val="ListParagraph"/>
        <w:ind w:left="0"/>
        <w:rPr>
          <w:rFonts w:ascii="Palatino Linotype" w:hAnsi="Palatino Linotype" w:eastAsia="Palatino Linotype" w:cs="Times New Roman"/>
          <w:kern w:val="0"/>
          <w14:ligatures w14:val="none"/>
        </w:rPr>
      </w:pPr>
    </w:p>
    <w:p w:rsidR="0025310A" w:rsidP="0025725A" w:rsidRDefault="0025310A" w14:paraId="49DC6365" w14:textId="0D208369">
      <w:pPr>
        <w:pStyle w:val="ListParagraph"/>
        <w:numPr>
          <w:ilvl w:val="0"/>
          <w:numId w:val="32"/>
        </w:numPr>
        <w:rPr>
          <w:rFonts w:ascii="Palatino Linotype" w:hAnsi="Palatino Linotype" w:eastAsia="Palatino Linotype" w:cs="Times New Roman"/>
          <w:kern w:val="0"/>
          <w14:ligatures w14:val="none"/>
        </w:rPr>
      </w:pPr>
      <w:r w:rsidRPr="00822824">
        <w:rPr>
          <w:rFonts w:ascii="Palatino Linotype" w:hAnsi="Palatino Linotype" w:eastAsia="Palatino Linotype" w:cs="Times New Roman"/>
          <w:kern w:val="0"/>
          <w14:ligatures w14:val="none"/>
        </w:rPr>
        <w:t>Grantees shall comply with all guidelines, requirements, and conditions associated with the CASF grant award as specified in D.2</w:t>
      </w:r>
      <w:r>
        <w:rPr>
          <w:rFonts w:ascii="Palatino Linotype" w:hAnsi="Palatino Linotype" w:eastAsia="Palatino Linotype" w:cs="Times New Roman"/>
          <w:kern w:val="0"/>
          <w14:ligatures w14:val="none"/>
        </w:rPr>
        <w:t>5</w:t>
      </w:r>
      <w:r w:rsidRPr="00822824">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11</w:t>
      </w:r>
      <w:r w:rsidRPr="00822824">
        <w:rPr>
          <w:rFonts w:ascii="Palatino Linotype" w:hAnsi="Palatino Linotype" w:eastAsia="Palatino Linotype" w:cs="Times New Roman"/>
          <w:kern w:val="0"/>
          <w14:ligatures w14:val="none"/>
        </w:rPr>
        <w:t>-0</w:t>
      </w:r>
      <w:r>
        <w:rPr>
          <w:rFonts w:ascii="Palatino Linotype" w:hAnsi="Palatino Linotype" w:eastAsia="Palatino Linotype" w:cs="Times New Roman"/>
          <w:kern w:val="0"/>
          <w14:ligatures w14:val="none"/>
        </w:rPr>
        <w:t>03</w:t>
      </w:r>
      <w:r w:rsidRPr="00822824">
        <w:rPr>
          <w:rFonts w:ascii="Palatino Linotype" w:hAnsi="Palatino Linotype" w:eastAsia="Palatino Linotype" w:cs="Times New Roman"/>
          <w:kern w:val="0"/>
          <w14:ligatures w14:val="none"/>
        </w:rPr>
        <w:t xml:space="preserve"> and this Resolution.</w:t>
      </w:r>
    </w:p>
    <w:p w:rsidR="00711B02" w:rsidP="0088606A" w:rsidRDefault="00711B02" w14:paraId="6289955B" w14:textId="335DFA1C">
      <w:pPr>
        <w:pStyle w:val="ListParagraph"/>
        <w:ind w:left="0"/>
        <w:rPr>
          <w:rFonts w:ascii="Palatino Linotype" w:hAnsi="Palatino Linotype" w:eastAsia="Palatino Linotype" w:cs="Times New Roman"/>
          <w:kern w:val="0"/>
          <w14:ligatures w14:val="none"/>
        </w:rPr>
      </w:pPr>
    </w:p>
    <w:p w:rsidR="005D3EC6" w:rsidP="0025725A" w:rsidRDefault="00711B02" w14:paraId="2A7612C2" w14:textId="6E614BA6">
      <w:pPr>
        <w:pStyle w:val="ListParagraph"/>
        <w:numPr>
          <w:ilvl w:val="0"/>
          <w:numId w:val="32"/>
        </w:numPr>
        <w:rPr>
          <w:rFonts w:ascii="Palatino Linotype" w:hAnsi="Palatino Linotype" w:eastAsia="Palatino Linotype" w:cs="Times New Roman"/>
          <w:kern w:val="0"/>
          <w14:ligatures w14:val="none"/>
        </w:rPr>
      </w:pPr>
      <w:r w:rsidRPr="00711B02">
        <w:rPr>
          <w:rFonts w:ascii="Palatino Linotype" w:hAnsi="Palatino Linotype" w:eastAsia="Palatino Linotype" w:cs="Times New Roman"/>
          <w:kern w:val="0"/>
          <w14:ligatures w14:val="none"/>
        </w:rPr>
        <w:t>If the Consortia grantee fails to perform in good faith or fails to complete the project in accordance with the expectations set forth in its Work Plan and Performance Metrics Plan, as affirmed in the affidavit, the Commission may withhold subsequent grant disbursement, suspend, reduce, or terminate the Consortia grant, as warranted.</w:t>
      </w:r>
    </w:p>
    <w:p w:rsidR="00457F98" w:rsidP="0088606A" w:rsidRDefault="00457F98" w14:paraId="3F3FD890" w14:textId="0E7442D9">
      <w:pPr>
        <w:pStyle w:val="ListParagraph"/>
        <w:ind w:left="0"/>
        <w:rPr>
          <w:rFonts w:ascii="Palatino Linotype" w:hAnsi="Palatino Linotype" w:eastAsia="Palatino Linotype" w:cs="Times New Roman"/>
          <w:kern w:val="0"/>
          <w14:ligatures w14:val="none"/>
        </w:rPr>
      </w:pPr>
    </w:p>
    <w:p w:rsidR="00D868B8" w:rsidP="0025725A" w:rsidRDefault="001C774E" w14:paraId="7CA86CF1" w14:textId="0EE07912">
      <w:pPr>
        <w:pStyle w:val="ListParagraph"/>
        <w:numPr>
          <w:ilvl w:val="0"/>
          <w:numId w:val="32"/>
        </w:numPr>
        <w:rPr>
          <w:rFonts w:ascii="Palatino Linotype" w:hAnsi="Palatino Linotype" w:eastAsia="Palatino Linotype" w:cs="Times New Roman"/>
          <w:kern w:val="0"/>
          <w14:ligatures w14:val="none"/>
        </w:rPr>
      </w:pPr>
      <w:r w:rsidRPr="001C774E">
        <w:rPr>
          <w:rFonts w:ascii="Palatino Linotype" w:hAnsi="Palatino Linotype" w:eastAsia="Palatino Linotype" w:cs="Times New Roman"/>
          <w:kern w:val="0"/>
          <w14:ligatures w14:val="none"/>
        </w:rPr>
        <w:t xml:space="preserve">The commencement of the grant will be </w:t>
      </w:r>
      <w:r w:rsidRPr="001C774E" w:rsidR="07A5BFEF">
        <w:rPr>
          <w:rFonts w:ascii="Palatino Linotype" w:hAnsi="Palatino Linotype" w:eastAsia="Palatino Linotype" w:cs="Times New Roman"/>
          <w:kern w:val="0"/>
          <w14:ligatures w14:val="none"/>
        </w:rPr>
        <w:t>on</w:t>
      </w:r>
      <w:r w:rsidRPr="001C774E">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July</w:t>
      </w:r>
      <w:r w:rsidRPr="001C774E">
        <w:rPr>
          <w:rFonts w:ascii="Palatino Linotype" w:hAnsi="Palatino Linotype" w:eastAsia="Palatino Linotype" w:cs="Times New Roman"/>
          <w:kern w:val="0"/>
          <w14:ligatures w14:val="none"/>
        </w:rPr>
        <w:t xml:space="preserve"> 1, 202</w:t>
      </w:r>
      <w:r>
        <w:rPr>
          <w:rFonts w:ascii="Palatino Linotype" w:hAnsi="Palatino Linotype" w:eastAsia="Palatino Linotype" w:cs="Times New Roman"/>
          <w:kern w:val="0"/>
          <w14:ligatures w14:val="none"/>
        </w:rPr>
        <w:t>6</w:t>
      </w:r>
      <w:r w:rsidR="00592A82">
        <w:rPr>
          <w:rFonts w:ascii="Palatino Linotype" w:hAnsi="Palatino Linotype" w:eastAsia="Palatino Linotype" w:cs="Times New Roman"/>
          <w:kern w:val="0"/>
          <w14:ligatures w14:val="none"/>
        </w:rPr>
        <w:t>, subject to the execution of the consent form.</w:t>
      </w:r>
    </w:p>
    <w:p w:rsidR="00DA09AB" w:rsidP="00EA6956" w:rsidRDefault="00DA09AB" w14:paraId="1D9A1526" w14:textId="77777777">
      <w:pPr>
        <w:pStyle w:val="ListParagraph"/>
        <w:ind w:left="360"/>
        <w:rPr>
          <w:rFonts w:ascii="Palatino Linotype" w:hAnsi="Palatino Linotype" w:eastAsia="Palatino Linotype" w:cs="Times New Roman"/>
          <w:kern w:val="0"/>
          <w14:ligatures w14:val="none"/>
        </w:rPr>
      </w:pPr>
    </w:p>
    <w:p w:rsidR="00DA09AB" w:rsidP="0025725A" w:rsidRDefault="00DA09AB" w14:paraId="5AD4BFF2" w14:textId="3E2A2D4E">
      <w:pPr>
        <w:pStyle w:val="ListParagraph"/>
        <w:numPr>
          <w:ilvl w:val="0"/>
          <w:numId w:val="32"/>
        </w:numPr>
        <w:rPr>
          <w:rFonts w:ascii="Palatino Linotype" w:hAnsi="Palatino Linotype" w:eastAsia="Palatino Linotype" w:cs="Times New Roman"/>
          <w:kern w:val="0"/>
          <w14:ligatures w14:val="none"/>
        </w:rPr>
      </w:pPr>
      <w:r w:rsidRPr="00DA09AB">
        <w:rPr>
          <w:rFonts w:ascii="Palatino Linotype" w:hAnsi="Palatino Linotype" w:eastAsia="Palatino Linotype" w:cs="Times New Roman"/>
          <w:kern w:val="0"/>
          <w14:ligatures w14:val="none"/>
        </w:rPr>
        <w:t xml:space="preserve">Any existing Consortia grantee awarded funding </w:t>
      </w:r>
      <w:r w:rsidR="00A21CBC">
        <w:rPr>
          <w:rFonts w:ascii="Palatino Linotype" w:hAnsi="Palatino Linotype" w:eastAsia="Palatino Linotype" w:cs="Times New Roman"/>
          <w:kern w:val="0"/>
          <w14:ligatures w14:val="none"/>
        </w:rPr>
        <w:t>must</w:t>
      </w:r>
      <w:r w:rsidRPr="00DA09AB">
        <w:rPr>
          <w:rFonts w:ascii="Palatino Linotype" w:hAnsi="Palatino Linotype" w:eastAsia="Palatino Linotype" w:cs="Times New Roman"/>
          <w:kern w:val="0"/>
          <w14:ligatures w14:val="none"/>
        </w:rPr>
        <w:t xml:space="preserve"> </w:t>
      </w:r>
      <w:r w:rsidR="00A21CBC">
        <w:rPr>
          <w:rFonts w:ascii="Palatino Linotype" w:hAnsi="Palatino Linotype" w:eastAsia="Palatino Linotype" w:cs="Times New Roman"/>
          <w:kern w:val="0"/>
          <w14:ligatures w14:val="none"/>
        </w:rPr>
        <w:t>complete</w:t>
      </w:r>
      <w:r w:rsidRPr="00DA09AB">
        <w:rPr>
          <w:rFonts w:ascii="Palatino Linotype" w:hAnsi="Palatino Linotype" w:eastAsia="Palatino Linotype" w:cs="Times New Roman"/>
          <w:kern w:val="0"/>
          <w14:ligatures w14:val="none"/>
        </w:rPr>
        <w:t xml:space="preserve"> all outstanding deliverable requirements of its current consortia grant before start of new grant term.</w:t>
      </w:r>
    </w:p>
    <w:p w:rsidR="00F57413" w:rsidP="0088606A" w:rsidRDefault="00F57413" w14:paraId="0B196A0D" w14:textId="21B1E320">
      <w:pPr>
        <w:pStyle w:val="ListParagraph"/>
        <w:ind w:left="0"/>
        <w:rPr>
          <w:rFonts w:ascii="Palatino Linotype" w:hAnsi="Palatino Linotype" w:eastAsia="Palatino Linotype" w:cs="Times New Roman"/>
          <w:kern w:val="0"/>
          <w14:ligatures w14:val="none"/>
        </w:rPr>
      </w:pPr>
    </w:p>
    <w:p w:rsidR="00F57413" w:rsidP="0025725A" w:rsidRDefault="00F57413" w14:paraId="20F4BFF9" w14:textId="334DE9AA">
      <w:pPr>
        <w:pStyle w:val="ListParagraph"/>
        <w:numPr>
          <w:ilvl w:val="0"/>
          <w:numId w:val="32"/>
        </w:numPr>
        <w:rPr>
          <w:rFonts w:ascii="Palatino Linotype" w:hAnsi="Palatino Linotype" w:eastAsia="Palatino Linotype" w:cs="Times New Roman"/>
          <w:kern w:val="0"/>
          <w14:ligatures w14:val="none"/>
        </w:rPr>
      </w:pPr>
      <w:r w:rsidRPr="00F57413">
        <w:rPr>
          <w:rFonts w:ascii="Palatino Linotype" w:hAnsi="Palatino Linotype" w:eastAsia="Palatino Linotype" w:cs="Times New Roman"/>
          <w:kern w:val="0"/>
          <w14:ligatures w14:val="none"/>
        </w:rPr>
        <w:t>Any changes to the substantive terms and conditions underlying Commission approval of the grant (e.g., changes to Work Plan, budget or designated Fiscal Agent, etc.) must be communicated in writing to CD Director at least 30 days before the anticipated change, and may be subject to approval by either the CD Director or by Commission resolution before becoming effective.</w:t>
      </w:r>
    </w:p>
    <w:p w:rsidR="00473525" w:rsidP="0088606A" w:rsidRDefault="00473525" w14:paraId="225679B0" w14:textId="4F09F48D">
      <w:pPr>
        <w:pStyle w:val="ListParagraph"/>
        <w:ind w:left="0"/>
        <w:rPr>
          <w:rFonts w:ascii="Palatino Linotype" w:hAnsi="Palatino Linotype" w:eastAsia="Palatino Linotype" w:cs="Times New Roman"/>
          <w:kern w:val="0"/>
          <w14:ligatures w14:val="none"/>
        </w:rPr>
      </w:pPr>
    </w:p>
    <w:p w:rsidRPr="0013569B" w:rsidR="00473525" w:rsidP="0025725A" w:rsidRDefault="00473525" w14:paraId="70BB0253" w14:textId="080602AC">
      <w:pPr>
        <w:pStyle w:val="ListParagraph"/>
        <w:numPr>
          <w:ilvl w:val="0"/>
          <w:numId w:val="32"/>
        </w:numPr>
        <w:rPr>
          <w:rFonts w:ascii="Palatino Linotype" w:hAnsi="Palatino Linotype" w:eastAsia="Palatino Linotype" w:cs="Times New Roman"/>
          <w:kern w:val="0"/>
          <w14:ligatures w14:val="none"/>
        </w:rPr>
      </w:pPr>
      <w:r w:rsidRPr="00473525">
        <w:rPr>
          <w:rFonts w:ascii="Palatino Linotype" w:hAnsi="Palatino Linotype" w:eastAsia="Palatino Linotype" w:cs="Times New Roman"/>
          <w:kern w:val="0"/>
          <w14:ligatures w14:val="none"/>
        </w:rPr>
        <w:t xml:space="preserve">Grantees must each complete and execute the consent form (to be sent to the grantee after this Resolution is adopted) agreeing to the conditions set forth in this Resolution and email it to </w:t>
      </w:r>
      <w:hyperlink w:history="1" r:id="rId9">
        <w:r w:rsidRPr="00CE46B1" w:rsidR="00725090">
          <w:rPr>
            <w:rStyle w:val="Hyperlink"/>
            <w:rFonts w:ascii="Palatino Linotype" w:hAnsi="Palatino Linotype" w:eastAsia="Palatino Linotype" w:cs="Times New Roman"/>
            <w:kern w:val="0"/>
            <w14:ligatures w14:val="none"/>
          </w:rPr>
          <w:t>CASF_Consortia_Grant_Administrator@cpuc.ca.gov</w:t>
        </w:r>
      </w:hyperlink>
      <w:r w:rsidRPr="00473525">
        <w:rPr>
          <w:rFonts w:ascii="Palatino Linotype" w:hAnsi="Palatino Linotype" w:eastAsia="Palatino Linotype" w:cs="Times New Roman"/>
          <w:kern w:val="0"/>
          <w14:ligatures w14:val="none"/>
        </w:rPr>
        <w:t xml:space="preserve"> within 30 calendar days from the date of the adoption of this Resolution. Failure to submit the consent form within 30 calendar days from the adoption date of this Resolution </w:t>
      </w:r>
      <w:r w:rsidRPr="00473525" w:rsidR="121C1404">
        <w:rPr>
          <w:rFonts w:ascii="Palatino Linotype" w:hAnsi="Palatino Linotype" w:eastAsia="Palatino Linotype" w:cs="Times New Roman"/>
          <w:kern w:val="0"/>
          <w14:ligatures w14:val="none"/>
        </w:rPr>
        <w:t>may</w:t>
      </w:r>
      <w:r w:rsidRPr="00473525">
        <w:rPr>
          <w:rFonts w:ascii="Palatino Linotype" w:hAnsi="Palatino Linotype" w:eastAsia="Palatino Linotype" w:cs="Times New Roman"/>
          <w:kern w:val="0"/>
          <w14:ligatures w14:val="none"/>
        </w:rPr>
        <w:t xml:space="preserve"> deem the grant null and void.</w:t>
      </w:r>
    </w:p>
    <w:p w:rsidR="009959F0" w:rsidP="00E466D8" w:rsidRDefault="009959F0" w14:paraId="08860334" w14:textId="0B98B3A4">
      <w:pPr>
        <w:pStyle w:val="ListParagraph"/>
        <w:ind w:left="360"/>
        <w:rPr>
          <w:rFonts w:ascii="Palatino Linotype" w:hAnsi="Palatino Linotype" w:eastAsia="Palatino Linotype" w:cs="Times New Roman"/>
          <w:kern w:val="0"/>
          <w14:ligatures w14:val="none"/>
        </w:rPr>
      </w:pPr>
    </w:p>
    <w:p w:rsidR="00297BA6" w:rsidP="00553391" w:rsidRDefault="00297BA6" w14:paraId="62C70978" w14:textId="77777777">
      <w:pPr>
        <w:pStyle w:val="ListParagraph"/>
        <w:ind w:left="360"/>
        <w:rPr>
          <w:rFonts w:ascii="Palatino Linotype" w:hAnsi="Palatino Linotype" w:eastAsia="Palatino Linotype" w:cs="Times New Roman"/>
          <w:kern w:val="0"/>
          <w14:ligatures w14:val="none"/>
        </w:rPr>
      </w:pPr>
    </w:p>
    <w:p w:rsidRPr="00553391" w:rsidR="00E466D8" w:rsidP="00E466D8" w:rsidRDefault="00E466D8" w14:paraId="3C44C836" w14:textId="22556C4C">
      <w:pPr>
        <w:tabs>
          <w:tab w:val="left" w:pos="3120"/>
        </w:tabs>
      </w:pPr>
      <w:r w:rsidRPr="001942D0">
        <w:rPr>
          <w:rFonts w:ascii="Palatino Linotype" w:hAnsi="Palatino Linotype" w:eastAsia="Palatino Linotype" w:cs="Times New Roman"/>
          <w:kern w:val="0"/>
          <w14:ligatures w14:val="none"/>
        </w:rPr>
        <w:t>This Resolution is effective today.</w:t>
      </w:r>
      <w:r>
        <w:tab/>
      </w:r>
    </w:p>
    <w:p w:rsidR="00010E21" w:rsidP="00010E21" w:rsidRDefault="00010E21" w14:paraId="399E7766"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cs="Times New Roman"/>
          <w:kern w:val="0"/>
          <w14:ligatures w14:val="none"/>
        </w:rPr>
      </w:pPr>
    </w:p>
    <w:p w:rsidR="009C36CC" w:rsidP="00010E21" w:rsidRDefault="001A7A94" w14:paraId="2D46E227" w14:textId="4AEC3BDB">
      <w:pPr>
        <w:keepNext/>
        <w:tabs>
          <w:tab w:val="left" w:pos="720"/>
          <w:tab w:val="left" w:pos="1296"/>
          <w:tab w:val="left" w:pos="2016"/>
          <w:tab w:val="left" w:pos="2736"/>
          <w:tab w:val="left" w:pos="3456"/>
          <w:tab w:val="left" w:pos="4176"/>
          <w:tab w:val="left" w:pos="5760"/>
        </w:tabs>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p>
    <w:p w:rsidR="00010E21" w:rsidP="00182510" w:rsidRDefault="00010E21" w14:paraId="6054BEC0" w14:textId="5FE2ABEF">
      <w:pPr>
        <w:keepNext/>
        <w:tabs>
          <w:tab w:val="left" w:pos="720"/>
          <w:tab w:val="left" w:pos="1296"/>
          <w:tab w:val="left" w:pos="2016"/>
          <w:tab w:val="left" w:pos="2736"/>
          <w:tab w:val="left" w:pos="3456"/>
          <w:tab w:val="left" w:pos="4176"/>
          <w:tab w:val="left" w:pos="5760"/>
        </w:tabs>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r>
      <w:r>
        <w:rPr>
          <w:rFonts w:ascii="Palatino Linotype" w:hAnsi="Palatino Linotype" w:eastAsia="Palatino Linotype" w:cs="Times New Roman"/>
          <w:kern w:val="0"/>
          <w14:ligatures w14:val="none"/>
        </w:rPr>
        <w:tab/>
        <w:t xml:space="preserve"> </w:t>
      </w:r>
    </w:p>
    <w:p w:rsidRPr="009502BE" w:rsidR="00EB54CB" w:rsidP="00EB54CB" w:rsidRDefault="00010E21" w14:paraId="674B7609" w14:textId="4E3D2C72">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w:t>
      </w:r>
      <w:r w:rsidRPr="009502BE">
        <w:rPr>
          <w:rFonts w:ascii="Palatino Linotype" w:hAnsi="Palatino Linotype"/>
        </w:rPr>
        <w:t xml:space="preserve">held on </w:t>
      </w:r>
      <w:r w:rsidRPr="009502BE" w:rsidR="001E3691">
        <w:rPr>
          <w:rFonts w:ascii="Palatino Linotype" w:hAnsi="Palatino Linotype"/>
        </w:rPr>
        <w:t xml:space="preserve">June </w:t>
      </w:r>
      <w:r w:rsidRPr="009502BE" w:rsidR="00ED5D8A">
        <w:rPr>
          <w:rFonts w:ascii="Palatino Linotype" w:hAnsi="Palatino Linotype"/>
        </w:rPr>
        <w:t>11</w:t>
      </w:r>
      <w:r w:rsidRPr="009502BE" w:rsidR="001E3691">
        <w:rPr>
          <w:rFonts w:ascii="Palatino Linotype" w:hAnsi="Palatino Linotype"/>
        </w:rPr>
        <w:t>, 202</w:t>
      </w:r>
      <w:r w:rsidRPr="009502BE" w:rsidR="00ED5D8A">
        <w:rPr>
          <w:rFonts w:ascii="Palatino Linotype" w:hAnsi="Palatino Linotype"/>
        </w:rPr>
        <w:t>6</w:t>
      </w:r>
      <w:r w:rsidRPr="009502BE">
        <w:rPr>
          <w:rFonts w:ascii="Palatino Linotype" w:hAnsi="Palatino Linotype"/>
        </w:rPr>
        <w:t xml:space="preserve">; the following Commissioners </w:t>
      </w:r>
      <w:proofErr w:type="gramStart"/>
      <w:r w:rsidRPr="009502BE">
        <w:rPr>
          <w:rFonts w:ascii="Palatino Linotype" w:hAnsi="Palatino Linotype"/>
        </w:rPr>
        <w:t>voting</w:t>
      </w:r>
      <w:proofErr w:type="gramEnd"/>
      <w:r w:rsidRPr="009502BE">
        <w:rPr>
          <w:rFonts w:ascii="Palatino Linotype" w:hAnsi="Palatino Linotype"/>
        </w:rPr>
        <w:t xml:space="preserve"> favorably thereon:</w:t>
      </w:r>
    </w:p>
    <w:p w:rsidRPr="009502BE" w:rsidR="009C36CC" w:rsidP="00EB54CB" w:rsidRDefault="009C36CC" w14:paraId="700D9360" w14:textId="77777777">
      <w:pPr>
        <w:pStyle w:val="10sp0"/>
        <w:spacing w:after="480"/>
        <w:rPr>
          <w:rFonts w:ascii="Palatino Linotype" w:hAnsi="Palatino Linotype" w:eastAsia="Palatino Linotype"/>
        </w:rPr>
      </w:pPr>
    </w:p>
    <w:p w:rsidR="009C36CC" w:rsidP="00EB54CB" w:rsidRDefault="00010E21" w14:paraId="3B54808C" w14:textId="0B4EB9F1">
      <w:pPr>
        <w:pStyle w:val="10sp0"/>
        <w:spacing w:after="480"/>
        <w:rPr>
          <w:rFonts w:ascii="Palatino Linotype" w:hAnsi="Palatino Linotype" w:eastAsia="Palatino Linotype"/>
        </w:rPr>
      </w:pPr>
      <w:r w:rsidRPr="009502BE">
        <w:rPr>
          <w:rFonts w:ascii="Palatino Linotype" w:hAnsi="Palatino Linotype" w:eastAsia="Palatino Linotype"/>
        </w:rPr>
        <w:t>Dated</w:t>
      </w:r>
      <w:r w:rsidRPr="009502BE" w:rsidR="001E3691">
        <w:rPr>
          <w:rFonts w:ascii="Palatino Linotype" w:hAnsi="Palatino Linotype" w:eastAsia="Palatino Linotype"/>
        </w:rPr>
        <w:t xml:space="preserve"> June </w:t>
      </w:r>
      <w:r w:rsidRPr="009502BE" w:rsidR="00ED5D8A">
        <w:rPr>
          <w:rFonts w:ascii="Palatino Linotype" w:hAnsi="Palatino Linotype" w:eastAsia="Palatino Linotype"/>
        </w:rPr>
        <w:t>11</w:t>
      </w:r>
      <w:r w:rsidRPr="009502BE" w:rsidR="001E3691">
        <w:rPr>
          <w:rFonts w:ascii="Palatino Linotype" w:hAnsi="Palatino Linotype" w:eastAsia="Palatino Linotype"/>
        </w:rPr>
        <w:t>, 202</w:t>
      </w:r>
      <w:r w:rsidRPr="009502BE" w:rsidR="00ED5D8A">
        <w:rPr>
          <w:rFonts w:ascii="Palatino Linotype" w:hAnsi="Palatino Linotype" w:eastAsia="Palatino Linotype"/>
        </w:rPr>
        <w:t>6</w:t>
      </w:r>
      <w:r w:rsidRPr="009502BE">
        <w:rPr>
          <w:rFonts w:ascii="Palatino Linotype" w:hAnsi="Palatino Linotype" w:eastAsia="Palatino Linotype"/>
        </w:rPr>
        <w:t xml:space="preserve">, at </w:t>
      </w:r>
      <w:r w:rsidRPr="009502BE" w:rsidR="00B73D8E">
        <w:rPr>
          <w:rFonts w:ascii="Palatino Linotype" w:hAnsi="Palatino Linotype" w:eastAsia="Palatino Linotype"/>
        </w:rPr>
        <w:t>Sacramento</w:t>
      </w:r>
      <w:r w:rsidRPr="009502BE" w:rsidR="001E3691">
        <w:rPr>
          <w:rFonts w:ascii="Palatino Linotype" w:hAnsi="Palatino Linotype" w:eastAsia="Palatino Linotype"/>
        </w:rPr>
        <w:t>,</w:t>
      </w:r>
      <w:r w:rsidRPr="009502BE">
        <w:rPr>
          <w:rFonts w:ascii="Palatino Linotype" w:hAnsi="Palatino Linotype" w:eastAsia="Palatino Linotype"/>
        </w:rPr>
        <w:t xml:space="preserve"> California</w:t>
      </w:r>
      <w:r>
        <w:tab/>
      </w:r>
    </w:p>
    <w:p w:rsidR="00D3300F" w:rsidP="00483533" w:rsidRDefault="00D3300F" w14:paraId="46F11AA3" w14:textId="77777777">
      <w:pPr>
        <w:pStyle w:val="10sp0"/>
        <w:spacing w:after="0"/>
        <w:jc w:val="center"/>
        <w:rPr>
          <w:rFonts w:ascii="Palatino Linotype" w:hAnsi="Palatino Linotype" w:eastAsia="Palatino Linotype"/>
          <w:b/>
          <w:bCs/>
          <w:sz w:val="28"/>
          <w:szCs w:val="28"/>
        </w:rPr>
      </w:pPr>
    </w:p>
    <w:p w:rsidR="00986516" w:rsidP="00483533" w:rsidRDefault="00986516" w14:paraId="714A5183" w14:textId="77777777">
      <w:pPr>
        <w:pStyle w:val="10sp0"/>
        <w:spacing w:after="0"/>
        <w:jc w:val="center"/>
        <w:rPr>
          <w:rFonts w:ascii="Palatino Linotype" w:hAnsi="Palatino Linotype" w:eastAsia="Palatino Linotype"/>
          <w:b/>
          <w:bCs/>
          <w:sz w:val="28"/>
          <w:szCs w:val="28"/>
        </w:rPr>
      </w:pPr>
    </w:p>
    <w:p w:rsidR="00986516" w:rsidP="00483533" w:rsidRDefault="00986516" w14:paraId="0DA7F85B" w14:textId="77777777">
      <w:pPr>
        <w:pStyle w:val="10sp0"/>
        <w:spacing w:after="0"/>
        <w:jc w:val="center"/>
        <w:rPr>
          <w:rFonts w:ascii="Palatino Linotype" w:hAnsi="Palatino Linotype" w:eastAsia="Palatino Linotype"/>
          <w:b/>
          <w:bCs/>
          <w:sz w:val="28"/>
          <w:szCs w:val="28"/>
        </w:rPr>
      </w:pPr>
    </w:p>
    <w:p w:rsidR="00986516" w:rsidP="00483533" w:rsidRDefault="00986516" w14:paraId="215059D9" w14:textId="77777777">
      <w:pPr>
        <w:pStyle w:val="10sp0"/>
        <w:spacing w:after="0"/>
        <w:jc w:val="center"/>
        <w:rPr>
          <w:rFonts w:ascii="Palatino Linotype" w:hAnsi="Palatino Linotype" w:eastAsia="Palatino Linotype"/>
          <w:b/>
          <w:bCs/>
          <w:sz w:val="28"/>
          <w:szCs w:val="28"/>
        </w:rPr>
      </w:pPr>
    </w:p>
    <w:p w:rsidR="00986516" w:rsidP="00483533" w:rsidRDefault="00986516" w14:paraId="11EB9E03" w14:textId="77777777">
      <w:pPr>
        <w:pStyle w:val="10sp0"/>
        <w:spacing w:after="0"/>
        <w:jc w:val="center"/>
        <w:rPr>
          <w:rFonts w:ascii="Palatino Linotype" w:hAnsi="Palatino Linotype" w:eastAsia="Palatino Linotype"/>
          <w:b/>
          <w:bCs/>
          <w:sz w:val="28"/>
          <w:szCs w:val="28"/>
        </w:rPr>
      </w:pPr>
    </w:p>
    <w:p w:rsidR="00986516" w:rsidP="00483533" w:rsidRDefault="00986516" w14:paraId="4B51DB6A" w14:textId="77777777">
      <w:pPr>
        <w:pStyle w:val="10sp0"/>
        <w:spacing w:after="0"/>
        <w:jc w:val="center"/>
        <w:rPr>
          <w:rFonts w:ascii="Palatino Linotype" w:hAnsi="Palatino Linotype" w:eastAsia="Palatino Linotype"/>
          <w:b/>
          <w:bCs/>
          <w:sz w:val="28"/>
          <w:szCs w:val="28"/>
        </w:rPr>
      </w:pPr>
    </w:p>
    <w:p w:rsidR="00986516" w:rsidP="00483533" w:rsidRDefault="00986516" w14:paraId="30D096B6" w14:textId="77777777">
      <w:pPr>
        <w:pStyle w:val="10sp0"/>
        <w:spacing w:after="0"/>
        <w:jc w:val="center"/>
        <w:rPr>
          <w:rFonts w:ascii="Palatino Linotype" w:hAnsi="Palatino Linotype" w:eastAsia="Palatino Linotype"/>
          <w:b/>
          <w:bCs/>
          <w:sz w:val="28"/>
          <w:szCs w:val="28"/>
        </w:rPr>
      </w:pPr>
    </w:p>
    <w:p w:rsidR="00986516" w:rsidP="00483533" w:rsidRDefault="00986516" w14:paraId="26BDB5E4" w14:textId="77777777">
      <w:pPr>
        <w:pStyle w:val="10sp0"/>
        <w:spacing w:after="0"/>
        <w:jc w:val="center"/>
        <w:rPr>
          <w:rFonts w:ascii="Palatino Linotype" w:hAnsi="Palatino Linotype" w:eastAsia="Palatino Linotype"/>
          <w:b/>
          <w:bCs/>
          <w:sz w:val="28"/>
          <w:szCs w:val="28"/>
        </w:rPr>
      </w:pPr>
    </w:p>
    <w:p w:rsidR="00986516" w:rsidP="00483533" w:rsidRDefault="00986516" w14:paraId="7509009C" w14:textId="77777777">
      <w:pPr>
        <w:pStyle w:val="10sp0"/>
        <w:spacing w:after="0"/>
        <w:jc w:val="center"/>
        <w:rPr>
          <w:rFonts w:ascii="Palatino Linotype" w:hAnsi="Palatino Linotype" w:eastAsia="Palatino Linotype"/>
          <w:b/>
          <w:bCs/>
          <w:sz w:val="28"/>
          <w:szCs w:val="28"/>
        </w:rPr>
      </w:pPr>
    </w:p>
    <w:p w:rsidR="00986516" w:rsidP="00483533" w:rsidRDefault="00986516" w14:paraId="62E4EF17" w14:textId="77777777">
      <w:pPr>
        <w:pStyle w:val="10sp0"/>
        <w:spacing w:after="0"/>
        <w:jc w:val="center"/>
        <w:rPr>
          <w:rFonts w:ascii="Palatino Linotype" w:hAnsi="Palatino Linotype" w:eastAsia="Palatino Linotype"/>
          <w:b/>
          <w:bCs/>
          <w:sz w:val="28"/>
          <w:szCs w:val="28"/>
        </w:rPr>
      </w:pPr>
    </w:p>
    <w:p w:rsidR="00986516" w:rsidP="00483533" w:rsidRDefault="00986516" w14:paraId="5A79E4CB" w14:textId="77777777">
      <w:pPr>
        <w:pStyle w:val="10sp0"/>
        <w:spacing w:after="0"/>
        <w:jc w:val="center"/>
        <w:rPr>
          <w:rFonts w:ascii="Palatino Linotype" w:hAnsi="Palatino Linotype" w:eastAsia="Palatino Linotype"/>
          <w:b/>
          <w:bCs/>
          <w:sz w:val="28"/>
          <w:szCs w:val="28"/>
        </w:rPr>
      </w:pPr>
    </w:p>
    <w:p w:rsidR="00986516" w:rsidP="00483533" w:rsidRDefault="00986516" w14:paraId="0D6B6FC4" w14:textId="77777777">
      <w:pPr>
        <w:pStyle w:val="10sp0"/>
        <w:spacing w:after="0"/>
        <w:jc w:val="center"/>
        <w:rPr>
          <w:rFonts w:ascii="Palatino Linotype" w:hAnsi="Palatino Linotype" w:eastAsia="Palatino Linotype"/>
          <w:b/>
          <w:bCs/>
          <w:sz w:val="28"/>
          <w:szCs w:val="28"/>
        </w:rPr>
      </w:pPr>
    </w:p>
    <w:p w:rsidR="00986516" w:rsidP="00483533" w:rsidRDefault="00986516" w14:paraId="632398FC" w14:textId="77777777">
      <w:pPr>
        <w:pStyle w:val="10sp0"/>
        <w:spacing w:after="0"/>
        <w:jc w:val="center"/>
        <w:rPr>
          <w:rFonts w:ascii="Palatino Linotype" w:hAnsi="Palatino Linotype" w:eastAsia="Palatino Linotype"/>
          <w:b/>
          <w:bCs/>
          <w:sz w:val="28"/>
          <w:szCs w:val="28"/>
        </w:rPr>
      </w:pPr>
    </w:p>
    <w:p w:rsidR="00986516" w:rsidP="00483533" w:rsidRDefault="00986516" w14:paraId="093E62E1" w14:textId="77777777">
      <w:pPr>
        <w:pStyle w:val="10sp0"/>
        <w:spacing w:after="0"/>
        <w:jc w:val="center"/>
        <w:rPr>
          <w:rFonts w:ascii="Palatino Linotype" w:hAnsi="Palatino Linotype" w:eastAsia="Palatino Linotype"/>
          <w:b/>
          <w:bCs/>
          <w:sz w:val="28"/>
          <w:szCs w:val="28"/>
        </w:rPr>
      </w:pPr>
    </w:p>
    <w:p w:rsidR="00986516" w:rsidP="00483533" w:rsidRDefault="00986516" w14:paraId="4AFB39BE" w14:textId="77777777">
      <w:pPr>
        <w:pStyle w:val="10sp0"/>
        <w:spacing w:after="0"/>
        <w:jc w:val="center"/>
        <w:rPr>
          <w:rFonts w:ascii="Palatino Linotype" w:hAnsi="Palatino Linotype" w:eastAsia="Palatino Linotype"/>
          <w:b/>
          <w:bCs/>
          <w:sz w:val="28"/>
          <w:szCs w:val="28"/>
        </w:rPr>
      </w:pPr>
    </w:p>
    <w:p w:rsidR="00986516" w:rsidP="00483533" w:rsidRDefault="00986516" w14:paraId="79B48656" w14:textId="77777777">
      <w:pPr>
        <w:pStyle w:val="10sp0"/>
        <w:spacing w:after="0"/>
        <w:jc w:val="center"/>
        <w:rPr>
          <w:rFonts w:ascii="Palatino Linotype" w:hAnsi="Palatino Linotype" w:eastAsia="Palatino Linotype"/>
          <w:b/>
          <w:bCs/>
          <w:sz w:val="28"/>
          <w:szCs w:val="28"/>
        </w:rPr>
      </w:pPr>
    </w:p>
    <w:p w:rsidR="00986516" w:rsidP="00483533" w:rsidRDefault="00986516" w14:paraId="17AC7927" w14:textId="77777777">
      <w:pPr>
        <w:pStyle w:val="10sp0"/>
        <w:spacing w:after="0"/>
        <w:jc w:val="center"/>
        <w:rPr>
          <w:rFonts w:ascii="Palatino Linotype" w:hAnsi="Palatino Linotype" w:eastAsia="Palatino Linotype"/>
          <w:b/>
          <w:bCs/>
          <w:sz w:val="28"/>
          <w:szCs w:val="28"/>
        </w:rPr>
      </w:pPr>
    </w:p>
    <w:p w:rsidR="00986516" w:rsidP="00483533" w:rsidRDefault="00986516" w14:paraId="63A5F2B9" w14:textId="77777777">
      <w:pPr>
        <w:pStyle w:val="10sp0"/>
        <w:spacing w:after="0"/>
        <w:jc w:val="center"/>
        <w:rPr>
          <w:rFonts w:ascii="Palatino Linotype" w:hAnsi="Palatino Linotype" w:eastAsia="Palatino Linotype"/>
          <w:b/>
          <w:bCs/>
          <w:sz w:val="28"/>
          <w:szCs w:val="28"/>
        </w:rPr>
      </w:pPr>
    </w:p>
    <w:p w:rsidR="00986516" w:rsidP="00483533" w:rsidRDefault="00986516" w14:paraId="52BA6BAB" w14:textId="77777777">
      <w:pPr>
        <w:pStyle w:val="10sp0"/>
        <w:spacing w:after="0"/>
        <w:jc w:val="center"/>
        <w:rPr>
          <w:rFonts w:ascii="Palatino Linotype" w:hAnsi="Palatino Linotype" w:eastAsia="Palatino Linotype"/>
          <w:b/>
          <w:bCs/>
          <w:sz w:val="28"/>
          <w:szCs w:val="28"/>
        </w:rPr>
      </w:pPr>
    </w:p>
    <w:p w:rsidR="00986516" w:rsidP="00483533" w:rsidRDefault="00986516" w14:paraId="1C6CB9C7" w14:textId="77777777">
      <w:pPr>
        <w:pStyle w:val="10sp0"/>
        <w:spacing w:after="0"/>
        <w:jc w:val="center"/>
        <w:rPr>
          <w:rFonts w:ascii="Palatino Linotype" w:hAnsi="Palatino Linotype" w:eastAsia="Palatino Linotype"/>
          <w:b/>
          <w:bCs/>
          <w:sz w:val="28"/>
          <w:szCs w:val="28"/>
        </w:rPr>
      </w:pPr>
    </w:p>
    <w:p w:rsidR="00986516" w:rsidP="00483533" w:rsidRDefault="00986516" w14:paraId="688BCF5F" w14:textId="77777777">
      <w:pPr>
        <w:pStyle w:val="10sp0"/>
        <w:spacing w:after="0"/>
        <w:jc w:val="center"/>
        <w:rPr>
          <w:rFonts w:ascii="Palatino Linotype" w:hAnsi="Palatino Linotype" w:eastAsia="Palatino Linotype"/>
          <w:b/>
          <w:bCs/>
          <w:sz w:val="28"/>
          <w:szCs w:val="28"/>
        </w:rPr>
      </w:pPr>
    </w:p>
    <w:p w:rsidR="007D5D30" w:rsidP="00483533" w:rsidRDefault="007D5D30" w14:paraId="2FD7272E" w14:textId="77777777">
      <w:pPr>
        <w:pStyle w:val="10sp0"/>
        <w:spacing w:after="0"/>
        <w:jc w:val="center"/>
        <w:rPr>
          <w:rFonts w:ascii="Palatino Linotype" w:hAnsi="Palatino Linotype" w:eastAsia="Palatino Linotype"/>
          <w:b/>
          <w:bCs/>
          <w:sz w:val="28"/>
          <w:szCs w:val="28"/>
        </w:rPr>
        <w:sectPr w:rsidR="007D5D30" w:rsidSect="00A74E37">
          <w:footerReference w:type="default" r:id="rId10"/>
          <w:footerReference w:type="first" r:id="rId11"/>
          <w:pgSz w:w="12240" w:h="15840"/>
          <w:pgMar w:top="1440" w:right="1440" w:bottom="1440" w:left="1440" w:header="720" w:footer="720" w:gutter="0"/>
          <w:cols w:space="720"/>
          <w:titlePg/>
          <w:docGrid w:linePitch="360"/>
        </w:sectPr>
      </w:pPr>
    </w:p>
    <w:p w:rsidRPr="00483533" w:rsidR="00483533" w:rsidP="00483533" w:rsidRDefault="00483533" w14:paraId="43460582" w14:textId="31840B84">
      <w:pPr>
        <w:pStyle w:val="10sp0"/>
        <w:spacing w:after="0"/>
        <w:jc w:val="center"/>
        <w:rPr>
          <w:rFonts w:ascii="Palatino Linotype" w:hAnsi="Palatino Linotype" w:eastAsia="Palatino Linotype"/>
          <w:b/>
          <w:bCs/>
          <w:sz w:val="28"/>
          <w:szCs w:val="28"/>
        </w:rPr>
      </w:pPr>
      <w:r w:rsidRPr="00483533">
        <w:rPr>
          <w:rFonts w:ascii="Palatino Linotype" w:hAnsi="Palatino Linotype" w:eastAsia="Palatino Linotype"/>
          <w:b/>
          <w:bCs/>
          <w:sz w:val="28"/>
          <w:szCs w:val="28"/>
        </w:rPr>
        <w:lastRenderedPageBreak/>
        <w:t>APPENDIX A</w:t>
      </w:r>
    </w:p>
    <w:p w:rsidR="002E74BB" w:rsidP="00483533" w:rsidRDefault="002E74BB" w14:paraId="0C636F24" w14:textId="7A06DE46">
      <w:pPr>
        <w:pStyle w:val="10sp0"/>
        <w:spacing w:after="0"/>
        <w:jc w:val="center"/>
        <w:rPr>
          <w:rFonts w:ascii="Palatino Linotype" w:hAnsi="Palatino Linotype" w:eastAsia="Palatino Linotype"/>
          <w:b/>
          <w:bCs/>
          <w:i/>
          <w:iCs/>
          <w:sz w:val="26"/>
          <w:szCs w:val="26"/>
        </w:rPr>
      </w:pPr>
      <w:r w:rsidRPr="00506D42">
        <w:rPr>
          <w:rFonts w:ascii="Palatino Linotype" w:hAnsi="Palatino Linotype" w:eastAsia="Palatino Linotype"/>
          <w:b/>
          <w:sz w:val="26"/>
          <w:szCs w:val="26"/>
        </w:rPr>
        <w:t xml:space="preserve">For full version, see here: </w:t>
      </w:r>
      <w:hyperlink w:history="1" r:id="rId12">
        <w:r w:rsidRPr="00506D42" w:rsidR="00476729">
          <w:rPr>
            <w:rStyle w:val="Hyperlink"/>
            <w:i/>
          </w:rPr>
          <w:t>Appendix C of Decision 25-11-003</w:t>
        </w:r>
      </w:hyperlink>
    </w:p>
    <w:p w:rsidR="00750743" w:rsidP="007059B4" w:rsidRDefault="00750743" w14:paraId="226D096F" w14:textId="77777777">
      <w:pPr>
        <w:pStyle w:val="10sp0"/>
        <w:spacing w:after="0"/>
        <w:rPr>
          <w:rFonts w:ascii="Palatino Linotype" w:hAnsi="Palatino Linotype" w:eastAsia="Palatino Linotype"/>
          <w:b/>
          <w:bCs/>
        </w:rPr>
      </w:pPr>
    </w:p>
    <w:p w:rsidRPr="006A35DE" w:rsidR="006A35DE" w:rsidP="006A35DE" w:rsidRDefault="004A4B7E" w14:paraId="13A48445" w14:textId="12E8BE3F">
      <w:pPr>
        <w:contextualSpacing/>
        <w:rPr>
          <w:rFonts w:ascii="Palatino Linotype" w:hAnsi="Palatino Linotype" w:eastAsia="Palatino Linotype" w:cs="Times New Roman"/>
          <w:b/>
          <w:bCs/>
          <w:kern w:val="0"/>
          <w14:ligatures w14:val="none"/>
        </w:rPr>
      </w:pPr>
      <w:proofErr w:type="spellStart"/>
      <w:r>
        <w:rPr>
          <w:rFonts w:ascii="Palatino Linotype" w:hAnsi="Palatino Linotype" w:eastAsia="Palatino Linotype" w:cs="Times New Roman"/>
          <w:b/>
          <w:bCs/>
          <w:kern w:val="0"/>
          <w14:ligatures w14:val="none"/>
        </w:rPr>
        <w:t>i</w:t>
      </w:r>
      <w:proofErr w:type="spellEnd"/>
      <w:r>
        <w:rPr>
          <w:rFonts w:ascii="Palatino Linotype" w:hAnsi="Palatino Linotype" w:eastAsia="Palatino Linotype" w:cs="Times New Roman"/>
          <w:b/>
          <w:bCs/>
          <w:kern w:val="0"/>
          <w14:ligatures w14:val="none"/>
        </w:rPr>
        <w:t xml:space="preserve">. </w:t>
      </w:r>
      <w:r w:rsidRPr="006A35DE" w:rsidR="006A35DE">
        <w:rPr>
          <w:rFonts w:ascii="Palatino Linotype" w:hAnsi="Palatino Linotype" w:eastAsia="Palatino Linotype" w:cs="Times New Roman"/>
          <w:b/>
          <w:bCs/>
          <w:kern w:val="0"/>
          <w14:ligatures w14:val="none"/>
        </w:rPr>
        <w:t>Execution and Performance</w:t>
      </w:r>
    </w:p>
    <w:p w:rsidRPr="0053175E" w:rsidR="006A35DE" w:rsidP="006A35DE" w:rsidRDefault="006A35DE" w14:paraId="297301B1" w14:textId="77777777">
      <w:pPr>
        <w:tabs>
          <w:tab w:val="left" w:pos="2210"/>
        </w:tabs>
        <w:contextualSpacing/>
        <w:rPr>
          <w:rFonts w:ascii="Palatino Linotype" w:hAnsi="Palatino Linotype" w:eastAsia="Palatino Linotype" w:cs="Times New Roman"/>
          <w:kern w:val="0"/>
          <w14:ligatures w14:val="none"/>
        </w:rPr>
      </w:pPr>
      <w:r w:rsidRPr="00EF53F3">
        <w:rPr>
          <w:rFonts w:ascii="Palatino Linotype" w:hAnsi="Palatino Linotype" w:eastAsia="Palatino Linotype" w:cs="Times New Roman"/>
          <w:kern w:val="0"/>
          <w14:ligatures w14:val="none"/>
        </w:rPr>
        <w:t>The expected start date is July 1, 2026.</w:t>
      </w:r>
      <w:r w:rsidRPr="0053175E">
        <w:rPr>
          <w:rFonts w:ascii="Palatino Linotype" w:hAnsi="Palatino Linotype" w:eastAsia="Palatino Linotype" w:cs="Times New Roman"/>
          <w:kern w:val="0"/>
          <w14:ligatures w14:val="none"/>
        </w:rPr>
        <w:t xml:space="preserve"> The start of the Consortia grant will begin upon grant approval, once the Consent Form and Grant Disbursement Schedule are signed and received by CASF staff.  Grantees must update their Work Plan and Performance Metrics Plan to align with the grant approval start dates when submitting the Consent Form accepting the grant award.</w:t>
      </w:r>
    </w:p>
    <w:p w:rsidRPr="0053175E" w:rsidR="006A35DE" w:rsidP="006A35DE" w:rsidRDefault="006A35DE" w14:paraId="3C14A6BD" w14:textId="77777777">
      <w:pPr>
        <w:tabs>
          <w:tab w:val="left" w:pos="2210"/>
        </w:tabs>
        <w:contextualSpacing/>
        <w:rPr>
          <w:rFonts w:ascii="Palatino Linotype" w:hAnsi="Palatino Linotype" w:eastAsia="Palatino Linotype" w:cs="Times New Roman"/>
          <w:kern w:val="0"/>
          <w14:ligatures w14:val="none"/>
        </w:rPr>
      </w:pPr>
    </w:p>
    <w:p w:rsidRPr="0053175E" w:rsidR="006A35DE" w:rsidP="006A35DE" w:rsidRDefault="006A35DE" w14:paraId="7F4D666A" w14:textId="77777777">
      <w:pPr>
        <w:tabs>
          <w:tab w:val="left" w:pos="2210"/>
        </w:tabs>
        <w:contextualSpacing/>
        <w:rPr>
          <w:rFonts w:ascii="Palatino Linotype" w:hAnsi="Palatino Linotype" w:eastAsia="Palatino Linotype" w:cs="Times New Roman"/>
          <w:kern w:val="0"/>
          <w14:ligatures w14:val="none"/>
        </w:rPr>
      </w:pPr>
      <w:r w:rsidRPr="0053175E">
        <w:rPr>
          <w:rFonts w:ascii="Palatino Linotype" w:hAnsi="Palatino Linotype" w:eastAsia="Palatino Linotype" w:cs="Times New Roman"/>
          <w:kern w:val="0"/>
          <w14:ligatures w14:val="none"/>
        </w:rPr>
        <w:t xml:space="preserve">The Commission’s grant of any award is subject to satisfaction </w:t>
      </w:r>
      <w:proofErr w:type="gramStart"/>
      <w:r w:rsidRPr="0053175E">
        <w:rPr>
          <w:rFonts w:ascii="Palatino Linotype" w:hAnsi="Palatino Linotype" w:eastAsia="Palatino Linotype" w:cs="Times New Roman"/>
          <w:kern w:val="0"/>
          <w14:ligatures w14:val="none"/>
        </w:rPr>
        <w:t>of</w:t>
      </w:r>
      <w:proofErr w:type="gramEnd"/>
      <w:r w:rsidRPr="0053175E">
        <w:rPr>
          <w:rFonts w:ascii="Palatino Linotype" w:hAnsi="Palatino Linotype" w:eastAsia="Palatino Linotype" w:cs="Times New Roman"/>
          <w:kern w:val="0"/>
          <w14:ligatures w14:val="none"/>
        </w:rPr>
        <w:t xml:space="preserve"> the conditions set forth in the decision </w:t>
      </w:r>
      <w:proofErr w:type="gramStart"/>
      <w:r w:rsidRPr="0053175E">
        <w:rPr>
          <w:rFonts w:ascii="Palatino Linotype" w:hAnsi="Palatino Linotype" w:eastAsia="Palatino Linotype" w:cs="Times New Roman"/>
          <w:kern w:val="0"/>
          <w14:ligatures w14:val="none"/>
        </w:rPr>
        <w:t>adopting</w:t>
      </w:r>
      <w:proofErr w:type="gramEnd"/>
      <w:r w:rsidRPr="0053175E">
        <w:rPr>
          <w:rFonts w:ascii="Palatino Linotype" w:hAnsi="Palatino Linotype" w:eastAsia="Palatino Linotype" w:cs="Times New Roman"/>
          <w:kern w:val="0"/>
          <w14:ligatures w14:val="none"/>
        </w:rPr>
        <w:t xml:space="preserve"> this proposal, and any additional conditions that may be specified in the Commission resolution approving a grant. Each grant is made </w:t>
      </w:r>
      <w:proofErr w:type="gramStart"/>
      <w:r w:rsidRPr="0053175E">
        <w:rPr>
          <w:rFonts w:ascii="Palatino Linotype" w:hAnsi="Palatino Linotype" w:eastAsia="Palatino Linotype" w:cs="Times New Roman"/>
          <w:kern w:val="0"/>
          <w14:ligatures w14:val="none"/>
        </w:rPr>
        <w:t>expressly only</w:t>
      </w:r>
      <w:proofErr w:type="gramEnd"/>
      <w:r w:rsidRPr="0053175E">
        <w:rPr>
          <w:rFonts w:ascii="Palatino Linotype" w:hAnsi="Palatino Linotype" w:eastAsia="Palatino Linotype" w:cs="Times New Roman"/>
          <w:kern w:val="0"/>
          <w14:ligatures w14:val="none"/>
        </w:rPr>
        <w:t xml:space="preserve"> to the Consortia grantee as identified in the Commission resolution. The Consortia grantee may not assign the project </w:t>
      </w:r>
      <w:proofErr w:type="gramStart"/>
      <w:r w:rsidRPr="0053175E">
        <w:rPr>
          <w:rFonts w:ascii="Palatino Linotype" w:hAnsi="Palatino Linotype" w:eastAsia="Palatino Linotype" w:cs="Times New Roman"/>
          <w:kern w:val="0"/>
          <w14:ligatures w14:val="none"/>
        </w:rPr>
        <w:t>in</w:t>
      </w:r>
      <w:proofErr w:type="gramEnd"/>
      <w:r w:rsidRPr="0053175E">
        <w:rPr>
          <w:rFonts w:ascii="Palatino Linotype" w:hAnsi="Palatino Linotype" w:eastAsia="Palatino Linotype" w:cs="Times New Roman"/>
          <w:kern w:val="0"/>
          <w14:ligatures w14:val="none"/>
        </w:rPr>
        <w:t xml:space="preserve"> whole or in part, except as expressly provided by the Commission’s approval. </w:t>
      </w:r>
    </w:p>
    <w:p w:rsidRPr="0053175E" w:rsidR="006A35DE" w:rsidP="006A35DE" w:rsidRDefault="006A35DE" w14:paraId="575EF4D5" w14:textId="77777777">
      <w:pPr>
        <w:tabs>
          <w:tab w:val="left" w:pos="2210"/>
        </w:tabs>
        <w:contextualSpacing/>
        <w:rPr>
          <w:rFonts w:ascii="Palatino Linotype" w:hAnsi="Palatino Linotype" w:eastAsia="Palatino Linotype" w:cs="Times New Roman"/>
          <w:kern w:val="0"/>
          <w14:ligatures w14:val="none"/>
        </w:rPr>
      </w:pPr>
    </w:p>
    <w:p w:rsidRPr="0053175E" w:rsidR="006A35DE" w:rsidP="006A35DE" w:rsidRDefault="006A35DE" w14:paraId="70E360D3" w14:textId="77777777">
      <w:pPr>
        <w:tabs>
          <w:tab w:val="left" w:pos="2210"/>
        </w:tabs>
        <w:contextualSpacing/>
        <w:rPr>
          <w:rFonts w:ascii="Palatino Linotype" w:hAnsi="Palatino Linotype" w:eastAsia="Palatino Linotype" w:cs="Times New Roman"/>
          <w:kern w:val="0"/>
          <w14:ligatures w14:val="none"/>
        </w:rPr>
      </w:pPr>
      <w:r w:rsidRPr="0053175E">
        <w:rPr>
          <w:rFonts w:ascii="Palatino Linotype" w:hAnsi="Palatino Linotype" w:eastAsia="Palatino Linotype" w:cs="Times New Roman"/>
          <w:kern w:val="0"/>
          <w14:ligatures w14:val="none"/>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The Grantee’s performance and completion of the project must comply with all applicable laws and regulations. The Bi-Annual Progress Report must present the results of performance metrics. </w:t>
      </w:r>
    </w:p>
    <w:p w:rsidRPr="0053175E" w:rsidR="006A35DE" w:rsidP="006A35DE" w:rsidRDefault="006A35DE" w14:paraId="5E066980" w14:textId="77777777">
      <w:pPr>
        <w:tabs>
          <w:tab w:val="left" w:pos="2210"/>
        </w:tabs>
        <w:contextualSpacing/>
        <w:rPr>
          <w:rFonts w:ascii="Palatino Linotype" w:hAnsi="Palatino Linotype" w:eastAsia="Palatino Linotype" w:cs="Times New Roman"/>
          <w:kern w:val="0"/>
          <w14:ligatures w14:val="none"/>
        </w:rPr>
      </w:pPr>
    </w:p>
    <w:p w:rsidRPr="0053175E" w:rsidR="006A35DE" w:rsidP="006A35DE" w:rsidRDefault="006A35DE" w14:paraId="370A2E3D" w14:textId="77777777">
      <w:pPr>
        <w:tabs>
          <w:tab w:val="left" w:pos="2210"/>
        </w:tabs>
        <w:contextualSpacing/>
        <w:rPr>
          <w:rFonts w:ascii="Palatino Linotype" w:hAnsi="Palatino Linotype" w:eastAsia="Palatino Linotype" w:cs="Times New Roman"/>
          <w:kern w:val="0"/>
          <w14:ligatures w14:val="none"/>
        </w:rPr>
      </w:pPr>
      <w:r w:rsidRPr="0053175E">
        <w:rPr>
          <w:rFonts w:ascii="Palatino Linotype" w:hAnsi="Palatino Linotype" w:eastAsia="Palatino Linotype" w:cs="Times New Roman"/>
          <w:kern w:val="0"/>
          <w14:ligatures w14:val="none"/>
        </w:rPr>
        <w:t xml:space="preserve">Grantees must notify the Communications Division Director within 30 days of becoming aware that they may not be able to meet performance metrics set forth in the Work Plan and Performance Metrics Plan. Any changes to the substantive terms and conditions underlying Commission approval of the Consortium grant (e.g., changes to Work Plan, Performance Metrics Plan, Budget, or designated Fiscal Agent, extensions, etc.) must be communicated in writing to the Communications Division Director at least 30 days before the anticipated change and may be subject to approval by either the Director or by Commission resolution before becoming effective.  Consortia grantees may modify an approved budget without prior authorization if the modification does not exceed 10% of the approved objective or activity, and so long as those modifications do not exceed the overall approved annual cap amount. </w:t>
      </w:r>
    </w:p>
    <w:p w:rsidR="006A35DE" w:rsidP="006A35DE" w:rsidRDefault="006A35DE" w14:paraId="1C9CB2BA" w14:textId="77777777">
      <w:pPr>
        <w:tabs>
          <w:tab w:val="left" w:pos="2210"/>
        </w:tabs>
        <w:contextualSpacing/>
        <w:rPr>
          <w:rFonts w:ascii="Palatino Linotype" w:hAnsi="Palatino Linotype" w:eastAsia="Palatino Linotype" w:cs="Times New Roman"/>
          <w:kern w:val="0"/>
          <w14:ligatures w14:val="none"/>
        </w:rPr>
      </w:pPr>
      <w:r w:rsidRPr="0053175E">
        <w:rPr>
          <w:rFonts w:ascii="Palatino Linotype" w:hAnsi="Palatino Linotype" w:eastAsia="Palatino Linotype" w:cs="Times New Roman"/>
          <w:kern w:val="0"/>
          <w14:ligatures w14:val="none"/>
        </w:rPr>
        <w:t xml:space="preserve">By receiving a CASF Consortia grant, the grantee agrees to comply with the terms, conditions, and requirements of the grant and thus </w:t>
      </w:r>
      <w:proofErr w:type="gramStart"/>
      <w:r w:rsidRPr="0053175E">
        <w:rPr>
          <w:rFonts w:ascii="Palatino Linotype" w:hAnsi="Palatino Linotype" w:eastAsia="Palatino Linotype" w:cs="Times New Roman"/>
          <w:kern w:val="0"/>
          <w14:ligatures w14:val="none"/>
        </w:rPr>
        <w:t>submits</w:t>
      </w:r>
      <w:proofErr w:type="gramEnd"/>
      <w:r w:rsidRPr="0053175E">
        <w:rPr>
          <w:rFonts w:ascii="Palatino Linotype" w:hAnsi="Palatino Linotype" w:eastAsia="Palatino Linotype" w:cs="Times New Roman"/>
          <w:kern w:val="0"/>
          <w14:ligatures w14:val="none"/>
        </w:rPr>
        <w:t xml:space="preserve"> to the jurisdiction of the Commission </w:t>
      </w:r>
      <w:proofErr w:type="gramStart"/>
      <w:r w:rsidRPr="0053175E">
        <w:rPr>
          <w:rFonts w:ascii="Palatino Linotype" w:hAnsi="Palatino Linotype" w:eastAsia="Palatino Linotype" w:cs="Times New Roman"/>
          <w:kern w:val="0"/>
          <w14:ligatures w14:val="none"/>
        </w:rPr>
        <w:t>with regard to</w:t>
      </w:r>
      <w:proofErr w:type="gramEnd"/>
      <w:r w:rsidRPr="0053175E">
        <w:rPr>
          <w:rFonts w:ascii="Palatino Linotype" w:hAnsi="Palatino Linotype" w:eastAsia="Palatino Linotype" w:cs="Times New Roman"/>
          <w:kern w:val="0"/>
          <w14:ligatures w14:val="none"/>
        </w:rPr>
        <w:t xml:space="preserve"> disbursement and administration of the grant.</w:t>
      </w:r>
    </w:p>
    <w:p w:rsidR="006A35DE" w:rsidP="006A35DE" w:rsidRDefault="006A35DE" w14:paraId="428157DF" w14:textId="77777777">
      <w:pPr>
        <w:tabs>
          <w:tab w:val="left" w:pos="2210"/>
        </w:tabs>
        <w:contextualSpacing/>
        <w:rPr>
          <w:rFonts w:ascii="Palatino Linotype" w:hAnsi="Palatino Linotype" w:eastAsia="Palatino Linotype" w:cs="Times New Roman"/>
          <w:kern w:val="0"/>
          <w14:ligatures w14:val="none"/>
        </w:rPr>
      </w:pPr>
    </w:p>
    <w:p w:rsidRPr="00DD051F" w:rsidR="006A35DE" w:rsidP="006A35DE" w:rsidRDefault="006A35DE" w14:paraId="7714D8BB" w14:textId="77777777">
      <w:pPr>
        <w:tabs>
          <w:tab w:val="left" w:pos="2210"/>
        </w:tabs>
        <w:contextualSpacing/>
        <w:rPr>
          <w:rFonts w:ascii="Palatino Linotype" w:hAnsi="Palatino Linotype" w:eastAsia="Palatino Linotype" w:cs="Times New Roman"/>
          <w:kern w:val="0"/>
          <w14:ligatures w14:val="none"/>
        </w:rPr>
      </w:pPr>
      <w:r w:rsidRPr="00DD051F">
        <w:rPr>
          <w:rFonts w:ascii="Palatino Linotype" w:hAnsi="Palatino Linotype" w:eastAsia="Palatino Linotype" w:cs="Times New Roman"/>
          <w:kern w:val="0"/>
          <w14:ligatures w14:val="none"/>
        </w:rPr>
        <w:t xml:space="preserve">Should the Consortia grantee fail to commence work six months from the date of submission of the Consent Form, the Commission may terminate the award by furnishing the Consortia grantee with 30 </w:t>
      </w:r>
      <w:proofErr w:type="gramStart"/>
      <w:r w:rsidRPr="00DD051F">
        <w:rPr>
          <w:rFonts w:ascii="Palatino Linotype" w:hAnsi="Palatino Linotype" w:eastAsia="Palatino Linotype" w:cs="Times New Roman"/>
          <w:kern w:val="0"/>
          <w14:ligatures w14:val="none"/>
        </w:rPr>
        <w:t>days</w:t>
      </w:r>
      <w:proofErr w:type="gramEnd"/>
      <w:r w:rsidRPr="00DD051F">
        <w:rPr>
          <w:rFonts w:ascii="Palatino Linotype" w:hAnsi="Palatino Linotype" w:eastAsia="Palatino Linotype" w:cs="Times New Roman"/>
          <w:kern w:val="0"/>
          <w14:ligatures w14:val="none"/>
        </w:rPr>
        <w:t xml:space="preserve"> written notice.  </w:t>
      </w:r>
    </w:p>
    <w:p w:rsidRPr="00DD051F" w:rsidR="006A35DE" w:rsidP="006A35DE" w:rsidRDefault="006A35DE" w14:paraId="75CB6C26" w14:textId="77777777">
      <w:pPr>
        <w:tabs>
          <w:tab w:val="left" w:pos="2210"/>
        </w:tabs>
        <w:contextualSpacing/>
        <w:rPr>
          <w:rFonts w:ascii="Palatino Linotype" w:hAnsi="Palatino Linotype" w:eastAsia="Palatino Linotype" w:cs="Times New Roman"/>
          <w:kern w:val="0"/>
          <w14:ligatures w14:val="none"/>
        </w:rPr>
      </w:pPr>
    </w:p>
    <w:p w:rsidR="006A35DE" w:rsidP="006A35DE" w:rsidRDefault="006A35DE" w14:paraId="1800F581" w14:textId="77777777">
      <w:pPr>
        <w:tabs>
          <w:tab w:val="left" w:pos="2210"/>
        </w:tabs>
        <w:contextualSpacing/>
        <w:rPr>
          <w:rFonts w:ascii="Palatino Linotype" w:hAnsi="Palatino Linotype" w:eastAsia="Palatino Linotype" w:cs="Times New Roman"/>
          <w:kern w:val="0"/>
          <w14:ligatures w14:val="none"/>
        </w:rPr>
      </w:pPr>
      <w:r w:rsidRPr="00DD051F">
        <w:rPr>
          <w:rFonts w:ascii="Palatino Linotype" w:hAnsi="Palatino Linotype" w:eastAsia="Palatino Linotype" w:cs="Times New Roman"/>
          <w:kern w:val="0"/>
          <w14:ligatures w14:val="none"/>
        </w:rPr>
        <w:t>If the Consortia grantee fails to perform in good faith or fails to complete the project, in accordance with the expectations set forth in its Work Plan and Performance Metrics Plan, as affirmed in the affidavit, the Commission may withhold subsequent grant disbursement, suspend, reduce, or terminate the Consortia grant, as warranted.</w:t>
      </w:r>
    </w:p>
    <w:p w:rsidR="006A35DE" w:rsidP="007059B4" w:rsidRDefault="006A35DE" w14:paraId="260A6647" w14:textId="77777777">
      <w:pPr>
        <w:pStyle w:val="10sp0"/>
        <w:spacing w:after="0"/>
        <w:rPr>
          <w:rFonts w:ascii="Palatino Linotype" w:hAnsi="Palatino Linotype" w:eastAsia="Palatino Linotype"/>
          <w:b/>
          <w:bCs/>
        </w:rPr>
      </w:pPr>
    </w:p>
    <w:p w:rsidRPr="0088606A" w:rsidR="007059B4" w:rsidP="007059B4" w:rsidRDefault="004A4B7E" w14:paraId="5062B32A" w14:textId="09AE7AAE">
      <w:pPr>
        <w:pStyle w:val="10sp0"/>
        <w:spacing w:after="0"/>
        <w:rPr>
          <w:rFonts w:ascii="Palatino Linotype" w:hAnsi="Palatino Linotype" w:eastAsia="Palatino Linotype"/>
          <w:b/>
          <w:bCs/>
        </w:rPr>
      </w:pPr>
      <w:r>
        <w:rPr>
          <w:rFonts w:ascii="Palatino Linotype" w:hAnsi="Palatino Linotype" w:eastAsia="Palatino Linotype"/>
          <w:b/>
          <w:bCs/>
        </w:rPr>
        <w:t xml:space="preserve">ii. </w:t>
      </w:r>
      <w:r w:rsidRPr="00690BC9" w:rsidR="007059B4">
        <w:rPr>
          <w:rFonts w:ascii="Palatino Linotype" w:hAnsi="Palatino Linotype" w:eastAsia="Palatino Linotype"/>
          <w:b/>
          <w:bCs/>
        </w:rPr>
        <w:t>Public Workshop</w:t>
      </w:r>
      <w:r w:rsidR="000C01C8">
        <w:rPr>
          <w:rFonts w:ascii="Palatino Linotype" w:hAnsi="Palatino Linotype" w:eastAsia="Palatino Linotype"/>
          <w:b/>
          <w:bCs/>
        </w:rPr>
        <w:t xml:space="preserve"> Requirement</w:t>
      </w:r>
    </w:p>
    <w:p w:rsidRPr="00690BC9" w:rsidR="007059B4" w:rsidP="007059B4" w:rsidRDefault="001B405B" w14:paraId="541F6A9C" w14:textId="05DE3DF5">
      <w:pPr>
        <w:pStyle w:val="10sp0"/>
        <w:spacing w:after="0"/>
        <w:rPr>
          <w:rFonts w:ascii="Palatino Linotype" w:hAnsi="Palatino Linotype" w:eastAsia="Palatino Linotype"/>
        </w:rPr>
      </w:pPr>
      <w:r w:rsidRPr="001B405B">
        <w:rPr>
          <w:rFonts w:ascii="Palatino Linotype" w:hAnsi="Palatino Linotype" w:eastAsia="Palatino Linotype"/>
        </w:rPr>
        <w:t xml:space="preserve">Pub. Util. Code § 281 directs the Commission to consult with regional consortia, stakeholders, local governments, existing facility-based broadband providers, and consumers regarding unserved areas and cost-effective strategies to achieve the broadband access goal, through public workshops at </w:t>
      </w:r>
      <w:proofErr w:type="gramStart"/>
      <w:r w:rsidRPr="001B405B">
        <w:rPr>
          <w:rFonts w:ascii="Palatino Linotype" w:hAnsi="Palatino Linotype" w:eastAsia="Palatino Linotype"/>
        </w:rPr>
        <w:t>least annually</w:t>
      </w:r>
      <w:proofErr w:type="gramEnd"/>
      <w:r w:rsidRPr="001B405B">
        <w:rPr>
          <w:rFonts w:ascii="Palatino Linotype" w:hAnsi="Palatino Linotype" w:eastAsia="Palatino Linotype"/>
        </w:rPr>
        <w:t xml:space="preserve"> no later than April 30 of each year.  All consortia receiving CASF grants shall attend at least one of the annual public workshops to be conducted by Communications Division. </w:t>
      </w:r>
    </w:p>
    <w:p w:rsidR="001B405B" w:rsidP="007059B4" w:rsidRDefault="001B405B" w14:paraId="1178F2FE" w14:textId="77777777">
      <w:pPr>
        <w:pStyle w:val="10sp0"/>
        <w:spacing w:after="0"/>
        <w:rPr>
          <w:rFonts w:ascii="Palatino Linotype" w:hAnsi="Palatino Linotype" w:eastAsia="Palatino Linotype"/>
        </w:rPr>
      </w:pPr>
    </w:p>
    <w:p w:rsidRPr="00690BC9" w:rsidR="007059B4" w:rsidP="007059B4" w:rsidRDefault="007059B4" w14:paraId="5449D4C9" w14:textId="7A4057E5">
      <w:pPr>
        <w:pStyle w:val="10sp0"/>
        <w:spacing w:after="0"/>
        <w:rPr>
          <w:rFonts w:ascii="Palatino Linotype" w:hAnsi="Palatino Linotype" w:eastAsia="Palatino Linotype"/>
        </w:rPr>
      </w:pPr>
      <w:r w:rsidRPr="00690BC9">
        <w:rPr>
          <w:rFonts w:ascii="Palatino Linotype" w:hAnsi="Palatino Linotype" w:eastAsia="Palatino Linotype"/>
        </w:rPr>
        <w:t>Consortia may claim reimbursement for travel expenses and per diem costs associated with each CASF sponsored public workshop hosted by CPUC staff. Expense claims must comply with the travel expense</w:t>
      </w:r>
      <w:proofErr w:type="gramStart"/>
      <w:r w:rsidRPr="00690BC9">
        <w:rPr>
          <w:rFonts w:ascii="Palatino Linotype" w:hAnsi="Palatino Linotype" w:eastAsia="Palatino Linotype"/>
        </w:rPr>
        <w:t>, limitation</w:t>
      </w:r>
      <w:proofErr w:type="gramEnd"/>
      <w:r w:rsidRPr="00690BC9">
        <w:rPr>
          <w:rFonts w:ascii="Palatino Linotype" w:hAnsi="Palatino Linotype" w:eastAsia="Palatino Linotype"/>
        </w:rPr>
        <w:t xml:space="preserve"> rules applicable to State of California employees and contractors. The maximum reimbursement allowable is $2,000 per person for up to five delegates for each workshop, for a total of up to $10,000 per consortium.</w:t>
      </w:r>
    </w:p>
    <w:p w:rsidRPr="00690BC9" w:rsidR="007059B4" w:rsidP="007059B4" w:rsidRDefault="007059B4" w14:paraId="2F75155D" w14:textId="77777777">
      <w:pPr>
        <w:pStyle w:val="10sp0"/>
        <w:spacing w:after="0"/>
        <w:rPr>
          <w:rFonts w:ascii="Palatino Linotype" w:hAnsi="Palatino Linotype" w:eastAsia="Palatino Linotype"/>
        </w:rPr>
      </w:pPr>
    </w:p>
    <w:p w:rsidR="007059B4" w:rsidP="007059B4" w:rsidRDefault="007059B4" w14:paraId="39C14B4E" w14:textId="77777777">
      <w:pPr>
        <w:pStyle w:val="10sp0"/>
        <w:spacing w:after="0"/>
        <w:rPr>
          <w:rFonts w:ascii="Palatino Linotype" w:hAnsi="Palatino Linotype" w:eastAsia="Palatino Linotype"/>
        </w:rPr>
      </w:pPr>
      <w:r w:rsidRPr="00690BC9">
        <w:rPr>
          <w:rFonts w:ascii="Palatino Linotype" w:hAnsi="Palatino Linotype" w:eastAsia="Palatino Linotype"/>
        </w:rPr>
        <w:t>Consortia may not claim reimbursement for travel expenses and per diem costs if the annual CASF public workshop is held virtually.</w:t>
      </w:r>
    </w:p>
    <w:p w:rsidR="007059B4" w:rsidP="00EE0301" w:rsidRDefault="007059B4" w14:paraId="673240CD" w14:textId="77777777">
      <w:pPr>
        <w:pStyle w:val="10sp0"/>
        <w:spacing w:after="0"/>
        <w:rPr>
          <w:rFonts w:ascii="Palatino Linotype" w:hAnsi="Palatino Linotype" w:eastAsia="Palatino Linotype"/>
          <w:b/>
          <w:bCs/>
        </w:rPr>
      </w:pPr>
    </w:p>
    <w:p w:rsidRPr="004C2FC5" w:rsidR="000B3F96" w:rsidP="000B3F96" w:rsidRDefault="004A4B7E" w14:paraId="7B2E3576" w14:textId="4AC09F22">
      <w:pPr>
        <w:pStyle w:val="10sp0"/>
        <w:spacing w:after="0"/>
        <w:rPr>
          <w:rFonts w:ascii="Palatino Linotype" w:hAnsi="Palatino Linotype" w:eastAsia="Palatino Linotype"/>
          <w:b/>
          <w:bCs/>
        </w:rPr>
      </w:pPr>
      <w:r>
        <w:rPr>
          <w:rFonts w:ascii="Palatino Linotype" w:hAnsi="Palatino Linotype" w:eastAsia="Palatino Linotype"/>
          <w:b/>
          <w:bCs/>
        </w:rPr>
        <w:t xml:space="preserve">iii. </w:t>
      </w:r>
      <w:r w:rsidRPr="004C2FC5" w:rsidR="000B3F96">
        <w:rPr>
          <w:rFonts w:ascii="Palatino Linotype" w:hAnsi="Palatino Linotype" w:eastAsia="Palatino Linotype"/>
          <w:b/>
          <w:bCs/>
        </w:rPr>
        <w:t>Fiscal Agent</w:t>
      </w:r>
    </w:p>
    <w:p w:rsidRPr="004C2FC5" w:rsidR="000B3F96" w:rsidP="000B3F96" w:rsidRDefault="0034799A" w14:paraId="61D43D14" w14:textId="42254FA8">
      <w:pPr>
        <w:pStyle w:val="10sp0"/>
        <w:spacing w:after="0"/>
        <w:rPr>
          <w:rFonts w:ascii="Palatino Linotype" w:hAnsi="Palatino Linotype" w:eastAsia="Palatino Linotype"/>
        </w:rPr>
      </w:pPr>
      <w:r w:rsidRPr="0034799A">
        <w:rPr>
          <w:rFonts w:ascii="Palatino Linotype" w:hAnsi="Palatino Linotype" w:eastAsia="Palatino Linotype"/>
        </w:rPr>
        <w:t xml:space="preserve">Each regional Consortium must retain at least one Fiscal Agent with lead responsibility and legal authority to represent the Consortium for purposes of sponsoring the application, administering fiscal activities between the Consortium and the Commission, receiving and dispersing Consortium grant funds and ensuring Consortium compliance with the grant. A Consortium cannot act as its own Fiscal Agent. In the event a Fiscal Agent dissolves or can no longer act as Fiscal Agent to a Consortium, the Consortium must make every effort to replace the Fiscal Agent and may act as its own Fiscal Agent temporarily and only in the interim or through the end of the grant award period, whatever occurs first. A Consortium must also notify the Communications Division Director as described below in Section XIV. </w:t>
      </w:r>
      <w:proofErr w:type="gramStart"/>
      <w:r w:rsidRPr="0034799A">
        <w:rPr>
          <w:rFonts w:ascii="Palatino Linotype" w:hAnsi="Palatino Linotype" w:eastAsia="Palatino Linotype"/>
        </w:rPr>
        <w:t>In order for</w:t>
      </w:r>
      <w:proofErr w:type="gramEnd"/>
      <w:r w:rsidRPr="0034799A">
        <w:rPr>
          <w:rFonts w:ascii="Palatino Linotype" w:hAnsi="Palatino Linotype" w:eastAsia="Palatino Linotype"/>
        </w:rPr>
        <w:t xml:space="preserve"> a Consortium to temporarily act as its own Fiscal Agent, the Consortium must ensure and </w:t>
      </w:r>
      <w:r w:rsidRPr="0034799A">
        <w:rPr>
          <w:rFonts w:ascii="Palatino Linotype" w:hAnsi="Palatino Linotype" w:eastAsia="Palatino Linotype"/>
        </w:rPr>
        <w:lastRenderedPageBreak/>
        <w:t xml:space="preserve">demonstrate a segregation of duties by providing an organizational chart detailing roles and responsibilities within its agency.  </w:t>
      </w:r>
    </w:p>
    <w:p w:rsidR="0034799A" w:rsidP="000B3F96" w:rsidRDefault="0034799A" w14:paraId="45863BD9" w14:textId="77777777">
      <w:pPr>
        <w:pStyle w:val="10sp0"/>
        <w:spacing w:after="0"/>
        <w:rPr>
          <w:rFonts w:ascii="Palatino Linotype" w:hAnsi="Palatino Linotype" w:eastAsia="Palatino Linotype"/>
        </w:rPr>
      </w:pPr>
    </w:p>
    <w:p w:rsidRPr="004C2FC5" w:rsidR="000B3F96" w:rsidP="000B3F96" w:rsidRDefault="008340BD" w14:paraId="5070180E" w14:textId="39FB8E89">
      <w:pPr>
        <w:pStyle w:val="10sp0"/>
        <w:spacing w:after="0"/>
        <w:rPr>
          <w:rFonts w:ascii="Palatino Linotype" w:hAnsi="Palatino Linotype" w:eastAsia="Palatino Linotype"/>
        </w:rPr>
      </w:pPr>
      <w:r w:rsidRPr="008340BD">
        <w:rPr>
          <w:rFonts w:ascii="Palatino Linotype" w:hAnsi="Palatino Linotype" w:eastAsia="Palatino Linotype"/>
        </w:rPr>
        <w:t>The Fiscal Agent must affirmatively agree on behalf of the Consortium, to comply with the Commission’s directives and conditions relating to the review, approval, and administration of any consortia application grants. The Fiscal Agent must provide assurance that Consortium members or contractors retained by the Consortium are capable and committed to fulfilling the commitments.</w:t>
      </w:r>
    </w:p>
    <w:p w:rsidR="00055E9D" w:rsidP="000B3F96" w:rsidRDefault="00055E9D" w14:paraId="5F378644" w14:textId="77777777">
      <w:pPr>
        <w:pStyle w:val="10sp0"/>
        <w:spacing w:after="0"/>
        <w:rPr>
          <w:rFonts w:ascii="Palatino Linotype" w:hAnsi="Palatino Linotype" w:eastAsia="Palatino Linotype"/>
        </w:rPr>
      </w:pPr>
    </w:p>
    <w:p w:rsidRPr="004C2FC5" w:rsidR="000B3F96" w:rsidP="000B3F96" w:rsidRDefault="00F32984" w14:paraId="789B7F66" w14:textId="19B854EC">
      <w:pPr>
        <w:pStyle w:val="10sp0"/>
        <w:spacing w:after="0"/>
        <w:rPr>
          <w:rFonts w:ascii="Palatino Linotype" w:hAnsi="Palatino Linotype" w:eastAsia="Palatino Linotype"/>
        </w:rPr>
      </w:pPr>
      <w:r w:rsidRPr="00F32984">
        <w:rPr>
          <w:rFonts w:ascii="Palatino Linotype" w:hAnsi="Palatino Linotype" w:eastAsia="Palatino Linotype"/>
        </w:rPr>
        <w:t>The Fiscal Agent may be a local public institution e.g., city, county, academic institution, tribal government, etc., as defined under Section 50001 of the Government Code, or a town, as defined by Section 21 of the Government Code. The Fiscal Agent may also be a certificated telecommunications carrier or a tribal broadband provider. The Fiscal Agent may also be a non-profit or for-profit entity with experience assisting Tribal governments or local governments with telecommunications and/or grant-writing.</w:t>
      </w:r>
    </w:p>
    <w:p w:rsidR="00F32984" w:rsidP="000B3F96" w:rsidRDefault="00F32984" w14:paraId="5CE2D412" w14:textId="77777777">
      <w:pPr>
        <w:pStyle w:val="10sp0"/>
        <w:spacing w:after="0"/>
        <w:rPr>
          <w:rFonts w:ascii="Palatino Linotype" w:hAnsi="Palatino Linotype" w:eastAsia="Palatino Linotype"/>
        </w:rPr>
      </w:pPr>
    </w:p>
    <w:p w:rsidRPr="004C2FC5" w:rsidR="000B3F96" w:rsidP="000B3F96" w:rsidRDefault="000B3F96" w14:paraId="0073527C" w14:textId="77777777">
      <w:pPr>
        <w:pStyle w:val="10sp0"/>
        <w:spacing w:after="0"/>
        <w:rPr>
          <w:rFonts w:ascii="Palatino Linotype" w:hAnsi="Palatino Linotype" w:eastAsia="Palatino Linotype"/>
        </w:rPr>
      </w:pPr>
      <w:r w:rsidRPr="004C2FC5">
        <w:rPr>
          <w:rFonts w:ascii="Palatino Linotype" w:hAnsi="Palatino Linotype" w:eastAsia="Palatino Linotype"/>
        </w:rPr>
        <w:t>The Fiscal Agent must submit a letter stating its commitment to act as a Fiscal Agent for the Consortium. The letter must include:</w:t>
      </w:r>
    </w:p>
    <w:p w:rsidRPr="004C2FC5" w:rsidR="000B3F96" w:rsidP="000B3F96" w:rsidRDefault="000B3F96" w14:paraId="63301E36" w14:textId="77777777">
      <w:pPr>
        <w:pStyle w:val="10sp0"/>
        <w:spacing w:after="0"/>
        <w:rPr>
          <w:rFonts w:ascii="Palatino Linotype" w:hAnsi="Palatino Linotype" w:eastAsia="Palatino Linotype"/>
        </w:rPr>
      </w:pPr>
    </w:p>
    <w:p w:rsidRPr="004C2FC5" w:rsidR="000B3F96" w:rsidP="000B3F96" w:rsidRDefault="000B3F96" w14:paraId="4803DC2D" w14:textId="77777777">
      <w:pPr>
        <w:pStyle w:val="10sp0"/>
        <w:spacing w:after="0"/>
        <w:rPr>
          <w:rFonts w:ascii="Palatino Linotype" w:hAnsi="Palatino Linotype" w:eastAsia="Palatino Linotype"/>
        </w:rPr>
      </w:pPr>
      <w:r>
        <w:rPr>
          <w:rFonts w:ascii="Palatino Linotype" w:hAnsi="Palatino Linotype" w:eastAsia="Palatino Linotype"/>
        </w:rPr>
        <w:tab/>
      </w:r>
      <w:r w:rsidRPr="004C2FC5">
        <w:rPr>
          <w:rFonts w:ascii="Palatino Linotype" w:hAnsi="Palatino Linotype" w:eastAsia="Palatino Linotype"/>
        </w:rPr>
        <w:t xml:space="preserve">• The name and contact information of the </w:t>
      </w:r>
      <w:proofErr w:type="gramStart"/>
      <w:r w:rsidRPr="004C2FC5">
        <w:rPr>
          <w:rFonts w:ascii="Palatino Linotype" w:hAnsi="Palatino Linotype" w:eastAsia="Palatino Linotype"/>
        </w:rPr>
        <w:t>responsible party</w:t>
      </w:r>
      <w:proofErr w:type="gramEnd"/>
      <w:r w:rsidRPr="004C2FC5">
        <w:rPr>
          <w:rFonts w:ascii="Palatino Linotype" w:hAnsi="Palatino Linotype" w:eastAsia="Palatino Linotype"/>
        </w:rPr>
        <w:t xml:space="preserve"> within the agency, including the person responsible for the administrative tasks, if different.</w:t>
      </w:r>
    </w:p>
    <w:p w:rsidRPr="004C2FC5" w:rsidR="000B3F96" w:rsidP="000B3F96" w:rsidRDefault="000B3F96" w14:paraId="5722987E" w14:textId="77777777">
      <w:pPr>
        <w:pStyle w:val="10sp0"/>
        <w:spacing w:after="0"/>
        <w:rPr>
          <w:rFonts w:ascii="Palatino Linotype" w:hAnsi="Palatino Linotype" w:eastAsia="Palatino Linotype"/>
        </w:rPr>
      </w:pPr>
    </w:p>
    <w:p w:rsidRPr="004C2FC5" w:rsidR="000B3F96" w:rsidP="000B3F96" w:rsidRDefault="000B3F96" w14:paraId="6540F40F" w14:textId="2711E996">
      <w:pPr>
        <w:pStyle w:val="10sp0"/>
        <w:spacing w:after="0"/>
        <w:rPr>
          <w:rFonts w:ascii="Palatino Linotype" w:hAnsi="Palatino Linotype" w:eastAsia="Palatino Linotype"/>
        </w:rPr>
      </w:pPr>
      <w:r>
        <w:rPr>
          <w:rFonts w:ascii="Palatino Linotype" w:hAnsi="Palatino Linotype" w:eastAsia="Palatino Linotype"/>
        </w:rPr>
        <w:tab/>
      </w:r>
      <w:r w:rsidRPr="004C2FC5">
        <w:rPr>
          <w:rFonts w:ascii="Palatino Linotype" w:hAnsi="Palatino Linotype" w:eastAsia="Palatino Linotype"/>
        </w:rPr>
        <w:t xml:space="preserve">• </w:t>
      </w:r>
      <w:r w:rsidRPr="00A3133E" w:rsidR="00A3133E">
        <w:rPr>
          <w:rFonts w:ascii="Palatino Linotype" w:hAnsi="Palatino Linotype" w:eastAsia="Palatino Linotype"/>
        </w:rPr>
        <w:t xml:space="preserve">Affirmation that the work outlined in the Consortium Work Plan will be completed and verification by an Annual Audit instead of the previously required Attestation Report, to be prepared by an independent, licensed Certified Public Accountant will be submitted annually to the Communications Division within six months after the end of each budget or work plan year. The letter must also state the Consortium’s acceptance of the Fiscal Agent’s rights, duties, and responsibilities. The Fiscal Agent is not eligible for payment, unless the expense was approved and included in the Budget. </w:t>
      </w:r>
    </w:p>
    <w:p w:rsidRPr="004C2FC5" w:rsidR="000B3F96" w:rsidP="000B3F96" w:rsidRDefault="000B3F96" w14:paraId="07DFDEEF" w14:textId="77777777">
      <w:pPr>
        <w:pStyle w:val="10sp0"/>
        <w:spacing w:after="0"/>
        <w:rPr>
          <w:rFonts w:ascii="Palatino Linotype" w:hAnsi="Palatino Linotype" w:eastAsia="Palatino Linotype"/>
        </w:rPr>
      </w:pPr>
    </w:p>
    <w:p w:rsidRPr="009B79FC" w:rsidR="009B79FC" w:rsidP="009B79FC" w:rsidRDefault="009B79FC" w14:paraId="3278377D" w14:textId="77777777">
      <w:pPr>
        <w:pStyle w:val="10sp0"/>
        <w:spacing w:after="0"/>
        <w:rPr>
          <w:rFonts w:ascii="Palatino Linotype" w:hAnsi="Palatino Linotype" w:eastAsia="Palatino Linotype"/>
        </w:rPr>
      </w:pPr>
      <w:r w:rsidRPr="009B79FC">
        <w:rPr>
          <w:rFonts w:ascii="Palatino Linotype" w:hAnsi="Palatino Linotype" w:eastAsia="Palatino Linotype"/>
        </w:rPr>
        <w:t>The Fiscal Agent shall comply with all of the rules and requirements herein and the Resolution authorizing the award, including but not limited to ensuring implementation of the approved Work Plan within the allocated budget (in conjunction with staff), and shall be responsible for notifying Communications Division with 30 days of advance notice of any proposed changes to Work Plan, Performance Metrics Plan, or budget during the course of the grant cycle.</w:t>
      </w:r>
    </w:p>
    <w:p w:rsidR="009B79FC" w:rsidP="009B79FC" w:rsidRDefault="009B79FC" w14:paraId="48F586E2" w14:textId="77777777">
      <w:pPr>
        <w:pStyle w:val="10sp0"/>
        <w:spacing w:after="0"/>
        <w:rPr>
          <w:rFonts w:ascii="Palatino Linotype" w:hAnsi="Palatino Linotype" w:eastAsia="Palatino Linotype"/>
        </w:rPr>
      </w:pPr>
    </w:p>
    <w:p w:rsidRPr="004C2FC5" w:rsidR="000B3F96" w:rsidP="009B79FC" w:rsidRDefault="009B79FC" w14:paraId="6427E381" w14:textId="747E5BCD">
      <w:pPr>
        <w:pStyle w:val="10sp0"/>
        <w:spacing w:after="0"/>
        <w:rPr>
          <w:rFonts w:ascii="Palatino Linotype" w:hAnsi="Palatino Linotype" w:eastAsia="Palatino Linotype"/>
        </w:rPr>
      </w:pPr>
      <w:r w:rsidRPr="009B79FC">
        <w:rPr>
          <w:rFonts w:ascii="Palatino Linotype" w:hAnsi="Palatino Linotype" w:eastAsia="Palatino Linotype"/>
        </w:rPr>
        <w:lastRenderedPageBreak/>
        <w:t>Any subsequent change in the Fiscal Agent must be approved by the Commission or Director of Communications Division. Any change in the official Consortia membership must be submitted to the Director of Communications Division and is subject to pre-approval.</w:t>
      </w:r>
    </w:p>
    <w:p w:rsidR="000B3F96" w:rsidP="00EE0301" w:rsidRDefault="000B3F96" w14:paraId="7036ABFD" w14:textId="77777777">
      <w:pPr>
        <w:pStyle w:val="10sp0"/>
        <w:spacing w:after="0"/>
        <w:rPr>
          <w:rFonts w:ascii="Palatino Linotype" w:hAnsi="Palatino Linotype" w:eastAsia="Palatino Linotype"/>
          <w:b/>
          <w:bCs/>
        </w:rPr>
      </w:pPr>
    </w:p>
    <w:p w:rsidRPr="00EE0301" w:rsidR="00EE0301" w:rsidP="00EE0301" w:rsidRDefault="004A4B7E" w14:paraId="163BDC3D" w14:textId="5942B7B2">
      <w:pPr>
        <w:pStyle w:val="10sp0"/>
        <w:spacing w:after="0"/>
        <w:rPr>
          <w:rFonts w:ascii="Palatino Linotype" w:hAnsi="Palatino Linotype" w:eastAsia="Palatino Linotype"/>
          <w:b/>
          <w:bCs/>
        </w:rPr>
      </w:pPr>
      <w:r>
        <w:rPr>
          <w:rFonts w:ascii="Palatino Linotype" w:hAnsi="Palatino Linotype" w:eastAsia="Palatino Linotype"/>
          <w:b/>
          <w:bCs/>
        </w:rPr>
        <w:t xml:space="preserve">iv. </w:t>
      </w:r>
      <w:r w:rsidRPr="00EE0301" w:rsidR="00EE0301">
        <w:rPr>
          <w:rFonts w:ascii="Palatino Linotype" w:hAnsi="Palatino Linotype" w:eastAsia="Palatino Linotype"/>
          <w:b/>
          <w:bCs/>
        </w:rPr>
        <w:t>Distinguishing CASF from Other Financial Resources</w:t>
      </w:r>
    </w:p>
    <w:p w:rsidRPr="004C2FC5" w:rsidR="00690BC9" w:rsidP="00690BC9" w:rsidRDefault="00C24078" w14:paraId="3A99E72D" w14:textId="7BD004E5">
      <w:pPr>
        <w:pStyle w:val="10sp0"/>
        <w:spacing w:after="0"/>
        <w:rPr>
          <w:rFonts w:ascii="Palatino Linotype" w:hAnsi="Palatino Linotype" w:eastAsia="Palatino Linotype"/>
        </w:rPr>
      </w:pPr>
      <w:r>
        <w:rPr>
          <w:rFonts w:ascii="Palatino Linotype" w:hAnsi="Palatino Linotype" w:eastAsia="Palatino Linotype"/>
        </w:rPr>
        <w:t>D. 25-</w:t>
      </w:r>
      <w:r w:rsidR="001615B3">
        <w:rPr>
          <w:rFonts w:ascii="Palatino Linotype" w:hAnsi="Palatino Linotype" w:eastAsia="Palatino Linotype"/>
        </w:rPr>
        <w:t>11-003</w:t>
      </w:r>
      <w:r w:rsidR="00FD7784">
        <w:rPr>
          <w:rFonts w:ascii="Palatino Linotype" w:hAnsi="Palatino Linotype" w:eastAsia="Palatino Linotype"/>
        </w:rPr>
        <w:t xml:space="preserve"> requires that e</w:t>
      </w:r>
      <w:r w:rsidRPr="00FD7784" w:rsidR="00FD7784">
        <w:rPr>
          <w:rFonts w:ascii="Palatino Linotype" w:hAnsi="Palatino Linotype" w:eastAsia="Palatino Linotype"/>
        </w:rPr>
        <w:t xml:space="preserve">ach proposed consortium budget must expressly exclude any costs for activities or programs funded from other sources. CASF grants </w:t>
      </w:r>
      <w:proofErr w:type="gramStart"/>
      <w:r w:rsidRPr="00FD7784" w:rsidR="00FD7784">
        <w:rPr>
          <w:rFonts w:ascii="Palatino Linotype" w:hAnsi="Palatino Linotype" w:eastAsia="Palatino Linotype"/>
        </w:rPr>
        <w:t>shall</w:t>
      </w:r>
      <w:proofErr w:type="gramEnd"/>
      <w:r w:rsidRPr="00FD7784" w:rsidR="00FD7784">
        <w:rPr>
          <w:rFonts w:ascii="Palatino Linotype" w:hAnsi="Palatino Linotype" w:eastAsia="Palatino Linotype"/>
        </w:rPr>
        <w:t xml:space="preserve"> not duplicate funding from other sources. The proposed consortium budget must be accompanied by a description of any existing broadband deployment activities funded by any other state or federal grants within the same region, together with confirmation showing that the CASF consortium budget does not duplicate any other sources of funding.</w:t>
      </w:r>
      <w:r w:rsidR="00FD7784">
        <w:rPr>
          <w:rFonts w:ascii="Palatino Linotype" w:hAnsi="Palatino Linotype" w:eastAsia="Palatino Linotype"/>
        </w:rPr>
        <w:t xml:space="preserve"> </w:t>
      </w:r>
    </w:p>
    <w:p w:rsidR="009976AB" w:rsidP="004C2FC5" w:rsidRDefault="009976AB" w14:paraId="5EDDC982" w14:textId="77777777">
      <w:pPr>
        <w:pStyle w:val="10sp0"/>
        <w:spacing w:after="0"/>
        <w:rPr>
          <w:rFonts w:ascii="Palatino Linotype" w:hAnsi="Palatino Linotype" w:eastAsia="Palatino Linotype"/>
          <w:b/>
          <w:bCs/>
        </w:rPr>
      </w:pPr>
    </w:p>
    <w:p w:rsidRPr="004C2FC5" w:rsidR="00483533" w:rsidP="004C2FC5" w:rsidRDefault="004A4B7E" w14:paraId="5A3356F1" w14:textId="61BC11C0">
      <w:pPr>
        <w:pStyle w:val="10sp0"/>
        <w:spacing w:after="0"/>
        <w:rPr>
          <w:rFonts w:ascii="Palatino Linotype" w:hAnsi="Palatino Linotype" w:eastAsia="Palatino Linotype"/>
        </w:rPr>
      </w:pPr>
      <w:r>
        <w:rPr>
          <w:rFonts w:ascii="Palatino Linotype" w:hAnsi="Palatino Linotype" w:eastAsia="Palatino Linotype"/>
          <w:b/>
          <w:bCs/>
        </w:rPr>
        <w:t xml:space="preserve">v. </w:t>
      </w:r>
      <w:r w:rsidRPr="00690BC9" w:rsidR="00690BC9">
        <w:rPr>
          <w:rFonts w:ascii="Palatino Linotype" w:hAnsi="Palatino Linotype" w:eastAsia="Palatino Linotype"/>
          <w:b/>
          <w:bCs/>
        </w:rPr>
        <w:t>Annual Audit</w:t>
      </w:r>
    </w:p>
    <w:p w:rsidRPr="004855C3" w:rsidR="004855C3" w:rsidP="004855C3" w:rsidRDefault="004855C3" w14:paraId="30EDFBC7" w14:textId="77777777">
      <w:pPr>
        <w:pStyle w:val="10sp0"/>
        <w:spacing w:after="0"/>
        <w:rPr>
          <w:rFonts w:ascii="Palatino Linotype" w:hAnsi="Palatino Linotype" w:eastAsia="Palatino Linotype"/>
        </w:rPr>
      </w:pPr>
      <w:r w:rsidRPr="004855C3">
        <w:rPr>
          <w:rFonts w:ascii="Palatino Linotype" w:hAnsi="Palatino Linotype" w:eastAsia="Palatino Linotype"/>
        </w:rPr>
        <w:t xml:space="preserve">Pub. Util. Code, § </w:t>
      </w:r>
      <w:proofErr w:type="gramStart"/>
      <w:r w:rsidRPr="004855C3">
        <w:rPr>
          <w:rFonts w:ascii="Palatino Linotype" w:hAnsi="Palatino Linotype" w:eastAsia="Palatino Linotype"/>
        </w:rPr>
        <w:t>281</w:t>
      </w:r>
      <w:proofErr w:type="gramEnd"/>
      <w:r w:rsidRPr="004855C3">
        <w:rPr>
          <w:rFonts w:ascii="Palatino Linotype" w:hAnsi="Palatino Linotype" w:eastAsia="Palatino Linotype"/>
        </w:rPr>
        <w:t xml:space="preserve"> requires each consortium to conduct an annual audit of its expenditures and activities for grant programs funded and submit to the Commission an annual report that includes both of the following:</w:t>
      </w:r>
    </w:p>
    <w:p w:rsidR="00B2096E" w:rsidP="004855C3" w:rsidRDefault="004855C3" w14:paraId="4754F9E9" w14:textId="77777777">
      <w:pPr>
        <w:pStyle w:val="10sp0"/>
        <w:spacing w:after="0"/>
        <w:rPr>
          <w:rFonts w:ascii="Palatino Linotype" w:hAnsi="Palatino Linotype" w:eastAsia="Palatino Linotype"/>
        </w:rPr>
      </w:pPr>
      <w:r>
        <w:rPr>
          <w:rFonts w:ascii="Palatino Linotype" w:hAnsi="Palatino Linotype" w:eastAsia="Palatino Linotype"/>
        </w:rPr>
        <w:tab/>
      </w:r>
    </w:p>
    <w:p w:rsidRPr="004855C3" w:rsidR="004855C3" w:rsidP="004855C3" w:rsidRDefault="00B2096E" w14:paraId="34E0D6F0" w14:textId="220434D7">
      <w:pPr>
        <w:pStyle w:val="10sp0"/>
        <w:spacing w:after="0"/>
        <w:rPr>
          <w:rFonts w:ascii="Palatino Linotype" w:hAnsi="Palatino Linotype" w:eastAsia="Palatino Linotype"/>
        </w:rPr>
      </w:pPr>
      <w:r>
        <w:rPr>
          <w:rFonts w:ascii="Palatino Linotype" w:hAnsi="Palatino Linotype" w:eastAsia="Palatino Linotype"/>
        </w:rPr>
        <w:tab/>
      </w:r>
      <w:r w:rsidRPr="004855C3" w:rsidR="004855C3">
        <w:rPr>
          <w:rFonts w:ascii="Palatino Linotype" w:hAnsi="Palatino Linotype" w:eastAsia="Palatino Linotype"/>
        </w:rPr>
        <w:t>(A) A description of activities completed during the prior year, how each activity promotes the deployment of broadband services, and the cost associated with each activity.</w:t>
      </w:r>
    </w:p>
    <w:p w:rsidRPr="004855C3" w:rsidR="004855C3" w:rsidP="004855C3" w:rsidRDefault="004855C3" w14:paraId="30A28044" w14:textId="48E390B1">
      <w:pPr>
        <w:pStyle w:val="10sp0"/>
        <w:spacing w:after="0"/>
        <w:rPr>
          <w:rFonts w:ascii="Palatino Linotype" w:hAnsi="Palatino Linotype" w:eastAsia="Palatino Linotype"/>
        </w:rPr>
      </w:pPr>
      <w:r>
        <w:rPr>
          <w:rFonts w:ascii="Palatino Linotype" w:hAnsi="Palatino Linotype" w:eastAsia="Palatino Linotype"/>
        </w:rPr>
        <w:tab/>
      </w:r>
      <w:r w:rsidRPr="004855C3">
        <w:rPr>
          <w:rFonts w:ascii="Palatino Linotype" w:hAnsi="Palatino Linotype" w:eastAsia="Palatino Linotype"/>
        </w:rPr>
        <w:t>(B) The number of project applications assisted.</w:t>
      </w:r>
    </w:p>
    <w:p w:rsidR="004855C3" w:rsidP="004855C3" w:rsidRDefault="004855C3" w14:paraId="7BF6CAB7" w14:textId="77777777">
      <w:pPr>
        <w:pStyle w:val="10sp0"/>
        <w:spacing w:after="0"/>
        <w:rPr>
          <w:rFonts w:ascii="Palatino Linotype" w:hAnsi="Palatino Linotype" w:eastAsia="Palatino Linotype"/>
        </w:rPr>
      </w:pPr>
    </w:p>
    <w:p w:rsidRPr="004C2FC5" w:rsidR="00483533" w:rsidP="004C2FC5" w:rsidRDefault="00146CD3" w14:paraId="1FF09C0C" w14:textId="32073EF8">
      <w:pPr>
        <w:pStyle w:val="10sp0"/>
        <w:spacing w:after="0"/>
        <w:rPr>
          <w:rFonts w:ascii="Palatino Linotype" w:hAnsi="Palatino Linotype" w:eastAsia="Palatino Linotype"/>
        </w:rPr>
      </w:pPr>
      <w:r w:rsidRPr="00146CD3">
        <w:rPr>
          <w:rFonts w:ascii="Palatino Linotype" w:hAnsi="Palatino Linotype" w:eastAsia="Palatino Linotype"/>
        </w:rPr>
        <w:t xml:space="preserve">The number of project applications assisted must reflect actual performance with agreed upon performance metrics. The annual audit report must be submitted with the information required by Pub. Util. Code, § 281 </w:t>
      </w:r>
      <w:proofErr w:type="gramStart"/>
      <w:r w:rsidRPr="00146CD3">
        <w:rPr>
          <w:rFonts w:ascii="Palatino Linotype" w:hAnsi="Palatino Linotype" w:eastAsia="Palatino Linotype"/>
        </w:rPr>
        <w:t>above</w:t>
      </w:r>
      <w:proofErr w:type="gramEnd"/>
      <w:r w:rsidRPr="00146CD3">
        <w:rPr>
          <w:rFonts w:ascii="Palatino Linotype" w:hAnsi="Palatino Linotype" w:eastAsia="Palatino Linotype"/>
        </w:rPr>
        <w:t xml:space="preserve"> within six months after the end of each budget or workplan year. For instance, Consortia grantees may submit the audit report after the second bi-annual progress report (e.g. Year 1 Report 2) but before the following bi-annual progress report (e.g. Year 2 Report 1).  Discrepancies identified in the audit report must be reflected in the following bi-annual progress report and payment request (See Administrative Manual).  The Annual Audit Report and related audit costs may be submitted separately from the bi-annual progress reports and payment requests.  </w:t>
      </w:r>
    </w:p>
    <w:p w:rsidR="00146CD3" w:rsidP="007A650C" w:rsidRDefault="00146CD3" w14:paraId="7160C2A0" w14:textId="77777777">
      <w:pPr>
        <w:pStyle w:val="10sp0"/>
        <w:spacing w:after="0"/>
        <w:rPr>
          <w:rFonts w:ascii="Palatino Linotype" w:hAnsi="Palatino Linotype" w:eastAsia="Palatino Linotype"/>
          <w:b/>
          <w:bCs/>
        </w:rPr>
      </w:pPr>
    </w:p>
    <w:p w:rsidRPr="004C2FC5" w:rsidR="007A650C" w:rsidP="007A650C" w:rsidRDefault="004A4B7E" w14:paraId="3ADBE3F3" w14:textId="19B7813E">
      <w:pPr>
        <w:pStyle w:val="10sp0"/>
        <w:spacing w:after="0"/>
        <w:rPr>
          <w:rFonts w:ascii="Palatino Linotype" w:hAnsi="Palatino Linotype" w:eastAsia="Palatino Linotype"/>
        </w:rPr>
      </w:pPr>
      <w:r>
        <w:rPr>
          <w:rFonts w:ascii="Palatino Linotype" w:hAnsi="Palatino Linotype" w:eastAsia="Palatino Linotype"/>
          <w:b/>
          <w:bCs/>
        </w:rPr>
        <w:t xml:space="preserve">vi. </w:t>
      </w:r>
      <w:r w:rsidR="007A650C">
        <w:rPr>
          <w:rFonts w:ascii="Palatino Linotype" w:hAnsi="Palatino Linotype" w:eastAsia="Palatino Linotype"/>
          <w:b/>
          <w:bCs/>
        </w:rPr>
        <w:t>Reporting</w:t>
      </w:r>
    </w:p>
    <w:p w:rsidR="0013453C" w:rsidP="007A650C" w:rsidRDefault="0013453C" w14:paraId="59ECC6DA" w14:textId="5F72B6EC">
      <w:pPr>
        <w:pStyle w:val="10sp0"/>
        <w:spacing w:after="0"/>
        <w:rPr>
          <w:rFonts w:ascii="Palatino Linotype" w:hAnsi="Palatino Linotype" w:eastAsia="Palatino Linotype"/>
        </w:rPr>
      </w:pPr>
      <w:r w:rsidRPr="0013453C">
        <w:rPr>
          <w:rFonts w:ascii="Palatino Linotype" w:hAnsi="Palatino Linotype" w:eastAsia="Palatino Linotype"/>
        </w:rPr>
        <w:t xml:space="preserve">Consortia grantees are required to submit bi-annual progress. Any payment request shall be submitted along with bi-annual progress reports, </w:t>
      </w:r>
      <w:proofErr w:type="gramStart"/>
      <w:r w:rsidRPr="0013453C">
        <w:rPr>
          <w:rFonts w:ascii="Palatino Linotype" w:hAnsi="Palatino Linotype" w:eastAsia="Palatino Linotype"/>
        </w:rPr>
        <w:t>with the exception of</w:t>
      </w:r>
      <w:proofErr w:type="gramEnd"/>
      <w:r w:rsidRPr="0013453C">
        <w:rPr>
          <w:rFonts w:ascii="Palatino Linotype" w:hAnsi="Palatino Linotype" w:eastAsia="Palatino Linotype"/>
        </w:rPr>
        <w:t xml:space="preserve"> the start-up and/or audit costs, which can be submitted as separate payment requests.  Staff </w:t>
      </w:r>
      <w:r w:rsidRPr="0013453C">
        <w:rPr>
          <w:rFonts w:ascii="Palatino Linotype" w:hAnsi="Palatino Linotype" w:eastAsia="Palatino Linotype"/>
        </w:rPr>
        <w:lastRenderedPageBreak/>
        <w:t>will provide templates for all necessary reporting reports, and additional details in the Administrative Manual, which will be available on the CASF Consortia website.</w:t>
      </w:r>
    </w:p>
    <w:p w:rsidR="00ED101C" w:rsidP="004C2FC5" w:rsidRDefault="00ED101C" w14:paraId="7AED4A62" w14:textId="77777777">
      <w:pPr>
        <w:pStyle w:val="10sp0"/>
        <w:spacing w:after="0"/>
        <w:rPr>
          <w:rFonts w:ascii="Palatino Linotype" w:hAnsi="Palatino Linotype" w:eastAsia="Palatino Linotype"/>
        </w:rPr>
      </w:pPr>
    </w:p>
    <w:p w:rsidR="00202CBB" w:rsidP="00202CBB" w:rsidRDefault="00AF56E9" w14:paraId="35CB094D" w14:textId="19DADAAB">
      <w:pPr>
        <w:pStyle w:val="10sp0"/>
        <w:spacing w:after="0"/>
        <w:rPr>
          <w:rFonts w:ascii="Palatino Linotype" w:hAnsi="Palatino Linotype" w:eastAsia="Palatino Linotype"/>
        </w:rPr>
      </w:pPr>
      <w:r>
        <w:rPr>
          <w:rFonts w:ascii="Palatino Linotype" w:hAnsi="Palatino Linotype" w:eastAsia="Palatino Linotype"/>
        </w:rPr>
        <w:t xml:space="preserve">A </w:t>
      </w:r>
      <w:r w:rsidRPr="00F6044F" w:rsidR="00202CBB">
        <w:rPr>
          <w:rFonts w:ascii="Palatino Linotype" w:hAnsi="Palatino Linotype" w:eastAsia="Palatino Linotype"/>
        </w:rPr>
        <w:t>Start-up</w:t>
      </w:r>
      <w:r w:rsidR="00C37B6A">
        <w:rPr>
          <w:rFonts w:ascii="Palatino Linotype" w:hAnsi="Palatino Linotype" w:eastAsia="Palatino Linotype"/>
        </w:rPr>
        <w:t xml:space="preserve"> </w:t>
      </w:r>
      <w:r w:rsidRPr="00F6044F" w:rsidR="00202CBB">
        <w:rPr>
          <w:rFonts w:ascii="Palatino Linotype" w:hAnsi="Palatino Linotype" w:eastAsia="Palatino Linotype"/>
        </w:rPr>
        <w:t xml:space="preserve">Report is </w:t>
      </w:r>
      <w:r w:rsidRPr="00AF56E9">
        <w:rPr>
          <w:rFonts w:ascii="Palatino Linotype" w:hAnsi="Palatino Linotype" w:eastAsia="Palatino Linotype"/>
        </w:rPr>
        <w:t xml:space="preserve">required only if the grantee requests an initial start-up cost payment. The Commission will allow Consortia grantees to request an initial start-up costs payment, up to 25% of the entire grant following the submission of a signed Consent Form acknowledging acceptance of the grant.  The Start-up Report must be submitted no later than three months after the completion of the start-up activities within the first budget year. In this report, recipients will report on the completion of start-up activities with dates, activities performed, and milestones per the Work Plan, and provide documentation such as invoices, receipts, deliverables, etc., for expenses or services performed, to support initial start-up costs for services performed. The start-up period is a maximum of six months and may be requested by </w:t>
      </w:r>
      <w:proofErr w:type="gramStart"/>
      <w:r w:rsidRPr="00AF56E9">
        <w:rPr>
          <w:rFonts w:ascii="Palatino Linotype" w:hAnsi="Palatino Linotype" w:eastAsia="Palatino Linotype"/>
        </w:rPr>
        <w:t>first time</w:t>
      </w:r>
      <w:proofErr w:type="gramEnd"/>
      <w:r w:rsidRPr="00AF56E9">
        <w:rPr>
          <w:rFonts w:ascii="Palatino Linotype" w:hAnsi="Palatino Linotype" w:eastAsia="Palatino Linotype"/>
        </w:rPr>
        <w:t xml:space="preserve"> grantees only; existing Consortia grantees are not eligible.</w:t>
      </w:r>
    </w:p>
    <w:p w:rsidR="00202CBB" w:rsidP="004C2FC5" w:rsidRDefault="00202CBB" w14:paraId="3BEB6335" w14:textId="77777777">
      <w:pPr>
        <w:pStyle w:val="10sp0"/>
        <w:spacing w:after="0"/>
        <w:rPr>
          <w:rFonts w:ascii="Palatino Linotype" w:hAnsi="Palatino Linotype" w:eastAsia="Palatino Linotype"/>
        </w:rPr>
      </w:pPr>
    </w:p>
    <w:p w:rsidR="00711B02" w:rsidP="004C2FC5" w:rsidRDefault="00711B02" w14:paraId="51E8D128" w14:textId="03DE3B05">
      <w:pPr>
        <w:pStyle w:val="10sp0"/>
        <w:spacing w:after="0"/>
        <w:rPr>
          <w:rFonts w:ascii="Palatino Linotype" w:hAnsi="Palatino Linotype" w:eastAsia="Palatino Linotype"/>
        </w:rPr>
      </w:pPr>
      <w:r w:rsidRPr="00711B02">
        <w:rPr>
          <w:rFonts w:ascii="Palatino Linotype" w:hAnsi="Palatino Linotype" w:eastAsia="Palatino Linotype"/>
        </w:rPr>
        <w:t>The bi-annual progress report is required every six months, i.e., at the end of the six-month period, at the end of the 12-month period, at the end of the 18-month period, at the end of the 24-month period, etc. These reports must be submitted no later than three months after every six months. Grantees will report on the status of bi-annual milestones per the Work Plan including line items to align objectives and/or activities performed with grant award disbursement schedule dates, as well as request payment for relevant expenses to date.</w:t>
      </w:r>
    </w:p>
    <w:p w:rsidR="00711B02" w:rsidP="004C2FC5" w:rsidRDefault="00711B02" w14:paraId="061E5D4B" w14:textId="77777777">
      <w:pPr>
        <w:pStyle w:val="10sp0"/>
        <w:spacing w:after="0"/>
        <w:rPr>
          <w:rFonts w:ascii="Palatino Linotype" w:hAnsi="Palatino Linotype" w:eastAsia="Palatino Linotype"/>
        </w:rPr>
      </w:pPr>
    </w:p>
    <w:p w:rsidR="00F40A9D" w:rsidP="004C2FC5" w:rsidRDefault="00F40A9D" w14:paraId="0947BA8E" w14:textId="786220F5">
      <w:pPr>
        <w:pStyle w:val="10sp0"/>
        <w:spacing w:after="0"/>
        <w:rPr>
          <w:rFonts w:ascii="Palatino Linotype" w:hAnsi="Palatino Linotype" w:eastAsia="Palatino Linotype"/>
        </w:rPr>
      </w:pPr>
      <w:r>
        <w:rPr>
          <w:rFonts w:ascii="Palatino Linotype" w:hAnsi="Palatino Linotype" w:eastAsia="Palatino Linotype"/>
        </w:rPr>
        <w:t>T</w:t>
      </w:r>
      <w:r w:rsidRPr="00F40A9D">
        <w:rPr>
          <w:rFonts w:ascii="Palatino Linotype" w:hAnsi="Palatino Linotype" w:eastAsia="Palatino Linotype"/>
        </w:rPr>
        <w:t>he annual audit report must be submitted six months after the end of each budget or workplan year. Consortia grantees may submit the audit report after the second bi-annual progress report but before the third bi-annual progress report.  Discrepancies identified in the audit report must be reflected in the following bi-annual progress report and payment request.</w:t>
      </w:r>
    </w:p>
    <w:p w:rsidR="00202CBB" w:rsidP="004C2FC5" w:rsidRDefault="00202CBB" w14:paraId="56287BF7" w14:textId="77777777">
      <w:pPr>
        <w:pStyle w:val="10sp0"/>
        <w:spacing w:after="0"/>
        <w:rPr>
          <w:rFonts w:ascii="Palatino Linotype" w:hAnsi="Palatino Linotype" w:eastAsia="Palatino Linotype"/>
        </w:rPr>
      </w:pPr>
    </w:p>
    <w:p w:rsidR="00B7100A" w:rsidP="004C2FC5" w:rsidRDefault="00B7100A" w14:paraId="03347EBC" w14:textId="3BE8E163">
      <w:pPr>
        <w:pStyle w:val="10sp0"/>
        <w:spacing w:after="0"/>
        <w:rPr>
          <w:rFonts w:ascii="Palatino Linotype" w:hAnsi="Palatino Linotype" w:eastAsia="Palatino Linotype"/>
        </w:rPr>
      </w:pPr>
      <w:r w:rsidRPr="00B7100A">
        <w:rPr>
          <w:rFonts w:ascii="Palatino Linotype" w:hAnsi="Palatino Linotype" w:eastAsia="Palatino Linotype"/>
        </w:rPr>
        <w:t xml:space="preserve">A completion report is required at the end of the grant cycle. This report must be submitted no later than three months after completion of the project. In this report, grantees will report on the completion of the overall project, milestones met </w:t>
      </w:r>
      <w:proofErr w:type="gramStart"/>
      <w:r w:rsidRPr="00B7100A">
        <w:rPr>
          <w:rFonts w:ascii="Palatino Linotype" w:hAnsi="Palatino Linotype" w:eastAsia="Palatino Linotype"/>
        </w:rPr>
        <w:t>per</w:t>
      </w:r>
      <w:proofErr w:type="gramEnd"/>
      <w:r w:rsidRPr="00B7100A">
        <w:rPr>
          <w:rFonts w:ascii="Palatino Linotype" w:hAnsi="Palatino Linotype" w:eastAsia="Palatino Linotype"/>
        </w:rPr>
        <w:t xml:space="preserve"> the Work Plan, actual work products as well as request payment for final and remaining relevant expenses. The completion report must be submitted prior or in conjunction with a request for final payment.  </w:t>
      </w:r>
    </w:p>
    <w:p w:rsidRPr="004C2FC5" w:rsidR="00B7100A" w:rsidP="004C2FC5" w:rsidRDefault="00B7100A" w14:paraId="411DEA5F" w14:textId="77777777">
      <w:pPr>
        <w:pStyle w:val="10sp0"/>
        <w:spacing w:after="0"/>
        <w:rPr>
          <w:rFonts w:ascii="Palatino Linotype" w:hAnsi="Palatino Linotype" w:eastAsia="Palatino Linotype"/>
        </w:rPr>
      </w:pPr>
    </w:p>
    <w:p w:rsidRPr="00304D90" w:rsidR="00B81454" w:rsidP="00B81454" w:rsidRDefault="004A4B7E" w14:paraId="42B76ADF" w14:textId="3C62E258">
      <w:pPr>
        <w:pStyle w:val="10sp0"/>
        <w:spacing w:after="0"/>
        <w:rPr>
          <w:rFonts w:ascii="Palatino Linotype" w:hAnsi="Palatino Linotype" w:eastAsia="Palatino Linotype"/>
          <w:b/>
          <w:bCs/>
        </w:rPr>
      </w:pPr>
      <w:r>
        <w:rPr>
          <w:rFonts w:ascii="Palatino Linotype" w:hAnsi="Palatino Linotype" w:eastAsia="Palatino Linotype"/>
          <w:b/>
          <w:bCs/>
        </w:rPr>
        <w:t xml:space="preserve">vii. </w:t>
      </w:r>
      <w:r w:rsidRPr="00304D90" w:rsidR="00B81454">
        <w:rPr>
          <w:rFonts w:ascii="Palatino Linotype" w:hAnsi="Palatino Linotype" w:eastAsia="Palatino Linotype"/>
          <w:b/>
          <w:bCs/>
        </w:rPr>
        <w:t>Payment</w:t>
      </w:r>
      <w:r w:rsidR="00B81454">
        <w:rPr>
          <w:rFonts w:ascii="Palatino Linotype" w:hAnsi="Palatino Linotype" w:eastAsia="Palatino Linotype"/>
          <w:b/>
          <w:bCs/>
        </w:rPr>
        <w:t>s</w:t>
      </w:r>
    </w:p>
    <w:p w:rsidRPr="001664BE" w:rsidR="001664BE" w:rsidP="001664BE" w:rsidRDefault="001664BE" w14:paraId="118BC415" w14:textId="77777777">
      <w:pPr>
        <w:pStyle w:val="10sp0"/>
        <w:spacing w:after="0"/>
        <w:rPr>
          <w:rFonts w:ascii="Palatino Linotype" w:hAnsi="Palatino Linotype" w:eastAsia="Palatino Linotype"/>
        </w:rPr>
      </w:pPr>
      <w:r w:rsidRPr="001664BE">
        <w:rPr>
          <w:rFonts w:ascii="Palatino Linotype" w:hAnsi="Palatino Linotype" w:eastAsia="Palatino Linotype"/>
        </w:rPr>
        <w:t xml:space="preserve">To receive a bi-annual payment, the Consortium must submit the Bi-Annual Progress Report to the Communications Division, together with all requests for payment and </w:t>
      </w:r>
      <w:r w:rsidRPr="001664BE">
        <w:rPr>
          <w:rFonts w:ascii="Palatino Linotype" w:hAnsi="Palatino Linotype" w:eastAsia="Palatino Linotype"/>
        </w:rPr>
        <w:lastRenderedPageBreak/>
        <w:t>reimbursement supported by verifiable and relevant supporting documentation, invoices, receipts, work products, deliverables, performance metrics plan, etc.</w:t>
      </w:r>
    </w:p>
    <w:p w:rsidRPr="001664BE" w:rsidR="001664BE" w:rsidP="001664BE" w:rsidRDefault="001664BE" w14:paraId="31AA4FF6" w14:textId="77777777">
      <w:pPr>
        <w:pStyle w:val="10sp0"/>
        <w:spacing w:after="0"/>
        <w:rPr>
          <w:rFonts w:ascii="Palatino Linotype" w:hAnsi="Palatino Linotype" w:eastAsia="Palatino Linotype"/>
        </w:rPr>
      </w:pPr>
    </w:p>
    <w:p w:rsidRPr="001664BE" w:rsidR="001664BE" w:rsidP="001664BE" w:rsidRDefault="001664BE" w14:paraId="3395CAD5" w14:textId="77777777">
      <w:pPr>
        <w:pStyle w:val="10sp0"/>
        <w:spacing w:after="0"/>
        <w:rPr>
          <w:rFonts w:ascii="Palatino Linotype" w:hAnsi="Palatino Linotype" w:eastAsia="Palatino Linotype"/>
        </w:rPr>
      </w:pPr>
      <w:r w:rsidRPr="001664BE">
        <w:rPr>
          <w:rFonts w:ascii="Palatino Linotype" w:hAnsi="Palatino Linotype" w:eastAsia="Palatino Linotype"/>
        </w:rPr>
        <w:t xml:space="preserve">Grant funds will be disbursed in accordance with, and within the time specified in California Government Code, § 927.  The disbursement of funds at any time is subject to Commission discretion, including a review-and-approval process of each grantee through regular site visits, progress reports on a bi-annual basis, narrative reports, and supporting documentation, invoices, timesheets, contracts, and receipts showing expenditures incurred in accordance with the approved CASF budget included in the application. </w:t>
      </w:r>
    </w:p>
    <w:p w:rsidR="003004E0" w:rsidP="004C2FC5" w:rsidRDefault="003004E0" w14:paraId="24CCF0B9" w14:textId="77777777">
      <w:pPr>
        <w:pStyle w:val="10sp0"/>
        <w:spacing w:after="0"/>
        <w:rPr>
          <w:rFonts w:ascii="Palatino Linotype" w:hAnsi="Palatino Linotype" w:eastAsia="Palatino Linotype"/>
        </w:rPr>
      </w:pPr>
    </w:p>
    <w:p w:rsidR="004D2319" w:rsidP="009976AB" w:rsidRDefault="001664BE" w14:paraId="4DA0DB82" w14:textId="4CE059E2">
      <w:pPr>
        <w:pStyle w:val="10sp0"/>
        <w:spacing w:after="0"/>
        <w:rPr>
          <w:rFonts w:ascii="Palatino Linotype" w:hAnsi="Palatino Linotype" w:eastAsia="Palatino Linotype"/>
          <w:b/>
          <w:bCs/>
        </w:rPr>
      </w:pPr>
      <w:r w:rsidRPr="001664BE">
        <w:rPr>
          <w:rFonts w:ascii="Palatino Linotype" w:hAnsi="Palatino Linotype" w:eastAsia="Palatino Linotype"/>
        </w:rPr>
        <w:t>Consortia grantee</w:t>
      </w:r>
      <w:r w:rsidR="00DC5019">
        <w:rPr>
          <w:rFonts w:ascii="Palatino Linotype" w:hAnsi="Palatino Linotype" w:eastAsia="Palatino Linotype"/>
        </w:rPr>
        <w:t>s</w:t>
      </w:r>
      <w:r w:rsidRPr="001664BE">
        <w:rPr>
          <w:rFonts w:ascii="Palatino Linotype" w:hAnsi="Palatino Linotype" w:eastAsia="Palatino Linotype"/>
        </w:rPr>
        <w:t xml:space="preserve"> may request reimbursement of start-up costs equivalent to a maximum of 25% of the total award. Such payment requests must be supported by itemized accounting and detailed documentation, e.g., receipts, invoices, deliverables, etc., for any portion of an award used to reimburse start-up costs and must demonstrate that total cost does not exceed 25% of the total award. Start-up costs include administrative expenses, e.g., hiring of personnel, purchase of office supplies, etc. The start-up report and payment request must be submitted within three months after the completion of start-up activities. </w:t>
      </w:r>
    </w:p>
    <w:p w:rsidR="0004032F" w:rsidP="009976AB" w:rsidRDefault="0004032F" w14:paraId="672D3017" w14:textId="77777777">
      <w:pPr>
        <w:pStyle w:val="10sp0"/>
        <w:spacing w:after="0"/>
        <w:rPr>
          <w:rFonts w:ascii="Palatino Linotype" w:hAnsi="Palatino Linotype" w:eastAsia="Palatino Linotype"/>
          <w:b/>
          <w:bCs/>
        </w:rPr>
      </w:pPr>
    </w:p>
    <w:p w:rsidR="009976AB" w:rsidP="009976AB" w:rsidRDefault="004A4B7E" w14:paraId="2E37246F" w14:textId="3F6B6865">
      <w:pPr>
        <w:pStyle w:val="10sp0"/>
        <w:spacing w:after="0"/>
        <w:rPr>
          <w:rFonts w:ascii="Palatino Linotype" w:hAnsi="Palatino Linotype" w:eastAsia="Palatino Linotype"/>
        </w:rPr>
      </w:pPr>
      <w:r>
        <w:rPr>
          <w:rFonts w:ascii="Palatino Linotype" w:hAnsi="Palatino Linotype" w:eastAsia="Palatino Linotype"/>
          <w:b/>
          <w:bCs/>
        </w:rPr>
        <w:t xml:space="preserve">viii. </w:t>
      </w:r>
      <w:r w:rsidRPr="00AA3276" w:rsidR="009976AB">
        <w:rPr>
          <w:rFonts w:ascii="Palatino Linotype" w:hAnsi="Palatino Linotype" w:eastAsia="Palatino Linotype"/>
          <w:b/>
          <w:bCs/>
        </w:rPr>
        <w:t>Oversight of Consortia Activities</w:t>
      </w:r>
    </w:p>
    <w:p w:rsidRPr="00AA3276" w:rsidR="009976AB" w:rsidP="009976AB" w:rsidRDefault="004D2319" w14:paraId="2CA9741E" w14:textId="1D410A5A">
      <w:pPr>
        <w:pStyle w:val="10sp0"/>
        <w:spacing w:after="0"/>
        <w:rPr>
          <w:rFonts w:ascii="Palatino Linotype" w:hAnsi="Palatino Linotype" w:eastAsia="Palatino Linotype"/>
        </w:rPr>
      </w:pPr>
      <w:r w:rsidRPr="004D2319">
        <w:rPr>
          <w:rFonts w:ascii="Palatino Linotype" w:hAnsi="Palatino Linotype" w:eastAsia="Palatino Linotype"/>
        </w:rPr>
        <w:t xml:space="preserve">Staff </w:t>
      </w:r>
      <w:proofErr w:type="gramStart"/>
      <w:r w:rsidRPr="004D2319">
        <w:rPr>
          <w:rFonts w:ascii="Palatino Linotype" w:hAnsi="Palatino Linotype" w:eastAsia="Palatino Linotype"/>
        </w:rPr>
        <w:t>is</w:t>
      </w:r>
      <w:proofErr w:type="gramEnd"/>
      <w:r w:rsidRPr="004D2319">
        <w:rPr>
          <w:rFonts w:ascii="Palatino Linotype" w:hAnsi="Palatino Linotype" w:eastAsia="Palatino Linotype"/>
        </w:rPr>
        <w:t xml:space="preserve"> authorized to implement administrative controls necessary to </w:t>
      </w:r>
      <w:proofErr w:type="gramStart"/>
      <w:r w:rsidRPr="004D2319">
        <w:rPr>
          <w:rFonts w:ascii="Palatino Linotype" w:hAnsi="Palatino Linotype" w:eastAsia="Palatino Linotype"/>
        </w:rPr>
        <w:t>assure</w:t>
      </w:r>
      <w:proofErr w:type="gramEnd"/>
      <w:r w:rsidRPr="004D2319">
        <w:rPr>
          <w:rFonts w:ascii="Palatino Linotype" w:hAnsi="Palatino Linotype" w:eastAsia="Palatino Linotype"/>
        </w:rPr>
        <w:t xml:space="preserve"> that funds disbursed </w:t>
      </w:r>
      <w:proofErr w:type="gramStart"/>
      <w:r w:rsidRPr="004D2319">
        <w:rPr>
          <w:rFonts w:ascii="Palatino Linotype" w:hAnsi="Palatino Linotype" w:eastAsia="Palatino Linotype"/>
        </w:rPr>
        <w:t>to</w:t>
      </w:r>
      <w:proofErr w:type="gramEnd"/>
      <w:r w:rsidRPr="004D2319">
        <w:rPr>
          <w:rFonts w:ascii="Palatino Linotype" w:hAnsi="Palatino Linotype" w:eastAsia="Palatino Linotype"/>
        </w:rPr>
        <w:t xml:space="preserve"> a Consortium are administered efficiently and</w:t>
      </w:r>
      <w:r>
        <w:rPr>
          <w:rFonts w:ascii="Palatino Linotype" w:hAnsi="Palatino Linotype" w:eastAsia="Palatino Linotype"/>
        </w:rPr>
        <w:t xml:space="preserve"> </w:t>
      </w:r>
      <w:r w:rsidRPr="004D2319">
        <w:rPr>
          <w:rFonts w:ascii="Palatino Linotype" w:hAnsi="Palatino Linotype" w:eastAsia="Palatino Linotype"/>
        </w:rPr>
        <w:t xml:space="preserve">cost-effectively, consistent with the stated purposes and objectives for which the funds are to be used.  </w:t>
      </w:r>
    </w:p>
    <w:p w:rsidRPr="00AA3276" w:rsidR="009976AB" w:rsidP="009976AB" w:rsidRDefault="009976AB" w14:paraId="7BD86AFA" w14:textId="77777777">
      <w:pPr>
        <w:pStyle w:val="10sp0"/>
        <w:spacing w:after="0"/>
        <w:rPr>
          <w:rFonts w:ascii="Palatino Linotype" w:hAnsi="Palatino Linotype" w:eastAsia="Palatino Linotype"/>
        </w:rPr>
      </w:pPr>
      <w:r w:rsidRPr="00AA3276">
        <w:rPr>
          <w:rFonts w:ascii="Palatino Linotype" w:hAnsi="Palatino Linotype" w:eastAsia="Palatino Linotype"/>
        </w:rPr>
        <w:t>The Commission will retain continuing oversight of grant disbursements to ensure that funds are spent on authorized functions that meet set objectives and timelines specified in grantees applications.</w:t>
      </w:r>
    </w:p>
    <w:p w:rsidRPr="00AA3276" w:rsidR="009976AB" w:rsidP="009976AB" w:rsidRDefault="009976AB" w14:paraId="388CEEFC" w14:textId="77777777">
      <w:pPr>
        <w:pStyle w:val="10sp0"/>
        <w:spacing w:after="0"/>
        <w:rPr>
          <w:rFonts w:ascii="Palatino Linotype" w:hAnsi="Palatino Linotype" w:eastAsia="Palatino Linotype"/>
        </w:rPr>
      </w:pPr>
    </w:p>
    <w:p w:rsidRPr="00AA3276" w:rsidR="009976AB" w:rsidP="009976AB" w:rsidRDefault="009976AB" w14:paraId="11B8FE42" w14:textId="6336D17F">
      <w:pPr>
        <w:pStyle w:val="10sp0"/>
        <w:spacing w:after="0"/>
        <w:rPr>
          <w:rFonts w:ascii="Palatino Linotype" w:hAnsi="Palatino Linotype" w:eastAsia="Palatino Linotype"/>
        </w:rPr>
      </w:pPr>
      <w:r w:rsidRPr="00AA3276">
        <w:rPr>
          <w:rFonts w:ascii="Palatino Linotype" w:hAnsi="Palatino Linotype" w:eastAsia="Palatino Linotype"/>
        </w:rPr>
        <w:t>The Commission has the right to conduct any necessary audit, site visits, verification and discovery for work proposed or completed under the grant award to ensure that CASF funds are spent in accordance with Commission rules and with the terms of approval set by the Commission.</w:t>
      </w:r>
    </w:p>
    <w:p w:rsidRPr="00AA3276" w:rsidR="009976AB" w:rsidP="009976AB" w:rsidRDefault="009976AB" w14:paraId="00FEF31C" w14:textId="77777777">
      <w:pPr>
        <w:pStyle w:val="10sp0"/>
        <w:spacing w:after="0"/>
        <w:rPr>
          <w:rFonts w:ascii="Palatino Linotype" w:hAnsi="Palatino Linotype" w:eastAsia="Palatino Linotype"/>
        </w:rPr>
      </w:pPr>
    </w:p>
    <w:p w:rsidRPr="002F2660" w:rsidR="002F2660" w:rsidP="002F2660" w:rsidRDefault="002F2660" w14:paraId="17E412BB" w14:textId="77777777">
      <w:pPr>
        <w:pStyle w:val="10sp0"/>
        <w:spacing w:after="0"/>
        <w:rPr>
          <w:rFonts w:ascii="Palatino Linotype" w:hAnsi="Palatino Linotype" w:eastAsia="Palatino Linotype"/>
        </w:rPr>
      </w:pPr>
      <w:r w:rsidRPr="002F2660">
        <w:rPr>
          <w:rFonts w:ascii="Palatino Linotype" w:hAnsi="Palatino Linotype" w:eastAsia="Palatino Linotype"/>
        </w:rPr>
        <w:t xml:space="preserve">A consortium must keep detailed records, such as invoices and receipts of each program element and eligible activities. Each Consortia grantee shall maintain books, records, documents, and evidence sufficient to substantiate expenditures covered by the grant, according to generally accepted accounting practices. Each Consortia grantee shall make these records available to the Commission upon request and agrees that these records are subject to a financial audit by the Commission at any time within five years after the Grantee incurred the expense being audited. A Consortia grantee shall </w:t>
      </w:r>
      <w:r w:rsidRPr="002F2660">
        <w:rPr>
          <w:rFonts w:ascii="Palatino Linotype" w:hAnsi="Palatino Linotype" w:eastAsia="Palatino Linotype"/>
        </w:rPr>
        <w:lastRenderedPageBreak/>
        <w:t>provide access to the Commission upon 24-hour notice to evaluate work completed or being performed pursuant to the grant.</w:t>
      </w:r>
    </w:p>
    <w:p w:rsidR="002F2660" w:rsidP="002F2660" w:rsidRDefault="002F2660" w14:paraId="5F44786D" w14:textId="77777777">
      <w:pPr>
        <w:pStyle w:val="10sp0"/>
        <w:spacing w:after="0"/>
        <w:rPr>
          <w:rFonts w:ascii="Palatino Linotype" w:hAnsi="Palatino Linotype" w:eastAsia="Palatino Linotype"/>
        </w:rPr>
      </w:pPr>
    </w:p>
    <w:p w:rsidR="009976AB" w:rsidP="002F2660" w:rsidRDefault="002F2660" w14:paraId="414BB441" w14:textId="252032AA">
      <w:pPr>
        <w:pStyle w:val="10sp0"/>
        <w:spacing w:after="0"/>
        <w:rPr>
          <w:rFonts w:ascii="Palatino Linotype" w:hAnsi="Palatino Linotype" w:eastAsia="Palatino Linotype"/>
        </w:rPr>
      </w:pPr>
      <w:r w:rsidRPr="002F2660">
        <w:rPr>
          <w:rFonts w:ascii="Palatino Linotype" w:hAnsi="Palatino Linotype" w:eastAsia="Palatino Linotype"/>
        </w:rPr>
        <w:t xml:space="preserve">Each Consortia grantee must use the grant funds solely for the approved project as described in the Grantee’s Commission-approved Work Plan and Performance Metrics Plan as affirmed by the signed Affidavit. Each Consortia grantee must complete the project in accordance with and within the project performance period set forth in the Commission-approved Work Plan, see Section </w:t>
      </w:r>
      <w:r w:rsidRPr="0088606A">
        <w:rPr>
          <w:rFonts w:ascii="Palatino Linotype" w:hAnsi="Palatino Linotype" w:eastAsia="Palatino Linotype"/>
          <w:i/>
          <w:iCs/>
        </w:rPr>
        <w:t>Execution and Performance</w:t>
      </w:r>
      <w:r w:rsidRPr="002F2660">
        <w:rPr>
          <w:rFonts w:ascii="Palatino Linotype" w:hAnsi="Palatino Linotype" w:eastAsia="Palatino Linotype"/>
        </w:rPr>
        <w:t xml:space="preserve"> on changes to the substantive terms and conditions underlying Commission approval.</w:t>
      </w:r>
    </w:p>
    <w:p w:rsidR="00F203AD" w:rsidP="002F2660" w:rsidRDefault="00F203AD" w14:paraId="0C4E1DD2" w14:textId="77777777">
      <w:pPr>
        <w:pStyle w:val="10sp0"/>
        <w:spacing w:after="0"/>
        <w:rPr>
          <w:rFonts w:ascii="Palatino Linotype" w:hAnsi="Palatino Linotype" w:eastAsia="Palatino Linotype"/>
        </w:rPr>
      </w:pPr>
    </w:p>
    <w:p w:rsidRPr="00AA3276" w:rsidR="00F203AD" w:rsidP="002F2660" w:rsidRDefault="00F203AD" w14:paraId="3CD902E1" w14:textId="343906DF">
      <w:pPr>
        <w:pStyle w:val="10sp0"/>
        <w:spacing w:after="0"/>
        <w:rPr>
          <w:rFonts w:ascii="Palatino Linotype" w:hAnsi="Palatino Linotype" w:eastAsia="Palatino Linotype"/>
        </w:rPr>
      </w:pPr>
      <w:r w:rsidRPr="00F203AD">
        <w:rPr>
          <w:rFonts w:ascii="Palatino Linotype" w:hAnsi="Palatino Linotype" w:eastAsia="Palatino Linotype"/>
        </w:rPr>
        <w:t>Grantee’s performance and completion of the project must comply with all applicable laws and regulations. The Progress Report must present the results of performance metrics.</w:t>
      </w:r>
    </w:p>
    <w:p w:rsidR="00B81454" w:rsidP="004C2FC5" w:rsidRDefault="00B81454" w14:paraId="3FFF69CA" w14:textId="77777777">
      <w:pPr>
        <w:pStyle w:val="10sp0"/>
        <w:spacing w:after="0"/>
        <w:rPr>
          <w:rFonts w:ascii="Palatino Linotype" w:hAnsi="Palatino Linotype" w:eastAsia="Palatino Linotype"/>
          <w:b/>
          <w:bCs/>
        </w:rPr>
      </w:pPr>
    </w:p>
    <w:p w:rsidR="00936A93" w:rsidP="004C2FC5" w:rsidRDefault="004A4B7E" w14:paraId="6DE02355" w14:textId="317DF1D5">
      <w:pPr>
        <w:pStyle w:val="10sp0"/>
        <w:spacing w:after="0"/>
        <w:rPr>
          <w:rFonts w:ascii="Palatino Linotype" w:hAnsi="Palatino Linotype" w:eastAsia="Palatino Linotype"/>
          <w:b/>
          <w:bCs/>
        </w:rPr>
      </w:pPr>
      <w:r>
        <w:rPr>
          <w:rFonts w:ascii="Palatino Linotype" w:hAnsi="Palatino Linotype" w:eastAsia="Palatino Linotype"/>
          <w:b/>
          <w:bCs/>
        </w:rPr>
        <w:t xml:space="preserve">ix. </w:t>
      </w:r>
      <w:r w:rsidR="006D0EE9">
        <w:rPr>
          <w:rFonts w:ascii="Palatino Linotype" w:hAnsi="Palatino Linotype" w:eastAsia="Palatino Linotype"/>
          <w:b/>
          <w:bCs/>
        </w:rPr>
        <w:t>Use of CASF Funds</w:t>
      </w:r>
    </w:p>
    <w:p w:rsidRPr="004A4B7E" w:rsidR="0004032F" w:rsidP="004C2FC5" w:rsidRDefault="00203382" w14:paraId="7EC5A4E3" w14:textId="7A144CC1">
      <w:pPr>
        <w:pStyle w:val="10sp0"/>
        <w:spacing w:after="0"/>
        <w:rPr>
          <w:rFonts w:ascii="Palatino Linotype" w:hAnsi="Palatino Linotype" w:eastAsia="Palatino Linotype"/>
          <w:b/>
          <w:bCs/>
        </w:rPr>
      </w:pPr>
      <w:r w:rsidRPr="00203382">
        <w:rPr>
          <w:rFonts w:ascii="Palatino Linotype" w:hAnsi="Palatino Linotype" w:eastAsia="Palatino Linotype"/>
        </w:rPr>
        <w:t>Each Consortia grantee must use the grant funds solely for the approved project as described in the Grantee’s Commission-approved Work Plan and Performance Metrics Plan as affirmed by the signed Affidavit.</w:t>
      </w:r>
      <w:r w:rsidR="00037595">
        <w:t xml:space="preserve"> </w:t>
      </w:r>
      <w:r w:rsidRPr="00037595" w:rsidR="00037595">
        <w:rPr>
          <w:rFonts w:ascii="Palatino Linotype" w:hAnsi="Palatino Linotype" w:eastAsia="Palatino Linotype"/>
        </w:rPr>
        <w:t xml:space="preserve">Each Consortia grantee must complete the project in accordance with and within the project performance period set forth in the Commission-approved Work Plan. </w:t>
      </w:r>
      <w:r w:rsidRPr="00203382">
        <w:rPr>
          <w:rFonts w:ascii="Palatino Linotype" w:hAnsi="Palatino Linotype" w:eastAsia="Palatino Linotype"/>
        </w:rPr>
        <w:t xml:space="preserve"> </w:t>
      </w:r>
    </w:p>
    <w:p w:rsidR="0004032F" w:rsidP="004C2FC5" w:rsidRDefault="0004032F" w14:paraId="43EF770F" w14:textId="77777777">
      <w:pPr>
        <w:pStyle w:val="10sp0"/>
        <w:spacing w:after="0"/>
        <w:rPr>
          <w:rFonts w:ascii="Palatino Linotype" w:hAnsi="Palatino Linotype" w:eastAsia="Palatino Linotype"/>
        </w:rPr>
      </w:pPr>
    </w:p>
    <w:p w:rsidR="0004032F" w:rsidP="004C2FC5" w:rsidRDefault="0004032F" w14:paraId="18E72406" w14:textId="77777777">
      <w:pPr>
        <w:pStyle w:val="10sp0"/>
        <w:spacing w:after="0"/>
        <w:rPr>
          <w:rFonts w:ascii="Palatino Linotype" w:hAnsi="Palatino Linotype" w:eastAsia="Palatino Linotype"/>
        </w:rPr>
      </w:pPr>
    </w:p>
    <w:p w:rsidR="004A4B7E" w:rsidP="004C2FC5" w:rsidRDefault="004A4B7E" w14:paraId="357295EF" w14:textId="77777777">
      <w:pPr>
        <w:pStyle w:val="10sp0"/>
        <w:spacing w:after="0"/>
        <w:rPr>
          <w:rFonts w:ascii="Palatino Linotype" w:hAnsi="Palatino Linotype" w:eastAsia="Palatino Linotype"/>
        </w:rPr>
      </w:pPr>
    </w:p>
    <w:p w:rsidR="0004032F" w:rsidP="004C2FC5" w:rsidRDefault="0004032F" w14:paraId="17189013" w14:textId="77777777">
      <w:pPr>
        <w:pStyle w:val="10sp0"/>
        <w:spacing w:after="0"/>
        <w:rPr>
          <w:rFonts w:ascii="Palatino Linotype" w:hAnsi="Palatino Linotype" w:eastAsia="Palatino Linotype"/>
        </w:rPr>
      </w:pPr>
    </w:p>
    <w:p w:rsidR="00133B89" w:rsidP="00133B89" w:rsidRDefault="00133B89" w14:paraId="45F6528E" w14:textId="412C002D">
      <w:pPr>
        <w:pStyle w:val="10sp0"/>
        <w:spacing w:after="0"/>
        <w:rPr>
          <w:rFonts w:ascii="Palatino Linotype" w:hAnsi="Palatino Linotype" w:eastAsia="Palatino Linotype"/>
        </w:rPr>
      </w:pPr>
    </w:p>
    <w:p w:rsidR="00B2096E" w:rsidP="004C2FC5" w:rsidRDefault="00B2096E" w14:paraId="5FE8ABBE" w14:textId="77777777">
      <w:pPr>
        <w:pStyle w:val="10sp0"/>
        <w:spacing w:after="0"/>
        <w:rPr>
          <w:rFonts w:ascii="Palatino Linotype" w:hAnsi="Palatino Linotype" w:eastAsia="Palatino Linotype"/>
        </w:rPr>
      </w:pPr>
    </w:p>
    <w:p w:rsidR="00076E39" w:rsidP="004C2FC5" w:rsidRDefault="00076E39" w14:paraId="34C046E0" w14:textId="77777777">
      <w:pPr>
        <w:pStyle w:val="10sp0"/>
        <w:spacing w:after="0"/>
        <w:rPr>
          <w:rFonts w:ascii="Palatino Linotype" w:hAnsi="Palatino Linotype" w:eastAsia="Palatino Linotype"/>
        </w:rPr>
      </w:pPr>
    </w:p>
    <w:p w:rsidR="00076E39" w:rsidP="004C2FC5" w:rsidRDefault="00076E39" w14:paraId="7473A770" w14:textId="77777777">
      <w:pPr>
        <w:pStyle w:val="10sp0"/>
        <w:spacing w:after="0"/>
        <w:rPr>
          <w:rFonts w:ascii="Palatino Linotype" w:hAnsi="Palatino Linotype" w:eastAsia="Palatino Linotype"/>
        </w:rPr>
      </w:pPr>
    </w:p>
    <w:p w:rsidR="00076E39" w:rsidP="004C2FC5" w:rsidRDefault="00076E39" w14:paraId="1B0C0AD4" w14:textId="77777777">
      <w:pPr>
        <w:pStyle w:val="10sp0"/>
        <w:spacing w:after="0"/>
        <w:rPr>
          <w:rFonts w:ascii="Palatino Linotype" w:hAnsi="Palatino Linotype" w:eastAsia="Palatino Linotype"/>
        </w:rPr>
      </w:pPr>
    </w:p>
    <w:p w:rsidR="00E32A30" w:rsidP="004C2FC5" w:rsidRDefault="00E32A30" w14:paraId="5DA34B23" w14:textId="77777777">
      <w:pPr>
        <w:pStyle w:val="10sp0"/>
        <w:spacing w:after="0"/>
        <w:rPr>
          <w:rFonts w:ascii="Palatino Linotype" w:hAnsi="Palatino Linotype" w:eastAsia="Palatino Linotype"/>
        </w:rPr>
      </w:pPr>
    </w:p>
    <w:p w:rsidR="00E32A30" w:rsidP="004C2FC5" w:rsidRDefault="00E32A30" w14:paraId="739C31AB" w14:textId="77777777">
      <w:pPr>
        <w:pStyle w:val="10sp0"/>
        <w:spacing w:after="0"/>
        <w:rPr>
          <w:rFonts w:ascii="Palatino Linotype" w:hAnsi="Palatino Linotype" w:eastAsia="Palatino Linotype"/>
        </w:rPr>
      </w:pPr>
    </w:p>
    <w:p w:rsidR="00076E39" w:rsidP="004C2FC5" w:rsidRDefault="00076E39" w14:paraId="2BA211CA" w14:textId="77777777">
      <w:pPr>
        <w:pStyle w:val="10sp0"/>
        <w:spacing w:after="0"/>
        <w:rPr>
          <w:rFonts w:ascii="Palatino Linotype" w:hAnsi="Palatino Linotype" w:eastAsia="Palatino Linotype"/>
        </w:rPr>
      </w:pPr>
    </w:p>
    <w:p w:rsidR="00076E39" w:rsidP="004C2FC5" w:rsidRDefault="00076E39" w14:paraId="7631CEE1" w14:textId="77777777">
      <w:pPr>
        <w:pStyle w:val="10sp0"/>
        <w:spacing w:after="0"/>
        <w:rPr>
          <w:rFonts w:ascii="Palatino Linotype" w:hAnsi="Palatino Linotype" w:eastAsia="Palatino Linotype"/>
        </w:rPr>
      </w:pPr>
    </w:p>
    <w:p w:rsidR="00076E39" w:rsidP="004C2FC5" w:rsidRDefault="00076E39" w14:paraId="2CACBD82" w14:textId="77777777">
      <w:pPr>
        <w:pStyle w:val="10sp0"/>
        <w:spacing w:after="0"/>
        <w:rPr>
          <w:rFonts w:ascii="Palatino Linotype" w:hAnsi="Palatino Linotype" w:eastAsia="Palatino Linotype"/>
        </w:rPr>
      </w:pPr>
    </w:p>
    <w:p w:rsidR="00076E39" w:rsidP="004C2FC5" w:rsidRDefault="00076E39" w14:paraId="3E2C63C6" w14:textId="77777777">
      <w:pPr>
        <w:pStyle w:val="10sp0"/>
        <w:spacing w:after="0"/>
        <w:rPr>
          <w:rFonts w:ascii="Palatino Linotype" w:hAnsi="Palatino Linotype" w:eastAsia="Palatino Linotype"/>
        </w:rPr>
      </w:pPr>
    </w:p>
    <w:p w:rsidR="00076E39" w:rsidP="004C2FC5" w:rsidRDefault="00076E39" w14:paraId="3E340D41" w14:textId="77777777">
      <w:pPr>
        <w:pStyle w:val="10sp0"/>
        <w:spacing w:after="0"/>
        <w:rPr>
          <w:rFonts w:ascii="Palatino Linotype" w:hAnsi="Palatino Linotype" w:eastAsia="Palatino Linotype"/>
        </w:rPr>
      </w:pPr>
    </w:p>
    <w:p w:rsidR="001C42C1" w:rsidP="004C2FC5" w:rsidRDefault="001C42C1" w14:paraId="09DCC30A" w14:textId="77777777">
      <w:pPr>
        <w:pStyle w:val="10sp0"/>
        <w:spacing w:after="0"/>
        <w:rPr>
          <w:rFonts w:ascii="Palatino Linotype" w:hAnsi="Palatino Linotype" w:eastAsia="Palatino Linotype"/>
        </w:rPr>
      </w:pPr>
    </w:p>
    <w:p w:rsidR="001C42C1" w:rsidP="004C2FC5" w:rsidRDefault="001C42C1" w14:paraId="433CD8A7" w14:textId="77777777">
      <w:pPr>
        <w:pStyle w:val="10sp0"/>
        <w:spacing w:after="0"/>
        <w:rPr>
          <w:rFonts w:ascii="Palatino Linotype" w:hAnsi="Palatino Linotype" w:eastAsia="Palatino Linotype"/>
        </w:rPr>
      </w:pPr>
    </w:p>
    <w:p w:rsidR="00076E39" w:rsidP="004C2FC5" w:rsidRDefault="00076E39" w14:paraId="54905138" w14:textId="77777777">
      <w:pPr>
        <w:pStyle w:val="10sp0"/>
        <w:spacing w:after="0"/>
        <w:rPr>
          <w:rFonts w:ascii="Palatino Linotype" w:hAnsi="Palatino Linotype" w:eastAsia="Palatino Linotype"/>
        </w:rPr>
      </w:pPr>
    </w:p>
    <w:p w:rsidRPr="00C00758" w:rsidR="00B2096E" w:rsidP="00076E39" w:rsidRDefault="00B2096E" w14:paraId="4EF58531" w14:textId="73DEF1DC">
      <w:pPr>
        <w:pStyle w:val="10sp0"/>
        <w:spacing w:after="0"/>
        <w:jc w:val="center"/>
        <w:rPr>
          <w:rFonts w:ascii="Palatino Linotype" w:hAnsi="Palatino Linotype" w:eastAsia="Palatino Linotype"/>
          <w:b/>
          <w:bCs/>
        </w:rPr>
      </w:pPr>
      <w:r w:rsidRPr="00B2096E">
        <w:rPr>
          <w:rFonts w:ascii="Palatino Linotype" w:hAnsi="Palatino Linotype" w:eastAsia="Palatino Linotype"/>
          <w:b/>
          <w:bCs/>
        </w:rPr>
        <w:t>End of Appendix A</w:t>
      </w:r>
    </w:p>
    <w:sectPr w:rsidRPr="00C00758" w:rsidR="00B2096E" w:rsidSect="001C42C1">
      <w:footerReference w:type="defaul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5957" w14:textId="77777777" w:rsidR="001119DE" w:rsidRDefault="001119DE" w:rsidP="00337B2A">
      <w:r>
        <w:separator/>
      </w:r>
    </w:p>
  </w:endnote>
  <w:endnote w:type="continuationSeparator" w:id="0">
    <w:p w14:paraId="33C61FE1" w14:textId="77777777" w:rsidR="001119DE" w:rsidRDefault="001119DE" w:rsidP="0033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altName w:val="Cambria"/>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160689"/>
      <w:docPartObj>
        <w:docPartGallery w:val="Page Numbers (Bottom of Page)"/>
        <w:docPartUnique/>
      </w:docPartObj>
    </w:sdtPr>
    <w:sdtEndPr>
      <w:rPr>
        <w:noProof/>
      </w:rPr>
    </w:sdtEndPr>
    <w:sdtContent>
      <w:p w14:paraId="7F7ED4EE" w14:textId="10BB6469" w:rsidR="00605626" w:rsidRDefault="006056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FABC3" w14:textId="77777777" w:rsidR="00605626" w:rsidRDefault="0060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4220"/>
      <w:docPartObj>
        <w:docPartGallery w:val="Page Numbers (Bottom of Page)"/>
        <w:docPartUnique/>
      </w:docPartObj>
    </w:sdtPr>
    <w:sdtEndPr>
      <w:rPr>
        <w:noProof/>
      </w:rPr>
    </w:sdtEndPr>
    <w:sdtContent>
      <w:p w14:paraId="3DD875A3" w14:textId="3BE65A61" w:rsidR="00605626" w:rsidRDefault="006056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52207A" w14:textId="3C0F280A" w:rsidR="00F00584" w:rsidRDefault="00CE737E" w:rsidP="0045722F">
    <w:pPr>
      <w:pStyle w:val="Footer"/>
    </w:pPr>
    <w:r w:rsidRPr="00CE737E">
      <w:rPr>
        <w:rFonts w:ascii="Arial" w:eastAsia="Times New Roman" w:hAnsi="Arial" w:cs="Arial"/>
        <w:color w:val="000000"/>
        <w:kern w:val="0"/>
        <w:sz w:val="18"/>
        <w:szCs w:val="18"/>
        <w14:ligatures w14:val="none"/>
      </w:rPr>
      <w:t>608314665  </w:t>
    </w:r>
    <w:r w:rsidR="0045722F" w:rsidRPr="0045722F">
      <w:rPr>
        <w:rFonts w:ascii="Arial" w:eastAsia="Times New Roman" w:hAnsi="Arial" w:cs="Arial"/>
        <w:color w:val="000000"/>
        <w:kern w:val="0"/>
        <w:sz w:val="18"/>
        <w:szCs w:val="18"/>
        <w14:ligatures w14:val="none"/>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4B18" w14:textId="7EC5F794" w:rsidR="001C42C1" w:rsidRDefault="001C42C1">
    <w:pPr>
      <w:pStyle w:val="Footer"/>
      <w:jc w:val="center"/>
    </w:pPr>
    <w:r>
      <w:t>A-</w:t>
    </w:r>
    <w:sdt>
      <w:sdtPr>
        <w:id w:val="17916267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12074B" w14:textId="77777777" w:rsidR="007D5D30" w:rsidRPr="00A46554" w:rsidRDefault="007D5D30">
    <w:pPr>
      <w:pStyle w:val="Footer"/>
      <w:rPr>
        <w:rFonts w:ascii="Palatino Linotype" w:hAnsi="Palatino Linotyp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17CF" w14:textId="70E5CE37" w:rsidR="007D5D30" w:rsidRPr="0088606A" w:rsidRDefault="007D5D30" w:rsidP="007D5D30">
    <w:pPr>
      <w:pStyle w:val="Footer"/>
      <w:jc w:val="center"/>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E148" w14:textId="77777777" w:rsidR="001119DE" w:rsidRDefault="001119DE" w:rsidP="00337B2A">
      <w:r>
        <w:separator/>
      </w:r>
    </w:p>
  </w:footnote>
  <w:footnote w:type="continuationSeparator" w:id="0">
    <w:p w14:paraId="50AE2671" w14:textId="77777777" w:rsidR="001119DE" w:rsidRDefault="001119DE" w:rsidP="00337B2A">
      <w:r>
        <w:continuationSeparator/>
      </w:r>
    </w:p>
  </w:footnote>
  <w:footnote w:id="1">
    <w:p w14:paraId="09E4AFA5" w14:textId="217E8B73" w:rsidR="00EF223B" w:rsidRDefault="00EF223B">
      <w:pPr>
        <w:pStyle w:val="FootnoteText"/>
      </w:pPr>
      <w:r>
        <w:rPr>
          <w:rStyle w:val="FootnoteReference"/>
        </w:rPr>
        <w:footnoteRef/>
      </w:r>
      <w:r>
        <w:t xml:space="preserve"> </w:t>
      </w:r>
      <w:r w:rsidR="0013365D" w:rsidRPr="00476790">
        <w:rPr>
          <w:rFonts w:ascii="Palatino Linotype" w:hAnsi="Palatino Linotype"/>
        </w:rPr>
        <w:t>CASF’s accounts are funded through a surcharge whereby revenues are deposited to CASF Fund 3141 with the State’s Treasury. The surcharge mechanism is a flat rate for each active access line that telephone corporations service in California, levied at the surcharge rate of $0.90. The flat surcharge is divided among the six Universal Service Programs, of which CASF receives a 28.50% share. Pursuant to Public Utilities (Pub. Util.) Code section 270, subd. (b), money in the funds may only be expended upon appropriation in the Annual Budget Act or upon supplemental appropriation.</w:t>
      </w:r>
      <w:r w:rsidR="0013365D" w:rsidRPr="00476790">
        <w:t xml:space="preserve">  </w:t>
      </w:r>
    </w:p>
  </w:footnote>
  <w:footnote w:id="2">
    <w:p w14:paraId="461367E0" w14:textId="4BDC5992" w:rsidR="00A61321" w:rsidRDefault="00A61321">
      <w:pPr>
        <w:pStyle w:val="FootnoteText"/>
      </w:pPr>
      <w:r>
        <w:rPr>
          <w:rStyle w:val="FootnoteReference"/>
        </w:rPr>
        <w:footnoteRef/>
      </w:r>
      <w:r>
        <w:t xml:space="preserve"> </w:t>
      </w:r>
      <w:r w:rsidR="00676675" w:rsidRPr="0088606A">
        <w:rPr>
          <w:rFonts w:ascii="Palatino Linotype" w:hAnsi="Palatino Linotype"/>
        </w:rPr>
        <w:t>AB 1665 is codified at Public Utilities Code, § 281.</w:t>
      </w:r>
    </w:p>
  </w:footnote>
  <w:footnote w:id="3">
    <w:p w14:paraId="67C48745" w14:textId="600C8A42" w:rsidR="0013354D" w:rsidRPr="0088606A" w:rsidRDefault="0013354D">
      <w:pPr>
        <w:pStyle w:val="FootnoteText"/>
        <w:rPr>
          <w:rFonts w:ascii="Palatino Linotype" w:hAnsi="Palatino Linotype"/>
        </w:rPr>
      </w:pPr>
      <w:r w:rsidRPr="0088606A">
        <w:rPr>
          <w:rStyle w:val="FootnoteReference"/>
          <w:rFonts w:ascii="Palatino Linotype" w:hAnsi="Palatino Linotype"/>
        </w:rPr>
        <w:footnoteRef/>
      </w:r>
      <w:r w:rsidRPr="0088606A">
        <w:rPr>
          <w:rFonts w:ascii="Palatino Linotype" w:hAnsi="Palatino Linotype"/>
        </w:rPr>
        <w:t xml:space="preserve"> AB 1665 supplements $15 million already authorized for the Consortia Grants with an additional $10 million.</w:t>
      </w:r>
    </w:p>
  </w:footnote>
  <w:footnote w:id="4">
    <w:p w14:paraId="3EB5765C" w14:textId="6BC5560E" w:rsidR="004629FD" w:rsidRPr="0088606A" w:rsidRDefault="004629FD">
      <w:pPr>
        <w:pStyle w:val="FootnoteText"/>
        <w:rPr>
          <w:rFonts w:ascii="Palatino Linotype" w:hAnsi="Palatino Linotype"/>
        </w:rPr>
      </w:pPr>
      <w:r w:rsidRPr="0088606A">
        <w:rPr>
          <w:rStyle w:val="FootnoteReference"/>
          <w:rFonts w:ascii="Palatino Linotype" w:hAnsi="Palatino Linotype"/>
        </w:rPr>
        <w:footnoteRef/>
      </w:r>
      <w:r w:rsidRPr="0088606A">
        <w:rPr>
          <w:rFonts w:ascii="Palatino Linotype" w:hAnsi="Palatino Linotype"/>
        </w:rPr>
        <w:t xml:space="preserve"> </w:t>
      </w:r>
      <w:r w:rsidR="001E2343" w:rsidRPr="0088606A">
        <w:rPr>
          <w:rFonts w:ascii="Palatino Linotype" w:hAnsi="Palatino Linotype"/>
        </w:rPr>
        <w:t>D.2</w:t>
      </w:r>
      <w:r w:rsidR="36C679D2">
        <w:rPr>
          <w:rFonts w:ascii="Palatino Linotype" w:hAnsi="Palatino Linotype"/>
        </w:rPr>
        <w:t>5</w:t>
      </w:r>
      <w:r w:rsidR="001E2343" w:rsidRPr="0088606A">
        <w:rPr>
          <w:rFonts w:ascii="Palatino Linotype" w:hAnsi="Palatino Linotype"/>
        </w:rPr>
        <w:t>-</w:t>
      </w:r>
      <w:r w:rsidR="001E2343">
        <w:rPr>
          <w:rFonts w:ascii="Palatino Linotype" w:hAnsi="Palatino Linotype"/>
        </w:rPr>
        <w:t>11</w:t>
      </w:r>
      <w:r w:rsidR="001E2343" w:rsidRPr="0088606A">
        <w:rPr>
          <w:rFonts w:ascii="Palatino Linotype" w:hAnsi="Palatino Linotype"/>
        </w:rPr>
        <w:t>-0</w:t>
      </w:r>
      <w:r w:rsidR="001E2343">
        <w:rPr>
          <w:rFonts w:ascii="Palatino Linotype" w:hAnsi="Palatino Linotype"/>
        </w:rPr>
        <w:t>0</w:t>
      </w:r>
      <w:r w:rsidR="36C679D2">
        <w:rPr>
          <w:rFonts w:ascii="Palatino Linotype" w:hAnsi="Palatino Linotype"/>
        </w:rPr>
        <w:t>3</w:t>
      </w:r>
      <w:r w:rsidR="001E2343" w:rsidRPr="0088606A">
        <w:rPr>
          <w:rFonts w:ascii="Palatino Linotype" w:hAnsi="Palatino Linotype"/>
        </w:rPr>
        <w:t xml:space="preserve">, Appendix </w:t>
      </w:r>
      <w:r w:rsidR="001E2343">
        <w:rPr>
          <w:rFonts w:ascii="Palatino Linotype" w:hAnsi="Palatino Linotype"/>
        </w:rPr>
        <w:t>C</w:t>
      </w:r>
      <w:r w:rsidR="001E2343" w:rsidRPr="0088606A">
        <w:rPr>
          <w:rFonts w:ascii="Palatino Linotype" w:hAnsi="Palatino Linotype"/>
        </w:rPr>
        <w:t xml:space="preserve">, p. </w:t>
      </w:r>
      <w:r w:rsidR="001E2343">
        <w:rPr>
          <w:rFonts w:ascii="Palatino Linotype" w:hAnsi="Palatino Linotype"/>
        </w:rPr>
        <w:t>3</w:t>
      </w:r>
      <w:r w:rsidR="001E2343" w:rsidRPr="0088606A">
        <w:rPr>
          <w:rFonts w:ascii="Palatino Linotype" w:hAnsi="Palatino Linotype"/>
        </w:rPr>
        <w:t>.</w:t>
      </w:r>
    </w:p>
  </w:footnote>
  <w:footnote w:id="5">
    <w:p w14:paraId="125B1419" w14:textId="1F07871F" w:rsidR="00FD3538" w:rsidRPr="0088606A" w:rsidRDefault="00FD3538">
      <w:pPr>
        <w:pStyle w:val="FootnoteText"/>
        <w:rPr>
          <w:rFonts w:ascii="Palatino Linotype" w:hAnsi="Palatino Linotype"/>
        </w:rPr>
      </w:pPr>
      <w:r w:rsidRPr="0088606A">
        <w:rPr>
          <w:rStyle w:val="FootnoteReference"/>
          <w:rFonts w:ascii="Palatino Linotype" w:hAnsi="Palatino Linotype"/>
        </w:rPr>
        <w:footnoteRef/>
      </w:r>
      <w:r w:rsidRPr="0088606A">
        <w:rPr>
          <w:rFonts w:ascii="Palatino Linotype" w:hAnsi="Palatino Linotype"/>
        </w:rPr>
        <w:t xml:space="preserve"> The </w:t>
      </w:r>
      <w:r>
        <w:rPr>
          <w:rFonts w:ascii="Palatino Linotype" w:hAnsi="Palatino Linotype"/>
        </w:rPr>
        <w:t>four</w:t>
      </w:r>
      <w:r w:rsidRPr="0088606A">
        <w:rPr>
          <w:rFonts w:ascii="Palatino Linotype" w:hAnsi="Palatino Linotype"/>
        </w:rPr>
        <w:t xml:space="preserve"> rounds stated are applicable to each consortium in this resolution that have either ended or </w:t>
      </w:r>
      <w:proofErr w:type="gramStart"/>
      <w:r w:rsidRPr="0088606A">
        <w:rPr>
          <w:rFonts w:ascii="Palatino Linotype" w:hAnsi="Palatino Linotype"/>
        </w:rPr>
        <w:t>will</w:t>
      </w:r>
      <w:proofErr w:type="gramEnd"/>
      <w:r w:rsidRPr="0088606A">
        <w:rPr>
          <w:rFonts w:ascii="Palatino Linotype" w:hAnsi="Palatino Linotype"/>
        </w:rPr>
        <w:t xml:space="preserve"> sunset </w:t>
      </w:r>
      <w:r w:rsidR="00506F93">
        <w:rPr>
          <w:rFonts w:ascii="Palatino Linotype" w:hAnsi="Palatino Linotype"/>
        </w:rPr>
        <w:t>by June 2026</w:t>
      </w:r>
      <w:r w:rsidRPr="0088606A">
        <w:rPr>
          <w:rFonts w:ascii="Palatino Linotype" w:hAnsi="Palatino Linotype"/>
        </w:rPr>
        <w:t>. There were other rounds of solicitation for Consortia grant applications prior to 2019.</w:t>
      </w:r>
    </w:p>
  </w:footnote>
  <w:footnote w:id="6">
    <w:p w14:paraId="1D0FDB43" w14:textId="111182A4" w:rsidR="00A95076" w:rsidRDefault="00A95076">
      <w:pPr>
        <w:pStyle w:val="FootnoteText"/>
      </w:pPr>
      <w:r>
        <w:rPr>
          <w:rStyle w:val="FootnoteReference"/>
        </w:rPr>
        <w:footnoteRef/>
      </w:r>
      <w:r>
        <w:t xml:space="preserve"> </w:t>
      </w:r>
      <w:r w:rsidR="00BB5DFA" w:rsidRPr="00EA6956">
        <w:rPr>
          <w:rFonts w:ascii="Palatino Linotype" w:hAnsi="Palatino Linotype"/>
        </w:rPr>
        <w:t>The four active Consortia grants from Resolution T-17778 that are eligible for this application cycle are the Broadband Consortium of the Pacific Coast (BCPC), Gold Country Broadband Consortium (GCBC), Inyo-Mono Broadband Consortium (IMBC), and Los Angeles Digital Equity Action League Consortium (LA-DEAL). Current program records list the project end dates for GCBC, IMBC, and LA-DEAL as January 31, 2026, and for BCPC as June 30, 2026.</w:t>
      </w:r>
    </w:p>
  </w:footnote>
  <w:footnote w:id="7">
    <w:p w14:paraId="1B981622" w14:textId="7FE59558" w:rsidR="377423A9" w:rsidRPr="00EA6956" w:rsidRDefault="377423A9">
      <w:pPr>
        <w:pStyle w:val="FootnoteText"/>
        <w:rPr>
          <w:rFonts w:ascii="Palatino Linotype" w:hAnsi="Palatino Linotype"/>
        </w:rPr>
      </w:pPr>
      <w:r>
        <w:rPr>
          <w:rStyle w:val="FootnoteReference"/>
        </w:rPr>
        <w:footnoteRef/>
      </w:r>
      <w:r>
        <w:t xml:space="preserve"> </w:t>
      </w:r>
      <w:r w:rsidRPr="00A94D3A">
        <w:rPr>
          <w:rFonts w:ascii="Palatino Linotype" w:hAnsi="Palatino Linotype"/>
        </w:rPr>
        <w:t>D.25-11-003, Appendix C, p. 14 “Where multiple Consortia apply for the same region only the applicant in a region who has the highest score will be considered for an award.”</w:t>
      </w:r>
    </w:p>
  </w:footnote>
  <w:footnote w:id="8">
    <w:p w14:paraId="6FF74938" w14:textId="053168F0" w:rsidR="00AD27F1" w:rsidRDefault="00AD27F1" w:rsidP="00AD27F1">
      <w:pPr>
        <w:pStyle w:val="FootnoteText"/>
      </w:pPr>
      <w:r>
        <w:rPr>
          <w:rStyle w:val="FootnoteReference"/>
        </w:rPr>
        <w:footnoteRef/>
      </w:r>
      <w:r>
        <w:t xml:space="preserve"> </w:t>
      </w:r>
      <w:r w:rsidR="00F92F86" w:rsidRPr="00F92F86">
        <w:rPr>
          <w:rFonts w:ascii="Palatino Linotype" w:hAnsi="Palatino Linotype"/>
        </w:rPr>
        <w:t xml:space="preserve">GGBC’s application did not meet the minimum scoring requirement of 70 points. After deficiency responses, GGBC’s score increased, but remained below the </w:t>
      </w:r>
      <w:r w:rsidR="008C7E9D" w:rsidRPr="00F92F86">
        <w:rPr>
          <w:rFonts w:ascii="Palatino Linotype" w:hAnsi="Palatino Linotype"/>
        </w:rPr>
        <w:t>70</w:t>
      </w:r>
      <w:r w:rsidR="008C7E9D">
        <w:rPr>
          <w:rFonts w:ascii="Palatino Linotype" w:hAnsi="Palatino Linotype"/>
        </w:rPr>
        <w:t>-point</w:t>
      </w:r>
      <w:r w:rsidR="00F92F86" w:rsidRPr="00F92F86">
        <w:rPr>
          <w:rFonts w:ascii="Palatino Linotype" w:hAnsi="Palatino Linotype"/>
        </w:rPr>
        <w:t xml:space="preserve"> threshold required for funding consideration.</w:t>
      </w:r>
    </w:p>
  </w:footnote>
  <w:footnote w:id="9">
    <w:p w14:paraId="33A3CD9F" w14:textId="330CAA64" w:rsidR="005239C4" w:rsidRDefault="005239C4">
      <w:pPr>
        <w:pStyle w:val="FootnoteText"/>
      </w:pPr>
      <w:r>
        <w:rPr>
          <w:rStyle w:val="FootnoteReference"/>
        </w:rPr>
        <w:footnoteRef/>
      </w:r>
      <w:r>
        <w:t xml:space="preserve"> </w:t>
      </w:r>
      <w:r w:rsidR="00381873">
        <w:t xml:space="preserve"> </w:t>
      </w:r>
      <w:r w:rsidR="00381873" w:rsidRPr="00E0779E">
        <w:rPr>
          <w:rFonts w:ascii="Palatino Linotype" w:hAnsi="Palatino Linotype"/>
        </w:rPr>
        <w:t>https://www.cpuc.ca.gov/-/media/cpuc-website/divisions/communications-division/documents/casf-adoption-and-access/consortia/main-consortia-page/2025-updates/december-2025-consortia-grant-applications.pdf</w:t>
      </w:r>
    </w:p>
  </w:footnote>
  <w:footnote w:id="10">
    <w:p w14:paraId="24F33C32" w14:textId="2BCB63BB" w:rsidR="006C25FD" w:rsidRDefault="006C25FD">
      <w:pPr>
        <w:pStyle w:val="FootnoteText"/>
      </w:pPr>
      <w:r>
        <w:rPr>
          <w:rStyle w:val="FootnoteReference"/>
        </w:rPr>
        <w:footnoteRef/>
      </w:r>
      <w:r>
        <w:t xml:space="preserve"> </w:t>
      </w:r>
      <w:r w:rsidR="003E647D" w:rsidRPr="003E647D">
        <w:t xml:space="preserve">  </w:t>
      </w:r>
      <w:r w:rsidR="003E647D" w:rsidRPr="0088606A">
        <w:rPr>
          <w:rFonts w:ascii="Palatino Linotype" w:hAnsi="Palatino Linotype"/>
        </w:rPr>
        <w:t>D.25-11-003, Appendix C</w:t>
      </w:r>
      <w:r w:rsidR="00262A8E">
        <w:rPr>
          <w:rFonts w:ascii="Palatino Linotype" w:hAnsi="Palatino Linotype"/>
        </w:rPr>
        <w:t>, p.14.</w:t>
      </w:r>
    </w:p>
  </w:footnote>
  <w:footnote w:id="11">
    <w:p w14:paraId="62DEA582" w14:textId="1A0F32E2" w:rsidR="00266956" w:rsidRDefault="00266956" w:rsidP="00266956">
      <w:pPr>
        <w:pStyle w:val="FootnoteText"/>
      </w:pPr>
      <w:r w:rsidRPr="00506D42">
        <w:rPr>
          <w:rStyle w:val="FootnoteReference"/>
          <w:rFonts w:ascii="Palatino Linotype" w:hAnsi="Palatino Linotype"/>
        </w:rPr>
        <w:footnoteRef/>
      </w:r>
      <w:r w:rsidR="008E4C2E" w:rsidRPr="008E4C2E">
        <w:rPr>
          <w:rFonts w:ascii="Palatino Linotype" w:hAnsi="Palatino Linotype"/>
        </w:rPr>
        <w:t xml:space="preserve"> https://www.cpuc.ca.gov/industries-and-topics/internet-and-phone/california-advanced-services-fund/casf-consortia-account</w:t>
      </w:r>
      <w:r w:rsidRPr="00506D42">
        <w:rPr>
          <w:rFonts w:ascii="Palatino Linotype" w:hAnsi="Palatino Linotype"/>
        </w:rPr>
        <w:t>.</w:t>
      </w:r>
    </w:p>
  </w:footnote>
  <w:footnote w:id="12">
    <w:p w14:paraId="214DF4F9" w14:textId="4957A5EA" w:rsidR="00A868A4" w:rsidRPr="0088606A" w:rsidRDefault="00A868A4" w:rsidP="00A868A4">
      <w:pPr>
        <w:pStyle w:val="FootnoteText"/>
        <w:rPr>
          <w:rFonts w:ascii="Palatino Linotype" w:hAnsi="Palatino Linotype"/>
        </w:rPr>
      </w:pPr>
      <w:r>
        <w:rPr>
          <w:rStyle w:val="FootnoteReference"/>
        </w:rPr>
        <w:footnoteRef/>
      </w:r>
      <w:r>
        <w:t xml:space="preserve"> </w:t>
      </w:r>
      <w:r w:rsidRPr="0088606A">
        <w:rPr>
          <w:rFonts w:ascii="Palatino Linotype" w:hAnsi="Palatino Linotype"/>
        </w:rPr>
        <w:t xml:space="preserve">In D.25-11-003, the Commission established </w:t>
      </w:r>
      <w:r w:rsidR="36C679D2" w:rsidRPr="0088606A">
        <w:rPr>
          <w:rFonts w:ascii="Palatino Linotype" w:hAnsi="Palatino Linotype"/>
        </w:rPr>
        <w:t>that</w:t>
      </w:r>
      <w:r w:rsidRPr="0088606A">
        <w:rPr>
          <w:rFonts w:ascii="Palatino Linotype" w:hAnsi="Palatino Linotype"/>
        </w:rPr>
        <w:t xml:space="preserve"> Work Plan and Performance Metrics Plan should include specific work activities, verifiable work deliverables, quantitative performance measures, the method for performance tracking and measuring, and responsible party(</w:t>
      </w:r>
      <w:proofErr w:type="spellStart"/>
      <w:r w:rsidRPr="0088606A">
        <w:rPr>
          <w:rFonts w:ascii="Palatino Linotype" w:hAnsi="Palatino Linotype"/>
        </w:rPr>
        <w:t>ies</w:t>
      </w:r>
      <w:proofErr w:type="spellEnd"/>
      <w:r w:rsidRPr="0088606A">
        <w:rPr>
          <w:rFonts w:ascii="Palatino Linotype" w:hAnsi="Palatino Linotype"/>
        </w:rPr>
        <w:t>), with acceptable timelines for completion.</w:t>
      </w:r>
    </w:p>
    <w:p w14:paraId="426D0D7D" w14:textId="46BBAA8F" w:rsidR="00A868A4" w:rsidRDefault="00A868A4">
      <w:pPr>
        <w:pStyle w:val="FootnoteText"/>
      </w:pPr>
    </w:p>
  </w:footnote>
  <w:footnote w:id="13">
    <w:p w14:paraId="2FF765AB" w14:textId="77777777" w:rsidR="000B0A58" w:rsidRDefault="000B0A58" w:rsidP="000B0A58">
      <w:pPr>
        <w:pStyle w:val="FootnoteText"/>
      </w:pPr>
      <w:r w:rsidRPr="0088606A">
        <w:rPr>
          <w:rStyle w:val="FootnoteReference"/>
          <w:rFonts w:ascii="Palatino Linotype" w:hAnsi="Palatino Linotype"/>
        </w:rPr>
        <w:footnoteRef/>
      </w:r>
      <w:r w:rsidRPr="0088606A">
        <w:rPr>
          <w:rFonts w:ascii="Palatino Linotype" w:hAnsi="Palatino Linotype"/>
        </w:rPr>
        <w:t xml:space="preserve"> The requested number of funding years is at the historical average level and within the range of funding years awarded in the past for the Consortia Account.</w:t>
      </w:r>
    </w:p>
  </w:footnote>
  <w:footnote w:id="14">
    <w:p w14:paraId="7E82A407" w14:textId="090EADF2" w:rsidR="001B7586" w:rsidRDefault="001B7586">
      <w:pPr>
        <w:pStyle w:val="FootnoteText"/>
      </w:pPr>
      <w:r>
        <w:rPr>
          <w:rStyle w:val="FootnoteReference"/>
        </w:rPr>
        <w:footnoteRef/>
      </w:r>
      <w:r>
        <w:t xml:space="preserve"> </w:t>
      </w:r>
      <w:r w:rsidR="00F14898" w:rsidRPr="00506D42">
        <w:rPr>
          <w:rFonts w:ascii="Palatino Linotype" w:hAnsi="Palatino Linotype"/>
        </w:rPr>
        <w:t>CD received a letter on February 27, 2026, o</w:t>
      </w:r>
      <w:r w:rsidR="00DB69A2">
        <w:rPr>
          <w:rFonts w:ascii="Palatino Linotype" w:hAnsi="Palatino Linotype"/>
        </w:rPr>
        <w:t>pposing</w:t>
      </w:r>
      <w:r w:rsidR="00F14898" w:rsidRPr="00506D42">
        <w:rPr>
          <w:rFonts w:ascii="Palatino Linotype" w:hAnsi="Palatino Linotype"/>
        </w:rPr>
        <w:t xml:space="preserve"> the inclusion of Solano County in EBBC’s proposed Consortia region. The Consortia Account Guidelines in D.25-11-003 do not provide for a formal opposition process. CD </w:t>
      </w:r>
      <w:r w:rsidR="00740E53">
        <w:rPr>
          <w:rFonts w:ascii="Palatino Linotype" w:hAnsi="Palatino Linotype"/>
        </w:rPr>
        <w:t>acknowledges</w:t>
      </w:r>
      <w:r w:rsidR="00FD1AB5">
        <w:rPr>
          <w:rFonts w:ascii="Palatino Linotype" w:hAnsi="Palatino Linotype"/>
        </w:rPr>
        <w:t xml:space="preserve"> the opposition letter submitted by </w:t>
      </w:r>
      <w:r w:rsidR="007E6066">
        <w:rPr>
          <w:rFonts w:ascii="Palatino Linotype" w:hAnsi="Palatino Linotype"/>
        </w:rPr>
        <w:t>Fair</w:t>
      </w:r>
      <w:r w:rsidR="00490ADE">
        <w:rPr>
          <w:rFonts w:ascii="Palatino Linotype" w:hAnsi="Palatino Linotype"/>
        </w:rPr>
        <w:t>field-Suisun Chamber of Commerce</w:t>
      </w:r>
      <w:r w:rsidR="00FD1AB5">
        <w:rPr>
          <w:rFonts w:ascii="Palatino Linotype" w:hAnsi="Palatino Linotype"/>
        </w:rPr>
        <w:t>.</w:t>
      </w:r>
      <w:r w:rsidR="00FD1AB5" w:rsidDel="00490ADE">
        <w:rPr>
          <w:rFonts w:ascii="Palatino Linotype" w:hAnsi="Palatino Linotype"/>
        </w:rPr>
        <w:t xml:space="preserve"> </w:t>
      </w:r>
    </w:p>
  </w:footnote>
  <w:footnote w:id="15">
    <w:p w14:paraId="5DE2A98B" w14:textId="2E79B520" w:rsidR="00F22D22" w:rsidRDefault="00F22D22">
      <w:pPr>
        <w:pStyle w:val="FootnoteText"/>
      </w:pPr>
      <w:r>
        <w:rPr>
          <w:rStyle w:val="FootnoteReference"/>
        </w:rPr>
        <w:footnoteRef/>
      </w:r>
      <w:r>
        <w:rPr>
          <w:b/>
          <w:bCs/>
        </w:rPr>
        <w:t xml:space="preserve"> </w:t>
      </w:r>
      <w:r w:rsidRPr="00EA6956">
        <w:rPr>
          <w:rFonts w:ascii="Palatino Linotype" w:hAnsi="Palatino Linotype"/>
        </w:rPr>
        <w:t xml:space="preserve">Under D.25-11-003, a first-time Consortia grantee may request an initial start-up cost budget, up to 25 percent of the entire grant, for identified start-up activities in the Work Plan with an expected timeframe and deliverables. Start-up costs can include administrative expenses, </w:t>
      </w:r>
      <w:r w:rsidR="00381195" w:rsidRPr="00EA6956">
        <w:rPr>
          <w:rFonts w:ascii="Palatino Linotype" w:hAnsi="Palatino Linotype"/>
        </w:rPr>
        <w:t xml:space="preserve">as well as </w:t>
      </w:r>
      <w:r w:rsidR="00445A9B" w:rsidRPr="00EA6956">
        <w:rPr>
          <w:rFonts w:ascii="Palatino Linotype" w:hAnsi="Palatino Linotype"/>
        </w:rPr>
        <w:t>activities needed</w:t>
      </w:r>
      <w:r w:rsidR="00381195" w:rsidRPr="00EA6956">
        <w:rPr>
          <w:rFonts w:ascii="Palatino Linotype" w:hAnsi="Palatino Linotype"/>
        </w:rPr>
        <w:t xml:space="preserve"> to launch the approved consortium work plan</w:t>
      </w:r>
      <w:r w:rsidR="00445A9B" w:rsidRPr="00EA6956">
        <w:rPr>
          <w:rFonts w:ascii="Palatino Linotype" w:hAnsi="Palatino Linotype"/>
        </w:rPr>
        <w:t>. Start-up costs</w:t>
      </w:r>
      <w:r w:rsidRPr="00EA6956">
        <w:rPr>
          <w:rFonts w:ascii="Palatino Linotype" w:hAnsi="Palatino Linotype"/>
        </w:rPr>
        <w:t xml:space="preserve"> must be supported by a Start-up Report </w:t>
      </w:r>
      <w:r w:rsidR="00445A9B" w:rsidRPr="00EA6956">
        <w:rPr>
          <w:rFonts w:ascii="Palatino Linotype" w:hAnsi="Palatino Linotype"/>
        </w:rPr>
        <w:t>with</w:t>
      </w:r>
      <w:r w:rsidRPr="00EA6956">
        <w:rPr>
          <w:rFonts w:ascii="Palatino Linotype" w:hAnsi="Palatino Linotype"/>
        </w:rPr>
        <w:t xml:space="preserve"> itemized accounting and detailed documentation.</w:t>
      </w:r>
    </w:p>
  </w:footnote>
  <w:footnote w:id="16">
    <w:p w14:paraId="10AE8A52" w14:textId="77777777" w:rsidR="003162F2" w:rsidRPr="005200FA" w:rsidRDefault="003162F2" w:rsidP="003162F2">
      <w:pPr>
        <w:pStyle w:val="FootnoteText"/>
        <w:rPr>
          <w:rFonts w:ascii="Palatino Linotype" w:hAnsi="Palatino Linotype"/>
        </w:rPr>
      </w:pPr>
      <w:r w:rsidRPr="005200FA">
        <w:rPr>
          <w:rStyle w:val="FootnoteReference"/>
          <w:rFonts w:ascii="Palatino Linotype" w:hAnsi="Palatino Linotype"/>
        </w:rPr>
        <w:footnoteRef/>
      </w:r>
      <w:r w:rsidRPr="005200FA">
        <w:rPr>
          <w:rFonts w:ascii="Palatino Linotype" w:hAnsi="Palatino Linotype"/>
        </w:rPr>
        <w:t xml:space="preserve"> D.25-11-003, Appendix C limits Consortia funding to specified eligible deployment support activities and requires that each grantee use grant funds solely for the approved project as described in the Commission-approved Work Plan and Performance Metrics Plan; payment requests must be supported by verifiable documentation. </w:t>
      </w:r>
    </w:p>
  </w:footnote>
  <w:footnote w:id="17">
    <w:p w14:paraId="1C1DB569" w14:textId="067BBC29" w:rsidR="00104228" w:rsidRDefault="00104228">
      <w:pPr>
        <w:pStyle w:val="FootnoteText"/>
      </w:pPr>
      <w:r w:rsidRPr="0057099A">
        <w:rPr>
          <w:rStyle w:val="FootnoteReference"/>
          <w:rFonts w:ascii="Palatino Linotype" w:hAnsi="Palatino Linotype"/>
        </w:rPr>
        <w:footnoteRef/>
      </w:r>
      <w:r>
        <w:t xml:space="preserve"> </w:t>
      </w:r>
      <w:r w:rsidRPr="0057099A">
        <w:rPr>
          <w:rFonts w:ascii="Palatino Linotype" w:hAnsi="Palatino Linotype"/>
        </w:rPr>
        <w:t xml:space="preserve">On May 21, 2026, the County of Santa Clara sent comments to staff after a good faith attempt at submitting to the CASF Distribution List before the deadline. </w:t>
      </w:r>
    </w:p>
  </w:footnote>
  <w:footnote w:id="18">
    <w:p w14:paraId="18B2B9BB" w14:textId="29DEB8F2" w:rsidR="0022701E" w:rsidRPr="000B65DD" w:rsidRDefault="0022701E">
      <w:pPr>
        <w:pStyle w:val="FootnoteText"/>
        <w:rPr>
          <w:rFonts w:ascii="Palatino Linotype" w:hAnsi="Palatino Linotype"/>
        </w:rPr>
      </w:pPr>
      <w:r w:rsidRPr="0057099A">
        <w:rPr>
          <w:rStyle w:val="FootnoteReference"/>
          <w:rFonts w:ascii="Palatino Linotype" w:hAnsi="Palatino Linotype"/>
        </w:rPr>
        <w:footnoteRef/>
      </w:r>
      <w:r w:rsidRPr="0057099A">
        <w:rPr>
          <w:rStyle w:val="FootnoteReference"/>
        </w:rPr>
        <w:t xml:space="preserve"> </w:t>
      </w:r>
      <w:r w:rsidRPr="000B65DD">
        <w:rPr>
          <w:rFonts w:ascii="Palatino Linotype" w:hAnsi="Palatino Linotype"/>
        </w:rPr>
        <w:t xml:space="preserve">The County of San Mateo comments, at </w:t>
      </w:r>
      <w:proofErr w:type="gramStart"/>
      <w:r w:rsidRPr="000B65DD">
        <w:rPr>
          <w:rFonts w:ascii="Palatino Linotype" w:hAnsi="Palatino Linotype"/>
        </w:rPr>
        <w:t>3</w:t>
      </w:r>
      <w:r w:rsidR="008225AF">
        <w:rPr>
          <w:rFonts w:ascii="Palatino Linotype" w:hAnsi="Palatino Linotype"/>
        </w:rPr>
        <w:t xml:space="preserve"> ;</w:t>
      </w:r>
      <w:proofErr w:type="gramEnd"/>
      <w:r w:rsidR="008225AF">
        <w:rPr>
          <w:rFonts w:ascii="Palatino Linotype" w:hAnsi="Palatino Linotype"/>
        </w:rPr>
        <w:t xml:space="preserve"> The County of Santa Clara comments, at 2</w:t>
      </w:r>
    </w:p>
  </w:footnote>
  <w:footnote w:id="19">
    <w:p w14:paraId="22D304E9" w14:textId="0D7D5AD7" w:rsidR="008225AF" w:rsidRDefault="008225AF">
      <w:pPr>
        <w:pStyle w:val="FootnoteText"/>
      </w:pPr>
      <w:r w:rsidRPr="0057099A">
        <w:rPr>
          <w:rStyle w:val="FootnoteReference"/>
          <w:rFonts w:ascii="Palatino Linotype" w:hAnsi="Palatino Linotype"/>
        </w:rPr>
        <w:footnoteRef/>
      </w:r>
      <w:r w:rsidRPr="0057099A">
        <w:rPr>
          <w:rStyle w:val="FootnoteReference"/>
          <w:rFonts w:ascii="Palatino Linotype" w:hAnsi="Palatino Linotype"/>
        </w:rPr>
        <w:t xml:space="preserve"> </w:t>
      </w:r>
      <w:r w:rsidRPr="00D501FF">
        <w:rPr>
          <w:rFonts w:ascii="Palatino Linotype" w:hAnsi="Palatino Linotype"/>
        </w:rPr>
        <w:t>D.25-11-003, Appendix C, p. 14.</w:t>
      </w:r>
    </w:p>
  </w:footnote>
  <w:footnote w:id="20">
    <w:p w14:paraId="3D934A37" w14:textId="01B0D981" w:rsidR="0022701E" w:rsidRDefault="0022701E">
      <w:pPr>
        <w:pStyle w:val="FootnoteText"/>
      </w:pPr>
      <w:r w:rsidRPr="0057099A">
        <w:rPr>
          <w:rStyle w:val="FootnoteReference"/>
          <w:rFonts w:ascii="Palatino Linotype" w:hAnsi="Palatino Linotype"/>
        </w:rPr>
        <w:footnoteRef/>
      </w:r>
      <w:r w:rsidRPr="0057099A">
        <w:rPr>
          <w:rStyle w:val="FootnoteReference"/>
          <w:rFonts w:ascii="Palatino Linotype" w:hAnsi="Palatino Linotype"/>
        </w:rPr>
        <w:t xml:space="preserve"> </w:t>
      </w:r>
      <w:r w:rsidRPr="000B65DD">
        <w:rPr>
          <w:rFonts w:ascii="Palatino Linotype" w:hAnsi="Palatino Linotype"/>
        </w:rPr>
        <w:t xml:space="preserve">The County of San Mateo comments, at </w:t>
      </w:r>
      <w:proofErr w:type="gramStart"/>
      <w:r w:rsidRPr="000B65DD">
        <w:rPr>
          <w:rFonts w:ascii="Palatino Linotype" w:hAnsi="Palatino Linotype"/>
        </w:rPr>
        <w:t>6</w:t>
      </w:r>
      <w:r w:rsidR="008225AF">
        <w:rPr>
          <w:rFonts w:ascii="Palatino Linotype" w:hAnsi="Palatino Linotype"/>
        </w:rPr>
        <w:t xml:space="preserve"> ;</w:t>
      </w:r>
      <w:proofErr w:type="gramEnd"/>
      <w:r w:rsidR="008225AF">
        <w:rPr>
          <w:rFonts w:ascii="Palatino Linotype" w:hAnsi="Palatino Linotype"/>
        </w:rPr>
        <w:t xml:space="preserve"> The County of Santa Clara comments, at 5</w:t>
      </w:r>
    </w:p>
  </w:footnote>
  <w:footnote w:id="21">
    <w:p w14:paraId="28E7707C" w14:textId="68880CB1" w:rsidR="00CA1552" w:rsidRPr="00506D42" w:rsidRDefault="00CA1552">
      <w:pPr>
        <w:pStyle w:val="FootnoteText"/>
        <w:rPr>
          <w:rFonts w:ascii="Palatino Linotype" w:hAnsi="Palatino Linotype"/>
        </w:rPr>
      </w:pPr>
      <w:r w:rsidRPr="00506D42">
        <w:rPr>
          <w:rStyle w:val="FootnoteReference"/>
          <w:rFonts w:ascii="Palatino Linotype" w:hAnsi="Palatino Linotype"/>
        </w:rPr>
        <w:footnoteRef/>
      </w:r>
      <w:r w:rsidRPr="00506D42">
        <w:rPr>
          <w:rFonts w:ascii="Palatino Linotype" w:hAnsi="Palatino Linotype"/>
        </w:rPr>
        <w:t xml:space="preserve"> </w:t>
      </w:r>
      <w:r w:rsidR="00372C96" w:rsidRPr="00EA6956">
        <w:rPr>
          <w:rFonts w:ascii="Palatino Linotype" w:eastAsia="Palatino Linotype" w:hAnsi="Palatino Linotype" w:cs="Palatino Linotype"/>
        </w:rPr>
        <w:t>Pub. Util. Code</w:t>
      </w:r>
      <w:bookmarkStart w:id="1" w:name="_cp_change_221"/>
      <w:r w:rsidR="00372C96" w:rsidRPr="00EA6956">
        <w:rPr>
          <w:rFonts w:ascii="Palatino Linotype" w:eastAsia="Palatino Linotype" w:hAnsi="Palatino Linotype" w:cs="Palatino Linotype"/>
          <w:color w:val="0000FF"/>
          <w:u w:val="double" w:color="0000FF"/>
        </w:rPr>
        <w:t>,</w:t>
      </w:r>
      <w:bookmarkEnd w:id="1"/>
      <w:r w:rsidR="00372C96" w:rsidRPr="00EA6956">
        <w:rPr>
          <w:rFonts w:ascii="Palatino Linotype" w:eastAsia="Palatino Linotype" w:hAnsi="Palatino Linotype" w:cs="Palatino Linotype"/>
        </w:rPr>
        <w:t xml:space="preserve"> § 281 requires</w:t>
      </w:r>
      <w:r w:rsidR="00372C96" w:rsidRPr="00EA6956">
        <w:rPr>
          <w:rFonts w:ascii="Palatino Linotype" w:eastAsia="Palatino Linotype" w:hAnsi="Palatino Linotype" w:cs="Palatino Linotype"/>
          <w:spacing w:val="-2"/>
        </w:rPr>
        <w:t xml:space="preserve"> </w:t>
      </w:r>
      <w:r w:rsidR="00372C96" w:rsidRPr="00EA6956">
        <w:rPr>
          <w:rFonts w:ascii="Palatino Linotype" w:eastAsia="Palatino Linotype" w:hAnsi="Palatino Linotype" w:cs="Palatino Linotype"/>
        </w:rPr>
        <w:t>each</w:t>
      </w:r>
      <w:r w:rsidR="00372C96" w:rsidRPr="00EA6956">
        <w:rPr>
          <w:rFonts w:ascii="Palatino Linotype" w:eastAsia="Palatino Linotype" w:hAnsi="Palatino Linotype" w:cs="Palatino Linotype"/>
          <w:spacing w:val="-2"/>
        </w:rPr>
        <w:t xml:space="preserve"> </w:t>
      </w:r>
      <w:r w:rsidR="00372C96" w:rsidRPr="00EA6956">
        <w:rPr>
          <w:rFonts w:ascii="Palatino Linotype" w:eastAsia="Palatino Linotype" w:hAnsi="Palatino Linotype" w:cs="Palatino Linotype"/>
        </w:rPr>
        <w:t>consortium</w:t>
      </w:r>
      <w:r w:rsidR="00372C96" w:rsidRPr="00EA6956">
        <w:rPr>
          <w:rFonts w:ascii="Palatino Linotype" w:eastAsia="Palatino Linotype" w:hAnsi="Palatino Linotype" w:cs="Palatino Linotype"/>
          <w:spacing w:val="-2"/>
        </w:rPr>
        <w:t xml:space="preserve"> </w:t>
      </w:r>
      <w:r w:rsidR="00372C96" w:rsidRPr="00EA6956">
        <w:rPr>
          <w:rFonts w:ascii="Palatino Linotype" w:eastAsia="Palatino Linotype" w:hAnsi="Palatino Linotype" w:cs="Palatino Linotype"/>
        </w:rPr>
        <w:t>to</w:t>
      </w:r>
      <w:r w:rsidR="00D14E8A" w:rsidRPr="00EA6956">
        <w:rPr>
          <w:rFonts w:ascii="Palatino Linotype" w:eastAsia="Palatino Linotype" w:hAnsi="Palatino Linotype" w:cs="Palatino Linotype"/>
        </w:rPr>
        <w:t xml:space="preserve"> submit to the Commission an annual report that</w:t>
      </w:r>
      <w:r w:rsidR="00D14E8A" w:rsidRPr="00EA6956">
        <w:rPr>
          <w:rFonts w:ascii="Palatino Linotype" w:eastAsia="Palatino Linotype" w:hAnsi="Palatino Linotype" w:cs="Palatino Linotype"/>
          <w:spacing w:val="1"/>
        </w:rPr>
        <w:t xml:space="preserve"> </w:t>
      </w:r>
      <w:r w:rsidR="00D14E8A" w:rsidRPr="00EA6956">
        <w:rPr>
          <w:rFonts w:ascii="Palatino Linotype" w:eastAsia="Palatino Linotype" w:hAnsi="Palatino Linotype" w:cs="Palatino Linotype"/>
        </w:rPr>
        <w:t xml:space="preserve">includes </w:t>
      </w:r>
      <w:r w:rsidR="009801FE" w:rsidRPr="00EA6956">
        <w:rPr>
          <w:rFonts w:ascii="Palatino Linotype" w:eastAsia="Palatino Linotype" w:hAnsi="Palatino Linotype" w:cs="Palatino Linotype"/>
        </w:rPr>
        <w:t>a description of activities completed during the prior year, how each activity promotes the deployment of broadband services, and the cost associated with each activity</w:t>
      </w:r>
      <w:r w:rsidR="00534D5E" w:rsidRPr="00EA6956">
        <w:rPr>
          <w:rFonts w:ascii="Palatino Linotype" w:eastAsia="Palatino Linotype" w:hAnsi="Palatino Linotype" w:cs="Palatino Linotype"/>
        </w:rPr>
        <w:t xml:space="preserve">, as well as </w:t>
      </w:r>
      <w:r w:rsidR="000C2C54" w:rsidRPr="00EA6956">
        <w:rPr>
          <w:rFonts w:ascii="Palatino Linotype" w:eastAsia="Palatino Linotype" w:hAnsi="Palatino Linotype" w:cs="Palatino Linotype"/>
        </w:rPr>
        <w:t>the number of project applications assisted.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FCE"/>
    <w:multiLevelType w:val="multilevel"/>
    <w:tmpl w:val="70946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BE8AD"/>
    <w:multiLevelType w:val="hybridMultilevel"/>
    <w:tmpl w:val="275C43CE"/>
    <w:lvl w:ilvl="0" w:tplc="CB6A2F62">
      <w:start w:val="1"/>
      <w:numFmt w:val="bullet"/>
      <w:lvlText w:val=""/>
      <w:lvlJc w:val="left"/>
      <w:pPr>
        <w:ind w:left="720" w:hanging="360"/>
      </w:pPr>
      <w:rPr>
        <w:rFonts w:ascii="Symbol" w:hAnsi="Symbol" w:hint="default"/>
      </w:rPr>
    </w:lvl>
    <w:lvl w:ilvl="1" w:tplc="3BCC4DEE">
      <w:start w:val="1"/>
      <w:numFmt w:val="bullet"/>
      <w:lvlText w:val="o"/>
      <w:lvlJc w:val="left"/>
      <w:pPr>
        <w:ind w:left="1440" w:hanging="360"/>
      </w:pPr>
      <w:rPr>
        <w:rFonts w:ascii="Courier New" w:hAnsi="Courier New" w:hint="default"/>
      </w:rPr>
    </w:lvl>
    <w:lvl w:ilvl="2" w:tplc="09D0E690">
      <w:start w:val="1"/>
      <w:numFmt w:val="bullet"/>
      <w:lvlText w:val=""/>
      <w:lvlJc w:val="left"/>
      <w:pPr>
        <w:ind w:left="2160" w:hanging="360"/>
      </w:pPr>
      <w:rPr>
        <w:rFonts w:ascii="Wingdings" w:hAnsi="Wingdings" w:hint="default"/>
      </w:rPr>
    </w:lvl>
    <w:lvl w:ilvl="3" w:tplc="CF92AB4E">
      <w:start w:val="1"/>
      <w:numFmt w:val="bullet"/>
      <w:lvlText w:val=""/>
      <w:lvlJc w:val="left"/>
      <w:pPr>
        <w:ind w:left="2880" w:hanging="360"/>
      </w:pPr>
      <w:rPr>
        <w:rFonts w:ascii="Symbol" w:hAnsi="Symbol" w:hint="default"/>
      </w:rPr>
    </w:lvl>
    <w:lvl w:ilvl="4" w:tplc="727C7E7C">
      <w:start w:val="1"/>
      <w:numFmt w:val="bullet"/>
      <w:lvlText w:val="o"/>
      <w:lvlJc w:val="left"/>
      <w:pPr>
        <w:ind w:left="3600" w:hanging="360"/>
      </w:pPr>
      <w:rPr>
        <w:rFonts w:ascii="Courier New" w:hAnsi="Courier New" w:hint="default"/>
      </w:rPr>
    </w:lvl>
    <w:lvl w:ilvl="5" w:tplc="E904E52E">
      <w:start w:val="1"/>
      <w:numFmt w:val="bullet"/>
      <w:lvlText w:val=""/>
      <w:lvlJc w:val="left"/>
      <w:pPr>
        <w:ind w:left="4320" w:hanging="360"/>
      </w:pPr>
      <w:rPr>
        <w:rFonts w:ascii="Wingdings" w:hAnsi="Wingdings" w:hint="default"/>
      </w:rPr>
    </w:lvl>
    <w:lvl w:ilvl="6" w:tplc="A6B62020">
      <w:start w:val="1"/>
      <w:numFmt w:val="bullet"/>
      <w:lvlText w:val=""/>
      <w:lvlJc w:val="left"/>
      <w:pPr>
        <w:ind w:left="5040" w:hanging="360"/>
      </w:pPr>
      <w:rPr>
        <w:rFonts w:ascii="Symbol" w:hAnsi="Symbol" w:hint="default"/>
      </w:rPr>
    </w:lvl>
    <w:lvl w:ilvl="7" w:tplc="D958C678">
      <w:start w:val="1"/>
      <w:numFmt w:val="bullet"/>
      <w:lvlText w:val="o"/>
      <w:lvlJc w:val="left"/>
      <w:pPr>
        <w:ind w:left="5760" w:hanging="360"/>
      </w:pPr>
      <w:rPr>
        <w:rFonts w:ascii="Courier New" w:hAnsi="Courier New" w:hint="default"/>
      </w:rPr>
    </w:lvl>
    <w:lvl w:ilvl="8" w:tplc="7EEC962C">
      <w:start w:val="1"/>
      <w:numFmt w:val="bullet"/>
      <w:lvlText w:val=""/>
      <w:lvlJc w:val="left"/>
      <w:pPr>
        <w:ind w:left="6480" w:hanging="360"/>
      </w:pPr>
      <w:rPr>
        <w:rFonts w:ascii="Wingdings" w:hAnsi="Wingdings" w:hint="default"/>
      </w:rPr>
    </w:lvl>
  </w:abstractNum>
  <w:abstractNum w:abstractNumId="2" w15:restartNumberingAfterBreak="0">
    <w:nsid w:val="05A4143B"/>
    <w:multiLevelType w:val="hybridMultilevel"/>
    <w:tmpl w:val="54E43DE0"/>
    <w:lvl w:ilvl="0" w:tplc="0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A649F"/>
    <w:multiLevelType w:val="multilevel"/>
    <w:tmpl w:val="C4FED6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140D4"/>
    <w:multiLevelType w:val="hybridMultilevel"/>
    <w:tmpl w:val="D11E1C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0C6E7A78"/>
    <w:multiLevelType w:val="hybridMultilevel"/>
    <w:tmpl w:val="24FEA1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C6F66"/>
    <w:multiLevelType w:val="hybridMultilevel"/>
    <w:tmpl w:val="DEC02D18"/>
    <w:lvl w:ilvl="0" w:tplc="46D4BF1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2825C1"/>
    <w:multiLevelType w:val="hybridMultilevel"/>
    <w:tmpl w:val="CA94261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FF5873"/>
    <w:multiLevelType w:val="multilevel"/>
    <w:tmpl w:val="DAACA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072409"/>
    <w:multiLevelType w:val="multilevel"/>
    <w:tmpl w:val="4E6CFE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F3C72"/>
    <w:multiLevelType w:val="hybridMultilevel"/>
    <w:tmpl w:val="65083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82E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2C494F"/>
    <w:multiLevelType w:val="multilevel"/>
    <w:tmpl w:val="644E9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74376E"/>
    <w:multiLevelType w:val="multilevel"/>
    <w:tmpl w:val="7584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17262E"/>
    <w:multiLevelType w:val="hybridMultilevel"/>
    <w:tmpl w:val="D22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161E0"/>
    <w:multiLevelType w:val="multilevel"/>
    <w:tmpl w:val="2CF66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C7236"/>
    <w:multiLevelType w:val="hybridMultilevel"/>
    <w:tmpl w:val="B44A04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0" w15:restartNumberingAfterBreak="0">
    <w:nsid w:val="57E53EC4"/>
    <w:multiLevelType w:val="multilevel"/>
    <w:tmpl w:val="59B2553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47D02"/>
    <w:multiLevelType w:val="hybridMultilevel"/>
    <w:tmpl w:val="15801C64"/>
    <w:lvl w:ilvl="0" w:tplc="B6601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54EC6"/>
    <w:multiLevelType w:val="hybridMultilevel"/>
    <w:tmpl w:val="2ED89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90BFC"/>
    <w:multiLevelType w:val="multilevel"/>
    <w:tmpl w:val="8ABE0F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C4C5F"/>
    <w:multiLevelType w:val="hybridMultilevel"/>
    <w:tmpl w:val="1D2A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95D30"/>
    <w:multiLevelType w:val="hybridMultilevel"/>
    <w:tmpl w:val="A0461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67152"/>
    <w:multiLevelType w:val="hybridMultilevel"/>
    <w:tmpl w:val="50C4D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82C50"/>
    <w:multiLevelType w:val="multilevel"/>
    <w:tmpl w:val="78F24F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87101B"/>
    <w:multiLevelType w:val="hybridMultilevel"/>
    <w:tmpl w:val="1180CCA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A3C7D18">
      <w:start w:val="5"/>
      <w:numFmt w:val="bullet"/>
      <w:lvlText w:val="•"/>
      <w:lvlJc w:val="left"/>
      <w:pPr>
        <w:ind w:left="2160" w:hanging="360"/>
      </w:pPr>
      <w:rPr>
        <w:rFonts w:ascii="Palatino Linotype" w:eastAsia="Palatino Linotype" w:hAnsi="Palatino Linotype"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32" w15:restartNumberingAfterBreak="0">
    <w:nsid w:val="7C646E72"/>
    <w:multiLevelType w:val="hybridMultilevel"/>
    <w:tmpl w:val="C5B0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9D2ADD"/>
    <w:multiLevelType w:val="multilevel"/>
    <w:tmpl w:val="50A63F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842790">
    <w:abstractNumId w:val="19"/>
  </w:num>
  <w:num w:numId="2" w16cid:durableId="1991593136">
    <w:abstractNumId w:val="5"/>
  </w:num>
  <w:num w:numId="3" w16cid:durableId="1754620235">
    <w:abstractNumId w:val="13"/>
  </w:num>
  <w:num w:numId="4" w16cid:durableId="969365539">
    <w:abstractNumId w:val="29"/>
  </w:num>
  <w:num w:numId="5" w16cid:durableId="468133998">
    <w:abstractNumId w:val="21"/>
  </w:num>
  <w:num w:numId="6" w16cid:durableId="426273653">
    <w:abstractNumId w:val="31"/>
  </w:num>
  <w:num w:numId="7" w16cid:durableId="1787502701">
    <w:abstractNumId w:val="15"/>
  </w:num>
  <w:num w:numId="8" w16cid:durableId="1708096572">
    <w:abstractNumId w:val="0"/>
  </w:num>
  <w:num w:numId="9" w16cid:durableId="1745571184">
    <w:abstractNumId w:val="9"/>
  </w:num>
  <w:num w:numId="10" w16cid:durableId="261375893">
    <w:abstractNumId w:val="28"/>
  </w:num>
  <w:num w:numId="11" w16cid:durableId="579368107">
    <w:abstractNumId w:val="17"/>
  </w:num>
  <w:num w:numId="12" w16cid:durableId="489371916">
    <w:abstractNumId w:val="14"/>
  </w:num>
  <w:num w:numId="13" w16cid:durableId="1006397549">
    <w:abstractNumId w:val="10"/>
  </w:num>
  <w:num w:numId="14" w16cid:durableId="1216550134">
    <w:abstractNumId w:val="33"/>
  </w:num>
  <w:num w:numId="15" w16cid:durableId="1097092568">
    <w:abstractNumId w:val="3"/>
  </w:num>
  <w:num w:numId="16" w16cid:durableId="1697349617">
    <w:abstractNumId w:val="11"/>
  </w:num>
  <w:num w:numId="17" w16cid:durableId="221452480">
    <w:abstractNumId w:val="30"/>
  </w:num>
  <w:num w:numId="18" w16cid:durableId="1811707890">
    <w:abstractNumId w:val="1"/>
  </w:num>
  <w:num w:numId="19" w16cid:durableId="1383360583">
    <w:abstractNumId w:val="16"/>
  </w:num>
  <w:num w:numId="20" w16cid:durableId="1705136669">
    <w:abstractNumId w:val="22"/>
  </w:num>
  <w:num w:numId="21" w16cid:durableId="2039891694">
    <w:abstractNumId w:val="23"/>
  </w:num>
  <w:num w:numId="22" w16cid:durableId="157156540">
    <w:abstractNumId w:val="26"/>
  </w:num>
  <w:num w:numId="23" w16cid:durableId="374618831">
    <w:abstractNumId w:val="25"/>
  </w:num>
  <w:num w:numId="24" w16cid:durableId="411313327">
    <w:abstractNumId w:val="32"/>
  </w:num>
  <w:num w:numId="25" w16cid:durableId="1534538620">
    <w:abstractNumId w:val="18"/>
  </w:num>
  <w:num w:numId="26" w16cid:durableId="1016543342">
    <w:abstractNumId w:val="4"/>
  </w:num>
  <w:num w:numId="27" w16cid:durableId="393243547">
    <w:abstractNumId w:val="8"/>
  </w:num>
  <w:num w:numId="28" w16cid:durableId="1640722310">
    <w:abstractNumId w:val="2"/>
  </w:num>
  <w:num w:numId="29" w16cid:durableId="2102140182">
    <w:abstractNumId w:val="7"/>
  </w:num>
  <w:num w:numId="30" w16cid:durableId="224874101">
    <w:abstractNumId w:val="12"/>
  </w:num>
  <w:num w:numId="31" w16cid:durableId="914390916">
    <w:abstractNumId w:val="20"/>
  </w:num>
  <w:num w:numId="32" w16cid:durableId="569770009">
    <w:abstractNumId w:val="24"/>
  </w:num>
  <w:num w:numId="33" w16cid:durableId="79565747">
    <w:abstractNumId w:val="27"/>
  </w:num>
  <w:num w:numId="34" w16cid:durableId="608900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21"/>
    <w:rsid w:val="000005AB"/>
    <w:rsid w:val="00000CE2"/>
    <w:rsid w:val="00000DAA"/>
    <w:rsid w:val="00001065"/>
    <w:rsid w:val="00001650"/>
    <w:rsid w:val="00001B63"/>
    <w:rsid w:val="00005FB3"/>
    <w:rsid w:val="00006367"/>
    <w:rsid w:val="0000666B"/>
    <w:rsid w:val="00006941"/>
    <w:rsid w:val="00006C15"/>
    <w:rsid w:val="0001030B"/>
    <w:rsid w:val="00010778"/>
    <w:rsid w:val="00010E21"/>
    <w:rsid w:val="00012305"/>
    <w:rsid w:val="0001256E"/>
    <w:rsid w:val="0001301D"/>
    <w:rsid w:val="00014752"/>
    <w:rsid w:val="00015234"/>
    <w:rsid w:val="00015B58"/>
    <w:rsid w:val="00017488"/>
    <w:rsid w:val="000201BD"/>
    <w:rsid w:val="000210AF"/>
    <w:rsid w:val="00021A5F"/>
    <w:rsid w:val="000239A8"/>
    <w:rsid w:val="00023FAB"/>
    <w:rsid w:val="00024751"/>
    <w:rsid w:val="0002609C"/>
    <w:rsid w:val="00026BBD"/>
    <w:rsid w:val="00026F2D"/>
    <w:rsid w:val="00030D1F"/>
    <w:rsid w:val="000326F2"/>
    <w:rsid w:val="00032C26"/>
    <w:rsid w:val="000333EB"/>
    <w:rsid w:val="000363DB"/>
    <w:rsid w:val="0003658E"/>
    <w:rsid w:val="000371DA"/>
    <w:rsid w:val="00037595"/>
    <w:rsid w:val="0004014D"/>
    <w:rsid w:val="0004032F"/>
    <w:rsid w:val="000411F4"/>
    <w:rsid w:val="000419EB"/>
    <w:rsid w:val="00043299"/>
    <w:rsid w:val="000437C5"/>
    <w:rsid w:val="00044EF9"/>
    <w:rsid w:val="00044F07"/>
    <w:rsid w:val="000456B2"/>
    <w:rsid w:val="000509C3"/>
    <w:rsid w:val="00050CE9"/>
    <w:rsid w:val="000518EB"/>
    <w:rsid w:val="00051D89"/>
    <w:rsid w:val="0005235E"/>
    <w:rsid w:val="00052EF3"/>
    <w:rsid w:val="00053D87"/>
    <w:rsid w:val="00055838"/>
    <w:rsid w:val="000558C9"/>
    <w:rsid w:val="00055E9D"/>
    <w:rsid w:val="00056638"/>
    <w:rsid w:val="00056B4A"/>
    <w:rsid w:val="00056EF3"/>
    <w:rsid w:val="00056FA6"/>
    <w:rsid w:val="000574E2"/>
    <w:rsid w:val="00060384"/>
    <w:rsid w:val="0006299B"/>
    <w:rsid w:val="00062B40"/>
    <w:rsid w:val="000632E7"/>
    <w:rsid w:val="00063AF3"/>
    <w:rsid w:val="00065026"/>
    <w:rsid w:val="00065CE4"/>
    <w:rsid w:val="00066C91"/>
    <w:rsid w:val="00066EE5"/>
    <w:rsid w:val="00067993"/>
    <w:rsid w:val="0007142F"/>
    <w:rsid w:val="00072DCF"/>
    <w:rsid w:val="00072F52"/>
    <w:rsid w:val="00073474"/>
    <w:rsid w:val="00073F4D"/>
    <w:rsid w:val="0007699E"/>
    <w:rsid w:val="00076A80"/>
    <w:rsid w:val="00076E39"/>
    <w:rsid w:val="00077969"/>
    <w:rsid w:val="00081C2F"/>
    <w:rsid w:val="00084113"/>
    <w:rsid w:val="00084388"/>
    <w:rsid w:val="00084B22"/>
    <w:rsid w:val="00087409"/>
    <w:rsid w:val="000911B3"/>
    <w:rsid w:val="00091681"/>
    <w:rsid w:val="00093326"/>
    <w:rsid w:val="000942F9"/>
    <w:rsid w:val="000967BE"/>
    <w:rsid w:val="00096E7B"/>
    <w:rsid w:val="0009722A"/>
    <w:rsid w:val="0009727A"/>
    <w:rsid w:val="00097AC8"/>
    <w:rsid w:val="00097CCE"/>
    <w:rsid w:val="000A07CB"/>
    <w:rsid w:val="000A0928"/>
    <w:rsid w:val="000A0A18"/>
    <w:rsid w:val="000A12D3"/>
    <w:rsid w:val="000A2B55"/>
    <w:rsid w:val="000A39E5"/>
    <w:rsid w:val="000A5C65"/>
    <w:rsid w:val="000A6489"/>
    <w:rsid w:val="000B08CB"/>
    <w:rsid w:val="000B0A58"/>
    <w:rsid w:val="000B103A"/>
    <w:rsid w:val="000B191B"/>
    <w:rsid w:val="000B228B"/>
    <w:rsid w:val="000B37CB"/>
    <w:rsid w:val="000B3ECE"/>
    <w:rsid w:val="000B3F96"/>
    <w:rsid w:val="000B4814"/>
    <w:rsid w:val="000B554F"/>
    <w:rsid w:val="000B560F"/>
    <w:rsid w:val="000B5F85"/>
    <w:rsid w:val="000B65DD"/>
    <w:rsid w:val="000B65F2"/>
    <w:rsid w:val="000B7B3C"/>
    <w:rsid w:val="000B7BAB"/>
    <w:rsid w:val="000C01C8"/>
    <w:rsid w:val="000C03E7"/>
    <w:rsid w:val="000C0E16"/>
    <w:rsid w:val="000C0E52"/>
    <w:rsid w:val="000C1B56"/>
    <w:rsid w:val="000C2C54"/>
    <w:rsid w:val="000C5402"/>
    <w:rsid w:val="000C5C8E"/>
    <w:rsid w:val="000C6E08"/>
    <w:rsid w:val="000C71F4"/>
    <w:rsid w:val="000C7911"/>
    <w:rsid w:val="000D23FC"/>
    <w:rsid w:val="000D2701"/>
    <w:rsid w:val="000D3078"/>
    <w:rsid w:val="000D30F7"/>
    <w:rsid w:val="000D4714"/>
    <w:rsid w:val="000D4BD0"/>
    <w:rsid w:val="000D7006"/>
    <w:rsid w:val="000D76DB"/>
    <w:rsid w:val="000E01F7"/>
    <w:rsid w:val="000E048B"/>
    <w:rsid w:val="000E050A"/>
    <w:rsid w:val="000E1957"/>
    <w:rsid w:val="000E247D"/>
    <w:rsid w:val="000E2EE9"/>
    <w:rsid w:val="000E3E67"/>
    <w:rsid w:val="000E3E6D"/>
    <w:rsid w:val="000E3FD2"/>
    <w:rsid w:val="000E4015"/>
    <w:rsid w:val="000E5832"/>
    <w:rsid w:val="000F099F"/>
    <w:rsid w:val="000F0EA0"/>
    <w:rsid w:val="000F14A5"/>
    <w:rsid w:val="000F1853"/>
    <w:rsid w:val="000F1AF8"/>
    <w:rsid w:val="000F1BDB"/>
    <w:rsid w:val="000F24AF"/>
    <w:rsid w:val="000F2528"/>
    <w:rsid w:val="000F4311"/>
    <w:rsid w:val="000F4AE4"/>
    <w:rsid w:val="000F4BCC"/>
    <w:rsid w:val="000F6CFC"/>
    <w:rsid w:val="000F728C"/>
    <w:rsid w:val="001002DF"/>
    <w:rsid w:val="00100EA6"/>
    <w:rsid w:val="00101AF2"/>
    <w:rsid w:val="00101E20"/>
    <w:rsid w:val="00102582"/>
    <w:rsid w:val="00102859"/>
    <w:rsid w:val="00102AA5"/>
    <w:rsid w:val="00103253"/>
    <w:rsid w:val="00103C56"/>
    <w:rsid w:val="00104228"/>
    <w:rsid w:val="001046A0"/>
    <w:rsid w:val="00104F23"/>
    <w:rsid w:val="00105668"/>
    <w:rsid w:val="00106761"/>
    <w:rsid w:val="001068EF"/>
    <w:rsid w:val="00107F92"/>
    <w:rsid w:val="001119DE"/>
    <w:rsid w:val="00111A6C"/>
    <w:rsid w:val="00112C4F"/>
    <w:rsid w:val="00112D01"/>
    <w:rsid w:val="00113133"/>
    <w:rsid w:val="00113852"/>
    <w:rsid w:val="0011419C"/>
    <w:rsid w:val="001148BC"/>
    <w:rsid w:val="00115801"/>
    <w:rsid w:val="00115849"/>
    <w:rsid w:val="00115C8A"/>
    <w:rsid w:val="00116BB1"/>
    <w:rsid w:val="00116E5B"/>
    <w:rsid w:val="00117444"/>
    <w:rsid w:val="001202D7"/>
    <w:rsid w:val="00120EC1"/>
    <w:rsid w:val="001211CD"/>
    <w:rsid w:val="00121355"/>
    <w:rsid w:val="00121500"/>
    <w:rsid w:val="00122B00"/>
    <w:rsid w:val="00122DF1"/>
    <w:rsid w:val="00123315"/>
    <w:rsid w:val="00125BB8"/>
    <w:rsid w:val="001262B1"/>
    <w:rsid w:val="001266C2"/>
    <w:rsid w:val="00127001"/>
    <w:rsid w:val="00127077"/>
    <w:rsid w:val="0012786B"/>
    <w:rsid w:val="00127D56"/>
    <w:rsid w:val="00127ED6"/>
    <w:rsid w:val="0013080F"/>
    <w:rsid w:val="001316F9"/>
    <w:rsid w:val="0013198E"/>
    <w:rsid w:val="00132928"/>
    <w:rsid w:val="00132B18"/>
    <w:rsid w:val="00132DCD"/>
    <w:rsid w:val="00132EF1"/>
    <w:rsid w:val="001331C4"/>
    <w:rsid w:val="0013354D"/>
    <w:rsid w:val="0013365D"/>
    <w:rsid w:val="00133AF5"/>
    <w:rsid w:val="00133B89"/>
    <w:rsid w:val="001342CD"/>
    <w:rsid w:val="0013453B"/>
    <w:rsid w:val="0013453C"/>
    <w:rsid w:val="001354E9"/>
    <w:rsid w:val="0013569B"/>
    <w:rsid w:val="001377A7"/>
    <w:rsid w:val="0014132D"/>
    <w:rsid w:val="00142873"/>
    <w:rsid w:val="001448D1"/>
    <w:rsid w:val="00144CD1"/>
    <w:rsid w:val="0014532A"/>
    <w:rsid w:val="00146CD3"/>
    <w:rsid w:val="00146DDC"/>
    <w:rsid w:val="00146FA1"/>
    <w:rsid w:val="00147384"/>
    <w:rsid w:val="00150B86"/>
    <w:rsid w:val="0015198C"/>
    <w:rsid w:val="0015273D"/>
    <w:rsid w:val="00152C55"/>
    <w:rsid w:val="001530C4"/>
    <w:rsid w:val="00156205"/>
    <w:rsid w:val="001570F5"/>
    <w:rsid w:val="001572E7"/>
    <w:rsid w:val="0015797B"/>
    <w:rsid w:val="00157E4F"/>
    <w:rsid w:val="00160A33"/>
    <w:rsid w:val="001615B3"/>
    <w:rsid w:val="00161C57"/>
    <w:rsid w:val="00161E85"/>
    <w:rsid w:val="00162935"/>
    <w:rsid w:val="00164B39"/>
    <w:rsid w:val="00165398"/>
    <w:rsid w:val="00165B8F"/>
    <w:rsid w:val="001664BE"/>
    <w:rsid w:val="0016757F"/>
    <w:rsid w:val="00167AAF"/>
    <w:rsid w:val="001707CC"/>
    <w:rsid w:val="00172DCB"/>
    <w:rsid w:val="0017323F"/>
    <w:rsid w:val="00173376"/>
    <w:rsid w:val="001738BE"/>
    <w:rsid w:val="00174990"/>
    <w:rsid w:val="0017504F"/>
    <w:rsid w:val="00175719"/>
    <w:rsid w:val="00176799"/>
    <w:rsid w:val="0017711E"/>
    <w:rsid w:val="00177451"/>
    <w:rsid w:val="00177468"/>
    <w:rsid w:val="00177F17"/>
    <w:rsid w:val="00180D86"/>
    <w:rsid w:val="00181442"/>
    <w:rsid w:val="00182510"/>
    <w:rsid w:val="001834CD"/>
    <w:rsid w:val="00184369"/>
    <w:rsid w:val="001845D4"/>
    <w:rsid w:val="00186B82"/>
    <w:rsid w:val="00187160"/>
    <w:rsid w:val="00187753"/>
    <w:rsid w:val="00187990"/>
    <w:rsid w:val="00187FD9"/>
    <w:rsid w:val="001902BD"/>
    <w:rsid w:val="001904CC"/>
    <w:rsid w:val="001906E8"/>
    <w:rsid w:val="00191CF5"/>
    <w:rsid w:val="0019300F"/>
    <w:rsid w:val="001950A5"/>
    <w:rsid w:val="00195383"/>
    <w:rsid w:val="001966A4"/>
    <w:rsid w:val="00196ED3"/>
    <w:rsid w:val="001A0330"/>
    <w:rsid w:val="001A0D83"/>
    <w:rsid w:val="001A1290"/>
    <w:rsid w:val="001A2452"/>
    <w:rsid w:val="001A2D83"/>
    <w:rsid w:val="001A2E2D"/>
    <w:rsid w:val="001A3084"/>
    <w:rsid w:val="001A32CA"/>
    <w:rsid w:val="001A3E15"/>
    <w:rsid w:val="001A5F91"/>
    <w:rsid w:val="001A61AF"/>
    <w:rsid w:val="001A7A81"/>
    <w:rsid w:val="001A7A94"/>
    <w:rsid w:val="001B0EAD"/>
    <w:rsid w:val="001B1C8F"/>
    <w:rsid w:val="001B2AD6"/>
    <w:rsid w:val="001B405B"/>
    <w:rsid w:val="001B4F1D"/>
    <w:rsid w:val="001B544D"/>
    <w:rsid w:val="001B71D0"/>
    <w:rsid w:val="001B7586"/>
    <w:rsid w:val="001C0E03"/>
    <w:rsid w:val="001C0E31"/>
    <w:rsid w:val="001C1F62"/>
    <w:rsid w:val="001C24C6"/>
    <w:rsid w:val="001C42C1"/>
    <w:rsid w:val="001C4FCD"/>
    <w:rsid w:val="001C5895"/>
    <w:rsid w:val="001C5DB5"/>
    <w:rsid w:val="001C774E"/>
    <w:rsid w:val="001D01F2"/>
    <w:rsid w:val="001D1B6B"/>
    <w:rsid w:val="001D27EB"/>
    <w:rsid w:val="001D3207"/>
    <w:rsid w:val="001D3981"/>
    <w:rsid w:val="001D469C"/>
    <w:rsid w:val="001D5568"/>
    <w:rsid w:val="001D5DD5"/>
    <w:rsid w:val="001D6099"/>
    <w:rsid w:val="001D6456"/>
    <w:rsid w:val="001E08D2"/>
    <w:rsid w:val="001E0D10"/>
    <w:rsid w:val="001E1E20"/>
    <w:rsid w:val="001E1E39"/>
    <w:rsid w:val="001E2212"/>
    <w:rsid w:val="001E2343"/>
    <w:rsid w:val="001E2C30"/>
    <w:rsid w:val="001E3691"/>
    <w:rsid w:val="001E3B27"/>
    <w:rsid w:val="001E3BBB"/>
    <w:rsid w:val="001E3F52"/>
    <w:rsid w:val="001E4395"/>
    <w:rsid w:val="001E50D4"/>
    <w:rsid w:val="001E56A4"/>
    <w:rsid w:val="001E5C46"/>
    <w:rsid w:val="001E71A8"/>
    <w:rsid w:val="001E77B8"/>
    <w:rsid w:val="001E7F87"/>
    <w:rsid w:val="001F00B4"/>
    <w:rsid w:val="001F0E25"/>
    <w:rsid w:val="001F1B4E"/>
    <w:rsid w:val="001F1C3D"/>
    <w:rsid w:val="001F287F"/>
    <w:rsid w:val="001F5994"/>
    <w:rsid w:val="001F741C"/>
    <w:rsid w:val="001F77EF"/>
    <w:rsid w:val="001F781C"/>
    <w:rsid w:val="00202425"/>
    <w:rsid w:val="00202B15"/>
    <w:rsid w:val="00202C87"/>
    <w:rsid w:val="00202CBB"/>
    <w:rsid w:val="00203382"/>
    <w:rsid w:val="002037EC"/>
    <w:rsid w:val="0020381C"/>
    <w:rsid w:val="0020462E"/>
    <w:rsid w:val="00205569"/>
    <w:rsid w:val="00205C16"/>
    <w:rsid w:val="00210198"/>
    <w:rsid w:val="00210965"/>
    <w:rsid w:val="002118DD"/>
    <w:rsid w:val="00214741"/>
    <w:rsid w:val="00215CF2"/>
    <w:rsid w:val="00215F5F"/>
    <w:rsid w:val="00216D1F"/>
    <w:rsid w:val="00217EDC"/>
    <w:rsid w:val="00220CA6"/>
    <w:rsid w:val="00221DC4"/>
    <w:rsid w:val="00222325"/>
    <w:rsid w:val="002229F3"/>
    <w:rsid w:val="00223C39"/>
    <w:rsid w:val="002259F8"/>
    <w:rsid w:val="00226B96"/>
    <w:rsid w:val="0022701E"/>
    <w:rsid w:val="00227608"/>
    <w:rsid w:val="00227C4D"/>
    <w:rsid w:val="00231D10"/>
    <w:rsid w:val="00231D5E"/>
    <w:rsid w:val="002329C0"/>
    <w:rsid w:val="00232DFF"/>
    <w:rsid w:val="00232E0A"/>
    <w:rsid w:val="00232F88"/>
    <w:rsid w:val="00233E02"/>
    <w:rsid w:val="002349EF"/>
    <w:rsid w:val="00234E42"/>
    <w:rsid w:val="002372BB"/>
    <w:rsid w:val="00237E32"/>
    <w:rsid w:val="00237F83"/>
    <w:rsid w:val="002402D3"/>
    <w:rsid w:val="002408C2"/>
    <w:rsid w:val="00240D93"/>
    <w:rsid w:val="00242B18"/>
    <w:rsid w:val="00244975"/>
    <w:rsid w:val="002449C8"/>
    <w:rsid w:val="00244B9A"/>
    <w:rsid w:val="00244BC1"/>
    <w:rsid w:val="00245020"/>
    <w:rsid w:val="002451BB"/>
    <w:rsid w:val="00247CE3"/>
    <w:rsid w:val="002506EC"/>
    <w:rsid w:val="00251867"/>
    <w:rsid w:val="00252CD9"/>
    <w:rsid w:val="0025310A"/>
    <w:rsid w:val="002531B3"/>
    <w:rsid w:val="00253491"/>
    <w:rsid w:val="00253F41"/>
    <w:rsid w:val="002547D0"/>
    <w:rsid w:val="00254A65"/>
    <w:rsid w:val="00254B82"/>
    <w:rsid w:val="002551C3"/>
    <w:rsid w:val="00255506"/>
    <w:rsid w:val="00255D72"/>
    <w:rsid w:val="00255E6D"/>
    <w:rsid w:val="00256294"/>
    <w:rsid w:val="00256850"/>
    <w:rsid w:val="0025725A"/>
    <w:rsid w:val="0025762C"/>
    <w:rsid w:val="00257E39"/>
    <w:rsid w:val="0026004C"/>
    <w:rsid w:val="00260067"/>
    <w:rsid w:val="00262780"/>
    <w:rsid w:val="00262A8E"/>
    <w:rsid w:val="00262E69"/>
    <w:rsid w:val="0026419A"/>
    <w:rsid w:val="002647FE"/>
    <w:rsid w:val="00264BCB"/>
    <w:rsid w:val="00264F07"/>
    <w:rsid w:val="00265120"/>
    <w:rsid w:val="002654B4"/>
    <w:rsid w:val="00265B04"/>
    <w:rsid w:val="00265C3A"/>
    <w:rsid w:val="00266956"/>
    <w:rsid w:val="002669ED"/>
    <w:rsid w:val="00267C30"/>
    <w:rsid w:val="0027149F"/>
    <w:rsid w:val="00271890"/>
    <w:rsid w:val="00271DAA"/>
    <w:rsid w:val="00271E12"/>
    <w:rsid w:val="00273897"/>
    <w:rsid w:val="00273C9C"/>
    <w:rsid w:val="00273FA6"/>
    <w:rsid w:val="00274402"/>
    <w:rsid w:val="002746B4"/>
    <w:rsid w:val="00275572"/>
    <w:rsid w:val="00275644"/>
    <w:rsid w:val="00275DC3"/>
    <w:rsid w:val="00275FEC"/>
    <w:rsid w:val="00276F29"/>
    <w:rsid w:val="0027700A"/>
    <w:rsid w:val="002772B9"/>
    <w:rsid w:val="002772E7"/>
    <w:rsid w:val="00277B0D"/>
    <w:rsid w:val="00280167"/>
    <w:rsid w:val="0028021C"/>
    <w:rsid w:val="00281E52"/>
    <w:rsid w:val="00282021"/>
    <w:rsid w:val="00282177"/>
    <w:rsid w:val="002827DF"/>
    <w:rsid w:val="00283A1F"/>
    <w:rsid w:val="0028586D"/>
    <w:rsid w:val="002870BA"/>
    <w:rsid w:val="00287DBD"/>
    <w:rsid w:val="00290412"/>
    <w:rsid w:val="00290921"/>
    <w:rsid w:val="00291BB2"/>
    <w:rsid w:val="00292FC4"/>
    <w:rsid w:val="002936E0"/>
    <w:rsid w:val="0029519F"/>
    <w:rsid w:val="0029601B"/>
    <w:rsid w:val="002962B3"/>
    <w:rsid w:val="00297BA6"/>
    <w:rsid w:val="00297C2A"/>
    <w:rsid w:val="00297EFE"/>
    <w:rsid w:val="002A0DE2"/>
    <w:rsid w:val="002A0E28"/>
    <w:rsid w:val="002A346A"/>
    <w:rsid w:val="002A3957"/>
    <w:rsid w:val="002A45BE"/>
    <w:rsid w:val="002A5061"/>
    <w:rsid w:val="002A5398"/>
    <w:rsid w:val="002A71A2"/>
    <w:rsid w:val="002A74C9"/>
    <w:rsid w:val="002B0B83"/>
    <w:rsid w:val="002B115F"/>
    <w:rsid w:val="002B168A"/>
    <w:rsid w:val="002B3267"/>
    <w:rsid w:val="002B39DB"/>
    <w:rsid w:val="002B59DA"/>
    <w:rsid w:val="002B663C"/>
    <w:rsid w:val="002B6A28"/>
    <w:rsid w:val="002B7382"/>
    <w:rsid w:val="002C07C9"/>
    <w:rsid w:val="002C1F3C"/>
    <w:rsid w:val="002C2241"/>
    <w:rsid w:val="002C23BC"/>
    <w:rsid w:val="002C333B"/>
    <w:rsid w:val="002C333F"/>
    <w:rsid w:val="002C3FA3"/>
    <w:rsid w:val="002C41E5"/>
    <w:rsid w:val="002C4B86"/>
    <w:rsid w:val="002C4E99"/>
    <w:rsid w:val="002C4ED1"/>
    <w:rsid w:val="002C62A1"/>
    <w:rsid w:val="002C643E"/>
    <w:rsid w:val="002D03C3"/>
    <w:rsid w:val="002D03D0"/>
    <w:rsid w:val="002D38CE"/>
    <w:rsid w:val="002D3E31"/>
    <w:rsid w:val="002D4BE7"/>
    <w:rsid w:val="002D4DD4"/>
    <w:rsid w:val="002D4FBF"/>
    <w:rsid w:val="002D598D"/>
    <w:rsid w:val="002D6969"/>
    <w:rsid w:val="002E0817"/>
    <w:rsid w:val="002E0B8C"/>
    <w:rsid w:val="002E0CC0"/>
    <w:rsid w:val="002E158E"/>
    <w:rsid w:val="002E16AC"/>
    <w:rsid w:val="002E315A"/>
    <w:rsid w:val="002E358E"/>
    <w:rsid w:val="002E3989"/>
    <w:rsid w:val="002E3D61"/>
    <w:rsid w:val="002E5148"/>
    <w:rsid w:val="002E5954"/>
    <w:rsid w:val="002E67E5"/>
    <w:rsid w:val="002E6A6A"/>
    <w:rsid w:val="002E74BB"/>
    <w:rsid w:val="002E7980"/>
    <w:rsid w:val="002E7CD9"/>
    <w:rsid w:val="002F0BE6"/>
    <w:rsid w:val="002F19DF"/>
    <w:rsid w:val="002F1C12"/>
    <w:rsid w:val="002F2660"/>
    <w:rsid w:val="002F31E6"/>
    <w:rsid w:val="002F3C51"/>
    <w:rsid w:val="002F4E01"/>
    <w:rsid w:val="002F531F"/>
    <w:rsid w:val="002F5629"/>
    <w:rsid w:val="002F5B05"/>
    <w:rsid w:val="002F66D0"/>
    <w:rsid w:val="002F68D7"/>
    <w:rsid w:val="002F6EF6"/>
    <w:rsid w:val="00300097"/>
    <w:rsid w:val="003004E0"/>
    <w:rsid w:val="00300CB7"/>
    <w:rsid w:val="0030294E"/>
    <w:rsid w:val="00303827"/>
    <w:rsid w:val="00304026"/>
    <w:rsid w:val="00304CDF"/>
    <w:rsid w:val="00304D90"/>
    <w:rsid w:val="00304F5B"/>
    <w:rsid w:val="0030552E"/>
    <w:rsid w:val="003069D6"/>
    <w:rsid w:val="00306B63"/>
    <w:rsid w:val="003105C3"/>
    <w:rsid w:val="00312562"/>
    <w:rsid w:val="003125AD"/>
    <w:rsid w:val="003125AF"/>
    <w:rsid w:val="003137FB"/>
    <w:rsid w:val="00313FEA"/>
    <w:rsid w:val="003146D4"/>
    <w:rsid w:val="0031500C"/>
    <w:rsid w:val="00315282"/>
    <w:rsid w:val="00315EC1"/>
    <w:rsid w:val="0031605A"/>
    <w:rsid w:val="003162F2"/>
    <w:rsid w:val="00316A75"/>
    <w:rsid w:val="00317D6D"/>
    <w:rsid w:val="00317F83"/>
    <w:rsid w:val="00320FD7"/>
    <w:rsid w:val="003217DE"/>
    <w:rsid w:val="003230AE"/>
    <w:rsid w:val="0032332D"/>
    <w:rsid w:val="00323FF9"/>
    <w:rsid w:val="0032534A"/>
    <w:rsid w:val="0032538D"/>
    <w:rsid w:val="00325617"/>
    <w:rsid w:val="00325AA3"/>
    <w:rsid w:val="00327C4B"/>
    <w:rsid w:val="00331BE9"/>
    <w:rsid w:val="003320E2"/>
    <w:rsid w:val="0033261A"/>
    <w:rsid w:val="00332983"/>
    <w:rsid w:val="00332BB5"/>
    <w:rsid w:val="00332CCD"/>
    <w:rsid w:val="003332EA"/>
    <w:rsid w:val="0033485F"/>
    <w:rsid w:val="003351D5"/>
    <w:rsid w:val="00335422"/>
    <w:rsid w:val="003363F3"/>
    <w:rsid w:val="00337B2A"/>
    <w:rsid w:val="00337D1E"/>
    <w:rsid w:val="0034034F"/>
    <w:rsid w:val="003404C3"/>
    <w:rsid w:val="00341496"/>
    <w:rsid w:val="00342A9E"/>
    <w:rsid w:val="00342F9F"/>
    <w:rsid w:val="00343544"/>
    <w:rsid w:val="0034368F"/>
    <w:rsid w:val="00345446"/>
    <w:rsid w:val="003470B5"/>
    <w:rsid w:val="0034799A"/>
    <w:rsid w:val="00350492"/>
    <w:rsid w:val="003510AD"/>
    <w:rsid w:val="00351AAB"/>
    <w:rsid w:val="003521E0"/>
    <w:rsid w:val="00352A5A"/>
    <w:rsid w:val="00352EF9"/>
    <w:rsid w:val="00353560"/>
    <w:rsid w:val="003539A3"/>
    <w:rsid w:val="00354887"/>
    <w:rsid w:val="00356B0F"/>
    <w:rsid w:val="00357455"/>
    <w:rsid w:val="00357C70"/>
    <w:rsid w:val="00360104"/>
    <w:rsid w:val="0036076C"/>
    <w:rsid w:val="003608AE"/>
    <w:rsid w:val="00361F3F"/>
    <w:rsid w:val="00362481"/>
    <w:rsid w:val="003628F4"/>
    <w:rsid w:val="00363A14"/>
    <w:rsid w:val="00363D5C"/>
    <w:rsid w:val="0036435D"/>
    <w:rsid w:val="00364863"/>
    <w:rsid w:val="00364E36"/>
    <w:rsid w:val="003713BD"/>
    <w:rsid w:val="003728B8"/>
    <w:rsid w:val="003728DA"/>
    <w:rsid w:val="00372C96"/>
    <w:rsid w:val="00372E8B"/>
    <w:rsid w:val="0037326F"/>
    <w:rsid w:val="003733A5"/>
    <w:rsid w:val="00373DB1"/>
    <w:rsid w:val="00374808"/>
    <w:rsid w:val="0037533E"/>
    <w:rsid w:val="0037551F"/>
    <w:rsid w:val="00375570"/>
    <w:rsid w:val="003757A9"/>
    <w:rsid w:val="00375FBF"/>
    <w:rsid w:val="003761DF"/>
    <w:rsid w:val="0037644E"/>
    <w:rsid w:val="0037782C"/>
    <w:rsid w:val="00377E7A"/>
    <w:rsid w:val="003801AB"/>
    <w:rsid w:val="00381195"/>
    <w:rsid w:val="00381296"/>
    <w:rsid w:val="00381873"/>
    <w:rsid w:val="00383017"/>
    <w:rsid w:val="0038430E"/>
    <w:rsid w:val="00384B78"/>
    <w:rsid w:val="00385671"/>
    <w:rsid w:val="00385A1C"/>
    <w:rsid w:val="00386084"/>
    <w:rsid w:val="00386ACB"/>
    <w:rsid w:val="0038746B"/>
    <w:rsid w:val="0039044C"/>
    <w:rsid w:val="00391339"/>
    <w:rsid w:val="0039162B"/>
    <w:rsid w:val="00394996"/>
    <w:rsid w:val="00395B21"/>
    <w:rsid w:val="003960E0"/>
    <w:rsid w:val="00396FAA"/>
    <w:rsid w:val="003A0D90"/>
    <w:rsid w:val="003A150C"/>
    <w:rsid w:val="003A1875"/>
    <w:rsid w:val="003A19DB"/>
    <w:rsid w:val="003A1BBE"/>
    <w:rsid w:val="003A1C65"/>
    <w:rsid w:val="003A31F7"/>
    <w:rsid w:val="003A35AC"/>
    <w:rsid w:val="003A48E7"/>
    <w:rsid w:val="003A66D3"/>
    <w:rsid w:val="003A75A2"/>
    <w:rsid w:val="003A7B6A"/>
    <w:rsid w:val="003B0473"/>
    <w:rsid w:val="003B14D9"/>
    <w:rsid w:val="003B2E30"/>
    <w:rsid w:val="003B3607"/>
    <w:rsid w:val="003B4241"/>
    <w:rsid w:val="003B511C"/>
    <w:rsid w:val="003B54FF"/>
    <w:rsid w:val="003B5AF2"/>
    <w:rsid w:val="003B5CF3"/>
    <w:rsid w:val="003B6881"/>
    <w:rsid w:val="003B70D2"/>
    <w:rsid w:val="003B7B80"/>
    <w:rsid w:val="003C081B"/>
    <w:rsid w:val="003C3D49"/>
    <w:rsid w:val="003C4F05"/>
    <w:rsid w:val="003C6550"/>
    <w:rsid w:val="003C761F"/>
    <w:rsid w:val="003C779E"/>
    <w:rsid w:val="003C7903"/>
    <w:rsid w:val="003C7F87"/>
    <w:rsid w:val="003D0039"/>
    <w:rsid w:val="003D0423"/>
    <w:rsid w:val="003D0834"/>
    <w:rsid w:val="003D0D4C"/>
    <w:rsid w:val="003D15E2"/>
    <w:rsid w:val="003D1F33"/>
    <w:rsid w:val="003D245F"/>
    <w:rsid w:val="003D370D"/>
    <w:rsid w:val="003D386A"/>
    <w:rsid w:val="003D4ECD"/>
    <w:rsid w:val="003D5B16"/>
    <w:rsid w:val="003D5E5E"/>
    <w:rsid w:val="003D611B"/>
    <w:rsid w:val="003D6A81"/>
    <w:rsid w:val="003D732B"/>
    <w:rsid w:val="003D734C"/>
    <w:rsid w:val="003E0607"/>
    <w:rsid w:val="003E2A21"/>
    <w:rsid w:val="003E34A8"/>
    <w:rsid w:val="003E3552"/>
    <w:rsid w:val="003E5853"/>
    <w:rsid w:val="003E5D62"/>
    <w:rsid w:val="003E647D"/>
    <w:rsid w:val="003E73F2"/>
    <w:rsid w:val="003E7F41"/>
    <w:rsid w:val="003F0390"/>
    <w:rsid w:val="003F04D6"/>
    <w:rsid w:val="003F1A20"/>
    <w:rsid w:val="003F1CAE"/>
    <w:rsid w:val="003F1D35"/>
    <w:rsid w:val="003F1D3D"/>
    <w:rsid w:val="003F27B8"/>
    <w:rsid w:val="003F4658"/>
    <w:rsid w:val="003F4ADC"/>
    <w:rsid w:val="003F63CA"/>
    <w:rsid w:val="003F6C0E"/>
    <w:rsid w:val="00400C40"/>
    <w:rsid w:val="004024FE"/>
    <w:rsid w:val="004034EA"/>
    <w:rsid w:val="0040355B"/>
    <w:rsid w:val="0040415E"/>
    <w:rsid w:val="004050ED"/>
    <w:rsid w:val="00405F46"/>
    <w:rsid w:val="00405FEA"/>
    <w:rsid w:val="0040611E"/>
    <w:rsid w:val="004061B0"/>
    <w:rsid w:val="004068D7"/>
    <w:rsid w:val="004068F7"/>
    <w:rsid w:val="004102BE"/>
    <w:rsid w:val="00411E56"/>
    <w:rsid w:val="0041202B"/>
    <w:rsid w:val="0041308D"/>
    <w:rsid w:val="00413365"/>
    <w:rsid w:val="004164EA"/>
    <w:rsid w:val="004168FC"/>
    <w:rsid w:val="00416B38"/>
    <w:rsid w:val="00417102"/>
    <w:rsid w:val="004173D4"/>
    <w:rsid w:val="00420A3B"/>
    <w:rsid w:val="00420CB9"/>
    <w:rsid w:val="00421BC7"/>
    <w:rsid w:val="004224F2"/>
    <w:rsid w:val="004229F6"/>
    <w:rsid w:val="00422E14"/>
    <w:rsid w:val="004239DC"/>
    <w:rsid w:val="00423EAC"/>
    <w:rsid w:val="004240FC"/>
    <w:rsid w:val="00424CA5"/>
    <w:rsid w:val="004251FF"/>
    <w:rsid w:val="004254FE"/>
    <w:rsid w:val="00425E93"/>
    <w:rsid w:val="00425F7F"/>
    <w:rsid w:val="0042636E"/>
    <w:rsid w:val="004265C9"/>
    <w:rsid w:val="00426A35"/>
    <w:rsid w:val="004310DB"/>
    <w:rsid w:val="0043138B"/>
    <w:rsid w:val="0043142C"/>
    <w:rsid w:val="00431983"/>
    <w:rsid w:val="00431D1E"/>
    <w:rsid w:val="00432696"/>
    <w:rsid w:val="00432A21"/>
    <w:rsid w:val="00432AC3"/>
    <w:rsid w:val="00432D80"/>
    <w:rsid w:val="00433C29"/>
    <w:rsid w:val="00433FBF"/>
    <w:rsid w:val="004357BC"/>
    <w:rsid w:val="0043664E"/>
    <w:rsid w:val="00437AE5"/>
    <w:rsid w:val="00441E24"/>
    <w:rsid w:val="00441F94"/>
    <w:rsid w:val="004420F7"/>
    <w:rsid w:val="00442BD6"/>
    <w:rsid w:val="00443E42"/>
    <w:rsid w:val="00444BDA"/>
    <w:rsid w:val="00444CF0"/>
    <w:rsid w:val="004459AF"/>
    <w:rsid w:val="00445A9B"/>
    <w:rsid w:val="0044661B"/>
    <w:rsid w:val="004469E6"/>
    <w:rsid w:val="00446C34"/>
    <w:rsid w:val="00446FF5"/>
    <w:rsid w:val="00451A59"/>
    <w:rsid w:val="004526C0"/>
    <w:rsid w:val="00452F22"/>
    <w:rsid w:val="00454F0E"/>
    <w:rsid w:val="004563BD"/>
    <w:rsid w:val="00456E8D"/>
    <w:rsid w:val="0045722F"/>
    <w:rsid w:val="00457409"/>
    <w:rsid w:val="00457F98"/>
    <w:rsid w:val="00460F9B"/>
    <w:rsid w:val="00461083"/>
    <w:rsid w:val="004620A9"/>
    <w:rsid w:val="004629FD"/>
    <w:rsid w:val="00463AC9"/>
    <w:rsid w:val="00463CE1"/>
    <w:rsid w:val="00463E8C"/>
    <w:rsid w:val="00464D04"/>
    <w:rsid w:val="00464F4B"/>
    <w:rsid w:val="00466AFD"/>
    <w:rsid w:val="00466E99"/>
    <w:rsid w:val="00470A24"/>
    <w:rsid w:val="00471260"/>
    <w:rsid w:val="0047191E"/>
    <w:rsid w:val="00472E86"/>
    <w:rsid w:val="00473525"/>
    <w:rsid w:val="00474269"/>
    <w:rsid w:val="00474BB0"/>
    <w:rsid w:val="00474D70"/>
    <w:rsid w:val="00474E0A"/>
    <w:rsid w:val="00474E51"/>
    <w:rsid w:val="00475718"/>
    <w:rsid w:val="00476610"/>
    <w:rsid w:val="00476729"/>
    <w:rsid w:val="00476790"/>
    <w:rsid w:val="00476CC1"/>
    <w:rsid w:val="00477506"/>
    <w:rsid w:val="004779A6"/>
    <w:rsid w:val="00477B14"/>
    <w:rsid w:val="00477F47"/>
    <w:rsid w:val="004805FC"/>
    <w:rsid w:val="00481141"/>
    <w:rsid w:val="0048123E"/>
    <w:rsid w:val="00481896"/>
    <w:rsid w:val="004820F4"/>
    <w:rsid w:val="00482107"/>
    <w:rsid w:val="00483533"/>
    <w:rsid w:val="00484058"/>
    <w:rsid w:val="00484DA5"/>
    <w:rsid w:val="00484EA5"/>
    <w:rsid w:val="00484FBA"/>
    <w:rsid w:val="004855C3"/>
    <w:rsid w:val="00486629"/>
    <w:rsid w:val="00486CFA"/>
    <w:rsid w:val="00487A45"/>
    <w:rsid w:val="0049042E"/>
    <w:rsid w:val="00490907"/>
    <w:rsid w:val="00490ADE"/>
    <w:rsid w:val="00490EB7"/>
    <w:rsid w:val="00491F7F"/>
    <w:rsid w:val="00493046"/>
    <w:rsid w:val="004932DE"/>
    <w:rsid w:val="00493573"/>
    <w:rsid w:val="00493660"/>
    <w:rsid w:val="0049383B"/>
    <w:rsid w:val="00493F4E"/>
    <w:rsid w:val="00494A01"/>
    <w:rsid w:val="004970D6"/>
    <w:rsid w:val="004A08D7"/>
    <w:rsid w:val="004A0BF7"/>
    <w:rsid w:val="004A1F06"/>
    <w:rsid w:val="004A25E3"/>
    <w:rsid w:val="004A3E2A"/>
    <w:rsid w:val="004A4B7E"/>
    <w:rsid w:val="004A51E4"/>
    <w:rsid w:val="004A5503"/>
    <w:rsid w:val="004A79E0"/>
    <w:rsid w:val="004B01B6"/>
    <w:rsid w:val="004B2269"/>
    <w:rsid w:val="004B253A"/>
    <w:rsid w:val="004B5E11"/>
    <w:rsid w:val="004B667E"/>
    <w:rsid w:val="004B685E"/>
    <w:rsid w:val="004B6970"/>
    <w:rsid w:val="004C072A"/>
    <w:rsid w:val="004C09EA"/>
    <w:rsid w:val="004C1422"/>
    <w:rsid w:val="004C1EC8"/>
    <w:rsid w:val="004C2315"/>
    <w:rsid w:val="004C2D90"/>
    <w:rsid w:val="004C2FC5"/>
    <w:rsid w:val="004C30E3"/>
    <w:rsid w:val="004C3F5E"/>
    <w:rsid w:val="004C3FE2"/>
    <w:rsid w:val="004C7FF0"/>
    <w:rsid w:val="004D1440"/>
    <w:rsid w:val="004D2319"/>
    <w:rsid w:val="004D2898"/>
    <w:rsid w:val="004D35C7"/>
    <w:rsid w:val="004D3872"/>
    <w:rsid w:val="004D3FA2"/>
    <w:rsid w:val="004D4D1B"/>
    <w:rsid w:val="004D4D96"/>
    <w:rsid w:val="004D541E"/>
    <w:rsid w:val="004D545E"/>
    <w:rsid w:val="004D5CEA"/>
    <w:rsid w:val="004D613C"/>
    <w:rsid w:val="004D61AF"/>
    <w:rsid w:val="004D65FA"/>
    <w:rsid w:val="004D69B7"/>
    <w:rsid w:val="004E08E5"/>
    <w:rsid w:val="004E1020"/>
    <w:rsid w:val="004E12C3"/>
    <w:rsid w:val="004E16B8"/>
    <w:rsid w:val="004E1C29"/>
    <w:rsid w:val="004E4CA7"/>
    <w:rsid w:val="004E5414"/>
    <w:rsid w:val="004E5561"/>
    <w:rsid w:val="004E57AF"/>
    <w:rsid w:val="004E601E"/>
    <w:rsid w:val="004E61FC"/>
    <w:rsid w:val="004E7D77"/>
    <w:rsid w:val="004F0C52"/>
    <w:rsid w:val="004F0E9D"/>
    <w:rsid w:val="004F1A8B"/>
    <w:rsid w:val="004F2703"/>
    <w:rsid w:val="004F333D"/>
    <w:rsid w:val="004F38C8"/>
    <w:rsid w:val="004F3D52"/>
    <w:rsid w:val="004F4846"/>
    <w:rsid w:val="004F518E"/>
    <w:rsid w:val="004F57EB"/>
    <w:rsid w:val="004F5C07"/>
    <w:rsid w:val="004F63BC"/>
    <w:rsid w:val="004F6449"/>
    <w:rsid w:val="004F7D6B"/>
    <w:rsid w:val="00500749"/>
    <w:rsid w:val="00502731"/>
    <w:rsid w:val="00503079"/>
    <w:rsid w:val="00506556"/>
    <w:rsid w:val="00506911"/>
    <w:rsid w:val="00506D42"/>
    <w:rsid w:val="00506D8D"/>
    <w:rsid w:val="00506F93"/>
    <w:rsid w:val="00510098"/>
    <w:rsid w:val="005114EB"/>
    <w:rsid w:val="005117C6"/>
    <w:rsid w:val="0051221E"/>
    <w:rsid w:val="00512E40"/>
    <w:rsid w:val="0051359D"/>
    <w:rsid w:val="005135EB"/>
    <w:rsid w:val="00513CD0"/>
    <w:rsid w:val="005147FA"/>
    <w:rsid w:val="005159B4"/>
    <w:rsid w:val="00515B36"/>
    <w:rsid w:val="0051669D"/>
    <w:rsid w:val="00516D17"/>
    <w:rsid w:val="00516F03"/>
    <w:rsid w:val="00517E94"/>
    <w:rsid w:val="00522DE2"/>
    <w:rsid w:val="005239C4"/>
    <w:rsid w:val="00524C3D"/>
    <w:rsid w:val="00525239"/>
    <w:rsid w:val="00525358"/>
    <w:rsid w:val="00525C24"/>
    <w:rsid w:val="0052635F"/>
    <w:rsid w:val="005265E0"/>
    <w:rsid w:val="005271E3"/>
    <w:rsid w:val="00527F24"/>
    <w:rsid w:val="00530177"/>
    <w:rsid w:val="005310ED"/>
    <w:rsid w:val="0053175E"/>
    <w:rsid w:val="00532891"/>
    <w:rsid w:val="00533744"/>
    <w:rsid w:val="005345CD"/>
    <w:rsid w:val="00534D5E"/>
    <w:rsid w:val="0053567E"/>
    <w:rsid w:val="00535782"/>
    <w:rsid w:val="00535D6A"/>
    <w:rsid w:val="00536399"/>
    <w:rsid w:val="00536E14"/>
    <w:rsid w:val="005420EA"/>
    <w:rsid w:val="005423D0"/>
    <w:rsid w:val="00543B0A"/>
    <w:rsid w:val="00547DBD"/>
    <w:rsid w:val="0055214E"/>
    <w:rsid w:val="00553391"/>
    <w:rsid w:val="00555D7F"/>
    <w:rsid w:val="00556300"/>
    <w:rsid w:val="005564DE"/>
    <w:rsid w:val="005569B4"/>
    <w:rsid w:val="00556D2A"/>
    <w:rsid w:val="00563FAC"/>
    <w:rsid w:val="00564964"/>
    <w:rsid w:val="00564B7D"/>
    <w:rsid w:val="00564B90"/>
    <w:rsid w:val="0056677A"/>
    <w:rsid w:val="00567773"/>
    <w:rsid w:val="00570546"/>
    <w:rsid w:val="0057099A"/>
    <w:rsid w:val="00571A16"/>
    <w:rsid w:val="00572149"/>
    <w:rsid w:val="00572264"/>
    <w:rsid w:val="0057260C"/>
    <w:rsid w:val="005728B6"/>
    <w:rsid w:val="00572AB3"/>
    <w:rsid w:val="00573321"/>
    <w:rsid w:val="00573548"/>
    <w:rsid w:val="00573AFF"/>
    <w:rsid w:val="00573B73"/>
    <w:rsid w:val="005749B9"/>
    <w:rsid w:val="00574B00"/>
    <w:rsid w:val="005751F8"/>
    <w:rsid w:val="005776AE"/>
    <w:rsid w:val="00577B78"/>
    <w:rsid w:val="00577EA1"/>
    <w:rsid w:val="00580CEC"/>
    <w:rsid w:val="005810F8"/>
    <w:rsid w:val="005821FF"/>
    <w:rsid w:val="0058373D"/>
    <w:rsid w:val="00584CD4"/>
    <w:rsid w:val="00585D39"/>
    <w:rsid w:val="00587EF7"/>
    <w:rsid w:val="00590E89"/>
    <w:rsid w:val="00590F2E"/>
    <w:rsid w:val="00591BDE"/>
    <w:rsid w:val="00592A82"/>
    <w:rsid w:val="00592C49"/>
    <w:rsid w:val="00593D2B"/>
    <w:rsid w:val="00593F31"/>
    <w:rsid w:val="005948C9"/>
    <w:rsid w:val="00594BD3"/>
    <w:rsid w:val="00595FD7"/>
    <w:rsid w:val="00596B9B"/>
    <w:rsid w:val="0059791A"/>
    <w:rsid w:val="005A078E"/>
    <w:rsid w:val="005A0DD4"/>
    <w:rsid w:val="005A0E0E"/>
    <w:rsid w:val="005A1792"/>
    <w:rsid w:val="005A195F"/>
    <w:rsid w:val="005A2486"/>
    <w:rsid w:val="005A259C"/>
    <w:rsid w:val="005A26B4"/>
    <w:rsid w:val="005A30DA"/>
    <w:rsid w:val="005A4002"/>
    <w:rsid w:val="005A4B73"/>
    <w:rsid w:val="005A75A9"/>
    <w:rsid w:val="005B0670"/>
    <w:rsid w:val="005B3481"/>
    <w:rsid w:val="005B3878"/>
    <w:rsid w:val="005B4955"/>
    <w:rsid w:val="005B54F7"/>
    <w:rsid w:val="005B79CB"/>
    <w:rsid w:val="005C307E"/>
    <w:rsid w:val="005C34E1"/>
    <w:rsid w:val="005C5748"/>
    <w:rsid w:val="005C6A25"/>
    <w:rsid w:val="005C79A9"/>
    <w:rsid w:val="005C7DDB"/>
    <w:rsid w:val="005D0B93"/>
    <w:rsid w:val="005D13E7"/>
    <w:rsid w:val="005D2323"/>
    <w:rsid w:val="005D38C2"/>
    <w:rsid w:val="005D3EC6"/>
    <w:rsid w:val="005D4377"/>
    <w:rsid w:val="005D515D"/>
    <w:rsid w:val="005D5E38"/>
    <w:rsid w:val="005D63AF"/>
    <w:rsid w:val="005D641B"/>
    <w:rsid w:val="005D682A"/>
    <w:rsid w:val="005D6D1B"/>
    <w:rsid w:val="005D7658"/>
    <w:rsid w:val="005D7E73"/>
    <w:rsid w:val="005E1DE8"/>
    <w:rsid w:val="005E30BD"/>
    <w:rsid w:val="005E323B"/>
    <w:rsid w:val="005E463C"/>
    <w:rsid w:val="005E57B6"/>
    <w:rsid w:val="005E57CD"/>
    <w:rsid w:val="005E595A"/>
    <w:rsid w:val="005E5D9E"/>
    <w:rsid w:val="005E74C1"/>
    <w:rsid w:val="005F0402"/>
    <w:rsid w:val="005F06CF"/>
    <w:rsid w:val="005F121C"/>
    <w:rsid w:val="005F1D09"/>
    <w:rsid w:val="005F1D6D"/>
    <w:rsid w:val="005F2173"/>
    <w:rsid w:val="005F25D0"/>
    <w:rsid w:val="005F3343"/>
    <w:rsid w:val="005F3DE2"/>
    <w:rsid w:val="005F5AB0"/>
    <w:rsid w:val="005F5FCC"/>
    <w:rsid w:val="005F75CE"/>
    <w:rsid w:val="005F7659"/>
    <w:rsid w:val="005F7857"/>
    <w:rsid w:val="005F7B26"/>
    <w:rsid w:val="00600D63"/>
    <w:rsid w:val="00600F04"/>
    <w:rsid w:val="0060164D"/>
    <w:rsid w:val="006032A0"/>
    <w:rsid w:val="006042DE"/>
    <w:rsid w:val="00604D62"/>
    <w:rsid w:val="006050D3"/>
    <w:rsid w:val="00605414"/>
    <w:rsid w:val="00605626"/>
    <w:rsid w:val="00606A6C"/>
    <w:rsid w:val="006109C3"/>
    <w:rsid w:val="00611674"/>
    <w:rsid w:val="00611DAD"/>
    <w:rsid w:val="00612FD4"/>
    <w:rsid w:val="006133E4"/>
    <w:rsid w:val="00614B82"/>
    <w:rsid w:val="00615927"/>
    <w:rsid w:val="0061646C"/>
    <w:rsid w:val="00616B63"/>
    <w:rsid w:val="006172C7"/>
    <w:rsid w:val="006176C6"/>
    <w:rsid w:val="00617F8A"/>
    <w:rsid w:val="00617F9E"/>
    <w:rsid w:val="006225FB"/>
    <w:rsid w:val="006232CB"/>
    <w:rsid w:val="00623790"/>
    <w:rsid w:val="0062567E"/>
    <w:rsid w:val="00626D67"/>
    <w:rsid w:val="00626FB1"/>
    <w:rsid w:val="00627CC2"/>
    <w:rsid w:val="00633063"/>
    <w:rsid w:val="00633D31"/>
    <w:rsid w:val="00634564"/>
    <w:rsid w:val="006348B9"/>
    <w:rsid w:val="00635BFB"/>
    <w:rsid w:val="00640511"/>
    <w:rsid w:val="0064264A"/>
    <w:rsid w:val="00643461"/>
    <w:rsid w:val="00643649"/>
    <w:rsid w:val="00644916"/>
    <w:rsid w:val="00646212"/>
    <w:rsid w:val="00650964"/>
    <w:rsid w:val="00650F83"/>
    <w:rsid w:val="00651A6D"/>
    <w:rsid w:val="00651F01"/>
    <w:rsid w:val="00654367"/>
    <w:rsid w:val="00654483"/>
    <w:rsid w:val="006544D2"/>
    <w:rsid w:val="00655635"/>
    <w:rsid w:val="0065583F"/>
    <w:rsid w:val="00655D27"/>
    <w:rsid w:val="00656792"/>
    <w:rsid w:val="006608F9"/>
    <w:rsid w:val="006618D8"/>
    <w:rsid w:val="00661A47"/>
    <w:rsid w:val="00662237"/>
    <w:rsid w:val="0066243B"/>
    <w:rsid w:val="00662D36"/>
    <w:rsid w:val="006634B0"/>
    <w:rsid w:val="00663BDA"/>
    <w:rsid w:val="00665773"/>
    <w:rsid w:val="00665E27"/>
    <w:rsid w:val="00666074"/>
    <w:rsid w:val="0067079E"/>
    <w:rsid w:val="00670FDB"/>
    <w:rsid w:val="006722AA"/>
    <w:rsid w:val="00672CA7"/>
    <w:rsid w:val="0067312A"/>
    <w:rsid w:val="00673451"/>
    <w:rsid w:val="0067348D"/>
    <w:rsid w:val="00673A22"/>
    <w:rsid w:val="00674827"/>
    <w:rsid w:val="00674C08"/>
    <w:rsid w:val="00675EB2"/>
    <w:rsid w:val="00675FD2"/>
    <w:rsid w:val="00676675"/>
    <w:rsid w:val="00677F50"/>
    <w:rsid w:val="006808F8"/>
    <w:rsid w:val="006829B3"/>
    <w:rsid w:val="00682F18"/>
    <w:rsid w:val="00683C94"/>
    <w:rsid w:val="00684498"/>
    <w:rsid w:val="00685838"/>
    <w:rsid w:val="00685A77"/>
    <w:rsid w:val="0068721E"/>
    <w:rsid w:val="00690BC9"/>
    <w:rsid w:val="00693230"/>
    <w:rsid w:val="00694640"/>
    <w:rsid w:val="0069471D"/>
    <w:rsid w:val="00695103"/>
    <w:rsid w:val="00695701"/>
    <w:rsid w:val="006964E2"/>
    <w:rsid w:val="00697475"/>
    <w:rsid w:val="006974CC"/>
    <w:rsid w:val="006A27A6"/>
    <w:rsid w:val="006A3138"/>
    <w:rsid w:val="006A35DE"/>
    <w:rsid w:val="006A435B"/>
    <w:rsid w:val="006A49A9"/>
    <w:rsid w:val="006A5856"/>
    <w:rsid w:val="006A5C30"/>
    <w:rsid w:val="006A69CD"/>
    <w:rsid w:val="006A6D58"/>
    <w:rsid w:val="006B183F"/>
    <w:rsid w:val="006B28F0"/>
    <w:rsid w:val="006B2B4B"/>
    <w:rsid w:val="006B2B7A"/>
    <w:rsid w:val="006B2FCD"/>
    <w:rsid w:val="006B3908"/>
    <w:rsid w:val="006B5918"/>
    <w:rsid w:val="006B6979"/>
    <w:rsid w:val="006B6AE3"/>
    <w:rsid w:val="006C04A3"/>
    <w:rsid w:val="006C10B8"/>
    <w:rsid w:val="006C25FD"/>
    <w:rsid w:val="006C2DCE"/>
    <w:rsid w:val="006C2E06"/>
    <w:rsid w:val="006C42D6"/>
    <w:rsid w:val="006C60D3"/>
    <w:rsid w:val="006C6A6C"/>
    <w:rsid w:val="006C7C1E"/>
    <w:rsid w:val="006D0EE9"/>
    <w:rsid w:val="006D1E04"/>
    <w:rsid w:val="006D2029"/>
    <w:rsid w:val="006D34A0"/>
    <w:rsid w:val="006D3FA1"/>
    <w:rsid w:val="006D4730"/>
    <w:rsid w:val="006D5A75"/>
    <w:rsid w:val="006D66CC"/>
    <w:rsid w:val="006D678D"/>
    <w:rsid w:val="006D67BD"/>
    <w:rsid w:val="006D6D7B"/>
    <w:rsid w:val="006E1358"/>
    <w:rsid w:val="006E17EB"/>
    <w:rsid w:val="006E1A4C"/>
    <w:rsid w:val="006E1E73"/>
    <w:rsid w:val="006E22A8"/>
    <w:rsid w:val="006E265B"/>
    <w:rsid w:val="006E2E24"/>
    <w:rsid w:val="006E3EE2"/>
    <w:rsid w:val="006E444E"/>
    <w:rsid w:val="006E4521"/>
    <w:rsid w:val="006E4982"/>
    <w:rsid w:val="006E6E3E"/>
    <w:rsid w:val="006E789D"/>
    <w:rsid w:val="006E7F23"/>
    <w:rsid w:val="006F1A4A"/>
    <w:rsid w:val="006F1FF9"/>
    <w:rsid w:val="006F355C"/>
    <w:rsid w:val="006F36AB"/>
    <w:rsid w:val="006F3DF7"/>
    <w:rsid w:val="006F3EC6"/>
    <w:rsid w:val="006F5310"/>
    <w:rsid w:val="006F57BC"/>
    <w:rsid w:val="006F580E"/>
    <w:rsid w:val="006F5927"/>
    <w:rsid w:val="006F5FA0"/>
    <w:rsid w:val="006F62BB"/>
    <w:rsid w:val="006F62BD"/>
    <w:rsid w:val="006F7561"/>
    <w:rsid w:val="0070068C"/>
    <w:rsid w:val="00700D0C"/>
    <w:rsid w:val="0070138F"/>
    <w:rsid w:val="00702493"/>
    <w:rsid w:val="007026B7"/>
    <w:rsid w:val="00702E25"/>
    <w:rsid w:val="0070333A"/>
    <w:rsid w:val="0070346E"/>
    <w:rsid w:val="0070461E"/>
    <w:rsid w:val="0070557B"/>
    <w:rsid w:val="007059B4"/>
    <w:rsid w:val="00705E54"/>
    <w:rsid w:val="007062E0"/>
    <w:rsid w:val="0070647F"/>
    <w:rsid w:val="0070658B"/>
    <w:rsid w:val="00706C93"/>
    <w:rsid w:val="00707665"/>
    <w:rsid w:val="00710383"/>
    <w:rsid w:val="00710750"/>
    <w:rsid w:val="00710EE7"/>
    <w:rsid w:val="00711B02"/>
    <w:rsid w:val="00712047"/>
    <w:rsid w:val="007126D0"/>
    <w:rsid w:val="00712AAD"/>
    <w:rsid w:val="0071359A"/>
    <w:rsid w:val="00713738"/>
    <w:rsid w:val="00713D65"/>
    <w:rsid w:val="0071565D"/>
    <w:rsid w:val="00716817"/>
    <w:rsid w:val="00717616"/>
    <w:rsid w:val="00717AED"/>
    <w:rsid w:val="00721F4B"/>
    <w:rsid w:val="007245CB"/>
    <w:rsid w:val="00724B95"/>
    <w:rsid w:val="00724F51"/>
    <w:rsid w:val="00725090"/>
    <w:rsid w:val="00725533"/>
    <w:rsid w:val="00725A66"/>
    <w:rsid w:val="0072707E"/>
    <w:rsid w:val="00727FB2"/>
    <w:rsid w:val="0073080A"/>
    <w:rsid w:val="00730FD6"/>
    <w:rsid w:val="007313EE"/>
    <w:rsid w:val="00731502"/>
    <w:rsid w:val="00732391"/>
    <w:rsid w:val="00732C6D"/>
    <w:rsid w:val="00733097"/>
    <w:rsid w:val="00734914"/>
    <w:rsid w:val="00736B90"/>
    <w:rsid w:val="00740935"/>
    <w:rsid w:val="00740DAB"/>
    <w:rsid w:val="00740E53"/>
    <w:rsid w:val="007431A2"/>
    <w:rsid w:val="00743517"/>
    <w:rsid w:val="007443E7"/>
    <w:rsid w:val="00745693"/>
    <w:rsid w:val="00746FB7"/>
    <w:rsid w:val="007472D7"/>
    <w:rsid w:val="007474E9"/>
    <w:rsid w:val="0074767F"/>
    <w:rsid w:val="007503E8"/>
    <w:rsid w:val="00750743"/>
    <w:rsid w:val="00751C05"/>
    <w:rsid w:val="007520A5"/>
    <w:rsid w:val="00752875"/>
    <w:rsid w:val="007529BC"/>
    <w:rsid w:val="00752F13"/>
    <w:rsid w:val="0075329D"/>
    <w:rsid w:val="00753579"/>
    <w:rsid w:val="00753D7F"/>
    <w:rsid w:val="007549B6"/>
    <w:rsid w:val="00754E44"/>
    <w:rsid w:val="0075570C"/>
    <w:rsid w:val="00755BA1"/>
    <w:rsid w:val="00755FBC"/>
    <w:rsid w:val="0075617C"/>
    <w:rsid w:val="00757227"/>
    <w:rsid w:val="007575FE"/>
    <w:rsid w:val="00757852"/>
    <w:rsid w:val="0076061B"/>
    <w:rsid w:val="0076065B"/>
    <w:rsid w:val="007610C0"/>
    <w:rsid w:val="007614FF"/>
    <w:rsid w:val="0076421A"/>
    <w:rsid w:val="0076523F"/>
    <w:rsid w:val="00765832"/>
    <w:rsid w:val="007662D9"/>
    <w:rsid w:val="00766477"/>
    <w:rsid w:val="007666E7"/>
    <w:rsid w:val="007674EB"/>
    <w:rsid w:val="00770634"/>
    <w:rsid w:val="007708A0"/>
    <w:rsid w:val="00770C2E"/>
    <w:rsid w:val="00771B8C"/>
    <w:rsid w:val="00774CDE"/>
    <w:rsid w:val="0077616C"/>
    <w:rsid w:val="007765AD"/>
    <w:rsid w:val="007770BF"/>
    <w:rsid w:val="00777390"/>
    <w:rsid w:val="0077741F"/>
    <w:rsid w:val="00780D5F"/>
    <w:rsid w:val="007814D5"/>
    <w:rsid w:val="00782143"/>
    <w:rsid w:val="00782257"/>
    <w:rsid w:val="007827D0"/>
    <w:rsid w:val="00783728"/>
    <w:rsid w:val="007845E2"/>
    <w:rsid w:val="00785095"/>
    <w:rsid w:val="007855A8"/>
    <w:rsid w:val="007859B4"/>
    <w:rsid w:val="00785AE9"/>
    <w:rsid w:val="007878C5"/>
    <w:rsid w:val="00787AE8"/>
    <w:rsid w:val="00787BA4"/>
    <w:rsid w:val="00790191"/>
    <w:rsid w:val="007909D2"/>
    <w:rsid w:val="00791A19"/>
    <w:rsid w:val="00791D00"/>
    <w:rsid w:val="00792432"/>
    <w:rsid w:val="0079268B"/>
    <w:rsid w:val="0079355C"/>
    <w:rsid w:val="00793DC9"/>
    <w:rsid w:val="007952EB"/>
    <w:rsid w:val="007964DF"/>
    <w:rsid w:val="00796950"/>
    <w:rsid w:val="00797EC9"/>
    <w:rsid w:val="007A1A76"/>
    <w:rsid w:val="007A229E"/>
    <w:rsid w:val="007A461E"/>
    <w:rsid w:val="007A5A2D"/>
    <w:rsid w:val="007A5DA6"/>
    <w:rsid w:val="007A650C"/>
    <w:rsid w:val="007A7069"/>
    <w:rsid w:val="007A75B5"/>
    <w:rsid w:val="007A7AB2"/>
    <w:rsid w:val="007A7C66"/>
    <w:rsid w:val="007B0B5C"/>
    <w:rsid w:val="007B124D"/>
    <w:rsid w:val="007B17B9"/>
    <w:rsid w:val="007B23B2"/>
    <w:rsid w:val="007B3041"/>
    <w:rsid w:val="007B3076"/>
    <w:rsid w:val="007B37C9"/>
    <w:rsid w:val="007B38EA"/>
    <w:rsid w:val="007B3A00"/>
    <w:rsid w:val="007B403D"/>
    <w:rsid w:val="007B61ED"/>
    <w:rsid w:val="007B7738"/>
    <w:rsid w:val="007C0B25"/>
    <w:rsid w:val="007C29B9"/>
    <w:rsid w:val="007C2F35"/>
    <w:rsid w:val="007C341F"/>
    <w:rsid w:val="007C3D14"/>
    <w:rsid w:val="007C3E1B"/>
    <w:rsid w:val="007C6068"/>
    <w:rsid w:val="007C6110"/>
    <w:rsid w:val="007C65EA"/>
    <w:rsid w:val="007C6CB0"/>
    <w:rsid w:val="007C79A3"/>
    <w:rsid w:val="007C7BF4"/>
    <w:rsid w:val="007D010C"/>
    <w:rsid w:val="007D130B"/>
    <w:rsid w:val="007D1C0D"/>
    <w:rsid w:val="007D24CA"/>
    <w:rsid w:val="007D25AD"/>
    <w:rsid w:val="007D2AB7"/>
    <w:rsid w:val="007D2C80"/>
    <w:rsid w:val="007D5D30"/>
    <w:rsid w:val="007D6602"/>
    <w:rsid w:val="007D6A26"/>
    <w:rsid w:val="007D6FD5"/>
    <w:rsid w:val="007D74C8"/>
    <w:rsid w:val="007E0119"/>
    <w:rsid w:val="007E1274"/>
    <w:rsid w:val="007E1C95"/>
    <w:rsid w:val="007E22E7"/>
    <w:rsid w:val="007E2804"/>
    <w:rsid w:val="007E2866"/>
    <w:rsid w:val="007E2B1C"/>
    <w:rsid w:val="007E3F29"/>
    <w:rsid w:val="007E6066"/>
    <w:rsid w:val="007E6C07"/>
    <w:rsid w:val="007E6EC3"/>
    <w:rsid w:val="007F0D7E"/>
    <w:rsid w:val="007F28A7"/>
    <w:rsid w:val="007F2940"/>
    <w:rsid w:val="007F3CA5"/>
    <w:rsid w:val="007F4079"/>
    <w:rsid w:val="007F4146"/>
    <w:rsid w:val="007F4154"/>
    <w:rsid w:val="007F4996"/>
    <w:rsid w:val="007F4B44"/>
    <w:rsid w:val="008011A3"/>
    <w:rsid w:val="00802C1C"/>
    <w:rsid w:val="00802ED3"/>
    <w:rsid w:val="008031AF"/>
    <w:rsid w:val="008037C0"/>
    <w:rsid w:val="00804548"/>
    <w:rsid w:val="00804816"/>
    <w:rsid w:val="00804A7B"/>
    <w:rsid w:val="00805684"/>
    <w:rsid w:val="00805C7D"/>
    <w:rsid w:val="008066C7"/>
    <w:rsid w:val="00806712"/>
    <w:rsid w:val="00806B86"/>
    <w:rsid w:val="00806C2D"/>
    <w:rsid w:val="0081010D"/>
    <w:rsid w:val="00810661"/>
    <w:rsid w:val="00810842"/>
    <w:rsid w:val="00810888"/>
    <w:rsid w:val="00810F30"/>
    <w:rsid w:val="00811342"/>
    <w:rsid w:val="00811565"/>
    <w:rsid w:val="008117B8"/>
    <w:rsid w:val="0081421A"/>
    <w:rsid w:val="00814F8A"/>
    <w:rsid w:val="00815B73"/>
    <w:rsid w:val="008162B6"/>
    <w:rsid w:val="0081652F"/>
    <w:rsid w:val="00816961"/>
    <w:rsid w:val="00817B89"/>
    <w:rsid w:val="008214D5"/>
    <w:rsid w:val="00821B1E"/>
    <w:rsid w:val="00821F1C"/>
    <w:rsid w:val="008225AF"/>
    <w:rsid w:val="00822824"/>
    <w:rsid w:val="008257DA"/>
    <w:rsid w:val="00825A18"/>
    <w:rsid w:val="00825CD0"/>
    <w:rsid w:val="00825EED"/>
    <w:rsid w:val="00826AA9"/>
    <w:rsid w:val="00826E7F"/>
    <w:rsid w:val="00826FCF"/>
    <w:rsid w:val="00831FFB"/>
    <w:rsid w:val="00832337"/>
    <w:rsid w:val="00833586"/>
    <w:rsid w:val="0083361B"/>
    <w:rsid w:val="00833CED"/>
    <w:rsid w:val="00833D62"/>
    <w:rsid w:val="008340BD"/>
    <w:rsid w:val="008340E5"/>
    <w:rsid w:val="00834515"/>
    <w:rsid w:val="0083577B"/>
    <w:rsid w:val="00835956"/>
    <w:rsid w:val="00835C3A"/>
    <w:rsid w:val="00836381"/>
    <w:rsid w:val="00836B8B"/>
    <w:rsid w:val="00837332"/>
    <w:rsid w:val="00840174"/>
    <w:rsid w:val="008401AF"/>
    <w:rsid w:val="00841059"/>
    <w:rsid w:val="008415F9"/>
    <w:rsid w:val="0084196B"/>
    <w:rsid w:val="00841D7B"/>
    <w:rsid w:val="0084346F"/>
    <w:rsid w:val="008435F8"/>
    <w:rsid w:val="0084395E"/>
    <w:rsid w:val="008443C3"/>
    <w:rsid w:val="00846CFD"/>
    <w:rsid w:val="00846E90"/>
    <w:rsid w:val="0084752F"/>
    <w:rsid w:val="00847985"/>
    <w:rsid w:val="00847A1F"/>
    <w:rsid w:val="0085061A"/>
    <w:rsid w:val="00850887"/>
    <w:rsid w:val="00850D98"/>
    <w:rsid w:val="00851391"/>
    <w:rsid w:val="00851C0C"/>
    <w:rsid w:val="00851D45"/>
    <w:rsid w:val="00854524"/>
    <w:rsid w:val="00854C78"/>
    <w:rsid w:val="0085663C"/>
    <w:rsid w:val="008571B9"/>
    <w:rsid w:val="00860283"/>
    <w:rsid w:val="0086097B"/>
    <w:rsid w:val="00860B87"/>
    <w:rsid w:val="00861473"/>
    <w:rsid w:val="0086245A"/>
    <w:rsid w:val="008631EB"/>
    <w:rsid w:val="008632E3"/>
    <w:rsid w:val="00863809"/>
    <w:rsid w:val="00864066"/>
    <w:rsid w:val="00864298"/>
    <w:rsid w:val="00864D99"/>
    <w:rsid w:val="00865F02"/>
    <w:rsid w:val="008666B4"/>
    <w:rsid w:val="00870702"/>
    <w:rsid w:val="00870CB7"/>
    <w:rsid w:val="008713D2"/>
    <w:rsid w:val="00871BB3"/>
    <w:rsid w:val="00871F15"/>
    <w:rsid w:val="008727F2"/>
    <w:rsid w:val="00873A4F"/>
    <w:rsid w:val="00873AA1"/>
    <w:rsid w:val="00874BD6"/>
    <w:rsid w:val="0087511B"/>
    <w:rsid w:val="00875296"/>
    <w:rsid w:val="008773E1"/>
    <w:rsid w:val="0087744C"/>
    <w:rsid w:val="008774C8"/>
    <w:rsid w:val="0088057E"/>
    <w:rsid w:val="0088332B"/>
    <w:rsid w:val="0088446B"/>
    <w:rsid w:val="00884944"/>
    <w:rsid w:val="00884B51"/>
    <w:rsid w:val="0088570A"/>
    <w:rsid w:val="00885E7F"/>
    <w:rsid w:val="0088606A"/>
    <w:rsid w:val="008866C7"/>
    <w:rsid w:val="008868B7"/>
    <w:rsid w:val="00887251"/>
    <w:rsid w:val="00891384"/>
    <w:rsid w:val="00891A52"/>
    <w:rsid w:val="008924FB"/>
    <w:rsid w:val="008930B5"/>
    <w:rsid w:val="0089347D"/>
    <w:rsid w:val="008938A5"/>
    <w:rsid w:val="00894DD4"/>
    <w:rsid w:val="00895675"/>
    <w:rsid w:val="008958EF"/>
    <w:rsid w:val="00896AAB"/>
    <w:rsid w:val="00896B34"/>
    <w:rsid w:val="008A041F"/>
    <w:rsid w:val="008A1296"/>
    <w:rsid w:val="008A1A54"/>
    <w:rsid w:val="008A1B0D"/>
    <w:rsid w:val="008A3D5F"/>
    <w:rsid w:val="008A4998"/>
    <w:rsid w:val="008A4E9E"/>
    <w:rsid w:val="008A536F"/>
    <w:rsid w:val="008A5609"/>
    <w:rsid w:val="008A7483"/>
    <w:rsid w:val="008B139F"/>
    <w:rsid w:val="008B2991"/>
    <w:rsid w:val="008B2AC6"/>
    <w:rsid w:val="008B5E26"/>
    <w:rsid w:val="008B632D"/>
    <w:rsid w:val="008B66DD"/>
    <w:rsid w:val="008B6724"/>
    <w:rsid w:val="008B6828"/>
    <w:rsid w:val="008B7A24"/>
    <w:rsid w:val="008C386F"/>
    <w:rsid w:val="008C3AB8"/>
    <w:rsid w:val="008C3FE9"/>
    <w:rsid w:val="008C5F21"/>
    <w:rsid w:val="008C65BF"/>
    <w:rsid w:val="008C7E9D"/>
    <w:rsid w:val="008D1A40"/>
    <w:rsid w:val="008D1AF1"/>
    <w:rsid w:val="008D1E52"/>
    <w:rsid w:val="008D1EF1"/>
    <w:rsid w:val="008D20AD"/>
    <w:rsid w:val="008D2A42"/>
    <w:rsid w:val="008D2BDF"/>
    <w:rsid w:val="008D3158"/>
    <w:rsid w:val="008D3536"/>
    <w:rsid w:val="008D41FB"/>
    <w:rsid w:val="008D4C72"/>
    <w:rsid w:val="008D65E5"/>
    <w:rsid w:val="008D6CFE"/>
    <w:rsid w:val="008D6D48"/>
    <w:rsid w:val="008D70B2"/>
    <w:rsid w:val="008D78C9"/>
    <w:rsid w:val="008E08A9"/>
    <w:rsid w:val="008E0C02"/>
    <w:rsid w:val="008E0C1D"/>
    <w:rsid w:val="008E0D95"/>
    <w:rsid w:val="008E4258"/>
    <w:rsid w:val="008E4918"/>
    <w:rsid w:val="008E4C2E"/>
    <w:rsid w:val="008E588E"/>
    <w:rsid w:val="008E5F28"/>
    <w:rsid w:val="008E5FE9"/>
    <w:rsid w:val="008E6237"/>
    <w:rsid w:val="008F2050"/>
    <w:rsid w:val="008F2711"/>
    <w:rsid w:val="008F2CDA"/>
    <w:rsid w:val="008F4764"/>
    <w:rsid w:val="008F57E4"/>
    <w:rsid w:val="008F5AF3"/>
    <w:rsid w:val="008F5E11"/>
    <w:rsid w:val="008F6189"/>
    <w:rsid w:val="008F6490"/>
    <w:rsid w:val="008F765C"/>
    <w:rsid w:val="009010A1"/>
    <w:rsid w:val="00903C1A"/>
    <w:rsid w:val="009040BB"/>
    <w:rsid w:val="00904173"/>
    <w:rsid w:val="00905237"/>
    <w:rsid w:val="009059FA"/>
    <w:rsid w:val="0090628B"/>
    <w:rsid w:val="00906AA4"/>
    <w:rsid w:val="00907551"/>
    <w:rsid w:val="00907C14"/>
    <w:rsid w:val="00907FD3"/>
    <w:rsid w:val="00910979"/>
    <w:rsid w:val="00914291"/>
    <w:rsid w:val="009143E3"/>
    <w:rsid w:val="009152D3"/>
    <w:rsid w:val="00915DCA"/>
    <w:rsid w:val="00916CEA"/>
    <w:rsid w:val="00922652"/>
    <w:rsid w:val="00923734"/>
    <w:rsid w:val="00923B81"/>
    <w:rsid w:val="00923C7D"/>
    <w:rsid w:val="00925F6E"/>
    <w:rsid w:val="00927C3E"/>
    <w:rsid w:val="0093072B"/>
    <w:rsid w:val="00930E35"/>
    <w:rsid w:val="00930EA4"/>
    <w:rsid w:val="00930F6B"/>
    <w:rsid w:val="00931991"/>
    <w:rsid w:val="009323CF"/>
    <w:rsid w:val="00932DA7"/>
    <w:rsid w:val="009359CE"/>
    <w:rsid w:val="00936A93"/>
    <w:rsid w:val="00940929"/>
    <w:rsid w:val="009411E4"/>
    <w:rsid w:val="00941BFC"/>
    <w:rsid w:val="00941C54"/>
    <w:rsid w:val="00943696"/>
    <w:rsid w:val="0094416E"/>
    <w:rsid w:val="00944A12"/>
    <w:rsid w:val="009450A5"/>
    <w:rsid w:val="00945FCB"/>
    <w:rsid w:val="009474E7"/>
    <w:rsid w:val="00947689"/>
    <w:rsid w:val="009502BE"/>
    <w:rsid w:val="00950414"/>
    <w:rsid w:val="00951ED7"/>
    <w:rsid w:val="00952704"/>
    <w:rsid w:val="00952DDF"/>
    <w:rsid w:val="00953AB1"/>
    <w:rsid w:val="00953DA4"/>
    <w:rsid w:val="00954A03"/>
    <w:rsid w:val="00954D1F"/>
    <w:rsid w:val="00955C56"/>
    <w:rsid w:val="00956615"/>
    <w:rsid w:val="00957240"/>
    <w:rsid w:val="009634BC"/>
    <w:rsid w:val="00963B68"/>
    <w:rsid w:val="009651CC"/>
    <w:rsid w:val="00965B9B"/>
    <w:rsid w:val="00965DF5"/>
    <w:rsid w:val="00966C9A"/>
    <w:rsid w:val="00967445"/>
    <w:rsid w:val="00967703"/>
    <w:rsid w:val="0097084F"/>
    <w:rsid w:val="00974162"/>
    <w:rsid w:val="009746DA"/>
    <w:rsid w:val="009746FC"/>
    <w:rsid w:val="00975433"/>
    <w:rsid w:val="009759DE"/>
    <w:rsid w:val="00977F0D"/>
    <w:rsid w:val="009801FE"/>
    <w:rsid w:val="00980973"/>
    <w:rsid w:val="00981226"/>
    <w:rsid w:val="0098144C"/>
    <w:rsid w:val="0098267D"/>
    <w:rsid w:val="00982FCC"/>
    <w:rsid w:val="00983C1B"/>
    <w:rsid w:val="009846C9"/>
    <w:rsid w:val="009849DA"/>
    <w:rsid w:val="0098586B"/>
    <w:rsid w:val="00986516"/>
    <w:rsid w:val="0098699C"/>
    <w:rsid w:val="00986BC9"/>
    <w:rsid w:val="00987022"/>
    <w:rsid w:val="0098717D"/>
    <w:rsid w:val="009872CA"/>
    <w:rsid w:val="00987725"/>
    <w:rsid w:val="0099132F"/>
    <w:rsid w:val="00991968"/>
    <w:rsid w:val="009925C4"/>
    <w:rsid w:val="00992FF2"/>
    <w:rsid w:val="00993532"/>
    <w:rsid w:val="00993C6E"/>
    <w:rsid w:val="0099428F"/>
    <w:rsid w:val="009959F0"/>
    <w:rsid w:val="00995BC9"/>
    <w:rsid w:val="00995CE3"/>
    <w:rsid w:val="00995D4C"/>
    <w:rsid w:val="009960D6"/>
    <w:rsid w:val="0099614C"/>
    <w:rsid w:val="00997698"/>
    <w:rsid w:val="009976AB"/>
    <w:rsid w:val="009976D6"/>
    <w:rsid w:val="00997BEC"/>
    <w:rsid w:val="00997CD4"/>
    <w:rsid w:val="009A044A"/>
    <w:rsid w:val="009A068E"/>
    <w:rsid w:val="009A151A"/>
    <w:rsid w:val="009A1B64"/>
    <w:rsid w:val="009A1CC4"/>
    <w:rsid w:val="009A28CE"/>
    <w:rsid w:val="009A2F08"/>
    <w:rsid w:val="009A3199"/>
    <w:rsid w:val="009A3594"/>
    <w:rsid w:val="009A5B14"/>
    <w:rsid w:val="009A5E16"/>
    <w:rsid w:val="009B286A"/>
    <w:rsid w:val="009B49C6"/>
    <w:rsid w:val="009B4A4D"/>
    <w:rsid w:val="009B6346"/>
    <w:rsid w:val="009B6436"/>
    <w:rsid w:val="009B7072"/>
    <w:rsid w:val="009B7444"/>
    <w:rsid w:val="009B79FC"/>
    <w:rsid w:val="009B7B17"/>
    <w:rsid w:val="009B7D33"/>
    <w:rsid w:val="009C238F"/>
    <w:rsid w:val="009C2A4D"/>
    <w:rsid w:val="009C2E83"/>
    <w:rsid w:val="009C36CC"/>
    <w:rsid w:val="009C482A"/>
    <w:rsid w:val="009C510B"/>
    <w:rsid w:val="009C5DBB"/>
    <w:rsid w:val="009D093F"/>
    <w:rsid w:val="009D1723"/>
    <w:rsid w:val="009D1BFA"/>
    <w:rsid w:val="009D222E"/>
    <w:rsid w:val="009D2C2D"/>
    <w:rsid w:val="009D39BB"/>
    <w:rsid w:val="009D3F3F"/>
    <w:rsid w:val="009D4EC5"/>
    <w:rsid w:val="009D6139"/>
    <w:rsid w:val="009D640E"/>
    <w:rsid w:val="009D65FB"/>
    <w:rsid w:val="009D6676"/>
    <w:rsid w:val="009D7533"/>
    <w:rsid w:val="009E0BB1"/>
    <w:rsid w:val="009E1566"/>
    <w:rsid w:val="009E1767"/>
    <w:rsid w:val="009E18DD"/>
    <w:rsid w:val="009E1979"/>
    <w:rsid w:val="009E1C7D"/>
    <w:rsid w:val="009E2CF9"/>
    <w:rsid w:val="009E2DC0"/>
    <w:rsid w:val="009E2E15"/>
    <w:rsid w:val="009E2E3D"/>
    <w:rsid w:val="009E32C5"/>
    <w:rsid w:val="009E3393"/>
    <w:rsid w:val="009E4CF0"/>
    <w:rsid w:val="009E513B"/>
    <w:rsid w:val="009E5442"/>
    <w:rsid w:val="009E7476"/>
    <w:rsid w:val="009E7784"/>
    <w:rsid w:val="009F1BEA"/>
    <w:rsid w:val="009F1C63"/>
    <w:rsid w:val="009F208A"/>
    <w:rsid w:val="009F35EE"/>
    <w:rsid w:val="009F3E08"/>
    <w:rsid w:val="009F4310"/>
    <w:rsid w:val="009F5F5B"/>
    <w:rsid w:val="009F7602"/>
    <w:rsid w:val="009F7A02"/>
    <w:rsid w:val="009F7EC6"/>
    <w:rsid w:val="00A00045"/>
    <w:rsid w:val="00A00852"/>
    <w:rsid w:val="00A01855"/>
    <w:rsid w:val="00A01AF2"/>
    <w:rsid w:val="00A02558"/>
    <w:rsid w:val="00A02E3D"/>
    <w:rsid w:val="00A0388F"/>
    <w:rsid w:val="00A046B1"/>
    <w:rsid w:val="00A070B1"/>
    <w:rsid w:val="00A10CA7"/>
    <w:rsid w:val="00A1201B"/>
    <w:rsid w:val="00A127E0"/>
    <w:rsid w:val="00A13E37"/>
    <w:rsid w:val="00A14946"/>
    <w:rsid w:val="00A14D52"/>
    <w:rsid w:val="00A16165"/>
    <w:rsid w:val="00A164B6"/>
    <w:rsid w:val="00A1702E"/>
    <w:rsid w:val="00A17D8F"/>
    <w:rsid w:val="00A2036E"/>
    <w:rsid w:val="00A20F05"/>
    <w:rsid w:val="00A21299"/>
    <w:rsid w:val="00A2143D"/>
    <w:rsid w:val="00A21460"/>
    <w:rsid w:val="00A21CBC"/>
    <w:rsid w:val="00A225A4"/>
    <w:rsid w:val="00A228AF"/>
    <w:rsid w:val="00A22AA9"/>
    <w:rsid w:val="00A22C80"/>
    <w:rsid w:val="00A22E12"/>
    <w:rsid w:val="00A23C87"/>
    <w:rsid w:val="00A25F87"/>
    <w:rsid w:val="00A2772C"/>
    <w:rsid w:val="00A306D3"/>
    <w:rsid w:val="00A3133E"/>
    <w:rsid w:val="00A32ADE"/>
    <w:rsid w:val="00A34191"/>
    <w:rsid w:val="00A34A4C"/>
    <w:rsid w:val="00A3558C"/>
    <w:rsid w:val="00A35A5A"/>
    <w:rsid w:val="00A35D78"/>
    <w:rsid w:val="00A367EB"/>
    <w:rsid w:val="00A36F82"/>
    <w:rsid w:val="00A37366"/>
    <w:rsid w:val="00A37373"/>
    <w:rsid w:val="00A403AD"/>
    <w:rsid w:val="00A413B2"/>
    <w:rsid w:val="00A41A0A"/>
    <w:rsid w:val="00A41B20"/>
    <w:rsid w:val="00A424C5"/>
    <w:rsid w:val="00A4307B"/>
    <w:rsid w:val="00A44A9A"/>
    <w:rsid w:val="00A46389"/>
    <w:rsid w:val="00A46554"/>
    <w:rsid w:val="00A466B7"/>
    <w:rsid w:val="00A507B3"/>
    <w:rsid w:val="00A50885"/>
    <w:rsid w:val="00A51F1B"/>
    <w:rsid w:val="00A5368A"/>
    <w:rsid w:val="00A539AF"/>
    <w:rsid w:val="00A53EF1"/>
    <w:rsid w:val="00A54D0A"/>
    <w:rsid w:val="00A551C6"/>
    <w:rsid w:val="00A556D0"/>
    <w:rsid w:val="00A57F5D"/>
    <w:rsid w:val="00A60066"/>
    <w:rsid w:val="00A6061B"/>
    <w:rsid w:val="00A61321"/>
    <w:rsid w:val="00A622EA"/>
    <w:rsid w:val="00A627E9"/>
    <w:rsid w:val="00A64413"/>
    <w:rsid w:val="00A64496"/>
    <w:rsid w:val="00A65F94"/>
    <w:rsid w:val="00A65FDD"/>
    <w:rsid w:val="00A668B7"/>
    <w:rsid w:val="00A673A0"/>
    <w:rsid w:val="00A71472"/>
    <w:rsid w:val="00A71E68"/>
    <w:rsid w:val="00A727D9"/>
    <w:rsid w:val="00A72F75"/>
    <w:rsid w:val="00A73E39"/>
    <w:rsid w:val="00A74D0E"/>
    <w:rsid w:val="00A74E37"/>
    <w:rsid w:val="00A7500F"/>
    <w:rsid w:val="00A7521C"/>
    <w:rsid w:val="00A76961"/>
    <w:rsid w:val="00A77751"/>
    <w:rsid w:val="00A7785C"/>
    <w:rsid w:val="00A8036E"/>
    <w:rsid w:val="00A825E3"/>
    <w:rsid w:val="00A8310E"/>
    <w:rsid w:val="00A834AA"/>
    <w:rsid w:val="00A854F7"/>
    <w:rsid w:val="00A85E06"/>
    <w:rsid w:val="00A868A4"/>
    <w:rsid w:val="00A870C4"/>
    <w:rsid w:val="00A8799F"/>
    <w:rsid w:val="00A87F8F"/>
    <w:rsid w:val="00A90B69"/>
    <w:rsid w:val="00A90E00"/>
    <w:rsid w:val="00A911A6"/>
    <w:rsid w:val="00A91668"/>
    <w:rsid w:val="00A92204"/>
    <w:rsid w:val="00A9449E"/>
    <w:rsid w:val="00A94550"/>
    <w:rsid w:val="00A94BAB"/>
    <w:rsid w:val="00A94D3A"/>
    <w:rsid w:val="00A94DC7"/>
    <w:rsid w:val="00A95076"/>
    <w:rsid w:val="00A950D1"/>
    <w:rsid w:val="00A96361"/>
    <w:rsid w:val="00A96E04"/>
    <w:rsid w:val="00A974C8"/>
    <w:rsid w:val="00AA0767"/>
    <w:rsid w:val="00AA07F0"/>
    <w:rsid w:val="00AA1771"/>
    <w:rsid w:val="00AA18E7"/>
    <w:rsid w:val="00AA3276"/>
    <w:rsid w:val="00AA355E"/>
    <w:rsid w:val="00AA3616"/>
    <w:rsid w:val="00AA563C"/>
    <w:rsid w:val="00AA5B85"/>
    <w:rsid w:val="00AA6141"/>
    <w:rsid w:val="00AA6896"/>
    <w:rsid w:val="00AA746D"/>
    <w:rsid w:val="00AA7C70"/>
    <w:rsid w:val="00AB00D7"/>
    <w:rsid w:val="00AB03DB"/>
    <w:rsid w:val="00AB1338"/>
    <w:rsid w:val="00AB184F"/>
    <w:rsid w:val="00AB1A73"/>
    <w:rsid w:val="00AB2FAB"/>
    <w:rsid w:val="00AB3E42"/>
    <w:rsid w:val="00AB4A96"/>
    <w:rsid w:val="00AB5752"/>
    <w:rsid w:val="00AB658C"/>
    <w:rsid w:val="00AB741E"/>
    <w:rsid w:val="00AC087A"/>
    <w:rsid w:val="00AC1801"/>
    <w:rsid w:val="00AC1B7A"/>
    <w:rsid w:val="00AC2D29"/>
    <w:rsid w:val="00AC6A6B"/>
    <w:rsid w:val="00AC749B"/>
    <w:rsid w:val="00AC75D9"/>
    <w:rsid w:val="00AC75E6"/>
    <w:rsid w:val="00AC77FE"/>
    <w:rsid w:val="00AC7DEF"/>
    <w:rsid w:val="00AD01C9"/>
    <w:rsid w:val="00AD053B"/>
    <w:rsid w:val="00AD0A37"/>
    <w:rsid w:val="00AD16AC"/>
    <w:rsid w:val="00AD1B56"/>
    <w:rsid w:val="00AD1F24"/>
    <w:rsid w:val="00AD27F1"/>
    <w:rsid w:val="00AD2E9A"/>
    <w:rsid w:val="00AD3FAB"/>
    <w:rsid w:val="00AD48BE"/>
    <w:rsid w:val="00AD55A7"/>
    <w:rsid w:val="00AD5973"/>
    <w:rsid w:val="00AD7223"/>
    <w:rsid w:val="00AD7BF2"/>
    <w:rsid w:val="00AD7DB2"/>
    <w:rsid w:val="00AD7FDF"/>
    <w:rsid w:val="00AE044F"/>
    <w:rsid w:val="00AE0731"/>
    <w:rsid w:val="00AE1DBB"/>
    <w:rsid w:val="00AE2827"/>
    <w:rsid w:val="00AE2D4A"/>
    <w:rsid w:val="00AE3733"/>
    <w:rsid w:val="00AE4A12"/>
    <w:rsid w:val="00AE4F70"/>
    <w:rsid w:val="00AF2D5F"/>
    <w:rsid w:val="00AF34F3"/>
    <w:rsid w:val="00AF3B3E"/>
    <w:rsid w:val="00AF3CE1"/>
    <w:rsid w:val="00AF46E8"/>
    <w:rsid w:val="00AF4C9B"/>
    <w:rsid w:val="00AF50FA"/>
    <w:rsid w:val="00AF56E9"/>
    <w:rsid w:val="00AF5CD1"/>
    <w:rsid w:val="00AF5F96"/>
    <w:rsid w:val="00AF66B0"/>
    <w:rsid w:val="00AF6733"/>
    <w:rsid w:val="00AF7239"/>
    <w:rsid w:val="00B00AE9"/>
    <w:rsid w:val="00B00D0D"/>
    <w:rsid w:val="00B0105C"/>
    <w:rsid w:val="00B01882"/>
    <w:rsid w:val="00B01A8E"/>
    <w:rsid w:val="00B01F48"/>
    <w:rsid w:val="00B047CC"/>
    <w:rsid w:val="00B051A9"/>
    <w:rsid w:val="00B06A18"/>
    <w:rsid w:val="00B06C9F"/>
    <w:rsid w:val="00B06F7A"/>
    <w:rsid w:val="00B072EE"/>
    <w:rsid w:val="00B07B96"/>
    <w:rsid w:val="00B100D0"/>
    <w:rsid w:val="00B15955"/>
    <w:rsid w:val="00B15FA7"/>
    <w:rsid w:val="00B16234"/>
    <w:rsid w:val="00B17F10"/>
    <w:rsid w:val="00B20324"/>
    <w:rsid w:val="00B2092D"/>
    <w:rsid w:val="00B2096E"/>
    <w:rsid w:val="00B22267"/>
    <w:rsid w:val="00B23439"/>
    <w:rsid w:val="00B2385F"/>
    <w:rsid w:val="00B249F6"/>
    <w:rsid w:val="00B257E4"/>
    <w:rsid w:val="00B25A5C"/>
    <w:rsid w:val="00B25DA4"/>
    <w:rsid w:val="00B2665A"/>
    <w:rsid w:val="00B26E98"/>
    <w:rsid w:val="00B276B1"/>
    <w:rsid w:val="00B276D4"/>
    <w:rsid w:val="00B30013"/>
    <w:rsid w:val="00B307A2"/>
    <w:rsid w:val="00B307AA"/>
    <w:rsid w:val="00B30AAE"/>
    <w:rsid w:val="00B324FA"/>
    <w:rsid w:val="00B32ACB"/>
    <w:rsid w:val="00B332C0"/>
    <w:rsid w:val="00B348F6"/>
    <w:rsid w:val="00B350E8"/>
    <w:rsid w:val="00B358CF"/>
    <w:rsid w:val="00B35DB0"/>
    <w:rsid w:val="00B36164"/>
    <w:rsid w:val="00B36E7B"/>
    <w:rsid w:val="00B378C6"/>
    <w:rsid w:val="00B40096"/>
    <w:rsid w:val="00B400B6"/>
    <w:rsid w:val="00B40F5E"/>
    <w:rsid w:val="00B410DB"/>
    <w:rsid w:val="00B4250A"/>
    <w:rsid w:val="00B43C2F"/>
    <w:rsid w:val="00B45675"/>
    <w:rsid w:val="00B4588B"/>
    <w:rsid w:val="00B458B2"/>
    <w:rsid w:val="00B45F22"/>
    <w:rsid w:val="00B4768E"/>
    <w:rsid w:val="00B47F28"/>
    <w:rsid w:val="00B47F53"/>
    <w:rsid w:val="00B51A9A"/>
    <w:rsid w:val="00B52453"/>
    <w:rsid w:val="00B5292F"/>
    <w:rsid w:val="00B52C2C"/>
    <w:rsid w:val="00B534D4"/>
    <w:rsid w:val="00B537F7"/>
    <w:rsid w:val="00B53D59"/>
    <w:rsid w:val="00B55659"/>
    <w:rsid w:val="00B5606D"/>
    <w:rsid w:val="00B571B6"/>
    <w:rsid w:val="00B57A90"/>
    <w:rsid w:val="00B57C96"/>
    <w:rsid w:val="00B61B33"/>
    <w:rsid w:val="00B64B12"/>
    <w:rsid w:val="00B64D1E"/>
    <w:rsid w:val="00B66A9F"/>
    <w:rsid w:val="00B67512"/>
    <w:rsid w:val="00B676B7"/>
    <w:rsid w:val="00B67A37"/>
    <w:rsid w:val="00B70DB5"/>
    <w:rsid w:val="00B7100A"/>
    <w:rsid w:val="00B71FA1"/>
    <w:rsid w:val="00B71FC1"/>
    <w:rsid w:val="00B731DA"/>
    <w:rsid w:val="00B7347D"/>
    <w:rsid w:val="00B73D8E"/>
    <w:rsid w:val="00B74A84"/>
    <w:rsid w:val="00B767EE"/>
    <w:rsid w:val="00B77D64"/>
    <w:rsid w:val="00B80303"/>
    <w:rsid w:val="00B80CFF"/>
    <w:rsid w:val="00B81442"/>
    <w:rsid w:val="00B81454"/>
    <w:rsid w:val="00B814ED"/>
    <w:rsid w:val="00B81F5A"/>
    <w:rsid w:val="00B844A0"/>
    <w:rsid w:val="00B84697"/>
    <w:rsid w:val="00B85845"/>
    <w:rsid w:val="00B86B8A"/>
    <w:rsid w:val="00B87E46"/>
    <w:rsid w:val="00B90C57"/>
    <w:rsid w:val="00B9116D"/>
    <w:rsid w:val="00B932F2"/>
    <w:rsid w:val="00B93B51"/>
    <w:rsid w:val="00B93E7D"/>
    <w:rsid w:val="00B94002"/>
    <w:rsid w:val="00B941C8"/>
    <w:rsid w:val="00B9429B"/>
    <w:rsid w:val="00B9438B"/>
    <w:rsid w:val="00B95B37"/>
    <w:rsid w:val="00B95EB9"/>
    <w:rsid w:val="00B96BA9"/>
    <w:rsid w:val="00B972B9"/>
    <w:rsid w:val="00BA0B77"/>
    <w:rsid w:val="00BA13A4"/>
    <w:rsid w:val="00BA1944"/>
    <w:rsid w:val="00BA2B92"/>
    <w:rsid w:val="00BA3540"/>
    <w:rsid w:val="00BA41E4"/>
    <w:rsid w:val="00BA463C"/>
    <w:rsid w:val="00BA4C3F"/>
    <w:rsid w:val="00BA6359"/>
    <w:rsid w:val="00BA69EF"/>
    <w:rsid w:val="00BA7443"/>
    <w:rsid w:val="00BB08C5"/>
    <w:rsid w:val="00BB0948"/>
    <w:rsid w:val="00BB1D11"/>
    <w:rsid w:val="00BB3807"/>
    <w:rsid w:val="00BB3CA9"/>
    <w:rsid w:val="00BB4304"/>
    <w:rsid w:val="00BB46FE"/>
    <w:rsid w:val="00BB4A98"/>
    <w:rsid w:val="00BB4B66"/>
    <w:rsid w:val="00BB5DFA"/>
    <w:rsid w:val="00BB7CBE"/>
    <w:rsid w:val="00BB7D37"/>
    <w:rsid w:val="00BC28B7"/>
    <w:rsid w:val="00BC28D6"/>
    <w:rsid w:val="00BC3482"/>
    <w:rsid w:val="00BC3EE6"/>
    <w:rsid w:val="00BC6806"/>
    <w:rsid w:val="00BC7114"/>
    <w:rsid w:val="00BD18EC"/>
    <w:rsid w:val="00BD2595"/>
    <w:rsid w:val="00BD2805"/>
    <w:rsid w:val="00BD4A3B"/>
    <w:rsid w:val="00BD5AFE"/>
    <w:rsid w:val="00BE07CB"/>
    <w:rsid w:val="00BE1572"/>
    <w:rsid w:val="00BE15CD"/>
    <w:rsid w:val="00BE15FC"/>
    <w:rsid w:val="00BE1755"/>
    <w:rsid w:val="00BE26A1"/>
    <w:rsid w:val="00BE325B"/>
    <w:rsid w:val="00BE3B2B"/>
    <w:rsid w:val="00BE3BC3"/>
    <w:rsid w:val="00BE4647"/>
    <w:rsid w:val="00BE56D0"/>
    <w:rsid w:val="00BE5757"/>
    <w:rsid w:val="00BE5B08"/>
    <w:rsid w:val="00BE7180"/>
    <w:rsid w:val="00BE7445"/>
    <w:rsid w:val="00BF061A"/>
    <w:rsid w:val="00BF0A6F"/>
    <w:rsid w:val="00BF2B19"/>
    <w:rsid w:val="00BF3137"/>
    <w:rsid w:val="00BF3292"/>
    <w:rsid w:val="00BF33EC"/>
    <w:rsid w:val="00BF3866"/>
    <w:rsid w:val="00BF5165"/>
    <w:rsid w:val="00BF525B"/>
    <w:rsid w:val="00BF64F5"/>
    <w:rsid w:val="00BF763D"/>
    <w:rsid w:val="00BF77BE"/>
    <w:rsid w:val="00BF7C56"/>
    <w:rsid w:val="00C00045"/>
    <w:rsid w:val="00C00758"/>
    <w:rsid w:val="00C014A6"/>
    <w:rsid w:val="00C019FE"/>
    <w:rsid w:val="00C02A31"/>
    <w:rsid w:val="00C03695"/>
    <w:rsid w:val="00C03BF7"/>
    <w:rsid w:val="00C043BD"/>
    <w:rsid w:val="00C06679"/>
    <w:rsid w:val="00C0671D"/>
    <w:rsid w:val="00C07188"/>
    <w:rsid w:val="00C0768B"/>
    <w:rsid w:val="00C10700"/>
    <w:rsid w:val="00C11A7D"/>
    <w:rsid w:val="00C124B1"/>
    <w:rsid w:val="00C12710"/>
    <w:rsid w:val="00C128E8"/>
    <w:rsid w:val="00C1387B"/>
    <w:rsid w:val="00C13F48"/>
    <w:rsid w:val="00C14010"/>
    <w:rsid w:val="00C20758"/>
    <w:rsid w:val="00C20804"/>
    <w:rsid w:val="00C20FE1"/>
    <w:rsid w:val="00C21336"/>
    <w:rsid w:val="00C223E9"/>
    <w:rsid w:val="00C2342E"/>
    <w:rsid w:val="00C24078"/>
    <w:rsid w:val="00C242A0"/>
    <w:rsid w:val="00C2589B"/>
    <w:rsid w:val="00C26740"/>
    <w:rsid w:val="00C275F5"/>
    <w:rsid w:val="00C277AB"/>
    <w:rsid w:val="00C31B20"/>
    <w:rsid w:val="00C329AA"/>
    <w:rsid w:val="00C32CB8"/>
    <w:rsid w:val="00C32E1C"/>
    <w:rsid w:val="00C32E8B"/>
    <w:rsid w:val="00C33995"/>
    <w:rsid w:val="00C34AB1"/>
    <w:rsid w:val="00C36B11"/>
    <w:rsid w:val="00C37B6A"/>
    <w:rsid w:val="00C37C67"/>
    <w:rsid w:val="00C401A4"/>
    <w:rsid w:val="00C4130B"/>
    <w:rsid w:val="00C41B3C"/>
    <w:rsid w:val="00C42A4E"/>
    <w:rsid w:val="00C43580"/>
    <w:rsid w:val="00C43AE4"/>
    <w:rsid w:val="00C44F95"/>
    <w:rsid w:val="00C453FE"/>
    <w:rsid w:val="00C455D0"/>
    <w:rsid w:val="00C45A13"/>
    <w:rsid w:val="00C45E02"/>
    <w:rsid w:val="00C46166"/>
    <w:rsid w:val="00C46983"/>
    <w:rsid w:val="00C475B6"/>
    <w:rsid w:val="00C50398"/>
    <w:rsid w:val="00C5048B"/>
    <w:rsid w:val="00C515A9"/>
    <w:rsid w:val="00C51655"/>
    <w:rsid w:val="00C531F9"/>
    <w:rsid w:val="00C5367C"/>
    <w:rsid w:val="00C54620"/>
    <w:rsid w:val="00C54986"/>
    <w:rsid w:val="00C551B8"/>
    <w:rsid w:val="00C55BA5"/>
    <w:rsid w:val="00C56731"/>
    <w:rsid w:val="00C56DD7"/>
    <w:rsid w:val="00C5773B"/>
    <w:rsid w:val="00C62224"/>
    <w:rsid w:val="00C62AD4"/>
    <w:rsid w:val="00C63036"/>
    <w:rsid w:val="00C6311F"/>
    <w:rsid w:val="00C6464C"/>
    <w:rsid w:val="00C64D4E"/>
    <w:rsid w:val="00C64FB6"/>
    <w:rsid w:val="00C652CA"/>
    <w:rsid w:val="00C655B9"/>
    <w:rsid w:val="00C66D7A"/>
    <w:rsid w:val="00C72EC2"/>
    <w:rsid w:val="00C73E8E"/>
    <w:rsid w:val="00C75A9B"/>
    <w:rsid w:val="00C75B2A"/>
    <w:rsid w:val="00C75E8F"/>
    <w:rsid w:val="00C771FD"/>
    <w:rsid w:val="00C800EB"/>
    <w:rsid w:val="00C81910"/>
    <w:rsid w:val="00C82608"/>
    <w:rsid w:val="00C829B2"/>
    <w:rsid w:val="00C83F01"/>
    <w:rsid w:val="00C8450F"/>
    <w:rsid w:val="00C849A2"/>
    <w:rsid w:val="00C849D4"/>
    <w:rsid w:val="00C84A35"/>
    <w:rsid w:val="00C85332"/>
    <w:rsid w:val="00C8709E"/>
    <w:rsid w:val="00C87805"/>
    <w:rsid w:val="00C90678"/>
    <w:rsid w:val="00C91FDE"/>
    <w:rsid w:val="00C9227E"/>
    <w:rsid w:val="00C9277F"/>
    <w:rsid w:val="00C92909"/>
    <w:rsid w:val="00C92AC2"/>
    <w:rsid w:val="00C962B9"/>
    <w:rsid w:val="00C96606"/>
    <w:rsid w:val="00C96952"/>
    <w:rsid w:val="00C96BD8"/>
    <w:rsid w:val="00C96EBA"/>
    <w:rsid w:val="00C973FC"/>
    <w:rsid w:val="00C97DD8"/>
    <w:rsid w:val="00C97F6F"/>
    <w:rsid w:val="00CA024F"/>
    <w:rsid w:val="00CA02B9"/>
    <w:rsid w:val="00CA1552"/>
    <w:rsid w:val="00CA1A26"/>
    <w:rsid w:val="00CA21F5"/>
    <w:rsid w:val="00CA257D"/>
    <w:rsid w:val="00CA2C3E"/>
    <w:rsid w:val="00CA4248"/>
    <w:rsid w:val="00CA4D44"/>
    <w:rsid w:val="00CA75EB"/>
    <w:rsid w:val="00CB115A"/>
    <w:rsid w:val="00CB18D0"/>
    <w:rsid w:val="00CB2BCD"/>
    <w:rsid w:val="00CB364F"/>
    <w:rsid w:val="00CB3ABE"/>
    <w:rsid w:val="00CB43C1"/>
    <w:rsid w:val="00CB4571"/>
    <w:rsid w:val="00CB4D59"/>
    <w:rsid w:val="00CB5313"/>
    <w:rsid w:val="00CB649A"/>
    <w:rsid w:val="00CC07DD"/>
    <w:rsid w:val="00CC14F8"/>
    <w:rsid w:val="00CC1624"/>
    <w:rsid w:val="00CC1892"/>
    <w:rsid w:val="00CC39B6"/>
    <w:rsid w:val="00CC4746"/>
    <w:rsid w:val="00CC4CC5"/>
    <w:rsid w:val="00CC5F93"/>
    <w:rsid w:val="00CC697B"/>
    <w:rsid w:val="00CC74E5"/>
    <w:rsid w:val="00CC77C8"/>
    <w:rsid w:val="00CD16E9"/>
    <w:rsid w:val="00CD23EA"/>
    <w:rsid w:val="00CD28D3"/>
    <w:rsid w:val="00CD459C"/>
    <w:rsid w:val="00CD52F0"/>
    <w:rsid w:val="00CD53CB"/>
    <w:rsid w:val="00CD5C0E"/>
    <w:rsid w:val="00CD5E36"/>
    <w:rsid w:val="00CE2A7F"/>
    <w:rsid w:val="00CE4773"/>
    <w:rsid w:val="00CE51A9"/>
    <w:rsid w:val="00CE5568"/>
    <w:rsid w:val="00CE5AA2"/>
    <w:rsid w:val="00CE640A"/>
    <w:rsid w:val="00CE67B5"/>
    <w:rsid w:val="00CE711B"/>
    <w:rsid w:val="00CE737E"/>
    <w:rsid w:val="00CF134D"/>
    <w:rsid w:val="00CF1EBD"/>
    <w:rsid w:val="00CF278C"/>
    <w:rsid w:val="00CF5128"/>
    <w:rsid w:val="00CF5298"/>
    <w:rsid w:val="00CF5DBC"/>
    <w:rsid w:val="00CF614C"/>
    <w:rsid w:val="00CF6A61"/>
    <w:rsid w:val="00CF6A8A"/>
    <w:rsid w:val="00CF6CCC"/>
    <w:rsid w:val="00CF6EB8"/>
    <w:rsid w:val="00CF73AC"/>
    <w:rsid w:val="00CF7F18"/>
    <w:rsid w:val="00D00653"/>
    <w:rsid w:val="00D00DE7"/>
    <w:rsid w:val="00D012E1"/>
    <w:rsid w:val="00D01E0A"/>
    <w:rsid w:val="00D0344F"/>
    <w:rsid w:val="00D045F0"/>
    <w:rsid w:val="00D04CBE"/>
    <w:rsid w:val="00D0562C"/>
    <w:rsid w:val="00D07D57"/>
    <w:rsid w:val="00D10392"/>
    <w:rsid w:val="00D1069C"/>
    <w:rsid w:val="00D11460"/>
    <w:rsid w:val="00D119C1"/>
    <w:rsid w:val="00D11E25"/>
    <w:rsid w:val="00D12E71"/>
    <w:rsid w:val="00D143A4"/>
    <w:rsid w:val="00D14E8A"/>
    <w:rsid w:val="00D15ED4"/>
    <w:rsid w:val="00D16111"/>
    <w:rsid w:val="00D16911"/>
    <w:rsid w:val="00D16D41"/>
    <w:rsid w:val="00D20474"/>
    <w:rsid w:val="00D20EA9"/>
    <w:rsid w:val="00D217CB"/>
    <w:rsid w:val="00D22D46"/>
    <w:rsid w:val="00D2417E"/>
    <w:rsid w:val="00D246D0"/>
    <w:rsid w:val="00D24ACD"/>
    <w:rsid w:val="00D24CAA"/>
    <w:rsid w:val="00D26440"/>
    <w:rsid w:val="00D26C88"/>
    <w:rsid w:val="00D31943"/>
    <w:rsid w:val="00D319F3"/>
    <w:rsid w:val="00D32FFC"/>
    <w:rsid w:val="00D3300F"/>
    <w:rsid w:val="00D33F26"/>
    <w:rsid w:val="00D34261"/>
    <w:rsid w:val="00D35818"/>
    <w:rsid w:val="00D361B1"/>
    <w:rsid w:val="00D367FD"/>
    <w:rsid w:val="00D36B21"/>
    <w:rsid w:val="00D36D09"/>
    <w:rsid w:val="00D370E2"/>
    <w:rsid w:val="00D378BF"/>
    <w:rsid w:val="00D40681"/>
    <w:rsid w:val="00D41289"/>
    <w:rsid w:val="00D41725"/>
    <w:rsid w:val="00D42B2E"/>
    <w:rsid w:val="00D44B87"/>
    <w:rsid w:val="00D44BBE"/>
    <w:rsid w:val="00D44EB8"/>
    <w:rsid w:val="00D46FCF"/>
    <w:rsid w:val="00D476C2"/>
    <w:rsid w:val="00D47DB8"/>
    <w:rsid w:val="00D47F07"/>
    <w:rsid w:val="00D5245E"/>
    <w:rsid w:val="00D52D43"/>
    <w:rsid w:val="00D5479A"/>
    <w:rsid w:val="00D55FE8"/>
    <w:rsid w:val="00D562BC"/>
    <w:rsid w:val="00D56836"/>
    <w:rsid w:val="00D57EE1"/>
    <w:rsid w:val="00D6017C"/>
    <w:rsid w:val="00D60616"/>
    <w:rsid w:val="00D6105B"/>
    <w:rsid w:val="00D6125E"/>
    <w:rsid w:val="00D61B7F"/>
    <w:rsid w:val="00D62ADD"/>
    <w:rsid w:val="00D62C2D"/>
    <w:rsid w:val="00D6393D"/>
    <w:rsid w:val="00D6465B"/>
    <w:rsid w:val="00D65BD1"/>
    <w:rsid w:val="00D66457"/>
    <w:rsid w:val="00D66D78"/>
    <w:rsid w:val="00D70317"/>
    <w:rsid w:val="00D7057D"/>
    <w:rsid w:val="00D7151F"/>
    <w:rsid w:val="00D71A62"/>
    <w:rsid w:val="00D71EBB"/>
    <w:rsid w:val="00D71FFF"/>
    <w:rsid w:val="00D7218F"/>
    <w:rsid w:val="00D72352"/>
    <w:rsid w:val="00D72556"/>
    <w:rsid w:val="00D72B77"/>
    <w:rsid w:val="00D75788"/>
    <w:rsid w:val="00D75DB2"/>
    <w:rsid w:val="00D76367"/>
    <w:rsid w:val="00D800C7"/>
    <w:rsid w:val="00D80435"/>
    <w:rsid w:val="00D8067D"/>
    <w:rsid w:val="00D81DDC"/>
    <w:rsid w:val="00D81EEE"/>
    <w:rsid w:val="00D82115"/>
    <w:rsid w:val="00D849D1"/>
    <w:rsid w:val="00D84FE4"/>
    <w:rsid w:val="00D85294"/>
    <w:rsid w:val="00D85490"/>
    <w:rsid w:val="00D862C6"/>
    <w:rsid w:val="00D868B8"/>
    <w:rsid w:val="00D8746C"/>
    <w:rsid w:val="00D87BB4"/>
    <w:rsid w:val="00D9091B"/>
    <w:rsid w:val="00D915FD"/>
    <w:rsid w:val="00D91691"/>
    <w:rsid w:val="00D92509"/>
    <w:rsid w:val="00D9250B"/>
    <w:rsid w:val="00D92595"/>
    <w:rsid w:val="00D92857"/>
    <w:rsid w:val="00D92BFC"/>
    <w:rsid w:val="00D94601"/>
    <w:rsid w:val="00D94CED"/>
    <w:rsid w:val="00D95795"/>
    <w:rsid w:val="00D95AFC"/>
    <w:rsid w:val="00D95D81"/>
    <w:rsid w:val="00D96C41"/>
    <w:rsid w:val="00DA09AB"/>
    <w:rsid w:val="00DA1490"/>
    <w:rsid w:val="00DA14FF"/>
    <w:rsid w:val="00DA302C"/>
    <w:rsid w:val="00DA3590"/>
    <w:rsid w:val="00DA499F"/>
    <w:rsid w:val="00DA64AB"/>
    <w:rsid w:val="00DB06BF"/>
    <w:rsid w:val="00DB12E6"/>
    <w:rsid w:val="00DB1B46"/>
    <w:rsid w:val="00DB239B"/>
    <w:rsid w:val="00DB4AE2"/>
    <w:rsid w:val="00DB4B1D"/>
    <w:rsid w:val="00DB5035"/>
    <w:rsid w:val="00DB58EB"/>
    <w:rsid w:val="00DB6707"/>
    <w:rsid w:val="00DB69A2"/>
    <w:rsid w:val="00DB74E1"/>
    <w:rsid w:val="00DB79FE"/>
    <w:rsid w:val="00DB7B33"/>
    <w:rsid w:val="00DC1A08"/>
    <w:rsid w:val="00DC1A09"/>
    <w:rsid w:val="00DC3117"/>
    <w:rsid w:val="00DC35CE"/>
    <w:rsid w:val="00DC5019"/>
    <w:rsid w:val="00DC6C17"/>
    <w:rsid w:val="00DC731E"/>
    <w:rsid w:val="00DC7586"/>
    <w:rsid w:val="00DD051F"/>
    <w:rsid w:val="00DD0998"/>
    <w:rsid w:val="00DD1F4F"/>
    <w:rsid w:val="00DD2763"/>
    <w:rsid w:val="00DD2B09"/>
    <w:rsid w:val="00DD388B"/>
    <w:rsid w:val="00DD54AB"/>
    <w:rsid w:val="00DD57C2"/>
    <w:rsid w:val="00DD7138"/>
    <w:rsid w:val="00DD7AFD"/>
    <w:rsid w:val="00DE01A5"/>
    <w:rsid w:val="00DE13FF"/>
    <w:rsid w:val="00DE27E7"/>
    <w:rsid w:val="00DE2A61"/>
    <w:rsid w:val="00DE2CD8"/>
    <w:rsid w:val="00DE40A8"/>
    <w:rsid w:val="00DE5452"/>
    <w:rsid w:val="00DE5966"/>
    <w:rsid w:val="00DE5FE2"/>
    <w:rsid w:val="00DE63B6"/>
    <w:rsid w:val="00DE7F40"/>
    <w:rsid w:val="00DE7FE2"/>
    <w:rsid w:val="00DF05A2"/>
    <w:rsid w:val="00DF0E01"/>
    <w:rsid w:val="00DF1B34"/>
    <w:rsid w:val="00DF20DD"/>
    <w:rsid w:val="00DF2653"/>
    <w:rsid w:val="00DF2898"/>
    <w:rsid w:val="00DF3B60"/>
    <w:rsid w:val="00DF4410"/>
    <w:rsid w:val="00DF55EE"/>
    <w:rsid w:val="00DF5C83"/>
    <w:rsid w:val="00DF6AE1"/>
    <w:rsid w:val="00DF760D"/>
    <w:rsid w:val="00E0000E"/>
    <w:rsid w:val="00E003EE"/>
    <w:rsid w:val="00E015EA"/>
    <w:rsid w:val="00E01D17"/>
    <w:rsid w:val="00E025D0"/>
    <w:rsid w:val="00E0264B"/>
    <w:rsid w:val="00E02B73"/>
    <w:rsid w:val="00E03E6D"/>
    <w:rsid w:val="00E04595"/>
    <w:rsid w:val="00E04657"/>
    <w:rsid w:val="00E0517C"/>
    <w:rsid w:val="00E059EE"/>
    <w:rsid w:val="00E06BA7"/>
    <w:rsid w:val="00E07349"/>
    <w:rsid w:val="00E105A4"/>
    <w:rsid w:val="00E10EAA"/>
    <w:rsid w:val="00E118CB"/>
    <w:rsid w:val="00E126AB"/>
    <w:rsid w:val="00E1470A"/>
    <w:rsid w:val="00E151D6"/>
    <w:rsid w:val="00E151FF"/>
    <w:rsid w:val="00E15625"/>
    <w:rsid w:val="00E15831"/>
    <w:rsid w:val="00E15C7F"/>
    <w:rsid w:val="00E15F4E"/>
    <w:rsid w:val="00E1642F"/>
    <w:rsid w:val="00E20EE6"/>
    <w:rsid w:val="00E211C4"/>
    <w:rsid w:val="00E21F32"/>
    <w:rsid w:val="00E221A7"/>
    <w:rsid w:val="00E22492"/>
    <w:rsid w:val="00E23B24"/>
    <w:rsid w:val="00E27B2B"/>
    <w:rsid w:val="00E27F40"/>
    <w:rsid w:val="00E3047C"/>
    <w:rsid w:val="00E31862"/>
    <w:rsid w:val="00E31ECC"/>
    <w:rsid w:val="00E31F49"/>
    <w:rsid w:val="00E321B0"/>
    <w:rsid w:val="00E32207"/>
    <w:rsid w:val="00E3249C"/>
    <w:rsid w:val="00E32A30"/>
    <w:rsid w:val="00E32EB4"/>
    <w:rsid w:val="00E33745"/>
    <w:rsid w:val="00E34E63"/>
    <w:rsid w:val="00E36147"/>
    <w:rsid w:val="00E36C7A"/>
    <w:rsid w:val="00E36CBE"/>
    <w:rsid w:val="00E3779E"/>
    <w:rsid w:val="00E40AC5"/>
    <w:rsid w:val="00E42ED1"/>
    <w:rsid w:val="00E42F34"/>
    <w:rsid w:val="00E43C2B"/>
    <w:rsid w:val="00E4453D"/>
    <w:rsid w:val="00E450D3"/>
    <w:rsid w:val="00E466D8"/>
    <w:rsid w:val="00E46A64"/>
    <w:rsid w:val="00E50356"/>
    <w:rsid w:val="00E50B63"/>
    <w:rsid w:val="00E50BE6"/>
    <w:rsid w:val="00E50C4E"/>
    <w:rsid w:val="00E50CD4"/>
    <w:rsid w:val="00E51AE9"/>
    <w:rsid w:val="00E529F0"/>
    <w:rsid w:val="00E54499"/>
    <w:rsid w:val="00E54866"/>
    <w:rsid w:val="00E55C3A"/>
    <w:rsid w:val="00E55DB0"/>
    <w:rsid w:val="00E55FCA"/>
    <w:rsid w:val="00E56516"/>
    <w:rsid w:val="00E56B56"/>
    <w:rsid w:val="00E57563"/>
    <w:rsid w:val="00E606E2"/>
    <w:rsid w:val="00E60EA7"/>
    <w:rsid w:val="00E6168B"/>
    <w:rsid w:val="00E65F97"/>
    <w:rsid w:val="00E668ED"/>
    <w:rsid w:val="00E67118"/>
    <w:rsid w:val="00E67578"/>
    <w:rsid w:val="00E67B2B"/>
    <w:rsid w:val="00E67C85"/>
    <w:rsid w:val="00E70419"/>
    <w:rsid w:val="00E71FAA"/>
    <w:rsid w:val="00E736DA"/>
    <w:rsid w:val="00E73747"/>
    <w:rsid w:val="00E73779"/>
    <w:rsid w:val="00E73982"/>
    <w:rsid w:val="00E7427F"/>
    <w:rsid w:val="00E7457B"/>
    <w:rsid w:val="00E747CE"/>
    <w:rsid w:val="00E76CA3"/>
    <w:rsid w:val="00E77576"/>
    <w:rsid w:val="00E77CE1"/>
    <w:rsid w:val="00E817FB"/>
    <w:rsid w:val="00E82213"/>
    <w:rsid w:val="00E82C36"/>
    <w:rsid w:val="00E83B63"/>
    <w:rsid w:val="00E90F87"/>
    <w:rsid w:val="00E924BA"/>
    <w:rsid w:val="00E94906"/>
    <w:rsid w:val="00E951C8"/>
    <w:rsid w:val="00E9544A"/>
    <w:rsid w:val="00E95C01"/>
    <w:rsid w:val="00E96550"/>
    <w:rsid w:val="00E977EE"/>
    <w:rsid w:val="00EA1BF0"/>
    <w:rsid w:val="00EA4331"/>
    <w:rsid w:val="00EA49B0"/>
    <w:rsid w:val="00EA49B2"/>
    <w:rsid w:val="00EA4D9D"/>
    <w:rsid w:val="00EA650F"/>
    <w:rsid w:val="00EA6866"/>
    <w:rsid w:val="00EA6956"/>
    <w:rsid w:val="00EA6B85"/>
    <w:rsid w:val="00EA7FB5"/>
    <w:rsid w:val="00EB04A3"/>
    <w:rsid w:val="00EB098C"/>
    <w:rsid w:val="00EB0C44"/>
    <w:rsid w:val="00EB0E84"/>
    <w:rsid w:val="00EB1BD4"/>
    <w:rsid w:val="00EB2BEB"/>
    <w:rsid w:val="00EB2D05"/>
    <w:rsid w:val="00EB4CFD"/>
    <w:rsid w:val="00EB54CB"/>
    <w:rsid w:val="00EB5BBA"/>
    <w:rsid w:val="00EB64A0"/>
    <w:rsid w:val="00EB692D"/>
    <w:rsid w:val="00EB7E57"/>
    <w:rsid w:val="00EC056A"/>
    <w:rsid w:val="00EC09AB"/>
    <w:rsid w:val="00EC09D4"/>
    <w:rsid w:val="00EC1030"/>
    <w:rsid w:val="00EC163E"/>
    <w:rsid w:val="00EC1835"/>
    <w:rsid w:val="00EC2384"/>
    <w:rsid w:val="00EC3A75"/>
    <w:rsid w:val="00EC3DE0"/>
    <w:rsid w:val="00EC4B78"/>
    <w:rsid w:val="00EC5D94"/>
    <w:rsid w:val="00EC6004"/>
    <w:rsid w:val="00ED0043"/>
    <w:rsid w:val="00ED101C"/>
    <w:rsid w:val="00ED11E9"/>
    <w:rsid w:val="00ED181D"/>
    <w:rsid w:val="00ED1E22"/>
    <w:rsid w:val="00ED3B66"/>
    <w:rsid w:val="00ED5D8A"/>
    <w:rsid w:val="00ED785B"/>
    <w:rsid w:val="00ED7BCF"/>
    <w:rsid w:val="00EE0301"/>
    <w:rsid w:val="00EE0480"/>
    <w:rsid w:val="00EE04F4"/>
    <w:rsid w:val="00EE1430"/>
    <w:rsid w:val="00EE1754"/>
    <w:rsid w:val="00EE17F4"/>
    <w:rsid w:val="00EE1B0F"/>
    <w:rsid w:val="00EE1CD2"/>
    <w:rsid w:val="00EE2407"/>
    <w:rsid w:val="00EE2B8B"/>
    <w:rsid w:val="00EE3357"/>
    <w:rsid w:val="00EE3DD9"/>
    <w:rsid w:val="00EE3EFE"/>
    <w:rsid w:val="00EE4041"/>
    <w:rsid w:val="00EE4BB1"/>
    <w:rsid w:val="00EE50BB"/>
    <w:rsid w:val="00EE5A65"/>
    <w:rsid w:val="00EE68EE"/>
    <w:rsid w:val="00EE7114"/>
    <w:rsid w:val="00EE73AD"/>
    <w:rsid w:val="00EF03BD"/>
    <w:rsid w:val="00EF08A3"/>
    <w:rsid w:val="00EF0E87"/>
    <w:rsid w:val="00EF223B"/>
    <w:rsid w:val="00EF2731"/>
    <w:rsid w:val="00EF2745"/>
    <w:rsid w:val="00EF28DF"/>
    <w:rsid w:val="00EF31DB"/>
    <w:rsid w:val="00EF399B"/>
    <w:rsid w:val="00EF4632"/>
    <w:rsid w:val="00EF53F3"/>
    <w:rsid w:val="00EF572E"/>
    <w:rsid w:val="00EF5F09"/>
    <w:rsid w:val="00EF6DA3"/>
    <w:rsid w:val="00F00584"/>
    <w:rsid w:val="00F00F20"/>
    <w:rsid w:val="00F01422"/>
    <w:rsid w:val="00F02E71"/>
    <w:rsid w:val="00F02EAA"/>
    <w:rsid w:val="00F0308D"/>
    <w:rsid w:val="00F05CEB"/>
    <w:rsid w:val="00F06840"/>
    <w:rsid w:val="00F06BB7"/>
    <w:rsid w:val="00F10434"/>
    <w:rsid w:val="00F10C76"/>
    <w:rsid w:val="00F10CB2"/>
    <w:rsid w:val="00F11EB8"/>
    <w:rsid w:val="00F130A6"/>
    <w:rsid w:val="00F13369"/>
    <w:rsid w:val="00F14898"/>
    <w:rsid w:val="00F16055"/>
    <w:rsid w:val="00F1615D"/>
    <w:rsid w:val="00F16281"/>
    <w:rsid w:val="00F16799"/>
    <w:rsid w:val="00F17E93"/>
    <w:rsid w:val="00F17FBB"/>
    <w:rsid w:val="00F203AD"/>
    <w:rsid w:val="00F21FD1"/>
    <w:rsid w:val="00F2242B"/>
    <w:rsid w:val="00F22D22"/>
    <w:rsid w:val="00F24400"/>
    <w:rsid w:val="00F2594E"/>
    <w:rsid w:val="00F25D49"/>
    <w:rsid w:val="00F2600B"/>
    <w:rsid w:val="00F272FD"/>
    <w:rsid w:val="00F27987"/>
    <w:rsid w:val="00F30207"/>
    <w:rsid w:val="00F31974"/>
    <w:rsid w:val="00F3281A"/>
    <w:rsid w:val="00F32984"/>
    <w:rsid w:val="00F32F29"/>
    <w:rsid w:val="00F32F44"/>
    <w:rsid w:val="00F33145"/>
    <w:rsid w:val="00F34F49"/>
    <w:rsid w:val="00F3614C"/>
    <w:rsid w:val="00F3736E"/>
    <w:rsid w:val="00F3746E"/>
    <w:rsid w:val="00F379E4"/>
    <w:rsid w:val="00F37CC3"/>
    <w:rsid w:val="00F37EAE"/>
    <w:rsid w:val="00F40746"/>
    <w:rsid w:val="00F4079A"/>
    <w:rsid w:val="00F40A9D"/>
    <w:rsid w:val="00F40D7D"/>
    <w:rsid w:val="00F419C0"/>
    <w:rsid w:val="00F42947"/>
    <w:rsid w:val="00F44618"/>
    <w:rsid w:val="00F448EC"/>
    <w:rsid w:val="00F44E27"/>
    <w:rsid w:val="00F45442"/>
    <w:rsid w:val="00F463CF"/>
    <w:rsid w:val="00F464C0"/>
    <w:rsid w:val="00F52032"/>
    <w:rsid w:val="00F52D92"/>
    <w:rsid w:val="00F53C92"/>
    <w:rsid w:val="00F5546C"/>
    <w:rsid w:val="00F55B37"/>
    <w:rsid w:val="00F55BCE"/>
    <w:rsid w:val="00F56308"/>
    <w:rsid w:val="00F5672B"/>
    <w:rsid w:val="00F56E18"/>
    <w:rsid w:val="00F57413"/>
    <w:rsid w:val="00F57741"/>
    <w:rsid w:val="00F57A4A"/>
    <w:rsid w:val="00F6044F"/>
    <w:rsid w:val="00F61479"/>
    <w:rsid w:val="00F61DEC"/>
    <w:rsid w:val="00F61E6E"/>
    <w:rsid w:val="00F62588"/>
    <w:rsid w:val="00F62C95"/>
    <w:rsid w:val="00F6311B"/>
    <w:rsid w:val="00F64771"/>
    <w:rsid w:val="00F65113"/>
    <w:rsid w:val="00F65B63"/>
    <w:rsid w:val="00F6685B"/>
    <w:rsid w:val="00F67921"/>
    <w:rsid w:val="00F70097"/>
    <w:rsid w:val="00F7267B"/>
    <w:rsid w:val="00F73155"/>
    <w:rsid w:val="00F74CCA"/>
    <w:rsid w:val="00F74CF2"/>
    <w:rsid w:val="00F75DB8"/>
    <w:rsid w:val="00F76334"/>
    <w:rsid w:val="00F76E4D"/>
    <w:rsid w:val="00F77457"/>
    <w:rsid w:val="00F83608"/>
    <w:rsid w:val="00F83C85"/>
    <w:rsid w:val="00F85534"/>
    <w:rsid w:val="00F87516"/>
    <w:rsid w:val="00F876E8"/>
    <w:rsid w:val="00F90BFE"/>
    <w:rsid w:val="00F90E5A"/>
    <w:rsid w:val="00F90EF8"/>
    <w:rsid w:val="00F927EE"/>
    <w:rsid w:val="00F92F86"/>
    <w:rsid w:val="00F939D4"/>
    <w:rsid w:val="00F944D7"/>
    <w:rsid w:val="00F9665A"/>
    <w:rsid w:val="00F9757E"/>
    <w:rsid w:val="00FA12CA"/>
    <w:rsid w:val="00FA1443"/>
    <w:rsid w:val="00FA15BB"/>
    <w:rsid w:val="00FA50D6"/>
    <w:rsid w:val="00FA611A"/>
    <w:rsid w:val="00FA69FD"/>
    <w:rsid w:val="00FA72E3"/>
    <w:rsid w:val="00FA76AD"/>
    <w:rsid w:val="00FA7BF2"/>
    <w:rsid w:val="00FB0525"/>
    <w:rsid w:val="00FB1849"/>
    <w:rsid w:val="00FB1A84"/>
    <w:rsid w:val="00FB36CB"/>
    <w:rsid w:val="00FB4615"/>
    <w:rsid w:val="00FB4BB1"/>
    <w:rsid w:val="00FB52FD"/>
    <w:rsid w:val="00FB62AA"/>
    <w:rsid w:val="00FB6B06"/>
    <w:rsid w:val="00FB6C74"/>
    <w:rsid w:val="00FB75E1"/>
    <w:rsid w:val="00FB7928"/>
    <w:rsid w:val="00FC0690"/>
    <w:rsid w:val="00FC0730"/>
    <w:rsid w:val="00FC0CB9"/>
    <w:rsid w:val="00FC13E2"/>
    <w:rsid w:val="00FC3118"/>
    <w:rsid w:val="00FC31C1"/>
    <w:rsid w:val="00FC3744"/>
    <w:rsid w:val="00FC3EDA"/>
    <w:rsid w:val="00FC53DA"/>
    <w:rsid w:val="00FC6A9C"/>
    <w:rsid w:val="00FC746E"/>
    <w:rsid w:val="00FC7C41"/>
    <w:rsid w:val="00FD103A"/>
    <w:rsid w:val="00FD11CF"/>
    <w:rsid w:val="00FD196C"/>
    <w:rsid w:val="00FD1AB5"/>
    <w:rsid w:val="00FD2E45"/>
    <w:rsid w:val="00FD3042"/>
    <w:rsid w:val="00FD3538"/>
    <w:rsid w:val="00FD39E7"/>
    <w:rsid w:val="00FD41BE"/>
    <w:rsid w:val="00FD452A"/>
    <w:rsid w:val="00FD49EA"/>
    <w:rsid w:val="00FD50DD"/>
    <w:rsid w:val="00FD5211"/>
    <w:rsid w:val="00FD621E"/>
    <w:rsid w:val="00FD6614"/>
    <w:rsid w:val="00FD6A37"/>
    <w:rsid w:val="00FD6C42"/>
    <w:rsid w:val="00FD6F13"/>
    <w:rsid w:val="00FD6FC7"/>
    <w:rsid w:val="00FD7784"/>
    <w:rsid w:val="00FD7953"/>
    <w:rsid w:val="00FE057D"/>
    <w:rsid w:val="00FE10FD"/>
    <w:rsid w:val="00FE1230"/>
    <w:rsid w:val="00FE2142"/>
    <w:rsid w:val="00FE39FE"/>
    <w:rsid w:val="00FE4C40"/>
    <w:rsid w:val="00FE4DA8"/>
    <w:rsid w:val="00FE4FD5"/>
    <w:rsid w:val="00FE5ABC"/>
    <w:rsid w:val="00FE6349"/>
    <w:rsid w:val="00FE72AD"/>
    <w:rsid w:val="00FE7D59"/>
    <w:rsid w:val="00FF066A"/>
    <w:rsid w:val="00FF0E7D"/>
    <w:rsid w:val="00FF0EE6"/>
    <w:rsid w:val="00FF17B0"/>
    <w:rsid w:val="00FF3214"/>
    <w:rsid w:val="00FF350E"/>
    <w:rsid w:val="00FF3B77"/>
    <w:rsid w:val="00FF587E"/>
    <w:rsid w:val="00FF5B85"/>
    <w:rsid w:val="00FF5C4B"/>
    <w:rsid w:val="00FF5DAE"/>
    <w:rsid w:val="00FF6014"/>
    <w:rsid w:val="00FF6E40"/>
    <w:rsid w:val="00FF7D11"/>
    <w:rsid w:val="015FFD07"/>
    <w:rsid w:val="01CEAB7A"/>
    <w:rsid w:val="02381F35"/>
    <w:rsid w:val="0345ADD7"/>
    <w:rsid w:val="035C7C62"/>
    <w:rsid w:val="03863F87"/>
    <w:rsid w:val="0395DBF5"/>
    <w:rsid w:val="03CE7DFF"/>
    <w:rsid w:val="0483F285"/>
    <w:rsid w:val="04C36A9D"/>
    <w:rsid w:val="05472FBD"/>
    <w:rsid w:val="0683E79C"/>
    <w:rsid w:val="07A5BFEF"/>
    <w:rsid w:val="07CA2BD3"/>
    <w:rsid w:val="0880A4CA"/>
    <w:rsid w:val="08A8352B"/>
    <w:rsid w:val="092ED6F3"/>
    <w:rsid w:val="0A3314C0"/>
    <w:rsid w:val="0B51F6FA"/>
    <w:rsid w:val="0B8EDA9A"/>
    <w:rsid w:val="0BB97211"/>
    <w:rsid w:val="0C3C2AAF"/>
    <w:rsid w:val="0C53263D"/>
    <w:rsid w:val="0C72F60C"/>
    <w:rsid w:val="0CC06077"/>
    <w:rsid w:val="0D667322"/>
    <w:rsid w:val="0D714F49"/>
    <w:rsid w:val="0D9F2512"/>
    <w:rsid w:val="0DAE890A"/>
    <w:rsid w:val="0E6FF9B0"/>
    <w:rsid w:val="0F0464F0"/>
    <w:rsid w:val="0F5F85BC"/>
    <w:rsid w:val="107058B7"/>
    <w:rsid w:val="10B12FD8"/>
    <w:rsid w:val="10B5D474"/>
    <w:rsid w:val="11A4AC02"/>
    <w:rsid w:val="11AD9416"/>
    <w:rsid w:val="121C1404"/>
    <w:rsid w:val="12CC8C07"/>
    <w:rsid w:val="138145BE"/>
    <w:rsid w:val="14C06033"/>
    <w:rsid w:val="153D0FE8"/>
    <w:rsid w:val="15C74357"/>
    <w:rsid w:val="16246594"/>
    <w:rsid w:val="169FFBF0"/>
    <w:rsid w:val="1700FD14"/>
    <w:rsid w:val="17AC6239"/>
    <w:rsid w:val="18A56A04"/>
    <w:rsid w:val="18BCF805"/>
    <w:rsid w:val="18E1D69A"/>
    <w:rsid w:val="190605DB"/>
    <w:rsid w:val="1918AF59"/>
    <w:rsid w:val="1A16877F"/>
    <w:rsid w:val="1A8D25E0"/>
    <w:rsid w:val="1AC6C182"/>
    <w:rsid w:val="1B01A20D"/>
    <w:rsid w:val="1B0D6485"/>
    <w:rsid w:val="1BCF4838"/>
    <w:rsid w:val="1BFF647B"/>
    <w:rsid w:val="1C3074D6"/>
    <w:rsid w:val="1C3E6109"/>
    <w:rsid w:val="1C772587"/>
    <w:rsid w:val="1D6AB9A6"/>
    <w:rsid w:val="1D95130D"/>
    <w:rsid w:val="1DD94329"/>
    <w:rsid w:val="1E22D2F8"/>
    <w:rsid w:val="1E766502"/>
    <w:rsid w:val="1E9A1A71"/>
    <w:rsid w:val="1F6BF898"/>
    <w:rsid w:val="212C1566"/>
    <w:rsid w:val="21355276"/>
    <w:rsid w:val="2231D208"/>
    <w:rsid w:val="22BFEC75"/>
    <w:rsid w:val="236C310C"/>
    <w:rsid w:val="24DD1845"/>
    <w:rsid w:val="251ADD3A"/>
    <w:rsid w:val="25728925"/>
    <w:rsid w:val="25925459"/>
    <w:rsid w:val="25C9D5AC"/>
    <w:rsid w:val="262F10D9"/>
    <w:rsid w:val="2644BFDE"/>
    <w:rsid w:val="264E0D8F"/>
    <w:rsid w:val="26A2ADA7"/>
    <w:rsid w:val="26FC4B7A"/>
    <w:rsid w:val="2716BBBD"/>
    <w:rsid w:val="27933B47"/>
    <w:rsid w:val="28816878"/>
    <w:rsid w:val="289D394A"/>
    <w:rsid w:val="2907B5E0"/>
    <w:rsid w:val="293F7D97"/>
    <w:rsid w:val="296082CA"/>
    <w:rsid w:val="29C991A6"/>
    <w:rsid w:val="2A8F5551"/>
    <w:rsid w:val="2AA5603E"/>
    <w:rsid w:val="2AE82BE4"/>
    <w:rsid w:val="2AF8F993"/>
    <w:rsid w:val="2B3BCA62"/>
    <w:rsid w:val="2B82CEB7"/>
    <w:rsid w:val="2BB3F4FE"/>
    <w:rsid w:val="2BC62948"/>
    <w:rsid w:val="2C215A59"/>
    <w:rsid w:val="2C436198"/>
    <w:rsid w:val="2C80EFF0"/>
    <w:rsid w:val="2CA9FD2D"/>
    <w:rsid w:val="2D4F11C0"/>
    <w:rsid w:val="2E081F13"/>
    <w:rsid w:val="2E1CB7A8"/>
    <w:rsid w:val="2FB20F05"/>
    <w:rsid w:val="2FB2D8E6"/>
    <w:rsid w:val="2FC77292"/>
    <w:rsid w:val="2FE399C6"/>
    <w:rsid w:val="2FEFE834"/>
    <w:rsid w:val="300D03E4"/>
    <w:rsid w:val="3041196B"/>
    <w:rsid w:val="3046838A"/>
    <w:rsid w:val="30568E66"/>
    <w:rsid w:val="306A8DB0"/>
    <w:rsid w:val="307874B6"/>
    <w:rsid w:val="317DFA9A"/>
    <w:rsid w:val="31FD597C"/>
    <w:rsid w:val="3336B411"/>
    <w:rsid w:val="348B785F"/>
    <w:rsid w:val="358DA23A"/>
    <w:rsid w:val="35FCB7F9"/>
    <w:rsid w:val="36136C73"/>
    <w:rsid w:val="3629445A"/>
    <w:rsid w:val="3641C2D1"/>
    <w:rsid w:val="3664EAF4"/>
    <w:rsid w:val="366C5828"/>
    <w:rsid w:val="36C679D2"/>
    <w:rsid w:val="371BC45A"/>
    <w:rsid w:val="377423A9"/>
    <w:rsid w:val="38498B88"/>
    <w:rsid w:val="3862BA19"/>
    <w:rsid w:val="390508CA"/>
    <w:rsid w:val="39183124"/>
    <w:rsid w:val="3944E26A"/>
    <w:rsid w:val="3977CE03"/>
    <w:rsid w:val="3A3300F7"/>
    <w:rsid w:val="3A5CDAA2"/>
    <w:rsid w:val="3B1F1772"/>
    <w:rsid w:val="3BD4E89B"/>
    <w:rsid w:val="3C6263A4"/>
    <w:rsid w:val="3DA0A75C"/>
    <w:rsid w:val="3DC706F8"/>
    <w:rsid w:val="3E320532"/>
    <w:rsid w:val="3E80AA05"/>
    <w:rsid w:val="3EA9F75C"/>
    <w:rsid w:val="3F0EA4F9"/>
    <w:rsid w:val="3F222DCB"/>
    <w:rsid w:val="3F55FDDD"/>
    <w:rsid w:val="3F785083"/>
    <w:rsid w:val="3F8D7342"/>
    <w:rsid w:val="3FDD1194"/>
    <w:rsid w:val="400BF433"/>
    <w:rsid w:val="40C9448B"/>
    <w:rsid w:val="40D4D59E"/>
    <w:rsid w:val="40EAD2CD"/>
    <w:rsid w:val="419EDEDD"/>
    <w:rsid w:val="41BDF6E6"/>
    <w:rsid w:val="41C11183"/>
    <w:rsid w:val="41F21D57"/>
    <w:rsid w:val="422843E2"/>
    <w:rsid w:val="4254E51F"/>
    <w:rsid w:val="426ABCF0"/>
    <w:rsid w:val="42CAD2E8"/>
    <w:rsid w:val="43411A5A"/>
    <w:rsid w:val="43C28AFF"/>
    <w:rsid w:val="44F44811"/>
    <w:rsid w:val="450C7F95"/>
    <w:rsid w:val="4522B795"/>
    <w:rsid w:val="45D71505"/>
    <w:rsid w:val="4623D576"/>
    <w:rsid w:val="4627E64A"/>
    <w:rsid w:val="46C0DC06"/>
    <w:rsid w:val="47807CA6"/>
    <w:rsid w:val="47FC0628"/>
    <w:rsid w:val="48025144"/>
    <w:rsid w:val="4832255B"/>
    <w:rsid w:val="48A8DFAE"/>
    <w:rsid w:val="48BB468C"/>
    <w:rsid w:val="490C6947"/>
    <w:rsid w:val="4A250E6C"/>
    <w:rsid w:val="4A6E6693"/>
    <w:rsid w:val="4AB7E3E0"/>
    <w:rsid w:val="4B6B02F3"/>
    <w:rsid w:val="4BD6BA18"/>
    <w:rsid w:val="4C3EC947"/>
    <w:rsid w:val="4D9ACF6B"/>
    <w:rsid w:val="4E43904F"/>
    <w:rsid w:val="4E4E0695"/>
    <w:rsid w:val="4EA9E71D"/>
    <w:rsid w:val="4F9CFA43"/>
    <w:rsid w:val="51B37D3D"/>
    <w:rsid w:val="51CFFE96"/>
    <w:rsid w:val="52196E60"/>
    <w:rsid w:val="52649679"/>
    <w:rsid w:val="539C2A88"/>
    <w:rsid w:val="542166C4"/>
    <w:rsid w:val="5423FF75"/>
    <w:rsid w:val="5470B495"/>
    <w:rsid w:val="54DA9401"/>
    <w:rsid w:val="55E5932A"/>
    <w:rsid w:val="564A41A6"/>
    <w:rsid w:val="564CC42B"/>
    <w:rsid w:val="5650ED0E"/>
    <w:rsid w:val="571660C6"/>
    <w:rsid w:val="5841755F"/>
    <w:rsid w:val="59141AA9"/>
    <w:rsid w:val="5B16B09C"/>
    <w:rsid w:val="5B1B5BDE"/>
    <w:rsid w:val="5B82C206"/>
    <w:rsid w:val="5BCFE9D5"/>
    <w:rsid w:val="5D19140C"/>
    <w:rsid w:val="5D1AFA21"/>
    <w:rsid w:val="5DBC692A"/>
    <w:rsid w:val="5DC7045E"/>
    <w:rsid w:val="5DFA5D0B"/>
    <w:rsid w:val="5EDA9FE8"/>
    <w:rsid w:val="5EFD7417"/>
    <w:rsid w:val="5F042FAA"/>
    <w:rsid w:val="604AE3B7"/>
    <w:rsid w:val="60D0EB0F"/>
    <w:rsid w:val="610B6F54"/>
    <w:rsid w:val="611C0369"/>
    <w:rsid w:val="61332FF0"/>
    <w:rsid w:val="61704C23"/>
    <w:rsid w:val="6196C141"/>
    <w:rsid w:val="6218EA02"/>
    <w:rsid w:val="623EF3A4"/>
    <w:rsid w:val="624167FC"/>
    <w:rsid w:val="625B9555"/>
    <w:rsid w:val="62C39884"/>
    <w:rsid w:val="6333CC73"/>
    <w:rsid w:val="6417BE85"/>
    <w:rsid w:val="64B5D253"/>
    <w:rsid w:val="64DED61D"/>
    <w:rsid w:val="655D688B"/>
    <w:rsid w:val="66786000"/>
    <w:rsid w:val="67616F46"/>
    <w:rsid w:val="6839444E"/>
    <w:rsid w:val="69803899"/>
    <w:rsid w:val="69C8D8ED"/>
    <w:rsid w:val="69D16EA4"/>
    <w:rsid w:val="6A35BA27"/>
    <w:rsid w:val="6A66E646"/>
    <w:rsid w:val="6AD62848"/>
    <w:rsid w:val="6B9BAAFA"/>
    <w:rsid w:val="6B9F56B3"/>
    <w:rsid w:val="6CF7E2A6"/>
    <w:rsid w:val="6D2AB407"/>
    <w:rsid w:val="6D6A0039"/>
    <w:rsid w:val="6DC998E8"/>
    <w:rsid w:val="6DDDB9BB"/>
    <w:rsid w:val="6E60BDC6"/>
    <w:rsid w:val="6FBBB9D6"/>
    <w:rsid w:val="711F34DD"/>
    <w:rsid w:val="717CFC19"/>
    <w:rsid w:val="71CB7314"/>
    <w:rsid w:val="728BEE12"/>
    <w:rsid w:val="72CBBFF8"/>
    <w:rsid w:val="734B7EE8"/>
    <w:rsid w:val="738A10A4"/>
    <w:rsid w:val="73F1740C"/>
    <w:rsid w:val="74068653"/>
    <w:rsid w:val="74309599"/>
    <w:rsid w:val="751BC173"/>
    <w:rsid w:val="7553A968"/>
    <w:rsid w:val="7579996F"/>
    <w:rsid w:val="75DE2A5E"/>
    <w:rsid w:val="7659F1FD"/>
    <w:rsid w:val="76782014"/>
    <w:rsid w:val="76AEC9E5"/>
    <w:rsid w:val="76C2749E"/>
    <w:rsid w:val="7708BF67"/>
    <w:rsid w:val="7814806A"/>
    <w:rsid w:val="78DB8CFC"/>
    <w:rsid w:val="79D838FF"/>
    <w:rsid w:val="7A1827D0"/>
    <w:rsid w:val="7A3892ED"/>
    <w:rsid w:val="7A6D0974"/>
    <w:rsid w:val="7BDA5D1E"/>
    <w:rsid w:val="7CB54A49"/>
    <w:rsid w:val="7CB8B91C"/>
    <w:rsid w:val="7D2BDBBF"/>
    <w:rsid w:val="7E5E4676"/>
    <w:rsid w:val="7E70CB6A"/>
    <w:rsid w:val="7E76DB15"/>
    <w:rsid w:val="7E8C7DF8"/>
    <w:rsid w:val="7EEF16AC"/>
    <w:rsid w:val="7F6B5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3631"/>
  <w15:chartTrackingRefBased/>
  <w15:docId w15:val="{472B39FD-7855-4A09-9791-CD3D4D2BE1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DE"/>
  </w:style>
  <w:style w:type="paragraph" w:styleId="Heading1">
    <w:name w:val="heading 1"/>
    <w:basedOn w:val="Normal"/>
    <w:next w:val="Normal"/>
    <w:link w:val="Heading1Char"/>
    <w:uiPriority w:val="9"/>
    <w:qFormat/>
    <w:rsid w:val="0001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21"/>
    <w:rPr>
      <w:rFonts w:eastAsiaTheme="majorEastAsia" w:cstheme="majorBidi"/>
      <w:color w:val="272727" w:themeColor="text1" w:themeTint="D8"/>
    </w:rPr>
  </w:style>
  <w:style w:type="paragraph" w:styleId="Title">
    <w:name w:val="Title"/>
    <w:basedOn w:val="Normal"/>
    <w:next w:val="Normal"/>
    <w:link w:val="TitleChar"/>
    <w:uiPriority w:val="10"/>
    <w:qFormat/>
    <w:rsid w:val="00010E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21"/>
    <w:pPr>
      <w:spacing w:before="160"/>
      <w:jc w:val="center"/>
    </w:pPr>
    <w:rPr>
      <w:i/>
      <w:iCs/>
      <w:color w:val="404040" w:themeColor="text1" w:themeTint="BF"/>
    </w:rPr>
  </w:style>
  <w:style w:type="character" w:customStyle="1" w:styleId="QuoteChar">
    <w:name w:val="Quote Char"/>
    <w:basedOn w:val="DefaultParagraphFont"/>
    <w:link w:val="Quote"/>
    <w:uiPriority w:val="29"/>
    <w:rsid w:val="00010E21"/>
    <w:rPr>
      <w:i/>
      <w:iCs/>
      <w:color w:val="404040" w:themeColor="text1" w:themeTint="BF"/>
    </w:rPr>
  </w:style>
  <w:style w:type="paragraph" w:styleId="ListParagraph">
    <w:name w:val="List Paragraph"/>
    <w:basedOn w:val="Normal"/>
    <w:uiPriority w:val="34"/>
    <w:qFormat/>
    <w:rsid w:val="00010E21"/>
    <w:pPr>
      <w:ind w:left="720"/>
      <w:contextualSpacing/>
    </w:pPr>
  </w:style>
  <w:style w:type="character" w:styleId="IntenseEmphasis">
    <w:name w:val="Intense Emphasis"/>
    <w:basedOn w:val="DefaultParagraphFont"/>
    <w:uiPriority w:val="21"/>
    <w:qFormat/>
    <w:rsid w:val="00010E21"/>
    <w:rPr>
      <w:i/>
      <w:iCs/>
      <w:color w:val="0F4761" w:themeColor="accent1" w:themeShade="BF"/>
    </w:rPr>
  </w:style>
  <w:style w:type="paragraph" w:styleId="IntenseQuote">
    <w:name w:val="Intense Quote"/>
    <w:basedOn w:val="Normal"/>
    <w:next w:val="Normal"/>
    <w:link w:val="IntenseQuoteChar"/>
    <w:uiPriority w:val="30"/>
    <w:qFormat/>
    <w:rsid w:val="0001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21"/>
    <w:rPr>
      <w:i/>
      <w:iCs/>
      <w:color w:val="0F4761" w:themeColor="accent1" w:themeShade="BF"/>
    </w:rPr>
  </w:style>
  <w:style w:type="character" w:styleId="IntenseReference">
    <w:name w:val="Intense Reference"/>
    <w:basedOn w:val="DefaultParagraphFont"/>
    <w:uiPriority w:val="32"/>
    <w:qFormat/>
    <w:rsid w:val="00010E21"/>
    <w:rPr>
      <w:b/>
      <w:bCs/>
      <w:smallCaps/>
      <w:color w:val="0F4761" w:themeColor="accent1" w:themeShade="BF"/>
      <w:spacing w:val="5"/>
    </w:rPr>
  </w:style>
  <w:style w:type="character" w:styleId="Hyperlink">
    <w:name w:val="Hyperlink"/>
    <w:basedOn w:val="DefaultParagraphFont"/>
    <w:uiPriority w:val="99"/>
    <w:unhideWhenUsed/>
    <w:rsid w:val="00010E21"/>
    <w:rPr>
      <w:color w:val="467886" w:themeColor="hyperlink"/>
      <w:u w:val="single"/>
    </w:rPr>
  </w:style>
  <w:style w:type="paragraph" w:customStyle="1" w:styleId="10sp0">
    <w:name w:val="_1.0sp 0&quot;"/>
    <w:basedOn w:val="Normal"/>
    <w:rsid w:val="00010E21"/>
    <w:pPr>
      <w:suppressAutoHyphens/>
      <w:spacing w:after="240"/>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010E21"/>
    <w:pPr>
      <w:numPr>
        <w:numId w:val="6"/>
      </w:numPr>
      <w:suppressAutoHyphens/>
      <w:spacing w:after="240"/>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010E21"/>
    <w:pPr>
      <w:suppressAutoHyphens/>
      <w:spacing w:after="240"/>
      <w:ind w:left="720" w:hanging="720"/>
    </w:pPr>
    <w:rPr>
      <w:rFonts w:ascii="Times New Roman" w:eastAsia="SimSun" w:hAnsi="Times New Roman" w:cs="Times New Roman"/>
      <w:kern w:val="0"/>
      <w:szCs w:val="20"/>
      <w14:ligatures w14:val="none"/>
    </w:rPr>
  </w:style>
  <w:style w:type="character" w:styleId="UnresolvedMention">
    <w:name w:val="Unresolved Mention"/>
    <w:basedOn w:val="DefaultParagraphFont"/>
    <w:uiPriority w:val="99"/>
    <w:semiHidden/>
    <w:unhideWhenUsed/>
    <w:rsid w:val="00C9227E"/>
    <w:rPr>
      <w:color w:val="605E5C"/>
      <w:shd w:val="clear" w:color="auto" w:fill="E1DFDD"/>
    </w:rPr>
  </w:style>
  <w:style w:type="paragraph" w:styleId="Header">
    <w:name w:val="header"/>
    <w:basedOn w:val="Normal"/>
    <w:link w:val="HeaderChar"/>
    <w:unhideWhenUsed/>
    <w:rsid w:val="00337B2A"/>
    <w:pPr>
      <w:tabs>
        <w:tab w:val="center" w:pos="4680"/>
        <w:tab w:val="right" w:pos="9360"/>
      </w:tabs>
    </w:pPr>
  </w:style>
  <w:style w:type="character" w:customStyle="1" w:styleId="HeaderChar">
    <w:name w:val="Header Char"/>
    <w:basedOn w:val="DefaultParagraphFont"/>
    <w:link w:val="Header"/>
    <w:rsid w:val="00337B2A"/>
  </w:style>
  <w:style w:type="paragraph" w:styleId="Footer">
    <w:name w:val="footer"/>
    <w:basedOn w:val="Normal"/>
    <w:link w:val="FooterChar"/>
    <w:uiPriority w:val="99"/>
    <w:unhideWhenUsed/>
    <w:rsid w:val="00337B2A"/>
    <w:pPr>
      <w:tabs>
        <w:tab w:val="center" w:pos="4680"/>
        <w:tab w:val="right" w:pos="9360"/>
      </w:tabs>
    </w:pPr>
  </w:style>
  <w:style w:type="character" w:customStyle="1" w:styleId="FooterChar">
    <w:name w:val="Footer Char"/>
    <w:basedOn w:val="DefaultParagraphFont"/>
    <w:link w:val="Footer"/>
    <w:uiPriority w:val="99"/>
    <w:rsid w:val="00337B2A"/>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unhideWhenUsed/>
    <w:rsid w:val="002772B9"/>
    <w:rPr>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2772B9"/>
    <w:rPr>
      <w:sz w:val="20"/>
      <w:szCs w:val="20"/>
    </w:rPr>
  </w:style>
  <w:style w:type="character" w:styleId="FootnoteReference">
    <w:name w:val="footnote reference"/>
    <w:aliases w:val="o"/>
    <w:basedOn w:val="DefaultParagraphFont"/>
    <w:uiPriority w:val="99"/>
    <w:unhideWhenUsed/>
    <w:rsid w:val="002772B9"/>
    <w:rPr>
      <w:vertAlign w:val="superscript"/>
    </w:rPr>
  </w:style>
  <w:style w:type="character" w:styleId="FollowedHyperlink">
    <w:name w:val="FollowedHyperlink"/>
    <w:basedOn w:val="DefaultParagraphFont"/>
    <w:uiPriority w:val="99"/>
    <w:semiHidden/>
    <w:unhideWhenUsed/>
    <w:rsid w:val="009D6139"/>
    <w:rPr>
      <w:color w:val="96607D" w:themeColor="followedHyperlink"/>
      <w:u w:val="single"/>
    </w:rPr>
  </w:style>
  <w:style w:type="paragraph" w:styleId="Revision">
    <w:name w:val="Revision"/>
    <w:hidden/>
    <w:uiPriority w:val="99"/>
    <w:semiHidden/>
    <w:rsid w:val="008A4E9E"/>
  </w:style>
  <w:style w:type="paragraph" w:styleId="CommentText">
    <w:name w:val="annotation text"/>
    <w:basedOn w:val="Normal"/>
    <w:link w:val="CommentTextChar"/>
    <w:uiPriority w:val="99"/>
    <w:unhideWhenUsed/>
    <w:rsid w:val="007D6A26"/>
    <w:rPr>
      <w:sz w:val="20"/>
      <w:szCs w:val="20"/>
    </w:rPr>
  </w:style>
  <w:style w:type="character" w:customStyle="1" w:styleId="CommentTextChar">
    <w:name w:val="Comment Text Char"/>
    <w:basedOn w:val="DefaultParagraphFont"/>
    <w:link w:val="CommentText"/>
    <w:uiPriority w:val="99"/>
    <w:rsid w:val="007D6A26"/>
    <w:rPr>
      <w:sz w:val="20"/>
      <w:szCs w:val="20"/>
    </w:rPr>
  </w:style>
  <w:style w:type="character" w:styleId="CommentReference">
    <w:name w:val="annotation reference"/>
    <w:basedOn w:val="DefaultParagraphFont"/>
    <w:uiPriority w:val="99"/>
    <w:unhideWhenUsed/>
    <w:rsid w:val="007D6A26"/>
    <w:rPr>
      <w:sz w:val="16"/>
      <w:szCs w:val="16"/>
    </w:rPr>
  </w:style>
  <w:style w:type="paragraph" w:styleId="CommentSubject">
    <w:name w:val="annotation subject"/>
    <w:basedOn w:val="CommentText"/>
    <w:next w:val="CommentText"/>
    <w:link w:val="CommentSubjectChar"/>
    <w:uiPriority w:val="99"/>
    <w:semiHidden/>
    <w:unhideWhenUsed/>
    <w:rsid w:val="007D6A26"/>
    <w:rPr>
      <w:b/>
      <w:bCs/>
    </w:rPr>
  </w:style>
  <w:style w:type="character" w:customStyle="1" w:styleId="CommentSubjectChar">
    <w:name w:val="Comment Subject Char"/>
    <w:basedOn w:val="CommentTextChar"/>
    <w:link w:val="CommentSubject"/>
    <w:uiPriority w:val="99"/>
    <w:semiHidden/>
    <w:rsid w:val="007D6A26"/>
    <w:rPr>
      <w:b/>
      <w:bCs/>
      <w:sz w:val="20"/>
      <w:szCs w:val="20"/>
    </w:rPr>
  </w:style>
  <w:style w:type="character" w:styleId="Mention">
    <w:name w:val="Mention"/>
    <w:basedOn w:val="DefaultParagraphFont"/>
    <w:uiPriority w:val="99"/>
    <w:unhideWhenUsed/>
    <w:rsid w:val="00BB4B66"/>
    <w:rPr>
      <w:color w:val="2B579A"/>
      <w:shd w:val="clear" w:color="auto" w:fill="E1DFDD"/>
    </w:rPr>
  </w:style>
  <w:style w:type="paragraph" w:customStyle="1" w:styleId="Default">
    <w:name w:val="Default"/>
    <w:rsid w:val="00D95795"/>
    <w:pPr>
      <w:autoSpaceDE w:val="0"/>
      <w:autoSpaceDN w:val="0"/>
      <w:adjustRightInd w:val="0"/>
    </w:pPr>
    <w:rPr>
      <w:rFonts w:ascii="Garamond" w:eastAsia="Times New Roman" w:hAnsi="Garamond" w:cs="Garamond"/>
      <w:color w:val="000000"/>
      <w:kern w:val="0"/>
      <w14:ligatures w14:val="none"/>
    </w:rPr>
  </w:style>
  <w:style w:type="paragraph" w:styleId="NormalWeb">
    <w:name w:val="Normal (Web)"/>
    <w:basedOn w:val="Normal"/>
    <w:uiPriority w:val="99"/>
    <w:unhideWhenUsed/>
    <w:rsid w:val="00B15955"/>
    <w:pPr>
      <w:spacing w:before="168" w:after="216"/>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956">
      <w:bodyDiv w:val="1"/>
      <w:marLeft w:val="0"/>
      <w:marRight w:val="0"/>
      <w:marTop w:val="0"/>
      <w:marBottom w:val="0"/>
      <w:divBdr>
        <w:top w:val="none" w:sz="0" w:space="0" w:color="auto"/>
        <w:left w:val="none" w:sz="0" w:space="0" w:color="auto"/>
        <w:bottom w:val="none" w:sz="0" w:space="0" w:color="auto"/>
        <w:right w:val="none" w:sz="0" w:space="0" w:color="auto"/>
      </w:divBdr>
      <w:divsChild>
        <w:div w:id="22290660">
          <w:marLeft w:val="0"/>
          <w:marRight w:val="0"/>
          <w:marTop w:val="0"/>
          <w:marBottom w:val="0"/>
          <w:divBdr>
            <w:top w:val="none" w:sz="0" w:space="0" w:color="auto"/>
            <w:left w:val="none" w:sz="0" w:space="0" w:color="auto"/>
            <w:bottom w:val="none" w:sz="0" w:space="0" w:color="auto"/>
            <w:right w:val="none" w:sz="0" w:space="0" w:color="auto"/>
          </w:divBdr>
        </w:div>
        <w:div w:id="366880903">
          <w:marLeft w:val="0"/>
          <w:marRight w:val="0"/>
          <w:marTop w:val="0"/>
          <w:marBottom w:val="0"/>
          <w:divBdr>
            <w:top w:val="none" w:sz="0" w:space="0" w:color="auto"/>
            <w:left w:val="none" w:sz="0" w:space="0" w:color="auto"/>
            <w:bottom w:val="none" w:sz="0" w:space="0" w:color="auto"/>
            <w:right w:val="none" w:sz="0" w:space="0" w:color="auto"/>
          </w:divBdr>
        </w:div>
        <w:div w:id="509638364">
          <w:marLeft w:val="0"/>
          <w:marRight w:val="0"/>
          <w:marTop w:val="0"/>
          <w:marBottom w:val="0"/>
          <w:divBdr>
            <w:top w:val="none" w:sz="0" w:space="0" w:color="auto"/>
            <w:left w:val="none" w:sz="0" w:space="0" w:color="auto"/>
            <w:bottom w:val="none" w:sz="0" w:space="0" w:color="auto"/>
            <w:right w:val="none" w:sz="0" w:space="0" w:color="auto"/>
          </w:divBdr>
        </w:div>
        <w:div w:id="858619194">
          <w:marLeft w:val="0"/>
          <w:marRight w:val="0"/>
          <w:marTop w:val="0"/>
          <w:marBottom w:val="0"/>
          <w:divBdr>
            <w:top w:val="none" w:sz="0" w:space="0" w:color="auto"/>
            <w:left w:val="none" w:sz="0" w:space="0" w:color="auto"/>
            <w:bottom w:val="none" w:sz="0" w:space="0" w:color="auto"/>
            <w:right w:val="none" w:sz="0" w:space="0" w:color="auto"/>
          </w:divBdr>
        </w:div>
        <w:div w:id="985937900">
          <w:marLeft w:val="0"/>
          <w:marRight w:val="0"/>
          <w:marTop w:val="0"/>
          <w:marBottom w:val="0"/>
          <w:divBdr>
            <w:top w:val="none" w:sz="0" w:space="0" w:color="auto"/>
            <w:left w:val="none" w:sz="0" w:space="0" w:color="auto"/>
            <w:bottom w:val="none" w:sz="0" w:space="0" w:color="auto"/>
            <w:right w:val="none" w:sz="0" w:space="0" w:color="auto"/>
          </w:divBdr>
        </w:div>
        <w:div w:id="1058239237">
          <w:marLeft w:val="0"/>
          <w:marRight w:val="0"/>
          <w:marTop w:val="0"/>
          <w:marBottom w:val="0"/>
          <w:divBdr>
            <w:top w:val="none" w:sz="0" w:space="0" w:color="auto"/>
            <w:left w:val="none" w:sz="0" w:space="0" w:color="auto"/>
            <w:bottom w:val="none" w:sz="0" w:space="0" w:color="auto"/>
            <w:right w:val="none" w:sz="0" w:space="0" w:color="auto"/>
          </w:divBdr>
        </w:div>
        <w:div w:id="1297829581">
          <w:marLeft w:val="0"/>
          <w:marRight w:val="0"/>
          <w:marTop w:val="0"/>
          <w:marBottom w:val="0"/>
          <w:divBdr>
            <w:top w:val="none" w:sz="0" w:space="0" w:color="auto"/>
            <w:left w:val="none" w:sz="0" w:space="0" w:color="auto"/>
            <w:bottom w:val="none" w:sz="0" w:space="0" w:color="auto"/>
            <w:right w:val="none" w:sz="0" w:space="0" w:color="auto"/>
          </w:divBdr>
        </w:div>
        <w:div w:id="1583837609">
          <w:marLeft w:val="0"/>
          <w:marRight w:val="0"/>
          <w:marTop w:val="0"/>
          <w:marBottom w:val="0"/>
          <w:divBdr>
            <w:top w:val="none" w:sz="0" w:space="0" w:color="auto"/>
            <w:left w:val="none" w:sz="0" w:space="0" w:color="auto"/>
            <w:bottom w:val="none" w:sz="0" w:space="0" w:color="auto"/>
            <w:right w:val="none" w:sz="0" w:space="0" w:color="auto"/>
          </w:divBdr>
        </w:div>
        <w:div w:id="1990206308">
          <w:marLeft w:val="0"/>
          <w:marRight w:val="0"/>
          <w:marTop w:val="0"/>
          <w:marBottom w:val="0"/>
          <w:divBdr>
            <w:top w:val="none" w:sz="0" w:space="0" w:color="auto"/>
            <w:left w:val="none" w:sz="0" w:space="0" w:color="auto"/>
            <w:bottom w:val="none" w:sz="0" w:space="0" w:color="auto"/>
            <w:right w:val="none" w:sz="0" w:space="0" w:color="auto"/>
          </w:divBdr>
          <w:divsChild>
            <w:div w:id="705645576">
              <w:marLeft w:val="-75"/>
              <w:marRight w:val="0"/>
              <w:marTop w:val="30"/>
              <w:marBottom w:val="30"/>
              <w:divBdr>
                <w:top w:val="none" w:sz="0" w:space="0" w:color="auto"/>
                <w:left w:val="none" w:sz="0" w:space="0" w:color="auto"/>
                <w:bottom w:val="none" w:sz="0" w:space="0" w:color="auto"/>
                <w:right w:val="none" w:sz="0" w:space="0" w:color="auto"/>
              </w:divBdr>
              <w:divsChild>
                <w:div w:id="22488886">
                  <w:marLeft w:val="0"/>
                  <w:marRight w:val="0"/>
                  <w:marTop w:val="0"/>
                  <w:marBottom w:val="0"/>
                  <w:divBdr>
                    <w:top w:val="none" w:sz="0" w:space="0" w:color="auto"/>
                    <w:left w:val="none" w:sz="0" w:space="0" w:color="auto"/>
                    <w:bottom w:val="none" w:sz="0" w:space="0" w:color="auto"/>
                    <w:right w:val="none" w:sz="0" w:space="0" w:color="auto"/>
                  </w:divBdr>
                  <w:divsChild>
                    <w:div w:id="2040546339">
                      <w:marLeft w:val="0"/>
                      <w:marRight w:val="0"/>
                      <w:marTop w:val="0"/>
                      <w:marBottom w:val="0"/>
                      <w:divBdr>
                        <w:top w:val="none" w:sz="0" w:space="0" w:color="auto"/>
                        <w:left w:val="none" w:sz="0" w:space="0" w:color="auto"/>
                        <w:bottom w:val="none" w:sz="0" w:space="0" w:color="auto"/>
                        <w:right w:val="none" w:sz="0" w:space="0" w:color="auto"/>
                      </w:divBdr>
                    </w:div>
                  </w:divsChild>
                </w:div>
                <w:div w:id="264729573">
                  <w:marLeft w:val="0"/>
                  <w:marRight w:val="0"/>
                  <w:marTop w:val="0"/>
                  <w:marBottom w:val="0"/>
                  <w:divBdr>
                    <w:top w:val="none" w:sz="0" w:space="0" w:color="auto"/>
                    <w:left w:val="none" w:sz="0" w:space="0" w:color="auto"/>
                    <w:bottom w:val="none" w:sz="0" w:space="0" w:color="auto"/>
                    <w:right w:val="none" w:sz="0" w:space="0" w:color="auto"/>
                  </w:divBdr>
                  <w:divsChild>
                    <w:div w:id="1649552317">
                      <w:marLeft w:val="0"/>
                      <w:marRight w:val="0"/>
                      <w:marTop w:val="0"/>
                      <w:marBottom w:val="0"/>
                      <w:divBdr>
                        <w:top w:val="none" w:sz="0" w:space="0" w:color="auto"/>
                        <w:left w:val="none" w:sz="0" w:space="0" w:color="auto"/>
                        <w:bottom w:val="none" w:sz="0" w:space="0" w:color="auto"/>
                        <w:right w:val="none" w:sz="0" w:space="0" w:color="auto"/>
                      </w:divBdr>
                    </w:div>
                  </w:divsChild>
                </w:div>
                <w:div w:id="274144613">
                  <w:marLeft w:val="0"/>
                  <w:marRight w:val="0"/>
                  <w:marTop w:val="0"/>
                  <w:marBottom w:val="0"/>
                  <w:divBdr>
                    <w:top w:val="none" w:sz="0" w:space="0" w:color="auto"/>
                    <w:left w:val="none" w:sz="0" w:space="0" w:color="auto"/>
                    <w:bottom w:val="none" w:sz="0" w:space="0" w:color="auto"/>
                    <w:right w:val="none" w:sz="0" w:space="0" w:color="auto"/>
                  </w:divBdr>
                  <w:divsChild>
                    <w:div w:id="1819615161">
                      <w:marLeft w:val="0"/>
                      <w:marRight w:val="0"/>
                      <w:marTop w:val="0"/>
                      <w:marBottom w:val="0"/>
                      <w:divBdr>
                        <w:top w:val="none" w:sz="0" w:space="0" w:color="auto"/>
                        <w:left w:val="none" w:sz="0" w:space="0" w:color="auto"/>
                        <w:bottom w:val="none" w:sz="0" w:space="0" w:color="auto"/>
                        <w:right w:val="none" w:sz="0" w:space="0" w:color="auto"/>
                      </w:divBdr>
                    </w:div>
                  </w:divsChild>
                </w:div>
                <w:div w:id="427235733">
                  <w:marLeft w:val="0"/>
                  <w:marRight w:val="0"/>
                  <w:marTop w:val="0"/>
                  <w:marBottom w:val="0"/>
                  <w:divBdr>
                    <w:top w:val="none" w:sz="0" w:space="0" w:color="auto"/>
                    <w:left w:val="none" w:sz="0" w:space="0" w:color="auto"/>
                    <w:bottom w:val="none" w:sz="0" w:space="0" w:color="auto"/>
                    <w:right w:val="none" w:sz="0" w:space="0" w:color="auto"/>
                  </w:divBdr>
                  <w:divsChild>
                    <w:div w:id="1769547589">
                      <w:marLeft w:val="0"/>
                      <w:marRight w:val="0"/>
                      <w:marTop w:val="0"/>
                      <w:marBottom w:val="0"/>
                      <w:divBdr>
                        <w:top w:val="none" w:sz="0" w:space="0" w:color="auto"/>
                        <w:left w:val="none" w:sz="0" w:space="0" w:color="auto"/>
                        <w:bottom w:val="none" w:sz="0" w:space="0" w:color="auto"/>
                        <w:right w:val="none" w:sz="0" w:space="0" w:color="auto"/>
                      </w:divBdr>
                    </w:div>
                  </w:divsChild>
                </w:div>
                <w:div w:id="597179092">
                  <w:marLeft w:val="0"/>
                  <w:marRight w:val="0"/>
                  <w:marTop w:val="0"/>
                  <w:marBottom w:val="0"/>
                  <w:divBdr>
                    <w:top w:val="none" w:sz="0" w:space="0" w:color="auto"/>
                    <w:left w:val="none" w:sz="0" w:space="0" w:color="auto"/>
                    <w:bottom w:val="none" w:sz="0" w:space="0" w:color="auto"/>
                    <w:right w:val="none" w:sz="0" w:space="0" w:color="auto"/>
                  </w:divBdr>
                  <w:divsChild>
                    <w:div w:id="1028918420">
                      <w:marLeft w:val="0"/>
                      <w:marRight w:val="0"/>
                      <w:marTop w:val="0"/>
                      <w:marBottom w:val="0"/>
                      <w:divBdr>
                        <w:top w:val="none" w:sz="0" w:space="0" w:color="auto"/>
                        <w:left w:val="none" w:sz="0" w:space="0" w:color="auto"/>
                        <w:bottom w:val="none" w:sz="0" w:space="0" w:color="auto"/>
                        <w:right w:val="none" w:sz="0" w:space="0" w:color="auto"/>
                      </w:divBdr>
                    </w:div>
                  </w:divsChild>
                </w:div>
                <w:div w:id="613947956">
                  <w:marLeft w:val="0"/>
                  <w:marRight w:val="0"/>
                  <w:marTop w:val="0"/>
                  <w:marBottom w:val="0"/>
                  <w:divBdr>
                    <w:top w:val="none" w:sz="0" w:space="0" w:color="auto"/>
                    <w:left w:val="none" w:sz="0" w:space="0" w:color="auto"/>
                    <w:bottom w:val="none" w:sz="0" w:space="0" w:color="auto"/>
                    <w:right w:val="none" w:sz="0" w:space="0" w:color="auto"/>
                  </w:divBdr>
                  <w:divsChild>
                    <w:div w:id="1318000419">
                      <w:marLeft w:val="0"/>
                      <w:marRight w:val="0"/>
                      <w:marTop w:val="0"/>
                      <w:marBottom w:val="0"/>
                      <w:divBdr>
                        <w:top w:val="none" w:sz="0" w:space="0" w:color="auto"/>
                        <w:left w:val="none" w:sz="0" w:space="0" w:color="auto"/>
                        <w:bottom w:val="none" w:sz="0" w:space="0" w:color="auto"/>
                        <w:right w:val="none" w:sz="0" w:space="0" w:color="auto"/>
                      </w:divBdr>
                    </w:div>
                  </w:divsChild>
                </w:div>
                <w:div w:id="630980826">
                  <w:marLeft w:val="0"/>
                  <w:marRight w:val="0"/>
                  <w:marTop w:val="0"/>
                  <w:marBottom w:val="0"/>
                  <w:divBdr>
                    <w:top w:val="none" w:sz="0" w:space="0" w:color="auto"/>
                    <w:left w:val="none" w:sz="0" w:space="0" w:color="auto"/>
                    <w:bottom w:val="none" w:sz="0" w:space="0" w:color="auto"/>
                    <w:right w:val="none" w:sz="0" w:space="0" w:color="auto"/>
                  </w:divBdr>
                  <w:divsChild>
                    <w:div w:id="1147478466">
                      <w:marLeft w:val="0"/>
                      <w:marRight w:val="0"/>
                      <w:marTop w:val="0"/>
                      <w:marBottom w:val="0"/>
                      <w:divBdr>
                        <w:top w:val="none" w:sz="0" w:space="0" w:color="auto"/>
                        <w:left w:val="none" w:sz="0" w:space="0" w:color="auto"/>
                        <w:bottom w:val="none" w:sz="0" w:space="0" w:color="auto"/>
                        <w:right w:val="none" w:sz="0" w:space="0" w:color="auto"/>
                      </w:divBdr>
                    </w:div>
                  </w:divsChild>
                </w:div>
                <w:div w:id="639310552">
                  <w:marLeft w:val="0"/>
                  <w:marRight w:val="0"/>
                  <w:marTop w:val="0"/>
                  <w:marBottom w:val="0"/>
                  <w:divBdr>
                    <w:top w:val="none" w:sz="0" w:space="0" w:color="auto"/>
                    <w:left w:val="none" w:sz="0" w:space="0" w:color="auto"/>
                    <w:bottom w:val="none" w:sz="0" w:space="0" w:color="auto"/>
                    <w:right w:val="none" w:sz="0" w:space="0" w:color="auto"/>
                  </w:divBdr>
                  <w:divsChild>
                    <w:div w:id="1224487463">
                      <w:marLeft w:val="0"/>
                      <w:marRight w:val="0"/>
                      <w:marTop w:val="0"/>
                      <w:marBottom w:val="0"/>
                      <w:divBdr>
                        <w:top w:val="none" w:sz="0" w:space="0" w:color="auto"/>
                        <w:left w:val="none" w:sz="0" w:space="0" w:color="auto"/>
                        <w:bottom w:val="none" w:sz="0" w:space="0" w:color="auto"/>
                        <w:right w:val="none" w:sz="0" w:space="0" w:color="auto"/>
                      </w:divBdr>
                    </w:div>
                  </w:divsChild>
                </w:div>
                <w:div w:id="660622772">
                  <w:marLeft w:val="0"/>
                  <w:marRight w:val="0"/>
                  <w:marTop w:val="0"/>
                  <w:marBottom w:val="0"/>
                  <w:divBdr>
                    <w:top w:val="none" w:sz="0" w:space="0" w:color="auto"/>
                    <w:left w:val="none" w:sz="0" w:space="0" w:color="auto"/>
                    <w:bottom w:val="none" w:sz="0" w:space="0" w:color="auto"/>
                    <w:right w:val="none" w:sz="0" w:space="0" w:color="auto"/>
                  </w:divBdr>
                  <w:divsChild>
                    <w:div w:id="276839362">
                      <w:marLeft w:val="0"/>
                      <w:marRight w:val="0"/>
                      <w:marTop w:val="0"/>
                      <w:marBottom w:val="0"/>
                      <w:divBdr>
                        <w:top w:val="none" w:sz="0" w:space="0" w:color="auto"/>
                        <w:left w:val="none" w:sz="0" w:space="0" w:color="auto"/>
                        <w:bottom w:val="none" w:sz="0" w:space="0" w:color="auto"/>
                        <w:right w:val="none" w:sz="0" w:space="0" w:color="auto"/>
                      </w:divBdr>
                    </w:div>
                  </w:divsChild>
                </w:div>
                <w:div w:id="761075260">
                  <w:marLeft w:val="0"/>
                  <w:marRight w:val="0"/>
                  <w:marTop w:val="0"/>
                  <w:marBottom w:val="0"/>
                  <w:divBdr>
                    <w:top w:val="none" w:sz="0" w:space="0" w:color="auto"/>
                    <w:left w:val="none" w:sz="0" w:space="0" w:color="auto"/>
                    <w:bottom w:val="none" w:sz="0" w:space="0" w:color="auto"/>
                    <w:right w:val="none" w:sz="0" w:space="0" w:color="auto"/>
                  </w:divBdr>
                  <w:divsChild>
                    <w:div w:id="847329652">
                      <w:marLeft w:val="0"/>
                      <w:marRight w:val="0"/>
                      <w:marTop w:val="0"/>
                      <w:marBottom w:val="0"/>
                      <w:divBdr>
                        <w:top w:val="none" w:sz="0" w:space="0" w:color="auto"/>
                        <w:left w:val="none" w:sz="0" w:space="0" w:color="auto"/>
                        <w:bottom w:val="none" w:sz="0" w:space="0" w:color="auto"/>
                        <w:right w:val="none" w:sz="0" w:space="0" w:color="auto"/>
                      </w:divBdr>
                    </w:div>
                  </w:divsChild>
                </w:div>
                <w:div w:id="928585247">
                  <w:marLeft w:val="0"/>
                  <w:marRight w:val="0"/>
                  <w:marTop w:val="0"/>
                  <w:marBottom w:val="0"/>
                  <w:divBdr>
                    <w:top w:val="none" w:sz="0" w:space="0" w:color="auto"/>
                    <w:left w:val="none" w:sz="0" w:space="0" w:color="auto"/>
                    <w:bottom w:val="none" w:sz="0" w:space="0" w:color="auto"/>
                    <w:right w:val="none" w:sz="0" w:space="0" w:color="auto"/>
                  </w:divBdr>
                  <w:divsChild>
                    <w:div w:id="1230924635">
                      <w:marLeft w:val="0"/>
                      <w:marRight w:val="0"/>
                      <w:marTop w:val="0"/>
                      <w:marBottom w:val="0"/>
                      <w:divBdr>
                        <w:top w:val="none" w:sz="0" w:space="0" w:color="auto"/>
                        <w:left w:val="none" w:sz="0" w:space="0" w:color="auto"/>
                        <w:bottom w:val="none" w:sz="0" w:space="0" w:color="auto"/>
                        <w:right w:val="none" w:sz="0" w:space="0" w:color="auto"/>
                      </w:divBdr>
                    </w:div>
                  </w:divsChild>
                </w:div>
                <w:div w:id="959267410">
                  <w:marLeft w:val="0"/>
                  <w:marRight w:val="0"/>
                  <w:marTop w:val="0"/>
                  <w:marBottom w:val="0"/>
                  <w:divBdr>
                    <w:top w:val="none" w:sz="0" w:space="0" w:color="auto"/>
                    <w:left w:val="none" w:sz="0" w:space="0" w:color="auto"/>
                    <w:bottom w:val="none" w:sz="0" w:space="0" w:color="auto"/>
                    <w:right w:val="none" w:sz="0" w:space="0" w:color="auto"/>
                  </w:divBdr>
                  <w:divsChild>
                    <w:div w:id="463085258">
                      <w:marLeft w:val="0"/>
                      <w:marRight w:val="0"/>
                      <w:marTop w:val="0"/>
                      <w:marBottom w:val="0"/>
                      <w:divBdr>
                        <w:top w:val="none" w:sz="0" w:space="0" w:color="auto"/>
                        <w:left w:val="none" w:sz="0" w:space="0" w:color="auto"/>
                        <w:bottom w:val="none" w:sz="0" w:space="0" w:color="auto"/>
                        <w:right w:val="none" w:sz="0" w:space="0" w:color="auto"/>
                      </w:divBdr>
                    </w:div>
                  </w:divsChild>
                </w:div>
                <w:div w:id="1027489325">
                  <w:marLeft w:val="0"/>
                  <w:marRight w:val="0"/>
                  <w:marTop w:val="0"/>
                  <w:marBottom w:val="0"/>
                  <w:divBdr>
                    <w:top w:val="none" w:sz="0" w:space="0" w:color="auto"/>
                    <w:left w:val="none" w:sz="0" w:space="0" w:color="auto"/>
                    <w:bottom w:val="none" w:sz="0" w:space="0" w:color="auto"/>
                    <w:right w:val="none" w:sz="0" w:space="0" w:color="auto"/>
                  </w:divBdr>
                  <w:divsChild>
                    <w:div w:id="431244384">
                      <w:marLeft w:val="0"/>
                      <w:marRight w:val="0"/>
                      <w:marTop w:val="0"/>
                      <w:marBottom w:val="0"/>
                      <w:divBdr>
                        <w:top w:val="none" w:sz="0" w:space="0" w:color="auto"/>
                        <w:left w:val="none" w:sz="0" w:space="0" w:color="auto"/>
                        <w:bottom w:val="none" w:sz="0" w:space="0" w:color="auto"/>
                        <w:right w:val="none" w:sz="0" w:space="0" w:color="auto"/>
                      </w:divBdr>
                    </w:div>
                  </w:divsChild>
                </w:div>
                <w:div w:id="1049304224">
                  <w:marLeft w:val="0"/>
                  <w:marRight w:val="0"/>
                  <w:marTop w:val="0"/>
                  <w:marBottom w:val="0"/>
                  <w:divBdr>
                    <w:top w:val="none" w:sz="0" w:space="0" w:color="auto"/>
                    <w:left w:val="none" w:sz="0" w:space="0" w:color="auto"/>
                    <w:bottom w:val="none" w:sz="0" w:space="0" w:color="auto"/>
                    <w:right w:val="none" w:sz="0" w:space="0" w:color="auto"/>
                  </w:divBdr>
                  <w:divsChild>
                    <w:div w:id="808017728">
                      <w:marLeft w:val="0"/>
                      <w:marRight w:val="0"/>
                      <w:marTop w:val="0"/>
                      <w:marBottom w:val="0"/>
                      <w:divBdr>
                        <w:top w:val="none" w:sz="0" w:space="0" w:color="auto"/>
                        <w:left w:val="none" w:sz="0" w:space="0" w:color="auto"/>
                        <w:bottom w:val="none" w:sz="0" w:space="0" w:color="auto"/>
                        <w:right w:val="none" w:sz="0" w:space="0" w:color="auto"/>
                      </w:divBdr>
                    </w:div>
                  </w:divsChild>
                </w:div>
                <w:div w:id="1091241472">
                  <w:marLeft w:val="0"/>
                  <w:marRight w:val="0"/>
                  <w:marTop w:val="0"/>
                  <w:marBottom w:val="0"/>
                  <w:divBdr>
                    <w:top w:val="none" w:sz="0" w:space="0" w:color="auto"/>
                    <w:left w:val="none" w:sz="0" w:space="0" w:color="auto"/>
                    <w:bottom w:val="none" w:sz="0" w:space="0" w:color="auto"/>
                    <w:right w:val="none" w:sz="0" w:space="0" w:color="auto"/>
                  </w:divBdr>
                  <w:divsChild>
                    <w:div w:id="1228766345">
                      <w:marLeft w:val="0"/>
                      <w:marRight w:val="0"/>
                      <w:marTop w:val="0"/>
                      <w:marBottom w:val="0"/>
                      <w:divBdr>
                        <w:top w:val="none" w:sz="0" w:space="0" w:color="auto"/>
                        <w:left w:val="none" w:sz="0" w:space="0" w:color="auto"/>
                        <w:bottom w:val="none" w:sz="0" w:space="0" w:color="auto"/>
                        <w:right w:val="none" w:sz="0" w:space="0" w:color="auto"/>
                      </w:divBdr>
                    </w:div>
                  </w:divsChild>
                </w:div>
                <w:div w:id="1096293646">
                  <w:marLeft w:val="0"/>
                  <w:marRight w:val="0"/>
                  <w:marTop w:val="0"/>
                  <w:marBottom w:val="0"/>
                  <w:divBdr>
                    <w:top w:val="none" w:sz="0" w:space="0" w:color="auto"/>
                    <w:left w:val="none" w:sz="0" w:space="0" w:color="auto"/>
                    <w:bottom w:val="none" w:sz="0" w:space="0" w:color="auto"/>
                    <w:right w:val="none" w:sz="0" w:space="0" w:color="auto"/>
                  </w:divBdr>
                  <w:divsChild>
                    <w:div w:id="997079523">
                      <w:marLeft w:val="0"/>
                      <w:marRight w:val="0"/>
                      <w:marTop w:val="0"/>
                      <w:marBottom w:val="0"/>
                      <w:divBdr>
                        <w:top w:val="none" w:sz="0" w:space="0" w:color="auto"/>
                        <w:left w:val="none" w:sz="0" w:space="0" w:color="auto"/>
                        <w:bottom w:val="none" w:sz="0" w:space="0" w:color="auto"/>
                        <w:right w:val="none" w:sz="0" w:space="0" w:color="auto"/>
                      </w:divBdr>
                    </w:div>
                  </w:divsChild>
                </w:div>
                <w:div w:id="1264917104">
                  <w:marLeft w:val="0"/>
                  <w:marRight w:val="0"/>
                  <w:marTop w:val="0"/>
                  <w:marBottom w:val="0"/>
                  <w:divBdr>
                    <w:top w:val="none" w:sz="0" w:space="0" w:color="auto"/>
                    <w:left w:val="none" w:sz="0" w:space="0" w:color="auto"/>
                    <w:bottom w:val="none" w:sz="0" w:space="0" w:color="auto"/>
                    <w:right w:val="none" w:sz="0" w:space="0" w:color="auto"/>
                  </w:divBdr>
                  <w:divsChild>
                    <w:div w:id="715588657">
                      <w:marLeft w:val="0"/>
                      <w:marRight w:val="0"/>
                      <w:marTop w:val="0"/>
                      <w:marBottom w:val="0"/>
                      <w:divBdr>
                        <w:top w:val="none" w:sz="0" w:space="0" w:color="auto"/>
                        <w:left w:val="none" w:sz="0" w:space="0" w:color="auto"/>
                        <w:bottom w:val="none" w:sz="0" w:space="0" w:color="auto"/>
                        <w:right w:val="none" w:sz="0" w:space="0" w:color="auto"/>
                      </w:divBdr>
                    </w:div>
                  </w:divsChild>
                </w:div>
                <w:div w:id="1330791256">
                  <w:marLeft w:val="0"/>
                  <w:marRight w:val="0"/>
                  <w:marTop w:val="0"/>
                  <w:marBottom w:val="0"/>
                  <w:divBdr>
                    <w:top w:val="none" w:sz="0" w:space="0" w:color="auto"/>
                    <w:left w:val="none" w:sz="0" w:space="0" w:color="auto"/>
                    <w:bottom w:val="none" w:sz="0" w:space="0" w:color="auto"/>
                    <w:right w:val="none" w:sz="0" w:space="0" w:color="auto"/>
                  </w:divBdr>
                  <w:divsChild>
                    <w:div w:id="1787314896">
                      <w:marLeft w:val="0"/>
                      <w:marRight w:val="0"/>
                      <w:marTop w:val="0"/>
                      <w:marBottom w:val="0"/>
                      <w:divBdr>
                        <w:top w:val="none" w:sz="0" w:space="0" w:color="auto"/>
                        <w:left w:val="none" w:sz="0" w:space="0" w:color="auto"/>
                        <w:bottom w:val="none" w:sz="0" w:space="0" w:color="auto"/>
                        <w:right w:val="none" w:sz="0" w:space="0" w:color="auto"/>
                      </w:divBdr>
                    </w:div>
                  </w:divsChild>
                </w:div>
                <w:div w:id="1544512905">
                  <w:marLeft w:val="0"/>
                  <w:marRight w:val="0"/>
                  <w:marTop w:val="0"/>
                  <w:marBottom w:val="0"/>
                  <w:divBdr>
                    <w:top w:val="none" w:sz="0" w:space="0" w:color="auto"/>
                    <w:left w:val="none" w:sz="0" w:space="0" w:color="auto"/>
                    <w:bottom w:val="none" w:sz="0" w:space="0" w:color="auto"/>
                    <w:right w:val="none" w:sz="0" w:space="0" w:color="auto"/>
                  </w:divBdr>
                  <w:divsChild>
                    <w:div w:id="948898726">
                      <w:marLeft w:val="0"/>
                      <w:marRight w:val="0"/>
                      <w:marTop w:val="0"/>
                      <w:marBottom w:val="0"/>
                      <w:divBdr>
                        <w:top w:val="none" w:sz="0" w:space="0" w:color="auto"/>
                        <w:left w:val="none" w:sz="0" w:space="0" w:color="auto"/>
                        <w:bottom w:val="none" w:sz="0" w:space="0" w:color="auto"/>
                        <w:right w:val="none" w:sz="0" w:space="0" w:color="auto"/>
                      </w:divBdr>
                    </w:div>
                  </w:divsChild>
                </w:div>
                <w:div w:id="1636255960">
                  <w:marLeft w:val="0"/>
                  <w:marRight w:val="0"/>
                  <w:marTop w:val="0"/>
                  <w:marBottom w:val="0"/>
                  <w:divBdr>
                    <w:top w:val="none" w:sz="0" w:space="0" w:color="auto"/>
                    <w:left w:val="none" w:sz="0" w:space="0" w:color="auto"/>
                    <w:bottom w:val="none" w:sz="0" w:space="0" w:color="auto"/>
                    <w:right w:val="none" w:sz="0" w:space="0" w:color="auto"/>
                  </w:divBdr>
                  <w:divsChild>
                    <w:div w:id="1349134768">
                      <w:marLeft w:val="0"/>
                      <w:marRight w:val="0"/>
                      <w:marTop w:val="0"/>
                      <w:marBottom w:val="0"/>
                      <w:divBdr>
                        <w:top w:val="none" w:sz="0" w:space="0" w:color="auto"/>
                        <w:left w:val="none" w:sz="0" w:space="0" w:color="auto"/>
                        <w:bottom w:val="none" w:sz="0" w:space="0" w:color="auto"/>
                        <w:right w:val="none" w:sz="0" w:space="0" w:color="auto"/>
                      </w:divBdr>
                    </w:div>
                  </w:divsChild>
                </w:div>
                <w:div w:id="1826312266">
                  <w:marLeft w:val="0"/>
                  <w:marRight w:val="0"/>
                  <w:marTop w:val="0"/>
                  <w:marBottom w:val="0"/>
                  <w:divBdr>
                    <w:top w:val="none" w:sz="0" w:space="0" w:color="auto"/>
                    <w:left w:val="none" w:sz="0" w:space="0" w:color="auto"/>
                    <w:bottom w:val="none" w:sz="0" w:space="0" w:color="auto"/>
                    <w:right w:val="none" w:sz="0" w:space="0" w:color="auto"/>
                  </w:divBdr>
                  <w:divsChild>
                    <w:div w:id="934362983">
                      <w:marLeft w:val="0"/>
                      <w:marRight w:val="0"/>
                      <w:marTop w:val="0"/>
                      <w:marBottom w:val="0"/>
                      <w:divBdr>
                        <w:top w:val="none" w:sz="0" w:space="0" w:color="auto"/>
                        <w:left w:val="none" w:sz="0" w:space="0" w:color="auto"/>
                        <w:bottom w:val="none" w:sz="0" w:space="0" w:color="auto"/>
                        <w:right w:val="none" w:sz="0" w:space="0" w:color="auto"/>
                      </w:divBdr>
                    </w:div>
                  </w:divsChild>
                </w:div>
                <w:div w:id="1992631606">
                  <w:marLeft w:val="0"/>
                  <w:marRight w:val="0"/>
                  <w:marTop w:val="0"/>
                  <w:marBottom w:val="0"/>
                  <w:divBdr>
                    <w:top w:val="none" w:sz="0" w:space="0" w:color="auto"/>
                    <w:left w:val="none" w:sz="0" w:space="0" w:color="auto"/>
                    <w:bottom w:val="none" w:sz="0" w:space="0" w:color="auto"/>
                    <w:right w:val="none" w:sz="0" w:space="0" w:color="auto"/>
                  </w:divBdr>
                  <w:divsChild>
                    <w:div w:id="1130242851">
                      <w:marLeft w:val="0"/>
                      <w:marRight w:val="0"/>
                      <w:marTop w:val="0"/>
                      <w:marBottom w:val="0"/>
                      <w:divBdr>
                        <w:top w:val="none" w:sz="0" w:space="0" w:color="auto"/>
                        <w:left w:val="none" w:sz="0" w:space="0" w:color="auto"/>
                        <w:bottom w:val="none" w:sz="0" w:space="0" w:color="auto"/>
                        <w:right w:val="none" w:sz="0" w:space="0" w:color="auto"/>
                      </w:divBdr>
                    </w:div>
                  </w:divsChild>
                </w:div>
                <w:div w:id="2002343374">
                  <w:marLeft w:val="0"/>
                  <w:marRight w:val="0"/>
                  <w:marTop w:val="0"/>
                  <w:marBottom w:val="0"/>
                  <w:divBdr>
                    <w:top w:val="none" w:sz="0" w:space="0" w:color="auto"/>
                    <w:left w:val="none" w:sz="0" w:space="0" w:color="auto"/>
                    <w:bottom w:val="none" w:sz="0" w:space="0" w:color="auto"/>
                    <w:right w:val="none" w:sz="0" w:space="0" w:color="auto"/>
                  </w:divBdr>
                  <w:divsChild>
                    <w:div w:id="1120878589">
                      <w:marLeft w:val="0"/>
                      <w:marRight w:val="0"/>
                      <w:marTop w:val="0"/>
                      <w:marBottom w:val="0"/>
                      <w:divBdr>
                        <w:top w:val="none" w:sz="0" w:space="0" w:color="auto"/>
                        <w:left w:val="none" w:sz="0" w:space="0" w:color="auto"/>
                        <w:bottom w:val="none" w:sz="0" w:space="0" w:color="auto"/>
                        <w:right w:val="none" w:sz="0" w:space="0" w:color="auto"/>
                      </w:divBdr>
                    </w:div>
                  </w:divsChild>
                </w:div>
                <w:div w:id="2093315165">
                  <w:marLeft w:val="0"/>
                  <w:marRight w:val="0"/>
                  <w:marTop w:val="0"/>
                  <w:marBottom w:val="0"/>
                  <w:divBdr>
                    <w:top w:val="none" w:sz="0" w:space="0" w:color="auto"/>
                    <w:left w:val="none" w:sz="0" w:space="0" w:color="auto"/>
                    <w:bottom w:val="none" w:sz="0" w:space="0" w:color="auto"/>
                    <w:right w:val="none" w:sz="0" w:space="0" w:color="auto"/>
                  </w:divBdr>
                  <w:divsChild>
                    <w:div w:id="73403900">
                      <w:marLeft w:val="0"/>
                      <w:marRight w:val="0"/>
                      <w:marTop w:val="0"/>
                      <w:marBottom w:val="0"/>
                      <w:divBdr>
                        <w:top w:val="none" w:sz="0" w:space="0" w:color="auto"/>
                        <w:left w:val="none" w:sz="0" w:space="0" w:color="auto"/>
                        <w:bottom w:val="none" w:sz="0" w:space="0" w:color="auto"/>
                        <w:right w:val="none" w:sz="0" w:space="0" w:color="auto"/>
                      </w:divBdr>
                    </w:div>
                  </w:divsChild>
                </w:div>
                <w:div w:id="2103720101">
                  <w:marLeft w:val="0"/>
                  <w:marRight w:val="0"/>
                  <w:marTop w:val="0"/>
                  <w:marBottom w:val="0"/>
                  <w:divBdr>
                    <w:top w:val="none" w:sz="0" w:space="0" w:color="auto"/>
                    <w:left w:val="none" w:sz="0" w:space="0" w:color="auto"/>
                    <w:bottom w:val="none" w:sz="0" w:space="0" w:color="auto"/>
                    <w:right w:val="none" w:sz="0" w:space="0" w:color="auto"/>
                  </w:divBdr>
                  <w:divsChild>
                    <w:div w:id="18132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9206">
      <w:bodyDiv w:val="1"/>
      <w:marLeft w:val="0"/>
      <w:marRight w:val="0"/>
      <w:marTop w:val="0"/>
      <w:marBottom w:val="0"/>
      <w:divBdr>
        <w:top w:val="none" w:sz="0" w:space="0" w:color="auto"/>
        <w:left w:val="none" w:sz="0" w:space="0" w:color="auto"/>
        <w:bottom w:val="none" w:sz="0" w:space="0" w:color="auto"/>
        <w:right w:val="none" w:sz="0" w:space="0" w:color="auto"/>
      </w:divBdr>
      <w:divsChild>
        <w:div w:id="45683940">
          <w:marLeft w:val="0"/>
          <w:marRight w:val="0"/>
          <w:marTop w:val="0"/>
          <w:marBottom w:val="0"/>
          <w:divBdr>
            <w:top w:val="none" w:sz="0" w:space="0" w:color="auto"/>
            <w:left w:val="none" w:sz="0" w:space="0" w:color="auto"/>
            <w:bottom w:val="none" w:sz="0" w:space="0" w:color="auto"/>
            <w:right w:val="none" w:sz="0" w:space="0" w:color="auto"/>
          </w:divBdr>
        </w:div>
        <w:div w:id="87972257">
          <w:marLeft w:val="0"/>
          <w:marRight w:val="0"/>
          <w:marTop w:val="0"/>
          <w:marBottom w:val="0"/>
          <w:divBdr>
            <w:top w:val="none" w:sz="0" w:space="0" w:color="auto"/>
            <w:left w:val="none" w:sz="0" w:space="0" w:color="auto"/>
            <w:bottom w:val="none" w:sz="0" w:space="0" w:color="auto"/>
            <w:right w:val="none" w:sz="0" w:space="0" w:color="auto"/>
          </w:divBdr>
        </w:div>
        <w:div w:id="106237388">
          <w:marLeft w:val="0"/>
          <w:marRight w:val="0"/>
          <w:marTop w:val="0"/>
          <w:marBottom w:val="0"/>
          <w:divBdr>
            <w:top w:val="none" w:sz="0" w:space="0" w:color="auto"/>
            <w:left w:val="none" w:sz="0" w:space="0" w:color="auto"/>
            <w:bottom w:val="none" w:sz="0" w:space="0" w:color="auto"/>
            <w:right w:val="none" w:sz="0" w:space="0" w:color="auto"/>
          </w:divBdr>
        </w:div>
        <w:div w:id="111823882">
          <w:marLeft w:val="0"/>
          <w:marRight w:val="0"/>
          <w:marTop w:val="0"/>
          <w:marBottom w:val="0"/>
          <w:divBdr>
            <w:top w:val="none" w:sz="0" w:space="0" w:color="auto"/>
            <w:left w:val="none" w:sz="0" w:space="0" w:color="auto"/>
            <w:bottom w:val="none" w:sz="0" w:space="0" w:color="auto"/>
            <w:right w:val="none" w:sz="0" w:space="0" w:color="auto"/>
          </w:divBdr>
        </w:div>
        <w:div w:id="116726947">
          <w:marLeft w:val="0"/>
          <w:marRight w:val="0"/>
          <w:marTop w:val="0"/>
          <w:marBottom w:val="0"/>
          <w:divBdr>
            <w:top w:val="none" w:sz="0" w:space="0" w:color="auto"/>
            <w:left w:val="none" w:sz="0" w:space="0" w:color="auto"/>
            <w:bottom w:val="none" w:sz="0" w:space="0" w:color="auto"/>
            <w:right w:val="none" w:sz="0" w:space="0" w:color="auto"/>
          </w:divBdr>
        </w:div>
        <w:div w:id="146358850">
          <w:marLeft w:val="0"/>
          <w:marRight w:val="0"/>
          <w:marTop w:val="0"/>
          <w:marBottom w:val="0"/>
          <w:divBdr>
            <w:top w:val="none" w:sz="0" w:space="0" w:color="auto"/>
            <w:left w:val="none" w:sz="0" w:space="0" w:color="auto"/>
            <w:bottom w:val="none" w:sz="0" w:space="0" w:color="auto"/>
            <w:right w:val="none" w:sz="0" w:space="0" w:color="auto"/>
          </w:divBdr>
        </w:div>
        <w:div w:id="207648344">
          <w:marLeft w:val="0"/>
          <w:marRight w:val="0"/>
          <w:marTop w:val="0"/>
          <w:marBottom w:val="0"/>
          <w:divBdr>
            <w:top w:val="none" w:sz="0" w:space="0" w:color="auto"/>
            <w:left w:val="none" w:sz="0" w:space="0" w:color="auto"/>
            <w:bottom w:val="none" w:sz="0" w:space="0" w:color="auto"/>
            <w:right w:val="none" w:sz="0" w:space="0" w:color="auto"/>
          </w:divBdr>
        </w:div>
        <w:div w:id="294993584">
          <w:marLeft w:val="0"/>
          <w:marRight w:val="0"/>
          <w:marTop w:val="0"/>
          <w:marBottom w:val="0"/>
          <w:divBdr>
            <w:top w:val="none" w:sz="0" w:space="0" w:color="auto"/>
            <w:left w:val="none" w:sz="0" w:space="0" w:color="auto"/>
            <w:bottom w:val="none" w:sz="0" w:space="0" w:color="auto"/>
            <w:right w:val="none" w:sz="0" w:space="0" w:color="auto"/>
          </w:divBdr>
        </w:div>
        <w:div w:id="321012724">
          <w:marLeft w:val="0"/>
          <w:marRight w:val="0"/>
          <w:marTop w:val="0"/>
          <w:marBottom w:val="0"/>
          <w:divBdr>
            <w:top w:val="none" w:sz="0" w:space="0" w:color="auto"/>
            <w:left w:val="none" w:sz="0" w:space="0" w:color="auto"/>
            <w:bottom w:val="none" w:sz="0" w:space="0" w:color="auto"/>
            <w:right w:val="none" w:sz="0" w:space="0" w:color="auto"/>
          </w:divBdr>
        </w:div>
        <w:div w:id="321465679">
          <w:marLeft w:val="0"/>
          <w:marRight w:val="0"/>
          <w:marTop w:val="0"/>
          <w:marBottom w:val="0"/>
          <w:divBdr>
            <w:top w:val="none" w:sz="0" w:space="0" w:color="auto"/>
            <w:left w:val="none" w:sz="0" w:space="0" w:color="auto"/>
            <w:bottom w:val="none" w:sz="0" w:space="0" w:color="auto"/>
            <w:right w:val="none" w:sz="0" w:space="0" w:color="auto"/>
          </w:divBdr>
        </w:div>
        <w:div w:id="576280829">
          <w:marLeft w:val="0"/>
          <w:marRight w:val="0"/>
          <w:marTop w:val="0"/>
          <w:marBottom w:val="0"/>
          <w:divBdr>
            <w:top w:val="none" w:sz="0" w:space="0" w:color="auto"/>
            <w:left w:val="none" w:sz="0" w:space="0" w:color="auto"/>
            <w:bottom w:val="none" w:sz="0" w:space="0" w:color="auto"/>
            <w:right w:val="none" w:sz="0" w:space="0" w:color="auto"/>
          </w:divBdr>
        </w:div>
        <w:div w:id="585383692">
          <w:marLeft w:val="0"/>
          <w:marRight w:val="0"/>
          <w:marTop w:val="0"/>
          <w:marBottom w:val="0"/>
          <w:divBdr>
            <w:top w:val="none" w:sz="0" w:space="0" w:color="auto"/>
            <w:left w:val="none" w:sz="0" w:space="0" w:color="auto"/>
            <w:bottom w:val="none" w:sz="0" w:space="0" w:color="auto"/>
            <w:right w:val="none" w:sz="0" w:space="0" w:color="auto"/>
          </w:divBdr>
        </w:div>
        <w:div w:id="669217601">
          <w:marLeft w:val="0"/>
          <w:marRight w:val="0"/>
          <w:marTop w:val="0"/>
          <w:marBottom w:val="0"/>
          <w:divBdr>
            <w:top w:val="none" w:sz="0" w:space="0" w:color="auto"/>
            <w:left w:val="none" w:sz="0" w:space="0" w:color="auto"/>
            <w:bottom w:val="none" w:sz="0" w:space="0" w:color="auto"/>
            <w:right w:val="none" w:sz="0" w:space="0" w:color="auto"/>
          </w:divBdr>
        </w:div>
        <w:div w:id="725489265">
          <w:marLeft w:val="0"/>
          <w:marRight w:val="0"/>
          <w:marTop w:val="0"/>
          <w:marBottom w:val="0"/>
          <w:divBdr>
            <w:top w:val="none" w:sz="0" w:space="0" w:color="auto"/>
            <w:left w:val="none" w:sz="0" w:space="0" w:color="auto"/>
            <w:bottom w:val="none" w:sz="0" w:space="0" w:color="auto"/>
            <w:right w:val="none" w:sz="0" w:space="0" w:color="auto"/>
          </w:divBdr>
        </w:div>
        <w:div w:id="757025428">
          <w:marLeft w:val="0"/>
          <w:marRight w:val="0"/>
          <w:marTop w:val="0"/>
          <w:marBottom w:val="0"/>
          <w:divBdr>
            <w:top w:val="none" w:sz="0" w:space="0" w:color="auto"/>
            <w:left w:val="none" w:sz="0" w:space="0" w:color="auto"/>
            <w:bottom w:val="none" w:sz="0" w:space="0" w:color="auto"/>
            <w:right w:val="none" w:sz="0" w:space="0" w:color="auto"/>
          </w:divBdr>
        </w:div>
        <w:div w:id="1069226376">
          <w:marLeft w:val="0"/>
          <w:marRight w:val="0"/>
          <w:marTop w:val="0"/>
          <w:marBottom w:val="0"/>
          <w:divBdr>
            <w:top w:val="none" w:sz="0" w:space="0" w:color="auto"/>
            <w:left w:val="none" w:sz="0" w:space="0" w:color="auto"/>
            <w:bottom w:val="none" w:sz="0" w:space="0" w:color="auto"/>
            <w:right w:val="none" w:sz="0" w:space="0" w:color="auto"/>
          </w:divBdr>
        </w:div>
        <w:div w:id="1079405175">
          <w:marLeft w:val="0"/>
          <w:marRight w:val="0"/>
          <w:marTop w:val="0"/>
          <w:marBottom w:val="0"/>
          <w:divBdr>
            <w:top w:val="none" w:sz="0" w:space="0" w:color="auto"/>
            <w:left w:val="none" w:sz="0" w:space="0" w:color="auto"/>
            <w:bottom w:val="none" w:sz="0" w:space="0" w:color="auto"/>
            <w:right w:val="none" w:sz="0" w:space="0" w:color="auto"/>
          </w:divBdr>
        </w:div>
        <w:div w:id="1087458231">
          <w:marLeft w:val="0"/>
          <w:marRight w:val="0"/>
          <w:marTop w:val="0"/>
          <w:marBottom w:val="0"/>
          <w:divBdr>
            <w:top w:val="none" w:sz="0" w:space="0" w:color="auto"/>
            <w:left w:val="none" w:sz="0" w:space="0" w:color="auto"/>
            <w:bottom w:val="none" w:sz="0" w:space="0" w:color="auto"/>
            <w:right w:val="none" w:sz="0" w:space="0" w:color="auto"/>
          </w:divBdr>
        </w:div>
        <w:div w:id="1134785470">
          <w:marLeft w:val="0"/>
          <w:marRight w:val="0"/>
          <w:marTop w:val="0"/>
          <w:marBottom w:val="0"/>
          <w:divBdr>
            <w:top w:val="none" w:sz="0" w:space="0" w:color="auto"/>
            <w:left w:val="none" w:sz="0" w:space="0" w:color="auto"/>
            <w:bottom w:val="none" w:sz="0" w:space="0" w:color="auto"/>
            <w:right w:val="none" w:sz="0" w:space="0" w:color="auto"/>
          </w:divBdr>
        </w:div>
        <w:div w:id="1192652118">
          <w:marLeft w:val="0"/>
          <w:marRight w:val="0"/>
          <w:marTop w:val="0"/>
          <w:marBottom w:val="0"/>
          <w:divBdr>
            <w:top w:val="none" w:sz="0" w:space="0" w:color="auto"/>
            <w:left w:val="none" w:sz="0" w:space="0" w:color="auto"/>
            <w:bottom w:val="none" w:sz="0" w:space="0" w:color="auto"/>
            <w:right w:val="none" w:sz="0" w:space="0" w:color="auto"/>
          </w:divBdr>
        </w:div>
        <w:div w:id="1206792539">
          <w:marLeft w:val="0"/>
          <w:marRight w:val="0"/>
          <w:marTop w:val="0"/>
          <w:marBottom w:val="0"/>
          <w:divBdr>
            <w:top w:val="none" w:sz="0" w:space="0" w:color="auto"/>
            <w:left w:val="none" w:sz="0" w:space="0" w:color="auto"/>
            <w:bottom w:val="none" w:sz="0" w:space="0" w:color="auto"/>
            <w:right w:val="none" w:sz="0" w:space="0" w:color="auto"/>
          </w:divBdr>
        </w:div>
        <w:div w:id="1225336112">
          <w:marLeft w:val="0"/>
          <w:marRight w:val="0"/>
          <w:marTop w:val="0"/>
          <w:marBottom w:val="0"/>
          <w:divBdr>
            <w:top w:val="none" w:sz="0" w:space="0" w:color="auto"/>
            <w:left w:val="none" w:sz="0" w:space="0" w:color="auto"/>
            <w:bottom w:val="none" w:sz="0" w:space="0" w:color="auto"/>
            <w:right w:val="none" w:sz="0" w:space="0" w:color="auto"/>
          </w:divBdr>
        </w:div>
        <w:div w:id="1331130435">
          <w:marLeft w:val="0"/>
          <w:marRight w:val="0"/>
          <w:marTop w:val="0"/>
          <w:marBottom w:val="0"/>
          <w:divBdr>
            <w:top w:val="none" w:sz="0" w:space="0" w:color="auto"/>
            <w:left w:val="none" w:sz="0" w:space="0" w:color="auto"/>
            <w:bottom w:val="none" w:sz="0" w:space="0" w:color="auto"/>
            <w:right w:val="none" w:sz="0" w:space="0" w:color="auto"/>
          </w:divBdr>
        </w:div>
        <w:div w:id="1450052681">
          <w:marLeft w:val="0"/>
          <w:marRight w:val="0"/>
          <w:marTop w:val="0"/>
          <w:marBottom w:val="0"/>
          <w:divBdr>
            <w:top w:val="none" w:sz="0" w:space="0" w:color="auto"/>
            <w:left w:val="none" w:sz="0" w:space="0" w:color="auto"/>
            <w:bottom w:val="none" w:sz="0" w:space="0" w:color="auto"/>
            <w:right w:val="none" w:sz="0" w:space="0" w:color="auto"/>
          </w:divBdr>
        </w:div>
        <w:div w:id="1672682501">
          <w:marLeft w:val="0"/>
          <w:marRight w:val="0"/>
          <w:marTop w:val="0"/>
          <w:marBottom w:val="0"/>
          <w:divBdr>
            <w:top w:val="none" w:sz="0" w:space="0" w:color="auto"/>
            <w:left w:val="none" w:sz="0" w:space="0" w:color="auto"/>
            <w:bottom w:val="none" w:sz="0" w:space="0" w:color="auto"/>
            <w:right w:val="none" w:sz="0" w:space="0" w:color="auto"/>
          </w:divBdr>
        </w:div>
        <w:div w:id="1678344003">
          <w:marLeft w:val="0"/>
          <w:marRight w:val="0"/>
          <w:marTop w:val="0"/>
          <w:marBottom w:val="0"/>
          <w:divBdr>
            <w:top w:val="none" w:sz="0" w:space="0" w:color="auto"/>
            <w:left w:val="none" w:sz="0" w:space="0" w:color="auto"/>
            <w:bottom w:val="none" w:sz="0" w:space="0" w:color="auto"/>
            <w:right w:val="none" w:sz="0" w:space="0" w:color="auto"/>
          </w:divBdr>
        </w:div>
        <w:div w:id="1753700120">
          <w:marLeft w:val="0"/>
          <w:marRight w:val="0"/>
          <w:marTop w:val="0"/>
          <w:marBottom w:val="0"/>
          <w:divBdr>
            <w:top w:val="none" w:sz="0" w:space="0" w:color="auto"/>
            <w:left w:val="none" w:sz="0" w:space="0" w:color="auto"/>
            <w:bottom w:val="none" w:sz="0" w:space="0" w:color="auto"/>
            <w:right w:val="none" w:sz="0" w:space="0" w:color="auto"/>
          </w:divBdr>
        </w:div>
        <w:div w:id="1755199636">
          <w:marLeft w:val="0"/>
          <w:marRight w:val="0"/>
          <w:marTop w:val="0"/>
          <w:marBottom w:val="0"/>
          <w:divBdr>
            <w:top w:val="none" w:sz="0" w:space="0" w:color="auto"/>
            <w:left w:val="none" w:sz="0" w:space="0" w:color="auto"/>
            <w:bottom w:val="none" w:sz="0" w:space="0" w:color="auto"/>
            <w:right w:val="none" w:sz="0" w:space="0" w:color="auto"/>
          </w:divBdr>
        </w:div>
        <w:div w:id="1824196435">
          <w:marLeft w:val="0"/>
          <w:marRight w:val="0"/>
          <w:marTop w:val="0"/>
          <w:marBottom w:val="0"/>
          <w:divBdr>
            <w:top w:val="none" w:sz="0" w:space="0" w:color="auto"/>
            <w:left w:val="none" w:sz="0" w:space="0" w:color="auto"/>
            <w:bottom w:val="none" w:sz="0" w:space="0" w:color="auto"/>
            <w:right w:val="none" w:sz="0" w:space="0" w:color="auto"/>
          </w:divBdr>
        </w:div>
        <w:div w:id="1855683985">
          <w:marLeft w:val="0"/>
          <w:marRight w:val="0"/>
          <w:marTop w:val="0"/>
          <w:marBottom w:val="0"/>
          <w:divBdr>
            <w:top w:val="none" w:sz="0" w:space="0" w:color="auto"/>
            <w:left w:val="none" w:sz="0" w:space="0" w:color="auto"/>
            <w:bottom w:val="none" w:sz="0" w:space="0" w:color="auto"/>
            <w:right w:val="none" w:sz="0" w:space="0" w:color="auto"/>
          </w:divBdr>
        </w:div>
        <w:div w:id="1864703697">
          <w:marLeft w:val="0"/>
          <w:marRight w:val="0"/>
          <w:marTop w:val="0"/>
          <w:marBottom w:val="0"/>
          <w:divBdr>
            <w:top w:val="none" w:sz="0" w:space="0" w:color="auto"/>
            <w:left w:val="none" w:sz="0" w:space="0" w:color="auto"/>
            <w:bottom w:val="none" w:sz="0" w:space="0" w:color="auto"/>
            <w:right w:val="none" w:sz="0" w:space="0" w:color="auto"/>
          </w:divBdr>
        </w:div>
        <w:div w:id="2056616171">
          <w:marLeft w:val="0"/>
          <w:marRight w:val="0"/>
          <w:marTop w:val="0"/>
          <w:marBottom w:val="0"/>
          <w:divBdr>
            <w:top w:val="none" w:sz="0" w:space="0" w:color="auto"/>
            <w:left w:val="none" w:sz="0" w:space="0" w:color="auto"/>
            <w:bottom w:val="none" w:sz="0" w:space="0" w:color="auto"/>
            <w:right w:val="none" w:sz="0" w:space="0" w:color="auto"/>
          </w:divBdr>
        </w:div>
        <w:div w:id="2084136450">
          <w:marLeft w:val="0"/>
          <w:marRight w:val="0"/>
          <w:marTop w:val="0"/>
          <w:marBottom w:val="0"/>
          <w:divBdr>
            <w:top w:val="none" w:sz="0" w:space="0" w:color="auto"/>
            <w:left w:val="none" w:sz="0" w:space="0" w:color="auto"/>
            <w:bottom w:val="none" w:sz="0" w:space="0" w:color="auto"/>
            <w:right w:val="none" w:sz="0" w:space="0" w:color="auto"/>
          </w:divBdr>
        </w:div>
      </w:divsChild>
    </w:div>
    <w:div w:id="249243156">
      <w:bodyDiv w:val="1"/>
      <w:marLeft w:val="0"/>
      <w:marRight w:val="0"/>
      <w:marTop w:val="0"/>
      <w:marBottom w:val="0"/>
      <w:divBdr>
        <w:top w:val="none" w:sz="0" w:space="0" w:color="auto"/>
        <w:left w:val="none" w:sz="0" w:space="0" w:color="auto"/>
        <w:bottom w:val="none" w:sz="0" w:space="0" w:color="auto"/>
        <w:right w:val="none" w:sz="0" w:space="0" w:color="auto"/>
      </w:divBdr>
      <w:divsChild>
        <w:div w:id="22558912">
          <w:marLeft w:val="0"/>
          <w:marRight w:val="0"/>
          <w:marTop w:val="0"/>
          <w:marBottom w:val="0"/>
          <w:divBdr>
            <w:top w:val="none" w:sz="0" w:space="0" w:color="auto"/>
            <w:left w:val="none" w:sz="0" w:space="0" w:color="auto"/>
            <w:bottom w:val="none" w:sz="0" w:space="0" w:color="auto"/>
            <w:right w:val="none" w:sz="0" w:space="0" w:color="auto"/>
          </w:divBdr>
          <w:divsChild>
            <w:div w:id="1932348758">
              <w:marLeft w:val="0"/>
              <w:marRight w:val="0"/>
              <w:marTop w:val="0"/>
              <w:marBottom w:val="0"/>
              <w:divBdr>
                <w:top w:val="none" w:sz="0" w:space="0" w:color="auto"/>
                <w:left w:val="none" w:sz="0" w:space="0" w:color="auto"/>
                <w:bottom w:val="none" w:sz="0" w:space="0" w:color="auto"/>
                <w:right w:val="none" w:sz="0" w:space="0" w:color="auto"/>
              </w:divBdr>
            </w:div>
          </w:divsChild>
        </w:div>
        <w:div w:id="84421167">
          <w:marLeft w:val="0"/>
          <w:marRight w:val="0"/>
          <w:marTop w:val="0"/>
          <w:marBottom w:val="0"/>
          <w:divBdr>
            <w:top w:val="none" w:sz="0" w:space="0" w:color="auto"/>
            <w:left w:val="none" w:sz="0" w:space="0" w:color="auto"/>
            <w:bottom w:val="none" w:sz="0" w:space="0" w:color="auto"/>
            <w:right w:val="none" w:sz="0" w:space="0" w:color="auto"/>
          </w:divBdr>
          <w:divsChild>
            <w:div w:id="511383747">
              <w:marLeft w:val="0"/>
              <w:marRight w:val="0"/>
              <w:marTop w:val="0"/>
              <w:marBottom w:val="0"/>
              <w:divBdr>
                <w:top w:val="none" w:sz="0" w:space="0" w:color="auto"/>
                <w:left w:val="none" w:sz="0" w:space="0" w:color="auto"/>
                <w:bottom w:val="none" w:sz="0" w:space="0" w:color="auto"/>
                <w:right w:val="none" w:sz="0" w:space="0" w:color="auto"/>
              </w:divBdr>
            </w:div>
          </w:divsChild>
        </w:div>
        <w:div w:id="232669993">
          <w:marLeft w:val="0"/>
          <w:marRight w:val="0"/>
          <w:marTop w:val="0"/>
          <w:marBottom w:val="0"/>
          <w:divBdr>
            <w:top w:val="none" w:sz="0" w:space="0" w:color="auto"/>
            <w:left w:val="none" w:sz="0" w:space="0" w:color="auto"/>
            <w:bottom w:val="none" w:sz="0" w:space="0" w:color="auto"/>
            <w:right w:val="none" w:sz="0" w:space="0" w:color="auto"/>
          </w:divBdr>
          <w:divsChild>
            <w:div w:id="1389954305">
              <w:marLeft w:val="0"/>
              <w:marRight w:val="0"/>
              <w:marTop w:val="0"/>
              <w:marBottom w:val="0"/>
              <w:divBdr>
                <w:top w:val="none" w:sz="0" w:space="0" w:color="auto"/>
                <w:left w:val="none" w:sz="0" w:space="0" w:color="auto"/>
                <w:bottom w:val="none" w:sz="0" w:space="0" w:color="auto"/>
                <w:right w:val="none" w:sz="0" w:space="0" w:color="auto"/>
              </w:divBdr>
            </w:div>
          </w:divsChild>
        </w:div>
        <w:div w:id="328143486">
          <w:marLeft w:val="0"/>
          <w:marRight w:val="0"/>
          <w:marTop w:val="0"/>
          <w:marBottom w:val="0"/>
          <w:divBdr>
            <w:top w:val="none" w:sz="0" w:space="0" w:color="auto"/>
            <w:left w:val="none" w:sz="0" w:space="0" w:color="auto"/>
            <w:bottom w:val="none" w:sz="0" w:space="0" w:color="auto"/>
            <w:right w:val="none" w:sz="0" w:space="0" w:color="auto"/>
          </w:divBdr>
          <w:divsChild>
            <w:div w:id="1798717495">
              <w:marLeft w:val="0"/>
              <w:marRight w:val="0"/>
              <w:marTop w:val="0"/>
              <w:marBottom w:val="0"/>
              <w:divBdr>
                <w:top w:val="none" w:sz="0" w:space="0" w:color="auto"/>
                <w:left w:val="none" w:sz="0" w:space="0" w:color="auto"/>
                <w:bottom w:val="none" w:sz="0" w:space="0" w:color="auto"/>
                <w:right w:val="none" w:sz="0" w:space="0" w:color="auto"/>
              </w:divBdr>
            </w:div>
          </w:divsChild>
        </w:div>
        <w:div w:id="356122658">
          <w:marLeft w:val="0"/>
          <w:marRight w:val="0"/>
          <w:marTop w:val="0"/>
          <w:marBottom w:val="0"/>
          <w:divBdr>
            <w:top w:val="none" w:sz="0" w:space="0" w:color="auto"/>
            <w:left w:val="none" w:sz="0" w:space="0" w:color="auto"/>
            <w:bottom w:val="none" w:sz="0" w:space="0" w:color="auto"/>
            <w:right w:val="none" w:sz="0" w:space="0" w:color="auto"/>
          </w:divBdr>
          <w:divsChild>
            <w:div w:id="1057508284">
              <w:marLeft w:val="0"/>
              <w:marRight w:val="0"/>
              <w:marTop w:val="0"/>
              <w:marBottom w:val="0"/>
              <w:divBdr>
                <w:top w:val="none" w:sz="0" w:space="0" w:color="auto"/>
                <w:left w:val="none" w:sz="0" w:space="0" w:color="auto"/>
                <w:bottom w:val="none" w:sz="0" w:space="0" w:color="auto"/>
                <w:right w:val="none" w:sz="0" w:space="0" w:color="auto"/>
              </w:divBdr>
            </w:div>
          </w:divsChild>
        </w:div>
        <w:div w:id="507794199">
          <w:marLeft w:val="0"/>
          <w:marRight w:val="0"/>
          <w:marTop w:val="0"/>
          <w:marBottom w:val="0"/>
          <w:divBdr>
            <w:top w:val="none" w:sz="0" w:space="0" w:color="auto"/>
            <w:left w:val="none" w:sz="0" w:space="0" w:color="auto"/>
            <w:bottom w:val="none" w:sz="0" w:space="0" w:color="auto"/>
            <w:right w:val="none" w:sz="0" w:space="0" w:color="auto"/>
          </w:divBdr>
          <w:divsChild>
            <w:div w:id="1647472608">
              <w:marLeft w:val="0"/>
              <w:marRight w:val="0"/>
              <w:marTop w:val="0"/>
              <w:marBottom w:val="0"/>
              <w:divBdr>
                <w:top w:val="none" w:sz="0" w:space="0" w:color="auto"/>
                <w:left w:val="none" w:sz="0" w:space="0" w:color="auto"/>
                <w:bottom w:val="none" w:sz="0" w:space="0" w:color="auto"/>
                <w:right w:val="none" w:sz="0" w:space="0" w:color="auto"/>
              </w:divBdr>
            </w:div>
          </w:divsChild>
        </w:div>
        <w:div w:id="632713917">
          <w:marLeft w:val="0"/>
          <w:marRight w:val="0"/>
          <w:marTop w:val="0"/>
          <w:marBottom w:val="0"/>
          <w:divBdr>
            <w:top w:val="none" w:sz="0" w:space="0" w:color="auto"/>
            <w:left w:val="none" w:sz="0" w:space="0" w:color="auto"/>
            <w:bottom w:val="none" w:sz="0" w:space="0" w:color="auto"/>
            <w:right w:val="none" w:sz="0" w:space="0" w:color="auto"/>
          </w:divBdr>
          <w:divsChild>
            <w:div w:id="422454038">
              <w:marLeft w:val="0"/>
              <w:marRight w:val="0"/>
              <w:marTop w:val="0"/>
              <w:marBottom w:val="0"/>
              <w:divBdr>
                <w:top w:val="none" w:sz="0" w:space="0" w:color="auto"/>
                <w:left w:val="none" w:sz="0" w:space="0" w:color="auto"/>
                <w:bottom w:val="none" w:sz="0" w:space="0" w:color="auto"/>
                <w:right w:val="none" w:sz="0" w:space="0" w:color="auto"/>
              </w:divBdr>
            </w:div>
          </w:divsChild>
        </w:div>
        <w:div w:id="642855587">
          <w:marLeft w:val="0"/>
          <w:marRight w:val="0"/>
          <w:marTop w:val="0"/>
          <w:marBottom w:val="0"/>
          <w:divBdr>
            <w:top w:val="none" w:sz="0" w:space="0" w:color="auto"/>
            <w:left w:val="none" w:sz="0" w:space="0" w:color="auto"/>
            <w:bottom w:val="none" w:sz="0" w:space="0" w:color="auto"/>
            <w:right w:val="none" w:sz="0" w:space="0" w:color="auto"/>
          </w:divBdr>
          <w:divsChild>
            <w:div w:id="602154898">
              <w:marLeft w:val="0"/>
              <w:marRight w:val="0"/>
              <w:marTop w:val="0"/>
              <w:marBottom w:val="0"/>
              <w:divBdr>
                <w:top w:val="none" w:sz="0" w:space="0" w:color="auto"/>
                <w:left w:val="none" w:sz="0" w:space="0" w:color="auto"/>
                <w:bottom w:val="none" w:sz="0" w:space="0" w:color="auto"/>
                <w:right w:val="none" w:sz="0" w:space="0" w:color="auto"/>
              </w:divBdr>
            </w:div>
          </w:divsChild>
        </w:div>
        <w:div w:id="654915920">
          <w:marLeft w:val="0"/>
          <w:marRight w:val="0"/>
          <w:marTop w:val="0"/>
          <w:marBottom w:val="0"/>
          <w:divBdr>
            <w:top w:val="none" w:sz="0" w:space="0" w:color="auto"/>
            <w:left w:val="none" w:sz="0" w:space="0" w:color="auto"/>
            <w:bottom w:val="none" w:sz="0" w:space="0" w:color="auto"/>
            <w:right w:val="none" w:sz="0" w:space="0" w:color="auto"/>
          </w:divBdr>
          <w:divsChild>
            <w:div w:id="2101826390">
              <w:marLeft w:val="0"/>
              <w:marRight w:val="0"/>
              <w:marTop w:val="0"/>
              <w:marBottom w:val="0"/>
              <w:divBdr>
                <w:top w:val="none" w:sz="0" w:space="0" w:color="auto"/>
                <w:left w:val="none" w:sz="0" w:space="0" w:color="auto"/>
                <w:bottom w:val="none" w:sz="0" w:space="0" w:color="auto"/>
                <w:right w:val="none" w:sz="0" w:space="0" w:color="auto"/>
              </w:divBdr>
            </w:div>
          </w:divsChild>
        </w:div>
        <w:div w:id="799029042">
          <w:marLeft w:val="0"/>
          <w:marRight w:val="0"/>
          <w:marTop w:val="0"/>
          <w:marBottom w:val="0"/>
          <w:divBdr>
            <w:top w:val="none" w:sz="0" w:space="0" w:color="auto"/>
            <w:left w:val="none" w:sz="0" w:space="0" w:color="auto"/>
            <w:bottom w:val="none" w:sz="0" w:space="0" w:color="auto"/>
            <w:right w:val="none" w:sz="0" w:space="0" w:color="auto"/>
          </w:divBdr>
          <w:divsChild>
            <w:div w:id="231165905">
              <w:marLeft w:val="0"/>
              <w:marRight w:val="0"/>
              <w:marTop w:val="0"/>
              <w:marBottom w:val="0"/>
              <w:divBdr>
                <w:top w:val="none" w:sz="0" w:space="0" w:color="auto"/>
                <w:left w:val="none" w:sz="0" w:space="0" w:color="auto"/>
                <w:bottom w:val="none" w:sz="0" w:space="0" w:color="auto"/>
                <w:right w:val="none" w:sz="0" w:space="0" w:color="auto"/>
              </w:divBdr>
            </w:div>
          </w:divsChild>
        </w:div>
        <w:div w:id="903031513">
          <w:marLeft w:val="0"/>
          <w:marRight w:val="0"/>
          <w:marTop w:val="0"/>
          <w:marBottom w:val="0"/>
          <w:divBdr>
            <w:top w:val="none" w:sz="0" w:space="0" w:color="auto"/>
            <w:left w:val="none" w:sz="0" w:space="0" w:color="auto"/>
            <w:bottom w:val="none" w:sz="0" w:space="0" w:color="auto"/>
            <w:right w:val="none" w:sz="0" w:space="0" w:color="auto"/>
          </w:divBdr>
          <w:divsChild>
            <w:div w:id="448597211">
              <w:marLeft w:val="0"/>
              <w:marRight w:val="0"/>
              <w:marTop w:val="0"/>
              <w:marBottom w:val="0"/>
              <w:divBdr>
                <w:top w:val="none" w:sz="0" w:space="0" w:color="auto"/>
                <w:left w:val="none" w:sz="0" w:space="0" w:color="auto"/>
                <w:bottom w:val="none" w:sz="0" w:space="0" w:color="auto"/>
                <w:right w:val="none" w:sz="0" w:space="0" w:color="auto"/>
              </w:divBdr>
            </w:div>
          </w:divsChild>
        </w:div>
        <w:div w:id="997462128">
          <w:marLeft w:val="0"/>
          <w:marRight w:val="0"/>
          <w:marTop w:val="0"/>
          <w:marBottom w:val="0"/>
          <w:divBdr>
            <w:top w:val="none" w:sz="0" w:space="0" w:color="auto"/>
            <w:left w:val="none" w:sz="0" w:space="0" w:color="auto"/>
            <w:bottom w:val="none" w:sz="0" w:space="0" w:color="auto"/>
            <w:right w:val="none" w:sz="0" w:space="0" w:color="auto"/>
          </w:divBdr>
          <w:divsChild>
            <w:div w:id="1809665858">
              <w:marLeft w:val="0"/>
              <w:marRight w:val="0"/>
              <w:marTop w:val="0"/>
              <w:marBottom w:val="0"/>
              <w:divBdr>
                <w:top w:val="none" w:sz="0" w:space="0" w:color="auto"/>
                <w:left w:val="none" w:sz="0" w:space="0" w:color="auto"/>
                <w:bottom w:val="none" w:sz="0" w:space="0" w:color="auto"/>
                <w:right w:val="none" w:sz="0" w:space="0" w:color="auto"/>
              </w:divBdr>
            </w:div>
          </w:divsChild>
        </w:div>
        <w:div w:id="1044674889">
          <w:marLeft w:val="0"/>
          <w:marRight w:val="0"/>
          <w:marTop w:val="0"/>
          <w:marBottom w:val="0"/>
          <w:divBdr>
            <w:top w:val="none" w:sz="0" w:space="0" w:color="auto"/>
            <w:left w:val="none" w:sz="0" w:space="0" w:color="auto"/>
            <w:bottom w:val="none" w:sz="0" w:space="0" w:color="auto"/>
            <w:right w:val="none" w:sz="0" w:space="0" w:color="auto"/>
          </w:divBdr>
          <w:divsChild>
            <w:div w:id="364907496">
              <w:marLeft w:val="0"/>
              <w:marRight w:val="0"/>
              <w:marTop w:val="0"/>
              <w:marBottom w:val="0"/>
              <w:divBdr>
                <w:top w:val="none" w:sz="0" w:space="0" w:color="auto"/>
                <w:left w:val="none" w:sz="0" w:space="0" w:color="auto"/>
                <w:bottom w:val="none" w:sz="0" w:space="0" w:color="auto"/>
                <w:right w:val="none" w:sz="0" w:space="0" w:color="auto"/>
              </w:divBdr>
            </w:div>
          </w:divsChild>
        </w:div>
        <w:div w:id="1111316310">
          <w:marLeft w:val="0"/>
          <w:marRight w:val="0"/>
          <w:marTop w:val="0"/>
          <w:marBottom w:val="0"/>
          <w:divBdr>
            <w:top w:val="none" w:sz="0" w:space="0" w:color="auto"/>
            <w:left w:val="none" w:sz="0" w:space="0" w:color="auto"/>
            <w:bottom w:val="none" w:sz="0" w:space="0" w:color="auto"/>
            <w:right w:val="none" w:sz="0" w:space="0" w:color="auto"/>
          </w:divBdr>
          <w:divsChild>
            <w:div w:id="963077529">
              <w:marLeft w:val="0"/>
              <w:marRight w:val="0"/>
              <w:marTop w:val="0"/>
              <w:marBottom w:val="0"/>
              <w:divBdr>
                <w:top w:val="none" w:sz="0" w:space="0" w:color="auto"/>
                <w:left w:val="none" w:sz="0" w:space="0" w:color="auto"/>
                <w:bottom w:val="none" w:sz="0" w:space="0" w:color="auto"/>
                <w:right w:val="none" w:sz="0" w:space="0" w:color="auto"/>
              </w:divBdr>
            </w:div>
          </w:divsChild>
        </w:div>
        <w:div w:id="1141843841">
          <w:marLeft w:val="0"/>
          <w:marRight w:val="0"/>
          <w:marTop w:val="0"/>
          <w:marBottom w:val="0"/>
          <w:divBdr>
            <w:top w:val="none" w:sz="0" w:space="0" w:color="auto"/>
            <w:left w:val="none" w:sz="0" w:space="0" w:color="auto"/>
            <w:bottom w:val="none" w:sz="0" w:space="0" w:color="auto"/>
            <w:right w:val="none" w:sz="0" w:space="0" w:color="auto"/>
          </w:divBdr>
          <w:divsChild>
            <w:div w:id="871963014">
              <w:marLeft w:val="0"/>
              <w:marRight w:val="0"/>
              <w:marTop w:val="0"/>
              <w:marBottom w:val="0"/>
              <w:divBdr>
                <w:top w:val="none" w:sz="0" w:space="0" w:color="auto"/>
                <w:left w:val="none" w:sz="0" w:space="0" w:color="auto"/>
                <w:bottom w:val="none" w:sz="0" w:space="0" w:color="auto"/>
                <w:right w:val="none" w:sz="0" w:space="0" w:color="auto"/>
              </w:divBdr>
            </w:div>
          </w:divsChild>
        </w:div>
        <w:div w:id="1272588617">
          <w:marLeft w:val="0"/>
          <w:marRight w:val="0"/>
          <w:marTop w:val="0"/>
          <w:marBottom w:val="0"/>
          <w:divBdr>
            <w:top w:val="none" w:sz="0" w:space="0" w:color="auto"/>
            <w:left w:val="none" w:sz="0" w:space="0" w:color="auto"/>
            <w:bottom w:val="none" w:sz="0" w:space="0" w:color="auto"/>
            <w:right w:val="none" w:sz="0" w:space="0" w:color="auto"/>
          </w:divBdr>
          <w:divsChild>
            <w:div w:id="854924295">
              <w:marLeft w:val="0"/>
              <w:marRight w:val="0"/>
              <w:marTop w:val="0"/>
              <w:marBottom w:val="0"/>
              <w:divBdr>
                <w:top w:val="none" w:sz="0" w:space="0" w:color="auto"/>
                <w:left w:val="none" w:sz="0" w:space="0" w:color="auto"/>
                <w:bottom w:val="none" w:sz="0" w:space="0" w:color="auto"/>
                <w:right w:val="none" w:sz="0" w:space="0" w:color="auto"/>
              </w:divBdr>
            </w:div>
          </w:divsChild>
        </w:div>
        <w:div w:id="1437676985">
          <w:marLeft w:val="0"/>
          <w:marRight w:val="0"/>
          <w:marTop w:val="0"/>
          <w:marBottom w:val="0"/>
          <w:divBdr>
            <w:top w:val="none" w:sz="0" w:space="0" w:color="auto"/>
            <w:left w:val="none" w:sz="0" w:space="0" w:color="auto"/>
            <w:bottom w:val="none" w:sz="0" w:space="0" w:color="auto"/>
            <w:right w:val="none" w:sz="0" w:space="0" w:color="auto"/>
          </w:divBdr>
          <w:divsChild>
            <w:div w:id="1906643875">
              <w:marLeft w:val="0"/>
              <w:marRight w:val="0"/>
              <w:marTop w:val="0"/>
              <w:marBottom w:val="0"/>
              <w:divBdr>
                <w:top w:val="none" w:sz="0" w:space="0" w:color="auto"/>
                <w:left w:val="none" w:sz="0" w:space="0" w:color="auto"/>
                <w:bottom w:val="none" w:sz="0" w:space="0" w:color="auto"/>
                <w:right w:val="none" w:sz="0" w:space="0" w:color="auto"/>
              </w:divBdr>
            </w:div>
          </w:divsChild>
        </w:div>
        <w:div w:id="1506239692">
          <w:marLeft w:val="0"/>
          <w:marRight w:val="0"/>
          <w:marTop w:val="0"/>
          <w:marBottom w:val="0"/>
          <w:divBdr>
            <w:top w:val="none" w:sz="0" w:space="0" w:color="auto"/>
            <w:left w:val="none" w:sz="0" w:space="0" w:color="auto"/>
            <w:bottom w:val="none" w:sz="0" w:space="0" w:color="auto"/>
            <w:right w:val="none" w:sz="0" w:space="0" w:color="auto"/>
          </w:divBdr>
          <w:divsChild>
            <w:div w:id="2056275078">
              <w:marLeft w:val="0"/>
              <w:marRight w:val="0"/>
              <w:marTop w:val="0"/>
              <w:marBottom w:val="0"/>
              <w:divBdr>
                <w:top w:val="none" w:sz="0" w:space="0" w:color="auto"/>
                <w:left w:val="none" w:sz="0" w:space="0" w:color="auto"/>
                <w:bottom w:val="none" w:sz="0" w:space="0" w:color="auto"/>
                <w:right w:val="none" w:sz="0" w:space="0" w:color="auto"/>
              </w:divBdr>
            </w:div>
          </w:divsChild>
        </w:div>
        <w:div w:id="1694961406">
          <w:marLeft w:val="0"/>
          <w:marRight w:val="0"/>
          <w:marTop w:val="0"/>
          <w:marBottom w:val="0"/>
          <w:divBdr>
            <w:top w:val="none" w:sz="0" w:space="0" w:color="auto"/>
            <w:left w:val="none" w:sz="0" w:space="0" w:color="auto"/>
            <w:bottom w:val="none" w:sz="0" w:space="0" w:color="auto"/>
            <w:right w:val="none" w:sz="0" w:space="0" w:color="auto"/>
          </w:divBdr>
          <w:divsChild>
            <w:div w:id="1905872430">
              <w:marLeft w:val="0"/>
              <w:marRight w:val="0"/>
              <w:marTop w:val="0"/>
              <w:marBottom w:val="0"/>
              <w:divBdr>
                <w:top w:val="none" w:sz="0" w:space="0" w:color="auto"/>
                <w:left w:val="none" w:sz="0" w:space="0" w:color="auto"/>
                <w:bottom w:val="none" w:sz="0" w:space="0" w:color="auto"/>
                <w:right w:val="none" w:sz="0" w:space="0" w:color="auto"/>
              </w:divBdr>
            </w:div>
          </w:divsChild>
        </w:div>
        <w:div w:id="1703283792">
          <w:marLeft w:val="0"/>
          <w:marRight w:val="0"/>
          <w:marTop w:val="0"/>
          <w:marBottom w:val="0"/>
          <w:divBdr>
            <w:top w:val="none" w:sz="0" w:space="0" w:color="auto"/>
            <w:left w:val="none" w:sz="0" w:space="0" w:color="auto"/>
            <w:bottom w:val="none" w:sz="0" w:space="0" w:color="auto"/>
            <w:right w:val="none" w:sz="0" w:space="0" w:color="auto"/>
          </w:divBdr>
          <w:divsChild>
            <w:div w:id="1752921586">
              <w:marLeft w:val="0"/>
              <w:marRight w:val="0"/>
              <w:marTop w:val="0"/>
              <w:marBottom w:val="0"/>
              <w:divBdr>
                <w:top w:val="none" w:sz="0" w:space="0" w:color="auto"/>
                <w:left w:val="none" w:sz="0" w:space="0" w:color="auto"/>
                <w:bottom w:val="none" w:sz="0" w:space="0" w:color="auto"/>
                <w:right w:val="none" w:sz="0" w:space="0" w:color="auto"/>
              </w:divBdr>
            </w:div>
          </w:divsChild>
        </w:div>
        <w:div w:id="1896504019">
          <w:marLeft w:val="0"/>
          <w:marRight w:val="0"/>
          <w:marTop w:val="0"/>
          <w:marBottom w:val="0"/>
          <w:divBdr>
            <w:top w:val="none" w:sz="0" w:space="0" w:color="auto"/>
            <w:left w:val="none" w:sz="0" w:space="0" w:color="auto"/>
            <w:bottom w:val="none" w:sz="0" w:space="0" w:color="auto"/>
            <w:right w:val="none" w:sz="0" w:space="0" w:color="auto"/>
          </w:divBdr>
          <w:divsChild>
            <w:div w:id="758596249">
              <w:marLeft w:val="0"/>
              <w:marRight w:val="0"/>
              <w:marTop w:val="0"/>
              <w:marBottom w:val="0"/>
              <w:divBdr>
                <w:top w:val="none" w:sz="0" w:space="0" w:color="auto"/>
                <w:left w:val="none" w:sz="0" w:space="0" w:color="auto"/>
                <w:bottom w:val="none" w:sz="0" w:space="0" w:color="auto"/>
                <w:right w:val="none" w:sz="0" w:space="0" w:color="auto"/>
              </w:divBdr>
            </w:div>
          </w:divsChild>
        </w:div>
        <w:div w:id="1959680650">
          <w:marLeft w:val="0"/>
          <w:marRight w:val="0"/>
          <w:marTop w:val="0"/>
          <w:marBottom w:val="0"/>
          <w:divBdr>
            <w:top w:val="none" w:sz="0" w:space="0" w:color="auto"/>
            <w:left w:val="none" w:sz="0" w:space="0" w:color="auto"/>
            <w:bottom w:val="none" w:sz="0" w:space="0" w:color="auto"/>
            <w:right w:val="none" w:sz="0" w:space="0" w:color="auto"/>
          </w:divBdr>
          <w:divsChild>
            <w:div w:id="204684866">
              <w:marLeft w:val="0"/>
              <w:marRight w:val="0"/>
              <w:marTop w:val="0"/>
              <w:marBottom w:val="0"/>
              <w:divBdr>
                <w:top w:val="none" w:sz="0" w:space="0" w:color="auto"/>
                <w:left w:val="none" w:sz="0" w:space="0" w:color="auto"/>
                <w:bottom w:val="none" w:sz="0" w:space="0" w:color="auto"/>
                <w:right w:val="none" w:sz="0" w:space="0" w:color="auto"/>
              </w:divBdr>
            </w:div>
          </w:divsChild>
        </w:div>
        <w:div w:id="2027517533">
          <w:marLeft w:val="0"/>
          <w:marRight w:val="0"/>
          <w:marTop w:val="0"/>
          <w:marBottom w:val="0"/>
          <w:divBdr>
            <w:top w:val="none" w:sz="0" w:space="0" w:color="auto"/>
            <w:left w:val="none" w:sz="0" w:space="0" w:color="auto"/>
            <w:bottom w:val="none" w:sz="0" w:space="0" w:color="auto"/>
            <w:right w:val="none" w:sz="0" w:space="0" w:color="auto"/>
          </w:divBdr>
          <w:divsChild>
            <w:div w:id="755632805">
              <w:marLeft w:val="0"/>
              <w:marRight w:val="0"/>
              <w:marTop w:val="0"/>
              <w:marBottom w:val="0"/>
              <w:divBdr>
                <w:top w:val="none" w:sz="0" w:space="0" w:color="auto"/>
                <w:left w:val="none" w:sz="0" w:space="0" w:color="auto"/>
                <w:bottom w:val="none" w:sz="0" w:space="0" w:color="auto"/>
                <w:right w:val="none" w:sz="0" w:space="0" w:color="auto"/>
              </w:divBdr>
            </w:div>
          </w:divsChild>
        </w:div>
        <w:div w:id="2035496804">
          <w:marLeft w:val="0"/>
          <w:marRight w:val="0"/>
          <w:marTop w:val="0"/>
          <w:marBottom w:val="0"/>
          <w:divBdr>
            <w:top w:val="none" w:sz="0" w:space="0" w:color="auto"/>
            <w:left w:val="none" w:sz="0" w:space="0" w:color="auto"/>
            <w:bottom w:val="none" w:sz="0" w:space="0" w:color="auto"/>
            <w:right w:val="none" w:sz="0" w:space="0" w:color="auto"/>
          </w:divBdr>
          <w:divsChild>
            <w:div w:id="8071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1039">
      <w:bodyDiv w:val="1"/>
      <w:marLeft w:val="0"/>
      <w:marRight w:val="0"/>
      <w:marTop w:val="0"/>
      <w:marBottom w:val="0"/>
      <w:divBdr>
        <w:top w:val="none" w:sz="0" w:space="0" w:color="auto"/>
        <w:left w:val="none" w:sz="0" w:space="0" w:color="auto"/>
        <w:bottom w:val="none" w:sz="0" w:space="0" w:color="auto"/>
        <w:right w:val="none" w:sz="0" w:space="0" w:color="auto"/>
      </w:divBdr>
      <w:divsChild>
        <w:div w:id="143543949">
          <w:marLeft w:val="0"/>
          <w:marRight w:val="0"/>
          <w:marTop w:val="0"/>
          <w:marBottom w:val="0"/>
          <w:divBdr>
            <w:top w:val="none" w:sz="0" w:space="0" w:color="auto"/>
            <w:left w:val="none" w:sz="0" w:space="0" w:color="auto"/>
            <w:bottom w:val="none" w:sz="0" w:space="0" w:color="auto"/>
            <w:right w:val="none" w:sz="0" w:space="0" w:color="auto"/>
          </w:divBdr>
        </w:div>
        <w:div w:id="406193086">
          <w:marLeft w:val="0"/>
          <w:marRight w:val="0"/>
          <w:marTop w:val="0"/>
          <w:marBottom w:val="0"/>
          <w:divBdr>
            <w:top w:val="none" w:sz="0" w:space="0" w:color="auto"/>
            <w:left w:val="none" w:sz="0" w:space="0" w:color="auto"/>
            <w:bottom w:val="none" w:sz="0" w:space="0" w:color="auto"/>
            <w:right w:val="none" w:sz="0" w:space="0" w:color="auto"/>
          </w:divBdr>
        </w:div>
        <w:div w:id="534539848">
          <w:marLeft w:val="0"/>
          <w:marRight w:val="0"/>
          <w:marTop w:val="0"/>
          <w:marBottom w:val="0"/>
          <w:divBdr>
            <w:top w:val="none" w:sz="0" w:space="0" w:color="auto"/>
            <w:left w:val="none" w:sz="0" w:space="0" w:color="auto"/>
            <w:bottom w:val="none" w:sz="0" w:space="0" w:color="auto"/>
            <w:right w:val="none" w:sz="0" w:space="0" w:color="auto"/>
          </w:divBdr>
        </w:div>
        <w:div w:id="652176631">
          <w:marLeft w:val="0"/>
          <w:marRight w:val="0"/>
          <w:marTop w:val="0"/>
          <w:marBottom w:val="0"/>
          <w:divBdr>
            <w:top w:val="none" w:sz="0" w:space="0" w:color="auto"/>
            <w:left w:val="none" w:sz="0" w:space="0" w:color="auto"/>
            <w:bottom w:val="none" w:sz="0" w:space="0" w:color="auto"/>
            <w:right w:val="none" w:sz="0" w:space="0" w:color="auto"/>
          </w:divBdr>
        </w:div>
        <w:div w:id="660043446">
          <w:marLeft w:val="0"/>
          <w:marRight w:val="0"/>
          <w:marTop w:val="0"/>
          <w:marBottom w:val="0"/>
          <w:divBdr>
            <w:top w:val="none" w:sz="0" w:space="0" w:color="auto"/>
            <w:left w:val="none" w:sz="0" w:space="0" w:color="auto"/>
            <w:bottom w:val="none" w:sz="0" w:space="0" w:color="auto"/>
            <w:right w:val="none" w:sz="0" w:space="0" w:color="auto"/>
          </w:divBdr>
        </w:div>
        <w:div w:id="724378337">
          <w:marLeft w:val="0"/>
          <w:marRight w:val="0"/>
          <w:marTop w:val="0"/>
          <w:marBottom w:val="0"/>
          <w:divBdr>
            <w:top w:val="none" w:sz="0" w:space="0" w:color="auto"/>
            <w:left w:val="none" w:sz="0" w:space="0" w:color="auto"/>
            <w:bottom w:val="none" w:sz="0" w:space="0" w:color="auto"/>
            <w:right w:val="none" w:sz="0" w:space="0" w:color="auto"/>
          </w:divBdr>
        </w:div>
        <w:div w:id="867720188">
          <w:marLeft w:val="0"/>
          <w:marRight w:val="0"/>
          <w:marTop w:val="0"/>
          <w:marBottom w:val="0"/>
          <w:divBdr>
            <w:top w:val="none" w:sz="0" w:space="0" w:color="auto"/>
            <w:left w:val="none" w:sz="0" w:space="0" w:color="auto"/>
            <w:bottom w:val="none" w:sz="0" w:space="0" w:color="auto"/>
            <w:right w:val="none" w:sz="0" w:space="0" w:color="auto"/>
          </w:divBdr>
        </w:div>
        <w:div w:id="1019624947">
          <w:marLeft w:val="0"/>
          <w:marRight w:val="0"/>
          <w:marTop w:val="0"/>
          <w:marBottom w:val="0"/>
          <w:divBdr>
            <w:top w:val="none" w:sz="0" w:space="0" w:color="auto"/>
            <w:left w:val="none" w:sz="0" w:space="0" w:color="auto"/>
            <w:bottom w:val="none" w:sz="0" w:space="0" w:color="auto"/>
            <w:right w:val="none" w:sz="0" w:space="0" w:color="auto"/>
          </w:divBdr>
        </w:div>
        <w:div w:id="1147239620">
          <w:marLeft w:val="0"/>
          <w:marRight w:val="0"/>
          <w:marTop w:val="0"/>
          <w:marBottom w:val="0"/>
          <w:divBdr>
            <w:top w:val="none" w:sz="0" w:space="0" w:color="auto"/>
            <w:left w:val="none" w:sz="0" w:space="0" w:color="auto"/>
            <w:bottom w:val="none" w:sz="0" w:space="0" w:color="auto"/>
            <w:right w:val="none" w:sz="0" w:space="0" w:color="auto"/>
          </w:divBdr>
        </w:div>
        <w:div w:id="1199970036">
          <w:marLeft w:val="0"/>
          <w:marRight w:val="0"/>
          <w:marTop w:val="0"/>
          <w:marBottom w:val="0"/>
          <w:divBdr>
            <w:top w:val="none" w:sz="0" w:space="0" w:color="auto"/>
            <w:left w:val="none" w:sz="0" w:space="0" w:color="auto"/>
            <w:bottom w:val="none" w:sz="0" w:space="0" w:color="auto"/>
            <w:right w:val="none" w:sz="0" w:space="0" w:color="auto"/>
          </w:divBdr>
        </w:div>
        <w:div w:id="1525972854">
          <w:marLeft w:val="0"/>
          <w:marRight w:val="0"/>
          <w:marTop w:val="0"/>
          <w:marBottom w:val="0"/>
          <w:divBdr>
            <w:top w:val="none" w:sz="0" w:space="0" w:color="auto"/>
            <w:left w:val="none" w:sz="0" w:space="0" w:color="auto"/>
            <w:bottom w:val="none" w:sz="0" w:space="0" w:color="auto"/>
            <w:right w:val="none" w:sz="0" w:space="0" w:color="auto"/>
          </w:divBdr>
        </w:div>
        <w:div w:id="1649046892">
          <w:marLeft w:val="0"/>
          <w:marRight w:val="0"/>
          <w:marTop w:val="0"/>
          <w:marBottom w:val="0"/>
          <w:divBdr>
            <w:top w:val="none" w:sz="0" w:space="0" w:color="auto"/>
            <w:left w:val="none" w:sz="0" w:space="0" w:color="auto"/>
            <w:bottom w:val="none" w:sz="0" w:space="0" w:color="auto"/>
            <w:right w:val="none" w:sz="0" w:space="0" w:color="auto"/>
          </w:divBdr>
        </w:div>
        <w:div w:id="1664121683">
          <w:marLeft w:val="0"/>
          <w:marRight w:val="0"/>
          <w:marTop w:val="0"/>
          <w:marBottom w:val="0"/>
          <w:divBdr>
            <w:top w:val="none" w:sz="0" w:space="0" w:color="auto"/>
            <w:left w:val="none" w:sz="0" w:space="0" w:color="auto"/>
            <w:bottom w:val="none" w:sz="0" w:space="0" w:color="auto"/>
            <w:right w:val="none" w:sz="0" w:space="0" w:color="auto"/>
          </w:divBdr>
        </w:div>
        <w:div w:id="1722167476">
          <w:marLeft w:val="0"/>
          <w:marRight w:val="0"/>
          <w:marTop w:val="0"/>
          <w:marBottom w:val="0"/>
          <w:divBdr>
            <w:top w:val="none" w:sz="0" w:space="0" w:color="auto"/>
            <w:left w:val="none" w:sz="0" w:space="0" w:color="auto"/>
            <w:bottom w:val="none" w:sz="0" w:space="0" w:color="auto"/>
            <w:right w:val="none" w:sz="0" w:space="0" w:color="auto"/>
          </w:divBdr>
        </w:div>
        <w:div w:id="1737899715">
          <w:marLeft w:val="0"/>
          <w:marRight w:val="0"/>
          <w:marTop w:val="0"/>
          <w:marBottom w:val="0"/>
          <w:divBdr>
            <w:top w:val="none" w:sz="0" w:space="0" w:color="auto"/>
            <w:left w:val="none" w:sz="0" w:space="0" w:color="auto"/>
            <w:bottom w:val="none" w:sz="0" w:space="0" w:color="auto"/>
            <w:right w:val="none" w:sz="0" w:space="0" w:color="auto"/>
          </w:divBdr>
        </w:div>
        <w:div w:id="1875574785">
          <w:marLeft w:val="0"/>
          <w:marRight w:val="0"/>
          <w:marTop w:val="0"/>
          <w:marBottom w:val="0"/>
          <w:divBdr>
            <w:top w:val="none" w:sz="0" w:space="0" w:color="auto"/>
            <w:left w:val="none" w:sz="0" w:space="0" w:color="auto"/>
            <w:bottom w:val="none" w:sz="0" w:space="0" w:color="auto"/>
            <w:right w:val="none" w:sz="0" w:space="0" w:color="auto"/>
          </w:divBdr>
        </w:div>
        <w:div w:id="2032534619">
          <w:marLeft w:val="0"/>
          <w:marRight w:val="0"/>
          <w:marTop w:val="0"/>
          <w:marBottom w:val="0"/>
          <w:divBdr>
            <w:top w:val="none" w:sz="0" w:space="0" w:color="auto"/>
            <w:left w:val="none" w:sz="0" w:space="0" w:color="auto"/>
            <w:bottom w:val="none" w:sz="0" w:space="0" w:color="auto"/>
            <w:right w:val="none" w:sz="0" w:space="0" w:color="auto"/>
          </w:divBdr>
        </w:div>
      </w:divsChild>
    </w:div>
    <w:div w:id="524099439">
      <w:bodyDiv w:val="1"/>
      <w:marLeft w:val="0"/>
      <w:marRight w:val="0"/>
      <w:marTop w:val="0"/>
      <w:marBottom w:val="0"/>
      <w:divBdr>
        <w:top w:val="none" w:sz="0" w:space="0" w:color="auto"/>
        <w:left w:val="none" w:sz="0" w:space="0" w:color="auto"/>
        <w:bottom w:val="none" w:sz="0" w:space="0" w:color="auto"/>
        <w:right w:val="none" w:sz="0" w:space="0" w:color="auto"/>
      </w:divBdr>
      <w:divsChild>
        <w:div w:id="334458455">
          <w:marLeft w:val="0"/>
          <w:marRight w:val="0"/>
          <w:marTop w:val="0"/>
          <w:marBottom w:val="0"/>
          <w:divBdr>
            <w:top w:val="none" w:sz="0" w:space="0" w:color="auto"/>
            <w:left w:val="none" w:sz="0" w:space="0" w:color="auto"/>
            <w:bottom w:val="none" w:sz="0" w:space="0" w:color="auto"/>
            <w:right w:val="none" w:sz="0" w:space="0" w:color="auto"/>
          </w:divBdr>
        </w:div>
        <w:div w:id="425463219">
          <w:marLeft w:val="0"/>
          <w:marRight w:val="0"/>
          <w:marTop w:val="0"/>
          <w:marBottom w:val="0"/>
          <w:divBdr>
            <w:top w:val="none" w:sz="0" w:space="0" w:color="auto"/>
            <w:left w:val="none" w:sz="0" w:space="0" w:color="auto"/>
            <w:bottom w:val="none" w:sz="0" w:space="0" w:color="auto"/>
            <w:right w:val="none" w:sz="0" w:space="0" w:color="auto"/>
          </w:divBdr>
          <w:divsChild>
            <w:div w:id="763919002">
              <w:marLeft w:val="0"/>
              <w:marRight w:val="0"/>
              <w:marTop w:val="30"/>
              <w:marBottom w:val="30"/>
              <w:divBdr>
                <w:top w:val="none" w:sz="0" w:space="0" w:color="auto"/>
                <w:left w:val="none" w:sz="0" w:space="0" w:color="auto"/>
                <w:bottom w:val="none" w:sz="0" w:space="0" w:color="auto"/>
                <w:right w:val="none" w:sz="0" w:space="0" w:color="auto"/>
              </w:divBdr>
              <w:divsChild>
                <w:div w:id="73093588">
                  <w:marLeft w:val="0"/>
                  <w:marRight w:val="0"/>
                  <w:marTop w:val="0"/>
                  <w:marBottom w:val="0"/>
                  <w:divBdr>
                    <w:top w:val="none" w:sz="0" w:space="0" w:color="auto"/>
                    <w:left w:val="none" w:sz="0" w:space="0" w:color="auto"/>
                    <w:bottom w:val="none" w:sz="0" w:space="0" w:color="auto"/>
                    <w:right w:val="none" w:sz="0" w:space="0" w:color="auto"/>
                  </w:divBdr>
                  <w:divsChild>
                    <w:div w:id="1885364681">
                      <w:marLeft w:val="0"/>
                      <w:marRight w:val="0"/>
                      <w:marTop w:val="0"/>
                      <w:marBottom w:val="0"/>
                      <w:divBdr>
                        <w:top w:val="none" w:sz="0" w:space="0" w:color="auto"/>
                        <w:left w:val="none" w:sz="0" w:space="0" w:color="auto"/>
                        <w:bottom w:val="none" w:sz="0" w:space="0" w:color="auto"/>
                        <w:right w:val="none" w:sz="0" w:space="0" w:color="auto"/>
                      </w:divBdr>
                    </w:div>
                  </w:divsChild>
                </w:div>
                <w:div w:id="89934258">
                  <w:marLeft w:val="0"/>
                  <w:marRight w:val="0"/>
                  <w:marTop w:val="0"/>
                  <w:marBottom w:val="0"/>
                  <w:divBdr>
                    <w:top w:val="none" w:sz="0" w:space="0" w:color="auto"/>
                    <w:left w:val="none" w:sz="0" w:space="0" w:color="auto"/>
                    <w:bottom w:val="none" w:sz="0" w:space="0" w:color="auto"/>
                    <w:right w:val="none" w:sz="0" w:space="0" w:color="auto"/>
                  </w:divBdr>
                  <w:divsChild>
                    <w:div w:id="458769550">
                      <w:marLeft w:val="0"/>
                      <w:marRight w:val="0"/>
                      <w:marTop w:val="0"/>
                      <w:marBottom w:val="0"/>
                      <w:divBdr>
                        <w:top w:val="none" w:sz="0" w:space="0" w:color="auto"/>
                        <w:left w:val="none" w:sz="0" w:space="0" w:color="auto"/>
                        <w:bottom w:val="none" w:sz="0" w:space="0" w:color="auto"/>
                        <w:right w:val="none" w:sz="0" w:space="0" w:color="auto"/>
                      </w:divBdr>
                    </w:div>
                  </w:divsChild>
                </w:div>
                <w:div w:id="98723558">
                  <w:marLeft w:val="0"/>
                  <w:marRight w:val="0"/>
                  <w:marTop w:val="0"/>
                  <w:marBottom w:val="0"/>
                  <w:divBdr>
                    <w:top w:val="none" w:sz="0" w:space="0" w:color="auto"/>
                    <w:left w:val="none" w:sz="0" w:space="0" w:color="auto"/>
                    <w:bottom w:val="none" w:sz="0" w:space="0" w:color="auto"/>
                    <w:right w:val="none" w:sz="0" w:space="0" w:color="auto"/>
                  </w:divBdr>
                  <w:divsChild>
                    <w:div w:id="923417294">
                      <w:marLeft w:val="0"/>
                      <w:marRight w:val="0"/>
                      <w:marTop w:val="0"/>
                      <w:marBottom w:val="0"/>
                      <w:divBdr>
                        <w:top w:val="none" w:sz="0" w:space="0" w:color="auto"/>
                        <w:left w:val="none" w:sz="0" w:space="0" w:color="auto"/>
                        <w:bottom w:val="none" w:sz="0" w:space="0" w:color="auto"/>
                        <w:right w:val="none" w:sz="0" w:space="0" w:color="auto"/>
                      </w:divBdr>
                    </w:div>
                  </w:divsChild>
                </w:div>
                <w:div w:id="115294670">
                  <w:marLeft w:val="0"/>
                  <w:marRight w:val="0"/>
                  <w:marTop w:val="0"/>
                  <w:marBottom w:val="0"/>
                  <w:divBdr>
                    <w:top w:val="none" w:sz="0" w:space="0" w:color="auto"/>
                    <w:left w:val="none" w:sz="0" w:space="0" w:color="auto"/>
                    <w:bottom w:val="none" w:sz="0" w:space="0" w:color="auto"/>
                    <w:right w:val="none" w:sz="0" w:space="0" w:color="auto"/>
                  </w:divBdr>
                  <w:divsChild>
                    <w:div w:id="1341661049">
                      <w:marLeft w:val="0"/>
                      <w:marRight w:val="0"/>
                      <w:marTop w:val="0"/>
                      <w:marBottom w:val="0"/>
                      <w:divBdr>
                        <w:top w:val="none" w:sz="0" w:space="0" w:color="auto"/>
                        <w:left w:val="none" w:sz="0" w:space="0" w:color="auto"/>
                        <w:bottom w:val="none" w:sz="0" w:space="0" w:color="auto"/>
                        <w:right w:val="none" w:sz="0" w:space="0" w:color="auto"/>
                      </w:divBdr>
                    </w:div>
                  </w:divsChild>
                </w:div>
                <w:div w:id="286392966">
                  <w:marLeft w:val="0"/>
                  <w:marRight w:val="0"/>
                  <w:marTop w:val="0"/>
                  <w:marBottom w:val="0"/>
                  <w:divBdr>
                    <w:top w:val="none" w:sz="0" w:space="0" w:color="auto"/>
                    <w:left w:val="none" w:sz="0" w:space="0" w:color="auto"/>
                    <w:bottom w:val="none" w:sz="0" w:space="0" w:color="auto"/>
                    <w:right w:val="none" w:sz="0" w:space="0" w:color="auto"/>
                  </w:divBdr>
                  <w:divsChild>
                    <w:div w:id="588123728">
                      <w:marLeft w:val="0"/>
                      <w:marRight w:val="0"/>
                      <w:marTop w:val="0"/>
                      <w:marBottom w:val="0"/>
                      <w:divBdr>
                        <w:top w:val="none" w:sz="0" w:space="0" w:color="auto"/>
                        <w:left w:val="none" w:sz="0" w:space="0" w:color="auto"/>
                        <w:bottom w:val="none" w:sz="0" w:space="0" w:color="auto"/>
                        <w:right w:val="none" w:sz="0" w:space="0" w:color="auto"/>
                      </w:divBdr>
                    </w:div>
                  </w:divsChild>
                </w:div>
                <w:div w:id="350448629">
                  <w:marLeft w:val="0"/>
                  <w:marRight w:val="0"/>
                  <w:marTop w:val="0"/>
                  <w:marBottom w:val="0"/>
                  <w:divBdr>
                    <w:top w:val="none" w:sz="0" w:space="0" w:color="auto"/>
                    <w:left w:val="none" w:sz="0" w:space="0" w:color="auto"/>
                    <w:bottom w:val="none" w:sz="0" w:space="0" w:color="auto"/>
                    <w:right w:val="none" w:sz="0" w:space="0" w:color="auto"/>
                  </w:divBdr>
                  <w:divsChild>
                    <w:div w:id="1044478591">
                      <w:marLeft w:val="0"/>
                      <w:marRight w:val="0"/>
                      <w:marTop w:val="0"/>
                      <w:marBottom w:val="0"/>
                      <w:divBdr>
                        <w:top w:val="none" w:sz="0" w:space="0" w:color="auto"/>
                        <w:left w:val="none" w:sz="0" w:space="0" w:color="auto"/>
                        <w:bottom w:val="none" w:sz="0" w:space="0" w:color="auto"/>
                        <w:right w:val="none" w:sz="0" w:space="0" w:color="auto"/>
                      </w:divBdr>
                    </w:div>
                  </w:divsChild>
                </w:div>
                <w:div w:id="367683841">
                  <w:marLeft w:val="0"/>
                  <w:marRight w:val="0"/>
                  <w:marTop w:val="0"/>
                  <w:marBottom w:val="0"/>
                  <w:divBdr>
                    <w:top w:val="none" w:sz="0" w:space="0" w:color="auto"/>
                    <w:left w:val="none" w:sz="0" w:space="0" w:color="auto"/>
                    <w:bottom w:val="none" w:sz="0" w:space="0" w:color="auto"/>
                    <w:right w:val="none" w:sz="0" w:space="0" w:color="auto"/>
                  </w:divBdr>
                  <w:divsChild>
                    <w:div w:id="619609264">
                      <w:marLeft w:val="0"/>
                      <w:marRight w:val="0"/>
                      <w:marTop w:val="0"/>
                      <w:marBottom w:val="0"/>
                      <w:divBdr>
                        <w:top w:val="none" w:sz="0" w:space="0" w:color="auto"/>
                        <w:left w:val="none" w:sz="0" w:space="0" w:color="auto"/>
                        <w:bottom w:val="none" w:sz="0" w:space="0" w:color="auto"/>
                        <w:right w:val="none" w:sz="0" w:space="0" w:color="auto"/>
                      </w:divBdr>
                    </w:div>
                  </w:divsChild>
                </w:div>
                <w:div w:id="405499776">
                  <w:marLeft w:val="0"/>
                  <w:marRight w:val="0"/>
                  <w:marTop w:val="0"/>
                  <w:marBottom w:val="0"/>
                  <w:divBdr>
                    <w:top w:val="none" w:sz="0" w:space="0" w:color="auto"/>
                    <w:left w:val="none" w:sz="0" w:space="0" w:color="auto"/>
                    <w:bottom w:val="none" w:sz="0" w:space="0" w:color="auto"/>
                    <w:right w:val="none" w:sz="0" w:space="0" w:color="auto"/>
                  </w:divBdr>
                  <w:divsChild>
                    <w:div w:id="1073433939">
                      <w:marLeft w:val="0"/>
                      <w:marRight w:val="0"/>
                      <w:marTop w:val="0"/>
                      <w:marBottom w:val="0"/>
                      <w:divBdr>
                        <w:top w:val="none" w:sz="0" w:space="0" w:color="auto"/>
                        <w:left w:val="none" w:sz="0" w:space="0" w:color="auto"/>
                        <w:bottom w:val="none" w:sz="0" w:space="0" w:color="auto"/>
                        <w:right w:val="none" w:sz="0" w:space="0" w:color="auto"/>
                      </w:divBdr>
                    </w:div>
                  </w:divsChild>
                </w:div>
                <w:div w:id="512571968">
                  <w:marLeft w:val="0"/>
                  <w:marRight w:val="0"/>
                  <w:marTop w:val="0"/>
                  <w:marBottom w:val="0"/>
                  <w:divBdr>
                    <w:top w:val="none" w:sz="0" w:space="0" w:color="auto"/>
                    <w:left w:val="none" w:sz="0" w:space="0" w:color="auto"/>
                    <w:bottom w:val="none" w:sz="0" w:space="0" w:color="auto"/>
                    <w:right w:val="none" w:sz="0" w:space="0" w:color="auto"/>
                  </w:divBdr>
                  <w:divsChild>
                    <w:div w:id="558715006">
                      <w:marLeft w:val="0"/>
                      <w:marRight w:val="0"/>
                      <w:marTop w:val="0"/>
                      <w:marBottom w:val="0"/>
                      <w:divBdr>
                        <w:top w:val="none" w:sz="0" w:space="0" w:color="auto"/>
                        <w:left w:val="none" w:sz="0" w:space="0" w:color="auto"/>
                        <w:bottom w:val="none" w:sz="0" w:space="0" w:color="auto"/>
                        <w:right w:val="none" w:sz="0" w:space="0" w:color="auto"/>
                      </w:divBdr>
                    </w:div>
                  </w:divsChild>
                </w:div>
                <w:div w:id="564920943">
                  <w:marLeft w:val="0"/>
                  <w:marRight w:val="0"/>
                  <w:marTop w:val="0"/>
                  <w:marBottom w:val="0"/>
                  <w:divBdr>
                    <w:top w:val="none" w:sz="0" w:space="0" w:color="auto"/>
                    <w:left w:val="none" w:sz="0" w:space="0" w:color="auto"/>
                    <w:bottom w:val="none" w:sz="0" w:space="0" w:color="auto"/>
                    <w:right w:val="none" w:sz="0" w:space="0" w:color="auto"/>
                  </w:divBdr>
                  <w:divsChild>
                    <w:div w:id="1150294422">
                      <w:marLeft w:val="0"/>
                      <w:marRight w:val="0"/>
                      <w:marTop w:val="0"/>
                      <w:marBottom w:val="0"/>
                      <w:divBdr>
                        <w:top w:val="none" w:sz="0" w:space="0" w:color="auto"/>
                        <w:left w:val="none" w:sz="0" w:space="0" w:color="auto"/>
                        <w:bottom w:val="none" w:sz="0" w:space="0" w:color="auto"/>
                        <w:right w:val="none" w:sz="0" w:space="0" w:color="auto"/>
                      </w:divBdr>
                    </w:div>
                  </w:divsChild>
                </w:div>
                <w:div w:id="605423918">
                  <w:marLeft w:val="0"/>
                  <w:marRight w:val="0"/>
                  <w:marTop w:val="0"/>
                  <w:marBottom w:val="0"/>
                  <w:divBdr>
                    <w:top w:val="none" w:sz="0" w:space="0" w:color="auto"/>
                    <w:left w:val="none" w:sz="0" w:space="0" w:color="auto"/>
                    <w:bottom w:val="none" w:sz="0" w:space="0" w:color="auto"/>
                    <w:right w:val="none" w:sz="0" w:space="0" w:color="auto"/>
                  </w:divBdr>
                  <w:divsChild>
                    <w:div w:id="1814711125">
                      <w:marLeft w:val="0"/>
                      <w:marRight w:val="0"/>
                      <w:marTop w:val="0"/>
                      <w:marBottom w:val="0"/>
                      <w:divBdr>
                        <w:top w:val="none" w:sz="0" w:space="0" w:color="auto"/>
                        <w:left w:val="none" w:sz="0" w:space="0" w:color="auto"/>
                        <w:bottom w:val="none" w:sz="0" w:space="0" w:color="auto"/>
                        <w:right w:val="none" w:sz="0" w:space="0" w:color="auto"/>
                      </w:divBdr>
                    </w:div>
                  </w:divsChild>
                </w:div>
                <w:div w:id="638386845">
                  <w:marLeft w:val="0"/>
                  <w:marRight w:val="0"/>
                  <w:marTop w:val="0"/>
                  <w:marBottom w:val="0"/>
                  <w:divBdr>
                    <w:top w:val="none" w:sz="0" w:space="0" w:color="auto"/>
                    <w:left w:val="none" w:sz="0" w:space="0" w:color="auto"/>
                    <w:bottom w:val="none" w:sz="0" w:space="0" w:color="auto"/>
                    <w:right w:val="none" w:sz="0" w:space="0" w:color="auto"/>
                  </w:divBdr>
                  <w:divsChild>
                    <w:div w:id="1569464049">
                      <w:marLeft w:val="0"/>
                      <w:marRight w:val="0"/>
                      <w:marTop w:val="0"/>
                      <w:marBottom w:val="0"/>
                      <w:divBdr>
                        <w:top w:val="none" w:sz="0" w:space="0" w:color="auto"/>
                        <w:left w:val="none" w:sz="0" w:space="0" w:color="auto"/>
                        <w:bottom w:val="none" w:sz="0" w:space="0" w:color="auto"/>
                        <w:right w:val="none" w:sz="0" w:space="0" w:color="auto"/>
                      </w:divBdr>
                    </w:div>
                  </w:divsChild>
                </w:div>
                <w:div w:id="831678042">
                  <w:marLeft w:val="0"/>
                  <w:marRight w:val="0"/>
                  <w:marTop w:val="0"/>
                  <w:marBottom w:val="0"/>
                  <w:divBdr>
                    <w:top w:val="none" w:sz="0" w:space="0" w:color="auto"/>
                    <w:left w:val="none" w:sz="0" w:space="0" w:color="auto"/>
                    <w:bottom w:val="none" w:sz="0" w:space="0" w:color="auto"/>
                    <w:right w:val="none" w:sz="0" w:space="0" w:color="auto"/>
                  </w:divBdr>
                  <w:divsChild>
                    <w:div w:id="812717546">
                      <w:marLeft w:val="0"/>
                      <w:marRight w:val="0"/>
                      <w:marTop w:val="0"/>
                      <w:marBottom w:val="0"/>
                      <w:divBdr>
                        <w:top w:val="none" w:sz="0" w:space="0" w:color="auto"/>
                        <w:left w:val="none" w:sz="0" w:space="0" w:color="auto"/>
                        <w:bottom w:val="none" w:sz="0" w:space="0" w:color="auto"/>
                        <w:right w:val="none" w:sz="0" w:space="0" w:color="auto"/>
                      </w:divBdr>
                    </w:div>
                  </w:divsChild>
                </w:div>
                <w:div w:id="843476447">
                  <w:marLeft w:val="0"/>
                  <w:marRight w:val="0"/>
                  <w:marTop w:val="0"/>
                  <w:marBottom w:val="0"/>
                  <w:divBdr>
                    <w:top w:val="none" w:sz="0" w:space="0" w:color="auto"/>
                    <w:left w:val="none" w:sz="0" w:space="0" w:color="auto"/>
                    <w:bottom w:val="none" w:sz="0" w:space="0" w:color="auto"/>
                    <w:right w:val="none" w:sz="0" w:space="0" w:color="auto"/>
                  </w:divBdr>
                  <w:divsChild>
                    <w:div w:id="1061371259">
                      <w:marLeft w:val="0"/>
                      <w:marRight w:val="0"/>
                      <w:marTop w:val="0"/>
                      <w:marBottom w:val="0"/>
                      <w:divBdr>
                        <w:top w:val="none" w:sz="0" w:space="0" w:color="auto"/>
                        <w:left w:val="none" w:sz="0" w:space="0" w:color="auto"/>
                        <w:bottom w:val="none" w:sz="0" w:space="0" w:color="auto"/>
                        <w:right w:val="none" w:sz="0" w:space="0" w:color="auto"/>
                      </w:divBdr>
                    </w:div>
                  </w:divsChild>
                </w:div>
                <w:div w:id="962231962">
                  <w:marLeft w:val="0"/>
                  <w:marRight w:val="0"/>
                  <w:marTop w:val="0"/>
                  <w:marBottom w:val="0"/>
                  <w:divBdr>
                    <w:top w:val="none" w:sz="0" w:space="0" w:color="auto"/>
                    <w:left w:val="none" w:sz="0" w:space="0" w:color="auto"/>
                    <w:bottom w:val="none" w:sz="0" w:space="0" w:color="auto"/>
                    <w:right w:val="none" w:sz="0" w:space="0" w:color="auto"/>
                  </w:divBdr>
                  <w:divsChild>
                    <w:div w:id="161120196">
                      <w:marLeft w:val="0"/>
                      <w:marRight w:val="0"/>
                      <w:marTop w:val="0"/>
                      <w:marBottom w:val="0"/>
                      <w:divBdr>
                        <w:top w:val="none" w:sz="0" w:space="0" w:color="auto"/>
                        <w:left w:val="none" w:sz="0" w:space="0" w:color="auto"/>
                        <w:bottom w:val="none" w:sz="0" w:space="0" w:color="auto"/>
                        <w:right w:val="none" w:sz="0" w:space="0" w:color="auto"/>
                      </w:divBdr>
                    </w:div>
                  </w:divsChild>
                </w:div>
                <w:div w:id="990789207">
                  <w:marLeft w:val="0"/>
                  <w:marRight w:val="0"/>
                  <w:marTop w:val="0"/>
                  <w:marBottom w:val="0"/>
                  <w:divBdr>
                    <w:top w:val="none" w:sz="0" w:space="0" w:color="auto"/>
                    <w:left w:val="none" w:sz="0" w:space="0" w:color="auto"/>
                    <w:bottom w:val="none" w:sz="0" w:space="0" w:color="auto"/>
                    <w:right w:val="none" w:sz="0" w:space="0" w:color="auto"/>
                  </w:divBdr>
                  <w:divsChild>
                    <w:div w:id="1116170375">
                      <w:marLeft w:val="0"/>
                      <w:marRight w:val="0"/>
                      <w:marTop w:val="0"/>
                      <w:marBottom w:val="0"/>
                      <w:divBdr>
                        <w:top w:val="none" w:sz="0" w:space="0" w:color="auto"/>
                        <w:left w:val="none" w:sz="0" w:space="0" w:color="auto"/>
                        <w:bottom w:val="none" w:sz="0" w:space="0" w:color="auto"/>
                        <w:right w:val="none" w:sz="0" w:space="0" w:color="auto"/>
                      </w:divBdr>
                    </w:div>
                  </w:divsChild>
                </w:div>
                <w:div w:id="1133519050">
                  <w:marLeft w:val="0"/>
                  <w:marRight w:val="0"/>
                  <w:marTop w:val="0"/>
                  <w:marBottom w:val="0"/>
                  <w:divBdr>
                    <w:top w:val="none" w:sz="0" w:space="0" w:color="auto"/>
                    <w:left w:val="none" w:sz="0" w:space="0" w:color="auto"/>
                    <w:bottom w:val="none" w:sz="0" w:space="0" w:color="auto"/>
                    <w:right w:val="none" w:sz="0" w:space="0" w:color="auto"/>
                  </w:divBdr>
                  <w:divsChild>
                    <w:div w:id="558130151">
                      <w:marLeft w:val="0"/>
                      <w:marRight w:val="0"/>
                      <w:marTop w:val="0"/>
                      <w:marBottom w:val="0"/>
                      <w:divBdr>
                        <w:top w:val="none" w:sz="0" w:space="0" w:color="auto"/>
                        <w:left w:val="none" w:sz="0" w:space="0" w:color="auto"/>
                        <w:bottom w:val="none" w:sz="0" w:space="0" w:color="auto"/>
                        <w:right w:val="none" w:sz="0" w:space="0" w:color="auto"/>
                      </w:divBdr>
                    </w:div>
                  </w:divsChild>
                </w:div>
                <w:div w:id="1344212585">
                  <w:marLeft w:val="0"/>
                  <w:marRight w:val="0"/>
                  <w:marTop w:val="0"/>
                  <w:marBottom w:val="0"/>
                  <w:divBdr>
                    <w:top w:val="none" w:sz="0" w:space="0" w:color="auto"/>
                    <w:left w:val="none" w:sz="0" w:space="0" w:color="auto"/>
                    <w:bottom w:val="none" w:sz="0" w:space="0" w:color="auto"/>
                    <w:right w:val="none" w:sz="0" w:space="0" w:color="auto"/>
                  </w:divBdr>
                  <w:divsChild>
                    <w:div w:id="1607346331">
                      <w:marLeft w:val="0"/>
                      <w:marRight w:val="0"/>
                      <w:marTop w:val="0"/>
                      <w:marBottom w:val="0"/>
                      <w:divBdr>
                        <w:top w:val="none" w:sz="0" w:space="0" w:color="auto"/>
                        <w:left w:val="none" w:sz="0" w:space="0" w:color="auto"/>
                        <w:bottom w:val="none" w:sz="0" w:space="0" w:color="auto"/>
                        <w:right w:val="none" w:sz="0" w:space="0" w:color="auto"/>
                      </w:divBdr>
                    </w:div>
                  </w:divsChild>
                </w:div>
                <w:div w:id="1433167386">
                  <w:marLeft w:val="0"/>
                  <w:marRight w:val="0"/>
                  <w:marTop w:val="0"/>
                  <w:marBottom w:val="0"/>
                  <w:divBdr>
                    <w:top w:val="none" w:sz="0" w:space="0" w:color="auto"/>
                    <w:left w:val="none" w:sz="0" w:space="0" w:color="auto"/>
                    <w:bottom w:val="none" w:sz="0" w:space="0" w:color="auto"/>
                    <w:right w:val="none" w:sz="0" w:space="0" w:color="auto"/>
                  </w:divBdr>
                  <w:divsChild>
                    <w:div w:id="332998260">
                      <w:marLeft w:val="0"/>
                      <w:marRight w:val="0"/>
                      <w:marTop w:val="0"/>
                      <w:marBottom w:val="0"/>
                      <w:divBdr>
                        <w:top w:val="none" w:sz="0" w:space="0" w:color="auto"/>
                        <w:left w:val="none" w:sz="0" w:space="0" w:color="auto"/>
                        <w:bottom w:val="none" w:sz="0" w:space="0" w:color="auto"/>
                        <w:right w:val="none" w:sz="0" w:space="0" w:color="auto"/>
                      </w:divBdr>
                    </w:div>
                  </w:divsChild>
                </w:div>
                <w:div w:id="1480918772">
                  <w:marLeft w:val="0"/>
                  <w:marRight w:val="0"/>
                  <w:marTop w:val="0"/>
                  <w:marBottom w:val="0"/>
                  <w:divBdr>
                    <w:top w:val="none" w:sz="0" w:space="0" w:color="auto"/>
                    <w:left w:val="none" w:sz="0" w:space="0" w:color="auto"/>
                    <w:bottom w:val="none" w:sz="0" w:space="0" w:color="auto"/>
                    <w:right w:val="none" w:sz="0" w:space="0" w:color="auto"/>
                  </w:divBdr>
                  <w:divsChild>
                    <w:div w:id="705761744">
                      <w:marLeft w:val="0"/>
                      <w:marRight w:val="0"/>
                      <w:marTop w:val="0"/>
                      <w:marBottom w:val="0"/>
                      <w:divBdr>
                        <w:top w:val="none" w:sz="0" w:space="0" w:color="auto"/>
                        <w:left w:val="none" w:sz="0" w:space="0" w:color="auto"/>
                        <w:bottom w:val="none" w:sz="0" w:space="0" w:color="auto"/>
                        <w:right w:val="none" w:sz="0" w:space="0" w:color="auto"/>
                      </w:divBdr>
                    </w:div>
                  </w:divsChild>
                </w:div>
                <w:div w:id="1567955593">
                  <w:marLeft w:val="0"/>
                  <w:marRight w:val="0"/>
                  <w:marTop w:val="0"/>
                  <w:marBottom w:val="0"/>
                  <w:divBdr>
                    <w:top w:val="none" w:sz="0" w:space="0" w:color="auto"/>
                    <w:left w:val="none" w:sz="0" w:space="0" w:color="auto"/>
                    <w:bottom w:val="none" w:sz="0" w:space="0" w:color="auto"/>
                    <w:right w:val="none" w:sz="0" w:space="0" w:color="auto"/>
                  </w:divBdr>
                  <w:divsChild>
                    <w:div w:id="321081162">
                      <w:marLeft w:val="0"/>
                      <w:marRight w:val="0"/>
                      <w:marTop w:val="0"/>
                      <w:marBottom w:val="0"/>
                      <w:divBdr>
                        <w:top w:val="none" w:sz="0" w:space="0" w:color="auto"/>
                        <w:left w:val="none" w:sz="0" w:space="0" w:color="auto"/>
                        <w:bottom w:val="none" w:sz="0" w:space="0" w:color="auto"/>
                        <w:right w:val="none" w:sz="0" w:space="0" w:color="auto"/>
                      </w:divBdr>
                    </w:div>
                  </w:divsChild>
                </w:div>
                <w:div w:id="1605653801">
                  <w:marLeft w:val="0"/>
                  <w:marRight w:val="0"/>
                  <w:marTop w:val="0"/>
                  <w:marBottom w:val="0"/>
                  <w:divBdr>
                    <w:top w:val="none" w:sz="0" w:space="0" w:color="auto"/>
                    <w:left w:val="none" w:sz="0" w:space="0" w:color="auto"/>
                    <w:bottom w:val="none" w:sz="0" w:space="0" w:color="auto"/>
                    <w:right w:val="none" w:sz="0" w:space="0" w:color="auto"/>
                  </w:divBdr>
                  <w:divsChild>
                    <w:div w:id="1997492085">
                      <w:marLeft w:val="0"/>
                      <w:marRight w:val="0"/>
                      <w:marTop w:val="0"/>
                      <w:marBottom w:val="0"/>
                      <w:divBdr>
                        <w:top w:val="none" w:sz="0" w:space="0" w:color="auto"/>
                        <w:left w:val="none" w:sz="0" w:space="0" w:color="auto"/>
                        <w:bottom w:val="none" w:sz="0" w:space="0" w:color="auto"/>
                        <w:right w:val="none" w:sz="0" w:space="0" w:color="auto"/>
                      </w:divBdr>
                    </w:div>
                  </w:divsChild>
                </w:div>
                <w:div w:id="1867131330">
                  <w:marLeft w:val="0"/>
                  <w:marRight w:val="0"/>
                  <w:marTop w:val="0"/>
                  <w:marBottom w:val="0"/>
                  <w:divBdr>
                    <w:top w:val="none" w:sz="0" w:space="0" w:color="auto"/>
                    <w:left w:val="none" w:sz="0" w:space="0" w:color="auto"/>
                    <w:bottom w:val="none" w:sz="0" w:space="0" w:color="auto"/>
                    <w:right w:val="none" w:sz="0" w:space="0" w:color="auto"/>
                  </w:divBdr>
                  <w:divsChild>
                    <w:div w:id="1445345750">
                      <w:marLeft w:val="0"/>
                      <w:marRight w:val="0"/>
                      <w:marTop w:val="0"/>
                      <w:marBottom w:val="0"/>
                      <w:divBdr>
                        <w:top w:val="none" w:sz="0" w:space="0" w:color="auto"/>
                        <w:left w:val="none" w:sz="0" w:space="0" w:color="auto"/>
                        <w:bottom w:val="none" w:sz="0" w:space="0" w:color="auto"/>
                        <w:right w:val="none" w:sz="0" w:space="0" w:color="auto"/>
                      </w:divBdr>
                    </w:div>
                  </w:divsChild>
                </w:div>
                <w:div w:id="2070180625">
                  <w:marLeft w:val="0"/>
                  <w:marRight w:val="0"/>
                  <w:marTop w:val="0"/>
                  <w:marBottom w:val="0"/>
                  <w:divBdr>
                    <w:top w:val="none" w:sz="0" w:space="0" w:color="auto"/>
                    <w:left w:val="none" w:sz="0" w:space="0" w:color="auto"/>
                    <w:bottom w:val="none" w:sz="0" w:space="0" w:color="auto"/>
                    <w:right w:val="none" w:sz="0" w:space="0" w:color="auto"/>
                  </w:divBdr>
                  <w:divsChild>
                    <w:div w:id="12260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1321">
          <w:marLeft w:val="0"/>
          <w:marRight w:val="0"/>
          <w:marTop w:val="0"/>
          <w:marBottom w:val="0"/>
          <w:divBdr>
            <w:top w:val="none" w:sz="0" w:space="0" w:color="auto"/>
            <w:left w:val="none" w:sz="0" w:space="0" w:color="auto"/>
            <w:bottom w:val="none" w:sz="0" w:space="0" w:color="auto"/>
            <w:right w:val="none" w:sz="0" w:space="0" w:color="auto"/>
          </w:divBdr>
        </w:div>
      </w:divsChild>
    </w:div>
    <w:div w:id="529610608">
      <w:bodyDiv w:val="1"/>
      <w:marLeft w:val="0"/>
      <w:marRight w:val="0"/>
      <w:marTop w:val="0"/>
      <w:marBottom w:val="0"/>
      <w:divBdr>
        <w:top w:val="none" w:sz="0" w:space="0" w:color="auto"/>
        <w:left w:val="none" w:sz="0" w:space="0" w:color="auto"/>
        <w:bottom w:val="none" w:sz="0" w:space="0" w:color="auto"/>
        <w:right w:val="none" w:sz="0" w:space="0" w:color="auto"/>
      </w:divBdr>
      <w:divsChild>
        <w:div w:id="86118917">
          <w:marLeft w:val="0"/>
          <w:marRight w:val="0"/>
          <w:marTop w:val="0"/>
          <w:marBottom w:val="0"/>
          <w:divBdr>
            <w:top w:val="none" w:sz="0" w:space="0" w:color="auto"/>
            <w:left w:val="none" w:sz="0" w:space="0" w:color="auto"/>
            <w:bottom w:val="none" w:sz="0" w:space="0" w:color="auto"/>
            <w:right w:val="none" w:sz="0" w:space="0" w:color="auto"/>
          </w:divBdr>
        </w:div>
        <w:div w:id="362438950">
          <w:marLeft w:val="0"/>
          <w:marRight w:val="0"/>
          <w:marTop w:val="0"/>
          <w:marBottom w:val="0"/>
          <w:divBdr>
            <w:top w:val="none" w:sz="0" w:space="0" w:color="auto"/>
            <w:left w:val="none" w:sz="0" w:space="0" w:color="auto"/>
            <w:bottom w:val="none" w:sz="0" w:space="0" w:color="auto"/>
            <w:right w:val="none" w:sz="0" w:space="0" w:color="auto"/>
          </w:divBdr>
        </w:div>
        <w:div w:id="1195774826">
          <w:marLeft w:val="0"/>
          <w:marRight w:val="0"/>
          <w:marTop w:val="0"/>
          <w:marBottom w:val="0"/>
          <w:divBdr>
            <w:top w:val="none" w:sz="0" w:space="0" w:color="auto"/>
            <w:left w:val="none" w:sz="0" w:space="0" w:color="auto"/>
            <w:bottom w:val="none" w:sz="0" w:space="0" w:color="auto"/>
            <w:right w:val="none" w:sz="0" w:space="0" w:color="auto"/>
          </w:divBdr>
        </w:div>
        <w:div w:id="1588493585">
          <w:marLeft w:val="0"/>
          <w:marRight w:val="0"/>
          <w:marTop w:val="0"/>
          <w:marBottom w:val="0"/>
          <w:divBdr>
            <w:top w:val="none" w:sz="0" w:space="0" w:color="auto"/>
            <w:left w:val="none" w:sz="0" w:space="0" w:color="auto"/>
            <w:bottom w:val="none" w:sz="0" w:space="0" w:color="auto"/>
            <w:right w:val="none" w:sz="0" w:space="0" w:color="auto"/>
          </w:divBdr>
        </w:div>
        <w:div w:id="2047364879">
          <w:marLeft w:val="0"/>
          <w:marRight w:val="0"/>
          <w:marTop w:val="0"/>
          <w:marBottom w:val="0"/>
          <w:divBdr>
            <w:top w:val="none" w:sz="0" w:space="0" w:color="auto"/>
            <w:left w:val="none" w:sz="0" w:space="0" w:color="auto"/>
            <w:bottom w:val="none" w:sz="0" w:space="0" w:color="auto"/>
            <w:right w:val="none" w:sz="0" w:space="0" w:color="auto"/>
          </w:divBdr>
        </w:div>
      </w:divsChild>
    </w:div>
    <w:div w:id="891691004">
      <w:bodyDiv w:val="1"/>
      <w:marLeft w:val="0"/>
      <w:marRight w:val="0"/>
      <w:marTop w:val="0"/>
      <w:marBottom w:val="0"/>
      <w:divBdr>
        <w:top w:val="none" w:sz="0" w:space="0" w:color="auto"/>
        <w:left w:val="none" w:sz="0" w:space="0" w:color="auto"/>
        <w:bottom w:val="none" w:sz="0" w:space="0" w:color="auto"/>
        <w:right w:val="none" w:sz="0" w:space="0" w:color="auto"/>
      </w:divBdr>
      <w:divsChild>
        <w:div w:id="212160128">
          <w:marLeft w:val="0"/>
          <w:marRight w:val="0"/>
          <w:marTop w:val="0"/>
          <w:marBottom w:val="0"/>
          <w:divBdr>
            <w:top w:val="none" w:sz="0" w:space="0" w:color="auto"/>
            <w:left w:val="none" w:sz="0" w:space="0" w:color="auto"/>
            <w:bottom w:val="none" w:sz="0" w:space="0" w:color="auto"/>
            <w:right w:val="none" w:sz="0" w:space="0" w:color="auto"/>
          </w:divBdr>
        </w:div>
        <w:div w:id="265430926">
          <w:marLeft w:val="0"/>
          <w:marRight w:val="0"/>
          <w:marTop w:val="0"/>
          <w:marBottom w:val="0"/>
          <w:divBdr>
            <w:top w:val="none" w:sz="0" w:space="0" w:color="auto"/>
            <w:left w:val="none" w:sz="0" w:space="0" w:color="auto"/>
            <w:bottom w:val="none" w:sz="0" w:space="0" w:color="auto"/>
            <w:right w:val="none" w:sz="0" w:space="0" w:color="auto"/>
          </w:divBdr>
          <w:divsChild>
            <w:div w:id="1535002186">
              <w:marLeft w:val="-75"/>
              <w:marRight w:val="0"/>
              <w:marTop w:val="30"/>
              <w:marBottom w:val="30"/>
              <w:divBdr>
                <w:top w:val="none" w:sz="0" w:space="0" w:color="auto"/>
                <w:left w:val="none" w:sz="0" w:space="0" w:color="auto"/>
                <w:bottom w:val="none" w:sz="0" w:space="0" w:color="auto"/>
                <w:right w:val="none" w:sz="0" w:space="0" w:color="auto"/>
              </w:divBdr>
              <w:divsChild>
                <w:div w:id="10110151">
                  <w:marLeft w:val="0"/>
                  <w:marRight w:val="0"/>
                  <w:marTop w:val="0"/>
                  <w:marBottom w:val="0"/>
                  <w:divBdr>
                    <w:top w:val="none" w:sz="0" w:space="0" w:color="auto"/>
                    <w:left w:val="none" w:sz="0" w:space="0" w:color="auto"/>
                    <w:bottom w:val="none" w:sz="0" w:space="0" w:color="auto"/>
                    <w:right w:val="none" w:sz="0" w:space="0" w:color="auto"/>
                  </w:divBdr>
                  <w:divsChild>
                    <w:div w:id="1979458315">
                      <w:marLeft w:val="0"/>
                      <w:marRight w:val="0"/>
                      <w:marTop w:val="0"/>
                      <w:marBottom w:val="0"/>
                      <w:divBdr>
                        <w:top w:val="none" w:sz="0" w:space="0" w:color="auto"/>
                        <w:left w:val="none" w:sz="0" w:space="0" w:color="auto"/>
                        <w:bottom w:val="none" w:sz="0" w:space="0" w:color="auto"/>
                        <w:right w:val="none" w:sz="0" w:space="0" w:color="auto"/>
                      </w:divBdr>
                    </w:div>
                  </w:divsChild>
                </w:div>
                <w:div w:id="11302808">
                  <w:marLeft w:val="0"/>
                  <w:marRight w:val="0"/>
                  <w:marTop w:val="0"/>
                  <w:marBottom w:val="0"/>
                  <w:divBdr>
                    <w:top w:val="none" w:sz="0" w:space="0" w:color="auto"/>
                    <w:left w:val="none" w:sz="0" w:space="0" w:color="auto"/>
                    <w:bottom w:val="none" w:sz="0" w:space="0" w:color="auto"/>
                    <w:right w:val="none" w:sz="0" w:space="0" w:color="auto"/>
                  </w:divBdr>
                  <w:divsChild>
                    <w:div w:id="710501143">
                      <w:marLeft w:val="0"/>
                      <w:marRight w:val="0"/>
                      <w:marTop w:val="0"/>
                      <w:marBottom w:val="0"/>
                      <w:divBdr>
                        <w:top w:val="none" w:sz="0" w:space="0" w:color="auto"/>
                        <w:left w:val="none" w:sz="0" w:space="0" w:color="auto"/>
                        <w:bottom w:val="none" w:sz="0" w:space="0" w:color="auto"/>
                        <w:right w:val="none" w:sz="0" w:space="0" w:color="auto"/>
                      </w:divBdr>
                    </w:div>
                  </w:divsChild>
                </w:div>
                <w:div w:id="152843479">
                  <w:marLeft w:val="0"/>
                  <w:marRight w:val="0"/>
                  <w:marTop w:val="0"/>
                  <w:marBottom w:val="0"/>
                  <w:divBdr>
                    <w:top w:val="none" w:sz="0" w:space="0" w:color="auto"/>
                    <w:left w:val="none" w:sz="0" w:space="0" w:color="auto"/>
                    <w:bottom w:val="none" w:sz="0" w:space="0" w:color="auto"/>
                    <w:right w:val="none" w:sz="0" w:space="0" w:color="auto"/>
                  </w:divBdr>
                  <w:divsChild>
                    <w:div w:id="355809968">
                      <w:marLeft w:val="0"/>
                      <w:marRight w:val="0"/>
                      <w:marTop w:val="0"/>
                      <w:marBottom w:val="0"/>
                      <w:divBdr>
                        <w:top w:val="none" w:sz="0" w:space="0" w:color="auto"/>
                        <w:left w:val="none" w:sz="0" w:space="0" w:color="auto"/>
                        <w:bottom w:val="none" w:sz="0" w:space="0" w:color="auto"/>
                        <w:right w:val="none" w:sz="0" w:space="0" w:color="auto"/>
                      </w:divBdr>
                    </w:div>
                  </w:divsChild>
                </w:div>
                <w:div w:id="171922952">
                  <w:marLeft w:val="0"/>
                  <w:marRight w:val="0"/>
                  <w:marTop w:val="0"/>
                  <w:marBottom w:val="0"/>
                  <w:divBdr>
                    <w:top w:val="none" w:sz="0" w:space="0" w:color="auto"/>
                    <w:left w:val="none" w:sz="0" w:space="0" w:color="auto"/>
                    <w:bottom w:val="none" w:sz="0" w:space="0" w:color="auto"/>
                    <w:right w:val="none" w:sz="0" w:space="0" w:color="auto"/>
                  </w:divBdr>
                  <w:divsChild>
                    <w:div w:id="1840534557">
                      <w:marLeft w:val="0"/>
                      <w:marRight w:val="0"/>
                      <w:marTop w:val="0"/>
                      <w:marBottom w:val="0"/>
                      <w:divBdr>
                        <w:top w:val="none" w:sz="0" w:space="0" w:color="auto"/>
                        <w:left w:val="none" w:sz="0" w:space="0" w:color="auto"/>
                        <w:bottom w:val="none" w:sz="0" w:space="0" w:color="auto"/>
                        <w:right w:val="none" w:sz="0" w:space="0" w:color="auto"/>
                      </w:divBdr>
                    </w:div>
                  </w:divsChild>
                </w:div>
                <w:div w:id="237054280">
                  <w:marLeft w:val="0"/>
                  <w:marRight w:val="0"/>
                  <w:marTop w:val="0"/>
                  <w:marBottom w:val="0"/>
                  <w:divBdr>
                    <w:top w:val="none" w:sz="0" w:space="0" w:color="auto"/>
                    <w:left w:val="none" w:sz="0" w:space="0" w:color="auto"/>
                    <w:bottom w:val="none" w:sz="0" w:space="0" w:color="auto"/>
                    <w:right w:val="none" w:sz="0" w:space="0" w:color="auto"/>
                  </w:divBdr>
                  <w:divsChild>
                    <w:div w:id="126969747">
                      <w:marLeft w:val="0"/>
                      <w:marRight w:val="0"/>
                      <w:marTop w:val="0"/>
                      <w:marBottom w:val="0"/>
                      <w:divBdr>
                        <w:top w:val="none" w:sz="0" w:space="0" w:color="auto"/>
                        <w:left w:val="none" w:sz="0" w:space="0" w:color="auto"/>
                        <w:bottom w:val="none" w:sz="0" w:space="0" w:color="auto"/>
                        <w:right w:val="none" w:sz="0" w:space="0" w:color="auto"/>
                      </w:divBdr>
                    </w:div>
                  </w:divsChild>
                </w:div>
                <w:div w:id="299843651">
                  <w:marLeft w:val="0"/>
                  <w:marRight w:val="0"/>
                  <w:marTop w:val="0"/>
                  <w:marBottom w:val="0"/>
                  <w:divBdr>
                    <w:top w:val="none" w:sz="0" w:space="0" w:color="auto"/>
                    <w:left w:val="none" w:sz="0" w:space="0" w:color="auto"/>
                    <w:bottom w:val="none" w:sz="0" w:space="0" w:color="auto"/>
                    <w:right w:val="none" w:sz="0" w:space="0" w:color="auto"/>
                  </w:divBdr>
                  <w:divsChild>
                    <w:div w:id="1013611592">
                      <w:marLeft w:val="0"/>
                      <w:marRight w:val="0"/>
                      <w:marTop w:val="0"/>
                      <w:marBottom w:val="0"/>
                      <w:divBdr>
                        <w:top w:val="none" w:sz="0" w:space="0" w:color="auto"/>
                        <w:left w:val="none" w:sz="0" w:space="0" w:color="auto"/>
                        <w:bottom w:val="none" w:sz="0" w:space="0" w:color="auto"/>
                        <w:right w:val="none" w:sz="0" w:space="0" w:color="auto"/>
                      </w:divBdr>
                    </w:div>
                  </w:divsChild>
                </w:div>
                <w:div w:id="395709953">
                  <w:marLeft w:val="0"/>
                  <w:marRight w:val="0"/>
                  <w:marTop w:val="0"/>
                  <w:marBottom w:val="0"/>
                  <w:divBdr>
                    <w:top w:val="none" w:sz="0" w:space="0" w:color="auto"/>
                    <w:left w:val="none" w:sz="0" w:space="0" w:color="auto"/>
                    <w:bottom w:val="none" w:sz="0" w:space="0" w:color="auto"/>
                    <w:right w:val="none" w:sz="0" w:space="0" w:color="auto"/>
                  </w:divBdr>
                  <w:divsChild>
                    <w:div w:id="1398743009">
                      <w:marLeft w:val="0"/>
                      <w:marRight w:val="0"/>
                      <w:marTop w:val="0"/>
                      <w:marBottom w:val="0"/>
                      <w:divBdr>
                        <w:top w:val="none" w:sz="0" w:space="0" w:color="auto"/>
                        <w:left w:val="none" w:sz="0" w:space="0" w:color="auto"/>
                        <w:bottom w:val="none" w:sz="0" w:space="0" w:color="auto"/>
                        <w:right w:val="none" w:sz="0" w:space="0" w:color="auto"/>
                      </w:divBdr>
                    </w:div>
                  </w:divsChild>
                </w:div>
                <w:div w:id="413556978">
                  <w:marLeft w:val="0"/>
                  <w:marRight w:val="0"/>
                  <w:marTop w:val="0"/>
                  <w:marBottom w:val="0"/>
                  <w:divBdr>
                    <w:top w:val="none" w:sz="0" w:space="0" w:color="auto"/>
                    <w:left w:val="none" w:sz="0" w:space="0" w:color="auto"/>
                    <w:bottom w:val="none" w:sz="0" w:space="0" w:color="auto"/>
                    <w:right w:val="none" w:sz="0" w:space="0" w:color="auto"/>
                  </w:divBdr>
                  <w:divsChild>
                    <w:div w:id="101195809">
                      <w:marLeft w:val="0"/>
                      <w:marRight w:val="0"/>
                      <w:marTop w:val="0"/>
                      <w:marBottom w:val="0"/>
                      <w:divBdr>
                        <w:top w:val="none" w:sz="0" w:space="0" w:color="auto"/>
                        <w:left w:val="none" w:sz="0" w:space="0" w:color="auto"/>
                        <w:bottom w:val="none" w:sz="0" w:space="0" w:color="auto"/>
                        <w:right w:val="none" w:sz="0" w:space="0" w:color="auto"/>
                      </w:divBdr>
                    </w:div>
                  </w:divsChild>
                </w:div>
                <w:div w:id="589973023">
                  <w:marLeft w:val="0"/>
                  <w:marRight w:val="0"/>
                  <w:marTop w:val="0"/>
                  <w:marBottom w:val="0"/>
                  <w:divBdr>
                    <w:top w:val="none" w:sz="0" w:space="0" w:color="auto"/>
                    <w:left w:val="none" w:sz="0" w:space="0" w:color="auto"/>
                    <w:bottom w:val="none" w:sz="0" w:space="0" w:color="auto"/>
                    <w:right w:val="none" w:sz="0" w:space="0" w:color="auto"/>
                  </w:divBdr>
                  <w:divsChild>
                    <w:div w:id="363600952">
                      <w:marLeft w:val="0"/>
                      <w:marRight w:val="0"/>
                      <w:marTop w:val="0"/>
                      <w:marBottom w:val="0"/>
                      <w:divBdr>
                        <w:top w:val="none" w:sz="0" w:space="0" w:color="auto"/>
                        <w:left w:val="none" w:sz="0" w:space="0" w:color="auto"/>
                        <w:bottom w:val="none" w:sz="0" w:space="0" w:color="auto"/>
                        <w:right w:val="none" w:sz="0" w:space="0" w:color="auto"/>
                      </w:divBdr>
                    </w:div>
                  </w:divsChild>
                </w:div>
                <w:div w:id="811484219">
                  <w:marLeft w:val="0"/>
                  <w:marRight w:val="0"/>
                  <w:marTop w:val="0"/>
                  <w:marBottom w:val="0"/>
                  <w:divBdr>
                    <w:top w:val="none" w:sz="0" w:space="0" w:color="auto"/>
                    <w:left w:val="none" w:sz="0" w:space="0" w:color="auto"/>
                    <w:bottom w:val="none" w:sz="0" w:space="0" w:color="auto"/>
                    <w:right w:val="none" w:sz="0" w:space="0" w:color="auto"/>
                  </w:divBdr>
                  <w:divsChild>
                    <w:div w:id="134421550">
                      <w:marLeft w:val="0"/>
                      <w:marRight w:val="0"/>
                      <w:marTop w:val="0"/>
                      <w:marBottom w:val="0"/>
                      <w:divBdr>
                        <w:top w:val="none" w:sz="0" w:space="0" w:color="auto"/>
                        <w:left w:val="none" w:sz="0" w:space="0" w:color="auto"/>
                        <w:bottom w:val="none" w:sz="0" w:space="0" w:color="auto"/>
                        <w:right w:val="none" w:sz="0" w:space="0" w:color="auto"/>
                      </w:divBdr>
                    </w:div>
                  </w:divsChild>
                </w:div>
                <w:div w:id="896207248">
                  <w:marLeft w:val="0"/>
                  <w:marRight w:val="0"/>
                  <w:marTop w:val="0"/>
                  <w:marBottom w:val="0"/>
                  <w:divBdr>
                    <w:top w:val="none" w:sz="0" w:space="0" w:color="auto"/>
                    <w:left w:val="none" w:sz="0" w:space="0" w:color="auto"/>
                    <w:bottom w:val="none" w:sz="0" w:space="0" w:color="auto"/>
                    <w:right w:val="none" w:sz="0" w:space="0" w:color="auto"/>
                  </w:divBdr>
                  <w:divsChild>
                    <w:div w:id="1543636780">
                      <w:marLeft w:val="0"/>
                      <w:marRight w:val="0"/>
                      <w:marTop w:val="0"/>
                      <w:marBottom w:val="0"/>
                      <w:divBdr>
                        <w:top w:val="none" w:sz="0" w:space="0" w:color="auto"/>
                        <w:left w:val="none" w:sz="0" w:space="0" w:color="auto"/>
                        <w:bottom w:val="none" w:sz="0" w:space="0" w:color="auto"/>
                        <w:right w:val="none" w:sz="0" w:space="0" w:color="auto"/>
                      </w:divBdr>
                    </w:div>
                  </w:divsChild>
                </w:div>
                <w:div w:id="927543139">
                  <w:marLeft w:val="0"/>
                  <w:marRight w:val="0"/>
                  <w:marTop w:val="0"/>
                  <w:marBottom w:val="0"/>
                  <w:divBdr>
                    <w:top w:val="none" w:sz="0" w:space="0" w:color="auto"/>
                    <w:left w:val="none" w:sz="0" w:space="0" w:color="auto"/>
                    <w:bottom w:val="none" w:sz="0" w:space="0" w:color="auto"/>
                    <w:right w:val="none" w:sz="0" w:space="0" w:color="auto"/>
                  </w:divBdr>
                  <w:divsChild>
                    <w:div w:id="1636909716">
                      <w:marLeft w:val="0"/>
                      <w:marRight w:val="0"/>
                      <w:marTop w:val="0"/>
                      <w:marBottom w:val="0"/>
                      <w:divBdr>
                        <w:top w:val="none" w:sz="0" w:space="0" w:color="auto"/>
                        <w:left w:val="none" w:sz="0" w:space="0" w:color="auto"/>
                        <w:bottom w:val="none" w:sz="0" w:space="0" w:color="auto"/>
                        <w:right w:val="none" w:sz="0" w:space="0" w:color="auto"/>
                      </w:divBdr>
                    </w:div>
                  </w:divsChild>
                </w:div>
                <w:div w:id="958608554">
                  <w:marLeft w:val="0"/>
                  <w:marRight w:val="0"/>
                  <w:marTop w:val="0"/>
                  <w:marBottom w:val="0"/>
                  <w:divBdr>
                    <w:top w:val="none" w:sz="0" w:space="0" w:color="auto"/>
                    <w:left w:val="none" w:sz="0" w:space="0" w:color="auto"/>
                    <w:bottom w:val="none" w:sz="0" w:space="0" w:color="auto"/>
                    <w:right w:val="none" w:sz="0" w:space="0" w:color="auto"/>
                  </w:divBdr>
                  <w:divsChild>
                    <w:div w:id="348219140">
                      <w:marLeft w:val="0"/>
                      <w:marRight w:val="0"/>
                      <w:marTop w:val="0"/>
                      <w:marBottom w:val="0"/>
                      <w:divBdr>
                        <w:top w:val="none" w:sz="0" w:space="0" w:color="auto"/>
                        <w:left w:val="none" w:sz="0" w:space="0" w:color="auto"/>
                        <w:bottom w:val="none" w:sz="0" w:space="0" w:color="auto"/>
                        <w:right w:val="none" w:sz="0" w:space="0" w:color="auto"/>
                      </w:divBdr>
                    </w:div>
                  </w:divsChild>
                </w:div>
                <w:div w:id="1112284143">
                  <w:marLeft w:val="0"/>
                  <w:marRight w:val="0"/>
                  <w:marTop w:val="0"/>
                  <w:marBottom w:val="0"/>
                  <w:divBdr>
                    <w:top w:val="none" w:sz="0" w:space="0" w:color="auto"/>
                    <w:left w:val="none" w:sz="0" w:space="0" w:color="auto"/>
                    <w:bottom w:val="none" w:sz="0" w:space="0" w:color="auto"/>
                    <w:right w:val="none" w:sz="0" w:space="0" w:color="auto"/>
                  </w:divBdr>
                  <w:divsChild>
                    <w:div w:id="1838114798">
                      <w:marLeft w:val="0"/>
                      <w:marRight w:val="0"/>
                      <w:marTop w:val="0"/>
                      <w:marBottom w:val="0"/>
                      <w:divBdr>
                        <w:top w:val="none" w:sz="0" w:space="0" w:color="auto"/>
                        <w:left w:val="none" w:sz="0" w:space="0" w:color="auto"/>
                        <w:bottom w:val="none" w:sz="0" w:space="0" w:color="auto"/>
                        <w:right w:val="none" w:sz="0" w:space="0" w:color="auto"/>
                      </w:divBdr>
                    </w:div>
                  </w:divsChild>
                </w:div>
                <w:div w:id="1154371903">
                  <w:marLeft w:val="0"/>
                  <w:marRight w:val="0"/>
                  <w:marTop w:val="0"/>
                  <w:marBottom w:val="0"/>
                  <w:divBdr>
                    <w:top w:val="none" w:sz="0" w:space="0" w:color="auto"/>
                    <w:left w:val="none" w:sz="0" w:space="0" w:color="auto"/>
                    <w:bottom w:val="none" w:sz="0" w:space="0" w:color="auto"/>
                    <w:right w:val="none" w:sz="0" w:space="0" w:color="auto"/>
                  </w:divBdr>
                  <w:divsChild>
                    <w:div w:id="583493955">
                      <w:marLeft w:val="0"/>
                      <w:marRight w:val="0"/>
                      <w:marTop w:val="0"/>
                      <w:marBottom w:val="0"/>
                      <w:divBdr>
                        <w:top w:val="none" w:sz="0" w:space="0" w:color="auto"/>
                        <w:left w:val="none" w:sz="0" w:space="0" w:color="auto"/>
                        <w:bottom w:val="none" w:sz="0" w:space="0" w:color="auto"/>
                        <w:right w:val="none" w:sz="0" w:space="0" w:color="auto"/>
                      </w:divBdr>
                    </w:div>
                  </w:divsChild>
                </w:div>
                <w:div w:id="1191725821">
                  <w:marLeft w:val="0"/>
                  <w:marRight w:val="0"/>
                  <w:marTop w:val="0"/>
                  <w:marBottom w:val="0"/>
                  <w:divBdr>
                    <w:top w:val="none" w:sz="0" w:space="0" w:color="auto"/>
                    <w:left w:val="none" w:sz="0" w:space="0" w:color="auto"/>
                    <w:bottom w:val="none" w:sz="0" w:space="0" w:color="auto"/>
                    <w:right w:val="none" w:sz="0" w:space="0" w:color="auto"/>
                  </w:divBdr>
                  <w:divsChild>
                    <w:div w:id="7216729">
                      <w:marLeft w:val="0"/>
                      <w:marRight w:val="0"/>
                      <w:marTop w:val="0"/>
                      <w:marBottom w:val="0"/>
                      <w:divBdr>
                        <w:top w:val="none" w:sz="0" w:space="0" w:color="auto"/>
                        <w:left w:val="none" w:sz="0" w:space="0" w:color="auto"/>
                        <w:bottom w:val="none" w:sz="0" w:space="0" w:color="auto"/>
                        <w:right w:val="none" w:sz="0" w:space="0" w:color="auto"/>
                      </w:divBdr>
                    </w:div>
                  </w:divsChild>
                </w:div>
                <w:div w:id="1310596942">
                  <w:marLeft w:val="0"/>
                  <w:marRight w:val="0"/>
                  <w:marTop w:val="0"/>
                  <w:marBottom w:val="0"/>
                  <w:divBdr>
                    <w:top w:val="none" w:sz="0" w:space="0" w:color="auto"/>
                    <w:left w:val="none" w:sz="0" w:space="0" w:color="auto"/>
                    <w:bottom w:val="none" w:sz="0" w:space="0" w:color="auto"/>
                    <w:right w:val="none" w:sz="0" w:space="0" w:color="auto"/>
                  </w:divBdr>
                  <w:divsChild>
                    <w:div w:id="1778984671">
                      <w:marLeft w:val="0"/>
                      <w:marRight w:val="0"/>
                      <w:marTop w:val="0"/>
                      <w:marBottom w:val="0"/>
                      <w:divBdr>
                        <w:top w:val="none" w:sz="0" w:space="0" w:color="auto"/>
                        <w:left w:val="none" w:sz="0" w:space="0" w:color="auto"/>
                        <w:bottom w:val="none" w:sz="0" w:space="0" w:color="auto"/>
                        <w:right w:val="none" w:sz="0" w:space="0" w:color="auto"/>
                      </w:divBdr>
                    </w:div>
                  </w:divsChild>
                </w:div>
                <w:div w:id="1448349552">
                  <w:marLeft w:val="0"/>
                  <w:marRight w:val="0"/>
                  <w:marTop w:val="0"/>
                  <w:marBottom w:val="0"/>
                  <w:divBdr>
                    <w:top w:val="none" w:sz="0" w:space="0" w:color="auto"/>
                    <w:left w:val="none" w:sz="0" w:space="0" w:color="auto"/>
                    <w:bottom w:val="none" w:sz="0" w:space="0" w:color="auto"/>
                    <w:right w:val="none" w:sz="0" w:space="0" w:color="auto"/>
                  </w:divBdr>
                  <w:divsChild>
                    <w:div w:id="690112479">
                      <w:marLeft w:val="0"/>
                      <w:marRight w:val="0"/>
                      <w:marTop w:val="0"/>
                      <w:marBottom w:val="0"/>
                      <w:divBdr>
                        <w:top w:val="none" w:sz="0" w:space="0" w:color="auto"/>
                        <w:left w:val="none" w:sz="0" w:space="0" w:color="auto"/>
                        <w:bottom w:val="none" w:sz="0" w:space="0" w:color="auto"/>
                        <w:right w:val="none" w:sz="0" w:space="0" w:color="auto"/>
                      </w:divBdr>
                    </w:div>
                  </w:divsChild>
                </w:div>
                <w:div w:id="1485657130">
                  <w:marLeft w:val="0"/>
                  <w:marRight w:val="0"/>
                  <w:marTop w:val="0"/>
                  <w:marBottom w:val="0"/>
                  <w:divBdr>
                    <w:top w:val="none" w:sz="0" w:space="0" w:color="auto"/>
                    <w:left w:val="none" w:sz="0" w:space="0" w:color="auto"/>
                    <w:bottom w:val="none" w:sz="0" w:space="0" w:color="auto"/>
                    <w:right w:val="none" w:sz="0" w:space="0" w:color="auto"/>
                  </w:divBdr>
                  <w:divsChild>
                    <w:div w:id="502740761">
                      <w:marLeft w:val="0"/>
                      <w:marRight w:val="0"/>
                      <w:marTop w:val="0"/>
                      <w:marBottom w:val="0"/>
                      <w:divBdr>
                        <w:top w:val="none" w:sz="0" w:space="0" w:color="auto"/>
                        <w:left w:val="none" w:sz="0" w:space="0" w:color="auto"/>
                        <w:bottom w:val="none" w:sz="0" w:space="0" w:color="auto"/>
                        <w:right w:val="none" w:sz="0" w:space="0" w:color="auto"/>
                      </w:divBdr>
                    </w:div>
                  </w:divsChild>
                </w:div>
                <w:div w:id="1582132045">
                  <w:marLeft w:val="0"/>
                  <w:marRight w:val="0"/>
                  <w:marTop w:val="0"/>
                  <w:marBottom w:val="0"/>
                  <w:divBdr>
                    <w:top w:val="none" w:sz="0" w:space="0" w:color="auto"/>
                    <w:left w:val="none" w:sz="0" w:space="0" w:color="auto"/>
                    <w:bottom w:val="none" w:sz="0" w:space="0" w:color="auto"/>
                    <w:right w:val="none" w:sz="0" w:space="0" w:color="auto"/>
                  </w:divBdr>
                  <w:divsChild>
                    <w:div w:id="1677926618">
                      <w:marLeft w:val="0"/>
                      <w:marRight w:val="0"/>
                      <w:marTop w:val="0"/>
                      <w:marBottom w:val="0"/>
                      <w:divBdr>
                        <w:top w:val="none" w:sz="0" w:space="0" w:color="auto"/>
                        <w:left w:val="none" w:sz="0" w:space="0" w:color="auto"/>
                        <w:bottom w:val="none" w:sz="0" w:space="0" w:color="auto"/>
                        <w:right w:val="none" w:sz="0" w:space="0" w:color="auto"/>
                      </w:divBdr>
                    </w:div>
                  </w:divsChild>
                </w:div>
                <w:div w:id="1772310702">
                  <w:marLeft w:val="0"/>
                  <w:marRight w:val="0"/>
                  <w:marTop w:val="0"/>
                  <w:marBottom w:val="0"/>
                  <w:divBdr>
                    <w:top w:val="none" w:sz="0" w:space="0" w:color="auto"/>
                    <w:left w:val="none" w:sz="0" w:space="0" w:color="auto"/>
                    <w:bottom w:val="none" w:sz="0" w:space="0" w:color="auto"/>
                    <w:right w:val="none" w:sz="0" w:space="0" w:color="auto"/>
                  </w:divBdr>
                  <w:divsChild>
                    <w:div w:id="622004584">
                      <w:marLeft w:val="0"/>
                      <w:marRight w:val="0"/>
                      <w:marTop w:val="0"/>
                      <w:marBottom w:val="0"/>
                      <w:divBdr>
                        <w:top w:val="none" w:sz="0" w:space="0" w:color="auto"/>
                        <w:left w:val="none" w:sz="0" w:space="0" w:color="auto"/>
                        <w:bottom w:val="none" w:sz="0" w:space="0" w:color="auto"/>
                        <w:right w:val="none" w:sz="0" w:space="0" w:color="auto"/>
                      </w:divBdr>
                    </w:div>
                  </w:divsChild>
                </w:div>
                <w:div w:id="1927377679">
                  <w:marLeft w:val="0"/>
                  <w:marRight w:val="0"/>
                  <w:marTop w:val="0"/>
                  <w:marBottom w:val="0"/>
                  <w:divBdr>
                    <w:top w:val="none" w:sz="0" w:space="0" w:color="auto"/>
                    <w:left w:val="none" w:sz="0" w:space="0" w:color="auto"/>
                    <w:bottom w:val="none" w:sz="0" w:space="0" w:color="auto"/>
                    <w:right w:val="none" w:sz="0" w:space="0" w:color="auto"/>
                  </w:divBdr>
                  <w:divsChild>
                    <w:div w:id="954672450">
                      <w:marLeft w:val="0"/>
                      <w:marRight w:val="0"/>
                      <w:marTop w:val="0"/>
                      <w:marBottom w:val="0"/>
                      <w:divBdr>
                        <w:top w:val="none" w:sz="0" w:space="0" w:color="auto"/>
                        <w:left w:val="none" w:sz="0" w:space="0" w:color="auto"/>
                        <w:bottom w:val="none" w:sz="0" w:space="0" w:color="auto"/>
                        <w:right w:val="none" w:sz="0" w:space="0" w:color="auto"/>
                      </w:divBdr>
                    </w:div>
                  </w:divsChild>
                </w:div>
                <w:div w:id="1940404859">
                  <w:marLeft w:val="0"/>
                  <w:marRight w:val="0"/>
                  <w:marTop w:val="0"/>
                  <w:marBottom w:val="0"/>
                  <w:divBdr>
                    <w:top w:val="none" w:sz="0" w:space="0" w:color="auto"/>
                    <w:left w:val="none" w:sz="0" w:space="0" w:color="auto"/>
                    <w:bottom w:val="none" w:sz="0" w:space="0" w:color="auto"/>
                    <w:right w:val="none" w:sz="0" w:space="0" w:color="auto"/>
                  </w:divBdr>
                  <w:divsChild>
                    <w:div w:id="601689329">
                      <w:marLeft w:val="0"/>
                      <w:marRight w:val="0"/>
                      <w:marTop w:val="0"/>
                      <w:marBottom w:val="0"/>
                      <w:divBdr>
                        <w:top w:val="none" w:sz="0" w:space="0" w:color="auto"/>
                        <w:left w:val="none" w:sz="0" w:space="0" w:color="auto"/>
                        <w:bottom w:val="none" w:sz="0" w:space="0" w:color="auto"/>
                        <w:right w:val="none" w:sz="0" w:space="0" w:color="auto"/>
                      </w:divBdr>
                    </w:div>
                  </w:divsChild>
                </w:div>
                <w:div w:id="2067872539">
                  <w:marLeft w:val="0"/>
                  <w:marRight w:val="0"/>
                  <w:marTop w:val="0"/>
                  <w:marBottom w:val="0"/>
                  <w:divBdr>
                    <w:top w:val="none" w:sz="0" w:space="0" w:color="auto"/>
                    <w:left w:val="none" w:sz="0" w:space="0" w:color="auto"/>
                    <w:bottom w:val="none" w:sz="0" w:space="0" w:color="auto"/>
                    <w:right w:val="none" w:sz="0" w:space="0" w:color="auto"/>
                  </w:divBdr>
                  <w:divsChild>
                    <w:div w:id="928583177">
                      <w:marLeft w:val="0"/>
                      <w:marRight w:val="0"/>
                      <w:marTop w:val="0"/>
                      <w:marBottom w:val="0"/>
                      <w:divBdr>
                        <w:top w:val="none" w:sz="0" w:space="0" w:color="auto"/>
                        <w:left w:val="none" w:sz="0" w:space="0" w:color="auto"/>
                        <w:bottom w:val="none" w:sz="0" w:space="0" w:color="auto"/>
                        <w:right w:val="none" w:sz="0" w:space="0" w:color="auto"/>
                      </w:divBdr>
                    </w:div>
                  </w:divsChild>
                </w:div>
                <w:div w:id="2088307412">
                  <w:marLeft w:val="0"/>
                  <w:marRight w:val="0"/>
                  <w:marTop w:val="0"/>
                  <w:marBottom w:val="0"/>
                  <w:divBdr>
                    <w:top w:val="none" w:sz="0" w:space="0" w:color="auto"/>
                    <w:left w:val="none" w:sz="0" w:space="0" w:color="auto"/>
                    <w:bottom w:val="none" w:sz="0" w:space="0" w:color="auto"/>
                    <w:right w:val="none" w:sz="0" w:space="0" w:color="auto"/>
                  </w:divBdr>
                  <w:divsChild>
                    <w:div w:id="9938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8111">
          <w:marLeft w:val="0"/>
          <w:marRight w:val="0"/>
          <w:marTop w:val="0"/>
          <w:marBottom w:val="0"/>
          <w:divBdr>
            <w:top w:val="none" w:sz="0" w:space="0" w:color="auto"/>
            <w:left w:val="none" w:sz="0" w:space="0" w:color="auto"/>
            <w:bottom w:val="none" w:sz="0" w:space="0" w:color="auto"/>
            <w:right w:val="none" w:sz="0" w:space="0" w:color="auto"/>
          </w:divBdr>
        </w:div>
        <w:div w:id="1020159941">
          <w:marLeft w:val="0"/>
          <w:marRight w:val="0"/>
          <w:marTop w:val="0"/>
          <w:marBottom w:val="0"/>
          <w:divBdr>
            <w:top w:val="none" w:sz="0" w:space="0" w:color="auto"/>
            <w:left w:val="none" w:sz="0" w:space="0" w:color="auto"/>
            <w:bottom w:val="none" w:sz="0" w:space="0" w:color="auto"/>
            <w:right w:val="none" w:sz="0" w:space="0" w:color="auto"/>
          </w:divBdr>
        </w:div>
      </w:divsChild>
    </w:div>
    <w:div w:id="1538158229">
      <w:bodyDiv w:val="1"/>
      <w:marLeft w:val="0"/>
      <w:marRight w:val="0"/>
      <w:marTop w:val="0"/>
      <w:marBottom w:val="0"/>
      <w:divBdr>
        <w:top w:val="none" w:sz="0" w:space="0" w:color="auto"/>
        <w:left w:val="none" w:sz="0" w:space="0" w:color="auto"/>
        <w:bottom w:val="none" w:sz="0" w:space="0" w:color="auto"/>
        <w:right w:val="none" w:sz="0" w:space="0" w:color="auto"/>
      </w:divBdr>
      <w:divsChild>
        <w:div w:id="251360073">
          <w:marLeft w:val="0"/>
          <w:marRight w:val="0"/>
          <w:marTop w:val="0"/>
          <w:marBottom w:val="0"/>
          <w:divBdr>
            <w:top w:val="none" w:sz="0" w:space="0" w:color="auto"/>
            <w:left w:val="none" w:sz="0" w:space="0" w:color="auto"/>
            <w:bottom w:val="none" w:sz="0" w:space="0" w:color="auto"/>
            <w:right w:val="none" w:sz="0" w:space="0" w:color="auto"/>
          </w:divBdr>
        </w:div>
        <w:div w:id="272978713">
          <w:marLeft w:val="0"/>
          <w:marRight w:val="0"/>
          <w:marTop w:val="0"/>
          <w:marBottom w:val="0"/>
          <w:divBdr>
            <w:top w:val="none" w:sz="0" w:space="0" w:color="auto"/>
            <w:left w:val="none" w:sz="0" w:space="0" w:color="auto"/>
            <w:bottom w:val="none" w:sz="0" w:space="0" w:color="auto"/>
            <w:right w:val="none" w:sz="0" w:space="0" w:color="auto"/>
          </w:divBdr>
        </w:div>
        <w:div w:id="276135223">
          <w:marLeft w:val="0"/>
          <w:marRight w:val="0"/>
          <w:marTop w:val="0"/>
          <w:marBottom w:val="0"/>
          <w:divBdr>
            <w:top w:val="none" w:sz="0" w:space="0" w:color="auto"/>
            <w:left w:val="none" w:sz="0" w:space="0" w:color="auto"/>
            <w:bottom w:val="none" w:sz="0" w:space="0" w:color="auto"/>
            <w:right w:val="none" w:sz="0" w:space="0" w:color="auto"/>
          </w:divBdr>
        </w:div>
        <w:div w:id="412894018">
          <w:marLeft w:val="0"/>
          <w:marRight w:val="0"/>
          <w:marTop w:val="0"/>
          <w:marBottom w:val="0"/>
          <w:divBdr>
            <w:top w:val="none" w:sz="0" w:space="0" w:color="auto"/>
            <w:left w:val="none" w:sz="0" w:space="0" w:color="auto"/>
            <w:bottom w:val="none" w:sz="0" w:space="0" w:color="auto"/>
            <w:right w:val="none" w:sz="0" w:space="0" w:color="auto"/>
          </w:divBdr>
        </w:div>
        <w:div w:id="453714165">
          <w:marLeft w:val="0"/>
          <w:marRight w:val="0"/>
          <w:marTop w:val="0"/>
          <w:marBottom w:val="0"/>
          <w:divBdr>
            <w:top w:val="none" w:sz="0" w:space="0" w:color="auto"/>
            <w:left w:val="none" w:sz="0" w:space="0" w:color="auto"/>
            <w:bottom w:val="none" w:sz="0" w:space="0" w:color="auto"/>
            <w:right w:val="none" w:sz="0" w:space="0" w:color="auto"/>
          </w:divBdr>
        </w:div>
        <w:div w:id="617569303">
          <w:marLeft w:val="0"/>
          <w:marRight w:val="0"/>
          <w:marTop w:val="0"/>
          <w:marBottom w:val="0"/>
          <w:divBdr>
            <w:top w:val="none" w:sz="0" w:space="0" w:color="auto"/>
            <w:left w:val="none" w:sz="0" w:space="0" w:color="auto"/>
            <w:bottom w:val="none" w:sz="0" w:space="0" w:color="auto"/>
            <w:right w:val="none" w:sz="0" w:space="0" w:color="auto"/>
          </w:divBdr>
        </w:div>
        <w:div w:id="625164915">
          <w:marLeft w:val="0"/>
          <w:marRight w:val="0"/>
          <w:marTop w:val="0"/>
          <w:marBottom w:val="0"/>
          <w:divBdr>
            <w:top w:val="none" w:sz="0" w:space="0" w:color="auto"/>
            <w:left w:val="none" w:sz="0" w:space="0" w:color="auto"/>
            <w:bottom w:val="none" w:sz="0" w:space="0" w:color="auto"/>
            <w:right w:val="none" w:sz="0" w:space="0" w:color="auto"/>
          </w:divBdr>
        </w:div>
        <w:div w:id="645818387">
          <w:marLeft w:val="0"/>
          <w:marRight w:val="0"/>
          <w:marTop w:val="0"/>
          <w:marBottom w:val="0"/>
          <w:divBdr>
            <w:top w:val="none" w:sz="0" w:space="0" w:color="auto"/>
            <w:left w:val="none" w:sz="0" w:space="0" w:color="auto"/>
            <w:bottom w:val="none" w:sz="0" w:space="0" w:color="auto"/>
            <w:right w:val="none" w:sz="0" w:space="0" w:color="auto"/>
          </w:divBdr>
        </w:div>
        <w:div w:id="996878013">
          <w:marLeft w:val="0"/>
          <w:marRight w:val="0"/>
          <w:marTop w:val="0"/>
          <w:marBottom w:val="0"/>
          <w:divBdr>
            <w:top w:val="none" w:sz="0" w:space="0" w:color="auto"/>
            <w:left w:val="none" w:sz="0" w:space="0" w:color="auto"/>
            <w:bottom w:val="none" w:sz="0" w:space="0" w:color="auto"/>
            <w:right w:val="none" w:sz="0" w:space="0" w:color="auto"/>
          </w:divBdr>
        </w:div>
        <w:div w:id="1045523040">
          <w:marLeft w:val="0"/>
          <w:marRight w:val="0"/>
          <w:marTop w:val="0"/>
          <w:marBottom w:val="0"/>
          <w:divBdr>
            <w:top w:val="none" w:sz="0" w:space="0" w:color="auto"/>
            <w:left w:val="none" w:sz="0" w:space="0" w:color="auto"/>
            <w:bottom w:val="none" w:sz="0" w:space="0" w:color="auto"/>
            <w:right w:val="none" w:sz="0" w:space="0" w:color="auto"/>
          </w:divBdr>
        </w:div>
        <w:div w:id="1129710699">
          <w:marLeft w:val="0"/>
          <w:marRight w:val="0"/>
          <w:marTop w:val="0"/>
          <w:marBottom w:val="0"/>
          <w:divBdr>
            <w:top w:val="none" w:sz="0" w:space="0" w:color="auto"/>
            <w:left w:val="none" w:sz="0" w:space="0" w:color="auto"/>
            <w:bottom w:val="none" w:sz="0" w:space="0" w:color="auto"/>
            <w:right w:val="none" w:sz="0" w:space="0" w:color="auto"/>
          </w:divBdr>
        </w:div>
        <w:div w:id="1468620283">
          <w:marLeft w:val="0"/>
          <w:marRight w:val="0"/>
          <w:marTop w:val="0"/>
          <w:marBottom w:val="0"/>
          <w:divBdr>
            <w:top w:val="none" w:sz="0" w:space="0" w:color="auto"/>
            <w:left w:val="none" w:sz="0" w:space="0" w:color="auto"/>
            <w:bottom w:val="none" w:sz="0" w:space="0" w:color="auto"/>
            <w:right w:val="none" w:sz="0" w:space="0" w:color="auto"/>
          </w:divBdr>
        </w:div>
        <w:div w:id="1488863425">
          <w:marLeft w:val="0"/>
          <w:marRight w:val="0"/>
          <w:marTop w:val="0"/>
          <w:marBottom w:val="0"/>
          <w:divBdr>
            <w:top w:val="none" w:sz="0" w:space="0" w:color="auto"/>
            <w:left w:val="none" w:sz="0" w:space="0" w:color="auto"/>
            <w:bottom w:val="none" w:sz="0" w:space="0" w:color="auto"/>
            <w:right w:val="none" w:sz="0" w:space="0" w:color="auto"/>
          </w:divBdr>
        </w:div>
        <w:div w:id="1500928664">
          <w:marLeft w:val="0"/>
          <w:marRight w:val="0"/>
          <w:marTop w:val="0"/>
          <w:marBottom w:val="0"/>
          <w:divBdr>
            <w:top w:val="none" w:sz="0" w:space="0" w:color="auto"/>
            <w:left w:val="none" w:sz="0" w:space="0" w:color="auto"/>
            <w:bottom w:val="none" w:sz="0" w:space="0" w:color="auto"/>
            <w:right w:val="none" w:sz="0" w:space="0" w:color="auto"/>
          </w:divBdr>
        </w:div>
        <w:div w:id="1582060134">
          <w:marLeft w:val="0"/>
          <w:marRight w:val="0"/>
          <w:marTop w:val="0"/>
          <w:marBottom w:val="0"/>
          <w:divBdr>
            <w:top w:val="none" w:sz="0" w:space="0" w:color="auto"/>
            <w:left w:val="none" w:sz="0" w:space="0" w:color="auto"/>
            <w:bottom w:val="none" w:sz="0" w:space="0" w:color="auto"/>
            <w:right w:val="none" w:sz="0" w:space="0" w:color="auto"/>
          </w:divBdr>
        </w:div>
        <w:div w:id="1729575169">
          <w:marLeft w:val="0"/>
          <w:marRight w:val="0"/>
          <w:marTop w:val="0"/>
          <w:marBottom w:val="0"/>
          <w:divBdr>
            <w:top w:val="none" w:sz="0" w:space="0" w:color="auto"/>
            <w:left w:val="none" w:sz="0" w:space="0" w:color="auto"/>
            <w:bottom w:val="none" w:sz="0" w:space="0" w:color="auto"/>
            <w:right w:val="none" w:sz="0" w:space="0" w:color="auto"/>
          </w:divBdr>
        </w:div>
        <w:div w:id="2073699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c.ca.gov/about-cpuc/divisions/news-and-public-information-office/public-advisors-office/providing-public-comments-at-the-cpu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puc.ca.gov/PublishedDocs/Published/G000/M588/K645/588645578.PDF" TargetMode="Externa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SF_Consortia_Grant_Administrator@cpuc.ca.gov" TargetMode="External"/><Relationship Id="rId14"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425D301B-297C-4B36-B5E4-64556090084D}">
    <t:Anchor>
      <t:Comment id="1968516430"/>
    </t:Anchor>
    <t:History>
      <t:Event id="{2407F936-3316-47CA-8B09-7FBEA042C8FA}" time="2026-04-02T20:19:12.128Z">
        <t:Attribution userId="S::stacie.castro@cpuc.ca.gov::7d4db2b9-328a-483a-a06f-176fafd31bf7" userProvider="AD" userName="Castro, Stacie M."/>
        <t:Anchor>
          <t:Comment id="1850662332"/>
        </t:Anchor>
        <t:Create/>
      </t:Event>
      <t:Event id="{8C8F62D4-8458-4B7D-A777-1C84727E55DA}" time="2026-04-02T20:19:12.128Z">
        <t:Attribution userId="S::stacie.castro@cpuc.ca.gov::7d4db2b9-328a-483a-a06f-176fafd31bf7" userProvider="AD" userName="Castro, Stacie M."/>
        <t:Anchor>
          <t:Comment id="1850662332"/>
        </t:Anchor>
        <t:Assign userId="S::Paul.Schindler@cpuc.ca.gov::92279650-f6de-49be-a456-3b25d07e15e6" userProvider="AD" userName="Schindler, Paul"/>
      </t:Event>
      <t:Event id="{49F1B42B-9834-4AEC-95E1-ABD26B1B3ECD}" time="2026-04-02T20:19:12.128Z">
        <t:Attribution userId="S::stacie.castro@cpuc.ca.gov::7d4db2b9-328a-483a-a06f-176fafd31bf7" userProvider="AD" userName="Castro, Stacie M."/>
        <t:Anchor>
          <t:Comment id="1850662332"/>
        </t:Anchor>
        <t:SetTitle title="There were only 8? @Schindler, Paul "/>
      </t:Event>
      <t:Event id="{BB7FC496-A222-49CE-8A07-04FACEEAE263}" time="2026-04-06T16:25:39.464Z">
        <t:Attribution userId="S::paul.schindler@cpuc.ca.gov::92279650-f6de-49be-a456-3b25d07e15e6" userProvider="AD" userName="Schindler, Paul"/>
        <t:Progress percentComplete="100"/>
      </t:Event>
      <t:Event id="{8C07BB77-E120-465A-B1A1-DE9182ED7B7D}" time="2026-04-14T23:25:38.305Z">
        <t:Attribution userId="S::Paul.Schindler@cpuc.ca.gov::92279650-f6de-49be-a456-3b25d07e15e6" userProvider="AD" userName="Schindler, Paul"/>
        <t:Progress percentComplete="0"/>
      </t:Event>
      <t:Event id="{D9EDC795-2FB8-43A1-83B6-187BBF9A4874}" time="2026-04-14T23:26:08.319Z">
        <t:Attribution userId="S::Paul.Schindler@cpuc.ca.gov::92279650-f6de-49be-a456-3b25d07e15e6" userProvider="AD" userName="Schindler, Pau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5E31-0048-4777-B22B-53629D34619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32</ap:Pages>
  <ap:Words>10149</ap:Words>
  <ap:Characters>57855</ap:Characters>
  <ap:Application>Microsoft Office Word</ap:Application>
  <ap:DocSecurity>0</ap:DocSecurity>
  <ap:Lines>482</ap:Lines>
  <ap:Paragraphs>135</ap:Paragraphs>
  <ap:ScaleCrop>false</ap:ScaleCrop>
  <ap:Company/>
  <ap:LinksUpToDate>false</ap:LinksUpToDate>
  <ap:CharactersWithSpaces>67869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2026-06-05T13:54:48Z</dcterms:created>
  <dcterms:modified xsi:type="dcterms:W3CDTF">2026-06-05T13:54:48Z</dcterms:modified>
</cp:coreProperties>
</file>