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268B" w:rsidR="002A268B" w:rsidP="002A268B" w:rsidRDefault="002A268B" w14:paraId="0BB9C2A5" w14:textId="77777777">
      <w:pPr>
        <w:spacing w:after="0" w:line="240" w:lineRule="auto"/>
        <w:jc w:val="center"/>
        <w:rPr>
          <w:rFonts w:ascii="Helvetica" w:hAnsi="Helvetica" w:eastAsia="Times New Roman" w:cs="Times New Roman"/>
          <w:b/>
          <w:sz w:val="26"/>
          <w:szCs w:val="20"/>
          <w:lang w:eastAsia="en-US"/>
        </w:rPr>
      </w:pPr>
      <w:r w:rsidRPr="002A268B">
        <w:rPr>
          <w:rFonts w:ascii="Helvetica" w:hAnsi="Helvetica" w:eastAsia="Times New Roman" w:cs="Times New Roman"/>
          <w:b/>
          <w:sz w:val="26"/>
          <w:szCs w:val="20"/>
          <w:lang w:eastAsia="en-US"/>
        </w:rPr>
        <w:t>PUBLIC UTILITIES COMMISSION OF THE STATE OF CALIFORNIA</w:t>
      </w:r>
    </w:p>
    <w:p w:rsidRPr="002A268B" w:rsidR="002A268B" w:rsidP="002A268B" w:rsidRDefault="002A268B" w14:paraId="706CE5C4" w14:textId="77777777">
      <w:pPr>
        <w:suppressAutoHyphens/>
        <w:spacing w:after="0" w:line="240" w:lineRule="auto"/>
        <w:rPr>
          <w:rFonts w:ascii="Palatino Linotype" w:hAnsi="Palatino Linotype" w:eastAsia="Times New Roman" w:cs="Times New Roman"/>
          <w:sz w:val="26"/>
          <w:szCs w:val="20"/>
          <w:lang w:eastAsia="en-US"/>
        </w:rPr>
      </w:pPr>
    </w:p>
    <w:p w:rsidR="00593935" w:rsidP="00A71AFC" w:rsidRDefault="00A71AFC" w14:paraId="3F3973DE" w14:textId="5B41D0DC">
      <w:pPr>
        <w:tabs>
          <w:tab w:val="right" w:pos="9090"/>
        </w:tabs>
        <w:spacing w:after="0" w:line="240" w:lineRule="auto"/>
        <w:rPr>
          <w:rFonts w:ascii="Palatino Linotype" w:hAnsi="Palatino Linotype" w:eastAsia="Times New Roman" w:cs="Times New Roman"/>
          <w:b/>
          <w:lang w:eastAsia="en-US"/>
        </w:rPr>
      </w:pPr>
      <w:r>
        <w:rPr>
          <w:rFonts w:ascii="Palatino Linotype" w:hAnsi="Palatino Linotype" w:eastAsia="Times New Roman" w:cs="Times New Roman"/>
          <w:b/>
          <w:lang w:eastAsia="en-US"/>
        </w:rPr>
        <w:tab/>
      </w:r>
      <w:r w:rsidR="00F017D3">
        <w:rPr>
          <w:rFonts w:ascii="Palatino Linotype" w:hAnsi="Palatino Linotype" w:eastAsia="Times New Roman" w:cs="Times New Roman"/>
          <w:b/>
          <w:lang w:eastAsia="en-US"/>
        </w:rPr>
        <w:t>Item #</w:t>
      </w:r>
      <w:r>
        <w:rPr>
          <w:rFonts w:ascii="Palatino Linotype" w:hAnsi="Palatino Linotype" w:eastAsia="Times New Roman" w:cs="Times New Roman"/>
          <w:b/>
          <w:lang w:eastAsia="en-US"/>
        </w:rPr>
        <w:t>23 (Rev. 1)</w:t>
      </w:r>
    </w:p>
    <w:p w:rsidRPr="002A268B" w:rsidR="002A268B" w:rsidP="00A71AFC" w:rsidRDefault="002A268B" w14:paraId="1CB78864" w14:textId="5DEF4511">
      <w:pPr>
        <w:tabs>
          <w:tab w:val="right" w:pos="9090"/>
        </w:tabs>
        <w:spacing w:after="0" w:line="240" w:lineRule="auto"/>
        <w:rPr>
          <w:rFonts w:ascii="Palatino Linotype" w:hAnsi="Palatino Linotype" w:eastAsia="Times New Roman" w:cs="Times New Roman"/>
          <w:b/>
          <w:lang w:eastAsia="en-US"/>
        </w:rPr>
      </w:pPr>
      <w:r w:rsidRPr="002A268B">
        <w:rPr>
          <w:rFonts w:ascii="Palatino Linotype" w:hAnsi="Palatino Linotype" w:eastAsia="Times New Roman" w:cs="Times New Roman"/>
          <w:b/>
          <w:lang w:eastAsia="en-US"/>
        </w:rPr>
        <w:tab/>
      </w:r>
      <w:r w:rsidR="009A42F1">
        <w:rPr>
          <w:rFonts w:ascii="Palatino Linotype" w:hAnsi="Palatino Linotype" w:eastAsia="Times New Roman" w:cs="Times New Roman"/>
          <w:b/>
          <w:lang w:eastAsia="en-US"/>
        </w:rPr>
        <w:t xml:space="preserve">   </w:t>
      </w:r>
      <w:r w:rsidRPr="002A268B">
        <w:rPr>
          <w:rFonts w:ascii="Palatino Linotype" w:hAnsi="Palatino Linotype" w:eastAsia="Times New Roman" w:cs="Times New Roman"/>
          <w:b/>
          <w:lang w:eastAsia="en-US"/>
        </w:rPr>
        <w:t xml:space="preserve"> Agenda ID#</w:t>
      </w:r>
      <w:r w:rsidR="009A42F1">
        <w:rPr>
          <w:rFonts w:ascii="Palatino Linotype" w:hAnsi="Palatino Linotype" w:eastAsia="Times New Roman" w:cs="Times New Roman"/>
          <w:b/>
          <w:lang w:eastAsia="en-US"/>
        </w:rPr>
        <w:t xml:space="preserve"> </w:t>
      </w:r>
      <w:r w:rsidRPr="009A42F1" w:rsidR="009A42F1">
        <w:rPr>
          <w:rFonts w:ascii="Palatino Linotype" w:hAnsi="Palatino Linotype" w:eastAsia="Times New Roman" w:cs="Times New Roman"/>
          <w:b/>
          <w:bCs/>
          <w:lang w:eastAsia="en-US"/>
        </w:rPr>
        <w:t>24204</w:t>
      </w:r>
    </w:p>
    <w:p w:rsidRPr="002A268B" w:rsidR="002A268B" w:rsidP="00A71AFC" w:rsidRDefault="002A268B" w14:paraId="47F8254A" w14:textId="090F0A13">
      <w:pPr>
        <w:tabs>
          <w:tab w:val="right" w:pos="9090"/>
        </w:tabs>
        <w:spacing w:after="0" w:line="240" w:lineRule="auto"/>
        <w:ind w:left="270"/>
        <w:rPr>
          <w:rFonts w:ascii="Palatino Linotype" w:hAnsi="Palatino Linotype" w:eastAsia="Palatino Linotype" w:cs="Times New Roman"/>
          <w:b/>
          <w:lang w:eastAsia="en-US"/>
        </w:rPr>
      </w:pPr>
      <w:r w:rsidRPr="002A268B">
        <w:rPr>
          <w:rFonts w:ascii="Palatino Linotype" w:hAnsi="Palatino Linotype" w:eastAsia="Palatino Linotype" w:cs="Times New Roman"/>
          <w:b/>
          <w:lang w:eastAsia="en-US"/>
        </w:rPr>
        <w:t>ENERGY DIVISION</w:t>
      </w:r>
      <w:r w:rsidRPr="002A268B">
        <w:rPr>
          <w:rFonts w:ascii="Palatino Linotype" w:hAnsi="Palatino Linotype" w:eastAsia="Times New Roman" w:cs="Times New Roman"/>
          <w:b/>
          <w:lang w:eastAsia="en-US"/>
        </w:rPr>
        <w:tab/>
      </w:r>
      <w:r w:rsidRPr="002A268B">
        <w:rPr>
          <w:rFonts w:ascii="Palatino Linotype" w:hAnsi="Palatino Linotype" w:eastAsia="Palatino Linotype" w:cs="Times New Roman"/>
          <w:b/>
          <w:lang w:eastAsia="en-US"/>
        </w:rPr>
        <w:t>RESOLUTION E-54</w:t>
      </w:r>
      <w:r>
        <w:rPr>
          <w:rFonts w:ascii="Palatino Linotype" w:hAnsi="Palatino Linotype" w:eastAsia="Palatino Linotype" w:cs="Times New Roman"/>
          <w:b/>
          <w:lang w:eastAsia="en-US"/>
        </w:rPr>
        <w:t>67</w:t>
      </w:r>
    </w:p>
    <w:p w:rsidRPr="002A268B" w:rsidR="002A268B" w:rsidP="00A71AFC" w:rsidRDefault="002A268B" w14:paraId="15BB743B" w14:textId="3E0371FA">
      <w:pPr>
        <w:tabs>
          <w:tab w:val="right" w:pos="9090"/>
        </w:tabs>
        <w:spacing w:after="0" w:line="240" w:lineRule="auto"/>
        <w:rPr>
          <w:rFonts w:ascii="Palatino Linotype" w:hAnsi="Palatino Linotype" w:eastAsia="Times New Roman" w:cs="Times New Roman"/>
          <w:b/>
          <w:lang w:eastAsia="en-US"/>
        </w:rPr>
      </w:pPr>
      <w:r w:rsidRPr="002A268B">
        <w:rPr>
          <w:rFonts w:ascii="Palatino Linotype" w:hAnsi="Palatino Linotype" w:eastAsia="Times New Roman" w:cs="Times New Roman"/>
          <w:b/>
          <w:lang w:eastAsia="en-US"/>
        </w:rPr>
        <w:tab/>
      </w:r>
      <w:r>
        <w:rPr>
          <w:rFonts w:ascii="Palatino Linotype" w:hAnsi="Palatino Linotype" w:eastAsia="Times New Roman" w:cs="Times New Roman"/>
          <w:b/>
          <w:lang w:eastAsia="en-US"/>
        </w:rPr>
        <w:t xml:space="preserve">      </w:t>
      </w:r>
      <w:r w:rsidRPr="002A268B">
        <w:rPr>
          <w:rFonts w:ascii="Palatino Linotype" w:hAnsi="Palatino Linotype" w:eastAsia="Times New Roman" w:cs="Times New Roman"/>
          <w:b/>
          <w:lang w:eastAsia="en-US"/>
        </w:rPr>
        <w:t xml:space="preserve">    </w:t>
      </w:r>
      <w:r>
        <w:rPr>
          <w:rFonts w:ascii="Palatino Linotype" w:hAnsi="Palatino Linotype" w:eastAsia="Palatino Linotype" w:cs="Times New Roman"/>
          <w:b/>
          <w:lang w:eastAsia="en-US"/>
        </w:rPr>
        <w:t>June</w:t>
      </w:r>
      <w:r w:rsidRPr="002A268B">
        <w:rPr>
          <w:rFonts w:ascii="Palatino Linotype" w:hAnsi="Palatino Linotype" w:eastAsia="Palatino Linotype" w:cs="Times New Roman"/>
          <w:b/>
          <w:lang w:eastAsia="en-US"/>
        </w:rPr>
        <w:t xml:space="preserve"> </w:t>
      </w:r>
      <w:r>
        <w:rPr>
          <w:rFonts w:ascii="Palatino Linotype" w:hAnsi="Palatino Linotype" w:eastAsia="Palatino Linotype" w:cs="Times New Roman"/>
          <w:b/>
          <w:lang w:eastAsia="en-US"/>
        </w:rPr>
        <w:t>11</w:t>
      </w:r>
      <w:r w:rsidRPr="002A268B">
        <w:rPr>
          <w:rFonts w:ascii="Palatino Linotype" w:hAnsi="Palatino Linotype" w:eastAsia="Palatino Linotype" w:cs="Times New Roman"/>
          <w:b/>
          <w:lang w:eastAsia="en-US"/>
        </w:rPr>
        <w:t>, 2026</w:t>
      </w:r>
    </w:p>
    <w:p w:rsidRPr="002A268B" w:rsidR="002A268B" w:rsidP="002A268B" w:rsidRDefault="002A268B" w14:paraId="29110720" w14:textId="7D9E360D">
      <w:pPr>
        <w:tabs>
          <w:tab w:val="right" w:pos="8910"/>
        </w:tabs>
        <w:spacing w:after="0" w:line="240" w:lineRule="auto"/>
        <w:ind w:left="1440" w:firstLine="720"/>
        <w:rPr>
          <w:rFonts w:ascii="Palatino Linotype" w:hAnsi="Palatino Linotype" w:eastAsia="Times New Roman" w:cs="Times New Roman"/>
          <w:b/>
          <w:lang w:eastAsia="en-US"/>
        </w:rPr>
      </w:pPr>
      <w:r w:rsidRPr="002A268B">
        <w:rPr>
          <w:rFonts w:ascii="Palatino Linotype" w:hAnsi="Palatino Linotype" w:eastAsia="Times New Roman" w:cs="Times New Roman"/>
          <w:b/>
          <w:lang w:eastAsia="en-US"/>
        </w:rPr>
        <w:tab/>
      </w:r>
    </w:p>
    <w:p w:rsidRPr="002A268B" w:rsidR="002A268B" w:rsidP="002A268B" w:rsidRDefault="002A268B" w14:paraId="0D4B0E4D" w14:textId="77777777">
      <w:pPr>
        <w:spacing w:after="0" w:line="240" w:lineRule="auto"/>
        <w:jc w:val="center"/>
        <w:rPr>
          <w:rFonts w:ascii="Helvetica" w:hAnsi="Helvetica" w:eastAsia="Times New Roman" w:cs="Helvetica"/>
          <w:b/>
          <w:bCs/>
          <w:spacing w:val="120"/>
          <w:sz w:val="26"/>
          <w:szCs w:val="26"/>
          <w:u w:val="single"/>
          <w:lang w:eastAsia="en-US"/>
        </w:rPr>
      </w:pPr>
      <w:r w:rsidRPr="002A268B">
        <w:rPr>
          <w:rFonts w:ascii="Helvetica" w:hAnsi="Helvetica" w:eastAsia="Times New Roman" w:cs="Helvetica"/>
          <w:b/>
          <w:bCs/>
          <w:spacing w:val="120"/>
          <w:sz w:val="26"/>
          <w:szCs w:val="26"/>
          <w:u w:val="single"/>
          <w:lang w:eastAsia="en-US"/>
        </w:rPr>
        <w:t>REDACTED</w:t>
      </w:r>
    </w:p>
    <w:p w:rsidR="00831BC8" w:rsidP="002A268B" w:rsidRDefault="002A268B" w14:paraId="4BB2411D" w14:textId="137051E1">
      <w:pPr>
        <w:spacing w:line="298" w:lineRule="exact"/>
        <w:jc w:val="center"/>
        <w:rPr>
          <w:rFonts w:ascii="Palatino Linotype" w:hAnsi="Palatino Linotype" w:eastAsia="Palatino Linotype" w:cs="Palatino Linotype"/>
          <w:color w:val="000000" w:themeColor="text1"/>
        </w:rPr>
      </w:pPr>
      <w:r w:rsidRPr="002A268B">
        <w:rPr>
          <w:rFonts w:ascii="Helvetica" w:hAnsi="Helvetica" w:eastAsia="Times New Roman" w:cs="Helvetica"/>
          <w:b/>
          <w:bCs/>
          <w:spacing w:val="120"/>
          <w:sz w:val="26"/>
          <w:szCs w:val="26"/>
          <w:u w:val="single"/>
          <w:lang w:eastAsia="en-US"/>
        </w:rPr>
        <w:t>RESOLUTION</w:t>
      </w:r>
    </w:p>
    <w:p w:rsidR="0B29DC45" w:rsidP="190E8F6F" w:rsidRDefault="3845101C" w14:paraId="31E983C7" w14:textId="4809E5AB">
      <w:pPr>
        <w:spacing w:before="299"/>
        <w:rPr>
          <w:rFonts w:ascii="Palatino Linotype" w:hAnsi="Palatino Linotype" w:eastAsia="Palatino Linotype" w:cs="Palatino Linotype"/>
          <w:color w:val="000000" w:themeColor="text1"/>
        </w:rPr>
      </w:pPr>
      <w:r w:rsidRPr="7441B0D7">
        <w:rPr>
          <w:rFonts w:ascii="Palatino Linotype" w:hAnsi="Palatino Linotype" w:eastAsia="Palatino Linotype" w:cs="Palatino Linotype"/>
          <w:color w:val="000000" w:themeColor="text1"/>
        </w:rPr>
        <w:t xml:space="preserve">Resolution </w:t>
      </w:r>
      <w:r w:rsidRPr="7441B0D7" w:rsidR="22C7217C">
        <w:rPr>
          <w:rFonts w:ascii="Palatino Linotype" w:hAnsi="Palatino Linotype" w:eastAsia="Palatino Linotype" w:cs="Palatino Linotype"/>
          <w:color w:val="000000" w:themeColor="text1"/>
        </w:rPr>
        <w:t>E-5467</w:t>
      </w:r>
      <w:r w:rsidRPr="7441B0D7">
        <w:rPr>
          <w:rFonts w:ascii="Palatino Linotype" w:hAnsi="Palatino Linotype" w:eastAsia="Palatino Linotype" w:cs="Palatino Linotype"/>
          <w:color w:val="000000" w:themeColor="text1"/>
        </w:rPr>
        <w:t>. San Diego Gas &amp; Electric Company</w:t>
      </w:r>
      <w:r w:rsidRPr="7441B0D7">
        <w:rPr>
          <w:rFonts w:ascii="Palatino Linotype" w:hAnsi="Palatino Linotype" w:eastAsia="Palatino Linotype" w:cs="Palatino Linotype"/>
        </w:rPr>
        <w:t xml:space="preserve"> </w:t>
      </w:r>
      <w:r w:rsidRPr="7441B0D7" w:rsidR="4EFA2798">
        <w:rPr>
          <w:rFonts w:ascii="Palatino Linotype" w:hAnsi="Palatino Linotype" w:eastAsia="Palatino Linotype" w:cs="Palatino Linotype"/>
        </w:rPr>
        <w:t>("SDG&amp;E")</w:t>
      </w:r>
      <w:r w:rsidRPr="7441B0D7" w:rsidR="7DAE2E84">
        <w:rPr>
          <w:rFonts w:ascii="Palatino Linotype" w:hAnsi="Palatino Linotype" w:eastAsia="Palatino Linotype" w:cs="Palatino Linotype"/>
          <w:color w:val="000000" w:themeColor="text1"/>
        </w:rPr>
        <w:t xml:space="preserve"> </w:t>
      </w:r>
      <w:r w:rsidRPr="7441B0D7">
        <w:rPr>
          <w:rFonts w:ascii="Palatino Linotype" w:hAnsi="Palatino Linotype" w:eastAsia="Palatino Linotype" w:cs="Palatino Linotype"/>
          <w:color w:val="000000" w:themeColor="text1"/>
        </w:rPr>
        <w:t>request for approval of one</w:t>
      </w:r>
      <w:r w:rsidRPr="7441B0D7" w:rsidR="3A61D067">
        <w:rPr>
          <w:rFonts w:ascii="Palatino Linotype" w:hAnsi="Palatino Linotype" w:eastAsia="Palatino Linotype" w:cs="Palatino Linotype"/>
          <w:color w:val="000000" w:themeColor="text1"/>
        </w:rPr>
        <w:t xml:space="preserve"> local capacity</w:t>
      </w:r>
      <w:r w:rsidRPr="7441B0D7">
        <w:rPr>
          <w:rFonts w:ascii="Palatino Linotype" w:hAnsi="Palatino Linotype" w:eastAsia="Palatino Linotype" w:cs="Palatino Linotype"/>
          <w:color w:val="000000" w:themeColor="text1"/>
        </w:rPr>
        <w:t xml:space="preserve"> Utility Owned Energy Storage Contract and related costs pursuant to Decision (</w:t>
      </w:r>
      <w:r w:rsidRPr="7441B0D7" w:rsidR="69DA246A">
        <w:rPr>
          <w:rFonts w:ascii="Palatino Linotype" w:hAnsi="Palatino Linotype" w:eastAsia="Palatino Linotype" w:cs="Palatino Linotype"/>
          <w:color w:val="000000" w:themeColor="text1"/>
        </w:rPr>
        <w:t>“</w:t>
      </w:r>
      <w:r w:rsidRPr="7441B0D7">
        <w:rPr>
          <w:rFonts w:ascii="Palatino Linotype" w:hAnsi="Palatino Linotype" w:eastAsia="Palatino Linotype" w:cs="Palatino Linotype"/>
          <w:color w:val="000000" w:themeColor="text1"/>
        </w:rPr>
        <w:t>D.</w:t>
      </w:r>
      <w:r w:rsidRPr="7441B0D7" w:rsidR="18142A1F">
        <w:rPr>
          <w:rFonts w:ascii="Palatino Linotype" w:hAnsi="Palatino Linotype" w:eastAsia="Palatino Linotype" w:cs="Palatino Linotype"/>
          <w:color w:val="000000" w:themeColor="text1"/>
        </w:rPr>
        <w:t>”</w:t>
      </w:r>
      <w:r w:rsidRPr="7441B0D7">
        <w:rPr>
          <w:rFonts w:ascii="Palatino Linotype" w:hAnsi="Palatino Linotype" w:eastAsia="Palatino Linotype" w:cs="Palatino Linotype"/>
          <w:color w:val="000000" w:themeColor="text1"/>
        </w:rPr>
        <w:t>) 25-06-048.</w:t>
      </w:r>
    </w:p>
    <w:p w:rsidR="0027162B" w:rsidP="190E8F6F" w:rsidRDefault="495B52F8" w14:paraId="5EDBCD96" w14:textId="3223236F">
      <w:pPr>
        <w:spacing w:before="299"/>
        <w:rPr>
          <w:rFonts w:ascii="Palatino Linotype" w:hAnsi="Palatino Linotype" w:eastAsia="Palatino Linotype" w:cs="Palatino Linotype"/>
          <w:color w:val="000000" w:themeColor="text1"/>
        </w:rPr>
      </w:pPr>
      <w:r w:rsidRPr="190E8F6F">
        <w:rPr>
          <w:rFonts w:ascii="Palatino Linotype" w:hAnsi="Palatino Linotype" w:eastAsia="Palatino Linotype" w:cs="Palatino Linotype"/>
          <w:color w:val="000000" w:themeColor="text1"/>
        </w:rPr>
        <w:t>PROPOSED OUTCOME:</w:t>
      </w:r>
    </w:p>
    <w:p w:rsidR="6315C1A9" w:rsidP="00D118F0" w:rsidRDefault="7DAC1592" w14:paraId="661E283A" w14:textId="0CFBEA58">
      <w:pPr>
        <w:pStyle w:val="ListParagraph"/>
        <w:numPr>
          <w:ilvl w:val="0"/>
          <w:numId w:val="6"/>
        </w:numPr>
        <w:spacing w:line="240" w:lineRule="auto"/>
        <w:rPr>
          <w:rFonts w:ascii="Palatino Linotype" w:hAnsi="Palatino Linotype" w:eastAsia="Palatino Linotype" w:cs="Palatino Linotype"/>
          <w:color w:val="000000" w:themeColor="text1"/>
        </w:rPr>
      </w:pPr>
      <w:r w:rsidRPr="7441B0D7">
        <w:rPr>
          <w:rFonts w:ascii="Palatino Linotype" w:hAnsi="Palatino Linotype" w:eastAsia="Palatino Linotype" w:cs="Palatino Linotype"/>
          <w:color w:val="000000" w:themeColor="text1"/>
        </w:rPr>
        <w:t xml:space="preserve">This Resolution approves </w:t>
      </w:r>
      <w:r w:rsidRPr="7441B0D7" w:rsidR="3091649D">
        <w:rPr>
          <w:rFonts w:ascii="Palatino Linotype" w:hAnsi="Palatino Linotype" w:eastAsia="Palatino Linotype" w:cs="Palatino Linotype"/>
          <w:color w:val="000000" w:themeColor="text1"/>
        </w:rPr>
        <w:t>SDG&amp;E</w:t>
      </w:r>
      <w:r w:rsidRPr="7441B0D7" w:rsidR="555D4ECE">
        <w:rPr>
          <w:rFonts w:ascii="Palatino Linotype" w:hAnsi="Palatino Linotype" w:eastAsia="Palatino Linotype" w:cs="Palatino Linotype"/>
          <w:color w:val="000000" w:themeColor="text1"/>
        </w:rPr>
        <w:t>’s</w:t>
      </w:r>
      <w:r w:rsidRPr="7441B0D7">
        <w:rPr>
          <w:rFonts w:ascii="Palatino Linotype" w:hAnsi="Palatino Linotype" w:eastAsia="Palatino Linotype" w:cs="Palatino Linotype"/>
          <w:color w:val="000000" w:themeColor="text1"/>
        </w:rPr>
        <w:t xml:space="preserve"> Membership Interest Purchase Agreement and associated 10-year Long-Term Services Agreement Contract for 119 megawatts of </w:t>
      </w:r>
      <w:r w:rsidRPr="7441B0D7" w:rsidR="0A1D8991">
        <w:rPr>
          <w:rFonts w:ascii="Palatino Linotype" w:hAnsi="Palatino Linotype" w:eastAsia="Palatino Linotype" w:cs="Palatino Linotype"/>
          <w:color w:val="000000" w:themeColor="text1"/>
        </w:rPr>
        <w:t xml:space="preserve">local capacity </w:t>
      </w:r>
      <w:r w:rsidRPr="7441B0D7">
        <w:rPr>
          <w:rFonts w:ascii="Palatino Linotype" w:hAnsi="Palatino Linotype" w:eastAsia="Palatino Linotype" w:cs="Palatino Linotype"/>
          <w:color w:val="000000" w:themeColor="text1"/>
        </w:rPr>
        <w:t>Utility-Owned Energy Storage.</w:t>
      </w:r>
    </w:p>
    <w:p w:rsidR="190E8F6F" w:rsidP="190E8F6F" w:rsidRDefault="190E8F6F" w14:paraId="4BF637E8" w14:textId="7053284E">
      <w:pPr>
        <w:pStyle w:val="ListParagraph"/>
        <w:tabs>
          <w:tab w:val="left" w:pos="2520"/>
        </w:tabs>
        <w:spacing w:after="0" w:line="240" w:lineRule="auto"/>
        <w:ind w:left="0" w:right="2117"/>
        <w:rPr>
          <w:rFonts w:ascii="Palatino Linotype" w:hAnsi="Palatino Linotype" w:eastAsia="Palatino Linotype" w:cs="Palatino Linotype"/>
          <w:color w:val="000000" w:themeColor="text1"/>
        </w:rPr>
      </w:pPr>
    </w:p>
    <w:p w:rsidR="0027162B" w:rsidP="190E8F6F" w:rsidRDefault="495B52F8" w14:paraId="544ADCB9" w14:textId="1791A466">
      <w:pPr>
        <w:spacing w:before="1" w:line="323" w:lineRule="exact"/>
        <w:rPr>
          <w:rFonts w:ascii="Palatino Linotype" w:hAnsi="Palatino Linotype" w:eastAsia="Palatino Linotype" w:cs="Palatino Linotype"/>
          <w:color w:val="000000" w:themeColor="text1"/>
        </w:rPr>
      </w:pPr>
      <w:r w:rsidRPr="190E8F6F">
        <w:rPr>
          <w:rFonts w:ascii="Palatino Linotype" w:hAnsi="Palatino Linotype" w:eastAsia="Palatino Linotype" w:cs="Palatino Linotype"/>
          <w:color w:val="000000" w:themeColor="text1"/>
        </w:rPr>
        <w:t>SAFETY CONSIDERATIONS:</w:t>
      </w:r>
    </w:p>
    <w:p w:rsidR="213F63FC" w:rsidP="190E8F6F" w:rsidRDefault="213F63FC" w14:paraId="5B79607A" w14:textId="0762FB2F">
      <w:pPr>
        <w:pStyle w:val="ListParagraph"/>
        <w:numPr>
          <w:ilvl w:val="0"/>
          <w:numId w:val="5"/>
        </w:numPr>
        <w:spacing w:before="1" w:line="323" w:lineRule="exact"/>
        <w:rPr>
          <w:rFonts w:ascii="Palatino Linotype" w:hAnsi="Palatino Linotype" w:eastAsia="Palatino Linotype" w:cs="Palatino Linotype"/>
          <w:color w:val="000000" w:themeColor="text1"/>
        </w:rPr>
      </w:pPr>
      <w:r w:rsidRPr="190E8F6F">
        <w:rPr>
          <w:rFonts w:ascii="Palatino Linotype" w:hAnsi="Palatino Linotype" w:eastAsia="Palatino Linotype" w:cs="Palatino Linotype"/>
          <w:color w:val="000000" w:themeColor="text1"/>
        </w:rPr>
        <w:t>The Utility Owned Energy Storage contract contains detailed safety provisions provided in Exhibit N (Site and Safety Security Requirements) and provided throughout the contract technical specifications in Exhibit A-2.</w:t>
      </w:r>
    </w:p>
    <w:p w:rsidR="00D118F0" w:rsidP="00D118F0" w:rsidRDefault="00D118F0" w14:paraId="37AC7469" w14:textId="77777777">
      <w:pPr>
        <w:spacing w:after="0" w:line="240" w:lineRule="auto"/>
        <w:rPr>
          <w:rFonts w:ascii="Palatino Linotype" w:hAnsi="Palatino Linotype" w:eastAsia="Palatino Linotype" w:cs="Palatino Linotype"/>
          <w:color w:val="000000" w:themeColor="text1"/>
        </w:rPr>
      </w:pPr>
    </w:p>
    <w:p w:rsidR="0027162B" w:rsidP="190E8F6F" w:rsidRDefault="495B52F8" w14:paraId="67A25D37" w14:textId="5929E7BF">
      <w:pPr>
        <w:rPr>
          <w:rFonts w:ascii="Palatino Linotype" w:hAnsi="Palatino Linotype" w:eastAsia="Palatino Linotype" w:cs="Palatino Linotype"/>
          <w:color w:val="000000" w:themeColor="text1"/>
        </w:rPr>
      </w:pPr>
      <w:r w:rsidRPr="190E8F6F">
        <w:rPr>
          <w:rFonts w:ascii="Palatino Linotype" w:hAnsi="Palatino Linotype" w:eastAsia="Palatino Linotype" w:cs="Palatino Linotype"/>
          <w:color w:val="000000" w:themeColor="text1"/>
        </w:rPr>
        <w:t>ESTIMATED COST:</w:t>
      </w:r>
    </w:p>
    <w:p w:rsidR="0027162B" w:rsidP="190E8F6F" w:rsidRDefault="495B52F8" w14:paraId="7812E295" w14:textId="1AAF867F">
      <w:pPr>
        <w:pStyle w:val="ListParagraph"/>
        <w:numPr>
          <w:ilvl w:val="0"/>
          <w:numId w:val="7"/>
        </w:numPr>
        <w:tabs>
          <w:tab w:val="left" w:pos="2520"/>
        </w:tabs>
        <w:spacing w:after="0" w:line="240" w:lineRule="auto"/>
        <w:rPr>
          <w:rFonts w:ascii="Palatino Linotype" w:hAnsi="Palatino Linotype" w:eastAsia="Palatino Linotype" w:cs="Palatino Linotype"/>
          <w:color w:val="000000" w:themeColor="text1"/>
        </w:rPr>
      </w:pPr>
      <w:r w:rsidRPr="190E8F6F">
        <w:rPr>
          <w:rFonts w:ascii="Palatino Linotype" w:hAnsi="Palatino Linotype" w:eastAsia="Palatino Linotype" w:cs="Palatino Linotype"/>
          <w:color w:val="000000" w:themeColor="text1"/>
        </w:rPr>
        <w:t>The estimated total cost of this contract is $267.9 million</w:t>
      </w:r>
    </w:p>
    <w:p w:rsidR="0027162B" w:rsidP="190E8F6F" w:rsidRDefault="0027162B" w14:paraId="23BDFD30" w14:textId="2FF468E9">
      <w:pPr>
        <w:rPr>
          <w:rFonts w:ascii="Palatino Linotype" w:hAnsi="Palatino Linotype" w:eastAsia="Palatino Linotype" w:cs="Palatino Linotype"/>
          <w:color w:val="000000" w:themeColor="text1"/>
        </w:rPr>
      </w:pPr>
    </w:p>
    <w:p w:rsidR="495B52F8" w:rsidP="190E8F6F" w:rsidRDefault="495B52F8" w14:paraId="477E1C84" w14:textId="02ED7271">
      <w:pPr>
        <w:spacing w:before="1"/>
        <w:rPr>
          <w:rFonts w:ascii="Palatino Linotype" w:hAnsi="Palatino Linotype" w:eastAsia="Palatino Linotype" w:cs="Palatino Linotype"/>
          <w:color w:val="000000" w:themeColor="text1"/>
        </w:rPr>
      </w:pPr>
      <w:r w:rsidRPr="190E8F6F">
        <w:rPr>
          <w:rFonts w:ascii="Palatino Linotype" w:hAnsi="Palatino Linotype" w:eastAsia="Palatino Linotype" w:cs="Palatino Linotype"/>
          <w:color w:val="000000" w:themeColor="text1"/>
        </w:rPr>
        <w:t>By Advice Letter 4736-E,</w:t>
      </w:r>
      <w:r w:rsidR="002A268B">
        <w:rPr>
          <w:rFonts w:ascii="Palatino Linotype" w:hAnsi="Palatino Linotype" w:eastAsia="Palatino Linotype" w:cs="Palatino Linotype"/>
          <w:color w:val="000000" w:themeColor="text1"/>
        </w:rPr>
        <w:t xml:space="preserve"> </w:t>
      </w:r>
      <w:r w:rsidRPr="190E8F6F" w:rsidR="002A268B">
        <w:rPr>
          <w:rFonts w:ascii="Palatino Linotype" w:hAnsi="Palatino Linotype" w:eastAsia="Palatino Linotype" w:cs="Palatino Linotype"/>
          <w:color w:val="000000" w:themeColor="text1"/>
        </w:rPr>
        <w:t>4736-E</w:t>
      </w:r>
      <w:r w:rsidR="002A268B">
        <w:rPr>
          <w:rFonts w:ascii="Palatino Linotype" w:hAnsi="Palatino Linotype" w:eastAsia="Palatino Linotype" w:cs="Palatino Linotype"/>
          <w:color w:val="000000" w:themeColor="text1"/>
        </w:rPr>
        <w:t>-A</w:t>
      </w:r>
      <w:r w:rsidRPr="190E8F6F">
        <w:rPr>
          <w:rFonts w:ascii="Palatino Linotype" w:hAnsi="Palatino Linotype" w:eastAsia="Palatino Linotype" w:cs="Palatino Linotype"/>
          <w:color w:val="000000" w:themeColor="text1"/>
        </w:rPr>
        <w:t xml:space="preserve"> Filed on October 20, 2025</w:t>
      </w:r>
      <w:r w:rsidR="002A268B">
        <w:rPr>
          <w:rFonts w:ascii="Palatino Linotype" w:hAnsi="Palatino Linotype" w:eastAsia="Palatino Linotype" w:cs="Palatino Linotype"/>
          <w:color w:val="000000" w:themeColor="text1"/>
        </w:rPr>
        <w:t xml:space="preserve"> and March 11, 2026</w:t>
      </w:r>
      <w:r w:rsidRPr="190E8F6F">
        <w:rPr>
          <w:rFonts w:ascii="Palatino Linotype" w:hAnsi="Palatino Linotype" w:eastAsia="Palatino Linotype" w:cs="Palatino Linotype"/>
          <w:color w:val="000000" w:themeColor="text1"/>
        </w:rPr>
        <w:t>.</w:t>
      </w:r>
    </w:p>
    <w:p w:rsidRPr="00A95742" w:rsidR="002A268B" w:rsidP="002A268B" w:rsidRDefault="002A268B" w14:paraId="64B2AC7D" w14:textId="77777777">
      <w:pPr>
        <w:spacing w:after="0" w:line="240" w:lineRule="auto"/>
        <w:jc w:val="center"/>
        <w:rPr>
          <w:rFonts w:ascii="Palatino Linotype" w:hAnsi="Palatino Linotype" w:eastAsia="Palatino Linotype" w:cs="Times New Roman"/>
        </w:rPr>
      </w:pPr>
      <w:r w:rsidRPr="00A95742">
        <w:rPr>
          <w:rFonts w:ascii="Palatino Linotype" w:hAnsi="Palatino Linotype" w:eastAsia="Palatino Linotype" w:cs="Times New Roman"/>
        </w:rPr>
        <w:t>__________________________________________________________</w:t>
      </w:r>
    </w:p>
    <w:p w:rsidR="0027162B" w:rsidP="190E8F6F" w:rsidRDefault="495B52F8" w14:paraId="1CC9C264" w14:textId="0113A64C">
      <w:pPr>
        <w:pStyle w:val="Heading1"/>
        <w:rPr>
          <w:rFonts w:ascii="Palatino Linotype" w:hAnsi="Palatino Linotype" w:eastAsia="Palatino Linotype" w:cs="Palatino Linotype"/>
          <w:b/>
          <w:bCs/>
          <w:color w:val="000000" w:themeColor="text1"/>
          <w:sz w:val="24"/>
          <w:szCs w:val="24"/>
        </w:rPr>
      </w:pPr>
      <w:r w:rsidRPr="190E8F6F">
        <w:rPr>
          <w:rFonts w:ascii="Palatino Linotype" w:hAnsi="Palatino Linotype" w:eastAsia="Palatino Linotype" w:cs="Palatino Linotype"/>
          <w:b/>
          <w:bCs/>
          <w:color w:val="000000" w:themeColor="text1"/>
          <w:sz w:val="24"/>
          <w:szCs w:val="24"/>
          <w:u w:val="single"/>
        </w:rPr>
        <w:t>SUMMARY</w:t>
      </w:r>
    </w:p>
    <w:p w:rsidR="190E8F6F" w:rsidP="190E8F6F" w:rsidRDefault="18C3BD32" w14:paraId="746EFC7F" w14:textId="2A1BD4F7">
      <w:pPr>
        <w:rPr>
          <w:rFonts w:ascii="Palatino Linotype" w:hAnsi="Palatino Linotype" w:eastAsia="Palatino Linotype" w:cs="Palatino Linotype"/>
        </w:rPr>
      </w:pPr>
      <w:r w:rsidRPr="6AA5A77E">
        <w:rPr>
          <w:rFonts w:ascii="Palatino Linotype" w:hAnsi="Palatino Linotype" w:eastAsia="Palatino Linotype" w:cs="Palatino Linotype"/>
        </w:rPr>
        <w:t xml:space="preserve">This Resolution approves </w:t>
      </w:r>
      <w:r w:rsidRPr="6AA5A77E" w:rsidR="0A2A4BC4">
        <w:rPr>
          <w:rFonts w:ascii="Palatino Linotype" w:hAnsi="Palatino Linotype" w:eastAsia="Palatino Linotype" w:cs="Palatino Linotype"/>
          <w:color w:val="000000" w:themeColor="text1"/>
        </w:rPr>
        <w:t>SDG&amp;E</w:t>
      </w:r>
      <w:r w:rsidRPr="6AA5A77E" w:rsidR="3478B025">
        <w:rPr>
          <w:rFonts w:ascii="Palatino Linotype" w:hAnsi="Palatino Linotype" w:eastAsia="Palatino Linotype" w:cs="Palatino Linotype"/>
        </w:rPr>
        <w:t>’s</w:t>
      </w:r>
      <w:r w:rsidRPr="6AA5A77E">
        <w:rPr>
          <w:rFonts w:ascii="Palatino Linotype" w:hAnsi="Palatino Linotype" w:eastAsia="Palatino Linotype" w:cs="Palatino Linotype"/>
        </w:rPr>
        <w:t xml:space="preserve"> request for approval of a utility-owned energy storage contract procured to address 2026 and 2027 summer reliability. The contract is a Membership Interest Purchase Agreement (</w:t>
      </w:r>
      <w:r w:rsidRPr="6AA5A77E" w:rsidR="4B3E4917">
        <w:rPr>
          <w:rFonts w:ascii="Palatino Linotype" w:hAnsi="Palatino Linotype" w:eastAsia="Palatino Linotype" w:cs="Palatino Linotype"/>
        </w:rPr>
        <w:t>“</w:t>
      </w:r>
      <w:r w:rsidRPr="6AA5A77E">
        <w:rPr>
          <w:rFonts w:ascii="Palatino Linotype" w:hAnsi="Palatino Linotype" w:eastAsia="Palatino Linotype" w:cs="Palatino Linotype"/>
        </w:rPr>
        <w:t>MIPA</w:t>
      </w:r>
      <w:r w:rsidRPr="6AA5A77E" w:rsidR="0E263D72">
        <w:rPr>
          <w:rFonts w:ascii="Palatino Linotype" w:hAnsi="Palatino Linotype" w:eastAsia="Palatino Linotype" w:cs="Palatino Linotype"/>
        </w:rPr>
        <w:t>”</w:t>
      </w:r>
      <w:r w:rsidRPr="6AA5A77E">
        <w:rPr>
          <w:rFonts w:ascii="Palatino Linotype" w:hAnsi="Palatino Linotype" w:eastAsia="Palatino Linotype" w:cs="Palatino Linotype"/>
        </w:rPr>
        <w:t xml:space="preserve">) agreement with RWE AG subsidiary, RWE Clean Energy Asset Holdings, Inc. (“RWE”) for the purchase of </w:t>
      </w:r>
      <w:r w:rsidRPr="6AA5A77E">
        <w:rPr>
          <w:rFonts w:ascii="Palatino Linotype" w:hAnsi="Palatino Linotype" w:eastAsia="Palatino Linotype" w:cs="Palatino Linotype"/>
        </w:rPr>
        <w:lastRenderedPageBreak/>
        <w:t>Westside Canal 2A, LLC</w:t>
      </w:r>
      <w:r w:rsidRPr="6AA5A77E" w:rsidR="0C76ECA2">
        <w:rPr>
          <w:rFonts w:ascii="Palatino Linotype" w:hAnsi="Palatino Linotype" w:eastAsia="Palatino Linotype" w:cs="Palatino Linotype"/>
        </w:rPr>
        <w:t xml:space="preserve"> (“Westside Canal Phase 2a”)</w:t>
      </w:r>
      <w:r w:rsidRPr="6AA5A77E">
        <w:rPr>
          <w:rFonts w:ascii="Palatino Linotype" w:hAnsi="Palatino Linotype" w:eastAsia="Palatino Linotype" w:cs="Palatino Linotype"/>
        </w:rPr>
        <w:t>, a 119 megawatt (“MW”) project and an associated 10-year Long-Term Services Agreement (</w:t>
      </w:r>
      <w:r w:rsidRPr="6AA5A77E" w:rsidR="78793A0C">
        <w:rPr>
          <w:rFonts w:ascii="Palatino Linotype" w:hAnsi="Palatino Linotype" w:eastAsia="Palatino Linotype" w:cs="Palatino Linotype"/>
        </w:rPr>
        <w:t>“</w:t>
      </w:r>
      <w:r w:rsidRPr="6AA5A77E">
        <w:rPr>
          <w:rFonts w:ascii="Palatino Linotype" w:hAnsi="Palatino Linotype" w:eastAsia="Palatino Linotype" w:cs="Palatino Linotype"/>
        </w:rPr>
        <w:t>LTSA</w:t>
      </w:r>
      <w:r w:rsidRPr="6AA5A77E" w:rsidR="6945CBD2">
        <w:rPr>
          <w:rFonts w:ascii="Palatino Linotype" w:hAnsi="Palatino Linotype" w:eastAsia="Palatino Linotype" w:cs="Palatino Linotype"/>
        </w:rPr>
        <w:t>”</w:t>
      </w:r>
      <w:r w:rsidRPr="6AA5A77E">
        <w:rPr>
          <w:rFonts w:ascii="Palatino Linotype" w:hAnsi="Palatino Linotype" w:eastAsia="Palatino Linotype" w:cs="Palatino Linotype"/>
        </w:rPr>
        <w:t>). This Resolution approves the requested relief in Advice Letter ("AL") 4736-E.</w:t>
      </w:r>
    </w:p>
    <w:p w:rsidR="00316F4E" w:rsidP="00316F4E" w:rsidRDefault="00316F4E" w14:paraId="4712319E" w14:textId="77777777">
      <w:pPr>
        <w:spacing w:after="0" w:line="240" w:lineRule="auto"/>
        <w:rPr>
          <w:rFonts w:ascii="Palatino Linotype" w:hAnsi="Palatino Linotype" w:eastAsia="Palatino Linotype" w:cs="Palatino Linotype"/>
        </w:rPr>
      </w:pPr>
    </w:p>
    <w:p w:rsidR="18C3BD32" w:rsidP="190E8F6F" w:rsidRDefault="18C3BD32" w14:paraId="62D460CF" w14:textId="439881F2">
      <w:pPr>
        <w:rPr>
          <w:rFonts w:ascii="Palatino Linotype" w:hAnsi="Palatino Linotype" w:eastAsia="Palatino Linotype" w:cs="Palatino Linotype"/>
          <w:b/>
          <w:bCs/>
          <w:u w:val="single"/>
        </w:rPr>
      </w:pPr>
      <w:r w:rsidRPr="190E8F6F">
        <w:rPr>
          <w:rFonts w:ascii="Palatino Linotype" w:hAnsi="Palatino Linotype" w:eastAsia="Palatino Linotype" w:cs="Palatino Linotype"/>
          <w:b/>
          <w:bCs/>
          <w:u w:val="single"/>
        </w:rPr>
        <w:t>BACKGROUND</w:t>
      </w:r>
    </w:p>
    <w:p w:rsidR="18C3BD32" w:rsidP="190E8F6F" w:rsidRDefault="47DCE24F" w14:paraId="42E17D9A" w14:textId="60BD648D">
      <w:pPr>
        <w:rPr>
          <w:rFonts w:ascii="Palatino Linotype" w:hAnsi="Palatino Linotype" w:eastAsia="Palatino Linotype" w:cs="Palatino Linotype"/>
        </w:rPr>
      </w:pPr>
      <w:r w:rsidRPr="190E8F6F">
        <w:rPr>
          <w:rFonts w:ascii="Palatino Linotype" w:hAnsi="Palatino Linotype" w:eastAsia="Palatino Linotype" w:cs="Palatino Linotype"/>
        </w:rPr>
        <w:t xml:space="preserve">R.20-11-003 was opened in 2020 to establish policies, processes, and rules to ensure reliable electric service in California in the event of extreme weather in 2021. Several decisions were issued in this </w:t>
      </w:r>
      <w:r w:rsidRPr="190E8F6F" w:rsidR="3F7F8C24">
        <w:rPr>
          <w:rFonts w:ascii="Palatino Linotype" w:hAnsi="Palatino Linotype" w:eastAsia="Palatino Linotype" w:cs="Palatino Linotype"/>
        </w:rPr>
        <w:t xml:space="preserve">rulemaking </w:t>
      </w:r>
      <w:r w:rsidRPr="190E8F6F">
        <w:rPr>
          <w:rFonts w:ascii="Palatino Linotype" w:hAnsi="Palatino Linotype" w:eastAsia="Palatino Linotype" w:cs="Palatino Linotype"/>
        </w:rPr>
        <w:t>related to summer reliability procurement. In Decision ("D.") 21-02-028, the Commission authorized the investor-owned utilities ("IOUs") to contract for capacity available to serve peak and net peak demand in the summer of 2021 on behalf of all benefitting customers, including incremental energy storage capacity.</w:t>
      </w:r>
      <w:r w:rsidRPr="190E8F6F" w:rsidR="18C3BD32">
        <w:rPr>
          <w:rStyle w:val="FootnoteReference"/>
          <w:rFonts w:ascii="Palatino Linotype" w:hAnsi="Palatino Linotype" w:eastAsia="Palatino Linotype" w:cs="Palatino Linotype"/>
        </w:rPr>
        <w:footnoteReference w:id="1"/>
      </w:r>
      <w:r w:rsidRPr="190E8F6F">
        <w:rPr>
          <w:rFonts w:ascii="Palatino Linotype" w:hAnsi="Palatino Linotype" w:eastAsia="Palatino Linotype" w:cs="Palatino Linotype"/>
        </w:rPr>
        <w:t xml:space="preserve"> The Commission also determined that potential eligible resources may include utility-owned generation, and authorized the IOUs to submit </w:t>
      </w:r>
      <w:r w:rsidR="00D340F6">
        <w:rPr>
          <w:rFonts w:ascii="Palatino Linotype" w:hAnsi="Palatino Linotype" w:eastAsia="Palatino Linotype" w:cs="Palatino Linotype"/>
        </w:rPr>
        <w:br/>
      </w:r>
      <w:r w:rsidRPr="190E8F6F">
        <w:rPr>
          <w:rFonts w:ascii="Palatino Linotype" w:hAnsi="Palatino Linotype" w:eastAsia="Palatino Linotype" w:cs="Palatino Linotype"/>
        </w:rPr>
        <w:t>utility-owned generation for summer 2021 through a Tier 2 AL.</w:t>
      </w:r>
      <w:r w:rsidRPr="190E8F6F" w:rsidR="18C3BD32">
        <w:rPr>
          <w:rStyle w:val="FootnoteReference"/>
          <w:rFonts w:ascii="Palatino Linotype" w:hAnsi="Palatino Linotype" w:eastAsia="Palatino Linotype" w:cs="Palatino Linotype"/>
        </w:rPr>
        <w:footnoteReference w:id="2"/>
      </w:r>
    </w:p>
    <w:p w:rsidR="18C3BD32" w:rsidP="190E8F6F" w:rsidRDefault="18C3BD32" w14:paraId="6250AE8F" w14:textId="5CC752BB">
      <w:pPr>
        <w:rPr>
          <w:rFonts w:ascii="Palatino Linotype" w:hAnsi="Palatino Linotype" w:eastAsia="Palatino Linotype" w:cs="Palatino Linotype"/>
        </w:rPr>
      </w:pPr>
      <w:r w:rsidRPr="190E8F6F">
        <w:rPr>
          <w:rFonts w:ascii="Palatino Linotype" w:hAnsi="Palatino Linotype" w:eastAsia="Palatino Linotype" w:cs="Palatino Linotype"/>
        </w:rPr>
        <w:t>In March 2021, the Commission issued D.21-03-056</w:t>
      </w:r>
      <w:r w:rsidR="00161897">
        <w:rPr>
          <w:rFonts w:ascii="Palatino Linotype" w:hAnsi="Palatino Linotype" w:eastAsia="Palatino Linotype" w:cs="Palatino Linotype"/>
        </w:rPr>
        <w:t>,</w:t>
      </w:r>
      <w:r w:rsidRPr="190E8F6F">
        <w:rPr>
          <w:rFonts w:ascii="Palatino Linotype" w:hAnsi="Palatino Linotype" w:eastAsia="Palatino Linotype" w:cs="Palatino Linotype"/>
        </w:rPr>
        <w:t xml:space="preserve"> which authorized the IOUs to continue their procurement efforts on behalf of all benefitting customers by targeting an effective increase in the planning reserve margin ("PRM") from 15 to 17.5 percent for the summers of 2021 and 2022, and encouraged the IOUs to exceed their respective targets by as much as an additional 50 percent for incremental supply-side generation and </w:t>
      </w:r>
      <w:r w:rsidR="00D340F6">
        <w:rPr>
          <w:rFonts w:ascii="Palatino Linotype" w:hAnsi="Palatino Linotype" w:eastAsia="Palatino Linotype" w:cs="Palatino Linotype"/>
        </w:rPr>
        <w:br/>
      </w:r>
      <w:r w:rsidRPr="190E8F6F">
        <w:rPr>
          <w:rFonts w:ascii="Palatino Linotype" w:hAnsi="Palatino Linotype" w:eastAsia="Palatino Linotype" w:cs="Palatino Linotype"/>
        </w:rPr>
        <w:t>in-front-of-the-meter storage resources for a desired 19 percent PRM.</w:t>
      </w:r>
      <w:r w:rsidRPr="190E8F6F">
        <w:rPr>
          <w:rStyle w:val="FootnoteReference"/>
          <w:rFonts w:ascii="Palatino Linotype" w:hAnsi="Palatino Linotype" w:eastAsia="Palatino Linotype" w:cs="Palatino Linotype"/>
        </w:rPr>
        <w:footnoteReference w:id="3"/>
      </w:r>
      <w:r w:rsidRPr="190E8F6F">
        <w:rPr>
          <w:rFonts w:ascii="Palatino Linotype" w:hAnsi="Palatino Linotype" w:eastAsia="Palatino Linotype" w:cs="Palatino Linotype"/>
        </w:rPr>
        <w:t xml:space="preserve"> The Commission expressed a continuing preference for energy storage contracts.</w:t>
      </w:r>
      <w:r w:rsidRPr="190E8F6F">
        <w:rPr>
          <w:rStyle w:val="FootnoteReference"/>
          <w:rFonts w:ascii="Palatino Linotype" w:hAnsi="Palatino Linotype" w:eastAsia="Palatino Linotype" w:cs="Palatino Linotype"/>
        </w:rPr>
        <w:footnoteReference w:id="4"/>
      </w:r>
    </w:p>
    <w:p w:rsidR="18C3BD32" w:rsidP="190E8F6F" w:rsidRDefault="18C3BD32" w14:paraId="3C2CDA73" w14:textId="68CE2949">
      <w:pPr>
        <w:rPr>
          <w:rFonts w:ascii="Palatino Linotype" w:hAnsi="Palatino Linotype" w:eastAsia="Palatino Linotype" w:cs="Palatino Linotype"/>
        </w:rPr>
      </w:pPr>
      <w:r w:rsidRPr="190E8F6F">
        <w:rPr>
          <w:rFonts w:ascii="Palatino Linotype" w:hAnsi="Palatino Linotype" w:eastAsia="Palatino Linotype" w:cs="Palatino Linotype"/>
        </w:rPr>
        <w:t>On December 6, 2021, the Commission issued a Phase 2 decision, D.21-12-015, adopting several supply and demand-side requirements intended to ensure there would be adequate electric power in the event of extreme weather conditions during the summers of 2022 and 2023.</w:t>
      </w:r>
      <w:r w:rsidRPr="190E8F6F">
        <w:rPr>
          <w:rStyle w:val="FootnoteReference"/>
          <w:rFonts w:ascii="Palatino Linotype" w:hAnsi="Palatino Linotype" w:eastAsia="Palatino Linotype" w:cs="Palatino Linotype"/>
        </w:rPr>
        <w:footnoteReference w:id="5"/>
      </w:r>
      <w:r w:rsidRPr="190E8F6F">
        <w:rPr>
          <w:rFonts w:ascii="Palatino Linotype" w:hAnsi="Palatino Linotype" w:eastAsia="Palatino Linotype" w:cs="Palatino Linotype"/>
        </w:rPr>
        <w:t xml:space="preserve">  Specifically, the Commission determined a need for contingency resources in the range of 2,000 to 3,000 MW to meet an effective PRM of 20 to 22.5%.</w:t>
      </w:r>
      <w:r w:rsidRPr="190E8F6F">
        <w:rPr>
          <w:rStyle w:val="FootnoteReference"/>
          <w:rFonts w:ascii="Palatino Linotype" w:hAnsi="Palatino Linotype" w:eastAsia="Palatino Linotype" w:cs="Palatino Linotype"/>
        </w:rPr>
        <w:footnoteReference w:id="6"/>
      </w:r>
      <w:r w:rsidRPr="190E8F6F">
        <w:rPr>
          <w:rFonts w:ascii="Palatino Linotype" w:hAnsi="Palatino Linotype" w:eastAsia="Palatino Linotype" w:cs="Palatino Linotype"/>
        </w:rPr>
        <w:t xml:space="preserve">  The Commission allocated the procurement responsibility for the additional </w:t>
      </w:r>
      <w:r w:rsidRPr="190E8F6F">
        <w:rPr>
          <w:rFonts w:ascii="Palatino Linotype" w:hAnsi="Palatino Linotype" w:eastAsia="Palatino Linotype" w:cs="Palatino Linotype"/>
        </w:rPr>
        <w:lastRenderedPageBreak/>
        <w:t>contingency resources to the three large IOUs on a proportional load share basis;</w:t>
      </w:r>
      <w:r w:rsidRPr="190E8F6F" w:rsidR="33D66506">
        <w:rPr>
          <w:rFonts w:ascii="Palatino Linotype" w:hAnsi="Palatino Linotype" w:eastAsia="Palatino Linotype" w:cs="Palatino Linotype"/>
        </w:rPr>
        <w:t xml:space="preserve"> </w:t>
      </w:r>
      <w:r w:rsidRPr="190E8F6F">
        <w:rPr>
          <w:rFonts w:ascii="Palatino Linotype" w:hAnsi="Palatino Linotype" w:eastAsia="Palatino Linotype" w:cs="Palatino Linotype"/>
        </w:rPr>
        <w:t>SDG&amp;E’s share of the procurement range was 200 to 300 MW.</w:t>
      </w:r>
      <w:r w:rsidRPr="190E8F6F">
        <w:rPr>
          <w:rStyle w:val="FootnoteReference"/>
          <w:rFonts w:ascii="Palatino Linotype" w:hAnsi="Palatino Linotype" w:eastAsia="Palatino Linotype" w:cs="Palatino Linotype"/>
        </w:rPr>
        <w:footnoteReference w:id="7"/>
      </w:r>
    </w:p>
    <w:p w:rsidR="18C3BD32" w:rsidP="190E8F6F" w:rsidRDefault="18C3BD32" w14:paraId="41D881F7" w14:textId="12D07C73">
      <w:pPr>
        <w:rPr>
          <w:rFonts w:ascii="Palatino Linotype" w:hAnsi="Palatino Linotype" w:eastAsia="Palatino Linotype" w:cs="Palatino Linotype"/>
        </w:rPr>
      </w:pPr>
      <w:r w:rsidRPr="190E8F6F">
        <w:rPr>
          <w:rFonts w:ascii="Palatino Linotype" w:hAnsi="Palatino Linotype" w:eastAsia="Palatino Linotype" w:cs="Palatino Linotype"/>
        </w:rPr>
        <w:t>The Commission also established specific requirements for the procurement of additional supply-resources in D.21-12-015, including:</w:t>
      </w:r>
    </w:p>
    <w:p w:rsidR="79A3CFFC" w:rsidP="190E8F6F" w:rsidRDefault="79A3CFFC" w14:paraId="3F8B48A6" w14:textId="7666F32B">
      <w:pPr>
        <w:pStyle w:val="ListParagraph"/>
        <w:numPr>
          <w:ilvl w:val="0"/>
          <w:numId w:val="4"/>
        </w:numPr>
        <w:rPr>
          <w:rFonts w:ascii="Palatino Linotype" w:hAnsi="Palatino Linotype" w:eastAsia="Palatino Linotype" w:cs="Palatino Linotype"/>
        </w:rPr>
      </w:pPr>
      <w:r w:rsidRPr="190E8F6F">
        <w:rPr>
          <w:rFonts w:ascii="Palatino Linotype" w:hAnsi="Palatino Linotype" w:eastAsia="Palatino Linotype" w:cs="Palatino Linotype"/>
        </w:rPr>
        <w:t>Resources must be available during both the peak and net peak demand periods.</w:t>
      </w:r>
    </w:p>
    <w:p w:rsidR="79A3CFFC" w:rsidP="190E8F6F" w:rsidRDefault="79A3CFFC" w14:paraId="59076265" w14:textId="331DCCC0">
      <w:pPr>
        <w:pStyle w:val="ListParagraph"/>
        <w:numPr>
          <w:ilvl w:val="0"/>
          <w:numId w:val="4"/>
        </w:numPr>
        <w:rPr>
          <w:rFonts w:ascii="Palatino Linotype" w:hAnsi="Palatino Linotype" w:eastAsia="Palatino Linotype" w:cs="Palatino Linotype"/>
        </w:rPr>
      </w:pPr>
      <w:r w:rsidRPr="190E8F6F">
        <w:rPr>
          <w:rFonts w:ascii="Palatino Linotype" w:hAnsi="Palatino Linotype" w:eastAsia="Palatino Linotype" w:cs="Palatino Linotype"/>
        </w:rPr>
        <w:t>Commercial Online Dates (“COD”) by June 1, 2022, are preferred but resources with CODs by August 1, 2023, will be considered.</w:t>
      </w:r>
    </w:p>
    <w:p w:rsidR="79A3CFFC" w:rsidP="190E8F6F" w:rsidRDefault="79A3CFFC" w14:paraId="45CA515A" w14:textId="65BDC425">
      <w:pPr>
        <w:pStyle w:val="ListParagraph"/>
        <w:numPr>
          <w:ilvl w:val="0"/>
          <w:numId w:val="4"/>
        </w:numPr>
        <w:rPr>
          <w:rFonts w:ascii="Palatino Linotype" w:hAnsi="Palatino Linotype" w:eastAsia="Palatino Linotype" w:cs="Palatino Linotype"/>
        </w:rPr>
      </w:pPr>
      <w:r w:rsidRPr="190E8F6F">
        <w:rPr>
          <w:rFonts w:ascii="Palatino Linotype" w:hAnsi="Palatino Linotype" w:eastAsia="Palatino Linotype" w:cs="Palatino Linotype"/>
        </w:rPr>
        <w:t xml:space="preserve">New resources that have not yet reached full capacity deliverability status but are capable of providing energy/grid reliability benefits during the peak and </w:t>
      </w:r>
      <w:r w:rsidR="00D340F6">
        <w:rPr>
          <w:rFonts w:ascii="Palatino Linotype" w:hAnsi="Palatino Linotype" w:eastAsia="Palatino Linotype" w:cs="Palatino Linotype"/>
        </w:rPr>
        <w:br/>
      </w:r>
      <w:r w:rsidRPr="190E8F6F">
        <w:rPr>
          <w:rFonts w:ascii="Palatino Linotype" w:hAnsi="Palatino Linotype" w:eastAsia="Palatino Linotype" w:cs="Palatino Linotype"/>
        </w:rPr>
        <w:t>net-peak periods will also be considered.</w:t>
      </w:r>
    </w:p>
    <w:p w:rsidR="79A3CFFC" w:rsidP="190E8F6F" w:rsidRDefault="79A3CFFC" w14:paraId="6092C2C9" w14:textId="43A4EBE9">
      <w:pPr>
        <w:pStyle w:val="ListParagraph"/>
        <w:numPr>
          <w:ilvl w:val="0"/>
          <w:numId w:val="4"/>
        </w:numPr>
        <w:rPr>
          <w:rFonts w:ascii="Palatino Linotype" w:hAnsi="Palatino Linotype" w:eastAsia="Palatino Linotype" w:cs="Palatino Linotype"/>
        </w:rPr>
      </w:pPr>
      <w:r w:rsidRPr="190E8F6F">
        <w:rPr>
          <w:rFonts w:ascii="Palatino Linotype" w:hAnsi="Palatino Linotype" w:eastAsia="Palatino Linotype" w:cs="Palatino Linotype"/>
        </w:rPr>
        <w:t>Potential resources may include utility-owned storage, with Commission consideration of such projects through a Tier 2 AL.</w:t>
      </w:r>
      <w:r w:rsidRPr="190E8F6F">
        <w:rPr>
          <w:rStyle w:val="FootnoteReference"/>
          <w:rFonts w:ascii="Palatino Linotype" w:hAnsi="Palatino Linotype" w:eastAsia="Palatino Linotype" w:cs="Palatino Linotype"/>
        </w:rPr>
        <w:footnoteReference w:id="8"/>
      </w:r>
    </w:p>
    <w:p w:rsidR="79A3CFFC" w:rsidP="190E8F6F" w:rsidRDefault="14027622" w14:paraId="451CF53D" w14:textId="4AAE897E">
      <w:pPr>
        <w:rPr>
          <w:rFonts w:ascii="Palatino Linotype" w:hAnsi="Palatino Linotype" w:eastAsia="Palatino Linotype" w:cs="Palatino Linotype"/>
        </w:rPr>
      </w:pPr>
      <w:r w:rsidRPr="190E8F6F">
        <w:rPr>
          <w:rFonts w:ascii="Palatino Linotype" w:hAnsi="Palatino Linotype" w:eastAsia="Palatino Linotype" w:cs="Palatino Linotype"/>
        </w:rPr>
        <w:t>On July 5, 2023, the Commission issued D.23-06-029</w:t>
      </w:r>
      <w:r w:rsidRPr="190E8F6F" w:rsidR="1F9B450B">
        <w:rPr>
          <w:rFonts w:ascii="Palatino Linotype" w:hAnsi="Palatino Linotype" w:eastAsia="Palatino Linotype" w:cs="Palatino Linotype"/>
        </w:rPr>
        <w:t xml:space="preserve"> in R.21-10-002, the Resource Adequacy rulemaking</w:t>
      </w:r>
      <w:r w:rsidRPr="190E8F6F">
        <w:rPr>
          <w:rFonts w:ascii="Palatino Linotype" w:hAnsi="Palatino Linotype" w:eastAsia="Palatino Linotype" w:cs="Palatino Linotype"/>
        </w:rPr>
        <w:t xml:space="preserve">, adopting local capacity obligations for 2024 through 2026, flexible capacity obligations for 2024, and program refinements. D.23-06-029 established a 17 percent PRM for </w:t>
      </w:r>
      <w:r w:rsidRPr="6AA5A77E" w:rsidR="5475C799">
        <w:rPr>
          <w:rFonts w:ascii="Palatino Linotype" w:hAnsi="Palatino Linotype" w:eastAsia="Palatino Linotype" w:cs="Palatino Linotype"/>
        </w:rPr>
        <w:t>Load-Serving Entities (</w:t>
      </w:r>
      <w:r w:rsidRPr="190E8F6F" w:rsidR="00DE4B6D">
        <w:rPr>
          <w:rFonts w:ascii="Palatino Linotype" w:hAnsi="Palatino Linotype" w:eastAsia="Palatino Linotype" w:cs="Palatino Linotype"/>
        </w:rPr>
        <w:t>“</w:t>
      </w:r>
      <w:r w:rsidRPr="190E8F6F">
        <w:rPr>
          <w:rFonts w:ascii="Palatino Linotype" w:hAnsi="Palatino Linotype" w:eastAsia="Palatino Linotype" w:cs="Palatino Linotype"/>
        </w:rPr>
        <w:t>LSEs</w:t>
      </w:r>
      <w:r w:rsidRPr="190E8F6F" w:rsidR="6FCDEC2C">
        <w:rPr>
          <w:rFonts w:ascii="Palatino Linotype" w:hAnsi="Palatino Linotype" w:eastAsia="Palatino Linotype" w:cs="Palatino Linotype"/>
        </w:rPr>
        <w:t>”</w:t>
      </w:r>
      <w:r w:rsidRPr="190E8F6F" w:rsidR="54D47F44">
        <w:rPr>
          <w:rFonts w:ascii="Palatino Linotype" w:hAnsi="Palatino Linotype" w:eastAsia="Palatino Linotype" w:cs="Palatino Linotype"/>
        </w:rPr>
        <w:t>)</w:t>
      </w:r>
      <w:r w:rsidRPr="190E8F6F">
        <w:rPr>
          <w:rFonts w:ascii="Palatino Linotype" w:hAnsi="Palatino Linotype" w:eastAsia="Palatino Linotype" w:cs="Palatino Linotype"/>
        </w:rPr>
        <w:t xml:space="preserve"> and an effective PRM procurement target of 170 to 320 MW for SDG&amp;E for 2024 and 2025.</w:t>
      </w:r>
      <w:r w:rsidRPr="190E8F6F" w:rsidR="79A3CFFC">
        <w:rPr>
          <w:rStyle w:val="FootnoteReference"/>
          <w:rFonts w:ascii="Palatino Linotype" w:hAnsi="Palatino Linotype" w:eastAsia="Palatino Linotype" w:cs="Palatino Linotype"/>
        </w:rPr>
        <w:footnoteReference w:id="9"/>
      </w:r>
      <w:r w:rsidRPr="190E8F6F">
        <w:rPr>
          <w:rFonts w:ascii="Palatino Linotype" w:hAnsi="Palatino Linotype" w:eastAsia="Palatino Linotype" w:cs="Palatino Linotype"/>
        </w:rPr>
        <w:t xml:space="preserve"> The decision continued the requirements adopted in D.21-12-015 where “resources eligible to count towards the effective PRM will remain unchanged from D.21-12-015 and all resources that are currently eligible to be contingency resources will remain eligible to be contingency resources in 2024 and 2025.</w:t>
      </w:r>
      <w:r w:rsidR="67369475">
        <w:rPr>
          <w:rFonts w:ascii="Palatino Linotype" w:hAnsi="Palatino Linotype" w:eastAsia="Palatino Linotype" w:cs="Palatino Linotype"/>
        </w:rPr>
        <w:t>”</w:t>
      </w:r>
      <w:r w:rsidRPr="190E8F6F" w:rsidR="79A3CFFC">
        <w:rPr>
          <w:rStyle w:val="FootnoteReference"/>
          <w:rFonts w:ascii="Palatino Linotype" w:hAnsi="Palatino Linotype" w:eastAsia="Palatino Linotype" w:cs="Palatino Linotype"/>
        </w:rPr>
        <w:footnoteReference w:id="10"/>
      </w:r>
      <w:r w:rsidRPr="190E8F6F">
        <w:rPr>
          <w:rFonts w:ascii="Palatino Linotype" w:hAnsi="Palatino Linotype" w:eastAsia="Palatino Linotype" w:cs="Palatino Linotype"/>
        </w:rPr>
        <w:t xml:space="preserve"> </w:t>
      </w:r>
    </w:p>
    <w:p w:rsidR="79A3CFFC" w:rsidP="190E8F6F" w:rsidRDefault="14027622" w14:paraId="705D64F8" w14:textId="3F590C7E">
      <w:pPr>
        <w:rPr>
          <w:rFonts w:ascii="Palatino Linotype" w:hAnsi="Palatino Linotype" w:eastAsia="Palatino Linotype" w:cs="Palatino Linotype"/>
        </w:rPr>
      </w:pPr>
      <w:r w:rsidRPr="190E8F6F">
        <w:rPr>
          <w:rFonts w:ascii="Palatino Linotype" w:hAnsi="Palatino Linotype" w:eastAsia="Palatino Linotype" w:cs="Palatino Linotype"/>
        </w:rPr>
        <w:t>On June 27, 2025, the Commission issued D.25-06-048</w:t>
      </w:r>
      <w:r w:rsidRPr="190E8F6F" w:rsidR="14C240C8">
        <w:rPr>
          <w:rFonts w:ascii="Palatino Linotype" w:hAnsi="Palatino Linotype" w:eastAsia="Palatino Linotype" w:cs="Palatino Linotype"/>
        </w:rPr>
        <w:t xml:space="preserve"> in R.23-10-011</w:t>
      </w:r>
      <w:r w:rsidRPr="190E8F6F">
        <w:rPr>
          <w:rFonts w:ascii="Palatino Linotype" w:hAnsi="Palatino Linotype" w:eastAsia="Palatino Linotype" w:cs="Palatino Linotype"/>
        </w:rPr>
        <w:t xml:space="preserve">, adopting local capacity obligations for 2026 through 2028, flexible capacity obligations for 2026, and program refinements. D.25-06-048 established an 18 percent PRM for LSEs and an effective PRM procurement target of </w:t>
      </w:r>
      <w:r w:rsidRPr="190E8F6F" w:rsidR="2AFC137E">
        <w:rPr>
          <w:rFonts w:ascii="Palatino Linotype" w:hAnsi="Palatino Linotype" w:eastAsia="Palatino Linotype" w:cs="Palatino Linotype"/>
        </w:rPr>
        <w:t>120</w:t>
      </w:r>
      <w:r w:rsidRPr="190E8F6F">
        <w:rPr>
          <w:rFonts w:ascii="Palatino Linotype" w:hAnsi="Palatino Linotype" w:eastAsia="Palatino Linotype" w:cs="Palatino Linotype"/>
        </w:rPr>
        <w:t>-220 MW for SDG&amp;E for 2026 and 2027.</w:t>
      </w:r>
      <w:r w:rsidRPr="190E8F6F" w:rsidR="79A3CFFC">
        <w:rPr>
          <w:rStyle w:val="FootnoteReference"/>
          <w:rFonts w:ascii="Palatino Linotype" w:hAnsi="Palatino Linotype" w:eastAsia="Palatino Linotype" w:cs="Palatino Linotype"/>
        </w:rPr>
        <w:footnoteReference w:id="11"/>
      </w:r>
      <w:r w:rsidRPr="190E8F6F">
        <w:rPr>
          <w:rFonts w:ascii="Palatino Linotype" w:hAnsi="Palatino Linotype" w:eastAsia="Palatino Linotype" w:cs="Palatino Linotype"/>
        </w:rPr>
        <w:t xml:space="preserve"> The requirements adopted in </w:t>
      </w:r>
      <w:r w:rsidRPr="190E8F6F" w:rsidR="241DB412">
        <w:rPr>
          <w:rFonts w:ascii="Palatino Linotype" w:hAnsi="Palatino Linotype" w:eastAsia="Palatino Linotype" w:cs="Palatino Linotype"/>
        </w:rPr>
        <w:t>D.</w:t>
      </w:r>
      <w:r w:rsidRPr="190E8F6F">
        <w:rPr>
          <w:rFonts w:ascii="Palatino Linotype" w:hAnsi="Palatino Linotype" w:eastAsia="Palatino Linotype" w:cs="Palatino Linotype"/>
        </w:rPr>
        <w:t xml:space="preserve">23-06-029 pertaining to the effective planning reserve margin are applicable to the effective PRM adopted in D.25-06-048, with the exception </w:t>
      </w:r>
      <w:r w:rsidRPr="190E8F6F">
        <w:rPr>
          <w:rFonts w:ascii="Palatino Linotype" w:hAnsi="Palatino Linotype" w:eastAsia="Palatino Linotype" w:cs="Palatino Linotype"/>
        </w:rPr>
        <w:lastRenderedPageBreak/>
        <w:t xml:space="preserve">that load-serving entities are no longer required to submit non-binding month-ahead </w:t>
      </w:r>
      <w:r w:rsidRPr="6AA5A77E" w:rsidR="23DE5FE9">
        <w:rPr>
          <w:rFonts w:ascii="Palatino Linotype" w:hAnsi="Palatino Linotype" w:eastAsia="Palatino Linotype" w:cs="Palatino Linotype"/>
        </w:rPr>
        <w:t>Resource Adequacy (</w:t>
      </w:r>
      <w:r w:rsidRPr="6AA5A77E" w:rsidR="5DE258DF">
        <w:rPr>
          <w:rFonts w:ascii="Palatino Linotype" w:hAnsi="Palatino Linotype" w:eastAsia="Palatino Linotype" w:cs="Palatino Linotype"/>
        </w:rPr>
        <w:t>”</w:t>
      </w:r>
      <w:r w:rsidRPr="6AA5A77E" w:rsidR="23DE5FE9">
        <w:rPr>
          <w:rFonts w:ascii="Palatino Linotype" w:hAnsi="Palatino Linotype" w:eastAsia="Palatino Linotype" w:cs="Palatino Linotype"/>
        </w:rPr>
        <w:t>RA</w:t>
      </w:r>
      <w:r w:rsidRPr="6AA5A77E" w:rsidR="7E85D37B">
        <w:rPr>
          <w:rFonts w:ascii="Palatino Linotype" w:hAnsi="Palatino Linotype" w:eastAsia="Palatino Linotype" w:cs="Palatino Linotype"/>
        </w:rPr>
        <w:t>”</w:t>
      </w:r>
      <w:r w:rsidRPr="01C0285C" w:rsidR="23DE5FE9">
        <w:rPr>
          <w:rFonts w:ascii="Palatino Linotype" w:hAnsi="Palatino Linotype" w:eastAsia="Palatino Linotype" w:cs="Palatino Linotype"/>
        </w:rPr>
        <w:t>)</w:t>
      </w:r>
      <w:r w:rsidRPr="190E8F6F" w:rsidR="2AFC137E">
        <w:rPr>
          <w:rFonts w:ascii="Palatino Linotype" w:hAnsi="Palatino Linotype" w:eastAsia="Palatino Linotype" w:cs="Palatino Linotype"/>
        </w:rPr>
        <w:t xml:space="preserve"> filings.</w:t>
      </w:r>
      <w:r w:rsidRPr="190E8F6F" w:rsidR="79A3CFFC">
        <w:rPr>
          <w:rStyle w:val="FootnoteReference"/>
          <w:rFonts w:ascii="Palatino Linotype" w:hAnsi="Palatino Linotype" w:eastAsia="Palatino Linotype" w:cs="Palatino Linotype"/>
        </w:rPr>
        <w:footnoteReference w:id="12"/>
      </w:r>
      <w:r w:rsidRPr="190E8F6F" w:rsidR="2AFC137E">
        <w:rPr>
          <w:rFonts w:ascii="Palatino Linotype" w:hAnsi="Palatino Linotype" w:eastAsia="Palatino Linotype" w:cs="Palatino Linotype"/>
        </w:rPr>
        <w:t xml:space="preserve"> </w:t>
      </w:r>
    </w:p>
    <w:p w:rsidR="79A3CFFC" w:rsidP="190E8F6F" w:rsidRDefault="79A3CFFC" w14:paraId="17C132D3" w14:textId="0A6BAA4B">
      <w:pPr>
        <w:rPr>
          <w:rFonts w:ascii="Palatino Linotype" w:hAnsi="Palatino Linotype" w:eastAsia="Palatino Linotype" w:cs="Palatino Linotype"/>
        </w:rPr>
      </w:pPr>
      <w:r w:rsidRPr="6AA5A77E">
        <w:rPr>
          <w:rFonts w:ascii="Palatino Linotype" w:hAnsi="Palatino Linotype" w:eastAsia="Palatino Linotype" w:cs="Palatino Linotype"/>
        </w:rPr>
        <w:t xml:space="preserve">In compliance with </w:t>
      </w:r>
      <w:r w:rsidRPr="6AA5A77E" w:rsidR="757E44B9">
        <w:rPr>
          <w:rFonts w:ascii="Palatino Linotype" w:hAnsi="Palatino Linotype" w:eastAsia="Palatino Linotype" w:cs="Palatino Linotype"/>
        </w:rPr>
        <w:t>California Public Utilities Commission (</w:t>
      </w:r>
      <w:r w:rsidRPr="6AA5A77E" w:rsidR="622A56DA">
        <w:rPr>
          <w:rFonts w:ascii="Palatino Linotype" w:hAnsi="Palatino Linotype" w:eastAsia="Palatino Linotype" w:cs="Palatino Linotype"/>
        </w:rPr>
        <w:t>“</w:t>
      </w:r>
      <w:r w:rsidRPr="6AA5A77E">
        <w:rPr>
          <w:rFonts w:ascii="Palatino Linotype" w:hAnsi="Palatino Linotype" w:eastAsia="Palatino Linotype" w:cs="Palatino Linotype"/>
        </w:rPr>
        <w:t>CPUC</w:t>
      </w:r>
      <w:r w:rsidRPr="6AA5A77E" w:rsidR="137B6603">
        <w:rPr>
          <w:rFonts w:ascii="Palatino Linotype" w:hAnsi="Palatino Linotype" w:eastAsia="Palatino Linotype" w:cs="Palatino Linotype"/>
        </w:rPr>
        <w:t>”</w:t>
      </w:r>
      <w:r w:rsidRPr="6AA5A77E" w:rsidR="214B73B7">
        <w:rPr>
          <w:rFonts w:ascii="Palatino Linotype" w:hAnsi="Palatino Linotype" w:eastAsia="Palatino Linotype" w:cs="Palatino Linotype"/>
        </w:rPr>
        <w:t>)</w:t>
      </w:r>
      <w:r w:rsidRPr="6AA5A77E">
        <w:rPr>
          <w:rFonts w:ascii="Palatino Linotype" w:hAnsi="Palatino Linotype" w:eastAsia="Palatino Linotype" w:cs="Palatino Linotype"/>
        </w:rPr>
        <w:t xml:space="preserve"> order, SDG&amp;E has submitted timely updates on resources procured towards the effective PRM. Included in those resources are Clairemont, Paradise, Boulevard, and Elliot microgrid contracts approved via Resolution E-5219</w:t>
      </w:r>
      <w:r w:rsidRPr="6AA5A77E" w:rsidR="466A43B0">
        <w:rPr>
          <w:rFonts w:ascii="Palatino Linotype" w:hAnsi="Palatino Linotype" w:eastAsia="Palatino Linotype" w:cs="Palatino Linotype"/>
        </w:rPr>
        <w:t xml:space="preserve">; Pala Gomez </w:t>
      </w:r>
      <w:r w:rsidRPr="6AA5A77E" w:rsidR="0084231A">
        <w:rPr>
          <w:rFonts w:ascii="Palatino Linotype" w:hAnsi="Palatino Linotype" w:eastAsia="Palatino Linotype" w:cs="Palatino Linotype"/>
        </w:rPr>
        <w:t>battery energy storage system (</w:t>
      </w:r>
      <w:r w:rsidRPr="6AA5A77E" w:rsidR="424DB30A">
        <w:rPr>
          <w:rFonts w:ascii="Palatino Linotype" w:hAnsi="Palatino Linotype" w:eastAsia="Palatino Linotype" w:cs="Palatino Linotype"/>
        </w:rPr>
        <w:t>“</w:t>
      </w:r>
      <w:r w:rsidRPr="6AA5A77E" w:rsidR="466A43B0">
        <w:rPr>
          <w:rFonts w:ascii="Palatino Linotype" w:hAnsi="Palatino Linotype" w:eastAsia="Palatino Linotype" w:cs="Palatino Linotype"/>
        </w:rPr>
        <w:t>BESS</w:t>
      </w:r>
      <w:r w:rsidRPr="6AA5A77E" w:rsidR="29583599">
        <w:rPr>
          <w:rFonts w:ascii="Palatino Linotype" w:hAnsi="Palatino Linotype" w:eastAsia="Palatino Linotype" w:cs="Palatino Linotype"/>
        </w:rPr>
        <w:t>”</w:t>
      </w:r>
      <w:r w:rsidRPr="6AA5A77E" w:rsidR="0084231A">
        <w:rPr>
          <w:rFonts w:ascii="Palatino Linotype" w:hAnsi="Palatino Linotype" w:eastAsia="Palatino Linotype" w:cs="Palatino Linotype"/>
        </w:rPr>
        <w:t>)</w:t>
      </w:r>
      <w:r w:rsidRPr="6AA5A77E" w:rsidR="466A43B0">
        <w:rPr>
          <w:rFonts w:ascii="Palatino Linotype" w:hAnsi="Palatino Linotype" w:eastAsia="Palatino Linotype" w:cs="Palatino Linotype"/>
        </w:rPr>
        <w:t xml:space="preserve"> and Melrose BESS </w:t>
      </w:r>
      <w:r w:rsidRPr="6AA5A77E" w:rsidR="5C98EF65">
        <w:rPr>
          <w:rFonts w:ascii="Palatino Linotype" w:hAnsi="Palatino Linotype" w:eastAsia="Palatino Linotype" w:cs="Palatino Linotype"/>
        </w:rPr>
        <w:t xml:space="preserve">contracts </w:t>
      </w:r>
      <w:r w:rsidRPr="6AA5A77E" w:rsidR="466A43B0">
        <w:rPr>
          <w:rFonts w:ascii="Palatino Linotype" w:hAnsi="Palatino Linotype" w:eastAsia="Palatino Linotype" w:cs="Palatino Linotype"/>
        </w:rPr>
        <w:t xml:space="preserve">approved via Resolution E-5193; </w:t>
      </w:r>
      <w:r w:rsidRPr="6AA5A77E" w:rsidR="4FEDE265">
        <w:rPr>
          <w:rFonts w:ascii="Palatino Linotype" w:hAnsi="Palatino Linotype" w:eastAsia="Palatino Linotype" w:cs="Palatino Linotype"/>
        </w:rPr>
        <w:t>Fallbrook BESS</w:t>
      </w:r>
      <w:r w:rsidRPr="6AA5A77E" w:rsidR="285DB37D">
        <w:rPr>
          <w:rFonts w:ascii="Palatino Linotype" w:hAnsi="Palatino Linotype" w:eastAsia="Palatino Linotype" w:cs="Palatino Linotype"/>
        </w:rPr>
        <w:t xml:space="preserve"> and Santee BESS contracts approved via Resolution E-5303; and Westside Canal Phase 2b approved via Resolution E-5372. </w:t>
      </w:r>
    </w:p>
    <w:p w:rsidR="79A3CFFC" w:rsidP="7441B0D7" w:rsidRDefault="14027622" w14:paraId="00F6CF09" w14:textId="3C1AB514">
      <w:pPr>
        <w:rPr>
          <w:rFonts w:ascii="Palatino Linotype" w:hAnsi="Palatino Linotype" w:eastAsia="Palatino Linotype" w:cs="Palatino Linotype"/>
        </w:rPr>
      </w:pPr>
      <w:r w:rsidRPr="190E8F6F">
        <w:rPr>
          <w:rFonts w:ascii="Palatino Linotype" w:hAnsi="Palatino Linotype" w:eastAsia="Palatino Linotype" w:cs="Palatino Linotype"/>
        </w:rPr>
        <w:t xml:space="preserve">On September 29, 2023, SDG&amp;E submitted AL 4923-E requesting approval of one </w:t>
      </w:r>
      <w:r w:rsidRPr="00A760D3" w:rsidR="5E54144D">
        <w:rPr>
          <w:rFonts w:ascii="Palatino Linotype" w:hAnsi="Palatino Linotype" w:eastAsia="Palatino Linotype" w:cs="Palatino Linotype"/>
        </w:rPr>
        <w:t>Build, Own, Transfer</w:t>
      </w:r>
      <w:r w:rsidRPr="6AA5A77E" w:rsidR="612F8C30">
        <w:rPr>
          <w:rFonts w:ascii="Palatino Linotype" w:hAnsi="Palatino Linotype" w:eastAsia="Palatino Linotype" w:cs="Palatino Linotype"/>
        </w:rPr>
        <w:t xml:space="preserve"> (</w:t>
      </w:r>
      <w:r w:rsidRPr="6AA5A77E" w:rsidR="152C1CAA">
        <w:rPr>
          <w:rFonts w:ascii="Palatino Linotype" w:hAnsi="Palatino Linotype" w:eastAsia="Palatino Linotype" w:cs="Palatino Linotype"/>
        </w:rPr>
        <w:t>“</w:t>
      </w:r>
      <w:r w:rsidRPr="6AA5A77E" w:rsidR="612F8C30">
        <w:rPr>
          <w:rFonts w:ascii="Palatino Linotype" w:hAnsi="Palatino Linotype" w:eastAsia="Palatino Linotype" w:cs="Palatino Linotype"/>
        </w:rPr>
        <w:t>BOT</w:t>
      </w:r>
      <w:r w:rsidRPr="00891762" w:rsidR="5812C306">
        <w:rPr>
          <w:rFonts w:ascii="Palatino Linotype" w:hAnsi="Palatino Linotype" w:eastAsia="Palatino Linotype" w:cs="Palatino Linotype"/>
        </w:rPr>
        <w:t>”</w:t>
      </w:r>
      <w:r w:rsidRPr="00891762" w:rsidR="612F8C30">
        <w:rPr>
          <w:rFonts w:ascii="Palatino Linotype" w:hAnsi="Palatino Linotype" w:eastAsia="Palatino Linotype" w:cs="Palatino Linotype"/>
        </w:rPr>
        <w:t xml:space="preserve">) </w:t>
      </w:r>
      <w:r w:rsidRPr="6AA5A77E">
        <w:rPr>
          <w:rFonts w:ascii="Palatino Linotype" w:hAnsi="Palatino Linotype" w:eastAsia="Palatino Linotype" w:cs="Palatino Linotype"/>
        </w:rPr>
        <w:t>contract with RWE AG for a total of 119 MW of utility-owned energy storage</w:t>
      </w:r>
      <w:r w:rsidRPr="6AA5A77E" w:rsidR="4EEEEBE4">
        <w:rPr>
          <w:rFonts w:ascii="Palatino Linotype" w:hAnsi="Palatino Linotype" w:eastAsia="Palatino Linotype" w:cs="Palatino Linotype"/>
        </w:rPr>
        <w:t xml:space="preserve"> </w:t>
      </w:r>
      <w:r w:rsidRPr="73B79344" w:rsidR="4EEEEBE4">
        <w:rPr>
          <w:rFonts w:ascii="Palatino Linotype" w:hAnsi="Palatino Linotype" w:eastAsia="Palatino Linotype" w:cs="Palatino Linotype"/>
        </w:rPr>
        <w:t>(Westside Canal Energy Storage Expansion Project Phase 1, which was later ren</w:t>
      </w:r>
      <w:r w:rsidRPr="1D6A36D8" w:rsidR="4EEEEBE4">
        <w:rPr>
          <w:rFonts w:ascii="Palatino Linotype" w:hAnsi="Palatino Linotype" w:eastAsia="Palatino Linotype" w:cs="Palatino Linotype"/>
        </w:rPr>
        <w:t>amed to Westside Canal Phase 2a)</w:t>
      </w:r>
      <w:r w:rsidRPr="6AA5A77E">
        <w:rPr>
          <w:rFonts w:ascii="Palatino Linotype" w:hAnsi="Palatino Linotype" w:eastAsia="Palatino Linotype" w:cs="Palatino Linotype"/>
        </w:rPr>
        <w:t>. The Commission denied AL 4923-E in Resolution E-5304, citing generally three</w:t>
      </w:r>
      <w:r w:rsidRPr="190E8F6F" w:rsidR="78984A68">
        <w:rPr>
          <w:rFonts w:ascii="Palatino Linotype" w:hAnsi="Palatino Linotype" w:eastAsia="Palatino Linotype" w:cs="Palatino Linotype"/>
        </w:rPr>
        <w:t xml:space="preserve"> </w:t>
      </w:r>
      <w:r w:rsidRPr="1D6A36D8" w:rsidR="1C1DE920">
        <w:rPr>
          <w:rFonts w:ascii="Palatino Linotype" w:hAnsi="Palatino Linotype" w:eastAsia="Palatino Linotype" w:cs="Palatino Linotype"/>
        </w:rPr>
        <w:t xml:space="preserve">main concerns: cost, deliverability, and contribution to summer 2024 effective PRM. In January 2024, following Resolution </w:t>
      </w:r>
      <w:r w:rsidR="00D340F6">
        <w:rPr>
          <w:rFonts w:ascii="Palatino Linotype" w:hAnsi="Palatino Linotype" w:eastAsia="Palatino Linotype" w:cs="Palatino Linotype"/>
        </w:rPr>
        <w:br/>
      </w:r>
      <w:r w:rsidRPr="1D6A36D8" w:rsidR="1C1DE920">
        <w:rPr>
          <w:rFonts w:ascii="Palatino Linotype" w:hAnsi="Palatino Linotype" w:eastAsia="Palatino Linotype" w:cs="Palatino Linotype"/>
        </w:rPr>
        <w:t xml:space="preserve">E-5304, SDG&amp;E’s Utility Development Team </w:t>
      </w:r>
      <w:r w:rsidRPr="190E8F6F">
        <w:rPr>
          <w:rFonts w:ascii="Palatino Linotype" w:hAnsi="Palatino Linotype" w:eastAsia="Palatino Linotype" w:cs="Palatino Linotype"/>
        </w:rPr>
        <w:t xml:space="preserve">(“UDT”) and the seller RWE AG discussed the concerns raised in Resolution E-5304. As a result of those discussions, RWE AG agreed to accelerate the COD for Westside Canal </w:t>
      </w:r>
      <w:r w:rsidRPr="190E8F6F" w:rsidR="10D08C78">
        <w:rPr>
          <w:rFonts w:ascii="Palatino Linotype" w:hAnsi="Palatino Linotype" w:eastAsia="Palatino Linotype" w:cs="Palatino Linotype"/>
        </w:rPr>
        <w:t>Phase 2a</w:t>
      </w:r>
      <w:r w:rsidRPr="190E8F6F">
        <w:rPr>
          <w:rFonts w:ascii="Palatino Linotype" w:hAnsi="Palatino Linotype" w:eastAsia="Palatino Linotype" w:cs="Palatino Linotype"/>
        </w:rPr>
        <w:t xml:space="preserve"> from October 31, 2024</w:t>
      </w:r>
      <w:r w:rsidR="751E31F9">
        <w:rPr>
          <w:rFonts w:ascii="Palatino Linotype" w:hAnsi="Palatino Linotype" w:eastAsia="Palatino Linotype" w:cs="Palatino Linotype"/>
        </w:rPr>
        <w:t>,</w:t>
      </w:r>
      <w:r w:rsidRPr="190E8F6F">
        <w:rPr>
          <w:rFonts w:ascii="Palatino Linotype" w:hAnsi="Palatino Linotype" w:eastAsia="Palatino Linotype" w:cs="Palatino Linotype"/>
        </w:rPr>
        <w:t xml:space="preserve"> to August 1, 2024. In addition, RWE AG reduced the project’s costs.</w:t>
      </w:r>
      <w:r w:rsidRPr="190E8F6F" w:rsidR="79A3CFFC">
        <w:rPr>
          <w:rStyle w:val="FootnoteReference"/>
          <w:rFonts w:ascii="Palatino Linotype" w:hAnsi="Palatino Linotype" w:eastAsia="Palatino Linotype" w:cs="Palatino Linotype"/>
        </w:rPr>
        <w:footnoteReference w:id="13"/>
      </w:r>
      <w:r w:rsidRPr="190E8F6F">
        <w:rPr>
          <w:rFonts w:ascii="Palatino Linotype" w:hAnsi="Palatino Linotype" w:eastAsia="Palatino Linotype" w:cs="Palatino Linotype"/>
        </w:rPr>
        <w:t xml:space="preserve"> On March 8, 2024, SDG&amp;E submitted its second request for the approval of the West Side Canal Expansion Project in AL 4403-E. Specifically, AL 4403-E requested approval of one of two mutually exclusive utility owned storage (“UOS”) options. Option one was a BOT UOS contract with RWE AG for a total of 119 MW</w:t>
      </w:r>
      <w:r w:rsidRPr="190E8F6F" w:rsidR="3AC7751F">
        <w:rPr>
          <w:rFonts w:ascii="Palatino Linotype" w:hAnsi="Palatino Linotype" w:eastAsia="Palatino Linotype" w:cs="Palatino Linotype"/>
        </w:rPr>
        <w:t xml:space="preserve"> (Westside Canal Phase 2a)</w:t>
      </w:r>
      <w:r w:rsidRPr="190E8F6F">
        <w:rPr>
          <w:rFonts w:ascii="Palatino Linotype" w:hAnsi="Palatino Linotype" w:eastAsia="Palatino Linotype" w:cs="Palatino Linotype"/>
        </w:rPr>
        <w:t>. Option two was a BOT UOS contract with RWE AG for a total of 219 MW, that would include a 119 MW project</w:t>
      </w:r>
      <w:r w:rsidRPr="190E8F6F" w:rsidR="08D4C7E2">
        <w:rPr>
          <w:rFonts w:ascii="Palatino Linotype" w:hAnsi="Palatino Linotype" w:eastAsia="Palatino Linotype" w:cs="Palatino Linotype"/>
        </w:rPr>
        <w:t xml:space="preserve"> (Westside Canal Phase 2a)</w:t>
      </w:r>
      <w:r w:rsidRPr="190E8F6F">
        <w:rPr>
          <w:rFonts w:ascii="Palatino Linotype" w:hAnsi="Palatino Linotype" w:eastAsia="Palatino Linotype" w:cs="Palatino Linotype"/>
        </w:rPr>
        <w:t xml:space="preserve"> and a 100 MW project</w:t>
      </w:r>
      <w:r w:rsidRPr="190E8F6F" w:rsidR="7C01E261">
        <w:rPr>
          <w:rFonts w:ascii="Palatino Linotype" w:hAnsi="Palatino Linotype" w:eastAsia="Palatino Linotype" w:cs="Palatino Linotype"/>
        </w:rPr>
        <w:t xml:space="preserve"> (Westside Canal Phase 2b)</w:t>
      </w:r>
      <w:r w:rsidRPr="190E8F6F">
        <w:rPr>
          <w:rFonts w:ascii="Palatino Linotype" w:hAnsi="Palatino Linotype" w:eastAsia="Palatino Linotype" w:cs="Palatino Linotype"/>
        </w:rPr>
        <w:t>. The Commission denied SDG&amp;E’s second request in Resolution E-5320, citing the same concerns from its previous denial</w:t>
      </w:r>
      <w:r w:rsidRPr="190E8F6F" w:rsidR="226B4328">
        <w:rPr>
          <w:rFonts w:ascii="Palatino Linotype" w:hAnsi="Palatino Linotype" w:eastAsia="Palatino Linotype" w:cs="Palatino Linotype"/>
        </w:rPr>
        <w:t>:</w:t>
      </w:r>
      <w:r w:rsidRPr="190E8F6F">
        <w:rPr>
          <w:rFonts w:ascii="Palatino Linotype" w:hAnsi="Palatino Linotype" w:eastAsia="Palatino Linotype" w:cs="Palatino Linotype"/>
        </w:rPr>
        <w:t xml:space="preserve"> cost, deliverability, and contribution to summer 2025 effective PRM. Subsequently, SDG&amp;E and RWE AG continued negotiations and reduced the price of Westside Canal Expansion further</w:t>
      </w:r>
      <w:r w:rsidRPr="190E8F6F" w:rsidR="2E427032">
        <w:rPr>
          <w:rFonts w:ascii="Palatino Linotype" w:hAnsi="Palatino Linotype" w:eastAsia="Palatino Linotype" w:cs="Palatino Linotype"/>
        </w:rPr>
        <w:t xml:space="preserve"> than the prior two Advice Letters</w:t>
      </w:r>
      <w:r w:rsidRPr="190E8F6F">
        <w:rPr>
          <w:rFonts w:ascii="Palatino Linotype" w:hAnsi="Palatino Linotype" w:eastAsia="Palatino Linotype" w:cs="Palatino Linotype"/>
        </w:rPr>
        <w:t xml:space="preserve">. On November 22, 2024, SDG&amp;E submitted AL 4556-E, requesting approval of </w:t>
      </w:r>
      <w:r w:rsidRPr="190E8F6F">
        <w:rPr>
          <w:rFonts w:ascii="Palatino Linotype" w:hAnsi="Palatino Linotype" w:eastAsia="Palatino Linotype" w:cs="Palatino Linotype"/>
        </w:rPr>
        <w:lastRenderedPageBreak/>
        <w:t>Westside Canal Expansion Project 100 MW Phase 2b</w:t>
      </w:r>
      <w:r w:rsidRPr="190E8F6F" w:rsidR="2F8B06DC">
        <w:rPr>
          <w:rFonts w:ascii="Palatino Linotype" w:hAnsi="Palatino Linotype" w:eastAsia="Palatino Linotype" w:cs="Palatino Linotype"/>
        </w:rPr>
        <w:t xml:space="preserve">, which was approved by the Commission on March 13, 2025. </w:t>
      </w:r>
      <w:r w:rsidRPr="190E8F6F">
        <w:rPr>
          <w:rFonts w:ascii="Palatino Linotype" w:hAnsi="Palatino Linotype" w:eastAsia="Palatino Linotype" w:cs="Palatino Linotype"/>
        </w:rPr>
        <w:t xml:space="preserve"> </w:t>
      </w:r>
    </w:p>
    <w:p w:rsidR="79A3CFFC" w:rsidP="190E8F6F" w:rsidRDefault="3580F872" w14:paraId="7D53E6DA" w14:textId="27387DE6">
      <w:pPr>
        <w:rPr>
          <w:rFonts w:ascii="Palatino Linotype" w:hAnsi="Palatino Linotype" w:eastAsia="Palatino Linotype" w:cs="Palatino Linotype"/>
        </w:rPr>
      </w:pPr>
      <w:r w:rsidRPr="190E8F6F">
        <w:rPr>
          <w:rFonts w:ascii="Palatino Linotype" w:hAnsi="Palatino Linotype" w:eastAsia="Palatino Linotype" w:cs="Palatino Linotype"/>
        </w:rPr>
        <w:t xml:space="preserve">On October 20, 2025, SDG&amp;E submitted AL 4736-E, requesting approval of </w:t>
      </w:r>
      <w:r w:rsidRPr="190E8F6F" w:rsidR="4D47CB63">
        <w:rPr>
          <w:rFonts w:ascii="Palatino Linotype" w:hAnsi="Palatino Linotype" w:eastAsia="Palatino Linotype" w:cs="Palatino Linotype"/>
        </w:rPr>
        <w:t xml:space="preserve">the 119 MW </w:t>
      </w:r>
      <w:r w:rsidRPr="190E8F6F">
        <w:rPr>
          <w:rFonts w:ascii="Palatino Linotype" w:hAnsi="Palatino Linotype" w:eastAsia="Palatino Linotype" w:cs="Palatino Linotype"/>
        </w:rPr>
        <w:t xml:space="preserve">Westside Canal </w:t>
      </w:r>
      <w:r w:rsidRPr="190E8F6F" w:rsidR="0369EF5A">
        <w:rPr>
          <w:rFonts w:ascii="Palatino Linotype" w:hAnsi="Palatino Linotype" w:eastAsia="Palatino Linotype" w:cs="Palatino Linotype"/>
        </w:rPr>
        <w:t xml:space="preserve">Phase 2a. </w:t>
      </w:r>
      <w:r w:rsidRPr="190E8F6F" w:rsidR="14027622">
        <w:rPr>
          <w:rFonts w:ascii="Palatino Linotype" w:hAnsi="Palatino Linotype" w:eastAsia="Palatino Linotype" w:cs="Palatino Linotype"/>
        </w:rPr>
        <w:t>The project was proposed to be owned by SDG&amp;E with operation</w:t>
      </w:r>
      <w:r w:rsidRPr="190E8F6F" w:rsidR="798D8A41">
        <w:rPr>
          <w:rFonts w:ascii="Palatino Linotype" w:hAnsi="Palatino Linotype" w:eastAsia="Palatino Linotype" w:cs="Palatino Linotype"/>
        </w:rPr>
        <w:t xml:space="preserve"> </w:t>
      </w:r>
      <w:r w:rsidRPr="190E8F6F" w:rsidR="14027622">
        <w:rPr>
          <w:rFonts w:ascii="Palatino Linotype" w:hAnsi="Palatino Linotype" w:eastAsia="Palatino Linotype" w:cs="Palatino Linotype"/>
        </w:rPr>
        <w:t>and maintenance (“O&amp;M”) services for a period of 10 years provided under a</w:t>
      </w:r>
      <w:r w:rsidRPr="190E8F6F" w:rsidR="56EBDA77">
        <w:rPr>
          <w:rFonts w:ascii="Palatino Linotype" w:hAnsi="Palatino Linotype" w:eastAsia="Palatino Linotype" w:cs="Palatino Linotype"/>
        </w:rPr>
        <w:t>n</w:t>
      </w:r>
      <w:r w:rsidRPr="190E8F6F" w:rsidR="14027622">
        <w:rPr>
          <w:rFonts w:ascii="Palatino Linotype" w:hAnsi="Palatino Linotype" w:eastAsia="Palatino Linotype" w:cs="Palatino Linotype"/>
        </w:rPr>
        <w:t xml:space="preserve"> L</w:t>
      </w:r>
      <w:r w:rsidRPr="190E8F6F" w:rsidR="2D13DBC3">
        <w:rPr>
          <w:rFonts w:ascii="Palatino Linotype" w:hAnsi="Palatino Linotype" w:eastAsia="Palatino Linotype" w:cs="Palatino Linotype"/>
        </w:rPr>
        <w:t>TSA</w:t>
      </w:r>
      <w:r w:rsidRPr="4D8ACD53" w:rsidR="14027622">
        <w:rPr>
          <w:rFonts w:ascii="Palatino Linotype" w:hAnsi="Palatino Linotype" w:eastAsia="Palatino Linotype" w:cs="Palatino Linotype"/>
        </w:rPr>
        <w:t xml:space="preserve"> by </w:t>
      </w:r>
      <w:r w:rsidRPr="190E8F6F" w:rsidR="448E133F">
        <w:rPr>
          <w:rFonts w:ascii="Palatino Linotype" w:hAnsi="Palatino Linotype" w:eastAsia="Palatino Linotype" w:cs="Palatino Linotype"/>
        </w:rPr>
        <w:t xml:space="preserve">RWE AG subsidiary, </w:t>
      </w:r>
      <w:r w:rsidRPr="190E8F6F" w:rsidR="14027622">
        <w:rPr>
          <w:rFonts w:ascii="Palatino Linotype" w:hAnsi="Palatino Linotype" w:eastAsia="Palatino Linotype" w:cs="Palatino Linotype"/>
        </w:rPr>
        <w:t>RWE</w:t>
      </w:r>
      <w:r w:rsidRPr="190E8F6F" w:rsidR="423FAB5E">
        <w:rPr>
          <w:rFonts w:ascii="Palatino Linotype" w:hAnsi="Palatino Linotype" w:eastAsia="Palatino Linotype" w:cs="Palatino Linotype"/>
        </w:rPr>
        <w:t>.</w:t>
      </w:r>
      <w:r w:rsidRPr="190E8F6F" w:rsidR="14027622">
        <w:rPr>
          <w:rFonts w:ascii="Palatino Linotype" w:hAnsi="Palatino Linotype" w:eastAsia="Palatino Linotype" w:cs="Palatino Linotype"/>
        </w:rPr>
        <w:t xml:space="preserve"> </w:t>
      </w:r>
      <w:r w:rsidRPr="190E8F6F" w:rsidR="79A3CFFC">
        <w:rPr>
          <w:rStyle w:val="FootnoteReference"/>
          <w:rFonts w:ascii="Palatino Linotype" w:hAnsi="Palatino Linotype" w:eastAsia="Palatino Linotype" w:cs="Palatino Linotype"/>
        </w:rPr>
        <w:footnoteReference w:id="14"/>
      </w:r>
      <w:r w:rsidRPr="190E8F6F" w:rsidR="575A4FDB">
        <w:rPr>
          <w:rFonts w:ascii="Palatino Linotype" w:hAnsi="Palatino Linotype" w:eastAsia="Palatino Linotype" w:cs="Palatino Linotype"/>
        </w:rPr>
        <w:t xml:space="preserve"> </w:t>
      </w:r>
      <w:r w:rsidRPr="190E8F6F" w:rsidR="14027622">
        <w:rPr>
          <w:rFonts w:ascii="Palatino Linotype" w:hAnsi="Palatino Linotype" w:eastAsia="Palatino Linotype" w:cs="Palatino Linotype"/>
        </w:rPr>
        <w:t>Westside Canal</w:t>
      </w:r>
      <w:r w:rsidRPr="190E8F6F" w:rsidR="0D044BB9">
        <w:rPr>
          <w:rFonts w:ascii="Palatino Linotype" w:hAnsi="Palatino Linotype" w:eastAsia="Palatino Linotype" w:cs="Palatino Linotype"/>
        </w:rPr>
        <w:t xml:space="preserve"> </w:t>
      </w:r>
      <w:r w:rsidRPr="190E8F6F" w:rsidR="14027622">
        <w:rPr>
          <w:rFonts w:ascii="Palatino Linotype" w:hAnsi="Palatino Linotype" w:eastAsia="Palatino Linotype" w:cs="Palatino Linotype"/>
        </w:rPr>
        <w:t>Phase 2</w:t>
      </w:r>
      <w:r w:rsidRPr="190E8F6F" w:rsidR="40348C98">
        <w:rPr>
          <w:rFonts w:ascii="Palatino Linotype" w:hAnsi="Palatino Linotype" w:eastAsia="Palatino Linotype" w:cs="Palatino Linotype"/>
        </w:rPr>
        <w:t>a</w:t>
      </w:r>
      <w:r w:rsidRPr="190E8F6F" w:rsidR="14027622">
        <w:rPr>
          <w:rFonts w:ascii="Palatino Linotype" w:hAnsi="Palatino Linotype" w:eastAsia="Palatino Linotype" w:cs="Palatino Linotype"/>
        </w:rPr>
        <w:t xml:space="preserve"> </w:t>
      </w:r>
      <w:r w:rsidRPr="190E8F6F" w:rsidR="65F023E0">
        <w:rPr>
          <w:rFonts w:ascii="Palatino Linotype" w:hAnsi="Palatino Linotype" w:eastAsia="Palatino Linotype" w:cs="Palatino Linotype"/>
        </w:rPr>
        <w:t>came online in December 2024.</w:t>
      </w:r>
      <w:r w:rsidRPr="190E8F6F" w:rsidR="14027622">
        <w:rPr>
          <w:rFonts w:ascii="Palatino Linotype" w:hAnsi="Palatino Linotype" w:eastAsia="Palatino Linotype" w:cs="Palatino Linotype"/>
        </w:rPr>
        <w:t xml:space="preserve"> The project is located in</w:t>
      </w:r>
      <w:r w:rsidRPr="7441B0D7" w:rsidR="14027622">
        <w:rPr>
          <w:rFonts w:ascii="Palatino Linotype" w:hAnsi="Palatino Linotype" w:eastAsia="Palatino Linotype" w:cs="Palatino Linotype"/>
        </w:rPr>
        <w:t xml:space="preserve"> Imperial Valley, California.</w:t>
      </w:r>
    </w:p>
    <w:p w:rsidR="79A3CFFC" w:rsidP="190E8F6F" w:rsidRDefault="14027622" w14:paraId="2B3C68A5" w14:textId="577A1140">
      <w:pPr>
        <w:rPr>
          <w:rFonts w:ascii="Palatino Linotype" w:hAnsi="Palatino Linotype" w:eastAsia="Palatino Linotype" w:cs="Palatino Linotype"/>
        </w:rPr>
      </w:pPr>
      <w:r w:rsidRPr="7441B0D7">
        <w:rPr>
          <w:rFonts w:ascii="Palatino Linotype" w:hAnsi="Palatino Linotype" w:eastAsia="Palatino Linotype" w:cs="Palatino Linotype"/>
        </w:rPr>
        <w:t xml:space="preserve">The </w:t>
      </w:r>
      <w:r w:rsidRPr="7441B0D7" w:rsidR="653D8ACF">
        <w:rPr>
          <w:rFonts w:ascii="Palatino Linotype" w:hAnsi="Palatino Linotype" w:eastAsia="Palatino Linotype" w:cs="Palatino Linotype"/>
        </w:rPr>
        <w:t xml:space="preserve">West Side Canal Phase 2a </w:t>
      </w:r>
      <w:r w:rsidRPr="7441B0D7">
        <w:rPr>
          <w:rFonts w:ascii="Palatino Linotype" w:hAnsi="Palatino Linotype" w:eastAsia="Palatino Linotype" w:cs="Palatino Linotype"/>
        </w:rPr>
        <w:t>project is summarized in the table below:</w:t>
      </w:r>
    </w:p>
    <w:tbl>
      <w:tblPr>
        <w:tblW w:w="10613" w:type="dxa"/>
        <w:tblInd w:w="-210" w:type="dxa"/>
        <w:tblLook w:val="01E0" w:firstRow="1" w:lastRow="1" w:firstColumn="1" w:lastColumn="1" w:noHBand="0" w:noVBand="0"/>
      </w:tblPr>
      <w:tblGrid>
        <w:gridCol w:w="1373"/>
        <w:gridCol w:w="1397"/>
        <w:gridCol w:w="1451"/>
        <w:gridCol w:w="1409"/>
        <w:gridCol w:w="1065"/>
        <w:gridCol w:w="1110"/>
        <w:gridCol w:w="1426"/>
        <w:gridCol w:w="1382"/>
      </w:tblGrid>
      <w:tr w:rsidR="00517512" w14:paraId="765E4BF5" w14:textId="77777777">
        <w:trPr>
          <w:trHeight w:val="975"/>
        </w:trPr>
        <w:tc>
          <w:tcPr>
            <w:tcW w:w="13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724146B" w14:paraId="780B0F31" w14:textId="333D52B3">
            <w:pPr>
              <w:spacing w:before="161" w:after="0"/>
              <w:ind w:left="191" w:right="178" w:firstLine="28"/>
              <w:rPr>
                <w:rFonts w:ascii="Palatino Linotype" w:hAnsi="Palatino Linotype" w:eastAsia="Palatino Linotype" w:cs="Palatino Linotype"/>
                <w:b/>
                <w:bCs/>
                <w:color w:val="000000" w:themeColor="text1"/>
                <w:sz w:val="18"/>
                <w:szCs w:val="18"/>
              </w:rPr>
            </w:pPr>
            <w:r w:rsidRPr="73B79344">
              <w:rPr>
                <w:rFonts w:ascii="Palatino Linotype" w:hAnsi="Palatino Linotype" w:eastAsia="Palatino Linotype" w:cs="Palatino Linotype"/>
                <w:b/>
                <w:bCs/>
                <w:color w:val="000000" w:themeColor="text1"/>
                <w:sz w:val="18"/>
                <w:szCs w:val="18"/>
              </w:rPr>
              <w:t>Project / Location</w:t>
            </w:r>
          </w:p>
        </w:tc>
        <w:tc>
          <w:tcPr>
            <w:tcW w:w="13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724146B" w14:paraId="6C5DA4B3" w14:textId="534A0A04">
            <w:pPr>
              <w:spacing w:after="0"/>
              <w:rPr>
                <w:rFonts w:ascii="Palatino Linotype" w:hAnsi="Palatino Linotype" w:eastAsia="Palatino Linotype" w:cs="Palatino Linotype"/>
                <w:sz w:val="18"/>
                <w:szCs w:val="18"/>
              </w:rPr>
            </w:pPr>
            <w:r w:rsidRPr="73B79344">
              <w:rPr>
                <w:rFonts w:ascii="Palatino Linotype" w:hAnsi="Palatino Linotype" w:eastAsia="Palatino Linotype" w:cs="Palatino Linotype"/>
                <w:sz w:val="18"/>
                <w:szCs w:val="18"/>
              </w:rPr>
              <w:t xml:space="preserve"> </w:t>
            </w:r>
          </w:p>
          <w:p w:rsidR="190E8F6F" w:rsidP="6AA5A77E" w:rsidRDefault="3724146B" w14:paraId="1B1A9ED9" w14:textId="38A83FB7">
            <w:pPr>
              <w:spacing w:after="0"/>
              <w:ind w:left="103"/>
              <w:rPr>
                <w:rFonts w:ascii="Palatino Linotype" w:hAnsi="Palatino Linotype" w:eastAsia="Palatino Linotype" w:cs="Palatino Linotype"/>
                <w:b/>
                <w:bCs/>
                <w:color w:val="000000" w:themeColor="text1"/>
                <w:sz w:val="18"/>
                <w:szCs w:val="18"/>
              </w:rPr>
            </w:pPr>
            <w:r w:rsidRPr="73B79344">
              <w:rPr>
                <w:rFonts w:ascii="Palatino Linotype" w:hAnsi="Palatino Linotype" w:eastAsia="Palatino Linotype" w:cs="Palatino Linotype"/>
                <w:b/>
                <w:bCs/>
                <w:color w:val="000000" w:themeColor="text1"/>
                <w:sz w:val="18"/>
                <w:szCs w:val="18"/>
              </w:rPr>
              <w:t>Technology</w:t>
            </w:r>
          </w:p>
        </w:tc>
        <w:tc>
          <w:tcPr>
            <w:tcW w:w="14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724146B" w14:paraId="77D67502" w14:textId="5FC5720B">
            <w:pPr>
              <w:spacing w:after="0"/>
              <w:rPr>
                <w:rFonts w:ascii="Palatino Linotype" w:hAnsi="Palatino Linotype" w:eastAsia="Palatino Linotype" w:cs="Palatino Linotype"/>
                <w:sz w:val="18"/>
                <w:szCs w:val="18"/>
              </w:rPr>
            </w:pPr>
            <w:r w:rsidRPr="73B79344">
              <w:rPr>
                <w:rFonts w:ascii="Palatino Linotype" w:hAnsi="Palatino Linotype" w:eastAsia="Palatino Linotype" w:cs="Palatino Linotype"/>
                <w:sz w:val="18"/>
                <w:szCs w:val="18"/>
              </w:rPr>
              <w:t xml:space="preserve"> </w:t>
            </w:r>
          </w:p>
          <w:p w:rsidR="190E8F6F" w:rsidP="6AA5A77E" w:rsidRDefault="39F5C21F" w14:paraId="5EC61265" w14:textId="738ED1F0">
            <w:pPr>
              <w:spacing w:after="0"/>
              <w:ind w:left="12"/>
              <w:jc w:val="center"/>
              <w:rPr>
                <w:rFonts w:ascii="Palatino Linotype" w:hAnsi="Palatino Linotype" w:eastAsia="Palatino Linotype" w:cs="Palatino Linotype"/>
                <w:b/>
                <w:bCs/>
                <w:color w:val="000000" w:themeColor="text1"/>
                <w:sz w:val="18"/>
                <w:szCs w:val="18"/>
              </w:rPr>
            </w:pPr>
            <w:r w:rsidRPr="6AA5A77E">
              <w:rPr>
                <w:rFonts w:ascii="Palatino Linotype" w:hAnsi="Palatino Linotype" w:eastAsia="Palatino Linotype" w:cs="Palatino Linotype"/>
                <w:b/>
                <w:bCs/>
                <w:color w:val="000000" w:themeColor="text1"/>
                <w:sz w:val="18"/>
                <w:szCs w:val="18"/>
              </w:rPr>
              <w:t>Counterparty</w:t>
            </w:r>
          </w:p>
        </w:tc>
        <w:tc>
          <w:tcPr>
            <w:tcW w:w="14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9F5C21F" w14:paraId="09E7A62E" w14:textId="368E4266">
            <w:pPr>
              <w:spacing w:before="161" w:after="0"/>
              <w:ind w:left="383" w:right="89" w:hanging="279"/>
              <w:rPr>
                <w:rFonts w:ascii="Palatino Linotype" w:hAnsi="Palatino Linotype" w:eastAsia="Palatino Linotype" w:cs="Palatino Linotype"/>
                <w:b/>
                <w:bCs/>
                <w:color w:val="000000" w:themeColor="text1"/>
                <w:sz w:val="18"/>
                <w:szCs w:val="18"/>
              </w:rPr>
            </w:pPr>
            <w:r w:rsidRPr="6AA5A77E">
              <w:rPr>
                <w:rFonts w:ascii="Palatino Linotype" w:hAnsi="Palatino Linotype" w:eastAsia="Palatino Linotype" w:cs="Palatino Linotype"/>
                <w:b/>
                <w:bCs/>
                <w:color w:val="000000" w:themeColor="text1"/>
                <w:sz w:val="18"/>
                <w:szCs w:val="18"/>
              </w:rPr>
              <w:t>Megawatts (MW)</w:t>
            </w:r>
          </w:p>
        </w:tc>
        <w:tc>
          <w:tcPr>
            <w:tcW w:w="10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9F5C21F" w14:paraId="5461E17F" w14:textId="0166D6DA">
            <w:pPr>
              <w:spacing w:after="0"/>
              <w:rPr>
                <w:rFonts w:ascii="Palatino Linotype" w:hAnsi="Palatino Linotype" w:eastAsia="Palatino Linotype" w:cs="Palatino Linotype"/>
                <w:sz w:val="18"/>
                <w:szCs w:val="18"/>
              </w:rPr>
            </w:pPr>
            <w:r w:rsidRPr="6AA5A77E">
              <w:rPr>
                <w:rFonts w:ascii="Palatino Linotype" w:hAnsi="Palatino Linotype" w:eastAsia="Palatino Linotype" w:cs="Palatino Linotype"/>
                <w:sz w:val="18"/>
                <w:szCs w:val="18"/>
              </w:rPr>
              <w:t xml:space="preserve"> </w:t>
            </w:r>
          </w:p>
          <w:p w:rsidR="190E8F6F" w:rsidP="6AA5A77E" w:rsidRDefault="39F5C21F" w14:paraId="738DC380" w14:textId="77CFF617">
            <w:pPr>
              <w:spacing w:after="0"/>
              <w:ind w:left="16"/>
              <w:jc w:val="center"/>
              <w:rPr>
                <w:rFonts w:ascii="Palatino Linotype" w:hAnsi="Palatino Linotype" w:eastAsia="Palatino Linotype" w:cs="Palatino Linotype"/>
                <w:b/>
                <w:bCs/>
                <w:color w:val="000000" w:themeColor="text1"/>
                <w:sz w:val="18"/>
                <w:szCs w:val="18"/>
              </w:rPr>
            </w:pPr>
            <w:r w:rsidRPr="6AA5A77E">
              <w:rPr>
                <w:rFonts w:ascii="Palatino Linotype" w:hAnsi="Palatino Linotype" w:eastAsia="Palatino Linotype" w:cs="Palatino Linotype"/>
                <w:b/>
                <w:bCs/>
                <w:color w:val="000000" w:themeColor="text1"/>
                <w:sz w:val="18"/>
                <w:szCs w:val="18"/>
              </w:rPr>
              <w:t>Duration</w:t>
            </w:r>
          </w:p>
        </w:tc>
        <w:tc>
          <w:tcPr>
            <w:tcW w:w="11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9F5C21F" w14:paraId="51C206BE" w14:textId="75D85A7B">
            <w:pPr>
              <w:spacing w:before="161" w:after="0"/>
              <w:ind w:left="293" w:right="87" w:hanging="188"/>
              <w:rPr>
                <w:rFonts w:ascii="Palatino Linotype" w:hAnsi="Palatino Linotype" w:eastAsia="Palatino Linotype" w:cs="Palatino Linotype"/>
                <w:b/>
                <w:bCs/>
                <w:color w:val="000000" w:themeColor="text1"/>
                <w:sz w:val="18"/>
                <w:szCs w:val="18"/>
              </w:rPr>
            </w:pPr>
            <w:r w:rsidRPr="6AA5A77E">
              <w:rPr>
                <w:rFonts w:ascii="Palatino Linotype" w:hAnsi="Palatino Linotype" w:eastAsia="Palatino Linotype" w:cs="Palatino Linotype"/>
                <w:b/>
                <w:bCs/>
                <w:color w:val="000000" w:themeColor="text1"/>
                <w:sz w:val="18"/>
                <w:szCs w:val="18"/>
              </w:rPr>
              <w:t>Contract Type</w:t>
            </w:r>
          </w:p>
        </w:tc>
        <w:tc>
          <w:tcPr>
            <w:tcW w:w="1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9F5C21F" w14:paraId="4C2A55FF" w14:textId="311505D7">
            <w:pPr>
              <w:spacing w:after="0"/>
              <w:ind w:left="110" w:right="83"/>
              <w:jc w:val="center"/>
              <w:rPr>
                <w:rFonts w:ascii="Palatino Linotype" w:hAnsi="Palatino Linotype" w:eastAsia="Palatino Linotype" w:cs="Palatino Linotype"/>
                <w:b/>
                <w:bCs/>
                <w:color w:val="000000" w:themeColor="text1"/>
                <w:sz w:val="18"/>
                <w:szCs w:val="18"/>
              </w:rPr>
            </w:pPr>
            <w:r w:rsidRPr="6AA5A77E">
              <w:rPr>
                <w:rFonts w:ascii="Palatino Linotype" w:hAnsi="Palatino Linotype" w:eastAsia="Palatino Linotype" w:cs="Palatino Linotype"/>
                <w:b/>
                <w:bCs/>
                <w:color w:val="000000" w:themeColor="text1"/>
                <w:sz w:val="18"/>
                <w:szCs w:val="18"/>
              </w:rPr>
              <w:t>Commercial Operation Date</w:t>
            </w:r>
          </w:p>
        </w:tc>
        <w:tc>
          <w:tcPr>
            <w:tcW w:w="13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9F5C21F" w14:paraId="151C832B" w14:textId="35DA027B">
            <w:pPr>
              <w:spacing w:after="0"/>
              <w:ind w:left="109" w:right="89" w:hanging="2"/>
              <w:jc w:val="center"/>
              <w:rPr>
                <w:rFonts w:ascii="Palatino Linotype" w:hAnsi="Palatino Linotype" w:eastAsia="Palatino Linotype" w:cs="Palatino Linotype"/>
                <w:b/>
                <w:bCs/>
                <w:color w:val="000000" w:themeColor="text1"/>
                <w:sz w:val="18"/>
                <w:szCs w:val="18"/>
              </w:rPr>
            </w:pPr>
            <w:r w:rsidRPr="6AA5A77E">
              <w:rPr>
                <w:rFonts w:ascii="Palatino Linotype" w:hAnsi="Palatino Linotype" w:eastAsia="Palatino Linotype" w:cs="Palatino Linotype"/>
                <w:b/>
                <w:bCs/>
                <w:color w:val="000000" w:themeColor="text1"/>
                <w:sz w:val="18"/>
                <w:szCs w:val="18"/>
              </w:rPr>
              <w:t>O&amp;M Contract Term</w:t>
            </w:r>
          </w:p>
        </w:tc>
      </w:tr>
      <w:tr w:rsidR="00517512" w14:paraId="61106605" w14:textId="77777777">
        <w:trPr>
          <w:trHeight w:val="1395"/>
        </w:trPr>
        <w:tc>
          <w:tcPr>
            <w:tcW w:w="137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3CEB4108" w14:paraId="3D2B670F" w14:textId="1647EAAF">
            <w:pPr>
              <w:spacing w:after="0"/>
              <w:ind w:left="11"/>
              <w:jc w:val="center"/>
              <w:rPr>
                <w:rFonts w:ascii="Palatino Linotype" w:hAnsi="Palatino Linotype" w:eastAsia="Palatino Linotype" w:cs="Palatino Linotype"/>
                <w:sz w:val="20"/>
                <w:szCs w:val="20"/>
              </w:rPr>
            </w:pPr>
            <w:r w:rsidRPr="7441B0D7">
              <w:rPr>
                <w:rFonts w:ascii="Palatino Linotype" w:hAnsi="Palatino Linotype" w:eastAsia="Palatino Linotype" w:cs="Palatino Linotype"/>
                <w:sz w:val="20"/>
                <w:szCs w:val="20"/>
              </w:rPr>
              <w:t>Westside Canal Expansion 1</w:t>
            </w:r>
            <w:r w:rsidRPr="7441B0D7" w:rsidR="363C0F52">
              <w:rPr>
                <w:rFonts w:ascii="Palatino Linotype" w:hAnsi="Palatino Linotype" w:eastAsia="Palatino Linotype" w:cs="Palatino Linotype"/>
                <w:sz w:val="20"/>
                <w:szCs w:val="20"/>
              </w:rPr>
              <w:t>19</w:t>
            </w:r>
            <w:r w:rsidRPr="7441B0D7">
              <w:rPr>
                <w:rFonts w:ascii="Palatino Linotype" w:hAnsi="Palatino Linotype" w:eastAsia="Palatino Linotype" w:cs="Palatino Linotype"/>
                <w:sz w:val="20"/>
                <w:szCs w:val="20"/>
              </w:rPr>
              <w:t xml:space="preserve"> MW /</w:t>
            </w:r>
          </w:p>
          <w:p w:rsidR="190E8F6F" w:rsidP="190E8F6F" w:rsidRDefault="190E8F6F" w14:paraId="2B12501D" w14:textId="494D6494">
            <w:pPr>
              <w:spacing w:before="3" w:after="0" w:line="235" w:lineRule="auto"/>
              <w:ind w:left="11" w:right="1"/>
              <w:jc w:val="center"/>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Imperial Valley,</w:t>
            </w:r>
          </w:p>
          <w:p w:rsidR="190E8F6F" w:rsidP="190E8F6F" w:rsidRDefault="190E8F6F" w14:paraId="52B1B495" w14:textId="5BB1C337">
            <w:pPr>
              <w:spacing w:before="2" w:after="0"/>
              <w:ind w:left="11" w:right="2"/>
              <w:jc w:val="center"/>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CA</w:t>
            </w:r>
          </w:p>
        </w:tc>
        <w:tc>
          <w:tcPr>
            <w:tcW w:w="139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570D2E69" w14:textId="5BA59701">
            <w:pPr>
              <w:spacing w:after="0"/>
              <w:rPr>
                <w:rFonts w:ascii="Palatino Linotype" w:hAnsi="Palatino Linotype" w:eastAsia="Palatino Linotype" w:cs="Palatino Linotype"/>
                <w:sz w:val="20"/>
                <w:szCs w:val="20"/>
              </w:rPr>
            </w:pPr>
          </w:p>
          <w:p w:rsidR="190E8F6F" w:rsidP="190E8F6F" w:rsidRDefault="190E8F6F" w14:paraId="5C4946DD" w14:textId="0ED533CA">
            <w:pPr>
              <w:spacing w:after="0"/>
              <w:rPr>
                <w:rFonts w:ascii="Palatino Linotype" w:hAnsi="Palatino Linotype" w:eastAsia="Palatino Linotype" w:cs="Palatino Linotype"/>
                <w:sz w:val="20"/>
                <w:szCs w:val="20"/>
              </w:rPr>
            </w:pPr>
          </w:p>
          <w:p w:rsidR="190E8F6F" w:rsidP="190E8F6F" w:rsidRDefault="190E8F6F" w14:paraId="5F4A8CB4" w14:textId="333E2455">
            <w:pPr>
              <w:spacing w:after="0"/>
              <w:rPr>
                <w:rFonts w:ascii="Palatino Linotype" w:hAnsi="Palatino Linotype" w:eastAsia="Palatino Linotype" w:cs="Palatino Linotype"/>
                <w:sz w:val="20"/>
                <w:szCs w:val="20"/>
              </w:rPr>
            </w:pPr>
          </w:p>
          <w:p w:rsidR="190E8F6F" w:rsidP="190E8F6F" w:rsidRDefault="190E8F6F" w14:paraId="6722B562" w14:textId="73CA41F3">
            <w:pPr>
              <w:spacing w:after="0"/>
              <w:rPr>
                <w:rFonts w:ascii="Palatino Linotype" w:hAnsi="Palatino Linotype" w:eastAsia="Palatino Linotype" w:cs="Palatino Linotype"/>
                <w:sz w:val="20"/>
                <w:szCs w:val="20"/>
              </w:rPr>
            </w:pPr>
          </w:p>
          <w:p w:rsidR="190E8F6F" w:rsidP="190E8F6F" w:rsidRDefault="190E8F6F" w14:paraId="3B37BA6D" w14:textId="75CBCCA2">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Lithium-Ion Energy</w:t>
            </w:r>
            <w:r w:rsidRPr="190E8F6F" w:rsidR="0E4B38FA">
              <w:rPr>
                <w:rFonts w:ascii="Palatino Linotype" w:hAnsi="Palatino Linotype" w:eastAsia="Palatino Linotype" w:cs="Palatino Linotype"/>
                <w:sz w:val="20"/>
                <w:szCs w:val="20"/>
              </w:rPr>
              <w:t xml:space="preserve"> </w:t>
            </w:r>
            <w:r w:rsidRPr="190E8F6F">
              <w:rPr>
                <w:rFonts w:ascii="Palatino Linotype" w:hAnsi="Palatino Linotype" w:eastAsia="Palatino Linotype" w:cs="Palatino Linotype"/>
                <w:sz w:val="20"/>
                <w:szCs w:val="20"/>
              </w:rPr>
              <w:t>Storage</w:t>
            </w:r>
          </w:p>
        </w:tc>
        <w:tc>
          <w:tcPr>
            <w:tcW w:w="14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5320DAD4" w14:textId="4BF34A4F">
            <w:pPr>
              <w:spacing w:after="0"/>
              <w:rPr>
                <w:rFonts w:ascii="Palatino Linotype" w:hAnsi="Palatino Linotype" w:eastAsia="Palatino Linotype" w:cs="Palatino Linotype"/>
                <w:sz w:val="20"/>
                <w:szCs w:val="20"/>
              </w:rPr>
            </w:pPr>
          </w:p>
          <w:p w:rsidR="66A77392" w:rsidP="190E8F6F" w:rsidRDefault="66A77392" w14:paraId="1E580274" w14:textId="66F75F48">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RWE AG subsidiary, RWE Clean Energy Asset Holdings, Inc.</w:t>
            </w:r>
          </w:p>
        </w:tc>
        <w:tc>
          <w:tcPr>
            <w:tcW w:w="140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1535BBA0" w14:textId="6A72FBCB">
            <w:pPr>
              <w:spacing w:after="0"/>
              <w:rPr>
                <w:rFonts w:ascii="Palatino Linotype" w:hAnsi="Palatino Linotype" w:eastAsia="Palatino Linotype" w:cs="Palatino Linotype"/>
                <w:sz w:val="20"/>
                <w:szCs w:val="20"/>
              </w:rPr>
            </w:pPr>
          </w:p>
          <w:p w:rsidR="190E8F6F" w:rsidP="190E8F6F" w:rsidRDefault="190E8F6F" w14:paraId="1E2E5DE8" w14:textId="2AA2DCA3">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 xml:space="preserve"> </w:t>
            </w:r>
          </w:p>
          <w:p w:rsidR="190E8F6F" w:rsidP="190E8F6F" w:rsidRDefault="190E8F6F" w14:paraId="76A7A443" w14:textId="4235C05D">
            <w:pPr>
              <w:spacing w:after="0"/>
              <w:rPr>
                <w:rFonts w:ascii="Palatino Linotype" w:hAnsi="Palatino Linotype" w:eastAsia="Palatino Linotype" w:cs="Palatino Linotype"/>
                <w:sz w:val="20"/>
                <w:szCs w:val="20"/>
              </w:rPr>
            </w:pPr>
          </w:p>
          <w:p w:rsidR="190E8F6F" w:rsidP="190E8F6F" w:rsidRDefault="190E8F6F" w14:paraId="4D29AAE3" w14:textId="1211E433">
            <w:pPr>
              <w:spacing w:after="0"/>
              <w:rPr>
                <w:rFonts w:ascii="Palatino Linotype" w:hAnsi="Palatino Linotype" w:eastAsia="Palatino Linotype" w:cs="Palatino Linotype"/>
                <w:sz w:val="20"/>
                <w:szCs w:val="20"/>
              </w:rPr>
            </w:pPr>
          </w:p>
          <w:p w:rsidR="190E8F6F" w:rsidP="190E8F6F" w:rsidRDefault="190E8F6F" w14:paraId="73F0CD82" w14:textId="1AB62B5C">
            <w:pPr>
              <w:spacing w:after="0"/>
              <w:rPr>
                <w:rFonts w:ascii="Palatino Linotype" w:hAnsi="Palatino Linotype" w:eastAsia="Palatino Linotype" w:cs="Palatino Linotype"/>
                <w:sz w:val="20"/>
                <w:szCs w:val="20"/>
              </w:rPr>
            </w:pPr>
          </w:p>
          <w:p w:rsidR="190E8F6F" w:rsidP="190E8F6F" w:rsidRDefault="190E8F6F" w14:paraId="13516BEB" w14:textId="717C9BF2">
            <w:pPr>
              <w:spacing w:after="0"/>
              <w:rPr>
                <w:rFonts w:ascii="Palatino Linotype" w:hAnsi="Palatino Linotype" w:eastAsia="Palatino Linotype" w:cs="Palatino Linotype"/>
                <w:sz w:val="20"/>
                <w:szCs w:val="20"/>
              </w:rPr>
            </w:pPr>
          </w:p>
          <w:p w:rsidR="190E8F6F" w:rsidP="190E8F6F" w:rsidRDefault="190E8F6F" w14:paraId="42FEF22B" w14:textId="66208990">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1</w:t>
            </w:r>
            <w:r w:rsidRPr="190E8F6F" w:rsidR="75783B18">
              <w:rPr>
                <w:rFonts w:ascii="Palatino Linotype" w:hAnsi="Palatino Linotype" w:eastAsia="Palatino Linotype" w:cs="Palatino Linotype"/>
                <w:sz w:val="20"/>
                <w:szCs w:val="20"/>
              </w:rPr>
              <w:t>19</w:t>
            </w:r>
          </w:p>
        </w:tc>
        <w:tc>
          <w:tcPr>
            <w:tcW w:w="10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3C113F9D" w14:textId="53CD87A7">
            <w:pPr>
              <w:spacing w:after="0"/>
              <w:rPr>
                <w:rFonts w:ascii="Palatino Linotype" w:hAnsi="Palatino Linotype" w:eastAsia="Palatino Linotype" w:cs="Palatino Linotype"/>
                <w:sz w:val="22"/>
                <w:szCs w:val="22"/>
              </w:rPr>
            </w:pPr>
            <w:r w:rsidRPr="190E8F6F">
              <w:rPr>
                <w:rFonts w:ascii="Palatino Linotype" w:hAnsi="Palatino Linotype" w:eastAsia="Palatino Linotype" w:cs="Palatino Linotype"/>
                <w:sz w:val="20"/>
                <w:szCs w:val="20"/>
              </w:rPr>
              <w:t xml:space="preserve"> </w:t>
            </w:r>
          </w:p>
          <w:p w:rsidR="190E8F6F" w:rsidP="190E8F6F" w:rsidRDefault="190E8F6F" w14:paraId="3B75E7F6" w14:textId="232C7153">
            <w:pPr>
              <w:spacing w:after="0"/>
              <w:rPr>
                <w:rFonts w:ascii="Palatino Linotype" w:hAnsi="Palatino Linotype" w:eastAsia="Palatino Linotype" w:cs="Palatino Linotype"/>
                <w:sz w:val="20"/>
                <w:szCs w:val="20"/>
              </w:rPr>
            </w:pPr>
          </w:p>
          <w:p w:rsidR="190E8F6F" w:rsidP="190E8F6F" w:rsidRDefault="190E8F6F" w14:paraId="639E5D9E" w14:textId="5DB4FE5A">
            <w:pPr>
              <w:spacing w:after="0"/>
              <w:rPr>
                <w:rFonts w:ascii="Palatino Linotype" w:hAnsi="Palatino Linotype" w:eastAsia="Palatino Linotype" w:cs="Palatino Linotype"/>
                <w:sz w:val="20"/>
                <w:szCs w:val="20"/>
              </w:rPr>
            </w:pPr>
          </w:p>
          <w:p w:rsidR="190E8F6F" w:rsidP="190E8F6F" w:rsidRDefault="190E8F6F" w14:paraId="1D2EB5A1" w14:textId="5493ED94">
            <w:pPr>
              <w:spacing w:after="0"/>
              <w:rPr>
                <w:rFonts w:ascii="Palatino Linotype" w:hAnsi="Palatino Linotype" w:eastAsia="Palatino Linotype" w:cs="Palatino Linotype"/>
                <w:sz w:val="20"/>
                <w:szCs w:val="20"/>
              </w:rPr>
            </w:pPr>
          </w:p>
          <w:p w:rsidR="190E8F6F" w:rsidP="190E8F6F" w:rsidRDefault="190E8F6F" w14:paraId="41405B6D" w14:textId="4DE722A7">
            <w:pPr>
              <w:spacing w:after="0"/>
              <w:rPr>
                <w:rFonts w:ascii="Palatino Linotype" w:hAnsi="Palatino Linotype" w:eastAsia="Palatino Linotype" w:cs="Palatino Linotype"/>
                <w:sz w:val="20"/>
                <w:szCs w:val="20"/>
              </w:rPr>
            </w:pPr>
          </w:p>
          <w:p w:rsidR="190E8F6F" w:rsidP="190E8F6F" w:rsidRDefault="190E8F6F" w14:paraId="6993414D" w14:textId="0743204E">
            <w:pPr>
              <w:spacing w:after="0"/>
              <w:rPr>
                <w:rFonts w:ascii="Palatino Linotype" w:hAnsi="Palatino Linotype" w:eastAsia="Palatino Linotype" w:cs="Palatino Linotype"/>
                <w:sz w:val="20"/>
                <w:szCs w:val="20"/>
              </w:rPr>
            </w:pPr>
          </w:p>
          <w:p w:rsidR="190E8F6F" w:rsidP="190E8F6F" w:rsidRDefault="190E8F6F" w14:paraId="1EE12DCA" w14:textId="0C00C4FD">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4 hours</w:t>
            </w:r>
          </w:p>
        </w:tc>
        <w:tc>
          <w:tcPr>
            <w:tcW w:w="1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32F00C8C" w14:textId="40D1E922">
            <w:pPr>
              <w:spacing w:after="0"/>
              <w:rPr>
                <w:rFonts w:ascii="Palatino Linotype" w:hAnsi="Palatino Linotype" w:eastAsia="Palatino Linotype" w:cs="Palatino Linotype"/>
                <w:sz w:val="22"/>
                <w:szCs w:val="22"/>
              </w:rPr>
            </w:pPr>
            <w:r w:rsidRPr="190E8F6F">
              <w:rPr>
                <w:rFonts w:ascii="Palatino Linotype" w:hAnsi="Palatino Linotype" w:eastAsia="Palatino Linotype" w:cs="Palatino Linotype"/>
                <w:sz w:val="20"/>
                <w:szCs w:val="20"/>
              </w:rPr>
              <w:t xml:space="preserve"> </w:t>
            </w:r>
          </w:p>
          <w:p w:rsidR="190E8F6F" w:rsidP="190E8F6F" w:rsidRDefault="190E8F6F" w14:paraId="2794B276" w14:textId="25A81C70">
            <w:pPr>
              <w:spacing w:after="0"/>
              <w:rPr>
                <w:rFonts w:ascii="Palatino Linotype" w:hAnsi="Palatino Linotype" w:eastAsia="Palatino Linotype" w:cs="Palatino Linotype"/>
                <w:sz w:val="20"/>
                <w:szCs w:val="20"/>
              </w:rPr>
            </w:pPr>
          </w:p>
          <w:p w:rsidR="190E8F6F" w:rsidP="190E8F6F" w:rsidRDefault="190E8F6F" w14:paraId="4AB0B655" w14:textId="60E12216">
            <w:pPr>
              <w:spacing w:after="0"/>
              <w:rPr>
                <w:rFonts w:ascii="Palatino Linotype" w:hAnsi="Palatino Linotype" w:eastAsia="Palatino Linotype" w:cs="Palatino Linotype"/>
                <w:sz w:val="20"/>
                <w:szCs w:val="20"/>
              </w:rPr>
            </w:pPr>
          </w:p>
          <w:p w:rsidR="190E8F6F" w:rsidP="190E8F6F" w:rsidRDefault="190E8F6F" w14:paraId="04FBB92B" w14:textId="0408EE52">
            <w:pPr>
              <w:spacing w:after="0"/>
              <w:rPr>
                <w:rFonts w:ascii="Palatino Linotype" w:hAnsi="Palatino Linotype" w:eastAsia="Palatino Linotype" w:cs="Palatino Linotype"/>
                <w:sz w:val="20"/>
                <w:szCs w:val="20"/>
              </w:rPr>
            </w:pPr>
          </w:p>
          <w:p w:rsidR="190E8F6F" w:rsidP="190E8F6F" w:rsidRDefault="190E8F6F" w14:paraId="131D7223" w14:textId="3CB0C188">
            <w:pPr>
              <w:spacing w:after="0"/>
              <w:rPr>
                <w:rFonts w:ascii="Palatino Linotype" w:hAnsi="Palatino Linotype" w:eastAsia="Palatino Linotype" w:cs="Palatino Linotype"/>
                <w:sz w:val="20"/>
                <w:szCs w:val="20"/>
              </w:rPr>
            </w:pPr>
          </w:p>
          <w:p w:rsidR="4D3A6B82" w:rsidP="190E8F6F" w:rsidRDefault="4D3A6B82" w14:paraId="0744D23A" w14:textId="5D04781E">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MIPA + LTSA</w:t>
            </w:r>
          </w:p>
        </w:tc>
        <w:tc>
          <w:tcPr>
            <w:tcW w:w="142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15C39D59" w14:textId="2E780069">
            <w:pPr>
              <w:spacing w:after="0"/>
              <w:rPr>
                <w:rFonts w:ascii="Palatino Linotype" w:hAnsi="Palatino Linotype" w:eastAsia="Palatino Linotype" w:cs="Palatino Linotype"/>
                <w:sz w:val="20"/>
                <w:szCs w:val="20"/>
              </w:rPr>
            </w:pPr>
          </w:p>
          <w:p w:rsidR="190E8F6F" w:rsidP="190E8F6F" w:rsidRDefault="190E8F6F" w14:paraId="043DA2DC" w14:textId="6E2B5C12">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 xml:space="preserve"> </w:t>
            </w:r>
          </w:p>
          <w:p w:rsidR="190E8F6F" w:rsidP="190E8F6F" w:rsidRDefault="190E8F6F" w14:paraId="5F326F0E" w14:textId="6B97893B">
            <w:pPr>
              <w:spacing w:after="0"/>
              <w:rPr>
                <w:rFonts w:ascii="Palatino Linotype" w:hAnsi="Palatino Linotype" w:eastAsia="Palatino Linotype" w:cs="Palatino Linotype"/>
                <w:sz w:val="20"/>
                <w:szCs w:val="20"/>
              </w:rPr>
            </w:pPr>
          </w:p>
          <w:p w:rsidR="190E8F6F" w:rsidP="190E8F6F" w:rsidRDefault="190E8F6F" w14:paraId="561A2A05" w14:textId="78FF84B9">
            <w:pPr>
              <w:spacing w:after="0"/>
              <w:rPr>
                <w:rFonts w:ascii="Palatino Linotype" w:hAnsi="Palatino Linotype" w:eastAsia="Palatino Linotype" w:cs="Palatino Linotype"/>
                <w:sz w:val="20"/>
                <w:szCs w:val="20"/>
              </w:rPr>
            </w:pPr>
          </w:p>
          <w:p w:rsidR="190E8F6F" w:rsidP="190E8F6F" w:rsidRDefault="190E8F6F" w14:paraId="1C4FE1BF" w14:textId="341E77B7">
            <w:pPr>
              <w:spacing w:after="0"/>
              <w:rPr>
                <w:rFonts w:ascii="Palatino Linotype" w:hAnsi="Palatino Linotype" w:eastAsia="Palatino Linotype" w:cs="Palatino Linotype"/>
                <w:sz w:val="20"/>
                <w:szCs w:val="20"/>
              </w:rPr>
            </w:pPr>
          </w:p>
          <w:p w:rsidR="75221A19" w:rsidP="190E8F6F" w:rsidRDefault="75221A19" w14:paraId="3E2B7B54" w14:textId="0D682253">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December 2024</w:t>
            </w:r>
          </w:p>
        </w:tc>
        <w:tc>
          <w:tcPr>
            <w:tcW w:w="138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47AEB67A" w14:textId="385C12D3">
            <w:pPr>
              <w:spacing w:after="0"/>
              <w:rPr>
                <w:rFonts w:ascii="Palatino Linotype" w:hAnsi="Palatino Linotype" w:eastAsia="Palatino Linotype" w:cs="Palatino Linotype"/>
                <w:sz w:val="20"/>
                <w:szCs w:val="20"/>
              </w:rPr>
            </w:pPr>
          </w:p>
          <w:p w:rsidR="190E8F6F" w:rsidP="190E8F6F" w:rsidRDefault="190E8F6F" w14:paraId="7B227A8D" w14:textId="7C0565F1">
            <w:pPr>
              <w:spacing w:after="0"/>
              <w:rPr>
                <w:rFonts w:ascii="Palatino Linotype" w:hAnsi="Palatino Linotype" w:eastAsia="Palatino Linotype" w:cs="Palatino Linotype"/>
                <w:sz w:val="20"/>
                <w:szCs w:val="20"/>
              </w:rPr>
            </w:pPr>
          </w:p>
          <w:p w:rsidR="190E8F6F" w:rsidP="190E8F6F" w:rsidRDefault="190E8F6F" w14:paraId="6708F934" w14:textId="168FAF42">
            <w:pPr>
              <w:spacing w:after="0"/>
              <w:rPr>
                <w:rFonts w:ascii="Palatino Linotype" w:hAnsi="Palatino Linotype" w:eastAsia="Palatino Linotype" w:cs="Palatino Linotype"/>
                <w:sz w:val="20"/>
                <w:szCs w:val="20"/>
              </w:rPr>
            </w:pPr>
          </w:p>
          <w:p w:rsidR="190E8F6F" w:rsidP="190E8F6F" w:rsidRDefault="190E8F6F" w14:paraId="3409F3A6" w14:textId="089CDA5C">
            <w:pPr>
              <w:spacing w:after="0"/>
              <w:rPr>
                <w:rFonts w:ascii="Palatino Linotype" w:hAnsi="Palatino Linotype" w:eastAsia="Palatino Linotype" w:cs="Palatino Linotype"/>
                <w:sz w:val="20"/>
                <w:szCs w:val="20"/>
              </w:rPr>
            </w:pPr>
          </w:p>
          <w:p w:rsidR="6D21C0CD" w:rsidP="190E8F6F" w:rsidRDefault="6D21C0CD" w14:paraId="7F3F9BEF" w14:textId="3FE08FA9">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Ownership + 10 years O&amp;M</w:t>
            </w:r>
          </w:p>
        </w:tc>
      </w:tr>
    </w:tbl>
    <w:p w:rsidR="190E8F6F" w:rsidP="00316F4E" w:rsidRDefault="190E8F6F" w14:paraId="5780172A" w14:textId="3F2F64AA">
      <w:pPr>
        <w:spacing w:after="0" w:line="240" w:lineRule="auto"/>
        <w:rPr>
          <w:rFonts w:ascii="Palatino Linotype" w:hAnsi="Palatino Linotype" w:eastAsia="Palatino Linotype" w:cs="Palatino Linotype"/>
        </w:rPr>
      </w:pPr>
    </w:p>
    <w:p w:rsidR="56D0D770" w:rsidP="190E8F6F" w:rsidRDefault="24D5D4AB" w14:paraId="5DE48807" w14:textId="4D9CA440">
      <w:pPr>
        <w:spacing w:before="240" w:after="240"/>
        <w:rPr>
          <w:rFonts w:ascii="Palatino Linotype" w:hAnsi="Palatino Linotype" w:eastAsia="Palatino Linotype" w:cs="Palatino Linotype"/>
        </w:rPr>
      </w:pPr>
      <w:r w:rsidRPr="190E8F6F">
        <w:rPr>
          <w:rFonts w:ascii="Palatino Linotype" w:hAnsi="Palatino Linotype" w:eastAsia="Palatino Linotype" w:cs="Palatino Linotype"/>
        </w:rPr>
        <w:t>The estimated total cost of the project is $</w:t>
      </w:r>
      <w:r w:rsidRPr="190E8F6F" w:rsidR="409A76ED">
        <w:rPr>
          <w:rFonts w:ascii="Palatino Linotype" w:hAnsi="Palatino Linotype" w:eastAsia="Palatino Linotype" w:cs="Palatino Linotype"/>
        </w:rPr>
        <w:t>267.9</w:t>
      </w:r>
      <w:r w:rsidRPr="190E8F6F">
        <w:rPr>
          <w:rFonts w:ascii="Palatino Linotype" w:hAnsi="Palatino Linotype" w:eastAsia="Palatino Linotype" w:cs="Palatino Linotype"/>
        </w:rPr>
        <w:t xml:space="preserve"> million. </w:t>
      </w:r>
      <w:r w:rsidRPr="190E8F6F" w:rsidR="6EA5779E">
        <w:rPr>
          <w:rFonts w:ascii="Palatino Linotype" w:hAnsi="Palatino Linotype" w:eastAsia="Palatino Linotype" w:cs="Palatino Linotype"/>
        </w:rPr>
        <w:t>Additional c</w:t>
      </w:r>
      <w:r w:rsidRPr="7441B0D7" w:rsidR="6EA5779E">
        <w:rPr>
          <w:rFonts w:ascii="Palatino Linotype" w:hAnsi="Palatino Linotype" w:eastAsia="Palatino Linotype" w:cs="Palatino Linotype"/>
        </w:rPr>
        <w:t>ontract terms can be found in Confidential Appendix A.</w:t>
      </w:r>
    </w:p>
    <w:p w:rsidR="56D0D770" w:rsidP="190E8F6F" w:rsidRDefault="24D5D4AB" w14:paraId="1C19FEE6" w14:textId="67C2102F">
      <w:pPr>
        <w:rPr>
          <w:rFonts w:ascii="Palatino Linotype" w:hAnsi="Palatino Linotype" w:eastAsia="Palatino Linotype" w:cs="Palatino Linotype"/>
        </w:rPr>
      </w:pPr>
      <w:r w:rsidRPr="190E8F6F">
        <w:rPr>
          <w:rFonts w:ascii="Palatino Linotype" w:hAnsi="Palatino Linotype" w:eastAsia="Palatino Linotype" w:cs="Palatino Linotype"/>
        </w:rPr>
        <w:t>In AL 4</w:t>
      </w:r>
      <w:r w:rsidRPr="190E8F6F" w:rsidR="2C0C51D9">
        <w:rPr>
          <w:rFonts w:ascii="Palatino Linotype" w:hAnsi="Palatino Linotype" w:eastAsia="Palatino Linotype" w:cs="Palatino Linotype"/>
        </w:rPr>
        <w:t>736</w:t>
      </w:r>
      <w:r w:rsidRPr="190E8F6F">
        <w:rPr>
          <w:rFonts w:ascii="Palatino Linotype" w:hAnsi="Palatino Linotype" w:eastAsia="Palatino Linotype" w:cs="Palatino Linotype"/>
        </w:rPr>
        <w:t xml:space="preserve">-E, SDG&amp;E states that </w:t>
      </w:r>
      <w:r w:rsidRPr="190E8F6F" w:rsidR="4DB61FAD">
        <w:rPr>
          <w:rFonts w:ascii="Palatino Linotype" w:hAnsi="Palatino Linotype" w:eastAsia="Palatino Linotype" w:cs="Palatino Linotype"/>
        </w:rPr>
        <w:t xml:space="preserve">SDG&amp;E’s </w:t>
      </w:r>
      <w:r w:rsidRPr="190E8F6F">
        <w:rPr>
          <w:rFonts w:ascii="Palatino Linotype" w:hAnsi="Palatino Linotype" w:eastAsia="Palatino Linotype" w:cs="Palatino Linotype"/>
        </w:rPr>
        <w:t>UDT issued a competitive solicitation seeking proposals (“RFP”) for utility-owned energy storage Engineer Procure Construct (“EPC”) and BOT projects available to come online by 2027. SDG&amp;E notes that it compared both the capital and O&amp;M costs of the</w:t>
      </w:r>
      <w:r w:rsidRPr="190E8F6F" w:rsidR="0AC7601C">
        <w:rPr>
          <w:rFonts w:ascii="Palatino Linotype" w:hAnsi="Palatino Linotype" w:eastAsia="Palatino Linotype" w:cs="Palatino Linotype"/>
        </w:rPr>
        <w:t xml:space="preserve"> project against other projects bid into the UDT RFP and the co-located Westside Canal Energy Storage Phase 2b project, against prior Commission-approved utility-owned projects, and against relevant market data.</w:t>
      </w:r>
      <w:r w:rsidRPr="190E8F6F">
        <w:rPr>
          <w:rFonts w:ascii="Palatino Linotype" w:hAnsi="Palatino Linotype" w:eastAsia="Palatino Linotype" w:cs="Palatino Linotype"/>
        </w:rPr>
        <w:t xml:space="preserve"> </w:t>
      </w:r>
      <w:r w:rsidRPr="190E8F6F" w:rsidR="02EE1D8F">
        <w:rPr>
          <w:rFonts w:ascii="Palatino Linotype" w:hAnsi="Palatino Linotype" w:eastAsia="Palatino Linotype" w:cs="Palatino Linotype"/>
        </w:rPr>
        <w:t xml:space="preserve">SDGE’s UDT </w:t>
      </w:r>
      <w:r w:rsidRPr="190E8F6F">
        <w:rPr>
          <w:rFonts w:ascii="Palatino Linotype" w:hAnsi="Palatino Linotype" w:eastAsia="Palatino Linotype" w:cs="Palatino Linotype"/>
        </w:rPr>
        <w:t>retained an Independent Evaluator (“IE”), PA Consulting, to assist with the cost competitive analysis.</w:t>
      </w:r>
      <w:r w:rsidRPr="190E8F6F" w:rsidR="7A989039">
        <w:rPr>
          <w:rFonts w:ascii="Palatino Linotype" w:hAnsi="Palatino Linotype" w:eastAsia="Palatino Linotype" w:cs="Palatino Linotype"/>
        </w:rPr>
        <w:t xml:space="preserve"> In addition, SDG&amp;E’s </w:t>
      </w:r>
      <w:r w:rsidRPr="6AA5A77E" w:rsidR="6F9F041D">
        <w:rPr>
          <w:rFonts w:ascii="Palatino Linotype" w:hAnsi="Palatino Linotype" w:eastAsia="Palatino Linotype" w:cs="Palatino Linotype"/>
        </w:rPr>
        <w:t xml:space="preserve">Bid Evaluation Team </w:t>
      </w:r>
      <w:r w:rsidRPr="6AA5A77E" w:rsidR="6F9F041D">
        <w:rPr>
          <w:rFonts w:ascii="Palatino Linotype" w:hAnsi="Palatino Linotype" w:eastAsia="Palatino Linotype" w:cs="Palatino Linotype"/>
        </w:rPr>
        <w:lastRenderedPageBreak/>
        <w:t>(</w:t>
      </w:r>
      <w:r w:rsidRPr="6AA5A77E" w:rsidR="01A49DCE">
        <w:rPr>
          <w:rFonts w:ascii="Palatino Linotype" w:hAnsi="Palatino Linotype" w:eastAsia="Palatino Linotype" w:cs="Palatino Linotype"/>
        </w:rPr>
        <w:t>“</w:t>
      </w:r>
      <w:r w:rsidRPr="6AA5A77E" w:rsidR="6F9F041D">
        <w:rPr>
          <w:rFonts w:ascii="Palatino Linotype" w:hAnsi="Palatino Linotype" w:eastAsia="Palatino Linotype" w:cs="Palatino Linotype"/>
        </w:rPr>
        <w:t>BET</w:t>
      </w:r>
      <w:r w:rsidRPr="6AA5A77E" w:rsidR="124FAD6E">
        <w:rPr>
          <w:rFonts w:ascii="Palatino Linotype" w:hAnsi="Palatino Linotype" w:eastAsia="Palatino Linotype" w:cs="Palatino Linotype"/>
        </w:rPr>
        <w:t>”</w:t>
      </w:r>
      <w:r w:rsidRPr="01C0285C" w:rsidR="6F9F041D">
        <w:rPr>
          <w:rFonts w:ascii="Palatino Linotype" w:hAnsi="Palatino Linotype" w:eastAsia="Palatino Linotype" w:cs="Palatino Linotype"/>
        </w:rPr>
        <w:t>)</w:t>
      </w:r>
      <w:r w:rsidRPr="190E8F6F" w:rsidR="7A989039">
        <w:rPr>
          <w:rFonts w:ascii="Palatino Linotype" w:hAnsi="Palatino Linotype" w:eastAsia="Palatino Linotype" w:cs="Palatino Linotype"/>
        </w:rPr>
        <w:t xml:space="preserve"> performed a net market value analysis and retained a separate IE in connection with its analysis.</w:t>
      </w:r>
      <w:r w:rsidRPr="190E8F6F" w:rsidR="56D0D770">
        <w:rPr>
          <w:rStyle w:val="FootnoteReference"/>
          <w:rFonts w:ascii="Palatino Linotype" w:hAnsi="Palatino Linotype" w:eastAsia="Palatino Linotype" w:cs="Palatino Linotype"/>
        </w:rPr>
        <w:footnoteReference w:id="15"/>
      </w:r>
    </w:p>
    <w:p w:rsidR="56D0D770" w:rsidP="190E8F6F" w:rsidRDefault="56D0D770" w14:paraId="685012AD" w14:textId="3A7E8698">
      <w:pPr>
        <w:rPr>
          <w:rFonts w:ascii="Palatino Linotype" w:hAnsi="Palatino Linotype" w:eastAsia="Palatino Linotype" w:cs="Palatino Linotype"/>
        </w:rPr>
      </w:pPr>
      <w:r w:rsidRPr="4D8ACD53">
        <w:rPr>
          <w:rFonts w:ascii="Palatino Linotype" w:hAnsi="Palatino Linotype" w:eastAsia="Palatino Linotype" w:cs="Palatino Linotype"/>
        </w:rPr>
        <w:t>SDG&amp;E notes that the Westside Canal Phase 2</w:t>
      </w:r>
      <w:r w:rsidRPr="4D8ACD53" w:rsidR="59CDFA14">
        <w:rPr>
          <w:rFonts w:ascii="Palatino Linotype" w:hAnsi="Palatino Linotype" w:eastAsia="Palatino Linotype" w:cs="Palatino Linotype"/>
        </w:rPr>
        <w:t>a</w:t>
      </w:r>
      <w:r w:rsidRPr="4D8ACD53">
        <w:rPr>
          <w:rFonts w:ascii="Palatino Linotype" w:hAnsi="Palatino Linotype" w:eastAsia="Palatino Linotype" w:cs="Palatino Linotype"/>
        </w:rPr>
        <w:t xml:space="preserve"> project </w:t>
      </w:r>
      <w:r w:rsidRPr="4D8ACD53" w:rsidR="7C0C874F">
        <w:rPr>
          <w:rFonts w:ascii="Palatino Linotype" w:hAnsi="Palatino Linotype" w:eastAsia="Palatino Linotype" w:cs="Palatino Linotype"/>
        </w:rPr>
        <w:t xml:space="preserve">is fully constructed and operational and sited on land controlled by SDG&amp;E. </w:t>
      </w:r>
      <w:r w:rsidRPr="4D8ACD53">
        <w:rPr>
          <w:rFonts w:ascii="Palatino Linotype" w:hAnsi="Palatino Linotype" w:eastAsia="Palatino Linotype" w:cs="Palatino Linotype"/>
        </w:rPr>
        <w:t xml:space="preserve">Further, they note that the project has received a full Transmission Plan Deliverability (“TPD”) allocation, which means that once the approved transmission upgrades are completed, the project will have firm Full Capacity Deliverability Status (“FCDS”), which is expected in 2034. </w:t>
      </w:r>
      <w:r w:rsidRPr="4D8ACD53" w:rsidR="4B7D8823">
        <w:rPr>
          <w:rFonts w:ascii="Palatino Linotype" w:hAnsi="Palatino Linotype" w:eastAsia="Palatino Linotype" w:cs="Palatino Linotype"/>
        </w:rPr>
        <w:t>SDG&amp;E states that in the interim, the project is eligible for interim deliverability; the</w:t>
      </w:r>
      <w:r w:rsidRPr="4D8ACD53" w:rsidR="4BA6D175">
        <w:rPr>
          <w:rFonts w:ascii="Palatino Linotype" w:hAnsi="Palatino Linotype" w:eastAsia="Palatino Linotype" w:cs="Palatino Linotype"/>
        </w:rPr>
        <w:t xml:space="preserve"> project</w:t>
      </w:r>
      <w:r w:rsidRPr="4D8ACD53" w:rsidR="4B7D8823">
        <w:rPr>
          <w:rFonts w:ascii="Palatino Linotype" w:hAnsi="Palatino Linotype" w:eastAsia="Palatino Linotype" w:cs="Palatino Linotype"/>
        </w:rPr>
        <w:t xml:space="preserve"> has obtained </w:t>
      </w:r>
      <w:r w:rsidRPr="4D8ACD53" w:rsidR="36D6EE1B">
        <w:rPr>
          <w:rFonts w:ascii="Palatino Linotype" w:hAnsi="Palatino Linotype" w:eastAsia="Palatino Linotype" w:cs="Palatino Linotype"/>
        </w:rPr>
        <w:t>interim deliverability</w:t>
      </w:r>
      <w:r w:rsidRPr="4D8ACD53" w:rsidR="4B7D8823">
        <w:rPr>
          <w:rFonts w:ascii="Palatino Linotype" w:hAnsi="Palatino Linotype" w:eastAsia="Palatino Linotype" w:cs="Palatino Linotype"/>
        </w:rPr>
        <w:t xml:space="preserve"> (</w:t>
      </w:r>
      <w:r w:rsidRPr="4D8ACD53" w:rsidR="54FAE894">
        <w:rPr>
          <w:rFonts w:ascii="Palatino Linotype" w:hAnsi="Palatino Linotype" w:eastAsia="Palatino Linotype" w:cs="Palatino Linotype"/>
        </w:rPr>
        <w:t xml:space="preserve">full </w:t>
      </w:r>
      <w:r w:rsidRPr="4D8ACD53" w:rsidR="4B7D8823">
        <w:rPr>
          <w:rFonts w:ascii="Palatino Linotype" w:hAnsi="Palatino Linotype" w:eastAsia="Palatino Linotype" w:cs="Palatino Linotype"/>
        </w:rPr>
        <w:t xml:space="preserve">Net Qualifying Capacity value) for both 2025 and 2026. </w:t>
      </w:r>
    </w:p>
    <w:p w:rsidR="094F8D99" w:rsidP="7BDF5CE3" w:rsidRDefault="3AFA8A8E" w14:paraId="432E2838" w14:textId="5A9CD8E5">
      <w:r w:rsidRPr="7BDF5CE3">
        <w:rPr>
          <w:rFonts w:ascii="Palatino Linotype" w:hAnsi="Palatino Linotype" w:eastAsia="Palatino Linotype" w:cs="Palatino Linotype"/>
        </w:rPr>
        <w:t>Regarding cost recovery, SDG&amp;E proposes that the associated cost of the Westside Canal Phase 2</w:t>
      </w:r>
      <w:r w:rsidRPr="7BDF5CE3" w:rsidR="0D890728">
        <w:rPr>
          <w:rFonts w:ascii="Palatino Linotype" w:hAnsi="Palatino Linotype" w:eastAsia="Palatino Linotype" w:cs="Palatino Linotype"/>
        </w:rPr>
        <w:t>a</w:t>
      </w:r>
      <w:r w:rsidRPr="7BDF5CE3">
        <w:rPr>
          <w:rFonts w:ascii="Palatino Linotype" w:hAnsi="Palatino Linotype" w:eastAsia="Palatino Linotype" w:cs="Palatino Linotype"/>
        </w:rPr>
        <w:t xml:space="preserve"> project be recovered through the Cost Allocation Mechanism (“CAM”) consistent </w:t>
      </w:r>
      <w:r w:rsidRPr="7BDF5CE3" w:rsidR="658EEE72">
        <w:rPr>
          <w:rFonts w:ascii="Palatino Linotype" w:hAnsi="Palatino Linotype" w:eastAsia="Palatino Linotype" w:cs="Palatino Linotype"/>
        </w:rPr>
        <w:t xml:space="preserve">with </w:t>
      </w:r>
      <w:r w:rsidRPr="7BDF5CE3">
        <w:rPr>
          <w:rFonts w:ascii="Palatino Linotype" w:hAnsi="Palatino Linotype" w:eastAsia="Palatino Linotype" w:cs="Palatino Linotype"/>
        </w:rPr>
        <w:t>OP 11 of the Summer Reliability R.20-11-003, Phase 2 Decision, which orders that the net costs associated with the supply side procurement shall be passed through to all benefitting customers, consistent with the CAM.</w:t>
      </w:r>
    </w:p>
    <w:p w:rsidR="094F8D99" w:rsidP="190E8F6F" w:rsidRDefault="094F8D99" w14:paraId="52AE4ADD" w14:textId="413A397F">
      <w:pPr>
        <w:rPr>
          <w:rFonts w:ascii="Palatino Linotype" w:hAnsi="Palatino Linotype" w:eastAsia="Palatino Linotype" w:cs="Palatino Linotype"/>
        </w:rPr>
      </w:pPr>
      <w:r w:rsidRPr="190E8F6F">
        <w:rPr>
          <w:rFonts w:ascii="Palatino Linotype" w:hAnsi="Palatino Linotype" w:eastAsia="Palatino Linotype" w:cs="Palatino Linotype"/>
        </w:rPr>
        <w:t>SDG&amp;E requests</w:t>
      </w:r>
      <w:r w:rsidRPr="190E8F6F" w:rsidR="1EF7041B">
        <w:rPr>
          <w:rFonts w:ascii="Palatino Linotype" w:hAnsi="Palatino Linotype" w:eastAsia="Palatino Linotype" w:cs="Palatino Linotype"/>
        </w:rPr>
        <w:t xml:space="preserve"> that the Commission’s Energy Division issue a disposition letter that:</w:t>
      </w:r>
      <w:r w:rsidRPr="190E8F6F">
        <w:rPr>
          <w:rFonts w:ascii="Palatino Linotype" w:hAnsi="Palatino Linotype" w:eastAsia="Palatino Linotype" w:cs="Palatino Linotype"/>
        </w:rPr>
        <w:t xml:space="preserve"> </w:t>
      </w:r>
    </w:p>
    <w:p w:rsidR="204BC996" w:rsidP="190E8F6F" w:rsidRDefault="204BC996" w14:paraId="0F0EAB2A" w14:textId="12F2E150">
      <w:pPr>
        <w:pStyle w:val="ListParagraph"/>
        <w:numPr>
          <w:ilvl w:val="0"/>
          <w:numId w:val="3"/>
        </w:numPr>
        <w:rPr>
          <w:rFonts w:ascii="Palatino Linotype" w:hAnsi="Palatino Linotype" w:eastAsia="Palatino Linotype" w:cs="Palatino Linotype"/>
        </w:rPr>
      </w:pPr>
      <w:r w:rsidRPr="6AA5A77E">
        <w:rPr>
          <w:rFonts w:ascii="Palatino Linotype" w:hAnsi="Palatino Linotype" w:eastAsia="Palatino Linotype" w:cs="Palatino Linotype"/>
        </w:rPr>
        <w:t xml:space="preserve">Finds that </w:t>
      </w:r>
      <w:r w:rsidRPr="6AA5A77E" w:rsidR="0533BB32">
        <w:rPr>
          <w:rFonts w:ascii="Palatino Linotype" w:hAnsi="Palatino Linotype" w:eastAsia="Palatino Linotype" w:cs="Palatino Linotype"/>
        </w:rPr>
        <w:t xml:space="preserve">SDG&amp;E’s procurement of the </w:t>
      </w:r>
      <w:r w:rsidRPr="6AA5A77E" w:rsidR="77603066">
        <w:rPr>
          <w:rFonts w:ascii="Palatino Linotype" w:hAnsi="Palatino Linotype" w:eastAsia="Palatino Linotype" w:cs="Palatino Linotype"/>
        </w:rPr>
        <w:t>p</w:t>
      </w:r>
      <w:r w:rsidRPr="6AA5A77E" w:rsidR="0533BB32">
        <w:rPr>
          <w:rFonts w:ascii="Palatino Linotype" w:hAnsi="Palatino Linotype" w:eastAsia="Palatino Linotype" w:cs="Palatino Linotype"/>
        </w:rPr>
        <w:t xml:space="preserve">roject is reasonable and satisfies the eligibility and other requirements pertaining to </w:t>
      </w:r>
      <w:r w:rsidRPr="6AA5A77E" w:rsidR="000B0E8A">
        <w:rPr>
          <w:rFonts w:ascii="Palatino Linotype" w:hAnsi="Palatino Linotype" w:eastAsia="Palatino Linotype" w:cs="Palatino Linotype"/>
        </w:rPr>
        <w:t>effective planning reserve margin (</w:t>
      </w:r>
      <w:r w:rsidRPr="6AA5A77E" w:rsidR="21BEEC30">
        <w:rPr>
          <w:rFonts w:ascii="Palatino Linotype" w:hAnsi="Palatino Linotype" w:eastAsia="Palatino Linotype" w:cs="Palatino Linotype"/>
        </w:rPr>
        <w:t>“</w:t>
      </w:r>
      <w:r w:rsidRPr="6AA5A77E" w:rsidR="0533BB32">
        <w:rPr>
          <w:rFonts w:ascii="Palatino Linotype" w:hAnsi="Palatino Linotype" w:eastAsia="Palatino Linotype" w:cs="Palatino Linotype"/>
        </w:rPr>
        <w:t>EPRM</w:t>
      </w:r>
      <w:r w:rsidRPr="6AA5A77E" w:rsidR="02AAB121">
        <w:rPr>
          <w:rFonts w:ascii="Palatino Linotype" w:hAnsi="Palatino Linotype" w:eastAsia="Palatino Linotype" w:cs="Palatino Linotype"/>
        </w:rPr>
        <w:t>”</w:t>
      </w:r>
      <w:r w:rsidRPr="6AA5A77E" w:rsidR="000B0E8A">
        <w:rPr>
          <w:rFonts w:ascii="Palatino Linotype" w:hAnsi="Palatino Linotype" w:eastAsia="Palatino Linotype" w:cs="Palatino Linotype"/>
        </w:rPr>
        <w:t>)</w:t>
      </w:r>
      <w:r w:rsidRPr="6AA5A77E" w:rsidR="0533BB32">
        <w:rPr>
          <w:rFonts w:ascii="Palatino Linotype" w:hAnsi="Palatino Linotype" w:eastAsia="Palatino Linotype" w:cs="Palatino Linotype"/>
        </w:rPr>
        <w:t xml:space="preserve"> resources adopted by the Commission in D.25-06-048, D.23-06-029, and D.21-12-015;</w:t>
      </w:r>
    </w:p>
    <w:p w:rsidR="2F8DD21C" w:rsidP="190E8F6F" w:rsidRDefault="2F8DD21C" w14:paraId="45378521" w14:textId="38619B19">
      <w:pPr>
        <w:pStyle w:val="ListParagraph"/>
        <w:numPr>
          <w:ilvl w:val="0"/>
          <w:numId w:val="3"/>
        </w:numPr>
        <w:rPr>
          <w:rFonts w:ascii="Palatino Linotype" w:hAnsi="Palatino Linotype" w:eastAsia="Palatino Linotype" w:cs="Palatino Linotype"/>
        </w:rPr>
      </w:pPr>
      <w:r w:rsidRPr="6AA5A77E">
        <w:rPr>
          <w:rFonts w:ascii="Palatino Linotype" w:hAnsi="Palatino Linotype" w:eastAsia="Palatino Linotype" w:cs="Palatino Linotype"/>
        </w:rPr>
        <w:t xml:space="preserve">Authorizes </w:t>
      </w:r>
      <w:r w:rsidRPr="6AA5A77E" w:rsidR="0533BB32">
        <w:rPr>
          <w:rFonts w:ascii="Palatino Linotype" w:hAnsi="Palatino Linotype" w:eastAsia="Palatino Linotype" w:cs="Palatino Linotype"/>
        </w:rPr>
        <w:t xml:space="preserve">SDG&amp;E </w:t>
      </w:r>
      <w:r w:rsidRPr="6AA5A77E" w:rsidR="65AB9FE4">
        <w:rPr>
          <w:rFonts w:ascii="Palatino Linotype" w:hAnsi="Palatino Linotype" w:eastAsia="Palatino Linotype" w:cs="Palatino Linotype"/>
        </w:rPr>
        <w:t>to</w:t>
      </w:r>
      <w:r w:rsidRPr="6AA5A77E" w:rsidR="0533BB32">
        <w:rPr>
          <w:rFonts w:ascii="Palatino Linotype" w:hAnsi="Palatino Linotype" w:eastAsia="Palatino Linotype" w:cs="Palatino Linotype"/>
        </w:rPr>
        <w:t xml:space="preserve"> allocate RA benefits associated with the </w:t>
      </w:r>
      <w:r w:rsidRPr="6AA5A77E" w:rsidR="647963AE">
        <w:rPr>
          <w:rFonts w:ascii="Palatino Linotype" w:hAnsi="Palatino Linotype" w:eastAsia="Palatino Linotype" w:cs="Palatino Linotype"/>
        </w:rPr>
        <w:t>p</w:t>
      </w:r>
      <w:r w:rsidRPr="6AA5A77E" w:rsidR="0533BB32">
        <w:rPr>
          <w:rFonts w:ascii="Palatino Linotype" w:hAnsi="Palatino Linotype" w:eastAsia="Palatino Linotype" w:cs="Palatino Linotype"/>
        </w:rPr>
        <w:t>roject to benefitting customers in accordance with the requirements of D.21-12-015;</w:t>
      </w:r>
    </w:p>
    <w:p w:rsidR="1B6E5D31" w:rsidP="190E8F6F" w:rsidRDefault="1B6E5D31" w14:paraId="326B6DC2" w14:textId="446C2651">
      <w:pPr>
        <w:pStyle w:val="ListParagraph"/>
        <w:numPr>
          <w:ilvl w:val="0"/>
          <w:numId w:val="3"/>
        </w:numPr>
        <w:rPr>
          <w:rFonts w:ascii="Palatino Linotype" w:hAnsi="Palatino Linotype" w:eastAsia="Palatino Linotype" w:cs="Palatino Linotype"/>
        </w:rPr>
      </w:pPr>
      <w:r w:rsidRPr="4D8ACD53">
        <w:rPr>
          <w:rFonts w:ascii="Palatino Linotype" w:hAnsi="Palatino Linotype" w:eastAsia="Palatino Linotype" w:cs="Palatino Linotype"/>
        </w:rPr>
        <w:t xml:space="preserve">Authorizes </w:t>
      </w:r>
      <w:r w:rsidRPr="4D8ACD53" w:rsidR="0533BB32">
        <w:rPr>
          <w:rFonts w:ascii="Palatino Linotype" w:hAnsi="Palatino Linotype" w:eastAsia="Palatino Linotype" w:cs="Palatino Linotype"/>
        </w:rPr>
        <w:t xml:space="preserve">SDG&amp;E </w:t>
      </w:r>
      <w:r w:rsidRPr="4D8ACD53" w:rsidR="6BD8D427">
        <w:rPr>
          <w:rFonts w:ascii="Palatino Linotype" w:hAnsi="Palatino Linotype" w:eastAsia="Palatino Linotype" w:cs="Palatino Linotype"/>
        </w:rPr>
        <w:t>to</w:t>
      </w:r>
      <w:r w:rsidRPr="4D8ACD53" w:rsidR="0533BB32">
        <w:rPr>
          <w:rFonts w:ascii="Palatino Linotype" w:hAnsi="Palatino Linotype" w:eastAsia="Palatino Linotype" w:cs="Palatino Linotype"/>
        </w:rPr>
        <w:t xml:space="preserve"> allocate costs associated with the </w:t>
      </w:r>
      <w:r w:rsidRPr="4D8ACD53" w:rsidR="1A5BE2EF">
        <w:rPr>
          <w:rFonts w:ascii="Palatino Linotype" w:hAnsi="Palatino Linotype" w:eastAsia="Palatino Linotype" w:cs="Palatino Linotype"/>
        </w:rPr>
        <w:t>p</w:t>
      </w:r>
      <w:r w:rsidRPr="4D8ACD53" w:rsidR="0533BB32">
        <w:rPr>
          <w:rFonts w:ascii="Palatino Linotype" w:hAnsi="Palatino Linotype" w:eastAsia="Palatino Linotype" w:cs="Palatino Linotype"/>
        </w:rPr>
        <w:t>roject to benefitting customers in accordance with the requirements of D.21-12-015, including cost recovery via the CAM; and</w:t>
      </w:r>
    </w:p>
    <w:p w:rsidR="07C1075A" w:rsidP="190E8F6F" w:rsidRDefault="4315BC5D" w14:paraId="3B4CAC03" w14:textId="423C715B">
      <w:pPr>
        <w:pStyle w:val="ListParagraph"/>
        <w:numPr>
          <w:ilvl w:val="0"/>
          <w:numId w:val="3"/>
        </w:numPr>
        <w:rPr>
          <w:rFonts w:ascii="Palatino Linotype" w:hAnsi="Palatino Linotype" w:eastAsia="Palatino Linotype" w:cs="Palatino Linotype"/>
        </w:rPr>
      </w:pPr>
      <w:r w:rsidRPr="79F77C57">
        <w:rPr>
          <w:rFonts w:ascii="Palatino Linotype" w:hAnsi="Palatino Linotype" w:eastAsia="Palatino Linotype" w:cs="Palatino Linotype"/>
        </w:rPr>
        <w:t>Grants such other relief as is necessary and proper.</w:t>
      </w:r>
      <w:r w:rsidRPr="79F77C57" w:rsidR="07C1075A">
        <w:rPr>
          <w:rStyle w:val="FootnoteReference"/>
          <w:rFonts w:ascii="Palatino Linotype" w:hAnsi="Palatino Linotype" w:eastAsia="Palatino Linotype" w:cs="Palatino Linotype"/>
        </w:rPr>
        <w:footnoteReference w:id="16"/>
      </w:r>
    </w:p>
    <w:p w:rsidR="094F8D99" w:rsidP="003C1C00" w:rsidRDefault="094F8D99" w14:paraId="56F3CC4D" w14:textId="38824769">
      <w:pPr>
        <w:keepNext/>
        <w:spacing w:line="278" w:lineRule="auto"/>
        <w:rPr>
          <w:rFonts w:ascii="Palatino Linotype" w:hAnsi="Palatino Linotype" w:eastAsia="Palatino Linotype" w:cs="Palatino Linotype"/>
          <w:b/>
          <w:bCs/>
          <w:u w:val="single"/>
        </w:rPr>
      </w:pPr>
      <w:r w:rsidRPr="190E8F6F">
        <w:rPr>
          <w:rFonts w:ascii="Palatino Linotype" w:hAnsi="Palatino Linotype" w:eastAsia="Palatino Linotype" w:cs="Palatino Linotype"/>
          <w:b/>
          <w:bCs/>
          <w:u w:val="single"/>
        </w:rPr>
        <w:lastRenderedPageBreak/>
        <w:t>NOTICE</w:t>
      </w:r>
    </w:p>
    <w:p w:rsidR="094F8D99" w:rsidP="003C1C00" w:rsidRDefault="094F8D99" w14:paraId="65611FFF" w14:textId="33F987FF">
      <w:pPr>
        <w:keepNext/>
        <w:spacing w:line="278" w:lineRule="auto"/>
        <w:rPr>
          <w:rFonts w:ascii="Palatino Linotype" w:hAnsi="Palatino Linotype" w:eastAsia="Palatino Linotype" w:cs="Palatino Linotype"/>
        </w:rPr>
      </w:pPr>
      <w:r w:rsidRPr="6AA5A77E">
        <w:rPr>
          <w:rFonts w:ascii="Palatino Linotype" w:hAnsi="Palatino Linotype" w:eastAsia="Palatino Linotype" w:cs="Palatino Linotype"/>
        </w:rPr>
        <w:t>Notice of AL 4</w:t>
      </w:r>
      <w:r w:rsidRPr="6AA5A77E" w:rsidR="3F06BDFC">
        <w:rPr>
          <w:rFonts w:ascii="Palatino Linotype" w:hAnsi="Palatino Linotype" w:eastAsia="Palatino Linotype" w:cs="Palatino Linotype"/>
        </w:rPr>
        <w:t>736</w:t>
      </w:r>
      <w:r w:rsidRPr="6AA5A77E">
        <w:rPr>
          <w:rFonts w:ascii="Palatino Linotype" w:hAnsi="Palatino Linotype" w:eastAsia="Palatino Linotype" w:cs="Palatino Linotype"/>
        </w:rPr>
        <w:t>-E was made by publication in the Commission’s Daily Calendar. SDG&amp;E states that a copy of AL 4</w:t>
      </w:r>
      <w:r w:rsidRPr="6AA5A77E" w:rsidR="143DC0C2">
        <w:rPr>
          <w:rFonts w:ascii="Palatino Linotype" w:hAnsi="Palatino Linotype" w:eastAsia="Palatino Linotype" w:cs="Palatino Linotype"/>
        </w:rPr>
        <w:t>736</w:t>
      </w:r>
      <w:r w:rsidRPr="6AA5A77E">
        <w:rPr>
          <w:rFonts w:ascii="Palatino Linotype" w:hAnsi="Palatino Linotype" w:eastAsia="Palatino Linotype" w:cs="Palatino Linotype"/>
        </w:rPr>
        <w:t xml:space="preserve">-E was mailed and distributed in accordance with General Rule 4 of </w:t>
      </w:r>
      <w:r w:rsidRPr="6AA5A77E" w:rsidR="04737667">
        <w:rPr>
          <w:rFonts w:ascii="Palatino Linotype" w:hAnsi="Palatino Linotype" w:eastAsia="Palatino Linotype" w:cs="Palatino Linotype"/>
        </w:rPr>
        <w:t>General Order (</w:t>
      </w:r>
      <w:r w:rsidRPr="6AA5A77E" w:rsidR="705D49AD">
        <w:rPr>
          <w:rFonts w:ascii="Palatino Linotype" w:hAnsi="Palatino Linotype" w:eastAsia="Palatino Linotype" w:cs="Palatino Linotype"/>
        </w:rPr>
        <w:t>“</w:t>
      </w:r>
      <w:r w:rsidRPr="6AA5A77E" w:rsidR="04737667">
        <w:rPr>
          <w:rFonts w:ascii="Palatino Linotype" w:hAnsi="Palatino Linotype" w:eastAsia="Palatino Linotype" w:cs="Palatino Linotype"/>
        </w:rPr>
        <w:t>GO</w:t>
      </w:r>
      <w:r w:rsidRPr="6AA5A77E" w:rsidR="7942BCFD">
        <w:rPr>
          <w:rFonts w:ascii="Palatino Linotype" w:hAnsi="Palatino Linotype" w:eastAsia="Palatino Linotype" w:cs="Palatino Linotype"/>
        </w:rPr>
        <w:t>”</w:t>
      </w:r>
      <w:r w:rsidRPr="6AA5A77E" w:rsidR="04737667">
        <w:rPr>
          <w:rFonts w:ascii="Palatino Linotype" w:hAnsi="Palatino Linotype" w:eastAsia="Palatino Linotype" w:cs="Palatino Linotype"/>
        </w:rPr>
        <w:t>)</w:t>
      </w:r>
      <w:r w:rsidRPr="6AA5A77E" w:rsidR="2DA9915E">
        <w:rPr>
          <w:rFonts w:ascii="Palatino Linotype" w:hAnsi="Palatino Linotype" w:eastAsia="Palatino Linotype" w:cs="Palatino Linotype"/>
        </w:rPr>
        <w:t xml:space="preserve"> 96-B.</w:t>
      </w:r>
    </w:p>
    <w:p w:rsidR="003C1C00" w:rsidP="003C1C00" w:rsidRDefault="003C1C00" w14:paraId="28277FAA" w14:textId="77777777">
      <w:pPr>
        <w:spacing w:after="0" w:line="240" w:lineRule="auto"/>
        <w:rPr>
          <w:rFonts w:ascii="Palatino Linotype" w:hAnsi="Palatino Linotype" w:eastAsia="Palatino Linotype" w:cs="Palatino Linotype"/>
          <w:b/>
          <w:bCs/>
          <w:u w:val="single"/>
        </w:rPr>
      </w:pPr>
    </w:p>
    <w:p w:rsidR="094F8D99" w:rsidP="190E8F6F" w:rsidRDefault="094F8D99" w14:paraId="4B2FFC10" w14:textId="5D51DA10">
      <w:pPr>
        <w:rPr>
          <w:rFonts w:ascii="Palatino Linotype" w:hAnsi="Palatino Linotype" w:eastAsia="Palatino Linotype" w:cs="Palatino Linotype"/>
          <w:b/>
          <w:bCs/>
          <w:u w:val="single"/>
        </w:rPr>
      </w:pPr>
      <w:r w:rsidRPr="190E8F6F">
        <w:rPr>
          <w:rFonts w:ascii="Palatino Linotype" w:hAnsi="Palatino Linotype" w:eastAsia="Palatino Linotype" w:cs="Palatino Linotype"/>
          <w:b/>
          <w:bCs/>
          <w:u w:val="single"/>
        </w:rPr>
        <w:t>PROTESTS</w:t>
      </w:r>
    </w:p>
    <w:p w:rsidR="094F8D99" w:rsidP="190E8F6F" w:rsidRDefault="094F8D99" w14:paraId="0792E1AE" w14:textId="7722B3E3">
      <w:pPr>
        <w:rPr>
          <w:rFonts w:ascii="Palatino Linotype" w:hAnsi="Palatino Linotype" w:eastAsia="Palatino Linotype" w:cs="Palatino Linotype"/>
        </w:rPr>
      </w:pPr>
      <w:r w:rsidRPr="6AA5A77E">
        <w:rPr>
          <w:rFonts w:ascii="Palatino Linotype" w:hAnsi="Palatino Linotype" w:eastAsia="Palatino Linotype" w:cs="Palatino Linotype"/>
        </w:rPr>
        <w:t>SDG&amp;E’s AL 4</w:t>
      </w:r>
      <w:r w:rsidRPr="6AA5A77E" w:rsidR="13685D3E">
        <w:rPr>
          <w:rFonts w:ascii="Palatino Linotype" w:hAnsi="Palatino Linotype" w:eastAsia="Palatino Linotype" w:cs="Palatino Linotype"/>
        </w:rPr>
        <w:t>736</w:t>
      </w:r>
      <w:r w:rsidRPr="6AA5A77E">
        <w:rPr>
          <w:rFonts w:ascii="Palatino Linotype" w:hAnsi="Palatino Linotype" w:eastAsia="Palatino Linotype" w:cs="Palatino Linotype"/>
        </w:rPr>
        <w:t>-E was timely protested by the Independent Energy Producers</w:t>
      </w:r>
      <w:r w:rsidRPr="6AA5A77E" w:rsidR="2D5088DF">
        <w:rPr>
          <w:rFonts w:ascii="Palatino Linotype" w:hAnsi="Palatino Linotype" w:eastAsia="Palatino Linotype" w:cs="Palatino Linotype"/>
        </w:rPr>
        <w:t xml:space="preserve"> </w:t>
      </w:r>
      <w:r w:rsidRPr="6AA5A77E">
        <w:rPr>
          <w:rFonts w:ascii="Palatino Linotype" w:hAnsi="Palatino Linotype" w:eastAsia="Palatino Linotype" w:cs="Palatino Linotype"/>
        </w:rPr>
        <w:t xml:space="preserve">(“IEP”), </w:t>
      </w:r>
      <w:r w:rsidRPr="6AA5A77E" w:rsidR="007544A1">
        <w:rPr>
          <w:rFonts w:ascii="Palatino Linotype" w:hAnsi="Palatino Linotype" w:eastAsia="Palatino Linotype" w:cs="Palatino Linotype"/>
        </w:rPr>
        <w:t>California Community Choice Association (</w:t>
      </w:r>
      <w:r w:rsidRPr="6AA5A77E" w:rsidR="1286E700">
        <w:rPr>
          <w:rFonts w:ascii="Palatino Linotype" w:hAnsi="Palatino Linotype" w:eastAsia="Palatino Linotype" w:cs="Palatino Linotype"/>
        </w:rPr>
        <w:t>“</w:t>
      </w:r>
      <w:r w:rsidRPr="6AA5A77E" w:rsidR="007544A1">
        <w:rPr>
          <w:rFonts w:ascii="Palatino Linotype" w:hAnsi="Palatino Linotype" w:eastAsia="Palatino Linotype" w:cs="Palatino Linotype"/>
        </w:rPr>
        <w:t>CalCCA</w:t>
      </w:r>
      <w:r w:rsidRPr="6AA5A77E" w:rsidR="3531E830">
        <w:rPr>
          <w:rFonts w:ascii="Palatino Linotype" w:hAnsi="Palatino Linotype" w:eastAsia="Palatino Linotype" w:cs="Palatino Linotype"/>
        </w:rPr>
        <w:t>”</w:t>
      </w:r>
      <w:r w:rsidRPr="6AA5A77E" w:rsidR="007544A1">
        <w:rPr>
          <w:rFonts w:ascii="Palatino Linotype" w:hAnsi="Palatino Linotype" w:eastAsia="Palatino Linotype" w:cs="Palatino Linotype"/>
        </w:rPr>
        <w:t xml:space="preserve">), </w:t>
      </w:r>
      <w:r w:rsidRPr="6AA5A77E">
        <w:rPr>
          <w:rFonts w:ascii="Palatino Linotype" w:hAnsi="Palatino Linotype" w:eastAsia="Palatino Linotype" w:cs="Palatino Linotype"/>
        </w:rPr>
        <w:t xml:space="preserve">and the Public Advocates Office (“Cal Advocates”) on </w:t>
      </w:r>
      <w:r w:rsidRPr="6AA5A77E" w:rsidR="110D1077">
        <w:rPr>
          <w:rFonts w:ascii="Palatino Linotype" w:hAnsi="Palatino Linotype" w:eastAsia="Palatino Linotype" w:cs="Palatino Linotype"/>
        </w:rPr>
        <w:t>November 10</w:t>
      </w:r>
      <w:r w:rsidRPr="6AA5A77E">
        <w:rPr>
          <w:rFonts w:ascii="Palatino Linotype" w:hAnsi="Palatino Linotype" w:eastAsia="Palatino Linotype" w:cs="Palatino Linotype"/>
        </w:rPr>
        <w:t>, 202</w:t>
      </w:r>
      <w:r w:rsidRPr="6AA5A77E" w:rsidR="1DB4A0AB">
        <w:rPr>
          <w:rFonts w:ascii="Palatino Linotype" w:hAnsi="Palatino Linotype" w:eastAsia="Palatino Linotype" w:cs="Palatino Linotype"/>
        </w:rPr>
        <w:t>5</w:t>
      </w:r>
      <w:r w:rsidRPr="6AA5A77E">
        <w:rPr>
          <w:rFonts w:ascii="Palatino Linotype" w:hAnsi="Palatino Linotype" w:eastAsia="Palatino Linotype" w:cs="Palatino Linotype"/>
        </w:rPr>
        <w:t>.</w:t>
      </w:r>
    </w:p>
    <w:p w:rsidR="094F8D99" w:rsidP="190E8F6F" w:rsidRDefault="4CF8B955" w14:paraId="3083CC19" w14:textId="518BBB9D">
      <w:pPr>
        <w:rPr>
          <w:rFonts w:ascii="Palatino Linotype" w:hAnsi="Palatino Linotype" w:eastAsia="Palatino Linotype" w:cs="Palatino Linotype"/>
        </w:rPr>
      </w:pPr>
      <w:r w:rsidRPr="05692A26">
        <w:rPr>
          <w:rFonts w:ascii="Palatino Linotype" w:hAnsi="Palatino Linotype" w:eastAsia="Palatino Linotype" w:cs="Palatino Linotype"/>
        </w:rPr>
        <w:t>IEP protests AL 4</w:t>
      </w:r>
      <w:r w:rsidRPr="05692A26" w:rsidR="72378BB7">
        <w:rPr>
          <w:rFonts w:ascii="Palatino Linotype" w:hAnsi="Palatino Linotype" w:eastAsia="Palatino Linotype" w:cs="Palatino Linotype"/>
        </w:rPr>
        <w:t>736</w:t>
      </w:r>
      <w:r w:rsidRPr="05692A26">
        <w:rPr>
          <w:rFonts w:ascii="Palatino Linotype" w:hAnsi="Palatino Linotype" w:eastAsia="Palatino Linotype" w:cs="Palatino Linotype"/>
        </w:rPr>
        <w:t xml:space="preserve">-E on the ground that the relief requested is unjust, unreasonable, or discriminatory, because </w:t>
      </w:r>
      <w:r w:rsidRPr="05692A26" w:rsidR="400CE7C6">
        <w:rPr>
          <w:rFonts w:ascii="Palatino Linotype" w:hAnsi="Palatino Linotype" w:eastAsia="Palatino Linotype" w:cs="Palatino Linotype"/>
        </w:rPr>
        <w:t xml:space="preserve">SDG&amp;E appears to be providing accommodations </w:t>
      </w:r>
      <w:r w:rsidRPr="05692A26" w:rsidR="2A1D2468">
        <w:rPr>
          <w:rFonts w:ascii="Palatino Linotype" w:hAnsi="Palatino Linotype" w:eastAsia="Palatino Linotype" w:cs="Palatino Linotype"/>
        </w:rPr>
        <w:t xml:space="preserve">(through the form of a price reduction and revised pricing structure) </w:t>
      </w:r>
      <w:r w:rsidRPr="05692A26" w:rsidR="400CE7C6">
        <w:rPr>
          <w:rFonts w:ascii="Palatino Linotype" w:hAnsi="Palatino Linotype" w:eastAsia="Palatino Linotype" w:cs="Palatino Linotype"/>
        </w:rPr>
        <w:t>to th</w:t>
      </w:r>
      <w:r w:rsidRPr="05692A26" w:rsidR="26783E46">
        <w:rPr>
          <w:rFonts w:ascii="Palatino Linotype" w:hAnsi="Palatino Linotype" w:eastAsia="Palatino Linotype" w:cs="Palatino Linotype"/>
        </w:rPr>
        <w:t>e</w:t>
      </w:r>
      <w:r w:rsidRPr="05692A26" w:rsidR="400CE7C6">
        <w:rPr>
          <w:rFonts w:ascii="Palatino Linotype" w:hAnsi="Palatino Linotype" w:eastAsia="Palatino Linotype" w:cs="Palatino Linotype"/>
        </w:rPr>
        <w:t xml:space="preserve"> utility-owned storage project that it does not offer to projects owned by independent power producers and storage providers.</w:t>
      </w:r>
      <w:r w:rsidRPr="05692A26" w:rsidR="094F8D99">
        <w:rPr>
          <w:rStyle w:val="FootnoteReference"/>
          <w:rFonts w:ascii="Palatino Linotype" w:hAnsi="Palatino Linotype" w:eastAsia="Palatino Linotype" w:cs="Palatino Linotype"/>
        </w:rPr>
        <w:footnoteReference w:id="17"/>
      </w:r>
      <w:r w:rsidRPr="05692A26" w:rsidR="6D82BCB6">
        <w:rPr>
          <w:rFonts w:ascii="Palatino Linotype" w:hAnsi="Palatino Linotype" w:eastAsia="Palatino Linotype" w:cs="Palatino Linotype"/>
        </w:rPr>
        <w:t xml:space="preserve"> </w:t>
      </w:r>
      <w:r w:rsidRPr="05692A26" w:rsidR="7EDD5750">
        <w:rPr>
          <w:rFonts w:ascii="Palatino Linotype" w:hAnsi="Palatino Linotype" w:eastAsia="Palatino Linotype" w:cs="Palatino Linotype"/>
        </w:rPr>
        <w:t>IEP urges that if SDG&amp;E offers special arrangements or accommodations to developers of utility-owned projects, those same arrangements or accommodations should also be offered to developers of independent</w:t>
      </w:r>
      <w:r w:rsidRPr="05692A26" w:rsidR="3036AA34">
        <w:rPr>
          <w:rFonts w:ascii="Palatino Linotype" w:hAnsi="Palatino Linotype" w:eastAsia="Palatino Linotype" w:cs="Palatino Linotype"/>
        </w:rPr>
        <w:t xml:space="preserve"> </w:t>
      </w:r>
      <w:r w:rsidRPr="05692A26" w:rsidR="7EDD5750">
        <w:rPr>
          <w:rFonts w:ascii="Palatino Linotype" w:hAnsi="Palatino Linotype" w:eastAsia="Palatino Linotype" w:cs="Palatino Linotype"/>
        </w:rPr>
        <w:t>projects.</w:t>
      </w:r>
      <w:r w:rsidRPr="05692A26" w:rsidR="094F8D99">
        <w:rPr>
          <w:rStyle w:val="FootnoteReference"/>
          <w:rFonts w:ascii="Palatino Linotype" w:hAnsi="Palatino Linotype" w:eastAsia="Palatino Linotype" w:cs="Palatino Linotype"/>
        </w:rPr>
        <w:footnoteReference w:id="18"/>
      </w:r>
      <w:r w:rsidRPr="05692A26" w:rsidR="24F8B538">
        <w:rPr>
          <w:rFonts w:ascii="Palatino Linotype" w:hAnsi="Palatino Linotype" w:eastAsia="Palatino Linotype" w:cs="Palatino Linotype"/>
        </w:rPr>
        <w:t xml:space="preserve"> </w:t>
      </w:r>
      <w:r w:rsidRPr="05692A26" w:rsidR="16353A9F">
        <w:rPr>
          <w:rFonts w:ascii="Palatino Linotype" w:hAnsi="Palatino Linotype" w:eastAsia="Palatino Linotype" w:cs="Palatino Linotype"/>
        </w:rPr>
        <w:t>Fu</w:t>
      </w:r>
      <w:r w:rsidRPr="05692A26" w:rsidR="13A37FAF">
        <w:rPr>
          <w:rFonts w:ascii="Palatino Linotype" w:hAnsi="Palatino Linotype" w:eastAsia="Palatino Linotype" w:cs="Palatino Linotype"/>
        </w:rPr>
        <w:t>r</w:t>
      </w:r>
      <w:r w:rsidRPr="05692A26" w:rsidR="16353A9F">
        <w:rPr>
          <w:rFonts w:ascii="Palatino Linotype" w:hAnsi="Palatino Linotype" w:eastAsia="Palatino Linotype" w:cs="Palatino Linotype"/>
        </w:rPr>
        <w:t>ther</w:t>
      </w:r>
      <w:r w:rsidRPr="05692A26">
        <w:rPr>
          <w:rFonts w:ascii="Palatino Linotype" w:hAnsi="Palatino Linotype" w:eastAsia="Palatino Linotype" w:cs="Palatino Linotype"/>
        </w:rPr>
        <w:t>, IEP argues that the IE did not directly compare the market value of the project with comparable projects of independent developers who chose to retain ownership of the facility, even though the projects developed by independent energy producers have historically provided great benefits for ratepayers.</w:t>
      </w:r>
      <w:r w:rsidRPr="05692A26" w:rsidR="094F8D99">
        <w:rPr>
          <w:rStyle w:val="FootnoteReference"/>
          <w:rFonts w:ascii="Palatino Linotype" w:hAnsi="Palatino Linotype" w:eastAsia="Palatino Linotype" w:cs="Palatino Linotype"/>
        </w:rPr>
        <w:footnoteReference w:id="19"/>
      </w:r>
      <w:r w:rsidRPr="05692A26">
        <w:rPr>
          <w:rFonts w:ascii="Palatino Linotype" w:hAnsi="Palatino Linotype" w:eastAsia="Palatino Linotype" w:cs="Palatino Linotype"/>
        </w:rPr>
        <w:t xml:space="preserve"> </w:t>
      </w:r>
      <w:r w:rsidRPr="05692A26" w:rsidR="79E8635B">
        <w:rPr>
          <w:rFonts w:ascii="Palatino Linotype" w:hAnsi="Palatino Linotype" w:eastAsia="Palatino Linotype" w:cs="Palatino Linotype"/>
        </w:rPr>
        <w:t>IEP argues that the project was selected through a process that considered only utility-owned storage projects, and the project was not exposed to competition from projects whose developers chose to retain ownership of the project. IEP argues that this approach was directly contrary to the Commission’s “competitive market first” policy.</w:t>
      </w:r>
      <w:r w:rsidRPr="05692A26" w:rsidR="094F8D99">
        <w:rPr>
          <w:rStyle w:val="FootnoteReference"/>
          <w:rFonts w:ascii="Palatino Linotype" w:hAnsi="Palatino Linotype" w:eastAsia="Palatino Linotype" w:cs="Palatino Linotype"/>
        </w:rPr>
        <w:footnoteReference w:id="20"/>
      </w:r>
      <w:r w:rsidRPr="05692A26" w:rsidR="79E8635B">
        <w:rPr>
          <w:rFonts w:ascii="Palatino Linotype" w:hAnsi="Palatino Linotype" w:eastAsia="Palatino Linotype" w:cs="Palatino Linotype"/>
        </w:rPr>
        <w:t xml:space="preserve"> </w:t>
      </w:r>
      <w:r w:rsidRPr="05692A26" w:rsidR="062CD6C9">
        <w:rPr>
          <w:rFonts w:ascii="Palatino Linotype" w:hAnsi="Palatino Linotype" w:eastAsia="Palatino Linotype" w:cs="Palatino Linotype"/>
        </w:rPr>
        <w:t xml:space="preserve">In addition, IEP states that although the Project has been allocated </w:t>
      </w:r>
      <w:r w:rsidRPr="05692A26" w:rsidR="04697F7F">
        <w:rPr>
          <w:rFonts w:ascii="Palatino Linotype" w:hAnsi="Palatino Linotype" w:eastAsia="Palatino Linotype" w:cs="Palatino Linotype"/>
        </w:rPr>
        <w:t>TPD</w:t>
      </w:r>
      <w:r w:rsidRPr="05692A26" w:rsidR="062CD6C9">
        <w:rPr>
          <w:rFonts w:ascii="Palatino Linotype" w:hAnsi="Palatino Linotype" w:eastAsia="Palatino Linotype" w:cs="Palatino Linotype"/>
        </w:rPr>
        <w:t>, it cannot be awarded F</w:t>
      </w:r>
      <w:r w:rsidRPr="05692A26" w:rsidR="2A791E75">
        <w:rPr>
          <w:rFonts w:ascii="Palatino Linotype" w:hAnsi="Palatino Linotype" w:eastAsia="Palatino Linotype" w:cs="Palatino Linotype"/>
        </w:rPr>
        <w:t>CDS</w:t>
      </w:r>
      <w:r w:rsidRPr="05692A26" w:rsidR="062CD6C9">
        <w:rPr>
          <w:rFonts w:ascii="Palatino Linotype" w:hAnsi="Palatino Linotype" w:eastAsia="Palatino Linotype" w:cs="Palatino Linotype"/>
        </w:rPr>
        <w:t xml:space="preserve"> until construction of network upgrades is completed in </w:t>
      </w:r>
      <w:r w:rsidRPr="05692A26" w:rsidR="2F57D909">
        <w:rPr>
          <w:rFonts w:ascii="Palatino Linotype" w:hAnsi="Palatino Linotype" w:eastAsia="Palatino Linotype" w:cs="Palatino Linotype"/>
        </w:rPr>
        <w:t xml:space="preserve">at least </w:t>
      </w:r>
      <w:r w:rsidRPr="05692A26" w:rsidR="062CD6C9">
        <w:rPr>
          <w:rFonts w:ascii="Palatino Linotype" w:hAnsi="Palatino Linotype" w:eastAsia="Palatino Linotype" w:cs="Palatino Linotype"/>
        </w:rPr>
        <w:t xml:space="preserve">2034. IEP highlights the risk that could be </w:t>
      </w:r>
      <w:r w:rsidRPr="05692A26" w:rsidR="0E055425">
        <w:rPr>
          <w:rFonts w:ascii="Palatino Linotype" w:hAnsi="Palatino Linotype" w:eastAsia="Palatino Linotype" w:cs="Palatino Linotype"/>
        </w:rPr>
        <w:t>borne</w:t>
      </w:r>
      <w:r w:rsidRPr="05692A26" w:rsidR="062CD6C9">
        <w:rPr>
          <w:rFonts w:ascii="Palatino Linotype" w:hAnsi="Palatino Linotype" w:eastAsia="Palatino Linotype" w:cs="Palatino Linotype"/>
        </w:rPr>
        <w:t xml:space="preserve"> by ratepayers if the network upgrades are not completed in 2034 and the project lacks deliverability after 2034</w:t>
      </w:r>
      <w:r w:rsidRPr="05692A26" w:rsidR="54ABA173">
        <w:rPr>
          <w:rFonts w:ascii="Palatino Linotype" w:hAnsi="Palatino Linotype" w:eastAsia="Palatino Linotype" w:cs="Palatino Linotype"/>
        </w:rPr>
        <w:t xml:space="preserve">, and that it is unclear how ratepayers will receive the </w:t>
      </w:r>
      <w:r w:rsidRPr="05692A26" w:rsidR="54ABA173">
        <w:rPr>
          <w:rFonts w:ascii="Palatino Linotype" w:hAnsi="Palatino Linotype" w:eastAsia="Palatino Linotype" w:cs="Palatino Linotype"/>
        </w:rPr>
        <w:lastRenderedPageBreak/>
        <w:t xml:space="preserve">value of a lack of deliverability once the project is owned by SDG&amp;E. </w:t>
      </w:r>
      <w:r w:rsidRPr="05692A26" w:rsidR="094F8D99">
        <w:rPr>
          <w:rStyle w:val="FootnoteReference"/>
          <w:rFonts w:ascii="Palatino Linotype" w:hAnsi="Palatino Linotype" w:eastAsia="Palatino Linotype" w:cs="Palatino Linotype"/>
        </w:rPr>
        <w:footnoteReference w:id="21"/>
      </w:r>
      <w:r w:rsidRPr="05692A26" w:rsidR="79E8635B">
        <w:rPr>
          <w:rFonts w:ascii="Palatino Linotype" w:hAnsi="Palatino Linotype" w:eastAsia="Palatino Linotype" w:cs="Palatino Linotype"/>
        </w:rPr>
        <w:t xml:space="preserve"> </w:t>
      </w:r>
      <w:r w:rsidRPr="05692A26">
        <w:rPr>
          <w:rFonts w:ascii="Palatino Linotype" w:hAnsi="Palatino Linotype" w:eastAsia="Palatino Linotype" w:cs="Palatino Linotype"/>
        </w:rPr>
        <w:t xml:space="preserve">IEP requests that the Commission </w:t>
      </w:r>
      <w:r w:rsidRPr="05692A26" w:rsidR="6F2B46E9">
        <w:rPr>
          <w:rFonts w:ascii="Palatino Linotype" w:hAnsi="Palatino Linotype" w:eastAsia="Palatino Linotype" w:cs="Palatino Linotype"/>
        </w:rPr>
        <w:t xml:space="preserve">carefully and thoroughly scrutinize AL 4736-E to ensure (1) that SDG&amp;E did not discriminate in favor of a utility-owned project, (2) that approval of </w:t>
      </w:r>
      <w:r w:rsidR="00861FD1">
        <w:rPr>
          <w:rFonts w:ascii="Palatino Linotype" w:hAnsi="Palatino Linotype" w:eastAsia="Palatino Linotype" w:cs="Palatino Linotype"/>
        </w:rPr>
        <w:br/>
      </w:r>
      <w:r w:rsidRPr="05692A26" w:rsidR="6F2B46E9">
        <w:rPr>
          <w:rFonts w:ascii="Palatino Linotype" w:hAnsi="Palatino Linotype" w:eastAsia="Palatino Linotype" w:cs="Palatino Linotype"/>
        </w:rPr>
        <w:t>AL 4736-E is consistent with the Commission’s “competitive market first” approach, and (3) that approval is in fact in the best interests of ratepayers when compared to non-utility projects. IEP urges the Commission to deny AL 4736-E if any of these conditions are not met.</w:t>
      </w:r>
      <w:r w:rsidRPr="05692A26" w:rsidR="094F8D99">
        <w:rPr>
          <w:rStyle w:val="FootnoteReference"/>
          <w:rFonts w:ascii="Palatino Linotype" w:hAnsi="Palatino Linotype" w:eastAsia="Palatino Linotype" w:cs="Palatino Linotype"/>
        </w:rPr>
        <w:footnoteReference w:id="22"/>
      </w:r>
      <w:r w:rsidRPr="05692A26" w:rsidR="09858DF8">
        <w:rPr>
          <w:rFonts w:ascii="Palatino Linotype" w:hAnsi="Palatino Linotype" w:eastAsia="Palatino Linotype" w:cs="Palatino Linotype"/>
        </w:rPr>
        <w:t xml:space="preserve"> If the advice letter is approved, IEP urges the Commission </w:t>
      </w:r>
      <w:r w:rsidRPr="05692A26" w:rsidR="67E2DA1B">
        <w:rPr>
          <w:rFonts w:ascii="Palatino Linotype" w:hAnsi="Palatino Linotype" w:eastAsia="Palatino Linotype" w:cs="Palatino Linotype"/>
        </w:rPr>
        <w:t>to ”expressly require SDG&amp;E to provide similar accommodations to non-utility-owned projects and not to discriminate on the basis of ownership.”</w:t>
      </w:r>
      <w:r w:rsidRPr="05692A26" w:rsidR="094F8D99">
        <w:rPr>
          <w:rStyle w:val="FootnoteReference"/>
          <w:rFonts w:ascii="Palatino Linotype" w:hAnsi="Palatino Linotype" w:eastAsia="Palatino Linotype" w:cs="Palatino Linotype"/>
        </w:rPr>
        <w:footnoteReference w:id="23"/>
      </w:r>
    </w:p>
    <w:p w:rsidR="47132099" w:rsidP="05692A26" w:rsidRDefault="27ED89E1" w14:paraId="35E6A0FA" w14:textId="244B3826">
      <w:pPr>
        <w:rPr>
          <w:rFonts w:ascii="Palatino Linotype" w:hAnsi="Palatino Linotype" w:eastAsia="Palatino Linotype" w:cs="Palatino Linotype"/>
        </w:rPr>
      </w:pPr>
      <w:r w:rsidRPr="05692A26">
        <w:rPr>
          <w:rFonts w:ascii="Palatino Linotype" w:hAnsi="Palatino Linotype" w:eastAsia="Palatino Linotype" w:cs="Palatino Linotype"/>
        </w:rPr>
        <w:t xml:space="preserve">CalCCA protests AL 4736-E </w:t>
      </w:r>
      <w:r w:rsidRPr="05692A26" w:rsidR="12A8EB55">
        <w:rPr>
          <w:rFonts w:ascii="Palatino Linotype" w:hAnsi="Palatino Linotype" w:eastAsia="Palatino Linotype" w:cs="Palatino Linotype"/>
        </w:rPr>
        <w:t xml:space="preserve">on the grounds that SDG&amp;E’s request misapplies and expands the Commission’s EPRM Decisions, and that </w:t>
      </w:r>
      <w:r w:rsidRPr="05692A26" w:rsidR="172B5334">
        <w:rPr>
          <w:rFonts w:ascii="Palatino Linotype" w:hAnsi="Palatino Linotype" w:eastAsia="Palatino Linotype" w:cs="Palatino Linotype"/>
        </w:rPr>
        <w:t xml:space="preserve">at a minimum, </w:t>
      </w:r>
      <w:r w:rsidRPr="05692A26" w:rsidR="12A8EB55">
        <w:rPr>
          <w:rFonts w:ascii="Palatino Linotype" w:hAnsi="Palatino Linotype" w:eastAsia="Palatino Linotype" w:cs="Palatino Linotype"/>
        </w:rPr>
        <w:t>the request should be revised to allocate the majority of the resource costs to SDG&amp;E’s bundled customers.</w:t>
      </w:r>
      <w:r w:rsidRPr="05692A26" w:rsidR="47132099">
        <w:rPr>
          <w:rStyle w:val="FootnoteReference"/>
          <w:rFonts w:ascii="Palatino Linotype" w:hAnsi="Palatino Linotype" w:eastAsia="Palatino Linotype" w:cs="Palatino Linotype"/>
        </w:rPr>
        <w:footnoteReference w:id="24"/>
      </w:r>
      <w:r w:rsidRPr="05692A26" w:rsidR="7C4D023D">
        <w:rPr>
          <w:rFonts w:ascii="Palatino Linotype" w:hAnsi="Palatino Linotype" w:eastAsia="Palatino Linotype" w:cs="Palatino Linotype"/>
        </w:rPr>
        <w:t xml:space="preserve"> CalCCA argues that </w:t>
      </w:r>
      <w:r w:rsidRPr="05692A26" w:rsidR="5D42E212">
        <w:rPr>
          <w:rFonts w:ascii="Palatino Linotype" w:hAnsi="Palatino Linotype" w:eastAsia="Palatino Linotype" w:cs="Palatino Linotype"/>
        </w:rPr>
        <w:t>”</w:t>
      </w:r>
      <w:r w:rsidRPr="05692A26" w:rsidR="7C4D023D">
        <w:rPr>
          <w:rFonts w:ascii="Palatino Linotype" w:hAnsi="Palatino Linotype" w:eastAsia="Palatino Linotype" w:cs="Palatino Linotype"/>
        </w:rPr>
        <w:t>In moving from a single</w:t>
      </w:r>
      <w:r w:rsidRPr="05692A26" w:rsidR="6F4EC61E">
        <w:rPr>
          <w:rFonts w:ascii="Palatino Linotype" w:hAnsi="Palatino Linotype" w:eastAsia="Palatino Linotype" w:cs="Palatino Linotype"/>
        </w:rPr>
        <w:t xml:space="preserve"> [EPRM]</w:t>
      </w:r>
      <w:r w:rsidRPr="05692A26" w:rsidR="7C4D023D">
        <w:rPr>
          <w:rFonts w:ascii="Palatino Linotype" w:hAnsi="Palatino Linotype" w:eastAsia="Palatino Linotype" w:cs="Palatino Linotype"/>
        </w:rPr>
        <w:t xml:space="preserve"> target floor to an express range in D.23-06-029 and D.25-06-048, the Commission did not intend those ranges to </w:t>
      </w:r>
      <w:r w:rsidRPr="05692A26" w:rsidR="2D3151EB">
        <w:rPr>
          <w:rFonts w:ascii="Palatino Linotype" w:hAnsi="Palatino Linotype" w:eastAsia="Palatino Linotype" w:cs="Palatino Linotype"/>
        </w:rPr>
        <w:t>’</w:t>
      </w:r>
      <w:r w:rsidRPr="05692A26" w:rsidR="7C4D023D">
        <w:rPr>
          <w:rFonts w:ascii="Palatino Linotype" w:hAnsi="Palatino Linotype" w:eastAsia="Palatino Linotype" w:cs="Palatino Linotype"/>
        </w:rPr>
        <w:t>represent a floor,</w:t>
      </w:r>
      <w:r w:rsidRPr="05692A26" w:rsidR="4E95D621">
        <w:rPr>
          <w:rFonts w:ascii="Palatino Linotype" w:hAnsi="Palatino Linotype" w:eastAsia="Palatino Linotype" w:cs="Palatino Linotype"/>
        </w:rPr>
        <w:t>‘</w:t>
      </w:r>
      <w:r w:rsidRPr="05692A26" w:rsidR="7C4D023D">
        <w:rPr>
          <w:rFonts w:ascii="Palatino Linotype" w:hAnsi="Palatino Linotype" w:eastAsia="Palatino Linotype" w:cs="Palatino Linotype"/>
        </w:rPr>
        <w:t xml:space="preserve"> in which, </w:t>
      </w:r>
      <w:r w:rsidRPr="05692A26" w:rsidR="3374870D">
        <w:rPr>
          <w:rFonts w:ascii="Palatino Linotype" w:hAnsi="Palatino Linotype" w:eastAsia="Palatino Linotype" w:cs="Palatino Linotype"/>
        </w:rPr>
        <w:t>’</w:t>
      </w:r>
      <w:r w:rsidRPr="05692A26" w:rsidR="7C4D023D">
        <w:rPr>
          <w:rFonts w:ascii="Palatino Linotype" w:hAnsi="Palatino Linotype" w:eastAsia="Palatino Linotype" w:cs="Palatino Linotype"/>
        </w:rPr>
        <w:t>the IOUs are encouraged to exceed their respective targets by as much as an additional 50%.</w:t>
      </w:r>
      <w:r w:rsidRPr="05692A26" w:rsidR="542CCB6C">
        <w:rPr>
          <w:rFonts w:ascii="Palatino Linotype" w:hAnsi="Palatino Linotype" w:eastAsia="Palatino Linotype" w:cs="Palatino Linotype"/>
        </w:rPr>
        <w:t>‘</w:t>
      </w:r>
      <w:r w:rsidRPr="05692A26" w:rsidR="7C4D023D">
        <w:rPr>
          <w:rFonts w:ascii="Palatino Linotype" w:hAnsi="Palatino Linotype" w:eastAsia="Palatino Linotype" w:cs="Palatino Linotype"/>
        </w:rPr>
        <w:t xml:space="preserve"> Instead, the range, which in both decisions exceeds 50 percent of the original EPRM targets established in D.21-12-015, eliminated the need for an adder.”</w:t>
      </w:r>
      <w:r w:rsidRPr="05692A26" w:rsidR="62C24F67">
        <w:rPr>
          <w:rFonts w:ascii="Palatino Linotype" w:hAnsi="Palatino Linotype" w:eastAsia="Palatino Linotype" w:cs="Palatino Linotype"/>
        </w:rPr>
        <w:t xml:space="preserve"> Since SDG&amp;E was authorized to procure </w:t>
      </w:r>
      <w:r w:rsidR="00624187">
        <w:rPr>
          <w:rFonts w:ascii="Palatino Linotype" w:hAnsi="Palatino Linotype" w:eastAsia="Palatino Linotype" w:cs="Palatino Linotype"/>
        </w:rPr>
        <w:br/>
      </w:r>
      <w:r w:rsidRPr="05692A26" w:rsidR="62C24F67">
        <w:rPr>
          <w:rFonts w:ascii="Palatino Linotype" w:hAnsi="Palatino Linotype" w:eastAsia="Palatino Linotype" w:cs="Palatino Linotype"/>
        </w:rPr>
        <w:t xml:space="preserve">120-220 MW to meet the effective PRM for 2026, and SDG&amp;E has already procured </w:t>
      </w:r>
      <w:r w:rsidR="00DE1E46">
        <w:rPr>
          <w:rFonts w:ascii="Palatino Linotype" w:hAnsi="Palatino Linotype" w:eastAsia="Palatino Linotype" w:cs="Palatino Linotype"/>
        </w:rPr>
        <w:br/>
      </w:r>
      <w:r w:rsidRPr="05692A26" w:rsidR="62C24F67">
        <w:rPr>
          <w:rFonts w:ascii="Palatino Linotype" w:hAnsi="Palatino Linotype" w:eastAsia="Palatino Linotype" w:cs="Palatino Linotype"/>
        </w:rPr>
        <w:t xml:space="preserve">208.6 MW, CalCCA argues that SDG&amp;E should only be allowed to procure an additional 11.4 MW to meet the EPRM range </w:t>
      </w:r>
      <w:r w:rsidRPr="05692A26" w:rsidR="16932366">
        <w:rPr>
          <w:rFonts w:ascii="Palatino Linotype" w:hAnsi="Palatino Linotype" w:eastAsia="Palatino Linotype" w:cs="Palatino Linotype"/>
        </w:rPr>
        <w:t>as</w:t>
      </w:r>
      <w:r w:rsidRPr="05692A26" w:rsidR="62C24F67">
        <w:rPr>
          <w:rFonts w:ascii="Palatino Linotype" w:hAnsi="Palatino Linotype" w:eastAsia="Palatino Linotype" w:cs="Palatino Linotype"/>
        </w:rPr>
        <w:t xml:space="preserve"> defined by D.25-06-048.</w:t>
      </w:r>
      <w:r w:rsidRPr="05692A26" w:rsidR="47132099">
        <w:rPr>
          <w:rStyle w:val="FootnoteReference"/>
          <w:rFonts w:ascii="Palatino Linotype" w:hAnsi="Palatino Linotype" w:eastAsia="Palatino Linotype" w:cs="Palatino Linotype"/>
        </w:rPr>
        <w:footnoteReference w:id="25"/>
      </w:r>
      <w:r w:rsidRPr="05692A26" w:rsidR="62C24F67">
        <w:rPr>
          <w:rFonts w:ascii="Palatino Linotype" w:hAnsi="Palatino Linotype" w:eastAsia="Palatino Linotype" w:cs="Palatino Linotype"/>
        </w:rPr>
        <w:t xml:space="preserve"> </w:t>
      </w:r>
      <w:r w:rsidRPr="05692A26" w:rsidR="20720716">
        <w:rPr>
          <w:rFonts w:ascii="Palatino Linotype" w:hAnsi="Palatino Linotype" w:eastAsia="Palatino Linotype" w:cs="Palatino Linotype"/>
        </w:rPr>
        <w:t>In addition, CalCCA states that</w:t>
      </w:r>
      <w:r w:rsidRPr="05692A26" w:rsidR="62C24F67">
        <w:rPr>
          <w:rFonts w:ascii="Palatino Linotype" w:hAnsi="Palatino Linotype" w:eastAsia="Palatino Linotype" w:cs="Palatino Linotype"/>
        </w:rPr>
        <w:t xml:space="preserve"> if SDG&amp;E </w:t>
      </w:r>
      <w:r w:rsidRPr="05692A26" w:rsidR="37ED0F20">
        <w:rPr>
          <w:rFonts w:ascii="Palatino Linotype" w:hAnsi="Palatino Linotype" w:eastAsia="Palatino Linotype" w:cs="Palatino Linotype"/>
        </w:rPr>
        <w:t>continues</w:t>
      </w:r>
      <w:r w:rsidRPr="05692A26" w:rsidR="62C24F67">
        <w:rPr>
          <w:rFonts w:ascii="Palatino Linotype" w:hAnsi="Palatino Linotype" w:eastAsia="Palatino Linotype" w:cs="Palatino Linotype"/>
        </w:rPr>
        <w:t xml:space="preserve"> with ownership of Westside Canal Storage, it must cost-allocate only 11.4 MW of the project to CAM</w:t>
      </w:r>
      <w:r w:rsidRPr="05692A26" w:rsidR="085FC794">
        <w:rPr>
          <w:rFonts w:ascii="Palatino Linotype" w:hAnsi="Palatino Linotype" w:eastAsia="Palatino Linotype" w:cs="Palatino Linotype"/>
        </w:rPr>
        <w:t>, and t</w:t>
      </w:r>
      <w:r w:rsidRPr="05692A26" w:rsidR="62C24F67">
        <w:rPr>
          <w:rFonts w:ascii="Palatino Linotype" w:hAnsi="Palatino Linotype" w:eastAsia="Palatino Linotype" w:cs="Palatino Linotype"/>
        </w:rPr>
        <w:t>he remaining 107.6 MW should</w:t>
      </w:r>
      <w:r w:rsidRPr="05692A26" w:rsidR="621604A3">
        <w:rPr>
          <w:rFonts w:ascii="Palatino Linotype" w:hAnsi="Palatino Linotype" w:eastAsia="Palatino Linotype" w:cs="Palatino Linotype"/>
        </w:rPr>
        <w:t xml:space="preserve"> </w:t>
      </w:r>
      <w:r w:rsidRPr="05692A26" w:rsidR="62C24F67">
        <w:rPr>
          <w:rFonts w:ascii="Palatino Linotype" w:hAnsi="Palatino Linotype" w:eastAsia="Palatino Linotype" w:cs="Palatino Linotype"/>
        </w:rPr>
        <w:t>be allocated to SDG&amp;E's bundled load.</w:t>
      </w:r>
      <w:r w:rsidRPr="05692A26" w:rsidR="47132099">
        <w:rPr>
          <w:rStyle w:val="FootnoteReference"/>
          <w:rFonts w:ascii="Palatino Linotype" w:hAnsi="Palatino Linotype" w:eastAsia="Palatino Linotype" w:cs="Palatino Linotype"/>
        </w:rPr>
        <w:footnoteReference w:id="26"/>
      </w:r>
      <w:r w:rsidRPr="05692A26" w:rsidR="4ADF1D6F">
        <w:rPr>
          <w:rFonts w:ascii="Palatino Linotype" w:hAnsi="Palatino Linotype" w:eastAsia="Palatino Linotype" w:cs="Palatino Linotype"/>
        </w:rPr>
        <w:t xml:space="preserve"> Furthermore, CalCCA highlights that under the Slice of Day (</w:t>
      </w:r>
      <w:r w:rsidRPr="05692A26" w:rsidR="7638BF99">
        <w:rPr>
          <w:rFonts w:ascii="Palatino Linotype" w:hAnsi="Palatino Linotype" w:eastAsia="Palatino Linotype" w:cs="Palatino Linotype"/>
        </w:rPr>
        <w:t>”</w:t>
      </w:r>
      <w:r w:rsidRPr="05692A26" w:rsidR="4ADF1D6F">
        <w:rPr>
          <w:rFonts w:ascii="Palatino Linotype" w:hAnsi="Palatino Linotype" w:eastAsia="Palatino Linotype" w:cs="Palatino Linotype"/>
        </w:rPr>
        <w:t>SOD</w:t>
      </w:r>
      <w:r w:rsidRPr="05692A26" w:rsidR="26468B43">
        <w:rPr>
          <w:rFonts w:ascii="Palatino Linotype" w:hAnsi="Palatino Linotype" w:eastAsia="Palatino Linotype" w:cs="Palatino Linotype"/>
        </w:rPr>
        <w:t>”</w:t>
      </w:r>
      <w:r w:rsidRPr="05692A26" w:rsidR="4ADF1D6F">
        <w:rPr>
          <w:rFonts w:ascii="Palatino Linotype" w:hAnsi="Palatino Linotype" w:eastAsia="Palatino Linotype" w:cs="Palatino Linotype"/>
        </w:rPr>
        <w:t xml:space="preserve">) compliance mechanism, storage only counts to the extent </w:t>
      </w:r>
      <w:r w:rsidRPr="05692A26" w:rsidR="0D9AC21D">
        <w:rPr>
          <w:rFonts w:ascii="Palatino Linotype" w:hAnsi="Palatino Linotype" w:eastAsia="Palatino Linotype" w:cs="Palatino Linotype"/>
        </w:rPr>
        <w:t xml:space="preserve">that </w:t>
      </w:r>
      <w:r w:rsidRPr="05692A26" w:rsidR="4ADF1D6F">
        <w:rPr>
          <w:rFonts w:ascii="Palatino Linotype" w:hAnsi="Palatino Linotype" w:eastAsia="Palatino Linotype" w:cs="Palatino Linotype"/>
        </w:rPr>
        <w:t>there is excess RA in hours when the storage is not shown to be able to charge the battery, including efficiency losses.</w:t>
      </w:r>
      <w:r w:rsidRPr="05692A26" w:rsidR="57C67D3E">
        <w:rPr>
          <w:rFonts w:ascii="Palatino Linotype" w:hAnsi="Palatino Linotype" w:eastAsia="Palatino Linotype" w:cs="Palatino Linotype"/>
        </w:rPr>
        <w:t xml:space="preserve"> </w:t>
      </w:r>
      <w:r w:rsidRPr="05692A26" w:rsidR="2911D3A4">
        <w:rPr>
          <w:rFonts w:ascii="Palatino Linotype" w:hAnsi="Palatino Linotype" w:eastAsia="Palatino Linotype" w:cs="Palatino Linotype"/>
        </w:rPr>
        <w:t>CalCCA notes that w</w:t>
      </w:r>
      <w:r w:rsidRPr="05692A26" w:rsidR="57C67D3E">
        <w:rPr>
          <w:rFonts w:ascii="Palatino Linotype" w:hAnsi="Palatino Linotype" w:eastAsia="Palatino Linotype" w:cs="Palatino Linotype"/>
        </w:rPr>
        <w:t xml:space="preserve">ithin the CAM, the RA value of storage only exists for the procuring LSE, depending on the other resources </w:t>
      </w:r>
      <w:r w:rsidRPr="05692A26" w:rsidR="57C67D3E">
        <w:rPr>
          <w:rFonts w:ascii="Palatino Linotype" w:hAnsi="Palatino Linotype" w:eastAsia="Palatino Linotype" w:cs="Palatino Linotype"/>
        </w:rPr>
        <w:lastRenderedPageBreak/>
        <w:t>they have already procured.</w:t>
      </w:r>
      <w:r w:rsidRPr="05692A26" w:rsidR="3763B257">
        <w:rPr>
          <w:rFonts w:ascii="Palatino Linotype" w:hAnsi="Palatino Linotype" w:eastAsia="Palatino Linotype" w:cs="Palatino Linotype"/>
        </w:rPr>
        <w:t xml:space="preserve"> CalCCA argues that since SDG&amp;E cannot know the ability of the procuring LSEs to charge the resource, the RA value is </w:t>
      </w:r>
      <w:r w:rsidRPr="05692A26" w:rsidR="3B97D4BE">
        <w:rPr>
          <w:rFonts w:ascii="Palatino Linotype" w:hAnsi="Palatino Linotype" w:eastAsia="Palatino Linotype" w:cs="Palatino Linotype"/>
        </w:rPr>
        <w:t>unknowable and therefore granting SDG&amp;E’s request would be misguided.</w:t>
      </w:r>
      <w:r w:rsidRPr="05692A26" w:rsidR="47132099">
        <w:rPr>
          <w:rStyle w:val="FootnoteReference"/>
          <w:rFonts w:ascii="Palatino Linotype" w:hAnsi="Palatino Linotype" w:eastAsia="Palatino Linotype" w:cs="Palatino Linotype"/>
        </w:rPr>
        <w:footnoteReference w:id="27"/>
      </w:r>
    </w:p>
    <w:p w:rsidR="5901176F" w:rsidP="05692A26" w:rsidRDefault="4CF8B955" w14:paraId="733F9F96" w14:textId="23BB94E9">
      <w:pPr>
        <w:rPr>
          <w:rFonts w:ascii="Palatino Linotype" w:hAnsi="Palatino Linotype" w:eastAsia="Palatino Linotype" w:cs="Palatino Linotype"/>
        </w:rPr>
      </w:pPr>
      <w:r w:rsidRPr="05692A26">
        <w:rPr>
          <w:rFonts w:ascii="Palatino Linotype" w:hAnsi="Palatino Linotype" w:eastAsia="Palatino Linotype" w:cs="Palatino Linotype"/>
        </w:rPr>
        <w:t>Cal Advocates</w:t>
      </w:r>
      <w:r w:rsidRPr="05692A26" w:rsidR="2E740577">
        <w:rPr>
          <w:rFonts w:ascii="Palatino Linotype" w:hAnsi="Palatino Linotype" w:eastAsia="Palatino Linotype" w:cs="Palatino Linotype"/>
        </w:rPr>
        <w:t xml:space="preserve"> protests AL 4736-E on the grounds that SDG&amp;E does not have a need for the project to meet its EPRM target, SDG&amp;E’s purchase of the project </w:t>
      </w:r>
      <w:r w:rsidRPr="05692A26" w:rsidR="78B6E223">
        <w:rPr>
          <w:rFonts w:ascii="Palatino Linotype" w:hAnsi="Palatino Linotype" w:eastAsia="Palatino Linotype" w:cs="Palatino Linotype"/>
        </w:rPr>
        <w:t>would not result in any additional system reliability benefits, the net market value of the pr</w:t>
      </w:r>
      <w:r w:rsidRPr="05692A26" w:rsidR="6E51EE15">
        <w:rPr>
          <w:rFonts w:ascii="Palatino Linotype" w:hAnsi="Palatino Linotype" w:eastAsia="Palatino Linotype" w:cs="Palatino Linotype"/>
        </w:rPr>
        <w:t>oject does not justify the costs, and SDG&amp;E has not proven that the project is the most cost-effective option to support reliability.</w:t>
      </w:r>
      <w:r w:rsidRPr="05692A26" w:rsidR="2E740577">
        <w:rPr>
          <w:rFonts w:ascii="Palatino Linotype" w:hAnsi="Palatino Linotype" w:eastAsia="Palatino Linotype" w:cs="Palatino Linotype"/>
        </w:rPr>
        <w:t xml:space="preserve"> </w:t>
      </w:r>
      <w:r w:rsidRPr="05692A26" w:rsidR="52274ECC">
        <w:rPr>
          <w:rFonts w:ascii="Palatino Linotype" w:hAnsi="Palatino Linotype" w:eastAsia="Palatino Linotype" w:cs="Palatino Linotype"/>
        </w:rPr>
        <w:t xml:space="preserve">Cal Advocates notes that </w:t>
      </w:r>
      <w:r w:rsidRPr="7441B0D7" w:rsidR="2C713A12">
        <w:rPr>
          <w:rFonts w:ascii="Palatino Linotype" w:hAnsi="Palatino Linotype" w:eastAsia="Palatino Linotype" w:cs="Palatino Linotype"/>
        </w:rPr>
        <w:t>SDG&amp;E does not have a need for the 119 MW of nameplate capacity from Westside Canal Phase 2a to meet its 2026-2027 EPRM target.</w:t>
      </w:r>
      <w:r w:rsidRPr="05692A26" w:rsidR="5901176F">
        <w:rPr>
          <w:rStyle w:val="FootnoteReference"/>
          <w:rFonts w:ascii="Palatino Linotype" w:hAnsi="Palatino Linotype" w:eastAsia="Palatino Linotype" w:cs="Palatino Linotype"/>
        </w:rPr>
        <w:footnoteReference w:id="28"/>
      </w:r>
      <w:r w:rsidRPr="05692A26" w:rsidR="19C6A939">
        <w:rPr>
          <w:rFonts w:ascii="Palatino Linotype" w:hAnsi="Palatino Linotype" w:eastAsia="Palatino Linotype" w:cs="Palatino Linotype"/>
        </w:rPr>
        <w:t xml:space="preserve"> Cal Advocates also argues that Westside Canal Phase 2a</w:t>
      </w:r>
      <w:r w:rsidRPr="05692A26" w:rsidR="105C02D2">
        <w:rPr>
          <w:rFonts w:ascii="Palatino Linotype" w:hAnsi="Palatino Linotype" w:eastAsia="Palatino Linotype" w:cs="Palatino Linotype"/>
        </w:rPr>
        <w:t xml:space="preserve"> </w:t>
      </w:r>
      <w:r w:rsidRPr="05692A26" w:rsidR="19C6A939">
        <w:rPr>
          <w:rFonts w:ascii="Palatino Linotype" w:hAnsi="Palatino Linotype" w:eastAsia="Palatino Linotype" w:cs="Palatino Linotype"/>
        </w:rPr>
        <w:t xml:space="preserve">has already achieved commercial operation and currently operates in the </w:t>
      </w:r>
      <w:r w:rsidRPr="01C0285C" w:rsidR="6EA69383">
        <w:rPr>
          <w:rFonts w:ascii="Palatino Linotype" w:hAnsi="Palatino Linotype" w:eastAsia="Palatino Linotype" w:cs="Palatino Linotype"/>
        </w:rPr>
        <w:t>California Independent System Operator</w:t>
      </w:r>
      <w:r w:rsidRPr="6AA5A77E" w:rsidR="6EA69383">
        <w:rPr>
          <w:rFonts w:ascii="Palatino Linotype" w:hAnsi="Palatino Linotype" w:eastAsia="Palatino Linotype" w:cs="Palatino Linotype"/>
          <w:b/>
          <w:bCs/>
        </w:rPr>
        <w:t xml:space="preserve"> (</w:t>
      </w:r>
      <w:r w:rsidRPr="01C0285C" w:rsidR="286CF683">
        <w:rPr>
          <w:rFonts w:ascii="Palatino Linotype" w:hAnsi="Palatino Linotype" w:eastAsia="Palatino Linotype" w:cs="Palatino Linotype"/>
          <w:b/>
          <w:bCs/>
        </w:rPr>
        <w:t>”</w:t>
      </w:r>
      <w:r w:rsidRPr="05692A26" w:rsidR="19C6A939">
        <w:rPr>
          <w:rFonts w:ascii="Palatino Linotype" w:hAnsi="Palatino Linotype" w:eastAsia="Palatino Linotype" w:cs="Palatino Linotype"/>
        </w:rPr>
        <w:t>CAISO</w:t>
      </w:r>
      <w:r w:rsidRPr="05692A26" w:rsidR="5A18E4A3">
        <w:rPr>
          <w:rFonts w:ascii="Palatino Linotype" w:hAnsi="Palatino Linotype" w:eastAsia="Palatino Linotype" w:cs="Palatino Linotype"/>
        </w:rPr>
        <w:t>”</w:t>
      </w:r>
      <w:r w:rsidRPr="01C0285C" w:rsidR="51ED002C">
        <w:rPr>
          <w:rFonts w:ascii="Palatino Linotype" w:hAnsi="Palatino Linotype" w:eastAsia="Palatino Linotype" w:cs="Palatino Linotype"/>
        </w:rPr>
        <w:t>)</w:t>
      </w:r>
      <w:r w:rsidRPr="05692A26" w:rsidR="19C6A939">
        <w:rPr>
          <w:rFonts w:ascii="Palatino Linotype" w:hAnsi="Palatino Linotype" w:eastAsia="Palatino Linotype" w:cs="Palatino Linotype"/>
        </w:rPr>
        <w:t xml:space="preserve"> market</w:t>
      </w:r>
      <w:r w:rsidRPr="05692A26" w:rsidR="13778F08">
        <w:rPr>
          <w:rFonts w:ascii="Palatino Linotype" w:hAnsi="Palatino Linotype" w:eastAsia="Palatino Linotype" w:cs="Palatino Linotype"/>
        </w:rPr>
        <w:t xml:space="preserve">; therefore SDG&amp;E would not contribute any incremental system capacity through its purchase of the project. </w:t>
      </w:r>
      <w:r w:rsidRPr="05692A26" w:rsidR="709712B2">
        <w:rPr>
          <w:rFonts w:ascii="Palatino Linotype" w:hAnsi="Palatino Linotype" w:eastAsia="Palatino Linotype" w:cs="Palatino Linotype"/>
        </w:rPr>
        <w:t>Cal Advocates states that RWE Clean Energy Asset Holdings, Inc. currently offers short-term RA from Westside Canal Phase 2a on a merchant basis, and SDG&amp;E can continue to acquire capacity from Westside Canal Phase 2a through this avenue if necessary.</w:t>
      </w:r>
      <w:r w:rsidRPr="05692A26" w:rsidR="5901176F">
        <w:rPr>
          <w:rStyle w:val="FootnoteReference"/>
          <w:rFonts w:ascii="Palatino Linotype" w:hAnsi="Palatino Linotype" w:eastAsia="Palatino Linotype" w:cs="Palatino Linotype"/>
        </w:rPr>
        <w:footnoteReference w:id="29"/>
      </w:r>
      <w:r w:rsidRPr="05692A26" w:rsidR="7B9C6DD8">
        <w:rPr>
          <w:rFonts w:ascii="Palatino Linotype" w:hAnsi="Palatino Linotype" w:eastAsia="Palatino Linotype" w:cs="Palatino Linotype"/>
        </w:rPr>
        <w:t xml:space="preserve"> Finally, Cal Advocates </w:t>
      </w:r>
      <w:r w:rsidRPr="05692A26" w:rsidR="3AF6C550">
        <w:rPr>
          <w:rFonts w:ascii="Palatino Linotype" w:hAnsi="Palatino Linotype" w:eastAsia="Palatino Linotype" w:cs="Palatino Linotype"/>
        </w:rPr>
        <w:t xml:space="preserve">argues that SDG&amp;E </w:t>
      </w:r>
      <w:r w:rsidRPr="7441B0D7" w:rsidR="3AF6C550">
        <w:rPr>
          <w:rFonts w:ascii="Palatino Linotype" w:hAnsi="Palatino Linotype" w:eastAsia="Palatino Linotype" w:cs="Palatino Linotype"/>
        </w:rPr>
        <w:t>fails to demonstrate that Westside Canal Phase 2a is the most cost-effective option to support system reliability need.</w:t>
      </w:r>
      <w:r w:rsidRPr="05692A26" w:rsidR="5901176F">
        <w:rPr>
          <w:rStyle w:val="FootnoteReference"/>
          <w:rFonts w:ascii="Palatino Linotype" w:hAnsi="Palatino Linotype" w:eastAsia="Palatino Linotype" w:cs="Palatino Linotype"/>
        </w:rPr>
        <w:footnoteReference w:id="30"/>
      </w:r>
    </w:p>
    <w:p w:rsidR="07C4EF08" w:rsidP="190E8F6F" w:rsidRDefault="07C4EF08" w14:paraId="5BCC1FD9" w14:textId="76EAB6C0">
      <w:pPr>
        <w:rPr>
          <w:rFonts w:ascii="Palatino Linotype" w:hAnsi="Palatino Linotype" w:eastAsia="Palatino Linotype" w:cs="Palatino Linotype"/>
          <w:b/>
          <w:bCs/>
          <w:u w:val="single"/>
        </w:rPr>
      </w:pPr>
      <w:r w:rsidRPr="190E8F6F">
        <w:rPr>
          <w:rFonts w:ascii="Palatino Linotype" w:hAnsi="Palatino Linotype" w:eastAsia="Palatino Linotype" w:cs="Palatino Linotype"/>
          <w:b/>
          <w:bCs/>
          <w:u w:val="single"/>
        </w:rPr>
        <w:t xml:space="preserve">SDG&amp;E REPLY TO PROTESTS </w:t>
      </w:r>
    </w:p>
    <w:p w:rsidR="528F66FC" w:rsidP="05692A26" w:rsidRDefault="528F66FC" w14:paraId="673CCB52" w14:textId="6AEA5260">
      <w:pPr>
        <w:rPr>
          <w:rFonts w:ascii="Palatino Linotype" w:hAnsi="Palatino Linotype" w:eastAsia="Palatino Linotype" w:cs="Palatino Linotype"/>
        </w:rPr>
      </w:pPr>
      <w:r w:rsidRPr="6AA5A77E">
        <w:rPr>
          <w:rFonts w:ascii="Palatino Linotype" w:hAnsi="Palatino Linotype" w:eastAsia="Palatino Linotype" w:cs="Palatino Linotype"/>
        </w:rPr>
        <w:t xml:space="preserve">On </w:t>
      </w:r>
      <w:r w:rsidRPr="6AA5A77E" w:rsidR="26AF0E4A">
        <w:rPr>
          <w:rFonts w:ascii="Palatino Linotype" w:hAnsi="Palatino Linotype" w:eastAsia="Palatino Linotype" w:cs="Palatino Linotype"/>
        </w:rPr>
        <w:t>November 17, 2025</w:t>
      </w:r>
      <w:r w:rsidRPr="6AA5A77E">
        <w:rPr>
          <w:rFonts w:ascii="Palatino Linotype" w:hAnsi="Palatino Linotype" w:eastAsia="Palatino Linotype" w:cs="Palatino Linotype"/>
        </w:rPr>
        <w:t>, SDG&amp;E timely responded to the protest</w:t>
      </w:r>
      <w:r w:rsidRPr="6AA5A77E" w:rsidR="52B3954C">
        <w:rPr>
          <w:rFonts w:ascii="Palatino Linotype" w:hAnsi="Palatino Linotype" w:eastAsia="Palatino Linotype" w:cs="Palatino Linotype"/>
        </w:rPr>
        <w:t>s</w:t>
      </w:r>
      <w:r w:rsidRPr="6AA5A77E">
        <w:rPr>
          <w:rFonts w:ascii="Palatino Linotype" w:hAnsi="Palatino Linotype" w:eastAsia="Palatino Linotype" w:cs="Palatino Linotype"/>
        </w:rPr>
        <w:t xml:space="preserve"> of IEP</w:t>
      </w:r>
      <w:r w:rsidRPr="6AA5A77E" w:rsidR="0041B1D9">
        <w:rPr>
          <w:rFonts w:ascii="Palatino Linotype" w:hAnsi="Palatino Linotype" w:eastAsia="Palatino Linotype" w:cs="Palatino Linotype"/>
        </w:rPr>
        <w:t>, CalCCA,</w:t>
      </w:r>
      <w:r w:rsidRPr="6AA5A77E">
        <w:rPr>
          <w:rFonts w:ascii="Palatino Linotype" w:hAnsi="Palatino Linotype" w:eastAsia="Palatino Linotype" w:cs="Palatino Linotype"/>
        </w:rPr>
        <w:t xml:space="preserve"> and Cal Advocates. </w:t>
      </w:r>
    </w:p>
    <w:p w:rsidR="528F66FC" w:rsidP="05692A26" w:rsidRDefault="4B240A7D" w14:paraId="3F17E832" w14:textId="67A1A0D9">
      <w:pPr>
        <w:rPr>
          <w:rFonts w:ascii="Palatino Linotype" w:hAnsi="Palatino Linotype" w:eastAsia="Palatino Linotype" w:cs="Palatino Linotype"/>
        </w:rPr>
      </w:pPr>
      <w:r w:rsidRPr="05692A26">
        <w:rPr>
          <w:rFonts w:ascii="Palatino Linotype" w:hAnsi="Palatino Linotype" w:eastAsia="Palatino Linotype" w:cs="Palatino Linotype"/>
        </w:rPr>
        <w:t xml:space="preserve">In response to </w:t>
      </w:r>
      <w:r w:rsidRPr="05692A26" w:rsidR="2B7C1349">
        <w:rPr>
          <w:rFonts w:ascii="Palatino Linotype" w:hAnsi="Palatino Linotype" w:eastAsia="Palatino Linotype" w:cs="Palatino Linotype"/>
        </w:rPr>
        <w:t xml:space="preserve">IEP’s protest regarding discrimination </w:t>
      </w:r>
      <w:r w:rsidRPr="05692A26" w:rsidR="6F379989">
        <w:rPr>
          <w:rFonts w:ascii="Palatino Linotype" w:hAnsi="Palatino Linotype" w:eastAsia="Palatino Linotype" w:cs="Palatino Linotype"/>
        </w:rPr>
        <w:t>in favor of a utility-owned project</w:t>
      </w:r>
      <w:r w:rsidRPr="05692A26" w:rsidR="4BD32CAD">
        <w:rPr>
          <w:rFonts w:ascii="Palatino Linotype" w:hAnsi="Palatino Linotype" w:eastAsia="Palatino Linotype" w:cs="Palatino Linotype"/>
        </w:rPr>
        <w:t xml:space="preserve">, SDG&amp;E states that IEP does not demonstrate that any aspect of the process followed to procure the project was actually unjust, unreasonable, or discriminatory, and that policy objections to the EPRM framework are not valid grounds for denial of the </w:t>
      </w:r>
      <w:r w:rsidRPr="05692A26" w:rsidR="2B54A7F3">
        <w:rPr>
          <w:rFonts w:ascii="Palatino Linotype" w:hAnsi="Palatino Linotype" w:eastAsia="Palatino Linotype" w:cs="Palatino Linotype"/>
        </w:rPr>
        <w:t>advice letter</w:t>
      </w:r>
      <w:r w:rsidRPr="05692A26" w:rsidR="4BD32CAD">
        <w:rPr>
          <w:rFonts w:ascii="Palatino Linotype" w:hAnsi="Palatino Linotype" w:eastAsia="Palatino Linotype" w:cs="Palatino Linotype"/>
        </w:rPr>
        <w:t>.</w:t>
      </w:r>
      <w:r w:rsidRPr="05692A26" w:rsidR="528F66FC">
        <w:rPr>
          <w:rStyle w:val="FootnoteReference"/>
          <w:rFonts w:ascii="Palatino Linotype" w:hAnsi="Palatino Linotype" w:eastAsia="Palatino Linotype" w:cs="Palatino Linotype"/>
        </w:rPr>
        <w:footnoteReference w:id="31"/>
      </w:r>
      <w:r w:rsidRPr="05692A26" w:rsidR="7AFC7486">
        <w:rPr>
          <w:rFonts w:ascii="Palatino Linotype" w:hAnsi="Palatino Linotype" w:eastAsia="Palatino Linotype" w:cs="Palatino Linotype"/>
        </w:rPr>
        <w:t xml:space="preserve"> SDG&amp;E reaffirms that they adhered to the guidelines for EPRM procurement established by the Commission in D.21-12-015 and D.25-06-048 in procuring Westside </w:t>
      </w:r>
      <w:r w:rsidRPr="05692A26" w:rsidR="7AFC7486">
        <w:rPr>
          <w:rFonts w:ascii="Palatino Linotype" w:hAnsi="Palatino Linotype" w:eastAsia="Palatino Linotype" w:cs="Palatino Linotype"/>
        </w:rPr>
        <w:lastRenderedPageBreak/>
        <w:t>Canal Phase 2a.</w:t>
      </w:r>
      <w:r w:rsidRPr="05692A26" w:rsidR="528F66FC">
        <w:rPr>
          <w:rStyle w:val="FootnoteReference"/>
          <w:rFonts w:ascii="Palatino Linotype" w:hAnsi="Palatino Linotype" w:eastAsia="Palatino Linotype" w:cs="Palatino Linotype"/>
        </w:rPr>
        <w:footnoteReference w:id="32"/>
      </w:r>
      <w:r w:rsidRPr="05692A26" w:rsidR="0990881D">
        <w:rPr>
          <w:rFonts w:ascii="Palatino Linotype" w:hAnsi="Palatino Linotype" w:eastAsia="Palatino Linotype" w:cs="Palatino Linotype"/>
        </w:rPr>
        <w:t xml:space="preserve"> Further, SDG&amp;E asserts that the Commission should reject </w:t>
      </w:r>
      <w:r w:rsidR="00D340F6">
        <w:rPr>
          <w:rFonts w:ascii="Palatino Linotype" w:hAnsi="Palatino Linotype" w:eastAsia="Palatino Linotype" w:cs="Palatino Linotype"/>
        </w:rPr>
        <w:br/>
      </w:r>
      <w:r w:rsidRPr="05692A26" w:rsidR="0990881D">
        <w:rPr>
          <w:rFonts w:ascii="Palatino Linotype" w:hAnsi="Palatino Linotype" w:eastAsia="Palatino Linotype" w:cs="Palatino Linotype"/>
        </w:rPr>
        <w:t>IEP’s suggestion that the Commission “expressly require SDG&amp;E to provide similar accommodations to non-utility-owned projects and not to discriminate on the basis of ownership</w:t>
      </w:r>
      <w:r w:rsidRPr="05692A26" w:rsidR="5FB52EEB">
        <w:rPr>
          <w:rFonts w:ascii="Palatino Linotype" w:hAnsi="Palatino Linotype" w:eastAsia="Palatino Linotype" w:cs="Palatino Linotype"/>
        </w:rPr>
        <w:t>,</w:t>
      </w:r>
      <w:r w:rsidRPr="05692A26" w:rsidR="0990881D">
        <w:rPr>
          <w:rFonts w:ascii="Palatino Linotype" w:hAnsi="Palatino Linotype" w:eastAsia="Palatino Linotype" w:cs="Palatino Linotype"/>
        </w:rPr>
        <w:t>”</w:t>
      </w:r>
      <w:r w:rsidRPr="05692A26" w:rsidR="1EC5C823">
        <w:rPr>
          <w:rFonts w:ascii="Palatino Linotype" w:hAnsi="Palatino Linotype" w:eastAsia="Palatino Linotype" w:cs="Palatino Linotype"/>
        </w:rPr>
        <w:t xml:space="preserve"> as this change would modify the existing requirements of the EPRM framework, and it is unclear how the principle would be implemented.</w:t>
      </w:r>
      <w:r w:rsidRPr="05692A26" w:rsidR="528F66FC">
        <w:rPr>
          <w:rStyle w:val="FootnoteReference"/>
          <w:rFonts w:ascii="Palatino Linotype" w:hAnsi="Palatino Linotype" w:eastAsia="Palatino Linotype" w:cs="Palatino Linotype"/>
        </w:rPr>
        <w:footnoteReference w:id="33"/>
      </w:r>
    </w:p>
    <w:p w:rsidR="3F620B91" w:rsidP="05692A26" w:rsidRDefault="079048FC" w14:paraId="6BEB9F76" w14:textId="3EA483D7">
      <w:pPr>
        <w:rPr>
          <w:rFonts w:ascii="Palatino Linotype" w:hAnsi="Palatino Linotype" w:eastAsia="Palatino Linotype" w:cs="Palatino Linotype"/>
        </w:rPr>
      </w:pPr>
      <w:r w:rsidRPr="05692A26">
        <w:rPr>
          <w:rFonts w:ascii="Palatino Linotype" w:hAnsi="Palatino Linotype" w:eastAsia="Palatino Linotype" w:cs="Palatino Linotype"/>
        </w:rPr>
        <w:t xml:space="preserve">In response to CalCCA’s </w:t>
      </w:r>
      <w:r w:rsidRPr="05692A26" w:rsidR="67F8FDB3">
        <w:rPr>
          <w:rFonts w:ascii="Palatino Linotype" w:hAnsi="Palatino Linotype" w:eastAsia="Palatino Linotype" w:cs="Palatino Linotype"/>
        </w:rPr>
        <w:t xml:space="preserve">claim that SDG&amp;E cannot exceed the upper range of the EPRM target, SDG&amp;E states that </w:t>
      </w:r>
      <w:r w:rsidRPr="05692A26" w:rsidR="341AD0FE">
        <w:rPr>
          <w:rFonts w:ascii="Palatino Linotype" w:hAnsi="Palatino Linotype" w:eastAsia="Palatino Linotype" w:cs="Palatino Linotype"/>
        </w:rPr>
        <w:t>a</w:t>
      </w:r>
      <w:r w:rsidRPr="05692A26" w:rsidR="67F8FDB3">
        <w:rPr>
          <w:rFonts w:ascii="Palatino Linotype" w:hAnsi="Palatino Linotype" w:eastAsia="Palatino Linotype" w:cs="Palatino Linotype"/>
        </w:rPr>
        <w:t>t the same time that D.21</w:t>
      </w:r>
      <w:r w:rsidRPr="05692A26" w:rsidR="42CA6C6D">
        <w:rPr>
          <w:rFonts w:ascii="Palatino Linotype" w:hAnsi="Palatino Linotype" w:eastAsia="Palatino Linotype" w:cs="Palatino Linotype"/>
        </w:rPr>
        <w:t>-12-015</w:t>
      </w:r>
      <w:r w:rsidRPr="05692A26" w:rsidR="67F8FDB3">
        <w:rPr>
          <w:rFonts w:ascii="Palatino Linotype" w:hAnsi="Palatino Linotype" w:eastAsia="Palatino Linotype" w:cs="Palatino Linotype"/>
        </w:rPr>
        <w:t xml:space="preserve"> defined </w:t>
      </w:r>
      <w:r w:rsidRPr="05692A26" w:rsidR="7B440F58">
        <w:rPr>
          <w:rFonts w:ascii="Palatino Linotype" w:hAnsi="Palatino Linotype" w:eastAsia="Palatino Linotype" w:cs="Palatino Linotype"/>
        </w:rPr>
        <w:t>a</w:t>
      </w:r>
      <w:r w:rsidRPr="05692A26" w:rsidR="67F8FDB3">
        <w:rPr>
          <w:rFonts w:ascii="Palatino Linotype" w:hAnsi="Palatino Linotype" w:eastAsia="Palatino Linotype" w:cs="Palatino Linotype"/>
        </w:rPr>
        <w:t xml:space="preserve"> MW range EPRM target, the Commission ordered the IOUs to “endeavor to meet and exceed their respective incremental procurement targets to achieve the range of additional procurement authorized</w:t>
      </w:r>
      <w:r w:rsidRPr="05692A26" w:rsidR="52511990">
        <w:rPr>
          <w:rFonts w:ascii="Palatino Linotype" w:hAnsi="Palatino Linotype" w:eastAsia="Palatino Linotype" w:cs="Palatino Linotype"/>
        </w:rPr>
        <w:t>.</w:t>
      </w:r>
      <w:r w:rsidRPr="05692A26" w:rsidR="7CBB6B1C">
        <w:rPr>
          <w:rFonts w:ascii="Palatino Linotype" w:hAnsi="Palatino Linotype" w:eastAsia="Palatino Linotype" w:cs="Palatino Linotype"/>
        </w:rPr>
        <w:t>”</w:t>
      </w:r>
      <w:r w:rsidRPr="05692A26" w:rsidR="3F620B91">
        <w:rPr>
          <w:rStyle w:val="FootnoteReference"/>
          <w:rFonts w:ascii="Palatino Linotype" w:hAnsi="Palatino Linotype" w:eastAsia="Palatino Linotype" w:cs="Palatino Linotype"/>
        </w:rPr>
        <w:footnoteReference w:id="34"/>
      </w:r>
      <w:r w:rsidRPr="05692A26" w:rsidR="7D690928">
        <w:rPr>
          <w:rFonts w:ascii="Palatino Linotype" w:hAnsi="Palatino Linotype" w:eastAsia="Palatino Linotype" w:cs="Palatino Linotype"/>
        </w:rPr>
        <w:t xml:space="preserve"> </w:t>
      </w:r>
      <w:r w:rsidRPr="05692A26" w:rsidR="5981AB85">
        <w:rPr>
          <w:rFonts w:ascii="Palatino Linotype" w:hAnsi="Palatino Linotype" w:eastAsia="Palatino Linotype" w:cs="Palatino Linotype"/>
        </w:rPr>
        <w:t xml:space="preserve">SDG&amp;E states that the decision expressly contemplates that the IOUs will exceed their EPRM targets, noting that “[if] emergency procurement efforts are so successful that they result in excess procurement, the resources could be used as backfill in the event some LSEs fails to meet their  </w:t>
      </w:r>
      <w:r w:rsidRPr="01C0285C" w:rsidR="5A07AC2A">
        <w:rPr>
          <w:rFonts w:ascii="Palatino Linotype" w:hAnsi="Palatino Linotype" w:eastAsia="Palatino Linotype" w:cs="Palatino Linotype"/>
        </w:rPr>
        <w:t>Integrated Resource Plan</w:t>
      </w:r>
      <w:r w:rsidRPr="01C0285C" w:rsidR="347D2C4D">
        <w:rPr>
          <w:rFonts w:ascii="Palatino Linotype" w:hAnsi="Palatino Linotype" w:eastAsia="Palatino Linotype" w:cs="Palatino Linotype"/>
        </w:rPr>
        <w:t>ning</w:t>
      </w:r>
      <w:r w:rsidRPr="6AA5A77E" w:rsidR="5A07AC2A">
        <w:rPr>
          <w:rFonts w:ascii="Palatino Linotype" w:hAnsi="Palatino Linotype" w:eastAsia="Palatino Linotype" w:cs="Palatino Linotype"/>
        </w:rPr>
        <w:t xml:space="preserve"> </w:t>
      </w:r>
      <w:r w:rsidRPr="01C0285C" w:rsidR="5A07AC2A">
        <w:rPr>
          <w:rFonts w:ascii="Palatino Linotype" w:hAnsi="Palatino Linotype" w:eastAsia="Palatino Linotype" w:cs="Palatino Linotype"/>
        </w:rPr>
        <w:t>(”IRP”)</w:t>
      </w:r>
      <w:r w:rsidRPr="05692A26" w:rsidR="2CAF029F">
        <w:rPr>
          <w:rFonts w:ascii="Palatino Linotype" w:hAnsi="Palatino Linotype" w:eastAsia="Palatino Linotype" w:cs="Palatino Linotype"/>
        </w:rPr>
        <w:t xml:space="preserve"> </w:t>
      </w:r>
      <w:r w:rsidRPr="05692A26" w:rsidR="5981AB85">
        <w:rPr>
          <w:rFonts w:ascii="Palatino Linotype" w:hAnsi="Palatino Linotype" w:eastAsia="Palatino Linotype" w:cs="Palatino Linotype"/>
        </w:rPr>
        <w:t>procurement requirements.”</w:t>
      </w:r>
      <w:r w:rsidRPr="05692A26" w:rsidR="3F620B91">
        <w:rPr>
          <w:rStyle w:val="FootnoteReference"/>
          <w:rFonts w:ascii="Palatino Linotype" w:hAnsi="Palatino Linotype" w:eastAsia="Palatino Linotype" w:cs="Palatino Linotype"/>
        </w:rPr>
        <w:footnoteReference w:id="35"/>
      </w:r>
      <w:r w:rsidRPr="05692A26" w:rsidR="7A514138">
        <w:rPr>
          <w:rFonts w:ascii="Palatino Linotype" w:hAnsi="Palatino Linotype" w:eastAsia="Palatino Linotype" w:cs="Palatino Linotype"/>
        </w:rPr>
        <w:t xml:space="preserve"> </w:t>
      </w:r>
      <w:r w:rsidRPr="05692A26" w:rsidR="6535663B">
        <w:rPr>
          <w:rFonts w:ascii="Palatino Linotype" w:hAnsi="Palatino Linotype" w:eastAsia="Palatino Linotype" w:cs="Palatino Linotype"/>
        </w:rPr>
        <w:t>SDG&amp;E also notes that i</w:t>
      </w:r>
      <w:r w:rsidRPr="05692A26" w:rsidR="7A514138">
        <w:rPr>
          <w:rFonts w:ascii="Palatino Linotype" w:hAnsi="Palatino Linotype" w:eastAsia="Palatino Linotype" w:cs="Palatino Linotype"/>
        </w:rPr>
        <w:t xml:space="preserve">n D.25-06-048, the Commission extended the EPRM framework adopted in D.21-12-015 (and previously extended in D.23-06-029) to the 2026 and 2027 RA compliance years. </w:t>
      </w:r>
      <w:r w:rsidRPr="05692A26" w:rsidR="76EABAB8">
        <w:rPr>
          <w:rFonts w:ascii="Palatino Linotype" w:hAnsi="Palatino Linotype" w:eastAsia="Palatino Linotype" w:cs="Palatino Linotype"/>
        </w:rPr>
        <w:t xml:space="preserve">Therefore, SDG&amp;E argues that by extending the EPRM </w:t>
      </w:r>
      <w:r w:rsidRPr="05692A26" w:rsidR="621E1A52">
        <w:rPr>
          <w:rFonts w:ascii="Palatino Linotype" w:hAnsi="Palatino Linotype" w:eastAsia="Palatino Linotype" w:cs="Palatino Linotype"/>
        </w:rPr>
        <w:t xml:space="preserve">framework </w:t>
      </w:r>
      <w:r w:rsidRPr="05692A26" w:rsidR="7A514138">
        <w:rPr>
          <w:rFonts w:ascii="Palatino Linotype" w:hAnsi="Palatino Linotype" w:eastAsia="Palatino Linotype" w:cs="Palatino Linotype"/>
        </w:rPr>
        <w:t xml:space="preserve">established in D.21-12-105, the </w:t>
      </w:r>
      <w:r w:rsidR="00D340F6">
        <w:rPr>
          <w:rFonts w:ascii="Palatino Linotype" w:hAnsi="Palatino Linotype" w:eastAsia="Palatino Linotype" w:cs="Palatino Linotype"/>
        </w:rPr>
        <w:br/>
      </w:r>
      <w:r w:rsidRPr="05692A26" w:rsidR="7A514138">
        <w:rPr>
          <w:rFonts w:ascii="Palatino Linotype" w:hAnsi="Palatino Linotype" w:eastAsia="Palatino Linotype" w:cs="Palatino Linotype"/>
        </w:rPr>
        <w:t>IOUs’ obligation to “meet and exceed” their EPRM targets</w:t>
      </w:r>
      <w:r w:rsidRPr="05692A26" w:rsidR="625CFC8C">
        <w:rPr>
          <w:rFonts w:ascii="Palatino Linotype" w:hAnsi="Palatino Linotype" w:eastAsia="Palatino Linotype" w:cs="Palatino Linotype"/>
        </w:rPr>
        <w:t xml:space="preserve"> is </w:t>
      </w:r>
      <w:r w:rsidRPr="05692A26" w:rsidR="399301B7">
        <w:rPr>
          <w:rFonts w:ascii="Palatino Linotype" w:hAnsi="Palatino Linotype" w:eastAsia="Palatino Linotype" w:cs="Palatino Linotype"/>
        </w:rPr>
        <w:t>also extended</w:t>
      </w:r>
      <w:r w:rsidRPr="05692A26" w:rsidR="625CFC8C">
        <w:rPr>
          <w:rFonts w:ascii="Palatino Linotype" w:hAnsi="Palatino Linotype" w:eastAsia="Palatino Linotype" w:cs="Palatino Linotype"/>
        </w:rPr>
        <w:t>.</w:t>
      </w:r>
      <w:r w:rsidRPr="05692A26" w:rsidR="3F620B91">
        <w:rPr>
          <w:rStyle w:val="FootnoteReference"/>
          <w:rFonts w:ascii="Palatino Linotype" w:hAnsi="Palatino Linotype" w:eastAsia="Palatino Linotype" w:cs="Palatino Linotype"/>
        </w:rPr>
        <w:footnoteReference w:id="36"/>
      </w:r>
      <w:r w:rsidRPr="05692A26" w:rsidR="294C53BD">
        <w:rPr>
          <w:rFonts w:ascii="Palatino Linotype" w:hAnsi="Palatino Linotype" w:eastAsia="Palatino Linotype" w:cs="Palatino Linotype"/>
        </w:rPr>
        <w:t xml:space="preserve"> In response to CalCCA’s claim that </w:t>
      </w:r>
      <w:r w:rsidRPr="05692A26" w:rsidR="5B56DDDE">
        <w:rPr>
          <w:rFonts w:ascii="Palatino Linotype" w:hAnsi="Palatino Linotype" w:eastAsia="Palatino Linotype" w:cs="Palatino Linotype"/>
        </w:rPr>
        <w:t>CAM cost recovery for EPRM energy storage resources cannot be authorized until the Commission can evaluate the RA capacity of a storage CAM resource</w:t>
      </w:r>
      <w:r w:rsidRPr="05692A26" w:rsidR="11CC24D4">
        <w:rPr>
          <w:rFonts w:ascii="Palatino Linotype" w:hAnsi="Palatino Linotype" w:eastAsia="Palatino Linotype" w:cs="Palatino Linotype"/>
        </w:rPr>
        <w:t>, SDG&amp;E argues that this is at odds with the Commission’s decision in Southern California Edison Company’s (</w:t>
      </w:r>
      <w:r w:rsidRPr="05692A26" w:rsidR="3ACF1947">
        <w:rPr>
          <w:rFonts w:ascii="Palatino Linotype" w:hAnsi="Palatino Linotype" w:eastAsia="Palatino Linotype" w:cs="Palatino Linotype"/>
        </w:rPr>
        <w:t>”</w:t>
      </w:r>
      <w:r w:rsidRPr="05692A26" w:rsidR="11CC24D4">
        <w:rPr>
          <w:rFonts w:ascii="Palatino Linotype" w:hAnsi="Palatino Linotype" w:eastAsia="Palatino Linotype" w:cs="Palatino Linotype"/>
        </w:rPr>
        <w:t>SCE’s</w:t>
      </w:r>
      <w:r w:rsidRPr="05692A26" w:rsidR="3E511ADA">
        <w:rPr>
          <w:rFonts w:ascii="Palatino Linotype" w:hAnsi="Palatino Linotype" w:eastAsia="Palatino Linotype" w:cs="Palatino Linotype"/>
        </w:rPr>
        <w:t>”</w:t>
      </w:r>
      <w:r w:rsidRPr="05692A26" w:rsidR="11CC24D4">
        <w:rPr>
          <w:rFonts w:ascii="Palatino Linotype" w:hAnsi="Palatino Linotype" w:eastAsia="Palatino Linotype" w:cs="Palatino Linotype"/>
        </w:rPr>
        <w:t>) 2025 Energy Resource Recovery Account (</w:t>
      </w:r>
      <w:r w:rsidRPr="05692A26" w:rsidR="36844E75">
        <w:rPr>
          <w:rFonts w:ascii="Palatino Linotype" w:hAnsi="Palatino Linotype" w:eastAsia="Palatino Linotype" w:cs="Palatino Linotype"/>
        </w:rPr>
        <w:t>”</w:t>
      </w:r>
      <w:r w:rsidRPr="05692A26" w:rsidR="11CC24D4">
        <w:rPr>
          <w:rFonts w:ascii="Palatino Linotype" w:hAnsi="Palatino Linotype" w:eastAsia="Palatino Linotype" w:cs="Palatino Linotype"/>
        </w:rPr>
        <w:t>ERRA</w:t>
      </w:r>
      <w:r w:rsidRPr="05692A26" w:rsidR="794A791E">
        <w:rPr>
          <w:rFonts w:ascii="Palatino Linotype" w:hAnsi="Palatino Linotype" w:eastAsia="Palatino Linotype" w:cs="Palatino Linotype"/>
        </w:rPr>
        <w:t>”</w:t>
      </w:r>
      <w:r w:rsidRPr="05692A26" w:rsidR="11CC24D4">
        <w:rPr>
          <w:rFonts w:ascii="Palatino Linotype" w:hAnsi="Palatino Linotype" w:eastAsia="Palatino Linotype" w:cs="Palatino Linotype"/>
        </w:rPr>
        <w:t>) Forecast proceeding.</w:t>
      </w:r>
      <w:r w:rsidRPr="05692A26" w:rsidR="3F620B91">
        <w:rPr>
          <w:rStyle w:val="FootnoteReference"/>
          <w:rFonts w:ascii="Palatino Linotype" w:hAnsi="Palatino Linotype" w:eastAsia="Palatino Linotype" w:cs="Palatino Linotype"/>
        </w:rPr>
        <w:footnoteReference w:id="37"/>
      </w:r>
      <w:r w:rsidRPr="05692A26" w:rsidR="357D2CF0">
        <w:rPr>
          <w:rFonts w:ascii="Palatino Linotype" w:hAnsi="Palatino Linotype" w:eastAsia="Palatino Linotype" w:cs="Palatino Linotype"/>
        </w:rPr>
        <w:t xml:space="preserve"> SDG&amp;E states that in SCE’s ERRA Forecast decision, the Commission did not suggest that </w:t>
      </w:r>
      <w:r w:rsidRPr="05692A26" w:rsidR="382549E8">
        <w:rPr>
          <w:rFonts w:ascii="Palatino Linotype" w:hAnsi="Palatino Linotype" w:eastAsia="Palatino Linotype" w:cs="Palatino Linotype"/>
        </w:rPr>
        <w:t xml:space="preserve">reliability procurement and </w:t>
      </w:r>
      <w:r w:rsidRPr="05692A26" w:rsidR="357D2CF0">
        <w:rPr>
          <w:rFonts w:ascii="Palatino Linotype" w:hAnsi="Palatino Linotype" w:eastAsia="Palatino Linotype" w:cs="Palatino Linotype"/>
        </w:rPr>
        <w:t xml:space="preserve">cost recovery for energy storage resources would be prohibited </w:t>
      </w:r>
      <w:r w:rsidRPr="05692A26" w:rsidR="464CDAE5">
        <w:rPr>
          <w:rFonts w:ascii="Palatino Linotype" w:hAnsi="Palatino Linotype" w:eastAsia="Palatino Linotype" w:cs="Palatino Linotype"/>
        </w:rPr>
        <w:t>until changes were made to the methodology for valuing energy storage RA benefits</w:t>
      </w:r>
      <w:r w:rsidRPr="05692A26" w:rsidR="1EAE8E8D">
        <w:rPr>
          <w:rFonts w:ascii="Palatino Linotype" w:hAnsi="Palatino Linotype" w:eastAsia="Palatino Linotype" w:cs="Palatino Linotype"/>
        </w:rPr>
        <w:t>, but rather the Commission approved an interim valuation methodology proposed by SCE until permanent refinements to the valuation methodology are considered at a later point.</w:t>
      </w:r>
      <w:r w:rsidRPr="05692A26" w:rsidR="3F620B91">
        <w:rPr>
          <w:rStyle w:val="FootnoteReference"/>
          <w:rFonts w:ascii="Palatino Linotype" w:hAnsi="Palatino Linotype" w:eastAsia="Palatino Linotype" w:cs="Palatino Linotype"/>
        </w:rPr>
        <w:footnoteReference w:id="38"/>
      </w:r>
      <w:r w:rsidRPr="05692A26" w:rsidR="2833BEAD">
        <w:rPr>
          <w:rFonts w:ascii="Palatino Linotype" w:hAnsi="Palatino Linotype" w:eastAsia="Palatino Linotype" w:cs="Palatino Linotype"/>
        </w:rPr>
        <w:t xml:space="preserve"> In response </w:t>
      </w:r>
      <w:r w:rsidRPr="05692A26" w:rsidR="2833BEAD">
        <w:rPr>
          <w:rFonts w:ascii="Palatino Linotype" w:hAnsi="Palatino Linotype" w:eastAsia="Palatino Linotype" w:cs="Palatino Linotype"/>
        </w:rPr>
        <w:lastRenderedPageBreak/>
        <w:t xml:space="preserve">to CalCCA’s questioning of the ”assumed value of RA” used to calculate the </w:t>
      </w:r>
      <w:r w:rsidRPr="01C0285C" w:rsidR="18A35E46">
        <w:rPr>
          <w:rFonts w:ascii="Palatino Linotype" w:hAnsi="Palatino Linotype" w:eastAsia="Palatino Linotype" w:cs="Palatino Linotype"/>
        </w:rPr>
        <w:t>n</w:t>
      </w:r>
      <w:r w:rsidRPr="05692A26" w:rsidR="68DA02AF">
        <w:rPr>
          <w:rFonts w:ascii="Palatino Linotype" w:hAnsi="Palatino Linotype" w:eastAsia="Palatino Linotype" w:cs="Palatino Linotype"/>
        </w:rPr>
        <w:t xml:space="preserve">et </w:t>
      </w:r>
      <w:r w:rsidRPr="01C0285C" w:rsidR="5426FCBA">
        <w:rPr>
          <w:rFonts w:ascii="Palatino Linotype" w:hAnsi="Palatino Linotype" w:eastAsia="Palatino Linotype" w:cs="Palatino Linotype"/>
        </w:rPr>
        <w:t>p</w:t>
      </w:r>
      <w:r w:rsidRPr="05692A26" w:rsidR="68DA02AF">
        <w:rPr>
          <w:rFonts w:ascii="Palatino Linotype" w:hAnsi="Palatino Linotype" w:eastAsia="Palatino Linotype" w:cs="Palatino Linotype"/>
        </w:rPr>
        <w:t xml:space="preserve">resent </w:t>
      </w:r>
      <w:r w:rsidRPr="01C0285C" w:rsidR="52D6C18F">
        <w:rPr>
          <w:rFonts w:ascii="Palatino Linotype" w:hAnsi="Palatino Linotype" w:eastAsia="Palatino Linotype" w:cs="Palatino Linotype"/>
        </w:rPr>
        <w:t>v</w:t>
      </w:r>
      <w:r w:rsidRPr="6AA5A77E" w:rsidR="68DA02AF">
        <w:rPr>
          <w:rFonts w:ascii="Palatino Linotype" w:hAnsi="Palatino Linotype" w:eastAsia="Palatino Linotype" w:cs="Palatino Linotype"/>
        </w:rPr>
        <w:t>alue (</w:t>
      </w:r>
      <w:r w:rsidRPr="05692A26" w:rsidR="6AFC2CF7">
        <w:rPr>
          <w:rFonts w:ascii="Palatino Linotype" w:hAnsi="Palatino Linotype" w:eastAsia="Palatino Linotype" w:cs="Palatino Linotype"/>
        </w:rPr>
        <w:t>“</w:t>
      </w:r>
      <w:r w:rsidRPr="05692A26" w:rsidR="2833BEAD">
        <w:rPr>
          <w:rFonts w:ascii="Palatino Linotype" w:hAnsi="Palatino Linotype" w:eastAsia="Palatino Linotype" w:cs="Palatino Linotype"/>
        </w:rPr>
        <w:t>NPV</w:t>
      </w:r>
      <w:r w:rsidRPr="05692A26" w:rsidR="6E64C425">
        <w:rPr>
          <w:rFonts w:ascii="Palatino Linotype" w:hAnsi="Palatino Linotype" w:eastAsia="Palatino Linotype" w:cs="Palatino Linotype"/>
        </w:rPr>
        <w:t>“</w:t>
      </w:r>
      <w:r w:rsidRPr="05692A26" w:rsidR="64713CA8">
        <w:rPr>
          <w:rFonts w:ascii="Palatino Linotype" w:hAnsi="Palatino Linotype" w:eastAsia="Palatino Linotype" w:cs="Palatino Linotype"/>
        </w:rPr>
        <w:t>)</w:t>
      </w:r>
      <w:r w:rsidRPr="05692A26" w:rsidR="2833BEAD">
        <w:rPr>
          <w:rFonts w:ascii="Palatino Linotype" w:hAnsi="Palatino Linotype" w:eastAsia="Palatino Linotype" w:cs="Palatino Linotype"/>
        </w:rPr>
        <w:t xml:space="preserve"> of Westside Canal Phase 2a, SDG</w:t>
      </w:r>
      <w:r w:rsidRPr="05692A26" w:rsidR="1BC3C347">
        <w:rPr>
          <w:rFonts w:ascii="Palatino Linotype" w:hAnsi="Palatino Linotype" w:eastAsia="Palatino Linotype" w:cs="Palatino Linotype"/>
        </w:rPr>
        <w:t>&amp;E states that the assumed value of RA used in the NPV calculation is not based on the valuation of RA benefits for CAM purposes, but rather based on battery-specific forward prices, which are used to derive the net market value.</w:t>
      </w:r>
      <w:r w:rsidRPr="05692A26" w:rsidR="3F620B91">
        <w:rPr>
          <w:rStyle w:val="FootnoteReference"/>
          <w:rFonts w:ascii="Palatino Linotype" w:hAnsi="Palatino Linotype" w:eastAsia="Palatino Linotype" w:cs="Palatino Linotype"/>
        </w:rPr>
        <w:footnoteReference w:id="39"/>
      </w:r>
      <w:r w:rsidRPr="05692A26" w:rsidR="6CCB1079">
        <w:rPr>
          <w:rFonts w:ascii="Palatino Linotype" w:hAnsi="Palatino Linotype" w:eastAsia="Palatino Linotype" w:cs="Palatino Linotype"/>
        </w:rPr>
        <w:t xml:space="preserve"> Finally, SDG&amp;E argues that CalCCA violates General Rule 7.4.2</w:t>
      </w:r>
      <w:r w:rsidRPr="05692A26" w:rsidR="2BEDC303">
        <w:rPr>
          <w:rFonts w:ascii="Palatino Linotype" w:hAnsi="Palatino Linotype" w:eastAsia="Palatino Linotype" w:cs="Palatino Linotype"/>
        </w:rPr>
        <w:t xml:space="preserve"> (which states that ”a protest may not rely on policy objections to an advice letter where the relief requested in the advice letter follows rules or directions established by statute or Commission order applicable to the utility”)</w:t>
      </w:r>
      <w:r w:rsidRPr="05692A26" w:rsidR="6CCB1079">
        <w:rPr>
          <w:rFonts w:ascii="Palatino Linotype" w:hAnsi="Palatino Linotype" w:eastAsia="Palatino Linotype" w:cs="Palatino Linotype"/>
        </w:rPr>
        <w:t xml:space="preserve"> by arguing that </w:t>
      </w:r>
      <w:r w:rsidRPr="05692A26" w:rsidR="313B3672">
        <w:rPr>
          <w:rFonts w:ascii="Palatino Linotype" w:hAnsi="Palatino Linotype" w:eastAsia="Palatino Linotype" w:cs="Palatino Linotype"/>
        </w:rPr>
        <w:t>the Commission must reject all energy storage EPRM resources pending refinement of the RA benefit valuation methodology.</w:t>
      </w:r>
      <w:r w:rsidRPr="05692A26" w:rsidR="3F620B91">
        <w:rPr>
          <w:rStyle w:val="FootnoteReference"/>
          <w:rFonts w:ascii="Palatino Linotype" w:hAnsi="Palatino Linotype" w:eastAsia="Palatino Linotype" w:cs="Palatino Linotype"/>
        </w:rPr>
        <w:footnoteReference w:id="40"/>
      </w:r>
      <w:r w:rsidRPr="05692A26" w:rsidR="3572BC9B">
        <w:rPr>
          <w:rFonts w:ascii="Palatino Linotype" w:hAnsi="Palatino Linotype" w:eastAsia="Palatino Linotype" w:cs="Palatino Linotype"/>
        </w:rPr>
        <w:t xml:space="preserve"> SDG&amp;E also states that CalCCA</w:t>
      </w:r>
      <w:r w:rsidRPr="05692A26" w:rsidR="0522754D">
        <w:rPr>
          <w:rFonts w:ascii="Palatino Linotype" w:hAnsi="Palatino Linotype" w:eastAsia="Palatino Linotype" w:cs="Palatino Linotype"/>
        </w:rPr>
        <w:t>’s</w:t>
      </w:r>
      <w:r w:rsidRPr="05692A26" w:rsidR="3572BC9B">
        <w:rPr>
          <w:rFonts w:ascii="Palatino Linotype" w:hAnsi="Palatino Linotype" w:eastAsia="Palatino Linotype" w:cs="Palatino Linotype"/>
        </w:rPr>
        <w:t xml:space="preserve"> attempts to invalidate the Commission’s direction in D.21-12-015 and D.25-06-048</w:t>
      </w:r>
      <w:r w:rsidRPr="05692A26" w:rsidR="2907310C">
        <w:rPr>
          <w:rFonts w:ascii="Palatino Linotype" w:hAnsi="Palatino Linotype" w:eastAsia="Palatino Linotype" w:cs="Palatino Linotype"/>
        </w:rPr>
        <w:t xml:space="preserve"> are collateral attacks</w:t>
      </w:r>
      <w:r w:rsidRPr="05692A26" w:rsidR="3572BC9B">
        <w:rPr>
          <w:rFonts w:ascii="Palatino Linotype" w:hAnsi="Palatino Linotype" w:eastAsia="Palatino Linotype" w:cs="Palatino Linotype"/>
        </w:rPr>
        <w:t>, and collateral attacks on Commission decisions are prohibited by statute and Commission precedent</w:t>
      </w:r>
      <w:r w:rsidRPr="05692A26" w:rsidR="132C53FB">
        <w:rPr>
          <w:rFonts w:ascii="Palatino Linotype" w:hAnsi="Palatino Linotype" w:eastAsia="Palatino Linotype" w:cs="Palatino Linotype"/>
        </w:rPr>
        <w:t>.</w:t>
      </w:r>
      <w:r w:rsidRPr="05692A26" w:rsidR="3F620B91">
        <w:rPr>
          <w:rStyle w:val="FootnoteReference"/>
          <w:rFonts w:ascii="Palatino Linotype" w:hAnsi="Palatino Linotype" w:eastAsia="Palatino Linotype" w:cs="Palatino Linotype"/>
        </w:rPr>
        <w:footnoteReference w:id="41"/>
      </w:r>
    </w:p>
    <w:p w:rsidR="55FADFB7" w:rsidP="05692A26" w:rsidRDefault="2B43EA81" w14:paraId="2A50FC0F" w14:textId="0B547B88">
      <w:pPr>
        <w:rPr>
          <w:rFonts w:ascii="Palatino Linotype" w:hAnsi="Palatino Linotype" w:eastAsia="Palatino Linotype" w:cs="Palatino Linotype"/>
        </w:rPr>
      </w:pPr>
      <w:r w:rsidRPr="05692A26">
        <w:rPr>
          <w:rFonts w:ascii="Palatino Linotype" w:hAnsi="Palatino Linotype" w:eastAsia="Palatino Linotype" w:cs="Palatino Linotype"/>
        </w:rPr>
        <w:t>In response to Cal Advocates’ claim that SDG&amp;E does not have a need for West</w:t>
      </w:r>
      <w:r w:rsidRPr="05692A26" w:rsidR="0F74A5FE">
        <w:rPr>
          <w:rFonts w:ascii="Palatino Linotype" w:hAnsi="Palatino Linotype" w:eastAsia="Palatino Linotype" w:cs="Palatino Linotype"/>
        </w:rPr>
        <w:t>side Canal Phase 2a</w:t>
      </w:r>
      <w:r w:rsidRPr="05692A26">
        <w:rPr>
          <w:rFonts w:ascii="Palatino Linotype" w:hAnsi="Palatino Linotype" w:eastAsia="Palatino Linotype" w:cs="Palatino Linotype"/>
        </w:rPr>
        <w:t xml:space="preserve"> to meet its 2026-2027 EPRM target</w:t>
      </w:r>
      <w:r w:rsidRPr="05692A26" w:rsidR="0DE98539">
        <w:rPr>
          <w:rFonts w:ascii="Palatino Linotype" w:hAnsi="Palatino Linotype" w:eastAsia="Palatino Linotype" w:cs="Palatino Linotype"/>
        </w:rPr>
        <w:t xml:space="preserve">, </w:t>
      </w:r>
      <w:r w:rsidRPr="05692A26" w:rsidR="29299F59">
        <w:rPr>
          <w:rFonts w:ascii="Palatino Linotype" w:hAnsi="Palatino Linotype" w:eastAsia="Palatino Linotype" w:cs="Palatino Linotype"/>
        </w:rPr>
        <w:t xml:space="preserve">SDG&amp;E states that D.21-12-105 directs the IOUs to “meet or exceed” their respective EPRM targets, and the D.21-12-015 EPRM framework was extended in D.25-06-048 to the </w:t>
      </w:r>
      <w:r w:rsidRPr="05692A26" w:rsidR="23E784A7">
        <w:rPr>
          <w:rFonts w:ascii="Palatino Linotype" w:hAnsi="Palatino Linotype" w:eastAsia="Palatino Linotype" w:cs="Palatino Linotype"/>
        </w:rPr>
        <w:t>2026 and 2027 RA compliance years.</w:t>
      </w:r>
      <w:r w:rsidRPr="05692A26" w:rsidR="55FADFB7">
        <w:rPr>
          <w:rStyle w:val="FootnoteReference"/>
          <w:rFonts w:ascii="Palatino Linotype" w:hAnsi="Palatino Linotype" w:eastAsia="Palatino Linotype" w:cs="Palatino Linotype"/>
        </w:rPr>
        <w:footnoteReference w:id="42"/>
      </w:r>
      <w:r w:rsidRPr="05692A26" w:rsidR="41328DE6">
        <w:rPr>
          <w:rFonts w:ascii="Palatino Linotype" w:hAnsi="Palatino Linotype" w:eastAsia="Palatino Linotype" w:cs="Palatino Linotype"/>
        </w:rPr>
        <w:t xml:space="preserve"> SDG&amp;E also argues that general uncertainty</w:t>
      </w:r>
      <w:r w:rsidRPr="05692A26" w:rsidR="01CFFE0C">
        <w:rPr>
          <w:rFonts w:ascii="Palatino Linotype" w:hAnsi="Palatino Linotype" w:eastAsia="Palatino Linotype" w:cs="Palatino Linotype"/>
        </w:rPr>
        <w:t xml:space="preserve"> regarding demand variability and resource availability during the 2026-2027 period and beyond </w:t>
      </w:r>
      <w:r w:rsidRPr="05692A26" w:rsidR="41328DE6">
        <w:rPr>
          <w:rFonts w:ascii="Palatino Linotype" w:hAnsi="Palatino Linotype" w:eastAsia="Palatino Linotype" w:cs="Palatino Linotype"/>
        </w:rPr>
        <w:t>makes this additional EPRM procurement reasonable and in the public interest.</w:t>
      </w:r>
      <w:r w:rsidRPr="05692A26" w:rsidR="709DF1DC">
        <w:rPr>
          <w:rFonts w:ascii="Palatino Linotype" w:hAnsi="Palatino Linotype" w:eastAsia="Palatino Linotype" w:cs="Palatino Linotype"/>
        </w:rPr>
        <w:t xml:space="preserve"> SDG&amp;E notes that ”the Commission has generally endorsed ’least regrets‘ procurement of resources that offer a hedge against potential future procurement deficiencies and other threats to system reliability.”</w:t>
      </w:r>
      <w:r w:rsidRPr="05692A26" w:rsidR="55FADFB7">
        <w:rPr>
          <w:rStyle w:val="FootnoteReference"/>
          <w:rFonts w:ascii="Palatino Linotype" w:hAnsi="Palatino Linotype" w:eastAsia="Palatino Linotype" w:cs="Palatino Linotype"/>
        </w:rPr>
        <w:footnoteReference w:id="43"/>
      </w:r>
      <w:r w:rsidRPr="05692A26" w:rsidR="6D418752">
        <w:rPr>
          <w:rFonts w:ascii="Palatino Linotype" w:hAnsi="Palatino Linotype" w:eastAsia="Palatino Linotype" w:cs="Palatino Linotype"/>
        </w:rPr>
        <w:t xml:space="preserve"> In response to Cal Advocates’ claim that SDG&amp;E’s procurement of Westside Canal Phase 2a would not result in any additional system reliability benefits</w:t>
      </w:r>
      <w:r w:rsidRPr="05692A26" w:rsidR="57A4C8B0">
        <w:rPr>
          <w:rFonts w:ascii="Palatino Linotype" w:hAnsi="Palatino Linotype" w:eastAsia="Palatino Linotype" w:cs="Palatino Linotype"/>
        </w:rPr>
        <w:t>,</w:t>
      </w:r>
      <w:r w:rsidRPr="05692A26" w:rsidR="0A464F4E">
        <w:rPr>
          <w:rFonts w:ascii="Palatino Linotype" w:hAnsi="Palatino Linotype" w:eastAsia="Palatino Linotype" w:cs="Palatino Linotype"/>
        </w:rPr>
        <w:t xml:space="preserve"> SDG&amp;E states that because Westside Canal Phase 2a is not part of the baseline list of generating units published by the Commission, it satisfies the incrementality requirement to be procured.</w:t>
      </w:r>
      <w:r w:rsidRPr="05692A26" w:rsidR="3CCC828D">
        <w:rPr>
          <w:rFonts w:ascii="Palatino Linotype" w:hAnsi="Palatino Linotype" w:eastAsia="Palatino Linotype" w:cs="Palatino Linotype"/>
        </w:rPr>
        <w:t xml:space="preserve"> SDG&amp;E also states that the fact that Westside Canal Phase 2a is already operational presents this as an</w:t>
      </w:r>
      <w:r w:rsidRPr="05692A26" w:rsidR="29A52513">
        <w:rPr>
          <w:rFonts w:ascii="Palatino Linotype" w:hAnsi="Palatino Linotype" w:eastAsia="Palatino Linotype" w:cs="Palatino Linotype"/>
        </w:rPr>
        <w:t xml:space="preserve"> ”</w:t>
      </w:r>
      <w:r w:rsidRPr="05692A26" w:rsidR="3CCC828D">
        <w:rPr>
          <w:rFonts w:ascii="Palatino Linotype" w:hAnsi="Palatino Linotype" w:eastAsia="Palatino Linotype" w:cs="Palatino Linotype"/>
        </w:rPr>
        <w:t>opportunity to capture value and mitigate construction risks</w:t>
      </w:r>
      <w:r w:rsidRPr="05692A26" w:rsidR="38BE2193">
        <w:rPr>
          <w:rFonts w:ascii="Palatino Linotype" w:hAnsi="Palatino Linotype" w:eastAsia="Palatino Linotype" w:cs="Palatino Linotype"/>
        </w:rPr>
        <w:t xml:space="preserve">,” and that utility-owned resources offer customers benefits that a </w:t>
      </w:r>
      <w:r w:rsidRPr="05692A26" w:rsidR="38BE2193">
        <w:rPr>
          <w:rFonts w:ascii="Palatino Linotype" w:hAnsi="Palatino Linotype" w:eastAsia="Palatino Linotype" w:cs="Palatino Linotype"/>
        </w:rPr>
        <w:lastRenderedPageBreak/>
        <w:t>third-party owned resource may not.</w:t>
      </w:r>
      <w:r w:rsidRPr="05692A26" w:rsidR="55FADFB7">
        <w:rPr>
          <w:rStyle w:val="FootnoteReference"/>
          <w:rFonts w:ascii="Palatino Linotype" w:hAnsi="Palatino Linotype" w:eastAsia="Palatino Linotype" w:cs="Palatino Linotype"/>
        </w:rPr>
        <w:footnoteReference w:id="44"/>
      </w:r>
      <w:r w:rsidRPr="05692A26" w:rsidR="4CDE0B9D">
        <w:rPr>
          <w:rFonts w:ascii="Palatino Linotype" w:hAnsi="Palatino Linotype" w:eastAsia="Palatino Linotype" w:cs="Palatino Linotype"/>
        </w:rPr>
        <w:t xml:space="preserve"> In response to Cal Advocates’ claim that the</w:t>
      </w:r>
      <w:r w:rsidRPr="05692A26" w:rsidR="5B5E665A">
        <w:rPr>
          <w:rFonts w:ascii="Palatino Linotype" w:hAnsi="Palatino Linotype" w:eastAsia="Palatino Linotype" w:cs="Palatino Linotype"/>
        </w:rPr>
        <w:t xml:space="preserve"> </w:t>
      </w:r>
      <w:r w:rsidRPr="05692A26" w:rsidR="4CDE0B9D">
        <w:rPr>
          <w:rFonts w:ascii="Palatino Linotype" w:hAnsi="Palatino Linotype" w:eastAsia="Palatino Linotype" w:cs="Palatino Linotype"/>
        </w:rPr>
        <w:t xml:space="preserve">NMV of Westside Canal Phase 2a does not justify the cost, </w:t>
      </w:r>
      <w:r w:rsidRPr="05692A26" w:rsidR="1C4A7068">
        <w:rPr>
          <w:rFonts w:ascii="Palatino Linotype" w:hAnsi="Palatino Linotype" w:eastAsia="Palatino Linotype" w:cs="Palatino Linotype"/>
        </w:rPr>
        <w:t xml:space="preserve">SDG&amp;E states that </w:t>
      </w:r>
      <w:r w:rsidRPr="05692A26" w:rsidR="66B0ADBB">
        <w:rPr>
          <w:rFonts w:ascii="Palatino Linotype" w:hAnsi="Palatino Linotype" w:eastAsia="Palatino Linotype" w:cs="Palatino Linotype"/>
        </w:rPr>
        <w:t xml:space="preserve">the Utility Development Team ”makes every effort to negotiate the best and most beneficial value proposition for customers” and that the cost of Westside Canal Phase 2a is competitive with previously approved </w:t>
      </w:r>
      <w:r w:rsidRPr="05692A26" w:rsidR="524E15D9">
        <w:rPr>
          <w:rFonts w:ascii="Palatino Linotype" w:hAnsi="Palatino Linotype" w:eastAsia="Palatino Linotype" w:cs="Palatino Linotype"/>
        </w:rPr>
        <w:t>projects.</w:t>
      </w:r>
      <w:r w:rsidRPr="05692A26" w:rsidR="55FADFB7">
        <w:rPr>
          <w:rStyle w:val="FootnoteReference"/>
          <w:rFonts w:ascii="Palatino Linotype" w:hAnsi="Palatino Linotype" w:eastAsia="Palatino Linotype" w:cs="Palatino Linotype"/>
        </w:rPr>
        <w:footnoteReference w:id="45"/>
      </w:r>
      <w:r w:rsidRPr="05692A26" w:rsidR="3C33268D">
        <w:rPr>
          <w:rFonts w:ascii="Palatino Linotype" w:hAnsi="Palatino Linotype" w:eastAsia="Palatino Linotype" w:cs="Palatino Linotype"/>
        </w:rPr>
        <w:t xml:space="preserve"> Finally, in response to Cal Advocates’ claim that Westside Canal Phase 2a is not the most cost-effective option to support system reliability need</w:t>
      </w:r>
      <w:r w:rsidRPr="05692A26" w:rsidR="03E4D22C">
        <w:rPr>
          <w:rFonts w:ascii="Palatino Linotype" w:hAnsi="Palatino Linotype" w:eastAsia="Palatino Linotype" w:cs="Palatino Linotype"/>
        </w:rPr>
        <w:t xml:space="preserve">, SDG&amp;E argues that </w:t>
      </w:r>
      <w:r w:rsidRPr="05692A26" w:rsidR="6F3F261B">
        <w:rPr>
          <w:rFonts w:ascii="Palatino Linotype" w:hAnsi="Palatino Linotype" w:eastAsia="Palatino Linotype" w:cs="Palatino Linotype"/>
        </w:rPr>
        <w:t xml:space="preserve">changes in federal, state, and municipal policy coupled with increasing demand for new resources </w:t>
      </w:r>
      <w:r w:rsidRPr="05692A26" w:rsidR="17E6885D">
        <w:rPr>
          <w:rFonts w:ascii="Palatino Linotype" w:hAnsi="Palatino Linotype" w:eastAsia="Palatino Linotype" w:cs="Palatino Linotype"/>
        </w:rPr>
        <w:t>could increase project development costs in the future.</w:t>
      </w:r>
      <w:r w:rsidRPr="05692A26" w:rsidR="45B7B37E">
        <w:rPr>
          <w:rFonts w:ascii="Palatino Linotype" w:hAnsi="Palatino Linotype" w:eastAsia="Palatino Linotype" w:cs="Palatino Linotype"/>
        </w:rPr>
        <w:t xml:space="preserve"> SDG&amp;E also notes that cost comparisons to recently approved projects were provided in the Appendices of AL 4736-E.</w:t>
      </w:r>
      <w:r w:rsidRPr="05692A26" w:rsidR="55FADFB7">
        <w:rPr>
          <w:rStyle w:val="FootnoteReference"/>
          <w:rFonts w:ascii="Palatino Linotype" w:hAnsi="Palatino Linotype" w:eastAsia="Palatino Linotype" w:cs="Palatino Linotype"/>
        </w:rPr>
        <w:footnoteReference w:id="46"/>
      </w:r>
    </w:p>
    <w:p w:rsidR="002B3752" w:rsidP="002B3752" w:rsidRDefault="002B3752" w14:paraId="41780686" w14:textId="77777777">
      <w:pPr>
        <w:spacing w:after="0" w:line="240" w:lineRule="auto"/>
        <w:rPr>
          <w:rFonts w:ascii="Palatino Linotype" w:hAnsi="Palatino Linotype" w:eastAsia="Palatino Linotype" w:cs="Palatino Linotype"/>
          <w:b/>
          <w:bCs/>
          <w:u w:val="single"/>
        </w:rPr>
      </w:pPr>
    </w:p>
    <w:p w:rsidR="07C4EF08" w:rsidP="190E8F6F" w:rsidRDefault="07C4EF08" w14:paraId="4D3144F8" w14:textId="13305D4D">
      <w:pPr>
        <w:rPr>
          <w:rFonts w:ascii="Palatino Linotype" w:hAnsi="Palatino Linotype" w:eastAsia="Palatino Linotype" w:cs="Palatino Linotype"/>
        </w:rPr>
      </w:pPr>
      <w:r w:rsidRPr="73B79344">
        <w:rPr>
          <w:rFonts w:ascii="Palatino Linotype" w:hAnsi="Palatino Linotype" w:eastAsia="Palatino Linotype" w:cs="Palatino Linotype"/>
          <w:b/>
          <w:bCs/>
          <w:u w:val="single"/>
        </w:rPr>
        <w:t>DISCUSSION</w:t>
      </w:r>
      <w:r w:rsidRPr="73B79344">
        <w:rPr>
          <w:rFonts w:ascii="Palatino Linotype" w:hAnsi="Palatino Linotype" w:eastAsia="Palatino Linotype" w:cs="Palatino Linotype"/>
        </w:rPr>
        <w:t xml:space="preserve"> </w:t>
      </w:r>
    </w:p>
    <w:p w:rsidR="07C4EF08" w:rsidP="05692A26" w:rsidRDefault="528F66FC" w14:paraId="3506D7D4" w14:textId="4E6E8D49">
      <w:pPr>
        <w:rPr>
          <w:rFonts w:ascii="Palatino Linotype" w:hAnsi="Palatino Linotype" w:eastAsia="Palatino Linotype" w:cs="Palatino Linotype"/>
        </w:rPr>
      </w:pPr>
      <w:r w:rsidRPr="05692A26">
        <w:rPr>
          <w:rFonts w:ascii="Palatino Linotype" w:hAnsi="Palatino Linotype" w:eastAsia="Palatino Linotype" w:cs="Palatino Linotype"/>
        </w:rPr>
        <w:t>The Commission has reviewed AL 4</w:t>
      </w:r>
      <w:r w:rsidRPr="05692A26" w:rsidR="70E68EE9">
        <w:rPr>
          <w:rFonts w:ascii="Palatino Linotype" w:hAnsi="Palatino Linotype" w:eastAsia="Palatino Linotype" w:cs="Palatino Linotype"/>
        </w:rPr>
        <w:t>736</w:t>
      </w:r>
      <w:r w:rsidRPr="05692A26">
        <w:rPr>
          <w:rFonts w:ascii="Palatino Linotype" w:hAnsi="Palatino Linotype" w:eastAsia="Palatino Linotype" w:cs="Palatino Linotype"/>
        </w:rPr>
        <w:t>-E, the protests, and the reply of SDG&amp;E. We consider issues raised by the protestants to AL 4</w:t>
      </w:r>
      <w:r w:rsidRPr="05692A26" w:rsidR="3243DB55">
        <w:rPr>
          <w:rFonts w:ascii="Palatino Linotype" w:hAnsi="Palatino Linotype" w:eastAsia="Palatino Linotype" w:cs="Palatino Linotype"/>
        </w:rPr>
        <w:t>73</w:t>
      </w:r>
      <w:r w:rsidRPr="05692A26">
        <w:rPr>
          <w:rFonts w:ascii="Palatino Linotype" w:hAnsi="Palatino Linotype" w:eastAsia="Palatino Linotype" w:cs="Palatino Linotype"/>
        </w:rPr>
        <w:t>6-E in the following discussion. However, we find that SDG&amp;E’s request in AL 4</w:t>
      </w:r>
      <w:r w:rsidRPr="05692A26" w:rsidR="0405DCC8">
        <w:rPr>
          <w:rFonts w:ascii="Palatino Linotype" w:hAnsi="Palatino Linotype" w:eastAsia="Palatino Linotype" w:cs="Palatino Linotype"/>
        </w:rPr>
        <w:t>736</w:t>
      </w:r>
      <w:r w:rsidRPr="05692A26">
        <w:rPr>
          <w:rFonts w:ascii="Palatino Linotype" w:hAnsi="Palatino Linotype" w:eastAsia="Palatino Linotype" w:cs="Palatino Linotype"/>
        </w:rPr>
        <w:t>-E is reasonable overall.</w:t>
      </w:r>
    </w:p>
    <w:p w:rsidR="07C4EF08" w:rsidP="05692A26" w:rsidRDefault="528F66FC" w14:paraId="543A627D" w14:textId="4862B53C">
      <w:pPr>
        <w:rPr>
          <w:rFonts w:ascii="Palatino Linotype" w:hAnsi="Palatino Linotype" w:eastAsia="Palatino Linotype" w:cs="Palatino Linotype"/>
          <w:b/>
          <w:bCs/>
        </w:rPr>
      </w:pPr>
      <w:r w:rsidRPr="05692A26">
        <w:rPr>
          <w:rFonts w:ascii="Palatino Linotype" w:hAnsi="Palatino Linotype" w:eastAsia="Palatino Linotype" w:cs="Palatino Linotype"/>
          <w:b/>
          <w:bCs/>
        </w:rPr>
        <w:t xml:space="preserve">Consistency with Commission decisions, D.21-02-028, D.21-03-056, D.21-12-015, </w:t>
      </w:r>
      <w:r w:rsidR="00D340F6">
        <w:rPr>
          <w:rFonts w:ascii="Palatino Linotype" w:hAnsi="Palatino Linotype" w:eastAsia="Palatino Linotype" w:cs="Palatino Linotype"/>
          <w:b/>
          <w:bCs/>
        </w:rPr>
        <w:br/>
      </w:r>
      <w:r w:rsidRPr="05692A26">
        <w:rPr>
          <w:rFonts w:ascii="Palatino Linotype" w:hAnsi="Palatino Linotype" w:eastAsia="Palatino Linotype" w:cs="Palatino Linotype"/>
          <w:b/>
          <w:bCs/>
        </w:rPr>
        <w:t>D.23-06-029</w:t>
      </w:r>
      <w:r w:rsidRPr="05692A26" w:rsidR="1C1A64B7">
        <w:rPr>
          <w:rFonts w:ascii="Palatino Linotype" w:hAnsi="Palatino Linotype" w:eastAsia="Palatino Linotype" w:cs="Palatino Linotype"/>
          <w:b/>
          <w:bCs/>
        </w:rPr>
        <w:t>, and D.25-06-048</w:t>
      </w:r>
    </w:p>
    <w:p w:rsidR="07C4EF08" w:rsidP="190E8F6F" w:rsidRDefault="4B240A7D" w14:paraId="7B780336" w14:textId="4A33FC4A">
      <w:pPr>
        <w:rPr>
          <w:rFonts w:ascii="Palatino Linotype" w:hAnsi="Palatino Linotype" w:eastAsia="Palatino Linotype" w:cs="Palatino Linotype"/>
        </w:rPr>
      </w:pPr>
      <w:r w:rsidRPr="688DFF41">
        <w:rPr>
          <w:rFonts w:ascii="Palatino Linotype" w:hAnsi="Palatino Linotype" w:eastAsia="Palatino Linotype" w:cs="Palatino Linotype"/>
        </w:rPr>
        <w:t>We find that SDG&amp;E's AL 4</w:t>
      </w:r>
      <w:r w:rsidRPr="688DFF41" w:rsidR="4C5484EA">
        <w:rPr>
          <w:rFonts w:ascii="Palatino Linotype" w:hAnsi="Palatino Linotype" w:eastAsia="Palatino Linotype" w:cs="Palatino Linotype"/>
        </w:rPr>
        <w:t>736</w:t>
      </w:r>
      <w:r w:rsidRPr="688DFF41">
        <w:rPr>
          <w:rFonts w:ascii="Palatino Linotype" w:hAnsi="Palatino Linotype" w:eastAsia="Palatino Linotype" w:cs="Palatino Linotype"/>
        </w:rPr>
        <w:t xml:space="preserve">-E filing is consistent with Commission decisions, </w:t>
      </w:r>
      <w:r>
        <w:br/>
      </w:r>
      <w:r w:rsidRPr="688DFF41">
        <w:rPr>
          <w:rFonts w:ascii="Palatino Linotype" w:hAnsi="Palatino Linotype" w:eastAsia="Palatino Linotype" w:cs="Palatino Linotype"/>
        </w:rPr>
        <w:t>D.21-02-028, D.21-03-056, D.21-12-015, D.23-06-029</w:t>
      </w:r>
      <w:r w:rsidRPr="688DFF41" w:rsidR="1A2D7679">
        <w:rPr>
          <w:rFonts w:ascii="Palatino Linotype" w:hAnsi="Palatino Linotype" w:eastAsia="Palatino Linotype" w:cs="Palatino Linotype"/>
        </w:rPr>
        <w:t>, and D.25-06-048</w:t>
      </w:r>
      <w:r w:rsidRPr="688DFF41">
        <w:rPr>
          <w:rFonts w:ascii="Palatino Linotype" w:hAnsi="Palatino Linotype" w:eastAsia="Palatino Linotype" w:cs="Palatino Linotype"/>
        </w:rPr>
        <w:t xml:space="preserve"> (collectively, the “Decisions”). As directed in the Decisions (specifically D.21-02-028), SDG&amp;E has filed a Tier 2 AL seeking approval of its </w:t>
      </w:r>
      <w:r w:rsidRPr="688DFF41" w:rsidR="44BD20FC">
        <w:rPr>
          <w:rFonts w:ascii="Palatino Linotype" w:hAnsi="Palatino Linotype" w:eastAsia="Palatino Linotype" w:cs="Palatino Linotype"/>
        </w:rPr>
        <w:t xml:space="preserve">MIPA and </w:t>
      </w:r>
      <w:r w:rsidRPr="688DFF41" w:rsidR="3B8D7618">
        <w:rPr>
          <w:rFonts w:ascii="Palatino Linotype" w:hAnsi="Palatino Linotype" w:eastAsia="Palatino Linotype" w:cs="Palatino Linotype"/>
        </w:rPr>
        <w:t xml:space="preserve">associated </w:t>
      </w:r>
      <w:r w:rsidRPr="688DFF41" w:rsidR="44BD20FC">
        <w:rPr>
          <w:rFonts w:ascii="Palatino Linotype" w:hAnsi="Palatino Linotype" w:eastAsia="Palatino Linotype" w:cs="Palatino Linotype"/>
        </w:rPr>
        <w:t>LTSA</w:t>
      </w:r>
      <w:r w:rsidRPr="688DFF41">
        <w:rPr>
          <w:rFonts w:ascii="Palatino Linotype" w:hAnsi="Palatino Linotype" w:eastAsia="Palatino Linotype" w:cs="Palatino Linotype"/>
        </w:rPr>
        <w:t xml:space="preserve"> with </w:t>
      </w:r>
      <w:r w:rsidRPr="688DFF41" w:rsidR="6CA4A879">
        <w:rPr>
          <w:rFonts w:ascii="Palatino Linotype" w:hAnsi="Palatino Linotype" w:eastAsia="Palatino Linotype" w:cs="Palatino Linotype"/>
        </w:rPr>
        <w:t>RWE Clean Energy Asset Holdings, Inc.</w:t>
      </w:r>
      <w:r w:rsidRPr="688DFF41" w:rsidR="4A9C51D1">
        <w:rPr>
          <w:rFonts w:ascii="Palatino Linotype" w:hAnsi="Palatino Linotype" w:eastAsia="Palatino Linotype" w:cs="Palatino Linotype"/>
        </w:rPr>
        <w:t xml:space="preserve"> </w:t>
      </w:r>
      <w:r w:rsidRPr="688DFF41">
        <w:rPr>
          <w:rFonts w:ascii="Palatino Linotype" w:hAnsi="Palatino Linotype" w:eastAsia="Palatino Linotype" w:cs="Palatino Linotype"/>
        </w:rPr>
        <w:t>The contract is for a total of 1</w:t>
      </w:r>
      <w:r w:rsidRPr="688DFF41" w:rsidR="2EAC6B5E">
        <w:rPr>
          <w:rFonts w:ascii="Palatino Linotype" w:hAnsi="Palatino Linotype" w:eastAsia="Palatino Linotype" w:cs="Palatino Linotype"/>
        </w:rPr>
        <w:t>19</w:t>
      </w:r>
      <w:r w:rsidRPr="688DFF41">
        <w:rPr>
          <w:rFonts w:ascii="Palatino Linotype" w:hAnsi="Palatino Linotype" w:eastAsia="Palatino Linotype" w:cs="Palatino Linotype"/>
        </w:rPr>
        <w:t xml:space="preserve"> MW of incremental storage capacity </w:t>
      </w:r>
      <w:r w:rsidRPr="688DFF41" w:rsidR="3189CE80">
        <w:rPr>
          <w:rFonts w:ascii="Palatino Linotype" w:hAnsi="Palatino Linotype" w:eastAsia="Palatino Linotype" w:cs="Palatino Linotype"/>
        </w:rPr>
        <w:t>that came online in December 202</w:t>
      </w:r>
      <w:r w:rsidRPr="688DFF41" w:rsidR="641E2DAC">
        <w:rPr>
          <w:rFonts w:ascii="Palatino Linotype" w:hAnsi="Palatino Linotype" w:eastAsia="Palatino Linotype" w:cs="Palatino Linotype"/>
        </w:rPr>
        <w:t>4</w:t>
      </w:r>
      <w:r w:rsidRPr="688DFF41">
        <w:rPr>
          <w:rFonts w:ascii="Palatino Linotype" w:hAnsi="Palatino Linotype" w:eastAsia="Palatino Linotype" w:cs="Palatino Linotype"/>
        </w:rPr>
        <w:t>, that can be dispatched to meet peak and net peak demand</w:t>
      </w:r>
      <w:r w:rsidRPr="688DFF41" w:rsidR="58A201D0">
        <w:rPr>
          <w:rFonts w:ascii="Palatino Linotype" w:hAnsi="Palatino Linotype" w:eastAsia="Palatino Linotype" w:cs="Palatino Linotype"/>
        </w:rPr>
        <w:t xml:space="preserve"> for additional reliability available for summer periods of concern</w:t>
      </w:r>
      <w:r w:rsidRPr="688DFF41">
        <w:rPr>
          <w:rFonts w:ascii="Palatino Linotype" w:hAnsi="Palatino Linotype" w:eastAsia="Palatino Linotype" w:cs="Palatino Linotype"/>
        </w:rPr>
        <w:t>.</w:t>
      </w:r>
      <w:r w:rsidRPr="688DFF41" w:rsidR="546F7486">
        <w:rPr>
          <w:rFonts w:ascii="Palatino Linotype" w:hAnsi="Palatino Linotype" w:eastAsia="Palatino Linotype" w:cs="Palatino Linotype"/>
        </w:rPr>
        <w:t xml:space="preserve"> As a resource interconnecting into SDG&amp;E</w:t>
      </w:r>
      <w:r w:rsidRPr="5791A676" w:rsidR="546F7486">
        <w:rPr>
          <w:rFonts w:ascii="Palatino Linotype" w:hAnsi="Palatino Linotype" w:eastAsia="Palatino Linotype" w:cs="Palatino Linotype"/>
        </w:rPr>
        <w:t xml:space="preserve">’s </w:t>
      </w:r>
      <w:r w:rsidRPr="5791A676" w:rsidR="4EAA62FF">
        <w:rPr>
          <w:rFonts w:ascii="Palatino Linotype" w:hAnsi="Palatino Linotype" w:eastAsia="Palatino Linotype" w:cs="Palatino Linotype"/>
        </w:rPr>
        <w:t>Transmission Access Charge (</w:t>
      </w:r>
      <w:r w:rsidRPr="5791A676" w:rsidR="4470A7D4">
        <w:rPr>
          <w:rFonts w:ascii="Palatino Linotype" w:hAnsi="Palatino Linotype" w:eastAsia="Palatino Linotype" w:cs="Palatino Linotype"/>
        </w:rPr>
        <w:t>“</w:t>
      </w:r>
      <w:r w:rsidRPr="5791A676" w:rsidR="546F7486">
        <w:rPr>
          <w:rFonts w:ascii="Palatino Linotype" w:hAnsi="Palatino Linotype" w:eastAsia="Palatino Linotype" w:cs="Palatino Linotype"/>
        </w:rPr>
        <w:t>TAC</w:t>
      </w:r>
      <w:r w:rsidRPr="5791A676" w:rsidR="019BEB9C">
        <w:rPr>
          <w:rFonts w:ascii="Palatino Linotype" w:hAnsi="Palatino Linotype" w:eastAsia="Palatino Linotype" w:cs="Palatino Linotype"/>
        </w:rPr>
        <w:t>”</w:t>
      </w:r>
      <w:r w:rsidRPr="5791A676" w:rsidR="22C0D994">
        <w:rPr>
          <w:rFonts w:ascii="Palatino Linotype" w:hAnsi="Palatino Linotype" w:eastAsia="Palatino Linotype" w:cs="Palatino Linotype"/>
        </w:rPr>
        <w:t>) Area</w:t>
      </w:r>
      <w:r w:rsidRPr="688DFF41">
        <w:rPr>
          <w:rStyle w:val="FootnoteReference"/>
          <w:rFonts w:ascii="Palatino Linotype" w:hAnsi="Palatino Linotype" w:eastAsia="Palatino Linotype" w:cs="Palatino Linotype"/>
        </w:rPr>
        <w:footnoteReference w:id="47"/>
      </w:r>
      <w:r w:rsidRPr="688DFF41" w:rsidR="546F7486">
        <w:rPr>
          <w:rFonts w:ascii="Palatino Linotype" w:hAnsi="Palatino Linotype" w:eastAsia="Palatino Linotype" w:cs="Palatino Linotype"/>
        </w:rPr>
        <w:t xml:space="preserve">, the project also provides benefits to local reliability, as encouraged by D.21-12-015. </w:t>
      </w:r>
      <w:r w:rsidR="005B2E98">
        <w:rPr>
          <w:rFonts w:ascii="Palatino Linotype" w:hAnsi="Palatino Linotype" w:eastAsia="Palatino Linotype" w:cs="Palatino Linotype"/>
        </w:rPr>
        <w:br/>
      </w:r>
      <w:r w:rsidRPr="688DFF41">
        <w:rPr>
          <w:rFonts w:ascii="Palatino Linotype" w:hAnsi="Palatino Linotype" w:eastAsia="Palatino Linotype" w:cs="Palatino Linotype"/>
        </w:rPr>
        <w:lastRenderedPageBreak/>
        <w:t>AL 4</w:t>
      </w:r>
      <w:r w:rsidRPr="688DFF41" w:rsidR="640C43F7">
        <w:rPr>
          <w:rFonts w:ascii="Palatino Linotype" w:hAnsi="Palatino Linotype" w:eastAsia="Palatino Linotype" w:cs="Palatino Linotype"/>
        </w:rPr>
        <w:t>736</w:t>
      </w:r>
      <w:r w:rsidRPr="688DFF41">
        <w:rPr>
          <w:rFonts w:ascii="Palatino Linotype" w:hAnsi="Palatino Linotype" w:eastAsia="Palatino Linotype" w:cs="Palatino Linotype"/>
        </w:rPr>
        <w:t>-E includes the following elements as required by the Decisions (specifically D.21-02-028):</w:t>
      </w:r>
    </w:p>
    <w:p w:rsidR="07C4EF08" w:rsidP="05692A26" w:rsidRDefault="528F66FC" w14:paraId="0E2340FC" w14:textId="2841D7FF">
      <w:pPr>
        <w:pStyle w:val="ListParagraph"/>
        <w:numPr>
          <w:ilvl w:val="0"/>
          <w:numId w:val="2"/>
        </w:numPr>
        <w:rPr>
          <w:rFonts w:ascii="Palatino Linotype" w:hAnsi="Palatino Linotype" w:eastAsia="Palatino Linotype" w:cs="Palatino Linotype"/>
        </w:rPr>
      </w:pPr>
      <w:r w:rsidRPr="05692A26">
        <w:rPr>
          <w:rFonts w:ascii="Palatino Linotype" w:hAnsi="Palatino Linotype" w:eastAsia="Palatino Linotype" w:cs="Palatino Linotype"/>
        </w:rPr>
        <w:t>Discussion of the procurement process and resources selected;</w:t>
      </w:r>
    </w:p>
    <w:p w:rsidR="07C4EF08" w:rsidP="05692A26" w:rsidRDefault="528F66FC" w14:paraId="690CEEAC" w14:textId="231A1C53">
      <w:pPr>
        <w:pStyle w:val="ListParagraph"/>
        <w:numPr>
          <w:ilvl w:val="0"/>
          <w:numId w:val="2"/>
        </w:numPr>
        <w:rPr>
          <w:rFonts w:ascii="Palatino Linotype" w:hAnsi="Palatino Linotype" w:eastAsia="Palatino Linotype" w:cs="Palatino Linotype"/>
        </w:rPr>
      </w:pPr>
      <w:r w:rsidRPr="05692A26">
        <w:rPr>
          <w:rFonts w:ascii="Palatino Linotype" w:hAnsi="Palatino Linotype" w:eastAsia="Palatino Linotype" w:cs="Palatino Linotype"/>
        </w:rPr>
        <w:t>Operational information on the resources selected;</w:t>
      </w:r>
    </w:p>
    <w:p w:rsidR="07C4EF08" w:rsidP="05692A26" w:rsidRDefault="528F66FC" w14:paraId="443A812C" w14:textId="34A5AB0C">
      <w:pPr>
        <w:pStyle w:val="ListParagraph"/>
        <w:numPr>
          <w:ilvl w:val="0"/>
          <w:numId w:val="2"/>
        </w:numPr>
        <w:rPr>
          <w:rFonts w:ascii="Palatino Linotype" w:hAnsi="Palatino Linotype" w:eastAsia="Palatino Linotype" w:cs="Palatino Linotype"/>
        </w:rPr>
      </w:pPr>
      <w:r w:rsidRPr="05692A26">
        <w:rPr>
          <w:rFonts w:ascii="Palatino Linotype" w:hAnsi="Palatino Linotype" w:eastAsia="Palatino Linotype" w:cs="Palatino Linotype"/>
        </w:rPr>
        <w:t>Pricing and net market value analysis and summary of key contract terms;</w:t>
      </w:r>
    </w:p>
    <w:p w:rsidR="07C4EF08" w:rsidP="05692A26" w:rsidRDefault="528F66FC" w14:paraId="465EE389" w14:textId="602A62BC">
      <w:pPr>
        <w:pStyle w:val="ListParagraph"/>
        <w:numPr>
          <w:ilvl w:val="0"/>
          <w:numId w:val="2"/>
        </w:numPr>
        <w:rPr>
          <w:rFonts w:ascii="Palatino Linotype" w:hAnsi="Palatino Linotype" w:eastAsia="Palatino Linotype" w:cs="Palatino Linotype"/>
        </w:rPr>
      </w:pPr>
      <w:r w:rsidRPr="05692A26">
        <w:rPr>
          <w:rFonts w:ascii="Palatino Linotype" w:hAnsi="Palatino Linotype" w:eastAsia="Palatino Linotype" w:cs="Palatino Linotype"/>
        </w:rPr>
        <w:t>Independent evaluator report;</w:t>
      </w:r>
    </w:p>
    <w:p w:rsidR="07C4EF08" w:rsidP="05692A26" w:rsidRDefault="528F66FC" w14:paraId="1CD2A22D" w14:textId="315D65A6">
      <w:pPr>
        <w:pStyle w:val="ListParagraph"/>
        <w:numPr>
          <w:ilvl w:val="0"/>
          <w:numId w:val="2"/>
        </w:numPr>
        <w:rPr>
          <w:rFonts w:ascii="Palatino Linotype" w:hAnsi="Palatino Linotype" w:eastAsia="Palatino Linotype" w:cs="Palatino Linotype"/>
        </w:rPr>
      </w:pPr>
      <w:r w:rsidRPr="05692A26">
        <w:rPr>
          <w:rFonts w:ascii="Palatino Linotype" w:hAnsi="Palatino Linotype" w:eastAsia="Palatino Linotype" w:cs="Palatino Linotype"/>
        </w:rPr>
        <w:t>Showing of cost competitiveness to the extent comparable data exist;</w:t>
      </w:r>
    </w:p>
    <w:p w:rsidR="07C4EF08" w:rsidP="05692A26" w:rsidRDefault="528F66FC" w14:paraId="16DD0601" w14:textId="77D63A90">
      <w:pPr>
        <w:pStyle w:val="ListParagraph"/>
        <w:numPr>
          <w:ilvl w:val="0"/>
          <w:numId w:val="2"/>
        </w:numPr>
        <w:rPr>
          <w:rFonts w:ascii="Palatino Linotype" w:hAnsi="Palatino Linotype" w:eastAsia="Palatino Linotype" w:cs="Palatino Linotype"/>
        </w:rPr>
      </w:pPr>
      <w:r w:rsidRPr="05692A26">
        <w:rPr>
          <w:rFonts w:ascii="Palatino Linotype" w:hAnsi="Palatino Linotype" w:eastAsia="Palatino Linotype" w:cs="Palatino Linotype"/>
        </w:rPr>
        <w:t>A demonstration that the resource is incremental; and</w:t>
      </w:r>
    </w:p>
    <w:p w:rsidR="07C4EF08" w:rsidP="05692A26" w:rsidRDefault="4B240A7D" w14:paraId="1E0037F8" w14:textId="2681EBFB">
      <w:pPr>
        <w:pStyle w:val="ListParagraph"/>
        <w:numPr>
          <w:ilvl w:val="0"/>
          <w:numId w:val="2"/>
        </w:numPr>
        <w:rPr>
          <w:rFonts w:ascii="Palatino Linotype" w:hAnsi="Palatino Linotype" w:eastAsia="Palatino Linotype" w:cs="Palatino Linotype"/>
        </w:rPr>
      </w:pPr>
      <w:r w:rsidRPr="05692A26">
        <w:rPr>
          <w:rFonts w:ascii="Palatino Linotype" w:hAnsi="Palatino Linotype" w:eastAsia="Palatino Linotype" w:cs="Palatino Linotype"/>
        </w:rPr>
        <w:t>A demonstration that the resource has a path to deliver energy by its online</w:t>
      </w:r>
      <w:r w:rsidRPr="05692A26" w:rsidR="540508FB">
        <w:rPr>
          <w:rFonts w:ascii="Palatino Linotype" w:hAnsi="Palatino Linotype" w:eastAsia="Palatino Linotype" w:cs="Palatino Linotype"/>
        </w:rPr>
        <w:t xml:space="preserve"> d</w:t>
      </w:r>
      <w:r w:rsidRPr="05692A26">
        <w:rPr>
          <w:rFonts w:ascii="Palatino Linotype" w:hAnsi="Palatino Linotype" w:eastAsia="Palatino Linotype" w:cs="Palatino Linotype"/>
        </w:rPr>
        <w:t>ate.</w:t>
      </w:r>
      <w:r w:rsidRPr="05692A26" w:rsidR="07C4EF08">
        <w:rPr>
          <w:rStyle w:val="FootnoteReference"/>
          <w:rFonts w:ascii="Palatino Linotype" w:hAnsi="Palatino Linotype" w:eastAsia="Palatino Linotype" w:cs="Palatino Linotype"/>
        </w:rPr>
        <w:footnoteReference w:id="48"/>
      </w:r>
    </w:p>
    <w:p w:rsidR="07C4EF08" w:rsidP="05692A26" w:rsidRDefault="528F66FC" w14:paraId="2261BB48" w14:textId="0D2CF6AE">
      <w:pPr>
        <w:rPr>
          <w:rFonts w:ascii="Palatino Linotype" w:hAnsi="Palatino Linotype" w:eastAsia="Palatino Linotype" w:cs="Palatino Linotype"/>
          <w:b/>
          <w:bCs/>
        </w:rPr>
      </w:pPr>
      <w:r w:rsidRPr="05692A26">
        <w:rPr>
          <w:rFonts w:ascii="Palatino Linotype" w:hAnsi="Palatino Linotype" w:eastAsia="Palatino Linotype" w:cs="Palatino Linotype"/>
          <w:b/>
          <w:bCs/>
        </w:rPr>
        <w:t xml:space="preserve">Procurement Methodology, Evaluation, and Cost Reasonableness </w:t>
      </w:r>
    </w:p>
    <w:p w:rsidR="07C4EF08" w:rsidP="05692A26" w:rsidRDefault="528F66FC" w14:paraId="6E1CF430" w14:textId="60969612">
      <w:pPr>
        <w:rPr>
          <w:rFonts w:ascii="Palatino Linotype" w:hAnsi="Palatino Linotype" w:eastAsia="Palatino Linotype" w:cs="Palatino Linotype"/>
        </w:rPr>
      </w:pPr>
      <w:r w:rsidRPr="4D8ACD53">
        <w:rPr>
          <w:rFonts w:ascii="Palatino Linotype" w:hAnsi="Palatino Linotype" w:eastAsia="Palatino Linotype" w:cs="Palatino Linotype"/>
        </w:rPr>
        <w:t>The Westside Canal Phase 2</w:t>
      </w:r>
      <w:r w:rsidRPr="4D8ACD53" w:rsidR="1785A98D">
        <w:rPr>
          <w:rFonts w:ascii="Palatino Linotype" w:hAnsi="Palatino Linotype" w:eastAsia="Palatino Linotype" w:cs="Palatino Linotype"/>
        </w:rPr>
        <w:t>a</w:t>
      </w:r>
      <w:r w:rsidRPr="4D8ACD53">
        <w:rPr>
          <w:rFonts w:ascii="Palatino Linotype" w:hAnsi="Palatino Linotype" w:eastAsia="Palatino Linotype" w:cs="Palatino Linotype"/>
        </w:rPr>
        <w:t xml:space="preserve"> </w:t>
      </w:r>
      <w:r w:rsidRPr="4D8ACD53" w:rsidR="5491CB73">
        <w:rPr>
          <w:rFonts w:ascii="Palatino Linotype" w:hAnsi="Palatino Linotype" w:eastAsia="Palatino Linotype" w:cs="Palatino Linotype"/>
        </w:rPr>
        <w:t xml:space="preserve">project </w:t>
      </w:r>
      <w:r w:rsidRPr="4D8ACD53">
        <w:rPr>
          <w:rFonts w:ascii="Palatino Linotype" w:hAnsi="Palatino Linotype" w:eastAsia="Palatino Linotype" w:cs="Palatino Linotype"/>
        </w:rPr>
        <w:t xml:space="preserve">was selected from SDG&amp;E’s UDT competitive solicitation (“RFP”) seeking proposals for utility-owned energy storage EPC and BOT projects available to come online by 2027. </w:t>
      </w:r>
    </w:p>
    <w:p w:rsidR="2ABAFBF7" w:rsidP="4D8ACD53" w:rsidRDefault="2ABAFBF7" w14:paraId="7CF5038D" w14:textId="2393DFC7">
      <w:pPr>
        <w:rPr>
          <w:rFonts w:ascii="Palatino Linotype" w:hAnsi="Palatino Linotype" w:eastAsia="Palatino Linotype" w:cs="Palatino Linotype"/>
        </w:rPr>
      </w:pPr>
      <w:r w:rsidRPr="4D8ACD53">
        <w:rPr>
          <w:rFonts w:ascii="Palatino Linotype" w:hAnsi="Palatino Linotype" w:eastAsia="Palatino Linotype" w:cs="Palatino Linotype"/>
        </w:rPr>
        <w:t xml:space="preserve">In Appendix G, SDG&amp;E provided cost comparisons of Westside Canal Phase 2a to </w:t>
      </w:r>
      <w:r w:rsidRPr="4D8ACD53" w:rsidR="35D18E0E">
        <w:rPr>
          <w:rFonts w:ascii="Palatino Linotype" w:hAnsi="Palatino Linotype" w:eastAsia="Palatino Linotype" w:cs="Palatino Linotype"/>
        </w:rPr>
        <w:t xml:space="preserve">the costs of the project in AL 4403-E, Westside Canal Phase 2b, and six other previously approved projects. </w:t>
      </w:r>
      <w:r w:rsidRPr="4D8ACD53" w:rsidR="64CE95B7">
        <w:rPr>
          <w:rFonts w:ascii="Palatino Linotype" w:hAnsi="Palatino Linotype" w:eastAsia="Palatino Linotype" w:cs="Palatino Linotype"/>
        </w:rPr>
        <w:t>The comparison shows that the project cost</w:t>
      </w:r>
      <w:r w:rsidRPr="4D8ACD53" w:rsidR="660124EA">
        <w:rPr>
          <w:rFonts w:ascii="Palatino Linotype" w:hAnsi="Palatino Linotype" w:eastAsia="Palatino Linotype" w:cs="Palatino Linotype"/>
        </w:rPr>
        <w:t xml:space="preserve"> ($/kw-mo)</w:t>
      </w:r>
      <w:r w:rsidRPr="4D8ACD53" w:rsidR="64CE95B7">
        <w:rPr>
          <w:rFonts w:ascii="Palatino Linotype" w:hAnsi="Palatino Linotype" w:eastAsia="Palatino Linotype" w:cs="Palatino Linotype"/>
        </w:rPr>
        <w:t xml:space="preserve"> is lower than the recently approved Westside Canal </w:t>
      </w:r>
      <w:r w:rsidRPr="4D8ACD53" w:rsidR="346E8980">
        <w:rPr>
          <w:rFonts w:ascii="Palatino Linotype" w:hAnsi="Palatino Linotype" w:eastAsia="Palatino Linotype" w:cs="Palatino Linotype"/>
        </w:rPr>
        <w:t>Phase 2b</w:t>
      </w:r>
      <w:r w:rsidRPr="4D8ACD53" w:rsidR="64CE95B7">
        <w:rPr>
          <w:rFonts w:ascii="Palatino Linotype" w:hAnsi="Palatino Linotype" w:eastAsia="Palatino Linotype" w:cs="Palatino Linotype"/>
        </w:rPr>
        <w:t xml:space="preserve"> project</w:t>
      </w:r>
      <w:r w:rsidRPr="4D8ACD53" w:rsidR="48BDE57B">
        <w:rPr>
          <w:rFonts w:ascii="Palatino Linotype" w:hAnsi="Palatino Linotype" w:eastAsia="Palatino Linotype" w:cs="Palatino Linotype"/>
        </w:rPr>
        <w:t xml:space="preserve">, and all </w:t>
      </w:r>
      <w:r w:rsidRPr="4D8ACD53" w:rsidR="64CE95B7">
        <w:rPr>
          <w:rFonts w:ascii="Palatino Linotype" w:hAnsi="Palatino Linotype" w:eastAsia="Palatino Linotype" w:cs="Palatino Linotype"/>
        </w:rPr>
        <w:t>six other recently approved projects</w:t>
      </w:r>
      <w:r w:rsidRPr="4D8ACD53" w:rsidR="5FA5BB12">
        <w:rPr>
          <w:rFonts w:ascii="Palatino Linotype" w:hAnsi="Palatino Linotype" w:eastAsia="Palatino Linotype" w:cs="Palatino Linotype"/>
        </w:rPr>
        <w:t>.</w:t>
      </w:r>
    </w:p>
    <w:p w:rsidR="07C4EF08" w:rsidP="05692A26" w:rsidRDefault="4B240A7D" w14:paraId="00FA37D9" w14:textId="0870F996">
      <w:pPr>
        <w:rPr>
          <w:rFonts w:ascii="Palatino Linotype" w:hAnsi="Palatino Linotype" w:eastAsia="Palatino Linotype" w:cs="Palatino Linotype"/>
        </w:rPr>
      </w:pPr>
      <w:r w:rsidRPr="7441B0D7">
        <w:rPr>
          <w:rFonts w:ascii="Palatino Linotype" w:hAnsi="Palatino Linotype" w:eastAsia="Palatino Linotype" w:cs="Palatino Linotype"/>
        </w:rPr>
        <w:t xml:space="preserve">SDG&amp;E’s UDT retained PA Consulting Group as the IE for its emergency reliability ownership efforts. PA Consulting monitored the RFP activity, bidder communications, meetings with bidders, bidder scoring and selection, and contract negotiations in developing the agreement. </w:t>
      </w:r>
      <w:r w:rsidRPr="7441B0D7" w:rsidR="0DCA1D8D">
        <w:rPr>
          <w:rFonts w:ascii="Palatino Linotype" w:hAnsi="Palatino Linotype" w:eastAsia="Palatino Linotype" w:cs="Palatino Linotype"/>
        </w:rPr>
        <w:t>PA Consulting also participated in the CAM procurement review group meeting.</w:t>
      </w:r>
      <w:r w:rsidRPr="7441B0D7">
        <w:rPr>
          <w:rFonts w:ascii="Palatino Linotype" w:hAnsi="Palatino Linotype" w:eastAsia="Palatino Linotype" w:cs="Palatino Linotype"/>
        </w:rPr>
        <w:t xml:space="preserve"> PA Consulting conducted its own independent evaluation. The IE analysis is included in SDG&amp;E’s AL 4</w:t>
      </w:r>
      <w:r w:rsidRPr="7441B0D7" w:rsidR="1535A05E">
        <w:rPr>
          <w:rFonts w:ascii="Palatino Linotype" w:hAnsi="Palatino Linotype" w:eastAsia="Palatino Linotype" w:cs="Palatino Linotype"/>
        </w:rPr>
        <w:t>736</w:t>
      </w:r>
      <w:r w:rsidRPr="7441B0D7">
        <w:rPr>
          <w:rFonts w:ascii="Palatino Linotype" w:hAnsi="Palatino Linotype" w:eastAsia="Palatino Linotype" w:cs="Palatino Linotype"/>
        </w:rPr>
        <w:t xml:space="preserve">-E Confidential Appendix H. In its analysis the IE performed cost comparisons for the project, </w:t>
      </w:r>
      <w:r w:rsidRPr="7441B0D7" w:rsidR="6BCD3C44">
        <w:rPr>
          <w:rFonts w:ascii="Palatino Linotype" w:hAnsi="Palatino Linotype" w:eastAsia="Palatino Linotype" w:cs="Palatino Linotype"/>
        </w:rPr>
        <w:t xml:space="preserve">including comparing the costs of the </w:t>
      </w:r>
      <w:r w:rsidRPr="7441B0D7" w:rsidR="27592AFB">
        <w:rPr>
          <w:rFonts w:ascii="Palatino Linotype" w:hAnsi="Palatino Linotype" w:eastAsia="Palatino Linotype" w:cs="Palatino Linotype"/>
        </w:rPr>
        <w:t>p</w:t>
      </w:r>
      <w:r w:rsidRPr="7441B0D7" w:rsidR="6BCD3C44">
        <w:rPr>
          <w:rFonts w:ascii="Palatino Linotype" w:hAnsi="Palatino Linotype" w:eastAsia="Palatino Linotype" w:cs="Palatino Linotype"/>
        </w:rPr>
        <w:t>roject against</w:t>
      </w:r>
      <w:r w:rsidRPr="7441B0D7" w:rsidR="1242DCE7">
        <w:rPr>
          <w:rFonts w:ascii="Palatino Linotype" w:hAnsi="Palatino Linotype" w:eastAsia="Palatino Linotype" w:cs="Palatino Linotype"/>
        </w:rPr>
        <w:t xml:space="preserve"> </w:t>
      </w:r>
      <w:r w:rsidRPr="7441B0D7" w:rsidR="6BCD3C44">
        <w:rPr>
          <w:rFonts w:ascii="Palatino Linotype" w:hAnsi="Palatino Linotype" w:eastAsia="Palatino Linotype" w:cs="Palatino Linotype"/>
        </w:rPr>
        <w:t>publicly</w:t>
      </w:r>
      <w:r w:rsidRPr="7441B0D7" w:rsidR="0DF3DA19">
        <w:rPr>
          <w:rFonts w:ascii="Palatino Linotype" w:hAnsi="Palatino Linotype" w:eastAsia="Palatino Linotype" w:cs="Palatino Linotype"/>
        </w:rPr>
        <w:t xml:space="preserve"> </w:t>
      </w:r>
      <w:r w:rsidRPr="7441B0D7" w:rsidR="6BCD3C44">
        <w:rPr>
          <w:rFonts w:ascii="Palatino Linotype" w:hAnsi="Palatino Linotype" w:eastAsia="Palatino Linotype" w:cs="Palatino Linotype"/>
        </w:rPr>
        <w:t xml:space="preserve">available energy storage cost information. </w:t>
      </w:r>
      <w:r w:rsidRPr="7441B0D7" w:rsidR="25F9E912">
        <w:rPr>
          <w:rFonts w:ascii="Palatino Linotype" w:hAnsi="Palatino Linotype" w:eastAsia="Palatino Linotype" w:cs="Palatino Linotype"/>
        </w:rPr>
        <w:t>The public and confidential versions of PA Consulting’s report (IE Report) are provided as Appendix A and Confidential Appendix H</w:t>
      </w:r>
      <w:r w:rsidRPr="7441B0D7" w:rsidR="49FF8B24">
        <w:rPr>
          <w:rFonts w:ascii="Palatino Linotype" w:hAnsi="Palatino Linotype" w:eastAsia="Palatino Linotype" w:cs="Palatino Linotype"/>
        </w:rPr>
        <w:t xml:space="preserve"> in AL 4736-E</w:t>
      </w:r>
      <w:r w:rsidRPr="7441B0D7" w:rsidR="25F9E912">
        <w:rPr>
          <w:rFonts w:ascii="Palatino Linotype" w:hAnsi="Palatino Linotype" w:eastAsia="Palatino Linotype" w:cs="Palatino Linotype"/>
        </w:rPr>
        <w:t xml:space="preserve">. </w:t>
      </w:r>
      <w:r w:rsidRPr="7441B0D7" w:rsidR="67D61481">
        <w:rPr>
          <w:rFonts w:ascii="Palatino Linotype" w:hAnsi="Palatino Linotype" w:eastAsia="Palatino Linotype" w:cs="Palatino Linotype"/>
        </w:rPr>
        <w:t>In addition, SDG&amp;E’s</w:t>
      </w:r>
      <w:r w:rsidRPr="7441B0D7" w:rsidR="3234EB02">
        <w:rPr>
          <w:rFonts w:ascii="Palatino Linotype" w:hAnsi="Palatino Linotype" w:eastAsia="Palatino Linotype" w:cs="Palatino Linotype"/>
        </w:rPr>
        <w:t xml:space="preserve"> </w:t>
      </w:r>
      <w:r w:rsidRPr="7441B0D7" w:rsidR="67D61481">
        <w:rPr>
          <w:rFonts w:ascii="Palatino Linotype" w:hAnsi="Palatino Linotype" w:eastAsia="Palatino Linotype" w:cs="Palatino Linotype"/>
        </w:rPr>
        <w:t xml:space="preserve"> BET</w:t>
      </w:r>
      <w:r w:rsidRPr="7441B0D7" w:rsidR="290CB3F3">
        <w:rPr>
          <w:rFonts w:ascii="Palatino Linotype" w:hAnsi="Palatino Linotype" w:eastAsia="Palatino Linotype" w:cs="Palatino Linotype"/>
        </w:rPr>
        <w:t xml:space="preserve"> </w:t>
      </w:r>
      <w:r w:rsidRPr="7441B0D7" w:rsidR="67D61481">
        <w:rPr>
          <w:rFonts w:ascii="Palatino Linotype" w:hAnsi="Palatino Linotype" w:eastAsia="Palatino Linotype" w:cs="Palatino Linotype"/>
        </w:rPr>
        <w:t xml:space="preserve">separately engaged </w:t>
      </w:r>
      <w:r w:rsidRPr="7441B0D7" w:rsidR="576490C5">
        <w:rPr>
          <w:rFonts w:ascii="Palatino Linotype" w:hAnsi="Palatino Linotype" w:eastAsia="Palatino Linotype" w:cs="Palatino Linotype"/>
        </w:rPr>
        <w:t xml:space="preserve">PA Consulting as </w:t>
      </w:r>
      <w:r w:rsidRPr="7441B0D7" w:rsidR="67D61481">
        <w:rPr>
          <w:rFonts w:ascii="Palatino Linotype" w:hAnsi="Palatino Linotype" w:eastAsia="Palatino Linotype" w:cs="Palatino Linotype"/>
        </w:rPr>
        <w:t xml:space="preserve">an IE in connection with its net market value analysis </w:t>
      </w:r>
      <w:r w:rsidRPr="7441B0D7" w:rsidR="7B5865D7">
        <w:rPr>
          <w:rFonts w:ascii="Palatino Linotype" w:hAnsi="Palatino Linotype" w:eastAsia="Palatino Linotype" w:cs="Palatino Linotype"/>
        </w:rPr>
        <w:lastRenderedPageBreak/>
        <w:t>provided</w:t>
      </w:r>
      <w:r w:rsidRPr="7441B0D7" w:rsidR="67D61481">
        <w:rPr>
          <w:rFonts w:ascii="Palatino Linotype" w:hAnsi="Palatino Linotype" w:eastAsia="Palatino Linotype" w:cs="Palatino Linotype"/>
        </w:rPr>
        <w:t xml:space="preserve"> in </w:t>
      </w:r>
      <w:r w:rsidRPr="7441B0D7" w:rsidR="487E2D5F">
        <w:rPr>
          <w:rFonts w:ascii="Palatino Linotype" w:hAnsi="Palatino Linotype" w:eastAsia="Palatino Linotype" w:cs="Palatino Linotype"/>
        </w:rPr>
        <w:t xml:space="preserve">AL 4736-E </w:t>
      </w:r>
      <w:r w:rsidRPr="7441B0D7" w:rsidR="67D61481">
        <w:rPr>
          <w:rFonts w:ascii="Palatino Linotype" w:hAnsi="Palatino Linotype" w:eastAsia="Palatino Linotype" w:cs="Palatino Linotype"/>
        </w:rPr>
        <w:t>Appendix D</w:t>
      </w:r>
      <w:r w:rsidRPr="7441B0D7" w:rsidR="270B8449">
        <w:rPr>
          <w:rFonts w:ascii="Palatino Linotype" w:hAnsi="Palatino Linotype" w:eastAsia="Palatino Linotype" w:cs="Palatino Linotype"/>
        </w:rPr>
        <w:t xml:space="preserve">, </w:t>
      </w:r>
      <w:r w:rsidRPr="7441B0D7" w:rsidR="2F356B13">
        <w:rPr>
          <w:rFonts w:ascii="Palatino Linotype" w:hAnsi="Palatino Linotype" w:eastAsia="Palatino Linotype" w:cs="Palatino Linotype"/>
        </w:rPr>
        <w:t xml:space="preserve">AL 4736-E </w:t>
      </w:r>
      <w:r w:rsidRPr="7441B0D7" w:rsidR="205484B7">
        <w:rPr>
          <w:rFonts w:ascii="Palatino Linotype" w:hAnsi="Palatino Linotype" w:eastAsia="Palatino Linotype" w:cs="Palatino Linotype"/>
        </w:rPr>
        <w:t xml:space="preserve">confidential </w:t>
      </w:r>
      <w:r w:rsidRPr="7441B0D7" w:rsidR="67D61481">
        <w:rPr>
          <w:rFonts w:ascii="Palatino Linotype" w:hAnsi="Palatino Linotype" w:eastAsia="Palatino Linotype" w:cs="Palatino Linotype"/>
        </w:rPr>
        <w:t>Appendix K</w:t>
      </w:r>
      <w:r w:rsidRPr="7441B0D7" w:rsidR="1F8DA3F0">
        <w:rPr>
          <w:rFonts w:ascii="Palatino Linotype" w:hAnsi="Palatino Linotype" w:eastAsia="Palatino Linotype" w:cs="Palatino Linotype"/>
        </w:rPr>
        <w:t xml:space="preserve">, and </w:t>
      </w:r>
      <w:r w:rsidR="00D340F6">
        <w:rPr>
          <w:rFonts w:ascii="Palatino Linotype" w:hAnsi="Palatino Linotype" w:eastAsia="Palatino Linotype" w:cs="Palatino Linotype"/>
        </w:rPr>
        <w:br/>
      </w:r>
      <w:r w:rsidRPr="7441B0D7" w:rsidR="1F8DA3F0">
        <w:rPr>
          <w:rFonts w:ascii="Palatino Linotype" w:hAnsi="Palatino Linotype" w:eastAsia="Palatino Linotype" w:cs="Palatino Linotype"/>
        </w:rPr>
        <w:t>AL 4736-E-A</w:t>
      </w:r>
      <w:r w:rsidRPr="7441B0D7" w:rsidR="67D61481">
        <w:rPr>
          <w:rFonts w:ascii="Palatino Linotype" w:hAnsi="Palatino Linotype" w:eastAsia="Palatino Linotype" w:cs="Palatino Linotype"/>
        </w:rPr>
        <w:t xml:space="preserve">. </w:t>
      </w:r>
      <w:r w:rsidRPr="7441B0D7" w:rsidR="7B204D48">
        <w:rPr>
          <w:rFonts w:ascii="Palatino Linotype" w:hAnsi="Palatino Linotype" w:eastAsia="Palatino Linotype" w:cs="Palatino Linotype"/>
        </w:rPr>
        <w:t xml:space="preserve">SDG&amp;E states that separate individuals within PA Consulting acted as </w:t>
      </w:r>
      <w:r w:rsidR="00D340F6">
        <w:rPr>
          <w:rFonts w:ascii="Palatino Linotype" w:hAnsi="Palatino Linotype" w:eastAsia="Palatino Linotype" w:cs="Palatino Linotype"/>
        </w:rPr>
        <w:br/>
      </w:r>
      <w:r w:rsidRPr="7441B0D7" w:rsidR="7B204D48">
        <w:rPr>
          <w:rFonts w:ascii="Palatino Linotype" w:hAnsi="Palatino Linotype" w:eastAsia="Palatino Linotype" w:cs="Palatino Linotype"/>
        </w:rPr>
        <w:t xml:space="preserve">IEs for the UDT and the BET functions, and that PA Consulting maintains a firewall to ensure separation between the IEs working with the UDT and BET functions, respectively. </w:t>
      </w:r>
    </w:p>
    <w:p w:rsidR="52E50218" w:rsidP="7441B0D7" w:rsidRDefault="52E50218" w14:paraId="016BA746" w14:textId="57E0E16C">
      <w:pPr>
        <w:rPr>
          <w:rFonts w:ascii="Palatino Linotype" w:hAnsi="Palatino Linotype" w:eastAsia="Palatino Linotype" w:cs="Palatino Linotype"/>
        </w:rPr>
      </w:pPr>
      <w:r w:rsidRPr="7441B0D7">
        <w:rPr>
          <w:rFonts w:ascii="Palatino Linotype" w:hAnsi="Palatino Linotype" w:eastAsia="Palatino Linotype" w:cs="Palatino Linotype"/>
        </w:rPr>
        <w:t xml:space="preserve">The IE compiled capital cost data for lithium-ion BESS based on data from several public sources representing four-hour lithium-ion batteries. </w:t>
      </w:r>
      <w:r w:rsidRPr="7441B0D7" w:rsidR="6E1562EE">
        <w:rPr>
          <w:rFonts w:ascii="Palatino Linotype" w:hAnsi="Palatino Linotype" w:eastAsia="Palatino Linotype" w:cs="Palatino Linotype"/>
        </w:rPr>
        <w:t xml:space="preserve">Energy Division Staff also requested SDG&amp;E complete a comparative analysis to show how Westside Canal Phase 2a compares to offers received through SDG&amp;E’s 2027–2032 Phase 3 IRP Reliability Request for Offers (“RFO”), which SDG&amp;E submitted as AL 4736-E-A. </w:t>
      </w:r>
      <w:r w:rsidRPr="7441B0D7">
        <w:rPr>
          <w:rFonts w:ascii="Palatino Linotype" w:hAnsi="Palatino Linotype" w:eastAsia="Palatino Linotype" w:cs="Palatino Linotype"/>
        </w:rPr>
        <w:t>The</w:t>
      </w:r>
      <w:r w:rsidRPr="7441B0D7" w:rsidR="2CFAA751">
        <w:rPr>
          <w:rFonts w:ascii="Palatino Linotype" w:hAnsi="Palatino Linotype" w:eastAsia="Palatino Linotype" w:cs="Palatino Linotype"/>
        </w:rPr>
        <w:t>se analyses</w:t>
      </w:r>
      <w:r w:rsidRPr="7441B0D7">
        <w:rPr>
          <w:rFonts w:ascii="Palatino Linotype" w:hAnsi="Palatino Linotype" w:eastAsia="Palatino Linotype" w:cs="Palatino Linotype"/>
        </w:rPr>
        <w:t xml:space="preserve"> </w:t>
      </w:r>
      <w:r w:rsidRPr="7441B0D7" w:rsidR="79983CDC">
        <w:rPr>
          <w:rFonts w:ascii="Palatino Linotype" w:hAnsi="Palatino Linotype" w:eastAsia="Palatino Linotype" w:cs="Palatino Linotype"/>
        </w:rPr>
        <w:t>support the finding that the cost of Westside Canal Phase 2a compares favorably to other battery energy storage projects that have recently been procured</w:t>
      </w:r>
      <w:r w:rsidRPr="7441B0D7" w:rsidR="65B30620">
        <w:rPr>
          <w:rFonts w:ascii="Palatino Linotype" w:hAnsi="Palatino Linotype" w:eastAsia="Palatino Linotype" w:cs="Palatino Linotype"/>
        </w:rPr>
        <w:t xml:space="preserve"> (full summary found in Confidential Appendix A).</w:t>
      </w:r>
    </w:p>
    <w:p w:rsidRPr="00383135" w:rsidR="07C4EF08" w:rsidP="002D3E61" w:rsidRDefault="4B240A7D" w14:paraId="1AAF658E" w14:textId="711559E2">
      <w:pPr>
        <w:rPr>
          <w:rFonts w:ascii="Palatino Linotype" w:hAnsi="Palatino Linotype" w:eastAsia="Palatino Linotype" w:cs="Palatino Linotype"/>
        </w:rPr>
      </w:pPr>
      <w:r w:rsidRPr="05692A26">
        <w:rPr>
          <w:rFonts w:ascii="Palatino Linotype" w:hAnsi="Palatino Linotype" w:eastAsia="Palatino Linotype" w:cs="Palatino Linotype"/>
        </w:rPr>
        <w:t xml:space="preserve">SDG&amp;E states that it compared both the capital and O&amp;M costs of the current proposed energy storage project against </w:t>
      </w:r>
      <w:r w:rsidRPr="05692A26" w:rsidR="1F61D088">
        <w:rPr>
          <w:rFonts w:ascii="Palatino Linotype" w:hAnsi="Palatino Linotype" w:eastAsia="Palatino Linotype" w:cs="Palatino Linotype"/>
        </w:rPr>
        <w:t>other projects bid into the UDT RFP and the co-located Westside Canal Phase 2b</w:t>
      </w:r>
      <w:r w:rsidRPr="05692A26" w:rsidR="2F4E0763">
        <w:rPr>
          <w:rFonts w:ascii="Palatino Linotype" w:hAnsi="Palatino Linotype" w:eastAsia="Palatino Linotype" w:cs="Palatino Linotype"/>
        </w:rPr>
        <w:t xml:space="preserve"> </w:t>
      </w:r>
      <w:r w:rsidRPr="05692A26" w:rsidR="1F61D088">
        <w:rPr>
          <w:rFonts w:ascii="Palatino Linotype" w:hAnsi="Palatino Linotype" w:eastAsia="Palatino Linotype" w:cs="Palatino Linotype"/>
        </w:rPr>
        <w:t>project</w:t>
      </w:r>
      <w:r w:rsidRPr="05692A26">
        <w:rPr>
          <w:rFonts w:ascii="Palatino Linotype" w:hAnsi="Palatino Linotype" w:eastAsia="Palatino Linotype" w:cs="Palatino Linotype"/>
        </w:rPr>
        <w:t>, against prior CPUC-approved utility-owned projects, and against relevant market data.</w:t>
      </w:r>
      <w:r w:rsidRPr="05692A26" w:rsidR="07C4EF08">
        <w:rPr>
          <w:rStyle w:val="FootnoteReference"/>
          <w:rFonts w:ascii="Palatino Linotype" w:hAnsi="Palatino Linotype" w:eastAsia="Palatino Linotype" w:cs="Palatino Linotype"/>
        </w:rPr>
        <w:footnoteReference w:id="49"/>
      </w:r>
      <w:r w:rsidRPr="05692A26">
        <w:rPr>
          <w:rFonts w:ascii="Palatino Linotype" w:hAnsi="Palatino Linotype" w:eastAsia="Palatino Linotype" w:cs="Palatino Linotype"/>
        </w:rPr>
        <w:t xml:space="preserve"> SDG&amp;E’s comparisons show cost competitiveness of Westside Canal</w:t>
      </w:r>
      <w:r w:rsidRPr="05692A26" w:rsidR="168DA374">
        <w:rPr>
          <w:rFonts w:ascii="Palatino Linotype" w:hAnsi="Palatino Linotype" w:eastAsia="Palatino Linotype" w:cs="Palatino Linotype"/>
        </w:rPr>
        <w:t xml:space="preserve"> </w:t>
      </w:r>
      <w:r w:rsidRPr="05692A26">
        <w:rPr>
          <w:rFonts w:ascii="Palatino Linotype" w:hAnsi="Palatino Linotype" w:eastAsia="Palatino Linotype" w:cs="Palatino Linotype"/>
        </w:rPr>
        <w:t>Phase 2</w:t>
      </w:r>
      <w:r w:rsidRPr="05692A26" w:rsidR="0490ADD0">
        <w:rPr>
          <w:rFonts w:ascii="Palatino Linotype" w:hAnsi="Palatino Linotype" w:eastAsia="Palatino Linotype" w:cs="Palatino Linotype"/>
        </w:rPr>
        <w:t>a</w:t>
      </w:r>
      <w:r w:rsidRPr="05692A26">
        <w:rPr>
          <w:rFonts w:ascii="Palatino Linotype" w:hAnsi="Palatino Linotype" w:eastAsia="Palatino Linotype" w:cs="Palatino Linotype"/>
        </w:rPr>
        <w:t xml:space="preserve">. </w:t>
      </w:r>
      <w:r w:rsidRPr="05692A26" w:rsidR="7074F9EF">
        <w:rPr>
          <w:rFonts w:ascii="Palatino Linotype" w:hAnsi="Palatino Linotype" w:eastAsia="Palatino Linotype" w:cs="Palatino Linotype"/>
        </w:rPr>
        <w:t>Cal Advocates states that SDG&amp;E fails to provide a comparison of the value of Westside Canal Phase 2a with current alternative offers available to meet SDG&amp;E’s 2026-2027 EPRM procurement target.</w:t>
      </w:r>
      <w:r w:rsidRPr="4D09BD7A" w:rsidR="07C4EF08">
        <w:rPr>
          <w:rStyle w:val="FootnoteReference"/>
          <w:rFonts w:ascii="Palatino Linotype" w:hAnsi="Palatino Linotype" w:eastAsia="Palatino Linotype" w:cs="Palatino Linotype"/>
        </w:rPr>
        <w:footnoteReference w:id="50"/>
      </w:r>
      <w:r w:rsidRPr="4D09BD7A">
        <w:rPr>
          <w:rFonts w:ascii="Palatino Linotype" w:hAnsi="Palatino Linotype" w:eastAsia="Palatino Linotype" w:cs="Palatino Linotype"/>
        </w:rPr>
        <w:t xml:space="preserve"> We agree with SDG&amp;E that it provided </w:t>
      </w:r>
      <w:r w:rsidRPr="4D09BD7A" w:rsidR="592FE749">
        <w:rPr>
          <w:rFonts w:ascii="Palatino Linotype" w:hAnsi="Palatino Linotype" w:eastAsia="Palatino Linotype" w:cs="Palatino Linotype"/>
        </w:rPr>
        <w:t>sufficient</w:t>
      </w:r>
      <w:r w:rsidRPr="4D09BD7A">
        <w:rPr>
          <w:rFonts w:ascii="Palatino Linotype" w:hAnsi="Palatino Linotype" w:eastAsia="Palatino Linotype" w:cs="Palatino Linotype"/>
        </w:rPr>
        <w:t xml:space="preserve"> analysis to demonstrate cost competitiveness</w:t>
      </w:r>
      <w:r w:rsidRPr="4D09BD7A" w:rsidR="00372F5C">
        <w:rPr>
          <w:rFonts w:ascii="Palatino Linotype" w:hAnsi="Palatino Linotype" w:eastAsia="Palatino Linotype" w:cs="Palatino Linotype"/>
        </w:rPr>
        <w:t xml:space="preserve"> against other projects bid into the UDT RFP. </w:t>
      </w:r>
    </w:p>
    <w:p w:rsidR="07C4EF08" w:rsidP="4D09BD7A" w:rsidRDefault="528F66FC" w14:paraId="4AFE2524" w14:textId="712392C8">
      <w:pPr>
        <w:rPr>
          <w:rFonts w:ascii="Palatino Linotype" w:hAnsi="Palatino Linotype" w:eastAsia="Palatino Linotype" w:cs="Palatino Linotype"/>
        </w:rPr>
      </w:pPr>
      <w:r w:rsidRPr="4D8ACD53">
        <w:rPr>
          <w:rFonts w:ascii="Palatino Linotype" w:hAnsi="Palatino Linotype" w:eastAsia="Palatino Linotype" w:cs="Palatino Linotype"/>
        </w:rPr>
        <w:t>We have reviewed SDG&amp;E’s price comparison analyses and the IE report</w:t>
      </w:r>
      <w:r w:rsidRPr="4D8ACD53" w:rsidR="7FD029D8">
        <w:rPr>
          <w:rFonts w:ascii="Palatino Linotype" w:hAnsi="Palatino Linotype" w:eastAsia="Palatino Linotype" w:cs="Palatino Linotype"/>
        </w:rPr>
        <w:t>s</w:t>
      </w:r>
      <w:r w:rsidRPr="4D8ACD53">
        <w:rPr>
          <w:rFonts w:ascii="Palatino Linotype" w:hAnsi="Palatino Linotype" w:eastAsia="Palatino Linotype" w:cs="Palatino Linotype"/>
        </w:rPr>
        <w:t>, which contain</w:t>
      </w:r>
      <w:r w:rsidRPr="4D8ACD53" w:rsidR="297B11E5">
        <w:rPr>
          <w:rFonts w:ascii="Palatino Linotype" w:hAnsi="Palatino Linotype" w:eastAsia="Palatino Linotype" w:cs="Palatino Linotype"/>
        </w:rPr>
        <w:t xml:space="preserve"> </w:t>
      </w:r>
      <w:r w:rsidRPr="4D8ACD53">
        <w:rPr>
          <w:rFonts w:ascii="Palatino Linotype" w:hAnsi="Palatino Linotype" w:eastAsia="Palatino Linotype" w:cs="Palatino Linotype"/>
        </w:rPr>
        <w:t xml:space="preserve">price comparisons to publicly available energy storage cost information as well as recent market data including the </w:t>
      </w:r>
      <w:r w:rsidRPr="4D8ACD53" w:rsidR="49A4562E">
        <w:rPr>
          <w:rFonts w:ascii="Palatino Linotype" w:hAnsi="Palatino Linotype" w:eastAsia="Palatino Linotype" w:cs="Palatino Linotype"/>
        </w:rPr>
        <w:t xml:space="preserve">offers received through SDG&amp;E’s 2027–2032 </w:t>
      </w:r>
      <w:r w:rsidR="00D340F6">
        <w:rPr>
          <w:rFonts w:ascii="Palatino Linotype" w:hAnsi="Palatino Linotype" w:eastAsia="Palatino Linotype" w:cs="Palatino Linotype"/>
        </w:rPr>
        <w:br/>
      </w:r>
      <w:r w:rsidRPr="4D8ACD53" w:rsidR="49A4562E">
        <w:rPr>
          <w:rFonts w:ascii="Palatino Linotype" w:hAnsi="Palatino Linotype" w:eastAsia="Palatino Linotype" w:cs="Palatino Linotype"/>
        </w:rPr>
        <w:t>Phase 3 IRP Reliability RFO</w:t>
      </w:r>
      <w:r w:rsidRPr="4D8ACD53">
        <w:rPr>
          <w:rFonts w:ascii="Palatino Linotype" w:hAnsi="Palatino Linotype" w:eastAsia="Palatino Linotype" w:cs="Palatino Linotype"/>
        </w:rPr>
        <w:t xml:space="preserve">. We have also compared the price of this UOS project with prior UOS projects. On balance, we </w:t>
      </w:r>
      <w:r w:rsidRPr="4D8ACD53" w:rsidR="791AB622">
        <w:rPr>
          <w:rFonts w:ascii="Palatino Linotype" w:hAnsi="Palatino Linotype" w:eastAsia="Palatino Linotype" w:cs="Palatino Linotype"/>
        </w:rPr>
        <w:t>agree</w:t>
      </w:r>
      <w:r w:rsidRPr="4D8ACD53">
        <w:rPr>
          <w:rFonts w:ascii="Palatino Linotype" w:hAnsi="Palatino Linotype" w:eastAsia="Palatino Linotype" w:cs="Palatino Linotype"/>
        </w:rPr>
        <w:t xml:space="preserve"> that the cost of the contract is generally reasonable based on comparisons. We find that SDG&amp;E has performed the net market value and cost competitiveness analysis required by D.21-12-015 and demonstrated that the proposed UOS project is cost competitive. </w:t>
      </w:r>
    </w:p>
    <w:p w:rsidR="07C4EF08" w:rsidP="05692A26" w:rsidRDefault="528F66FC" w14:paraId="2B2440A6" w14:textId="4C348A62">
      <w:pPr>
        <w:rPr>
          <w:rFonts w:ascii="Palatino Linotype" w:hAnsi="Palatino Linotype" w:eastAsia="Palatino Linotype" w:cs="Palatino Linotype"/>
          <w:b/>
          <w:bCs/>
        </w:rPr>
      </w:pPr>
      <w:r w:rsidRPr="05692A26">
        <w:rPr>
          <w:rFonts w:ascii="Palatino Linotype" w:hAnsi="Palatino Linotype" w:eastAsia="Palatino Linotype" w:cs="Palatino Linotype"/>
          <w:b/>
          <w:bCs/>
        </w:rPr>
        <w:lastRenderedPageBreak/>
        <w:t xml:space="preserve">Cost Recovery </w:t>
      </w:r>
    </w:p>
    <w:p w:rsidR="07C4EF08" w:rsidP="190E8F6F" w:rsidRDefault="4B240A7D" w14:paraId="7E840B7E" w14:textId="6B4ED1AB">
      <w:pPr>
        <w:rPr>
          <w:rFonts w:ascii="Palatino Linotype" w:hAnsi="Palatino Linotype" w:eastAsia="Palatino Linotype" w:cs="Palatino Linotype"/>
        </w:rPr>
      </w:pPr>
      <w:r w:rsidRPr="05692A26">
        <w:rPr>
          <w:rFonts w:ascii="Palatino Linotype" w:hAnsi="Palatino Linotype" w:eastAsia="Palatino Linotype" w:cs="Palatino Linotype"/>
        </w:rPr>
        <w:t>In D.21-02-028 and D.21-03-056, the Commission directed the IOUs to continue procurement efforts to meet or exceed the effective 17.5 percent planning reserve margin with a preference for new storage contracts, including UOS, with costs to be recovered through CAM. D.21-02-028 specified the parameters of CAM-based cost recovery for conforming procurement.</w:t>
      </w:r>
      <w:r w:rsidRPr="05692A26" w:rsidR="07C4EF08">
        <w:rPr>
          <w:rStyle w:val="FootnoteReference"/>
          <w:rFonts w:ascii="Palatino Linotype" w:hAnsi="Palatino Linotype" w:eastAsia="Palatino Linotype" w:cs="Palatino Linotype"/>
        </w:rPr>
        <w:footnoteReference w:id="51"/>
      </w:r>
      <w:r w:rsidRPr="05692A26">
        <w:rPr>
          <w:rFonts w:ascii="Palatino Linotype" w:hAnsi="Palatino Linotype" w:eastAsia="Palatino Linotype" w:cs="Palatino Linotype"/>
        </w:rPr>
        <w:t xml:space="preserve"> In addition, D.21-12-015 affirmed cost recovery though CAM consistent with prior summer reliability decisions for effective PRM resources.</w:t>
      </w:r>
      <w:r w:rsidRPr="05692A26" w:rsidR="07C4EF08">
        <w:rPr>
          <w:rStyle w:val="FootnoteReference"/>
          <w:rFonts w:ascii="Palatino Linotype" w:hAnsi="Palatino Linotype" w:eastAsia="Palatino Linotype" w:cs="Palatino Linotype"/>
        </w:rPr>
        <w:footnoteReference w:id="52"/>
      </w:r>
    </w:p>
    <w:p w:rsidR="07C4EF08" w:rsidP="6AA5A77E" w:rsidRDefault="2392845B" w14:paraId="137B8328" w14:textId="3822BB4C">
      <w:pPr>
        <w:rPr>
          <w:rFonts w:ascii="Palatino Linotype" w:hAnsi="Palatino Linotype" w:eastAsia="Palatino Linotype" w:cs="Palatino Linotype"/>
        </w:rPr>
      </w:pPr>
      <w:r w:rsidRPr="6AA5A77E">
        <w:rPr>
          <w:rFonts w:ascii="Palatino Linotype" w:hAnsi="Palatino Linotype" w:eastAsia="Palatino Linotype" w:cs="Palatino Linotype"/>
        </w:rPr>
        <w:t>I</w:t>
      </w:r>
      <w:r w:rsidRPr="6AA5A77E" w:rsidR="4B240A7D">
        <w:rPr>
          <w:rFonts w:ascii="Palatino Linotype" w:hAnsi="Palatino Linotype" w:eastAsia="Palatino Linotype" w:cs="Palatino Linotype"/>
        </w:rPr>
        <w:t>n D.23-06-029, the Commission extended the use of the effective PRM to 2024 and 2025 and reaffirmed the use of CAM as the cost recovery mechanism for this procurement.</w:t>
      </w:r>
      <w:r w:rsidRPr="01C0285C" w:rsidR="528F66FC">
        <w:rPr>
          <w:rStyle w:val="FootnoteReference"/>
          <w:rFonts w:ascii="Palatino Linotype" w:hAnsi="Palatino Linotype" w:eastAsia="Palatino Linotype" w:cs="Palatino Linotype"/>
        </w:rPr>
        <w:footnoteReference w:id="53"/>
      </w:r>
    </w:p>
    <w:p w:rsidR="07C4EF08" w:rsidP="05692A26" w:rsidRDefault="3D6E5D2E" w14:paraId="4464ABE6" w14:textId="41938E9E">
      <w:pPr>
        <w:rPr>
          <w:rFonts w:ascii="Palatino Linotype" w:hAnsi="Palatino Linotype" w:eastAsia="Palatino Linotype" w:cs="Palatino Linotype"/>
        </w:rPr>
      </w:pPr>
      <w:r w:rsidRPr="05692A26">
        <w:rPr>
          <w:rFonts w:ascii="Palatino Linotype" w:hAnsi="Palatino Linotype" w:eastAsia="Palatino Linotype" w:cs="Palatino Linotype"/>
        </w:rPr>
        <w:t>Most recently, in D.25-06-048, the Commission extended the use of CAM as the cost recovery mechanism</w:t>
      </w:r>
      <w:r w:rsidRPr="05692A26" w:rsidR="5F362B33">
        <w:rPr>
          <w:rFonts w:ascii="Palatino Linotype" w:hAnsi="Palatino Linotype" w:eastAsia="Palatino Linotype" w:cs="Palatino Linotype"/>
        </w:rPr>
        <w:t xml:space="preserve"> for EPRM procurement in the 2026 and 2027 RA compliance years.</w:t>
      </w:r>
      <w:r w:rsidRPr="01C0285C" w:rsidR="0564D8E7">
        <w:rPr>
          <w:rStyle w:val="FootnoteReference"/>
          <w:rFonts w:ascii="Palatino Linotype" w:hAnsi="Palatino Linotype" w:eastAsia="Palatino Linotype" w:cs="Palatino Linotype"/>
        </w:rPr>
        <w:footnoteReference w:id="54"/>
      </w:r>
    </w:p>
    <w:p w:rsidR="07C4EF08" w:rsidP="190E8F6F" w:rsidRDefault="4F6A57DB" w14:paraId="7A420D96" w14:textId="3F7EDC8C">
      <w:pPr>
        <w:rPr>
          <w:rFonts w:ascii="Palatino Linotype" w:hAnsi="Palatino Linotype" w:eastAsia="Palatino Linotype" w:cs="Palatino Linotype"/>
        </w:rPr>
      </w:pPr>
      <w:r w:rsidRPr="6AA5A77E">
        <w:rPr>
          <w:rFonts w:ascii="Palatino Linotype" w:hAnsi="Palatino Linotype" w:eastAsia="Palatino Linotype" w:cs="Palatino Linotype"/>
        </w:rPr>
        <w:t>SDG</w:t>
      </w:r>
      <w:r w:rsidRPr="6AA5A77E" w:rsidR="528F66FC">
        <w:rPr>
          <w:rFonts w:ascii="Palatino Linotype" w:hAnsi="Palatino Linotype" w:eastAsia="Palatino Linotype" w:cs="Palatino Linotype"/>
        </w:rPr>
        <w:t>&amp;E’s request to recover the cost of the proposed UOS project via CAM is reasonable because it meets the procurement requirements specified in D.21-02-028</w:t>
      </w:r>
      <w:r w:rsidRPr="6AA5A77E" w:rsidR="563A58C0">
        <w:rPr>
          <w:rFonts w:ascii="Palatino Linotype" w:hAnsi="Palatino Linotype" w:eastAsia="Palatino Linotype" w:cs="Palatino Linotype"/>
        </w:rPr>
        <w:t>,</w:t>
      </w:r>
      <w:r w:rsidRPr="6AA5A77E" w:rsidR="528F66FC">
        <w:rPr>
          <w:rFonts w:ascii="Palatino Linotype" w:hAnsi="Palatino Linotype" w:eastAsia="Palatino Linotype" w:cs="Palatino Linotype"/>
        </w:rPr>
        <w:t xml:space="preserve"> D.23-06-029, </w:t>
      </w:r>
      <w:r w:rsidRPr="6AA5A77E" w:rsidR="647753BD">
        <w:rPr>
          <w:rFonts w:ascii="Palatino Linotype" w:hAnsi="Palatino Linotype" w:eastAsia="Palatino Linotype" w:cs="Palatino Linotype"/>
        </w:rPr>
        <w:t xml:space="preserve">and D. 25-06-048, </w:t>
      </w:r>
      <w:r w:rsidRPr="6AA5A77E" w:rsidR="528F66FC">
        <w:rPr>
          <w:rFonts w:ascii="Palatino Linotype" w:hAnsi="Palatino Linotype" w:eastAsia="Palatino Linotype" w:cs="Palatino Linotype"/>
        </w:rPr>
        <w:t>namely incremental energy storage capacity for the effective PRM in 202</w:t>
      </w:r>
      <w:r w:rsidRPr="6AA5A77E" w:rsidR="6CC78ACB">
        <w:rPr>
          <w:rFonts w:ascii="Palatino Linotype" w:hAnsi="Palatino Linotype" w:eastAsia="Palatino Linotype" w:cs="Palatino Linotype"/>
        </w:rPr>
        <w:t>6 and 2027.</w:t>
      </w:r>
    </w:p>
    <w:p w:rsidR="07C4EF08" w:rsidP="05692A26" w:rsidRDefault="528F66FC" w14:paraId="6FE3D7EB" w14:textId="6DEECDCF">
      <w:pPr>
        <w:rPr>
          <w:rFonts w:ascii="Palatino Linotype" w:hAnsi="Palatino Linotype" w:eastAsia="Palatino Linotype" w:cs="Palatino Linotype"/>
          <w:b/>
          <w:bCs/>
        </w:rPr>
      </w:pPr>
      <w:r w:rsidRPr="05692A26">
        <w:rPr>
          <w:rFonts w:ascii="Palatino Linotype" w:hAnsi="Palatino Linotype" w:eastAsia="Palatino Linotype" w:cs="Palatino Linotype"/>
          <w:b/>
          <w:bCs/>
        </w:rPr>
        <w:t xml:space="preserve">Deliverability </w:t>
      </w:r>
    </w:p>
    <w:p w:rsidR="07C4EF08" w:rsidP="7441B0D7" w:rsidRDefault="1B931DA2" w14:paraId="0E0448CD" w14:textId="50E4F32A">
      <w:pPr>
        <w:rPr>
          <w:rStyle w:val="FootnoteReference"/>
          <w:rFonts w:ascii="Palatino Linotype" w:hAnsi="Palatino Linotype" w:eastAsia="Palatino Linotype" w:cs="Palatino Linotype"/>
        </w:rPr>
      </w:pPr>
      <w:r w:rsidRPr="3163FCD3">
        <w:rPr>
          <w:rFonts w:ascii="Palatino Linotype" w:hAnsi="Palatino Linotype" w:eastAsia="Palatino Linotype" w:cs="Palatino Linotype"/>
        </w:rPr>
        <w:t xml:space="preserve">Westside Canal Phase 2a has received a full TPD allocation and is eligible to achieve FCDS once the approved transmission upgrades are completed. </w:t>
      </w:r>
      <w:r w:rsidRPr="3163FCD3" w:rsidR="1BC10F77">
        <w:rPr>
          <w:rFonts w:ascii="Palatino Linotype" w:hAnsi="Palatino Linotype" w:eastAsia="Palatino Linotype" w:cs="Palatino Linotype"/>
        </w:rPr>
        <w:t xml:space="preserve">In the interim, the project is eligible for interim deliverability and has obtained deliverability from CAISO for 2025 and 2026. </w:t>
      </w:r>
      <w:r w:rsidRPr="3163FCD3" w:rsidR="4B240A7D">
        <w:rPr>
          <w:rFonts w:ascii="Palatino Linotype" w:hAnsi="Palatino Linotype" w:eastAsia="Palatino Linotype" w:cs="Palatino Linotype"/>
        </w:rPr>
        <w:t>IEP assert</w:t>
      </w:r>
      <w:r w:rsidRPr="3163FCD3" w:rsidR="1405BD32">
        <w:rPr>
          <w:rFonts w:ascii="Palatino Linotype" w:hAnsi="Palatino Linotype" w:eastAsia="Palatino Linotype" w:cs="Palatino Linotype"/>
        </w:rPr>
        <w:t>s</w:t>
      </w:r>
      <w:r w:rsidRPr="3163FCD3" w:rsidR="4B240A7D">
        <w:rPr>
          <w:rFonts w:ascii="Palatino Linotype" w:hAnsi="Palatino Linotype" w:eastAsia="Palatino Linotype" w:cs="Palatino Linotype"/>
        </w:rPr>
        <w:t xml:space="preserve"> that the project will not have FCDS</w:t>
      </w:r>
      <w:r w:rsidRPr="3163FCD3" w:rsidR="158B0E5F">
        <w:rPr>
          <w:rFonts w:ascii="Palatino Linotype" w:hAnsi="Palatino Linotype" w:eastAsia="Palatino Linotype" w:cs="Palatino Linotype"/>
        </w:rPr>
        <w:t xml:space="preserve"> until at least 2034</w:t>
      </w:r>
      <w:r w:rsidRPr="3163FCD3" w:rsidR="2B48DEDE">
        <w:rPr>
          <w:rFonts w:ascii="Palatino Linotype" w:hAnsi="Palatino Linotype" w:eastAsia="Palatino Linotype" w:cs="Palatino Linotype"/>
        </w:rPr>
        <w:t xml:space="preserve">, and there is a risk that the project will not have </w:t>
      </w:r>
      <w:r w:rsidRPr="3163FCD3" w:rsidR="4783374D">
        <w:rPr>
          <w:rFonts w:ascii="Palatino Linotype" w:hAnsi="Palatino Linotype" w:eastAsia="Palatino Linotype" w:cs="Palatino Linotype"/>
        </w:rPr>
        <w:t>interim deliverability status (</w:t>
      </w:r>
      <w:r w:rsidRPr="3163FCD3" w:rsidR="0CDD16C0">
        <w:rPr>
          <w:rFonts w:ascii="Palatino Linotype" w:hAnsi="Palatino Linotype" w:eastAsia="Palatino Linotype" w:cs="Palatino Linotype"/>
        </w:rPr>
        <w:t>“</w:t>
      </w:r>
      <w:r w:rsidRPr="3163FCD3" w:rsidR="2B48DEDE">
        <w:rPr>
          <w:rFonts w:ascii="Palatino Linotype" w:hAnsi="Palatino Linotype" w:eastAsia="Palatino Linotype" w:cs="Palatino Linotype"/>
        </w:rPr>
        <w:t>IDS</w:t>
      </w:r>
      <w:r w:rsidRPr="3163FCD3" w:rsidR="6CC92B2E">
        <w:rPr>
          <w:rFonts w:ascii="Palatino Linotype" w:hAnsi="Palatino Linotype" w:eastAsia="Palatino Linotype" w:cs="Palatino Linotype"/>
        </w:rPr>
        <w:t>”</w:t>
      </w:r>
      <w:r w:rsidRPr="3163FCD3" w:rsidR="3F81F825">
        <w:rPr>
          <w:rFonts w:ascii="Palatino Linotype" w:hAnsi="Palatino Linotype" w:eastAsia="Palatino Linotype" w:cs="Palatino Linotype"/>
        </w:rPr>
        <w:t>)</w:t>
      </w:r>
      <w:r w:rsidRPr="3163FCD3" w:rsidR="2B48DEDE">
        <w:rPr>
          <w:rFonts w:ascii="Palatino Linotype" w:hAnsi="Palatino Linotype" w:eastAsia="Palatino Linotype" w:cs="Palatino Linotype"/>
        </w:rPr>
        <w:t xml:space="preserve"> for at least some years between now and 2034.</w:t>
      </w:r>
      <w:r w:rsidRPr="3163FCD3" w:rsidR="4B240A7D">
        <w:rPr>
          <w:rFonts w:ascii="Palatino Linotype" w:hAnsi="Palatino Linotype" w:eastAsia="Palatino Linotype" w:cs="Palatino Linotype"/>
        </w:rPr>
        <w:t xml:space="preserve"> </w:t>
      </w:r>
      <w:r w:rsidRPr="3163FCD3" w:rsidR="0DBAD90C">
        <w:rPr>
          <w:rFonts w:ascii="Palatino Linotype" w:hAnsi="Palatino Linotype" w:eastAsia="Palatino Linotype" w:cs="Palatino Linotype"/>
        </w:rPr>
        <w:t>IEP</w:t>
      </w:r>
      <w:r w:rsidRPr="3163FCD3" w:rsidR="2FD4B2BA">
        <w:rPr>
          <w:rFonts w:ascii="Palatino Linotype" w:hAnsi="Palatino Linotype" w:eastAsia="Palatino Linotype" w:cs="Palatino Linotype"/>
        </w:rPr>
        <w:t xml:space="preserve"> als</w:t>
      </w:r>
      <w:r w:rsidRPr="5791A676" w:rsidR="2FD4B2BA">
        <w:rPr>
          <w:rFonts w:ascii="Palatino Linotype" w:hAnsi="Palatino Linotype" w:eastAsia="Palatino Linotype" w:cs="Palatino Linotype"/>
        </w:rPr>
        <w:t>o</w:t>
      </w:r>
      <w:r w:rsidRPr="5791A676" w:rsidR="50B8EF60">
        <w:rPr>
          <w:rFonts w:ascii="Palatino Linotype" w:hAnsi="Palatino Linotype" w:eastAsia="Palatino Linotype" w:cs="Palatino Linotype"/>
        </w:rPr>
        <w:t xml:space="preserve"> highlights the risk that could be borne by ratepayers if the network upgrades are not completed in 2034 and the project lacks </w:t>
      </w:r>
      <w:r w:rsidRPr="5791A676" w:rsidR="50B8EF60">
        <w:rPr>
          <w:rFonts w:ascii="Palatino Linotype" w:hAnsi="Palatino Linotype" w:eastAsia="Palatino Linotype" w:cs="Palatino Linotype"/>
        </w:rPr>
        <w:lastRenderedPageBreak/>
        <w:t>deliverability after 2034.</w:t>
      </w:r>
      <w:r w:rsidRPr="5791A676">
        <w:rPr>
          <w:rStyle w:val="FootnoteReference"/>
          <w:rFonts w:ascii="Palatino Linotype" w:hAnsi="Palatino Linotype" w:eastAsia="Palatino Linotype" w:cs="Palatino Linotype"/>
        </w:rPr>
        <w:footnoteReference w:id="55"/>
      </w:r>
      <w:r w:rsidRPr="688DFF41" w:rsidR="50B8EF60">
        <w:rPr>
          <w:rFonts w:ascii="Palatino Linotype" w:hAnsi="Palatino Linotype" w:eastAsia="Palatino Linotype" w:cs="Palatino Linotype"/>
        </w:rPr>
        <w:t xml:space="preserve"> </w:t>
      </w:r>
      <w:r w:rsidRPr="3163FCD3" w:rsidR="4B240A7D">
        <w:rPr>
          <w:rFonts w:ascii="Palatino Linotype" w:hAnsi="Palatino Linotype" w:eastAsia="Palatino Linotype" w:cs="Palatino Linotype"/>
        </w:rPr>
        <w:t>We agree with SDG&amp;E that the deliverability risk associated with the project is mitigated by a reduction in the overall purchase price of the project and significant penalties to be paid by RWE AG if deliverability is not obtained.</w:t>
      </w:r>
      <w:r w:rsidRPr="3163FCD3" w:rsidR="497FCE66">
        <w:rPr>
          <w:rFonts w:ascii="Palatino Linotype" w:hAnsi="Palatino Linotype" w:eastAsia="Palatino Linotype" w:cs="Palatino Linotype"/>
        </w:rPr>
        <w:t xml:space="preserve"> SDG&amp;E also requested </w:t>
      </w:r>
      <w:r w:rsidRPr="3163FCD3" w:rsidR="4EB19443">
        <w:rPr>
          <w:rFonts w:ascii="Palatino Linotype" w:hAnsi="Palatino Linotype" w:eastAsia="Palatino Linotype" w:cs="Palatino Linotype"/>
        </w:rPr>
        <w:t>reviews</w:t>
      </w:r>
      <w:r w:rsidRPr="3163FCD3" w:rsidR="497FCE66">
        <w:rPr>
          <w:rFonts w:ascii="Palatino Linotype" w:hAnsi="Palatino Linotype" w:eastAsia="Palatino Linotype" w:cs="Palatino Linotype"/>
        </w:rPr>
        <w:t xml:space="preserve"> of the potential deliverability of Q1531, </w:t>
      </w:r>
      <w:r w:rsidRPr="3163FCD3" w:rsidR="238F0A77">
        <w:rPr>
          <w:rFonts w:ascii="Palatino Linotype" w:hAnsi="Palatino Linotype" w:eastAsia="Palatino Linotype" w:cs="Palatino Linotype"/>
        </w:rPr>
        <w:t xml:space="preserve">and separate analyses were </w:t>
      </w:r>
      <w:r w:rsidRPr="3163FCD3" w:rsidR="497FCE66">
        <w:rPr>
          <w:rFonts w:ascii="Palatino Linotype" w:hAnsi="Palatino Linotype" w:eastAsia="Palatino Linotype" w:cs="Palatino Linotype"/>
        </w:rPr>
        <w:t>prepared by Utility System Efficiencies, Inc</w:t>
      </w:r>
      <w:r w:rsidRPr="3163FCD3" w:rsidR="4B240A7D">
        <w:rPr>
          <w:rFonts w:ascii="Palatino Linotype" w:hAnsi="Palatino Linotype" w:eastAsia="Palatino Linotype" w:cs="Palatino Linotype"/>
        </w:rPr>
        <w:t xml:space="preserve"> </w:t>
      </w:r>
      <w:r w:rsidRPr="3163FCD3" w:rsidR="0925E330">
        <w:rPr>
          <w:rFonts w:ascii="Palatino Linotype" w:hAnsi="Palatino Linotype" w:eastAsia="Palatino Linotype" w:cs="Palatino Linotype"/>
        </w:rPr>
        <w:t>and RWE (using Qualus)</w:t>
      </w:r>
      <w:r w:rsidRPr="3163FCD3" w:rsidR="387E4F0C">
        <w:rPr>
          <w:rFonts w:ascii="Palatino Linotype" w:hAnsi="Palatino Linotype" w:eastAsia="Palatino Linotype" w:cs="Palatino Linotype"/>
        </w:rPr>
        <w:t xml:space="preserve"> (full summary found in Confidential Appendix A).</w:t>
      </w:r>
      <w:r w:rsidRPr="3163FCD3" w:rsidR="5C1BF408">
        <w:rPr>
          <w:rFonts w:ascii="Palatino Linotype" w:hAnsi="Palatino Linotype" w:eastAsia="Palatino Linotype" w:cs="Palatino Linotype"/>
        </w:rPr>
        <w:t xml:space="preserve"> </w:t>
      </w:r>
    </w:p>
    <w:p w:rsidR="7CB49843" w:rsidP="3163FCD3" w:rsidRDefault="0AC1ACD6" w14:paraId="2181E196" w14:textId="561756FD">
      <w:pPr>
        <w:rPr>
          <w:rFonts w:ascii="Palatino Linotype" w:hAnsi="Palatino Linotype" w:eastAsia="Palatino Linotype" w:cs="Palatino Linotype"/>
        </w:rPr>
      </w:pPr>
      <w:r w:rsidRPr="3163FCD3">
        <w:rPr>
          <w:rFonts w:ascii="Palatino Linotype" w:hAnsi="Palatino Linotype" w:eastAsia="Palatino Linotype" w:cs="Palatino Linotype"/>
        </w:rPr>
        <w:t>SDG&amp;E also notes that because Westside Canal Phase 2a has received interim deliverability</w:t>
      </w:r>
      <w:r w:rsidRPr="3163FCD3" w:rsidR="15583C7B">
        <w:rPr>
          <w:rFonts w:ascii="Palatino Linotype" w:hAnsi="Palatino Linotype" w:eastAsia="Palatino Linotype" w:cs="Palatino Linotype"/>
        </w:rPr>
        <w:t xml:space="preserve"> for two years so far</w:t>
      </w:r>
      <w:r w:rsidRPr="3163FCD3">
        <w:rPr>
          <w:rFonts w:ascii="Palatino Linotype" w:hAnsi="Palatino Linotype" w:eastAsia="Palatino Linotype" w:cs="Palatino Linotype"/>
        </w:rPr>
        <w:t xml:space="preserve">, </w:t>
      </w:r>
      <w:r w:rsidRPr="3163FCD3" w:rsidR="6B54E79C">
        <w:rPr>
          <w:rFonts w:ascii="Palatino Linotype" w:hAnsi="Palatino Linotype" w:eastAsia="Palatino Linotype" w:cs="Palatino Linotype"/>
        </w:rPr>
        <w:t xml:space="preserve"> and </w:t>
      </w:r>
      <w:r w:rsidRPr="3163FCD3">
        <w:rPr>
          <w:rFonts w:ascii="Palatino Linotype" w:hAnsi="Palatino Linotype" w:eastAsia="Palatino Linotype" w:cs="Palatino Linotype"/>
        </w:rPr>
        <w:t>it “will maintain any Interim Deliverability until (1) the Interconnection Customer to which that Deliverability was originally allocated achieves its Commercial Operation Date; or (2) the CAISO completes the next scheduled Deliverability Assessment and the Generating Facility’s Delivery Network Upgrades are complete, enabling Partial Capacity or Full Capacity Deliverability Status.”</w:t>
      </w:r>
      <w:r w:rsidRPr="3163FCD3" w:rsidR="7CB49843">
        <w:rPr>
          <w:rStyle w:val="FootnoteReference"/>
          <w:rFonts w:ascii="Palatino Linotype" w:hAnsi="Palatino Linotype" w:eastAsia="Palatino Linotype" w:cs="Palatino Linotype"/>
        </w:rPr>
        <w:footnoteReference w:id="56"/>
      </w:r>
    </w:p>
    <w:p w:rsidR="07C4EF08" w:rsidP="3163FCD3" w:rsidRDefault="528F66FC" w14:paraId="3941AFE3" w14:textId="28927DF2">
      <w:pPr>
        <w:rPr>
          <w:rFonts w:ascii="Palatino Linotype" w:hAnsi="Palatino Linotype" w:eastAsia="Palatino Linotype" w:cs="Palatino Linotype"/>
        </w:rPr>
      </w:pPr>
      <w:r w:rsidRPr="3163FCD3">
        <w:rPr>
          <w:rFonts w:ascii="Palatino Linotype" w:hAnsi="Palatino Linotype" w:eastAsia="Palatino Linotype" w:cs="Palatino Linotype"/>
        </w:rPr>
        <w:t xml:space="preserve">Further, Commission Decisions did not require deliverability status for summer reliability resources. D.21-12-015 states that: </w:t>
      </w:r>
    </w:p>
    <w:p w:rsidR="07C4EF08" w:rsidP="3163FCD3" w:rsidRDefault="4B240A7D" w14:paraId="473DACB3" w14:textId="1D3F023A">
      <w:pPr>
        <w:ind w:left="720"/>
        <w:rPr>
          <w:rFonts w:ascii="Palatino Linotype" w:hAnsi="Palatino Linotype" w:eastAsia="Palatino Linotype" w:cs="Palatino Linotype"/>
        </w:rPr>
      </w:pPr>
      <w:r w:rsidRPr="6AA5A77E">
        <w:rPr>
          <w:rFonts w:ascii="Palatino Linotype" w:hAnsi="Palatino Linotype" w:eastAsia="Palatino Linotype" w:cs="Palatino Linotype"/>
        </w:rPr>
        <w:t>We allow energy storage projects that are not fully deliverable as long as they provide peak and net peak grid reliability benefits in summer 2022 or 2023.</w:t>
      </w:r>
      <w:r w:rsidRPr="6AA5A77E" w:rsidR="528F66FC">
        <w:rPr>
          <w:rStyle w:val="FootnoteReference"/>
          <w:rFonts w:ascii="Palatino Linotype" w:hAnsi="Palatino Linotype" w:eastAsia="Palatino Linotype" w:cs="Palatino Linotype"/>
        </w:rPr>
        <w:footnoteReference w:id="57"/>
      </w:r>
    </w:p>
    <w:p w:rsidR="07C4EF08" w:rsidP="3163FCD3" w:rsidRDefault="528F66FC" w14:paraId="63CD8FCA" w14:textId="49E4699C">
      <w:pPr>
        <w:rPr>
          <w:rFonts w:ascii="Palatino Linotype" w:hAnsi="Palatino Linotype" w:eastAsia="Palatino Linotype" w:cs="Palatino Linotype"/>
        </w:rPr>
      </w:pPr>
      <w:r w:rsidRPr="3163FCD3">
        <w:rPr>
          <w:rFonts w:ascii="Palatino Linotype" w:hAnsi="Palatino Linotype" w:eastAsia="Palatino Linotype" w:cs="Palatino Linotype"/>
        </w:rPr>
        <w:t>D.21-12-015 also states that</w:t>
      </w:r>
      <w:r w:rsidRPr="3163FCD3" w:rsidR="7054B5F6">
        <w:rPr>
          <w:rFonts w:ascii="Palatino Linotype" w:hAnsi="Palatino Linotype" w:eastAsia="Palatino Linotype" w:cs="Palatino Linotype"/>
        </w:rPr>
        <w:t>:</w:t>
      </w:r>
    </w:p>
    <w:p w:rsidR="07C4EF08" w:rsidP="3163FCD3" w:rsidRDefault="4B240A7D" w14:paraId="516345A3" w14:textId="143301A2">
      <w:pPr>
        <w:ind w:left="720"/>
        <w:rPr>
          <w:rFonts w:ascii="Palatino Linotype" w:hAnsi="Palatino Linotype" w:eastAsia="Palatino Linotype" w:cs="Palatino Linotype"/>
        </w:rPr>
      </w:pPr>
      <w:r w:rsidRPr="6AA5A77E">
        <w:rPr>
          <w:rFonts w:ascii="Palatino Linotype" w:hAnsi="Palatino Linotype" w:eastAsia="Palatino Linotype" w:cs="Palatino Linotype"/>
        </w:rPr>
        <w:t xml:space="preserve"> New resources that have not yet reached full capacity deliverability status but are capable of providing energy/grid reliability benefits during the peak and net peak periods will also be considered.</w:t>
      </w:r>
      <w:r w:rsidRPr="6AA5A77E" w:rsidR="528F66FC">
        <w:rPr>
          <w:rStyle w:val="FootnoteReference"/>
          <w:rFonts w:ascii="Palatino Linotype" w:hAnsi="Palatino Linotype" w:eastAsia="Palatino Linotype" w:cs="Palatino Linotype"/>
        </w:rPr>
        <w:footnoteReference w:id="58"/>
      </w:r>
    </w:p>
    <w:p w:rsidR="07C4EF08" w:rsidP="05692A26" w:rsidRDefault="4B240A7D" w14:paraId="6C19F783" w14:textId="0D3B3E77">
      <w:pPr>
        <w:rPr>
          <w:rFonts w:ascii="Palatino Linotype" w:hAnsi="Palatino Linotype" w:eastAsia="Palatino Linotype" w:cs="Palatino Linotype"/>
        </w:rPr>
      </w:pPr>
      <w:r w:rsidRPr="7441B0D7">
        <w:rPr>
          <w:rFonts w:ascii="Palatino Linotype" w:hAnsi="Palatino Linotype" w:eastAsia="Palatino Linotype" w:cs="Palatino Linotype"/>
        </w:rPr>
        <w:t xml:space="preserve">We agree with SDG&amp;E that although Westside Canal Expansion </w:t>
      </w:r>
      <w:r w:rsidRPr="7441B0D7" w:rsidR="7B2F23A1">
        <w:rPr>
          <w:rFonts w:ascii="Palatino Linotype" w:hAnsi="Palatino Linotype" w:eastAsia="Palatino Linotype" w:cs="Palatino Linotype"/>
        </w:rPr>
        <w:t>Phase 2a</w:t>
      </w:r>
      <w:r w:rsidRPr="7441B0D7">
        <w:rPr>
          <w:rFonts w:ascii="Palatino Linotype" w:hAnsi="Palatino Linotype" w:eastAsia="Palatino Linotype" w:cs="Palatino Linotype"/>
        </w:rPr>
        <w:t xml:space="preserve"> will not achieve FCDS prior </w:t>
      </w:r>
      <w:r w:rsidRPr="7441B0D7" w:rsidR="11A04E38">
        <w:rPr>
          <w:rFonts w:ascii="Palatino Linotype" w:hAnsi="Palatino Linotype" w:eastAsia="Palatino Linotype" w:cs="Palatino Linotype"/>
        </w:rPr>
        <w:t>to 2034</w:t>
      </w:r>
      <w:r w:rsidRPr="7441B0D7">
        <w:rPr>
          <w:rFonts w:ascii="Palatino Linotype" w:hAnsi="Palatino Linotype" w:eastAsia="Palatino Linotype" w:cs="Palatino Linotype"/>
        </w:rPr>
        <w:t xml:space="preserve">, it is </w:t>
      </w:r>
      <w:r w:rsidRPr="7441B0D7" w:rsidR="4B838EB7">
        <w:rPr>
          <w:rFonts w:ascii="Palatino Linotype" w:hAnsi="Palatino Linotype" w:eastAsia="Palatino Linotype" w:cs="Palatino Linotype"/>
        </w:rPr>
        <w:t xml:space="preserve">eligible </w:t>
      </w:r>
      <w:r w:rsidRPr="7441B0D7" w:rsidR="366CF52F">
        <w:rPr>
          <w:rFonts w:ascii="Palatino Linotype" w:hAnsi="Palatino Linotype" w:eastAsia="Palatino Linotype" w:cs="Palatino Linotype"/>
        </w:rPr>
        <w:t>to</w:t>
      </w:r>
      <w:r w:rsidRPr="7441B0D7">
        <w:rPr>
          <w:rFonts w:ascii="Palatino Linotype" w:hAnsi="Palatino Linotype" w:eastAsia="Palatino Linotype" w:cs="Palatino Linotype"/>
        </w:rPr>
        <w:t xml:space="preserve"> receive interim deliverability in </w:t>
      </w:r>
      <w:r w:rsidRPr="7441B0D7" w:rsidR="5419E4F8">
        <w:rPr>
          <w:rFonts w:ascii="Palatino Linotype" w:hAnsi="Palatino Linotype" w:eastAsia="Palatino Linotype" w:cs="Palatino Linotype"/>
        </w:rPr>
        <w:t>the years prior</w:t>
      </w:r>
      <w:r w:rsidRPr="7441B0D7">
        <w:rPr>
          <w:rFonts w:ascii="Palatino Linotype" w:hAnsi="Palatino Linotype" w:eastAsia="Palatino Linotype" w:cs="Palatino Linotype"/>
        </w:rPr>
        <w:t>. Even in the case SDG&amp;E does not receive interim deliverability in future years, it will participate in the CAISO market and has the ability to charge and discharge, therefore contribut</w:t>
      </w:r>
      <w:r w:rsidRPr="7441B0D7" w:rsidR="54D3585A">
        <w:rPr>
          <w:rFonts w:ascii="Palatino Linotype" w:hAnsi="Palatino Linotype" w:eastAsia="Palatino Linotype" w:cs="Palatino Linotype"/>
        </w:rPr>
        <w:t>ing</w:t>
      </w:r>
      <w:r w:rsidRPr="7441B0D7">
        <w:rPr>
          <w:rFonts w:ascii="Palatino Linotype" w:hAnsi="Palatino Linotype" w:eastAsia="Palatino Linotype" w:cs="Palatino Linotype"/>
        </w:rPr>
        <w:t xml:space="preserve"> to reliability during peak and net peak periods. If the Westside Canal </w:t>
      </w:r>
      <w:r w:rsidRPr="7441B0D7" w:rsidR="6EC149A8">
        <w:rPr>
          <w:rFonts w:ascii="Palatino Linotype" w:hAnsi="Palatino Linotype" w:eastAsia="Palatino Linotype" w:cs="Palatino Linotype"/>
        </w:rPr>
        <w:t>Phase 2a</w:t>
      </w:r>
      <w:r w:rsidRPr="7441B0D7">
        <w:rPr>
          <w:rFonts w:ascii="Palatino Linotype" w:hAnsi="Palatino Linotype" w:eastAsia="Palatino Linotype" w:cs="Palatino Linotype"/>
        </w:rPr>
        <w:t xml:space="preserve"> project was expected to be fully deliverable during the next ten years, then it would likely be eligible to be contracted with any load serving entity to meet IRP compliance obligations under the Mid-term Reliability order (“MTR”), from </w:t>
      </w:r>
      <w:r w:rsidR="00D340F6">
        <w:rPr>
          <w:rFonts w:ascii="Palatino Linotype" w:hAnsi="Palatino Linotype" w:eastAsia="Palatino Linotype" w:cs="Palatino Linotype"/>
        </w:rPr>
        <w:br/>
      </w:r>
      <w:r w:rsidRPr="7441B0D7">
        <w:rPr>
          <w:rFonts w:ascii="Palatino Linotype" w:hAnsi="Palatino Linotype" w:eastAsia="Palatino Linotype" w:cs="Palatino Linotype"/>
        </w:rPr>
        <w:lastRenderedPageBreak/>
        <w:t xml:space="preserve">D.21-06-035. Instead, the instant project is effectively an energy-only project, for now, and thus does not directly compete with MTR compliance yet is expected to be fully interconnected to the grid as a resource that can provide reliability. Since there are </w:t>
      </w:r>
      <w:r w:rsidR="00D340F6">
        <w:rPr>
          <w:rFonts w:ascii="Palatino Linotype" w:hAnsi="Palatino Linotype" w:eastAsia="Palatino Linotype" w:cs="Palatino Linotype"/>
        </w:rPr>
        <w:br/>
      </w:r>
      <w:r w:rsidRPr="7441B0D7">
        <w:rPr>
          <w:rFonts w:ascii="Palatino Linotype" w:hAnsi="Palatino Linotype" w:eastAsia="Palatino Linotype" w:cs="Palatino Linotype"/>
        </w:rPr>
        <w:t xml:space="preserve">131 MW of 4-hour duration batteries from Phase 1 at the same point of interconnection that do have deliverability, the operation of Phase 2a and Phase 2b resources will likely allow grid operators to develop expertise with “synthetic” long-duration storage resources since the Phase 2 resources could dispatch </w:t>
      </w:r>
      <w:r w:rsidRPr="7441B0D7" w:rsidR="5521830C">
        <w:rPr>
          <w:rFonts w:ascii="Palatino Linotype" w:hAnsi="Palatino Linotype" w:eastAsia="Palatino Linotype" w:cs="Palatino Linotype"/>
        </w:rPr>
        <w:t xml:space="preserve">to provide reliability </w:t>
      </w:r>
      <w:r w:rsidRPr="7441B0D7">
        <w:rPr>
          <w:rFonts w:ascii="Palatino Linotype" w:hAnsi="Palatino Linotype" w:eastAsia="Palatino Linotype" w:cs="Palatino Linotype"/>
        </w:rPr>
        <w:t xml:space="preserve">after </w:t>
      </w:r>
      <w:r w:rsidR="00D340F6">
        <w:rPr>
          <w:rFonts w:ascii="Palatino Linotype" w:hAnsi="Palatino Linotype" w:eastAsia="Palatino Linotype" w:cs="Palatino Linotype"/>
        </w:rPr>
        <w:br/>
      </w:r>
      <w:r w:rsidRPr="7441B0D7">
        <w:rPr>
          <w:rFonts w:ascii="Palatino Linotype" w:hAnsi="Palatino Linotype" w:eastAsia="Palatino Linotype" w:cs="Palatino Linotype"/>
        </w:rPr>
        <w:t xml:space="preserve">Phase 1 was depleted. Further, since SDG&amp;E has operational control of Phase 1, they could potentially optimize the bidding and scheduling of the two resources to support reliability. </w:t>
      </w:r>
    </w:p>
    <w:p w:rsidR="5CCEDAFA" w:rsidP="4D09BD7A" w:rsidRDefault="1CFC256B" w14:paraId="11A6F042" w14:textId="314D1D79">
      <w:pPr>
        <w:rPr>
          <w:rFonts w:ascii="Palatino Linotype" w:hAnsi="Palatino Linotype" w:eastAsia="Palatino Linotype" w:cs="Palatino Linotype"/>
        </w:rPr>
      </w:pPr>
      <w:r w:rsidRPr="7441B0D7">
        <w:rPr>
          <w:rFonts w:ascii="Palatino Linotype" w:hAnsi="Palatino Linotype" w:eastAsia="Palatino Linotype" w:cs="Palatino Linotype"/>
        </w:rPr>
        <w:t xml:space="preserve">We direct SDG&amp;E to provide quarterly updates to the CAM PRG on deliverability status and project operations for the first </w:t>
      </w:r>
      <w:r w:rsidRPr="7441B0D7" w:rsidR="123F1FDA">
        <w:rPr>
          <w:rFonts w:ascii="Palatino Linotype" w:hAnsi="Palatino Linotype" w:eastAsia="Palatino Linotype" w:cs="Palatino Linotype"/>
        </w:rPr>
        <w:t xml:space="preserve">three </w:t>
      </w:r>
      <w:r w:rsidRPr="7441B0D7">
        <w:rPr>
          <w:rFonts w:ascii="Palatino Linotype" w:hAnsi="Palatino Linotype" w:eastAsia="Palatino Linotype" w:cs="Palatino Linotype"/>
        </w:rPr>
        <w:t>years of operation</w:t>
      </w:r>
      <w:r w:rsidRPr="7441B0D7" w:rsidR="4F80DDA2">
        <w:rPr>
          <w:rFonts w:ascii="Palatino Linotype" w:hAnsi="Palatino Linotype" w:eastAsia="Palatino Linotype" w:cs="Palatino Linotype"/>
        </w:rPr>
        <w:t xml:space="preserve"> and thereafter at the request of PRG participants</w:t>
      </w:r>
      <w:r w:rsidRPr="7441B0D7">
        <w:rPr>
          <w:rFonts w:ascii="Palatino Linotype" w:hAnsi="Palatino Linotype" w:eastAsia="Palatino Linotype" w:cs="Palatino Linotype"/>
        </w:rPr>
        <w:t>.</w:t>
      </w:r>
    </w:p>
    <w:p w:rsidR="07C4EF08" w:rsidP="05692A26" w:rsidRDefault="528F66FC" w14:paraId="1303856F" w14:textId="4C4688FF">
      <w:pPr>
        <w:rPr>
          <w:rFonts w:ascii="Palatino Linotype" w:hAnsi="Palatino Linotype" w:eastAsia="Palatino Linotype" w:cs="Palatino Linotype"/>
          <w:b/>
          <w:bCs/>
        </w:rPr>
      </w:pPr>
      <w:r w:rsidRPr="05692A26">
        <w:rPr>
          <w:rFonts w:ascii="Palatino Linotype" w:hAnsi="Palatino Linotype" w:eastAsia="Palatino Linotype" w:cs="Palatino Linotype"/>
          <w:b/>
          <w:bCs/>
        </w:rPr>
        <w:t xml:space="preserve">Effective PRM Target </w:t>
      </w:r>
    </w:p>
    <w:p w:rsidR="07C4EF08" w:rsidP="3163FCD3" w:rsidRDefault="4B240A7D" w14:paraId="2AA5CC91" w14:textId="5582E472">
      <w:pPr>
        <w:rPr>
          <w:rFonts w:ascii="Palatino Linotype" w:hAnsi="Palatino Linotype" w:eastAsia="Palatino Linotype" w:cs="Palatino Linotype"/>
        </w:rPr>
      </w:pPr>
      <w:r w:rsidRPr="3163FCD3">
        <w:rPr>
          <w:rFonts w:ascii="Palatino Linotype" w:hAnsi="Palatino Linotype" w:eastAsia="Palatino Linotype" w:cs="Palatino Linotype"/>
        </w:rPr>
        <w:t xml:space="preserve">Cal Advocates argues that this project is not needed to meet SDG&amp;E’s non-binding EPRM target for </w:t>
      </w:r>
      <w:r w:rsidRPr="3163FCD3" w:rsidR="6481B6EA">
        <w:rPr>
          <w:rFonts w:ascii="Palatino Linotype" w:hAnsi="Palatino Linotype" w:eastAsia="Palatino Linotype" w:cs="Palatino Linotype"/>
        </w:rPr>
        <w:t xml:space="preserve">the </w:t>
      </w:r>
      <w:r w:rsidRPr="3163FCD3">
        <w:rPr>
          <w:rFonts w:ascii="Palatino Linotype" w:hAnsi="Palatino Linotype" w:eastAsia="Palatino Linotype" w:cs="Palatino Linotype"/>
        </w:rPr>
        <w:t>summer</w:t>
      </w:r>
      <w:r w:rsidRPr="3163FCD3" w:rsidR="0C9AB84E">
        <w:rPr>
          <w:rFonts w:ascii="Palatino Linotype" w:hAnsi="Palatino Linotype" w:eastAsia="Palatino Linotype" w:cs="Palatino Linotype"/>
        </w:rPr>
        <w:t>s of 2026 and 2027, and that it would exceed SDG&amp;E’s maximum target in the Commission’s required 120-220 MW range for the summers of 2026 and 2027.</w:t>
      </w:r>
      <w:r w:rsidRPr="3163FCD3" w:rsidR="07C4EF08">
        <w:rPr>
          <w:rStyle w:val="FootnoteReference"/>
          <w:rFonts w:ascii="Palatino Linotype" w:hAnsi="Palatino Linotype" w:eastAsia="Palatino Linotype" w:cs="Palatino Linotype"/>
        </w:rPr>
        <w:footnoteReference w:id="59"/>
      </w:r>
      <w:r w:rsidRPr="3163FCD3" w:rsidR="615F5573">
        <w:rPr>
          <w:rFonts w:ascii="Palatino Linotype" w:hAnsi="Palatino Linotype" w:eastAsia="Palatino Linotype" w:cs="Palatino Linotype"/>
        </w:rPr>
        <w:t xml:space="preserve"> </w:t>
      </w:r>
      <w:r w:rsidRPr="3163FCD3">
        <w:rPr>
          <w:rFonts w:ascii="Palatino Linotype" w:hAnsi="Palatino Linotype" w:eastAsia="Palatino Linotype" w:cs="Palatino Linotype"/>
        </w:rPr>
        <w:t>Cal Advocates</w:t>
      </w:r>
      <w:r w:rsidRPr="3163FCD3" w:rsidR="59B36CE5">
        <w:rPr>
          <w:rFonts w:ascii="Palatino Linotype" w:hAnsi="Palatino Linotype" w:eastAsia="Palatino Linotype" w:cs="Palatino Linotype"/>
        </w:rPr>
        <w:t xml:space="preserve"> </w:t>
      </w:r>
      <w:r w:rsidRPr="3163FCD3">
        <w:rPr>
          <w:rFonts w:ascii="Palatino Linotype" w:hAnsi="Palatino Linotype" w:eastAsia="Palatino Linotype" w:cs="Palatino Linotype"/>
        </w:rPr>
        <w:t xml:space="preserve">indicates that </w:t>
      </w:r>
      <w:r w:rsidRPr="3163FCD3" w:rsidR="52E78917">
        <w:rPr>
          <w:rFonts w:ascii="Palatino Linotype" w:hAnsi="Palatino Linotype" w:eastAsia="Palatino Linotype" w:cs="Palatino Linotype"/>
        </w:rPr>
        <w:t>SDG&amp;E may procure demand-side resources in the next few years to fulfill its EPRM target</w:t>
      </w:r>
      <w:r w:rsidRPr="3163FCD3" w:rsidR="0486A018">
        <w:rPr>
          <w:rFonts w:ascii="Palatino Linotype" w:hAnsi="Palatino Linotype" w:eastAsia="Palatino Linotype" w:cs="Palatino Linotype"/>
        </w:rPr>
        <w:t>.</w:t>
      </w:r>
      <w:r w:rsidRPr="3163FCD3" w:rsidR="07C4EF08">
        <w:rPr>
          <w:rStyle w:val="FootnoteReference"/>
          <w:rFonts w:ascii="Palatino Linotype" w:hAnsi="Palatino Linotype" w:eastAsia="Palatino Linotype" w:cs="Palatino Linotype"/>
        </w:rPr>
        <w:footnoteReference w:id="60"/>
      </w:r>
      <w:r w:rsidRPr="3163FCD3" w:rsidR="00893607">
        <w:rPr>
          <w:rFonts w:ascii="Palatino Linotype" w:hAnsi="Palatino Linotype" w:eastAsia="Palatino Linotype" w:cs="Palatino Linotype"/>
        </w:rPr>
        <w:t xml:space="preserve"> CalCCA also argues that </w:t>
      </w:r>
      <w:r w:rsidRPr="3163FCD3" w:rsidR="6D059B95">
        <w:rPr>
          <w:rFonts w:ascii="Palatino Linotype" w:hAnsi="Palatino Linotype" w:eastAsia="Palatino Linotype" w:cs="Palatino Linotype"/>
        </w:rPr>
        <w:t>SDG&amp;E may not exceed the upper range of the EPRM target authorized in D.25-06-048.</w:t>
      </w:r>
      <w:r w:rsidRPr="3163FCD3" w:rsidR="28C7376C">
        <w:rPr>
          <w:rFonts w:ascii="Palatino Linotype" w:hAnsi="Palatino Linotype" w:eastAsia="Palatino Linotype" w:cs="Palatino Linotype"/>
        </w:rPr>
        <w:t xml:space="preserve"> CalCCA states that D.23-06-029 and D.25-06-048 established a range of EPRM procurement</w:t>
      </w:r>
      <w:r w:rsidRPr="3163FCD3" w:rsidR="05B53370">
        <w:rPr>
          <w:rFonts w:ascii="Palatino Linotype" w:hAnsi="Palatino Linotype" w:eastAsia="Palatino Linotype" w:cs="Palatino Linotype"/>
        </w:rPr>
        <w:t xml:space="preserve"> without any percentage adder, rather than a single target with a percentage adder as prior decisions had done. CalCCA </w:t>
      </w:r>
      <w:r w:rsidRPr="3163FCD3" w:rsidR="5B639447">
        <w:rPr>
          <w:rFonts w:ascii="Palatino Linotype" w:hAnsi="Palatino Linotype" w:eastAsia="Palatino Linotype" w:cs="Palatino Linotype"/>
        </w:rPr>
        <w:t xml:space="preserve">asserts that the ranges authorized in D.23-06-029 and D.25-06-048 eliminated the need for an </w:t>
      </w:r>
      <w:r w:rsidRPr="3163FCD3" w:rsidR="360C47BF">
        <w:rPr>
          <w:rFonts w:ascii="Palatino Linotype" w:hAnsi="Palatino Linotype" w:eastAsia="Palatino Linotype" w:cs="Palatino Linotype"/>
        </w:rPr>
        <w:t>adder in which the IOUs are encouraged to exceed their respective targets</w:t>
      </w:r>
      <w:r w:rsidRPr="3163FCD3" w:rsidR="34983AAC">
        <w:rPr>
          <w:rFonts w:ascii="Palatino Linotype" w:hAnsi="Palatino Linotype" w:eastAsia="Palatino Linotype" w:cs="Palatino Linotype"/>
        </w:rPr>
        <w:t>.</w:t>
      </w:r>
      <w:r w:rsidRPr="3163FCD3" w:rsidR="76C282A6">
        <w:rPr>
          <w:rFonts w:ascii="Palatino Linotype" w:hAnsi="Palatino Linotype" w:eastAsia="Palatino Linotype" w:cs="Palatino Linotype"/>
        </w:rPr>
        <w:t xml:space="preserve"> CalCCA urges that if SDG&amp;E procures Westside Canal Phase 2a, then only 11.4 MW of the project may be allocated to CAM, and the remaining 107.6 MW should be allocated to SDG&amp;E's bundled load.</w:t>
      </w:r>
      <w:r w:rsidRPr="3163FCD3" w:rsidR="07C4EF08">
        <w:rPr>
          <w:rStyle w:val="FootnoteReference"/>
          <w:rFonts w:ascii="Palatino Linotype" w:hAnsi="Palatino Linotype" w:eastAsia="Palatino Linotype" w:cs="Palatino Linotype"/>
        </w:rPr>
        <w:footnoteReference w:id="61"/>
      </w:r>
    </w:p>
    <w:p w:rsidR="07C4EF08" w:rsidP="190E8F6F" w:rsidRDefault="2AA20777" w14:paraId="127832A0" w14:textId="33D9A535">
      <w:pPr>
        <w:rPr>
          <w:rFonts w:ascii="Palatino Linotype" w:hAnsi="Palatino Linotype" w:eastAsia="Palatino Linotype" w:cs="Palatino Linotype"/>
        </w:rPr>
      </w:pPr>
      <w:r w:rsidRPr="3163FCD3">
        <w:rPr>
          <w:rFonts w:ascii="Palatino Linotype" w:hAnsi="Palatino Linotype" w:eastAsia="Palatino Linotype" w:cs="Palatino Linotype"/>
        </w:rPr>
        <w:lastRenderedPageBreak/>
        <w:t>We agree with SDG&amp;E that</w:t>
      </w:r>
      <w:r w:rsidRPr="3163FCD3" w:rsidR="116CC148">
        <w:rPr>
          <w:rFonts w:ascii="Palatino Linotype" w:hAnsi="Palatino Linotype" w:eastAsia="Palatino Linotype" w:cs="Palatino Linotype"/>
        </w:rPr>
        <w:t xml:space="preserve"> although the procurement of Westside Canal Phase 2a will exceed the target established in D.25-06-048, this is consistent with the direction set forth in D.21-12-015 (and incorporated by reference in D.25-06-048) that the IOUs may “meet and exceed” their individual EPRM targets.</w:t>
      </w:r>
      <w:r w:rsidRPr="3163FCD3" w:rsidR="07C4EF08">
        <w:rPr>
          <w:rStyle w:val="FootnoteReference"/>
          <w:rFonts w:ascii="Palatino Linotype" w:hAnsi="Palatino Linotype" w:eastAsia="Palatino Linotype" w:cs="Palatino Linotype"/>
        </w:rPr>
        <w:footnoteReference w:id="62"/>
      </w:r>
      <w:r w:rsidRPr="3163FCD3" w:rsidR="52CA74EE">
        <w:rPr>
          <w:rFonts w:ascii="Palatino Linotype" w:hAnsi="Palatino Linotype" w:eastAsia="Palatino Linotype" w:cs="Palatino Linotype"/>
        </w:rPr>
        <w:t xml:space="preserve"> We also </w:t>
      </w:r>
      <w:r w:rsidRPr="3163FCD3" w:rsidR="2178FF11">
        <w:rPr>
          <w:rFonts w:ascii="Palatino Linotype" w:hAnsi="Palatino Linotype" w:eastAsia="Palatino Linotype" w:cs="Palatino Linotype"/>
        </w:rPr>
        <w:t xml:space="preserve">agree </w:t>
      </w:r>
      <w:r w:rsidRPr="3163FCD3" w:rsidR="52CA74EE">
        <w:rPr>
          <w:rFonts w:ascii="Palatino Linotype" w:hAnsi="Palatino Linotype" w:eastAsia="Palatino Linotype" w:cs="Palatino Linotype"/>
        </w:rPr>
        <w:t>with SDG&amp;E that the procurement of this project will enhance system reliability and may offer a hedge against potential future procurement deficiencies.</w:t>
      </w:r>
    </w:p>
    <w:p w:rsidR="07C4EF08" w:rsidP="3163FCD3" w:rsidRDefault="07C4EF08" w14:paraId="111E1CA0" w14:textId="52A6B85C">
      <w:pPr>
        <w:rPr>
          <w:rFonts w:ascii="Palatino Linotype" w:hAnsi="Palatino Linotype" w:eastAsia="Palatino Linotype" w:cs="Palatino Linotype"/>
        </w:rPr>
      </w:pPr>
      <w:r w:rsidRPr="6AA5A77E">
        <w:rPr>
          <w:rFonts w:ascii="Palatino Linotype" w:hAnsi="Palatino Linotype" w:eastAsia="Palatino Linotype" w:cs="Palatino Linotype"/>
        </w:rPr>
        <w:t>D.</w:t>
      </w:r>
      <w:r w:rsidRPr="6AA5A77E" w:rsidR="113A6E53">
        <w:rPr>
          <w:rFonts w:ascii="Palatino Linotype" w:hAnsi="Palatino Linotype" w:eastAsia="Palatino Linotype" w:cs="Palatino Linotype"/>
        </w:rPr>
        <w:t>25-06-048</w:t>
      </w:r>
      <w:r w:rsidRPr="6AA5A77E">
        <w:rPr>
          <w:rFonts w:ascii="Palatino Linotype" w:hAnsi="Palatino Linotype" w:eastAsia="Palatino Linotype" w:cs="Palatino Linotype"/>
        </w:rPr>
        <w:t xml:space="preserve"> established </w:t>
      </w:r>
      <w:r w:rsidRPr="6AA5A77E" w:rsidR="07CDD9D8">
        <w:rPr>
          <w:rFonts w:ascii="Palatino Linotype" w:hAnsi="Palatino Linotype" w:eastAsia="Palatino Linotype" w:cs="Palatino Linotype"/>
        </w:rPr>
        <w:t>that:</w:t>
      </w:r>
    </w:p>
    <w:p w:rsidR="07C4EF08" w:rsidP="3163FCD3" w:rsidRDefault="2BDDC010" w14:paraId="0BB6114C" w14:textId="2E9B500B">
      <w:pPr>
        <w:ind w:left="720"/>
        <w:rPr>
          <w:rFonts w:ascii="Palatino Linotype" w:hAnsi="Palatino Linotype" w:eastAsia="Palatino Linotype" w:cs="Palatino Linotype"/>
        </w:rPr>
      </w:pPr>
      <w:r w:rsidRPr="6AA5A77E">
        <w:rPr>
          <w:rFonts w:ascii="Palatino Linotype" w:hAnsi="Palatino Linotype" w:eastAsia="Palatino Linotype" w:cs="Palatino Linotype"/>
        </w:rPr>
        <w:t xml:space="preserve">For the 2026 and 2027 Resource Adequacy (RA) compliance years, a 18% planning reserve margin (PRM), and an extension of the effective PRM procurement target of 1,260-2,300 megawatts (MW) for June-October, is adopted.  The procurement target will be divided between the three investor-owned utilities as follows: 120-220 MW San Diego Gas &amp; Electric Company, and </w:t>
      </w:r>
      <w:r w:rsidR="00D340F6">
        <w:rPr>
          <w:rFonts w:ascii="Palatino Linotype" w:hAnsi="Palatino Linotype" w:eastAsia="Palatino Linotype" w:cs="Palatino Linotype"/>
        </w:rPr>
        <w:br/>
      </w:r>
      <w:r w:rsidRPr="6AA5A77E">
        <w:rPr>
          <w:rFonts w:ascii="Palatino Linotype" w:hAnsi="Palatino Linotype" w:eastAsia="Palatino Linotype" w:cs="Palatino Linotype"/>
        </w:rPr>
        <w:t>570</w:t>
      </w:r>
      <w:r w:rsidRPr="6AA5A77E" w:rsidR="266FCBB0">
        <w:rPr>
          <w:rFonts w:ascii="Palatino Linotype" w:hAnsi="Palatino Linotype" w:eastAsia="Palatino Linotype" w:cs="Palatino Linotype"/>
        </w:rPr>
        <w:t>-</w:t>
      </w:r>
      <w:r w:rsidRPr="6AA5A77E">
        <w:rPr>
          <w:rFonts w:ascii="Palatino Linotype" w:hAnsi="Palatino Linotype" w:eastAsia="Palatino Linotype" w:cs="Palatino Linotype"/>
        </w:rPr>
        <w:t>1,040 MW each for Pacific Gas and Electric Company and Southern California Edison Company.  The requirements adopted in Decision 23-06-029 pertaining to the effective planning reserve margin are applicable to the effective PRM adopted in this decision, with the exception that load-serving entities are no longer required to submit non-binding month-ahead RA filings.</w:t>
      </w:r>
      <w:r w:rsidRPr="6AA5A77E" w:rsidR="07CDD9D8">
        <w:rPr>
          <w:rStyle w:val="FootnoteReference"/>
          <w:rFonts w:ascii="Palatino Linotype" w:hAnsi="Palatino Linotype" w:eastAsia="Palatino Linotype" w:cs="Palatino Linotype"/>
        </w:rPr>
        <w:footnoteReference w:id="63"/>
      </w:r>
    </w:p>
    <w:p w:rsidR="07C4EF08" w:rsidP="3163FCD3" w:rsidRDefault="63E28B83" w14:paraId="71472D93" w14:textId="534895E4">
      <w:pPr>
        <w:rPr>
          <w:rFonts w:ascii="Palatino Linotype" w:hAnsi="Palatino Linotype" w:eastAsia="Palatino Linotype" w:cs="Palatino Linotype"/>
        </w:rPr>
      </w:pPr>
      <w:r w:rsidRPr="6AA5A77E">
        <w:rPr>
          <w:rFonts w:ascii="Palatino Linotype" w:hAnsi="Palatino Linotype" w:eastAsia="Palatino Linotype" w:cs="Palatino Linotype"/>
        </w:rPr>
        <w:t>I</w:t>
      </w:r>
      <w:r w:rsidRPr="6AA5A77E" w:rsidR="337B8B47">
        <w:rPr>
          <w:rFonts w:ascii="Palatino Linotype" w:hAnsi="Palatino Linotype" w:eastAsia="Palatino Linotype" w:cs="Palatino Linotype"/>
        </w:rPr>
        <w:t>n D.23-06-029</w:t>
      </w:r>
      <w:r w:rsidRPr="6AA5A77E" w:rsidR="113B45A8">
        <w:rPr>
          <w:rFonts w:ascii="Palatino Linotype" w:hAnsi="Palatino Linotype" w:eastAsia="Palatino Linotype" w:cs="Palatino Linotype"/>
        </w:rPr>
        <w:t>, the requirements adopted in D</w:t>
      </w:r>
      <w:r w:rsidRPr="6AA5A77E" w:rsidR="69F5655C">
        <w:rPr>
          <w:rFonts w:ascii="Palatino Linotype" w:hAnsi="Palatino Linotype" w:eastAsia="Palatino Linotype" w:cs="Palatino Linotype"/>
        </w:rPr>
        <w:t>.</w:t>
      </w:r>
      <w:r w:rsidRPr="6AA5A77E" w:rsidR="113B45A8">
        <w:rPr>
          <w:rFonts w:ascii="Palatino Linotype" w:hAnsi="Palatino Linotype" w:eastAsia="Palatino Linotype" w:cs="Palatino Linotype"/>
        </w:rPr>
        <w:t xml:space="preserve">21-12-015 were </w:t>
      </w:r>
      <w:r w:rsidRPr="6AA5A77E" w:rsidR="337B8B47">
        <w:rPr>
          <w:rFonts w:ascii="Palatino Linotype" w:hAnsi="Palatino Linotype" w:eastAsia="Palatino Linotype" w:cs="Palatino Linotype"/>
        </w:rPr>
        <w:t>extended:</w:t>
      </w:r>
    </w:p>
    <w:p w:rsidR="07C4EF08" w:rsidP="3163FCD3" w:rsidRDefault="012B7B3C" w14:paraId="6D1F5461" w14:textId="4353B319">
      <w:pPr>
        <w:ind w:left="720"/>
        <w:rPr>
          <w:rFonts w:ascii="Palatino Linotype" w:hAnsi="Palatino Linotype" w:eastAsia="Palatino Linotype" w:cs="Palatino Linotype"/>
        </w:rPr>
      </w:pPr>
      <w:r w:rsidRPr="6AA5A77E">
        <w:rPr>
          <w:rFonts w:ascii="Palatino Linotype" w:hAnsi="Palatino Linotype" w:eastAsia="Palatino Linotype" w:cs="Palatino Linotype"/>
        </w:rPr>
        <w:t>The requirements adopted in Decision (D.) 21-12-015 pertaining to the effective planning reserve margin (PRM) are applicable to the effective PRM adopted in Ordering Paragraph 7.  Specifically, resources eligible to count towards the effective PRM will remain unchanged from D.21-12-015 and all resources that are currently eligible to be contingency resources will remain eligible to be contingency resources in 2024 and 2025.</w:t>
      </w:r>
      <w:r w:rsidRPr="6AA5A77E" w:rsidR="37215367">
        <w:rPr>
          <w:rStyle w:val="FootnoteReference"/>
          <w:rFonts w:ascii="Palatino Linotype" w:hAnsi="Palatino Linotype" w:eastAsia="Palatino Linotype" w:cs="Palatino Linotype"/>
        </w:rPr>
        <w:footnoteReference w:id="64"/>
      </w:r>
    </w:p>
    <w:p w:rsidR="07C4EF08" w:rsidP="3163FCD3" w:rsidRDefault="18EE3C37" w14:paraId="0FE0E441" w14:textId="50AF8989">
      <w:pPr>
        <w:rPr>
          <w:rFonts w:ascii="Palatino Linotype" w:hAnsi="Palatino Linotype" w:eastAsia="Palatino Linotype" w:cs="Palatino Linotype"/>
        </w:rPr>
      </w:pPr>
      <w:r w:rsidRPr="3163FCD3">
        <w:rPr>
          <w:rFonts w:ascii="Palatino Linotype" w:hAnsi="Palatino Linotype" w:eastAsia="Palatino Linotype" w:cs="Palatino Linotype"/>
        </w:rPr>
        <w:t>D.21-12-015 encourages the IOUs to exceed their EPRM target. D.21-12-015 states that:</w:t>
      </w:r>
    </w:p>
    <w:p w:rsidR="07C4EF08" w:rsidP="3163FCD3" w:rsidRDefault="5BEE3D97" w14:paraId="6CB1C076" w14:textId="34FE6921">
      <w:pPr>
        <w:ind w:left="720"/>
        <w:rPr>
          <w:rFonts w:ascii="Palatino Linotype" w:hAnsi="Palatino Linotype" w:eastAsia="Palatino Linotype" w:cs="Palatino Linotype"/>
        </w:rPr>
      </w:pPr>
      <w:r w:rsidRPr="6AA5A77E">
        <w:rPr>
          <w:rFonts w:ascii="Palatino Linotype" w:hAnsi="Palatino Linotype" w:eastAsia="Palatino Linotype" w:cs="Palatino Linotype"/>
        </w:rPr>
        <w:t xml:space="preserve">For the supply side procurement ordered in this decision, Pacific Gas and Electric Company, Southern California Edison Company, and San Diego Gas &amp; Electric Company shall continue their procurement efforts and endeavor to meet and </w:t>
      </w:r>
      <w:r w:rsidRPr="6AA5A77E">
        <w:rPr>
          <w:rFonts w:ascii="Palatino Linotype" w:hAnsi="Palatino Linotype" w:eastAsia="Palatino Linotype" w:cs="Palatino Linotype"/>
        </w:rPr>
        <w:lastRenderedPageBreak/>
        <w:t>exceed their respective incremental procurement targets to achieve the range of additional procurement authorized in this decision for the months of concern. These efforts should take the form of solicitations, ongoing bilateral negotiations, Investor-Owned Utilities offering counterparties an opportunity to refresh prior Integrated Resource Plan (IRP) procurement bids, accelerated procurement of resources procured by Load Serving Entities to meet their IRP obligations for summer months prior to their required online dates, upgrades resulting in increased efficiency of existing generation resources, and imports.</w:t>
      </w:r>
      <w:r w:rsidRPr="6AA5A77E" w:rsidR="07C4EF08">
        <w:rPr>
          <w:rStyle w:val="FootnoteReference"/>
          <w:rFonts w:ascii="Palatino Linotype" w:hAnsi="Palatino Linotype" w:eastAsia="Palatino Linotype" w:cs="Palatino Linotype"/>
        </w:rPr>
        <w:footnoteReference w:id="65"/>
      </w:r>
    </w:p>
    <w:p w:rsidR="6830542A" w:rsidP="4D09BD7A" w:rsidRDefault="6830542A" w14:paraId="3AD5F60F" w14:textId="1A16F963">
      <w:pPr>
        <w:rPr>
          <w:rFonts w:ascii="Palatino Linotype" w:hAnsi="Palatino Linotype" w:eastAsia="Palatino Linotype" w:cs="Palatino Linotype"/>
        </w:rPr>
      </w:pPr>
      <w:r w:rsidRPr="4D09BD7A">
        <w:rPr>
          <w:rFonts w:ascii="Palatino Linotype" w:hAnsi="Palatino Linotype" w:eastAsia="Palatino Linotype" w:cs="Palatino Linotype"/>
        </w:rPr>
        <w:t>D.21-12-015 also notes that:</w:t>
      </w:r>
    </w:p>
    <w:p w:rsidR="6830542A" w:rsidP="4D09BD7A" w:rsidRDefault="6094B68D" w14:paraId="2D4C1EC0" w14:textId="3FA3A52D">
      <w:pPr>
        <w:ind w:left="720"/>
        <w:rPr>
          <w:rFonts w:ascii="Palatino Linotype" w:hAnsi="Palatino Linotype" w:eastAsia="Palatino Linotype" w:cs="Palatino Linotype"/>
        </w:rPr>
      </w:pPr>
      <w:r w:rsidRPr="6AA5A77E">
        <w:rPr>
          <w:rFonts w:ascii="Palatino Linotype" w:hAnsi="Palatino Linotype" w:eastAsia="Palatino Linotype" w:cs="Palatino Linotype"/>
        </w:rPr>
        <w:t xml:space="preserve">In the event that </w:t>
      </w:r>
      <w:r w:rsidRPr="6AA5A77E" w:rsidR="724891AD">
        <w:rPr>
          <w:rFonts w:ascii="Palatino Linotype" w:hAnsi="Palatino Linotype" w:eastAsia="Palatino Linotype" w:cs="Palatino Linotype"/>
        </w:rPr>
        <w:t>emergency procurement efforts are so successful that they result in excess procurement, the resources could be used as backfill in the event some LSEs fails to meet their IRP procurement requirements.</w:t>
      </w:r>
      <w:r w:rsidRPr="6AA5A77E" w:rsidR="28ADC2A2">
        <w:rPr>
          <w:rFonts w:ascii="Palatino Linotype" w:hAnsi="Palatino Linotype" w:eastAsia="Palatino Linotype" w:cs="Palatino Linotype"/>
        </w:rPr>
        <w:t xml:space="preserve"> They could also allow for downward adjustments in future procurement orders or help support faster retirement of aging generation not accounted for in previous IRP orders.</w:t>
      </w:r>
      <w:r w:rsidRPr="6AA5A77E" w:rsidR="6830542A">
        <w:rPr>
          <w:rStyle w:val="FootnoteReference"/>
          <w:rFonts w:ascii="Palatino Linotype" w:hAnsi="Palatino Linotype" w:eastAsia="Palatino Linotype" w:cs="Palatino Linotype"/>
        </w:rPr>
        <w:footnoteReference w:id="66"/>
      </w:r>
    </w:p>
    <w:p w:rsidR="2E0CD162" w:rsidP="7441B0D7" w:rsidRDefault="75A78730" w14:paraId="629D221A" w14:textId="24C8619D">
      <w:pPr>
        <w:rPr>
          <w:rFonts w:ascii="Palatino Linotype" w:hAnsi="Palatino Linotype" w:eastAsia="Palatino Linotype" w:cs="Palatino Linotype"/>
        </w:rPr>
      </w:pPr>
      <w:r w:rsidRPr="7441B0D7">
        <w:rPr>
          <w:rFonts w:ascii="Palatino Linotype" w:hAnsi="Palatino Linotype" w:eastAsia="Palatino Linotype" w:cs="Palatino Linotype"/>
        </w:rPr>
        <w:t xml:space="preserve">Because the “meet and exceed” framework established in D.21-12-015 was extended to D.23-06-029 and further extended to </w:t>
      </w:r>
      <w:r w:rsidRPr="7441B0D7" w:rsidR="04B93593">
        <w:rPr>
          <w:rFonts w:ascii="Palatino Linotype" w:hAnsi="Palatino Linotype" w:eastAsia="Palatino Linotype" w:cs="Palatino Linotype"/>
        </w:rPr>
        <w:t xml:space="preserve">D.25-06-048, SDG&amp;E may </w:t>
      </w:r>
      <w:r w:rsidRPr="7441B0D7" w:rsidR="48490B0B">
        <w:rPr>
          <w:rFonts w:ascii="Palatino Linotype" w:hAnsi="Palatino Linotype" w:eastAsia="Palatino Linotype" w:cs="Palatino Linotype"/>
        </w:rPr>
        <w:t>engage in procurement efforts in excess of the</w:t>
      </w:r>
      <w:r w:rsidRPr="7441B0D7" w:rsidR="7D0D7951">
        <w:rPr>
          <w:rFonts w:ascii="Palatino Linotype" w:hAnsi="Palatino Linotype" w:eastAsia="Palatino Linotype" w:cs="Palatino Linotype"/>
        </w:rPr>
        <w:t>ir allocated</w:t>
      </w:r>
      <w:r w:rsidRPr="7441B0D7" w:rsidR="48490B0B">
        <w:rPr>
          <w:rFonts w:ascii="Palatino Linotype" w:hAnsi="Palatino Linotype" w:eastAsia="Palatino Linotype" w:cs="Palatino Linotype"/>
        </w:rPr>
        <w:t xml:space="preserve"> EPRM target. </w:t>
      </w:r>
      <w:r w:rsidRPr="7441B0D7" w:rsidR="45164500">
        <w:rPr>
          <w:rFonts w:ascii="Palatino Linotype" w:hAnsi="Palatino Linotype" w:eastAsia="Palatino Linotype" w:cs="Palatino Linotype"/>
        </w:rPr>
        <w:t>We agree with SDG&amp;E that the project satisfies the requirements for EPRM procurement and will enhance system reliability on a least-cost basis.</w:t>
      </w:r>
      <w:r w:rsidRPr="7441B0D7" w:rsidR="3629C125">
        <w:rPr>
          <w:rFonts w:ascii="Palatino Linotype" w:hAnsi="Palatino Linotype" w:eastAsia="Palatino Linotype" w:cs="Palatino Linotype"/>
        </w:rPr>
        <w:t xml:space="preserve"> Although the project is not needed to meet SDG&amp;E minimum EPRM target, we agree w</w:t>
      </w:r>
      <w:r w:rsidRPr="7441B0D7" w:rsidR="4F61D7C8">
        <w:rPr>
          <w:rFonts w:ascii="Palatino Linotype" w:hAnsi="Palatino Linotype" w:eastAsia="Palatino Linotype" w:cs="Palatino Linotype"/>
        </w:rPr>
        <w:t xml:space="preserve">ith SDG&amp;E that the project </w:t>
      </w:r>
      <w:r w:rsidRPr="7441B0D7" w:rsidR="426CA674">
        <w:rPr>
          <w:rFonts w:ascii="Palatino Linotype" w:hAnsi="Palatino Linotype" w:eastAsia="Palatino Linotype" w:cs="Palatino Linotype"/>
        </w:rPr>
        <w:t xml:space="preserve">will </w:t>
      </w:r>
      <w:r w:rsidRPr="7441B0D7" w:rsidR="4F61D7C8">
        <w:rPr>
          <w:rFonts w:ascii="Palatino Linotype" w:hAnsi="Palatino Linotype" w:eastAsia="Palatino Linotype" w:cs="Palatino Linotype"/>
        </w:rPr>
        <w:t>provide value and p</w:t>
      </w:r>
      <w:r w:rsidRPr="7441B0D7" w:rsidR="011BB5F8">
        <w:rPr>
          <w:rFonts w:ascii="Palatino Linotype" w:hAnsi="Palatino Linotype" w:eastAsia="Palatino Linotype" w:cs="Palatino Linotype"/>
        </w:rPr>
        <w:t>rotect against future procurement deficiencies.</w:t>
      </w:r>
    </w:p>
    <w:p w:rsidR="07C4EF08" w:rsidP="05692A26" w:rsidRDefault="528F66FC" w14:paraId="2FF86EC3" w14:textId="6F2CF7B4">
      <w:pPr>
        <w:rPr>
          <w:rFonts w:ascii="Palatino Linotype" w:hAnsi="Palatino Linotype" w:eastAsia="Palatino Linotype" w:cs="Palatino Linotype"/>
          <w:b/>
          <w:bCs/>
        </w:rPr>
      </w:pPr>
      <w:r w:rsidRPr="05692A26">
        <w:rPr>
          <w:rFonts w:ascii="Palatino Linotype" w:hAnsi="Palatino Linotype" w:eastAsia="Palatino Linotype" w:cs="Palatino Linotype"/>
          <w:b/>
          <w:bCs/>
        </w:rPr>
        <w:t>IEP’s Protest</w:t>
      </w:r>
    </w:p>
    <w:p w:rsidR="07C4EF08" w:rsidP="4D09BD7A" w:rsidRDefault="07C4EF08" w14:paraId="295DBCB3" w14:textId="175A898B">
      <w:pPr>
        <w:rPr>
          <w:rFonts w:ascii="Palatino Linotype" w:hAnsi="Palatino Linotype" w:eastAsia="Palatino Linotype" w:cs="Palatino Linotype"/>
        </w:rPr>
      </w:pPr>
      <w:r w:rsidRPr="4D09BD7A">
        <w:rPr>
          <w:rFonts w:ascii="Palatino Linotype" w:hAnsi="Palatino Linotype" w:eastAsia="Palatino Linotype" w:cs="Palatino Linotype"/>
        </w:rPr>
        <w:t xml:space="preserve">IEP argues that the project was selected through a process that considered only </w:t>
      </w:r>
      <w:r w:rsidR="00D340F6">
        <w:rPr>
          <w:rFonts w:ascii="Palatino Linotype" w:hAnsi="Palatino Linotype" w:eastAsia="Palatino Linotype" w:cs="Palatino Linotype"/>
        </w:rPr>
        <w:br/>
      </w:r>
      <w:r w:rsidRPr="4D09BD7A">
        <w:rPr>
          <w:rFonts w:ascii="Palatino Linotype" w:hAnsi="Palatino Linotype" w:eastAsia="Palatino Linotype" w:cs="Palatino Linotype"/>
        </w:rPr>
        <w:t>utility</w:t>
      </w:r>
      <w:r w:rsidRPr="4D09BD7A" w:rsidR="3F4ED7E7">
        <w:rPr>
          <w:rFonts w:ascii="Palatino Linotype" w:hAnsi="Palatino Linotype" w:eastAsia="Palatino Linotype" w:cs="Palatino Linotype"/>
        </w:rPr>
        <w:t>-</w:t>
      </w:r>
      <w:r w:rsidRPr="4D09BD7A">
        <w:rPr>
          <w:rFonts w:ascii="Palatino Linotype" w:hAnsi="Palatino Linotype" w:eastAsia="Palatino Linotype" w:cs="Palatino Linotype"/>
        </w:rPr>
        <w:t>owned storage projects, and the project was not exposed to competition from projects whose developers chose to retain ownership of the project. D.21-02-028 allowed UOS projects to be considered for summer reliability and for the IOUs to contract bilaterally:</w:t>
      </w:r>
    </w:p>
    <w:p w:rsidR="07C4EF08" w:rsidP="4D09BD7A" w:rsidRDefault="5BEE3D97" w14:paraId="500C2BED" w14:textId="7911E357">
      <w:pPr>
        <w:ind w:left="720"/>
        <w:rPr>
          <w:rFonts w:ascii="Palatino Linotype" w:hAnsi="Palatino Linotype" w:eastAsia="Palatino Linotype" w:cs="Palatino Linotype"/>
        </w:rPr>
      </w:pPr>
      <w:r w:rsidRPr="6AA5A77E">
        <w:rPr>
          <w:rFonts w:ascii="Palatino Linotype" w:hAnsi="Palatino Linotype" w:eastAsia="Palatino Linotype" w:cs="Palatino Linotype"/>
        </w:rPr>
        <w:lastRenderedPageBreak/>
        <w:t xml:space="preserve"> Potential resources may include utility-owned generation, with Commission consideration for utility owned generation projects with a COD in 2021 through a Tier 2 advice letter.</w:t>
      </w:r>
      <w:r w:rsidRPr="6AA5A77E" w:rsidR="07C4EF08">
        <w:rPr>
          <w:rStyle w:val="FootnoteReference"/>
          <w:rFonts w:ascii="Palatino Linotype" w:hAnsi="Palatino Linotype" w:eastAsia="Palatino Linotype" w:cs="Palatino Linotype"/>
        </w:rPr>
        <w:footnoteReference w:id="67"/>
      </w:r>
    </w:p>
    <w:p w:rsidR="07C4EF08" w:rsidP="4D09BD7A" w:rsidRDefault="5BEE3D97" w14:paraId="0CA6E109" w14:textId="546328C1">
      <w:pPr>
        <w:ind w:left="720"/>
        <w:rPr>
          <w:rFonts w:ascii="Palatino Linotype" w:hAnsi="Palatino Linotype" w:eastAsia="Palatino Linotype" w:cs="Palatino Linotype"/>
        </w:rPr>
      </w:pPr>
      <w:r w:rsidRPr="6AA5A77E">
        <w:rPr>
          <w:rFonts w:ascii="Palatino Linotype" w:hAnsi="Palatino Linotype" w:eastAsia="Palatino Linotype" w:cs="Palatino Linotype"/>
        </w:rPr>
        <w:t>The large electric IOUs should initiate new bilateral negotiations and revisit offers from recent IRP requests for offers bid stacks.</w:t>
      </w:r>
      <w:r w:rsidRPr="6AA5A77E" w:rsidR="07C4EF08">
        <w:rPr>
          <w:rStyle w:val="FootnoteReference"/>
          <w:rFonts w:ascii="Palatino Linotype" w:hAnsi="Palatino Linotype" w:eastAsia="Palatino Linotype" w:cs="Palatino Linotype"/>
        </w:rPr>
        <w:footnoteReference w:id="68"/>
      </w:r>
    </w:p>
    <w:p w:rsidR="07C4EF08" w:rsidP="190E8F6F" w:rsidRDefault="093A2377" w14:paraId="1CC5F911" w14:textId="177C6076">
      <w:pPr>
        <w:rPr>
          <w:rFonts w:ascii="Palatino Linotype" w:hAnsi="Palatino Linotype" w:eastAsia="Palatino Linotype" w:cs="Palatino Linotype"/>
        </w:rPr>
      </w:pPr>
      <w:r w:rsidRPr="4D09BD7A">
        <w:rPr>
          <w:rFonts w:ascii="Palatino Linotype" w:hAnsi="Palatino Linotype" w:eastAsia="Palatino Linotype" w:cs="Palatino Linotype"/>
        </w:rPr>
        <w:t>D.25-06-048</w:t>
      </w:r>
      <w:r w:rsidRPr="4D09BD7A" w:rsidR="07C4EF08">
        <w:rPr>
          <w:rFonts w:ascii="Palatino Linotype" w:hAnsi="Palatino Linotype" w:eastAsia="Palatino Linotype" w:cs="Palatino Linotype"/>
        </w:rPr>
        <w:t xml:space="preserve"> extended the summer reliability requirements for 202</w:t>
      </w:r>
      <w:r w:rsidRPr="4D09BD7A" w:rsidR="36E46A3B">
        <w:rPr>
          <w:rFonts w:ascii="Palatino Linotype" w:hAnsi="Palatino Linotype" w:eastAsia="Palatino Linotype" w:cs="Palatino Linotype"/>
        </w:rPr>
        <w:t>6</w:t>
      </w:r>
      <w:r w:rsidRPr="4D09BD7A" w:rsidR="07C4EF08">
        <w:rPr>
          <w:rFonts w:ascii="Palatino Linotype" w:hAnsi="Palatino Linotype" w:eastAsia="Palatino Linotype" w:cs="Palatino Linotype"/>
        </w:rPr>
        <w:t xml:space="preserve"> through 202</w:t>
      </w:r>
      <w:r w:rsidRPr="4D09BD7A" w:rsidR="75918325">
        <w:rPr>
          <w:rFonts w:ascii="Palatino Linotype" w:hAnsi="Palatino Linotype" w:eastAsia="Palatino Linotype" w:cs="Palatino Linotype"/>
        </w:rPr>
        <w:t>7</w:t>
      </w:r>
      <w:r w:rsidRPr="4D09BD7A" w:rsidR="07C4EF08">
        <w:rPr>
          <w:rFonts w:ascii="Palatino Linotype" w:hAnsi="Palatino Linotype" w:eastAsia="Palatino Linotype" w:cs="Palatino Linotype"/>
        </w:rPr>
        <w:t>.</w:t>
      </w:r>
    </w:p>
    <w:p w:rsidR="07C4EF08" w:rsidP="7441B0D7" w:rsidRDefault="4B240A7D" w14:paraId="5997F374" w14:textId="075B6148">
      <w:pPr>
        <w:rPr>
          <w:rStyle w:val="FootnoteReference"/>
          <w:rFonts w:ascii="Palatino Linotype" w:hAnsi="Palatino Linotype" w:eastAsia="Palatino Linotype" w:cs="Palatino Linotype"/>
        </w:rPr>
      </w:pPr>
      <w:r w:rsidRPr="7441B0D7">
        <w:rPr>
          <w:rFonts w:ascii="Palatino Linotype" w:hAnsi="Palatino Linotype" w:eastAsia="Palatino Linotype" w:cs="Palatino Linotype"/>
        </w:rPr>
        <w:t xml:space="preserve">As the Commission allows UOS projects to be considered for summer reliability, SDG&amp;E’s UDT issued the solicitation for the EPC and BOT offers. The UDT operates under a code of conduct and firewall that prohibits UDT’s access to market data obtained by SDG&amp;E’s Energy Supply function or BET team. As stated above, SDG&amp;E compared </w:t>
      </w:r>
      <w:r w:rsidRPr="7441B0D7" w:rsidR="136C1634">
        <w:rPr>
          <w:rFonts w:ascii="Palatino Linotype" w:hAnsi="Palatino Linotype" w:eastAsia="Palatino Linotype" w:cs="Palatino Linotype"/>
        </w:rPr>
        <w:t>Westside Canal Phase 2a</w:t>
      </w:r>
      <w:r w:rsidRPr="7441B0D7" w:rsidR="2DFFED8B">
        <w:rPr>
          <w:rFonts w:ascii="Palatino Linotype" w:hAnsi="Palatino Linotype" w:eastAsia="Palatino Linotype" w:cs="Palatino Linotype"/>
        </w:rPr>
        <w:t xml:space="preserve"> </w:t>
      </w:r>
      <w:bookmarkStart w:name="_Int_2cuC6uWX" w:id="0"/>
      <w:r w:rsidRPr="7441B0D7" w:rsidR="2DFFED8B">
        <w:rPr>
          <w:rFonts w:ascii="Palatino Linotype" w:hAnsi="Palatino Linotype" w:eastAsia="Palatino Linotype" w:cs="Palatino Linotype"/>
        </w:rPr>
        <w:t>to</w:t>
      </w:r>
      <w:bookmarkEnd w:id="0"/>
      <w:r w:rsidRPr="7441B0D7" w:rsidR="2DFFED8B">
        <w:rPr>
          <w:rFonts w:ascii="Palatino Linotype" w:hAnsi="Palatino Linotype" w:eastAsia="Palatino Linotype" w:cs="Palatino Linotype"/>
        </w:rPr>
        <w:t xml:space="preserve"> offers received through SDG&amp;E’s 2027–2032 Phase 3 IRP RFO</w:t>
      </w:r>
      <w:r w:rsidRPr="7441B0D7">
        <w:rPr>
          <w:rFonts w:ascii="Palatino Linotype" w:hAnsi="Palatino Linotype" w:eastAsia="Palatino Linotype" w:cs="Palatino Linotype"/>
        </w:rPr>
        <w:t xml:space="preserve">, which included projects with third-party ownership. In addition, the IE compared the cost of Westside Canal </w:t>
      </w:r>
      <w:r w:rsidRPr="7441B0D7" w:rsidR="5ED3581F">
        <w:rPr>
          <w:rFonts w:ascii="Palatino Linotype" w:hAnsi="Palatino Linotype" w:eastAsia="Palatino Linotype" w:cs="Palatino Linotype"/>
        </w:rPr>
        <w:t>Phase 2a</w:t>
      </w:r>
      <w:r w:rsidRPr="7441B0D7">
        <w:rPr>
          <w:rFonts w:ascii="Palatino Linotype" w:hAnsi="Palatino Linotype" w:eastAsia="Palatino Linotype" w:cs="Palatino Linotype"/>
        </w:rPr>
        <w:t xml:space="preserve"> to </w:t>
      </w:r>
      <w:r w:rsidRPr="7441B0D7" w:rsidR="624E73E0">
        <w:rPr>
          <w:rFonts w:ascii="Palatino Linotype" w:hAnsi="Palatino Linotype" w:eastAsia="Palatino Linotype" w:cs="Palatino Linotype"/>
        </w:rPr>
        <w:t>other California</w:t>
      </w:r>
      <w:r w:rsidRPr="7441B0D7" w:rsidR="412873F3">
        <w:rPr>
          <w:rFonts w:ascii="Palatino Linotype" w:hAnsi="Palatino Linotype" w:eastAsia="Palatino Linotype" w:cs="Palatino Linotype"/>
        </w:rPr>
        <w:t xml:space="preserve"> battery energy storage project</w:t>
      </w:r>
      <w:r w:rsidRPr="7441B0D7" w:rsidR="28E99FC0">
        <w:rPr>
          <w:rFonts w:ascii="Palatino Linotype" w:hAnsi="Palatino Linotype" w:eastAsia="Palatino Linotype" w:cs="Palatino Linotype"/>
        </w:rPr>
        <w:t>s</w:t>
      </w:r>
      <w:r w:rsidRPr="7441B0D7" w:rsidR="412873F3">
        <w:rPr>
          <w:rFonts w:ascii="Palatino Linotype" w:hAnsi="Palatino Linotype" w:eastAsia="Palatino Linotype" w:cs="Palatino Linotype"/>
        </w:rPr>
        <w:t xml:space="preserve"> </w:t>
      </w:r>
      <w:r w:rsidRPr="7441B0D7">
        <w:rPr>
          <w:rFonts w:ascii="Palatino Linotype" w:hAnsi="Palatino Linotype" w:eastAsia="Palatino Linotype" w:cs="Palatino Linotype"/>
        </w:rPr>
        <w:t xml:space="preserve">and provides analysis supporting the conclusion that the project cost is reasonable. The IE also asserts that the negotiations were fair and that </w:t>
      </w:r>
      <w:r w:rsidR="00D340F6">
        <w:rPr>
          <w:rFonts w:ascii="Palatino Linotype" w:hAnsi="Palatino Linotype" w:eastAsia="Palatino Linotype" w:cs="Palatino Linotype"/>
        </w:rPr>
        <w:br/>
      </w:r>
      <w:r w:rsidRPr="7441B0D7">
        <w:rPr>
          <w:rFonts w:ascii="Palatino Linotype" w:hAnsi="Palatino Linotype" w:eastAsia="Palatino Linotype" w:cs="Palatino Linotype"/>
        </w:rPr>
        <w:t xml:space="preserve">SDG&amp;E’s behavior was reasonable during the bid review and contract negotiation process. </w:t>
      </w:r>
    </w:p>
    <w:p w:rsidR="07C4EF08" w:rsidP="7441B0D7" w:rsidRDefault="556261CD" w14:paraId="702EBBFC" w14:textId="3A24AB6C">
      <w:pPr>
        <w:rPr>
          <w:rStyle w:val="FootnoteReference"/>
          <w:rFonts w:ascii="Palatino Linotype" w:hAnsi="Palatino Linotype" w:eastAsia="Palatino Linotype" w:cs="Palatino Linotype"/>
        </w:rPr>
      </w:pPr>
      <w:r w:rsidRPr="7441B0D7">
        <w:rPr>
          <w:rFonts w:ascii="Palatino Linotype" w:hAnsi="Palatino Linotype" w:eastAsia="Palatino Linotype" w:cs="Palatino Linotype"/>
        </w:rPr>
        <w:t xml:space="preserve">IEP </w:t>
      </w:r>
      <w:r w:rsidRPr="7441B0D7" w:rsidR="0DE2D884">
        <w:rPr>
          <w:rFonts w:ascii="Palatino Linotype" w:hAnsi="Palatino Linotype" w:eastAsia="Palatino Linotype" w:cs="Palatino Linotype"/>
        </w:rPr>
        <w:t xml:space="preserve">also </w:t>
      </w:r>
      <w:r w:rsidRPr="7441B0D7">
        <w:rPr>
          <w:rFonts w:ascii="Palatino Linotype" w:hAnsi="Palatino Linotype" w:eastAsia="Palatino Linotype" w:cs="Palatino Linotype"/>
        </w:rPr>
        <w:t>asserts that the Commission has a “competitive market first” po</w:t>
      </w:r>
      <w:r w:rsidRPr="7441B0D7" w:rsidR="6D4496FB">
        <w:rPr>
          <w:rFonts w:ascii="Palatino Linotype" w:hAnsi="Palatino Linotype" w:eastAsia="Palatino Linotype" w:cs="Palatino Linotype"/>
        </w:rPr>
        <w:t>licy,</w:t>
      </w:r>
      <w:r w:rsidRPr="7441B0D7" w:rsidR="0F4CDB61">
        <w:rPr>
          <w:rFonts w:ascii="Palatino Linotype" w:hAnsi="Palatino Linotype" w:eastAsia="Palatino Linotype" w:cs="Palatino Linotype"/>
        </w:rPr>
        <w:t xml:space="preserve"> citing D.07-12-052</w:t>
      </w:r>
      <w:r w:rsidRPr="7441B0D7" w:rsidR="528F66FC">
        <w:rPr>
          <w:rStyle w:val="FootnoteReference"/>
          <w:rFonts w:ascii="Palatino Linotype" w:hAnsi="Palatino Linotype" w:eastAsia="Palatino Linotype" w:cs="Palatino Linotype"/>
        </w:rPr>
        <w:footnoteReference w:id="69"/>
      </w:r>
      <w:r w:rsidRPr="7441B0D7" w:rsidR="0F4CDB61">
        <w:rPr>
          <w:rFonts w:ascii="Palatino Linotype" w:hAnsi="Palatino Linotype" w:eastAsia="Palatino Linotype" w:cs="Palatino Linotype"/>
        </w:rPr>
        <w:t>.</w:t>
      </w:r>
      <w:r w:rsidRPr="7441B0D7" w:rsidR="6D4496FB">
        <w:rPr>
          <w:rFonts w:ascii="Palatino Linotype" w:hAnsi="Palatino Linotype" w:eastAsia="Palatino Linotype" w:cs="Palatino Linotype"/>
        </w:rPr>
        <w:t xml:space="preserve"> </w:t>
      </w:r>
      <w:r w:rsidRPr="7441B0D7" w:rsidR="14183727">
        <w:rPr>
          <w:rFonts w:ascii="Palatino Linotype" w:hAnsi="Palatino Linotype" w:eastAsia="Palatino Linotype" w:cs="Palatino Linotype"/>
        </w:rPr>
        <w:t>H</w:t>
      </w:r>
      <w:r w:rsidRPr="7441B0D7" w:rsidR="3BCE203E">
        <w:rPr>
          <w:rFonts w:ascii="Palatino Linotype" w:hAnsi="Palatino Linotype" w:eastAsia="Palatino Linotype" w:cs="Palatino Linotype"/>
        </w:rPr>
        <w:t>owever,</w:t>
      </w:r>
      <w:r w:rsidRPr="7441B0D7" w:rsidR="14E17B61">
        <w:rPr>
          <w:rFonts w:ascii="Palatino Linotype" w:hAnsi="Palatino Linotype" w:eastAsia="Palatino Linotype" w:cs="Palatino Linotype"/>
        </w:rPr>
        <w:t xml:space="preserve"> </w:t>
      </w:r>
      <w:r w:rsidRPr="7441B0D7">
        <w:rPr>
          <w:rFonts w:ascii="Palatino Linotype" w:hAnsi="Palatino Linotype" w:eastAsia="Palatino Linotype" w:cs="Palatino Linotype"/>
        </w:rPr>
        <w:t xml:space="preserve">the Commission has a long-standing </w:t>
      </w:r>
      <w:r w:rsidRPr="7441B0D7" w:rsidR="7D0FB025">
        <w:rPr>
          <w:rFonts w:ascii="Palatino Linotype" w:hAnsi="Palatino Linotype" w:eastAsia="Palatino Linotype" w:cs="Palatino Linotype"/>
        </w:rPr>
        <w:t xml:space="preserve">practice that allows </w:t>
      </w:r>
      <w:r w:rsidRPr="7441B0D7">
        <w:rPr>
          <w:rFonts w:ascii="Palatino Linotype" w:hAnsi="Palatino Linotype" w:eastAsia="Palatino Linotype" w:cs="Palatino Linotype"/>
        </w:rPr>
        <w:t xml:space="preserve">for a hybrid </w:t>
      </w:r>
      <w:r w:rsidRPr="7441B0D7" w:rsidR="54B9913A">
        <w:rPr>
          <w:rFonts w:ascii="Palatino Linotype" w:hAnsi="Palatino Linotype" w:eastAsia="Palatino Linotype" w:cs="Palatino Linotype"/>
        </w:rPr>
        <w:t xml:space="preserve">wholesale competitive </w:t>
      </w:r>
      <w:r w:rsidRPr="7441B0D7">
        <w:rPr>
          <w:rFonts w:ascii="Palatino Linotype" w:hAnsi="Palatino Linotype" w:eastAsia="Palatino Linotype" w:cs="Palatino Linotype"/>
        </w:rPr>
        <w:t>marketplace that includes some utility-owned projects and some inde</w:t>
      </w:r>
      <w:r w:rsidRPr="7441B0D7" w:rsidR="5C52CA08">
        <w:rPr>
          <w:rFonts w:ascii="Palatino Linotype" w:hAnsi="Palatino Linotype" w:eastAsia="Palatino Linotype" w:cs="Palatino Linotype"/>
        </w:rPr>
        <w:t>pendent power producer (IPP</w:t>
      </w:r>
      <w:r w:rsidRPr="7441B0D7" w:rsidR="4D2C04F3">
        <w:rPr>
          <w:rFonts w:ascii="Palatino Linotype" w:hAnsi="Palatino Linotype" w:eastAsia="Palatino Linotype" w:cs="Palatino Linotype"/>
        </w:rPr>
        <w:t>) projects</w:t>
      </w:r>
      <w:r w:rsidRPr="7441B0D7" w:rsidR="5C52CA08">
        <w:rPr>
          <w:rFonts w:ascii="Palatino Linotype" w:hAnsi="Palatino Linotype" w:eastAsia="Palatino Linotype" w:cs="Palatino Linotype"/>
        </w:rPr>
        <w:t xml:space="preserve">. </w:t>
      </w:r>
      <w:r w:rsidRPr="7441B0D7" w:rsidR="7228B1C6">
        <w:rPr>
          <w:rFonts w:ascii="Palatino Linotype" w:hAnsi="Palatino Linotype" w:eastAsia="Palatino Linotype" w:cs="Palatino Linotype"/>
        </w:rPr>
        <w:t xml:space="preserve">D.07-12-052 also concludes that </w:t>
      </w:r>
      <w:r w:rsidRPr="7441B0D7" w:rsidR="5213D841">
        <w:rPr>
          <w:rFonts w:ascii="Palatino Linotype" w:hAnsi="Palatino Linotype" w:eastAsia="Palatino Linotype" w:cs="Palatino Linotype"/>
        </w:rPr>
        <w:t>”</w:t>
      </w:r>
      <w:r w:rsidRPr="7441B0D7" w:rsidR="322F4BA5">
        <w:rPr>
          <w:rFonts w:ascii="Palatino Linotype" w:hAnsi="Palatino Linotype" w:eastAsia="Palatino Linotype" w:cs="Palatino Linotype"/>
        </w:rPr>
        <w:t>w</w:t>
      </w:r>
      <w:r w:rsidRPr="7441B0D7" w:rsidR="5213D841">
        <w:rPr>
          <w:rFonts w:ascii="Palatino Linotype" w:hAnsi="Palatino Linotype" w:eastAsia="Palatino Linotype" w:cs="Palatino Linotype"/>
        </w:rPr>
        <w:t>e do not prohibit UOG in this decision</w:t>
      </w:r>
      <w:r w:rsidRPr="7441B0D7" w:rsidR="5A300F70">
        <w:rPr>
          <w:rFonts w:ascii="Palatino Linotype" w:hAnsi="Palatino Linotype" w:eastAsia="Palatino Linotype" w:cs="Palatino Linotype"/>
        </w:rPr>
        <w:t>.</w:t>
      </w:r>
      <w:r w:rsidRPr="7441B0D7" w:rsidR="5213D841">
        <w:rPr>
          <w:rFonts w:ascii="Palatino Linotype" w:hAnsi="Palatino Linotype" w:eastAsia="Palatino Linotype" w:cs="Palatino Linotype"/>
        </w:rPr>
        <w:t>”</w:t>
      </w:r>
      <w:r w:rsidRPr="7441B0D7" w:rsidR="528F66FC">
        <w:rPr>
          <w:rStyle w:val="FootnoteReference"/>
          <w:rFonts w:ascii="Palatino Linotype" w:hAnsi="Palatino Linotype" w:eastAsia="Palatino Linotype" w:cs="Palatino Linotype"/>
        </w:rPr>
        <w:footnoteReference w:id="70"/>
      </w:r>
      <w:r w:rsidRPr="7441B0D7" w:rsidR="5213D841">
        <w:rPr>
          <w:rFonts w:ascii="Palatino Linotype" w:hAnsi="Palatino Linotype" w:eastAsia="Palatino Linotype" w:cs="Palatino Linotype"/>
        </w:rPr>
        <w:t xml:space="preserve"> </w:t>
      </w:r>
    </w:p>
    <w:p w:rsidR="07C4EF08" w:rsidP="05692A26" w:rsidRDefault="528F66FC" w14:paraId="485AC334" w14:textId="69FB0ABF">
      <w:pPr>
        <w:rPr>
          <w:rFonts w:ascii="Palatino Linotype" w:hAnsi="Palatino Linotype" w:eastAsia="Palatino Linotype" w:cs="Palatino Linotype"/>
          <w:b/>
          <w:bCs/>
        </w:rPr>
      </w:pPr>
      <w:r w:rsidRPr="4D09BD7A">
        <w:rPr>
          <w:rFonts w:ascii="Palatino Linotype" w:hAnsi="Palatino Linotype" w:eastAsia="Palatino Linotype" w:cs="Palatino Linotype"/>
          <w:b/>
          <w:bCs/>
        </w:rPr>
        <w:t xml:space="preserve">Safety </w:t>
      </w:r>
    </w:p>
    <w:p w:rsidR="07C4EF08" w:rsidP="4D09BD7A" w:rsidRDefault="528F66FC" w14:paraId="43BE72E3" w14:textId="1BF7160B">
      <w:pPr>
        <w:rPr>
          <w:rFonts w:ascii="Palatino Linotype" w:hAnsi="Palatino Linotype" w:eastAsia="Palatino Linotype" w:cs="Palatino Linotype"/>
          <w:highlight w:val="yellow"/>
        </w:rPr>
      </w:pPr>
      <w:r w:rsidRPr="6AA5A77E">
        <w:rPr>
          <w:rFonts w:ascii="Palatino Linotype" w:hAnsi="Palatino Linotype" w:eastAsia="Palatino Linotype" w:cs="Palatino Linotype"/>
        </w:rPr>
        <w:t xml:space="preserve">In AL </w:t>
      </w:r>
      <w:r w:rsidRPr="6AA5A77E" w:rsidR="28D69FBA">
        <w:rPr>
          <w:rFonts w:ascii="Palatino Linotype" w:hAnsi="Palatino Linotype" w:eastAsia="Palatino Linotype" w:cs="Palatino Linotype"/>
        </w:rPr>
        <w:t>4736</w:t>
      </w:r>
      <w:r w:rsidRPr="6AA5A77E">
        <w:rPr>
          <w:rFonts w:ascii="Palatino Linotype" w:hAnsi="Palatino Linotype" w:eastAsia="Palatino Linotype" w:cs="Palatino Linotype"/>
        </w:rPr>
        <w:t xml:space="preserve">-E, SDG&amp;E outlined safety considerations. </w:t>
      </w:r>
      <w:r w:rsidRPr="6AA5A77E" w:rsidR="7A7AB904">
        <w:rPr>
          <w:rFonts w:ascii="Palatino Linotype" w:hAnsi="Palatino Linotype" w:eastAsia="Palatino Linotype" w:cs="Palatino Linotype"/>
        </w:rPr>
        <w:t xml:space="preserve">RWE safely constructed the facilities in compliance with all applicable laws, standards, and safety regulations. Because the Project is operating, there is no longer any construction safety risk. SDG&amp;E </w:t>
      </w:r>
      <w:r w:rsidRPr="6AA5A77E" w:rsidR="7A7AB904">
        <w:rPr>
          <w:rFonts w:ascii="Palatino Linotype" w:hAnsi="Palatino Linotype" w:eastAsia="Palatino Linotype" w:cs="Palatino Linotype"/>
        </w:rPr>
        <w:lastRenderedPageBreak/>
        <w:t xml:space="preserve">will operate each facility leveraging the Company’s experience with the existing fleet of </w:t>
      </w:r>
      <w:r w:rsidRPr="6AA5A77E" w:rsidR="002A223E">
        <w:rPr>
          <w:rFonts w:ascii="Palatino Linotype" w:hAnsi="Palatino Linotype" w:eastAsia="Palatino Linotype" w:cs="Palatino Linotype"/>
        </w:rPr>
        <w:t xml:space="preserve">BESS </w:t>
      </w:r>
      <w:r w:rsidRPr="6AA5A77E" w:rsidR="7A7AB904">
        <w:rPr>
          <w:rFonts w:ascii="Palatino Linotype" w:hAnsi="Palatino Linotype" w:eastAsia="Palatino Linotype" w:cs="Palatino Linotype"/>
        </w:rPr>
        <w:t>and generally accepted electric power industry practices.</w:t>
      </w:r>
    </w:p>
    <w:p w:rsidR="07C4EF08" w:rsidP="190E8F6F" w:rsidRDefault="528F66FC" w14:paraId="448D4371" w14:textId="4C65C6CF">
      <w:pPr>
        <w:rPr>
          <w:rFonts w:ascii="Palatino Linotype" w:hAnsi="Palatino Linotype" w:eastAsia="Palatino Linotype" w:cs="Palatino Linotype"/>
        </w:rPr>
      </w:pPr>
      <w:r w:rsidRPr="4D09BD7A">
        <w:rPr>
          <w:rFonts w:ascii="Palatino Linotype" w:hAnsi="Palatino Linotype" w:eastAsia="Palatino Linotype" w:cs="Palatino Linotype"/>
        </w:rPr>
        <w:t xml:space="preserve">For utility-owned energy storage systems, SDG&amp;E conducts a comprehensive evaluation of all components of each offer. This includes evaluation of counterparty risk, prior experience in safely constructing and operating energy storage systems, </w:t>
      </w:r>
      <w:r w:rsidRPr="4D09BD7A" w:rsidR="25873D06">
        <w:rPr>
          <w:rFonts w:ascii="Palatino Linotype" w:hAnsi="Palatino Linotype" w:eastAsia="Palatino Linotype" w:cs="Palatino Linotype"/>
        </w:rPr>
        <w:t xml:space="preserve">and </w:t>
      </w:r>
      <w:r w:rsidRPr="4D09BD7A">
        <w:rPr>
          <w:rFonts w:ascii="Palatino Linotype" w:hAnsi="Palatino Linotype" w:eastAsia="Palatino Linotype" w:cs="Palatino Linotype"/>
        </w:rPr>
        <w:t>the technical merit of the proposed system, including safety components. Moreover, integrators and developers of utility-owned energy storage systems must construct their proposed systems in compliance with SDG&amp;E’s Energy Storage technical specification and meet the SDG&amp;E quality assurance/quality control (“QA/QC”) requirements.</w:t>
      </w:r>
    </w:p>
    <w:p w:rsidR="07C4EF08" w:rsidP="4D09BD7A" w:rsidRDefault="07C4EF08" w14:paraId="5B19D6E3" w14:textId="7077E012">
      <w:pPr>
        <w:rPr>
          <w:rFonts w:ascii="Palatino Linotype" w:hAnsi="Palatino Linotype" w:eastAsia="Palatino Linotype" w:cs="Palatino Linotype"/>
        </w:rPr>
      </w:pPr>
      <w:r w:rsidRPr="6AA5A77E">
        <w:rPr>
          <w:rFonts w:ascii="Palatino Linotype" w:hAnsi="Palatino Linotype" w:eastAsia="Palatino Linotype" w:cs="Palatino Linotype"/>
        </w:rPr>
        <w:t xml:space="preserve">Furthermore, to meet and/or exceed the minimum requirements set forth for </w:t>
      </w:r>
      <w:r w:rsidRPr="6AA5A77E" w:rsidR="00DF73ED">
        <w:rPr>
          <w:rFonts w:ascii="Palatino Linotype" w:hAnsi="Palatino Linotype" w:eastAsia="Palatino Linotype" w:cs="Palatino Linotype"/>
        </w:rPr>
        <w:t xml:space="preserve">BESS </w:t>
      </w:r>
      <w:r w:rsidRPr="6AA5A77E">
        <w:rPr>
          <w:rFonts w:ascii="Palatino Linotype" w:hAnsi="Palatino Linotype" w:eastAsia="Palatino Linotype" w:cs="Palatino Linotype"/>
        </w:rPr>
        <w:t xml:space="preserve">under the California Fire Code (“CFC”), SDG&amp;E included the following design requirements in its technical specifications. </w:t>
      </w:r>
    </w:p>
    <w:p w:rsidR="07C4EF08" w:rsidP="4D8ACD53" w:rsidRDefault="5BEE3D97" w14:paraId="0E9215FC" w14:textId="0A6D0FB3">
      <w:pPr>
        <w:ind w:left="720"/>
        <w:rPr>
          <w:rFonts w:ascii="Palatino Linotype" w:hAnsi="Palatino Linotype" w:eastAsia="Palatino Linotype" w:cs="Palatino Linotype"/>
        </w:rPr>
      </w:pPr>
      <w:r w:rsidRPr="4D09BD7A">
        <w:rPr>
          <w:rFonts w:ascii="Palatino Linotype" w:hAnsi="Palatino Linotype" w:eastAsia="Palatino Linotype" w:cs="Palatino Linotype"/>
        </w:rPr>
        <w:t>The selected project will comply with all applicable provisions of the Institute of Electrical and Electronic Engineers (IEEE) 1547, UL 1741 Supplement A, UL 1973, UL 9540, the California Fire Code, including the explicit requirement to comply with CFC Section 1206, and National Fire Protection Association (NFPA) Codes (with specific emphasis on NFPA</w:t>
      </w:r>
      <w:r w:rsidRPr="4D09BD7A" w:rsidR="77C8F002">
        <w:rPr>
          <w:rFonts w:ascii="Palatino Linotype" w:hAnsi="Palatino Linotype" w:eastAsia="Palatino Linotype" w:cs="Palatino Linotype"/>
        </w:rPr>
        <w:t xml:space="preserve"> </w:t>
      </w:r>
      <w:r w:rsidRPr="4D09BD7A" w:rsidR="4B240A7D">
        <w:rPr>
          <w:rFonts w:ascii="Palatino Linotype" w:hAnsi="Palatino Linotype" w:eastAsia="Palatino Linotype" w:cs="Palatino Linotype"/>
        </w:rPr>
        <w:t>855 and NFPA 69). Test results from UL 9540A must demonstrate compliance with the Performance requirements of Section 8.4, 9.5, or 9.8.</w:t>
      </w:r>
      <w:r w:rsidRPr="4D09BD7A" w:rsidR="07C4EF08">
        <w:rPr>
          <w:rStyle w:val="FootnoteReference"/>
          <w:rFonts w:ascii="Palatino Linotype" w:hAnsi="Palatino Linotype" w:eastAsia="Palatino Linotype" w:cs="Palatino Linotype"/>
        </w:rPr>
        <w:footnoteReference w:id="71"/>
      </w:r>
    </w:p>
    <w:p w:rsidR="07C4EF08" w:rsidP="05692A26" w:rsidRDefault="528F66FC" w14:paraId="19F74FB4" w14:textId="54CA0280">
      <w:pPr>
        <w:rPr>
          <w:rFonts w:ascii="Palatino Linotype" w:hAnsi="Palatino Linotype" w:eastAsia="Palatino Linotype" w:cs="Palatino Linotype"/>
        </w:rPr>
      </w:pPr>
      <w:r w:rsidRPr="6AA5A77E">
        <w:rPr>
          <w:rFonts w:ascii="Palatino Linotype" w:hAnsi="Palatino Linotype" w:eastAsia="Palatino Linotype" w:cs="Palatino Linotype"/>
        </w:rPr>
        <w:t xml:space="preserve">In addition to the safety considerations included above, the </w:t>
      </w:r>
      <w:r w:rsidRPr="6AA5A77E" w:rsidR="6A2F8710">
        <w:rPr>
          <w:rFonts w:ascii="Palatino Linotype" w:hAnsi="Palatino Linotype" w:eastAsia="Palatino Linotype" w:cs="Palatino Linotype"/>
        </w:rPr>
        <w:t xml:space="preserve">CPUC </w:t>
      </w:r>
      <w:r w:rsidRPr="6AA5A77E" w:rsidR="2B9E2C74">
        <w:rPr>
          <w:rFonts w:ascii="Palatino Linotype" w:hAnsi="Palatino Linotype" w:eastAsia="Palatino Linotype" w:cs="Palatino Linotype"/>
        </w:rPr>
        <w:t>Electric Safety and Reliability Branch (</w:t>
      </w:r>
      <w:r w:rsidRPr="6AA5A77E" w:rsidR="33E4E38B">
        <w:rPr>
          <w:rFonts w:ascii="Palatino Linotype" w:hAnsi="Palatino Linotype" w:eastAsia="Palatino Linotype" w:cs="Palatino Linotype"/>
        </w:rPr>
        <w:t>“</w:t>
      </w:r>
      <w:r w:rsidRPr="6AA5A77E" w:rsidR="2B9E2C74">
        <w:rPr>
          <w:rFonts w:ascii="Palatino Linotype" w:hAnsi="Palatino Linotype" w:eastAsia="Palatino Linotype" w:cs="Palatino Linotype"/>
        </w:rPr>
        <w:t>ESRB</w:t>
      </w:r>
      <w:r w:rsidRPr="6AA5A77E" w:rsidR="3A3FAE6B">
        <w:rPr>
          <w:rFonts w:ascii="Palatino Linotype" w:hAnsi="Palatino Linotype" w:eastAsia="Palatino Linotype" w:cs="Palatino Linotype"/>
        </w:rPr>
        <w:t>”</w:t>
      </w:r>
      <w:r w:rsidRPr="6AA5A77E" w:rsidR="2B9E2C74">
        <w:rPr>
          <w:rFonts w:ascii="Palatino Linotype" w:hAnsi="Palatino Linotype" w:eastAsia="Palatino Linotype" w:cs="Palatino Linotype"/>
        </w:rPr>
        <w:t>) implements and enforces GO 167-C. Staff performs comprehensive audit</w:t>
      </w:r>
      <w:r w:rsidRPr="6AA5A77E" w:rsidR="00F27B6F">
        <w:rPr>
          <w:rFonts w:ascii="Palatino Linotype" w:hAnsi="Palatino Linotype" w:eastAsia="Palatino Linotype" w:cs="Palatino Linotype"/>
        </w:rPr>
        <w:t>s</w:t>
      </w:r>
      <w:r w:rsidRPr="6AA5A77E" w:rsidR="2B9E2C74">
        <w:rPr>
          <w:rFonts w:ascii="Palatino Linotype" w:hAnsi="Palatino Linotype" w:eastAsia="Palatino Linotype" w:cs="Palatino Linotype"/>
        </w:rPr>
        <w:t>, outage inspection</w:t>
      </w:r>
      <w:r w:rsidRPr="6AA5A77E" w:rsidR="00F61311">
        <w:rPr>
          <w:rFonts w:ascii="Palatino Linotype" w:hAnsi="Palatino Linotype" w:eastAsia="Palatino Linotype" w:cs="Palatino Linotype"/>
        </w:rPr>
        <w:t>s</w:t>
      </w:r>
      <w:r w:rsidRPr="6AA5A77E" w:rsidR="2B9E2C74">
        <w:rPr>
          <w:rFonts w:ascii="Palatino Linotype" w:hAnsi="Palatino Linotype" w:eastAsia="Palatino Linotype" w:cs="Palatino Linotype"/>
        </w:rPr>
        <w:t>, and incident investigation</w:t>
      </w:r>
      <w:r w:rsidRPr="6AA5A77E" w:rsidR="00F61311">
        <w:rPr>
          <w:rFonts w:ascii="Palatino Linotype" w:hAnsi="Palatino Linotype" w:eastAsia="Palatino Linotype" w:cs="Palatino Linotype"/>
        </w:rPr>
        <w:t>s</w:t>
      </w:r>
      <w:r w:rsidRPr="6AA5A77E" w:rsidR="2B9E2C74">
        <w:rPr>
          <w:rFonts w:ascii="Palatino Linotype" w:hAnsi="Palatino Linotype" w:eastAsia="Palatino Linotype" w:cs="Palatino Linotype"/>
        </w:rPr>
        <w:t xml:space="preserve"> of electric generation and energy storage facilities in an effort to ensure they are maintained and operated in a safe and reliable manner.</w:t>
      </w:r>
    </w:p>
    <w:p w:rsidR="00C7382C" w:rsidP="00C7382C" w:rsidRDefault="00C7382C" w14:paraId="0326DCF0" w14:textId="77777777">
      <w:pPr>
        <w:spacing w:after="0" w:line="240" w:lineRule="auto"/>
        <w:rPr>
          <w:rFonts w:ascii="Palatino Linotype" w:hAnsi="Palatino Linotype" w:eastAsia="Palatino Linotype" w:cs="Palatino Linotype"/>
          <w:b/>
          <w:bCs/>
          <w:u w:val="single"/>
        </w:rPr>
      </w:pPr>
    </w:p>
    <w:p w:rsidR="528F66FC" w:rsidP="4D09BD7A" w:rsidRDefault="528F66FC" w14:paraId="6F3FEA1F" w14:textId="2D6E7FBA">
      <w:pPr>
        <w:rPr>
          <w:rFonts w:ascii="Palatino Linotype" w:hAnsi="Palatino Linotype" w:eastAsia="Palatino Linotype" w:cs="Palatino Linotype"/>
          <w:b/>
          <w:bCs/>
          <w:u w:val="single"/>
        </w:rPr>
      </w:pPr>
      <w:r w:rsidRPr="4D09BD7A">
        <w:rPr>
          <w:rFonts w:ascii="Palatino Linotype" w:hAnsi="Palatino Linotype" w:eastAsia="Palatino Linotype" w:cs="Palatino Linotype"/>
          <w:b/>
          <w:bCs/>
          <w:u w:val="single"/>
        </w:rPr>
        <w:t xml:space="preserve">COMMENTS </w:t>
      </w:r>
    </w:p>
    <w:p w:rsidR="07C4EF08" w:rsidP="4D09BD7A" w:rsidRDefault="567B049F" w14:paraId="29756DE6" w14:textId="260B4BF9">
      <w:pPr>
        <w:rPr>
          <w:rFonts w:ascii="Palatino Linotype" w:hAnsi="Palatino Linotype" w:eastAsia="Palatino Linotype" w:cs="Palatino Linotype"/>
        </w:rPr>
      </w:pPr>
      <w:r w:rsidRPr="4D09BD7A">
        <w:rPr>
          <w:rFonts w:ascii="Palatino Linotype" w:hAnsi="Palatino Linotype" w:eastAsia="Palatino Linotype" w:cs="Palatino Linotyp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w:t>
      </w:r>
      <w:r w:rsidRPr="4D09BD7A">
        <w:rPr>
          <w:rFonts w:ascii="Palatino Linotype" w:hAnsi="Palatino Linotype" w:eastAsia="Palatino Linotype" w:cs="Palatino Linotype"/>
        </w:rPr>
        <w:lastRenderedPageBreak/>
        <w:t xml:space="preserve">accordance with any instructions accompanying the notice. Section 311(g)(2) provides that this 30-day review period and 20-day comment period may be reduced or waived upon the stipulation of all parties in the proceeding. </w:t>
      </w:r>
    </w:p>
    <w:p w:rsidR="07C4EF08" w:rsidP="190E8F6F" w:rsidRDefault="567B049F" w14:paraId="1862377E" w14:textId="63622022">
      <w:pPr>
        <w:rPr>
          <w:rFonts w:ascii="Palatino Linotype" w:hAnsi="Palatino Linotype" w:eastAsia="Palatino Linotype" w:cs="Palatino Linotype"/>
        </w:rPr>
      </w:pPr>
      <w:r w:rsidRPr="4D09BD7A">
        <w:rPr>
          <w:rFonts w:ascii="Palatino Linotype" w:hAnsi="Palatino Linotype" w:eastAsia="Palatino Linotype" w:cs="Palatino Linotype"/>
        </w:rPr>
        <w:t xml:space="preserve">The 30-day review and 20-day comment period for the draft of this resolution was neither waived nor reduced. Accordingly, this draft resolution was mailed to parties for comments and will be placed on the Commission's agenda no earlier than 30 days from today. </w:t>
      </w:r>
    </w:p>
    <w:p w:rsidR="00D340F6" w:rsidP="5791A676" w:rsidRDefault="3DC42E36" w14:paraId="4FB017E8" w14:textId="48A19DBC">
      <w:pPr>
        <w:rPr>
          <w:rFonts w:ascii="Palatino Linotype" w:hAnsi="Palatino Linotype" w:eastAsia="Palatino Linotype" w:cs="Palatino Linotype"/>
        </w:rPr>
      </w:pPr>
      <w:r w:rsidRPr="5791A676">
        <w:rPr>
          <w:rFonts w:ascii="Palatino Linotype" w:hAnsi="Palatino Linotype" w:eastAsia="Palatino Linotype" w:cs="Palatino Linotype"/>
        </w:rPr>
        <w:t xml:space="preserve">SDG&amp;E, IEP and Cal Advocates timely filed comments on </w:t>
      </w:r>
      <w:r w:rsidRPr="5791A676" w:rsidR="429E80B2">
        <w:rPr>
          <w:rFonts w:ascii="Palatino Linotype" w:hAnsi="Palatino Linotype" w:eastAsia="Palatino Linotype" w:cs="Palatino Linotype"/>
        </w:rPr>
        <w:t>May 28, 2026</w:t>
      </w:r>
      <w:r w:rsidRPr="5791A676">
        <w:rPr>
          <w:rFonts w:ascii="Palatino Linotype" w:hAnsi="Palatino Linotype" w:eastAsia="Palatino Linotype" w:cs="Palatino Linotype"/>
        </w:rPr>
        <w:t xml:space="preserve">. </w:t>
      </w:r>
      <w:r w:rsidRPr="5791A676" w:rsidR="4C254F9B">
        <w:rPr>
          <w:rFonts w:ascii="Palatino Linotype" w:hAnsi="Palatino Linotype" w:eastAsia="Palatino Linotype" w:cs="Palatino Linotype"/>
        </w:rPr>
        <w:t>No reply comments were received.</w:t>
      </w:r>
    </w:p>
    <w:p w:rsidR="00D340F6" w:rsidP="5791A676" w:rsidRDefault="3DC42E36" w14:paraId="0BA8E9C0" w14:textId="1B944C35">
      <w:pPr>
        <w:rPr>
          <w:rFonts w:ascii="Palatino Linotype" w:hAnsi="Palatino Linotype" w:eastAsia="Palatino Linotype" w:cs="Palatino Linotype"/>
        </w:rPr>
      </w:pPr>
      <w:r w:rsidRPr="5791A676">
        <w:rPr>
          <w:rFonts w:ascii="Palatino Linotype" w:hAnsi="Palatino Linotype" w:eastAsia="Palatino Linotype" w:cs="Palatino Linotype"/>
        </w:rPr>
        <w:t xml:space="preserve">SDG&amp;E </w:t>
      </w:r>
      <w:r w:rsidRPr="5791A676" w:rsidR="746110AE">
        <w:rPr>
          <w:rFonts w:ascii="Palatino Linotype" w:hAnsi="Palatino Linotype" w:eastAsia="Palatino Linotype" w:cs="Palatino Linotype"/>
        </w:rPr>
        <w:t>asserts</w:t>
      </w:r>
      <w:r w:rsidRPr="5791A676">
        <w:rPr>
          <w:rFonts w:ascii="Palatino Linotype" w:hAnsi="Palatino Linotype" w:eastAsia="Palatino Linotype" w:cs="Palatino Linotype"/>
        </w:rPr>
        <w:t xml:space="preserve"> that the Draft Resolution’s analysis and conclusions are comprehensive and accurate. SDG&amp;E supports the Commission’s determination that the project is reasonable, supports the Commission approving cost recovery via CAM, and confirms that SDG&amp;E will provide regular updates </w:t>
      </w:r>
      <w:r w:rsidRPr="5791A676" w:rsidR="379AE8BA">
        <w:rPr>
          <w:rFonts w:ascii="Palatino Linotype" w:hAnsi="Palatino Linotype" w:eastAsia="Palatino Linotype" w:cs="Palatino Linotype"/>
        </w:rPr>
        <w:t xml:space="preserve">on Westside Canal Phase 2a </w:t>
      </w:r>
      <w:r w:rsidRPr="5791A676">
        <w:rPr>
          <w:rFonts w:ascii="Palatino Linotype" w:hAnsi="Palatino Linotype" w:eastAsia="Palatino Linotype" w:cs="Palatino Linotype"/>
        </w:rPr>
        <w:t>to the CAM PRG.</w:t>
      </w:r>
      <w:r w:rsidRPr="5791A676" w:rsidR="00D340F6">
        <w:rPr>
          <w:rStyle w:val="FootnoteReference"/>
          <w:rFonts w:ascii="Palatino Linotype" w:hAnsi="Palatino Linotype" w:eastAsia="Palatino Linotype" w:cs="Palatino Linotype"/>
        </w:rPr>
        <w:footnoteReference w:id="72"/>
      </w:r>
    </w:p>
    <w:p w:rsidR="11BED917" w:rsidP="5791A676" w:rsidRDefault="11BED917" w14:paraId="4597CEDE" w14:textId="10E3BEB9">
      <w:pPr>
        <w:rPr>
          <w:rFonts w:ascii="Palatino Linotype" w:hAnsi="Palatino Linotype" w:eastAsia="Palatino Linotype" w:cs="Palatino Linotype"/>
          <w:highlight w:val="yellow"/>
        </w:rPr>
      </w:pPr>
      <w:r w:rsidRPr="5791A676">
        <w:rPr>
          <w:rFonts w:ascii="Palatino Linotype" w:hAnsi="Palatino Linotype" w:eastAsia="Palatino Linotype" w:cs="Palatino Linotype"/>
        </w:rPr>
        <w:t xml:space="preserve">IEP </w:t>
      </w:r>
      <w:r w:rsidRPr="5791A676" w:rsidR="5FAB3F96">
        <w:rPr>
          <w:rFonts w:ascii="Palatino Linotype" w:hAnsi="Palatino Linotype" w:eastAsia="Palatino Linotype" w:cs="Palatino Linotype"/>
        </w:rPr>
        <w:t>asks the Commission to carefully scrutinize AL 4736-E, AL 4736-E-A, and the Draft Resolution to ensure</w:t>
      </w:r>
      <w:r w:rsidRPr="5791A676">
        <w:rPr>
          <w:rFonts w:ascii="Palatino Linotype" w:hAnsi="Palatino Linotype" w:eastAsia="Palatino Linotype" w:cs="Palatino Linotype"/>
        </w:rPr>
        <w:t xml:space="preserve"> that the project is the most cost-effective option.</w:t>
      </w:r>
      <w:r w:rsidRPr="5791A676" w:rsidR="74D4A2BD">
        <w:rPr>
          <w:rFonts w:ascii="Palatino Linotype" w:hAnsi="Palatino Linotype" w:eastAsia="Palatino Linotype" w:cs="Palatino Linotype"/>
        </w:rPr>
        <w:t xml:space="preserve"> IEP states that the analysis provided in AL 4736-E-A contains no mention or reference to how the </w:t>
      </w:r>
      <w:r w:rsidRPr="5791A676" w:rsidR="7D8AA080">
        <w:rPr>
          <w:rFonts w:ascii="Palatino Linotype" w:hAnsi="Palatino Linotype" w:eastAsia="Palatino Linotype" w:cs="Palatino Linotype"/>
        </w:rPr>
        <w:t>p</w:t>
      </w:r>
      <w:r w:rsidRPr="5791A676" w:rsidR="74D4A2BD">
        <w:rPr>
          <w:rFonts w:ascii="Palatino Linotype" w:hAnsi="Palatino Linotype" w:eastAsia="Palatino Linotype" w:cs="Palatino Linotype"/>
        </w:rPr>
        <w:t xml:space="preserve">roject compares with projects owned by third parties, and that nothing in the unredacted text refers to a comparison of the </w:t>
      </w:r>
      <w:r w:rsidRPr="5791A676" w:rsidR="39BE560E">
        <w:rPr>
          <w:rFonts w:ascii="Palatino Linotype" w:hAnsi="Palatino Linotype" w:eastAsia="Palatino Linotype" w:cs="Palatino Linotype"/>
        </w:rPr>
        <w:t>p</w:t>
      </w:r>
      <w:r w:rsidRPr="5791A676" w:rsidR="74D4A2BD">
        <w:rPr>
          <w:rFonts w:ascii="Palatino Linotype" w:hAnsi="Palatino Linotype" w:eastAsia="Palatino Linotype" w:cs="Palatino Linotype"/>
        </w:rPr>
        <w:t>roject with bids received in the RFO</w:t>
      </w:r>
      <w:r w:rsidRPr="5791A676" w:rsidR="7EA0A3FF">
        <w:rPr>
          <w:rFonts w:ascii="Palatino Linotype" w:hAnsi="Palatino Linotype" w:eastAsia="Palatino Linotype" w:cs="Palatino Linotype"/>
        </w:rPr>
        <w:t>.</w:t>
      </w:r>
      <w:r w:rsidRPr="5791A676">
        <w:rPr>
          <w:rStyle w:val="FootnoteReference"/>
          <w:rFonts w:ascii="Palatino Linotype" w:hAnsi="Palatino Linotype" w:eastAsia="Palatino Linotype" w:cs="Palatino Linotype"/>
        </w:rPr>
        <w:footnoteReference w:id="73"/>
      </w:r>
      <w:r w:rsidRPr="5791A676" w:rsidR="23EFC20B">
        <w:rPr>
          <w:rFonts w:ascii="Palatino Linotype" w:hAnsi="Palatino Linotype" w:eastAsia="Palatino Linotype" w:cs="Palatino Linotype"/>
        </w:rPr>
        <w:t xml:space="preserve"> </w:t>
      </w:r>
      <w:r w:rsidRPr="5791A676" w:rsidR="77D21E6F">
        <w:rPr>
          <w:rFonts w:ascii="Palatino Linotype" w:hAnsi="Palatino Linotype" w:eastAsia="Palatino Linotype" w:cs="Palatino Linotype"/>
        </w:rPr>
        <w:t xml:space="preserve">We find that </w:t>
      </w:r>
      <w:r w:rsidRPr="5791A676" w:rsidR="0D913D80">
        <w:rPr>
          <w:rFonts w:ascii="Palatino Linotype" w:hAnsi="Palatino Linotype" w:eastAsia="Palatino Linotype" w:cs="Palatino Linotype"/>
        </w:rPr>
        <w:t xml:space="preserve">AL 4736-E-A does provide an adequate comparative analysis showing how Westside Canal Phase 2a compares to offers received through SDG&amp;E's 2027-2032 Phase 3 IRP Reliability RFO, which includes projects owned by third parties. We have redacted market-sensitive information in the Draft Resolution. They are not for public disclosure, and we decline to modify the Draft Resolution. </w:t>
      </w:r>
      <w:r w:rsidRPr="5791A676">
        <w:rPr>
          <w:rFonts w:ascii="Palatino Linotype" w:hAnsi="Palatino Linotype" w:eastAsia="Palatino Linotype" w:cs="Palatino Linotype"/>
        </w:rPr>
        <w:t xml:space="preserve">IEP further states that </w:t>
      </w:r>
      <w:r w:rsidRPr="5791A676" w:rsidR="68769D4A">
        <w:rPr>
          <w:rFonts w:ascii="Palatino Linotype" w:hAnsi="Palatino Linotype" w:eastAsia="Palatino Linotype" w:cs="Palatino Linotype"/>
        </w:rPr>
        <w:t>differences between Westside Canal Phase 2a and projects bidding into the RFO would appear to distort the comparison analysis.</w:t>
      </w:r>
      <w:r w:rsidRPr="5791A676">
        <w:rPr>
          <w:rStyle w:val="FootnoteReference"/>
          <w:rFonts w:ascii="Palatino Linotype" w:hAnsi="Palatino Linotype" w:eastAsia="Palatino Linotype" w:cs="Palatino Linotype"/>
        </w:rPr>
        <w:footnoteReference w:id="74"/>
      </w:r>
      <w:r w:rsidRPr="5791A676" w:rsidR="68769D4A">
        <w:rPr>
          <w:rFonts w:ascii="Palatino Linotype" w:hAnsi="Palatino Linotype" w:eastAsia="Palatino Linotype" w:cs="Palatino Linotype"/>
        </w:rPr>
        <w:t xml:space="preserve"> </w:t>
      </w:r>
      <w:r w:rsidRPr="5791A676" w:rsidR="25DB5CDB">
        <w:rPr>
          <w:rFonts w:ascii="Palatino Linotype" w:hAnsi="Palatino Linotype" w:eastAsia="Palatino Linotype" w:cs="Palatino Linotype"/>
        </w:rPr>
        <w:t xml:space="preserve">The IE report included in AL 4736-E-A confirms that the same evaluation approach was applied to Westside Canal Phase 2a that is being </w:t>
      </w:r>
      <w:r w:rsidRPr="5791A676" w:rsidR="25DB5CDB">
        <w:rPr>
          <w:rFonts w:ascii="Palatino Linotype" w:hAnsi="Palatino Linotype" w:eastAsia="Palatino Linotype" w:cs="Palatino Linotype"/>
        </w:rPr>
        <w:lastRenderedPageBreak/>
        <w:t>applied to the RFO portfolio so that NMV and pricing comparisons are on a like‑for‑like basis.</w:t>
      </w:r>
      <w:r w:rsidRPr="5791A676">
        <w:rPr>
          <w:rStyle w:val="FootnoteReference"/>
          <w:rFonts w:ascii="Palatino Linotype" w:hAnsi="Palatino Linotype" w:eastAsia="Palatino Linotype" w:cs="Palatino Linotype"/>
        </w:rPr>
        <w:footnoteReference w:id="75"/>
      </w:r>
    </w:p>
    <w:p w:rsidR="3DC42E36" w:rsidP="5791A676" w:rsidRDefault="3DC42E36" w14:paraId="5179A2AE" w14:textId="37BE1148">
      <w:pPr>
        <w:rPr>
          <w:rFonts w:ascii="Palatino Linotype" w:hAnsi="Palatino Linotype" w:eastAsia="Palatino Linotype" w:cs="Palatino Linotype"/>
          <w:highlight w:val="yellow"/>
        </w:rPr>
      </w:pPr>
      <w:r w:rsidRPr="5791A676">
        <w:rPr>
          <w:rFonts w:ascii="Palatino Linotype" w:hAnsi="Palatino Linotype" w:eastAsia="Palatino Linotype" w:cs="Palatino Linotype"/>
        </w:rPr>
        <w:t xml:space="preserve">IEP </w:t>
      </w:r>
      <w:r w:rsidRPr="5791A676" w:rsidR="168B7620">
        <w:rPr>
          <w:rFonts w:ascii="Palatino Linotype" w:hAnsi="Palatino Linotype" w:eastAsia="Palatino Linotype" w:cs="Palatino Linotype"/>
        </w:rPr>
        <w:t>also questions whether SDG&amp;E discriminated against independent storage developers</w:t>
      </w:r>
      <w:r w:rsidRPr="5791A676" w:rsidR="52A93AF5">
        <w:rPr>
          <w:rFonts w:ascii="Palatino Linotype" w:hAnsi="Palatino Linotype" w:eastAsia="Palatino Linotype" w:cs="Palatino Linotype"/>
        </w:rPr>
        <w:t>, and states that the Draft Resolution appears to condone SDG&amp;E’s decision to conduct a solicitation that was limited to proposals for utility-owned storage.</w:t>
      </w:r>
      <w:r w:rsidRPr="5791A676">
        <w:rPr>
          <w:rStyle w:val="FootnoteReference"/>
          <w:rFonts w:ascii="Palatino Linotype" w:hAnsi="Palatino Linotype" w:eastAsia="Palatino Linotype" w:cs="Palatino Linotype"/>
        </w:rPr>
        <w:footnoteReference w:id="76"/>
      </w:r>
      <w:r w:rsidRPr="5791A676" w:rsidR="52A93AF5">
        <w:rPr>
          <w:rFonts w:ascii="Palatino Linotype" w:hAnsi="Palatino Linotype" w:eastAsia="Palatino Linotype" w:cs="Palatino Linotype"/>
        </w:rPr>
        <w:t xml:space="preserve"> </w:t>
      </w:r>
      <w:r w:rsidRPr="5791A676" w:rsidR="5DDD4B6A">
        <w:rPr>
          <w:rFonts w:ascii="Palatino Linotype" w:hAnsi="Palatino Linotype" w:eastAsia="Palatino Linotype" w:cs="Palatino Linotype"/>
        </w:rPr>
        <w:t>IEP is reiterating prior arguments filed in its protest.</w:t>
      </w:r>
      <w:r w:rsidRPr="5791A676">
        <w:rPr>
          <w:rFonts w:ascii="Palatino Linotype" w:hAnsi="Palatino Linotype" w:eastAsia="Palatino Linotype" w:cs="Palatino Linotype"/>
        </w:rPr>
        <w:t xml:space="preserve"> </w:t>
      </w:r>
      <w:r w:rsidRPr="5791A676" w:rsidR="5BD96413">
        <w:rPr>
          <w:rFonts w:ascii="Palatino Linotype" w:hAnsi="Palatino Linotype" w:eastAsia="Palatino Linotype" w:cs="Palatino Linotype"/>
        </w:rPr>
        <w:t>As stated in the Draft Resolution, D.21-02-028 allowed UOS projects to be considered for summer reliability and for the IOUs to contract bilaterally.</w:t>
      </w:r>
      <w:r w:rsidRPr="5791A676">
        <w:rPr>
          <w:rStyle w:val="FootnoteReference"/>
          <w:rFonts w:ascii="Palatino Linotype" w:hAnsi="Palatino Linotype" w:eastAsia="Palatino Linotype" w:cs="Palatino Linotype"/>
        </w:rPr>
        <w:footnoteReference w:id="77"/>
      </w:r>
      <w:r w:rsidRPr="5791A676" w:rsidR="2C4FE246">
        <w:rPr>
          <w:rFonts w:ascii="Palatino Linotype" w:hAnsi="Palatino Linotype" w:eastAsia="Palatino Linotype" w:cs="Palatino Linotype"/>
        </w:rPr>
        <w:t xml:space="preserve"> In addition, the cost of Westside Canal Phase 2a was compared to third-party offers received through SDG&amp;E’s 2027–2032 Phase 3 IRP RFO, as well as other independently-owned California battery energy storage projects identified by the IE.</w:t>
      </w:r>
      <w:r w:rsidRPr="5791A676" w:rsidR="51E050A4">
        <w:rPr>
          <w:rFonts w:ascii="Palatino Linotype" w:hAnsi="Palatino Linotype" w:eastAsia="Palatino Linotype" w:cs="Palatino Linotype"/>
        </w:rPr>
        <w:t xml:space="preserve"> The discussions on cost-effectiveness contain market-sensitive information and are confidential. They are not for public disclosure.</w:t>
      </w:r>
    </w:p>
    <w:p w:rsidRPr="00300CE9" w:rsidR="3DC42E36" w:rsidP="5791A676" w:rsidRDefault="2C4FE246" w14:paraId="284CAB9E" w14:textId="52FD719D">
      <w:pPr>
        <w:rPr>
          <w:rFonts w:ascii="Palatino Linotype" w:hAnsi="Palatino Linotype" w:eastAsia="Palatino Linotype" w:cs="Palatino Linotype"/>
        </w:rPr>
      </w:pPr>
      <w:r w:rsidRPr="5791A676">
        <w:rPr>
          <w:rFonts w:ascii="Palatino Linotype" w:hAnsi="Palatino Linotype" w:eastAsia="Palatino Linotype" w:cs="Palatino Linotype"/>
        </w:rPr>
        <w:t xml:space="preserve"> </w:t>
      </w:r>
      <w:r w:rsidRPr="5791A676" w:rsidR="6E084EA6">
        <w:rPr>
          <w:rFonts w:ascii="Palatino Linotype" w:hAnsi="Palatino Linotype" w:eastAsia="Palatino Linotype" w:cs="Palatino Linotype"/>
        </w:rPr>
        <w:t xml:space="preserve">Finally, </w:t>
      </w:r>
      <w:r w:rsidRPr="5791A676" w:rsidR="6905AEB0">
        <w:rPr>
          <w:rFonts w:ascii="Palatino Linotype" w:hAnsi="Palatino Linotype" w:eastAsia="Palatino Linotype" w:cs="Palatino Linotype"/>
        </w:rPr>
        <w:t>IEP asks the Commission to correct two errors in the Draft Resolution.</w:t>
      </w:r>
      <w:r w:rsidRPr="5791A676" w:rsidR="3DC42E36">
        <w:rPr>
          <w:rStyle w:val="FootnoteReference"/>
          <w:rFonts w:ascii="Palatino Linotype" w:hAnsi="Palatino Linotype" w:eastAsia="Palatino Linotype" w:cs="Palatino Linotype"/>
        </w:rPr>
        <w:footnoteReference w:id="78"/>
      </w:r>
      <w:r w:rsidRPr="5791A676" w:rsidR="6905AEB0">
        <w:rPr>
          <w:rFonts w:ascii="Palatino Linotype" w:hAnsi="Palatino Linotype" w:eastAsia="Palatino Linotype" w:cs="Palatino Linotype"/>
        </w:rPr>
        <w:t xml:space="preserve"> </w:t>
      </w:r>
      <w:r w:rsidRPr="5791A676" w:rsidR="76CDD396">
        <w:rPr>
          <w:rFonts w:ascii="Palatino Linotype" w:hAnsi="Palatino Linotype" w:eastAsia="Palatino Linotype" w:cs="Palatino Linotype"/>
        </w:rPr>
        <w:t>IEP states that on page 15 of the Draft Resolution, the incomplete sentence beginning with “IEP also</w:t>
      </w:r>
      <w:r w:rsidRPr="5791A676" w:rsidR="76CDD396">
        <w:rPr>
          <w:rFonts w:ascii="Palatino Linotype" w:hAnsi="Palatino Linotype" w:eastAsia="Palatino Linotype" w:cs="Palatino Linotype"/>
          <w:vertAlign w:val="superscript"/>
        </w:rPr>
        <w:t>54</w:t>
      </w:r>
      <w:r w:rsidRPr="5791A676" w:rsidR="76CDD396">
        <w:rPr>
          <w:rFonts w:ascii="Palatino Linotype" w:hAnsi="Palatino Linotype" w:eastAsia="Palatino Linotype" w:cs="Palatino Linotype"/>
        </w:rPr>
        <w:t>”</w:t>
      </w:r>
      <w:r w:rsidRPr="5791A676" w:rsidR="5D270149">
        <w:rPr>
          <w:rFonts w:ascii="Palatino Linotype" w:hAnsi="Palatino Linotype" w:eastAsia="Palatino Linotype" w:cs="Palatino Linotype"/>
        </w:rPr>
        <w:t xml:space="preserve"> should be corrected. We agree with IEP and have </w:t>
      </w:r>
      <w:r w:rsidRPr="5791A676" w:rsidR="3C405AC8">
        <w:rPr>
          <w:rFonts w:ascii="Palatino Linotype" w:hAnsi="Palatino Linotype" w:eastAsia="Palatino Linotype" w:cs="Palatino Linotype"/>
        </w:rPr>
        <w:t>corrected</w:t>
      </w:r>
      <w:r w:rsidRPr="5791A676" w:rsidR="5D270149">
        <w:rPr>
          <w:rFonts w:ascii="Palatino Linotype" w:hAnsi="Palatino Linotype" w:eastAsia="Palatino Linotype" w:cs="Palatino Linotype"/>
        </w:rPr>
        <w:t xml:space="preserve"> this sentence to read </w:t>
      </w:r>
      <w:r w:rsidRPr="5791A676" w:rsidR="073354B3">
        <w:rPr>
          <w:rFonts w:ascii="Palatino Linotype" w:hAnsi="Palatino Linotype" w:eastAsia="Palatino Linotype" w:cs="Palatino Linotype"/>
        </w:rPr>
        <w:t>“IEP also highlights the risk that could be borne by ratepayers if the network upgrades are not completed in 2034 and the project lacks deliverability after 2034.”</w:t>
      </w:r>
      <w:r w:rsidRPr="5791A676" w:rsidR="0C925842">
        <w:rPr>
          <w:rFonts w:ascii="Palatino Linotype" w:hAnsi="Palatino Linotype" w:eastAsia="Palatino Linotype" w:cs="Palatino Linotype"/>
        </w:rPr>
        <w:t xml:space="preserve"> Second, IEP requests that the </w:t>
      </w:r>
      <w:r w:rsidRPr="5791A676" w:rsidR="68C327CA">
        <w:rPr>
          <w:rFonts w:ascii="Palatino Linotype" w:hAnsi="Palatino Linotype" w:eastAsia="Palatino Linotype" w:cs="Palatino Linotype"/>
        </w:rPr>
        <w:t xml:space="preserve">use of the </w:t>
      </w:r>
      <w:r w:rsidRPr="5791A676" w:rsidR="0C925842">
        <w:rPr>
          <w:rFonts w:ascii="Palatino Linotype" w:hAnsi="Palatino Linotype" w:eastAsia="Palatino Linotype" w:cs="Palatino Linotype"/>
        </w:rPr>
        <w:t xml:space="preserve">acronym “TAC” be </w:t>
      </w:r>
      <w:r w:rsidRPr="5791A676" w:rsidR="158A82F5">
        <w:rPr>
          <w:rFonts w:ascii="Palatino Linotype" w:hAnsi="Palatino Linotype" w:eastAsia="Palatino Linotype" w:cs="Palatino Linotype"/>
        </w:rPr>
        <w:t>clarified</w:t>
      </w:r>
      <w:r w:rsidRPr="5791A676" w:rsidR="0C925842">
        <w:rPr>
          <w:rFonts w:ascii="Palatino Linotype" w:hAnsi="Palatino Linotype" w:eastAsia="Palatino Linotype" w:cs="Palatino Linotype"/>
        </w:rPr>
        <w:t>, as it is used on p.</w:t>
      </w:r>
      <w:r w:rsidRPr="5791A676" w:rsidR="199CEC1A">
        <w:rPr>
          <w:rFonts w:ascii="Palatino Linotype" w:hAnsi="Palatino Linotype" w:eastAsia="Palatino Linotype" w:cs="Palatino Linotype"/>
        </w:rPr>
        <w:t xml:space="preserve"> </w:t>
      </w:r>
      <w:r w:rsidRPr="5791A676" w:rsidR="0C925842">
        <w:rPr>
          <w:rFonts w:ascii="Palatino Linotype" w:hAnsi="Palatino Linotype" w:eastAsia="Palatino Linotype" w:cs="Palatino Linotype"/>
        </w:rPr>
        <w:t>12 and Finding No. 5 on p. 22 of the Draft Resol</w:t>
      </w:r>
      <w:r w:rsidRPr="5791A676" w:rsidR="4F32BBF3">
        <w:rPr>
          <w:rFonts w:ascii="Palatino Linotype" w:hAnsi="Palatino Linotype" w:eastAsia="Palatino Linotype" w:cs="Palatino Linotype"/>
        </w:rPr>
        <w:t>ution.</w:t>
      </w:r>
      <w:r w:rsidRPr="5791A676" w:rsidR="72231284">
        <w:rPr>
          <w:rFonts w:ascii="Palatino Linotype" w:hAnsi="Palatino Linotype" w:eastAsia="Palatino Linotype" w:cs="Palatino Linotype"/>
        </w:rPr>
        <w:t xml:space="preserve"> </w:t>
      </w:r>
      <w:r w:rsidRPr="5791A676" w:rsidR="53303D78">
        <w:rPr>
          <w:rFonts w:ascii="Palatino Linotype" w:hAnsi="Palatino Linotype" w:eastAsia="Palatino Linotype" w:cs="Palatino Linotype"/>
        </w:rPr>
        <w:t>We agree with IEP and have corrected</w:t>
      </w:r>
      <w:r w:rsidRPr="5791A676" w:rsidR="09AE64E8">
        <w:rPr>
          <w:rFonts w:ascii="Palatino Linotype" w:hAnsi="Palatino Linotype" w:eastAsia="Palatino Linotype" w:cs="Palatino Linotype"/>
        </w:rPr>
        <w:t xml:space="preserve"> the use of</w:t>
      </w:r>
      <w:r w:rsidRPr="5791A676" w:rsidR="53303D78">
        <w:rPr>
          <w:rFonts w:ascii="Palatino Linotype" w:hAnsi="Palatino Linotype" w:eastAsia="Palatino Linotype" w:cs="Palatino Linotype"/>
        </w:rPr>
        <w:t xml:space="preserve"> “TAC” to “Transmission Access Charge (</w:t>
      </w:r>
      <w:r w:rsidRPr="5791A676" w:rsidR="08D0E1BC">
        <w:rPr>
          <w:rFonts w:ascii="Palatino Linotype" w:hAnsi="Palatino Linotype" w:eastAsia="Palatino Linotype" w:cs="Palatino Linotype"/>
        </w:rPr>
        <w:t>“</w:t>
      </w:r>
      <w:r w:rsidRPr="5791A676" w:rsidR="53303D78">
        <w:rPr>
          <w:rFonts w:ascii="Palatino Linotype" w:hAnsi="Palatino Linotype" w:eastAsia="Palatino Linotype" w:cs="Palatino Linotype"/>
        </w:rPr>
        <w:t>TAC</w:t>
      </w:r>
      <w:r w:rsidRPr="5791A676" w:rsidR="70B7F88C">
        <w:rPr>
          <w:rFonts w:ascii="Palatino Linotype" w:hAnsi="Palatino Linotype" w:eastAsia="Palatino Linotype" w:cs="Palatino Linotype"/>
        </w:rPr>
        <w:t>”</w:t>
      </w:r>
      <w:r w:rsidRPr="5791A676" w:rsidR="53303D78">
        <w:rPr>
          <w:rFonts w:ascii="Palatino Linotype" w:hAnsi="Palatino Linotype" w:eastAsia="Palatino Linotype" w:cs="Palatino Linotype"/>
        </w:rPr>
        <w:t>) Area”</w:t>
      </w:r>
      <w:r w:rsidRPr="5791A676" w:rsidR="10905AE6">
        <w:rPr>
          <w:rFonts w:ascii="Palatino Linotype" w:hAnsi="Palatino Linotype" w:eastAsia="Palatino Linotype" w:cs="Palatino Linotype"/>
        </w:rPr>
        <w:t xml:space="preserve"> and added a footnote </w:t>
      </w:r>
      <w:r w:rsidRPr="5791A676" w:rsidR="3B691AE5">
        <w:rPr>
          <w:rFonts w:ascii="Palatino Linotype" w:hAnsi="Palatino Linotype" w:eastAsia="Palatino Linotype" w:cs="Palatino Linotype"/>
        </w:rPr>
        <w:t xml:space="preserve">on p. 12 </w:t>
      </w:r>
      <w:r w:rsidRPr="5791A676" w:rsidR="10905AE6">
        <w:rPr>
          <w:rFonts w:ascii="Palatino Linotype" w:hAnsi="Palatino Linotype" w:eastAsia="Palatino Linotype" w:cs="Palatino Linotype"/>
        </w:rPr>
        <w:t>stating “Westside Canal Phase 2a interconnects to the transmission system located within the portion of the grid where customers pay the SDG&amp;E transmission access charge (”TAC”).”</w:t>
      </w:r>
    </w:p>
    <w:p w:rsidR="3DC42E36" w:rsidP="5791A676" w:rsidRDefault="3DC42E36" w14:paraId="264223DA" w14:textId="735E7132">
      <w:pPr>
        <w:rPr>
          <w:rFonts w:ascii="Palatino Linotype" w:hAnsi="Palatino Linotype" w:eastAsia="Palatino Linotype" w:cs="Palatino Linotype"/>
        </w:rPr>
      </w:pPr>
      <w:r w:rsidRPr="5791A676">
        <w:rPr>
          <w:rFonts w:ascii="Palatino Linotype" w:hAnsi="Palatino Linotype" w:eastAsia="Palatino Linotype" w:cs="Palatino Linotype"/>
        </w:rPr>
        <w:t xml:space="preserve">Cal Advocates states that </w:t>
      </w:r>
      <w:r w:rsidRPr="5791A676" w:rsidR="646EB58C">
        <w:rPr>
          <w:rFonts w:ascii="Palatino Linotype" w:hAnsi="Palatino Linotype" w:eastAsia="Palatino Linotype" w:cs="Palatino Linotype"/>
        </w:rPr>
        <w:t>t</w:t>
      </w:r>
      <w:r w:rsidRPr="5791A676" w:rsidR="08378C14">
        <w:rPr>
          <w:rFonts w:ascii="Palatino Linotype" w:hAnsi="Palatino Linotype" w:eastAsia="Palatino Linotype" w:cs="Palatino Linotype"/>
        </w:rPr>
        <w:t>he Draft Resolution errs in its approval of a contract imposing rate impacts that are neither just nor reasonable</w:t>
      </w:r>
      <w:r w:rsidRPr="5791A676" w:rsidR="23B28D5C">
        <w:rPr>
          <w:rFonts w:ascii="Palatino Linotype" w:hAnsi="Palatino Linotype" w:eastAsia="Palatino Linotype" w:cs="Palatino Linotype"/>
        </w:rPr>
        <w:t>, and that the Draft Resolution’s reliance on other factors to determine that the project is reasonable is erroneous.</w:t>
      </w:r>
      <w:r w:rsidRPr="5791A676">
        <w:rPr>
          <w:rStyle w:val="FootnoteReference"/>
          <w:rFonts w:ascii="Palatino Linotype" w:hAnsi="Palatino Linotype" w:eastAsia="Palatino Linotype" w:cs="Palatino Linotype"/>
        </w:rPr>
        <w:footnoteReference w:id="79"/>
      </w:r>
      <w:r w:rsidRPr="5791A676" w:rsidR="3E5F1E92">
        <w:rPr>
          <w:rFonts w:ascii="Palatino Linotype" w:hAnsi="Palatino Linotype" w:eastAsia="Palatino Linotype" w:cs="Palatino Linotype"/>
        </w:rPr>
        <w:t xml:space="preserve"> Cal Advocates states that </w:t>
      </w:r>
      <w:r w:rsidRPr="5791A676" w:rsidR="4A992674">
        <w:rPr>
          <w:rFonts w:ascii="Palatino Linotype" w:hAnsi="Palatino Linotype" w:eastAsia="Palatino Linotype" w:cs="Palatino Linotype"/>
        </w:rPr>
        <w:t xml:space="preserve">the Draft Resolution errs in finding that Westside </w:t>
      </w:r>
      <w:r w:rsidRPr="5791A676" w:rsidR="4A992674">
        <w:rPr>
          <w:rFonts w:ascii="Palatino Linotype" w:hAnsi="Palatino Linotype" w:eastAsia="Palatino Linotype" w:cs="Palatino Linotype"/>
        </w:rPr>
        <w:lastRenderedPageBreak/>
        <w:t>Canal Phase 2a has value and will satisfy future procurement deficiencies.</w:t>
      </w:r>
      <w:r w:rsidRPr="5791A676">
        <w:rPr>
          <w:rStyle w:val="FootnoteReference"/>
          <w:rFonts w:ascii="Palatino Linotype" w:hAnsi="Palatino Linotype" w:eastAsia="Palatino Linotype" w:cs="Palatino Linotype"/>
        </w:rPr>
        <w:footnoteReference w:id="80"/>
      </w:r>
      <w:r w:rsidRPr="5791A676" w:rsidR="20F28320">
        <w:rPr>
          <w:rFonts w:ascii="Palatino Linotype" w:hAnsi="Palatino Linotype" w:eastAsia="Palatino Linotype" w:cs="Palatino Linotype"/>
        </w:rPr>
        <w:t xml:space="preserve"> </w:t>
      </w:r>
      <w:r w:rsidRPr="5791A676" w:rsidR="6C4DE87B">
        <w:rPr>
          <w:rFonts w:ascii="Palatino Linotype" w:hAnsi="Palatino Linotype" w:eastAsia="Palatino Linotype" w:cs="Palatino Linotype"/>
        </w:rPr>
        <w:t>Cal Advocates states that it is unclear whether the Project will contribute to existing and/or future I</w:t>
      </w:r>
      <w:r w:rsidRPr="5791A676" w:rsidR="6C1D272C">
        <w:rPr>
          <w:rFonts w:ascii="Palatino Linotype" w:hAnsi="Palatino Linotype" w:eastAsia="Palatino Linotype" w:cs="Palatino Linotype"/>
        </w:rPr>
        <w:t>RP</w:t>
      </w:r>
      <w:r w:rsidRPr="5791A676" w:rsidR="6C4DE87B">
        <w:rPr>
          <w:rFonts w:ascii="Palatino Linotype" w:hAnsi="Palatino Linotype" w:eastAsia="Palatino Linotype" w:cs="Palatino Linotype"/>
        </w:rPr>
        <w:t xml:space="preserve"> procurement requirements outside of SDG&amp;E’s EPRM target.</w:t>
      </w:r>
      <w:r w:rsidRPr="5791A676">
        <w:rPr>
          <w:rStyle w:val="FootnoteReference"/>
          <w:rFonts w:ascii="Palatino Linotype" w:hAnsi="Palatino Linotype" w:eastAsia="Palatino Linotype" w:cs="Palatino Linotype"/>
        </w:rPr>
        <w:footnoteReference w:id="81"/>
      </w:r>
      <w:r w:rsidRPr="5791A676" w:rsidR="5599D685">
        <w:rPr>
          <w:rFonts w:ascii="Palatino Linotype" w:hAnsi="Palatino Linotype" w:eastAsia="Palatino Linotype" w:cs="Palatino Linotype"/>
        </w:rPr>
        <w:t xml:space="preserve"> Cal Advocates states that approval of unnecessary costs violates the Commission’s statutory obligation to minimize IRP procurement costs for ratepayers.</w:t>
      </w:r>
      <w:r w:rsidRPr="5791A676">
        <w:rPr>
          <w:rStyle w:val="FootnoteReference"/>
          <w:rFonts w:ascii="Palatino Linotype" w:hAnsi="Palatino Linotype" w:eastAsia="Palatino Linotype" w:cs="Palatino Linotype"/>
        </w:rPr>
        <w:footnoteReference w:id="82"/>
      </w:r>
    </w:p>
    <w:p w:rsidR="3DC42E36" w:rsidP="5791A676" w:rsidRDefault="5599D685" w14:paraId="3AB29635" w14:textId="2E24BD99">
      <w:pPr>
        <w:rPr>
          <w:rFonts w:ascii="Palatino Linotype" w:hAnsi="Palatino Linotype" w:eastAsia="Palatino Linotype" w:cs="Palatino Linotype"/>
        </w:rPr>
      </w:pPr>
      <w:r w:rsidRPr="5791A676">
        <w:rPr>
          <w:rFonts w:ascii="Palatino Linotype" w:hAnsi="Palatino Linotype" w:eastAsia="Palatino Linotype" w:cs="Palatino Linotype"/>
        </w:rPr>
        <w:t xml:space="preserve">Cal Advocates recommends that </w:t>
      </w:r>
      <w:r w:rsidRPr="5791A676" w:rsidR="4D068BDE">
        <w:rPr>
          <w:rFonts w:ascii="Palatino Linotype" w:hAnsi="Palatino Linotype" w:eastAsia="Palatino Linotype" w:cs="Palatino Linotype"/>
        </w:rPr>
        <w:t xml:space="preserve">the </w:t>
      </w:r>
      <w:r w:rsidRPr="5791A676">
        <w:rPr>
          <w:rFonts w:ascii="Palatino Linotype" w:hAnsi="Palatino Linotype" w:eastAsia="Palatino Linotype" w:cs="Palatino Linotype"/>
        </w:rPr>
        <w:t>Draft Resolution be modified to</w:t>
      </w:r>
      <w:r w:rsidRPr="5791A676" w:rsidR="184AEF6F">
        <w:rPr>
          <w:rFonts w:ascii="Palatino Linotype" w:hAnsi="Palatino Linotype" w:eastAsia="Palatino Linotype" w:cs="Palatino Linotype"/>
        </w:rPr>
        <w:t xml:space="preserve"> exclude the finding that SDG&amp;E’s request in AL 4736-E is reasonable overall</w:t>
      </w:r>
      <w:r w:rsidRPr="5791A676" w:rsidR="6040952B">
        <w:rPr>
          <w:rFonts w:ascii="Palatino Linotype" w:hAnsi="Palatino Linotype" w:eastAsia="Palatino Linotype" w:cs="Palatino Linotype"/>
        </w:rPr>
        <w:t xml:space="preserve"> on p. 12.</w:t>
      </w:r>
      <w:r w:rsidRPr="5791A676" w:rsidR="3DC42E36">
        <w:rPr>
          <w:rStyle w:val="FootnoteReference"/>
          <w:rFonts w:ascii="Palatino Linotype" w:hAnsi="Palatino Linotype" w:eastAsia="Palatino Linotype" w:cs="Palatino Linotype"/>
        </w:rPr>
        <w:footnoteReference w:id="83"/>
      </w:r>
      <w:r w:rsidRPr="5791A676" w:rsidR="6040952B">
        <w:rPr>
          <w:rFonts w:ascii="Palatino Linotype" w:hAnsi="Palatino Linotype" w:eastAsia="Palatino Linotype" w:cs="Palatino Linotype"/>
        </w:rPr>
        <w:t xml:space="preserve"> Cal Advocates recommends that </w:t>
      </w:r>
      <w:r w:rsidRPr="5791A676" w:rsidR="03418972">
        <w:rPr>
          <w:rFonts w:ascii="Palatino Linotype" w:hAnsi="Palatino Linotype" w:eastAsia="Palatino Linotype" w:cs="Palatino Linotype"/>
        </w:rPr>
        <w:t xml:space="preserve">the </w:t>
      </w:r>
      <w:r w:rsidRPr="5791A676" w:rsidR="6040952B">
        <w:rPr>
          <w:rFonts w:ascii="Palatino Linotype" w:hAnsi="Palatino Linotype" w:eastAsia="Palatino Linotype" w:cs="Palatino Linotype"/>
        </w:rPr>
        <w:t>Draft Resolution be modified to</w:t>
      </w:r>
      <w:r w:rsidRPr="5791A676" w:rsidR="72E96517">
        <w:rPr>
          <w:rFonts w:ascii="Palatino Linotype" w:hAnsi="Palatino Linotype" w:eastAsia="Palatino Linotype" w:cs="Palatino Linotype"/>
        </w:rPr>
        <w:t xml:space="preserve"> include the statement that “However, SDG&amp;E has not shown that the Westside Canal Phase 2a variants have reasonable net market values in comparison to competing offers” on p. 14.</w:t>
      </w:r>
      <w:r w:rsidRPr="5791A676" w:rsidR="3DC42E36">
        <w:rPr>
          <w:rStyle w:val="FootnoteReference"/>
          <w:rFonts w:ascii="Palatino Linotype" w:hAnsi="Palatino Linotype" w:eastAsia="Palatino Linotype" w:cs="Palatino Linotype"/>
        </w:rPr>
        <w:footnoteReference w:id="84"/>
      </w:r>
      <w:r w:rsidRPr="5791A676" w:rsidR="72E96517">
        <w:rPr>
          <w:rFonts w:ascii="Palatino Linotype" w:hAnsi="Palatino Linotype" w:eastAsia="Palatino Linotype" w:cs="Palatino Linotype"/>
        </w:rPr>
        <w:t xml:space="preserve"> Cal Advocates recommends that </w:t>
      </w:r>
      <w:r w:rsidRPr="5791A676" w:rsidR="0EF01A36">
        <w:rPr>
          <w:rFonts w:ascii="Palatino Linotype" w:hAnsi="Palatino Linotype" w:eastAsia="Palatino Linotype" w:cs="Palatino Linotype"/>
        </w:rPr>
        <w:t xml:space="preserve">the </w:t>
      </w:r>
      <w:r w:rsidRPr="5791A676" w:rsidR="72E96517">
        <w:rPr>
          <w:rFonts w:ascii="Palatino Linotype" w:hAnsi="Palatino Linotype" w:eastAsia="Palatino Linotype" w:cs="Palatino Linotype"/>
        </w:rPr>
        <w:t xml:space="preserve">Draft Resolution be modified to exclude the direction for SDG&amp;E </w:t>
      </w:r>
      <w:r w:rsidRPr="5791A676" w:rsidR="1D7B0B70">
        <w:rPr>
          <w:rFonts w:ascii="Palatino Linotype" w:hAnsi="Palatino Linotype" w:eastAsia="Palatino Linotype" w:cs="Palatino Linotype"/>
        </w:rPr>
        <w:t>to provide updates to the CAM PRG on Westside Canal Phase 2a on p. 17.</w:t>
      </w:r>
      <w:r w:rsidRPr="5791A676" w:rsidR="3DC42E36">
        <w:rPr>
          <w:rStyle w:val="FootnoteReference"/>
          <w:rFonts w:ascii="Palatino Linotype" w:hAnsi="Palatino Linotype" w:eastAsia="Palatino Linotype" w:cs="Palatino Linotype"/>
        </w:rPr>
        <w:footnoteReference w:id="85"/>
      </w:r>
      <w:r w:rsidRPr="5791A676" w:rsidR="1D7B0B70">
        <w:rPr>
          <w:rFonts w:ascii="Palatino Linotype" w:hAnsi="Palatino Linotype" w:eastAsia="Palatino Linotype" w:cs="Palatino Linotype"/>
        </w:rPr>
        <w:t xml:space="preserve"> Cal Advocates recommends that </w:t>
      </w:r>
      <w:r w:rsidRPr="5791A676" w:rsidR="7CC661DC">
        <w:rPr>
          <w:rFonts w:ascii="Palatino Linotype" w:hAnsi="Palatino Linotype" w:eastAsia="Palatino Linotype" w:cs="Palatino Linotype"/>
        </w:rPr>
        <w:t xml:space="preserve">the </w:t>
      </w:r>
      <w:r w:rsidRPr="5791A676" w:rsidR="1D7B0B70">
        <w:rPr>
          <w:rFonts w:ascii="Palatino Linotype" w:hAnsi="Palatino Linotype" w:eastAsia="Palatino Linotype" w:cs="Palatino Linotype"/>
        </w:rPr>
        <w:t>Draft Resolution be modified to</w:t>
      </w:r>
      <w:r w:rsidRPr="5791A676" w:rsidR="0FDF5944">
        <w:rPr>
          <w:rFonts w:ascii="Palatino Linotype" w:hAnsi="Palatino Linotype" w:eastAsia="Palatino Linotype" w:cs="Palatino Linotype"/>
        </w:rPr>
        <w:t xml:space="preserve"> exclude the statements that the project “will enhance system reliability on a least-cost basis” and that “Although the project is not needed to meet SDG&amp;E minimum EPRM target, we agree with SDG&amp;E that the project will provide value and protect against future procurement deficiencies” on p. 19.</w:t>
      </w:r>
      <w:r w:rsidRPr="5791A676" w:rsidR="3DC42E36">
        <w:rPr>
          <w:rStyle w:val="FootnoteReference"/>
          <w:rFonts w:ascii="Palatino Linotype" w:hAnsi="Palatino Linotype" w:eastAsia="Palatino Linotype" w:cs="Palatino Linotype"/>
        </w:rPr>
        <w:footnoteReference w:id="86"/>
      </w:r>
      <w:r w:rsidRPr="5791A676" w:rsidR="0FDF5944">
        <w:rPr>
          <w:rFonts w:ascii="Palatino Linotype" w:hAnsi="Palatino Linotype" w:eastAsia="Palatino Linotype" w:cs="Palatino Linotype"/>
        </w:rPr>
        <w:t xml:space="preserve"> Cal Advocates recommends that </w:t>
      </w:r>
      <w:r w:rsidRPr="5791A676" w:rsidR="60885EF3">
        <w:rPr>
          <w:rFonts w:ascii="Palatino Linotype" w:hAnsi="Palatino Linotype" w:eastAsia="Palatino Linotype" w:cs="Palatino Linotype"/>
        </w:rPr>
        <w:t xml:space="preserve">the </w:t>
      </w:r>
      <w:r w:rsidRPr="5791A676" w:rsidR="0FDF5944">
        <w:rPr>
          <w:rFonts w:ascii="Palatino Linotype" w:hAnsi="Palatino Linotype" w:eastAsia="Palatino Linotype" w:cs="Palatino Linotype"/>
        </w:rPr>
        <w:t>Draft Resolution be modified to add the statement that “However, we also find that the negatively valued excess procurement proposed by SDG&amp;E burdens ratepayers with unreasonable rate impacts and thus should be denied” on p. 19.</w:t>
      </w:r>
      <w:r w:rsidRPr="5791A676" w:rsidR="3DC42E36">
        <w:rPr>
          <w:rStyle w:val="FootnoteReference"/>
          <w:rFonts w:ascii="Palatino Linotype" w:hAnsi="Palatino Linotype" w:eastAsia="Palatino Linotype" w:cs="Palatino Linotype"/>
        </w:rPr>
        <w:footnoteReference w:id="87"/>
      </w:r>
      <w:r w:rsidRPr="5791A676" w:rsidR="0FDF5944">
        <w:rPr>
          <w:rFonts w:ascii="Palatino Linotype" w:hAnsi="Palatino Linotype" w:eastAsia="Palatino Linotype" w:cs="Palatino Linotype"/>
        </w:rPr>
        <w:t xml:space="preserve"> </w:t>
      </w:r>
      <w:r w:rsidRPr="5791A676" w:rsidR="4094008F">
        <w:rPr>
          <w:rFonts w:ascii="Palatino Linotype" w:hAnsi="Palatino Linotype" w:eastAsia="Palatino Linotype" w:cs="Palatino Linotype"/>
        </w:rPr>
        <w:t xml:space="preserve">Cal Advocates recommends that </w:t>
      </w:r>
      <w:r w:rsidRPr="5791A676" w:rsidR="79A09B4B">
        <w:rPr>
          <w:rFonts w:ascii="Palatino Linotype" w:hAnsi="Palatino Linotype" w:eastAsia="Palatino Linotype" w:cs="Palatino Linotype"/>
        </w:rPr>
        <w:t xml:space="preserve">the </w:t>
      </w:r>
      <w:r w:rsidRPr="5791A676" w:rsidR="4094008F">
        <w:rPr>
          <w:rFonts w:ascii="Palatino Linotype" w:hAnsi="Palatino Linotype" w:eastAsia="Palatino Linotype" w:cs="Palatino Linotype"/>
        </w:rPr>
        <w:t xml:space="preserve">Draft Resolution be modified to delete Finding </w:t>
      </w:r>
      <w:r w:rsidRPr="5791A676" w:rsidR="53BCE753">
        <w:rPr>
          <w:rFonts w:ascii="Palatino Linotype" w:hAnsi="Palatino Linotype" w:eastAsia="Palatino Linotype" w:cs="Palatino Linotype"/>
        </w:rPr>
        <w:t xml:space="preserve">No. </w:t>
      </w:r>
      <w:r w:rsidRPr="5791A676" w:rsidR="4094008F">
        <w:rPr>
          <w:rFonts w:ascii="Palatino Linotype" w:hAnsi="Palatino Linotype" w:eastAsia="Palatino Linotype" w:cs="Palatino Linotype"/>
        </w:rPr>
        <w:t xml:space="preserve">6 and Finding </w:t>
      </w:r>
      <w:r w:rsidRPr="5791A676" w:rsidR="4A6993C3">
        <w:rPr>
          <w:rFonts w:ascii="Palatino Linotype" w:hAnsi="Palatino Linotype" w:eastAsia="Palatino Linotype" w:cs="Palatino Linotype"/>
        </w:rPr>
        <w:t xml:space="preserve">No. </w:t>
      </w:r>
      <w:r w:rsidRPr="5791A676" w:rsidR="4094008F">
        <w:rPr>
          <w:rFonts w:ascii="Palatino Linotype" w:hAnsi="Palatino Linotype" w:eastAsia="Palatino Linotype" w:cs="Palatino Linotype"/>
        </w:rPr>
        <w:t>13 and add a new Finding declaring that “Based on SDG&amp;E’s calculated NMVs, Westside Canal Phase 2a will not provide value as excess EPRM procurement and may not protect against future procurement deficiencies until the Project receives FCDS in 2034. Until that time, SDG&amp;E will have multiple opportunities to procure higher valued contracts for ratepayers.”</w:t>
      </w:r>
      <w:r w:rsidRPr="5791A676" w:rsidR="3DC42E36">
        <w:rPr>
          <w:rStyle w:val="FootnoteReference"/>
          <w:rFonts w:ascii="Palatino Linotype" w:hAnsi="Palatino Linotype" w:eastAsia="Palatino Linotype" w:cs="Palatino Linotype"/>
        </w:rPr>
        <w:footnoteReference w:id="88"/>
      </w:r>
      <w:r w:rsidRPr="5791A676" w:rsidR="4094008F">
        <w:rPr>
          <w:rFonts w:ascii="Palatino Linotype" w:hAnsi="Palatino Linotype" w:eastAsia="Palatino Linotype" w:cs="Palatino Linotype"/>
        </w:rPr>
        <w:t xml:space="preserve"> Cal Advocates recommends that Draft Resolution </w:t>
      </w:r>
      <w:r w:rsidRPr="5791A676" w:rsidR="326C1859">
        <w:rPr>
          <w:rFonts w:ascii="Palatino Linotype" w:hAnsi="Palatino Linotype" w:eastAsia="Palatino Linotype" w:cs="Palatino Linotype"/>
        </w:rPr>
        <w:t xml:space="preserve">Ordering </w:t>
      </w:r>
      <w:r w:rsidRPr="5791A676" w:rsidR="326C1859">
        <w:rPr>
          <w:rFonts w:ascii="Palatino Linotype" w:hAnsi="Palatino Linotype" w:eastAsia="Palatino Linotype" w:cs="Palatino Linotype"/>
        </w:rPr>
        <w:lastRenderedPageBreak/>
        <w:t xml:space="preserve">Paragraph 1 </w:t>
      </w:r>
      <w:r w:rsidRPr="5791A676" w:rsidR="4094008F">
        <w:rPr>
          <w:rFonts w:ascii="Palatino Linotype" w:hAnsi="Palatino Linotype" w:eastAsia="Palatino Linotype" w:cs="Palatino Linotype"/>
        </w:rPr>
        <w:t>be modified to</w:t>
      </w:r>
      <w:r w:rsidRPr="5791A676" w:rsidR="440CDCCC">
        <w:rPr>
          <w:rFonts w:ascii="Palatino Linotype" w:hAnsi="Palatino Linotype" w:eastAsia="Palatino Linotype" w:cs="Palatino Linotype"/>
        </w:rPr>
        <w:t xml:space="preserve"> deny the request in Advice Letter 4736-E.</w:t>
      </w:r>
      <w:r w:rsidRPr="5791A676" w:rsidR="3DC42E36">
        <w:rPr>
          <w:rStyle w:val="FootnoteReference"/>
          <w:rFonts w:ascii="Palatino Linotype" w:hAnsi="Palatino Linotype" w:eastAsia="Palatino Linotype" w:cs="Palatino Linotype"/>
        </w:rPr>
        <w:footnoteReference w:id="89"/>
      </w:r>
      <w:r w:rsidRPr="5791A676" w:rsidR="440CDCCC">
        <w:rPr>
          <w:rFonts w:ascii="Palatino Linotype" w:hAnsi="Palatino Linotype" w:eastAsia="Palatino Linotype" w:cs="Palatino Linotype"/>
        </w:rPr>
        <w:t xml:space="preserve"> Cal Advocates recommends that Draft Resolution Ordering Paragraphs 2 and 3 be deleted.</w:t>
      </w:r>
      <w:r w:rsidRPr="5791A676" w:rsidR="3DC42E36">
        <w:rPr>
          <w:rStyle w:val="FootnoteReference"/>
          <w:rFonts w:ascii="Palatino Linotype" w:hAnsi="Palatino Linotype" w:eastAsia="Palatino Linotype" w:cs="Palatino Linotype"/>
        </w:rPr>
        <w:footnoteReference w:id="90"/>
      </w:r>
    </w:p>
    <w:p w:rsidR="75F6E1AB" w:rsidP="5791A676" w:rsidRDefault="75F6E1AB" w14:paraId="539DF258" w14:textId="07237A40">
      <w:pPr>
        <w:rPr>
          <w:rFonts w:ascii="Palatino Linotype" w:hAnsi="Palatino Linotype" w:eastAsia="Palatino Linotype" w:cs="Palatino Linotype"/>
        </w:rPr>
      </w:pPr>
      <w:r w:rsidRPr="5791A676">
        <w:rPr>
          <w:rFonts w:ascii="Palatino Linotype" w:hAnsi="Palatino Linotype" w:eastAsia="Palatino Linotype" w:cs="Palatino Linotype"/>
        </w:rPr>
        <w:t>Regarding Cal Advocates’ claim that the project does not provide value and that the Draft Resolution</w:t>
      </w:r>
      <w:r w:rsidRPr="5791A676" w:rsidR="241D17A8">
        <w:rPr>
          <w:rFonts w:ascii="Palatino Linotype" w:hAnsi="Palatino Linotype" w:eastAsia="Palatino Linotype" w:cs="Palatino Linotype"/>
        </w:rPr>
        <w:t xml:space="preserve"> errs in relying</w:t>
      </w:r>
      <w:r w:rsidRPr="5791A676">
        <w:rPr>
          <w:rFonts w:ascii="Palatino Linotype" w:hAnsi="Palatino Linotype" w:eastAsia="Palatino Linotype" w:cs="Palatino Linotype"/>
        </w:rPr>
        <w:t xml:space="preserve"> on other factors to determine that the project is reasonable</w:t>
      </w:r>
      <w:r w:rsidRPr="5791A676" w:rsidR="783E7849">
        <w:rPr>
          <w:rFonts w:ascii="Palatino Linotype" w:hAnsi="Palatino Linotype" w:eastAsia="Palatino Linotype" w:cs="Palatino Linotype"/>
        </w:rPr>
        <w:t xml:space="preserve">, we </w:t>
      </w:r>
      <w:r w:rsidRPr="5791A676" w:rsidR="61F0FD27">
        <w:rPr>
          <w:rFonts w:ascii="Palatino Linotype" w:hAnsi="Palatino Linotype" w:eastAsia="Palatino Linotype" w:cs="Palatino Linotype"/>
        </w:rPr>
        <w:t>reaffirm</w:t>
      </w:r>
      <w:r w:rsidRPr="5791A676" w:rsidR="783E7849">
        <w:rPr>
          <w:rFonts w:ascii="Palatino Linotype" w:hAnsi="Palatino Linotype" w:eastAsia="Palatino Linotype" w:cs="Palatino Linotype"/>
        </w:rPr>
        <w:t xml:space="preserve"> that AL 4736-E includes all of </w:t>
      </w:r>
      <w:r w:rsidRPr="5791A676" w:rsidR="54946F30">
        <w:rPr>
          <w:rFonts w:ascii="Palatino Linotype" w:hAnsi="Palatino Linotype" w:eastAsia="Palatino Linotype" w:cs="Palatino Linotype"/>
        </w:rPr>
        <w:t xml:space="preserve">the </w:t>
      </w:r>
      <w:r w:rsidRPr="5791A676" w:rsidR="783E7849">
        <w:rPr>
          <w:rFonts w:ascii="Palatino Linotype" w:hAnsi="Palatino Linotype" w:eastAsia="Palatino Linotype" w:cs="Palatino Linotype"/>
        </w:rPr>
        <w:t xml:space="preserve">elements as required by D.21-02-028 </w:t>
      </w:r>
      <w:r w:rsidRPr="5791A676" w:rsidR="26B116E9">
        <w:rPr>
          <w:rFonts w:ascii="Palatino Linotype" w:hAnsi="Palatino Linotype" w:eastAsia="Palatino Linotype" w:cs="Palatino Linotype"/>
        </w:rPr>
        <w:t xml:space="preserve">in order to inform our evaluation. </w:t>
      </w:r>
      <w:r w:rsidRPr="5791A676" w:rsidR="5963048F">
        <w:rPr>
          <w:rFonts w:ascii="Palatino Linotype" w:hAnsi="Palatino Linotype" w:eastAsia="Palatino Linotype" w:cs="Palatino Linotype"/>
        </w:rPr>
        <w:t>Given the cost comp</w:t>
      </w:r>
      <w:r w:rsidRPr="5791A676" w:rsidR="1A042D6C">
        <w:rPr>
          <w:rFonts w:ascii="Palatino Linotype" w:hAnsi="Palatino Linotype" w:eastAsia="Palatino Linotype" w:cs="Palatino Linotype"/>
        </w:rPr>
        <w:t>etitiveness</w:t>
      </w:r>
      <w:r w:rsidRPr="5791A676" w:rsidR="5963048F">
        <w:rPr>
          <w:rFonts w:ascii="Palatino Linotype" w:hAnsi="Palatino Linotype" w:eastAsia="Palatino Linotype" w:cs="Palatino Linotype"/>
        </w:rPr>
        <w:t xml:space="preserve"> to other Commission-approved projects, we do not find that procurement of </w:t>
      </w:r>
      <w:r w:rsidRPr="5791A676" w:rsidR="072678E1">
        <w:rPr>
          <w:rFonts w:ascii="Palatino Linotype" w:hAnsi="Palatino Linotype" w:eastAsia="Palatino Linotype" w:cs="Palatino Linotype"/>
        </w:rPr>
        <w:t xml:space="preserve">this project is unjust or unreasonable. </w:t>
      </w:r>
      <w:r w:rsidRPr="5791A676" w:rsidR="65EAC3EA">
        <w:rPr>
          <w:rFonts w:ascii="Palatino Linotype" w:hAnsi="Palatino Linotype" w:eastAsia="Palatino Linotype" w:cs="Palatino Linotype"/>
        </w:rPr>
        <w:t xml:space="preserve">We find that SDG&amp;E’s procurement of Westside Canal Phase 2a provides value </w:t>
      </w:r>
      <w:r w:rsidRPr="5791A676" w:rsidR="5C1F224F">
        <w:rPr>
          <w:rFonts w:ascii="Palatino Linotype" w:hAnsi="Palatino Linotype" w:eastAsia="Palatino Linotype" w:cs="Palatino Linotype"/>
        </w:rPr>
        <w:t>that justifies approval for several reasons</w:t>
      </w:r>
      <w:r w:rsidRPr="5791A676" w:rsidR="7DF5F356">
        <w:rPr>
          <w:rFonts w:ascii="Palatino Linotype" w:hAnsi="Palatino Linotype" w:eastAsia="Palatino Linotype" w:cs="Palatino Linotype"/>
        </w:rPr>
        <w:t>,</w:t>
      </w:r>
      <w:r w:rsidRPr="5791A676" w:rsidR="65EAC3EA">
        <w:rPr>
          <w:rFonts w:ascii="Palatino Linotype" w:hAnsi="Palatino Linotype" w:eastAsia="Palatino Linotype" w:cs="Palatino Linotype"/>
        </w:rPr>
        <w:t xml:space="preserve"> including its contribution to </w:t>
      </w:r>
      <w:r w:rsidRPr="5791A676" w:rsidR="5ACB781F">
        <w:rPr>
          <w:rFonts w:ascii="Palatino Linotype" w:hAnsi="Palatino Linotype" w:eastAsia="Palatino Linotype" w:cs="Palatino Linotype"/>
        </w:rPr>
        <w:t xml:space="preserve">local and </w:t>
      </w:r>
      <w:r w:rsidRPr="5791A676" w:rsidR="65729A90">
        <w:rPr>
          <w:rFonts w:ascii="Palatino Linotype" w:hAnsi="Palatino Linotype" w:eastAsia="Palatino Linotype" w:cs="Palatino Linotype"/>
        </w:rPr>
        <w:t>system reliability, its ability to continue to operate and provide all resource attributes</w:t>
      </w:r>
      <w:r w:rsidRPr="5791A676" w:rsidR="044925FB">
        <w:rPr>
          <w:rFonts w:ascii="Palatino Linotype" w:hAnsi="Palatino Linotype" w:eastAsia="Palatino Linotype" w:cs="Palatino Linotype"/>
        </w:rPr>
        <w:t xml:space="preserve"> for a significant period of time</w:t>
      </w:r>
      <w:r w:rsidRPr="5791A676" w:rsidR="705A6F5D">
        <w:rPr>
          <w:rFonts w:ascii="Palatino Linotype" w:hAnsi="Palatino Linotype" w:eastAsia="Palatino Linotype" w:cs="Palatino Linotype"/>
        </w:rPr>
        <w:t xml:space="preserve"> </w:t>
      </w:r>
      <w:r w:rsidRPr="5791A676" w:rsidR="65729A90">
        <w:rPr>
          <w:rFonts w:ascii="Palatino Linotype" w:hAnsi="Palatino Linotype" w:eastAsia="Palatino Linotype" w:cs="Palatino Linotype"/>
        </w:rPr>
        <w:t xml:space="preserve">after </w:t>
      </w:r>
      <w:r w:rsidRPr="5791A676" w:rsidR="3B25542C">
        <w:rPr>
          <w:rFonts w:ascii="Palatino Linotype" w:hAnsi="Palatino Linotype" w:eastAsia="Palatino Linotype" w:cs="Palatino Linotype"/>
        </w:rPr>
        <w:t>expiration of the LTSA</w:t>
      </w:r>
      <w:r w:rsidRPr="5791A676" w:rsidR="748A3CEA">
        <w:rPr>
          <w:rFonts w:ascii="Palatino Linotype" w:hAnsi="Palatino Linotype" w:eastAsia="Palatino Linotype" w:cs="Palatino Linotype"/>
        </w:rPr>
        <w:t xml:space="preserve">, its potential to reduce the need for future procurement and hedge against procurement deficiencies, </w:t>
      </w:r>
      <w:r w:rsidRPr="5791A676" w:rsidR="7A1E4D61">
        <w:rPr>
          <w:rFonts w:ascii="Palatino Linotype" w:hAnsi="Palatino Linotype" w:eastAsia="Palatino Linotype" w:cs="Palatino Linotype"/>
        </w:rPr>
        <w:t>and its subjection to least-cost dispatch requirements</w:t>
      </w:r>
      <w:r w:rsidRPr="5791A676" w:rsidR="40DBEDD9">
        <w:rPr>
          <w:rFonts w:ascii="Palatino Linotype" w:hAnsi="Palatino Linotype" w:eastAsia="Palatino Linotype" w:cs="Palatino Linotype"/>
        </w:rPr>
        <w:t xml:space="preserve"> t</w:t>
      </w:r>
      <w:r w:rsidRPr="5791A676" w:rsidR="7C303B5E">
        <w:rPr>
          <w:rFonts w:ascii="Palatino Linotype" w:hAnsi="Palatino Linotype" w:eastAsia="Palatino Linotype" w:cs="Palatino Linotype"/>
        </w:rPr>
        <w:t>hat</w:t>
      </w:r>
      <w:r w:rsidRPr="5791A676" w:rsidR="40DBEDD9">
        <w:rPr>
          <w:rFonts w:ascii="Palatino Linotype" w:hAnsi="Palatino Linotype" w:eastAsia="Palatino Linotype" w:cs="Palatino Linotype"/>
        </w:rPr>
        <w:t xml:space="preserve"> promote affordability. </w:t>
      </w:r>
      <w:r w:rsidRPr="5791A676" w:rsidR="65E2B44A">
        <w:rPr>
          <w:rFonts w:ascii="Palatino Linotype" w:hAnsi="Palatino Linotype" w:eastAsia="Palatino Linotype" w:cs="Palatino Linotype"/>
        </w:rPr>
        <w:t>In response</w:t>
      </w:r>
      <w:r w:rsidRPr="5791A676" w:rsidR="3550F290">
        <w:rPr>
          <w:rFonts w:ascii="Palatino Linotype" w:hAnsi="Palatino Linotype" w:eastAsia="Palatino Linotype" w:cs="Palatino Linotype"/>
        </w:rPr>
        <w:t xml:space="preserve"> to</w:t>
      </w:r>
      <w:r w:rsidRPr="5791A676" w:rsidR="65E2B44A">
        <w:rPr>
          <w:rFonts w:ascii="Palatino Linotype" w:hAnsi="Palatino Linotype" w:eastAsia="Palatino Linotype" w:cs="Palatino Linotype"/>
        </w:rPr>
        <w:t xml:space="preserve"> Cal Advocates’ claim that it is unclear whether the project will contribute to existing and/or future I</w:t>
      </w:r>
      <w:r w:rsidRPr="5791A676" w:rsidR="40D492E2">
        <w:rPr>
          <w:rFonts w:ascii="Palatino Linotype" w:hAnsi="Palatino Linotype" w:eastAsia="Palatino Linotype" w:cs="Palatino Linotype"/>
        </w:rPr>
        <w:t>RP</w:t>
      </w:r>
      <w:r w:rsidRPr="5791A676" w:rsidR="65E2B44A">
        <w:rPr>
          <w:rFonts w:ascii="Palatino Linotype" w:hAnsi="Palatino Linotype" w:eastAsia="Palatino Linotype" w:cs="Palatino Linotype"/>
        </w:rPr>
        <w:t xml:space="preserve"> procurement requirements, we agree that a determination on future IRP compliance eligibility cannot be made at this time. </w:t>
      </w:r>
      <w:r w:rsidRPr="5791A676" w:rsidR="40138532">
        <w:rPr>
          <w:rFonts w:ascii="Palatino Linotype" w:hAnsi="Palatino Linotype" w:eastAsia="Palatino Linotype" w:cs="Palatino Linotype"/>
        </w:rPr>
        <w:t xml:space="preserve">However, </w:t>
      </w:r>
      <w:r w:rsidRPr="5791A676" w:rsidR="20978CAF">
        <w:rPr>
          <w:rFonts w:ascii="Palatino Linotype" w:hAnsi="Palatino Linotype" w:eastAsia="Palatino Linotype" w:cs="Palatino Linotype"/>
        </w:rPr>
        <w:t xml:space="preserve">procurement of this resource may provide reliability benefits if other investor-owned utilities do not fully satisfy their individual EPRM procurement targets or if other </w:t>
      </w:r>
      <w:r w:rsidRPr="5791A676" w:rsidR="4B7B4549">
        <w:rPr>
          <w:rFonts w:ascii="Palatino Linotype" w:hAnsi="Palatino Linotype" w:eastAsia="Palatino Linotype" w:cs="Palatino Linotype"/>
        </w:rPr>
        <w:t xml:space="preserve">threats to </w:t>
      </w:r>
      <w:r w:rsidRPr="5791A676" w:rsidR="09735484">
        <w:rPr>
          <w:rFonts w:ascii="Palatino Linotype" w:hAnsi="Palatino Linotype" w:eastAsia="Palatino Linotype" w:cs="Palatino Linotype"/>
        </w:rPr>
        <w:t xml:space="preserve">local or </w:t>
      </w:r>
      <w:r w:rsidRPr="5791A676" w:rsidR="4B7B4549">
        <w:rPr>
          <w:rFonts w:ascii="Palatino Linotype" w:hAnsi="Palatino Linotype" w:eastAsia="Palatino Linotype" w:cs="Palatino Linotype"/>
        </w:rPr>
        <w:t xml:space="preserve">system </w:t>
      </w:r>
      <w:r w:rsidRPr="5791A676" w:rsidR="20978CAF">
        <w:rPr>
          <w:rFonts w:ascii="Palatino Linotype" w:hAnsi="Palatino Linotype" w:eastAsia="Palatino Linotype" w:cs="Palatino Linotype"/>
        </w:rPr>
        <w:t>reliability materialize.</w:t>
      </w:r>
      <w:r w:rsidRPr="5791A676" w:rsidR="29C00590">
        <w:rPr>
          <w:rFonts w:ascii="Palatino Linotype" w:hAnsi="Palatino Linotype" w:eastAsia="Palatino Linotype" w:cs="Palatino Linotype"/>
        </w:rPr>
        <w:t xml:space="preserve"> </w:t>
      </w:r>
      <w:r w:rsidRPr="5791A676" w:rsidR="10AD9BFC">
        <w:rPr>
          <w:rFonts w:ascii="Palatino Linotype" w:hAnsi="Palatino Linotype" w:eastAsia="Palatino Linotype" w:cs="Palatino Linotype"/>
        </w:rPr>
        <w:t>In response to Cal Advocates’ claim that approval of unnecessary costs violates the Commission’s statutory obligation to minimize IRP procurement costs for ratepayers, we maintain that a determination on future IRP</w:t>
      </w:r>
      <w:r w:rsidRPr="5791A676" w:rsidR="50AC40A4">
        <w:rPr>
          <w:rFonts w:ascii="Palatino Linotype" w:hAnsi="Palatino Linotype" w:eastAsia="Palatino Linotype" w:cs="Palatino Linotype"/>
        </w:rPr>
        <w:t xml:space="preserve"> procurement</w:t>
      </w:r>
      <w:r w:rsidRPr="5791A676" w:rsidR="10AD9BFC">
        <w:rPr>
          <w:rFonts w:ascii="Palatino Linotype" w:hAnsi="Palatino Linotype" w:eastAsia="Palatino Linotype" w:cs="Palatino Linotype"/>
        </w:rPr>
        <w:t xml:space="preserve"> compliance eligibility cannot be made at this time. </w:t>
      </w:r>
      <w:r w:rsidRPr="5791A676" w:rsidR="40DBEDD9">
        <w:rPr>
          <w:rFonts w:ascii="Palatino Linotype" w:hAnsi="Palatino Linotype" w:eastAsia="Palatino Linotype" w:cs="Palatino Linotype"/>
        </w:rPr>
        <w:t xml:space="preserve">We decline to </w:t>
      </w:r>
      <w:r w:rsidRPr="5791A676" w:rsidR="1D1D49CB">
        <w:rPr>
          <w:rFonts w:ascii="Palatino Linotype" w:hAnsi="Palatino Linotype" w:eastAsia="Palatino Linotype" w:cs="Palatino Linotype"/>
        </w:rPr>
        <w:t>modify the Draft Resolution.</w:t>
      </w:r>
    </w:p>
    <w:p w:rsidR="00455AED" w:rsidP="00455AED" w:rsidRDefault="00455AED" w14:paraId="641B45E7" w14:textId="77777777">
      <w:pPr>
        <w:spacing w:after="0" w:line="240" w:lineRule="auto"/>
        <w:rPr>
          <w:rFonts w:ascii="Palatino Linotype" w:hAnsi="Palatino Linotype" w:eastAsia="Palatino Linotype" w:cs="Palatino Linotype"/>
          <w:b/>
          <w:bCs/>
          <w:u w:val="single"/>
        </w:rPr>
      </w:pPr>
    </w:p>
    <w:p w:rsidR="07C4EF08" w:rsidP="190E8F6F" w:rsidRDefault="07C4EF08" w14:paraId="6628FD2A" w14:textId="3BF924C9">
      <w:pPr>
        <w:rPr>
          <w:rFonts w:ascii="Palatino Linotype" w:hAnsi="Palatino Linotype" w:eastAsia="Palatino Linotype" w:cs="Palatino Linotype"/>
          <w:b/>
          <w:bCs/>
          <w:u w:val="single"/>
        </w:rPr>
      </w:pPr>
      <w:r w:rsidRPr="190E8F6F">
        <w:rPr>
          <w:rFonts w:ascii="Palatino Linotype" w:hAnsi="Palatino Linotype" w:eastAsia="Palatino Linotype" w:cs="Palatino Linotype"/>
          <w:b/>
          <w:bCs/>
          <w:u w:val="single"/>
        </w:rPr>
        <w:t>FINDINGS</w:t>
      </w:r>
      <w:r w:rsidR="00455AED">
        <w:rPr>
          <w:rFonts w:ascii="Palatino Linotype" w:hAnsi="Palatino Linotype" w:eastAsia="Palatino Linotype" w:cs="Palatino Linotype"/>
          <w:b/>
          <w:bCs/>
          <w:u w:val="single"/>
        </w:rPr>
        <w:t xml:space="preserve"> </w:t>
      </w:r>
      <w:r w:rsidR="00826108">
        <w:rPr>
          <w:rFonts w:ascii="Palatino Linotype" w:hAnsi="Palatino Linotype" w:eastAsia="Palatino Linotype" w:cs="Palatino Linotype"/>
          <w:b/>
          <w:bCs/>
          <w:u w:val="single"/>
        </w:rPr>
        <w:t>AND CONCLUSIONS</w:t>
      </w:r>
      <w:r w:rsidRPr="190E8F6F">
        <w:rPr>
          <w:rFonts w:ascii="Palatino Linotype" w:hAnsi="Palatino Linotype" w:eastAsia="Palatino Linotype" w:cs="Palatino Linotype"/>
          <w:b/>
          <w:bCs/>
          <w:u w:val="single"/>
        </w:rPr>
        <w:t xml:space="preserve"> </w:t>
      </w:r>
    </w:p>
    <w:p w:rsidR="07C4EF08" w:rsidP="4D09BD7A" w:rsidRDefault="07C4EF08" w14:paraId="501253BC" w14:textId="6A1C2B69">
      <w:pPr>
        <w:pStyle w:val="ListParagraph"/>
        <w:numPr>
          <w:ilvl w:val="0"/>
          <w:numId w:val="1"/>
        </w:numPr>
        <w:spacing w:after="0"/>
        <w:rPr>
          <w:rFonts w:ascii="Palatino Linotype" w:hAnsi="Palatino Linotype" w:eastAsia="Palatino Linotype" w:cs="Palatino Linotype"/>
        </w:rPr>
      </w:pPr>
      <w:r w:rsidRPr="6AA5A77E">
        <w:rPr>
          <w:rFonts w:ascii="Palatino Linotype" w:hAnsi="Palatino Linotype" w:eastAsia="Palatino Linotype" w:cs="Palatino Linotype"/>
        </w:rPr>
        <w:t xml:space="preserve">D.21-02-028 and D.21-03-056 directed the IOUs to contract for incremental capacity available to serve peak and net peak demand during the summers of 2021 and 2022 on behalf of all benefiting customers and expressed a preference for storage resources. The Commission determined that potential resources may </w:t>
      </w:r>
      <w:r w:rsidRPr="6AA5A77E">
        <w:rPr>
          <w:rFonts w:ascii="Palatino Linotype" w:hAnsi="Palatino Linotype" w:eastAsia="Palatino Linotype" w:cs="Palatino Linotype"/>
        </w:rPr>
        <w:lastRenderedPageBreak/>
        <w:t xml:space="preserve">include utility-owned generation and authorized the IOUs to submit </w:t>
      </w:r>
      <w:r w:rsidR="00D340F6">
        <w:rPr>
          <w:rFonts w:ascii="Palatino Linotype" w:hAnsi="Palatino Linotype" w:eastAsia="Palatino Linotype" w:cs="Palatino Linotype"/>
        </w:rPr>
        <w:br/>
      </w:r>
      <w:r w:rsidRPr="6AA5A77E">
        <w:rPr>
          <w:rFonts w:ascii="Palatino Linotype" w:hAnsi="Palatino Linotype" w:eastAsia="Palatino Linotype" w:cs="Palatino Linotype"/>
        </w:rPr>
        <w:t>utility-owned generation projects through a Tier 2 Advice Letter.</w:t>
      </w:r>
    </w:p>
    <w:p w:rsidR="07C4EF08" w:rsidP="4D09BD7A" w:rsidRDefault="07C4EF08" w14:paraId="4B2A18A6" w14:textId="59C4B5FF">
      <w:pPr>
        <w:pStyle w:val="ListParagraph"/>
        <w:numPr>
          <w:ilvl w:val="0"/>
          <w:numId w:val="1"/>
        </w:numPr>
        <w:spacing w:after="0"/>
        <w:rPr>
          <w:rFonts w:ascii="Palatino Linotype" w:hAnsi="Palatino Linotype" w:eastAsia="Palatino Linotype" w:cs="Palatino Linotype"/>
        </w:rPr>
      </w:pPr>
      <w:r w:rsidRPr="4D09BD7A">
        <w:rPr>
          <w:rFonts w:ascii="Palatino Linotype" w:hAnsi="Palatino Linotype" w:eastAsia="Palatino Linotype" w:cs="Palatino Linotype"/>
        </w:rPr>
        <w:t>Commission decision D.21-12-015 adopted several supply and demand-side requirements intended to ensure that there is adequate electric power in the event of extreme weather conditions during the summers of 2022 and 2023.</w:t>
      </w:r>
    </w:p>
    <w:p w:rsidR="07C4EF08" w:rsidP="4D09BD7A" w:rsidRDefault="07C4EF08" w14:paraId="4CF22169" w14:textId="55BA51FB">
      <w:pPr>
        <w:pStyle w:val="ListParagraph"/>
        <w:numPr>
          <w:ilvl w:val="0"/>
          <w:numId w:val="1"/>
        </w:numPr>
        <w:spacing w:after="0"/>
        <w:rPr>
          <w:rFonts w:ascii="Palatino Linotype" w:hAnsi="Palatino Linotype" w:eastAsia="Palatino Linotype" w:cs="Palatino Linotype"/>
        </w:rPr>
      </w:pPr>
      <w:r w:rsidRPr="4D09BD7A">
        <w:rPr>
          <w:rFonts w:ascii="Palatino Linotype" w:hAnsi="Palatino Linotype" w:eastAsia="Palatino Linotype" w:cs="Palatino Linotype"/>
        </w:rPr>
        <w:t xml:space="preserve">Commission decision D.23-06-029 extended D.21-12-015 and established a </w:t>
      </w:r>
      <w:r w:rsidR="00D340F6">
        <w:rPr>
          <w:rFonts w:ascii="Palatino Linotype" w:hAnsi="Palatino Linotype" w:eastAsia="Palatino Linotype" w:cs="Palatino Linotype"/>
        </w:rPr>
        <w:br/>
      </w:r>
      <w:r w:rsidRPr="4D09BD7A">
        <w:rPr>
          <w:rFonts w:ascii="Palatino Linotype" w:hAnsi="Palatino Linotype" w:eastAsia="Palatino Linotype" w:cs="Palatino Linotype"/>
        </w:rPr>
        <w:t xml:space="preserve">17 percent PRM for Load Serving Entities and an effective PRM procurement target of 170 to 320 MW for SDG&amp;E. </w:t>
      </w:r>
    </w:p>
    <w:p w:rsidR="07C4EF08" w:rsidP="4D09BD7A" w:rsidRDefault="0370DA03" w14:paraId="37F66D60" w14:textId="67E7E72B">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 xml:space="preserve">Commission decision D.25-06-048 extended D.23-06-029 and established an </w:t>
      </w:r>
      <w:r w:rsidR="00D340F6">
        <w:rPr>
          <w:rFonts w:ascii="Palatino Linotype" w:hAnsi="Palatino Linotype" w:eastAsia="Palatino Linotype" w:cs="Palatino Linotype"/>
        </w:rPr>
        <w:br/>
      </w:r>
      <w:r w:rsidRPr="7441B0D7">
        <w:rPr>
          <w:rFonts w:ascii="Palatino Linotype" w:hAnsi="Palatino Linotype" w:eastAsia="Palatino Linotype" w:cs="Palatino Linotype"/>
        </w:rPr>
        <w:t>18 percent PRM for Load Serving Entities and an effective PRM procurement target of 120-220 MW for SDG&amp;E.</w:t>
      </w:r>
    </w:p>
    <w:p w:rsidR="3F0ED6FF" w:rsidP="7441B0D7" w:rsidRDefault="3F0ED6FF" w14:paraId="20F13BDB" w14:textId="07B6E740">
      <w:pPr>
        <w:pStyle w:val="ListParagraph"/>
        <w:numPr>
          <w:ilvl w:val="0"/>
          <w:numId w:val="1"/>
        </w:numPr>
        <w:spacing w:after="0"/>
        <w:rPr>
          <w:rFonts w:ascii="Palatino Linotype" w:hAnsi="Palatino Linotype" w:eastAsia="Palatino Linotype" w:cs="Palatino Linotype"/>
        </w:rPr>
      </w:pPr>
      <w:r w:rsidRPr="5791A676">
        <w:rPr>
          <w:rFonts w:ascii="Palatino Linotype" w:hAnsi="Palatino Linotype" w:eastAsia="Palatino Linotype" w:cs="Palatino Linotype"/>
        </w:rPr>
        <w:t>As a resource interconnecting into SDG&amp;E’s TAC</w:t>
      </w:r>
      <w:r w:rsidRPr="5791A676" w:rsidR="60B146BE">
        <w:rPr>
          <w:rFonts w:ascii="Palatino Linotype" w:hAnsi="Palatino Linotype" w:eastAsia="Palatino Linotype" w:cs="Palatino Linotype"/>
        </w:rPr>
        <w:t xml:space="preserve"> Area</w:t>
      </w:r>
      <w:r w:rsidRPr="5791A676">
        <w:rPr>
          <w:rFonts w:ascii="Palatino Linotype" w:hAnsi="Palatino Linotype" w:eastAsia="Palatino Linotype" w:cs="Palatino Linotype"/>
        </w:rPr>
        <w:t>, the project provides benefits to local reliability as encouraged by D.21-12-015.</w:t>
      </w:r>
    </w:p>
    <w:p w:rsidR="493D90E6" w:rsidP="7441B0D7" w:rsidRDefault="493D90E6" w14:paraId="55318A74" w14:textId="113A577D">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The project will provide value and protect against future procurement deficiencies.</w:t>
      </w:r>
    </w:p>
    <w:p w:rsidR="067C14AD" w:rsidP="7441B0D7" w:rsidRDefault="067C14AD" w14:paraId="478803ED" w14:textId="08BB30CF">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The Commission has a long-standing practice that allows for a hybrid wholesale competitive marketplace that includes both utility-owned projects and independent power producer projects.</w:t>
      </w:r>
    </w:p>
    <w:p w:rsidR="07C4EF08" w:rsidP="4D09BD7A" w:rsidRDefault="07C4EF08" w14:paraId="12B104C3" w14:textId="30BE3020">
      <w:pPr>
        <w:pStyle w:val="ListParagraph"/>
        <w:numPr>
          <w:ilvl w:val="0"/>
          <w:numId w:val="1"/>
        </w:numPr>
        <w:spacing w:after="0"/>
        <w:rPr>
          <w:rFonts w:ascii="Palatino Linotype" w:hAnsi="Palatino Linotype" w:eastAsia="Palatino Linotype" w:cs="Palatino Linotype"/>
        </w:rPr>
      </w:pPr>
      <w:r w:rsidRPr="4D09BD7A">
        <w:rPr>
          <w:rFonts w:ascii="Palatino Linotype" w:hAnsi="Palatino Linotype" w:eastAsia="Palatino Linotype" w:cs="Palatino Linotype"/>
        </w:rPr>
        <w:t xml:space="preserve">SDG&amp;E’s methodology to evaluate the energy storage procurement is reasonable. </w:t>
      </w:r>
    </w:p>
    <w:p w:rsidR="07C4EF08" w:rsidP="4D09BD7A" w:rsidRDefault="5BEE3D97" w14:paraId="729EA2B9" w14:textId="73CA3BEA">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SDG&amp;E</w:t>
      </w:r>
      <w:r w:rsidRPr="7441B0D7" w:rsidR="15956300">
        <w:rPr>
          <w:rFonts w:ascii="Palatino Linotype" w:hAnsi="Palatino Linotype" w:eastAsia="Palatino Linotype" w:cs="Palatino Linotype"/>
        </w:rPr>
        <w:t xml:space="preserve">’s procurement of the project is </w:t>
      </w:r>
      <w:r w:rsidRPr="7441B0D7" w:rsidR="7C3F9141">
        <w:rPr>
          <w:rFonts w:ascii="Palatino Linotype" w:hAnsi="Palatino Linotype" w:eastAsia="Palatino Linotype" w:cs="Palatino Linotype"/>
        </w:rPr>
        <w:t>consis</w:t>
      </w:r>
      <w:r w:rsidRPr="7441B0D7" w:rsidR="1CEAF5C1">
        <w:rPr>
          <w:rFonts w:ascii="Palatino Linotype" w:hAnsi="Palatino Linotype" w:eastAsia="Palatino Linotype" w:cs="Palatino Linotype"/>
        </w:rPr>
        <w:t>t</w:t>
      </w:r>
      <w:r w:rsidRPr="7441B0D7" w:rsidR="7C3F9141">
        <w:rPr>
          <w:rFonts w:ascii="Palatino Linotype" w:hAnsi="Palatino Linotype" w:eastAsia="Palatino Linotype" w:cs="Palatino Linotype"/>
        </w:rPr>
        <w:t xml:space="preserve">ent </w:t>
      </w:r>
      <w:r w:rsidRPr="7441B0D7" w:rsidR="5BBBC553">
        <w:rPr>
          <w:rFonts w:ascii="Palatino Linotype" w:hAnsi="Palatino Linotype" w:eastAsia="Palatino Linotype" w:cs="Palatino Linotype"/>
        </w:rPr>
        <w:t>with the Commission’s EPRM pro</w:t>
      </w:r>
      <w:r w:rsidRPr="7441B0D7" w:rsidR="411DBA89">
        <w:rPr>
          <w:rFonts w:ascii="Palatino Linotype" w:hAnsi="Palatino Linotype" w:eastAsia="Palatino Linotype" w:cs="Palatino Linotype"/>
        </w:rPr>
        <w:t>curement decisions.</w:t>
      </w:r>
    </w:p>
    <w:p w:rsidR="0AA7FC8A" w:rsidP="7441B0D7" w:rsidRDefault="0AA7FC8A" w14:paraId="76D8D827" w14:textId="050D86A2">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 xml:space="preserve">SDG&amp;E has performed the net market value and cost competitiveness analysis required by D.21-12-015 and demonstrated that the proposed project is cost competitive.  </w:t>
      </w:r>
    </w:p>
    <w:p w:rsidR="07C4EF08" w:rsidP="4D09BD7A" w:rsidRDefault="07C4EF08" w14:paraId="5337D638" w14:textId="3FAB6CDC">
      <w:pPr>
        <w:pStyle w:val="ListParagraph"/>
        <w:numPr>
          <w:ilvl w:val="0"/>
          <w:numId w:val="1"/>
        </w:numPr>
        <w:spacing w:after="0"/>
        <w:rPr>
          <w:rFonts w:ascii="Palatino Linotype" w:hAnsi="Palatino Linotype" w:eastAsia="Palatino Linotype" w:cs="Palatino Linotype"/>
        </w:rPr>
      </w:pPr>
      <w:r w:rsidRPr="4D09BD7A">
        <w:rPr>
          <w:rFonts w:ascii="Palatino Linotype" w:hAnsi="Palatino Linotype" w:eastAsia="Palatino Linotype" w:cs="Palatino Linotype"/>
        </w:rPr>
        <w:t>The total cost (capital, operations, and construction) of $</w:t>
      </w:r>
      <w:r w:rsidRPr="4D09BD7A" w:rsidR="337D1539">
        <w:rPr>
          <w:rFonts w:ascii="Palatino Linotype" w:hAnsi="Palatino Linotype" w:eastAsia="Palatino Linotype" w:cs="Palatino Linotype"/>
        </w:rPr>
        <w:t>267.9 million</w:t>
      </w:r>
      <w:r w:rsidRPr="4D09BD7A">
        <w:rPr>
          <w:rFonts w:ascii="Palatino Linotype" w:hAnsi="Palatino Linotype" w:eastAsia="Palatino Linotype" w:cs="Palatino Linotype"/>
        </w:rPr>
        <w:t xml:space="preserve"> is reasonable based on comparisons. </w:t>
      </w:r>
    </w:p>
    <w:p w:rsidR="07C4EF08" w:rsidP="4D09BD7A" w:rsidRDefault="07C4EF08" w14:paraId="6FF5D8F9" w14:textId="27FFCE15">
      <w:pPr>
        <w:pStyle w:val="ListParagraph"/>
        <w:numPr>
          <w:ilvl w:val="0"/>
          <w:numId w:val="1"/>
        </w:numPr>
        <w:spacing w:after="0"/>
        <w:rPr>
          <w:rFonts w:ascii="Palatino Linotype" w:hAnsi="Palatino Linotype" w:eastAsia="Palatino Linotype" w:cs="Palatino Linotype"/>
        </w:rPr>
      </w:pPr>
      <w:r w:rsidRPr="4D09BD7A">
        <w:rPr>
          <w:rFonts w:ascii="Palatino Linotype" w:hAnsi="Palatino Linotype" w:eastAsia="Palatino Linotype" w:cs="Palatino Linotype"/>
        </w:rPr>
        <w:t xml:space="preserve">SDG&amp;E’s request to recover the cost of the utility-owned energy storage project through the Cost Allocation Mechanism is reasonable. </w:t>
      </w:r>
    </w:p>
    <w:p w:rsidR="07C4EF08" w:rsidP="4D09BD7A" w:rsidRDefault="5BEE3D97" w14:paraId="2FE37407" w14:textId="3BA0EC74">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 xml:space="preserve">It is reasonable for SDG&amp;E to </w:t>
      </w:r>
      <w:r w:rsidRPr="7441B0D7" w:rsidR="6EAA922D">
        <w:rPr>
          <w:rFonts w:ascii="Palatino Linotype" w:hAnsi="Palatino Linotype" w:eastAsia="Palatino Linotype" w:cs="Palatino Linotype"/>
        </w:rPr>
        <w:t xml:space="preserve">provide quarterly </w:t>
      </w:r>
      <w:r w:rsidRPr="7441B0D7">
        <w:rPr>
          <w:rFonts w:ascii="Palatino Linotype" w:hAnsi="Palatino Linotype" w:eastAsia="Palatino Linotype" w:cs="Palatino Linotype"/>
        </w:rPr>
        <w:t>update</w:t>
      </w:r>
      <w:r w:rsidRPr="7441B0D7" w:rsidR="36C16A5C">
        <w:rPr>
          <w:rFonts w:ascii="Palatino Linotype" w:hAnsi="Palatino Linotype" w:eastAsia="Palatino Linotype" w:cs="Palatino Linotype"/>
        </w:rPr>
        <w:t>s to</w:t>
      </w:r>
      <w:r w:rsidRPr="7441B0D7">
        <w:rPr>
          <w:rFonts w:ascii="Palatino Linotype" w:hAnsi="Palatino Linotype" w:eastAsia="Palatino Linotype" w:cs="Palatino Linotype"/>
        </w:rPr>
        <w:t xml:space="preserve"> the Cost Allocation Mechanism Procurement Review Group for the first </w:t>
      </w:r>
      <w:r w:rsidRPr="7441B0D7" w:rsidR="019DEFD3">
        <w:rPr>
          <w:rFonts w:ascii="Palatino Linotype" w:hAnsi="Palatino Linotype" w:eastAsia="Palatino Linotype" w:cs="Palatino Linotype"/>
        </w:rPr>
        <w:t>three</w:t>
      </w:r>
      <w:r w:rsidRPr="7441B0D7">
        <w:rPr>
          <w:rFonts w:ascii="Palatino Linotype" w:hAnsi="Palatino Linotype" w:eastAsia="Palatino Linotype" w:cs="Palatino Linotype"/>
        </w:rPr>
        <w:t xml:space="preserve"> years o</w:t>
      </w:r>
      <w:r w:rsidRPr="7441B0D7" w:rsidR="07B3D02A">
        <w:rPr>
          <w:rFonts w:ascii="Palatino Linotype" w:hAnsi="Palatino Linotype" w:eastAsia="Palatino Linotype" w:cs="Palatino Linotype"/>
        </w:rPr>
        <w:t>f</w:t>
      </w:r>
      <w:r w:rsidRPr="7441B0D7">
        <w:rPr>
          <w:rFonts w:ascii="Palatino Linotype" w:hAnsi="Palatino Linotype" w:eastAsia="Palatino Linotype" w:cs="Palatino Linotype"/>
        </w:rPr>
        <w:t xml:space="preserve"> operation</w:t>
      </w:r>
      <w:r w:rsidRPr="7441B0D7" w:rsidR="565A53D4">
        <w:rPr>
          <w:rFonts w:ascii="Palatino Linotype" w:hAnsi="Palatino Linotype" w:eastAsia="Palatino Linotype" w:cs="Palatino Linotype"/>
        </w:rPr>
        <w:t xml:space="preserve"> and thereafter at the request of PRG participants.</w:t>
      </w:r>
    </w:p>
    <w:p w:rsidR="7FBC3A16" w:rsidP="7441B0D7" w:rsidRDefault="7FBC3A16" w14:paraId="1AF39BD4" w14:textId="079850E0">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The confidential portions of Advice Letter 4736-E should remain confidential at this time.</w:t>
      </w:r>
    </w:p>
    <w:p w:rsidRPr="002A268B" w:rsidR="002A268B" w:rsidP="002A268B" w:rsidRDefault="002A268B" w14:paraId="75D80130" w14:textId="77777777">
      <w:pPr>
        <w:spacing w:after="0"/>
        <w:rPr>
          <w:rFonts w:ascii="Palatino Linotype" w:hAnsi="Palatino Linotype" w:eastAsia="Palatino Linotype" w:cs="Palatino Linotype"/>
        </w:rPr>
      </w:pPr>
    </w:p>
    <w:p w:rsidR="07C4EF08" w:rsidP="190E8F6F" w:rsidRDefault="07C4EF08" w14:paraId="406D0CC8" w14:textId="6076758B">
      <w:pPr>
        <w:rPr>
          <w:rFonts w:ascii="Palatino Linotype" w:hAnsi="Palatino Linotype" w:eastAsia="Palatino Linotype" w:cs="Palatino Linotype"/>
          <w:b/>
          <w:bCs/>
          <w:u w:val="single"/>
        </w:rPr>
      </w:pPr>
      <w:r w:rsidRPr="190E8F6F">
        <w:rPr>
          <w:rFonts w:ascii="Palatino Linotype" w:hAnsi="Palatino Linotype" w:eastAsia="Palatino Linotype" w:cs="Palatino Linotype"/>
          <w:b/>
          <w:bCs/>
          <w:u w:val="single"/>
        </w:rPr>
        <w:t xml:space="preserve">THEREFORE IT IS ORDERED THAT: </w:t>
      </w:r>
    </w:p>
    <w:p w:rsidR="07C4EF08" w:rsidP="4D09BD7A" w:rsidRDefault="07C4EF08" w14:paraId="59A52C76" w14:textId="728CCA41">
      <w:pPr>
        <w:spacing w:after="0"/>
        <w:rPr>
          <w:rFonts w:ascii="Palatino Linotype" w:hAnsi="Palatino Linotype" w:eastAsia="Palatino Linotype" w:cs="Palatino Linotype"/>
        </w:rPr>
      </w:pPr>
      <w:r w:rsidRPr="4D09BD7A">
        <w:rPr>
          <w:rFonts w:ascii="Palatino Linotype" w:hAnsi="Palatino Linotype" w:eastAsia="Palatino Linotype" w:cs="Palatino Linotype"/>
        </w:rPr>
        <w:t>1. The request of SDG&amp;E to approve the utility-owned energy storage contract for Westside Canal Expansion Phase 2</w:t>
      </w:r>
      <w:r w:rsidRPr="4D09BD7A" w:rsidR="418E7F89">
        <w:rPr>
          <w:rFonts w:ascii="Palatino Linotype" w:hAnsi="Palatino Linotype" w:eastAsia="Palatino Linotype" w:cs="Palatino Linotype"/>
        </w:rPr>
        <w:t>a</w:t>
      </w:r>
      <w:r w:rsidRPr="4D09BD7A">
        <w:rPr>
          <w:rFonts w:ascii="Palatino Linotype" w:hAnsi="Palatino Linotype" w:eastAsia="Palatino Linotype" w:cs="Palatino Linotype"/>
        </w:rPr>
        <w:t xml:space="preserve"> for 1</w:t>
      </w:r>
      <w:r w:rsidRPr="4D09BD7A" w:rsidR="7C8E6334">
        <w:rPr>
          <w:rFonts w:ascii="Palatino Linotype" w:hAnsi="Palatino Linotype" w:eastAsia="Palatino Linotype" w:cs="Palatino Linotype"/>
        </w:rPr>
        <w:t>19</w:t>
      </w:r>
      <w:r w:rsidRPr="4D09BD7A">
        <w:rPr>
          <w:rFonts w:ascii="Palatino Linotype" w:hAnsi="Palatino Linotype" w:eastAsia="Palatino Linotype" w:cs="Palatino Linotype"/>
        </w:rPr>
        <w:t xml:space="preserve"> MW as requested in Advice Letter 4</w:t>
      </w:r>
      <w:r w:rsidRPr="4D09BD7A" w:rsidR="206BFCAC">
        <w:rPr>
          <w:rFonts w:ascii="Palatino Linotype" w:hAnsi="Palatino Linotype" w:eastAsia="Palatino Linotype" w:cs="Palatino Linotype"/>
        </w:rPr>
        <w:t>736</w:t>
      </w:r>
      <w:r w:rsidRPr="4D09BD7A">
        <w:rPr>
          <w:rFonts w:ascii="Palatino Linotype" w:hAnsi="Palatino Linotype" w:eastAsia="Palatino Linotype" w:cs="Palatino Linotype"/>
        </w:rPr>
        <w:t>-E</w:t>
      </w:r>
      <w:r w:rsidR="00D118F0">
        <w:rPr>
          <w:rFonts w:ascii="Palatino Linotype" w:hAnsi="Palatino Linotype" w:eastAsia="Palatino Linotype" w:cs="Palatino Linotype"/>
        </w:rPr>
        <w:t xml:space="preserve"> and supplemented by Advice Letter 4736-E-A</w:t>
      </w:r>
      <w:r w:rsidRPr="4D09BD7A">
        <w:rPr>
          <w:rFonts w:ascii="Palatino Linotype" w:hAnsi="Palatino Linotype" w:eastAsia="Palatino Linotype" w:cs="Palatino Linotype"/>
        </w:rPr>
        <w:t xml:space="preserve"> is approved. </w:t>
      </w:r>
    </w:p>
    <w:p w:rsidR="07C4EF08" w:rsidP="00C95676" w:rsidRDefault="07C4EF08" w14:paraId="3C068A62" w14:textId="786387F6">
      <w:pPr>
        <w:spacing w:before="240" w:after="0" w:line="278" w:lineRule="auto"/>
        <w:rPr>
          <w:rFonts w:ascii="Palatino Linotype" w:hAnsi="Palatino Linotype" w:eastAsia="Palatino Linotype" w:cs="Palatino Linotype"/>
        </w:rPr>
      </w:pPr>
      <w:r w:rsidRPr="4D09BD7A">
        <w:rPr>
          <w:rFonts w:ascii="Palatino Linotype" w:hAnsi="Palatino Linotype" w:eastAsia="Palatino Linotype" w:cs="Palatino Linotype"/>
        </w:rPr>
        <w:t xml:space="preserve">2. SDG&amp;E is authorized to recover the cost of the utility-owned energy storage contract via the Cost Allocation Mechanism. </w:t>
      </w:r>
    </w:p>
    <w:p w:rsidR="07C4EF08" w:rsidP="00C95676" w:rsidRDefault="07C4EF08" w14:paraId="780FD830" w14:textId="1FC94C0F">
      <w:pPr>
        <w:spacing w:before="240" w:after="0" w:line="278" w:lineRule="auto"/>
        <w:rPr>
          <w:rFonts w:ascii="Palatino Linotype" w:hAnsi="Palatino Linotype" w:eastAsia="Palatino Linotype" w:cs="Palatino Linotype"/>
        </w:rPr>
      </w:pPr>
      <w:r w:rsidRPr="4D09BD7A">
        <w:rPr>
          <w:rFonts w:ascii="Palatino Linotype" w:hAnsi="Palatino Linotype" w:eastAsia="Palatino Linotype" w:cs="Palatino Linotype"/>
        </w:rPr>
        <w:t xml:space="preserve">3. SDG&amp;E shall </w:t>
      </w:r>
      <w:r w:rsidRPr="4D09BD7A" w:rsidR="6832FF81">
        <w:rPr>
          <w:rFonts w:ascii="Palatino Linotype" w:hAnsi="Palatino Linotype" w:eastAsia="Palatino Linotype" w:cs="Palatino Linotype"/>
        </w:rPr>
        <w:t>provide quarterly updates to</w:t>
      </w:r>
      <w:r w:rsidRPr="4D09BD7A">
        <w:rPr>
          <w:rFonts w:ascii="Palatino Linotype" w:hAnsi="Palatino Linotype" w:eastAsia="Palatino Linotype" w:cs="Palatino Linotype"/>
        </w:rPr>
        <w:t xml:space="preserve"> the CAM PRG for the first few years of operations</w:t>
      </w:r>
      <w:r w:rsidRPr="4D09BD7A" w:rsidR="7DA4710F">
        <w:rPr>
          <w:rFonts w:ascii="Palatino Linotype" w:hAnsi="Palatino Linotype" w:eastAsia="Palatino Linotype" w:cs="Palatino Linotype"/>
        </w:rPr>
        <w:t>.</w:t>
      </w:r>
    </w:p>
    <w:p w:rsidR="4D09BD7A" w:rsidP="4D09BD7A" w:rsidRDefault="4D09BD7A" w14:paraId="30DB3AB1" w14:textId="1A3E384E">
      <w:pPr>
        <w:spacing w:after="0"/>
        <w:rPr>
          <w:rFonts w:ascii="Palatino Linotype" w:hAnsi="Palatino Linotype" w:eastAsia="Palatino Linotype" w:cs="Palatino Linotype"/>
        </w:rPr>
      </w:pPr>
    </w:p>
    <w:p w:rsidRPr="002A268B" w:rsidR="002A268B" w:rsidP="002A268B" w:rsidRDefault="002A268B" w14:paraId="1FB46BF1"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lang w:eastAsia="en-US"/>
        </w:rPr>
      </w:pPr>
      <w:r w:rsidRPr="002A268B">
        <w:rPr>
          <w:rFonts w:ascii="Palatino Linotype" w:hAnsi="Palatino Linotype" w:eastAsia="Palatino Linotype" w:cs="Times New Roman"/>
          <w:lang w:eastAsia="en-US"/>
        </w:rPr>
        <w:t>This Resolution is effective today.</w:t>
      </w:r>
    </w:p>
    <w:p w:rsidRPr="002A268B" w:rsidR="002A268B" w:rsidP="002A268B" w:rsidRDefault="002A268B" w14:paraId="679DBF29"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lang w:eastAsia="en-US"/>
        </w:rPr>
      </w:pPr>
    </w:p>
    <w:p w:rsidR="0015727B" w:rsidP="0015727B" w:rsidRDefault="0015727B" w14:paraId="6F0B9673" w14:textId="77777777">
      <w:pPr>
        <w:suppressAutoHyphens/>
        <w:spacing w:after="360" w:line="240" w:lineRule="auto"/>
        <w:rPr>
          <w:rFonts w:ascii="Palatino Linotype" w:hAnsi="Palatino Linotype" w:eastAsia="SimSun" w:cs="Times New Roman"/>
          <w:lang w:eastAsia="en-US"/>
        </w:rPr>
      </w:pPr>
    </w:p>
    <w:p w:rsidRPr="002A268B" w:rsidR="002A268B" w:rsidP="002A268B" w:rsidRDefault="002A268B" w14:paraId="29BB7418" w14:textId="34FD289B">
      <w:pPr>
        <w:suppressAutoHyphens/>
        <w:spacing w:after="480" w:line="240" w:lineRule="auto"/>
        <w:rPr>
          <w:rFonts w:ascii="Palatino Linotype" w:hAnsi="Palatino Linotype" w:eastAsia="SimSun" w:cs="Times New Roman"/>
          <w:lang w:eastAsia="en-US"/>
        </w:rPr>
      </w:pPr>
      <w:r w:rsidRPr="002A268B">
        <w:rPr>
          <w:rFonts w:ascii="Palatino Linotype" w:hAnsi="Palatino Linotype" w:eastAsia="SimSun" w:cs="Times New Roman"/>
          <w:lang w:eastAsia="en-US"/>
        </w:rPr>
        <w:t xml:space="preserve">The foregoing resolution was duly introduced, passed and adopted at a conference of the Public Utilities Commission of the State of California held on </w:t>
      </w:r>
      <w:r>
        <w:rPr>
          <w:rFonts w:ascii="Palatino Linotype" w:hAnsi="Palatino Linotype" w:eastAsia="SimSun" w:cs="Times New Roman"/>
          <w:lang w:eastAsia="en-US"/>
        </w:rPr>
        <w:t>June</w:t>
      </w:r>
      <w:r w:rsidRPr="002A268B">
        <w:rPr>
          <w:rFonts w:ascii="Palatino Linotype" w:hAnsi="Palatino Linotype" w:eastAsia="SimSun" w:cs="Times New Roman"/>
          <w:lang w:eastAsia="en-US"/>
        </w:rPr>
        <w:t xml:space="preserve"> </w:t>
      </w:r>
      <w:r>
        <w:rPr>
          <w:rFonts w:ascii="Palatino Linotype" w:hAnsi="Palatino Linotype" w:eastAsia="SimSun" w:cs="Times New Roman"/>
          <w:lang w:eastAsia="en-US"/>
        </w:rPr>
        <w:t>11</w:t>
      </w:r>
      <w:r w:rsidRPr="002A268B">
        <w:rPr>
          <w:rFonts w:ascii="Palatino Linotype" w:hAnsi="Palatino Linotype" w:eastAsia="SimSun" w:cs="Times New Roman"/>
          <w:lang w:eastAsia="en-US"/>
        </w:rPr>
        <w:t>, 2026; the following Commissioners voting favorably thereon:</w:t>
      </w:r>
    </w:p>
    <w:p w:rsidRPr="002A268B" w:rsidR="002A268B" w:rsidP="00C95676" w:rsidRDefault="002A268B" w14:paraId="17617B49" w14:textId="77777777">
      <w:pPr>
        <w:keepNext/>
        <w:spacing w:after="0" w:line="278" w:lineRule="auto"/>
        <w:jc w:val="right"/>
        <w:rPr>
          <w:rFonts w:ascii="Palatino Linotype" w:hAnsi="Palatino Linotype" w:eastAsia="Palatino Linotype" w:cs="Arial"/>
          <w:kern w:val="2"/>
          <w:lang w:eastAsia="en-US"/>
          <w14:ligatures w14:val="standardContextual"/>
        </w:rPr>
      </w:pPr>
      <w:r w:rsidRPr="002A268B">
        <w:rPr>
          <w:rFonts w:ascii="Palatino Linotype" w:hAnsi="Palatino Linotype" w:eastAsia="Palatino Linotype" w:cs="Arial"/>
          <w:kern w:val="2"/>
          <w:lang w:eastAsia="en-US"/>
          <w14:ligatures w14:val="standardContextual"/>
        </w:rPr>
        <w:t>Commissioner Signature blocks to be added</w:t>
      </w:r>
    </w:p>
    <w:p w:rsidR="002A268B" w:rsidP="00C95676" w:rsidRDefault="002A268B" w14:paraId="11C36CB3" w14:textId="6ED8F145">
      <w:pPr>
        <w:suppressAutoHyphens/>
        <w:spacing w:after="0" w:line="240" w:lineRule="auto"/>
        <w:rPr>
          <w:rFonts w:ascii="Palatino Linotype" w:hAnsi="Palatino Linotype" w:eastAsia="Palatino Linotype" w:cs="Times New Roman"/>
          <w:lang w:eastAsia="en-US"/>
        </w:rPr>
      </w:pPr>
      <w:r w:rsidRPr="002A268B">
        <w:rPr>
          <w:rFonts w:ascii="Palatino Linotype" w:hAnsi="Palatino Linotype" w:eastAsia="Palatino Linotype" w:cs="Times New Roman"/>
          <w:lang w:eastAsia="en-US"/>
        </w:rPr>
        <w:tab/>
        <w:t xml:space="preserve">            </w:t>
      </w:r>
      <w:r w:rsidR="00C95676">
        <w:rPr>
          <w:rFonts w:ascii="Palatino Linotype" w:hAnsi="Palatino Linotype" w:eastAsia="Palatino Linotype" w:cs="Times New Roman"/>
          <w:lang w:eastAsia="en-US"/>
        </w:rPr>
        <w:tab/>
      </w:r>
      <w:r w:rsidR="00C95676">
        <w:rPr>
          <w:rFonts w:ascii="Palatino Linotype" w:hAnsi="Palatino Linotype" w:eastAsia="Palatino Linotype" w:cs="Times New Roman"/>
          <w:lang w:eastAsia="en-US"/>
        </w:rPr>
        <w:tab/>
      </w:r>
      <w:r w:rsidR="00C95676">
        <w:rPr>
          <w:rFonts w:ascii="Palatino Linotype" w:hAnsi="Palatino Linotype" w:eastAsia="Palatino Linotype" w:cs="Times New Roman"/>
          <w:lang w:eastAsia="en-US"/>
        </w:rPr>
        <w:tab/>
      </w:r>
      <w:r w:rsidR="00C95676">
        <w:rPr>
          <w:rFonts w:ascii="Palatino Linotype" w:hAnsi="Palatino Linotype" w:eastAsia="Palatino Linotype" w:cs="Times New Roman"/>
          <w:lang w:eastAsia="en-US"/>
        </w:rPr>
        <w:tab/>
      </w:r>
      <w:r w:rsidR="00C95676">
        <w:rPr>
          <w:rFonts w:ascii="Palatino Linotype" w:hAnsi="Palatino Linotype" w:eastAsia="Palatino Linotype" w:cs="Times New Roman"/>
          <w:lang w:eastAsia="en-US"/>
        </w:rPr>
        <w:tab/>
      </w:r>
      <w:r w:rsidRPr="002A268B">
        <w:rPr>
          <w:rFonts w:ascii="Palatino Linotype" w:hAnsi="Palatino Linotype" w:eastAsia="Palatino Linotype" w:cs="Times New Roman"/>
          <w:lang w:eastAsia="en-US"/>
        </w:rPr>
        <w:t>upon adoption of the resolution</w:t>
      </w:r>
    </w:p>
    <w:p w:rsidRPr="002A268B" w:rsidR="00D340F6" w:rsidP="00C95676" w:rsidRDefault="00D340F6" w14:paraId="744662FD" w14:textId="77777777">
      <w:pPr>
        <w:suppressAutoHyphens/>
        <w:spacing w:after="0" w:line="240" w:lineRule="auto"/>
        <w:rPr>
          <w:rFonts w:ascii="Palatino Linotype" w:hAnsi="Palatino Linotype" w:eastAsia="Palatino Linotype" w:cs="Times New Roman"/>
          <w:lang w:eastAsia="en-US"/>
        </w:rPr>
      </w:pPr>
    </w:p>
    <w:p w:rsidRPr="002A268B" w:rsidR="002A268B" w:rsidP="002A268B" w:rsidRDefault="002A268B" w14:paraId="112DC5F4" w14:textId="77777777">
      <w:pPr>
        <w:tabs>
          <w:tab w:val="left" w:pos="3948"/>
          <w:tab w:val="right" w:pos="9360"/>
        </w:tabs>
        <w:suppressAutoHyphens/>
        <w:spacing w:after="0" w:line="240" w:lineRule="auto"/>
        <w:rPr>
          <w:rFonts w:ascii="Palatino Linotype" w:hAnsi="Palatino Linotype" w:eastAsia="Palatino Linotype" w:cs="Times New Roman"/>
          <w:lang w:eastAsia="en-US"/>
        </w:rPr>
      </w:pPr>
    </w:p>
    <w:p w:rsidRPr="002A268B" w:rsidR="002A268B" w:rsidP="002A268B" w:rsidRDefault="002A268B" w14:paraId="240FDA97" w14:textId="05EBF037">
      <w:pPr>
        <w:keepNext/>
        <w:spacing w:after="0" w:line="240" w:lineRule="auto"/>
        <w:rPr>
          <w:rFonts w:ascii="Palatino Linotype" w:hAnsi="Palatino Linotype" w:eastAsia="Aptos" w:cs="Arial"/>
          <w:kern w:val="2"/>
          <w:lang w:eastAsia="en-US"/>
          <w14:ligatures w14:val="standardContextual"/>
        </w:rPr>
      </w:pPr>
      <w:r w:rsidRPr="002A268B">
        <w:rPr>
          <w:rFonts w:ascii="Palatino Linotype" w:hAnsi="Palatino Linotype" w:eastAsia="Palatino Linotype" w:cs="Times New Roman"/>
          <w:kern w:val="2"/>
          <w:lang w:eastAsia="en-US"/>
          <w14:ligatures w14:val="standardContextual"/>
        </w:rPr>
        <w:t xml:space="preserve">Dated </w:t>
      </w:r>
      <w:r>
        <w:rPr>
          <w:rFonts w:ascii="Palatino Linotype" w:hAnsi="Palatino Linotype" w:eastAsia="Palatino Linotype" w:cs="Times New Roman"/>
          <w:kern w:val="2"/>
          <w:lang w:eastAsia="en-US"/>
          <w14:ligatures w14:val="standardContextual"/>
        </w:rPr>
        <w:t>June</w:t>
      </w:r>
      <w:r w:rsidRPr="002A268B">
        <w:rPr>
          <w:rFonts w:ascii="Palatino Linotype" w:hAnsi="Palatino Linotype" w:eastAsia="Palatino Linotype" w:cs="Times New Roman"/>
          <w:kern w:val="2"/>
          <w:lang w:eastAsia="en-US"/>
          <w14:ligatures w14:val="standardContextual"/>
        </w:rPr>
        <w:t xml:space="preserve"> </w:t>
      </w:r>
      <w:r>
        <w:rPr>
          <w:rFonts w:ascii="Palatino Linotype" w:hAnsi="Palatino Linotype" w:eastAsia="Palatino Linotype" w:cs="Times New Roman"/>
          <w:kern w:val="2"/>
          <w:lang w:eastAsia="en-US"/>
          <w14:ligatures w14:val="standardContextual"/>
        </w:rPr>
        <w:t>11</w:t>
      </w:r>
      <w:r w:rsidRPr="002A268B">
        <w:rPr>
          <w:rFonts w:ascii="Palatino Linotype" w:hAnsi="Palatino Linotype" w:eastAsia="Palatino Linotype" w:cs="Times New Roman"/>
          <w:kern w:val="2"/>
          <w:lang w:eastAsia="en-US"/>
          <w14:ligatures w14:val="standardContextual"/>
        </w:rPr>
        <w:t xml:space="preserve">, 2026, at </w:t>
      </w:r>
      <w:r>
        <w:rPr>
          <w:rFonts w:ascii="Palatino Linotype" w:hAnsi="Palatino Linotype" w:eastAsia="Palatino Linotype" w:cs="Times New Roman"/>
          <w:kern w:val="2"/>
          <w:lang w:eastAsia="en-US"/>
          <w14:ligatures w14:val="standardContextual"/>
        </w:rPr>
        <w:t>Sacramento</w:t>
      </w:r>
      <w:r w:rsidRPr="002A268B">
        <w:rPr>
          <w:rFonts w:ascii="Palatino Linotype" w:hAnsi="Palatino Linotype" w:eastAsia="Palatino Linotype" w:cs="Times New Roman"/>
          <w:kern w:val="2"/>
          <w:lang w:eastAsia="en-US"/>
          <w14:ligatures w14:val="standardContextual"/>
        </w:rPr>
        <w:t>, California.</w:t>
      </w:r>
      <w:r w:rsidRPr="002A268B">
        <w:rPr>
          <w:rFonts w:ascii="Palatino Linotype" w:hAnsi="Palatino Linotype" w:eastAsia="Aptos" w:cs="Arial"/>
          <w:kern w:val="2"/>
          <w:lang w:eastAsia="en-US"/>
          <w14:ligatures w14:val="standardContextual"/>
        </w:rPr>
        <w:tab/>
      </w:r>
    </w:p>
    <w:p w:rsidR="7441B0D7" w:rsidP="7441B0D7" w:rsidRDefault="7441B0D7" w14:paraId="50684B16" w14:textId="4D24B641">
      <w:pPr>
        <w:spacing w:after="0"/>
        <w:jc w:val="center"/>
        <w:rPr>
          <w:rFonts w:ascii="Palatino Linotype" w:hAnsi="Palatino Linotype" w:eastAsia="Palatino Linotype" w:cs="Palatino Linotype"/>
        </w:rPr>
      </w:pPr>
    </w:p>
    <w:p w:rsidR="7441B0D7" w:rsidP="7441B0D7" w:rsidRDefault="7441B0D7" w14:paraId="1A1225AA" w14:textId="31D10F99">
      <w:pPr>
        <w:spacing w:after="0"/>
        <w:jc w:val="center"/>
        <w:rPr>
          <w:rFonts w:ascii="Palatino Linotype" w:hAnsi="Palatino Linotype" w:eastAsia="Palatino Linotype" w:cs="Palatino Linotype"/>
        </w:rPr>
      </w:pPr>
    </w:p>
    <w:p w:rsidR="7441B0D7" w:rsidP="7441B0D7" w:rsidRDefault="7441B0D7" w14:paraId="3D2F9EF1" w14:textId="3714E5AD">
      <w:pPr>
        <w:spacing w:after="0"/>
        <w:jc w:val="center"/>
        <w:rPr>
          <w:rFonts w:ascii="Palatino Linotype" w:hAnsi="Palatino Linotype" w:eastAsia="Palatino Linotype" w:cs="Palatino Linotype"/>
        </w:rPr>
      </w:pPr>
    </w:p>
    <w:p w:rsidR="7441B0D7" w:rsidP="7441B0D7" w:rsidRDefault="7441B0D7" w14:paraId="1907F330" w14:textId="08BE6F43">
      <w:pPr>
        <w:spacing w:after="0"/>
        <w:jc w:val="center"/>
        <w:rPr>
          <w:rFonts w:ascii="Palatino Linotype" w:hAnsi="Palatino Linotype" w:eastAsia="Palatino Linotype" w:cs="Palatino Linotype"/>
        </w:rPr>
      </w:pPr>
    </w:p>
    <w:p w:rsidR="7441B0D7" w:rsidP="7441B0D7" w:rsidRDefault="7441B0D7" w14:paraId="00CFF3C7" w14:textId="687038E0">
      <w:pPr>
        <w:spacing w:after="0"/>
        <w:jc w:val="center"/>
        <w:rPr>
          <w:rFonts w:ascii="Palatino Linotype" w:hAnsi="Palatino Linotype" w:eastAsia="Palatino Linotype" w:cs="Palatino Linotype"/>
        </w:rPr>
      </w:pPr>
    </w:p>
    <w:p w:rsidR="00B6472E" w:rsidRDefault="00B6472E" w14:paraId="61316620" w14:textId="0318B124">
      <w:pPr>
        <w:rPr>
          <w:rFonts w:ascii="Palatino Linotype" w:hAnsi="Palatino Linotype" w:eastAsia="Palatino Linotype" w:cs="Palatino Linotype"/>
        </w:rPr>
      </w:pPr>
      <w:r>
        <w:rPr>
          <w:rFonts w:ascii="Palatino Linotype" w:hAnsi="Palatino Linotype" w:eastAsia="Palatino Linotype" w:cs="Palatino Linotype"/>
        </w:rPr>
        <w:br w:type="page"/>
      </w:r>
    </w:p>
    <w:p w:rsidR="7441B0D7" w:rsidP="7441B0D7" w:rsidRDefault="7441B0D7" w14:paraId="65507716" w14:textId="77777777">
      <w:pPr>
        <w:spacing w:after="0"/>
        <w:jc w:val="center"/>
        <w:rPr>
          <w:rFonts w:ascii="Palatino Linotype" w:hAnsi="Palatino Linotype" w:eastAsia="Palatino Linotype" w:cs="Palatino Linotype"/>
        </w:rPr>
      </w:pPr>
    </w:p>
    <w:p w:rsidR="00B6472E" w:rsidP="7441B0D7" w:rsidRDefault="00B6472E" w14:paraId="143D00CA" w14:textId="77777777">
      <w:pPr>
        <w:spacing w:after="0"/>
        <w:jc w:val="center"/>
        <w:rPr>
          <w:rFonts w:ascii="Palatino Linotype" w:hAnsi="Palatino Linotype" w:eastAsia="Palatino Linotype" w:cs="Palatino Linotype"/>
        </w:rPr>
      </w:pPr>
    </w:p>
    <w:p w:rsidR="00B6472E" w:rsidP="7441B0D7" w:rsidRDefault="00B6472E" w14:paraId="46093268" w14:textId="77777777">
      <w:pPr>
        <w:spacing w:after="0"/>
        <w:jc w:val="center"/>
        <w:rPr>
          <w:rFonts w:ascii="Palatino Linotype" w:hAnsi="Palatino Linotype" w:eastAsia="Palatino Linotype" w:cs="Palatino Linotype"/>
        </w:rPr>
      </w:pPr>
    </w:p>
    <w:p w:rsidR="00B6472E" w:rsidP="7441B0D7" w:rsidRDefault="00B6472E" w14:paraId="41D0548A" w14:textId="77777777">
      <w:pPr>
        <w:spacing w:after="0"/>
        <w:jc w:val="center"/>
        <w:rPr>
          <w:rFonts w:ascii="Palatino Linotype" w:hAnsi="Palatino Linotype" w:eastAsia="Palatino Linotype" w:cs="Palatino Linotype"/>
        </w:rPr>
      </w:pPr>
    </w:p>
    <w:p w:rsidR="00B6472E" w:rsidP="7441B0D7" w:rsidRDefault="00B6472E" w14:paraId="18E5EB47" w14:textId="77777777">
      <w:pPr>
        <w:spacing w:after="0"/>
        <w:jc w:val="center"/>
        <w:rPr>
          <w:rFonts w:ascii="Palatino Linotype" w:hAnsi="Palatino Linotype" w:eastAsia="Palatino Linotype" w:cs="Palatino Linotype"/>
        </w:rPr>
      </w:pPr>
    </w:p>
    <w:p w:rsidR="00B6472E" w:rsidP="7441B0D7" w:rsidRDefault="00B6472E" w14:paraId="088ED19B" w14:textId="77777777">
      <w:pPr>
        <w:spacing w:after="0"/>
        <w:jc w:val="center"/>
        <w:rPr>
          <w:rFonts w:ascii="Palatino Linotype" w:hAnsi="Palatino Linotype" w:eastAsia="Palatino Linotype" w:cs="Palatino Linotype"/>
        </w:rPr>
      </w:pPr>
    </w:p>
    <w:p w:rsidR="00B6472E" w:rsidP="7441B0D7" w:rsidRDefault="00B6472E" w14:paraId="63E661EA" w14:textId="77777777">
      <w:pPr>
        <w:spacing w:after="0"/>
        <w:jc w:val="center"/>
        <w:rPr>
          <w:rFonts w:ascii="Palatino Linotype" w:hAnsi="Palatino Linotype" w:eastAsia="Palatino Linotype" w:cs="Palatino Linotype"/>
        </w:rPr>
      </w:pPr>
    </w:p>
    <w:p w:rsidR="00B6472E" w:rsidP="7441B0D7" w:rsidRDefault="00B6472E" w14:paraId="7ECA6ABD" w14:textId="77777777">
      <w:pPr>
        <w:spacing w:after="0"/>
        <w:jc w:val="center"/>
        <w:rPr>
          <w:rFonts w:ascii="Palatino Linotype" w:hAnsi="Palatino Linotype" w:eastAsia="Palatino Linotype" w:cs="Palatino Linotype"/>
        </w:rPr>
      </w:pPr>
    </w:p>
    <w:p w:rsidR="00B6472E" w:rsidP="7441B0D7" w:rsidRDefault="00B6472E" w14:paraId="2F04AE9A" w14:textId="77777777">
      <w:pPr>
        <w:spacing w:after="0"/>
        <w:jc w:val="center"/>
        <w:rPr>
          <w:rFonts w:ascii="Palatino Linotype" w:hAnsi="Palatino Linotype" w:eastAsia="Palatino Linotype" w:cs="Palatino Linotype"/>
        </w:rPr>
      </w:pPr>
    </w:p>
    <w:p w:rsidR="7441B0D7" w:rsidP="7441B0D7" w:rsidRDefault="7441B0D7" w14:paraId="4262F73C" w14:textId="39F77B37">
      <w:pPr>
        <w:spacing w:after="0"/>
        <w:jc w:val="center"/>
        <w:rPr>
          <w:rFonts w:ascii="Palatino Linotype" w:hAnsi="Palatino Linotype" w:eastAsia="Palatino Linotype" w:cs="Palatino Linotype"/>
        </w:rPr>
      </w:pPr>
    </w:p>
    <w:p w:rsidR="7441B0D7" w:rsidP="7441B0D7" w:rsidRDefault="7441B0D7" w14:paraId="2B643554" w14:textId="41F56BF3">
      <w:pPr>
        <w:spacing w:after="0"/>
        <w:jc w:val="center"/>
        <w:rPr>
          <w:rFonts w:ascii="Palatino Linotype" w:hAnsi="Palatino Linotype" w:eastAsia="Palatino Linotype" w:cs="Palatino Linotype"/>
        </w:rPr>
      </w:pPr>
    </w:p>
    <w:p w:rsidR="7441B0D7" w:rsidP="7BDF5CE3" w:rsidRDefault="7FEA0E91" w14:paraId="3FDFE6A4" w14:textId="1FF908B8">
      <w:pPr>
        <w:spacing w:after="0"/>
        <w:jc w:val="center"/>
        <w:rPr>
          <w:rFonts w:ascii="Palatino Linotype" w:hAnsi="Palatino Linotype" w:eastAsia="Palatino Linotype" w:cs="Palatino Linotype"/>
          <w:b/>
          <w:bCs/>
          <w:sz w:val="44"/>
          <w:szCs w:val="44"/>
          <w:u w:val="single"/>
        </w:rPr>
      </w:pPr>
      <w:r w:rsidRPr="7BDF5CE3">
        <w:rPr>
          <w:rFonts w:ascii="Palatino Linotype" w:hAnsi="Palatino Linotype" w:eastAsia="Palatino Linotype" w:cs="Palatino Linotype"/>
          <w:b/>
          <w:bCs/>
          <w:sz w:val="40"/>
          <w:szCs w:val="40"/>
          <w:u w:val="single"/>
        </w:rPr>
        <w:t>Confidential Appendix A</w:t>
      </w:r>
    </w:p>
    <w:p w:rsidR="0CA40F5C" w:rsidP="7BDF5CE3" w:rsidRDefault="0CA40F5C" w14:paraId="42F6A832" w14:textId="5B149F6A">
      <w:pPr>
        <w:spacing w:after="0"/>
        <w:rPr>
          <w:rStyle w:val="FootnoteReference"/>
          <w:rFonts w:ascii="Palatino Linotype" w:hAnsi="Palatino Linotype" w:eastAsia="Palatino Linotype" w:cs="Palatino Linotype"/>
        </w:rPr>
      </w:pPr>
    </w:p>
    <w:sectPr w:rsidR="0CA40F5C" w:rsidSect="00D340F6">
      <w:headerReference w:type="default" r:id="rId10"/>
      <w:footerReference w:type="default" r:id="rId11"/>
      <w:headerReference w:type="first" r:id="rId12"/>
      <w:footerReference w:type="first" r:id="rId13"/>
      <w:pgSz w:w="12240" w:h="15840"/>
      <w:pgMar w:top="1440" w:right="1440" w:bottom="1440" w:left="1440" w:header="576" w:footer="432" w:gutter="0"/>
      <w:cols w:space="720"/>
      <w:titlePg/>
      <w:docGrid w:linePitch="360"/>
    </w:sectPr>
    <w:p>
      <w:r>
        <w:t xml:space="preserve"/>
      </w:r>
    </w:p>
    <w:p>
      <w:r>
        <w:t xml:space="preserve">Attachment 1: </w:t>
      </w:r>
    </w:p>
    <w:p>
      <w:hyperlink w:history="true" r:id="R3e900c861608475c">
        <w:r w:rsidRPr="00CB1292">
          <w:rPr>
            <w:rStyle w:val="Hyperlink"/>
            <w:color w:val="2E74B5" w:themeColor="accent1" w:themeShade="BF"/>
            <w:u w:val="single"/>
          </w:rPr>
          <w:t>E-5467 REDACTED Draft Agenda Resolution (SDG&amp;E 4736-E)(Redline)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C74AA" w14:textId="77777777" w:rsidR="00165D3A" w:rsidRDefault="00165D3A">
      <w:pPr>
        <w:spacing w:after="0" w:line="240" w:lineRule="auto"/>
      </w:pPr>
      <w:r>
        <w:separator/>
      </w:r>
    </w:p>
  </w:endnote>
  <w:endnote w:type="continuationSeparator" w:id="0">
    <w:p w14:paraId="7CD11958" w14:textId="77777777" w:rsidR="00165D3A" w:rsidRDefault="00165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C89E" w14:textId="77777777" w:rsidR="00D340F6" w:rsidRPr="00D340F6" w:rsidRDefault="00D340F6">
    <w:pPr>
      <w:pStyle w:val="Footer"/>
      <w:tabs>
        <w:tab w:val="clear" w:pos="4680"/>
        <w:tab w:val="clear" w:pos="9360"/>
      </w:tabs>
      <w:jc w:val="center"/>
      <w:rPr>
        <w:rFonts w:ascii="Palatino Linotype" w:hAnsi="Palatino Linotype"/>
        <w:caps/>
        <w:noProof/>
      </w:rPr>
    </w:pPr>
    <w:r w:rsidRPr="00D340F6">
      <w:rPr>
        <w:rFonts w:ascii="Palatino Linotype" w:hAnsi="Palatino Linotype"/>
        <w:caps/>
      </w:rPr>
      <w:fldChar w:fldCharType="begin"/>
    </w:r>
    <w:r w:rsidRPr="00D340F6">
      <w:rPr>
        <w:rFonts w:ascii="Palatino Linotype" w:hAnsi="Palatino Linotype"/>
        <w:caps/>
      </w:rPr>
      <w:instrText xml:space="preserve"> PAGE   \* MERGEFORMAT </w:instrText>
    </w:r>
    <w:r w:rsidRPr="00D340F6">
      <w:rPr>
        <w:rFonts w:ascii="Palatino Linotype" w:hAnsi="Palatino Linotype"/>
        <w:caps/>
      </w:rPr>
      <w:fldChar w:fldCharType="separate"/>
    </w:r>
    <w:r w:rsidRPr="00D340F6">
      <w:rPr>
        <w:rFonts w:ascii="Palatino Linotype" w:hAnsi="Palatino Linotype"/>
        <w:caps/>
        <w:noProof/>
      </w:rPr>
      <w:t>2</w:t>
    </w:r>
    <w:r w:rsidRPr="00D340F6">
      <w:rPr>
        <w:rFonts w:ascii="Palatino Linotype" w:hAnsi="Palatino Linotype"/>
        <w:caps/>
        <w:noProof/>
      </w:rPr>
      <w:fldChar w:fldCharType="end"/>
    </w:r>
  </w:p>
  <w:p w14:paraId="0AD3EB27" w14:textId="77777777" w:rsidR="00D340F6" w:rsidRDefault="00D34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1189" w14:textId="33681EA4" w:rsidR="00D340F6" w:rsidRPr="00D340F6" w:rsidRDefault="001F0060" w:rsidP="0056233C">
    <w:pPr>
      <w:pStyle w:val="Footer"/>
      <w:tabs>
        <w:tab w:val="clear" w:pos="9360"/>
      </w:tabs>
      <w:rPr>
        <w:rFonts w:ascii="Palatino Linotype" w:hAnsi="Palatino Linotype"/>
        <w:caps/>
        <w:noProof/>
      </w:rPr>
    </w:pPr>
    <w:r w:rsidRPr="001F0060">
      <w:rPr>
        <w:rFonts w:ascii="Tahoma" w:hAnsi="Tahoma" w:cs="Tahoma"/>
        <w:caps/>
        <w:sz w:val="18"/>
        <w:szCs w:val="18"/>
      </w:rPr>
      <w:t>608369840</w:t>
    </w:r>
    <w:r w:rsidR="0056233C">
      <w:rPr>
        <w:rFonts w:ascii="Palatino Linotype" w:hAnsi="Palatino Linotype"/>
        <w:caps/>
      </w:rPr>
      <w:tab/>
    </w:r>
    <w:r w:rsidR="00D340F6" w:rsidRPr="00D340F6">
      <w:rPr>
        <w:rFonts w:ascii="Palatino Linotype" w:hAnsi="Palatino Linotype"/>
        <w:caps/>
      </w:rPr>
      <w:fldChar w:fldCharType="begin"/>
    </w:r>
    <w:r w:rsidR="00D340F6" w:rsidRPr="00D340F6">
      <w:rPr>
        <w:rFonts w:ascii="Palatino Linotype" w:hAnsi="Palatino Linotype"/>
        <w:caps/>
      </w:rPr>
      <w:instrText xml:space="preserve"> PAGE   \* MERGEFORMAT </w:instrText>
    </w:r>
    <w:r w:rsidR="00D340F6" w:rsidRPr="00D340F6">
      <w:rPr>
        <w:rFonts w:ascii="Palatino Linotype" w:hAnsi="Palatino Linotype"/>
        <w:caps/>
      </w:rPr>
      <w:fldChar w:fldCharType="separate"/>
    </w:r>
    <w:r w:rsidR="00D340F6" w:rsidRPr="00D340F6">
      <w:rPr>
        <w:rFonts w:ascii="Palatino Linotype" w:hAnsi="Palatino Linotype"/>
        <w:caps/>
        <w:noProof/>
      </w:rPr>
      <w:t>2</w:t>
    </w:r>
    <w:r w:rsidR="00D340F6" w:rsidRPr="00D340F6">
      <w:rPr>
        <w:rFonts w:ascii="Palatino Linotype" w:hAnsi="Palatino Linotype"/>
        <w:caps/>
        <w:noProof/>
      </w:rPr>
      <w:fldChar w:fldCharType="end"/>
    </w:r>
  </w:p>
  <w:p w14:paraId="64632278" w14:textId="77777777" w:rsidR="00D340F6" w:rsidRDefault="00D34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A9B9" w14:textId="77777777" w:rsidR="00165D3A" w:rsidRDefault="00165D3A">
      <w:pPr>
        <w:spacing w:after="0" w:line="240" w:lineRule="auto"/>
      </w:pPr>
      <w:r>
        <w:separator/>
      </w:r>
    </w:p>
  </w:footnote>
  <w:footnote w:type="continuationSeparator" w:id="0">
    <w:p w14:paraId="678E4B4C" w14:textId="77777777" w:rsidR="00165D3A" w:rsidRDefault="00165D3A">
      <w:pPr>
        <w:spacing w:after="0" w:line="240" w:lineRule="auto"/>
      </w:pPr>
      <w:r>
        <w:continuationSeparator/>
      </w:r>
    </w:p>
  </w:footnote>
  <w:footnote w:id="1">
    <w:p w14:paraId="56A75798" w14:textId="21CCD829"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D. 21-02-028 at 11, 14, OP 1.</w:t>
      </w:r>
    </w:p>
  </w:footnote>
  <w:footnote w:id="2">
    <w:p w14:paraId="48907449" w14:textId="1F0FBD44"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6AA5A77E" w:rsidRPr="005B2E98">
        <w:rPr>
          <w:rFonts w:ascii="Palatino Linotype" w:hAnsi="Palatino Linotype"/>
        </w:rPr>
        <w:t xml:space="preserve">  </w:t>
      </w:r>
      <w:r w:rsidR="6AA5A77E" w:rsidRPr="005B2E98">
        <w:rPr>
          <w:rFonts w:ascii="Palatino Linotype" w:hAnsi="Palatino Linotype"/>
          <w:i/>
          <w:iCs/>
        </w:rPr>
        <w:t>Id.</w:t>
      </w:r>
      <w:r w:rsidR="6AA5A77E" w:rsidRPr="005B2E98">
        <w:rPr>
          <w:rFonts w:ascii="Palatino Linotype" w:hAnsi="Palatino Linotype"/>
        </w:rPr>
        <w:t xml:space="preserve"> at 11.</w:t>
      </w:r>
    </w:p>
  </w:footnote>
  <w:footnote w:id="3">
    <w:p w14:paraId="0EA6AA69" w14:textId="6A613A06"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D.21-03-056 at OP 1, 13-14; Attachment 1 at 20-22.</w:t>
      </w:r>
    </w:p>
  </w:footnote>
  <w:footnote w:id="4">
    <w:p w14:paraId="32314D73" w14:textId="409059E1"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6AA5A77E" w:rsidRPr="005B2E98">
        <w:rPr>
          <w:rFonts w:ascii="Palatino Linotype" w:hAnsi="Palatino Linotype"/>
        </w:rPr>
        <w:t xml:space="preserve"> </w:t>
      </w:r>
      <w:r w:rsidR="6AA5A77E" w:rsidRPr="005B2E98">
        <w:rPr>
          <w:rFonts w:ascii="Palatino Linotype" w:hAnsi="Palatino Linotype"/>
          <w:i/>
          <w:iCs/>
        </w:rPr>
        <w:t>Id</w:t>
      </w:r>
      <w:r w:rsidR="6AA5A77E" w:rsidRPr="005B2E98">
        <w:rPr>
          <w:rFonts w:ascii="Palatino Linotype" w:hAnsi="Palatino Linotype"/>
        </w:rPr>
        <w:t>. at OP 1, Attachment 1 at 22.</w:t>
      </w:r>
    </w:p>
  </w:footnote>
  <w:footnote w:id="5">
    <w:p w14:paraId="76C642BF" w14:textId="70B03E09"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D.21-12-015 at 2.</w:t>
      </w:r>
    </w:p>
  </w:footnote>
  <w:footnote w:id="6">
    <w:p w14:paraId="7F7E8AD5" w14:textId="2C9652F9"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6AA5A77E" w:rsidRPr="005B2E98">
        <w:rPr>
          <w:rFonts w:ascii="Palatino Linotype" w:hAnsi="Palatino Linotype"/>
        </w:rPr>
        <w:t xml:space="preserve"> </w:t>
      </w:r>
      <w:r w:rsidR="6AA5A77E" w:rsidRPr="005B2E98">
        <w:rPr>
          <w:rFonts w:ascii="Palatino Linotype" w:hAnsi="Palatino Linotype"/>
          <w:i/>
          <w:iCs/>
        </w:rPr>
        <w:t>Id.</w:t>
      </w:r>
      <w:r w:rsidR="6AA5A77E" w:rsidRPr="005B2E98">
        <w:rPr>
          <w:rFonts w:ascii="Palatino Linotype" w:hAnsi="Palatino Linotype"/>
        </w:rPr>
        <w:t xml:space="preserve"> at 12.</w:t>
      </w:r>
    </w:p>
  </w:footnote>
  <w:footnote w:id="7">
    <w:p w14:paraId="2E973A2C" w14:textId="1FC7A616"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Id. OP 3.</w:t>
      </w:r>
    </w:p>
  </w:footnote>
  <w:footnote w:id="8">
    <w:p w14:paraId="4A19F957" w14:textId="33F742EE"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Id. at 100, OP 76.</w:t>
      </w:r>
    </w:p>
  </w:footnote>
  <w:footnote w:id="9">
    <w:p w14:paraId="07D376EA" w14:textId="0350D5B5"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D.23-06-029, OP 7</w:t>
      </w:r>
    </w:p>
  </w:footnote>
  <w:footnote w:id="10">
    <w:p w14:paraId="6CDFB89F" w14:textId="4F4A6E21"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Id. OP 8.</w:t>
      </w:r>
    </w:p>
  </w:footnote>
  <w:footnote w:id="11">
    <w:p w14:paraId="0701F852" w14:textId="5B621597"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D.25-06-048 OP 6.</w:t>
      </w:r>
    </w:p>
  </w:footnote>
  <w:footnote w:id="12">
    <w:p w14:paraId="7BA1A2C0" w14:textId="42BCD72D"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6AA5A77E" w:rsidRPr="005B2E98">
        <w:rPr>
          <w:rFonts w:ascii="Palatino Linotype" w:hAnsi="Palatino Linotype"/>
        </w:rPr>
        <w:t xml:space="preserve"> </w:t>
      </w:r>
      <w:r w:rsidR="6AA5A77E" w:rsidRPr="005B2E98">
        <w:rPr>
          <w:rFonts w:ascii="Palatino Linotype" w:hAnsi="Palatino Linotype"/>
          <w:i/>
          <w:iCs/>
        </w:rPr>
        <w:t>Id.</w:t>
      </w:r>
    </w:p>
  </w:footnote>
  <w:footnote w:id="13">
    <w:p w14:paraId="47FE7CCA" w14:textId="4EE7917E"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SDG&amp;E AL 4403-E, at 4.</w:t>
      </w:r>
    </w:p>
  </w:footnote>
  <w:footnote w:id="14">
    <w:p w14:paraId="6C2A0BAE" w14:textId="27CD6D3A"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SDG&amp;E AL 4736-E at 8.</w:t>
      </w:r>
    </w:p>
  </w:footnote>
  <w:footnote w:id="15">
    <w:p w14:paraId="72C835B5" w14:textId="2DC1E519" w:rsidR="190E8F6F" w:rsidRPr="005B2E98" w:rsidRDefault="190E8F6F" w:rsidP="190E8F6F">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7.</w:t>
      </w:r>
    </w:p>
  </w:footnote>
  <w:footnote w:id="16">
    <w:p w14:paraId="0DA5813C" w14:textId="1DE23C73" w:rsidR="79F77C57" w:rsidRPr="005B2E98" w:rsidRDefault="79F77C57" w:rsidP="79F77C57">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i/>
          <w:iCs/>
        </w:rPr>
        <w:t xml:space="preserve"> Ibid. </w:t>
      </w:r>
      <w:r w:rsidRPr="005B2E98">
        <w:rPr>
          <w:rFonts w:ascii="Palatino Linotype" w:hAnsi="Palatino Linotype"/>
        </w:rPr>
        <w:t>at 24.</w:t>
      </w:r>
    </w:p>
  </w:footnote>
  <w:footnote w:id="17">
    <w:p w14:paraId="0815E7EB" w14:textId="11CFBCF5"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IEP protest at 1.</w:t>
      </w:r>
    </w:p>
  </w:footnote>
  <w:footnote w:id="18">
    <w:p w14:paraId="6F5AE83F" w14:textId="5D75A968"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4.</w:t>
      </w:r>
    </w:p>
  </w:footnote>
  <w:footnote w:id="19">
    <w:p w14:paraId="42BE54E7" w14:textId="2EB6D2BA"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p>
  </w:footnote>
  <w:footnote w:id="20">
    <w:p w14:paraId="14CA7DCE" w14:textId="171BE3B0"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1-2.</w:t>
      </w:r>
    </w:p>
  </w:footnote>
  <w:footnote w:id="21">
    <w:p w14:paraId="6A792144" w14:textId="28280B18"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2-3.</w:t>
      </w:r>
    </w:p>
  </w:footnote>
  <w:footnote w:id="22">
    <w:p w14:paraId="19C8633C" w14:textId="639F334E"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4.</w:t>
      </w:r>
    </w:p>
  </w:footnote>
  <w:footnote w:id="23">
    <w:p w14:paraId="2597E7A2" w14:textId="29987AA2"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4.</w:t>
      </w:r>
    </w:p>
  </w:footnote>
  <w:footnote w:id="24">
    <w:p w14:paraId="01788EEB" w14:textId="55B73D26"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CalCCA protest at 1.</w:t>
      </w:r>
    </w:p>
  </w:footnote>
  <w:footnote w:id="25">
    <w:p w14:paraId="464599CE" w14:textId="475B06CB"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4.</w:t>
      </w:r>
    </w:p>
  </w:footnote>
  <w:footnote w:id="26">
    <w:p w14:paraId="73AF1237" w14:textId="1D9FC54A"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4.</w:t>
      </w:r>
    </w:p>
  </w:footnote>
  <w:footnote w:id="27">
    <w:p w14:paraId="5F6E3E0F" w14:textId="07C23240"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5-6.</w:t>
      </w:r>
    </w:p>
  </w:footnote>
  <w:footnote w:id="28">
    <w:p w14:paraId="26ED2BA2" w14:textId="7792A0E3"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protest at 6-7.</w:t>
      </w:r>
    </w:p>
  </w:footnote>
  <w:footnote w:id="29">
    <w:p w14:paraId="181864EA" w14:textId="680B5C2D"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7-8.</w:t>
      </w:r>
    </w:p>
  </w:footnote>
  <w:footnote w:id="30">
    <w:p w14:paraId="4D5CBC8F" w14:textId="06C5B746"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12-13.</w:t>
      </w:r>
    </w:p>
  </w:footnote>
  <w:footnote w:id="31">
    <w:p w14:paraId="40711BA8" w14:textId="2FF82305"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SDG&amp;E Reply to Protest at 8-9.</w:t>
      </w:r>
    </w:p>
  </w:footnote>
  <w:footnote w:id="32">
    <w:p w14:paraId="1835A289" w14:textId="30F9AA66"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9.</w:t>
      </w:r>
    </w:p>
  </w:footnote>
  <w:footnote w:id="33">
    <w:p w14:paraId="7AEA2217" w14:textId="733B00CA"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9.</w:t>
      </w:r>
    </w:p>
  </w:footnote>
  <w:footnote w:id="34">
    <w:p w14:paraId="369D3A45" w14:textId="59028951"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i/>
          <w:iCs/>
        </w:rPr>
        <w:t xml:space="preserve"> Ibid.</w:t>
      </w:r>
      <w:r w:rsidRPr="005B2E98">
        <w:rPr>
          <w:rFonts w:ascii="Palatino Linotype" w:hAnsi="Palatino Linotype"/>
        </w:rPr>
        <w:t xml:space="preserve"> at 6.</w:t>
      </w:r>
    </w:p>
  </w:footnote>
  <w:footnote w:id="35">
    <w:p w14:paraId="558CA9A6" w14:textId="52A9B7BB"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6.</w:t>
      </w:r>
    </w:p>
  </w:footnote>
  <w:footnote w:id="36">
    <w:p w14:paraId="3E0588BB" w14:textId="1D3AC984"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7.</w:t>
      </w:r>
    </w:p>
  </w:footnote>
  <w:footnote w:id="37">
    <w:p w14:paraId="0CD1552D" w14:textId="6B501072"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7.</w:t>
      </w:r>
    </w:p>
  </w:footnote>
  <w:footnote w:id="38">
    <w:p w14:paraId="2702C47B" w14:textId="31029E3C"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7.</w:t>
      </w:r>
    </w:p>
  </w:footnote>
  <w:footnote w:id="39">
    <w:p w14:paraId="1FE19018" w14:textId="449355AD"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8.</w:t>
      </w:r>
    </w:p>
  </w:footnote>
  <w:footnote w:id="40">
    <w:p w14:paraId="216A41F7" w14:textId="44A3027A"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8.</w:t>
      </w:r>
    </w:p>
  </w:footnote>
  <w:footnote w:id="41">
    <w:p w14:paraId="2D550AE3" w14:textId="77CA48DE"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8.</w:t>
      </w:r>
    </w:p>
  </w:footnote>
  <w:footnote w:id="42">
    <w:p w14:paraId="507056FB" w14:textId="1D2EFE67"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2.</w:t>
      </w:r>
    </w:p>
  </w:footnote>
  <w:footnote w:id="43">
    <w:p w14:paraId="53A9F253" w14:textId="1AB853FF"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3.</w:t>
      </w:r>
    </w:p>
  </w:footnote>
  <w:footnote w:id="44">
    <w:p w14:paraId="25D9BAE0" w14:textId="73262DE4"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Ibid. at 3-4.</w:t>
      </w:r>
    </w:p>
  </w:footnote>
  <w:footnote w:id="45">
    <w:p w14:paraId="2C4E0755" w14:textId="76BD212E"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Ibid. at 4.</w:t>
      </w:r>
    </w:p>
  </w:footnote>
  <w:footnote w:id="46">
    <w:p w14:paraId="3235DF64" w14:textId="736DA18D"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Ibid. at 4-5.</w:t>
      </w:r>
    </w:p>
  </w:footnote>
  <w:footnote w:id="47">
    <w:p w14:paraId="6BFDE8F4" w14:textId="367965B0" w:rsidR="688DFF41" w:rsidRPr="005B2E98" w:rsidRDefault="688DFF41" w:rsidP="688DFF41">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Westside Canal Phase 2a interconnects to the transmission system located within the portion of the grid where customers pay the SDG&amp;E transmission access charge (”TAC”).</w:t>
      </w:r>
    </w:p>
  </w:footnote>
  <w:footnote w:id="48">
    <w:p w14:paraId="1E4AB66A" w14:textId="73044204"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D.21-02-028, at 12.</w:t>
      </w:r>
    </w:p>
  </w:footnote>
  <w:footnote w:id="49">
    <w:p w14:paraId="09FE061D" w14:textId="2F1BAD72"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SDG&amp;E AL 4736-E at 7.</w:t>
      </w:r>
    </w:p>
  </w:footnote>
  <w:footnote w:id="50">
    <w:p w14:paraId="42ED21A3" w14:textId="44CFD3D4" w:rsidR="4D09BD7A" w:rsidRPr="005B2E98" w:rsidRDefault="4D09BD7A" w:rsidP="4D09BD7A">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Protest at 11.</w:t>
      </w:r>
    </w:p>
  </w:footnote>
  <w:footnote w:id="51">
    <w:p w14:paraId="35865073" w14:textId="1E758E63"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D.21-02-028 at 11.</w:t>
      </w:r>
    </w:p>
  </w:footnote>
  <w:footnote w:id="52">
    <w:p w14:paraId="5534B139" w14:textId="4CC15CAE" w:rsidR="05692A26" w:rsidRPr="005B2E98" w:rsidRDefault="05692A26" w:rsidP="05692A26">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D.21-12-015, OP 86.</w:t>
      </w:r>
    </w:p>
  </w:footnote>
  <w:footnote w:id="53">
    <w:p w14:paraId="10DCF5A9" w14:textId="288B97AF" w:rsidR="01C0285C" w:rsidRPr="005B2E98" w:rsidRDefault="01C0285C" w:rsidP="6AA5A77E">
      <w:pPr>
        <w:pStyle w:val="FootnoteText"/>
        <w:rPr>
          <w:rFonts w:ascii="Palatino Linotype" w:eastAsia="Palatino Linotype" w:hAnsi="Palatino Linotype" w:cs="Palatino Linotype"/>
        </w:rPr>
      </w:pPr>
      <w:r w:rsidRPr="005B2E98">
        <w:rPr>
          <w:rStyle w:val="FootnoteReference"/>
          <w:rFonts w:ascii="Palatino Linotype" w:hAnsi="Palatino Linotype"/>
        </w:rPr>
        <w:footnoteRef/>
      </w:r>
      <w:r w:rsidR="6AA5A77E" w:rsidRPr="005B2E98">
        <w:rPr>
          <w:rFonts w:ascii="Palatino Linotype" w:hAnsi="Palatino Linotype"/>
        </w:rPr>
        <w:t xml:space="preserve"> D.23-06-029 at 25 (”</w:t>
      </w:r>
      <w:r w:rsidR="6AA5A77E" w:rsidRPr="005B2E98">
        <w:rPr>
          <w:rFonts w:ascii="Palatino Linotype" w:eastAsia="Palatino Linotype" w:hAnsi="Palatino Linotype" w:cs="Palatino Linotype"/>
        </w:rPr>
        <w:t xml:space="preserve"> All costs associated with the effective PRM procurement will be assigned to all customers through the CAM, as adopted in D.21-12-015.”)</w:t>
      </w:r>
    </w:p>
  </w:footnote>
  <w:footnote w:id="54">
    <w:p w14:paraId="5DB09091" w14:textId="19A95E6E" w:rsidR="01C0285C" w:rsidRPr="005B2E98" w:rsidRDefault="01C0285C" w:rsidP="6AA5A77E">
      <w:pPr>
        <w:pStyle w:val="FootnoteText"/>
        <w:rPr>
          <w:rFonts w:ascii="Palatino Linotype" w:eastAsia="Palatino Linotype" w:hAnsi="Palatino Linotype" w:cs="Palatino Linotype"/>
        </w:rPr>
      </w:pPr>
      <w:r w:rsidRPr="005B2E98">
        <w:rPr>
          <w:rStyle w:val="FootnoteReference"/>
          <w:rFonts w:ascii="Palatino Linotype" w:hAnsi="Palatino Linotype"/>
        </w:rPr>
        <w:footnoteRef/>
      </w:r>
      <w:r w:rsidR="6AA5A77E" w:rsidRPr="005B2E98">
        <w:rPr>
          <w:rFonts w:ascii="Palatino Linotype" w:hAnsi="Palatino Linotype"/>
        </w:rPr>
        <w:t xml:space="preserve"> D.25-06-048 at 123 (”</w:t>
      </w:r>
      <w:r w:rsidR="6AA5A77E" w:rsidRPr="005B2E98">
        <w:rPr>
          <w:rFonts w:ascii="Palatino Linotype" w:eastAsia="Palatino Linotype" w:hAnsi="Palatino Linotype" w:cs="Palatino Linotype"/>
        </w:rPr>
        <w:t>The requirements adopted in Decision 23-06-029 pertaining to the effective planning reserve margin are applicable to the effective PRM adopted in this decision, with the exception that load-serving entities are no longer required to submit non-binding month-ahead RA filings.”)</w:t>
      </w:r>
    </w:p>
  </w:footnote>
  <w:footnote w:id="55">
    <w:p w14:paraId="7A80A5C2" w14:textId="6BF82832" w:rsidR="688DFF41" w:rsidRPr="005B2E98" w:rsidRDefault="688DFF41" w:rsidP="688DFF41">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IEP Protest at 2-3.</w:t>
      </w:r>
    </w:p>
  </w:footnote>
  <w:footnote w:id="56">
    <w:p w14:paraId="2FD6D3B6" w14:textId="0490E9EB" w:rsidR="3163FCD3" w:rsidRPr="005B2E98" w:rsidRDefault="3163FCD3" w:rsidP="3163FCD3">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SDG&amp;E AL 4736-E at 9.</w:t>
      </w:r>
    </w:p>
  </w:footnote>
  <w:footnote w:id="57">
    <w:p w14:paraId="3846B032" w14:textId="730E47FD" w:rsidR="6AA5A77E" w:rsidRPr="005B2E98" w:rsidRDefault="6AA5A77E" w:rsidP="6AA5A77E">
      <w:pPr>
        <w:pStyle w:val="FootnoteText"/>
        <w:rPr>
          <w:rFonts w:ascii="Palatino Linotype" w:eastAsia="Palatino Linotype" w:hAnsi="Palatino Linotype" w:cs="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eastAsia="Palatino Linotype" w:hAnsi="Palatino Linotype" w:cs="Palatino Linotype"/>
        </w:rPr>
        <w:t>D.21-12-015 at 4.</w:t>
      </w:r>
    </w:p>
  </w:footnote>
  <w:footnote w:id="58">
    <w:p w14:paraId="162612D8" w14:textId="76E62DD8" w:rsidR="6AA5A77E" w:rsidRPr="005B2E98" w:rsidRDefault="6AA5A77E" w:rsidP="6AA5A77E">
      <w:pPr>
        <w:pStyle w:val="FootnoteText"/>
        <w:rPr>
          <w:rFonts w:ascii="Palatino Linotype" w:eastAsia="Palatino Linotype" w:hAnsi="Palatino Linotype" w:cs="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eastAsia="Palatino Linotype" w:hAnsi="Palatino Linotype" w:cs="Palatino Linotype"/>
        </w:rPr>
        <w:t>D.21-12-015 at 100.</w:t>
      </w:r>
    </w:p>
  </w:footnote>
  <w:footnote w:id="59">
    <w:p w14:paraId="15BD25B3" w14:textId="63DE844F" w:rsidR="3163FCD3" w:rsidRPr="005B2E98" w:rsidRDefault="3163FCD3" w:rsidP="3163FCD3">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Protest at 6.</w:t>
      </w:r>
    </w:p>
  </w:footnote>
  <w:footnote w:id="60">
    <w:p w14:paraId="1A1806B3" w14:textId="1CEA5746" w:rsidR="3163FCD3" w:rsidRPr="005B2E98" w:rsidRDefault="3163FCD3" w:rsidP="3163FCD3">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hAnsi="Palatino Linotype"/>
          <w:i/>
          <w:iCs/>
        </w:rPr>
        <w:t>Ibid.</w:t>
      </w:r>
      <w:r w:rsidRPr="005B2E98">
        <w:rPr>
          <w:rFonts w:ascii="Palatino Linotype" w:hAnsi="Palatino Linotype"/>
        </w:rPr>
        <w:t xml:space="preserve"> at 7.</w:t>
      </w:r>
    </w:p>
  </w:footnote>
  <w:footnote w:id="61">
    <w:p w14:paraId="6535A02C" w14:textId="2B3E59D5" w:rsidR="3163FCD3" w:rsidRPr="005B2E98" w:rsidRDefault="3163FCD3" w:rsidP="3163FCD3">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CalCCA Protest at 2-4.</w:t>
      </w:r>
    </w:p>
  </w:footnote>
  <w:footnote w:id="62">
    <w:p w14:paraId="1CF1EBD9" w14:textId="77455813" w:rsidR="3163FCD3" w:rsidRPr="005B2E98" w:rsidRDefault="3163FCD3" w:rsidP="3163FCD3">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D.21-12-015 at 101-102.</w:t>
      </w:r>
    </w:p>
  </w:footnote>
  <w:footnote w:id="63">
    <w:p w14:paraId="3066AEB2" w14:textId="1CDCDB3A" w:rsidR="6AA5A77E" w:rsidRPr="005B2E98" w:rsidRDefault="6AA5A77E" w:rsidP="6AA5A77E">
      <w:pPr>
        <w:pStyle w:val="FootnoteText"/>
        <w:rPr>
          <w:rFonts w:ascii="Palatino Linotype" w:eastAsia="Palatino Linotype" w:hAnsi="Palatino Linotype" w:cs="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eastAsia="Palatino Linotype" w:hAnsi="Palatino Linotype" w:cs="Palatino Linotype"/>
        </w:rPr>
        <w:t>D. 25-06-048 OP 6</w:t>
      </w:r>
    </w:p>
  </w:footnote>
  <w:footnote w:id="64">
    <w:p w14:paraId="0E5BB757" w14:textId="4859400B" w:rsidR="6AA5A77E" w:rsidRPr="005B2E98" w:rsidRDefault="6AA5A77E" w:rsidP="6AA5A77E">
      <w:pPr>
        <w:pStyle w:val="FootnoteText"/>
        <w:rPr>
          <w:rFonts w:ascii="Palatino Linotype" w:eastAsia="Palatino Linotype" w:hAnsi="Palatino Linotype" w:cs="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eastAsia="Palatino Linotype" w:hAnsi="Palatino Linotype" w:cs="Palatino Linotype"/>
        </w:rPr>
        <w:t>D.23-06-029 OP 8</w:t>
      </w:r>
    </w:p>
  </w:footnote>
  <w:footnote w:id="65">
    <w:p w14:paraId="4C4C9570" w14:textId="4852F3D2" w:rsidR="6AA5A77E" w:rsidRPr="005B2E98" w:rsidRDefault="6AA5A77E" w:rsidP="6AA5A77E">
      <w:pPr>
        <w:pStyle w:val="FootnoteText"/>
        <w:rPr>
          <w:rFonts w:ascii="Palatino Linotype" w:eastAsia="Palatino Linotype" w:hAnsi="Palatino Linotype" w:cs="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eastAsia="Palatino Linotype" w:hAnsi="Palatino Linotype" w:cs="Palatino Linotype"/>
        </w:rPr>
        <w:t>D.21-12-015 OP 69</w:t>
      </w:r>
    </w:p>
  </w:footnote>
  <w:footnote w:id="66">
    <w:p w14:paraId="0C98ABE9" w14:textId="173A3430" w:rsidR="6AA5A77E" w:rsidRPr="005B2E98" w:rsidRDefault="6AA5A77E" w:rsidP="6AA5A77E">
      <w:pPr>
        <w:pStyle w:val="FootnoteText"/>
        <w:rPr>
          <w:rFonts w:ascii="Palatino Linotype" w:eastAsia="Palatino Linotype" w:hAnsi="Palatino Linotype" w:cs="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eastAsia="Palatino Linotype" w:hAnsi="Palatino Linotype" w:cs="Palatino Linotype"/>
        </w:rPr>
        <w:t>D.21-12-015 at 21.</w:t>
      </w:r>
    </w:p>
  </w:footnote>
  <w:footnote w:id="67">
    <w:p w14:paraId="03704A93" w14:textId="2451AE2D" w:rsidR="6AA5A77E" w:rsidRPr="005B2E98" w:rsidRDefault="6AA5A77E" w:rsidP="6AA5A77E">
      <w:pPr>
        <w:pStyle w:val="FootnoteText"/>
        <w:rPr>
          <w:rFonts w:ascii="Palatino Linotype" w:eastAsia="Palatino Linotype" w:hAnsi="Palatino Linotype" w:cs="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eastAsia="Palatino Linotype" w:hAnsi="Palatino Linotype" w:cs="Palatino Linotype"/>
        </w:rPr>
        <w:t>D.21-02-028 at 11.</w:t>
      </w:r>
    </w:p>
  </w:footnote>
  <w:footnote w:id="68">
    <w:p w14:paraId="129A132B" w14:textId="46DAE605" w:rsidR="6AA5A77E" w:rsidRPr="005B2E98" w:rsidRDefault="6AA5A77E" w:rsidP="6AA5A77E">
      <w:pPr>
        <w:pStyle w:val="FootnoteText"/>
        <w:rPr>
          <w:rFonts w:ascii="Palatino Linotype" w:eastAsia="Palatino Linotype" w:hAnsi="Palatino Linotype" w:cs="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eastAsia="Palatino Linotype" w:hAnsi="Palatino Linotype" w:cs="Palatino Linotype"/>
        </w:rPr>
        <w:t>D.21-02-028 at 11.</w:t>
      </w:r>
    </w:p>
  </w:footnote>
  <w:footnote w:id="69">
    <w:p w14:paraId="1BEF94E6" w14:textId="3858F09F" w:rsidR="7441B0D7" w:rsidRPr="005B2E98" w:rsidRDefault="7441B0D7" w:rsidP="7441B0D7">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IEP Protest at 2.</w:t>
      </w:r>
    </w:p>
  </w:footnote>
  <w:footnote w:id="70">
    <w:p w14:paraId="08C8FEDC" w14:textId="3AF0F23D" w:rsidR="7441B0D7" w:rsidRPr="005B2E98" w:rsidRDefault="7441B0D7" w:rsidP="7441B0D7">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D.07-12-052 at 286.</w:t>
      </w:r>
    </w:p>
  </w:footnote>
  <w:footnote w:id="71">
    <w:p w14:paraId="72CB6BB0" w14:textId="6B10D47F" w:rsidR="4D09BD7A" w:rsidRPr="005B2E98" w:rsidRDefault="4D09BD7A" w:rsidP="4D09BD7A">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SDG&amp;E AL 4736-E at 22.</w:t>
      </w:r>
    </w:p>
  </w:footnote>
  <w:footnote w:id="72">
    <w:p w14:paraId="632335C7" w14:textId="79E8551A" w:rsidR="688DFF41" w:rsidRPr="005B2E98" w:rsidRDefault="688DFF41" w:rsidP="688DFF41">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SDG&amp;E Comments on Draft Resolution E-5467 at 2-3.</w:t>
      </w:r>
    </w:p>
  </w:footnote>
  <w:footnote w:id="73">
    <w:p w14:paraId="21967B9C" w14:textId="2CAE05B5" w:rsidR="688DFF41" w:rsidRPr="005B2E98" w:rsidRDefault="688DFF41" w:rsidP="688DFF41">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IEP Comments on Draft Resolution E-5467 at 2-3.</w:t>
      </w:r>
    </w:p>
  </w:footnote>
  <w:footnote w:id="74">
    <w:p w14:paraId="5B7DA3EC" w14:textId="3B55408E" w:rsidR="688DFF41" w:rsidRPr="005B2E98" w:rsidRDefault="688DFF41" w:rsidP="688DFF41">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IEP Comments on Draft Resolution E-5467 at 3-4.</w:t>
      </w:r>
    </w:p>
  </w:footnote>
  <w:footnote w:id="75">
    <w:p w14:paraId="6D293BC0" w14:textId="14269A7E" w:rsidR="688DFF41" w:rsidRPr="005B2E98" w:rsidRDefault="688DFF41" w:rsidP="688DFF41">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SDG&amp;E AL 4736-E-A at 16.</w:t>
      </w:r>
    </w:p>
  </w:footnote>
  <w:footnote w:id="76">
    <w:p w14:paraId="4C674A1B" w14:textId="60679E7B" w:rsidR="688DFF41" w:rsidRPr="005B2E98" w:rsidRDefault="688DFF41" w:rsidP="688DFF41">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IEP Comments on Draft Resolution E-5467 at 4.</w:t>
      </w:r>
    </w:p>
  </w:footnote>
  <w:footnote w:id="77">
    <w:p w14:paraId="00383460" w14:textId="194C5600" w:rsidR="688DFF41" w:rsidRPr="005B2E98" w:rsidRDefault="688DFF41" w:rsidP="688DFF41">
      <w:pPr>
        <w:pStyle w:val="FootnoteText"/>
        <w:rPr>
          <w:rFonts w:ascii="Palatino Linotype" w:eastAsia="Palatino Linotype" w:hAnsi="Palatino Linotype" w:cs="Palatino Linotype"/>
        </w:rPr>
      </w:pPr>
      <w:r w:rsidRPr="005B2E98">
        <w:rPr>
          <w:rStyle w:val="FootnoteReference"/>
          <w:rFonts w:ascii="Palatino Linotype" w:hAnsi="Palatino Linotype"/>
        </w:rPr>
        <w:footnoteRef/>
      </w:r>
      <w:r w:rsidRPr="005B2E98">
        <w:rPr>
          <w:rFonts w:ascii="Palatino Linotype" w:hAnsi="Palatino Linotype"/>
        </w:rPr>
        <w:t xml:space="preserve"> </w:t>
      </w:r>
      <w:r w:rsidRPr="005B2E98">
        <w:rPr>
          <w:rFonts w:ascii="Palatino Linotype" w:eastAsia="Palatino Linotype" w:hAnsi="Palatino Linotype" w:cs="Palatino Linotype"/>
        </w:rPr>
        <w:t>D.21-02-028 at 11.</w:t>
      </w:r>
    </w:p>
  </w:footnote>
  <w:footnote w:id="78">
    <w:p w14:paraId="19BA489F" w14:textId="629838AA" w:rsidR="688DFF41" w:rsidRPr="005B2E98" w:rsidRDefault="688DFF41" w:rsidP="688DFF41">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IEP Comments on Draft Resolution E-5467 at 7-8.</w:t>
      </w:r>
    </w:p>
  </w:footnote>
  <w:footnote w:id="79">
    <w:p w14:paraId="24A2BD6E" w14:textId="50B0B05D" w:rsidR="2FBE0680" w:rsidRPr="005B2E98" w:rsidRDefault="2FBE0680" w:rsidP="2FBE0680">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Comments on Draft Resolution E-5467 at 2-3.</w:t>
      </w:r>
    </w:p>
  </w:footnote>
  <w:footnote w:id="80">
    <w:p w14:paraId="2476AB65" w14:textId="09D8E804" w:rsidR="2FBE0680" w:rsidRPr="005B2E98" w:rsidRDefault="2FBE0680" w:rsidP="2FBE0680">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Comments on Draft Resolution E-5467 at 4.</w:t>
      </w:r>
    </w:p>
  </w:footnote>
  <w:footnote w:id="81">
    <w:p w14:paraId="176B3722" w14:textId="2D459BAE" w:rsidR="2FBE0680" w:rsidRPr="005B2E98" w:rsidRDefault="2FBE0680" w:rsidP="2FBE0680">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Comments on Draft Resolution E-5467 at 3.</w:t>
      </w:r>
    </w:p>
  </w:footnote>
  <w:footnote w:id="82">
    <w:p w14:paraId="199CBDB7" w14:textId="5B1C3BDD" w:rsidR="2FBE0680" w:rsidRPr="005B2E98" w:rsidRDefault="2FBE0680" w:rsidP="2FBE0680">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Comments on Draft Resolution E-5467 at 5.</w:t>
      </w:r>
    </w:p>
  </w:footnote>
  <w:footnote w:id="83">
    <w:p w14:paraId="3AEC16BE" w14:textId="2B837947" w:rsidR="2FBE0680" w:rsidRPr="005B2E98" w:rsidRDefault="2FBE0680" w:rsidP="2FBE0680">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Comments on Draft Resolution E-5467 at 6.</w:t>
      </w:r>
    </w:p>
  </w:footnote>
  <w:footnote w:id="84">
    <w:p w14:paraId="03864346" w14:textId="70839475" w:rsidR="2FBE0680" w:rsidRPr="005B2E98" w:rsidRDefault="2FBE0680" w:rsidP="2FBE0680">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Comments on Draft Resolution E-5467 at 6.</w:t>
      </w:r>
    </w:p>
  </w:footnote>
  <w:footnote w:id="85">
    <w:p w14:paraId="4F84B2F2" w14:textId="1FB684C0" w:rsidR="2FBE0680" w:rsidRPr="005B2E98" w:rsidRDefault="2FBE0680" w:rsidP="2FBE0680">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Comments on Draft Resolution E-5467 at 7.</w:t>
      </w:r>
    </w:p>
  </w:footnote>
  <w:footnote w:id="86">
    <w:p w14:paraId="11261B68" w14:textId="7DD6CD8F" w:rsidR="2FBE0680" w:rsidRPr="005B2E98" w:rsidRDefault="2FBE0680" w:rsidP="2FBE0680">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Comments on Draft Resolution E-5467 at 7.</w:t>
      </w:r>
    </w:p>
  </w:footnote>
  <w:footnote w:id="87">
    <w:p w14:paraId="4FA16D5B" w14:textId="66BD56B1" w:rsidR="2FBE0680" w:rsidRPr="005B2E98" w:rsidRDefault="2FBE0680" w:rsidP="2FBE0680">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Comments on Draft Resolution E-5467 at 7.</w:t>
      </w:r>
    </w:p>
  </w:footnote>
  <w:footnote w:id="88">
    <w:p w14:paraId="0557ED36" w14:textId="3365BB9D" w:rsidR="2FBE0680" w:rsidRPr="005B2E98" w:rsidRDefault="2FBE0680" w:rsidP="2FBE0680">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Comments on Draft Resolution E-5467 at 7.</w:t>
      </w:r>
    </w:p>
  </w:footnote>
  <w:footnote w:id="89">
    <w:p w14:paraId="0AA22E8A" w14:textId="3241D125" w:rsidR="2FBE0680" w:rsidRPr="005B2E98" w:rsidRDefault="2FBE0680" w:rsidP="2FBE0680">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Comments on Draft Resolution E-5467 at 7.</w:t>
      </w:r>
    </w:p>
  </w:footnote>
  <w:footnote w:id="90">
    <w:p w14:paraId="3C884CBE" w14:textId="48FBCD0F" w:rsidR="2FBE0680" w:rsidRPr="005B2E98" w:rsidRDefault="2FBE0680" w:rsidP="2FBE0680">
      <w:pPr>
        <w:pStyle w:val="FootnoteText"/>
        <w:rPr>
          <w:rFonts w:ascii="Palatino Linotype" w:hAnsi="Palatino Linotype"/>
        </w:rPr>
      </w:pPr>
      <w:r w:rsidRPr="005B2E98">
        <w:rPr>
          <w:rStyle w:val="FootnoteReference"/>
          <w:rFonts w:ascii="Palatino Linotype" w:hAnsi="Palatino Linotype"/>
        </w:rPr>
        <w:footnoteRef/>
      </w:r>
      <w:r w:rsidRPr="005B2E98">
        <w:rPr>
          <w:rFonts w:ascii="Palatino Linotype" w:hAnsi="Palatino Linotype"/>
        </w:rPr>
        <w:t xml:space="preserve"> Cal Advocates Comments on Draft Resolution E-5467 at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0F3D" w14:textId="71023BAD" w:rsidR="002A268B" w:rsidRDefault="002A268B" w:rsidP="00D340F6">
    <w:pPr>
      <w:pStyle w:val="Header"/>
      <w:tabs>
        <w:tab w:val="clear" w:pos="9360"/>
        <w:tab w:val="left" w:pos="5435"/>
        <w:tab w:val="right" w:pos="9000"/>
      </w:tabs>
      <w:rPr>
        <w:rFonts w:ascii="Palatino Linotype" w:hAnsi="Palatino Linotype"/>
      </w:rPr>
    </w:pPr>
    <w:r w:rsidRPr="56DF6A51">
      <w:rPr>
        <w:rFonts w:ascii="Palatino Linotype" w:hAnsi="Palatino Linotype"/>
      </w:rPr>
      <w:t xml:space="preserve">ED/Resolution </w:t>
    </w:r>
    <w:r>
      <w:rPr>
        <w:rFonts w:ascii="Palatino Linotype" w:hAnsi="Palatino Linotype"/>
      </w:rPr>
      <w:t>E-5437</w:t>
    </w:r>
    <w:r>
      <w:tab/>
    </w:r>
    <w:r>
      <w:rPr>
        <w:rFonts w:ascii="Palatino Linotype" w:hAnsi="Palatino Linotype"/>
      </w:rPr>
      <w:t>D</w:t>
    </w:r>
    <w:r w:rsidRPr="56DF6A51">
      <w:rPr>
        <w:rFonts w:ascii="Palatino Linotype" w:hAnsi="Palatino Linotype"/>
      </w:rPr>
      <w:t>RAFT</w:t>
    </w:r>
    <w:r>
      <w:tab/>
    </w:r>
    <w:r w:rsidR="00D340F6">
      <w:tab/>
    </w:r>
    <w:r>
      <w:rPr>
        <w:rFonts w:ascii="Palatino Linotype" w:hAnsi="Palatino Linotype"/>
      </w:rPr>
      <w:t>June 11, 2026</w:t>
    </w:r>
  </w:p>
  <w:p w14:paraId="17A15DF8" w14:textId="42A79C33" w:rsidR="002A268B" w:rsidRDefault="002A268B" w:rsidP="002A268B">
    <w:pPr>
      <w:pStyle w:val="Header"/>
      <w:rPr>
        <w:rFonts w:ascii="Palatino Linotype" w:hAnsi="Palatino Linotype"/>
        <w:szCs w:val="18"/>
      </w:rPr>
    </w:pPr>
    <w:r>
      <w:rPr>
        <w:rFonts w:ascii="Palatino Linotype" w:hAnsi="Palatino Linotype"/>
        <w:szCs w:val="18"/>
      </w:rPr>
      <w:t>SDG&amp;E AL 4736-E/CPB</w:t>
    </w:r>
  </w:p>
  <w:p w14:paraId="24153B3E" w14:textId="05ABB143" w:rsidR="00831BC8" w:rsidRPr="002A268B" w:rsidRDefault="00831BC8" w:rsidP="002A2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B2E2" w14:textId="079F4188" w:rsidR="002A268B" w:rsidRPr="00D340F6" w:rsidRDefault="00D340F6" w:rsidP="00D340F6">
    <w:pPr>
      <w:pStyle w:val="Header"/>
      <w:jc w:val="center"/>
      <w:rPr>
        <w:rFonts w:ascii="Palatino Linotype" w:hAnsi="Palatino Linotype"/>
      </w:rPr>
    </w:pPr>
    <w:r w:rsidRPr="00D340F6">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E4F"/>
    <w:multiLevelType w:val="hybridMultilevel"/>
    <w:tmpl w:val="914EE592"/>
    <w:lvl w:ilvl="0" w:tplc="C824A0BE">
      <w:start w:val="1"/>
      <w:numFmt w:val="bullet"/>
      <w:lvlText w:val=""/>
      <w:lvlJc w:val="left"/>
      <w:pPr>
        <w:ind w:left="360" w:hanging="360"/>
      </w:pPr>
      <w:rPr>
        <w:rFonts w:ascii="Symbol" w:hAnsi="Symbol" w:hint="default"/>
      </w:rPr>
    </w:lvl>
    <w:lvl w:ilvl="1" w:tplc="0C961CBA">
      <w:start w:val="1"/>
      <w:numFmt w:val="bullet"/>
      <w:lvlText w:val="o"/>
      <w:lvlJc w:val="left"/>
      <w:pPr>
        <w:ind w:left="1080" w:hanging="360"/>
      </w:pPr>
      <w:rPr>
        <w:rFonts w:ascii="Courier New" w:hAnsi="Courier New" w:hint="default"/>
      </w:rPr>
    </w:lvl>
    <w:lvl w:ilvl="2" w:tplc="8C10C552">
      <w:start w:val="1"/>
      <w:numFmt w:val="bullet"/>
      <w:lvlText w:val=""/>
      <w:lvlJc w:val="left"/>
      <w:pPr>
        <w:ind w:left="1800" w:hanging="360"/>
      </w:pPr>
      <w:rPr>
        <w:rFonts w:ascii="Wingdings" w:hAnsi="Wingdings" w:hint="default"/>
      </w:rPr>
    </w:lvl>
    <w:lvl w:ilvl="3" w:tplc="4FBA1848">
      <w:start w:val="1"/>
      <w:numFmt w:val="bullet"/>
      <w:lvlText w:val=""/>
      <w:lvlJc w:val="left"/>
      <w:pPr>
        <w:ind w:left="2520" w:hanging="360"/>
      </w:pPr>
      <w:rPr>
        <w:rFonts w:ascii="Symbol" w:hAnsi="Symbol" w:hint="default"/>
      </w:rPr>
    </w:lvl>
    <w:lvl w:ilvl="4" w:tplc="CCB6E5BA">
      <w:start w:val="1"/>
      <w:numFmt w:val="bullet"/>
      <w:lvlText w:val="o"/>
      <w:lvlJc w:val="left"/>
      <w:pPr>
        <w:ind w:left="3240" w:hanging="360"/>
      </w:pPr>
      <w:rPr>
        <w:rFonts w:ascii="Courier New" w:hAnsi="Courier New" w:hint="default"/>
      </w:rPr>
    </w:lvl>
    <w:lvl w:ilvl="5" w:tplc="C08892BA">
      <w:start w:val="1"/>
      <w:numFmt w:val="bullet"/>
      <w:lvlText w:val=""/>
      <w:lvlJc w:val="left"/>
      <w:pPr>
        <w:ind w:left="3960" w:hanging="360"/>
      </w:pPr>
      <w:rPr>
        <w:rFonts w:ascii="Wingdings" w:hAnsi="Wingdings" w:hint="default"/>
      </w:rPr>
    </w:lvl>
    <w:lvl w:ilvl="6" w:tplc="85CC7AB6">
      <w:start w:val="1"/>
      <w:numFmt w:val="bullet"/>
      <w:lvlText w:val=""/>
      <w:lvlJc w:val="left"/>
      <w:pPr>
        <w:ind w:left="4680" w:hanging="360"/>
      </w:pPr>
      <w:rPr>
        <w:rFonts w:ascii="Symbol" w:hAnsi="Symbol" w:hint="default"/>
      </w:rPr>
    </w:lvl>
    <w:lvl w:ilvl="7" w:tplc="0E2E575C">
      <w:start w:val="1"/>
      <w:numFmt w:val="bullet"/>
      <w:lvlText w:val="o"/>
      <w:lvlJc w:val="left"/>
      <w:pPr>
        <w:ind w:left="5400" w:hanging="360"/>
      </w:pPr>
      <w:rPr>
        <w:rFonts w:ascii="Courier New" w:hAnsi="Courier New" w:hint="default"/>
      </w:rPr>
    </w:lvl>
    <w:lvl w:ilvl="8" w:tplc="B8FAEDC6">
      <w:start w:val="1"/>
      <w:numFmt w:val="bullet"/>
      <w:lvlText w:val=""/>
      <w:lvlJc w:val="left"/>
      <w:pPr>
        <w:ind w:left="6120" w:hanging="360"/>
      </w:pPr>
      <w:rPr>
        <w:rFonts w:ascii="Wingdings" w:hAnsi="Wingdings" w:hint="default"/>
      </w:rPr>
    </w:lvl>
  </w:abstractNum>
  <w:abstractNum w:abstractNumId="1" w15:restartNumberingAfterBreak="0">
    <w:nsid w:val="15ADCF4F"/>
    <w:multiLevelType w:val="hybridMultilevel"/>
    <w:tmpl w:val="82C6493E"/>
    <w:lvl w:ilvl="0" w:tplc="64CC869C">
      <w:start w:val="1"/>
      <w:numFmt w:val="decimal"/>
      <w:lvlText w:val="%1."/>
      <w:lvlJc w:val="left"/>
      <w:pPr>
        <w:ind w:left="720" w:hanging="360"/>
      </w:pPr>
    </w:lvl>
    <w:lvl w:ilvl="1" w:tplc="92F8DF12">
      <w:start w:val="1"/>
      <w:numFmt w:val="lowerLetter"/>
      <w:lvlText w:val="%2."/>
      <w:lvlJc w:val="left"/>
      <w:pPr>
        <w:ind w:left="1440" w:hanging="360"/>
      </w:pPr>
    </w:lvl>
    <w:lvl w:ilvl="2" w:tplc="41AE0F8A">
      <w:start w:val="1"/>
      <w:numFmt w:val="lowerRoman"/>
      <w:lvlText w:val="%3."/>
      <w:lvlJc w:val="right"/>
      <w:pPr>
        <w:ind w:left="2160" w:hanging="180"/>
      </w:pPr>
    </w:lvl>
    <w:lvl w:ilvl="3" w:tplc="8AF09238">
      <w:start w:val="1"/>
      <w:numFmt w:val="decimal"/>
      <w:lvlText w:val="%4."/>
      <w:lvlJc w:val="left"/>
      <w:pPr>
        <w:ind w:left="2880" w:hanging="360"/>
      </w:pPr>
    </w:lvl>
    <w:lvl w:ilvl="4" w:tplc="D21AC432">
      <w:start w:val="1"/>
      <w:numFmt w:val="lowerLetter"/>
      <w:lvlText w:val="%5."/>
      <w:lvlJc w:val="left"/>
      <w:pPr>
        <w:ind w:left="3600" w:hanging="360"/>
      </w:pPr>
    </w:lvl>
    <w:lvl w:ilvl="5" w:tplc="663A5C6E">
      <w:start w:val="1"/>
      <w:numFmt w:val="lowerRoman"/>
      <w:lvlText w:val="%6."/>
      <w:lvlJc w:val="right"/>
      <w:pPr>
        <w:ind w:left="4320" w:hanging="180"/>
      </w:pPr>
    </w:lvl>
    <w:lvl w:ilvl="6" w:tplc="5330C34A">
      <w:start w:val="1"/>
      <w:numFmt w:val="decimal"/>
      <w:lvlText w:val="%7."/>
      <w:lvlJc w:val="left"/>
      <w:pPr>
        <w:ind w:left="5040" w:hanging="360"/>
      </w:pPr>
    </w:lvl>
    <w:lvl w:ilvl="7" w:tplc="733A1A54">
      <w:start w:val="1"/>
      <w:numFmt w:val="lowerLetter"/>
      <w:lvlText w:val="%8."/>
      <w:lvlJc w:val="left"/>
      <w:pPr>
        <w:ind w:left="5760" w:hanging="360"/>
      </w:pPr>
    </w:lvl>
    <w:lvl w:ilvl="8" w:tplc="679A15D6">
      <w:start w:val="1"/>
      <w:numFmt w:val="lowerRoman"/>
      <w:lvlText w:val="%9."/>
      <w:lvlJc w:val="right"/>
      <w:pPr>
        <w:ind w:left="6480" w:hanging="180"/>
      </w:pPr>
    </w:lvl>
  </w:abstractNum>
  <w:abstractNum w:abstractNumId="2" w15:restartNumberingAfterBreak="0">
    <w:nsid w:val="25F92B34"/>
    <w:multiLevelType w:val="hybridMultilevel"/>
    <w:tmpl w:val="47804664"/>
    <w:lvl w:ilvl="0" w:tplc="CB3666A2">
      <w:start w:val="1"/>
      <w:numFmt w:val="bullet"/>
      <w:lvlText w:val=""/>
      <w:lvlJc w:val="left"/>
      <w:pPr>
        <w:ind w:left="720" w:hanging="360"/>
      </w:pPr>
      <w:rPr>
        <w:rFonts w:ascii="Symbol" w:hAnsi="Symbol" w:hint="default"/>
      </w:rPr>
    </w:lvl>
    <w:lvl w:ilvl="1" w:tplc="D12065F4">
      <w:start w:val="1"/>
      <w:numFmt w:val="bullet"/>
      <w:lvlText w:val="o"/>
      <w:lvlJc w:val="left"/>
      <w:pPr>
        <w:ind w:left="1440" w:hanging="360"/>
      </w:pPr>
      <w:rPr>
        <w:rFonts w:ascii="Courier New" w:hAnsi="Courier New" w:hint="default"/>
      </w:rPr>
    </w:lvl>
    <w:lvl w:ilvl="2" w:tplc="AAD2ADB4">
      <w:start w:val="1"/>
      <w:numFmt w:val="bullet"/>
      <w:lvlText w:val=""/>
      <w:lvlJc w:val="left"/>
      <w:pPr>
        <w:ind w:left="2160" w:hanging="360"/>
      </w:pPr>
      <w:rPr>
        <w:rFonts w:ascii="Wingdings" w:hAnsi="Wingdings" w:hint="default"/>
      </w:rPr>
    </w:lvl>
    <w:lvl w:ilvl="3" w:tplc="5922D830">
      <w:start w:val="1"/>
      <w:numFmt w:val="bullet"/>
      <w:lvlText w:val=""/>
      <w:lvlJc w:val="left"/>
      <w:pPr>
        <w:ind w:left="2880" w:hanging="360"/>
      </w:pPr>
      <w:rPr>
        <w:rFonts w:ascii="Symbol" w:hAnsi="Symbol" w:hint="default"/>
      </w:rPr>
    </w:lvl>
    <w:lvl w:ilvl="4" w:tplc="6BC286B6">
      <w:start w:val="1"/>
      <w:numFmt w:val="bullet"/>
      <w:lvlText w:val="o"/>
      <w:lvlJc w:val="left"/>
      <w:pPr>
        <w:ind w:left="3600" w:hanging="360"/>
      </w:pPr>
      <w:rPr>
        <w:rFonts w:ascii="Courier New" w:hAnsi="Courier New" w:hint="default"/>
      </w:rPr>
    </w:lvl>
    <w:lvl w:ilvl="5" w:tplc="85081050">
      <w:start w:val="1"/>
      <w:numFmt w:val="bullet"/>
      <w:lvlText w:val=""/>
      <w:lvlJc w:val="left"/>
      <w:pPr>
        <w:ind w:left="4320" w:hanging="360"/>
      </w:pPr>
      <w:rPr>
        <w:rFonts w:ascii="Wingdings" w:hAnsi="Wingdings" w:hint="default"/>
      </w:rPr>
    </w:lvl>
    <w:lvl w:ilvl="6" w:tplc="1C3C97CA">
      <w:start w:val="1"/>
      <w:numFmt w:val="bullet"/>
      <w:lvlText w:val=""/>
      <w:lvlJc w:val="left"/>
      <w:pPr>
        <w:ind w:left="5040" w:hanging="360"/>
      </w:pPr>
      <w:rPr>
        <w:rFonts w:ascii="Symbol" w:hAnsi="Symbol" w:hint="default"/>
      </w:rPr>
    </w:lvl>
    <w:lvl w:ilvl="7" w:tplc="A41443DE">
      <w:start w:val="1"/>
      <w:numFmt w:val="bullet"/>
      <w:lvlText w:val="o"/>
      <w:lvlJc w:val="left"/>
      <w:pPr>
        <w:ind w:left="5760" w:hanging="360"/>
      </w:pPr>
      <w:rPr>
        <w:rFonts w:ascii="Courier New" w:hAnsi="Courier New" w:hint="default"/>
      </w:rPr>
    </w:lvl>
    <w:lvl w:ilvl="8" w:tplc="F02C76AC">
      <w:start w:val="1"/>
      <w:numFmt w:val="bullet"/>
      <w:lvlText w:val=""/>
      <w:lvlJc w:val="left"/>
      <w:pPr>
        <w:ind w:left="6480" w:hanging="360"/>
      </w:pPr>
      <w:rPr>
        <w:rFonts w:ascii="Wingdings" w:hAnsi="Wingdings" w:hint="default"/>
      </w:rPr>
    </w:lvl>
  </w:abstractNum>
  <w:abstractNum w:abstractNumId="3" w15:restartNumberingAfterBreak="0">
    <w:nsid w:val="56EFDFC6"/>
    <w:multiLevelType w:val="hybridMultilevel"/>
    <w:tmpl w:val="DFA43E1C"/>
    <w:lvl w:ilvl="0" w:tplc="2E304002">
      <w:start w:val="1"/>
      <w:numFmt w:val="decimal"/>
      <w:lvlText w:val="%1."/>
      <w:lvlJc w:val="left"/>
      <w:pPr>
        <w:ind w:left="720" w:hanging="360"/>
      </w:pPr>
    </w:lvl>
    <w:lvl w:ilvl="1" w:tplc="0D389E16">
      <w:start w:val="1"/>
      <w:numFmt w:val="lowerLetter"/>
      <w:lvlText w:val="%2."/>
      <w:lvlJc w:val="left"/>
      <w:pPr>
        <w:ind w:left="1440" w:hanging="360"/>
      </w:pPr>
    </w:lvl>
    <w:lvl w:ilvl="2" w:tplc="4878B2BA">
      <w:start w:val="1"/>
      <w:numFmt w:val="lowerRoman"/>
      <w:lvlText w:val="%3."/>
      <w:lvlJc w:val="right"/>
      <w:pPr>
        <w:ind w:left="2160" w:hanging="180"/>
      </w:pPr>
    </w:lvl>
    <w:lvl w:ilvl="3" w:tplc="F7CE4580">
      <w:start w:val="1"/>
      <w:numFmt w:val="decimal"/>
      <w:lvlText w:val="%4."/>
      <w:lvlJc w:val="left"/>
      <w:pPr>
        <w:ind w:left="2880" w:hanging="360"/>
      </w:pPr>
    </w:lvl>
    <w:lvl w:ilvl="4" w:tplc="977E61F2">
      <w:start w:val="1"/>
      <w:numFmt w:val="lowerLetter"/>
      <w:lvlText w:val="%5."/>
      <w:lvlJc w:val="left"/>
      <w:pPr>
        <w:ind w:left="3600" w:hanging="360"/>
      </w:pPr>
    </w:lvl>
    <w:lvl w:ilvl="5" w:tplc="16A61CEE">
      <w:start w:val="1"/>
      <w:numFmt w:val="lowerRoman"/>
      <w:lvlText w:val="%6."/>
      <w:lvlJc w:val="right"/>
      <w:pPr>
        <w:ind w:left="4320" w:hanging="180"/>
      </w:pPr>
    </w:lvl>
    <w:lvl w:ilvl="6" w:tplc="470C22B6">
      <w:start w:val="1"/>
      <w:numFmt w:val="decimal"/>
      <w:lvlText w:val="%7."/>
      <w:lvlJc w:val="left"/>
      <w:pPr>
        <w:ind w:left="5040" w:hanging="360"/>
      </w:pPr>
    </w:lvl>
    <w:lvl w:ilvl="7" w:tplc="1AD0044C">
      <w:start w:val="1"/>
      <w:numFmt w:val="lowerLetter"/>
      <w:lvlText w:val="%8."/>
      <w:lvlJc w:val="left"/>
      <w:pPr>
        <w:ind w:left="5760" w:hanging="360"/>
      </w:pPr>
    </w:lvl>
    <w:lvl w:ilvl="8" w:tplc="10028208">
      <w:start w:val="1"/>
      <w:numFmt w:val="lowerRoman"/>
      <w:lvlText w:val="%9."/>
      <w:lvlJc w:val="right"/>
      <w:pPr>
        <w:ind w:left="6480" w:hanging="180"/>
      </w:pPr>
    </w:lvl>
  </w:abstractNum>
  <w:abstractNum w:abstractNumId="4" w15:restartNumberingAfterBreak="0">
    <w:nsid w:val="57FBEBDD"/>
    <w:multiLevelType w:val="hybridMultilevel"/>
    <w:tmpl w:val="93327964"/>
    <w:lvl w:ilvl="0" w:tplc="6D42ECA4">
      <w:start w:val="1"/>
      <w:numFmt w:val="bullet"/>
      <w:lvlText w:val=""/>
      <w:lvlJc w:val="left"/>
      <w:pPr>
        <w:ind w:left="720" w:hanging="360"/>
      </w:pPr>
      <w:rPr>
        <w:rFonts w:ascii="Symbol" w:hAnsi="Symbol" w:hint="default"/>
      </w:rPr>
    </w:lvl>
    <w:lvl w:ilvl="1" w:tplc="F880D48A">
      <w:start w:val="1"/>
      <w:numFmt w:val="bullet"/>
      <w:lvlText w:val="o"/>
      <w:lvlJc w:val="left"/>
      <w:pPr>
        <w:ind w:left="1440" w:hanging="360"/>
      </w:pPr>
      <w:rPr>
        <w:rFonts w:ascii="Courier New" w:hAnsi="Courier New" w:hint="default"/>
      </w:rPr>
    </w:lvl>
    <w:lvl w:ilvl="2" w:tplc="5FA2562C">
      <w:start w:val="1"/>
      <w:numFmt w:val="bullet"/>
      <w:lvlText w:val=""/>
      <w:lvlJc w:val="left"/>
      <w:pPr>
        <w:ind w:left="2160" w:hanging="360"/>
      </w:pPr>
      <w:rPr>
        <w:rFonts w:ascii="Wingdings" w:hAnsi="Wingdings" w:hint="default"/>
      </w:rPr>
    </w:lvl>
    <w:lvl w:ilvl="3" w:tplc="4874D6E8">
      <w:start w:val="1"/>
      <w:numFmt w:val="bullet"/>
      <w:lvlText w:val=""/>
      <w:lvlJc w:val="left"/>
      <w:pPr>
        <w:ind w:left="2880" w:hanging="360"/>
      </w:pPr>
      <w:rPr>
        <w:rFonts w:ascii="Symbol" w:hAnsi="Symbol" w:hint="default"/>
      </w:rPr>
    </w:lvl>
    <w:lvl w:ilvl="4" w:tplc="3224F5FE">
      <w:start w:val="1"/>
      <w:numFmt w:val="bullet"/>
      <w:lvlText w:val="o"/>
      <w:lvlJc w:val="left"/>
      <w:pPr>
        <w:ind w:left="3600" w:hanging="360"/>
      </w:pPr>
      <w:rPr>
        <w:rFonts w:ascii="Courier New" w:hAnsi="Courier New" w:hint="default"/>
      </w:rPr>
    </w:lvl>
    <w:lvl w:ilvl="5" w:tplc="D772A7F6">
      <w:start w:val="1"/>
      <w:numFmt w:val="bullet"/>
      <w:lvlText w:val=""/>
      <w:lvlJc w:val="left"/>
      <w:pPr>
        <w:ind w:left="4320" w:hanging="360"/>
      </w:pPr>
      <w:rPr>
        <w:rFonts w:ascii="Wingdings" w:hAnsi="Wingdings" w:hint="default"/>
      </w:rPr>
    </w:lvl>
    <w:lvl w:ilvl="6" w:tplc="197E7220">
      <w:start w:val="1"/>
      <w:numFmt w:val="bullet"/>
      <w:lvlText w:val=""/>
      <w:lvlJc w:val="left"/>
      <w:pPr>
        <w:ind w:left="5040" w:hanging="360"/>
      </w:pPr>
      <w:rPr>
        <w:rFonts w:ascii="Symbol" w:hAnsi="Symbol" w:hint="default"/>
      </w:rPr>
    </w:lvl>
    <w:lvl w:ilvl="7" w:tplc="B72ED48E">
      <w:start w:val="1"/>
      <w:numFmt w:val="bullet"/>
      <w:lvlText w:val="o"/>
      <w:lvlJc w:val="left"/>
      <w:pPr>
        <w:ind w:left="5760" w:hanging="360"/>
      </w:pPr>
      <w:rPr>
        <w:rFonts w:ascii="Courier New" w:hAnsi="Courier New" w:hint="default"/>
      </w:rPr>
    </w:lvl>
    <w:lvl w:ilvl="8" w:tplc="0AE69736">
      <w:start w:val="1"/>
      <w:numFmt w:val="bullet"/>
      <w:lvlText w:val=""/>
      <w:lvlJc w:val="left"/>
      <w:pPr>
        <w:ind w:left="6480" w:hanging="360"/>
      </w:pPr>
      <w:rPr>
        <w:rFonts w:ascii="Wingdings" w:hAnsi="Wingdings" w:hint="default"/>
      </w:rPr>
    </w:lvl>
  </w:abstractNum>
  <w:abstractNum w:abstractNumId="5" w15:restartNumberingAfterBreak="0">
    <w:nsid w:val="734DF437"/>
    <w:multiLevelType w:val="hybridMultilevel"/>
    <w:tmpl w:val="B520FD0A"/>
    <w:lvl w:ilvl="0" w:tplc="F0301A10">
      <w:start w:val="1"/>
      <w:numFmt w:val="bullet"/>
      <w:lvlText w:val=""/>
      <w:lvlJc w:val="left"/>
      <w:pPr>
        <w:ind w:left="360" w:hanging="360"/>
      </w:pPr>
      <w:rPr>
        <w:rFonts w:ascii="Symbol" w:hAnsi="Symbol" w:hint="default"/>
      </w:rPr>
    </w:lvl>
    <w:lvl w:ilvl="1" w:tplc="4D2A9FAE">
      <w:start w:val="1"/>
      <w:numFmt w:val="bullet"/>
      <w:lvlText w:val="o"/>
      <w:lvlJc w:val="left"/>
      <w:pPr>
        <w:ind w:left="1080" w:hanging="360"/>
      </w:pPr>
      <w:rPr>
        <w:rFonts w:ascii="Courier New" w:hAnsi="Courier New" w:hint="default"/>
      </w:rPr>
    </w:lvl>
    <w:lvl w:ilvl="2" w:tplc="61DCC9AA">
      <w:start w:val="1"/>
      <w:numFmt w:val="bullet"/>
      <w:lvlText w:val=""/>
      <w:lvlJc w:val="left"/>
      <w:pPr>
        <w:ind w:left="1800" w:hanging="360"/>
      </w:pPr>
      <w:rPr>
        <w:rFonts w:ascii="Wingdings" w:hAnsi="Wingdings" w:hint="default"/>
      </w:rPr>
    </w:lvl>
    <w:lvl w:ilvl="3" w:tplc="2E76C4C8">
      <w:start w:val="1"/>
      <w:numFmt w:val="bullet"/>
      <w:lvlText w:val=""/>
      <w:lvlJc w:val="left"/>
      <w:pPr>
        <w:ind w:left="2520" w:hanging="360"/>
      </w:pPr>
      <w:rPr>
        <w:rFonts w:ascii="Symbol" w:hAnsi="Symbol" w:hint="default"/>
      </w:rPr>
    </w:lvl>
    <w:lvl w:ilvl="4" w:tplc="B3B25468">
      <w:start w:val="1"/>
      <w:numFmt w:val="bullet"/>
      <w:lvlText w:val="o"/>
      <w:lvlJc w:val="left"/>
      <w:pPr>
        <w:ind w:left="3240" w:hanging="360"/>
      </w:pPr>
      <w:rPr>
        <w:rFonts w:ascii="Courier New" w:hAnsi="Courier New" w:hint="default"/>
      </w:rPr>
    </w:lvl>
    <w:lvl w:ilvl="5" w:tplc="A84A87D8">
      <w:start w:val="1"/>
      <w:numFmt w:val="bullet"/>
      <w:lvlText w:val=""/>
      <w:lvlJc w:val="left"/>
      <w:pPr>
        <w:ind w:left="3960" w:hanging="360"/>
      </w:pPr>
      <w:rPr>
        <w:rFonts w:ascii="Wingdings" w:hAnsi="Wingdings" w:hint="default"/>
      </w:rPr>
    </w:lvl>
    <w:lvl w:ilvl="6" w:tplc="F4642AD6">
      <w:start w:val="1"/>
      <w:numFmt w:val="bullet"/>
      <w:lvlText w:val=""/>
      <w:lvlJc w:val="left"/>
      <w:pPr>
        <w:ind w:left="4680" w:hanging="360"/>
      </w:pPr>
      <w:rPr>
        <w:rFonts w:ascii="Symbol" w:hAnsi="Symbol" w:hint="default"/>
      </w:rPr>
    </w:lvl>
    <w:lvl w:ilvl="7" w:tplc="A3625700">
      <w:start w:val="1"/>
      <w:numFmt w:val="bullet"/>
      <w:lvlText w:val="o"/>
      <w:lvlJc w:val="left"/>
      <w:pPr>
        <w:ind w:left="5400" w:hanging="360"/>
      </w:pPr>
      <w:rPr>
        <w:rFonts w:ascii="Courier New" w:hAnsi="Courier New" w:hint="default"/>
      </w:rPr>
    </w:lvl>
    <w:lvl w:ilvl="8" w:tplc="F932992C">
      <w:start w:val="1"/>
      <w:numFmt w:val="bullet"/>
      <w:lvlText w:val=""/>
      <w:lvlJc w:val="left"/>
      <w:pPr>
        <w:ind w:left="6120" w:hanging="360"/>
      </w:pPr>
      <w:rPr>
        <w:rFonts w:ascii="Wingdings" w:hAnsi="Wingdings" w:hint="default"/>
      </w:rPr>
    </w:lvl>
  </w:abstractNum>
  <w:abstractNum w:abstractNumId="6" w15:restartNumberingAfterBreak="0">
    <w:nsid w:val="792F6BB5"/>
    <w:multiLevelType w:val="hybridMultilevel"/>
    <w:tmpl w:val="A7260C32"/>
    <w:lvl w:ilvl="0" w:tplc="396E9F68">
      <w:numFmt w:val="bullet"/>
      <w:lvlText w:val=""/>
      <w:lvlJc w:val="left"/>
      <w:pPr>
        <w:ind w:left="360" w:hanging="360"/>
      </w:pPr>
      <w:rPr>
        <w:rFonts w:ascii="Symbol" w:hAnsi="Symbol" w:hint="default"/>
      </w:rPr>
    </w:lvl>
    <w:lvl w:ilvl="1" w:tplc="F49A536A">
      <w:start w:val="1"/>
      <w:numFmt w:val="bullet"/>
      <w:lvlText w:val="o"/>
      <w:lvlJc w:val="left"/>
      <w:pPr>
        <w:ind w:left="0" w:hanging="360"/>
      </w:pPr>
      <w:rPr>
        <w:rFonts w:ascii="Courier New" w:hAnsi="Courier New" w:hint="default"/>
      </w:rPr>
    </w:lvl>
    <w:lvl w:ilvl="2" w:tplc="829E65C0">
      <w:start w:val="1"/>
      <w:numFmt w:val="bullet"/>
      <w:lvlText w:val=""/>
      <w:lvlJc w:val="left"/>
      <w:pPr>
        <w:ind w:left="0" w:hanging="360"/>
      </w:pPr>
      <w:rPr>
        <w:rFonts w:ascii="Wingdings" w:hAnsi="Wingdings" w:hint="default"/>
      </w:rPr>
    </w:lvl>
    <w:lvl w:ilvl="3" w:tplc="DCD8FF6A">
      <w:start w:val="1"/>
      <w:numFmt w:val="bullet"/>
      <w:lvlText w:val=""/>
      <w:lvlJc w:val="left"/>
      <w:pPr>
        <w:ind w:left="720" w:hanging="360"/>
      </w:pPr>
      <w:rPr>
        <w:rFonts w:ascii="Symbol" w:hAnsi="Symbol" w:hint="default"/>
      </w:rPr>
    </w:lvl>
    <w:lvl w:ilvl="4" w:tplc="1938B8CE">
      <w:start w:val="1"/>
      <w:numFmt w:val="bullet"/>
      <w:lvlText w:val="o"/>
      <w:lvlJc w:val="left"/>
      <w:pPr>
        <w:ind w:left="1440" w:hanging="360"/>
      </w:pPr>
      <w:rPr>
        <w:rFonts w:ascii="Courier New" w:hAnsi="Courier New" w:hint="default"/>
      </w:rPr>
    </w:lvl>
    <w:lvl w:ilvl="5" w:tplc="620E21A2">
      <w:start w:val="1"/>
      <w:numFmt w:val="bullet"/>
      <w:lvlText w:val=""/>
      <w:lvlJc w:val="left"/>
      <w:pPr>
        <w:ind w:left="2160" w:hanging="360"/>
      </w:pPr>
      <w:rPr>
        <w:rFonts w:ascii="Wingdings" w:hAnsi="Wingdings" w:hint="default"/>
      </w:rPr>
    </w:lvl>
    <w:lvl w:ilvl="6" w:tplc="CC349F20">
      <w:start w:val="1"/>
      <w:numFmt w:val="bullet"/>
      <w:lvlText w:val=""/>
      <w:lvlJc w:val="left"/>
      <w:pPr>
        <w:ind w:left="2880" w:hanging="360"/>
      </w:pPr>
      <w:rPr>
        <w:rFonts w:ascii="Symbol" w:hAnsi="Symbol" w:hint="default"/>
      </w:rPr>
    </w:lvl>
    <w:lvl w:ilvl="7" w:tplc="270EA04E">
      <w:start w:val="1"/>
      <w:numFmt w:val="bullet"/>
      <w:lvlText w:val="o"/>
      <w:lvlJc w:val="left"/>
      <w:pPr>
        <w:ind w:left="3600" w:hanging="360"/>
      </w:pPr>
      <w:rPr>
        <w:rFonts w:ascii="Courier New" w:hAnsi="Courier New" w:hint="default"/>
      </w:rPr>
    </w:lvl>
    <w:lvl w:ilvl="8" w:tplc="53681942">
      <w:start w:val="1"/>
      <w:numFmt w:val="bullet"/>
      <w:lvlText w:val=""/>
      <w:lvlJc w:val="left"/>
      <w:pPr>
        <w:ind w:left="4320" w:hanging="360"/>
      </w:pPr>
      <w:rPr>
        <w:rFonts w:ascii="Wingdings" w:hAnsi="Wingdings" w:hint="default"/>
      </w:rPr>
    </w:lvl>
  </w:abstractNum>
  <w:num w:numId="1" w16cid:durableId="89814503">
    <w:abstractNumId w:val="1"/>
  </w:num>
  <w:num w:numId="2" w16cid:durableId="816729848">
    <w:abstractNumId w:val="4"/>
  </w:num>
  <w:num w:numId="3" w16cid:durableId="714545758">
    <w:abstractNumId w:val="3"/>
  </w:num>
  <w:num w:numId="4" w16cid:durableId="1483959300">
    <w:abstractNumId w:val="2"/>
  </w:num>
  <w:num w:numId="5" w16cid:durableId="1754351501">
    <w:abstractNumId w:val="0"/>
  </w:num>
  <w:num w:numId="6" w16cid:durableId="688872267">
    <w:abstractNumId w:val="5"/>
  </w:num>
  <w:num w:numId="7" w16cid:durableId="2111780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8FCF5"/>
    <w:rsid w:val="00042847"/>
    <w:rsid w:val="0005478C"/>
    <w:rsid w:val="00092D2B"/>
    <w:rsid w:val="00094335"/>
    <w:rsid w:val="000B0E8A"/>
    <w:rsid w:val="000D44EE"/>
    <w:rsid w:val="0011518B"/>
    <w:rsid w:val="0015727B"/>
    <w:rsid w:val="001611C7"/>
    <w:rsid w:val="00161897"/>
    <w:rsid w:val="00165D3A"/>
    <w:rsid w:val="00184DF0"/>
    <w:rsid w:val="001F0060"/>
    <w:rsid w:val="00201D04"/>
    <w:rsid w:val="002312A3"/>
    <w:rsid w:val="0027162B"/>
    <w:rsid w:val="002813F4"/>
    <w:rsid w:val="002A223E"/>
    <w:rsid w:val="002A268B"/>
    <w:rsid w:val="002B3752"/>
    <w:rsid w:val="002D2F4F"/>
    <w:rsid w:val="002D3E61"/>
    <w:rsid w:val="00300CE9"/>
    <w:rsid w:val="00312413"/>
    <w:rsid w:val="00316F4E"/>
    <w:rsid w:val="00340DA1"/>
    <w:rsid w:val="00372F5C"/>
    <w:rsid w:val="00383135"/>
    <w:rsid w:val="003B424F"/>
    <w:rsid w:val="003C1C00"/>
    <w:rsid w:val="003C89F3"/>
    <w:rsid w:val="0040069A"/>
    <w:rsid w:val="0041B1D9"/>
    <w:rsid w:val="00455AED"/>
    <w:rsid w:val="004724A0"/>
    <w:rsid w:val="0048470A"/>
    <w:rsid w:val="004A7379"/>
    <w:rsid w:val="004D5AA2"/>
    <w:rsid w:val="004E3D0A"/>
    <w:rsid w:val="00503455"/>
    <w:rsid w:val="00517512"/>
    <w:rsid w:val="00523FF9"/>
    <w:rsid w:val="0052A0D2"/>
    <w:rsid w:val="0056233C"/>
    <w:rsid w:val="00593935"/>
    <w:rsid w:val="005A7671"/>
    <w:rsid w:val="005B2E98"/>
    <w:rsid w:val="006052C0"/>
    <w:rsid w:val="00614112"/>
    <w:rsid w:val="00624187"/>
    <w:rsid w:val="00626FB4"/>
    <w:rsid w:val="00652523"/>
    <w:rsid w:val="00674BFF"/>
    <w:rsid w:val="006E03E1"/>
    <w:rsid w:val="006F21C9"/>
    <w:rsid w:val="00727357"/>
    <w:rsid w:val="00749FEF"/>
    <w:rsid w:val="007544A1"/>
    <w:rsid w:val="00783C3D"/>
    <w:rsid w:val="007A0251"/>
    <w:rsid w:val="007C016A"/>
    <w:rsid w:val="008172E1"/>
    <w:rsid w:val="00826108"/>
    <w:rsid w:val="00831BC8"/>
    <w:rsid w:val="00834D0F"/>
    <w:rsid w:val="0084231A"/>
    <w:rsid w:val="00861FD1"/>
    <w:rsid w:val="00891762"/>
    <w:rsid w:val="00893607"/>
    <w:rsid w:val="00893704"/>
    <w:rsid w:val="008D6B9E"/>
    <w:rsid w:val="00903F4F"/>
    <w:rsid w:val="009162FA"/>
    <w:rsid w:val="0091752C"/>
    <w:rsid w:val="00930AE2"/>
    <w:rsid w:val="00981C94"/>
    <w:rsid w:val="009A42F1"/>
    <w:rsid w:val="009E3E67"/>
    <w:rsid w:val="009F781C"/>
    <w:rsid w:val="00A028F5"/>
    <w:rsid w:val="00A5582B"/>
    <w:rsid w:val="00A567C4"/>
    <w:rsid w:val="00A71831"/>
    <w:rsid w:val="00A71AFC"/>
    <w:rsid w:val="00A71FDD"/>
    <w:rsid w:val="00A760D3"/>
    <w:rsid w:val="00AC5DE0"/>
    <w:rsid w:val="00AF67CD"/>
    <w:rsid w:val="00B04238"/>
    <w:rsid w:val="00B12424"/>
    <w:rsid w:val="00B13E3C"/>
    <w:rsid w:val="00B2A33E"/>
    <w:rsid w:val="00B37027"/>
    <w:rsid w:val="00B6472E"/>
    <w:rsid w:val="00BA67A0"/>
    <w:rsid w:val="00BD1389"/>
    <w:rsid w:val="00C7382C"/>
    <w:rsid w:val="00C92783"/>
    <w:rsid w:val="00C95676"/>
    <w:rsid w:val="00C96F24"/>
    <w:rsid w:val="00CA1872"/>
    <w:rsid w:val="00CA5F00"/>
    <w:rsid w:val="00CB781A"/>
    <w:rsid w:val="00CC7083"/>
    <w:rsid w:val="00D009C1"/>
    <w:rsid w:val="00D079DE"/>
    <w:rsid w:val="00D118F0"/>
    <w:rsid w:val="00D340F6"/>
    <w:rsid w:val="00D345E0"/>
    <w:rsid w:val="00D52E42"/>
    <w:rsid w:val="00DC2D93"/>
    <w:rsid w:val="00DE1E46"/>
    <w:rsid w:val="00DE4B6D"/>
    <w:rsid w:val="00DED5F5"/>
    <w:rsid w:val="00DF73ED"/>
    <w:rsid w:val="00E4491C"/>
    <w:rsid w:val="00E55190"/>
    <w:rsid w:val="00E934D6"/>
    <w:rsid w:val="00ED05C5"/>
    <w:rsid w:val="00ED1A95"/>
    <w:rsid w:val="00EF2D7B"/>
    <w:rsid w:val="00EF7D84"/>
    <w:rsid w:val="00F017D3"/>
    <w:rsid w:val="00F256F4"/>
    <w:rsid w:val="00F27B6F"/>
    <w:rsid w:val="00F40F20"/>
    <w:rsid w:val="00F44465"/>
    <w:rsid w:val="00F61311"/>
    <w:rsid w:val="00F67C26"/>
    <w:rsid w:val="010556E5"/>
    <w:rsid w:val="010B90D4"/>
    <w:rsid w:val="011BB5F8"/>
    <w:rsid w:val="012B7B3C"/>
    <w:rsid w:val="0152F567"/>
    <w:rsid w:val="015EE536"/>
    <w:rsid w:val="017E1542"/>
    <w:rsid w:val="0186C7BF"/>
    <w:rsid w:val="019BEB9C"/>
    <w:rsid w:val="019DEFD3"/>
    <w:rsid w:val="01A26F02"/>
    <w:rsid w:val="01A49DCE"/>
    <w:rsid w:val="01AAF34A"/>
    <w:rsid w:val="01B66E54"/>
    <w:rsid w:val="01C0285C"/>
    <w:rsid w:val="01C4FA3B"/>
    <w:rsid w:val="01CFFE0C"/>
    <w:rsid w:val="0218C7F4"/>
    <w:rsid w:val="02233694"/>
    <w:rsid w:val="022FA606"/>
    <w:rsid w:val="023DCCA9"/>
    <w:rsid w:val="02443502"/>
    <w:rsid w:val="025E7838"/>
    <w:rsid w:val="027CB699"/>
    <w:rsid w:val="02AAB121"/>
    <w:rsid w:val="02BB6BC5"/>
    <w:rsid w:val="02C05D7C"/>
    <w:rsid w:val="02EE1D8F"/>
    <w:rsid w:val="02EEC0CB"/>
    <w:rsid w:val="032B855D"/>
    <w:rsid w:val="033230CE"/>
    <w:rsid w:val="03418972"/>
    <w:rsid w:val="035DB5DC"/>
    <w:rsid w:val="035F9403"/>
    <w:rsid w:val="0365C2EA"/>
    <w:rsid w:val="0369EF5A"/>
    <w:rsid w:val="0370DA03"/>
    <w:rsid w:val="037FC23F"/>
    <w:rsid w:val="03A3037D"/>
    <w:rsid w:val="03C3E646"/>
    <w:rsid w:val="03E4D22C"/>
    <w:rsid w:val="040104D8"/>
    <w:rsid w:val="0405DCC8"/>
    <w:rsid w:val="041B2845"/>
    <w:rsid w:val="044064C2"/>
    <w:rsid w:val="044925FB"/>
    <w:rsid w:val="04674626"/>
    <w:rsid w:val="0467CB38"/>
    <w:rsid w:val="04697F7F"/>
    <w:rsid w:val="04737667"/>
    <w:rsid w:val="04772FA3"/>
    <w:rsid w:val="0486A018"/>
    <w:rsid w:val="0490ADD0"/>
    <w:rsid w:val="04922A2E"/>
    <w:rsid w:val="0498BC22"/>
    <w:rsid w:val="04A0AAD7"/>
    <w:rsid w:val="04B93593"/>
    <w:rsid w:val="04EC4E5B"/>
    <w:rsid w:val="051D6A84"/>
    <w:rsid w:val="0522754D"/>
    <w:rsid w:val="05231174"/>
    <w:rsid w:val="0533BB32"/>
    <w:rsid w:val="054C8EA5"/>
    <w:rsid w:val="0564D8E7"/>
    <w:rsid w:val="05692A26"/>
    <w:rsid w:val="0569FF94"/>
    <w:rsid w:val="058E260B"/>
    <w:rsid w:val="059CA399"/>
    <w:rsid w:val="05A1CC96"/>
    <w:rsid w:val="05B53370"/>
    <w:rsid w:val="05BCA592"/>
    <w:rsid w:val="05C48097"/>
    <w:rsid w:val="05E14F69"/>
    <w:rsid w:val="05E8C07D"/>
    <w:rsid w:val="05EDD975"/>
    <w:rsid w:val="06015304"/>
    <w:rsid w:val="062C60CA"/>
    <w:rsid w:val="062CD6C9"/>
    <w:rsid w:val="06487449"/>
    <w:rsid w:val="06570C54"/>
    <w:rsid w:val="0657999A"/>
    <w:rsid w:val="065A315F"/>
    <w:rsid w:val="065CC5B5"/>
    <w:rsid w:val="066F83C7"/>
    <w:rsid w:val="06713887"/>
    <w:rsid w:val="067C14AD"/>
    <w:rsid w:val="06826E75"/>
    <w:rsid w:val="06836630"/>
    <w:rsid w:val="069A92B5"/>
    <w:rsid w:val="06B83E5A"/>
    <w:rsid w:val="06D31BBB"/>
    <w:rsid w:val="06D58AE5"/>
    <w:rsid w:val="06D739C3"/>
    <w:rsid w:val="06E14699"/>
    <w:rsid w:val="06F721F9"/>
    <w:rsid w:val="07026A1E"/>
    <w:rsid w:val="070B37B4"/>
    <w:rsid w:val="07161131"/>
    <w:rsid w:val="071ED6FD"/>
    <w:rsid w:val="072309E5"/>
    <w:rsid w:val="072678E1"/>
    <w:rsid w:val="073354B3"/>
    <w:rsid w:val="075AFE0A"/>
    <w:rsid w:val="0769A28B"/>
    <w:rsid w:val="079048FC"/>
    <w:rsid w:val="079FB389"/>
    <w:rsid w:val="07A6A77F"/>
    <w:rsid w:val="07B3D02A"/>
    <w:rsid w:val="07BC6035"/>
    <w:rsid w:val="07BE7CAF"/>
    <w:rsid w:val="07C1075A"/>
    <w:rsid w:val="07C4EF08"/>
    <w:rsid w:val="07CDD9D8"/>
    <w:rsid w:val="0825F30F"/>
    <w:rsid w:val="08378C14"/>
    <w:rsid w:val="084B13DF"/>
    <w:rsid w:val="085FC794"/>
    <w:rsid w:val="087E4390"/>
    <w:rsid w:val="088B21DC"/>
    <w:rsid w:val="08BDFA9C"/>
    <w:rsid w:val="08D0E1BC"/>
    <w:rsid w:val="08D4C7E2"/>
    <w:rsid w:val="08F1856A"/>
    <w:rsid w:val="09198EE1"/>
    <w:rsid w:val="0925E330"/>
    <w:rsid w:val="093A2377"/>
    <w:rsid w:val="094D3251"/>
    <w:rsid w:val="094F8D99"/>
    <w:rsid w:val="095E2AC4"/>
    <w:rsid w:val="096498ED"/>
    <w:rsid w:val="09694968"/>
    <w:rsid w:val="09735484"/>
    <w:rsid w:val="09858DF8"/>
    <w:rsid w:val="098DE62C"/>
    <w:rsid w:val="0990881D"/>
    <w:rsid w:val="09AA3480"/>
    <w:rsid w:val="09AE64E8"/>
    <w:rsid w:val="09B8BC03"/>
    <w:rsid w:val="09CBA67B"/>
    <w:rsid w:val="09CDBC9B"/>
    <w:rsid w:val="09D7BEF8"/>
    <w:rsid w:val="09D89803"/>
    <w:rsid w:val="0A1D8991"/>
    <w:rsid w:val="0A2A4BC4"/>
    <w:rsid w:val="0A30E31D"/>
    <w:rsid w:val="0A351585"/>
    <w:rsid w:val="0A464F4E"/>
    <w:rsid w:val="0A4A478A"/>
    <w:rsid w:val="0A5167B1"/>
    <w:rsid w:val="0A61D09C"/>
    <w:rsid w:val="0A87BE7A"/>
    <w:rsid w:val="0A9548DB"/>
    <w:rsid w:val="0AA7FC8A"/>
    <w:rsid w:val="0AB5F6E3"/>
    <w:rsid w:val="0AC1ACD6"/>
    <w:rsid w:val="0AC7601C"/>
    <w:rsid w:val="0AD0A799"/>
    <w:rsid w:val="0AE05929"/>
    <w:rsid w:val="0AE158AA"/>
    <w:rsid w:val="0AEB405C"/>
    <w:rsid w:val="0AEFA2C8"/>
    <w:rsid w:val="0AF87894"/>
    <w:rsid w:val="0B068184"/>
    <w:rsid w:val="0B0B9468"/>
    <w:rsid w:val="0B107137"/>
    <w:rsid w:val="0B29DC45"/>
    <w:rsid w:val="0B39A368"/>
    <w:rsid w:val="0B5596EA"/>
    <w:rsid w:val="0B582F33"/>
    <w:rsid w:val="0BA19BF9"/>
    <w:rsid w:val="0BADB2BE"/>
    <w:rsid w:val="0BAE7449"/>
    <w:rsid w:val="0BC2B368"/>
    <w:rsid w:val="0BDCCE48"/>
    <w:rsid w:val="0BFC154E"/>
    <w:rsid w:val="0BFDD606"/>
    <w:rsid w:val="0C0257F5"/>
    <w:rsid w:val="0C14F017"/>
    <w:rsid w:val="0C1F2B4E"/>
    <w:rsid w:val="0C3FDF65"/>
    <w:rsid w:val="0C5774B1"/>
    <w:rsid w:val="0C5F03E4"/>
    <w:rsid w:val="0C758902"/>
    <w:rsid w:val="0C76ECA2"/>
    <w:rsid w:val="0C894933"/>
    <w:rsid w:val="0C925842"/>
    <w:rsid w:val="0C942907"/>
    <w:rsid w:val="0C9AB84E"/>
    <w:rsid w:val="0CA40F5C"/>
    <w:rsid w:val="0CC82BCA"/>
    <w:rsid w:val="0CDD16C0"/>
    <w:rsid w:val="0CEB2F5F"/>
    <w:rsid w:val="0CEF0E53"/>
    <w:rsid w:val="0D044BB9"/>
    <w:rsid w:val="0D0C6865"/>
    <w:rsid w:val="0D0D9F2C"/>
    <w:rsid w:val="0D1AC163"/>
    <w:rsid w:val="0D1FBBE3"/>
    <w:rsid w:val="0D2296AF"/>
    <w:rsid w:val="0D25DB28"/>
    <w:rsid w:val="0D654AA7"/>
    <w:rsid w:val="0D65F1F8"/>
    <w:rsid w:val="0D7D0679"/>
    <w:rsid w:val="0D802397"/>
    <w:rsid w:val="0D87595A"/>
    <w:rsid w:val="0D890728"/>
    <w:rsid w:val="0D913D80"/>
    <w:rsid w:val="0D9AC21D"/>
    <w:rsid w:val="0DBAD90C"/>
    <w:rsid w:val="0DCA1D8D"/>
    <w:rsid w:val="0DD48037"/>
    <w:rsid w:val="0DE2D884"/>
    <w:rsid w:val="0DE98539"/>
    <w:rsid w:val="0DF25A3D"/>
    <w:rsid w:val="0DF3DA19"/>
    <w:rsid w:val="0DFD53C2"/>
    <w:rsid w:val="0E055425"/>
    <w:rsid w:val="0E0F7725"/>
    <w:rsid w:val="0E263D72"/>
    <w:rsid w:val="0E267D8D"/>
    <w:rsid w:val="0E4366A7"/>
    <w:rsid w:val="0E4B38FA"/>
    <w:rsid w:val="0E50E1B1"/>
    <w:rsid w:val="0E759692"/>
    <w:rsid w:val="0E80E623"/>
    <w:rsid w:val="0E899521"/>
    <w:rsid w:val="0E9B6FAF"/>
    <w:rsid w:val="0EF01A36"/>
    <w:rsid w:val="0F290A66"/>
    <w:rsid w:val="0F4CDB61"/>
    <w:rsid w:val="0F55366B"/>
    <w:rsid w:val="0F74A5FE"/>
    <w:rsid w:val="0F8EC0FE"/>
    <w:rsid w:val="0F9FCC14"/>
    <w:rsid w:val="0FC421F3"/>
    <w:rsid w:val="0FDF5944"/>
    <w:rsid w:val="0FF050FA"/>
    <w:rsid w:val="101C088D"/>
    <w:rsid w:val="101D5385"/>
    <w:rsid w:val="1057DC72"/>
    <w:rsid w:val="105C02D2"/>
    <w:rsid w:val="105FA8F7"/>
    <w:rsid w:val="10712F06"/>
    <w:rsid w:val="107BAEF4"/>
    <w:rsid w:val="10905AE6"/>
    <w:rsid w:val="10AD9BFC"/>
    <w:rsid w:val="10B5408A"/>
    <w:rsid w:val="10BA5557"/>
    <w:rsid w:val="10D08C78"/>
    <w:rsid w:val="10D98687"/>
    <w:rsid w:val="10DE985C"/>
    <w:rsid w:val="10E1B3AE"/>
    <w:rsid w:val="10E9E520"/>
    <w:rsid w:val="10F22971"/>
    <w:rsid w:val="11025123"/>
    <w:rsid w:val="110D1077"/>
    <w:rsid w:val="111303FE"/>
    <w:rsid w:val="111747B3"/>
    <w:rsid w:val="111A2677"/>
    <w:rsid w:val="112E2D45"/>
    <w:rsid w:val="112FA2F8"/>
    <w:rsid w:val="113A6E53"/>
    <w:rsid w:val="113B45A8"/>
    <w:rsid w:val="1145F252"/>
    <w:rsid w:val="114903E2"/>
    <w:rsid w:val="115097A5"/>
    <w:rsid w:val="1155360F"/>
    <w:rsid w:val="115BD329"/>
    <w:rsid w:val="1169111B"/>
    <w:rsid w:val="116CC148"/>
    <w:rsid w:val="11712989"/>
    <w:rsid w:val="11864B85"/>
    <w:rsid w:val="11900409"/>
    <w:rsid w:val="1194F3A1"/>
    <w:rsid w:val="11A04E38"/>
    <w:rsid w:val="11B31139"/>
    <w:rsid w:val="11BED917"/>
    <w:rsid w:val="11CC24D4"/>
    <w:rsid w:val="11DDF26B"/>
    <w:rsid w:val="1202AE4A"/>
    <w:rsid w:val="1217758C"/>
    <w:rsid w:val="1220C0FA"/>
    <w:rsid w:val="1239559A"/>
    <w:rsid w:val="1239F9CE"/>
    <w:rsid w:val="123F1FDA"/>
    <w:rsid w:val="1242DCE7"/>
    <w:rsid w:val="124FAD6E"/>
    <w:rsid w:val="1256CD96"/>
    <w:rsid w:val="1262C96A"/>
    <w:rsid w:val="126959BF"/>
    <w:rsid w:val="127BDC2A"/>
    <w:rsid w:val="127E139E"/>
    <w:rsid w:val="1286E700"/>
    <w:rsid w:val="12988871"/>
    <w:rsid w:val="1299E3AE"/>
    <w:rsid w:val="129DEF61"/>
    <w:rsid w:val="12A8EB55"/>
    <w:rsid w:val="12C686A3"/>
    <w:rsid w:val="12F2C65B"/>
    <w:rsid w:val="132C53FB"/>
    <w:rsid w:val="1332B37B"/>
    <w:rsid w:val="135579C4"/>
    <w:rsid w:val="135A9A0A"/>
    <w:rsid w:val="13685D3E"/>
    <w:rsid w:val="136C1634"/>
    <w:rsid w:val="13778F08"/>
    <w:rsid w:val="137B6603"/>
    <w:rsid w:val="137DFB0A"/>
    <w:rsid w:val="1391C541"/>
    <w:rsid w:val="13A37FAF"/>
    <w:rsid w:val="13B6E84A"/>
    <w:rsid w:val="13B94FFF"/>
    <w:rsid w:val="13C41D76"/>
    <w:rsid w:val="13F7D299"/>
    <w:rsid w:val="14027622"/>
    <w:rsid w:val="1405BD32"/>
    <w:rsid w:val="1413222D"/>
    <w:rsid w:val="14183727"/>
    <w:rsid w:val="1426C3AF"/>
    <w:rsid w:val="142B31CB"/>
    <w:rsid w:val="143D17F3"/>
    <w:rsid w:val="143DC0C2"/>
    <w:rsid w:val="144E2B5C"/>
    <w:rsid w:val="14577102"/>
    <w:rsid w:val="145967CB"/>
    <w:rsid w:val="1493A4DA"/>
    <w:rsid w:val="149967DC"/>
    <w:rsid w:val="149F302B"/>
    <w:rsid w:val="14B0C4A7"/>
    <w:rsid w:val="14BAEA7D"/>
    <w:rsid w:val="14C240C8"/>
    <w:rsid w:val="14E17B61"/>
    <w:rsid w:val="14EE5224"/>
    <w:rsid w:val="14F5645B"/>
    <w:rsid w:val="150E5C2C"/>
    <w:rsid w:val="15168556"/>
    <w:rsid w:val="15282007"/>
    <w:rsid w:val="15290551"/>
    <w:rsid w:val="152C1CAA"/>
    <w:rsid w:val="1535A05E"/>
    <w:rsid w:val="1538D1AF"/>
    <w:rsid w:val="1545AD96"/>
    <w:rsid w:val="154D3DD9"/>
    <w:rsid w:val="15583C7B"/>
    <w:rsid w:val="156C084D"/>
    <w:rsid w:val="156F7D37"/>
    <w:rsid w:val="15834946"/>
    <w:rsid w:val="158A82F5"/>
    <w:rsid w:val="158B0E5F"/>
    <w:rsid w:val="15926851"/>
    <w:rsid w:val="15956300"/>
    <w:rsid w:val="15968935"/>
    <w:rsid w:val="15D5445C"/>
    <w:rsid w:val="15E9A4F0"/>
    <w:rsid w:val="1602DA16"/>
    <w:rsid w:val="160CC8D6"/>
    <w:rsid w:val="162D6CD3"/>
    <w:rsid w:val="16353A9F"/>
    <w:rsid w:val="16533D11"/>
    <w:rsid w:val="16545C07"/>
    <w:rsid w:val="16679C9A"/>
    <w:rsid w:val="166C50EF"/>
    <w:rsid w:val="1681D6AA"/>
    <w:rsid w:val="1683F811"/>
    <w:rsid w:val="168B7620"/>
    <w:rsid w:val="168DA374"/>
    <w:rsid w:val="16932366"/>
    <w:rsid w:val="1699C189"/>
    <w:rsid w:val="16BD15FB"/>
    <w:rsid w:val="16C1E545"/>
    <w:rsid w:val="16DAA51F"/>
    <w:rsid w:val="16EC5D55"/>
    <w:rsid w:val="17114051"/>
    <w:rsid w:val="172B5334"/>
    <w:rsid w:val="17388AC4"/>
    <w:rsid w:val="173ED5A6"/>
    <w:rsid w:val="1761F943"/>
    <w:rsid w:val="177CF0EA"/>
    <w:rsid w:val="1785A98D"/>
    <w:rsid w:val="178EE90D"/>
    <w:rsid w:val="17A72240"/>
    <w:rsid w:val="17B228E0"/>
    <w:rsid w:val="17BB8E96"/>
    <w:rsid w:val="17CE2F54"/>
    <w:rsid w:val="17D5A98C"/>
    <w:rsid w:val="17DF3511"/>
    <w:rsid w:val="17E6885D"/>
    <w:rsid w:val="17F175B6"/>
    <w:rsid w:val="17FFFC0C"/>
    <w:rsid w:val="18142A1F"/>
    <w:rsid w:val="181AF9FE"/>
    <w:rsid w:val="182A457F"/>
    <w:rsid w:val="183413B5"/>
    <w:rsid w:val="184AEF6F"/>
    <w:rsid w:val="1865AD78"/>
    <w:rsid w:val="18660F58"/>
    <w:rsid w:val="1887AE7E"/>
    <w:rsid w:val="188E8B0A"/>
    <w:rsid w:val="1893926E"/>
    <w:rsid w:val="189409ED"/>
    <w:rsid w:val="18A35E46"/>
    <w:rsid w:val="18C3BD32"/>
    <w:rsid w:val="18EA2C61"/>
    <w:rsid w:val="18EE3C37"/>
    <w:rsid w:val="1903A02A"/>
    <w:rsid w:val="1903EB2C"/>
    <w:rsid w:val="190E8F6F"/>
    <w:rsid w:val="193917F6"/>
    <w:rsid w:val="193B2995"/>
    <w:rsid w:val="193BF364"/>
    <w:rsid w:val="1943A424"/>
    <w:rsid w:val="196A29EF"/>
    <w:rsid w:val="1977EA81"/>
    <w:rsid w:val="198B9E75"/>
    <w:rsid w:val="199CEC1A"/>
    <w:rsid w:val="19B0D7A2"/>
    <w:rsid w:val="19B14214"/>
    <w:rsid w:val="19B8EEFD"/>
    <w:rsid w:val="19BDA83A"/>
    <w:rsid w:val="19C6A939"/>
    <w:rsid w:val="19DA1FC9"/>
    <w:rsid w:val="19DB56C0"/>
    <w:rsid w:val="1A042D6C"/>
    <w:rsid w:val="1A0607E8"/>
    <w:rsid w:val="1A0644F4"/>
    <w:rsid w:val="1A241B70"/>
    <w:rsid w:val="1A2D7679"/>
    <w:rsid w:val="1A3290A5"/>
    <w:rsid w:val="1A32C7DC"/>
    <w:rsid w:val="1A3A21E5"/>
    <w:rsid w:val="1A5BE2EF"/>
    <w:rsid w:val="1A5FBACB"/>
    <w:rsid w:val="1A833C7E"/>
    <w:rsid w:val="1A9FB328"/>
    <w:rsid w:val="1AA48053"/>
    <w:rsid w:val="1AB4F1ED"/>
    <w:rsid w:val="1ABD181E"/>
    <w:rsid w:val="1ACA85E3"/>
    <w:rsid w:val="1AF7DABA"/>
    <w:rsid w:val="1B0A60B8"/>
    <w:rsid w:val="1B2650BA"/>
    <w:rsid w:val="1B26E331"/>
    <w:rsid w:val="1B285A6F"/>
    <w:rsid w:val="1B3DF8FA"/>
    <w:rsid w:val="1B437893"/>
    <w:rsid w:val="1B4A5FFE"/>
    <w:rsid w:val="1B6B07D7"/>
    <w:rsid w:val="1B6E5D31"/>
    <w:rsid w:val="1B931DA2"/>
    <w:rsid w:val="1BC10F77"/>
    <w:rsid w:val="1BC3C347"/>
    <w:rsid w:val="1BC76301"/>
    <w:rsid w:val="1C1A64B7"/>
    <w:rsid w:val="1C1DE920"/>
    <w:rsid w:val="1C1E4D52"/>
    <w:rsid w:val="1C23F432"/>
    <w:rsid w:val="1C2C0521"/>
    <w:rsid w:val="1C37ABEB"/>
    <w:rsid w:val="1C4A7068"/>
    <w:rsid w:val="1C52320F"/>
    <w:rsid w:val="1C601E80"/>
    <w:rsid w:val="1C6AC53B"/>
    <w:rsid w:val="1C7C8376"/>
    <w:rsid w:val="1C7E4CD8"/>
    <w:rsid w:val="1C943E7D"/>
    <w:rsid w:val="1CA2F274"/>
    <w:rsid w:val="1CA37C61"/>
    <w:rsid w:val="1CA50B66"/>
    <w:rsid w:val="1CADB678"/>
    <w:rsid w:val="1CD94888"/>
    <w:rsid w:val="1CDB4A93"/>
    <w:rsid w:val="1CDC19E8"/>
    <w:rsid w:val="1CE60907"/>
    <w:rsid w:val="1CEAF5C1"/>
    <w:rsid w:val="1CEF6E5C"/>
    <w:rsid w:val="1CFA4512"/>
    <w:rsid w:val="1CFC256B"/>
    <w:rsid w:val="1CFD5775"/>
    <w:rsid w:val="1CFD5FF1"/>
    <w:rsid w:val="1D0F64FB"/>
    <w:rsid w:val="1D1585F2"/>
    <w:rsid w:val="1D19B1A0"/>
    <w:rsid w:val="1D1D49CB"/>
    <w:rsid w:val="1D3A4AD3"/>
    <w:rsid w:val="1D545FFE"/>
    <w:rsid w:val="1D5E7BD1"/>
    <w:rsid w:val="1D64B5CF"/>
    <w:rsid w:val="1D6A36D8"/>
    <w:rsid w:val="1D7B0B70"/>
    <w:rsid w:val="1D7EEF3B"/>
    <w:rsid w:val="1D8C417A"/>
    <w:rsid w:val="1D9221A1"/>
    <w:rsid w:val="1D9366E3"/>
    <w:rsid w:val="1D9AB998"/>
    <w:rsid w:val="1D9D7B99"/>
    <w:rsid w:val="1DB4A0AB"/>
    <w:rsid w:val="1DD81566"/>
    <w:rsid w:val="1DE069C3"/>
    <w:rsid w:val="1E08784C"/>
    <w:rsid w:val="1E11E1B7"/>
    <w:rsid w:val="1E144425"/>
    <w:rsid w:val="1E18571B"/>
    <w:rsid w:val="1E30A9FA"/>
    <w:rsid w:val="1E3E1E26"/>
    <w:rsid w:val="1E41E251"/>
    <w:rsid w:val="1E451D0E"/>
    <w:rsid w:val="1E592094"/>
    <w:rsid w:val="1E67D94D"/>
    <w:rsid w:val="1E702222"/>
    <w:rsid w:val="1E804EB8"/>
    <w:rsid w:val="1E82223B"/>
    <w:rsid w:val="1EAE8E8D"/>
    <w:rsid w:val="1EB06C5E"/>
    <w:rsid w:val="1EB2DB5B"/>
    <w:rsid w:val="1EC45015"/>
    <w:rsid w:val="1EC5C823"/>
    <w:rsid w:val="1ECFC9AF"/>
    <w:rsid w:val="1ED4B517"/>
    <w:rsid w:val="1EEAECCB"/>
    <w:rsid w:val="1EF7041B"/>
    <w:rsid w:val="1EFA4B6A"/>
    <w:rsid w:val="1F134BC5"/>
    <w:rsid w:val="1F2214BB"/>
    <w:rsid w:val="1F61D088"/>
    <w:rsid w:val="1F7D2875"/>
    <w:rsid w:val="1F8DA3F0"/>
    <w:rsid w:val="1F9533B7"/>
    <w:rsid w:val="1F9B450B"/>
    <w:rsid w:val="1FAF3D05"/>
    <w:rsid w:val="1FB5E5CF"/>
    <w:rsid w:val="1FB8884C"/>
    <w:rsid w:val="1FCF3C11"/>
    <w:rsid w:val="1FE36062"/>
    <w:rsid w:val="2010F4FA"/>
    <w:rsid w:val="20222382"/>
    <w:rsid w:val="20422F61"/>
    <w:rsid w:val="204BC996"/>
    <w:rsid w:val="205484B7"/>
    <w:rsid w:val="206BFCAC"/>
    <w:rsid w:val="20720716"/>
    <w:rsid w:val="20978CAF"/>
    <w:rsid w:val="20AB75F1"/>
    <w:rsid w:val="20B30DA8"/>
    <w:rsid w:val="20C13BA5"/>
    <w:rsid w:val="20C16DEA"/>
    <w:rsid w:val="20C32DDF"/>
    <w:rsid w:val="20CFCCBB"/>
    <w:rsid w:val="20E323CF"/>
    <w:rsid w:val="20EF54E2"/>
    <w:rsid w:val="20F28320"/>
    <w:rsid w:val="20F5DEEB"/>
    <w:rsid w:val="213A4C40"/>
    <w:rsid w:val="213F63FC"/>
    <w:rsid w:val="214B73B7"/>
    <w:rsid w:val="2173465E"/>
    <w:rsid w:val="2178FF11"/>
    <w:rsid w:val="2189936E"/>
    <w:rsid w:val="218D0649"/>
    <w:rsid w:val="21B70A6B"/>
    <w:rsid w:val="21B70D64"/>
    <w:rsid w:val="21BCD578"/>
    <w:rsid w:val="21BEEC30"/>
    <w:rsid w:val="21C443CA"/>
    <w:rsid w:val="21D363CC"/>
    <w:rsid w:val="21EF5F3C"/>
    <w:rsid w:val="2205A00D"/>
    <w:rsid w:val="22082231"/>
    <w:rsid w:val="225C622C"/>
    <w:rsid w:val="2260266D"/>
    <w:rsid w:val="2267B44C"/>
    <w:rsid w:val="226B4328"/>
    <w:rsid w:val="228C8B06"/>
    <w:rsid w:val="22A48199"/>
    <w:rsid w:val="22B898A9"/>
    <w:rsid w:val="22C0D994"/>
    <w:rsid w:val="22C7217C"/>
    <w:rsid w:val="22C75198"/>
    <w:rsid w:val="22D82D2B"/>
    <w:rsid w:val="22D8D937"/>
    <w:rsid w:val="22F8B1F9"/>
    <w:rsid w:val="2303037F"/>
    <w:rsid w:val="230CD85C"/>
    <w:rsid w:val="232FA8EA"/>
    <w:rsid w:val="236067BB"/>
    <w:rsid w:val="2373AC2C"/>
    <w:rsid w:val="2374D0CD"/>
    <w:rsid w:val="237CB0DC"/>
    <w:rsid w:val="238F0A77"/>
    <w:rsid w:val="2392845B"/>
    <w:rsid w:val="23A506C7"/>
    <w:rsid w:val="23A6859D"/>
    <w:rsid w:val="23ABA9DF"/>
    <w:rsid w:val="23B28D5C"/>
    <w:rsid w:val="23B62BDB"/>
    <w:rsid w:val="23C099AC"/>
    <w:rsid w:val="23DE5C1F"/>
    <w:rsid w:val="23DE5FE9"/>
    <w:rsid w:val="23E71B53"/>
    <w:rsid w:val="23E784A7"/>
    <w:rsid w:val="23EFC20B"/>
    <w:rsid w:val="23F088CD"/>
    <w:rsid w:val="2407EF94"/>
    <w:rsid w:val="2418BC86"/>
    <w:rsid w:val="241D17A8"/>
    <w:rsid w:val="241DB412"/>
    <w:rsid w:val="245562D8"/>
    <w:rsid w:val="2463FF49"/>
    <w:rsid w:val="247B20E2"/>
    <w:rsid w:val="248AF9EA"/>
    <w:rsid w:val="24994314"/>
    <w:rsid w:val="24BE7930"/>
    <w:rsid w:val="24C9616E"/>
    <w:rsid w:val="24D5D4AB"/>
    <w:rsid w:val="24E1D8B1"/>
    <w:rsid w:val="24F8B538"/>
    <w:rsid w:val="24FF98F9"/>
    <w:rsid w:val="25248122"/>
    <w:rsid w:val="2525ED61"/>
    <w:rsid w:val="25270E2E"/>
    <w:rsid w:val="252E7031"/>
    <w:rsid w:val="25338742"/>
    <w:rsid w:val="25364DD5"/>
    <w:rsid w:val="256A48E1"/>
    <w:rsid w:val="2585E710"/>
    <w:rsid w:val="25873D06"/>
    <w:rsid w:val="2591490F"/>
    <w:rsid w:val="25B293AE"/>
    <w:rsid w:val="25D3C07D"/>
    <w:rsid w:val="25DB5CDB"/>
    <w:rsid w:val="25E27CDA"/>
    <w:rsid w:val="25E7A9E8"/>
    <w:rsid w:val="25EB8A60"/>
    <w:rsid w:val="25F9E912"/>
    <w:rsid w:val="2628E116"/>
    <w:rsid w:val="26468B43"/>
    <w:rsid w:val="2650FBF7"/>
    <w:rsid w:val="26517CED"/>
    <w:rsid w:val="2652BCE3"/>
    <w:rsid w:val="2659BC89"/>
    <w:rsid w:val="266676B1"/>
    <w:rsid w:val="26675D6D"/>
    <w:rsid w:val="266FCBB0"/>
    <w:rsid w:val="26783E46"/>
    <w:rsid w:val="267A3A4D"/>
    <w:rsid w:val="268842FC"/>
    <w:rsid w:val="26955188"/>
    <w:rsid w:val="26A2C973"/>
    <w:rsid w:val="26AC3B18"/>
    <w:rsid w:val="26AF0E4A"/>
    <w:rsid w:val="26B116E9"/>
    <w:rsid w:val="26E233A1"/>
    <w:rsid w:val="26E50454"/>
    <w:rsid w:val="26E6FE39"/>
    <w:rsid w:val="2704D73A"/>
    <w:rsid w:val="270B8449"/>
    <w:rsid w:val="271FD814"/>
    <w:rsid w:val="272A8DA4"/>
    <w:rsid w:val="272DC3F0"/>
    <w:rsid w:val="272F66F4"/>
    <w:rsid w:val="273B32D6"/>
    <w:rsid w:val="2743DF37"/>
    <w:rsid w:val="2755AFB4"/>
    <w:rsid w:val="27592AFB"/>
    <w:rsid w:val="2762F976"/>
    <w:rsid w:val="277FAF88"/>
    <w:rsid w:val="27818BA7"/>
    <w:rsid w:val="278B6833"/>
    <w:rsid w:val="27B71990"/>
    <w:rsid w:val="27E1928B"/>
    <w:rsid w:val="27ED89E1"/>
    <w:rsid w:val="28151813"/>
    <w:rsid w:val="28169471"/>
    <w:rsid w:val="2820A56B"/>
    <w:rsid w:val="2833BEAD"/>
    <w:rsid w:val="285DB37D"/>
    <w:rsid w:val="2860AF79"/>
    <w:rsid w:val="286CF683"/>
    <w:rsid w:val="2894C9A8"/>
    <w:rsid w:val="28A0FB8C"/>
    <w:rsid w:val="28ADC2A2"/>
    <w:rsid w:val="28BD6F4D"/>
    <w:rsid w:val="28C7376C"/>
    <w:rsid w:val="28C946E8"/>
    <w:rsid w:val="28CF3D92"/>
    <w:rsid w:val="28D69FBA"/>
    <w:rsid w:val="28E7B623"/>
    <w:rsid w:val="28E99FC0"/>
    <w:rsid w:val="28EAC8A4"/>
    <w:rsid w:val="28F20D68"/>
    <w:rsid w:val="2907310C"/>
    <w:rsid w:val="290CB3F3"/>
    <w:rsid w:val="2911D3A4"/>
    <w:rsid w:val="2912E405"/>
    <w:rsid w:val="2920BFA9"/>
    <w:rsid w:val="29299F59"/>
    <w:rsid w:val="2945ABDC"/>
    <w:rsid w:val="29494EE7"/>
    <w:rsid w:val="29499044"/>
    <w:rsid w:val="294C53BD"/>
    <w:rsid w:val="29583599"/>
    <w:rsid w:val="296F9328"/>
    <w:rsid w:val="29761624"/>
    <w:rsid w:val="297B11E5"/>
    <w:rsid w:val="2981356F"/>
    <w:rsid w:val="29A52513"/>
    <w:rsid w:val="29AFCA97"/>
    <w:rsid w:val="29BC5CD7"/>
    <w:rsid w:val="29C00590"/>
    <w:rsid w:val="29C038CA"/>
    <w:rsid w:val="29D5E7E3"/>
    <w:rsid w:val="29FC827E"/>
    <w:rsid w:val="29FCFF42"/>
    <w:rsid w:val="2A07DEA6"/>
    <w:rsid w:val="2A11FE57"/>
    <w:rsid w:val="2A1D2468"/>
    <w:rsid w:val="2A25EB0D"/>
    <w:rsid w:val="2A5A0775"/>
    <w:rsid w:val="2A5DB413"/>
    <w:rsid w:val="2A623DAA"/>
    <w:rsid w:val="2A677F3D"/>
    <w:rsid w:val="2A767BB3"/>
    <w:rsid w:val="2A791E75"/>
    <w:rsid w:val="2AA0E6F1"/>
    <w:rsid w:val="2AA1AFDB"/>
    <w:rsid w:val="2AA20777"/>
    <w:rsid w:val="2ABAFBF7"/>
    <w:rsid w:val="2ABB47F0"/>
    <w:rsid w:val="2AC2BA18"/>
    <w:rsid w:val="2ACB7F94"/>
    <w:rsid w:val="2AE4BAB1"/>
    <w:rsid w:val="2AF3DF33"/>
    <w:rsid w:val="2AFC137E"/>
    <w:rsid w:val="2B0125F7"/>
    <w:rsid w:val="2B18E90B"/>
    <w:rsid w:val="2B414250"/>
    <w:rsid w:val="2B43EA81"/>
    <w:rsid w:val="2B48DEDE"/>
    <w:rsid w:val="2B54A7F3"/>
    <w:rsid w:val="2B7543FF"/>
    <w:rsid w:val="2B7C1349"/>
    <w:rsid w:val="2B843D73"/>
    <w:rsid w:val="2B8C5217"/>
    <w:rsid w:val="2B9E2C74"/>
    <w:rsid w:val="2BA04FEC"/>
    <w:rsid w:val="2BA5769F"/>
    <w:rsid w:val="2BDDC010"/>
    <w:rsid w:val="2BEDC303"/>
    <w:rsid w:val="2C0C51D9"/>
    <w:rsid w:val="2C26DD9F"/>
    <w:rsid w:val="2C40CCE8"/>
    <w:rsid w:val="2C4199A8"/>
    <w:rsid w:val="2C4FE246"/>
    <w:rsid w:val="2C713A12"/>
    <w:rsid w:val="2C863022"/>
    <w:rsid w:val="2C8CE4FE"/>
    <w:rsid w:val="2C8F833E"/>
    <w:rsid w:val="2CAF029F"/>
    <w:rsid w:val="2CB7230E"/>
    <w:rsid w:val="2CCD0A89"/>
    <w:rsid w:val="2CFAA751"/>
    <w:rsid w:val="2D0934E4"/>
    <w:rsid w:val="2D13DBC3"/>
    <w:rsid w:val="2D2F4057"/>
    <w:rsid w:val="2D3151EB"/>
    <w:rsid w:val="2D336483"/>
    <w:rsid w:val="2D3A6CB3"/>
    <w:rsid w:val="2D3FCC98"/>
    <w:rsid w:val="2D5088DF"/>
    <w:rsid w:val="2D520987"/>
    <w:rsid w:val="2D5E0E51"/>
    <w:rsid w:val="2D5E23D0"/>
    <w:rsid w:val="2D6602EA"/>
    <w:rsid w:val="2DA9867C"/>
    <w:rsid w:val="2DA9915E"/>
    <w:rsid w:val="2DD26A73"/>
    <w:rsid w:val="2DDBB31B"/>
    <w:rsid w:val="2DF62272"/>
    <w:rsid w:val="2DF9DBBD"/>
    <w:rsid w:val="2DFB22F4"/>
    <w:rsid w:val="2DFFED8B"/>
    <w:rsid w:val="2E0CD162"/>
    <w:rsid w:val="2E13082B"/>
    <w:rsid w:val="2E30DD4E"/>
    <w:rsid w:val="2E3C89A2"/>
    <w:rsid w:val="2E427032"/>
    <w:rsid w:val="2E4296B0"/>
    <w:rsid w:val="2E740577"/>
    <w:rsid w:val="2E8444E3"/>
    <w:rsid w:val="2E871077"/>
    <w:rsid w:val="2E93BD92"/>
    <w:rsid w:val="2EAA97C9"/>
    <w:rsid w:val="2EAC6B5E"/>
    <w:rsid w:val="2EB732A3"/>
    <w:rsid w:val="2EB97349"/>
    <w:rsid w:val="2EC8D761"/>
    <w:rsid w:val="2ED7ADBA"/>
    <w:rsid w:val="2EF38A59"/>
    <w:rsid w:val="2F131D22"/>
    <w:rsid w:val="2F25388B"/>
    <w:rsid w:val="2F356B13"/>
    <w:rsid w:val="2F377909"/>
    <w:rsid w:val="2F48FB52"/>
    <w:rsid w:val="2F4E0763"/>
    <w:rsid w:val="2F57D909"/>
    <w:rsid w:val="2F5BB821"/>
    <w:rsid w:val="2F619498"/>
    <w:rsid w:val="2F6501B6"/>
    <w:rsid w:val="2F692C6E"/>
    <w:rsid w:val="2F6A7AF9"/>
    <w:rsid w:val="2F762953"/>
    <w:rsid w:val="2F8B06DC"/>
    <w:rsid w:val="2F8DD21C"/>
    <w:rsid w:val="2FA95B95"/>
    <w:rsid w:val="2FAB281E"/>
    <w:rsid w:val="2FBE0680"/>
    <w:rsid w:val="2FCBB755"/>
    <w:rsid w:val="2FD4B2BA"/>
    <w:rsid w:val="2FE2963F"/>
    <w:rsid w:val="301FCA02"/>
    <w:rsid w:val="302ED2BD"/>
    <w:rsid w:val="30331E8B"/>
    <w:rsid w:val="3036AA34"/>
    <w:rsid w:val="3091649D"/>
    <w:rsid w:val="3092802A"/>
    <w:rsid w:val="30A6788B"/>
    <w:rsid w:val="30A87C7E"/>
    <w:rsid w:val="30ABFA7F"/>
    <w:rsid w:val="30B55A9D"/>
    <w:rsid w:val="30C461A6"/>
    <w:rsid w:val="30C76817"/>
    <w:rsid w:val="310252EC"/>
    <w:rsid w:val="3112F2B9"/>
    <w:rsid w:val="312DAE8F"/>
    <w:rsid w:val="313B3672"/>
    <w:rsid w:val="313B6A10"/>
    <w:rsid w:val="315A289F"/>
    <w:rsid w:val="3163404D"/>
    <w:rsid w:val="3163FCD3"/>
    <w:rsid w:val="3176A51B"/>
    <w:rsid w:val="317DFFC3"/>
    <w:rsid w:val="3189CE80"/>
    <w:rsid w:val="31A38EAB"/>
    <w:rsid w:val="31C930D5"/>
    <w:rsid w:val="31D3E672"/>
    <w:rsid w:val="31F77AA5"/>
    <w:rsid w:val="3206837E"/>
    <w:rsid w:val="321032DF"/>
    <w:rsid w:val="322F4BA5"/>
    <w:rsid w:val="3234EB02"/>
    <w:rsid w:val="3236B88C"/>
    <w:rsid w:val="324156E4"/>
    <w:rsid w:val="3243DB55"/>
    <w:rsid w:val="32450832"/>
    <w:rsid w:val="32497852"/>
    <w:rsid w:val="325B9992"/>
    <w:rsid w:val="326C1859"/>
    <w:rsid w:val="326E7DBE"/>
    <w:rsid w:val="3272D54F"/>
    <w:rsid w:val="329D6F01"/>
    <w:rsid w:val="32A4599A"/>
    <w:rsid w:val="32ADF1A8"/>
    <w:rsid w:val="32BC2D1E"/>
    <w:rsid w:val="32D58BDD"/>
    <w:rsid w:val="32D64E68"/>
    <w:rsid w:val="32DDEDDB"/>
    <w:rsid w:val="32E5AE00"/>
    <w:rsid w:val="32E8BF8D"/>
    <w:rsid w:val="32F94877"/>
    <w:rsid w:val="32F9EA96"/>
    <w:rsid w:val="332406C8"/>
    <w:rsid w:val="334FA7E9"/>
    <w:rsid w:val="33658087"/>
    <w:rsid w:val="336B7078"/>
    <w:rsid w:val="336D5618"/>
    <w:rsid w:val="3374870D"/>
    <w:rsid w:val="337B8B47"/>
    <w:rsid w:val="337D1539"/>
    <w:rsid w:val="338A1008"/>
    <w:rsid w:val="338D20DE"/>
    <w:rsid w:val="33913B19"/>
    <w:rsid w:val="33921509"/>
    <w:rsid w:val="33A48700"/>
    <w:rsid w:val="33A69F1E"/>
    <w:rsid w:val="33AED1C5"/>
    <w:rsid w:val="33C6D0E7"/>
    <w:rsid w:val="33CC0F29"/>
    <w:rsid w:val="33D66506"/>
    <w:rsid w:val="33E4E38B"/>
    <w:rsid w:val="33F9495C"/>
    <w:rsid w:val="34149EE0"/>
    <w:rsid w:val="341AD0FE"/>
    <w:rsid w:val="341BCAFC"/>
    <w:rsid w:val="342DD2D5"/>
    <w:rsid w:val="34562487"/>
    <w:rsid w:val="346E8980"/>
    <w:rsid w:val="3478B025"/>
    <w:rsid w:val="347D2C4D"/>
    <w:rsid w:val="3486F5A4"/>
    <w:rsid w:val="34983AAC"/>
    <w:rsid w:val="34A68EF3"/>
    <w:rsid w:val="34C6D019"/>
    <w:rsid w:val="34C78940"/>
    <w:rsid w:val="352C342B"/>
    <w:rsid w:val="3531E830"/>
    <w:rsid w:val="3534520F"/>
    <w:rsid w:val="3534F110"/>
    <w:rsid w:val="35458AC8"/>
    <w:rsid w:val="354AEB24"/>
    <w:rsid w:val="3550F290"/>
    <w:rsid w:val="355492DE"/>
    <w:rsid w:val="35563431"/>
    <w:rsid w:val="355C9892"/>
    <w:rsid w:val="3572BC9B"/>
    <w:rsid w:val="3572D949"/>
    <w:rsid w:val="357CA361"/>
    <w:rsid w:val="357D2CF0"/>
    <w:rsid w:val="3580F872"/>
    <w:rsid w:val="35878248"/>
    <w:rsid w:val="35C10553"/>
    <w:rsid w:val="35C30200"/>
    <w:rsid w:val="35C32C5A"/>
    <w:rsid w:val="35CF93E9"/>
    <w:rsid w:val="35D18E0E"/>
    <w:rsid w:val="35DF4AE9"/>
    <w:rsid w:val="35F45360"/>
    <w:rsid w:val="360C47BF"/>
    <w:rsid w:val="361AE048"/>
    <w:rsid w:val="361C8421"/>
    <w:rsid w:val="3629C125"/>
    <w:rsid w:val="363C0F52"/>
    <w:rsid w:val="3655C722"/>
    <w:rsid w:val="3662A8CD"/>
    <w:rsid w:val="366CF52F"/>
    <w:rsid w:val="36740B41"/>
    <w:rsid w:val="367E35FD"/>
    <w:rsid w:val="367F908D"/>
    <w:rsid w:val="368098DB"/>
    <w:rsid w:val="36844E75"/>
    <w:rsid w:val="36A69B6D"/>
    <w:rsid w:val="36C16A5C"/>
    <w:rsid w:val="36C19A23"/>
    <w:rsid w:val="36D6EE1B"/>
    <w:rsid w:val="36D94C33"/>
    <w:rsid w:val="36E46A3B"/>
    <w:rsid w:val="36EF783B"/>
    <w:rsid w:val="370772E1"/>
    <w:rsid w:val="37103C3F"/>
    <w:rsid w:val="3712A89F"/>
    <w:rsid w:val="37215367"/>
    <w:rsid w:val="3724146B"/>
    <w:rsid w:val="3725A261"/>
    <w:rsid w:val="37292A7B"/>
    <w:rsid w:val="37320D30"/>
    <w:rsid w:val="37330C0D"/>
    <w:rsid w:val="3747B50A"/>
    <w:rsid w:val="3763B257"/>
    <w:rsid w:val="3775EF5F"/>
    <w:rsid w:val="377859CF"/>
    <w:rsid w:val="37788FE7"/>
    <w:rsid w:val="3790D508"/>
    <w:rsid w:val="379AE8BA"/>
    <w:rsid w:val="379AF21C"/>
    <w:rsid w:val="379F9627"/>
    <w:rsid w:val="37A331F4"/>
    <w:rsid w:val="37A4FA22"/>
    <w:rsid w:val="37CA6C49"/>
    <w:rsid w:val="37ED0F20"/>
    <w:rsid w:val="37EEA603"/>
    <w:rsid w:val="37FBD922"/>
    <w:rsid w:val="382549E8"/>
    <w:rsid w:val="3845101C"/>
    <w:rsid w:val="38476BEB"/>
    <w:rsid w:val="385EC148"/>
    <w:rsid w:val="387BEB82"/>
    <w:rsid w:val="387E4F0C"/>
    <w:rsid w:val="3882719B"/>
    <w:rsid w:val="38A57B14"/>
    <w:rsid w:val="38BCF06C"/>
    <w:rsid w:val="38BE2193"/>
    <w:rsid w:val="38C41302"/>
    <w:rsid w:val="38C79279"/>
    <w:rsid w:val="38CB5011"/>
    <w:rsid w:val="38CE2074"/>
    <w:rsid w:val="38D81D07"/>
    <w:rsid w:val="38D9EEA1"/>
    <w:rsid w:val="38DFFB09"/>
    <w:rsid w:val="3922F67E"/>
    <w:rsid w:val="392E3447"/>
    <w:rsid w:val="394B2D7B"/>
    <w:rsid w:val="3950DCF9"/>
    <w:rsid w:val="39562EFC"/>
    <w:rsid w:val="39718D6E"/>
    <w:rsid w:val="3988DE77"/>
    <w:rsid w:val="398A6289"/>
    <w:rsid w:val="398C2110"/>
    <w:rsid w:val="399301B7"/>
    <w:rsid w:val="39BE560E"/>
    <w:rsid w:val="39D8BAFE"/>
    <w:rsid w:val="39DF7A8A"/>
    <w:rsid w:val="39EDD974"/>
    <w:rsid w:val="39F5C21F"/>
    <w:rsid w:val="3A1CCA7A"/>
    <w:rsid w:val="3A1D5175"/>
    <w:rsid w:val="3A36A80D"/>
    <w:rsid w:val="3A3FAE6B"/>
    <w:rsid w:val="3A61D067"/>
    <w:rsid w:val="3A656ADE"/>
    <w:rsid w:val="3A6D57EF"/>
    <w:rsid w:val="3A72D278"/>
    <w:rsid w:val="3A85E280"/>
    <w:rsid w:val="3A9209E6"/>
    <w:rsid w:val="3A92AA5B"/>
    <w:rsid w:val="3AACAF86"/>
    <w:rsid w:val="3AB5896C"/>
    <w:rsid w:val="3AC7751F"/>
    <w:rsid w:val="3ACDC31F"/>
    <w:rsid w:val="3ACF1947"/>
    <w:rsid w:val="3AD40AF0"/>
    <w:rsid w:val="3ADCE5DB"/>
    <w:rsid w:val="3AF6C550"/>
    <w:rsid w:val="3AFA8A8E"/>
    <w:rsid w:val="3B151711"/>
    <w:rsid w:val="3B17A093"/>
    <w:rsid w:val="3B25542C"/>
    <w:rsid w:val="3B56560D"/>
    <w:rsid w:val="3B5AE955"/>
    <w:rsid w:val="3B691AE5"/>
    <w:rsid w:val="3B8A9816"/>
    <w:rsid w:val="3B8D7618"/>
    <w:rsid w:val="3B97D4BE"/>
    <w:rsid w:val="3BBB5012"/>
    <w:rsid w:val="3BCDBAAB"/>
    <w:rsid w:val="3BCE203E"/>
    <w:rsid w:val="3BD2177D"/>
    <w:rsid w:val="3BD60C82"/>
    <w:rsid w:val="3BF02EA6"/>
    <w:rsid w:val="3BF4EB69"/>
    <w:rsid w:val="3C33268D"/>
    <w:rsid w:val="3C37C752"/>
    <w:rsid w:val="3C405AC8"/>
    <w:rsid w:val="3C483AFE"/>
    <w:rsid w:val="3C49595F"/>
    <w:rsid w:val="3C4D2A60"/>
    <w:rsid w:val="3C5CF37A"/>
    <w:rsid w:val="3C8ECE00"/>
    <w:rsid w:val="3CC11DB1"/>
    <w:rsid w:val="3CCC828D"/>
    <w:rsid w:val="3CD0AF81"/>
    <w:rsid w:val="3CEB4108"/>
    <w:rsid w:val="3D5E7AAC"/>
    <w:rsid w:val="3D6E5D2E"/>
    <w:rsid w:val="3D7C2360"/>
    <w:rsid w:val="3D8EEF55"/>
    <w:rsid w:val="3D9CE300"/>
    <w:rsid w:val="3DB28E4C"/>
    <w:rsid w:val="3DB7813C"/>
    <w:rsid w:val="3DC42E36"/>
    <w:rsid w:val="3DD674DD"/>
    <w:rsid w:val="3DEBC8E2"/>
    <w:rsid w:val="3DF518C0"/>
    <w:rsid w:val="3E0C1BDA"/>
    <w:rsid w:val="3E22C3FF"/>
    <w:rsid w:val="3E25943E"/>
    <w:rsid w:val="3E269E82"/>
    <w:rsid w:val="3E3D5146"/>
    <w:rsid w:val="3E427A6F"/>
    <w:rsid w:val="3E511ADA"/>
    <w:rsid w:val="3E59FC0E"/>
    <w:rsid w:val="3E5F1E92"/>
    <w:rsid w:val="3E818451"/>
    <w:rsid w:val="3E9C4074"/>
    <w:rsid w:val="3EC4FE76"/>
    <w:rsid w:val="3EE0D720"/>
    <w:rsid w:val="3F023597"/>
    <w:rsid w:val="3F06BDFC"/>
    <w:rsid w:val="3F0ED6FF"/>
    <w:rsid w:val="3F11CF0C"/>
    <w:rsid w:val="3F4ED7E7"/>
    <w:rsid w:val="3F594FBA"/>
    <w:rsid w:val="3F620B91"/>
    <w:rsid w:val="3F68BBCE"/>
    <w:rsid w:val="3F7F8C24"/>
    <w:rsid w:val="3F81F825"/>
    <w:rsid w:val="3F875B1A"/>
    <w:rsid w:val="3FC2246B"/>
    <w:rsid w:val="3FD010DD"/>
    <w:rsid w:val="3FDA51AD"/>
    <w:rsid w:val="400CE7C6"/>
    <w:rsid w:val="40138532"/>
    <w:rsid w:val="40245CFC"/>
    <w:rsid w:val="40348C98"/>
    <w:rsid w:val="404004E2"/>
    <w:rsid w:val="405D749F"/>
    <w:rsid w:val="4061E7FC"/>
    <w:rsid w:val="40785B26"/>
    <w:rsid w:val="408902D9"/>
    <w:rsid w:val="408CFA65"/>
    <w:rsid w:val="4094008F"/>
    <w:rsid w:val="409A76ED"/>
    <w:rsid w:val="409CEE96"/>
    <w:rsid w:val="40AD8280"/>
    <w:rsid w:val="40AD8FF6"/>
    <w:rsid w:val="40B02517"/>
    <w:rsid w:val="40C73F73"/>
    <w:rsid w:val="40D492E2"/>
    <w:rsid w:val="40DBEDD9"/>
    <w:rsid w:val="40F9F356"/>
    <w:rsid w:val="40FF22F2"/>
    <w:rsid w:val="411DBA89"/>
    <w:rsid w:val="411F3A62"/>
    <w:rsid w:val="411FE5EB"/>
    <w:rsid w:val="412873F3"/>
    <w:rsid w:val="412BE99D"/>
    <w:rsid w:val="41328DE6"/>
    <w:rsid w:val="41612E57"/>
    <w:rsid w:val="41651A83"/>
    <w:rsid w:val="418E7F89"/>
    <w:rsid w:val="418F8574"/>
    <w:rsid w:val="41A047FA"/>
    <w:rsid w:val="41AB566D"/>
    <w:rsid w:val="41C03CFF"/>
    <w:rsid w:val="41E178A5"/>
    <w:rsid w:val="41E93353"/>
    <w:rsid w:val="4206F770"/>
    <w:rsid w:val="42078505"/>
    <w:rsid w:val="4216A9D8"/>
    <w:rsid w:val="421EBB41"/>
    <w:rsid w:val="4237A6FD"/>
    <w:rsid w:val="423AE0C3"/>
    <w:rsid w:val="423FAB5E"/>
    <w:rsid w:val="424DB30A"/>
    <w:rsid w:val="426CA674"/>
    <w:rsid w:val="429E80B2"/>
    <w:rsid w:val="42AB3643"/>
    <w:rsid w:val="42B4A578"/>
    <w:rsid w:val="42CA6C6D"/>
    <w:rsid w:val="42D9F874"/>
    <w:rsid w:val="42E8589D"/>
    <w:rsid w:val="42E9D978"/>
    <w:rsid w:val="4315BC5D"/>
    <w:rsid w:val="43170C1C"/>
    <w:rsid w:val="43197A3B"/>
    <w:rsid w:val="43254FBD"/>
    <w:rsid w:val="4327105B"/>
    <w:rsid w:val="43304224"/>
    <w:rsid w:val="43383041"/>
    <w:rsid w:val="434575F8"/>
    <w:rsid w:val="43647DFF"/>
    <w:rsid w:val="436786CF"/>
    <w:rsid w:val="437D6045"/>
    <w:rsid w:val="437E9670"/>
    <w:rsid w:val="439CE480"/>
    <w:rsid w:val="43D31B3B"/>
    <w:rsid w:val="43E17443"/>
    <w:rsid w:val="440CDCCC"/>
    <w:rsid w:val="4470A7D4"/>
    <w:rsid w:val="447E37AD"/>
    <w:rsid w:val="448392CB"/>
    <w:rsid w:val="4485B490"/>
    <w:rsid w:val="44896D20"/>
    <w:rsid w:val="448E133F"/>
    <w:rsid w:val="4492141A"/>
    <w:rsid w:val="44A82A76"/>
    <w:rsid w:val="44AB5341"/>
    <w:rsid w:val="44BD20FC"/>
    <w:rsid w:val="44BE22EA"/>
    <w:rsid w:val="44E8FCF5"/>
    <w:rsid w:val="44F9E9B3"/>
    <w:rsid w:val="44FF2102"/>
    <w:rsid w:val="45164500"/>
    <w:rsid w:val="452142BF"/>
    <w:rsid w:val="45355F0B"/>
    <w:rsid w:val="4548448F"/>
    <w:rsid w:val="4548E7BE"/>
    <w:rsid w:val="4563EF07"/>
    <w:rsid w:val="458B8FD4"/>
    <w:rsid w:val="458D5B77"/>
    <w:rsid w:val="45B549EC"/>
    <w:rsid w:val="45B7B37E"/>
    <w:rsid w:val="45C5C349"/>
    <w:rsid w:val="45E99DC6"/>
    <w:rsid w:val="45FD4D82"/>
    <w:rsid w:val="4601B752"/>
    <w:rsid w:val="4636F360"/>
    <w:rsid w:val="464CDAE5"/>
    <w:rsid w:val="465A1EC3"/>
    <w:rsid w:val="465CE06E"/>
    <w:rsid w:val="466A43B0"/>
    <w:rsid w:val="466E124D"/>
    <w:rsid w:val="466F3385"/>
    <w:rsid w:val="467185F8"/>
    <w:rsid w:val="467C379B"/>
    <w:rsid w:val="469466EF"/>
    <w:rsid w:val="46B359FA"/>
    <w:rsid w:val="46B776F4"/>
    <w:rsid w:val="46BE6C65"/>
    <w:rsid w:val="46CE4FF0"/>
    <w:rsid w:val="46E29800"/>
    <w:rsid w:val="46E88347"/>
    <w:rsid w:val="46FD9F03"/>
    <w:rsid w:val="470193D4"/>
    <w:rsid w:val="470C2178"/>
    <w:rsid w:val="47132099"/>
    <w:rsid w:val="4719CBEB"/>
    <w:rsid w:val="471CCAE3"/>
    <w:rsid w:val="47325891"/>
    <w:rsid w:val="4783374D"/>
    <w:rsid w:val="4783F061"/>
    <w:rsid w:val="4784178D"/>
    <w:rsid w:val="47DCE24F"/>
    <w:rsid w:val="48032B01"/>
    <w:rsid w:val="480AB672"/>
    <w:rsid w:val="4815EE8B"/>
    <w:rsid w:val="482B66C0"/>
    <w:rsid w:val="4838442A"/>
    <w:rsid w:val="4842D41A"/>
    <w:rsid w:val="4843066B"/>
    <w:rsid w:val="4846250C"/>
    <w:rsid w:val="48490B0B"/>
    <w:rsid w:val="4851CA46"/>
    <w:rsid w:val="487E2D5F"/>
    <w:rsid w:val="4884AAA9"/>
    <w:rsid w:val="488EAC38"/>
    <w:rsid w:val="48962C88"/>
    <w:rsid w:val="48969C92"/>
    <w:rsid w:val="48B548CB"/>
    <w:rsid w:val="48BDE57B"/>
    <w:rsid w:val="48C01CA5"/>
    <w:rsid w:val="48CDD5B6"/>
    <w:rsid w:val="48D31CCD"/>
    <w:rsid w:val="48E477A4"/>
    <w:rsid w:val="490B0AB4"/>
    <w:rsid w:val="4910DC61"/>
    <w:rsid w:val="4915D457"/>
    <w:rsid w:val="492C054B"/>
    <w:rsid w:val="493D90E6"/>
    <w:rsid w:val="493E3ECF"/>
    <w:rsid w:val="494AF6DE"/>
    <w:rsid w:val="495B52F8"/>
    <w:rsid w:val="495EA17C"/>
    <w:rsid w:val="496809D8"/>
    <w:rsid w:val="497FCE66"/>
    <w:rsid w:val="4987F358"/>
    <w:rsid w:val="49907B32"/>
    <w:rsid w:val="4997D3E4"/>
    <w:rsid w:val="499884B2"/>
    <w:rsid w:val="49A4562E"/>
    <w:rsid w:val="49B4D202"/>
    <w:rsid w:val="49C2D322"/>
    <w:rsid w:val="49FF8B24"/>
    <w:rsid w:val="4A022944"/>
    <w:rsid w:val="4A05CF39"/>
    <w:rsid w:val="4A3A7748"/>
    <w:rsid w:val="4A6993C3"/>
    <w:rsid w:val="4A798513"/>
    <w:rsid w:val="4A80A83D"/>
    <w:rsid w:val="4A992674"/>
    <w:rsid w:val="4A9C51D1"/>
    <w:rsid w:val="4A9CBA3E"/>
    <w:rsid w:val="4AC2387F"/>
    <w:rsid w:val="4AC38FDC"/>
    <w:rsid w:val="4ACCE36D"/>
    <w:rsid w:val="4ADF1D6F"/>
    <w:rsid w:val="4B081C0D"/>
    <w:rsid w:val="4B1120E2"/>
    <w:rsid w:val="4B240A7D"/>
    <w:rsid w:val="4B2C4332"/>
    <w:rsid w:val="4B3E4917"/>
    <w:rsid w:val="4B4EDE54"/>
    <w:rsid w:val="4B6274B7"/>
    <w:rsid w:val="4B7B4549"/>
    <w:rsid w:val="4B7D8823"/>
    <w:rsid w:val="4B801D59"/>
    <w:rsid w:val="4B838EB7"/>
    <w:rsid w:val="4BA6D175"/>
    <w:rsid w:val="4BB38C35"/>
    <w:rsid w:val="4BB88549"/>
    <w:rsid w:val="4BB96004"/>
    <w:rsid w:val="4BC9B834"/>
    <w:rsid w:val="4BD32CAD"/>
    <w:rsid w:val="4C004561"/>
    <w:rsid w:val="4C0DB9DA"/>
    <w:rsid w:val="4C10B857"/>
    <w:rsid w:val="4C13038D"/>
    <w:rsid w:val="4C13554C"/>
    <w:rsid w:val="4C1C8C97"/>
    <w:rsid w:val="4C254F9B"/>
    <w:rsid w:val="4C2862C8"/>
    <w:rsid w:val="4C32727D"/>
    <w:rsid w:val="4C4DC0F1"/>
    <w:rsid w:val="4C5484EA"/>
    <w:rsid w:val="4C58F4E1"/>
    <w:rsid w:val="4C5C85B6"/>
    <w:rsid w:val="4C698904"/>
    <w:rsid w:val="4C77080C"/>
    <w:rsid w:val="4C7E89E5"/>
    <w:rsid w:val="4C872750"/>
    <w:rsid w:val="4C88DE53"/>
    <w:rsid w:val="4C971C31"/>
    <w:rsid w:val="4CA67080"/>
    <w:rsid w:val="4CC635AD"/>
    <w:rsid w:val="4CDD7FC3"/>
    <w:rsid w:val="4CDE0B9D"/>
    <w:rsid w:val="4CDED431"/>
    <w:rsid w:val="4CE4B651"/>
    <w:rsid w:val="4CF8B955"/>
    <w:rsid w:val="4CFD6F77"/>
    <w:rsid w:val="4D02E264"/>
    <w:rsid w:val="4D034AA9"/>
    <w:rsid w:val="4D036549"/>
    <w:rsid w:val="4D068BDE"/>
    <w:rsid w:val="4D09BD7A"/>
    <w:rsid w:val="4D224AFF"/>
    <w:rsid w:val="4D2C04F3"/>
    <w:rsid w:val="4D34A82B"/>
    <w:rsid w:val="4D39E805"/>
    <w:rsid w:val="4D3A6B82"/>
    <w:rsid w:val="4D47CB63"/>
    <w:rsid w:val="4D647CED"/>
    <w:rsid w:val="4D7EE7F1"/>
    <w:rsid w:val="4D8ACD53"/>
    <w:rsid w:val="4DA21E17"/>
    <w:rsid w:val="4DB61FAD"/>
    <w:rsid w:val="4DC3DB12"/>
    <w:rsid w:val="4E06E260"/>
    <w:rsid w:val="4E54E5DC"/>
    <w:rsid w:val="4E697370"/>
    <w:rsid w:val="4E749E64"/>
    <w:rsid w:val="4E81C827"/>
    <w:rsid w:val="4E871E73"/>
    <w:rsid w:val="4E9275DE"/>
    <w:rsid w:val="4E95D621"/>
    <w:rsid w:val="4E9CE296"/>
    <w:rsid w:val="4EAA62FF"/>
    <w:rsid w:val="4EB05EA9"/>
    <w:rsid w:val="4EB19443"/>
    <w:rsid w:val="4ECB10EE"/>
    <w:rsid w:val="4ECD67D9"/>
    <w:rsid w:val="4EDB39DC"/>
    <w:rsid w:val="4EEEEBE4"/>
    <w:rsid w:val="4EFA2798"/>
    <w:rsid w:val="4EFB862E"/>
    <w:rsid w:val="4F0325FC"/>
    <w:rsid w:val="4F16895D"/>
    <w:rsid w:val="4F32BBF3"/>
    <w:rsid w:val="4F44D858"/>
    <w:rsid w:val="4F61D7C8"/>
    <w:rsid w:val="4F6A57DB"/>
    <w:rsid w:val="4F6CB160"/>
    <w:rsid w:val="4F80DDA2"/>
    <w:rsid w:val="4FD3C560"/>
    <w:rsid w:val="4FDC781B"/>
    <w:rsid w:val="4FEDE265"/>
    <w:rsid w:val="5005BFE0"/>
    <w:rsid w:val="5016C84D"/>
    <w:rsid w:val="5028D8E4"/>
    <w:rsid w:val="5042F423"/>
    <w:rsid w:val="50698257"/>
    <w:rsid w:val="50833BE3"/>
    <w:rsid w:val="508DA19B"/>
    <w:rsid w:val="50997F1A"/>
    <w:rsid w:val="50AC40A4"/>
    <w:rsid w:val="50B8606A"/>
    <w:rsid w:val="50B8EF60"/>
    <w:rsid w:val="50BA6AC2"/>
    <w:rsid w:val="50C75EBB"/>
    <w:rsid w:val="50E45976"/>
    <w:rsid w:val="510A7E37"/>
    <w:rsid w:val="510E86B8"/>
    <w:rsid w:val="51292105"/>
    <w:rsid w:val="514CC9DA"/>
    <w:rsid w:val="5151FCB1"/>
    <w:rsid w:val="5168BF21"/>
    <w:rsid w:val="516D7805"/>
    <w:rsid w:val="517D1856"/>
    <w:rsid w:val="519166C8"/>
    <w:rsid w:val="51B1B31C"/>
    <w:rsid w:val="51B2C19D"/>
    <w:rsid w:val="51B52FFB"/>
    <w:rsid w:val="51BF56A9"/>
    <w:rsid w:val="51CD7CAA"/>
    <w:rsid w:val="51E050A4"/>
    <w:rsid w:val="51ED002C"/>
    <w:rsid w:val="51EF67EC"/>
    <w:rsid w:val="51F50616"/>
    <w:rsid w:val="520B9055"/>
    <w:rsid w:val="5213D841"/>
    <w:rsid w:val="5214F399"/>
    <w:rsid w:val="52274ECC"/>
    <w:rsid w:val="522C2A92"/>
    <w:rsid w:val="52380352"/>
    <w:rsid w:val="524E15D9"/>
    <w:rsid w:val="52511990"/>
    <w:rsid w:val="5257B6C7"/>
    <w:rsid w:val="526286F1"/>
    <w:rsid w:val="527CB28B"/>
    <w:rsid w:val="528340A0"/>
    <w:rsid w:val="5283D7CB"/>
    <w:rsid w:val="5284F02A"/>
    <w:rsid w:val="528F66FC"/>
    <w:rsid w:val="529E2ACD"/>
    <w:rsid w:val="529E4A81"/>
    <w:rsid w:val="529F09BC"/>
    <w:rsid w:val="52A93AF5"/>
    <w:rsid w:val="52AA151D"/>
    <w:rsid w:val="52B3954C"/>
    <w:rsid w:val="52C892A0"/>
    <w:rsid w:val="52CA74EE"/>
    <w:rsid w:val="52CCC17C"/>
    <w:rsid w:val="52D6C18F"/>
    <w:rsid w:val="52E076F3"/>
    <w:rsid w:val="52E50218"/>
    <w:rsid w:val="52E78917"/>
    <w:rsid w:val="531404BE"/>
    <w:rsid w:val="53231855"/>
    <w:rsid w:val="532AF03D"/>
    <w:rsid w:val="53303D78"/>
    <w:rsid w:val="533B956E"/>
    <w:rsid w:val="533BE924"/>
    <w:rsid w:val="535BF040"/>
    <w:rsid w:val="53877B22"/>
    <w:rsid w:val="53918D74"/>
    <w:rsid w:val="53965CF5"/>
    <w:rsid w:val="539A3191"/>
    <w:rsid w:val="53B1EBD3"/>
    <w:rsid w:val="53B8C834"/>
    <w:rsid w:val="53BCE753"/>
    <w:rsid w:val="53FA8F18"/>
    <w:rsid w:val="540508FB"/>
    <w:rsid w:val="5419E4F8"/>
    <w:rsid w:val="5426FCBA"/>
    <w:rsid w:val="542CCB6C"/>
    <w:rsid w:val="546F7486"/>
    <w:rsid w:val="5475C37F"/>
    <w:rsid w:val="5475C799"/>
    <w:rsid w:val="5488D709"/>
    <w:rsid w:val="5489389F"/>
    <w:rsid w:val="548B1456"/>
    <w:rsid w:val="5491CB73"/>
    <w:rsid w:val="54946F30"/>
    <w:rsid w:val="54A26637"/>
    <w:rsid w:val="54A7E324"/>
    <w:rsid w:val="54ABA173"/>
    <w:rsid w:val="54B9913A"/>
    <w:rsid w:val="54C486A9"/>
    <w:rsid w:val="54C831DA"/>
    <w:rsid w:val="54C8BF39"/>
    <w:rsid w:val="54D3585A"/>
    <w:rsid w:val="54D47F44"/>
    <w:rsid w:val="54DA51B6"/>
    <w:rsid w:val="54E6775E"/>
    <w:rsid w:val="54F70AEC"/>
    <w:rsid w:val="54FAE894"/>
    <w:rsid w:val="54FFBEFA"/>
    <w:rsid w:val="551091DC"/>
    <w:rsid w:val="551332ED"/>
    <w:rsid w:val="551C1E96"/>
    <w:rsid w:val="5521830C"/>
    <w:rsid w:val="5527B65F"/>
    <w:rsid w:val="5528808F"/>
    <w:rsid w:val="5531FD6A"/>
    <w:rsid w:val="554CE09E"/>
    <w:rsid w:val="554F3DFB"/>
    <w:rsid w:val="555D4ECE"/>
    <w:rsid w:val="556261CD"/>
    <w:rsid w:val="557B9FEB"/>
    <w:rsid w:val="558EF142"/>
    <w:rsid w:val="559513EC"/>
    <w:rsid w:val="55954F51"/>
    <w:rsid w:val="5599D685"/>
    <w:rsid w:val="55A07676"/>
    <w:rsid w:val="55A8F934"/>
    <w:rsid w:val="55B98DD7"/>
    <w:rsid w:val="55C06CFF"/>
    <w:rsid w:val="55C367BF"/>
    <w:rsid w:val="55DD10EE"/>
    <w:rsid w:val="55E63436"/>
    <w:rsid w:val="55E76515"/>
    <w:rsid w:val="55E7C132"/>
    <w:rsid w:val="55FADFB7"/>
    <w:rsid w:val="5612229A"/>
    <w:rsid w:val="56358DE2"/>
    <w:rsid w:val="56393936"/>
    <w:rsid w:val="563A58C0"/>
    <w:rsid w:val="5647C1FE"/>
    <w:rsid w:val="565A53D4"/>
    <w:rsid w:val="566F3A01"/>
    <w:rsid w:val="567B049F"/>
    <w:rsid w:val="568233E2"/>
    <w:rsid w:val="568CDAFE"/>
    <w:rsid w:val="568EBB83"/>
    <w:rsid w:val="5691BDC2"/>
    <w:rsid w:val="56C29EF5"/>
    <w:rsid w:val="56C40BC0"/>
    <w:rsid w:val="56C46F5E"/>
    <w:rsid w:val="56C9C2E5"/>
    <w:rsid w:val="56CB6A71"/>
    <w:rsid w:val="56D0D770"/>
    <w:rsid w:val="56EBDA77"/>
    <w:rsid w:val="56FD4F74"/>
    <w:rsid w:val="56FF088C"/>
    <w:rsid w:val="5702E361"/>
    <w:rsid w:val="570A18BB"/>
    <w:rsid w:val="5732F598"/>
    <w:rsid w:val="573A20F4"/>
    <w:rsid w:val="5743CC27"/>
    <w:rsid w:val="5749FA10"/>
    <w:rsid w:val="574D9997"/>
    <w:rsid w:val="574FB7C4"/>
    <w:rsid w:val="5753926E"/>
    <w:rsid w:val="575A4FDB"/>
    <w:rsid w:val="575EF5BD"/>
    <w:rsid w:val="576490C5"/>
    <w:rsid w:val="577225B3"/>
    <w:rsid w:val="578AFD07"/>
    <w:rsid w:val="5791A676"/>
    <w:rsid w:val="57969280"/>
    <w:rsid w:val="57A4C8B0"/>
    <w:rsid w:val="57B3404B"/>
    <w:rsid w:val="57C67D3E"/>
    <w:rsid w:val="57C9FFD2"/>
    <w:rsid w:val="57CED745"/>
    <w:rsid w:val="57DD7DD6"/>
    <w:rsid w:val="57FE4EF4"/>
    <w:rsid w:val="5812C306"/>
    <w:rsid w:val="581786F6"/>
    <w:rsid w:val="5846BF8F"/>
    <w:rsid w:val="585F687E"/>
    <w:rsid w:val="5894AFBD"/>
    <w:rsid w:val="58A201D0"/>
    <w:rsid w:val="58C8CAFC"/>
    <w:rsid w:val="5901176F"/>
    <w:rsid w:val="5909F4AE"/>
    <w:rsid w:val="5919D0F7"/>
    <w:rsid w:val="591DA22F"/>
    <w:rsid w:val="592FE749"/>
    <w:rsid w:val="593BBA11"/>
    <w:rsid w:val="595EAE8E"/>
    <w:rsid w:val="5963048F"/>
    <w:rsid w:val="596353E9"/>
    <w:rsid w:val="5965258D"/>
    <w:rsid w:val="5981AB85"/>
    <w:rsid w:val="599094D6"/>
    <w:rsid w:val="5992A253"/>
    <w:rsid w:val="599B66E8"/>
    <w:rsid w:val="59B36CE5"/>
    <w:rsid w:val="59CDFA14"/>
    <w:rsid w:val="5A0378AD"/>
    <w:rsid w:val="5A07AC2A"/>
    <w:rsid w:val="5A18E4A3"/>
    <w:rsid w:val="5A22637E"/>
    <w:rsid w:val="5A300F70"/>
    <w:rsid w:val="5A3524C4"/>
    <w:rsid w:val="5A3893F1"/>
    <w:rsid w:val="5A488184"/>
    <w:rsid w:val="5A5281C9"/>
    <w:rsid w:val="5A531BAE"/>
    <w:rsid w:val="5A56C62C"/>
    <w:rsid w:val="5A613D82"/>
    <w:rsid w:val="5A73CA2F"/>
    <w:rsid w:val="5A77E80E"/>
    <w:rsid w:val="5A7928D8"/>
    <w:rsid w:val="5A7B610E"/>
    <w:rsid w:val="5A90041A"/>
    <w:rsid w:val="5A9044DA"/>
    <w:rsid w:val="5A91FD28"/>
    <w:rsid w:val="5A9A6D83"/>
    <w:rsid w:val="5AB4505A"/>
    <w:rsid w:val="5ACB781F"/>
    <w:rsid w:val="5AD6D9BB"/>
    <w:rsid w:val="5ADB522C"/>
    <w:rsid w:val="5AECF5D7"/>
    <w:rsid w:val="5AFE0E83"/>
    <w:rsid w:val="5B04F02C"/>
    <w:rsid w:val="5B100649"/>
    <w:rsid w:val="5B15978D"/>
    <w:rsid w:val="5B56DDDE"/>
    <w:rsid w:val="5B5E665A"/>
    <w:rsid w:val="5B639447"/>
    <w:rsid w:val="5B8AD5C1"/>
    <w:rsid w:val="5B8C4EC7"/>
    <w:rsid w:val="5BAB3B3D"/>
    <w:rsid w:val="5BB3AFB3"/>
    <w:rsid w:val="5BBBC553"/>
    <w:rsid w:val="5BBD34F1"/>
    <w:rsid w:val="5BD35094"/>
    <w:rsid w:val="5BD96413"/>
    <w:rsid w:val="5BE52AAC"/>
    <w:rsid w:val="5BEB9365"/>
    <w:rsid w:val="5BEE3D97"/>
    <w:rsid w:val="5BEF31C0"/>
    <w:rsid w:val="5C1BF408"/>
    <w:rsid w:val="5C1F224F"/>
    <w:rsid w:val="5C2B4964"/>
    <w:rsid w:val="5C2BE36C"/>
    <w:rsid w:val="5C2F2B1B"/>
    <w:rsid w:val="5C4B9575"/>
    <w:rsid w:val="5C52CA08"/>
    <w:rsid w:val="5C62647C"/>
    <w:rsid w:val="5C67CD12"/>
    <w:rsid w:val="5C98EF65"/>
    <w:rsid w:val="5CA1A210"/>
    <w:rsid w:val="5CBC22CA"/>
    <w:rsid w:val="5CC807D2"/>
    <w:rsid w:val="5CCA4E8F"/>
    <w:rsid w:val="5CCB93B3"/>
    <w:rsid w:val="5CCEDAFA"/>
    <w:rsid w:val="5CE729BE"/>
    <w:rsid w:val="5CF96828"/>
    <w:rsid w:val="5CFB5DE2"/>
    <w:rsid w:val="5D056482"/>
    <w:rsid w:val="5D07052F"/>
    <w:rsid w:val="5D270149"/>
    <w:rsid w:val="5D37513B"/>
    <w:rsid w:val="5D3F99B0"/>
    <w:rsid w:val="5D42E212"/>
    <w:rsid w:val="5D42E96F"/>
    <w:rsid w:val="5D45081C"/>
    <w:rsid w:val="5D561883"/>
    <w:rsid w:val="5D594C93"/>
    <w:rsid w:val="5D83772D"/>
    <w:rsid w:val="5D87A786"/>
    <w:rsid w:val="5D9934C8"/>
    <w:rsid w:val="5DC22ABB"/>
    <w:rsid w:val="5DCEF2C6"/>
    <w:rsid w:val="5DDD4B6A"/>
    <w:rsid w:val="5DE258DF"/>
    <w:rsid w:val="5DE3933D"/>
    <w:rsid w:val="5DF0BF8C"/>
    <w:rsid w:val="5DF3FBD1"/>
    <w:rsid w:val="5DF487C7"/>
    <w:rsid w:val="5E0BC7B1"/>
    <w:rsid w:val="5E2D3D24"/>
    <w:rsid w:val="5E406628"/>
    <w:rsid w:val="5E54144D"/>
    <w:rsid w:val="5E66FD93"/>
    <w:rsid w:val="5E7F2FC5"/>
    <w:rsid w:val="5E9E39F4"/>
    <w:rsid w:val="5EAFF3AF"/>
    <w:rsid w:val="5EBA5F56"/>
    <w:rsid w:val="5ED3581F"/>
    <w:rsid w:val="5EDA5197"/>
    <w:rsid w:val="5EDFF58D"/>
    <w:rsid w:val="5EE6D2C4"/>
    <w:rsid w:val="5EF48412"/>
    <w:rsid w:val="5EF9DA08"/>
    <w:rsid w:val="5F0390D2"/>
    <w:rsid w:val="5F1A63E2"/>
    <w:rsid w:val="5F362B33"/>
    <w:rsid w:val="5F6E70DE"/>
    <w:rsid w:val="5F7128A3"/>
    <w:rsid w:val="5F81D75A"/>
    <w:rsid w:val="5F936B55"/>
    <w:rsid w:val="5F94B1C8"/>
    <w:rsid w:val="5FA32BC5"/>
    <w:rsid w:val="5FA5BB12"/>
    <w:rsid w:val="5FAB3F96"/>
    <w:rsid w:val="5FB52EEB"/>
    <w:rsid w:val="5FB7632F"/>
    <w:rsid w:val="5FC0529B"/>
    <w:rsid w:val="5FC8ECE9"/>
    <w:rsid w:val="5FC93BDF"/>
    <w:rsid w:val="5FD841E6"/>
    <w:rsid w:val="5FDAEADA"/>
    <w:rsid w:val="5FDD837C"/>
    <w:rsid w:val="5FEE2D08"/>
    <w:rsid w:val="5FEF748F"/>
    <w:rsid w:val="5FF5573F"/>
    <w:rsid w:val="60022360"/>
    <w:rsid w:val="600D8A2C"/>
    <w:rsid w:val="6032ABE8"/>
    <w:rsid w:val="6040952B"/>
    <w:rsid w:val="6047765F"/>
    <w:rsid w:val="6053D754"/>
    <w:rsid w:val="6062D713"/>
    <w:rsid w:val="60681062"/>
    <w:rsid w:val="606B7ACD"/>
    <w:rsid w:val="607FDFFF"/>
    <w:rsid w:val="6085D8B1"/>
    <w:rsid w:val="60885EF3"/>
    <w:rsid w:val="6094B68D"/>
    <w:rsid w:val="60B146BE"/>
    <w:rsid w:val="60DD3FCD"/>
    <w:rsid w:val="60E2B1F2"/>
    <w:rsid w:val="60E2D07D"/>
    <w:rsid w:val="60E94692"/>
    <w:rsid w:val="610989E4"/>
    <w:rsid w:val="610B1199"/>
    <w:rsid w:val="612F8C30"/>
    <w:rsid w:val="6137CCF5"/>
    <w:rsid w:val="61399950"/>
    <w:rsid w:val="613F943F"/>
    <w:rsid w:val="615F5573"/>
    <w:rsid w:val="616C7204"/>
    <w:rsid w:val="6177A888"/>
    <w:rsid w:val="6180939F"/>
    <w:rsid w:val="618A1325"/>
    <w:rsid w:val="6192AE09"/>
    <w:rsid w:val="619BDDF2"/>
    <w:rsid w:val="619E451F"/>
    <w:rsid w:val="61BF411C"/>
    <w:rsid w:val="61E2CF87"/>
    <w:rsid w:val="61F0FD27"/>
    <w:rsid w:val="61F2B74E"/>
    <w:rsid w:val="61F65E0F"/>
    <w:rsid w:val="621604A3"/>
    <w:rsid w:val="621B4CA0"/>
    <w:rsid w:val="621E1A52"/>
    <w:rsid w:val="621FC3D8"/>
    <w:rsid w:val="622A56DA"/>
    <w:rsid w:val="6234ECB5"/>
    <w:rsid w:val="62480778"/>
    <w:rsid w:val="62485D88"/>
    <w:rsid w:val="624E3180"/>
    <w:rsid w:val="624E73E0"/>
    <w:rsid w:val="624FFB91"/>
    <w:rsid w:val="625CFC8C"/>
    <w:rsid w:val="6267F48C"/>
    <w:rsid w:val="626A30BD"/>
    <w:rsid w:val="6279DC4B"/>
    <w:rsid w:val="628495C8"/>
    <w:rsid w:val="62863D8F"/>
    <w:rsid w:val="629028D3"/>
    <w:rsid w:val="62904F3C"/>
    <w:rsid w:val="62AC974A"/>
    <w:rsid w:val="62AF3FEC"/>
    <w:rsid w:val="62BD24FD"/>
    <w:rsid w:val="62C24F67"/>
    <w:rsid w:val="62C7AE33"/>
    <w:rsid w:val="62EF906C"/>
    <w:rsid w:val="62F69BA6"/>
    <w:rsid w:val="630B23F3"/>
    <w:rsid w:val="6315C1A9"/>
    <w:rsid w:val="632CC917"/>
    <w:rsid w:val="633243DF"/>
    <w:rsid w:val="634E583A"/>
    <w:rsid w:val="635EEA6A"/>
    <w:rsid w:val="636E2610"/>
    <w:rsid w:val="6372584F"/>
    <w:rsid w:val="638397DB"/>
    <w:rsid w:val="63AE8629"/>
    <w:rsid w:val="63B406B0"/>
    <w:rsid w:val="63BDDB9E"/>
    <w:rsid w:val="63E28B83"/>
    <w:rsid w:val="63E8233C"/>
    <w:rsid w:val="640C43F7"/>
    <w:rsid w:val="641E2DAC"/>
    <w:rsid w:val="6434662A"/>
    <w:rsid w:val="64413916"/>
    <w:rsid w:val="644411BE"/>
    <w:rsid w:val="644E80E9"/>
    <w:rsid w:val="64699D28"/>
    <w:rsid w:val="646EB58C"/>
    <w:rsid w:val="64713CA8"/>
    <w:rsid w:val="647753BD"/>
    <w:rsid w:val="647963AE"/>
    <w:rsid w:val="647AED34"/>
    <w:rsid w:val="6481B6EA"/>
    <w:rsid w:val="649676CA"/>
    <w:rsid w:val="6497E893"/>
    <w:rsid w:val="64AC16F1"/>
    <w:rsid w:val="64B65C4B"/>
    <w:rsid w:val="64C4B35A"/>
    <w:rsid w:val="64CE95B7"/>
    <w:rsid w:val="64E0FF60"/>
    <w:rsid w:val="64E31D1A"/>
    <w:rsid w:val="64E8A723"/>
    <w:rsid w:val="650BC93A"/>
    <w:rsid w:val="651A5C54"/>
    <w:rsid w:val="6535663B"/>
    <w:rsid w:val="65380DA7"/>
    <w:rsid w:val="653D8ACF"/>
    <w:rsid w:val="6545C28D"/>
    <w:rsid w:val="6545FDB7"/>
    <w:rsid w:val="65729A90"/>
    <w:rsid w:val="658EEE72"/>
    <w:rsid w:val="65A8CC1E"/>
    <w:rsid w:val="65AB9FE4"/>
    <w:rsid w:val="65B0E3B6"/>
    <w:rsid w:val="65B30620"/>
    <w:rsid w:val="65B6C346"/>
    <w:rsid w:val="65BDE021"/>
    <w:rsid w:val="65C57988"/>
    <w:rsid w:val="65CFD817"/>
    <w:rsid w:val="65D1F829"/>
    <w:rsid w:val="65E2B44A"/>
    <w:rsid w:val="65EAC3EA"/>
    <w:rsid w:val="65F023E0"/>
    <w:rsid w:val="660124EA"/>
    <w:rsid w:val="6620705E"/>
    <w:rsid w:val="6628AAC0"/>
    <w:rsid w:val="66A2C1A8"/>
    <w:rsid w:val="66A5ED59"/>
    <w:rsid w:val="66A77392"/>
    <w:rsid w:val="66B0ADBB"/>
    <w:rsid w:val="66BD4F5D"/>
    <w:rsid w:val="671332FB"/>
    <w:rsid w:val="67334245"/>
    <w:rsid w:val="67369475"/>
    <w:rsid w:val="67593C83"/>
    <w:rsid w:val="6779E297"/>
    <w:rsid w:val="67BAE85F"/>
    <w:rsid w:val="67D61481"/>
    <w:rsid w:val="67E2DA1B"/>
    <w:rsid w:val="67EBE422"/>
    <w:rsid w:val="67EC0DC0"/>
    <w:rsid w:val="67F8FDB3"/>
    <w:rsid w:val="680274CD"/>
    <w:rsid w:val="6808F460"/>
    <w:rsid w:val="680CE1FB"/>
    <w:rsid w:val="68115F0C"/>
    <w:rsid w:val="6830542A"/>
    <w:rsid w:val="6832FF81"/>
    <w:rsid w:val="684CBBBE"/>
    <w:rsid w:val="68769D4A"/>
    <w:rsid w:val="687FC587"/>
    <w:rsid w:val="688DFF41"/>
    <w:rsid w:val="68A16B31"/>
    <w:rsid w:val="68A8EACA"/>
    <w:rsid w:val="68AADA37"/>
    <w:rsid w:val="68B25ADA"/>
    <w:rsid w:val="68BAA024"/>
    <w:rsid w:val="68BE5B1F"/>
    <w:rsid w:val="68C327CA"/>
    <w:rsid w:val="68D3054B"/>
    <w:rsid w:val="68DA02AF"/>
    <w:rsid w:val="68DFFC14"/>
    <w:rsid w:val="68E300A1"/>
    <w:rsid w:val="68FC4ABB"/>
    <w:rsid w:val="6905AEB0"/>
    <w:rsid w:val="6909E1AC"/>
    <w:rsid w:val="6922C541"/>
    <w:rsid w:val="6928FE0D"/>
    <w:rsid w:val="6945CBD2"/>
    <w:rsid w:val="695D7534"/>
    <w:rsid w:val="697CA395"/>
    <w:rsid w:val="69ABE909"/>
    <w:rsid w:val="69B39267"/>
    <w:rsid w:val="69B94C67"/>
    <w:rsid w:val="69C8CE67"/>
    <w:rsid w:val="69DA246A"/>
    <w:rsid w:val="69E51AAE"/>
    <w:rsid w:val="69F5655C"/>
    <w:rsid w:val="6A11C34A"/>
    <w:rsid w:val="6A2F8710"/>
    <w:rsid w:val="6A41D0B0"/>
    <w:rsid w:val="6A462269"/>
    <w:rsid w:val="6A4CE698"/>
    <w:rsid w:val="6A57DEB9"/>
    <w:rsid w:val="6A6D3FE5"/>
    <w:rsid w:val="6A74D4CA"/>
    <w:rsid w:val="6A8D5231"/>
    <w:rsid w:val="6AA5A77E"/>
    <w:rsid w:val="6ADACEA8"/>
    <w:rsid w:val="6AFC2CF7"/>
    <w:rsid w:val="6B10E5E9"/>
    <w:rsid w:val="6B11166A"/>
    <w:rsid w:val="6B3CD882"/>
    <w:rsid w:val="6B3F9256"/>
    <w:rsid w:val="6B54E79C"/>
    <w:rsid w:val="6B664012"/>
    <w:rsid w:val="6B876C7D"/>
    <w:rsid w:val="6BAAD227"/>
    <w:rsid w:val="6BCB421D"/>
    <w:rsid w:val="6BCD3C44"/>
    <w:rsid w:val="6BD3C86C"/>
    <w:rsid w:val="6BD8D427"/>
    <w:rsid w:val="6BE8520D"/>
    <w:rsid w:val="6BFA3CC6"/>
    <w:rsid w:val="6C1D272C"/>
    <w:rsid w:val="6C1E4C2B"/>
    <w:rsid w:val="6C4DE87B"/>
    <w:rsid w:val="6C6DDD20"/>
    <w:rsid w:val="6C7E8C6E"/>
    <w:rsid w:val="6C806C08"/>
    <w:rsid w:val="6CA4836A"/>
    <w:rsid w:val="6CA4A879"/>
    <w:rsid w:val="6CB46B9F"/>
    <w:rsid w:val="6CC78ACB"/>
    <w:rsid w:val="6CC92B2E"/>
    <w:rsid w:val="6CCB1079"/>
    <w:rsid w:val="6CDA0040"/>
    <w:rsid w:val="6CDAB6EB"/>
    <w:rsid w:val="6CDB5292"/>
    <w:rsid w:val="6CFB7CF4"/>
    <w:rsid w:val="6D059B95"/>
    <w:rsid w:val="6D1B445F"/>
    <w:rsid w:val="6D21C0CD"/>
    <w:rsid w:val="6D418752"/>
    <w:rsid w:val="6D4496FB"/>
    <w:rsid w:val="6D45DDBD"/>
    <w:rsid w:val="6D50F652"/>
    <w:rsid w:val="6D653E48"/>
    <w:rsid w:val="6D79E991"/>
    <w:rsid w:val="6D82BCB6"/>
    <w:rsid w:val="6D8646D9"/>
    <w:rsid w:val="6DBBBE26"/>
    <w:rsid w:val="6DD8F833"/>
    <w:rsid w:val="6E005694"/>
    <w:rsid w:val="6E084EA6"/>
    <w:rsid w:val="6E096290"/>
    <w:rsid w:val="6E1562EE"/>
    <w:rsid w:val="6E167816"/>
    <w:rsid w:val="6E2C6643"/>
    <w:rsid w:val="6E3E19DB"/>
    <w:rsid w:val="6E51EE15"/>
    <w:rsid w:val="6E5407D4"/>
    <w:rsid w:val="6E5E7D90"/>
    <w:rsid w:val="6E64C425"/>
    <w:rsid w:val="6E6917B7"/>
    <w:rsid w:val="6E6B99EC"/>
    <w:rsid w:val="6E78C278"/>
    <w:rsid w:val="6E837AC2"/>
    <w:rsid w:val="6E874B05"/>
    <w:rsid w:val="6E90A3A7"/>
    <w:rsid w:val="6EA5779E"/>
    <w:rsid w:val="6EA69383"/>
    <w:rsid w:val="6EAA922D"/>
    <w:rsid w:val="6EC149A8"/>
    <w:rsid w:val="6EE54CF0"/>
    <w:rsid w:val="6EE79C86"/>
    <w:rsid w:val="6F1A2FA6"/>
    <w:rsid w:val="6F2B46E9"/>
    <w:rsid w:val="6F2E166A"/>
    <w:rsid w:val="6F379989"/>
    <w:rsid w:val="6F3A33DA"/>
    <w:rsid w:val="6F3F261B"/>
    <w:rsid w:val="6F4EC61E"/>
    <w:rsid w:val="6F502E7A"/>
    <w:rsid w:val="6F6541F0"/>
    <w:rsid w:val="6F74C541"/>
    <w:rsid w:val="6F75FB45"/>
    <w:rsid w:val="6F935CE5"/>
    <w:rsid w:val="6F9F041D"/>
    <w:rsid w:val="6FCC7CCD"/>
    <w:rsid w:val="6FCDEC2C"/>
    <w:rsid w:val="6FD9F50A"/>
    <w:rsid w:val="6FE3E211"/>
    <w:rsid w:val="6FF4BC5D"/>
    <w:rsid w:val="6FF8BCAC"/>
    <w:rsid w:val="6FFFE6EF"/>
    <w:rsid w:val="7054B5F6"/>
    <w:rsid w:val="705A6F5D"/>
    <w:rsid w:val="705D49AD"/>
    <w:rsid w:val="706226A0"/>
    <w:rsid w:val="70670B23"/>
    <w:rsid w:val="706CDEEA"/>
    <w:rsid w:val="706F127F"/>
    <w:rsid w:val="7074F9EF"/>
    <w:rsid w:val="7077561F"/>
    <w:rsid w:val="7092254A"/>
    <w:rsid w:val="709712B2"/>
    <w:rsid w:val="709CE697"/>
    <w:rsid w:val="709DF1DC"/>
    <w:rsid w:val="70B7F88C"/>
    <w:rsid w:val="70BE8697"/>
    <w:rsid w:val="70C99A12"/>
    <w:rsid w:val="70D672BB"/>
    <w:rsid w:val="70E39973"/>
    <w:rsid w:val="70E68EE9"/>
    <w:rsid w:val="70F65414"/>
    <w:rsid w:val="70FA8FD5"/>
    <w:rsid w:val="711BE15D"/>
    <w:rsid w:val="71301A6A"/>
    <w:rsid w:val="71351607"/>
    <w:rsid w:val="7139C53E"/>
    <w:rsid w:val="713BEB62"/>
    <w:rsid w:val="714825DD"/>
    <w:rsid w:val="714BFB63"/>
    <w:rsid w:val="715FAAAA"/>
    <w:rsid w:val="715FB267"/>
    <w:rsid w:val="7165E567"/>
    <w:rsid w:val="7167FBDB"/>
    <w:rsid w:val="716FC0AE"/>
    <w:rsid w:val="7183B5C3"/>
    <w:rsid w:val="7187694C"/>
    <w:rsid w:val="71A28FF1"/>
    <w:rsid w:val="72231284"/>
    <w:rsid w:val="72231F85"/>
    <w:rsid w:val="72280A90"/>
    <w:rsid w:val="7228B1C6"/>
    <w:rsid w:val="722BA741"/>
    <w:rsid w:val="722D6E8D"/>
    <w:rsid w:val="72378BB7"/>
    <w:rsid w:val="7245136C"/>
    <w:rsid w:val="724891AD"/>
    <w:rsid w:val="7256620F"/>
    <w:rsid w:val="72645DDA"/>
    <w:rsid w:val="72679BBD"/>
    <w:rsid w:val="726AC652"/>
    <w:rsid w:val="729B5521"/>
    <w:rsid w:val="72D19BA5"/>
    <w:rsid w:val="72D81CBE"/>
    <w:rsid w:val="72E96517"/>
    <w:rsid w:val="731EC2EA"/>
    <w:rsid w:val="732A8E8D"/>
    <w:rsid w:val="734AF7F1"/>
    <w:rsid w:val="73610D1C"/>
    <w:rsid w:val="739623BE"/>
    <w:rsid w:val="739966D3"/>
    <w:rsid w:val="73B79344"/>
    <w:rsid w:val="73E481B5"/>
    <w:rsid w:val="73E6C348"/>
    <w:rsid w:val="73FE1091"/>
    <w:rsid w:val="740A4250"/>
    <w:rsid w:val="7441B0D7"/>
    <w:rsid w:val="744344F2"/>
    <w:rsid w:val="744B14D2"/>
    <w:rsid w:val="744FD23D"/>
    <w:rsid w:val="745FFC36"/>
    <w:rsid w:val="746110AE"/>
    <w:rsid w:val="7468B669"/>
    <w:rsid w:val="748A3CEA"/>
    <w:rsid w:val="748FE098"/>
    <w:rsid w:val="74A2EF07"/>
    <w:rsid w:val="74A83CE4"/>
    <w:rsid w:val="74C096C5"/>
    <w:rsid w:val="74D4A2BD"/>
    <w:rsid w:val="74DA2BAE"/>
    <w:rsid w:val="74DABCC2"/>
    <w:rsid w:val="75080665"/>
    <w:rsid w:val="750CFD36"/>
    <w:rsid w:val="750FE112"/>
    <w:rsid w:val="751E31F9"/>
    <w:rsid w:val="75221A19"/>
    <w:rsid w:val="75485E69"/>
    <w:rsid w:val="754F1C82"/>
    <w:rsid w:val="75589337"/>
    <w:rsid w:val="75783B18"/>
    <w:rsid w:val="757E44B9"/>
    <w:rsid w:val="7586DD05"/>
    <w:rsid w:val="758AD367"/>
    <w:rsid w:val="75918325"/>
    <w:rsid w:val="759B2503"/>
    <w:rsid w:val="75A78730"/>
    <w:rsid w:val="75B0F37E"/>
    <w:rsid w:val="75DD8BDB"/>
    <w:rsid w:val="75E0256F"/>
    <w:rsid w:val="75EDE252"/>
    <w:rsid w:val="75F6E1AB"/>
    <w:rsid w:val="75F848BA"/>
    <w:rsid w:val="76045B5A"/>
    <w:rsid w:val="7638BF99"/>
    <w:rsid w:val="76685754"/>
    <w:rsid w:val="766B4186"/>
    <w:rsid w:val="7674FF0B"/>
    <w:rsid w:val="7690E561"/>
    <w:rsid w:val="76974902"/>
    <w:rsid w:val="769FBA84"/>
    <w:rsid w:val="769FCB41"/>
    <w:rsid w:val="76B5FFB8"/>
    <w:rsid w:val="76C282A6"/>
    <w:rsid w:val="76C6E53B"/>
    <w:rsid w:val="76CDD396"/>
    <w:rsid w:val="76D25206"/>
    <w:rsid w:val="76EABAB8"/>
    <w:rsid w:val="76F16CFE"/>
    <w:rsid w:val="76F37D3B"/>
    <w:rsid w:val="770C1E50"/>
    <w:rsid w:val="772E85AA"/>
    <w:rsid w:val="7747A1FE"/>
    <w:rsid w:val="7754F50F"/>
    <w:rsid w:val="77603066"/>
    <w:rsid w:val="7789C55A"/>
    <w:rsid w:val="77C8F002"/>
    <w:rsid w:val="77CCFCF8"/>
    <w:rsid w:val="77D21E6F"/>
    <w:rsid w:val="77E692FA"/>
    <w:rsid w:val="77ECA2DB"/>
    <w:rsid w:val="77F3E048"/>
    <w:rsid w:val="7804DC8D"/>
    <w:rsid w:val="781188D1"/>
    <w:rsid w:val="782E3E0F"/>
    <w:rsid w:val="78374345"/>
    <w:rsid w:val="783E7849"/>
    <w:rsid w:val="784C5D07"/>
    <w:rsid w:val="78536E4B"/>
    <w:rsid w:val="785613D5"/>
    <w:rsid w:val="787023D3"/>
    <w:rsid w:val="78793A0C"/>
    <w:rsid w:val="787C7444"/>
    <w:rsid w:val="789542A7"/>
    <w:rsid w:val="78984A68"/>
    <w:rsid w:val="78B6E223"/>
    <w:rsid w:val="78BC30EA"/>
    <w:rsid w:val="78C3592A"/>
    <w:rsid w:val="78CA09F2"/>
    <w:rsid w:val="78E269BC"/>
    <w:rsid w:val="791AB622"/>
    <w:rsid w:val="791C643B"/>
    <w:rsid w:val="7920E7DB"/>
    <w:rsid w:val="7925C585"/>
    <w:rsid w:val="793576F7"/>
    <w:rsid w:val="79360833"/>
    <w:rsid w:val="7942BCFD"/>
    <w:rsid w:val="794A791E"/>
    <w:rsid w:val="79508F8A"/>
    <w:rsid w:val="795833B0"/>
    <w:rsid w:val="7969A3FB"/>
    <w:rsid w:val="7971F0AE"/>
    <w:rsid w:val="79736395"/>
    <w:rsid w:val="7983D36E"/>
    <w:rsid w:val="798D8A41"/>
    <w:rsid w:val="7997E427"/>
    <w:rsid w:val="79983CDC"/>
    <w:rsid w:val="79A015D1"/>
    <w:rsid w:val="79A09B4B"/>
    <w:rsid w:val="79A3CFFC"/>
    <w:rsid w:val="79DCA680"/>
    <w:rsid w:val="79E8635B"/>
    <w:rsid w:val="79ED2EA0"/>
    <w:rsid w:val="79F77C57"/>
    <w:rsid w:val="79FD9776"/>
    <w:rsid w:val="7A1E4D61"/>
    <w:rsid w:val="7A2F1019"/>
    <w:rsid w:val="7A43C118"/>
    <w:rsid w:val="7A514138"/>
    <w:rsid w:val="7A52E19E"/>
    <w:rsid w:val="7A59A008"/>
    <w:rsid w:val="7A6CE976"/>
    <w:rsid w:val="7A6D32A6"/>
    <w:rsid w:val="7A71719B"/>
    <w:rsid w:val="7A7AB904"/>
    <w:rsid w:val="7A878C3F"/>
    <w:rsid w:val="7A989039"/>
    <w:rsid w:val="7A989A0D"/>
    <w:rsid w:val="7AA78617"/>
    <w:rsid w:val="7AB83F37"/>
    <w:rsid w:val="7AC68334"/>
    <w:rsid w:val="7ADA17FE"/>
    <w:rsid w:val="7ADEB43F"/>
    <w:rsid w:val="7AFC7486"/>
    <w:rsid w:val="7AFD5994"/>
    <w:rsid w:val="7B01A744"/>
    <w:rsid w:val="7B02C282"/>
    <w:rsid w:val="7B1E37F8"/>
    <w:rsid w:val="7B204D48"/>
    <w:rsid w:val="7B2EC734"/>
    <w:rsid w:val="7B2F23A1"/>
    <w:rsid w:val="7B366E8F"/>
    <w:rsid w:val="7B410B7D"/>
    <w:rsid w:val="7B440F58"/>
    <w:rsid w:val="7B5570C2"/>
    <w:rsid w:val="7B5865D7"/>
    <w:rsid w:val="7B6F20ED"/>
    <w:rsid w:val="7B71CD0F"/>
    <w:rsid w:val="7B84AA48"/>
    <w:rsid w:val="7B8A8315"/>
    <w:rsid w:val="7B9C6DD8"/>
    <w:rsid w:val="7BA5C16D"/>
    <w:rsid w:val="7BBF1C09"/>
    <w:rsid w:val="7BC02096"/>
    <w:rsid w:val="7BCFC35D"/>
    <w:rsid w:val="7BDF5CE3"/>
    <w:rsid w:val="7BDFBFD0"/>
    <w:rsid w:val="7BEB2A6E"/>
    <w:rsid w:val="7C01E261"/>
    <w:rsid w:val="7C0C874F"/>
    <w:rsid w:val="7C0F77AC"/>
    <w:rsid w:val="7C150519"/>
    <w:rsid w:val="7C2081A6"/>
    <w:rsid w:val="7C303B5E"/>
    <w:rsid w:val="7C3F9141"/>
    <w:rsid w:val="7C4D023D"/>
    <w:rsid w:val="7C62CC58"/>
    <w:rsid w:val="7C756746"/>
    <w:rsid w:val="7C7EAC48"/>
    <w:rsid w:val="7C8E6334"/>
    <w:rsid w:val="7C901C77"/>
    <w:rsid w:val="7CB49843"/>
    <w:rsid w:val="7CBB6B1C"/>
    <w:rsid w:val="7CC661DC"/>
    <w:rsid w:val="7CCE7D10"/>
    <w:rsid w:val="7CE06CB4"/>
    <w:rsid w:val="7CE5A2B8"/>
    <w:rsid w:val="7CEF6F8B"/>
    <w:rsid w:val="7CF2B806"/>
    <w:rsid w:val="7D01474B"/>
    <w:rsid w:val="7D0D7951"/>
    <w:rsid w:val="7D0FB025"/>
    <w:rsid w:val="7D1E6CE7"/>
    <w:rsid w:val="7D2626FA"/>
    <w:rsid w:val="7D2E85A6"/>
    <w:rsid w:val="7D3F46B4"/>
    <w:rsid w:val="7D4A490E"/>
    <w:rsid w:val="7D690928"/>
    <w:rsid w:val="7D8AA080"/>
    <w:rsid w:val="7DA16E26"/>
    <w:rsid w:val="7DA1EB80"/>
    <w:rsid w:val="7DA4710F"/>
    <w:rsid w:val="7DA69229"/>
    <w:rsid w:val="7DAC1592"/>
    <w:rsid w:val="7DAE2E84"/>
    <w:rsid w:val="7DC2210B"/>
    <w:rsid w:val="7DC69EAB"/>
    <w:rsid w:val="7DCAF50C"/>
    <w:rsid w:val="7DD93AF4"/>
    <w:rsid w:val="7DDC2BC9"/>
    <w:rsid w:val="7DE6E7CA"/>
    <w:rsid w:val="7DF5F356"/>
    <w:rsid w:val="7DFD3F92"/>
    <w:rsid w:val="7E0FF173"/>
    <w:rsid w:val="7E2C6B2C"/>
    <w:rsid w:val="7E45AAA2"/>
    <w:rsid w:val="7E580333"/>
    <w:rsid w:val="7E765222"/>
    <w:rsid w:val="7E77AF28"/>
    <w:rsid w:val="7E853F90"/>
    <w:rsid w:val="7E85D37B"/>
    <w:rsid w:val="7E928855"/>
    <w:rsid w:val="7E959B4E"/>
    <w:rsid w:val="7E95D7A3"/>
    <w:rsid w:val="7EA0A3FF"/>
    <w:rsid w:val="7EC0363C"/>
    <w:rsid w:val="7ECA0620"/>
    <w:rsid w:val="7EDD5750"/>
    <w:rsid w:val="7F03A0C0"/>
    <w:rsid w:val="7F049C76"/>
    <w:rsid w:val="7F123E76"/>
    <w:rsid w:val="7F129790"/>
    <w:rsid w:val="7F27B67B"/>
    <w:rsid w:val="7F3BD608"/>
    <w:rsid w:val="7F461AD1"/>
    <w:rsid w:val="7F5E7585"/>
    <w:rsid w:val="7F6D8A42"/>
    <w:rsid w:val="7FBC3A16"/>
    <w:rsid w:val="7FD029D8"/>
    <w:rsid w:val="7FD3B25A"/>
    <w:rsid w:val="7FE89175"/>
    <w:rsid w:val="7FEA0E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paragraph" w:styleId="FootnoteText">
    <w:name w:val="footnote text"/>
    <w:basedOn w:val="Normal"/>
    <w:uiPriority w:val="99"/>
    <w:semiHidden/>
    <w:unhideWhenUsed/>
    <w:rsid w:val="190E8F6F"/>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12413"/>
    <w:rPr>
      <w:b/>
      <w:bCs/>
    </w:rPr>
  </w:style>
  <w:style w:type="character" w:customStyle="1" w:styleId="CommentSubjectChar">
    <w:name w:val="Comment Subject Char"/>
    <w:basedOn w:val="CommentTextChar"/>
    <w:link w:val="CommentSubject"/>
    <w:uiPriority w:val="99"/>
    <w:semiHidden/>
    <w:rsid w:val="00312413"/>
    <w:rPr>
      <w:b/>
      <w:bCs/>
      <w:sz w:val="20"/>
      <w:szCs w:val="20"/>
    </w:rPr>
  </w:style>
  <w:style w:type="character" w:styleId="Mention">
    <w:name w:val="Mention"/>
    <w:basedOn w:val="DefaultParagraphFont"/>
    <w:uiPriority w:val="99"/>
    <w:unhideWhenUsed/>
    <w:rsid w:val="00312413"/>
    <w:rPr>
      <w:color w:val="2B579A"/>
      <w:shd w:val="clear" w:color="auto" w:fill="E1DFDD"/>
    </w:rPr>
  </w:style>
  <w:style w:type="paragraph" w:styleId="Revision">
    <w:name w:val="Revision"/>
    <w:hidden/>
    <w:uiPriority w:val="99"/>
    <w:semiHidden/>
    <w:rsid w:val="00652523"/>
    <w:pPr>
      <w:spacing w:after="0" w:line="240" w:lineRule="auto"/>
    </w:pPr>
  </w:style>
  <w:style w:type="paragraph" w:styleId="Header">
    <w:name w:val="header"/>
    <w:basedOn w:val="Normal"/>
    <w:link w:val="HeaderChar"/>
    <w:unhideWhenUsed/>
    <w:rsid w:val="00903F4F"/>
    <w:pPr>
      <w:tabs>
        <w:tab w:val="center" w:pos="4680"/>
        <w:tab w:val="right" w:pos="9360"/>
      </w:tabs>
      <w:spacing w:after="0" w:line="240" w:lineRule="auto"/>
    </w:pPr>
  </w:style>
  <w:style w:type="character" w:customStyle="1" w:styleId="HeaderChar">
    <w:name w:val="Header Char"/>
    <w:basedOn w:val="DefaultParagraphFont"/>
    <w:link w:val="Header"/>
    <w:rsid w:val="00903F4F"/>
  </w:style>
  <w:style w:type="paragraph" w:styleId="Footer">
    <w:name w:val="footer"/>
    <w:basedOn w:val="Normal"/>
    <w:link w:val="FooterChar"/>
    <w:uiPriority w:val="99"/>
    <w:unhideWhenUsed/>
    <w:rsid w:val="00903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docs.cpuc.ca.gov/PublishedDocs/Published/G000/M608/K379/608379816.pdf" TargetMode="External" Id="R3e900c861608475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526323b3c888cd7128838a406e750e75">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ac68e4b8a1b25c85e1870f03b9a109bd"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tatus xmlns="64776ad0-39d4-4130-bf63-b73fdd226409">Active</DocumentStatus>
    <TaxKeywordTaxHTField xmlns="263dcc5b-2454-4d67-bfd0-48987ca6b20e">
      <Terms xmlns="http://schemas.microsoft.com/office/infopath/2007/PartnerControls"/>
    </TaxKeywordTaxHTField>
    <TaxCatchAll xmlns="263dcc5b-2454-4d67-bfd0-48987ca6b20e" xsi:nil="true"/>
    <lcf76f155ced4ddcb4097134ff3c332f xmlns="64776ad0-39d4-4130-bf63-b73fdd226409">
      <Terms xmlns="http://schemas.microsoft.com/office/infopath/2007/PartnerControls"/>
    </lcf76f155ced4ddcb4097134ff3c332f>
    <PrimaryTeam xmlns="64776ad0-39d4-4130-bf63-b73fdd226409" xsi:nil="true"/>
  </documentManagement>
</p:properties>
</file>

<file path=customXml/itemProps1.xml><?xml version="1.0" encoding="utf-8"?>
<ds:datastoreItem xmlns:ds="http://schemas.openxmlformats.org/officeDocument/2006/customXml" ds:itemID="{CEFD95C1-2BE5-43AE-BB7B-C5252E0AE957}">
  <ds:schemaRefs>
    <ds:schemaRef ds:uri="http://schemas.microsoft.com/sharepoint/v3/contenttype/forms"/>
  </ds:schemaRefs>
</ds:datastoreItem>
</file>

<file path=customXml/itemProps2.xml><?xml version="1.0" encoding="utf-8"?>
<ds:datastoreItem xmlns:ds="http://schemas.openxmlformats.org/officeDocument/2006/customXml" ds:itemID="{176E4A4B-9E11-4282-953D-D40C07451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6ad0-39d4-4130-bf63-b73fdd226409"/>
    <ds:schemaRef ds:uri="263dcc5b-2454-4d67-bfd0-48987ca6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4612C-AC21-47C7-ACDE-A6B024B6557F}">
  <ds:schemaRefs>
    <ds:schemaRef ds:uri="http://schemas.microsoft.com/office/2006/metadata/properties"/>
    <ds:schemaRef ds:uri="http://schemas.microsoft.com/office/infopath/2007/PartnerControls"/>
    <ds:schemaRef ds:uri="64776ad0-39d4-4130-bf63-b73fdd226409"/>
    <ds:schemaRef ds:uri="263dcc5b-2454-4d67-bfd0-48987ca6b20e"/>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28</ap:Pages>
  <ap:Words>8054</ap:Words>
  <ap:Characters>45909</ap:Characters>
  <ap:Application>Microsoft Office Word</ap:Application>
  <ap:DocSecurity>0</ap:DocSecurity>
  <ap:Lines>382</ap:Lines>
  <ap:Paragraphs>107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53856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2026-06-08T17:34:35Z</dcterms:created>
  <dcterms:modified xsi:type="dcterms:W3CDTF">2026-06-08T17:34:35Z</dcterms:modified>
</cp:coreProperties>
</file>