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561" w:rsidP="00500561" w:rsidRDefault="00500561" w14:paraId="2694D582" w14:textId="77777777">
      <w:pPr>
        <w:pStyle w:val="titlebar"/>
        <w:rPr>
          <w:sz w:val="24"/>
        </w:rPr>
      </w:pPr>
      <w:r>
        <w:rPr>
          <w:sz w:val="24"/>
        </w:rPr>
        <w:t>PUBLIC UTILITIES COMMISSION OF THE STATE OF CALIFORNIA</w:t>
      </w:r>
    </w:p>
    <w:p w:rsidR="00CD0A51" w:rsidP="00500561" w:rsidRDefault="00CD0A51" w14:paraId="6D60E77C" w14:textId="77777777">
      <w:pPr>
        <w:pStyle w:val="titlebar"/>
        <w:rPr>
          <w:sz w:val="24"/>
        </w:rPr>
      </w:pPr>
    </w:p>
    <w:p w:rsidR="00500561" w:rsidP="00CD0A51" w:rsidRDefault="00CD0A51" w14:paraId="55C8670B" w14:textId="49FB4219">
      <w:pPr>
        <w:tabs>
          <w:tab w:val="left" w:pos="6384"/>
          <w:tab w:val="right" w:pos="8820"/>
        </w:tabs>
      </w:pPr>
      <w:r>
        <w:tab/>
      </w:r>
      <w:r w:rsidRPr="00CD0A51">
        <w:rPr>
          <w:rFonts w:ascii="Palatino Linotype" w:hAnsi="Palatino Linotype"/>
          <w:b/>
          <w:sz w:val="24"/>
          <w:szCs w:val="24"/>
        </w:rPr>
        <w:t xml:space="preserve">           Item# 13 (Rev.1)</w:t>
      </w:r>
    </w:p>
    <w:p w:rsidR="00500561" w:rsidP="000D18DB" w:rsidRDefault="00500561" w14:paraId="0425E5BE" w14:textId="0945258B">
      <w:pPr>
        <w:tabs>
          <w:tab w:val="left" w:pos="6384"/>
          <w:tab w:val="right" w:pos="8820"/>
        </w:tabs>
        <w:rPr>
          <w:rFonts w:ascii="Palatino Linotype" w:hAnsi="Palatino Linotype"/>
          <w:b/>
          <w:sz w:val="24"/>
          <w:szCs w:val="24"/>
        </w:rPr>
      </w:pPr>
      <w:r>
        <w:rPr>
          <w:rFonts w:ascii="Palatino Linotype" w:hAnsi="Palatino Linotype"/>
          <w:b/>
          <w:sz w:val="24"/>
          <w:szCs w:val="24"/>
        </w:rPr>
        <w:tab/>
      </w:r>
      <w:r w:rsidR="000D18DB">
        <w:rPr>
          <w:rFonts w:ascii="Palatino Linotype" w:hAnsi="Palatino Linotype"/>
          <w:b/>
          <w:sz w:val="24"/>
          <w:szCs w:val="24"/>
        </w:rPr>
        <w:t xml:space="preserve">       </w:t>
      </w:r>
      <w:r>
        <w:rPr>
          <w:rFonts w:ascii="Palatino Linotype" w:hAnsi="Palatino Linotype"/>
          <w:b/>
          <w:sz w:val="24"/>
          <w:szCs w:val="24"/>
        </w:rPr>
        <w:t xml:space="preserve">Agenda ID# </w:t>
      </w:r>
      <w:r w:rsidRPr="000D18DB" w:rsidR="000D18DB">
        <w:rPr>
          <w:rFonts w:ascii="Palatino Linotype" w:hAnsi="Palatino Linotype"/>
          <w:b/>
          <w:bCs/>
          <w:sz w:val="24"/>
          <w:szCs w:val="24"/>
        </w:rPr>
        <w:t>24191</w:t>
      </w:r>
    </w:p>
    <w:p w:rsidR="00500561" w:rsidP="00500561" w:rsidRDefault="00500561" w14:paraId="3CEB6E35" w14:textId="03169454">
      <w:pPr>
        <w:tabs>
          <w:tab w:val="right" w:pos="8820"/>
        </w:tabs>
        <w:rPr>
          <w:rFonts w:ascii="Palatino Linotype" w:hAnsi="Palatino Linotype" w:eastAsia="Palatino Linotype"/>
          <w:b/>
          <w:sz w:val="24"/>
          <w:szCs w:val="24"/>
        </w:rPr>
      </w:pPr>
      <w:r w:rsidRPr="00D865A9">
        <w:rPr>
          <w:rFonts w:ascii="Palatino Linotype" w:hAnsi="Palatino Linotype" w:eastAsia="Palatino Linotype"/>
          <w:b/>
          <w:sz w:val="24"/>
          <w:szCs w:val="24"/>
        </w:rPr>
        <w:t>ENERGY DIVISION</w:t>
      </w:r>
      <w:r>
        <w:tab/>
      </w:r>
      <w:r w:rsidRPr="00D865A9">
        <w:rPr>
          <w:rFonts w:ascii="Palatino Linotype" w:hAnsi="Palatino Linotype" w:eastAsia="Palatino Linotype"/>
          <w:b/>
          <w:sz w:val="24"/>
          <w:szCs w:val="24"/>
        </w:rPr>
        <w:t>RESOLUTION G</w:t>
      </w:r>
      <w:r w:rsidRPr="6619BA2F">
        <w:rPr>
          <w:rFonts w:ascii="Palatino Linotype" w:hAnsi="Palatino Linotype" w:eastAsia="Palatino Linotype"/>
          <w:b/>
          <w:bCs/>
          <w:sz w:val="24"/>
          <w:szCs w:val="24"/>
        </w:rPr>
        <w:t>-</w:t>
      </w:r>
      <w:r w:rsidRPr="6619BA2F" w:rsidR="08EDE5FA">
        <w:rPr>
          <w:rFonts w:ascii="Palatino Linotype" w:hAnsi="Palatino Linotype" w:eastAsia="Palatino Linotype"/>
          <w:b/>
          <w:bCs/>
          <w:sz w:val="24"/>
          <w:szCs w:val="24"/>
        </w:rPr>
        <w:t>3621</w:t>
      </w:r>
    </w:p>
    <w:p w:rsidRPr="00D865A9" w:rsidR="00500561" w:rsidP="00500561" w:rsidRDefault="00500561" w14:paraId="2EEFCC55" w14:textId="60B17A0F">
      <w:pPr>
        <w:tabs>
          <w:tab w:val="right" w:pos="8820"/>
        </w:tabs>
        <w:rPr>
          <w:rFonts w:ascii="Palatino Linotype" w:hAnsi="Palatino Linotype"/>
          <w:b/>
          <w:sz w:val="24"/>
          <w:szCs w:val="24"/>
        </w:rPr>
      </w:pPr>
      <w:r>
        <w:rPr>
          <w:rFonts w:ascii="Palatino Linotype" w:hAnsi="Palatino Linotype"/>
          <w:b/>
          <w:sz w:val="24"/>
          <w:szCs w:val="24"/>
        </w:rPr>
        <w:tab/>
      </w:r>
      <w:r w:rsidR="00B65107">
        <w:rPr>
          <w:rFonts w:ascii="Palatino Linotype" w:hAnsi="Palatino Linotype"/>
          <w:b/>
          <w:sz w:val="24"/>
          <w:szCs w:val="24"/>
        </w:rPr>
        <w:t>June</w:t>
      </w:r>
      <w:r w:rsidR="006C34B1">
        <w:rPr>
          <w:rFonts w:ascii="Palatino Linotype" w:hAnsi="Palatino Linotype"/>
          <w:b/>
          <w:sz w:val="24"/>
          <w:szCs w:val="24"/>
        </w:rPr>
        <w:t xml:space="preserve"> </w:t>
      </w:r>
      <w:r w:rsidR="00B65107">
        <w:rPr>
          <w:rFonts w:ascii="Palatino Linotype" w:hAnsi="Palatino Linotype"/>
          <w:b/>
          <w:sz w:val="24"/>
          <w:szCs w:val="24"/>
        </w:rPr>
        <w:t>11</w:t>
      </w:r>
      <w:r w:rsidR="006C34B1">
        <w:rPr>
          <w:rFonts w:ascii="Palatino Linotype" w:hAnsi="Palatino Linotype"/>
          <w:b/>
          <w:sz w:val="24"/>
          <w:szCs w:val="24"/>
        </w:rPr>
        <w:t>, 2026</w:t>
      </w:r>
    </w:p>
    <w:p w:rsidR="00500561" w:rsidRDefault="00500561" w14:paraId="1FA28DE0" w14:textId="77777777">
      <w:pPr>
        <w:pStyle w:val="titlebar"/>
        <w:rPr>
          <w:sz w:val="24"/>
        </w:rPr>
      </w:pPr>
    </w:p>
    <w:p w:rsidR="005362FD" w:rsidRDefault="005362FD" w14:paraId="1DAA3222" w14:textId="77777777">
      <w:pPr>
        <w:tabs>
          <w:tab w:val="right" w:pos="8910"/>
        </w:tabs>
        <w:ind w:left="1440" w:firstLine="720"/>
        <w:rPr>
          <w:b/>
          <w:sz w:val="24"/>
        </w:rPr>
      </w:pPr>
    </w:p>
    <w:p w:rsidR="00CF17DE" w:rsidRDefault="00CF17DE" w14:paraId="40ADBA19" w14:textId="77777777">
      <w:pPr>
        <w:pStyle w:val="mainex"/>
        <w:rPr>
          <w:u w:val="single"/>
        </w:rPr>
      </w:pPr>
      <w:bookmarkStart w:name="_Ref404993683" w:id="0"/>
      <w:r>
        <w:rPr>
          <w:u w:val="single"/>
        </w:rPr>
        <w:t>RESOLUTION</w:t>
      </w:r>
    </w:p>
    <w:p w:rsidR="00CF17DE" w:rsidRDefault="00CF17DE" w14:paraId="63C93376" w14:textId="08AD1B28"/>
    <w:p w:rsidR="0061788D" w:rsidP="00AA2864" w:rsidRDefault="00AA2864" w14:paraId="073D630E" w14:textId="13A48092">
      <w:pPr>
        <w:pStyle w:val="Res-Caption"/>
        <w:rPr>
          <w:rFonts w:ascii="Palatino Linotype" w:hAnsi="Palatino Linotype"/>
          <w:sz w:val="24"/>
          <w:szCs w:val="24"/>
        </w:rPr>
      </w:pPr>
      <w:r w:rsidRPr="00D865A9">
        <w:rPr>
          <w:rFonts w:ascii="Palatino Linotype" w:hAnsi="Palatino Linotype"/>
          <w:sz w:val="24"/>
          <w:szCs w:val="24"/>
        </w:rPr>
        <w:t xml:space="preserve">Resolution </w:t>
      </w:r>
      <w:r>
        <w:rPr>
          <w:rFonts w:ascii="Palatino Linotype" w:hAnsi="Palatino Linotype"/>
          <w:sz w:val="24"/>
          <w:szCs w:val="24"/>
        </w:rPr>
        <w:t>G</w:t>
      </w:r>
      <w:r w:rsidR="00D81B91">
        <w:rPr>
          <w:rFonts w:ascii="Palatino Linotype" w:hAnsi="Palatino Linotype"/>
          <w:sz w:val="24"/>
          <w:szCs w:val="24"/>
        </w:rPr>
        <w:t>-3621</w:t>
      </w:r>
      <w:r w:rsidRPr="00D865A9">
        <w:rPr>
          <w:rFonts w:ascii="Palatino Linotype" w:hAnsi="Palatino Linotype"/>
          <w:sz w:val="24"/>
          <w:szCs w:val="24"/>
        </w:rPr>
        <w:t>.</w:t>
      </w:r>
      <w:r w:rsidR="006A2A4D">
        <w:rPr>
          <w:rFonts w:ascii="Palatino Linotype" w:hAnsi="Palatino Linotype"/>
          <w:sz w:val="24"/>
          <w:szCs w:val="24"/>
        </w:rPr>
        <w:t xml:space="preserve"> </w:t>
      </w:r>
      <w:r w:rsidR="00DB3255">
        <w:rPr>
          <w:rFonts w:ascii="Palatino Linotype" w:hAnsi="Palatino Linotype"/>
          <w:sz w:val="24"/>
          <w:szCs w:val="24"/>
        </w:rPr>
        <w:t>R</w:t>
      </w:r>
      <w:r w:rsidR="000F4834">
        <w:rPr>
          <w:rFonts w:ascii="Palatino Linotype" w:hAnsi="Palatino Linotype"/>
          <w:sz w:val="24"/>
          <w:szCs w:val="24"/>
        </w:rPr>
        <w:t>eaffirms the</w:t>
      </w:r>
      <w:r>
        <w:rPr>
          <w:rFonts w:ascii="Palatino Linotype" w:hAnsi="Palatino Linotype"/>
          <w:sz w:val="24"/>
          <w:szCs w:val="24"/>
        </w:rPr>
        <w:t xml:space="preserve"> Annual Fee for registered Core Transport Agents</w:t>
      </w:r>
      <w:r w:rsidR="00EE5A57">
        <w:rPr>
          <w:rFonts w:ascii="Palatino Linotype" w:hAnsi="Palatino Linotype"/>
          <w:sz w:val="24"/>
          <w:szCs w:val="24"/>
        </w:rPr>
        <w:t xml:space="preserve"> </w:t>
      </w:r>
      <w:r w:rsidR="0061788D">
        <w:rPr>
          <w:rFonts w:ascii="Palatino Linotype" w:hAnsi="Palatino Linotype"/>
          <w:sz w:val="24"/>
          <w:szCs w:val="24"/>
        </w:rPr>
        <w:t>pursuant to Public Utilities Code Section 984(b) and Decision 18-02-002.</w:t>
      </w:r>
      <w:r w:rsidR="000F4834">
        <w:rPr>
          <w:rFonts w:ascii="Palatino Linotype" w:hAnsi="Palatino Linotype"/>
          <w:sz w:val="24"/>
          <w:szCs w:val="24"/>
        </w:rPr>
        <w:t xml:space="preserve"> </w:t>
      </w:r>
    </w:p>
    <w:p w:rsidR="00801D70" w:rsidRDefault="00801D70" w14:paraId="70E6A3B4" w14:textId="77777777">
      <w:pPr>
        <w:pStyle w:val="Res-Caption"/>
      </w:pPr>
    </w:p>
    <w:p w:rsidR="003515C0" w:rsidP="003515C0" w:rsidRDefault="006E3C93" w14:paraId="22109823" w14:textId="0B9E97BC">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PROPOSED OUTCOME</w:t>
      </w:r>
    </w:p>
    <w:p w:rsidRPr="00562A97" w:rsidR="00F65667" w:rsidP="00562A97" w:rsidRDefault="0006756D" w14:paraId="2DDB766C" w14:textId="103F36DD">
      <w:pPr>
        <w:pStyle w:val="Res-Caption"/>
        <w:numPr>
          <w:ilvl w:val="0"/>
          <w:numId w:val="31"/>
        </w:numPr>
        <w:rPr>
          <w:rFonts w:ascii="Palatino Linotype" w:hAnsi="Palatino Linotype"/>
          <w:strike/>
          <w:sz w:val="24"/>
          <w:szCs w:val="24"/>
        </w:rPr>
      </w:pPr>
      <w:r w:rsidRPr="00562A97">
        <w:rPr>
          <w:rFonts w:ascii="Palatino Linotype" w:hAnsi="Palatino Linotype" w:eastAsia="Palatino Linotype"/>
          <w:sz w:val="24"/>
          <w:szCs w:val="24"/>
        </w:rPr>
        <w:t>Re</w:t>
      </w:r>
      <w:r w:rsidRPr="00562A97" w:rsidR="00AD5AE8">
        <w:rPr>
          <w:rFonts w:ascii="Palatino Linotype" w:hAnsi="Palatino Linotype" w:eastAsia="Palatino Linotype"/>
          <w:sz w:val="24"/>
          <w:szCs w:val="24"/>
        </w:rPr>
        <w:t>iterates</w:t>
      </w:r>
      <w:r w:rsidRPr="00562A97">
        <w:rPr>
          <w:rFonts w:ascii="Palatino Linotype" w:hAnsi="Palatino Linotype" w:eastAsia="Palatino Linotype"/>
          <w:sz w:val="24"/>
          <w:szCs w:val="24"/>
        </w:rPr>
        <w:t xml:space="preserve"> the current c</w:t>
      </w:r>
      <w:r w:rsidRPr="00562A97" w:rsidR="006B1E96">
        <w:rPr>
          <w:rFonts w:ascii="Palatino Linotype" w:hAnsi="Palatino Linotype" w:eastAsia="Palatino Linotype"/>
          <w:sz w:val="24"/>
          <w:szCs w:val="24"/>
        </w:rPr>
        <w:t>ost allocation methodology</w:t>
      </w:r>
      <w:r w:rsidRPr="00562A97" w:rsidR="005525B2">
        <w:rPr>
          <w:rFonts w:ascii="Palatino Linotype" w:hAnsi="Palatino Linotype" w:eastAsia="Palatino Linotype"/>
          <w:sz w:val="24"/>
          <w:szCs w:val="24"/>
        </w:rPr>
        <w:t xml:space="preserve"> for the </w:t>
      </w:r>
      <w:r w:rsidRPr="00562A97" w:rsidR="00413068">
        <w:rPr>
          <w:rFonts w:ascii="Palatino Linotype" w:hAnsi="Palatino Linotype" w:eastAsia="Palatino Linotype"/>
          <w:sz w:val="24"/>
          <w:szCs w:val="24"/>
        </w:rPr>
        <w:t>Core Transport Agent (</w:t>
      </w:r>
      <w:r w:rsidRPr="00562A97" w:rsidR="005525B2">
        <w:rPr>
          <w:rFonts w:ascii="Palatino Linotype" w:hAnsi="Palatino Linotype" w:eastAsia="Palatino Linotype"/>
          <w:sz w:val="24"/>
          <w:szCs w:val="24"/>
        </w:rPr>
        <w:t>CTA</w:t>
      </w:r>
      <w:r w:rsidRPr="00562A97" w:rsidR="00413068">
        <w:rPr>
          <w:rFonts w:ascii="Palatino Linotype" w:hAnsi="Palatino Linotype" w:eastAsia="Palatino Linotype"/>
          <w:sz w:val="24"/>
          <w:szCs w:val="24"/>
        </w:rPr>
        <w:t>)</w:t>
      </w:r>
      <w:r w:rsidRPr="00562A97" w:rsidR="005525B2">
        <w:rPr>
          <w:rFonts w:ascii="Palatino Linotype" w:hAnsi="Palatino Linotype" w:eastAsia="Palatino Linotype"/>
          <w:sz w:val="24"/>
          <w:szCs w:val="24"/>
        </w:rPr>
        <w:t xml:space="preserve"> </w:t>
      </w:r>
      <w:r w:rsidRPr="00562A97" w:rsidR="00413068">
        <w:rPr>
          <w:rFonts w:ascii="Palatino Linotype" w:hAnsi="Palatino Linotype" w:eastAsia="Palatino Linotype"/>
          <w:sz w:val="24"/>
          <w:szCs w:val="24"/>
        </w:rPr>
        <w:t>A</w:t>
      </w:r>
      <w:r w:rsidRPr="00562A97" w:rsidR="005525B2">
        <w:rPr>
          <w:rFonts w:ascii="Palatino Linotype" w:hAnsi="Palatino Linotype" w:eastAsia="Palatino Linotype"/>
          <w:sz w:val="24"/>
          <w:szCs w:val="24"/>
        </w:rPr>
        <w:t xml:space="preserve">nnual </w:t>
      </w:r>
      <w:r w:rsidR="00562A97">
        <w:rPr>
          <w:rFonts w:ascii="Palatino Linotype" w:hAnsi="Palatino Linotype" w:eastAsia="Palatino Linotype"/>
          <w:sz w:val="24"/>
          <w:szCs w:val="24"/>
        </w:rPr>
        <w:t>F</w:t>
      </w:r>
      <w:r w:rsidRPr="00562A97" w:rsidR="005525B2">
        <w:rPr>
          <w:rFonts w:ascii="Palatino Linotype" w:hAnsi="Palatino Linotype" w:eastAsia="Palatino Linotype"/>
          <w:sz w:val="24"/>
          <w:szCs w:val="24"/>
        </w:rPr>
        <w:t>ee as outlined</w:t>
      </w:r>
      <w:r w:rsidRPr="00562A97" w:rsidR="002C0E46">
        <w:rPr>
          <w:rFonts w:ascii="Palatino Linotype" w:hAnsi="Palatino Linotype" w:eastAsia="Palatino Linotype"/>
          <w:sz w:val="24"/>
          <w:szCs w:val="24"/>
        </w:rPr>
        <w:t xml:space="preserve"> in</w:t>
      </w:r>
      <w:r w:rsidRPr="00562A97" w:rsidR="00C103DF">
        <w:rPr>
          <w:rFonts w:ascii="Palatino Linotype" w:hAnsi="Palatino Linotype" w:eastAsia="Palatino Linotype"/>
          <w:sz w:val="24"/>
          <w:szCs w:val="24"/>
        </w:rPr>
        <w:t xml:space="preserve"> Resolution G-3597</w:t>
      </w:r>
      <w:r w:rsidRPr="00562A97" w:rsidR="006B1E96">
        <w:rPr>
          <w:rFonts w:ascii="Palatino Linotype" w:hAnsi="Palatino Linotype" w:eastAsia="Palatino Linotype"/>
          <w:sz w:val="24"/>
          <w:szCs w:val="24"/>
        </w:rPr>
        <w:t xml:space="preserve">. </w:t>
      </w:r>
    </w:p>
    <w:p w:rsidR="00985C21" w:rsidP="00416039" w:rsidRDefault="00985C21" w14:paraId="5E9A2ECF" w14:textId="77777777">
      <w:pPr>
        <w:pStyle w:val="Res-Caption"/>
        <w:rPr>
          <w:rFonts w:ascii="Palatino Linotype" w:hAnsi="Palatino Linotype"/>
          <w:strike/>
          <w:sz w:val="24"/>
          <w:szCs w:val="24"/>
        </w:rPr>
      </w:pPr>
    </w:p>
    <w:p w:rsidRPr="00D865A9" w:rsidR="00416039" w:rsidP="00416039" w:rsidRDefault="00416039" w14:paraId="1B21B019" w14:textId="089A9890">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SAFETY CONSIDERATIONS:</w:t>
      </w:r>
    </w:p>
    <w:p w:rsidRPr="00331BC4" w:rsidR="003B28DC" w:rsidP="00002671" w:rsidRDefault="00FF70A2" w14:paraId="45AA417E" w14:textId="03817A74">
      <w:pPr>
        <w:pStyle w:val="Res-Caption"/>
        <w:numPr>
          <w:ilvl w:val="0"/>
          <w:numId w:val="5"/>
        </w:numPr>
        <w:rPr>
          <w:rFonts w:ascii="Palatino Linotype" w:hAnsi="Palatino Linotype"/>
          <w:sz w:val="24"/>
          <w:szCs w:val="24"/>
        </w:rPr>
      </w:pPr>
      <w:r w:rsidRPr="00331BC4">
        <w:rPr>
          <w:rFonts w:ascii="Palatino Linotype" w:hAnsi="Palatino Linotype"/>
          <w:sz w:val="24"/>
          <w:szCs w:val="24"/>
        </w:rPr>
        <w:t xml:space="preserve">There </w:t>
      </w:r>
      <w:proofErr w:type="gramStart"/>
      <w:r w:rsidRPr="00331BC4">
        <w:rPr>
          <w:rFonts w:ascii="Palatino Linotype" w:hAnsi="Palatino Linotype"/>
          <w:sz w:val="24"/>
          <w:szCs w:val="24"/>
        </w:rPr>
        <w:t>are</w:t>
      </w:r>
      <w:proofErr w:type="gramEnd"/>
      <w:r w:rsidRPr="00331BC4">
        <w:rPr>
          <w:rFonts w:ascii="Palatino Linotype" w:hAnsi="Palatino Linotype"/>
          <w:sz w:val="24"/>
          <w:szCs w:val="24"/>
        </w:rPr>
        <w:t xml:space="preserve"> no safety considerations </w:t>
      </w:r>
      <w:r w:rsidR="007D1FB0">
        <w:rPr>
          <w:rFonts w:ascii="Palatino Linotype" w:hAnsi="Palatino Linotype"/>
          <w:sz w:val="24"/>
          <w:szCs w:val="24"/>
        </w:rPr>
        <w:t xml:space="preserve">associated </w:t>
      </w:r>
      <w:r w:rsidRPr="00331BC4">
        <w:rPr>
          <w:rFonts w:ascii="Palatino Linotype" w:hAnsi="Palatino Linotype"/>
          <w:sz w:val="24"/>
          <w:szCs w:val="24"/>
        </w:rPr>
        <w:t>with this resolution.</w:t>
      </w:r>
    </w:p>
    <w:p w:rsidR="00801D70" w:rsidRDefault="00801D70" w14:paraId="664CBB61" w14:textId="77777777">
      <w:pPr>
        <w:pStyle w:val="Res-Caption"/>
        <w:rPr>
          <w:rFonts w:ascii="Palatino Linotype" w:hAnsi="Palatino Linotype"/>
        </w:rPr>
      </w:pPr>
    </w:p>
    <w:p w:rsidR="00072CB4" w:rsidP="00072CB4" w:rsidRDefault="00072CB4" w14:paraId="305BA96C" w14:textId="4D516F04">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ESTIMATED COST:</w:t>
      </w:r>
      <w:r w:rsidR="006A2A4D">
        <w:rPr>
          <w:rFonts w:ascii="Palatino Linotype" w:hAnsi="Palatino Linotype" w:eastAsia="Palatino Linotype"/>
          <w:sz w:val="24"/>
          <w:szCs w:val="24"/>
        </w:rPr>
        <w:t xml:space="preserve"> </w:t>
      </w:r>
    </w:p>
    <w:p w:rsidRPr="006A2A4D" w:rsidR="00E82299" w:rsidP="00002671" w:rsidRDefault="00E82299" w14:paraId="0BD30253" w14:textId="1969B58A">
      <w:pPr>
        <w:pStyle w:val="Res-Caption"/>
        <w:numPr>
          <w:ilvl w:val="0"/>
          <w:numId w:val="5"/>
        </w:numPr>
        <w:rPr>
          <w:rFonts w:ascii="Palatino Linotype" w:hAnsi="Palatino Linotype"/>
          <w:sz w:val="24"/>
          <w:szCs w:val="24"/>
        </w:rPr>
      </w:pPr>
      <w:r w:rsidRPr="006A2A4D">
        <w:rPr>
          <w:rFonts w:ascii="Palatino Linotype" w:hAnsi="Palatino Linotype"/>
          <w:sz w:val="24"/>
          <w:szCs w:val="24"/>
        </w:rPr>
        <w:t xml:space="preserve">Each registered </w:t>
      </w:r>
      <w:r w:rsidRPr="006A2A4D" w:rsidR="00455A31">
        <w:rPr>
          <w:rFonts w:ascii="Palatino Linotype" w:hAnsi="Palatino Linotype"/>
          <w:sz w:val="24"/>
          <w:szCs w:val="24"/>
        </w:rPr>
        <w:t xml:space="preserve">CTA </w:t>
      </w:r>
      <w:r w:rsidRPr="006A2A4D">
        <w:rPr>
          <w:rFonts w:ascii="Palatino Linotype" w:hAnsi="Palatino Linotype"/>
          <w:sz w:val="24"/>
          <w:szCs w:val="24"/>
        </w:rPr>
        <w:t>will pay a</w:t>
      </w:r>
      <w:r w:rsidRPr="006A2A4D" w:rsidR="004C6884">
        <w:rPr>
          <w:rFonts w:ascii="Palatino Linotype" w:hAnsi="Palatino Linotype"/>
          <w:sz w:val="24"/>
          <w:szCs w:val="24"/>
        </w:rPr>
        <w:t xml:space="preserve">n Annual Fee that </w:t>
      </w:r>
      <w:r w:rsidRPr="006A2A4D" w:rsidR="00CF081A">
        <w:rPr>
          <w:rFonts w:ascii="Palatino Linotype" w:hAnsi="Palatino Linotype"/>
          <w:sz w:val="24"/>
          <w:szCs w:val="24"/>
        </w:rPr>
        <w:t>consists</w:t>
      </w:r>
      <w:r w:rsidRPr="006A2A4D" w:rsidR="004C6884">
        <w:rPr>
          <w:rFonts w:ascii="Palatino Linotype" w:hAnsi="Palatino Linotype"/>
          <w:sz w:val="24"/>
          <w:szCs w:val="24"/>
        </w:rPr>
        <w:t xml:space="preserve"> of a</w:t>
      </w:r>
      <w:r w:rsidRPr="006A2A4D">
        <w:rPr>
          <w:rFonts w:ascii="Palatino Linotype" w:hAnsi="Palatino Linotype"/>
          <w:sz w:val="24"/>
          <w:szCs w:val="24"/>
        </w:rPr>
        <w:t xml:space="preserve"> </w:t>
      </w:r>
      <w:r w:rsidRPr="006A2A4D" w:rsidR="00AA2E93">
        <w:rPr>
          <w:rFonts w:ascii="Palatino Linotype" w:hAnsi="Palatino Linotype"/>
          <w:sz w:val="24"/>
          <w:szCs w:val="24"/>
        </w:rPr>
        <w:t>Base F</w:t>
      </w:r>
      <w:r w:rsidRPr="006A2A4D">
        <w:rPr>
          <w:rFonts w:ascii="Palatino Linotype" w:hAnsi="Palatino Linotype"/>
          <w:sz w:val="24"/>
          <w:szCs w:val="24"/>
        </w:rPr>
        <w:t>ee of $</w:t>
      </w:r>
      <w:r w:rsidRPr="006A2A4D" w:rsidR="00BC091E">
        <w:rPr>
          <w:rFonts w:ascii="Palatino Linotype" w:hAnsi="Palatino Linotype"/>
          <w:sz w:val="24"/>
          <w:szCs w:val="24"/>
        </w:rPr>
        <w:t xml:space="preserve">5,000 </w:t>
      </w:r>
      <w:r w:rsidRPr="006A2A4D" w:rsidR="004C6884">
        <w:rPr>
          <w:rFonts w:ascii="Palatino Linotype" w:hAnsi="Palatino Linotype"/>
          <w:sz w:val="24"/>
          <w:szCs w:val="24"/>
        </w:rPr>
        <w:t>and a Variable Fee</w:t>
      </w:r>
      <w:r w:rsidRPr="006A2A4D">
        <w:rPr>
          <w:rFonts w:ascii="Palatino Linotype" w:hAnsi="Palatino Linotype"/>
          <w:sz w:val="24"/>
          <w:szCs w:val="24"/>
        </w:rPr>
        <w:t>.</w:t>
      </w:r>
      <w:r w:rsidRPr="006A2A4D" w:rsidR="008A1976">
        <w:rPr>
          <w:rFonts w:ascii="Palatino Linotype" w:hAnsi="Palatino Linotype"/>
          <w:sz w:val="24"/>
          <w:szCs w:val="24"/>
        </w:rPr>
        <w:t xml:space="preserve"> </w:t>
      </w:r>
      <w:r w:rsidRPr="006A2A4D" w:rsidR="004C6884">
        <w:rPr>
          <w:rFonts w:ascii="Palatino Linotype" w:hAnsi="Palatino Linotype"/>
          <w:sz w:val="24"/>
          <w:szCs w:val="24"/>
        </w:rPr>
        <w:t xml:space="preserve">Only </w:t>
      </w:r>
      <w:r w:rsidRPr="006A2A4D" w:rsidR="008A1976">
        <w:rPr>
          <w:rFonts w:ascii="Palatino Linotype" w:hAnsi="Palatino Linotype"/>
          <w:sz w:val="24"/>
          <w:szCs w:val="24"/>
        </w:rPr>
        <w:t xml:space="preserve">those </w:t>
      </w:r>
      <w:r w:rsidRPr="006A2A4D" w:rsidR="004C6884">
        <w:rPr>
          <w:rFonts w:ascii="Palatino Linotype" w:hAnsi="Palatino Linotype"/>
          <w:sz w:val="24"/>
          <w:szCs w:val="24"/>
        </w:rPr>
        <w:t xml:space="preserve">CTAs </w:t>
      </w:r>
      <w:r w:rsidRPr="006A2A4D" w:rsidR="008A1976">
        <w:rPr>
          <w:rFonts w:ascii="Palatino Linotype" w:hAnsi="Palatino Linotype"/>
          <w:sz w:val="24"/>
          <w:szCs w:val="24"/>
        </w:rPr>
        <w:t xml:space="preserve">that </w:t>
      </w:r>
      <w:r w:rsidRPr="006A2A4D" w:rsidR="004C6884">
        <w:rPr>
          <w:rFonts w:ascii="Palatino Linotype" w:hAnsi="Palatino Linotype"/>
          <w:sz w:val="24"/>
          <w:szCs w:val="24"/>
        </w:rPr>
        <w:t xml:space="preserve">received complaints </w:t>
      </w:r>
      <w:r w:rsidRPr="006A2A4D" w:rsidR="00A0331C">
        <w:rPr>
          <w:rFonts w:ascii="Palatino Linotype" w:hAnsi="Palatino Linotype"/>
          <w:sz w:val="24"/>
          <w:szCs w:val="24"/>
        </w:rPr>
        <w:t xml:space="preserve">or were the subject of UEB </w:t>
      </w:r>
      <w:r w:rsidR="006C34B1">
        <w:rPr>
          <w:rFonts w:ascii="Palatino Linotype" w:hAnsi="Palatino Linotype"/>
          <w:sz w:val="24"/>
          <w:szCs w:val="24"/>
        </w:rPr>
        <w:t xml:space="preserve">unauthorized enrollment investigations and </w:t>
      </w:r>
      <w:r w:rsidRPr="006A2A4D" w:rsidR="00A0331C">
        <w:rPr>
          <w:rFonts w:ascii="Palatino Linotype" w:hAnsi="Palatino Linotype"/>
          <w:sz w:val="24"/>
          <w:szCs w:val="24"/>
        </w:rPr>
        <w:t xml:space="preserve">enforcement actions </w:t>
      </w:r>
      <w:r w:rsidRPr="006A2A4D" w:rsidR="004C6884">
        <w:rPr>
          <w:rFonts w:ascii="Palatino Linotype" w:hAnsi="Palatino Linotype"/>
          <w:sz w:val="24"/>
          <w:szCs w:val="24"/>
        </w:rPr>
        <w:t>in 202</w:t>
      </w:r>
      <w:r w:rsidR="00EF2D17">
        <w:rPr>
          <w:rFonts w:ascii="Palatino Linotype" w:hAnsi="Palatino Linotype"/>
          <w:sz w:val="24"/>
          <w:szCs w:val="24"/>
        </w:rPr>
        <w:t>5</w:t>
      </w:r>
      <w:r w:rsidRPr="006A2A4D" w:rsidR="00A0331C">
        <w:rPr>
          <w:rFonts w:ascii="Palatino Linotype" w:hAnsi="Palatino Linotype"/>
          <w:sz w:val="24"/>
          <w:szCs w:val="24"/>
        </w:rPr>
        <w:t xml:space="preserve"> </w:t>
      </w:r>
      <w:r w:rsidRPr="006A2A4D" w:rsidR="008A1976">
        <w:rPr>
          <w:rFonts w:ascii="Palatino Linotype" w:hAnsi="Palatino Linotype"/>
          <w:sz w:val="24"/>
          <w:szCs w:val="24"/>
        </w:rPr>
        <w:t xml:space="preserve">will </w:t>
      </w:r>
      <w:r w:rsidRPr="006A2A4D" w:rsidR="004C6884">
        <w:rPr>
          <w:rFonts w:ascii="Palatino Linotype" w:hAnsi="Palatino Linotype"/>
          <w:sz w:val="24"/>
          <w:szCs w:val="24"/>
        </w:rPr>
        <w:t xml:space="preserve">pay the Variable Fee. </w:t>
      </w:r>
      <w:r w:rsidRPr="006A2A4D">
        <w:rPr>
          <w:rFonts w:ascii="Palatino Linotype" w:hAnsi="Palatino Linotype"/>
          <w:sz w:val="24"/>
          <w:szCs w:val="24"/>
        </w:rPr>
        <w:t>Pursuant to Public Utilities Code Section 984(b)</w:t>
      </w:r>
      <w:r w:rsidRPr="006A2A4D" w:rsidR="008C22AB">
        <w:rPr>
          <w:rFonts w:ascii="Palatino Linotype" w:hAnsi="Palatino Linotype"/>
          <w:sz w:val="24"/>
          <w:szCs w:val="24"/>
        </w:rPr>
        <w:t>,</w:t>
      </w:r>
      <w:r w:rsidRPr="006A2A4D">
        <w:rPr>
          <w:rFonts w:ascii="Palatino Linotype" w:hAnsi="Palatino Linotype"/>
          <w:sz w:val="24"/>
          <w:szCs w:val="24"/>
        </w:rPr>
        <w:t xml:space="preserve"> </w:t>
      </w:r>
      <w:r w:rsidRPr="006A2A4D" w:rsidR="008C22AB">
        <w:rPr>
          <w:rFonts w:ascii="Palatino Linotype" w:hAnsi="Palatino Linotype"/>
          <w:sz w:val="24"/>
          <w:szCs w:val="24"/>
        </w:rPr>
        <w:t xml:space="preserve">if </w:t>
      </w:r>
      <w:r w:rsidRPr="006A2A4D">
        <w:rPr>
          <w:rFonts w:ascii="Palatino Linotype" w:hAnsi="Palatino Linotype"/>
          <w:sz w:val="24"/>
          <w:szCs w:val="24"/>
        </w:rPr>
        <w:t>payment is not received within 30 days of billing, a 15 percent penalty will be assessed on the full amount billed.</w:t>
      </w:r>
    </w:p>
    <w:p w:rsidR="00121159" w:rsidP="005659E5" w:rsidRDefault="00121159" w14:paraId="75BBE7F9" w14:textId="77777777">
      <w:pPr>
        <w:spacing w:after="160" w:line="259" w:lineRule="auto"/>
        <w:rPr>
          <w:rFonts w:ascii="Palatino Linotype" w:hAnsi="Palatino Linotype"/>
          <w:szCs w:val="26"/>
        </w:rPr>
      </w:pPr>
    </w:p>
    <w:p w:rsidR="00E82299" w:rsidP="005659E5" w:rsidRDefault="00E82299" w14:paraId="09BE3411" w14:textId="6C9A47A8">
      <w:pPr>
        <w:spacing w:after="160" w:line="259" w:lineRule="auto"/>
        <w:rPr>
          <w:rFonts w:ascii="Palatino Linotype" w:hAnsi="Palatino Linotype"/>
          <w:sz w:val="24"/>
          <w:szCs w:val="24"/>
        </w:rPr>
      </w:pPr>
      <w:r w:rsidRPr="00331BC4">
        <w:rPr>
          <w:rFonts w:ascii="Palatino Linotype" w:hAnsi="Palatino Linotype"/>
          <w:sz w:val="24"/>
          <w:szCs w:val="24"/>
        </w:rPr>
        <w:t>By Energy Division staff’s own motion pursuant to Decision 18</w:t>
      </w:r>
      <w:r w:rsidRPr="00331BC4" w:rsidR="00AA2E93">
        <w:rPr>
          <w:rFonts w:ascii="Palatino Linotype" w:hAnsi="Palatino Linotype"/>
          <w:sz w:val="24"/>
          <w:szCs w:val="24"/>
        </w:rPr>
        <w:t>-</w:t>
      </w:r>
      <w:r w:rsidRPr="00331BC4">
        <w:rPr>
          <w:rFonts w:ascii="Palatino Linotype" w:hAnsi="Palatino Linotype"/>
          <w:sz w:val="24"/>
          <w:szCs w:val="24"/>
        </w:rPr>
        <w:t>02</w:t>
      </w:r>
      <w:r w:rsidRPr="00331BC4" w:rsidR="00AA2E93">
        <w:rPr>
          <w:rFonts w:ascii="Palatino Linotype" w:hAnsi="Palatino Linotype"/>
          <w:sz w:val="24"/>
          <w:szCs w:val="24"/>
        </w:rPr>
        <w:t>-</w:t>
      </w:r>
      <w:r w:rsidRPr="00331BC4">
        <w:rPr>
          <w:rFonts w:ascii="Palatino Linotype" w:hAnsi="Palatino Linotype"/>
          <w:sz w:val="24"/>
          <w:szCs w:val="24"/>
        </w:rPr>
        <w:t>002</w:t>
      </w:r>
      <w:r w:rsidRPr="00331BC4" w:rsidR="00AA2E93">
        <w:rPr>
          <w:rFonts w:ascii="Palatino Linotype" w:hAnsi="Palatino Linotype"/>
          <w:sz w:val="24"/>
          <w:szCs w:val="24"/>
        </w:rPr>
        <w:t>.</w:t>
      </w:r>
      <w:r w:rsidRPr="00331BC4">
        <w:rPr>
          <w:rFonts w:ascii="Palatino Linotype" w:hAnsi="Palatino Linotype"/>
          <w:sz w:val="24"/>
          <w:szCs w:val="24"/>
        </w:rPr>
        <w:t xml:space="preserve"> </w:t>
      </w:r>
    </w:p>
    <w:p w:rsidRPr="006F29D0" w:rsidR="00A90773" w:rsidP="00A90773" w:rsidRDefault="00A90773" w14:paraId="2EE9AED7" w14:textId="77777777">
      <w:pPr>
        <w:rPr>
          <w:rFonts w:eastAsia="Palatino Linotype" w:cs="Palatino Linotype"/>
        </w:rPr>
      </w:pPr>
      <w:r w:rsidRPr="006F29D0">
        <w:rPr>
          <w:rFonts w:eastAsia="Palatino Linotype" w:cs="Palatino Linotype"/>
        </w:rPr>
        <w:t>__________________________________________________________</w:t>
      </w:r>
    </w:p>
    <w:p w:rsidR="00A90773" w:rsidP="004C70CB" w:rsidRDefault="00A90773" w14:paraId="48C58A1B" w14:textId="77777777">
      <w:pPr>
        <w:pStyle w:val="Heading1"/>
        <w:rPr>
          <w:rFonts w:ascii="Palatino Linotype" w:hAnsi="Palatino Linotype" w:eastAsia="Palatino Linotype"/>
          <w:bCs/>
          <w:sz w:val="24"/>
        </w:rPr>
      </w:pPr>
    </w:p>
    <w:p w:rsidRPr="004C70CB" w:rsidR="00937AE6" w:rsidP="004C70CB" w:rsidRDefault="00937AE6" w14:paraId="02E80E05" w14:textId="069CCF33">
      <w:pPr>
        <w:pStyle w:val="Heading1"/>
        <w:rPr>
          <w:rFonts w:ascii="Palatino Linotype" w:hAnsi="Palatino Linotype" w:eastAsia="Palatino Linotype"/>
          <w:bCs/>
          <w:sz w:val="24"/>
        </w:rPr>
      </w:pPr>
      <w:r w:rsidRPr="004C70CB">
        <w:rPr>
          <w:rFonts w:ascii="Palatino Linotype" w:hAnsi="Palatino Linotype" w:eastAsia="Palatino Linotype"/>
          <w:bCs/>
          <w:sz w:val="24"/>
        </w:rPr>
        <w:t>Summary</w:t>
      </w:r>
    </w:p>
    <w:p w:rsidRPr="00D865A9" w:rsidR="008054C6" w:rsidP="0048628B" w:rsidRDefault="00937AE6" w14:paraId="61BBB03A" w14:textId="56BAA6EF">
      <w:pPr>
        <w:rPr>
          <w:rFonts w:ascii="Palatino Linotype" w:hAnsi="Palatino Linotype" w:eastAsia="Palatino Linotype"/>
          <w:sz w:val="24"/>
          <w:szCs w:val="24"/>
        </w:rPr>
      </w:pPr>
      <w:r w:rsidRPr="00D865A9">
        <w:rPr>
          <w:rFonts w:ascii="Palatino Linotype" w:hAnsi="Palatino Linotype"/>
          <w:sz w:val="24"/>
          <w:szCs w:val="24"/>
        </w:rPr>
        <w:t xml:space="preserve">This </w:t>
      </w:r>
      <w:r w:rsidR="009C603E">
        <w:rPr>
          <w:rFonts w:ascii="Palatino Linotype" w:hAnsi="Palatino Linotype"/>
          <w:sz w:val="24"/>
          <w:szCs w:val="24"/>
        </w:rPr>
        <w:t>resolution</w:t>
      </w:r>
      <w:r w:rsidR="00D00EEF">
        <w:rPr>
          <w:rFonts w:ascii="Palatino Linotype" w:hAnsi="Palatino Linotype"/>
          <w:sz w:val="24"/>
          <w:szCs w:val="24"/>
        </w:rPr>
        <w:t xml:space="preserve"> re</w:t>
      </w:r>
      <w:r w:rsidR="00CE2504">
        <w:rPr>
          <w:rFonts w:ascii="Palatino Linotype" w:hAnsi="Palatino Linotype"/>
          <w:sz w:val="24"/>
          <w:szCs w:val="24"/>
        </w:rPr>
        <w:t>affirms</w:t>
      </w:r>
      <w:r>
        <w:rPr>
          <w:rFonts w:ascii="Palatino Linotype" w:hAnsi="Palatino Linotype"/>
          <w:sz w:val="24"/>
          <w:szCs w:val="24"/>
        </w:rPr>
        <w:t xml:space="preserve"> the </w:t>
      </w:r>
      <w:r w:rsidR="006F09E6">
        <w:rPr>
          <w:rFonts w:ascii="Palatino Linotype" w:hAnsi="Palatino Linotype"/>
          <w:sz w:val="24"/>
          <w:szCs w:val="24"/>
        </w:rPr>
        <w:t xml:space="preserve">Core Transport Agent </w:t>
      </w:r>
      <w:r w:rsidR="00DE21AA">
        <w:rPr>
          <w:rFonts w:ascii="Palatino Linotype" w:hAnsi="Palatino Linotype"/>
          <w:sz w:val="24"/>
          <w:szCs w:val="24"/>
        </w:rPr>
        <w:t>(</w:t>
      </w:r>
      <w:r>
        <w:rPr>
          <w:rFonts w:ascii="Palatino Linotype" w:hAnsi="Palatino Linotype"/>
          <w:sz w:val="24"/>
          <w:szCs w:val="24"/>
        </w:rPr>
        <w:t>CTA</w:t>
      </w:r>
      <w:r w:rsidR="00DE21AA">
        <w:rPr>
          <w:rFonts w:ascii="Palatino Linotype" w:hAnsi="Palatino Linotype"/>
          <w:sz w:val="24"/>
          <w:szCs w:val="24"/>
        </w:rPr>
        <w:t>)</w:t>
      </w:r>
      <w:r>
        <w:rPr>
          <w:rFonts w:ascii="Palatino Linotype" w:hAnsi="Palatino Linotype"/>
          <w:sz w:val="24"/>
          <w:szCs w:val="24"/>
        </w:rPr>
        <w:t xml:space="preserve"> Annual Fee for 202</w:t>
      </w:r>
      <w:r w:rsidR="006C34B1">
        <w:rPr>
          <w:rFonts w:ascii="Palatino Linotype" w:hAnsi="Palatino Linotype"/>
          <w:sz w:val="24"/>
          <w:szCs w:val="24"/>
        </w:rPr>
        <w:t>6</w:t>
      </w:r>
      <w:r>
        <w:rPr>
          <w:rFonts w:ascii="Palatino Linotype" w:hAnsi="Palatino Linotype"/>
          <w:sz w:val="24"/>
          <w:szCs w:val="24"/>
        </w:rPr>
        <w:t>. The Annual Fee is composed of a Base Fee and a Variable Fee. The Base Fee of $5,000 per CTA</w:t>
      </w:r>
      <w:r w:rsidR="00387C8B">
        <w:rPr>
          <w:rFonts w:ascii="Palatino Linotype" w:hAnsi="Palatino Linotype"/>
          <w:sz w:val="24"/>
          <w:szCs w:val="24"/>
        </w:rPr>
        <w:t xml:space="preserve"> reflects the CPUC’s fixed administrative costs related to CTAs for the year beginning July 1</w:t>
      </w:r>
      <w:r w:rsidR="00F004F6">
        <w:rPr>
          <w:rFonts w:ascii="Palatino Linotype" w:hAnsi="Palatino Linotype"/>
          <w:sz w:val="24"/>
          <w:szCs w:val="24"/>
        </w:rPr>
        <w:t>, 202</w:t>
      </w:r>
      <w:r w:rsidR="00920042">
        <w:rPr>
          <w:rFonts w:ascii="Palatino Linotype" w:hAnsi="Palatino Linotype"/>
          <w:sz w:val="24"/>
          <w:szCs w:val="24"/>
        </w:rPr>
        <w:t>4</w:t>
      </w:r>
      <w:r w:rsidR="0074419D">
        <w:rPr>
          <w:rFonts w:ascii="Palatino Linotype" w:hAnsi="Palatino Linotype"/>
          <w:sz w:val="24"/>
          <w:szCs w:val="24"/>
        </w:rPr>
        <w:t>,</w:t>
      </w:r>
      <w:r w:rsidR="00387C8B">
        <w:rPr>
          <w:rFonts w:ascii="Palatino Linotype" w:hAnsi="Palatino Linotype"/>
          <w:sz w:val="24"/>
          <w:szCs w:val="24"/>
        </w:rPr>
        <w:t xml:space="preserve"> through June 30</w:t>
      </w:r>
      <w:r w:rsidR="00F004F6">
        <w:rPr>
          <w:rFonts w:ascii="Palatino Linotype" w:hAnsi="Palatino Linotype"/>
          <w:sz w:val="24"/>
          <w:szCs w:val="24"/>
        </w:rPr>
        <w:t>, 202</w:t>
      </w:r>
      <w:r w:rsidR="006C34B1">
        <w:rPr>
          <w:rFonts w:ascii="Palatino Linotype" w:hAnsi="Palatino Linotype"/>
          <w:sz w:val="24"/>
          <w:szCs w:val="24"/>
        </w:rPr>
        <w:t>5</w:t>
      </w:r>
      <w:r w:rsidR="00387C8B">
        <w:rPr>
          <w:rFonts w:ascii="Palatino Linotype" w:hAnsi="Palatino Linotype"/>
          <w:sz w:val="24"/>
          <w:szCs w:val="24"/>
        </w:rPr>
        <w:t xml:space="preserve">. </w:t>
      </w:r>
      <w:r w:rsidRPr="008054C6" w:rsidR="008054C6">
        <w:rPr>
          <w:rFonts w:ascii="Palatino Linotype" w:hAnsi="Palatino Linotype" w:eastAsia="Palatino Linotype"/>
          <w:sz w:val="24"/>
          <w:szCs w:val="24"/>
        </w:rPr>
        <w:t>The two-part Variable Fee</w:t>
      </w:r>
      <w:r w:rsidR="0048628B">
        <w:rPr>
          <w:rFonts w:ascii="Palatino Linotype" w:hAnsi="Palatino Linotype" w:eastAsia="Palatino Linotype"/>
          <w:sz w:val="24"/>
          <w:szCs w:val="24"/>
        </w:rPr>
        <w:t xml:space="preserve"> is</w:t>
      </w:r>
      <w:r w:rsidRPr="008054C6" w:rsidR="008054C6">
        <w:rPr>
          <w:rFonts w:ascii="Palatino Linotype" w:hAnsi="Palatino Linotype" w:eastAsia="Palatino Linotype"/>
          <w:sz w:val="24"/>
          <w:szCs w:val="24"/>
        </w:rPr>
        <w:t xml:space="preserve"> based on the number and type of complaints received by</w:t>
      </w:r>
      <w:r w:rsidR="0048628B">
        <w:rPr>
          <w:rFonts w:ascii="Palatino Linotype" w:hAnsi="Palatino Linotype" w:eastAsia="Palatino Linotype"/>
          <w:sz w:val="24"/>
          <w:szCs w:val="24"/>
        </w:rPr>
        <w:t xml:space="preserve"> the </w:t>
      </w:r>
      <w:r w:rsidR="006D4203">
        <w:rPr>
          <w:rFonts w:ascii="Palatino Linotype" w:hAnsi="Palatino Linotype" w:eastAsia="Palatino Linotype"/>
          <w:sz w:val="24"/>
          <w:szCs w:val="24"/>
        </w:rPr>
        <w:t xml:space="preserve">California Public Utilities </w:t>
      </w:r>
      <w:r w:rsidR="00AF6ED2">
        <w:rPr>
          <w:rFonts w:ascii="Palatino Linotype" w:hAnsi="Palatino Linotype" w:eastAsia="Palatino Linotype"/>
          <w:sz w:val="24"/>
          <w:szCs w:val="24"/>
        </w:rPr>
        <w:t xml:space="preserve">Commission’s </w:t>
      </w:r>
      <w:r w:rsidR="006D4203">
        <w:rPr>
          <w:rFonts w:ascii="Palatino Linotype" w:hAnsi="Palatino Linotype" w:eastAsia="Palatino Linotype"/>
          <w:sz w:val="24"/>
          <w:szCs w:val="24"/>
        </w:rPr>
        <w:t xml:space="preserve">(CPUC) </w:t>
      </w:r>
      <w:r w:rsidR="00AF6ED2">
        <w:rPr>
          <w:rFonts w:ascii="Palatino Linotype" w:hAnsi="Palatino Linotype" w:eastAsia="Palatino Linotype"/>
          <w:sz w:val="24"/>
          <w:szCs w:val="24"/>
        </w:rPr>
        <w:t xml:space="preserve">Consumer </w:t>
      </w:r>
      <w:r w:rsidR="00873062">
        <w:rPr>
          <w:rFonts w:ascii="Palatino Linotype" w:hAnsi="Palatino Linotype" w:eastAsia="Palatino Linotype"/>
          <w:sz w:val="24"/>
          <w:szCs w:val="24"/>
        </w:rPr>
        <w:t xml:space="preserve">Affairs </w:t>
      </w:r>
      <w:r w:rsidR="00AF6ED2">
        <w:rPr>
          <w:rFonts w:ascii="Palatino Linotype" w:hAnsi="Palatino Linotype" w:eastAsia="Palatino Linotype"/>
          <w:sz w:val="24"/>
          <w:szCs w:val="24"/>
        </w:rPr>
        <w:t>Branch</w:t>
      </w:r>
      <w:r w:rsidRPr="008054C6" w:rsidR="008054C6">
        <w:rPr>
          <w:rFonts w:ascii="Palatino Linotype" w:hAnsi="Palatino Linotype" w:eastAsia="Palatino Linotype"/>
          <w:sz w:val="24"/>
          <w:szCs w:val="24"/>
        </w:rPr>
        <w:t xml:space="preserve"> </w:t>
      </w:r>
      <w:r w:rsidR="00873062">
        <w:rPr>
          <w:rFonts w:ascii="Palatino Linotype" w:hAnsi="Palatino Linotype" w:eastAsia="Palatino Linotype"/>
          <w:sz w:val="24"/>
          <w:szCs w:val="24"/>
        </w:rPr>
        <w:lastRenderedPageBreak/>
        <w:t>(</w:t>
      </w:r>
      <w:r w:rsidRPr="008054C6" w:rsidR="008054C6">
        <w:rPr>
          <w:rFonts w:ascii="Palatino Linotype" w:hAnsi="Palatino Linotype" w:eastAsia="Palatino Linotype"/>
          <w:sz w:val="24"/>
          <w:szCs w:val="24"/>
        </w:rPr>
        <w:t>CAB</w:t>
      </w:r>
      <w:r w:rsidR="00873062">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 xml:space="preserve"> and the number of complaints alleging unauthorized enrollment reviewed by</w:t>
      </w:r>
      <w:r w:rsidR="0065598B">
        <w:rPr>
          <w:rFonts w:ascii="Palatino Linotype" w:hAnsi="Palatino Linotype" w:eastAsia="Palatino Linotype"/>
          <w:sz w:val="24"/>
          <w:szCs w:val="24"/>
        </w:rPr>
        <w:t xml:space="preserve"> the U</w:t>
      </w:r>
      <w:r w:rsidR="009314A8">
        <w:rPr>
          <w:rFonts w:ascii="Palatino Linotype" w:hAnsi="Palatino Linotype" w:eastAsia="Palatino Linotype"/>
          <w:sz w:val="24"/>
          <w:szCs w:val="24"/>
        </w:rPr>
        <w:t>tility Enforcement Branch</w:t>
      </w:r>
      <w:r w:rsidRPr="008054C6" w:rsidR="008054C6">
        <w:rPr>
          <w:rFonts w:ascii="Palatino Linotype" w:hAnsi="Palatino Linotype" w:eastAsia="Palatino Linotype"/>
          <w:sz w:val="24"/>
          <w:szCs w:val="24"/>
        </w:rPr>
        <w:t xml:space="preserve"> </w:t>
      </w:r>
      <w:r w:rsidR="009314A8">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UEB</w:t>
      </w:r>
      <w:r w:rsidR="009314A8">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 xml:space="preserve"> and the cost of UEB actions in calendar year 202</w:t>
      </w:r>
      <w:r w:rsidR="009314A8">
        <w:rPr>
          <w:rFonts w:ascii="Palatino Linotype" w:hAnsi="Palatino Linotype" w:eastAsia="Palatino Linotype"/>
          <w:sz w:val="24"/>
          <w:szCs w:val="24"/>
        </w:rPr>
        <w:t>5</w:t>
      </w:r>
      <w:r w:rsidRPr="008054C6" w:rsidR="008054C6">
        <w:rPr>
          <w:rFonts w:ascii="Palatino Linotype" w:hAnsi="Palatino Linotype" w:eastAsia="Palatino Linotype"/>
          <w:sz w:val="24"/>
          <w:szCs w:val="24"/>
        </w:rPr>
        <w:t>.</w:t>
      </w:r>
    </w:p>
    <w:p w:rsidR="00CF17DE" w:rsidRDefault="00CF17DE" w14:paraId="21ED6BB6" w14:textId="1B176739">
      <w:pPr>
        <w:rPr>
          <w:b/>
        </w:rPr>
      </w:pPr>
    </w:p>
    <w:bookmarkEnd w:id="0"/>
    <w:p w:rsidRPr="00D865A9" w:rsidR="00760778" w:rsidP="00760778" w:rsidRDefault="00760778" w14:paraId="23E34F40"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Background</w:t>
      </w:r>
    </w:p>
    <w:p w:rsidRPr="006A2A4D" w:rsidR="0027373E" w:rsidP="0027373E" w:rsidRDefault="00B22AD5" w14:paraId="475EEDA1" w14:textId="65C1D821">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 xml:space="preserve">CTAs </w:t>
      </w:r>
      <w:r w:rsidRPr="006A2A4D" w:rsidR="0027373E">
        <w:rPr>
          <w:rFonts w:ascii="Palatino Linotype" w:hAnsi="Palatino Linotype" w:eastAsia="Palatino Linotype" w:cs="Palatino Linotype"/>
          <w:sz w:val="24"/>
          <w:szCs w:val="24"/>
        </w:rPr>
        <w:t>are non-utility gas suppliers who purchase gas on behalf of residential and small commercial end-use customers.</w:t>
      </w:r>
      <w:r w:rsidRPr="006A2A4D" w:rsidR="00114817">
        <w:rPr>
          <w:rFonts w:ascii="Palatino Linotype" w:hAnsi="Palatino Linotype" w:eastAsia="Palatino Linotype" w:cs="Palatino Linotype"/>
          <w:sz w:val="24"/>
          <w:szCs w:val="24"/>
        </w:rPr>
        <w:t xml:space="preserve"> </w:t>
      </w:r>
      <w:r w:rsidRPr="006A2A4D" w:rsidR="0027373E">
        <w:rPr>
          <w:rFonts w:ascii="Palatino Linotype" w:hAnsi="Palatino Linotype" w:eastAsia="Palatino Linotype" w:cs="Palatino Linotype"/>
          <w:sz w:val="24"/>
          <w:szCs w:val="24"/>
        </w:rPr>
        <w:t>California customers can elect to use a CTA as their gas supplier.</w:t>
      </w:r>
      <w:r w:rsidR="006A2A4D">
        <w:rPr>
          <w:rFonts w:ascii="Palatino Linotype" w:hAnsi="Palatino Linotype" w:eastAsia="Palatino Linotype" w:cs="Palatino Linotype"/>
          <w:sz w:val="24"/>
          <w:szCs w:val="24"/>
        </w:rPr>
        <w:t xml:space="preserve"> </w:t>
      </w:r>
      <w:r w:rsidRPr="006A2A4D" w:rsidR="0027373E">
        <w:rPr>
          <w:rFonts w:ascii="Palatino Linotype" w:hAnsi="Palatino Linotype" w:eastAsia="Palatino Linotype" w:cs="Palatino Linotype"/>
          <w:sz w:val="24"/>
          <w:szCs w:val="24"/>
        </w:rPr>
        <w:t xml:space="preserve">CTA customers buy natural gas from the CTA but pay their local utility for gas transportation and delivery service on its distribution pipelines. </w:t>
      </w:r>
    </w:p>
    <w:p w:rsidRPr="006A2A4D" w:rsidR="0027373E" w:rsidP="0027373E" w:rsidRDefault="0027373E" w14:paraId="1FCF18B9" w14:textId="77777777">
      <w:pPr>
        <w:pStyle w:val="standard"/>
        <w:spacing w:line="240" w:lineRule="auto"/>
        <w:ind w:firstLine="0"/>
        <w:rPr>
          <w:rFonts w:ascii="Palatino Linotype" w:hAnsi="Palatino Linotype" w:eastAsia="Palatino Linotype" w:cs="Palatino Linotype"/>
          <w:sz w:val="24"/>
          <w:szCs w:val="24"/>
        </w:rPr>
      </w:pPr>
    </w:p>
    <w:p w:rsidRPr="006A2A4D" w:rsidR="0027373E" w:rsidP="0027373E" w:rsidRDefault="0027373E" w14:paraId="66F445E0" w14:textId="1B4C464F">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 xml:space="preserve">The CPUC does not regulate the rates CTAs charge their customers, but CTAs are required to register with the </w:t>
      </w:r>
      <w:r w:rsidRPr="006A2A4D" w:rsidR="003742C1">
        <w:rPr>
          <w:rFonts w:ascii="Palatino Linotype" w:hAnsi="Palatino Linotype" w:eastAsia="Palatino Linotype" w:cs="Palatino Linotype"/>
          <w:sz w:val="24"/>
          <w:szCs w:val="24"/>
        </w:rPr>
        <w:t xml:space="preserve">CPUC </w:t>
      </w:r>
      <w:r w:rsidRPr="006A2A4D">
        <w:rPr>
          <w:rFonts w:ascii="Palatino Linotype" w:hAnsi="Palatino Linotype" w:eastAsia="Palatino Linotype" w:cs="Palatino Linotype"/>
          <w:sz w:val="24"/>
          <w:szCs w:val="24"/>
        </w:rPr>
        <w:t xml:space="preserve">in order to conduct business in California. The CPUC </w:t>
      </w:r>
      <w:r w:rsidR="006A2A4D">
        <w:rPr>
          <w:rFonts w:ascii="Palatino Linotype" w:hAnsi="Palatino Linotype" w:eastAsia="Palatino Linotype" w:cs="Palatino Linotype"/>
          <w:sz w:val="24"/>
          <w:szCs w:val="24"/>
        </w:rPr>
        <w:t>can</w:t>
      </w:r>
      <w:r w:rsidRPr="006A2A4D">
        <w:rPr>
          <w:rFonts w:ascii="Palatino Linotype" w:hAnsi="Palatino Linotype" w:eastAsia="Palatino Linotype" w:cs="Palatino Linotype"/>
          <w:sz w:val="24"/>
          <w:szCs w:val="24"/>
        </w:rPr>
        <w:t xml:space="preserve"> suspend or revoke the registration of a noncompliant CTA. Senate Bill </w:t>
      </w:r>
      <w:r w:rsidRPr="006A2A4D" w:rsidR="00A923A8">
        <w:rPr>
          <w:rFonts w:ascii="Palatino Linotype" w:hAnsi="Palatino Linotype" w:eastAsia="Palatino Linotype" w:cs="Palatino Linotype"/>
          <w:sz w:val="24"/>
          <w:szCs w:val="24"/>
        </w:rPr>
        <w:t xml:space="preserve">(SB) </w:t>
      </w:r>
      <w:r w:rsidRPr="006A2A4D">
        <w:rPr>
          <w:rFonts w:ascii="Palatino Linotype" w:hAnsi="Palatino Linotype" w:eastAsia="Palatino Linotype" w:cs="Palatino Linotype"/>
          <w:sz w:val="24"/>
          <w:szCs w:val="24"/>
        </w:rPr>
        <w:t xml:space="preserve">656 </w:t>
      </w:r>
      <w:r w:rsidRPr="006A2A4D" w:rsidR="00A6712F">
        <w:rPr>
          <w:rFonts w:ascii="Palatino Linotype" w:hAnsi="Palatino Linotype" w:eastAsia="Palatino Linotype" w:cs="Palatino Linotype"/>
          <w:sz w:val="24"/>
          <w:szCs w:val="24"/>
        </w:rPr>
        <w:t xml:space="preserve">(Wright, 2013) </w:t>
      </w:r>
      <w:r w:rsidRPr="006A2A4D">
        <w:rPr>
          <w:rFonts w:ascii="Palatino Linotype" w:hAnsi="Palatino Linotype" w:eastAsia="Palatino Linotype" w:cs="Palatino Linotype"/>
          <w:sz w:val="24"/>
          <w:szCs w:val="24"/>
        </w:rPr>
        <w:t xml:space="preserve">also tasked the CPUC with processing customer complaints against CTAs. </w:t>
      </w:r>
    </w:p>
    <w:p w:rsidR="00041292" w:rsidP="00911F7B" w:rsidRDefault="00041292" w14:paraId="174AFDF7" w14:textId="77777777">
      <w:pPr>
        <w:rPr>
          <w:rFonts w:ascii="Palatino Linotype" w:hAnsi="Palatino Linotype"/>
          <w:b/>
          <w:bCs/>
          <w:sz w:val="24"/>
          <w:szCs w:val="24"/>
        </w:rPr>
      </w:pPr>
    </w:p>
    <w:p w:rsidRPr="00864E4D" w:rsidR="00041292" w:rsidP="004C70CB" w:rsidRDefault="00041292" w14:paraId="5CF8B17E" w14:textId="762F7FE9">
      <w:pPr>
        <w:pStyle w:val="Heading2"/>
      </w:pPr>
      <w:r w:rsidRPr="00864E4D">
        <w:t>SB 656</w:t>
      </w:r>
    </w:p>
    <w:p w:rsidR="00041292" w:rsidP="00911F7B" w:rsidRDefault="00911F7B" w14:paraId="7B277E04" w14:textId="78ACBC73">
      <w:pPr>
        <w:rPr>
          <w:rFonts w:ascii="Palatino Linotype" w:hAnsi="Palatino Linotype"/>
          <w:sz w:val="24"/>
          <w:szCs w:val="24"/>
        </w:rPr>
      </w:pPr>
      <w:r w:rsidRPr="006A2A4D">
        <w:rPr>
          <w:rFonts w:ascii="Palatino Linotype" w:hAnsi="Palatino Linotype"/>
          <w:sz w:val="24"/>
          <w:szCs w:val="24"/>
        </w:rPr>
        <w:t>SB 656</w:t>
      </w:r>
      <w:r w:rsidR="00AC78FB">
        <w:rPr>
          <w:rFonts w:ascii="Palatino Linotype" w:hAnsi="Palatino Linotype"/>
          <w:sz w:val="24"/>
          <w:szCs w:val="24"/>
        </w:rPr>
        <w:t xml:space="preserve"> (</w:t>
      </w:r>
      <w:r w:rsidR="00977DC2">
        <w:rPr>
          <w:rFonts w:ascii="Palatino Linotype" w:hAnsi="Palatino Linotype"/>
          <w:sz w:val="24"/>
          <w:szCs w:val="24"/>
        </w:rPr>
        <w:t>Wright</w:t>
      </w:r>
      <w:r w:rsidR="00E166CD">
        <w:rPr>
          <w:rFonts w:ascii="Palatino Linotype" w:hAnsi="Palatino Linotype"/>
          <w:sz w:val="24"/>
          <w:szCs w:val="24"/>
        </w:rPr>
        <w:t xml:space="preserve">, </w:t>
      </w:r>
      <w:r w:rsidR="00AC78FB">
        <w:rPr>
          <w:rFonts w:ascii="Palatino Linotype" w:hAnsi="Palatino Linotype"/>
          <w:sz w:val="24"/>
          <w:szCs w:val="24"/>
        </w:rPr>
        <w:t>201</w:t>
      </w:r>
      <w:r w:rsidR="00977DC2">
        <w:rPr>
          <w:rFonts w:ascii="Palatino Linotype" w:hAnsi="Palatino Linotype"/>
          <w:sz w:val="24"/>
          <w:szCs w:val="24"/>
        </w:rPr>
        <w:t>3</w:t>
      </w:r>
      <w:r w:rsidR="00E166CD">
        <w:rPr>
          <w:rFonts w:ascii="Palatino Linotype" w:hAnsi="Palatino Linotype"/>
          <w:sz w:val="24"/>
          <w:szCs w:val="24"/>
        </w:rPr>
        <w:t>)</w:t>
      </w:r>
      <w:r w:rsidRPr="006A2A4D">
        <w:rPr>
          <w:rFonts w:ascii="Palatino Linotype" w:hAnsi="Palatino Linotype"/>
          <w:sz w:val="24"/>
          <w:szCs w:val="24"/>
        </w:rPr>
        <w:t xml:space="preserve"> introduced Public Utilities Code</w:t>
      </w:r>
      <w:r w:rsidR="00435CFC">
        <w:rPr>
          <w:rFonts w:ascii="Palatino Linotype" w:hAnsi="Palatino Linotype"/>
          <w:sz w:val="24"/>
          <w:szCs w:val="24"/>
        </w:rPr>
        <w:t xml:space="preserve"> (PUC)</w:t>
      </w:r>
      <w:r w:rsidRPr="006A2A4D">
        <w:rPr>
          <w:rFonts w:ascii="Palatino Linotype" w:hAnsi="Palatino Linotype"/>
          <w:sz w:val="24"/>
          <w:szCs w:val="24"/>
        </w:rPr>
        <w:t xml:space="preserve"> </w:t>
      </w:r>
      <w:r w:rsidR="00D562A0">
        <w:rPr>
          <w:rFonts w:ascii="Palatino Linotype" w:hAnsi="Palatino Linotype"/>
          <w:sz w:val="24"/>
          <w:szCs w:val="24"/>
        </w:rPr>
        <w:t xml:space="preserve">§§ </w:t>
      </w:r>
      <w:r w:rsidRPr="006A2A4D">
        <w:rPr>
          <w:rFonts w:ascii="Palatino Linotype" w:hAnsi="Palatino Linotype"/>
          <w:sz w:val="24"/>
          <w:szCs w:val="24"/>
        </w:rPr>
        <w:t xml:space="preserve">980-989.5, establishing a framework for consumer protection rules for </w:t>
      </w:r>
      <w:r w:rsidR="00121159">
        <w:rPr>
          <w:rFonts w:ascii="Palatino Linotype" w:hAnsi="Palatino Linotype"/>
          <w:sz w:val="24"/>
          <w:szCs w:val="24"/>
        </w:rPr>
        <w:t>CTAs</w:t>
      </w:r>
      <w:r w:rsidRPr="006A2A4D">
        <w:rPr>
          <w:rFonts w:ascii="Palatino Linotype" w:hAnsi="Palatino Linotype"/>
          <w:sz w:val="24"/>
          <w:szCs w:val="24"/>
        </w:rPr>
        <w:t xml:space="preserve">. </w:t>
      </w:r>
      <w:r w:rsidR="00435CFC">
        <w:rPr>
          <w:rFonts w:ascii="Palatino Linotype" w:hAnsi="Palatino Linotype"/>
          <w:sz w:val="24"/>
          <w:szCs w:val="24"/>
        </w:rPr>
        <w:t xml:space="preserve">PUC </w:t>
      </w:r>
      <w:r w:rsidR="00D562A0">
        <w:rPr>
          <w:rFonts w:ascii="Palatino Linotype" w:hAnsi="Palatino Linotype"/>
          <w:sz w:val="24"/>
          <w:szCs w:val="24"/>
        </w:rPr>
        <w:t xml:space="preserve">§ </w:t>
      </w:r>
      <w:r w:rsidR="00435CFC">
        <w:rPr>
          <w:rFonts w:ascii="Palatino Linotype" w:hAnsi="Palatino Linotype"/>
          <w:sz w:val="24"/>
          <w:szCs w:val="24"/>
        </w:rPr>
        <w:t xml:space="preserve">984(b) states: </w:t>
      </w:r>
      <w:r w:rsidRPr="00C83F57" w:rsidR="00C83F57">
        <w:rPr>
          <w:rFonts w:ascii="Palatino Linotype" w:hAnsi="Palatino Linotype"/>
          <w:sz w:val="24"/>
          <w:szCs w:val="24"/>
        </w:rPr>
        <w:t>“The commission shall annually determine the costs of administering the registration program and other facets of consumer protection directly related to the core transport service transactions of core transport agents, including the cost for the duties imposed pursuant to subdivision (c) of Section 984.5.”</w:t>
      </w:r>
    </w:p>
    <w:p w:rsidR="00041292" w:rsidP="00911F7B" w:rsidRDefault="00041292" w14:paraId="4EA6AF6E" w14:textId="32FDAAFF">
      <w:pPr>
        <w:rPr>
          <w:rFonts w:ascii="Palatino Linotype" w:hAnsi="Palatino Linotype"/>
          <w:sz w:val="24"/>
          <w:szCs w:val="24"/>
        </w:rPr>
      </w:pPr>
    </w:p>
    <w:p w:rsidRPr="00864E4D" w:rsidR="00041292" w:rsidP="004C70CB" w:rsidRDefault="00041292" w14:paraId="4895D04D" w14:textId="2CFB911C">
      <w:pPr>
        <w:pStyle w:val="Heading2"/>
      </w:pPr>
      <w:r w:rsidRPr="00864E4D">
        <w:t>D.18-02-002</w:t>
      </w:r>
    </w:p>
    <w:p w:rsidRPr="006A2A4D" w:rsidR="00911F7B" w:rsidP="00911F7B" w:rsidRDefault="00911F7B" w14:paraId="108ED016" w14:textId="422034FB">
      <w:pPr>
        <w:rPr>
          <w:rFonts w:ascii="Palatino Linotype" w:hAnsi="Palatino Linotype"/>
          <w:sz w:val="24"/>
          <w:szCs w:val="24"/>
        </w:rPr>
      </w:pPr>
      <w:r w:rsidRPr="006A2A4D">
        <w:rPr>
          <w:rFonts w:ascii="Palatino Linotype" w:hAnsi="Palatino Linotype"/>
          <w:sz w:val="24"/>
          <w:szCs w:val="24"/>
        </w:rPr>
        <w:t xml:space="preserve">On March 13, 2014, the </w:t>
      </w:r>
      <w:r w:rsidRPr="006A2A4D" w:rsidR="003742C1">
        <w:rPr>
          <w:rFonts w:ascii="Palatino Linotype" w:hAnsi="Palatino Linotype"/>
          <w:sz w:val="24"/>
          <w:szCs w:val="24"/>
        </w:rPr>
        <w:t xml:space="preserve">CPUC </w:t>
      </w:r>
      <w:r w:rsidRPr="006A2A4D">
        <w:rPr>
          <w:rFonts w:ascii="Palatino Linotype" w:hAnsi="Palatino Linotype"/>
          <w:sz w:val="24"/>
          <w:szCs w:val="24"/>
        </w:rPr>
        <w:t xml:space="preserve">opened Rulemaking (R.) 14-03-002 to implement SB 656. In Decision (D.) 18-02-002, the </w:t>
      </w:r>
      <w:r w:rsidRPr="006A2A4D" w:rsidR="00A70D7C">
        <w:rPr>
          <w:rFonts w:ascii="Palatino Linotype" w:hAnsi="Palatino Linotype"/>
          <w:sz w:val="24"/>
          <w:szCs w:val="24"/>
        </w:rPr>
        <w:t xml:space="preserve">CPUC </w:t>
      </w:r>
      <w:r w:rsidR="00041292">
        <w:rPr>
          <w:rFonts w:ascii="Palatino Linotype" w:hAnsi="Palatino Linotype"/>
          <w:sz w:val="24"/>
          <w:szCs w:val="24"/>
        </w:rPr>
        <w:t>determined that all “</w:t>
      </w:r>
      <w:r w:rsidRPr="00041292" w:rsidR="00041292">
        <w:rPr>
          <w:rFonts w:ascii="Palatino Linotype" w:hAnsi="Palatino Linotype"/>
          <w:sz w:val="24"/>
          <w:szCs w:val="24"/>
        </w:rPr>
        <w:t>registered core transport agents are subject to the assessment of an annual fee as described in Public Utilities Code Section 984(b) and in today’s decision</w:t>
      </w:r>
      <w:r w:rsidR="00041292">
        <w:rPr>
          <w:rFonts w:ascii="Palatino Linotype" w:hAnsi="Palatino Linotype"/>
          <w:sz w:val="24"/>
          <w:szCs w:val="24"/>
        </w:rPr>
        <w:t>.”</w:t>
      </w:r>
      <w:r w:rsidR="00041292">
        <w:rPr>
          <w:rStyle w:val="FootnoteReference"/>
          <w:rFonts w:ascii="Palatino Linotype" w:hAnsi="Palatino Linotype"/>
          <w:sz w:val="24"/>
          <w:szCs w:val="24"/>
        </w:rPr>
        <w:footnoteReference w:id="2"/>
      </w:r>
      <w:r w:rsidR="00041292">
        <w:rPr>
          <w:rFonts w:ascii="Palatino Linotype" w:hAnsi="Palatino Linotype"/>
          <w:sz w:val="24"/>
          <w:szCs w:val="24"/>
        </w:rPr>
        <w:t xml:space="preserve"> The CPUC also </w:t>
      </w:r>
      <w:r w:rsidRPr="006A2A4D">
        <w:rPr>
          <w:rFonts w:ascii="Palatino Linotype" w:hAnsi="Palatino Linotype"/>
          <w:sz w:val="24"/>
          <w:szCs w:val="24"/>
        </w:rPr>
        <w:t xml:space="preserve">directed Energy Division staff to </w:t>
      </w:r>
      <w:r w:rsidRPr="001F797B" w:rsidR="00041292">
        <w:rPr>
          <w:rFonts w:ascii="Palatino Linotype" w:hAnsi="Palatino Linotype"/>
          <w:sz w:val="24"/>
          <w:szCs w:val="24"/>
        </w:rPr>
        <w:t>determine</w:t>
      </w:r>
      <w:r w:rsidR="001760CA">
        <w:rPr>
          <w:rFonts w:ascii="Palatino Linotype" w:hAnsi="Palatino Linotype"/>
          <w:sz w:val="24"/>
          <w:szCs w:val="24"/>
        </w:rPr>
        <w:t>, on an annual basis,</w:t>
      </w:r>
      <w:r w:rsidRPr="001F797B" w:rsidR="00041292">
        <w:rPr>
          <w:rFonts w:ascii="Palatino Linotype" w:hAnsi="Palatino Linotype"/>
          <w:sz w:val="24"/>
          <w:szCs w:val="24"/>
        </w:rPr>
        <w:t xml:space="preserve"> </w:t>
      </w:r>
      <w:r w:rsidR="001760CA">
        <w:rPr>
          <w:rFonts w:ascii="Palatino Linotype" w:hAnsi="Palatino Linotype"/>
          <w:sz w:val="24"/>
          <w:szCs w:val="24"/>
        </w:rPr>
        <w:t>“</w:t>
      </w:r>
      <w:r w:rsidRPr="001F797B" w:rsidR="00041292">
        <w:rPr>
          <w:rFonts w:ascii="Palatino Linotype" w:hAnsi="Palatino Linotype"/>
          <w:sz w:val="24"/>
          <w:szCs w:val="24"/>
        </w:rPr>
        <w:t>the costs of administering the registration program and other facets of consumer protection related to core transport service and core transport agents, and to prepare the resolutions for the recurring charge</w:t>
      </w:r>
      <w:r w:rsidR="00A16AA4">
        <w:rPr>
          <w:rFonts w:ascii="Palatino Linotype" w:hAnsi="Palatino Linotype"/>
          <w:sz w:val="24"/>
          <w:szCs w:val="24"/>
        </w:rPr>
        <w:t xml:space="preserve"> </w:t>
      </w:r>
      <w:r w:rsidRPr="00A16AA4" w:rsidR="00A16AA4">
        <w:rPr>
          <w:rFonts w:ascii="Palatino Linotype" w:hAnsi="Palatino Linotype"/>
          <w:sz w:val="24"/>
          <w:szCs w:val="24"/>
        </w:rPr>
        <w:t>as addressed in Section 2.6.3. of today’s decision.</w:t>
      </w:r>
      <w:r w:rsidR="00041292">
        <w:rPr>
          <w:rFonts w:ascii="Palatino Linotype" w:hAnsi="Palatino Linotype"/>
          <w:sz w:val="24"/>
          <w:szCs w:val="24"/>
        </w:rPr>
        <w:t>”</w:t>
      </w:r>
      <w:r w:rsidR="00A773ED">
        <w:rPr>
          <w:rStyle w:val="FootnoteReference"/>
          <w:rFonts w:ascii="Palatino Linotype" w:hAnsi="Palatino Linotype"/>
          <w:sz w:val="24"/>
          <w:szCs w:val="24"/>
        </w:rPr>
        <w:footnoteReference w:id="3"/>
      </w:r>
      <w:r w:rsidRPr="006A2A4D">
        <w:rPr>
          <w:rFonts w:ascii="Palatino Linotype" w:hAnsi="Palatino Linotype"/>
          <w:sz w:val="24"/>
          <w:szCs w:val="24"/>
        </w:rPr>
        <w:t xml:space="preserve"> </w:t>
      </w:r>
      <w:r w:rsidR="001760CA">
        <w:rPr>
          <w:rFonts w:ascii="Palatino Linotype" w:hAnsi="Palatino Linotype"/>
          <w:sz w:val="24"/>
          <w:szCs w:val="24"/>
        </w:rPr>
        <w:t xml:space="preserve"> In Section 2.6.3, </w:t>
      </w:r>
      <w:r w:rsidR="00EA3F44">
        <w:rPr>
          <w:rFonts w:ascii="Palatino Linotype" w:hAnsi="Palatino Linotype"/>
          <w:sz w:val="24"/>
          <w:szCs w:val="24"/>
        </w:rPr>
        <w:t>the Decision states, “</w:t>
      </w:r>
      <w:r w:rsidRPr="00EA3F44" w:rsidR="00EA3F44">
        <w:rPr>
          <w:rFonts w:ascii="Palatino Linotype" w:hAnsi="Palatino Linotype"/>
          <w:sz w:val="24"/>
          <w:szCs w:val="24"/>
        </w:rPr>
        <w:t xml:space="preserve">Subsequent annual reviews of these costs shall also take place by the staff, and </w:t>
      </w:r>
      <w:r w:rsidRPr="00A46467" w:rsidR="00EA3F44">
        <w:rPr>
          <w:rFonts w:ascii="Palatino Linotype" w:hAnsi="Palatino Linotype"/>
          <w:sz w:val="24"/>
          <w:szCs w:val="24"/>
        </w:rPr>
        <w:t>if these costs warrant an increase in the annual fee collected from the CTAs, staff shall prepare a proposed resolution with the recommended annual fee.”</w:t>
      </w:r>
      <w:r w:rsidR="003F57A1">
        <w:rPr>
          <w:rStyle w:val="FootnoteReference"/>
          <w:rFonts w:ascii="Palatino Linotype" w:hAnsi="Palatino Linotype"/>
          <w:sz w:val="24"/>
          <w:szCs w:val="24"/>
        </w:rPr>
        <w:footnoteReference w:id="4"/>
      </w:r>
      <w:r w:rsidRPr="00EA3F44" w:rsidR="00EA3F44">
        <w:rPr>
          <w:rFonts w:ascii="Palatino Linotype" w:hAnsi="Palatino Linotype"/>
          <w:sz w:val="24"/>
          <w:szCs w:val="24"/>
        </w:rPr>
        <w:t xml:space="preserve"> </w:t>
      </w:r>
      <w:r w:rsidR="00487468">
        <w:rPr>
          <w:rFonts w:ascii="Palatino Linotype" w:hAnsi="Palatino Linotype"/>
          <w:sz w:val="24"/>
          <w:szCs w:val="24"/>
        </w:rPr>
        <w:t xml:space="preserve"> </w:t>
      </w:r>
      <w:r w:rsidDel="007F58CD" w:rsidR="006A2A4D">
        <w:rPr>
          <w:rFonts w:ascii="Palatino Linotype" w:hAnsi="Palatino Linotype"/>
          <w:sz w:val="24"/>
          <w:szCs w:val="24"/>
        </w:rPr>
        <w:t xml:space="preserve"> </w:t>
      </w:r>
      <w:r w:rsidRPr="006A2A4D">
        <w:rPr>
          <w:rFonts w:ascii="Palatino Linotype" w:hAnsi="Palatino Linotype"/>
          <w:sz w:val="24"/>
          <w:szCs w:val="24"/>
        </w:rPr>
        <w:t xml:space="preserve">The </w:t>
      </w:r>
      <w:r w:rsidRPr="00BD3221">
        <w:rPr>
          <w:rFonts w:ascii="Palatino Linotype" w:hAnsi="Palatino Linotype"/>
          <w:i/>
          <w:iCs/>
          <w:sz w:val="24"/>
          <w:szCs w:val="24"/>
        </w:rPr>
        <w:lastRenderedPageBreak/>
        <w:t>202</w:t>
      </w:r>
      <w:r w:rsidRPr="00BD3221" w:rsidR="006841E5">
        <w:rPr>
          <w:rFonts w:ascii="Palatino Linotype" w:hAnsi="Palatino Linotype"/>
          <w:i/>
          <w:iCs/>
          <w:sz w:val="24"/>
          <w:szCs w:val="24"/>
        </w:rPr>
        <w:t>6</w:t>
      </w:r>
      <w:r w:rsidRPr="00BD3221">
        <w:rPr>
          <w:rFonts w:ascii="Palatino Linotype" w:hAnsi="Palatino Linotype"/>
          <w:i/>
          <w:iCs/>
          <w:sz w:val="24"/>
          <w:szCs w:val="24"/>
        </w:rPr>
        <w:t xml:space="preserve"> </w:t>
      </w:r>
      <w:r w:rsidRPr="00BD3221" w:rsidR="00864E4D">
        <w:rPr>
          <w:rFonts w:ascii="Palatino Linotype" w:hAnsi="Palatino Linotype"/>
          <w:i/>
          <w:iCs/>
          <w:sz w:val="24"/>
          <w:szCs w:val="24"/>
        </w:rPr>
        <w:t>Core Transport Agent Program Annual Report</w:t>
      </w:r>
      <w:r w:rsidR="004E203E">
        <w:rPr>
          <w:rFonts w:ascii="Palatino Linotype" w:hAnsi="Palatino Linotype"/>
          <w:sz w:val="24"/>
          <w:szCs w:val="24"/>
        </w:rPr>
        <w:t xml:space="preserve"> (</w:t>
      </w:r>
      <w:r w:rsidRPr="00BD3221" w:rsidR="004E203E">
        <w:rPr>
          <w:rFonts w:ascii="Palatino Linotype" w:hAnsi="Palatino Linotype"/>
          <w:i/>
          <w:iCs/>
          <w:sz w:val="24"/>
          <w:szCs w:val="24"/>
        </w:rPr>
        <w:t>CTA Annual Report</w:t>
      </w:r>
      <w:r w:rsidR="004E203E">
        <w:rPr>
          <w:rFonts w:ascii="Palatino Linotype" w:hAnsi="Palatino Linotype"/>
          <w:sz w:val="24"/>
          <w:szCs w:val="24"/>
        </w:rPr>
        <w:t>)</w:t>
      </w:r>
      <w:r w:rsidR="00864E4D">
        <w:rPr>
          <w:rFonts w:ascii="Palatino Linotype" w:hAnsi="Palatino Linotype"/>
          <w:sz w:val="24"/>
          <w:szCs w:val="24"/>
        </w:rPr>
        <w:t xml:space="preserve"> </w:t>
      </w:r>
      <w:r w:rsidRPr="006A2A4D">
        <w:rPr>
          <w:rFonts w:ascii="Palatino Linotype" w:hAnsi="Palatino Linotype"/>
          <w:sz w:val="24"/>
          <w:szCs w:val="24"/>
        </w:rPr>
        <w:t>is attached as Appendix A.</w:t>
      </w:r>
    </w:p>
    <w:p w:rsidRPr="006A2A4D" w:rsidR="00911F7B" w:rsidP="00911F7B" w:rsidRDefault="00911F7B" w14:paraId="51D19CCE" w14:textId="77777777">
      <w:pPr>
        <w:rPr>
          <w:rFonts w:ascii="Palatino Linotype" w:hAnsi="Palatino Linotype"/>
          <w:sz w:val="24"/>
          <w:szCs w:val="24"/>
        </w:rPr>
      </w:pPr>
    </w:p>
    <w:p w:rsidR="00911F7B" w:rsidP="00911F7B" w:rsidRDefault="00911F7B" w14:paraId="7179693E" w14:textId="22BA77B7">
      <w:pPr>
        <w:rPr>
          <w:rFonts w:ascii="Palatino Linotype" w:hAnsi="Palatino Linotype"/>
          <w:sz w:val="24"/>
          <w:szCs w:val="24"/>
        </w:rPr>
      </w:pPr>
      <w:bookmarkStart w:name="_Hlk130821575" w:id="1"/>
      <w:r w:rsidRPr="006A2A4D">
        <w:rPr>
          <w:rFonts w:ascii="Palatino Linotype" w:hAnsi="Palatino Linotype"/>
          <w:sz w:val="24"/>
          <w:szCs w:val="24"/>
        </w:rPr>
        <w:t xml:space="preserve">While D.18-02-002 </w:t>
      </w:r>
      <w:r w:rsidR="00864E4D">
        <w:rPr>
          <w:rFonts w:ascii="Palatino Linotype" w:hAnsi="Palatino Linotype"/>
          <w:sz w:val="24"/>
          <w:szCs w:val="24"/>
        </w:rPr>
        <w:t xml:space="preserve">did not immediately change the CTA fee, </w:t>
      </w:r>
      <w:r w:rsidRPr="006A2A4D">
        <w:rPr>
          <w:rFonts w:ascii="Palatino Linotype" w:hAnsi="Palatino Linotype"/>
          <w:sz w:val="24"/>
          <w:szCs w:val="24"/>
        </w:rPr>
        <w:t xml:space="preserve">it did find that </w:t>
      </w:r>
      <w:r w:rsidR="005F6F46">
        <w:rPr>
          <w:rFonts w:ascii="Palatino Linotype" w:hAnsi="Palatino Linotype"/>
          <w:sz w:val="24"/>
          <w:szCs w:val="24"/>
        </w:rPr>
        <w:t>PUC</w:t>
      </w:r>
      <w:r w:rsidRPr="006A2A4D">
        <w:rPr>
          <w:rFonts w:ascii="Palatino Linotype" w:hAnsi="Palatino Linotype"/>
          <w:sz w:val="24"/>
          <w:szCs w:val="24"/>
        </w:rPr>
        <w:t xml:space="preserve"> </w:t>
      </w:r>
      <w:r w:rsidR="005F6F46">
        <w:rPr>
          <w:rFonts w:ascii="Palatino Linotype" w:hAnsi="Palatino Linotype"/>
          <w:sz w:val="24"/>
          <w:szCs w:val="24"/>
        </w:rPr>
        <w:t>§</w:t>
      </w:r>
      <w:r w:rsidRPr="006A2A4D" w:rsidDel="005F6F46" w:rsidR="00554D0F">
        <w:rPr>
          <w:rFonts w:ascii="Palatino Linotype" w:hAnsi="Palatino Linotype"/>
          <w:sz w:val="24"/>
          <w:szCs w:val="24"/>
        </w:rPr>
        <w:t xml:space="preserve"> </w:t>
      </w:r>
      <w:r w:rsidRPr="006A2A4D">
        <w:rPr>
          <w:rFonts w:ascii="Palatino Linotype" w:hAnsi="Palatino Linotype"/>
          <w:sz w:val="24"/>
          <w:szCs w:val="24"/>
        </w:rPr>
        <w:t xml:space="preserve">984(b) allows for an annual fee to cover the costs of administering the registration as well </w:t>
      </w:r>
      <w:r w:rsidRPr="006A2A4D" w:rsidR="004D7141">
        <w:rPr>
          <w:rFonts w:ascii="Palatino Linotype" w:hAnsi="Palatino Linotype"/>
          <w:sz w:val="24"/>
          <w:szCs w:val="24"/>
        </w:rPr>
        <w:t>“</w:t>
      </w:r>
      <w:r w:rsidRPr="006A2A4D">
        <w:rPr>
          <w:rFonts w:ascii="Palatino Linotype" w:hAnsi="Palatino Linotype"/>
          <w:sz w:val="24"/>
          <w:szCs w:val="24"/>
        </w:rPr>
        <w:t>as other facets of consumer protection directly related to core transport service.</w:t>
      </w:r>
      <w:r w:rsidRPr="006A2A4D" w:rsidR="00097E01">
        <w:rPr>
          <w:rFonts w:ascii="Palatino Linotype" w:hAnsi="Palatino Linotype"/>
          <w:sz w:val="24"/>
          <w:szCs w:val="24"/>
        </w:rPr>
        <w:t>”</w:t>
      </w:r>
      <w:r w:rsidRPr="006A2A4D">
        <w:rPr>
          <w:rStyle w:val="FootnoteReference"/>
          <w:rFonts w:ascii="Palatino Linotype" w:hAnsi="Palatino Linotype"/>
          <w:sz w:val="24"/>
          <w:szCs w:val="24"/>
        </w:rPr>
        <w:footnoteReference w:id="5"/>
      </w:r>
      <w:r w:rsidR="006A2A4D">
        <w:rPr>
          <w:rFonts w:ascii="Palatino Linotype" w:hAnsi="Palatino Linotype"/>
          <w:sz w:val="24"/>
          <w:szCs w:val="24"/>
        </w:rPr>
        <w:t xml:space="preserve"> </w:t>
      </w:r>
      <w:r w:rsidRPr="006A2A4D">
        <w:rPr>
          <w:rFonts w:ascii="Palatino Linotype" w:hAnsi="Palatino Linotype"/>
          <w:sz w:val="24"/>
          <w:szCs w:val="24"/>
        </w:rPr>
        <w:t xml:space="preserve">Further, </w:t>
      </w:r>
      <w:r w:rsidRPr="006A2A4D" w:rsidR="00840311">
        <w:rPr>
          <w:rFonts w:ascii="Palatino Linotype" w:hAnsi="Palatino Linotype"/>
          <w:sz w:val="24"/>
          <w:szCs w:val="24"/>
        </w:rPr>
        <w:t>D.18-02-002</w:t>
      </w:r>
      <w:r w:rsidRPr="006A2A4D" w:rsidR="004A5FC7">
        <w:rPr>
          <w:rFonts w:ascii="Palatino Linotype" w:hAnsi="Palatino Linotype"/>
          <w:sz w:val="24"/>
          <w:szCs w:val="24"/>
        </w:rPr>
        <w:t xml:space="preserve"> </w:t>
      </w:r>
      <w:r w:rsidRPr="006A2A4D">
        <w:rPr>
          <w:rFonts w:ascii="Palatino Linotype" w:hAnsi="Palatino Linotype"/>
          <w:sz w:val="24"/>
          <w:szCs w:val="24"/>
        </w:rPr>
        <w:t xml:space="preserve">found that such a fee is consistent with the recurring annual fee applied to non-utility, </w:t>
      </w:r>
      <w:r w:rsidR="00FF13FA">
        <w:rPr>
          <w:rFonts w:ascii="Palatino Linotype" w:hAnsi="Palatino Linotype"/>
          <w:sz w:val="24"/>
          <w:szCs w:val="24"/>
        </w:rPr>
        <w:br/>
      </w:r>
      <w:r w:rsidRPr="006A2A4D">
        <w:rPr>
          <w:rFonts w:ascii="Palatino Linotype" w:hAnsi="Palatino Linotype"/>
          <w:sz w:val="24"/>
          <w:szCs w:val="24"/>
        </w:rPr>
        <w:t>third-party electricity procuring entities known as Electric Service Providers (ESPs), which was adopted in D.98-03-072 and implemented through Resolution M-4797.</w:t>
      </w:r>
      <w:r w:rsidR="00864E4D">
        <w:rPr>
          <w:rFonts w:ascii="Palatino Linotype" w:hAnsi="Palatino Linotype"/>
          <w:sz w:val="24"/>
          <w:szCs w:val="24"/>
        </w:rPr>
        <w:t xml:space="preserve"> It also stated that “</w:t>
      </w:r>
      <w:r w:rsidRPr="00864E4D" w:rsidR="00864E4D">
        <w:rPr>
          <w:rFonts w:ascii="Palatino Linotype" w:hAnsi="Palatino Linotype"/>
          <w:sz w:val="24"/>
          <w:szCs w:val="24"/>
        </w:rPr>
        <w:t>future CTAs who have not registered with the Commission are advised that this CTA registration fee may be adjusted in the future</w:t>
      </w:r>
      <w:r w:rsidR="00864E4D">
        <w:rPr>
          <w:rFonts w:ascii="Palatino Linotype" w:hAnsi="Palatino Linotype"/>
          <w:sz w:val="24"/>
          <w:szCs w:val="24"/>
        </w:rPr>
        <w:t>.”</w:t>
      </w:r>
      <w:r w:rsidR="00864E4D">
        <w:rPr>
          <w:rStyle w:val="FootnoteReference"/>
          <w:rFonts w:ascii="Palatino Linotype" w:hAnsi="Palatino Linotype"/>
          <w:sz w:val="24"/>
          <w:szCs w:val="24"/>
        </w:rPr>
        <w:footnoteReference w:id="6"/>
      </w:r>
    </w:p>
    <w:p w:rsidRPr="006A2A4D" w:rsidR="00EC5000" w:rsidP="00911F7B" w:rsidRDefault="00EC5000" w14:paraId="7771DE4A" w14:textId="77777777">
      <w:pPr>
        <w:rPr>
          <w:rFonts w:ascii="Palatino Linotype" w:hAnsi="Palatino Linotype"/>
          <w:sz w:val="24"/>
          <w:szCs w:val="24"/>
        </w:rPr>
      </w:pPr>
    </w:p>
    <w:p w:rsidRPr="00864E4D" w:rsidR="00911F7B" w:rsidP="004C70CB" w:rsidRDefault="00911F7B" w14:paraId="52528D1C" w14:textId="73F00BE1">
      <w:pPr>
        <w:pStyle w:val="Heading2"/>
        <w:rPr>
          <w:rFonts w:eastAsia="Palatino Linotype"/>
          <w:i/>
          <w:iCs/>
        </w:rPr>
      </w:pPr>
      <w:r w:rsidRPr="00864E4D">
        <w:rPr>
          <w:rFonts w:eastAsia="Palatino Linotype"/>
        </w:rPr>
        <w:t>Resolution M-4797</w:t>
      </w:r>
    </w:p>
    <w:p w:rsidRPr="006A2A4D" w:rsidR="00911F7B" w:rsidP="00911F7B" w:rsidRDefault="00911F7B" w14:paraId="43FC5738" w14:textId="2E89771A">
      <w:pPr>
        <w:rPr>
          <w:rFonts w:ascii="Palatino Linotype" w:hAnsi="Palatino Linotype"/>
          <w:sz w:val="24"/>
          <w:szCs w:val="24"/>
        </w:rPr>
      </w:pPr>
      <w:r w:rsidRPr="006A2A4D">
        <w:rPr>
          <w:rFonts w:ascii="Palatino Linotype" w:hAnsi="Palatino Linotype"/>
          <w:sz w:val="24"/>
          <w:szCs w:val="24"/>
        </w:rPr>
        <w:t>Adopted on November 4, 1999, Resolution M-4797 imposes an annual fee of $1,000 on all registered ESPs.</w:t>
      </w:r>
      <w:r w:rsidR="006A2A4D">
        <w:rPr>
          <w:rFonts w:ascii="Palatino Linotype" w:hAnsi="Palatino Linotype"/>
          <w:sz w:val="24"/>
          <w:szCs w:val="24"/>
        </w:rPr>
        <w:t xml:space="preserve"> </w:t>
      </w:r>
      <w:r w:rsidRPr="006A2A4D">
        <w:rPr>
          <w:rFonts w:ascii="Palatino Linotype" w:hAnsi="Palatino Linotype"/>
          <w:sz w:val="24"/>
          <w:szCs w:val="24"/>
        </w:rPr>
        <w:t>Initially, the annual fee was calculated by dividing</w:t>
      </w:r>
      <w:r w:rsidRPr="006A2A4D">
        <w:rPr>
          <w:sz w:val="24"/>
          <w:szCs w:val="24"/>
        </w:rPr>
        <w:t xml:space="preserve"> </w:t>
      </w:r>
      <w:r w:rsidRPr="006A2A4D">
        <w:rPr>
          <w:rFonts w:ascii="Palatino Linotype" w:hAnsi="Palatino Linotype"/>
          <w:sz w:val="24"/>
          <w:szCs w:val="24"/>
        </w:rPr>
        <w:t>the estimated administrative costs (roughly $1 million) by the number of active, inactive, and suspended ESPs (256), resulting in a nearly $4,000 annual fee.</w:t>
      </w:r>
    </w:p>
    <w:p w:rsidRPr="006A2A4D" w:rsidR="00911F7B" w:rsidP="00911F7B" w:rsidRDefault="00911F7B" w14:paraId="2EED76A9" w14:textId="331E192F">
      <w:pPr>
        <w:rPr>
          <w:rFonts w:ascii="Palatino Linotype" w:hAnsi="Palatino Linotype"/>
          <w:sz w:val="24"/>
          <w:szCs w:val="24"/>
        </w:rPr>
      </w:pPr>
      <w:r w:rsidRPr="006A2A4D">
        <w:rPr>
          <w:rFonts w:ascii="Palatino Linotype" w:hAnsi="Palatino Linotype"/>
          <w:sz w:val="24"/>
          <w:szCs w:val="24"/>
        </w:rPr>
        <w:t xml:space="preserve">However, the </w:t>
      </w:r>
      <w:r w:rsidR="009C603E">
        <w:rPr>
          <w:rFonts w:ascii="Palatino Linotype" w:hAnsi="Palatino Linotype"/>
          <w:sz w:val="24"/>
          <w:szCs w:val="24"/>
        </w:rPr>
        <w:t>resolution</w:t>
      </w:r>
      <w:r w:rsidRPr="006A2A4D">
        <w:rPr>
          <w:rFonts w:ascii="Palatino Linotype" w:hAnsi="Palatino Linotype"/>
          <w:sz w:val="24"/>
          <w:szCs w:val="24"/>
        </w:rPr>
        <w:t xml:space="preserve"> states:</w:t>
      </w:r>
    </w:p>
    <w:p w:rsidRPr="006A2A4D" w:rsidR="00911F7B" w:rsidP="00911F7B" w:rsidRDefault="00911F7B" w14:paraId="66EE0DEE" w14:textId="319CF142">
      <w:pPr>
        <w:rPr>
          <w:rFonts w:ascii="Palatino Linotype" w:hAnsi="Palatino Linotype"/>
          <w:sz w:val="24"/>
          <w:szCs w:val="24"/>
        </w:rPr>
      </w:pPr>
    </w:p>
    <w:p w:rsidRPr="006A2A4D" w:rsidR="00911F7B" w:rsidP="00911F7B" w:rsidRDefault="00911F7B" w14:paraId="559949D0" w14:textId="54E56FBF">
      <w:pPr>
        <w:ind w:left="720" w:right="720"/>
        <w:rPr>
          <w:rFonts w:ascii="Palatino Linotype" w:hAnsi="Palatino Linotype"/>
          <w:sz w:val="24"/>
          <w:szCs w:val="24"/>
        </w:rPr>
      </w:pPr>
      <w:r w:rsidRPr="006A2A4D">
        <w:rPr>
          <w:rFonts w:ascii="Palatino Linotype" w:hAnsi="Palatino Linotype"/>
          <w:sz w:val="24"/>
          <w:szCs w:val="24"/>
        </w:rPr>
        <w:t>…this [residential and small commercial Direct Access (DA)] market is still new, and market penetration is limited, it would be prudent to establish an annual fee of $1,000, which is below the full cost of recovery and should not discourage new entrants in the market.</w:t>
      </w:r>
      <w:r w:rsidRPr="006A2A4D">
        <w:rPr>
          <w:rStyle w:val="FootnoteReference"/>
          <w:rFonts w:ascii="Palatino Linotype" w:hAnsi="Palatino Linotype"/>
          <w:sz w:val="24"/>
          <w:szCs w:val="24"/>
        </w:rPr>
        <w:footnoteReference w:id="7"/>
      </w:r>
    </w:p>
    <w:bookmarkEnd w:id="1"/>
    <w:p w:rsidR="00911F7B" w:rsidP="00911F7B" w:rsidRDefault="00911F7B" w14:paraId="034EE7F8" w14:textId="359743D8">
      <w:pPr>
        <w:rPr>
          <w:rFonts w:ascii="Palatino Linotype" w:hAnsi="Palatino Linotype"/>
          <w:sz w:val="24"/>
          <w:szCs w:val="24"/>
        </w:rPr>
      </w:pPr>
    </w:p>
    <w:p w:rsidRPr="00864E4D" w:rsidR="000E5C1C" w:rsidP="004C70CB" w:rsidRDefault="000E5C1C" w14:paraId="4B4A61E9" w14:textId="5215DDFE">
      <w:pPr>
        <w:pStyle w:val="Heading2"/>
      </w:pPr>
      <w:r w:rsidRPr="00864E4D">
        <w:t>Resolution UEB 003</w:t>
      </w:r>
    </w:p>
    <w:p w:rsidR="000E5C1C" w:rsidP="000E5C1C" w:rsidRDefault="000E5C1C" w14:paraId="27D1CC43" w14:textId="668F7A0D">
      <w:pPr>
        <w:rPr>
          <w:rFonts w:ascii="Palatino Linotype" w:hAnsi="Palatino Linotype"/>
          <w:sz w:val="24"/>
          <w:szCs w:val="24"/>
        </w:rPr>
      </w:pPr>
      <w:r w:rsidRPr="005C45A1">
        <w:rPr>
          <w:rFonts w:ascii="Palatino Linotype" w:hAnsi="Palatino Linotype"/>
          <w:sz w:val="24"/>
          <w:szCs w:val="24"/>
        </w:rPr>
        <w:t>On October 25, 2018, the CPUC enacted Resolution UEB-003</w:t>
      </w:r>
      <w:r w:rsidRPr="005C45A1">
        <w:rPr>
          <w:rStyle w:val="FootnoteReference"/>
          <w:rFonts w:ascii="Palatino Linotype" w:hAnsi="Palatino Linotype"/>
          <w:sz w:val="24"/>
          <w:szCs w:val="24"/>
        </w:rPr>
        <w:footnoteReference w:id="8"/>
      </w:r>
      <w:r w:rsidRPr="005C45A1">
        <w:rPr>
          <w:rFonts w:ascii="Palatino Linotype" w:hAnsi="Palatino Linotype"/>
          <w:sz w:val="24"/>
          <w:szCs w:val="24"/>
        </w:rPr>
        <w:t xml:space="preserve"> adopting a CTA Citation Program and delegating the authority to the Consumer Protection and Enforcement Division (CPED), within which UEB is a is branch, to issue citations of $1,000 per incident to CTAs that fail to comply with the standards for verification of change in provider requirements in </w:t>
      </w:r>
      <w:r w:rsidR="00FF13FA">
        <w:rPr>
          <w:rFonts w:ascii="Palatino Linotype" w:hAnsi="Palatino Linotype"/>
          <w:sz w:val="24"/>
          <w:szCs w:val="24"/>
        </w:rPr>
        <w:br/>
      </w:r>
      <w:r w:rsidRPr="005C45A1">
        <w:rPr>
          <w:rFonts w:ascii="Palatino Linotype" w:hAnsi="Palatino Linotype"/>
          <w:sz w:val="24"/>
          <w:szCs w:val="24"/>
        </w:rPr>
        <w:t xml:space="preserve">D.18-02-002. </w:t>
      </w:r>
    </w:p>
    <w:p w:rsidR="000E5C1C" w:rsidP="000E5C1C" w:rsidRDefault="000E5C1C" w14:paraId="3695F89D" w14:textId="77777777">
      <w:pPr>
        <w:rPr>
          <w:rFonts w:ascii="Palatino Linotype" w:hAnsi="Palatino Linotype"/>
          <w:sz w:val="24"/>
          <w:szCs w:val="24"/>
        </w:rPr>
      </w:pPr>
    </w:p>
    <w:p w:rsidRPr="00864E4D" w:rsidR="00911F7B" w:rsidP="004C70CB" w:rsidRDefault="00911F7B" w14:paraId="0525D430" w14:textId="77777777">
      <w:pPr>
        <w:pStyle w:val="Heading2"/>
      </w:pPr>
      <w:r w:rsidRPr="00864E4D">
        <w:lastRenderedPageBreak/>
        <w:t>Resolution G-3552</w:t>
      </w:r>
    </w:p>
    <w:p w:rsidRPr="006A2A4D" w:rsidR="00911F7B" w:rsidP="00911F7B" w:rsidRDefault="00911F7B" w14:paraId="1749E6AC" w14:textId="294A2502">
      <w:pPr>
        <w:rPr>
          <w:rFonts w:ascii="Palatino Linotype" w:hAnsi="Palatino Linotype"/>
          <w:sz w:val="24"/>
          <w:szCs w:val="24"/>
        </w:rPr>
      </w:pPr>
      <w:r w:rsidRPr="006A2A4D">
        <w:rPr>
          <w:rFonts w:ascii="Palatino Linotype" w:hAnsi="Palatino Linotype"/>
          <w:sz w:val="24"/>
          <w:szCs w:val="24"/>
        </w:rPr>
        <w:t>On April 25, 2019, the CPUC approved Resolution G-3552, which established an annual fee of $2,860 for CTAs.</w:t>
      </w:r>
      <w:r w:rsidRPr="006A2A4D">
        <w:rPr>
          <w:rStyle w:val="FootnoteReference"/>
          <w:rFonts w:ascii="Palatino Linotype" w:hAnsi="Palatino Linotype"/>
          <w:sz w:val="24"/>
          <w:szCs w:val="24"/>
        </w:rPr>
        <w:footnoteReference w:id="9"/>
      </w:r>
      <w:r w:rsidR="006A2A4D">
        <w:rPr>
          <w:rFonts w:ascii="Palatino Linotype" w:hAnsi="Palatino Linotype"/>
          <w:sz w:val="24"/>
          <w:szCs w:val="24"/>
        </w:rPr>
        <w:t xml:space="preserve"> </w:t>
      </w:r>
      <w:r w:rsidRPr="006A2A4D">
        <w:rPr>
          <w:rFonts w:ascii="Palatino Linotype" w:hAnsi="Palatino Linotype"/>
          <w:sz w:val="24"/>
          <w:szCs w:val="24"/>
        </w:rPr>
        <w:t>That fee was based on the cost of one Energy Division staff person who</w:t>
      </w:r>
      <w:r w:rsidRPr="006A2A4D" w:rsidR="006B11E5">
        <w:rPr>
          <w:rFonts w:ascii="Palatino Linotype" w:hAnsi="Palatino Linotype"/>
          <w:sz w:val="24"/>
          <w:szCs w:val="24"/>
        </w:rPr>
        <w:t xml:space="preserve"> was</w:t>
      </w:r>
      <w:r w:rsidRPr="006A2A4D">
        <w:rPr>
          <w:rFonts w:ascii="Palatino Linotype" w:hAnsi="Palatino Linotype"/>
          <w:sz w:val="24"/>
          <w:szCs w:val="24"/>
        </w:rPr>
        <w:t xml:space="preserve"> charged with administering the CTA program.</w:t>
      </w:r>
      <w:r w:rsidR="006A2A4D">
        <w:rPr>
          <w:rFonts w:ascii="Palatino Linotype" w:hAnsi="Palatino Linotype"/>
          <w:sz w:val="24"/>
          <w:szCs w:val="24"/>
        </w:rPr>
        <w:t xml:space="preserve"> </w:t>
      </w:r>
      <w:r w:rsidRPr="006A2A4D">
        <w:rPr>
          <w:rFonts w:ascii="Palatino Linotype" w:hAnsi="Palatino Linotype"/>
          <w:sz w:val="24"/>
          <w:szCs w:val="24"/>
        </w:rPr>
        <w:t xml:space="preserve">Resolution G-3552 noted that CTA-related costs varied with the number of complaints and that the CPUC would consider a complaint-based </w:t>
      </w:r>
      <w:r w:rsidRPr="006A2A4D" w:rsidR="009D0FED">
        <w:rPr>
          <w:rFonts w:ascii="Palatino Linotype" w:hAnsi="Palatino Linotype"/>
          <w:sz w:val="24"/>
          <w:szCs w:val="24"/>
        </w:rPr>
        <w:t>V</w:t>
      </w:r>
      <w:r w:rsidRPr="006A2A4D">
        <w:rPr>
          <w:rFonts w:ascii="Palatino Linotype" w:hAnsi="Palatino Linotype"/>
          <w:sz w:val="24"/>
          <w:szCs w:val="24"/>
        </w:rPr>
        <w:t xml:space="preserve">ariable </w:t>
      </w:r>
      <w:r w:rsidRPr="006A2A4D" w:rsidR="009D0FED">
        <w:rPr>
          <w:rFonts w:ascii="Palatino Linotype" w:hAnsi="Palatino Linotype"/>
          <w:sz w:val="24"/>
          <w:szCs w:val="24"/>
        </w:rPr>
        <w:t>F</w:t>
      </w:r>
      <w:r w:rsidRPr="006A2A4D">
        <w:rPr>
          <w:rFonts w:ascii="Palatino Linotype" w:hAnsi="Palatino Linotype"/>
          <w:sz w:val="24"/>
          <w:szCs w:val="24"/>
        </w:rPr>
        <w:t xml:space="preserve">ee in the future. However, at the time the </w:t>
      </w:r>
      <w:r w:rsidR="009C603E">
        <w:rPr>
          <w:rFonts w:ascii="Palatino Linotype" w:hAnsi="Palatino Linotype"/>
          <w:sz w:val="24"/>
          <w:szCs w:val="24"/>
        </w:rPr>
        <w:t>resolution</w:t>
      </w:r>
      <w:r w:rsidRPr="006A2A4D">
        <w:rPr>
          <w:rFonts w:ascii="Palatino Linotype" w:hAnsi="Palatino Linotype"/>
          <w:sz w:val="24"/>
          <w:szCs w:val="24"/>
        </w:rPr>
        <w:t xml:space="preserve"> was issued, the </w:t>
      </w:r>
      <w:r w:rsidR="00FF13FA">
        <w:rPr>
          <w:rFonts w:ascii="Palatino Linotype" w:hAnsi="Palatino Linotype"/>
          <w:sz w:val="24"/>
          <w:szCs w:val="24"/>
        </w:rPr>
        <w:br/>
      </w:r>
      <w:r w:rsidRPr="006A2A4D">
        <w:rPr>
          <w:rFonts w:ascii="Palatino Linotype" w:hAnsi="Palatino Linotype"/>
          <w:sz w:val="24"/>
          <w:szCs w:val="24"/>
        </w:rPr>
        <w:t xml:space="preserve">CPUC’s CTA-related complaint process was newly established, and it was determined that there was not enough information to institute a complaint-based </w:t>
      </w:r>
      <w:r w:rsidR="000C59AA">
        <w:rPr>
          <w:rFonts w:ascii="Palatino Linotype" w:hAnsi="Palatino Linotype"/>
          <w:sz w:val="24"/>
          <w:szCs w:val="24"/>
        </w:rPr>
        <w:t>V</w:t>
      </w:r>
      <w:r w:rsidRPr="006A2A4D">
        <w:rPr>
          <w:rFonts w:ascii="Palatino Linotype" w:hAnsi="Palatino Linotype"/>
          <w:sz w:val="24"/>
          <w:szCs w:val="24"/>
        </w:rPr>
        <w:t xml:space="preserve">ariable </w:t>
      </w:r>
      <w:r w:rsidR="000C59AA">
        <w:rPr>
          <w:rFonts w:ascii="Palatino Linotype" w:hAnsi="Palatino Linotype"/>
          <w:sz w:val="24"/>
          <w:szCs w:val="24"/>
        </w:rPr>
        <w:t>F</w:t>
      </w:r>
      <w:r w:rsidRPr="006A2A4D">
        <w:rPr>
          <w:rFonts w:ascii="Palatino Linotype" w:hAnsi="Palatino Linotype"/>
          <w:sz w:val="24"/>
          <w:szCs w:val="24"/>
        </w:rPr>
        <w:t>ee at that time.</w:t>
      </w:r>
      <w:r w:rsidRPr="006A2A4D">
        <w:rPr>
          <w:rStyle w:val="FootnoteReference"/>
          <w:rFonts w:ascii="Palatino Linotype" w:hAnsi="Palatino Linotype"/>
          <w:sz w:val="24"/>
          <w:szCs w:val="24"/>
        </w:rPr>
        <w:footnoteReference w:id="10"/>
      </w:r>
      <w:r w:rsidRPr="006A2A4D">
        <w:rPr>
          <w:rFonts w:ascii="Palatino Linotype" w:hAnsi="Palatino Linotype"/>
          <w:sz w:val="24"/>
          <w:szCs w:val="24"/>
        </w:rPr>
        <w:t xml:space="preserve"> </w:t>
      </w:r>
    </w:p>
    <w:p w:rsidRPr="00864E4D" w:rsidR="00911F7B" w:rsidP="00911F7B" w:rsidRDefault="00911F7B" w14:paraId="0923058F" w14:textId="77777777">
      <w:pPr>
        <w:rPr>
          <w:rFonts w:ascii="Palatino Linotype" w:hAnsi="Palatino Linotype"/>
          <w:b/>
          <w:bCs/>
          <w:sz w:val="24"/>
          <w:szCs w:val="24"/>
        </w:rPr>
      </w:pPr>
    </w:p>
    <w:p w:rsidRPr="00864E4D" w:rsidR="001B147C" w:rsidP="004C70CB" w:rsidRDefault="00911F7B" w14:paraId="42B99B23" w14:textId="22013910">
      <w:pPr>
        <w:pStyle w:val="Heading2"/>
        <w:rPr>
          <w:rFonts w:eastAsia="Palatino Linotype"/>
        </w:rPr>
      </w:pPr>
      <w:r w:rsidRPr="00864E4D">
        <w:rPr>
          <w:rFonts w:eastAsia="Palatino Linotype"/>
        </w:rPr>
        <w:t>Resolution G</w:t>
      </w:r>
      <w:r w:rsidRPr="00864E4D" w:rsidR="00D04F7A">
        <w:rPr>
          <w:rFonts w:eastAsia="Palatino Linotype"/>
        </w:rPr>
        <w:t>-3580</w:t>
      </w:r>
    </w:p>
    <w:p w:rsidR="00E96553" w:rsidP="00865A5E" w:rsidRDefault="00952B6B" w14:paraId="08D366B2" w14:textId="55D243DE">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Adopted on June 3</w:t>
      </w:r>
      <w:r w:rsidRPr="006A2A4D" w:rsidR="000E5211">
        <w:rPr>
          <w:rFonts w:ascii="Palatino Linotype" w:hAnsi="Palatino Linotype" w:eastAsia="Palatino Linotype" w:cs="Palatino Linotype"/>
          <w:sz w:val="24"/>
          <w:szCs w:val="24"/>
        </w:rPr>
        <w:t xml:space="preserve">, 2021, Resolution G-3580 </w:t>
      </w:r>
      <w:r w:rsidRPr="006A2A4D" w:rsidR="00364E2C">
        <w:rPr>
          <w:rFonts w:ascii="Palatino Linotype" w:hAnsi="Palatino Linotype" w:eastAsia="Palatino Linotype" w:cs="Palatino Linotype"/>
          <w:sz w:val="24"/>
          <w:szCs w:val="24"/>
        </w:rPr>
        <w:t>increase</w:t>
      </w:r>
      <w:r w:rsidRPr="006A2A4D" w:rsidR="008B0380">
        <w:rPr>
          <w:rFonts w:ascii="Palatino Linotype" w:hAnsi="Palatino Linotype" w:eastAsia="Palatino Linotype" w:cs="Palatino Linotype"/>
          <w:sz w:val="24"/>
          <w:szCs w:val="24"/>
        </w:rPr>
        <w:t>d</w:t>
      </w:r>
      <w:r w:rsidRPr="006A2A4D" w:rsidR="00364E2C">
        <w:rPr>
          <w:rFonts w:ascii="Palatino Linotype" w:hAnsi="Palatino Linotype" w:eastAsia="Palatino Linotype" w:cs="Palatino Linotype"/>
          <w:sz w:val="24"/>
          <w:szCs w:val="24"/>
        </w:rPr>
        <w:t xml:space="preserve"> the </w:t>
      </w:r>
      <w:r w:rsidRPr="006A2A4D" w:rsidR="008B0380">
        <w:rPr>
          <w:rFonts w:ascii="Palatino Linotype" w:hAnsi="Palatino Linotype" w:eastAsia="Palatino Linotype" w:cs="Palatino Linotype"/>
          <w:sz w:val="24"/>
          <w:szCs w:val="24"/>
        </w:rPr>
        <w:t>B</w:t>
      </w:r>
      <w:r w:rsidRPr="006A2A4D" w:rsidR="00364E2C">
        <w:rPr>
          <w:rFonts w:ascii="Palatino Linotype" w:hAnsi="Palatino Linotype" w:eastAsia="Palatino Linotype" w:cs="Palatino Linotype"/>
          <w:sz w:val="24"/>
          <w:szCs w:val="24"/>
        </w:rPr>
        <w:t xml:space="preserve">ase </w:t>
      </w:r>
      <w:r w:rsidRPr="006A2A4D" w:rsidR="008B0380">
        <w:rPr>
          <w:rFonts w:ascii="Palatino Linotype" w:hAnsi="Palatino Linotype" w:eastAsia="Palatino Linotype" w:cs="Palatino Linotype"/>
          <w:sz w:val="24"/>
          <w:szCs w:val="24"/>
        </w:rPr>
        <w:t>F</w:t>
      </w:r>
      <w:r w:rsidRPr="006A2A4D" w:rsidR="00364E2C">
        <w:rPr>
          <w:rFonts w:ascii="Palatino Linotype" w:hAnsi="Palatino Linotype" w:eastAsia="Palatino Linotype" w:cs="Palatino Linotype"/>
          <w:sz w:val="24"/>
          <w:szCs w:val="24"/>
        </w:rPr>
        <w:t>ee to $3,955 for each registered CTA</w:t>
      </w:r>
      <w:r w:rsidRPr="006A2A4D" w:rsidR="0073052F">
        <w:rPr>
          <w:rFonts w:ascii="Palatino Linotype" w:hAnsi="Palatino Linotype" w:eastAsia="Palatino Linotype" w:cs="Palatino Linotype"/>
          <w:sz w:val="24"/>
          <w:szCs w:val="24"/>
        </w:rPr>
        <w:t xml:space="preserve"> effective July 1, 2022.</w:t>
      </w:r>
      <w:r w:rsidR="006A2A4D">
        <w:rPr>
          <w:rFonts w:ascii="Palatino Linotype" w:hAnsi="Palatino Linotype" w:eastAsia="Palatino Linotype" w:cs="Palatino Linotype"/>
          <w:sz w:val="24"/>
          <w:szCs w:val="24"/>
        </w:rPr>
        <w:t xml:space="preserve"> </w:t>
      </w:r>
      <w:r w:rsidRPr="006A2A4D" w:rsidR="00CE1E9A">
        <w:rPr>
          <w:rFonts w:ascii="Palatino Linotype" w:hAnsi="Palatino Linotype" w:eastAsia="Palatino Linotype" w:cs="Palatino Linotype"/>
          <w:sz w:val="24"/>
          <w:szCs w:val="24"/>
        </w:rPr>
        <w:t xml:space="preserve">It added a Variable Fee </w:t>
      </w:r>
      <w:r w:rsidRPr="006A2A4D" w:rsidR="00375BFF">
        <w:rPr>
          <w:rFonts w:ascii="Palatino Linotype" w:hAnsi="Palatino Linotype" w:eastAsia="Palatino Linotype" w:cs="Palatino Linotype"/>
          <w:sz w:val="24"/>
          <w:szCs w:val="24"/>
        </w:rPr>
        <w:t>based on the number and type of complaints received by</w:t>
      </w:r>
      <w:r w:rsidRPr="006A2A4D" w:rsidR="00CE1E9A">
        <w:rPr>
          <w:rFonts w:ascii="Palatino Linotype" w:hAnsi="Palatino Linotype" w:eastAsia="Palatino Linotype" w:cs="Palatino Linotype"/>
          <w:sz w:val="24"/>
          <w:szCs w:val="24"/>
        </w:rPr>
        <w:t xml:space="preserve"> CAB and UEB</w:t>
      </w:r>
      <w:r w:rsidRPr="006A2A4D" w:rsidR="00375BFF">
        <w:rPr>
          <w:rFonts w:ascii="Palatino Linotype" w:hAnsi="Palatino Linotype" w:eastAsia="Palatino Linotype" w:cs="Palatino Linotype"/>
          <w:sz w:val="24"/>
          <w:szCs w:val="24"/>
        </w:rPr>
        <w:t xml:space="preserve"> </w:t>
      </w:r>
      <w:r w:rsidRPr="006A2A4D" w:rsidR="009F0FFE">
        <w:rPr>
          <w:rFonts w:ascii="Palatino Linotype" w:hAnsi="Palatino Linotype" w:eastAsia="Palatino Linotype" w:cs="Palatino Linotype"/>
          <w:sz w:val="24"/>
          <w:szCs w:val="24"/>
        </w:rPr>
        <w:t xml:space="preserve">in </w:t>
      </w:r>
      <w:r w:rsidRPr="006A2A4D" w:rsidR="00CE1E9A">
        <w:rPr>
          <w:rFonts w:ascii="Palatino Linotype" w:hAnsi="Palatino Linotype" w:eastAsia="Palatino Linotype" w:cs="Palatino Linotype"/>
          <w:sz w:val="24"/>
          <w:szCs w:val="24"/>
        </w:rPr>
        <w:t xml:space="preserve">the preceding </w:t>
      </w:r>
      <w:r w:rsidRPr="006A2A4D" w:rsidR="009F0FFE">
        <w:rPr>
          <w:rFonts w:ascii="Palatino Linotype" w:hAnsi="Palatino Linotype" w:eastAsia="Palatino Linotype" w:cs="Palatino Linotype"/>
          <w:sz w:val="24"/>
          <w:szCs w:val="24"/>
        </w:rPr>
        <w:t xml:space="preserve">calendar year, January 1 to December 31. </w:t>
      </w:r>
    </w:p>
    <w:p w:rsidR="00A773ED" w:rsidP="00865A5E" w:rsidRDefault="00A773ED" w14:paraId="7E828F69" w14:textId="71C4A155">
      <w:pPr>
        <w:pStyle w:val="standard"/>
        <w:spacing w:line="240" w:lineRule="auto"/>
        <w:ind w:firstLine="0"/>
        <w:rPr>
          <w:rFonts w:ascii="Palatino Linotype" w:hAnsi="Palatino Linotype" w:eastAsia="Palatino Linotype" w:cs="Palatino Linotype"/>
          <w:sz w:val="24"/>
          <w:szCs w:val="24"/>
        </w:rPr>
      </w:pPr>
    </w:p>
    <w:p w:rsidRPr="00864E4D" w:rsidR="00A773ED" w:rsidP="004C70CB" w:rsidRDefault="00A773ED" w14:paraId="1F6E3331" w14:textId="3618DA7A">
      <w:pPr>
        <w:pStyle w:val="Heading2"/>
        <w:rPr>
          <w:rFonts w:eastAsia="Palatino Linotype"/>
        </w:rPr>
      </w:pPr>
      <w:r w:rsidRPr="00864E4D">
        <w:rPr>
          <w:rFonts w:eastAsia="Palatino Linotype"/>
        </w:rPr>
        <w:t>Resolution G-3589</w:t>
      </w:r>
    </w:p>
    <w:p w:rsidR="00A773ED" w:rsidP="00865A5E" w:rsidRDefault="00D36F11" w14:paraId="728255BB" w14:textId="41016C41">
      <w:pPr>
        <w:pStyle w:val="standard"/>
        <w:spacing w:line="240" w:lineRule="auto"/>
        <w:ind w:firstLine="0"/>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On June 23, 202</w:t>
      </w:r>
      <w:r w:rsidR="006B58CF">
        <w:rPr>
          <w:rFonts w:ascii="Palatino Linotype" w:hAnsi="Palatino Linotype" w:eastAsia="Palatino Linotype" w:cs="Palatino Linotype"/>
          <w:sz w:val="24"/>
          <w:szCs w:val="24"/>
        </w:rPr>
        <w:t>2</w:t>
      </w:r>
      <w:r>
        <w:rPr>
          <w:rFonts w:ascii="Palatino Linotype" w:hAnsi="Palatino Linotype" w:eastAsia="Palatino Linotype" w:cs="Palatino Linotype"/>
          <w:sz w:val="24"/>
          <w:szCs w:val="24"/>
        </w:rPr>
        <w:t xml:space="preserve">, the CPUC adopted Resolution G-3589, which decreased the Base Fee to $3,864. The </w:t>
      </w:r>
      <w:r w:rsidR="009C603E">
        <w:rPr>
          <w:rFonts w:ascii="Palatino Linotype" w:hAnsi="Palatino Linotype" w:eastAsia="Palatino Linotype" w:cs="Palatino Linotype"/>
          <w:sz w:val="24"/>
          <w:szCs w:val="24"/>
        </w:rPr>
        <w:t>resolution</w:t>
      </w:r>
      <w:r>
        <w:rPr>
          <w:rFonts w:ascii="Palatino Linotype" w:hAnsi="Palatino Linotype" w:eastAsia="Palatino Linotype" w:cs="Palatino Linotype"/>
          <w:sz w:val="24"/>
          <w:szCs w:val="24"/>
        </w:rPr>
        <w:t xml:space="preserve"> further stated that Energy Division could continue to apply the Base Fee at the same level and the Variable Fee using the same methodology in future years without submitting a new </w:t>
      </w:r>
      <w:r w:rsidR="009C603E">
        <w:rPr>
          <w:rFonts w:ascii="Palatino Linotype" w:hAnsi="Palatino Linotype" w:eastAsia="Palatino Linotype" w:cs="Palatino Linotype"/>
          <w:sz w:val="24"/>
          <w:szCs w:val="24"/>
        </w:rPr>
        <w:t>resolution</w:t>
      </w:r>
      <w:r>
        <w:rPr>
          <w:rFonts w:ascii="Palatino Linotype" w:hAnsi="Palatino Linotype" w:eastAsia="Palatino Linotype" w:cs="Palatino Linotype"/>
          <w:sz w:val="24"/>
          <w:szCs w:val="24"/>
        </w:rPr>
        <w:t>.</w:t>
      </w:r>
    </w:p>
    <w:p w:rsidR="009E2BB7" w:rsidP="00865A5E" w:rsidRDefault="009E2BB7" w14:paraId="1A8162D3" w14:textId="77777777">
      <w:pPr>
        <w:pStyle w:val="standard"/>
        <w:spacing w:line="240" w:lineRule="auto"/>
        <w:ind w:firstLine="0"/>
        <w:rPr>
          <w:rFonts w:ascii="Palatino Linotype" w:hAnsi="Palatino Linotype" w:eastAsia="Palatino Linotype" w:cs="Palatino Linotype"/>
          <w:sz w:val="24"/>
          <w:szCs w:val="24"/>
        </w:rPr>
      </w:pPr>
    </w:p>
    <w:p w:rsidRPr="002F2CEA" w:rsidR="004B31A0" w:rsidP="004B31A0" w:rsidRDefault="004B31A0" w14:paraId="7476A95A" w14:textId="7927A537">
      <w:pPr>
        <w:pStyle w:val="Heading2"/>
        <w:rPr>
          <w:rFonts w:eastAsia="Palatino Linotype"/>
          <w:szCs w:val="24"/>
        </w:rPr>
      </w:pPr>
      <w:r w:rsidRPr="002F2CEA">
        <w:rPr>
          <w:rFonts w:eastAsia="Palatino Linotype"/>
          <w:szCs w:val="24"/>
        </w:rPr>
        <w:t>Resolution G-3597</w:t>
      </w:r>
    </w:p>
    <w:p w:rsidR="002F2CEA" w:rsidP="002F2CEA" w:rsidRDefault="00F756FD" w14:paraId="5D8312E1" w14:textId="76C75A26">
      <w:pPr>
        <w:spacing w:after="60"/>
        <w:rPr>
          <w:rFonts w:ascii="Palatino Linotype" w:hAnsi="Palatino Linotype"/>
          <w:bCs/>
          <w:sz w:val="24"/>
          <w:szCs w:val="24"/>
        </w:rPr>
      </w:pPr>
      <w:r>
        <w:rPr>
          <w:rFonts w:ascii="Palatino Linotype" w:hAnsi="Palatino Linotype" w:eastAsia="Palatino Linotype" w:cs="Palatino Linotype"/>
          <w:sz w:val="24"/>
          <w:szCs w:val="24"/>
        </w:rPr>
        <w:t>On</w:t>
      </w:r>
      <w:r w:rsidRPr="006A2A4D" w:rsidDel="00F756FD" w:rsidR="00624064">
        <w:rPr>
          <w:rFonts w:ascii="Palatino Linotype" w:hAnsi="Palatino Linotype" w:eastAsia="Palatino Linotype" w:cs="Palatino Linotype"/>
          <w:sz w:val="24"/>
          <w:szCs w:val="24"/>
        </w:rPr>
        <w:t xml:space="preserve"> </w:t>
      </w:r>
      <w:r w:rsidR="00A74673">
        <w:rPr>
          <w:rFonts w:ascii="Palatino Linotype" w:hAnsi="Palatino Linotype" w:eastAsia="Palatino Linotype" w:cs="Palatino Linotype"/>
          <w:sz w:val="24"/>
          <w:szCs w:val="24"/>
        </w:rPr>
        <w:t>May</w:t>
      </w:r>
      <w:r w:rsidR="008A5E99">
        <w:rPr>
          <w:rFonts w:ascii="Palatino Linotype" w:hAnsi="Palatino Linotype" w:eastAsia="Palatino Linotype" w:cs="Palatino Linotype"/>
          <w:sz w:val="24"/>
          <w:szCs w:val="24"/>
        </w:rPr>
        <w:t xml:space="preserve"> 18</w:t>
      </w:r>
      <w:r w:rsidRPr="006A2A4D" w:rsidR="00624064">
        <w:rPr>
          <w:rFonts w:ascii="Palatino Linotype" w:hAnsi="Palatino Linotype" w:eastAsia="Palatino Linotype" w:cs="Palatino Linotype"/>
          <w:sz w:val="24"/>
          <w:szCs w:val="24"/>
        </w:rPr>
        <w:t>, 202</w:t>
      </w:r>
      <w:r w:rsidR="008A5E99">
        <w:rPr>
          <w:rFonts w:ascii="Palatino Linotype" w:hAnsi="Palatino Linotype" w:eastAsia="Palatino Linotype" w:cs="Palatino Linotype"/>
          <w:sz w:val="24"/>
          <w:szCs w:val="24"/>
        </w:rPr>
        <w:t>3</w:t>
      </w:r>
      <w:r w:rsidRPr="006A2A4D" w:rsidR="00624064">
        <w:rPr>
          <w:rFonts w:ascii="Palatino Linotype" w:hAnsi="Palatino Linotype" w:eastAsia="Palatino Linotype" w:cs="Palatino Linotype"/>
          <w:sz w:val="24"/>
          <w:szCs w:val="24"/>
        </w:rPr>
        <w:t>,</w:t>
      </w:r>
      <w:r>
        <w:rPr>
          <w:rFonts w:ascii="Palatino Linotype" w:hAnsi="Palatino Linotype" w:eastAsia="Palatino Linotype" w:cs="Palatino Linotype"/>
          <w:sz w:val="24"/>
          <w:szCs w:val="24"/>
        </w:rPr>
        <w:t xml:space="preserve"> the CPUC adopted</w:t>
      </w:r>
      <w:r w:rsidRPr="006A2A4D" w:rsidR="00624064">
        <w:rPr>
          <w:rFonts w:ascii="Palatino Linotype" w:hAnsi="Palatino Linotype" w:eastAsia="Palatino Linotype" w:cs="Palatino Linotype"/>
          <w:sz w:val="24"/>
          <w:szCs w:val="24"/>
        </w:rPr>
        <w:t xml:space="preserve"> </w:t>
      </w:r>
      <w:r w:rsidRPr="006F3677" w:rsidR="002F2CEA">
        <w:rPr>
          <w:rFonts w:ascii="Palatino Linotype" w:hAnsi="Palatino Linotype"/>
          <w:bCs/>
          <w:sz w:val="24"/>
          <w:szCs w:val="24"/>
        </w:rPr>
        <w:t>Resolution G</w:t>
      </w:r>
      <w:r w:rsidRPr="006F3677" w:rsidR="002F2CEA">
        <w:rPr>
          <w:rFonts w:ascii="Palatino Linotype" w:hAnsi="Palatino Linotype"/>
          <w:bCs/>
          <w:sz w:val="24"/>
          <w:szCs w:val="24"/>
        </w:rPr>
        <w:noBreakHyphen/>
        <w:t>3597</w:t>
      </w:r>
      <w:r>
        <w:rPr>
          <w:rFonts w:ascii="Palatino Linotype" w:hAnsi="Palatino Linotype"/>
          <w:bCs/>
          <w:sz w:val="24"/>
          <w:szCs w:val="24"/>
        </w:rPr>
        <w:t>, which</w:t>
      </w:r>
      <w:r w:rsidRPr="006F3677" w:rsidR="002F2CEA">
        <w:rPr>
          <w:rFonts w:ascii="Palatino Linotype" w:hAnsi="Palatino Linotype"/>
          <w:bCs/>
          <w:sz w:val="24"/>
          <w:szCs w:val="24"/>
        </w:rPr>
        <w:t xml:space="preserve"> increase</w:t>
      </w:r>
      <w:r>
        <w:rPr>
          <w:rFonts w:ascii="Palatino Linotype" w:hAnsi="Palatino Linotype"/>
          <w:bCs/>
          <w:sz w:val="24"/>
          <w:szCs w:val="24"/>
        </w:rPr>
        <w:t>d</w:t>
      </w:r>
      <w:r w:rsidRPr="006F3677" w:rsidR="002F2CEA">
        <w:rPr>
          <w:rFonts w:ascii="Palatino Linotype" w:hAnsi="Palatino Linotype"/>
          <w:bCs/>
          <w:sz w:val="24"/>
          <w:szCs w:val="24"/>
        </w:rPr>
        <w:t xml:space="preserve"> the </w:t>
      </w:r>
      <w:r>
        <w:rPr>
          <w:rFonts w:ascii="Palatino Linotype" w:hAnsi="Palatino Linotype"/>
          <w:bCs/>
          <w:sz w:val="24"/>
          <w:szCs w:val="24"/>
        </w:rPr>
        <w:t>B</w:t>
      </w:r>
      <w:r w:rsidRPr="006F3677" w:rsidR="002F2CEA">
        <w:rPr>
          <w:rFonts w:ascii="Palatino Linotype" w:hAnsi="Palatino Linotype"/>
          <w:bCs/>
          <w:sz w:val="24"/>
          <w:szCs w:val="24"/>
        </w:rPr>
        <w:t xml:space="preserve">ase </w:t>
      </w:r>
      <w:r>
        <w:rPr>
          <w:rFonts w:ascii="Palatino Linotype" w:hAnsi="Palatino Linotype"/>
          <w:bCs/>
          <w:sz w:val="24"/>
          <w:szCs w:val="24"/>
        </w:rPr>
        <w:t>F</w:t>
      </w:r>
      <w:r w:rsidRPr="006F3677" w:rsidR="002F2CEA">
        <w:rPr>
          <w:rFonts w:ascii="Palatino Linotype" w:hAnsi="Palatino Linotype"/>
          <w:bCs/>
          <w:sz w:val="24"/>
          <w:szCs w:val="24"/>
        </w:rPr>
        <w:t xml:space="preserve">ee to $5,000 and </w:t>
      </w:r>
      <w:r w:rsidRPr="006F3677" w:rsidR="00A436E1">
        <w:rPr>
          <w:sz w:val="24"/>
          <w:szCs w:val="24"/>
        </w:rPr>
        <w:t>update</w:t>
      </w:r>
      <w:r>
        <w:rPr>
          <w:sz w:val="24"/>
          <w:szCs w:val="24"/>
        </w:rPr>
        <w:t>d</w:t>
      </w:r>
      <w:r w:rsidRPr="006F3677" w:rsidR="00A436E1">
        <w:rPr>
          <w:sz w:val="24"/>
          <w:szCs w:val="24"/>
        </w:rPr>
        <w:t xml:space="preserve"> how the variable portion of the fee is calculated</w:t>
      </w:r>
      <w:r w:rsidR="00A436E1">
        <w:rPr>
          <w:rFonts w:ascii="Palatino Linotype" w:hAnsi="Palatino Linotype"/>
          <w:bCs/>
          <w:sz w:val="24"/>
          <w:szCs w:val="24"/>
        </w:rPr>
        <w:t>,</w:t>
      </w:r>
      <w:r w:rsidRPr="00A436E1" w:rsidR="00A436E1">
        <w:rPr>
          <w:rFonts w:ascii="Palatino Linotype" w:hAnsi="Palatino Linotype"/>
          <w:bCs/>
          <w:sz w:val="24"/>
          <w:szCs w:val="24"/>
        </w:rPr>
        <w:t xml:space="preserve"> </w:t>
      </w:r>
      <w:r w:rsidRPr="006F3677" w:rsidR="002F2CEA">
        <w:rPr>
          <w:rFonts w:ascii="Palatino Linotype" w:hAnsi="Palatino Linotype"/>
          <w:bCs/>
          <w:sz w:val="24"/>
          <w:szCs w:val="24"/>
        </w:rPr>
        <w:t>introduc</w:t>
      </w:r>
      <w:r w:rsidR="006F3677">
        <w:rPr>
          <w:rFonts w:ascii="Palatino Linotype" w:hAnsi="Palatino Linotype"/>
          <w:bCs/>
          <w:sz w:val="24"/>
          <w:szCs w:val="24"/>
        </w:rPr>
        <w:t>ing</w:t>
      </w:r>
      <w:r w:rsidRPr="006F3677" w:rsidR="002F2CEA">
        <w:rPr>
          <w:rFonts w:ascii="Palatino Linotype" w:hAnsi="Palatino Linotype"/>
          <w:bCs/>
          <w:sz w:val="24"/>
          <w:szCs w:val="24"/>
        </w:rPr>
        <w:t xml:space="preserve"> a more detailed methodology for allocating variable fees, including a temporary cap to ease the transition.</w:t>
      </w:r>
    </w:p>
    <w:p w:rsidR="00BF4AA5" w:rsidP="002F2CEA" w:rsidRDefault="00BF4AA5" w14:paraId="6835386E" w14:textId="77777777">
      <w:pPr>
        <w:spacing w:after="60"/>
        <w:rPr>
          <w:rFonts w:ascii="Palatino Linotype" w:hAnsi="Palatino Linotype"/>
          <w:bCs/>
          <w:sz w:val="24"/>
          <w:szCs w:val="24"/>
        </w:rPr>
      </w:pPr>
    </w:p>
    <w:p w:rsidR="00BF4AA5" w:rsidP="002F2CEA" w:rsidRDefault="004E203E" w14:paraId="1DF5969B" w14:textId="240E1C28">
      <w:pPr>
        <w:spacing w:after="60"/>
        <w:rPr>
          <w:rFonts w:ascii="Palatino Linotype" w:hAnsi="Palatino Linotype"/>
          <w:b/>
          <w:sz w:val="24"/>
          <w:szCs w:val="24"/>
        </w:rPr>
      </w:pPr>
      <w:r>
        <w:rPr>
          <w:rFonts w:ascii="Palatino Linotype" w:hAnsi="Palatino Linotype"/>
          <w:b/>
          <w:sz w:val="24"/>
          <w:szCs w:val="24"/>
        </w:rPr>
        <w:t>CTA</w:t>
      </w:r>
      <w:r w:rsidR="00B10283">
        <w:rPr>
          <w:rFonts w:ascii="Palatino Linotype" w:hAnsi="Palatino Linotype"/>
          <w:b/>
          <w:sz w:val="24"/>
          <w:szCs w:val="24"/>
        </w:rPr>
        <w:t xml:space="preserve"> </w:t>
      </w:r>
      <w:r w:rsidR="00BF4AA5">
        <w:rPr>
          <w:rFonts w:ascii="Palatino Linotype" w:hAnsi="Palatino Linotype"/>
          <w:b/>
          <w:sz w:val="24"/>
          <w:szCs w:val="24"/>
        </w:rPr>
        <w:t>Annual Reports</w:t>
      </w:r>
    </w:p>
    <w:p w:rsidRPr="00BC2C4F" w:rsidR="00BC2C4F" w:rsidP="002F2CEA" w:rsidRDefault="00BC2C4F" w14:paraId="18BA483D" w14:textId="03BB97A5">
      <w:pPr>
        <w:spacing w:after="60"/>
        <w:rPr>
          <w:rFonts w:ascii="Palatino Linotype" w:hAnsi="Palatino Linotype"/>
          <w:bCs/>
          <w:sz w:val="24"/>
          <w:szCs w:val="24"/>
        </w:rPr>
      </w:pPr>
      <w:r>
        <w:rPr>
          <w:rFonts w:ascii="Palatino Linotype" w:hAnsi="Palatino Linotype"/>
          <w:bCs/>
          <w:sz w:val="24"/>
          <w:szCs w:val="24"/>
        </w:rPr>
        <w:t>Per Resolution</w:t>
      </w:r>
      <w:r w:rsidR="002A291F">
        <w:rPr>
          <w:rFonts w:ascii="Palatino Linotype" w:hAnsi="Palatino Linotype"/>
          <w:bCs/>
          <w:sz w:val="24"/>
          <w:szCs w:val="24"/>
        </w:rPr>
        <w:t>s</w:t>
      </w:r>
      <w:r w:rsidR="00441B17">
        <w:rPr>
          <w:rFonts w:ascii="Palatino Linotype" w:hAnsi="Palatino Linotype"/>
          <w:bCs/>
          <w:sz w:val="24"/>
          <w:szCs w:val="24"/>
        </w:rPr>
        <w:t xml:space="preserve"> G-3589 and</w:t>
      </w:r>
      <w:r>
        <w:rPr>
          <w:rFonts w:ascii="Palatino Linotype" w:hAnsi="Palatino Linotype"/>
          <w:bCs/>
          <w:sz w:val="24"/>
          <w:szCs w:val="24"/>
        </w:rPr>
        <w:t xml:space="preserve"> G-3597, a new </w:t>
      </w:r>
      <w:r w:rsidR="009C603E">
        <w:rPr>
          <w:rFonts w:ascii="Palatino Linotype" w:hAnsi="Palatino Linotype"/>
          <w:bCs/>
          <w:sz w:val="24"/>
          <w:szCs w:val="24"/>
        </w:rPr>
        <w:t>resolution</w:t>
      </w:r>
      <w:r>
        <w:rPr>
          <w:rFonts w:ascii="Palatino Linotype" w:hAnsi="Palatino Linotype"/>
          <w:bCs/>
          <w:sz w:val="24"/>
          <w:szCs w:val="24"/>
        </w:rPr>
        <w:t xml:space="preserve"> is not need</w:t>
      </w:r>
      <w:r w:rsidR="0089722E">
        <w:rPr>
          <w:rFonts w:ascii="Palatino Linotype" w:hAnsi="Palatino Linotype"/>
          <w:bCs/>
          <w:sz w:val="24"/>
          <w:szCs w:val="24"/>
        </w:rPr>
        <w:t>ed</w:t>
      </w:r>
      <w:r>
        <w:rPr>
          <w:rFonts w:ascii="Palatino Linotype" w:hAnsi="Palatino Linotype"/>
          <w:bCs/>
          <w:sz w:val="24"/>
          <w:szCs w:val="24"/>
        </w:rPr>
        <w:t xml:space="preserve"> if </w:t>
      </w:r>
      <w:r w:rsidR="0089722E">
        <w:rPr>
          <w:rFonts w:ascii="Palatino Linotype" w:hAnsi="Palatino Linotype"/>
          <w:bCs/>
          <w:sz w:val="24"/>
          <w:szCs w:val="24"/>
        </w:rPr>
        <w:t xml:space="preserve">the CPUC makes </w:t>
      </w:r>
      <w:r>
        <w:rPr>
          <w:rFonts w:ascii="Palatino Linotype" w:hAnsi="Palatino Linotype"/>
          <w:bCs/>
          <w:sz w:val="24"/>
          <w:szCs w:val="24"/>
        </w:rPr>
        <w:t xml:space="preserve">no changes to the Base Fee or the </w:t>
      </w:r>
      <w:r w:rsidR="0089722E">
        <w:rPr>
          <w:rFonts w:ascii="Palatino Linotype" w:hAnsi="Palatino Linotype"/>
          <w:bCs/>
          <w:sz w:val="24"/>
          <w:szCs w:val="24"/>
        </w:rPr>
        <w:t>methodologies for calculating the Variable Fee.</w:t>
      </w:r>
      <w:r w:rsidR="0078465F">
        <w:rPr>
          <w:rFonts w:ascii="Palatino Linotype" w:hAnsi="Palatino Linotype"/>
          <w:bCs/>
          <w:sz w:val="24"/>
          <w:szCs w:val="24"/>
        </w:rPr>
        <w:t xml:space="preserve"> Thus, in 2024 and 2025, CPUC staff issued </w:t>
      </w:r>
      <w:r w:rsidRPr="00F93A17" w:rsidR="00B10283">
        <w:rPr>
          <w:rFonts w:ascii="Palatino Linotype" w:hAnsi="Palatino Linotype"/>
          <w:bCs/>
          <w:i/>
          <w:iCs/>
          <w:sz w:val="24"/>
          <w:szCs w:val="24"/>
        </w:rPr>
        <w:t>CTA Annual Reports</w:t>
      </w:r>
      <w:r w:rsidR="00B10283">
        <w:rPr>
          <w:rFonts w:ascii="Palatino Linotype" w:hAnsi="Palatino Linotype"/>
          <w:bCs/>
          <w:sz w:val="24"/>
          <w:szCs w:val="24"/>
        </w:rPr>
        <w:t xml:space="preserve">, but the CPUC did not issue </w:t>
      </w:r>
      <w:r w:rsidR="001C0162">
        <w:rPr>
          <w:rFonts w:ascii="Palatino Linotype" w:hAnsi="Palatino Linotype"/>
          <w:bCs/>
          <w:sz w:val="24"/>
          <w:szCs w:val="24"/>
        </w:rPr>
        <w:t xml:space="preserve">additional </w:t>
      </w:r>
      <w:r w:rsidR="009C603E">
        <w:rPr>
          <w:rFonts w:ascii="Palatino Linotype" w:hAnsi="Palatino Linotype"/>
          <w:bCs/>
          <w:sz w:val="24"/>
          <w:szCs w:val="24"/>
        </w:rPr>
        <w:t>resolution</w:t>
      </w:r>
      <w:r w:rsidR="00B10283">
        <w:rPr>
          <w:rFonts w:ascii="Palatino Linotype" w:hAnsi="Palatino Linotype"/>
          <w:bCs/>
          <w:sz w:val="24"/>
          <w:szCs w:val="24"/>
        </w:rPr>
        <w:t>s.</w:t>
      </w:r>
      <w:r w:rsidR="00B10283">
        <w:rPr>
          <w:rStyle w:val="FootnoteReference"/>
          <w:rFonts w:ascii="Palatino Linotype" w:hAnsi="Palatino Linotype"/>
          <w:bCs/>
          <w:sz w:val="24"/>
          <w:szCs w:val="24"/>
        </w:rPr>
        <w:footnoteReference w:id="11"/>
      </w:r>
    </w:p>
    <w:p w:rsidRPr="006A2A4D" w:rsidR="00E96553" w:rsidP="00865A5E" w:rsidRDefault="00E96553" w14:paraId="0151F09D" w14:textId="77777777">
      <w:pPr>
        <w:pStyle w:val="standard"/>
        <w:spacing w:line="240" w:lineRule="auto"/>
        <w:ind w:firstLine="0"/>
        <w:rPr>
          <w:rFonts w:ascii="Palatino Linotype" w:hAnsi="Palatino Linotype" w:eastAsia="Palatino Linotype" w:cs="Palatino Linotype"/>
          <w:sz w:val="24"/>
          <w:szCs w:val="24"/>
        </w:rPr>
      </w:pPr>
    </w:p>
    <w:p w:rsidRPr="004C70CB" w:rsidR="00D36F11" w:rsidP="004C70CB" w:rsidRDefault="00D36F11" w14:paraId="6748C033" w14:textId="77777777">
      <w:pPr>
        <w:pStyle w:val="Heading1"/>
        <w:rPr>
          <w:rFonts w:eastAsia="Palatino Linotype"/>
        </w:rPr>
      </w:pPr>
      <w:r w:rsidRPr="004C70CB">
        <w:rPr>
          <w:rFonts w:eastAsia="Palatino Linotype"/>
        </w:rPr>
        <w:lastRenderedPageBreak/>
        <w:t>Notice</w:t>
      </w:r>
    </w:p>
    <w:p w:rsidR="00CF17DE" w:rsidRDefault="00D36F11" w14:paraId="6E8F021A" w14:textId="6C3388A4">
      <w:pPr>
        <w:rPr>
          <w:rFonts w:ascii="Palatino Linotype" w:hAnsi="Palatino Linotype" w:eastAsia="Palatino Linotype"/>
          <w:sz w:val="24"/>
          <w:szCs w:val="24"/>
        </w:rPr>
      </w:pPr>
      <w:r w:rsidRPr="00D36F11">
        <w:rPr>
          <w:rFonts w:ascii="Palatino Linotype" w:hAnsi="Palatino Linotype" w:eastAsia="Palatino Linotype"/>
          <w:sz w:val="24"/>
          <w:szCs w:val="24"/>
        </w:rPr>
        <w:t xml:space="preserve">This </w:t>
      </w:r>
      <w:r w:rsidR="009C603E">
        <w:rPr>
          <w:rFonts w:ascii="Palatino Linotype" w:hAnsi="Palatino Linotype" w:eastAsia="Palatino Linotype"/>
          <w:sz w:val="24"/>
          <w:szCs w:val="24"/>
        </w:rPr>
        <w:t>resolution</w:t>
      </w:r>
      <w:r w:rsidRPr="00D36F11">
        <w:rPr>
          <w:rFonts w:ascii="Palatino Linotype" w:hAnsi="Palatino Linotype" w:eastAsia="Palatino Linotype"/>
          <w:sz w:val="24"/>
          <w:szCs w:val="24"/>
        </w:rPr>
        <w:t xml:space="preserve"> is issued pursuant to D.18-02-022, Ordering Paragraph 5(a)(v).</w:t>
      </w:r>
      <w:r w:rsidR="00F05DA3">
        <w:rPr>
          <w:rFonts w:ascii="Palatino Linotype" w:hAnsi="Palatino Linotype" w:eastAsia="Palatino Linotype"/>
          <w:sz w:val="24"/>
          <w:szCs w:val="24"/>
        </w:rPr>
        <w:t xml:space="preserve"> </w:t>
      </w:r>
      <w:r w:rsidRPr="00F05DA3" w:rsidR="00F05DA3">
        <w:rPr>
          <w:rFonts w:ascii="Palatino Linotype" w:hAnsi="Palatino Linotype" w:eastAsia="Palatino Linotype"/>
          <w:sz w:val="24"/>
          <w:szCs w:val="24"/>
        </w:rPr>
        <w:t xml:space="preserve">The notice for the </w:t>
      </w:r>
      <w:r w:rsidR="00F05DA3">
        <w:rPr>
          <w:rFonts w:ascii="Palatino Linotype" w:hAnsi="Palatino Linotype" w:eastAsia="Palatino Linotype"/>
          <w:sz w:val="24"/>
          <w:szCs w:val="24"/>
        </w:rPr>
        <w:t>r</w:t>
      </w:r>
      <w:r w:rsidRPr="00F05DA3" w:rsidR="00F05DA3">
        <w:rPr>
          <w:rFonts w:ascii="Palatino Linotype" w:hAnsi="Palatino Linotype" w:eastAsia="Palatino Linotype"/>
          <w:sz w:val="24"/>
          <w:szCs w:val="24"/>
        </w:rPr>
        <w:t>esolution was given by serving the draft to all CTAs</w:t>
      </w:r>
      <w:r w:rsidR="00F05DA3">
        <w:rPr>
          <w:rFonts w:ascii="Palatino Linotype" w:hAnsi="Palatino Linotype" w:eastAsia="Palatino Linotype"/>
          <w:sz w:val="24"/>
          <w:szCs w:val="24"/>
        </w:rPr>
        <w:t xml:space="preserve"> and</w:t>
      </w:r>
      <w:r w:rsidRPr="00F05DA3" w:rsidR="00F05DA3">
        <w:rPr>
          <w:rFonts w:ascii="Palatino Linotype" w:hAnsi="Palatino Linotype" w:eastAsia="Palatino Linotype"/>
          <w:sz w:val="24"/>
          <w:szCs w:val="24"/>
        </w:rPr>
        <w:t xml:space="preserve"> the Service list </w:t>
      </w:r>
      <w:r w:rsidR="001254E2">
        <w:rPr>
          <w:rFonts w:ascii="Palatino Linotype" w:hAnsi="Palatino Linotype" w:eastAsia="Palatino Linotype"/>
          <w:sz w:val="24"/>
          <w:szCs w:val="24"/>
        </w:rPr>
        <w:t xml:space="preserve">for </w:t>
      </w:r>
      <w:r w:rsidRPr="00F05DA3" w:rsidR="00F05DA3">
        <w:rPr>
          <w:rFonts w:ascii="Palatino Linotype" w:hAnsi="Palatino Linotype" w:eastAsia="Palatino Linotype"/>
          <w:sz w:val="24"/>
          <w:szCs w:val="24"/>
        </w:rPr>
        <w:t>R.14-03-002.</w:t>
      </w:r>
    </w:p>
    <w:p w:rsidR="00D36F11" w:rsidRDefault="00D36F11" w14:paraId="2A94FB93" w14:textId="45F03300"/>
    <w:p w:rsidRPr="004C70CB" w:rsidR="00D36F11" w:rsidP="004C70CB" w:rsidRDefault="00D36F11" w14:paraId="262708EE" w14:textId="77777777">
      <w:pPr>
        <w:pStyle w:val="Heading1"/>
        <w:rPr>
          <w:rFonts w:eastAsia="Palatino Linotype"/>
        </w:rPr>
      </w:pPr>
      <w:r w:rsidRPr="004C70CB">
        <w:rPr>
          <w:rFonts w:eastAsia="Palatino Linotype"/>
        </w:rPr>
        <w:t>Discussion</w:t>
      </w:r>
    </w:p>
    <w:p w:rsidRPr="00D36F11" w:rsidR="009217F5" w:rsidP="009217F5" w:rsidRDefault="009217F5" w14:paraId="2D00368F" w14:textId="4F39915C">
      <w:pPr>
        <w:rPr>
          <w:rFonts w:ascii="Palatino Linotype" w:hAnsi="Palatino Linotype"/>
          <w:sz w:val="24"/>
          <w:szCs w:val="24"/>
        </w:rPr>
      </w:pPr>
      <w:r w:rsidRPr="00D36F11">
        <w:rPr>
          <w:rFonts w:ascii="Palatino Linotype" w:hAnsi="Palatino Linotype"/>
          <w:sz w:val="24"/>
          <w:szCs w:val="24"/>
        </w:rPr>
        <w:t>D.18-02-002 requires an annual review of the costs of administering the CTA registration program</w:t>
      </w:r>
      <w:r w:rsidRPr="00D36F11" w:rsidR="00F7656A">
        <w:rPr>
          <w:rFonts w:ascii="Palatino Linotype" w:hAnsi="Palatino Linotype"/>
          <w:sz w:val="24"/>
          <w:szCs w:val="24"/>
        </w:rPr>
        <w:t xml:space="preserve">, </w:t>
      </w:r>
      <w:r w:rsidRPr="00D36F11" w:rsidR="00361B68">
        <w:rPr>
          <w:rFonts w:ascii="Palatino Linotype" w:hAnsi="Palatino Linotype"/>
          <w:sz w:val="24"/>
          <w:szCs w:val="24"/>
        </w:rPr>
        <w:t>stating:</w:t>
      </w:r>
      <w:r w:rsidRPr="00D36F11">
        <w:rPr>
          <w:rFonts w:ascii="Palatino Linotype" w:hAnsi="Palatino Linotype"/>
          <w:sz w:val="24"/>
          <w:szCs w:val="24"/>
        </w:rPr>
        <w:t xml:space="preserve"> </w:t>
      </w:r>
    </w:p>
    <w:p w:rsidRPr="00D36F11" w:rsidR="009217F5" w:rsidP="009217F5" w:rsidRDefault="009217F5" w14:paraId="7C39DD9E" w14:textId="77777777">
      <w:pPr>
        <w:ind w:firstLine="720"/>
        <w:rPr>
          <w:rFonts w:ascii="Palatino Linotype" w:hAnsi="Palatino Linotype"/>
          <w:sz w:val="24"/>
          <w:szCs w:val="24"/>
        </w:rPr>
      </w:pPr>
    </w:p>
    <w:p w:rsidRPr="00D36F11" w:rsidR="009217F5" w:rsidP="009217F5" w:rsidRDefault="009217F5" w14:paraId="52F7F626" w14:textId="7E5F8E00">
      <w:pPr>
        <w:ind w:left="720" w:right="720"/>
        <w:rPr>
          <w:rFonts w:ascii="Palatino Linotype" w:hAnsi="Palatino Linotype"/>
          <w:sz w:val="24"/>
          <w:szCs w:val="24"/>
        </w:rPr>
      </w:pPr>
      <w:r w:rsidRPr="00D36F11">
        <w:rPr>
          <w:rFonts w:ascii="Palatino Linotype" w:hAnsi="Palatino Linotype"/>
          <w:sz w:val="24"/>
          <w:szCs w:val="24"/>
        </w:rPr>
        <w:t>The staff responsible for the annual review need to be cognizant of the costs of activities, especially §</w:t>
      </w:r>
      <w:r w:rsidRPr="00D36F11" w:rsidR="00DB1C8B">
        <w:rPr>
          <w:rFonts w:ascii="Palatino Linotype" w:hAnsi="Palatino Linotype"/>
          <w:sz w:val="24"/>
          <w:szCs w:val="24"/>
        </w:rPr>
        <w:t>§</w:t>
      </w:r>
      <w:r w:rsidR="00DB1C8B">
        <w:rPr>
          <w:rFonts w:ascii="Palatino Linotype" w:hAnsi="Palatino Linotype"/>
          <w:sz w:val="24"/>
          <w:szCs w:val="24"/>
        </w:rPr>
        <w:t xml:space="preserve"> </w:t>
      </w:r>
      <w:r w:rsidRPr="00D36F11">
        <w:rPr>
          <w:rFonts w:ascii="Palatino Linotype" w:hAnsi="Palatino Linotype"/>
          <w:sz w:val="24"/>
          <w:szCs w:val="24"/>
        </w:rPr>
        <w:t>984.5 and 987, that could drive these annual costs even higher.</w:t>
      </w:r>
      <w:r w:rsidRPr="00D36F11" w:rsidR="006A2A4D">
        <w:rPr>
          <w:rFonts w:ascii="Palatino Linotype" w:hAnsi="Palatino Linotype"/>
          <w:sz w:val="24"/>
          <w:szCs w:val="24"/>
        </w:rPr>
        <w:t xml:space="preserve"> </w:t>
      </w:r>
      <w:r w:rsidRPr="00D36F11">
        <w:rPr>
          <w:rFonts w:ascii="Palatino Linotype" w:hAnsi="Palatino Linotype"/>
          <w:sz w:val="24"/>
          <w:szCs w:val="24"/>
        </w:rPr>
        <w:t>At the same time, staff and the Commission need to weigh whether the proposed increase in the annual fee will deter market entry by prospective CTAs.</w:t>
      </w:r>
      <w:r w:rsidRPr="00D36F11">
        <w:rPr>
          <w:rStyle w:val="FootnoteReference"/>
          <w:rFonts w:ascii="Palatino Linotype" w:hAnsi="Palatino Linotype"/>
          <w:sz w:val="24"/>
          <w:szCs w:val="24"/>
        </w:rPr>
        <w:footnoteReference w:id="12"/>
      </w:r>
    </w:p>
    <w:p w:rsidRPr="00D36F11" w:rsidR="009217F5" w:rsidP="009217F5" w:rsidRDefault="009217F5" w14:paraId="0DAB0479" w14:textId="77777777">
      <w:pPr>
        <w:rPr>
          <w:rFonts w:ascii="Palatino Linotype" w:hAnsi="Palatino Linotype"/>
          <w:sz w:val="24"/>
          <w:szCs w:val="24"/>
        </w:rPr>
      </w:pPr>
    </w:p>
    <w:p w:rsidR="00D36F11" w:rsidP="00DF15D1" w:rsidRDefault="00DF15D1" w14:paraId="21BAA8D2" w14:textId="77777777">
      <w:pPr>
        <w:rPr>
          <w:rFonts w:ascii="Palatino Linotype" w:hAnsi="Palatino Linotype"/>
          <w:sz w:val="24"/>
          <w:szCs w:val="24"/>
        </w:rPr>
      </w:pPr>
      <w:r w:rsidRPr="00D36F11">
        <w:rPr>
          <w:rFonts w:ascii="Palatino Linotype" w:hAnsi="Palatino Linotype"/>
          <w:sz w:val="24"/>
          <w:szCs w:val="24"/>
        </w:rPr>
        <w:t xml:space="preserve">In Resolution M-4797, the </w:t>
      </w:r>
      <w:r w:rsidRPr="00D36F11" w:rsidR="00C62334">
        <w:rPr>
          <w:rFonts w:ascii="Palatino Linotype" w:hAnsi="Palatino Linotype"/>
          <w:sz w:val="24"/>
          <w:szCs w:val="24"/>
        </w:rPr>
        <w:t xml:space="preserve">CPUC </w:t>
      </w:r>
      <w:r w:rsidRPr="00D36F11">
        <w:rPr>
          <w:rFonts w:ascii="Palatino Linotype" w:hAnsi="Palatino Linotype"/>
          <w:sz w:val="24"/>
          <w:szCs w:val="24"/>
        </w:rPr>
        <w:t>considered how to balance the costs of administering the ESP registration program with the impact an annual fee could have in deterring potential market participants.</w:t>
      </w:r>
      <w:r w:rsidRPr="00D36F11" w:rsidR="006A2A4D">
        <w:rPr>
          <w:rFonts w:ascii="Palatino Linotype" w:hAnsi="Palatino Linotype"/>
          <w:sz w:val="24"/>
          <w:szCs w:val="24"/>
        </w:rPr>
        <w:t xml:space="preserve"> </w:t>
      </w:r>
      <w:r w:rsidRPr="00D36F11">
        <w:rPr>
          <w:rFonts w:ascii="Palatino Linotype" w:hAnsi="Palatino Linotype"/>
          <w:sz w:val="24"/>
          <w:szCs w:val="24"/>
        </w:rPr>
        <w:t xml:space="preserve">At the time, the ESP program was new, </w:t>
      </w:r>
      <w:r w:rsidR="00D36F11">
        <w:rPr>
          <w:rFonts w:ascii="Palatino Linotype" w:hAnsi="Palatino Linotype"/>
          <w:sz w:val="24"/>
          <w:szCs w:val="24"/>
        </w:rPr>
        <w:t xml:space="preserve">which increased </w:t>
      </w:r>
      <w:r w:rsidRPr="00D36F11" w:rsidR="00EA1E40">
        <w:rPr>
          <w:rFonts w:ascii="Palatino Linotype" w:hAnsi="Palatino Linotype"/>
          <w:sz w:val="24"/>
          <w:szCs w:val="24"/>
        </w:rPr>
        <w:t>the concern</w:t>
      </w:r>
      <w:r w:rsidRPr="00D36F11" w:rsidR="003552D1">
        <w:rPr>
          <w:rFonts w:ascii="Palatino Linotype" w:hAnsi="Palatino Linotype"/>
          <w:sz w:val="24"/>
          <w:szCs w:val="24"/>
        </w:rPr>
        <w:t xml:space="preserve"> that a high fee could deter new entrants</w:t>
      </w:r>
      <w:r w:rsidRPr="00D36F11">
        <w:rPr>
          <w:rFonts w:ascii="Palatino Linotype" w:hAnsi="Palatino Linotype"/>
          <w:sz w:val="24"/>
          <w:szCs w:val="24"/>
        </w:rPr>
        <w:t>.</w:t>
      </w:r>
      <w:r w:rsidRPr="00D36F11" w:rsidR="006A2A4D">
        <w:rPr>
          <w:rFonts w:ascii="Palatino Linotype" w:hAnsi="Palatino Linotype"/>
          <w:sz w:val="24"/>
          <w:szCs w:val="24"/>
        </w:rPr>
        <w:t xml:space="preserve"> </w:t>
      </w:r>
      <w:r w:rsidRPr="00D36F11">
        <w:rPr>
          <w:rFonts w:ascii="Palatino Linotype" w:hAnsi="Palatino Linotype"/>
          <w:sz w:val="24"/>
          <w:szCs w:val="24"/>
        </w:rPr>
        <w:t>That concern is not relevant here</w:t>
      </w:r>
      <w:r w:rsidRPr="00D36F11" w:rsidR="003552D1">
        <w:rPr>
          <w:rFonts w:ascii="Palatino Linotype" w:hAnsi="Palatino Linotype"/>
          <w:sz w:val="24"/>
          <w:szCs w:val="24"/>
        </w:rPr>
        <w:t>.</w:t>
      </w:r>
      <w:r w:rsidRPr="00D36F11" w:rsidR="006A2A4D">
        <w:rPr>
          <w:rFonts w:ascii="Palatino Linotype" w:hAnsi="Palatino Linotype"/>
          <w:sz w:val="24"/>
          <w:szCs w:val="24"/>
        </w:rPr>
        <w:t xml:space="preserve"> </w:t>
      </w:r>
      <w:r w:rsidRPr="00D36F11">
        <w:rPr>
          <w:rFonts w:ascii="Palatino Linotype" w:hAnsi="Palatino Linotype"/>
          <w:sz w:val="24"/>
          <w:szCs w:val="24"/>
        </w:rPr>
        <w:t>CTAs are no longer new to the California market, and today, the CTA market is mature.</w:t>
      </w:r>
      <w:r w:rsidRPr="00D36F11" w:rsidR="006A2A4D">
        <w:rPr>
          <w:rFonts w:ascii="Palatino Linotype" w:hAnsi="Palatino Linotype"/>
          <w:sz w:val="24"/>
          <w:szCs w:val="24"/>
        </w:rPr>
        <w:t xml:space="preserve"> </w:t>
      </w:r>
    </w:p>
    <w:p w:rsidR="00D36F11" w:rsidP="00DF15D1" w:rsidRDefault="00D36F11" w14:paraId="2A27F823" w14:textId="77777777">
      <w:pPr>
        <w:rPr>
          <w:rFonts w:ascii="Palatino Linotype" w:hAnsi="Palatino Linotype"/>
          <w:sz w:val="24"/>
          <w:szCs w:val="24"/>
        </w:rPr>
      </w:pPr>
    </w:p>
    <w:p w:rsidRPr="00D36F11" w:rsidR="00DF15D1" w:rsidP="00DF15D1" w:rsidRDefault="00152100" w14:paraId="486DEA03" w14:textId="1C7A80DD">
      <w:pPr>
        <w:rPr>
          <w:rFonts w:ascii="Palatino Linotype" w:hAnsi="Palatino Linotype"/>
          <w:sz w:val="24"/>
          <w:szCs w:val="24"/>
        </w:rPr>
      </w:pPr>
      <w:r w:rsidRPr="00D36F11">
        <w:rPr>
          <w:rFonts w:ascii="Palatino Linotype" w:hAnsi="Palatino Linotype"/>
          <w:sz w:val="24"/>
          <w:szCs w:val="24"/>
        </w:rPr>
        <w:t>T</w:t>
      </w:r>
      <w:r w:rsidRPr="00D36F11" w:rsidR="00DF15D1">
        <w:rPr>
          <w:rFonts w:ascii="Palatino Linotype" w:hAnsi="Palatino Linotype"/>
          <w:sz w:val="24"/>
          <w:szCs w:val="24"/>
        </w:rPr>
        <w:t>he core transportation market has been evolving since 1995, when D.95-07-048 approved “unbundling” utility transportation and natural gas procurement costs.</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There are currently </w:t>
      </w:r>
      <w:r w:rsidR="00FF13FA">
        <w:rPr>
          <w:rFonts w:ascii="Palatino Linotype" w:hAnsi="Palatino Linotype"/>
          <w:sz w:val="24"/>
          <w:szCs w:val="24"/>
        </w:rPr>
        <w:br/>
      </w:r>
      <w:r w:rsidRPr="59309DFB" w:rsidR="00DF15D1">
        <w:rPr>
          <w:rFonts w:ascii="Palatino Linotype" w:hAnsi="Palatino Linotype"/>
          <w:sz w:val="24"/>
          <w:szCs w:val="24"/>
        </w:rPr>
        <w:t>3</w:t>
      </w:r>
      <w:r w:rsidR="006527B6">
        <w:rPr>
          <w:rFonts w:ascii="Palatino Linotype" w:hAnsi="Palatino Linotype"/>
          <w:sz w:val="24"/>
          <w:szCs w:val="24"/>
        </w:rPr>
        <w:t>9</w:t>
      </w:r>
      <w:r w:rsidRPr="00D36F11" w:rsidR="00DF15D1">
        <w:rPr>
          <w:rFonts w:ascii="Palatino Linotype" w:hAnsi="Palatino Linotype"/>
          <w:sz w:val="24"/>
          <w:szCs w:val="24"/>
        </w:rPr>
        <w:t xml:space="preserve"> registered </w:t>
      </w:r>
      <w:r w:rsidR="00640AFE">
        <w:rPr>
          <w:rFonts w:ascii="Palatino Linotype" w:hAnsi="Palatino Linotype"/>
          <w:sz w:val="24"/>
          <w:szCs w:val="24"/>
        </w:rPr>
        <w:t>CTAs</w:t>
      </w:r>
      <w:r w:rsidR="006500FD">
        <w:rPr>
          <w:rFonts w:ascii="Palatino Linotype" w:hAnsi="Palatino Linotype"/>
          <w:sz w:val="24"/>
          <w:szCs w:val="24"/>
        </w:rPr>
        <w:t>, of which</w:t>
      </w:r>
      <w:r w:rsidR="00DB5B71">
        <w:rPr>
          <w:rFonts w:ascii="Palatino Linotype" w:hAnsi="Palatino Linotype"/>
          <w:sz w:val="24"/>
          <w:szCs w:val="24"/>
        </w:rPr>
        <w:t xml:space="preserve"> 3</w:t>
      </w:r>
      <w:r w:rsidR="006527B6">
        <w:rPr>
          <w:rFonts w:ascii="Palatino Linotype" w:hAnsi="Palatino Linotype"/>
          <w:sz w:val="24"/>
          <w:szCs w:val="24"/>
        </w:rPr>
        <w:t>6</w:t>
      </w:r>
      <w:r w:rsidR="00963F62">
        <w:rPr>
          <w:rFonts w:ascii="Palatino Linotype" w:hAnsi="Palatino Linotype"/>
          <w:sz w:val="24"/>
          <w:szCs w:val="24"/>
        </w:rPr>
        <w:t xml:space="preserve"> are</w:t>
      </w:r>
      <w:r w:rsidRPr="00D36F11" w:rsidR="00DF15D1">
        <w:rPr>
          <w:rFonts w:ascii="Palatino Linotype" w:hAnsi="Palatino Linotype"/>
          <w:sz w:val="24"/>
          <w:szCs w:val="24"/>
        </w:rPr>
        <w:t xml:space="preserve"> active market participants.</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CTAs operate in each of the regulated California gas utility markets, and there is no evidence of any </w:t>
      </w:r>
      <w:r w:rsidRPr="00D36F11" w:rsidR="000D3588">
        <w:rPr>
          <w:rFonts w:ascii="Palatino Linotype" w:hAnsi="Palatino Linotype"/>
          <w:sz w:val="24"/>
          <w:szCs w:val="24"/>
        </w:rPr>
        <w:t xml:space="preserve">significant </w:t>
      </w:r>
      <w:r w:rsidRPr="00D36F11" w:rsidR="00DF15D1">
        <w:rPr>
          <w:rFonts w:ascii="Palatino Linotype" w:hAnsi="Palatino Linotype"/>
          <w:sz w:val="24"/>
          <w:szCs w:val="24"/>
        </w:rPr>
        <w:t>barriers to market entry.</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Since the core aggregation market has been functioning for </w:t>
      </w:r>
      <w:r w:rsidR="00D36F11">
        <w:rPr>
          <w:rFonts w:ascii="Palatino Linotype" w:hAnsi="Palatino Linotype"/>
          <w:sz w:val="24"/>
          <w:szCs w:val="24"/>
        </w:rPr>
        <w:t>nearly 30 years</w:t>
      </w:r>
      <w:r w:rsidRPr="00D36F11" w:rsidR="00DF15D1">
        <w:rPr>
          <w:rFonts w:ascii="Palatino Linotype" w:hAnsi="Palatino Linotype"/>
          <w:sz w:val="24"/>
          <w:szCs w:val="24"/>
        </w:rPr>
        <w:t xml:space="preserve"> in California, the caution applied in Resolution M-4797 need no</w:t>
      </w:r>
      <w:r w:rsidRPr="00D36F11" w:rsidR="00043298">
        <w:rPr>
          <w:rFonts w:ascii="Palatino Linotype" w:hAnsi="Palatino Linotype"/>
          <w:sz w:val="24"/>
          <w:szCs w:val="24"/>
        </w:rPr>
        <w:t>t</w:t>
      </w:r>
      <w:r w:rsidRPr="00D36F11" w:rsidR="00DF15D1">
        <w:rPr>
          <w:rFonts w:ascii="Palatino Linotype" w:hAnsi="Palatino Linotype"/>
          <w:sz w:val="24"/>
          <w:szCs w:val="24"/>
        </w:rPr>
        <w:t xml:space="preserve"> apply in determining the annual fee for CTAs. </w:t>
      </w:r>
    </w:p>
    <w:p w:rsidRPr="00D36F11" w:rsidR="00DF15D1" w:rsidP="00DF15D1" w:rsidRDefault="00DF15D1" w14:paraId="3BB749AF" w14:textId="77777777">
      <w:pPr>
        <w:rPr>
          <w:rFonts w:ascii="Palatino Linotype" w:hAnsi="Palatino Linotype"/>
          <w:sz w:val="24"/>
          <w:szCs w:val="24"/>
        </w:rPr>
      </w:pPr>
      <w:r w:rsidRPr="00D36F11">
        <w:rPr>
          <w:rFonts w:ascii="Palatino Linotype" w:hAnsi="Palatino Linotype"/>
          <w:sz w:val="24"/>
          <w:szCs w:val="24"/>
        </w:rPr>
        <w:t xml:space="preserve"> </w:t>
      </w:r>
    </w:p>
    <w:p w:rsidR="00C8606E" w:rsidP="00FA34FF" w:rsidRDefault="0073327F" w14:paraId="473A06C4" w14:textId="4D2DB46F">
      <w:r w:rsidRPr="00D36F11">
        <w:rPr>
          <w:rFonts w:ascii="Palatino Linotype" w:hAnsi="Palatino Linotype"/>
          <w:sz w:val="24"/>
          <w:szCs w:val="24"/>
        </w:rPr>
        <w:t xml:space="preserve">The </w:t>
      </w:r>
      <w:r w:rsidRPr="00D36F11" w:rsidR="00A44F1A">
        <w:rPr>
          <w:rFonts w:ascii="Palatino Linotype" w:hAnsi="Palatino Linotype"/>
          <w:sz w:val="24"/>
          <w:szCs w:val="24"/>
        </w:rPr>
        <w:t xml:space="preserve">methodology </w:t>
      </w:r>
      <w:r w:rsidRPr="00D36F11" w:rsidR="00152100">
        <w:rPr>
          <w:rFonts w:ascii="Palatino Linotype" w:hAnsi="Palatino Linotype"/>
          <w:sz w:val="24"/>
          <w:szCs w:val="24"/>
        </w:rPr>
        <w:t xml:space="preserve">to </w:t>
      </w:r>
      <w:r w:rsidRPr="00D36F11" w:rsidR="00A8411B">
        <w:rPr>
          <w:rFonts w:ascii="Palatino Linotype" w:hAnsi="Palatino Linotype"/>
          <w:sz w:val="24"/>
          <w:szCs w:val="24"/>
        </w:rPr>
        <w:t>assess</w:t>
      </w:r>
      <w:r w:rsidRPr="00D36F11" w:rsidR="00EA3B72">
        <w:rPr>
          <w:rFonts w:ascii="Palatino Linotype" w:hAnsi="Palatino Linotype"/>
          <w:sz w:val="24"/>
          <w:szCs w:val="24"/>
        </w:rPr>
        <w:t xml:space="preserve"> the cost</w:t>
      </w:r>
      <w:r w:rsidRPr="00D36F11" w:rsidR="00152100">
        <w:rPr>
          <w:rFonts w:ascii="Palatino Linotype" w:hAnsi="Palatino Linotype"/>
          <w:sz w:val="24"/>
          <w:szCs w:val="24"/>
        </w:rPr>
        <w:t>s</w:t>
      </w:r>
      <w:r w:rsidRPr="00D36F11" w:rsidR="00EA3B72">
        <w:rPr>
          <w:rFonts w:ascii="Palatino Linotype" w:hAnsi="Palatino Linotype"/>
          <w:sz w:val="24"/>
          <w:szCs w:val="24"/>
        </w:rPr>
        <w:t xml:space="preserve"> </w:t>
      </w:r>
      <w:r w:rsidRPr="00D36F11" w:rsidR="00152100">
        <w:rPr>
          <w:rFonts w:ascii="Palatino Linotype" w:hAnsi="Palatino Linotype"/>
          <w:sz w:val="24"/>
          <w:szCs w:val="24"/>
        </w:rPr>
        <w:t xml:space="preserve">of </w:t>
      </w:r>
      <w:r w:rsidRPr="00D36F11" w:rsidR="00EA3B72">
        <w:rPr>
          <w:rFonts w:ascii="Palatino Linotype" w:hAnsi="Palatino Linotype"/>
          <w:sz w:val="24"/>
          <w:szCs w:val="24"/>
        </w:rPr>
        <w:t>administer</w:t>
      </w:r>
      <w:r w:rsidRPr="00D36F11" w:rsidR="00152100">
        <w:rPr>
          <w:rFonts w:ascii="Palatino Linotype" w:hAnsi="Palatino Linotype"/>
          <w:sz w:val="24"/>
          <w:szCs w:val="24"/>
        </w:rPr>
        <w:t>ing</w:t>
      </w:r>
      <w:r w:rsidRPr="00D36F11" w:rsidR="003631C3">
        <w:rPr>
          <w:rFonts w:ascii="Palatino Linotype" w:hAnsi="Palatino Linotype"/>
          <w:sz w:val="24"/>
          <w:szCs w:val="24"/>
        </w:rPr>
        <w:t xml:space="preserve"> the program</w:t>
      </w:r>
      <w:r w:rsidRPr="00D36F11" w:rsidR="00EA3B72">
        <w:rPr>
          <w:rFonts w:ascii="Palatino Linotype" w:hAnsi="Palatino Linotype"/>
          <w:sz w:val="24"/>
          <w:szCs w:val="24"/>
        </w:rPr>
        <w:t xml:space="preserve"> and resolv</w:t>
      </w:r>
      <w:r w:rsidRPr="00D36F11" w:rsidR="00152100">
        <w:rPr>
          <w:rFonts w:ascii="Palatino Linotype" w:hAnsi="Palatino Linotype"/>
          <w:sz w:val="24"/>
          <w:szCs w:val="24"/>
        </w:rPr>
        <w:t>ing</w:t>
      </w:r>
      <w:r w:rsidRPr="00D36F11" w:rsidR="00EA3B72">
        <w:rPr>
          <w:rFonts w:ascii="Palatino Linotype" w:hAnsi="Palatino Linotype"/>
          <w:sz w:val="24"/>
          <w:szCs w:val="24"/>
        </w:rPr>
        <w:t xml:space="preserve"> customer complaints</w:t>
      </w:r>
      <w:r w:rsidRPr="00D36F11" w:rsidR="00152100">
        <w:rPr>
          <w:rFonts w:ascii="Palatino Linotype" w:hAnsi="Palatino Linotype"/>
          <w:sz w:val="24"/>
          <w:szCs w:val="24"/>
        </w:rPr>
        <w:t xml:space="preserve"> was set out in </w:t>
      </w:r>
      <w:r w:rsidRPr="00D36F11" w:rsidR="00F421B2">
        <w:rPr>
          <w:rFonts w:ascii="Palatino Linotype" w:hAnsi="Palatino Linotype"/>
          <w:sz w:val="24"/>
          <w:szCs w:val="24"/>
        </w:rPr>
        <w:t xml:space="preserve">Resolution G-3580 </w:t>
      </w:r>
      <w:r w:rsidR="0032070F">
        <w:rPr>
          <w:rFonts w:ascii="Palatino Linotype" w:hAnsi="Palatino Linotype"/>
          <w:sz w:val="24"/>
          <w:szCs w:val="24"/>
        </w:rPr>
        <w:t xml:space="preserve">and </w:t>
      </w:r>
      <w:r w:rsidRPr="00D36F11" w:rsidR="00152100">
        <w:rPr>
          <w:rFonts w:ascii="Palatino Linotype" w:hAnsi="Palatino Linotype"/>
          <w:sz w:val="24"/>
          <w:szCs w:val="24"/>
        </w:rPr>
        <w:t xml:space="preserve">updated in </w:t>
      </w:r>
      <w:r w:rsidR="00C8606E">
        <w:rPr>
          <w:rFonts w:ascii="Palatino Linotype" w:hAnsi="Palatino Linotype"/>
          <w:sz w:val="24"/>
          <w:szCs w:val="24"/>
        </w:rPr>
        <w:t>Resolution</w:t>
      </w:r>
      <w:r w:rsidR="00B65495">
        <w:rPr>
          <w:rFonts w:ascii="Palatino Linotype" w:hAnsi="Palatino Linotype"/>
          <w:sz w:val="24"/>
          <w:szCs w:val="24"/>
        </w:rPr>
        <w:t>s</w:t>
      </w:r>
      <w:r w:rsidR="00362348">
        <w:rPr>
          <w:rFonts w:ascii="Palatino Linotype" w:hAnsi="Palatino Linotype"/>
          <w:sz w:val="24"/>
          <w:szCs w:val="24"/>
        </w:rPr>
        <w:t xml:space="preserve"> G-3589 and</w:t>
      </w:r>
      <w:r w:rsidR="006D107E">
        <w:rPr>
          <w:rFonts w:ascii="Palatino Linotype" w:hAnsi="Palatino Linotype"/>
          <w:sz w:val="24"/>
          <w:szCs w:val="24"/>
        </w:rPr>
        <w:t xml:space="preserve"> G-</w:t>
      </w:r>
      <w:r w:rsidR="001549A2">
        <w:rPr>
          <w:rFonts w:ascii="Palatino Linotype" w:hAnsi="Palatino Linotype"/>
          <w:sz w:val="24"/>
          <w:szCs w:val="24"/>
        </w:rPr>
        <w:t>3597</w:t>
      </w:r>
      <w:r w:rsidR="007F5BEE">
        <w:rPr>
          <w:rFonts w:ascii="Palatino Linotype" w:hAnsi="Palatino Linotype"/>
          <w:sz w:val="24"/>
          <w:szCs w:val="24"/>
        </w:rPr>
        <w:t>.</w:t>
      </w:r>
      <w:r w:rsidR="001549A2">
        <w:rPr>
          <w:rFonts w:ascii="Palatino Linotype" w:hAnsi="Palatino Linotype"/>
          <w:sz w:val="24"/>
          <w:szCs w:val="24"/>
        </w:rPr>
        <w:t xml:space="preserve"> </w:t>
      </w:r>
      <w:r w:rsidR="00EB6DBE">
        <w:rPr>
          <w:rFonts w:ascii="Palatino Linotype" w:hAnsi="Palatino Linotype"/>
          <w:sz w:val="24"/>
          <w:szCs w:val="24"/>
        </w:rPr>
        <w:t xml:space="preserve">The methodology set in Resolution G-3597 is </w:t>
      </w:r>
      <w:r w:rsidR="001549A2">
        <w:rPr>
          <w:rFonts w:ascii="Palatino Linotype" w:hAnsi="Palatino Linotype"/>
          <w:sz w:val="24"/>
          <w:szCs w:val="24"/>
        </w:rPr>
        <w:t>reaffirmed in this resolution</w:t>
      </w:r>
      <w:r w:rsidRPr="00D36F11" w:rsidR="00522260">
        <w:rPr>
          <w:rFonts w:ascii="Palatino Linotype" w:hAnsi="Palatino Linotype"/>
          <w:sz w:val="24"/>
          <w:szCs w:val="24"/>
        </w:rPr>
        <w:t>.</w:t>
      </w:r>
      <w:r w:rsidRPr="00D36F11" w:rsidR="00C0390D">
        <w:rPr>
          <w:rStyle w:val="FootnoteReference"/>
          <w:rFonts w:ascii="Palatino Linotype" w:hAnsi="Palatino Linotype"/>
          <w:sz w:val="24"/>
          <w:szCs w:val="24"/>
        </w:rPr>
        <w:footnoteReference w:id="13"/>
      </w:r>
      <w:r w:rsidRPr="00D36F11" w:rsidR="00522260">
        <w:rPr>
          <w:rFonts w:ascii="Palatino Linotype" w:hAnsi="Palatino Linotype"/>
          <w:sz w:val="24"/>
          <w:szCs w:val="24"/>
        </w:rPr>
        <w:t xml:space="preserve"> </w:t>
      </w:r>
      <w:r w:rsidR="00C8606E">
        <w:rPr>
          <w:rFonts w:ascii="Palatino Linotype" w:hAnsi="Palatino Linotype"/>
          <w:sz w:val="24"/>
          <w:szCs w:val="24"/>
        </w:rPr>
        <w:t xml:space="preserve">The </w:t>
      </w:r>
      <w:r w:rsidR="00D539B3">
        <w:rPr>
          <w:rFonts w:ascii="Palatino Linotype" w:hAnsi="Palatino Linotype"/>
          <w:sz w:val="24"/>
          <w:szCs w:val="24"/>
        </w:rPr>
        <w:t>202</w:t>
      </w:r>
      <w:r w:rsidR="001549A2">
        <w:rPr>
          <w:rFonts w:ascii="Palatino Linotype" w:hAnsi="Palatino Linotype"/>
          <w:sz w:val="24"/>
          <w:szCs w:val="24"/>
        </w:rPr>
        <w:t>6</w:t>
      </w:r>
      <w:r w:rsidR="00D539B3">
        <w:rPr>
          <w:rFonts w:ascii="Palatino Linotype" w:hAnsi="Palatino Linotype"/>
          <w:sz w:val="24"/>
          <w:szCs w:val="24"/>
        </w:rPr>
        <w:t xml:space="preserve"> </w:t>
      </w:r>
      <w:r w:rsidR="00C8606E">
        <w:rPr>
          <w:rFonts w:ascii="Palatino Linotype" w:hAnsi="Palatino Linotype"/>
          <w:sz w:val="24"/>
          <w:szCs w:val="24"/>
        </w:rPr>
        <w:t>Annual Fee includes a Base Fee, which covers the costs of CTA administration, and a</w:t>
      </w:r>
      <w:r w:rsidR="00121159">
        <w:rPr>
          <w:rFonts w:ascii="Palatino Linotype" w:hAnsi="Palatino Linotype"/>
          <w:sz w:val="24"/>
          <w:szCs w:val="24"/>
        </w:rPr>
        <w:t xml:space="preserve"> two-part</w:t>
      </w:r>
      <w:r w:rsidR="00C8606E">
        <w:rPr>
          <w:rFonts w:ascii="Palatino Linotype" w:hAnsi="Palatino Linotype"/>
          <w:sz w:val="24"/>
          <w:szCs w:val="24"/>
        </w:rPr>
        <w:t xml:space="preserve"> Variable Fee, which covers CAB’s cost of managing complaints as well as UEB </w:t>
      </w:r>
      <w:r w:rsidR="00C1676B">
        <w:rPr>
          <w:rFonts w:ascii="Palatino Linotype" w:hAnsi="Palatino Linotype"/>
          <w:sz w:val="24"/>
          <w:szCs w:val="24"/>
        </w:rPr>
        <w:t xml:space="preserve">investigations and </w:t>
      </w:r>
      <w:r w:rsidR="001549A2">
        <w:rPr>
          <w:rFonts w:ascii="Palatino Linotype" w:hAnsi="Palatino Linotype"/>
          <w:sz w:val="24"/>
          <w:szCs w:val="24"/>
        </w:rPr>
        <w:lastRenderedPageBreak/>
        <w:t xml:space="preserve">enforcement </w:t>
      </w:r>
      <w:r w:rsidR="00C8606E">
        <w:rPr>
          <w:rFonts w:ascii="Palatino Linotype" w:hAnsi="Palatino Linotype"/>
          <w:sz w:val="24"/>
          <w:szCs w:val="24"/>
        </w:rPr>
        <w:t xml:space="preserve">actions. </w:t>
      </w:r>
      <w:r w:rsidRPr="00D36F11" w:rsidR="00C8606E">
        <w:rPr>
          <w:rFonts w:ascii="Palatino Linotype" w:hAnsi="Palatino Linotype"/>
          <w:sz w:val="24"/>
          <w:szCs w:val="24"/>
        </w:rPr>
        <w:t xml:space="preserve">Together, the </w:t>
      </w:r>
      <w:r w:rsidR="00C8606E">
        <w:rPr>
          <w:rFonts w:ascii="Palatino Linotype" w:hAnsi="Palatino Linotype"/>
          <w:sz w:val="24"/>
          <w:szCs w:val="24"/>
        </w:rPr>
        <w:t xml:space="preserve">Base </w:t>
      </w:r>
      <w:r w:rsidRPr="00D36F11" w:rsidR="00C8606E">
        <w:rPr>
          <w:rFonts w:ascii="Palatino Linotype" w:hAnsi="Palatino Linotype"/>
          <w:sz w:val="24"/>
          <w:szCs w:val="24"/>
        </w:rPr>
        <w:t xml:space="preserve">and Variable Fees reasonably reflect the cost of administering the program and allocate variable costs to the individual CTAs associated with those administrative costs. </w:t>
      </w:r>
    </w:p>
    <w:p w:rsidR="3D3BADBD" w:rsidP="3D3BADBD" w:rsidRDefault="3D3BADBD" w14:paraId="7FC8E84C" w14:textId="0CE49410">
      <w:pPr>
        <w:rPr>
          <w:rFonts w:ascii="Palatino Linotype" w:hAnsi="Palatino Linotype"/>
          <w:sz w:val="24"/>
          <w:szCs w:val="24"/>
        </w:rPr>
      </w:pPr>
    </w:p>
    <w:p w:rsidRPr="00D36F11" w:rsidR="00ED4439" w:rsidP="004C70CB" w:rsidRDefault="00C8606E" w14:paraId="25638D8A" w14:textId="535B8126">
      <w:pPr>
        <w:pStyle w:val="Heading2"/>
      </w:pPr>
      <w:r>
        <w:t>Base Fee</w:t>
      </w:r>
    </w:p>
    <w:p w:rsidR="00F75CB6" w:rsidP="00ED4439" w:rsidRDefault="00ED4439" w14:paraId="29086371" w14:textId="589B87C9">
      <w:pPr>
        <w:rPr>
          <w:rFonts w:ascii="Palatino Linotype" w:hAnsi="Palatino Linotype"/>
          <w:sz w:val="24"/>
          <w:szCs w:val="24"/>
        </w:rPr>
      </w:pPr>
      <w:r w:rsidRPr="00D36F11">
        <w:rPr>
          <w:rFonts w:ascii="Palatino Linotype" w:hAnsi="Palatino Linotype"/>
          <w:sz w:val="24"/>
          <w:szCs w:val="24"/>
        </w:rPr>
        <w:t xml:space="preserve">The </w:t>
      </w:r>
      <w:r w:rsidRPr="00D36F11" w:rsidR="00755B61">
        <w:rPr>
          <w:rFonts w:ascii="Palatino Linotype" w:hAnsi="Palatino Linotype"/>
          <w:sz w:val="24"/>
          <w:szCs w:val="24"/>
        </w:rPr>
        <w:t>B</w:t>
      </w:r>
      <w:r w:rsidRPr="00D36F11">
        <w:rPr>
          <w:rFonts w:ascii="Palatino Linotype" w:hAnsi="Palatino Linotype"/>
          <w:sz w:val="24"/>
          <w:szCs w:val="24"/>
        </w:rPr>
        <w:t xml:space="preserve">ase </w:t>
      </w:r>
      <w:r w:rsidRPr="00D36F11" w:rsidR="004C76C7">
        <w:rPr>
          <w:rFonts w:ascii="Palatino Linotype" w:hAnsi="Palatino Linotype"/>
          <w:sz w:val="24"/>
          <w:szCs w:val="24"/>
        </w:rPr>
        <w:t>Fee</w:t>
      </w:r>
      <w:r w:rsidRPr="00D36F11">
        <w:rPr>
          <w:rFonts w:ascii="Palatino Linotype" w:hAnsi="Palatino Linotype"/>
          <w:sz w:val="24"/>
          <w:szCs w:val="24"/>
        </w:rPr>
        <w:t xml:space="preserve"> includes the cost to Energy Division </w:t>
      </w:r>
      <w:proofErr w:type="gramStart"/>
      <w:r w:rsidRPr="00D36F11">
        <w:rPr>
          <w:rFonts w:ascii="Palatino Linotype" w:hAnsi="Palatino Linotype"/>
          <w:sz w:val="24"/>
          <w:szCs w:val="24"/>
        </w:rPr>
        <w:t>of</w:t>
      </w:r>
      <w:proofErr w:type="gramEnd"/>
      <w:r w:rsidRPr="00D36F11">
        <w:rPr>
          <w:rFonts w:ascii="Palatino Linotype" w:hAnsi="Palatino Linotype"/>
          <w:sz w:val="24"/>
          <w:szCs w:val="24"/>
        </w:rPr>
        <w:t xml:space="preserve"> administering the program </w:t>
      </w:r>
      <w:r w:rsidRPr="00D36F11" w:rsidR="00A803C0">
        <w:rPr>
          <w:rFonts w:ascii="Palatino Linotype" w:hAnsi="Palatino Linotype"/>
          <w:sz w:val="24"/>
          <w:szCs w:val="24"/>
        </w:rPr>
        <w:t xml:space="preserve">and </w:t>
      </w:r>
      <w:r w:rsidRPr="00D36F11">
        <w:rPr>
          <w:rFonts w:ascii="Palatino Linotype" w:hAnsi="Palatino Linotype"/>
          <w:sz w:val="24"/>
          <w:szCs w:val="24"/>
        </w:rPr>
        <w:t xml:space="preserve">the cost to CAB </w:t>
      </w:r>
      <w:proofErr w:type="gramStart"/>
      <w:r w:rsidR="008F05B4">
        <w:rPr>
          <w:rFonts w:ascii="Palatino Linotype" w:hAnsi="Palatino Linotype"/>
          <w:sz w:val="24"/>
          <w:szCs w:val="24"/>
        </w:rPr>
        <w:t>of</w:t>
      </w:r>
      <w:proofErr w:type="gramEnd"/>
      <w:r w:rsidR="008F05B4">
        <w:rPr>
          <w:rFonts w:ascii="Palatino Linotype" w:hAnsi="Palatino Linotype"/>
          <w:sz w:val="24"/>
          <w:szCs w:val="24"/>
        </w:rPr>
        <w:t xml:space="preserve"> </w:t>
      </w:r>
      <w:r w:rsidR="00F71E6F">
        <w:rPr>
          <w:rFonts w:ascii="Palatino Linotype" w:hAnsi="Palatino Linotype"/>
          <w:sz w:val="24"/>
          <w:szCs w:val="24"/>
        </w:rPr>
        <w:t xml:space="preserve">reviewing </w:t>
      </w:r>
      <w:r w:rsidR="004277D7">
        <w:rPr>
          <w:rFonts w:ascii="Palatino Linotype" w:hAnsi="Palatino Linotype"/>
          <w:sz w:val="24"/>
          <w:szCs w:val="24"/>
        </w:rPr>
        <w:t>the</w:t>
      </w:r>
      <w:r w:rsidR="00526278">
        <w:rPr>
          <w:rFonts w:ascii="Palatino Linotype" w:hAnsi="Palatino Linotype"/>
          <w:sz w:val="24"/>
          <w:szCs w:val="24"/>
        </w:rPr>
        <w:t xml:space="preserve"> </w:t>
      </w:r>
      <w:r w:rsidRPr="00D36F11">
        <w:rPr>
          <w:rFonts w:ascii="Palatino Linotype" w:hAnsi="Palatino Linotype"/>
          <w:sz w:val="24"/>
          <w:szCs w:val="24"/>
        </w:rPr>
        <w:t xml:space="preserve">Monthly CTA Complaint Report. For Energy Division, these costs include </w:t>
      </w:r>
      <w:r w:rsidR="009002B8">
        <w:rPr>
          <w:rFonts w:ascii="Palatino Linotype" w:hAnsi="Palatino Linotype"/>
          <w:sz w:val="24"/>
          <w:szCs w:val="24"/>
        </w:rPr>
        <w:t xml:space="preserve">one </w:t>
      </w:r>
      <w:r w:rsidRPr="00D36F11">
        <w:rPr>
          <w:rFonts w:ascii="Palatino Linotype" w:hAnsi="Palatino Linotype"/>
          <w:sz w:val="24"/>
          <w:szCs w:val="24"/>
        </w:rPr>
        <w:t>permanent full-time Public Utilities Regulatory Analyst</w:t>
      </w:r>
      <w:r w:rsidR="005A56E7">
        <w:rPr>
          <w:rFonts w:ascii="Palatino Linotype" w:hAnsi="Palatino Linotype"/>
          <w:sz w:val="24"/>
          <w:szCs w:val="24"/>
        </w:rPr>
        <w:t xml:space="preserve"> </w:t>
      </w:r>
      <w:r w:rsidRPr="00D36F11">
        <w:rPr>
          <w:rFonts w:ascii="Palatino Linotype" w:hAnsi="Palatino Linotype"/>
          <w:sz w:val="24"/>
          <w:szCs w:val="24"/>
        </w:rPr>
        <w:t>(PURA</w:t>
      </w:r>
      <w:r w:rsidR="009002B8">
        <w:rPr>
          <w:rFonts w:ascii="Palatino Linotype" w:hAnsi="Palatino Linotype"/>
          <w:sz w:val="24"/>
          <w:szCs w:val="24"/>
        </w:rPr>
        <w:t>)</w:t>
      </w:r>
      <w:r w:rsidR="00DC2937">
        <w:rPr>
          <w:rFonts w:ascii="Palatino Linotype" w:hAnsi="Palatino Linotype"/>
          <w:sz w:val="24"/>
          <w:szCs w:val="24"/>
        </w:rPr>
        <w:t xml:space="preserve"> </w:t>
      </w:r>
      <w:r w:rsidR="00B34D02">
        <w:rPr>
          <w:rFonts w:ascii="Palatino Linotype" w:hAnsi="Palatino Linotype"/>
          <w:sz w:val="24"/>
          <w:szCs w:val="24"/>
        </w:rPr>
        <w:t xml:space="preserve">I, one part-time PURA </w:t>
      </w:r>
      <w:r w:rsidR="00C8606E">
        <w:rPr>
          <w:rFonts w:ascii="Palatino Linotype" w:hAnsi="Palatino Linotype"/>
          <w:sz w:val="24"/>
          <w:szCs w:val="24"/>
        </w:rPr>
        <w:t>II</w:t>
      </w:r>
      <w:r w:rsidR="00325A47">
        <w:rPr>
          <w:rFonts w:ascii="Palatino Linotype" w:hAnsi="Palatino Linotype"/>
          <w:sz w:val="24"/>
          <w:szCs w:val="24"/>
        </w:rPr>
        <w:t>,</w:t>
      </w:r>
      <w:r w:rsidRPr="00D36F11">
        <w:rPr>
          <w:rFonts w:ascii="Palatino Linotype" w:hAnsi="Palatino Linotype"/>
          <w:sz w:val="24"/>
          <w:szCs w:val="24"/>
        </w:rPr>
        <w:t xml:space="preserve"> and 15 percent of the time of one Program and Project Supervisor (PPS). For CAB, the cost includes </w:t>
      </w:r>
      <w:r w:rsidR="00526278">
        <w:rPr>
          <w:rFonts w:ascii="Palatino Linotype" w:hAnsi="Palatino Linotype"/>
          <w:sz w:val="24"/>
          <w:szCs w:val="24"/>
        </w:rPr>
        <w:t xml:space="preserve">one </w:t>
      </w:r>
      <w:r w:rsidRPr="00D36F11">
        <w:rPr>
          <w:rFonts w:ascii="Palatino Linotype" w:hAnsi="Palatino Linotype"/>
          <w:sz w:val="24"/>
          <w:szCs w:val="24"/>
        </w:rPr>
        <w:t xml:space="preserve">PURA </w:t>
      </w:r>
      <w:r w:rsidR="00DC2937">
        <w:rPr>
          <w:rFonts w:ascii="Palatino Linotype" w:hAnsi="Palatino Linotype"/>
          <w:sz w:val="24"/>
          <w:szCs w:val="24"/>
        </w:rPr>
        <w:t>I</w:t>
      </w:r>
      <w:r w:rsidR="00C8606E">
        <w:rPr>
          <w:rFonts w:ascii="Palatino Linotype" w:hAnsi="Palatino Linotype"/>
          <w:sz w:val="24"/>
          <w:szCs w:val="24"/>
        </w:rPr>
        <w:t>II</w:t>
      </w:r>
      <w:r w:rsidRPr="00D36F11" w:rsidR="00ED4285">
        <w:rPr>
          <w:rFonts w:ascii="Palatino Linotype" w:hAnsi="Palatino Linotype"/>
          <w:sz w:val="24"/>
          <w:szCs w:val="24"/>
        </w:rPr>
        <w:t>,</w:t>
      </w:r>
      <w:r w:rsidRPr="00D36F11">
        <w:rPr>
          <w:rFonts w:ascii="Palatino Linotype" w:hAnsi="Palatino Linotype"/>
          <w:sz w:val="24"/>
          <w:szCs w:val="24"/>
        </w:rPr>
        <w:t xml:space="preserve"> who allocates approximately 1</w:t>
      </w:r>
      <w:r w:rsidR="008B784F">
        <w:rPr>
          <w:rFonts w:ascii="Palatino Linotype" w:hAnsi="Palatino Linotype"/>
          <w:sz w:val="24"/>
          <w:szCs w:val="24"/>
        </w:rPr>
        <w:t>0</w:t>
      </w:r>
      <w:r w:rsidRPr="00D36F11">
        <w:rPr>
          <w:rFonts w:ascii="Palatino Linotype" w:hAnsi="Palatino Linotype"/>
          <w:sz w:val="24"/>
          <w:szCs w:val="24"/>
        </w:rPr>
        <w:t xml:space="preserve"> hours annually or 0</w:t>
      </w:r>
      <w:r w:rsidRPr="00D36F11" w:rsidR="00E07FAB">
        <w:rPr>
          <w:rFonts w:ascii="Palatino Linotype" w:hAnsi="Palatino Linotype"/>
          <w:sz w:val="24"/>
          <w:szCs w:val="24"/>
        </w:rPr>
        <w:t>.</w:t>
      </w:r>
      <w:r w:rsidR="005D48DB">
        <w:rPr>
          <w:rFonts w:ascii="Palatino Linotype" w:hAnsi="Palatino Linotype"/>
          <w:sz w:val="24"/>
          <w:szCs w:val="24"/>
        </w:rPr>
        <w:t>6</w:t>
      </w:r>
      <w:r w:rsidRPr="00D36F11">
        <w:rPr>
          <w:rFonts w:ascii="Palatino Linotype" w:hAnsi="Palatino Linotype"/>
          <w:sz w:val="24"/>
          <w:szCs w:val="24"/>
        </w:rPr>
        <w:t xml:space="preserve"> percent of their time to </w:t>
      </w:r>
      <w:r w:rsidR="00C44BA8">
        <w:rPr>
          <w:rFonts w:ascii="Palatino Linotype" w:hAnsi="Palatino Linotype"/>
          <w:sz w:val="24"/>
          <w:szCs w:val="24"/>
        </w:rPr>
        <w:t>review</w:t>
      </w:r>
      <w:r w:rsidRPr="00D36F11">
        <w:rPr>
          <w:rFonts w:ascii="Palatino Linotype" w:hAnsi="Palatino Linotype"/>
          <w:sz w:val="24"/>
          <w:szCs w:val="24"/>
        </w:rPr>
        <w:t xml:space="preserve"> the Monthly CTA Complaint Reports.</w:t>
      </w:r>
      <w:r w:rsidR="007E2A14">
        <w:rPr>
          <w:rStyle w:val="FootnoteReference"/>
          <w:rFonts w:ascii="Palatino Linotype" w:hAnsi="Palatino Linotype"/>
          <w:sz w:val="24"/>
          <w:szCs w:val="24"/>
        </w:rPr>
        <w:footnoteReference w:id="14"/>
      </w:r>
      <w:r w:rsidRPr="00D36F11">
        <w:rPr>
          <w:rFonts w:ascii="Palatino Linotype" w:hAnsi="Palatino Linotype"/>
          <w:sz w:val="24"/>
          <w:szCs w:val="24"/>
        </w:rPr>
        <w:t xml:space="preserve"> Together these costs total</w:t>
      </w:r>
      <w:r w:rsidR="00526278">
        <w:rPr>
          <w:rFonts w:ascii="Palatino Linotype" w:hAnsi="Palatino Linotype"/>
          <w:sz w:val="24"/>
          <w:szCs w:val="24"/>
        </w:rPr>
        <w:t>ed</w:t>
      </w:r>
      <w:r w:rsidRPr="00D36F11">
        <w:rPr>
          <w:rFonts w:ascii="Palatino Linotype" w:hAnsi="Palatino Linotype"/>
          <w:sz w:val="24"/>
          <w:szCs w:val="24"/>
        </w:rPr>
        <w:t xml:space="preserve"> </w:t>
      </w:r>
      <w:r w:rsidRPr="00F75CB6" w:rsidR="00F75CB6">
        <w:rPr>
          <w:rFonts w:ascii="Palatino Linotype" w:hAnsi="Palatino Linotype"/>
          <w:sz w:val="24"/>
          <w:szCs w:val="24"/>
        </w:rPr>
        <w:t>$</w:t>
      </w:r>
      <w:r w:rsidRPr="00246325" w:rsidR="00326001">
        <w:rPr>
          <w:rFonts w:ascii="Palatino Linotype" w:hAnsi="Palatino Linotype" w:eastAsia="Palatino Linotype" w:cs="Palatino Linotype"/>
          <w:sz w:val="24"/>
          <w:szCs w:val="24"/>
        </w:rPr>
        <w:t>21</w:t>
      </w:r>
      <w:r w:rsidRPr="00246325" w:rsidR="1C27A50A">
        <w:rPr>
          <w:rFonts w:ascii="Palatino Linotype" w:hAnsi="Palatino Linotype" w:eastAsia="Palatino Linotype" w:cs="Palatino Linotype"/>
          <w:sz w:val="24"/>
          <w:szCs w:val="24"/>
        </w:rPr>
        <w:t>2,491</w:t>
      </w:r>
      <w:r w:rsidRPr="00246325" w:rsidR="00F75CB6">
        <w:rPr>
          <w:rFonts w:ascii="Palatino Linotype" w:hAnsi="Palatino Linotype" w:eastAsia="Palatino Linotype" w:cs="Palatino Linotype"/>
          <w:sz w:val="24"/>
          <w:szCs w:val="24"/>
        </w:rPr>
        <w:t xml:space="preserve"> </w:t>
      </w:r>
      <w:r w:rsidR="00F75CB6">
        <w:rPr>
          <w:rFonts w:ascii="Palatino Linotype" w:hAnsi="Palatino Linotype"/>
          <w:sz w:val="24"/>
          <w:szCs w:val="24"/>
        </w:rPr>
        <w:t>in 202</w:t>
      </w:r>
      <w:r w:rsidR="00C63251">
        <w:rPr>
          <w:rFonts w:ascii="Palatino Linotype" w:hAnsi="Palatino Linotype"/>
          <w:sz w:val="24"/>
          <w:szCs w:val="24"/>
        </w:rPr>
        <w:t>5</w:t>
      </w:r>
      <w:r w:rsidR="00F75CB6">
        <w:rPr>
          <w:rFonts w:ascii="Palatino Linotype" w:hAnsi="Palatino Linotype"/>
          <w:sz w:val="24"/>
          <w:szCs w:val="24"/>
        </w:rPr>
        <w:t xml:space="preserve">, a </w:t>
      </w:r>
      <w:r w:rsidR="005D0D45">
        <w:rPr>
          <w:rFonts w:ascii="Palatino Linotype" w:hAnsi="Palatino Linotype"/>
          <w:sz w:val="24"/>
          <w:szCs w:val="24"/>
        </w:rPr>
        <w:t>3</w:t>
      </w:r>
      <w:r w:rsidR="713BA36F">
        <w:rPr>
          <w:rFonts w:ascii="Palatino Linotype" w:hAnsi="Palatino Linotype"/>
          <w:sz w:val="24"/>
          <w:szCs w:val="24"/>
        </w:rPr>
        <w:t>4</w:t>
      </w:r>
      <w:r w:rsidR="00F75CB6">
        <w:rPr>
          <w:rFonts w:ascii="Palatino Linotype" w:hAnsi="Palatino Linotype"/>
          <w:sz w:val="24"/>
          <w:szCs w:val="24"/>
        </w:rPr>
        <w:t xml:space="preserve"> percent increase over 202</w:t>
      </w:r>
      <w:r w:rsidR="00741017">
        <w:rPr>
          <w:rFonts w:ascii="Palatino Linotype" w:hAnsi="Palatino Linotype"/>
          <w:sz w:val="24"/>
          <w:szCs w:val="24"/>
        </w:rPr>
        <w:t>4</w:t>
      </w:r>
      <w:r w:rsidRPr="00D36F11">
        <w:rPr>
          <w:rFonts w:ascii="Palatino Linotype" w:hAnsi="Palatino Linotype"/>
          <w:sz w:val="24"/>
          <w:szCs w:val="24"/>
        </w:rPr>
        <w:t>.</w:t>
      </w:r>
      <w:r w:rsidR="00F75CB6">
        <w:rPr>
          <w:rFonts w:ascii="Palatino Linotype" w:hAnsi="Palatino Linotype"/>
          <w:sz w:val="24"/>
          <w:szCs w:val="24"/>
        </w:rPr>
        <w:t xml:space="preserve"> The driver for this increase i</w:t>
      </w:r>
      <w:r w:rsidR="005D782F">
        <w:rPr>
          <w:rFonts w:ascii="Palatino Linotype" w:hAnsi="Palatino Linotype"/>
          <w:sz w:val="24"/>
          <w:szCs w:val="24"/>
        </w:rPr>
        <w:t>s</w:t>
      </w:r>
      <w:r w:rsidRPr="7787228A" w:rsidR="00C459F1">
        <w:rPr>
          <w:rFonts w:ascii="Palatino Linotype" w:hAnsi="Palatino Linotype"/>
          <w:sz w:val="24"/>
          <w:szCs w:val="24"/>
        </w:rPr>
        <w:t xml:space="preserve"> </w:t>
      </w:r>
      <w:r w:rsidR="00C229DA">
        <w:rPr>
          <w:rFonts w:ascii="Palatino Linotype" w:hAnsi="Palatino Linotype"/>
          <w:sz w:val="24"/>
          <w:szCs w:val="24"/>
        </w:rPr>
        <w:t xml:space="preserve">a change in </w:t>
      </w:r>
      <w:r w:rsidR="002E46A2">
        <w:rPr>
          <w:rFonts w:ascii="Palatino Linotype" w:hAnsi="Palatino Linotype"/>
          <w:sz w:val="24"/>
          <w:szCs w:val="24"/>
        </w:rPr>
        <w:t xml:space="preserve">staff time allocated </w:t>
      </w:r>
      <w:r w:rsidR="001C689A">
        <w:rPr>
          <w:rFonts w:ascii="Palatino Linotype" w:hAnsi="Palatino Linotype"/>
          <w:sz w:val="24"/>
          <w:szCs w:val="24"/>
        </w:rPr>
        <w:t>to the CTA program</w:t>
      </w:r>
      <w:r w:rsidRPr="7787228A" w:rsidR="00C459F1">
        <w:rPr>
          <w:rFonts w:ascii="Palatino Linotype" w:hAnsi="Palatino Linotype"/>
          <w:sz w:val="24"/>
          <w:szCs w:val="24"/>
        </w:rPr>
        <w:t>.</w:t>
      </w:r>
    </w:p>
    <w:p w:rsidR="00F75CB6" w:rsidP="00ED4439" w:rsidRDefault="00F75CB6" w14:paraId="25E4A4EF" w14:textId="77777777">
      <w:pPr>
        <w:rPr>
          <w:rFonts w:ascii="Palatino Linotype" w:hAnsi="Palatino Linotype"/>
          <w:sz w:val="24"/>
          <w:szCs w:val="24"/>
        </w:rPr>
      </w:pPr>
    </w:p>
    <w:p w:rsidRPr="00D36F11" w:rsidR="00ED4439" w:rsidP="00ED4439" w:rsidRDefault="00F75CB6" w14:paraId="0FDF119A" w14:textId="6938277A">
      <w:pPr>
        <w:rPr>
          <w:rFonts w:ascii="Palatino Linotype" w:hAnsi="Palatino Linotype"/>
          <w:sz w:val="24"/>
          <w:szCs w:val="24"/>
        </w:rPr>
      </w:pPr>
      <w:r>
        <w:rPr>
          <w:rFonts w:ascii="Palatino Linotype" w:hAnsi="Palatino Linotype"/>
          <w:sz w:val="24"/>
          <w:szCs w:val="24"/>
        </w:rPr>
        <w:t xml:space="preserve">The costs of administering the CTA program are relatively fixed </w:t>
      </w:r>
      <w:r w:rsidRPr="00D36F11" w:rsidR="00ED4439">
        <w:rPr>
          <w:rFonts w:ascii="Palatino Linotype" w:hAnsi="Palatino Linotype"/>
          <w:sz w:val="24"/>
          <w:szCs w:val="24"/>
        </w:rPr>
        <w:t>and do not vary materially with the number of CTA-related complaints received</w:t>
      </w:r>
      <w:r>
        <w:rPr>
          <w:rFonts w:ascii="Palatino Linotype" w:hAnsi="Palatino Linotype"/>
          <w:sz w:val="24"/>
          <w:szCs w:val="24"/>
        </w:rPr>
        <w:t xml:space="preserve">. Thus, previous </w:t>
      </w:r>
      <w:r w:rsidR="009C603E">
        <w:rPr>
          <w:rFonts w:ascii="Palatino Linotype" w:hAnsi="Palatino Linotype"/>
          <w:sz w:val="24"/>
          <w:szCs w:val="24"/>
        </w:rPr>
        <w:t>resolution</w:t>
      </w:r>
      <w:r>
        <w:rPr>
          <w:rFonts w:ascii="Palatino Linotype" w:hAnsi="Palatino Linotype"/>
          <w:sz w:val="24"/>
          <w:szCs w:val="24"/>
        </w:rPr>
        <w:t xml:space="preserve">s </w:t>
      </w:r>
      <w:r w:rsidRPr="00D36F11" w:rsidR="00BE3ACD">
        <w:rPr>
          <w:rFonts w:ascii="Palatino Linotype" w:hAnsi="Palatino Linotype"/>
          <w:sz w:val="24"/>
          <w:szCs w:val="24"/>
        </w:rPr>
        <w:t>divide</w:t>
      </w:r>
      <w:r w:rsidR="00BE3ACD">
        <w:rPr>
          <w:rFonts w:ascii="Palatino Linotype" w:hAnsi="Palatino Linotype"/>
          <w:sz w:val="24"/>
          <w:szCs w:val="24"/>
        </w:rPr>
        <w:t>d</w:t>
      </w:r>
      <w:r w:rsidRPr="00D36F11" w:rsidR="00BE3ACD">
        <w:rPr>
          <w:rFonts w:ascii="Palatino Linotype" w:hAnsi="Palatino Linotype"/>
          <w:sz w:val="24"/>
          <w:szCs w:val="24"/>
        </w:rPr>
        <w:t xml:space="preserve"> </w:t>
      </w:r>
      <w:r w:rsidR="00BE3ACD">
        <w:rPr>
          <w:rFonts w:ascii="Palatino Linotype" w:hAnsi="Palatino Linotype"/>
          <w:sz w:val="24"/>
          <w:szCs w:val="24"/>
        </w:rPr>
        <w:t>administrative</w:t>
      </w:r>
      <w:r w:rsidR="00AF10F6">
        <w:rPr>
          <w:rFonts w:ascii="Palatino Linotype" w:hAnsi="Palatino Linotype"/>
          <w:sz w:val="24"/>
          <w:szCs w:val="24"/>
        </w:rPr>
        <w:t xml:space="preserve"> costs </w:t>
      </w:r>
      <w:r w:rsidRPr="00D36F11" w:rsidR="00ED4439">
        <w:rPr>
          <w:rFonts w:ascii="Palatino Linotype" w:hAnsi="Palatino Linotype"/>
          <w:sz w:val="24"/>
          <w:szCs w:val="24"/>
        </w:rPr>
        <w:t xml:space="preserve">equally among </w:t>
      </w:r>
      <w:r w:rsidRPr="00D36F11" w:rsidR="00BE64AE">
        <w:rPr>
          <w:rFonts w:ascii="Palatino Linotype" w:hAnsi="Palatino Linotype"/>
          <w:sz w:val="24"/>
          <w:szCs w:val="24"/>
        </w:rPr>
        <w:t>the</w:t>
      </w:r>
      <w:r>
        <w:rPr>
          <w:rFonts w:ascii="Palatino Linotype" w:hAnsi="Palatino Linotype"/>
          <w:sz w:val="24"/>
          <w:szCs w:val="24"/>
        </w:rPr>
        <w:t xml:space="preserve"> active</w:t>
      </w:r>
      <w:r w:rsidRPr="00D36F11" w:rsidR="00BE64AE">
        <w:rPr>
          <w:rFonts w:ascii="Palatino Linotype" w:hAnsi="Palatino Linotype"/>
          <w:sz w:val="24"/>
          <w:szCs w:val="24"/>
        </w:rPr>
        <w:t xml:space="preserve"> </w:t>
      </w:r>
      <w:r w:rsidRPr="00D36F11" w:rsidR="00ED4439">
        <w:rPr>
          <w:rFonts w:ascii="Palatino Linotype" w:hAnsi="Palatino Linotype"/>
          <w:sz w:val="24"/>
          <w:szCs w:val="24"/>
        </w:rPr>
        <w:t>CTAs.</w:t>
      </w:r>
      <w:r w:rsidR="000C062F">
        <w:rPr>
          <w:rFonts w:ascii="Palatino Linotype" w:hAnsi="Palatino Linotype"/>
          <w:sz w:val="24"/>
          <w:szCs w:val="24"/>
        </w:rPr>
        <w:t xml:space="preserve"> We use the same </w:t>
      </w:r>
      <w:r w:rsidR="00A10F85">
        <w:rPr>
          <w:rFonts w:ascii="Palatino Linotype" w:hAnsi="Palatino Linotype"/>
          <w:sz w:val="24"/>
          <w:szCs w:val="24"/>
        </w:rPr>
        <w:t xml:space="preserve">allocation </w:t>
      </w:r>
      <w:r w:rsidR="000C062F">
        <w:rPr>
          <w:rFonts w:ascii="Palatino Linotype" w:hAnsi="Palatino Linotype"/>
          <w:sz w:val="24"/>
          <w:szCs w:val="24"/>
        </w:rPr>
        <w:t xml:space="preserve">methodology </w:t>
      </w:r>
      <w:r w:rsidR="00FA6DB5">
        <w:rPr>
          <w:rFonts w:ascii="Palatino Linotype" w:hAnsi="Palatino Linotype"/>
          <w:sz w:val="24"/>
          <w:szCs w:val="24"/>
        </w:rPr>
        <w:t>below</w:t>
      </w:r>
      <w:r w:rsidR="000C062F">
        <w:rPr>
          <w:rFonts w:ascii="Palatino Linotype" w:hAnsi="Palatino Linotype"/>
          <w:sz w:val="24"/>
          <w:szCs w:val="24"/>
        </w:rPr>
        <w:t xml:space="preserve">, </w:t>
      </w:r>
      <w:r w:rsidR="00772B3F">
        <w:rPr>
          <w:rFonts w:ascii="Palatino Linotype" w:hAnsi="Palatino Linotype"/>
          <w:sz w:val="24"/>
          <w:szCs w:val="24"/>
        </w:rPr>
        <w:t>which</w:t>
      </w:r>
      <w:r w:rsidRPr="00D36F11" w:rsidR="00ED4439">
        <w:rPr>
          <w:rFonts w:ascii="Palatino Linotype" w:hAnsi="Palatino Linotype"/>
          <w:sz w:val="24"/>
          <w:szCs w:val="24"/>
        </w:rPr>
        <w:t xml:space="preserve"> result</w:t>
      </w:r>
      <w:r w:rsidR="00772B3F">
        <w:rPr>
          <w:rFonts w:ascii="Palatino Linotype" w:hAnsi="Palatino Linotype"/>
          <w:sz w:val="24"/>
          <w:szCs w:val="24"/>
        </w:rPr>
        <w:t>s</w:t>
      </w:r>
      <w:r w:rsidRPr="00D36F11" w:rsidR="00ED4439">
        <w:rPr>
          <w:rFonts w:ascii="Palatino Linotype" w:hAnsi="Palatino Linotype"/>
          <w:sz w:val="24"/>
          <w:szCs w:val="24"/>
        </w:rPr>
        <w:t xml:space="preserve"> in an annual base cost of $</w:t>
      </w:r>
      <w:r>
        <w:rPr>
          <w:rFonts w:ascii="Palatino Linotype" w:hAnsi="Palatino Linotype"/>
          <w:sz w:val="24"/>
          <w:szCs w:val="24"/>
        </w:rPr>
        <w:t>5,</w:t>
      </w:r>
      <w:r w:rsidR="005D61CB">
        <w:rPr>
          <w:rFonts w:ascii="Palatino Linotype" w:hAnsi="Palatino Linotype"/>
          <w:sz w:val="24"/>
          <w:szCs w:val="24"/>
        </w:rPr>
        <w:t>449</w:t>
      </w:r>
      <w:r>
        <w:rPr>
          <w:rFonts w:ascii="Palatino Linotype" w:hAnsi="Palatino Linotype"/>
          <w:sz w:val="24"/>
          <w:szCs w:val="24"/>
        </w:rPr>
        <w:t xml:space="preserve"> </w:t>
      </w:r>
      <w:r w:rsidRPr="00D36F11" w:rsidR="00BE64AE">
        <w:rPr>
          <w:rFonts w:ascii="Palatino Linotype" w:hAnsi="Palatino Linotype"/>
          <w:sz w:val="24"/>
          <w:szCs w:val="24"/>
        </w:rPr>
        <w:t xml:space="preserve">per CTA </w:t>
      </w:r>
      <w:r w:rsidRPr="00D36F11" w:rsidR="00ED4439">
        <w:rPr>
          <w:rFonts w:ascii="Palatino Linotype" w:hAnsi="Palatino Linotype"/>
          <w:sz w:val="24"/>
          <w:szCs w:val="24"/>
        </w:rPr>
        <w:t>(See Table 1 below).</w:t>
      </w:r>
    </w:p>
    <w:p w:rsidRPr="005C45A1" w:rsidR="009D7636" w:rsidRDefault="009D7636" w14:paraId="4EDD65E8" w14:textId="5EE405AC">
      <w:pPr>
        <w:rPr>
          <w:rFonts w:ascii="Palatino Linotype" w:hAnsi="Palatino Linotype"/>
          <w:sz w:val="24"/>
          <w:szCs w:val="24"/>
        </w:rPr>
      </w:pPr>
    </w:p>
    <w:p w:rsidRPr="00F75CB6" w:rsidR="00F75CB6" w:rsidP="00121159" w:rsidRDefault="00F75CB6" w14:paraId="6B8772B2" w14:textId="2DF56EB8">
      <w:pPr>
        <w:pStyle w:val="TableHead"/>
      </w:pPr>
      <w:r w:rsidRPr="00F75CB6">
        <w:t xml:space="preserve">Table </w:t>
      </w:r>
      <w:r w:rsidR="00772B3F">
        <w:t>1</w:t>
      </w:r>
      <w:r w:rsidRPr="00F75CB6">
        <w:t>: Base Fee for 202</w:t>
      </w:r>
      <w:r w:rsidR="001E2B80">
        <w:t>6</w:t>
      </w:r>
    </w:p>
    <w:tbl>
      <w:tblPr>
        <w:tblW w:w="898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05"/>
        <w:gridCol w:w="1440"/>
        <w:gridCol w:w="2070"/>
        <w:gridCol w:w="1350"/>
        <w:gridCol w:w="1620"/>
      </w:tblGrid>
      <w:tr w:rsidRPr="00F75CB6" w:rsidR="00F75CB6" w:rsidTr="00A44FB6" w14:paraId="3D9C7A16" w14:textId="77777777">
        <w:trPr>
          <w:trHeight w:val="630"/>
          <w:jc w:val="center"/>
        </w:trPr>
        <w:tc>
          <w:tcPr>
            <w:tcW w:w="2505" w:type="dxa"/>
            <w:tcBorders>
              <w:top w:val="single" w:color="auto" w:sz="6" w:space="0"/>
              <w:left w:val="single" w:color="auto" w:sz="6" w:space="0"/>
              <w:bottom w:val="single" w:color="auto" w:sz="6" w:space="0"/>
              <w:right w:val="single" w:color="auto" w:sz="6" w:space="0"/>
            </w:tcBorders>
            <w:vAlign w:val="bottom"/>
            <w:hideMark/>
          </w:tcPr>
          <w:p w:rsidRPr="00F75CB6" w:rsidR="00F75CB6" w:rsidP="00F75CB6" w:rsidRDefault="00F75CB6" w14:paraId="464816B7" w14:textId="77777777">
            <w:pPr>
              <w:rPr>
                <w:rFonts w:ascii="Palatino Linotype" w:hAnsi="Palatino Linotype"/>
                <w:sz w:val="24"/>
                <w:szCs w:val="24"/>
              </w:rPr>
            </w:pPr>
            <w:r w:rsidRPr="00F75CB6">
              <w:rPr>
                <w:rFonts w:ascii="Palatino Linotype" w:hAnsi="Palatino Linotype"/>
                <w:sz w:val="24"/>
                <w:szCs w:val="24"/>
              </w:rPr>
              <w:t>CPUC  </w:t>
            </w:r>
            <w:r w:rsidRPr="00F75CB6">
              <w:rPr>
                <w:rFonts w:ascii="Palatino Linotype" w:hAnsi="Palatino Linotype"/>
                <w:sz w:val="24"/>
                <w:szCs w:val="24"/>
              </w:rPr>
              <w:br/>
              <w:t>Organizational Area </w:t>
            </w:r>
          </w:p>
        </w:tc>
        <w:tc>
          <w:tcPr>
            <w:tcW w:w="144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569C54A7" w14:textId="15E0CDC9">
            <w:pPr>
              <w:jc w:val="center"/>
              <w:rPr>
                <w:rFonts w:ascii="Palatino Linotype" w:hAnsi="Palatino Linotype"/>
                <w:sz w:val="24"/>
                <w:szCs w:val="24"/>
              </w:rPr>
            </w:pPr>
            <w:r w:rsidRPr="00F75CB6">
              <w:rPr>
                <w:rFonts w:ascii="Palatino Linotype" w:hAnsi="Palatino Linotype"/>
                <w:sz w:val="24"/>
                <w:szCs w:val="24"/>
              </w:rPr>
              <w:t>Position</w:t>
            </w:r>
          </w:p>
        </w:tc>
        <w:tc>
          <w:tcPr>
            <w:tcW w:w="207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46687345" w14:textId="6C4358AE">
            <w:pPr>
              <w:jc w:val="center"/>
              <w:rPr>
                <w:rFonts w:ascii="Palatino Linotype" w:hAnsi="Palatino Linotype"/>
                <w:sz w:val="24"/>
                <w:szCs w:val="24"/>
              </w:rPr>
            </w:pPr>
            <w:r w:rsidRPr="00F75CB6">
              <w:rPr>
                <w:rFonts w:ascii="Palatino Linotype" w:hAnsi="Palatino Linotype"/>
                <w:sz w:val="24"/>
                <w:szCs w:val="24"/>
              </w:rPr>
              <w:t>Salary + </w:t>
            </w:r>
            <w:r w:rsidRPr="00F75CB6">
              <w:rPr>
                <w:rFonts w:ascii="Palatino Linotype" w:hAnsi="Palatino Linotype"/>
                <w:sz w:val="24"/>
                <w:szCs w:val="24"/>
              </w:rPr>
              <w:br/>
              <w:t>Benefits</w:t>
            </w:r>
          </w:p>
        </w:tc>
        <w:tc>
          <w:tcPr>
            <w:tcW w:w="135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301AE76C" w14:textId="6EAE020B">
            <w:pPr>
              <w:jc w:val="center"/>
              <w:rPr>
                <w:rFonts w:ascii="Palatino Linotype" w:hAnsi="Palatino Linotype"/>
                <w:sz w:val="24"/>
                <w:szCs w:val="24"/>
              </w:rPr>
            </w:pPr>
            <w:r w:rsidRPr="00F75CB6">
              <w:rPr>
                <w:rFonts w:ascii="Palatino Linotype" w:hAnsi="Palatino Linotype"/>
                <w:sz w:val="24"/>
                <w:szCs w:val="24"/>
              </w:rPr>
              <w:t>% Time on CTAs</w:t>
            </w:r>
          </w:p>
        </w:tc>
        <w:tc>
          <w:tcPr>
            <w:tcW w:w="162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132CED68" w14:textId="2491637F">
            <w:pPr>
              <w:jc w:val="center"/>
              <w:rPr>
                <w:rFonts w:ascii="Palatino Linotype" w:hAnsi="Palatino Linotype"/>
                <w:sz w:val="24"/>
                <w:szCs w:val="24"/>
              </w:rPr>
            </w:pPr>
            <w:r w:rsidRPr="00F75CB6">
              <w:rPr>
                <w:rFonts w:ascii="Palatino Linotype" w:hAnsi="Palatino Linotype"/>
                <w:sz w:val="24"/>
                <w:szCs w:val="24"/>
              </w:rPr>
              <w:t>CTA Cost</w:t>
            </w:r>
          </w:p>
        </w:tc>
      </w:tr>
      <w:tr w:rsidRPr="00F75CB6" w:rsidR="00F75CB6" w:rsidTr="00A44FB6" w14:paraId="47FEF1CF" w14:textId="77777777">
        <w:trPr>
          <w:trHeight w:val="52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37046686" w14:textId="77777777">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3EDDF5ED" w14:textId="37044F20">
            <w:pPr>
              <w:rPr>
                <w:rFonts w:ascii="Palatino Linotype" w:hAnsi="Palatino Linotype"/>
                <w:sz w:val="24"/>
                <w:szCs w:val="24"/>
              </w:rPr>
            </w:pPr>
            <w:r w:rsidRPr="00F75CB6">
              <w:rPr>
                <w:rFonts w:ascii="Palatino Linotype" w:hAnsi="Palatino Linotype"/>
                <w:sz w:val="24"/>
                <w:szCs w:val="24"/>
              </w:rPr>
              <w:t>PURA I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6430575E" w14:textId="3EF44920">
            <w:pPr>
              <w:jc w:val="right"/>
              <w:rPr>
                <w:rFonts w:ascii="Palatino Linotype" w:hAnsi="Palatino Linotype"/>
                <w:sz w:val="24"/>
                <w:szCs w:val="24"/>
              </w:rPr>
            </w:pPr>
            <w:r w:rsidRPr="00F75CB6">
              <w:rPr>
                <w:rFonts w:ascii="Palatino Linotype" w:hAnsi="Palatino Linotype"/>
                <w:sz w:val="24"/>
                <w:szCs w:val="24"/>
              </w:rPr>
              <w:t>$1</w:t>
            </w:r>
            <w:r w:rsidR="003111CA">
              <w:rPr>
                <w:rFonts w:ascii="Palatino Linotype" w:hAnsi="Palatino Linotype"/>
                <w:sz w:val="24"/>
                <w:szCs w:val="24"/>
              </w:rPr>
              <w:t>20,24</w:t>
            </w:r>
            <w:r w:rsidR="00586635">
              <w:rPr>
                <w:rFonts w:ascii="Palatino Linotype" w:hAnsi="Palatino Linotype"/>
                <w:sz w:val="24"/>
                <w:szCs w:val="24"/>
              </w:rPr>
              <w:t>5</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2D949BEC" w14:textId="77777777">
            <w:pPr>
              <w:jc w:val="right"/>
              <w:rPr>
                <w:rFonts w:ascii="Palatino Linotype" w:hAnsi="Palatino Linotype"/>
                <w:sz w:val="24"/>
                <w:szCs w:val="24"/>
              </w:rPr>
            </w:pPr>
            <w:r w:rsidRPr="00F75CB6">
              <w:rPr>
                <w:rFonts w:ascii="Palatino Linotype" w:hAnsi="Palatino Linotype"/>
                <w:sz w:val="24"/>
                <w:szCs w:val="24"/>
              </w:rPr>
              <w:t>100%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92E805B" w14:textId="4970A54F">
            <w:pPr>
              <w:jc w:val="right"/>
              <w:rPr>
                <w:rFonts w:ascii="Palatino Linotype" w:hAnsi="Palatino Linotype"/>
                <w:sz w:val="24"/>
                <w:szCs w:val="24"/>
              </w:rPr>
            </w:pPr>
            <w:r w:rsidRPr="00F75CB6">
              <w:rPr>
                <w:rFonts w:ascii="Palatino Linotype" w:hAnsi="Palatino Linotype"/>
                <w:sz w:val="24"/>
                <w:szCs w:val="24"/>
              </w:rPr>
              <w:t>$1</w:t>
            </w:r>
            <w:r w:rsidR="00D64082">
              <w:rPr>
                <w:rFonts w:ascii="Palatino Linotype" w:hAnsi="Palatino Linotype"/>
                <w:sz w:val="24"/>
                <w:szCs w:val="24"/>
              </w:rPr>
              <w:t>20,24</w:t>
            </w:r>
            <w:r w:rsidR="00C80E1F">
              <w:rPr>
                <w:rFonts w:ascii="Palatino Linotype" w:hAnsi="Palatino Linotype"/>
                <w:sz w:val="24"/>
                <w:szCs w:val="24"/>
              </w:rPr>
              <w:t>5</w:t>
            </w:r>
            <w:r w:rsidRPr="00F75CB6">
              <w:rPr>
                <w:rFonts w:ascii="Palatino Linotype" w:hAnsi="Palatino Linotype"/>
                <w:sz w:val="24"/>
                <w:szCs w:val="24"/>
              </w:rPr>
              <w:t> </w:t>
            </w:r>
          </w:p>
        </w:tc>
      </w:tr>
      <w:tr w:rsidRPr="00F75CB6" w:rsidR="003111CA" w:rsidTr="00A44FB6" w14:paraId="3C6EDB5A" w14:textId="77777777">
        <w:trPr>
          <w:trHeight w:val="525"/>
          <w:jc w:val="center"/>
        </w:trPr>
        <w:tc>
          <w:tcPr>
            <w:tcW w:w="2505" w:type="dxa"/>
            <w:tcBorders>
              <w:top w:val="nil"/>
              <w:left w:val="single" w:color="auto" w:sz="6" w:space="0"/>
              <w:bottom w:val="single" w:color="auto" w:sz="6" w:space="0"/>
              <w:right w:val="single" w:color="auto" w:sz="6" w:space="0"/>
            </w:tcBorders>
            <w:vAlign w:val="center"/>
          </w:tcPr>
          <w:p w:rsidRPr="00F75CB6" w:rsidR="003111CA" w:rsidP="003111CA" w:rsidRDefault="003111CA" w14:paraId="2D1B13C5" w14:textId="4447A401">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tcPr>
          <w:p w:rsidRPr="00F75CB6" w:rsidR="003111CA" w:rsidP="003111CA" w:rsidRDefault="003111CA" w14:paraId="02D227D7" w14:textId="0B6B879E">
            <w:pPr>
              <w:rPr>
                <w:rFonts w:ascii="Palatino Linotype" w:hAnsi="Palatino Linotype"/>
                <w:sz w:val="24"/>
                <w:szCs w:val="24"/>
              </w:rPr>
            </w:pPr>
            <w:r w:rsidRPr="00F75CB6">
              <w:rPr>
                <w:rFonts w:ascii="Palatino Linotype" w:hAnsi="Palatino Linotype"/>
                <w:sz w:val="24"/>
                <w:szCs w:val="24"/>
              </w:rPr>
              <w:t>PURA II </w:t>
            </w:r>
          </w:p>
        </w:tc>
        <w:tc>
          <w:tcPr>
            <w:tcW w:w="2070" w:type="dxa"/>
            <w:tcBorders>
              <w:top w:val="nil"/>
              <w:left w:val="nil"/>
              <w:bottom w:val="single" w:color="auto" w:sz="6" w:space="0"/>
              <w:right w:val="single" w:color="auto" w:sz="6" w:space="0"/>
            </w:tcBorders>
            <w:vAlign w:val="center"/>
          </w:tcPr>
          <w:p w:rsidRPr="00F75CB6" w:rsidR="003111CA" w:rsidP="003111CA" w:rsidRDefault="00D64082" w14:paraId="534F0A38" w14:textId="59F0B6DB">
            <w:pPr>
              <w:jc w:val="right"/>
              <w:rPr>
                <w:rFonts w:ascii="Palatino Linotype" w:hAnsi="Palatino Linotype"/>
                <w:sz w:val="24"/>
                <w:szCs w:val="24"/>
              </w:rPr>
            </w:pPr>
            <w:r>
              <w:rPr>
                <w:rFonts w:ascii="Palatino Linotype" w:hAnsi="Palatino Linotype"/>
                <w:sz w:val="24"/>
                <w:szCs w:val="24"/>
              </w:rPr>
              <w:t>$142</w:t>
            </w:r>
            <w:r w:rsidR="00F34D93">
              <w:rPr>
                <w:rFonts w:ascii="Palatino Linotype" w:hAnsi="Palatino Linotype"/>
                <w:sz w:val="24"/>
                <w:szCs w:val="24"/>
              </w:rPr>
              <w:t>,30</w:t>
            </w:r>
            <w:r w:rsidR="00586635">
              <w:rPr>
                <w:rFonts w:ascii="Palatino Linotype" w:hAnsi="Palatino Linotype"/>
                <w:sz w:val="24"/>
                <w:szCs w:val="24"/>
              </w:rPr>
              <w:t>5</w:t>
            </w:r>
          </w:p>
        </w:tc>
        <w:tc>
          <w:tcPr>
            <w:tcW w:w="1350" w:type="dxa"/>
            <w:tcBorders>
              <w:top w:val="nil"/>
              <w:left w:val="nil"/>
              <w:bottom w:val="single" w:color="auto" w:sz="6" w:space="0"/>
              <w:right w:val="single" w:color="auto" w:sz="6" w:space="0"/>
            </w:tcBorders>
            <w:vAlign w:val="center"/>
          </w:tcPr>
          <w:p w:rsidRPr="00F75CB6" w:rsidR="003111CA" w:rsidP="003111CA" w:rsidRDefault="4F4C70CC" w14:paraId="1A47D925" w14:textId="4AEA0E73">
            <w:pPr>
              <w:jc w:val="right"/>
              <w:rPr>
                <w:rFonts w:ascii="Palatino Linotype" w:hAnsi="Palatino Linotype"/>
                <w:sz w:val="24"/>
                <w:szCs w:val="24"/>
              </w:rPr>
            </w:pPr>
            <w:r w:rsidRPr="0F1C0023">
              <w:rPr>
                <w:rFonts w:ascii="Palatino Linotype" w:hAnsi="Palatino Linotype"/>
                <w:sz w:val="24"/>
                <w:szCs w:val="24"/>
              </w:rPr>
              <w:t>37.5</w:t>
            </w:r>
            <w:r w:rsidRPr="0F1C0023" w:rsidR="0D6B750F">
              <w:rPr>
                <w:rFonts w:ascii="Palatino Linotype" w:hAnsi="Palatino Linotype"/>
                <w:sz w:val="24"/>
                <w:szCs w:val="24"/>
              </w:rPr>
              <w:t>%</w:t>
            </w:r>
          </w:p>
        </w:tc>
        <w:tc>
          <w:tcPr>
            <w:tcW w:w="1620" w:type="dxa"/>
            <w:tcBorders>
              <w:top w:val="nil"/>
              <w:left w:val="nil"/>
              <w:bottom w:val="single" w:color="auto" w:sz="6" w:space="0"/>
              <w:right w:val="single" w:color="auto" w:sz="6" w:space="0"/>
            </w:tcBorders>
            <w:vAlign w:val="center"/>
          </w:tcPr>
          <w:p w:rsidRPr="00F75CB6" w:rsidR="003111CA" w:rsidP="003111CA" w:rsidRDefault="00F34D93" w14:paraId="51621FE8" w14:textId="2CB4C046">
            <w:pPr>
              <w:jc w:val="right"/>
              <w:rPr>
                <w:rFonts w:ascii="Palatino Linotype" w:hAnsi="Palatino Linotype"/>
                <w:sz w:val="24"/>
                <w:szCs w:val="24"/>
              </w:rPr>
            </w:pPr>
            <w:r>
              <w:rPr>
                <w:rFonts w:ascii="Palatino Linotype" w:hAnsi="Palatino Linotype"/>
                <w:sz w:val="24"/>
                <w:szCs w:val="24"/>
              </w:rPr>
              <w:t>$</w:t>
            </w:r>
            <w:r w:rsidRPr="2C838BA6" w:rsidR="00CA6602">
              <w:rPr>
                <w:rFonts w:ascii="Palatino Linotype" w:hAnsi="Palatino Linotype"/>
                <w:sz w:val="24"/>
                <w:szCs w:val="24"/>
              </w:rPr>
              <w:t>5</w:t>
            </w:r>
            <w:r w:rsidRPr="2C838BA6" w:rsidR="54ECFD08">
              <w:rPr>
                <w:rFonts w:ascii="Palatino Linotype" w:hAnsi="Palatino Linotype"/>
                <w:sz w:val="24"/>
                <w:szCs w:val="24"/>
              </w:rPr>
              <w:t>3,</w:t>
            </w:r>
            <w:r w:rsidRPr="6F0D742F" w:rsidR="54ECFD08">
              <w:rPr>
                <w:rFonts w:ascii="Palatino Linotype" w:hAnsi="Palatino Linotype"/>
                <w:sz w:val="24"/>
                <w:szCs w:val="24"/>
              </w:rPr>
              <w:t>364</w:t>
            </w:r>
            <w:r w:rsidRPr="6F0D742F" w:rsidR="0079DCED">
              <w:rPr>
                <w:rFonts w:ascii="Palatino Linotype" w:hAnsi="Palatino Linotype"/>
                <w:sz w:val="24"/>
                <w:szCs w:val="24"/>
              </w:rPr>
              <w:t xml:space="preserve"> </w:t>
            </w:r>
          </w:p>
        </w:tc>
      </w:tr>
      <w:tr w:rsidRPr="00F75CB6" w:rsidR="00F75CB6" w:rsidTr="00A44FB6" w14:paraId="64B383D8"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1A8F685F" w14:textId="77777777">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0AA3B3A5" w14:textId="77777777">
            <w:pPr>
              <w:rPr>
                <w:rFonts w:ascii="Palatino Linotype" w:hAnsi="Palatino Linotype"/>
                <w:sz w:val="24"/>
                <w:szCs w:val="24"/>
              </w:rPr>
            </w:pPr>
            <w:r w:rsidRPr="00F75CB6">
              <w:rPr>
                <w:rFonts w:ascii="Palatino Linotype" w:hAnsi="Palatino Linotype"/>
                <w:sz w:val="24"/>
                <w:szCs w:val="24"/>
              </w:rPr>
              <w:t>PPS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452F7E15" w14:textId="55BE4480">
            <w:pPr>
              <w:jc w:val="right"/>
              <w:rPr>
                <w:rFonts w:ascii="Palatino Linotype" w:hAnsi="Palatino Linotype"/>
                <w:sz w:val="24"/>
                <w:szCs w:val="24"/>
              </w:rPr>
            </w:pPr>
            <w:r w:rsidRPr="00F75CB6">
              <w:rPr>
                <w:rFonts w:ascii="Palatino Linotype" w:hAnsi="Palatino Linotype"/>
                <w:sz w:val="24"/>
                <w:szCs w:val="24"/>
              </w:rPr>
              <w:t>$2</w:t>
            </w:r>
            <w:r w:rsidR="00C73914">
              <w:rPr>
                <w:rFonts w:ascii="Palatino Linotype" w:hAnsi="Palatino Linotype"/>
                <w:sz w:val="24"/>
                <w:szCs w:val="24"/>
              </w:rPr>
              <w:t>52,84</w:t>
            </w:r>
            <w:r w:rsidR="00C80E1F">
              <w:rPr>
                <w:rFonts w:ascii="Palatino Linotype" w:hAnsi="Palatino Linotype"/>
                <w:sz w:val="24"/>
                <w:szCs w:val="24"/>
              </w:rPr>
              <w:t>9</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4A04CDDC" w14:textId="77777777">
            <w:pPr>
              <w:jc w:val="right"/>
              <w:rPr>
                <w:rFonts w:ascii="Palatino Linotype" w:hAnsi="Palatino Linotype"/>
                <w:sz w:val="24"/>
                <w:szCs w:val="24"/>
              </w:rPr>
            </w:pPr>
            <w:r w:rsidRPr="00F75CB6">
              <w:rPr>
                <w:rFonts w:ascii="Palatino Linotype" w:hAnsi="Palatino Linotype"/>
                <w:sz w:val="24"/>
                <w:szCs w:val="24"/>
              </w:rPr>
              <w:t>15%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55A4FC8" w14:textId="70724078">
            <w:pPr>
              <w:jc w:val="right"/>
              <w:rPr>
                <w:rFonts w:ascii="Palatino Linotype" w:hAnsi="Palatino Linotype"/>
                <w:sz w:val="24"/>
                <w:szCs w:val="24"/>
              </w:rPr>
            </w:pPr>
            <w:r w:rsidRPr="00F75CB6">
              <w:rPr>
                <w:rFonts w:ascii="Palatino Linotype" w:hAnsi="Palatino Linotype"/>
                <w:sz w:val="24"/>
                <w:szCs w:val="24"/>
              </w:rPr>
              <w:t>$3</w:t>
            </w:r>
            <w:r w:rsidR="00B960C7">
              <w:rPr>
                <w:rFonts w:ascii="Palatino Linotype" w:hAnsi="Palatino Linotype"/>
                <w:sz w:val="24"/>
                <w:szCs w:val="24"/>
              </w:rPr>
              <w:t>7,927</w:t>
            </w:r>
            <w:r w:rsidRPr="00F75CB6">
              <w:rPr>
                <w:rFonts w:ascii="Palatino Linotype" w:hAnsi="Palatino Linotype"/>
                <w:sz w:val="24"/>
                <w:szCs w:val="24"/>
              </w:rPr>
              <w:t> </w:t>
            </w:r>
          </w:p>
        </w:tc>
      </w:tr>
      <w:tr w:rsidRPr="00F75CB6" w:rsidR="00F75CB6" w:rsidTr="00A44FB6" w14:paraId="5904BE40"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55D5EDA7" w14:textId="77777777">
            <w:pPr>
              <w:rPr>
                <w:rFonts w:ascii="Palatino Linotype" w:hAnsi="Palatino Linotype"/>
                <w:sz w:val="24"/>
                <w:szCs w:val="24"/>
              </w:rPr>
            </w:pPr>
            <w:r w:rsidRPr="00F75CB6">
              <w:rPr>
                <w:rFonts w:ascii="Palatino Linotype" w:hAnsi="Palatino Linotype"/>
                <w:sz w:val="24"/>
                <w:szCs w:val="24"/>
              </w:rPr>
              <w:t>Consumer Affairs Branch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0B0B06FF" w14:textId="24F00109">
            <w:pPr>
              <w:rPr>
                <w:rFonts w:ascii="Palatino Linotype" w:hAnsi="Palatino Linotype"/>
                <w:sz w:val="24"/>
                <w:szCs w:val="24"/>
              </w:rPr>
            </w:pPr>
            <w:r w:rsidRPr="00F75CB6">
              <w:rPr>
                <w:rFonts w:ascii="Palatino Linotype" w:hAnsi="Palatino Linotype"/>
                <w:sz w:val="24"/>
                <w:szCs w:val="24"/>
              </w:rPr>
              <w:t>PURA II</w:t>
            </w:r>
            <w:r w:rsidR="00B960C7">
              <w:rPr>
                <w:rFonts w:ascii="Palatino Linotype" w:hAnsi="Palatino Linotype"/>
                <w:sz w:val="24"/>
                <w:szCs w:val="24"/>
              </w:rPr>
              <w:t>I</w:t>
            </w:r>
            <w:r w:rsidRPr="00F75CB6">
              <w:rPr>
                <w:rFonts w:ascii="Palatino Linotype" w:hAnsi="Palatino Linotype"/>
                <w:sz w:val="24"/>
                <w:szCs w:val="24"/>
              </w:rPr>
              <w:t>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41182A9F" w14:textId="3E80ABA0">
            <w:pPr>
              <w:jc w:val="right"/>
              <w:rPr>
                <w:rFonts w:ascii="Palatino Linotype" w:hAnsi="Palatino Linotype"/>
                <w:sz w:val="24"/>
                <w:szCs w:val="24"/>
              </w:rPr>
            </w:pPr>
            <w:r w:rsidRPr="00F75CB6">
              <w:rPr>
                <w:rFonts w:ascii="Palatino Linotype" w:hAnsi="Palatino Linotype"/>
                <w:sz w:val="24"/>
                <w:szCs w:val="24"/>
              </w:rPr>
              <w:t>$1</w:t>
            </w:r>
            <w:r w:rsidR="00B11F36">
              <w:rPr>
                <w:rFonts w:ascii="Palatino Linotype" w:hAnsi="Palatino Linotype"/>
                <w:sz w:val="24"/>
                <w:szCs w:val="24"/>
              </w:rPr>
              <w:t>59,10</w:t>
            </w:r>
            <w:r w:rsidR="00C80E1F">
              <w:rPr>
                <w:rFonts w:ascii="Palatino Linotype" w:hAnsi="Palatino Linotype"/>
                <w:sz w:val="24"/>
                <w:szCs w:val="24"/>
              </w:rPr>
              <w:t>6</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5727E243" w14:textId="6C39C077">
            <w:pPr>
              <w:jc w:val="right"/>
              <w:rPr>
                <w:rFonts w:ascii="Palatino Linotype" w:hAnsi="Palatino Linotype"/>
                <w:sz w:val="24"/>
                <w:szCs w:val="24"/>
              </w:rPr>
            </w:pPr>
            <w:r w:rsidRPr="00F75CB6">
              <w:rPr>
                <w:rFonts w:ascii="Palatino Linotype" w:hAnsi="Palatino Linotype"/>
                <w:sz w:val="24"/>
                <w:szCs w:val="24"/>
              </w:rPr>
              <w:t>0.</w:t>
            </w:r>
            <w:r w:rsidRPr="59309DFB" w:rsidR="17EBCC39">
              <w:rPr>
                <w:rFonts w:ascii="Palatino Linotype" w:hAnsi="Palatino Linotype"/>
                <w:sz w:val="24"/>
                <w:szCs w:val="24"/>
              </w:rPr>
              <w:t>6</w:t>
            </w:r>
            <w:r w:rsidRPr="00F75CB6">
              <w:rPr>
                <w:rFonts w:ascii="Palatino Linotype" w:hAnsi="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0200FA3" w14:textId="58CF8E10">
            <w:pPr>
              <w:jc w:val="right"/>
              <w:rPr>
                <w:rFonts w:ascii="Palatino Linotype" w:hAnsi="Palatino Linotype"/>
                <w:sz w:val="24"/>
                <w:szCs w:val="24"/>
              </w:rPr>
            </w:pPr>
            <w:r w:rsidRPr="00F75CB6">
              <w:rPr>
                <w:rFonts w:ascii="Palatino Linotype" w:hAnsi="Palatino Linotype"/>
                <w:sz w:val="24"/>
                <w:szCs w:val="24"/>
              </w:rPr>
              <w:t>$</w:t>
            </w:r>
            <w:r w:rsidR="00B11F36">
              <w:rPr>
                <w:rFonts w:ascii="Palatino Linotype" w:hAnsi="Palatino Linotype"/>
                <w:sz w:val="24"/>
                <w:szCs w:val="24"/>
              </w:rPr>
              <w:t>95</w:t>
            </w:r>
            <w:r w:rsidR="00BB2DF9">
              <w:rPr>
                <w:rFonts w:ascii="Palatino Linotype" w:hAnsi="Palatino Linotype"/>
                <w:sz w:val="24"/>
                <w:szCs w:val="24"/>
              </w:rPr>
              <w:t>5</w:t>
            </w:r>
            <w:r w:rsidRPr="00F75CB6">
              <w:rPr>
                <w:rFonts w:ascii="Palatino Linotype" w:hAnsi="Palatino Linotype"/>
                <w:sz w:val="24"/>
                <w:szCs w:val="24"/>
              </w:rPr>
              <w:t> </w:t>
            </w:r>
          </w:p>
        </w:tc>
      </w:tr>
      <w:tr w:rsidRPr="00F75CB6" w:rsidR="00F75CB6" w:rsidTr="00A44FB6" w14:paraId="72477C21"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26037584" w14:textId="77777777">
            <w:pPr>
              <w:rPr>
                <w:rFonts w:ascii="Palatino Linotype" w:hAnsi="Palatino Linotype"/>
                <w:sz w:val="24"/>
                <w:szCs w:val="24"/>
              </w:rPr>
            </w:pPr>
            <w:r w:rsidRPr="00F75CB6">
              <w:rPr>
                <w:rFonts w:ascii="Palatino Linotype" w:hAnsi="Palatino Linotype"/>
                <w:sz w:val="24"/>
                <w:szCs w:val="24"/>
              </w:rPr>
              <w:t>Total Base Cost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6DC021BE" w14:textId="77777777">
            <w:pPr>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7EDB593A"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3FFAF2CB"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19411ECE" w14:textId="27CF5D62">
            <w:pPr>
              <w:jc w:val="right"/>
              <w:rPr>
                <w:rFonts w:ascii="Palatino Linotype" w:hAnsi="Palatino Linotype"/>
                <w:sz w:val="24"/>
                <w:szCs w:val="24"/>
              </w:rPr>
            </w:pPr>
            <w:r w:rsidRPr="00F75CB6">
              <w:rPr>
                <w:rFonts w:ascii="Palatino Linotype" w:hAnsi="Palatino Linotype"/>
                <w:sz w:val="24"/>
                <w:szCs w:val="24"/>
              </w:rPr>
              <w:t>$</w:t>
            </w:r>
            <w:r w:rsidRPr="2C838BA6" w:rsidR="00490D00">
              <w:rPr>
                <w:rFonts w:ascii="Palatino Linotype" w:hAnsi="Palatino Linotype"/>
                <w:sz w:val="24"/>
                <w:szCs w:val="24"/>
              </w:rPr>
              <w:t>21</w:t>
            </w:r>
            <w:r w:rsidRPr="2C838BA6" w:rsidR="33926FBA">
              <w:rPr>
                <w:rFonts w:ascii="Palatino Linotype" w:hAnsi="Palatino Linotype"/>
                <w:sz w:val="24"/>
                <w:szCs w:val="24"/>
              </w:rPr>
              <w:t xml:space="preserve">2,491 </w:t>
            </w:r>
            <w:r w:rsidRPr="00F75CB6">
              <w:rPr>
                <w:rFonts w:ascii="Palatino Linotype" w:hAnsi="Palatino Linotype"/>
                <w:sz w:val="24"/>
                <w:szCs w:val="24"/>
              </w:rPr>
              <w:t> </w:t>
            </w:r>
          </w:p>
        </w:tc>
      </w:tr>
      <w:tr w:rsidRPr="00F75CB6" w:rsidR="00F75CB6" w:rsidTr="00A44FB6" w14:paraId="33E4C72D" w14:textId="77777777">
        <w:trPr>
          <w:trHeight w:val="37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3B720024" w14:textId="77777777">
            <w:pPr>
              <w:rPr>
                <w:rFonts w:ascii="Palatino Linotype" w:hAnsi="Palatino Linotype"/>
                <w:sz w:val="24"/>
                <w:szCs w:val="24"/>
              </w:rPr>
            </w:pPr>
            <w:r w:rsidRPr="00F75CB6">
              <w:rPr>
                <w:rFonts w:ascii="Palatino Linotype" w:hAnsi="Palatino Linotype"/>
                <w:sz w:val="24"/>
                <w:szCs w:val="24"/>
              </w:rPr>
              <w:t>Base Cost Per CTA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1F7C2C30" w14:textId="2A4F6B5B">
            <w:pPr>
              <w:rPr>
                <w:rFonts w:ascii="Palatino Linotype" w:hAnsi="Palatino Linotype"/>
                <w:sz w:val="24"/>
                <w:szCs w:val="24"/>
              </w:rPr>
            </w:pPr>
            <w:r w:rsidRPr="00F75CB6">
              <w:rPr>
                <w:rFonts w:ascii="Palatino Linotype" w:hAnsi="Palatino Linotype"/>
                <w:sz w:val="24"/>
                <w:szCs w:val="24"/>
              </w:rPr>
              <w:t>3</w:t>
            </w:r>
            <w:r w:rsidR="002B373C">
              <w:rPr>
                <w:rFonts w:ascii="Palatino Linotype" w:hAnsi="Palatino Linotype"/>
                <w:sz w:val="24"/>
                <w:szCs w:val="24"/>
              </w:rPr>
              <w:t>9</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79B7EF5F"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206709B9"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2BECBB93" w14:textId="43D65B73">
            <w:pPr>
              <w:jc w:val="right"/>
              <w:rPr>
                <w:rFonts w:ascii="Palatino Linotype" w:hAnsi="Palatino Linotype"/>
                <w:sz w:val="24"/>
                <w:szCs w:val="24"/>
              </w:rPr>
            </w:pPr>
            <w:r w:rsidRPr="00F75CB6">
              <w:rPr>
                <w:rFonts w:ascii="Palatino Linotype" w:hAnsi="Palatino Linotype"/>
                <w:sz w:val="24"/>
                <w:szCs w:val="24"/>
              </w:rPr>
              <w:t>$5,</w:t>
            </w:r>
            <w:r w:rsidR="005D61CB">
              <w:rPr>
                <w:rFonts w:ascii="Palatino Linotype" w:hAnsi="Palatino Linotype"/>
                <w:sz w:val="24"/>
                <w:szCs w:val="24"/>
              </w:rPr>
              <w:t>449</w:t>
            </w:r>
            <w:r w:rsidRPr="00F75CB6">
              <w:rPr>
                <w:rFonts w:ascii="Palatino Linotype" w:hAnsi="Palatino Linotype"/>
                <w:sz w:val="24"/>
                <w:szCs w:val="24"/>
              </w:rPr>
              <w:t> </w:t>
            </w:r>
          </w:p>
        </w:tc>
      </w:tr>
    </w:tbl>
    <w:p w:rsidR="006641C5" w:rsidP="00ED4439" w:rsidRDefault="006641C5" w14:paraId="379455B7" w14:textId="603C7B5C">
      <w:pPr>
        <w:rPr>
          <w:rFonts w:ascii="Palatino Linotype" w:hAnsi="Palatino Linotype"/>
        </w:rPr>
      </w:pPr>
    </w:p>
    <w:p w:rsidR="00D80284" w:rsidP="00ED4439" w:rsidRDefault="003F0EA4" w14:paraId="4E2720A0" w14:textId="49781BC8">
      <w:pPr>
        <w:rPr>
          <w:rFonts w:ascii="Palatino Linotype" w:hAnsi="Palatino Linotype"/>
          <w:sz w:val="24"/>
          <w:szCs w:val="24"/>
        </w:rPr>
      </w:pPr>
      <w:r>
        <w:rPr>
          <w:rFonts w:ascii="Palatino Linotype" w:hAnsi="Palatino Linotype"/>
          <w:sz w:val="24"/>
          <w:szCs w:val="24"/>
        </w:rPr>
        <w:t>In 2023, Resolution G-3597</w:t>
      </w:r>
      <w:r w:rsidR="00F75CB6">
        <w:rPr>
          <w:rFonts w:ascii="Palatino Linotype" w:hAnsi="Palatino Linotype"/>
          <w:sz w:val="24"/>
          <w:szCs w:val="24"/>
        </w:rPr>
        <w:t xml:space="preserve"> </w:t>
      </w:r>
      <w:r w:rsidRPr="59309DFB" w:rsidR="00F75CB6">
        <w:rPr>
          <w:rFonts w:ascii="Palatino Linotype" w:hAnsi="Palatino Linotype"/>
          <w:sz w:val="24"/>
          <w:szCs w:val="24"/>
        </w:rPr>
        <w:t>set</w:t>
      </w:r>
      <w:r w:rsidR="00F75CB6">
        <w:rPr>
          <w:rFonts w:ascii="Palatino Linotype" w:hAnsi="Palatino Linotype"/>
          <w:sz w:val="24"/>
          <w:szCs w:val="24"/>
        </w:rPr>
        <w:t xml:space="preserve"> a Base Fee of $5,000 that will remain in place unless the </w:t>
      </w:r>
      <w:r w:rsidRPr="00441767" w:rsidR="004E203E">
        <w:rPr>
          <w:rFonts w:ascii="Palatino Linotype" w:hAnsi="Palatino Linotype"/>
          <w:i/>
          <w:iCs/>
          <w:sz w:val="24"/>
          <w:szCs w:val="24"/>
        </w:rPr>
        <w:t>CTA</w:t>
      </w:r>
      <w:r w:rsidRPr="00441767" w:rsidR="00F75CB6">
        <w:rPr>
          <w:rFonts w:ascii="Palatino Linotype" w:hAnsi="Palatino Linotype"/>
          <w:i/>
          <w:iCs/>
          <w:sz w:val="24"/>
          <w:szCs w:val="24"/>
        </w:rPr>
        <w:t xml:space="preserve"> </w:t>
      </w:r>
      <w:r w:rsidRPr="00441767" w:rsidR="001608D2">
        <w:rPr>
          <w:rFonts w:ascii="Palatino Linotype" w:hAnsi="Palatino Linotype"/>
          <w:i/>
          <w:iCs/>
          <w:sz w:val="24"/>
          <w:szCs w:val="24"/>
        </w:rPr>
        <w:t xml:space="preserve">Annual </w:t>
      </w:r>
      <w:r w:rsidRPr="00441767" w:rsidR="00F75CB6">
        <w:rPr>
          <w:rFonts w:ascii="Palatino Linotype" w:hAnsi="Palatino Linotype"/>
          <w:i/>
          <w:iCs/>
          <w:sz w:val="24"/>
          <w:szCs w:val="24"/>
        </w:rPr>
        <w:t>Report</w:t>
      </w:r>
      <w:r w:rsidR="00F75CB6">
        <w:rPr>
          <w:rFonts w:ascii="Palatino Linotype" w:hAnsi="Palatino Linotype"/>
          <w:sz w:val="24"/>
          <w:szCs w:val="24"/>
        </w:rPr>
        <w:t xml:space="preserve"> finds</w:t>
      </w:r>
      <w:r w:rsidR="0011618D">
        <w:rPr>
          <w:rFonts w:ascii="Palatino Linotype" w:hAnsi="Palatino Linotype"/>
          <w:sz w:val="24"/>
          <w:szCs w:val="24"/>
        </w:rPr>
        <w:t xml:space="preserve"> the</w:t>
      </w:r>
      <w:r w:rsidR="00F75CB6">
        <w:rPr>
          <w:rFonts w:ascii="Palatino Linotype" w:hAnsi="Palatino Linotype"/>
          <w:sz w:val="24"/>
          <w:szCs w:val="24"/>
        </w:rPr>
        <w:t xml:space="preserve"> actual </w:t>
      </w:r>
      <w:r w:rsidR="00153083">
        <w:rPr>
          <w:rFonts w:ascii="Palatino Linotype" w:hAnsi="Palatino Linotype"/>
          <w:sz w:val="24"/>
          <w:szCs w:val="24"/>
        </w:rPr>
        <w:t>Base C</w:t>
      </w:r>
      <w:r w:rsidR="00F75CB6">
        <w:rPr>
          <w:rFonts w:ascii="Palatino Linotype" w:hAnsi="Palatino Linotype"/>
          <w:sz w:val="24"/>
          <w:szCs w:val="24"/>
        </w:rPr>
        <w:t>osts of administering the program to be 20 percent higher or lower than $5,000 per CTA</w:t>
      </w:r>
      <w:r w:rsidR="007E2A14">
        <w:rPr>
          <w:rFonts w:ascii="Palatino Linotype" w:hAnsi="Palatino Linotype"/>
          <w:sz w:val="24"/>
          <w:szCs w:val="24"/>
        </w:rPr>
        <w:t xml:space="preserve">. </w:t>
      </w:r>
      <w:r w:rsidR="001A496E">
        <w:rPr>
          <w:rFonts w:ascii="Palatino Linotype" w:hAnsi="Palatino Linotype"/>
          <w:sz w:val="24"/>
          <w:szCs w:val="24"/>
        </w:rPr>
        <w:t>Establ</w:t>
      </w:r>
      <w:r w:rsidR="00134DA6">
        <w:rPr>
          <w:rFonts w:ascii="Palatino Linotype" w:hAnsi="Palatino Linotype"/>
          <w:sz w:val="24"/>
          <w:szCs w:val="24"/>
        </w:rPr>
        <w:t xml:space="preserve">ishing </w:t>
      </w:r>
      <w:r w:rsidRPr="001A496E" w:rsidR="001A496E">
        <w:rPr>
          <w:rFonts w:ascii="Palatino Linotype" w:hAnsi="Palatino Linotype"/>
          <w:sz w:val="24"/>
          <w:szCs w:val="24"/>
        </w:rPr>
        <w:t xml:space="preserve">a set Base Fee with a tolerance band makes CTA </w:t>
      </w:r>
      <w:r w:rsidRPr="001A496E" w:rsidR="001A496E">
        <w:rPr>
          <w:rFonts w:ascii="Palatino Linotype" w:hAnsi="Palatino Linotype"/>
          <w:sz w:val="24"/>
          <w:szCs w:val="24"/>
        </w:rPr>
        <w:lastRenderedPageBreak/>
        <w:t>fees more stable year-to-year while still providing the CPUC with the flexibility to respond to inflation or changes in personnel costs.</w:t>
      </w:r>
      <w:r w:rsidRPr="59309DFB" w:rsidR="001F797B">
        <w:rPr>
          <w:rFonts w:ascii="Palatino Linotype" w:hAnsi="Palatino Linotype"/>
          <w:sz w:val="24"/>
          <w:szCs w:val="24"/>
        </w:rPr>
        <w:t xml:space="preserve"> </w:t>
      </w:r>
    </w:p>
    <w:p w:rsidR="00D80284" w:rsidP="00ED4439" w:rsidRDefault="00D80284" w14:paraId="2E1EEC62" w14:textId="77777777">
      <w:pPr>
        <w:rPr>
          <w:rFonts w:ascii="Palatino Linotype" w:hAnsi="Palatino Linotype"/>
          <w:sz w:val="24"/>
          <w:szCs w:val="24"/>
        </w:rPr>
      </w:pPr>
    </w:p>
    <w:p w:rsidR="00F75CB6" w:rsidP="00ED2040" w:rsidRDefault="00FC5837" w14:paraId="0B5563B9" w14:textId="22AE6E89">
      <w:pPr>
        <w:rPr>
          <w:rFonts w:ascii="Palatino Linotype" w:hAnsi="Palatino Linotype"/>
        </w:rPr>
      </w:pPr>
      <w:r>
        <w:rPr>
          <w:rFonts w:ascii="Palatino Linotype" w:hAnsi="Palatino Linotype"/>
          <w:sz w:val="24"/>
          <w:szCs w:val="24"/>
        </w:rPr>
        <w:t xml:space="preserve">This </w:t>
      </w:r>
      <w:r w:rsidR="009C603E">
        <w:rPr>
          <w:rFonts w:ascii="Palatino Linotype" w:hAnsi="Palatino Linotype"/>
          <w:sz w:val="24"/>
          <w:szCs w:val="24"/>
        </w:rPr>
        <w:t>resolution</w:t>
      </w:r>
      <w:r>
        <w:rPr>
          <w:rFonts w:ascii="Palatino Linotype" w:hAnsi="Palatino Linotype"/>
          <w:sz w:val="24"/>
          <w:szCs w:val="24"/>
        </w:rPr>
        <w:t xml:space="preserve"> reaffirms the metho</w:t>
      </w:r>
      <w:r w:rsidR="00D52227">
        <w:rPr>
          <w:rFonts w:ascii="Palatino Linotype" w:hAnsi="Palatino Linotype"/>
          <w:sz w:val="24"/>
          <w:szCs w:val="24"/>
        </w:rPr>
        <w:t xml:space="preserve">dology established in G-3597. </w:t>
      </w:r>
      <w:r w:rsidR="00CD0B1B">
        <w:rPr>
          <w:rFonts w:ascii="Palatino Linotype" w:hAnsi="Palatino Linotype"/>
          <w:sz w:val="24"/>
          <w:szCs w:val="24"/>
        </w:rPr>
        <w:t>T</w:t>
      </w:r>
      <w:r w:rsidR="00195C1C">
        <w:rPr>
          <w:rFonts w:ascii="Palatino Linotype" w:hAnsi="Palatino Linotype"/>
          <w:sz w:val="24"/>
          <w:szCs w:val="24"/>
        </w:rPr>
        <w:t xml:space="preserve">he </w:t>
      </w:r>
      <w:r w:rsidR="002C3B46">
        <w:rPr>
          <w:rFonts w:ascii="Palatino Linotype" w:hAnsi="Palatino Linotype"/>
          <w:sz w:val="24"/>
          <w:szCs w:val="24"/>
        </w:rPr>
        <w:t xml:space="preserve">Base Costs per CTA are </w:t>
      </w:r>
      <w:r w:rsidR="00FF13FA">
        <w:rPr>
          <w:rFonts w:ascii="Palatino Linotype" w:hAnsi="Palatino Linotype"/>
          <w:sz w:val="24"/>
          <w:szCs w:val="24"/>
        </w:rPr>
        <w:br/>
      </w:r>
      <w:r w:rsidR="00A83044">
        <w:rPr>
          <w:rFonts w:ascii="Palatino Linotype" w:hAnsi="Palatino Linotype"/>
          <w:sz w:val="24"/>
          <w:szCs w:val="24"/>
        </w:rPr>
        <w:t>9</w:t>
      </w:r>
      <w:r w:rsidR="002C3B46">
        <w:rPr>
          <w:rFonts w:ascii="Palatino Linotype" w:hAnsi="Palatino Linotype"/>
          <w:sz w:val="24"/>
          <w:szCs w:val="24"/>
        </w:rPr>
        <w:t xml:space="preserve"> percent higher</w:t>
      </w:r>
      <w:r w:rsidR="006E2DB1">
        <w:rPr>
          <w:rFonts w:ascii="Palatino Linotype" w:hAnsi="Palatino Linotype"/>
          <w:sz w:val="24"/>
          <w:szCs w:val="24"/>
        </w:rPr>
        <w:t xml:space="preserve"> than $5,000 and thus within the 20 percent tolerance band.</w:t>
      </w:r>
      <w:r w:rsidR="00ED2040">
        <w:rPr>
          <w:rFonts w:ascii="Palatino Linotype" w:hAnsi="Palatino Linotype"/>
          <w:sz w:val="24"/>
          <w:szCs w:val="24"/>
        </w:rPr>
        <w:t xml:space="preserve"> Therefore, the Base Fee for 2026 remains $5,000. </w:t>
      </w:r>
      <w:r w:rsidR="00F75CB6">
        <w:rPr>
          <w:rFonts w:ascii="Palatino Linotype" w:hAnsi="Palatino Linotype"/>
          <w:sz w:val="24"/>
          <w:szCs w:val="24"/>
        </w:rPr>
        <w:t>If</w:t>
      </w:r>
      <w:r w:rsidDel="00ED2040" w:rsidR="00F75CB6">
        <w:rPr>
          <w:rFonts w:ascii="Palatino Linotype" w:hAnsi="Palatino Linotype"/>
          <w:sz w:val="24"/>
          <w:szCs w:val="24"/>
        </w:rPr>
        <w:t xml:space="preserve"> </w:t>
      </w:r>
      <w:r w:rsidR="00ED2040">
        <w:rPr>
          <w:rFonts w:ascii="Palatino Linotype" w:hAnsi="Palatino Linotype"/>
          <w:sz w:val="24"/>
          <w:szCs w:val="24"/>
        </w:rPr>
        <w:t xml:space="preserve">future </w:t>
      </w:r>
      <w:r w:rsidR="00DF4107">
        <w:rPr>
          <w:rFonts w:ascii="Palatino Linotype" w:hAnsi="Palatino Linotype"/>
          <w:sz w:val="24"/>
          <w:szCs w:val="24"/>
        </w:rPr>
        <w:t xml:space="preserve">Base </w:t>
      </w:r>
      <w:r w:rsidRPr="59309DFB" w:rsidR="00DF4107">
        <w:rPr>
          <w:rFonts w:ascii="Palatino Linotype" w:hAnsi="Palatino Linotype"/>
          <w:sz w:val="24"/>
          <w:szCs w:val="24"/>
        </w:rPr>
        <w:t>C</w:t>
      </w:r>
      <w:r w:rsidRPr="59309DFB" w:rsidR="00F75CB6">
        <w:rPr>
          <w:rFonts w:ascii="Palatino Linotype" w:hAnsi="Palatino Linotype"/>
          <w:sz w:val="24"/>
          <w:szCs w:val="24"/>
        </w:rPr>
        <w:t>osts</w:t>
      </w:r>
      <w:r w:rsidR="00F75CB6">
        <w:rPr>
          <w:rFonts w:ascii="Palatino Linotype" w:hAnsi="Palatino Linotype"/>
          <w:sz w:val="24"/>
          <w:szCs w:val="24"/>
        </w:rPr>
        <w:t xml:space="preserve"> are outside the 20 percent tolerance band, the CPUC will issue a new </w:t>
      </w:r>
      <w:r w:rsidRPr="59309DFB" w:rsidR="009C603E">
        <w:rPr>
          <w:rFonts w:ascii="Palatino Linotype" w:hAnsi="Palatino Linotype"/>
          <w:sz w:val="24"/>
          <w:szCs w:val="24"/>
        </w:rPr>
        <w:t>resolution</w:t>
      </w:r>
      <w:r w:rsidR="00F75CB6">
        <w:rPr>
          <w:rFonts w:ascii="Palatino Linotype" w:hAnsi="Palatino Linotype"/>
          <w:sz w:val="24"/>
          <w:szCs w:val="24"/>
        </w:rPr>
        <w:t xml:space="preserve"> updating the Base Fee.</w:t>
      </w:r>
    </w:p>
    <w:p w:rsidR="00F75CB6" w:rsidP="00ED4439" w:rsidRDefault="00F75CB6" w14:paraId="46A0FB01" w14:textId="77777777">
      <w:pPr>
        <w:rPr>
          <w:rFonts w:ascii="Palatino Linotype" w:hAnsi="Palatino Linotype"/>
        </w:rPr>
      </w:pPr>
    </w:p>
    <w:p w:rsidRPr="000E5C1C" w:rsidR="00EA401E" w:rsidP="004C70CB" w:rsidRDefault="00EA401E" w14:paraId="4FA8A149" w14:textId="12F2AE78">
      <w:pPr>
        <w:pStyle w:val="Heading2"/>
      </w:pPr>
      <w:bookmarkStart w:name="_Hlk102038097" w:id="2"/>
      <w:r w:rsidRPr="000E5C1C">
        <w:t xml:space="preserve">Variable </w:t>
      </w:r>
      <w:r w:rsidRPr="000E5C1C" w:rsidR="007E2A14">
        <w:t>Fee</w:t>
      </w:r>
    </w:p>
    <w:p w:rsidRPr="005C45A1" w:rsidR="00EA401E" w:rsidP="00EA401E" w:rsidRDefault="005C45A1" w14:paraId="134040FE" w14:textId="01F2CFD5">
      <w:pPr>
        <w:rPr>
          <w:rFonts w:ascii="Palatino Linotype" w:hAnsi="Palatino Linotype"/>
          <w:sz w:val="24"/>
          <w:szCs w:val="24"/>
        </w:rPr>
      </w:pPr>
      <w:r>
        <w:rPr>
          <w:rFonts w:ascii="Palatino Linotype" w:hAnsi="Palatino Linotype"/>
          <w:sz w:val="24"/>
          <w:szCs w:val="24"/>
        </w:rPr>
        <w:t>The Variable Fee covers the cost of responding to</w:t>
      </w:r>
      <w:r w:rsidR="00023F4F">
        <w:rPr>
          <w:rFonts w:ascii="Palatino Linotype" w:hAnsi="Palatino Linotype"/>
          <w:sz w:val="24"/>
          <w:szCs w:val="24"/>
        </w:rPr>
        <w:t xml:space="preserve"> and investigating</w:t>
      </w:r>
      <w:r>
        <w:rPr>
          <w:rFonts w:ascii="Palatino Linotype" w:hAnsi="Palatino Linotype"/>
          <w:sz w:val="24"/>
          <w:szCs w:val="24"/>
        </w:rPr>
        <w:t xml:space="preserve"> consumer complaints and pursuing enforcement actions</w:t>
      </w:r>
      <w:r w:rsidRPr="005C45A1" w:rsidR="00EA401E">
        <w:rPr>
          <w:rFonts w:ascii="Palatino Linotype" w:hAnsi="Palatino Linotype"/>
          <w:sz w:val="24"/>
          <w:szCs w:val="24"/>
        </w:rPr>
        <w:t>.</w:t>
      </w:r>
      <w:r w:rsidR="000E5C1C">
        <w:rPr>
          <w:rFonts w:ascii="Palatino Linotype" w:hAnsi="Palatino Linotype"/>
          <w:sz w:val="24"/>
          <w:szCs w:val="24"/>
        </w:rPr>
        <w:t xml:space="preserve"> One portion of the Variable Fee is driven by complaints received by CAB; the other is due to </w:t>
      </w:r>
      <w:r w:rsidR="00A06240">
        <w:rPr>
          <w:rFonts w:ascii="Palatino Linotype" w:hAnsi="Palatino Linotype"/>
          <w:sz w:val="24"/>
          <w:szCs w:val="24"/>
        </w:rPr>
        <w:t xml:space="preserve">review of </w:t>
      </w:r>
      <w:r w:rsidR="005D4D57">
        <w:rPr>
          <w:rFonts w:ascii="Palatino Linotype" w:hAnsi="Palatino Linotype"/>
          <w:sz w:val="24"/>
          <w:szCs w:val="24"/>
        </w:rPr>
        <w:t xml:space="preserve">complaints </w:t>
      </w:r>
      <w:r w:rsidR="00A06240">
        <w:rPr>
          <w:rFonts w:ascii="Palatino Linotype" w:hAnsi="Palatino Linotype"/>
          <w:sz w:val="24"/>
          <w:szCs w:val="24"/>
        </w:rPr>
        <w:t>alleg</w:t>
      </w:r>
      <w:r w:rsidR="005D4D57">
        <w:rPr>
          <w:rFonts w:ascii="Palatino Linotype" w:hAnsi="Palatino Linotype"/>
          <w:sz w:val="24"/>
          <w:szCs w:val="24"/>
        </w:rPr>
        <w:t>ing unauthorized enrollment</w:t>
      </w:r>
      <w:r w:rsidR="00DA0FDD">
        <w:rPr>
          <w:rFonts w:ascii="Palatino Linotype" w:hAnsi="Palatino Linotype"/>
          <w:sz w:val="24"/>
          <w:szCs w:val="24"/>
        </w:rPr>
        <w:t xml:space="preserve"> and</w:t>
      </w:r>
      <w:r w:rsidR="00A06240">
        <w:rPr>
          <w:rFonts w:ascii="Palatino Linotype" w:hAnsi="Palatino Linotype"/>
          <w:sz w:val="24"/>
          <w:szCs w:val="24"/>
        </w:rPr>
        <w:t xml:space="preserve"> </w:t>
      </w:r>
      <w:r w:rsidR="000E5C1C">
        <w:rPr>
          <w:rFonts w:ascii="Palatino Linotype" w:hAnsi="Palatino Linotype"/>
          <w:sz w:val="24"/>
          <w:szCs w:val="24"/>
        </w:rPr>
        <w:t>enforcement actions undertaken by UEB.</w:t>
      </w:r>
    </w:p>
    <w:p w:rsidR="00EA401E" w:rsidP="00EA401E" w:rsidRDefault="00EA401E" w14:paraId="230A1117" w14:textId="06147359">
      <w:pPr>
        <w:rPr>
          <w:rFonts w:ascii="Palatino Linotype" w:hAnsi="Palatino Linotype"/>
          <w:sz w:val="24"/>
          <w:szCs w:val="24"/>
        </w:rPr>
      </w:pPr>
    </w:p>
    <w:p w:rsidRPr="0056202A" w:rsidR="0056202A" w:rsidP="004C70CB" w:rsidRDefault="0056202A" w14:paraId="5999C378" w14:textId="7AECBDE3">
      <w:pPr>
        <w:pStyle w:val="Heading3"/>
        <w:rPr>
          <w:i w:val="0"/>
        </w:rPr>
      </w:pPr>
      <w:r w:rsidRPr="0056202A">
        <w:t>Variable Fee: CAB</w:t>
      </w:r>
    </w:p>
    <w:p w:rsidR="00FA19FF" w:rsidP="00D82657" w:rsidRDefault="00445CA1" w14:paraId="209A1743" w14:textId="5A3B8358">
      <w:pPr>
        <w:rPr>
          <w:sz w:val="24"/>
          <w:szCs w:val="24"/>
        </w:rPr>
      </w:pPr>
      <w:r w:rsidRPr="005C45A1">
        <w:rPr>
          <w:rFonts w:ascii="Palatino Linotype" w:hAnsi="Palatino Linotype"/>
          <w:sz w:val="24"/>
          <w:szCs w:val="24"/>
        </w:rPr>
        <w:t>During 202</w:t>
      </w:r>
      <w:r w:rsidR="0000151A">
        <w:rPr>
          <w:rFonts w:ascii="Palatino Linotype" w:hAnsi="Palatino Linotype"/>
          <w:sz w:val="24"/>
          <w:szCs w:val="24"/>
        </w:rPr>
        <w:t>5</w:t>
      </w:r>
      <w:r w:rsidRPr="005C45A1">
        <w:rPr>
          <w:rFonts w:ascii="Palatino Linotype" w:hAnsi="Palatino Linotype"/>
          <w:sz w:val="24"/>
          <w:szCs w:val="24"/>
        </w:rPr>
        <w:t xml:space="preserve">, CAB received a total </w:t>
      </w:r>
      <w:r w:rsidRPr="00B476DE" w:rsidR="00B476DE">
        <w:rPr>
          <w:rFonts w:ascii="Palatino Linotype" w:hAnsi="Palatino Linotype"/>
          <w:sz w:val="24"/>
          <w:szCs w:val="24"/>
        </w:rPr>
        <w:t xml:space="preserve">of </w:t>
      </w:r>
      <w:r w:rsidR="00497A19">
        <w:rPr>
          <w:rFonts w:ascii="Palatino Linotype" w:hAnsi="Palatino Linotype"/>
          <w:sz w:val="24"/>
          <w:szCs w:val="24"/>
        </w:rPr>
        <w:t>2</w:t>
      </w:r>
      <w:r w:rsidR="00E53C4F">
        <w:rPr>
          <w:rFonts w:ascii="Palatino Linotype" w:hAnsi="Palatino Linotype"/>
          <w:sz w:val="24"/>
          <w:szCs w:val="24"/>
        </w:rPr>
        <w:t>,</w:t>
      </w:r>
      <w:r w:rsidR="001F3616">
        <w:rPr>
          <w:rFonts w:ascii="Palatino Linotype" w:hAnsi="Palatino Linotype"/>
          <w:sz w:val="24"/>
          <w:szCs w:val="24"/>
        </w:rPr>
        <w:t>942</w:t>
      </w:r>
      <w:r w:rsidRPr="00B476DE" w:rsidR="00B476DE">
        <w:rPr>
          <w:rFonts w:ascii="Palatino Linotype" w:hAnsi="Palatino Linotype"/>
          <w:sz w:val="24"/>
          <w:szCs w:val="24"/>
        </w:rPr>
        <w:t xml:space="preserve"> CTA-related complaints, </w:t>
      </w:r>
      <w:r w:rsidR="00424AD7">
        <w:rPr>
          <w:rFonts w:ascii="Palatino Linotype" w:hAnsi="Palatino Linotype"/>
          <w:sz w:val="24"/>
          <w:szCs w:val="24"/>
        </w:rPr>
        <w:t>1</w:t>
      </w:r>
      <w:r w:rsidR="00E53C4F">
        <w:rPr>
          <w:rFonts w:ascii="Palatino Linotype" w:hAnsi="Palatino Linotype"/>
          <w:sz w:val="24"/>
          <w:szCs w:val="24"/>
        </w:rPr>
        <w:t>,</w:t>
      </w:r>
      <w:r w:rsidR="00424AD7">
        <w:rPr>
          <w:rFonts w:ascii="Palatino Linotype" w:hAnsi="Palatino Linotype"/>
          <w:sz w:val="24"/>
          <w:szCs w:val="24"/>
        </w:rPr>
        <w:t>2</w:t>
      </w:r>
      <w:r w:rsidR="00FB5641">
        <w:rPr>
          <w:rFonts w:ascii="Palatino Linotype" w:hAnsi="Palatino Linotype"/>
          <w:sz w:val="24"/>
          <w:szCs w:val="24"/>
        </w:rPr>
        <w:t>57</w:t>
      </w:r>
      <w:r w:rsidRPr="00B476DE" w:rsidR="00B476DE">
        <w:rPr>
          <w:rFonts w:ascii="Palatino Linotype" w:hAnsi="Palatino Linotype"/>
          <w:sz w:val="24"/>
          <w:szCs w:val="24"/>
        </w:rPr>
        <w:t xml:space="preserve"> </w:t>
      </w:r>
      <w:r w:rsidR="00FB5641">
        <w:rPr>
          <w:rFonts w:ascii="Palatino Linotype" w:hAnsi="Palatino Linotype"/>
          <w:sz w:val="24"/>
          <w:szCs w:val="24"/>
        </w:rPr>
        <w:t>more</w:t>
      </w:r>
      <w:r w:rsidRPr="00B476DE" w:rsidR="00B476DE">
        <w:rPr>
          <w:rFonts w:ascii="Palatino Linotype" w:hAnsi="Palatino Linotype"/>
          <w:sz w:val="24"/>
          <w:szCs w:val="24"/>
        </w:rPr>
        <w:t xml:space="preserve"> than in 202</w:t>
      </w:r>
      <w:r w:rsidR="00FB5641">
        <w:rPr>
          <w:rFonts w:ascii="Palatino Linotype" w:hAnsi="Palatino Linotype"/>
          <w:sz w:val="24"/>
          <w:szCs w:val="24"/>
        </w:rPr>
        <w:t>4</w:t>
      </w:r>
      <w:r w:rsidR="00B476DE">
        <w:rPr>
          <w:rFonts w:ascii="Palatino Linotype" w:hAnsi="Palatino Linotype"/>
          <w:sz w:val="24"/>
          <w:szCs w:val="24"/>
        </w:rPr>
        <w:t xml:space="preserve">. </w:t>
      </w:r>
      <w:r w:rsidRPr="005C45A1">
        <w:rPr>
          <w:rFonts w:ascii="Palatino Linotype" w:hAnsi="Palatino Linotype"/>
          <w:sz w:val="24"/>
          <w:szCs w:val="24"/>
        </w:rPr>
        <w:t xml:space="preserve">Of these, </w:t>
      </w:r>
      <w:r w:rsidR="00F26438">
        <w:rPr>
          <w:rFonts w:ascii="Palatino Linotype" w:hAnsi="Palatino Linotype"/>
          <w:sz w:val="24"/>
          <w:szCs w:val="24"/>
        </w:rPr>
        <w:t>2</w:t>
      </w:r>
      <w:r w:rsidR="008849D9">
        <w:rPr>
          <w:rFonts w:ascii="Palatino Linotype" w:hAnsi="Palatino Linotype"/>
          <w:sz w:val="24"/>
          <w:szCs w:val="24"/>
        </w:rPr>
        <w:t>,</w:t>
      </w:r>
      <w:r w:rsidR="00F26438">
        <w:rPr>
          <w:rFonts w:ascii="Palatino Linotype" w:hAnsi="Palatino Linotype"/>
          <w:sz w:val="24"/>
          <w:szCs w:val="24"/>
        </w:rPr>
        <w:t>067</w:t>
      </w:r>
      <w:r w:rsidRPr="00B476DE" w:rsidR="00B476DE">
        <w:rPr>
          <w:rFonts w:ascii="Palatino Linotype" w:hAnsi="Palatino Linotype"/>
          <w:sz w:val="24"/>
          <w:szCs w:val="24"/>
        </w:rPr>
        <w:t xml:space="preserve"> were received by phone</w:t>
      </w:r>
      <w:r w:rsidR="000E5C1C">
        <w:rPr>
          <w:rFonts w:ascii="Palatino Linotype" w:hAnsi="Palatino Linotype"/>
          <w:sz w:val="24"/>
          <w:szCs w:val="24"/>
        </w:rPr>
        <w:t xml:space="preserve"> and</w:t>
      </w:r>
      <w:r w:rsidRPr="00B476DE" w:rsidR="00B476DE">
        <w:rPr>
          <w:rFonts w:ascii="Palatino Linotype" w:hAnsi="Palatino Linotype"/>
          <w:sz w:val="24"/>
          <w:szCs w:val="24"/>
        </w:rPr>
        <w:t xml:space="preserve"> </w:t>
      </w:r>
      <w:r w:rsidR="00F26438">
        <w:rPr>
          <w:rFonts w:ascii="Palatino Linotype" w:hAnsi="Palatino Linotype"/>
          <w:sz w:val="24"/>
          <w:szCs w:val="24"/>
        </w:rPr>
        <w:t>875</w:t>
      </w:r>
      <w:r w:rsidRPr="00B476DE" w:rsidR="00B476DE">
        <w:rPr>
          <w:rFonts w:ascii="Palatino Linotype" w:hAnsi="Palatino Linotype"/>
          <w:sz w:val="24"/>
          <w:szCs w:val="24"/>
        </w:rPr>
        <w:t xml:space="preserve"> were informal written complaints</w:t>
      </w:r>
      <w:r w:rsidRPr="005C45A1">
        <w:rPr>
          <w:rFonts w:ascii="Palatino Linotype" w:hAnsi="Palatino Linotype"/>
          <w:sz w:val="24"/>
          <w:szCs w:val="24"/>
        </w:rPr>
        <w:t xml:space="preserve">. The cost of </w:t>
      </w:r>
      <w:r w:rsidR="00526278">
        <w:rPr>
          <w:rFonts w:ascii="Palatino Linotype" w:hAnsi="Palatino Linotype"/>
          <w:sz w:val="24"/>
          <w:szCs w:val="24"/>
        </w:rPr>
        <w:t xml:space="preserve">responding to </w:t>
      </w:r>
      <w:r w:rsidRPr="005C45A1">
        <w:rPr>
          <w:rFonts w:ascii="Palatino Linotype" w:hAnsi="Palatino Linotype"/>
          <w:sz w:val="24"/>
          <w:szCs w:val="24"/>
        </w:rPr>
        <w:t>a complaint varies based on the average time involved.</w:t>
      </w:r>
      <w:r w:rsidRPr="005C45A1" w:rsidR="006A2A4D">
        <w:rPr>
          <w:rFonts w:ascii="Palatino Linotype" w:hAnsi="Palatino Linotype"/>
          <w:sz w:val="24"/>
          <w:szCs w:val="24"/>
        </w:rPr>
        <w:t xml:space="preserve"> </w:t>
      </w:r>
      <w:r w:rsidRPr="005C45A1">
        <w:rPr>
          <w:rFonts w:ascii="Palatino Linotype" w:hAnsi="Palatino Linotype"/>
          <w:sz w:val="24"/>
          <w:szCs w:val="24"/>
        </w:rPr>
        <w:t xml:space="preserve">Phone contacts are incoming calls from consumers seeking assistance with a CTA-related issue. </w:t>
      </w:r>
      <w:bookmarkEnd w:id="2"/>
      <w:r w:rsidRPr="008A34DD" w:rsidR="00710277">
        <w:rPr>
          <w:rFonts w:ascii="Palatino Linotype" w:hAnsi="Palatino Linotype"/>
          <w:sz w:val="24"/>
          <w:szCs w:val="24"/>
        </w:rPr>
        <w:t>If the consumer is unable to resolve a problem with a CTA after receiving phone assistance, CAB encourages them to submit an informal written complaint.</w:t>
      </w:r>
      <w:r w:rsidR="006B0F72">
        <w:rPr>
          <w:rFonts w:ascii="Palatino Linotype" w:hAnsi="Palatino Linotype"/>
          <w:sz w:val="24"/>
          <w:szCs w:val="24"/>
        </w:rPr>
        <w:t xml:space="preserve"> A p</w:t>
      </w:r>
      <w:r w:rsidRPr="005C45A1" w:rsidR="006B0F72">
        <w:rPr>
          <w:rFonts w:ascii="Palatino Linotype" w:hAnsi="Palatino Linotype"/>
          <w:sz w:val="24"/>
          <w:szCs w:val="24"/>
        </w:rPr>
        <w:t xml:space="preserve">hone contact involves significantly less time to resolve than informal written </w:t>
      </w:r>
      <w:r w:rsidR="00C832C8">
        <w:rPr>
          <w:rFonts w:ascii="Palatino Linotype" w:hAnsi="Palatino Linotype"/>
          <w:sz w:val="24"/>
          <w:szCs w:val="24"/>
        </w:rPr>
        <w:t xml:space="preserve">complaints </w:t>
      </w:r>
      <w:r w:rsidRPr="005C45A1" w:rsidR="006B0F72">
        <w:rPr>
          <w:rFonts w:ascii="Palatino Linotype" w:hAnsi="Palatino Linotype"/>
          <w:sz w:val="24"/>
          <w:szCs w:val="24"/>
        </w:rPr>
        <w:t>(see Table 2 below).</w:t>
      </w:r>
    </w:p>
    <w:p w:rsidR="00FF13FA" w:rsidP="00D82657" w:rsidRDefault="00FF13FA" w14:paraId="7C2B8BFE" w14:textId="77777777">
      <w:pPr>
        <w:rPr>
          <w:sz w:val="24"/>
          <w:szCs w:val="24"/>
        </w:rPr>
      </w:pPr>
    </w:p>
    <w:p w:rsidRPr="00B476DE" w:rsidR="00B476DE" w:rsidP="00121159" w:rsidRDefault="00B476DE" w14:paraId="409B4307" w14:textId="1CDE971A">
      <w:pPr>
        <w:pStyle w:val="TableHead"/>
      </w:pPr>
      <w:r w:rsidRPr="00B476DE">
        <w:t xml:space="preserve">Table </w:t>
      </w:r>
      <w:r>
        <w:t>2</w:t>
      </w:r>
      <w:r w:rsidRPr="00B476DE">
        <w:t>: 202</w:t>
      </w:r>
      <w:r w:rsidR="00786A8B">
        <w:t>5</w:t>
      </w:r>
      <w:r w:rsidRPr="00B476DE">
        <w:t xml:space="preserve"> Variable Cost</w:t>
      </w:r>
      <w:r>
        <w:t>s</w:t>
      </w:r>
      <w:r w:rsidRPr="00B476DE">
        <w:t xml:space="preserve"> by Complaint Type: CAB</w:t>
      </w:r>
      <w:r w:rsidR="00582467">
        <w:rPr>
          <w:rStyle w:val="FootnoteReference"/>
        </w:rPr>
        <w:footnoteReference w:id="15"/>
      </w:r>
    </w:p>
    <w:tbl>
      <w:tblPr>
        <w:tblW w:w="92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0"/>
        <w:gridCol w:w="1290"/>
        <w:gridCol w:w="1365"/>
        <w:gridCol w:w="1080"/>
        <w:gridCol w:w="1575"/>
        <w:gridCol w:w="1395"/>
      </w:tblGrid>
      <w:tr w:rsidRPr="00B476DE" w:rsidR="00B476DE" w:rsidTr="00B476DE" w14:paraId="1B6946BD" w14:textId="77777777">
        <w:trPr>
          <w:trHeight w:val="585"/>
        </w:trPr>
        <w:tc>
          <w:tcPr>
            <w:tcW w:w="2550" w:type="dxa"/>
            <w:tcBorders>
              <w:top w:val="single" w:color="auto" w:sz="6" w:space="0"/>
              <w:left w:val="single" w:color="auto" w:sz="6" w:space="0"/>
              <w:bottom w:val="single" w:color="auto" w:sz="6" w:space="0"/>
              <w:right w:val="single" w:color="auto" w:sz="6" w:space="0"/>
            </w:tcBorders>
            <w:vAlign w:val="bottom"/>
            <w:hideMark/>
          </w:tcPr>
          <w:p w:rsidRPr="00B476DE" w:rsidR="00B476DE" w:rsidP="00B476DE" w:rsidRDefault="00B476DE" w14:paraId="4B47DDAF" w14:textId="77777777">
            <w:pPr>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290"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1F105D8A" w14:textId="680716B4">
            <w:pPr>
              <w:jc w:val="center"/>
              <w:rPr>
                <w:rFonts w:ascii="Palatino Linotype" w:hAnsi="Palatino Linotype"/>
                <w:sz w:val="24"/>
                <w:szCs w:val="24"/>
              </w:rPr>
            </w:pPr>
            <w:r w:rsidRPr="00B476DE">
              <w:rPr>
                <w:rFonts w:ascii="Palatino Linotype" w:hAnsi="Palatino Linotype"/>
                <w:sz w:val="24"/>
                <w:szCs w:val="24"/>
              </w:rPr>
              <w:t>Complaints by Type</w:t>
            </w:r>
          </w:p>
        </w:tc>
        <w:tc>
          <w:tcPr>
            <w:tcW w:w="136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51E13E3D" w14:textId="72FEEEAC">
            <w:pPr>
              <w:jc w:val="center"/>
              <w:rPr>
                <w:rFonts w:ascii="Palatino Linotype" w:hAnsi="Palatino Linotype"/>
                <w:sz w:val="24"/>
                <w:szCs w:val="24"/>
              </w:rPr>
            </w:pPr>
            <w:r w:rsidRPr="00B476DE">
              <w:rPr>
                <w:rFonts w:ascii="Palatino Linotype" w:hAnsi="Palatino Linotype"/>
                <w:sz w:val="24"/>
                <w:szCs w:val="24"/>
              </w:rPr>
              <w:t>Average Hours per Complaint</w:t>
            </w:r>
          </w:p>
        </w:tc>
        <w:tc>
          <w:tcPr>
            <w:tcW w:w="1080"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491D9276" w14:textId="39174348">
            <w:pPr>
              <w:jc w:val="center"/>
              <w:rPr>
                <w:rFonts w:ascii="Palatino Linotype" w:hAnsi="Palatino Linotype"/>
                <w:sz w:val="24"/>
                <w:szCs w:val="24"/>
              </w:rPr>
            </w:pPr>
            <w:r w:rsidRPr="00B476DE">
              <w:rPr>
                <w:rFonts w:ascii="Palatino Linotype" w:hAnsi="Palatino Linotype"/>
                <w:sz w:val="24"/>
                <w:szCs w:val="24"/>
              </w:rPr>
              <w:t>Median Cost per Hour</w:t>
            </w:r>
          </w:p>
        </w:tc>
        <w:tc>
          <w:tcPr>
            <w:tcW w:w="157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0E888CB7" w14:textId="4C7CF24E">
            <w:pPr>
              <w:jc w:val="center"/>
              <w:rPr>
                <w:rFonts w:ascii="Palatino Linotype" w:hAnsi="Palatino Linotype"/>
                <w:sz w:val="24"/>
                <w:szCs w:val="24"/>
              </w:rPr>
            </w:pPr>
            <w:r w:rsidRPr="00B476DE">
              <w:rPr>
                <w:rFonts w:ascii="Palatino Linotype" w:hAnsi="Palatino Linotype"/>
                <w:sz w:val="24"/>
                <w:szCs w:val="24"/>
              </w:rPr>
              <w:t>Cost Per Complaint</w:t>
            </w:r>
          </w:p>
        </w:tc>
        <w:tc>
          <w:tcPr>
            <w:tcW w:w="139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278B05C6" w14:textId="7068694F">
            <w:pPr>
              <w:jc w:val="center"/>
              <w:rPr>
                <w:rFonts w:ascii="Palatino Linotype" w:hAnsi="Palatino Linotype"/>
                <w:sz w:val="24"/>
                <w:szCs w:val="24"/>
              </w:rPr>
            </w:pPr>
            <w:r w:rsidRPr="00B476DE">
              <w:rPr>
                <w:rFonts w:ascii="Palatino Linotype" w:hAnsi="Palatino Linotype"/>
                <w:sz w:val="24"/>
                <w:szCs w:val="24"/>
              </w:rPr>
              <w:t>Total Cost</w:t>
            </w:r>
          </w:p>
        </w:tc>
      </w:tr>
      <w:tr w:rsidRPr="00B476DE" w:rsidR="00B476DE" w:rsidTr="00B476DE" w14:paraId="4BC08905"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30CB70EA" w14:textId="77777777">
            <w:pPr>
              <w:rPr>
                <w:rFonts w:ascii="Palatino Linotype" w:hAnsi="Palatino Linotype"/>
                <w:sz w:val="24"/>
                <w:szCs w:val="24"/>
              </w:rPr>
            </w:pPr>
            <w:r w:rsidRPr="00B476DE">
              <w:rPr>
                <w:rFonts w:ascii="Palatino Linotype" w:hAnsi="Palatino Linotype"/>
                <w:sz w:val="24"/>
                <w:szCs w:val="24"/>
              </w:rPr>
              <w:t>Phone Contacts </w:t>
            </w:r>
          </w:p>
        </w:tc>
        <w:tc>
          <w:tcPr>
            <w:tcW w:w="1290" w:type="dxa"/>
            <w:tcBorders>
              <w:top w:val="nil"/>
              <w:left w:val="nil"/>
              <w:bottom w:val="single" w:color="auto" w:sz="6" w:space="0"/>
              <w:right w:val="single" w:color="auto" w:sz="6" w:space="0"/>
            </w:tcBorders>
            <w:vAlign w:val="bottom"/>
            <w:hideMark/>
          </w:tcPr>
          <w:p w:rsidRPr="00B476DE" w:rsidR="00B476DE" w:rsidP="00B476DE" w:rsidRDefault="00C4280C" w14:paraId="07B799F4" w14:textId="66520278">
            <w:pPr>
              <w:jc w:val="right"/>
              <w:rPr>
                <w:rFonts w:ascii="Palatino Linotype" w:hAnsi="Palatino Linotype"/>
                <w:sz w:val="24"/>
                <w:szCs w:val="24"/>
              </w:rPr>
            </w:pPr>
            <w:r>
              <w:rPr>
                <w:rFonts w:ascii="Palatino Linotype" w:hAnsi="Palatino Linotype"/>
                <w:sz w:val="24"/>
                <w:szCs w:val="24"/>
              </w:rPr>
              <w:t>2</w:t>
            </w:r>
            <w:r w:rsidR="00C832C8">
              <w:rPr>
                <w:rFonts w:ascii="Palatino Linotype" w:hAnsi="Palatino Linotype"/>
                <w:sz w:val="24"/>
                <w:szCs w:val="24"/>
              </w:rPr>
              <w:t>,</w:t>
            </w:r>
            <w:r>
              <w:rPr>
                <w:rFonts w:ascii="Palatino Linotype" w:hAnsi="Palatino Linotype"/>
                <w:sz w:val="24"/>
                <w:szCs w:val="24"/>
              </w:rPr>
              <w:t>067</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shd w:val="clear" w:color="auto" w:fill="FFFFFF" w:themeFill="background1"/>
            <w:vAlign w:val="bottom"/>
            <w:hideMark/>
          </w:tcPr>
          <w:p w:rsidRPr="00B476DE" w:rsidR="00B476DE" w:rsidP="00B476DE" w:rsidRDefault="00B476DE" w14:paraId="2999CA0F" w14:textId="77777777">
            <w:pPr>
              <w:jc w:val="right"/>
              <w:rPr>
                <w:rFonts w:ascii="Palatino Linotype" w:hAnsi="Palatino Linotype"/>
                <w:sz w:val="24"/>
                <w:szCs w:val="24"/>
              </w:rPr>
            </w:pPr>
            <w:r w:rsidRPr="00B476DE">
              <w:rPr>
                <w:rFonts w:ascii="Palatino Linotype" w:hAnsi="Palatino Linotype"/>
                <w:sz w:val="24"/>
                <w:szCs w:val="24"/>
              </w:rPr>
              <w:t>0.11 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0BE95F91" w14:textId="1D397858">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3</w:t>
            </w:r>
            <w:r w:rsidRPr="00B476DE">
              <w:rPr>
                <w:rFonts w:ascii="Palatino Linotype" w:hAnsi="Palatino Linotype"/>
                <w:sz w:val="24"/>
                <w:szCs w:val="24"/>
              </w:rPr>
              <w:t>.</w:t>
            </w:r>
            <w:r w:rsidR="007140CF">
              <w:rPr>
                <w:rFonts w:ascii="Palatino Linotype" w:hAnsi="Palatino Linotype"/>
                <w:sz w:val="24"/>
                <w:szCs w:val="24"/>
              </w:rPr>
              <w:t>99</w:t>
            </w:r>
            <w:r w:rsidRPr="00B476DE">
              <w:rPr>
                <w:rFonts w:ascii="Palatino Linotype" w:hAnsi="Palatino Linotype"/>
                <w:sz w:val="24"/>
                <w:szCs w:val="24"/>
                <w:vertAlign w:val="superscript"/>
              </w:rPr>
              <w:footnoteReference w:id="16"/>
            </w:r>
            <w:r w:rsidRPr="00B476DE">
              <w:rPr>
                <w:rFonts w:ascii="Palatino Linotype" w:hAnsi="Palatino Linotype"/>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13040769" w14:textId="40CA833D">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94</w:t>
            </w:r>
            <w:r w:rsidRPr="00B476DE">
              <w:rPr>
                <w:rFonts w:ascii="Palatino Linotype" w:hAnsi="Palatino Linotype"/>
                <w:sz w:val="24"/>
                <w:szCs w:val="24"/>
              </w:rPr>
              <w:t>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1C9CF06F" w14:textId="78FC378A">
            <w:pPr>
              <w:jc w:val="right"/>
              <w:rPr>
                <w:rFonts w:ascii="Palatino Linotype" w:hAnsi="Palatino Linotype"/>
                <w:sz w:val="24"/>
                <w:szCs w:val="24"/>
              </w:rPr>
            </w:pPr>
            <w:r w:rsidRPr="00B476DE" w:rsidDel="00603946">
              <w:rPr>
                <w:rFonts w:ascii="Palatino Linotype" w:hAnsi="Palatino Linotype"/>
                <w:sz w:val="24"/>
                <w:szCs w:val="24"/>
              </w:rPr>
              <w:t>$</w:t>
            </w:r>
            <w:r w:rsidR="007140CF">
              <w:rPr>
                <w:rFonts w:ascii="Palatino Linotype" w:hAnsi="Palatino Linotype"/>
                <w:sz w:val="24"/>
                <w:szCs w:val="24"/>
              </w:rPr>
              <w:t>1</w:t>
            </w:r>
            <w:r w:rsidRPr="00B476DE" w:rsidDel="00603946">
              <w:rPr>
                <w:rFonts w:ascii="Palatino Linotype" w:hAnsi="Palatino Linotype"/>
                <w:sz w:val="24"/>
                <w:szCs w:val="24"/>
              </w:rPr>
              <w:t>2,</w:t>
            </w:r>
            <w:r w:rsidR="00200C80">
              <w:rPr>
                <w:rFonts w:ascii="Palatino Linotype" w:hAnsi="Palatino Linotype"/>
                <w:sz w:val="24"/>
                <w:szCs w:val="24"/>
              </w:rPr>
              <w:t>2</w:t>
            </w:r>
            <w:r w:rsidRPr="00B476DE">
              <w:rPr>
                <w:rFonts w:ascii="Palatino Linotype" w:hAnsi="Palatino Linotype"/>
                <w:sz w:val="24"/>
                <w:szCs w:val="24"/>
              </w:rPr>
              <w:t>7</w:t>
            </w:r>
            <w:r w:rsidR="00BB2DF9">
              <w:rPr>
                <w:rFonts w:ascii="Palatino Linotype" w:hAnsi="Palatino Linotype"/>
                <w:sz w:val="24"/>
                <w:szCs w:val="24"/>
              </w:rPr>
              <w:t>7</w:t>
            </w:r>
          </w:p>
        </w:tc>
      </w:tr>
      <w:tr w:rsidRPr="00B476DE" w:rsidR="00B476DE" w:rsidTr="00B476DE" w14:paraId="512775EA"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34557596" w14:textId="77777777">
            <w:pPr>
              <w:rPr>
                <w:rFonts w:ascii="Palatino Linotype" w:hAnsi="Palatino Linotype"/>
                <w:sz w:val="24"/>
                <w:szCs w:val="24"/>
              </w:rPr>
            </w:pPr>
            <w:r w:rsidRPr="00B476DE">
              <w:rPr>
                <w:rFonts w:ascii="Palatino Linotype" w:hAnsi="Palatino Linotype"/>
                <w:sz w:val="24"/>
                <w:szCs w:val="24"/>
              </w:rPr>
              <w:t>Informal Written Complaints </w:t>
            </w:r>
          </w:p>
        </w:tc>
        <w:tc>
          <w:tcPr>
            <w:tcW w:w="1290" w:type="dxa"/>
            <w:tcBorders>
              <w:top w:val="nil"/>
              <w:left w:val="nil"/>
              <w:bottom w:val="single" w:color="auto" w:sz="6" w:space="0"/>
              <w:right w:val="single" w:color="auto" w:sz="6" w:space="0"/>
            </w:tcBorders>
            <w:vAlign w:val="bottom"/>
            <w:hideMark/>
          </w:tcPr>
          <w:p w:rsidRPr="00B476DE" w:rsidR="00B476DE" w:rsidP="00B476DE" w:rsidRDefault="00C4280C" w14:paraId="4D8CBD21" w14:textId="529BA803">
            <w:pPr>
              <w:jc w:val="right"/>
              <w:rPr>
                <w:rFonts w:ascii="Palatino Linotype" w:hAnsi="Palatino Linotype"/>
                <w:sz w:val="24"/>
                <w:szCs w:val="24"/>
              </w:rPr>
            </w:pPr>
            <w:r>
              <w:rPr>
                <w:rFonts w:ascii="Palatino Linotype" w:hAnsi="Palatino Linotype"/>
                <w:sz w:val="24"/>
                <w:szCs w:val="24"/>
              </w:rPr>
              <w:t>875</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vAlign w:val="bottom"/>
            <w:hideMark/>
          </w:tcPr>
          <w:p w:rsidRPr="00B476DE" w:rsidR="00B476DE" w:rsidP="00B476DE" w:rsidRDefault="00B476DE" w14:paraId="2B407953" w14:textId="77777777">
            <w:pPr>
              <w:jc w:val="right"/>
              <w:rPr>
                <w:rFonts w:ascii="Palatino Linotype" w:hAnsi="Palatino Linotype"/>
                <w:sz w:val="24"/>
                <w:szCs w:val="24"/>
              </w:rPr>
            </w:pPr>
            <w:r w:rsidRPr="00B476DE">
              <w:rPr>
                <w:rFonts w:ascii="Palatino Linotype" w:hAnsi="Palatino Linotype"/>
                <w:sz w:val="24"/>
                <w:szCs w:val="24"/>
              </w:rPr>
              <w:t>3.51 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637B32ED" w14:textId="05E57326">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3</w:t>
            </w:r>
            <w:r w:rsidRPr="00B476DE">
              <w:rPr>
                <w:rFonts w:ascii="Palatino Linotype" w:hAnsi="Palatino Linotype"/>
                <w:sz w:val="24"/>
                <w:szCs w:val="24"/>
              </w:rPr>
              <w:t>.</w:t>
            </w:r>
            <w:r w:rsidR="007140CF">
              <w:rPr>
                <w:rFonts w:ascii="Palatino Linotype" w:hAnsi="Palatino Linotype"/>
                <w:sz w:val="24"/>
                <w:szCs w:val="24"/>
              </w:rPr>
              <w:t>99</w:t>
            </w:r>
            <w:r w:rsidRPr="00B476DE">
              <w:rPr>
                <w:rFonts w:ascii="Palatino Linotype" w:hAnsi="Palatino Linotype"/>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085D9CC5" w14:textId="7E8DC670">
            <w:pPr>
              <w:jc w:val="right"/>
              <w:rPr>
                <w:rFonts w:ascii="Palatino Linotype" w:hAnsi="Palatino Linotype"/>
                <w:sz w:val="24"/>
                <w:szCs w:val="24"/>
              </w:rPr>
            </w:pPr>
            <w:r w:rsidRPr="00B476DE">
              <w:rPr>
                <w:rFonts w:ascii="Palatino Linotype" w:hAnsi="Palatino Linotype"/>
                <w:sz w:val="24"/>
                <w:szCs w:val="24"/>
              </w:rPr>
              <w:t>$1</w:t>
            </w:r>
            <w:r w:rsidR="007140CF">
              <w:rPr>
                <w:rFonts w:ascii="Palatino Linotype" w:hAnsi="Palatino Linotype"/>
                <w:sz w:val="24"/>
                <w:szCs w:val="24"/>
              </w:rPr>
              <w:t>8</w:t>
            </w:r>
            <w:r w:rsidRPr="00B476DE">
              <w:rPr>
                <w:rFonts w:ascii="Palatino Linotype" w:hAnsi="Palatino Linotype"/>
                <w:sz w:val="24"/>
                <w:szCs w:val="24"/>
              </w:rPr>
              <w:t>9.</w:t>
            </w:r>
            <w:r w:rsidR="007140CF">
              <w:rPr>
                <w:rFonts w:ascii="Palatino Linotype" w:hAnsi="Palatino Linotype"/>
                <w:sz w:val="24"/>
                <w:szCs w:val="24"/>
              </w:rPr>
              <w:t>5</w:t>
            </w:r>
            <w:r w:rsidRPr="00B476DE">
              <w:rPr>
                <w:rFonts w:ascii="Palatino Linotype" w:hAnsi="Palatino Linotype"/>
                <w:sz w:val="24"/>
                <w:szCs w:val="24"/>
              </w:rPr>
              <w:t>2 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0A53EFE9" w14:textId="1B0F2BB5">
            <w:pPr>
              <w:jc w:val="right"/>
              <w:rPr>
                <w:rFonts w:ascii="Palatino Linotype" w:hAnsi="Palatino Linotype"/>
                <w:sz w:val="24"/>
                <w:szCs w:val="24"/>
              </w:rPr>
            </w:pPr>
            <w:r w:rsidRPr="00B476DE">
              <w:rPr>
                <w:rFonts w:ascii="Palatino Linotype" w:hAnsi="Palatino Linotype"/>
                <w:sz w:val="24"/>
                <w:szCs w:val="24"/>
              </w:rPr>
              <w:t xml:space="preserve">           $</w:t>
            </w:r>
            <w:r w:rsidR="00200C80">
              <w:rPr>
                <w:rFonts w:ascii="Palatino Linotype" w:hAnsi="Palatino Linotype"/>
                <w:sz w:val="24"/>
                <w:szCs w:val="24"/>
              </w:rPr>
              <w:t>16</w:t>
            </w:r>
            <w:r w:rsidRPr="00B476DE">
              <w:rPr>
                <w:rFonts w:ascii="Palatino Linotype" w:hAnsi="Palatino Linotype"/>
                <w:sz w:val="24"/>
                <w:szCs w:val="24"/>
              </w:rPr>
              <w:t>5,</w:t>
            </w:r>
            <w:r w:rsidR="00200C80">
              <w:rPr>
                <w:rFonts w:ascii="Palatino Linotype" w:hAnsi="Palatino Linotype"/>
                <w:sz w:val="24"/>
                <w:szCs w:val="24"/>
              </w:rPr>
              <w:t>830</w:t>
            </w:r>
            <w:r w:rsidRPr="00B476DE">
              <w:rPr>
                <w:rFonts w:ascii="Palatino Linotype" w:hAnsi="Palatino Linotype"/>
                <w:sz w:val="24"/>
                <w:szCs w:val="24"/>
              </w:rPr>
              <w:t xml:space="preserve"> </w:t>
            </w:r>
          </w:p>
        </w:tc>
      </w:tr>
      <w:tr w:rsidRPr="00B476DE" w:rsidR="00B476DE" w:rsidTr="00B476DE" w14:paraId="7F211865"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71E37BA7" w14:textId="77777777">
            <w:pPr>
              <w:rPr>
                <w:rFonts w:ascii="Palatino Linotype" w:hAnsi="Palatino Linotype"/>
                <w:sz w:val="24"/>
                <w:szCs w:val="24"/>
              </w:rPr>
            </w:pPr>
            <w:r w:rsidRPr="00B476DE">
              <w:rPr>
                <w:rFonts w:ascii="Palatino Linotype" w:hAnsi="Palatino Linotype"/>
                <w:sz w:val="24"/>
                <w:szCs w:val="24"/>
              </w:rPr>
              <w:t>Total </w:t>
            </w:r>
          </w:p>
        </w:tc>
        <w:tc>
          <w:tcPr>
            <w:tcW w:w="1290" w:type="dxa"/>
            <w:tcBorders>
              <w:top w:val="nil"/>
              <w:left w:val="nil"/>
              <w:bottom w:val="single" w:color="auto" w:sz="6" w:space="0"/>
              <w:right w:val="single" w:color="auto" w:sz="6" w:space="0"/>
            </w:tcBorders>
            <w:vAlign w:val="bottom"/>
            <w:hideMark/>
          </w:tcPr>
          <w:p w:rsidRPr="00B476DE" w:rsidR="00B476DE" w:rsidP="00B476DE" w:rsidRDefault="00006566" w14:paraId="3F0BBA37" w14:textId="4ADCD85B">
            <w:pPr>
              <w:jc w:val="right"/>
              <w:rPr>
                <w:rFonts w:ascii="Palatino Linotype" w:hAnsi="Palatino Linotype"/>
                <w:sz w:val="24"/>
                <w:szCs w:val="24"/>
              </w:rPr>
            </w:pPr>
            <w:r>
              <w:rPr>
                <w:rFonts w:ascii="Palatino Linotype" w:hAnsi="Palatino Linotype"/>
                <w:sz w:val="24"/>
                <w:szCs w:val="24"/>
              </w:rPr>
              <w:t>2</w:t>
            </w:r>
            <w:r w:rsidR="00C832C8">
              <w:rPr>
                <w:rFonts w:ascii="Palatino Linotype" w:hAnsi="Palatino Linotype"/>
                <w:sz w:val="24"/>
                <w:szCs w:val="24"/>
              </w:rPr>
              <w:t>,</w:t>
            </w:r>
            <w:r>
              <w:rPr>
                <w:rFonts w:ascii="Palatino Linotype" w:hAnsi="Palatino Linotype"/>
                <w:sz w:val="24"/>
                <w:szCs w:val="24"/>
              </w:rPr>
              <w:t>942</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vAlign w:val="bottom"/>
            <w:hideMark/>
          </w:tcPr>
          <w:p w:rsidRPr="00B476DE" w:rsidR="00B476DE" w:rsidP="00B476DE" w:rsidRDefault="00B476DE" w14:paraId="3FF3B642"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03A3D97F"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3FDB969B"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662D9E5C" w14:textId="2BA304FE">
            <w:pPr>
              <w:jc w:val="right"/>
              <w:rPr>
                <w:rFonts w:ascii="Palatino Linotype" w:hAnsi="Palatino Linotype"/>
                <w:sz w:val="24"/>
                <w:szCs w:val="24"/>
              </w:rPr>
            </w:pPr>
            <w:r w:rsidRPr="00B476DE">
              <w:rPr>
                <w:rFonts w:ascii="Palatino Linotype" w:hAnsi="Palatino Linotype"/>
                <w:sz w:val="24"/>
                <w:szCs w:val="24"/>
              </w:rPr>
              <w:t>$</w:t>
            </w:r>
            <w:r w:rsidR="00200C80">
              <w:rPr>
                <w:rFonts w:ascii="Palatino Linotype" w:hAnsi="Palatino Linotype"/>
                <w:sz w:val="24"/>
                <w:szCs w:val="24"/>
              </w:rPr>
              <w:t>17</w:t>
            </w:r>
            <w:r w:rsidRPr="00B476DE">
              <w:rPr>
                <w:rFonts w:ascii="Palatino Linotype" w:hAnsi="Palatino Linotype"/>
                <w:sz w:val="24"/>
                <w:szCs w:val="24"/>
              </w:rPr>
              <w:t>8,</w:t>
            </w:r>
            <w:r w:rsidR="00006566">
              <w:rPr>
                <w:rFonts w:ascii="Palatino Linotype" w:hAnsi="Palatino Linotype"/>
                <w:sz w:val="24"/>
                <w:szCs w:val="24"/>
              </w:rPr>
              <w:t>10</w:t>
            </w:r>
            <w:r w:rsidR="00D14E4C">
              <w:rPr>
                <w:rFonts w:ascii="Palatino Linotype" w:hAnsi="Palatino Linotype"/>
                <w:sz w:val="24"/>
                <w:szCs w:val="24"/>
              </w:rPr>
              <w:t>7</w:t>
            </w:r>
          </w:p>
        </w:tc>
      </w:tr>
    </w:tbl>
    <w:p w:rsidRPr="005C45A1" w:rsidR="00B476DE" w:rsidP="00D82657" w:rsidRDefault="00B476DE" w14:paraId="33BCFC55" w14:textId="77777777">
      <w:pPr>
        <w:rPr>
          <w:sz w:val="24"/>
          <w:szCs w:val="24"/>
        </w:rPr>
      </w:pPr>
    </w:p>
    <w:p w:rsidRPr="000E5C1C" w:rsidR="000E5C1C" w:rsidP="000E5C1C" w:rsidRDefault="000E5C1C" w14:paraId="6E88C0F4" w14:textId="32A76FDF">
      <w:pPr>
        <w:rPr>
          <w:rFonts w:ascii="Palatino Linotype" w:hAnsi="Palatino Linotype"/>
          <w:sz w:val="24"/>
          <w:szCs w:val="24"/>
        </w:rPr>
      </w:pPr>
      <w:r w:rsidRPr="000E5C1C">
        <w:rPr>
          <w:rFonts w:ascii="Palatino Linotype" w:hAnsi="Palatino Linotype"/>
          <w:sz w:val="24"/>
          <w:szCs w:val="24"/>
        </w:rPr>
        <w:t>The methodology for determining the CAB portion of the Variable Fee to be applied to an individual CTA is calculated as follows:</w:t>
      </w:r>
    </w:p>
    <w:p w:rsidRPr="000E5C1C" w:rsidR="000E5C1C" w:rsidP="000E5C1C" w:rsidRDefault="000E5C1C" w14:paraId="0F5F4C93" w14:textId="77777777">
      <w:pPr>
        <w:jc w:val="both"/>
        <w:rPr>
          <w:rFonts w:ascii="Palatino Linotype" w:hAnsi="Palatino Linotype"/>
          <w:sz w:val="24"/>
          <w:szCs w:val="24"/>
        </w:rPr>
      </w:pPr>
    </w:p>
    <w:p w:rsidRPr="000E5C1C" w:rsidR="000E5C1C" w:rsidP="000E5C1C" w:rsidRDefault="000E5C1C" w14:paraId="560967A9" w14:textId="77777777">
      <w:pPr>
        <w:jc w:val="both"/>
        <w:rPr>
          <w:rFonts w:ascii="Palatino Linotype" w:hAnsi="Palatino Linotype"/>
          <w:sz w:val="24"/>
          <w:szCs w:val="24"/>
        </w:rPr>
      </w:pPr>
      <w:r w:rsidRPr="000E5C1C">
        <w:rPr>
          <w:rFonts w:ascii="Palatino Linotype" w:hAnsi="Palatino Linotype"/>
          <w:sz w:val="24"/>
          <w:szCs w:val="24"/>
        </w:rPr>
        <w:t>CAB Variable Cost:</w:t>
      </w:r>
    </w:p>
    <w:p w:rsidRPr="000E5C1C" w:rsidR="000E5C1C" w:rsidP="00002671" w:rsidRDefault="000E5C1C" w14:paraId="41DAAA71" w14:textId="77777777">
      <w:pPr>
        <w:pStyle w:val="ListParagraph"/>
        <w:numPr>
          <w:ilvl w:val="0"/>
          <w:numId w:val="6"/>
        </w:numPr>
        <w:jc w:val="both"/>
        <w:rPr>
          <w:rFonts w:ascii="Palatino Linotype" w:hAnsi="Palatino Linotype"/>
          <w:sz w:val="24"/>
          <w:szCs w:val="24"/>
        </w:rPr>
      </w:pPr>
      <w:r w:rsidRPr="000E5C1C">
        <w:rPr>
          <w:rFonts w:ascii="Palatino Linotype" w:hAnsi="Palatino Linotype"/>
          <w:sz w:val="24"/>
          <w:szCs w:val="24"/>
        </w:rPr>
        <w:t>Cost per phone contact multiplied by the CTA’s number of phone contacts; plus,</w:t>
      </w:r>
    </w:p>
    <w:p w:rsidRPr="000E5C1C" w:rsidR="000E5C1C" w:rsidP="00002671" w:rsidRDefault="000E5C1C" w14:paraId="7CC9880A" w14:textId="22E97F5B">
      <w:pPr>
        <w:pStyle w:val="ListParagraph"/>
        <w:numPr>
          <w:ilvl w:val="0"/>
          <w:numId w:val="6"/>
        </w:numPr>
        <w:jc w:val="both"/>
        <w:rPr>
          <w:rFonts w:ascii="Palatino Linotype" w:hAnsi="Palatino Linotype"/>
          <w:sz w:val="24"/>
          <w:szCs w:val="24"/>
        </w:rPr>
      </w:pPr>
      <w:r w:rsidRPr="000E5C1C">
        <w:rPr>
          <w:rFonts w:ascii="Palatino Linotype" w:hAnsi="Palatino Linotype"/>
          <w:sz w:val="24"/>
          <w:szCs w:val="24"/>
        </w:rPr>
        <w:t>Cost per informal written complaint multiplied by the CTA’s number of informal written complaints.</w:t>
      </w:r>
    </w:p>
    <w:p w:rsidR="000E5C1C" w:rsidP="000E5C1C" w:rsidRDefault="000E5C1C" w14:paraId="72C78811" w14:textId="0D403BCC">
      <w:pPr>
        <w:jc w:val="both"/>
        <w:rPr>
          <w:rFonts w:ascii="Palatino Linotype" w:hAnsi="Palatino Linotype"/>
        </w:rPr>
      </w:pPr>
    </w:p>
    <w:p w:rsidRPr="00B6670A" w:rsidR="00D655BD" w:rsidP="00D655BD" w:rsidRDefault="00D655BD" w14:paraId="06DAED5D" w14:textId="3AEA82C0">
      <w:pPr>
        <w:jc w:val="both"/>
        <w:rPr>
          <w:rFonts w:ascii="Palatino Linotype" w:hAnsi="Palatino Linotype"/>
          <w:sz w:val="24"/>
          <w:szCs w:val="24"/>
        </w:rPr>
      </w:pPr>
      <w:r w:rsidRPr="00B6670A">
        <w:rPr>
          <w:rFonts w:ascii="Palatino Linotype" w:hAnsi="Palatino Linotype"/>
          <w:sz w:val="24"/>
          <w:szCs w:val="24"/>
        </w:rPr>
        <w:t>For the 202</w:t>
      </w:r>
      <w:r w:rsidRPr="00B6670A" w:rsidR="00CF3DBD">
        <w:rPr>
          <w:rFonts w:ascii="Palatino Linotype" w:hAnsi="Palatino Linotype"/>
          <w:sz w:val="24"/>
          <w:szCs w:val="24"/>
        </w:rPr>
        <w:t>6</w:t>
      </w:r>
      <w:r w:rsidRPr="00B6670A">
        <w:rPr>
          <w:rFonts w:ascii="Palatino Linotype" w:hAnsi="Palatino Linotype"/>
          <w:sz w:val="24"/>
          <w:szCs w:val="24"/>
        </w:rPr>
        <w:t xml:space="preserve"> fee, the cost per Phone Contact is $5.</w:t>
      </w:r>
      <w:r w:rsidRPr="00B6670A" w:rsidR="00CF3DBD">
        <w:rPr>
          <w:rFonts w:ascii="Palatino Linotype" w:hAnsi="Palatino Linotype"/>
          <w:sz w:val="24"/>
          <w:szCs w:val="24"/>
        </w:rPr>
        <w:t>94</w:t>
      </w:r>
      <w:r w:rsidRPr="00B6670A">
        <w:rPr>
          <w:rFonts w:ascii="Palatino Linotype" w:hAnsi="Palatino Linotype"/>
          <w:sz w:val="24"/>
          <w:szCs w:val="24"/>
        </w:rPr>
        <w:t xml:space="preserve"> and the cost per Informal Written Complaint is $1</w:t>
      </w:r>
      <w:r w:rsidRPr="00B6670A" w:rsidR="00CF3DBD">
        <w:rPr>
          <w:rFonts w:ascii="Palatino Linotype" w:hAnsi="Palatino Linotype"/>
          <w:sz w:val="24"/>
          <w:szCs w:val="24"/>
        </w:rPr>
        <w:t>8</w:t>
      </w:r>
      <w:r w:rsidRPr="00B6670A">
        <w:rPr>
          <w:rFonts w:ascii="Palatino Linotype" w:hAnsi="Palatino Linotype"/>
          <w:sz w:val="24"/>
          <w:szCs w:val="24"/>
        </w:rPr>
        <w:t>9.</w:t>
      </w:r>
      <w:r w:rsidRPr="00B6670A" w:rsidR="00CF3DBD">
        <w:rPr>
          <w:rFonts w:ascii="Palatino Linotype" w:hAnsi="Palatino Linotype"/>
          <w:sz w:val="24"/>
          <w:szCs w:val="24"/>
        </w:rPr>
        <w:t>5</w:t>
      </w:r>
      <w:r w:rsidRPr="00B6670A">
        <w:rPr>
          <w:rFonts w:ascii="Palatino Linotype" w:hAnsi="Palatino Linotype"/>
          <w:sz w:val="24"/>
          <w:szCs w:val="24"/>
        </w:rPr>
        <w:t>2</w:t>
      </w:r>
    </w:p>
    <w:p w:rsidR="00D655BD" w:rsidP="000E5C1C" w:rsidRDefault="00D655BD" w14:paraId="27D20E58" w14:textId="77777777">
      <w:pPr>
        <w:jc w:val="both"/>
        <w:rPr>
          <w:rFonts w:ascii="Palatino Linotype" w:hAnsi="Palatino Linotype"/>
        </w:rPr>
      </w:pPr>
    </w:p>
    <w:p w:rsidRPr="0056202A" w:rsidR="000E5C1C" w:rsidP="00121159" w:rsidRDefault="000E5C1C" w14:paraId="7442C764" w14:textId="43EE9443">
      <w:pPr>
        <w:pStyle w:val="Heading3"/>
      </w:pPr>
      <w:r w:rsidRPr="0056202A">
        <w:t>Variable Fee: UEB</w:t>
      </w:r>
    </w:p>
    <w:p w:rsidR="002C469B" w:rsidP="000E5C1C" w:rsidRDefault="000E5C1C" w14:paraId="12B9625D" w14:textId="4F3E8440">
      <w:pPr>
        <w:pStyle w:val="standard"/>
        <w:spacing w:line="276" w:lineRule="auto"/>
        <w:ind w:firstLine="0"/>
      </w:pPr>
      <w:r w:rsidRPr="000E5C1C">
        <w:rPr>
          <w:rFonts w:ascii="Palatino Linotype" w:hAnsi="Palatino Linotype"/>
          <w:sz w:val="24"/>
          <w:szCs w:val="24"/>
        </w:rPr>
        <w:t xml:space="preserve">The second factor in the Variable Fee is the cost of the investigations and </w:t>
      </w:r>
      <w:r w:rsidR="00841DB7">
        <w:rPr>
          <w:rFonts w:ascii="Palatino Linotype" w:hAnsi="Palatino Linotype"/>
          <w:sz w:val="24"/>
          <w:szCs w:val="24"/>
        </w:rPr>
        <w:t xml:space="preserve">enforcement actions </w:t>
      </w:r>
      <w:r w:rsidRPr="000E5C1C">
        <w:rPr>
          <w:rFonts w:ascii="Palatino Linotype" w:hAnsi="Palatino Linotype"/>
          <w:sz w:val="24"/>
          <w:szCs w:val="24"/>
        </w:rPr>
        <w:t>program</w:t>
      </w:r>
      <w:r w:rsidR="004F41E8">
        <w:rPr>
          <w:rFonts w:ascii="Palatino Linotype" w:hAnsi="Palatino Linotype"/>
          <w:sz w:val="24"/>
          <w:szCs w:val="24"/>
        </w:rPr>
        <w:t>s</w:t>
      </w:r>
      <w:r w:rsidRPr="000E5C1C">
        <w:rPr>
          <w:rFonts w:ascii="Palatino Linotype" w:hAnsi="Palatino Linotype"/>
          <w:sz w:val="24"/>
          <w:szCs w:val="24"/>
        </w:rPr>
        <w:t xml:space="preserve"> conducted by the Utility Enforcement Branch. UEB staff are responsible for investigating unauthorized enrollment complaints</w:t>
      </w:r>
      <w:r w:rsidR="008F2525">
        <w:rPr>
          <w:rFonts w:ascii="Palatino Linotype" w:hAnsi="Palatino Linotype"/>
          <w:sz w:val="24"/>
          <w:szCs w:val="24"/>
        </w:rPr>
        <w:t xml:space="preserve"> </w:t>
      </w:r>
      <w:r w:rsidRPr="008F2525" w:rsidR="008F2525">
        <w:rPr>
          <w:rFonts w:ascii="Palatino Linotype" w:hAnsi="Palatino Linotype"/>
          <w:sz w:val="24"/>
          <w:szCs w:val="24"/>
        </w:rPr>
        <w:t xml:space="preserve">and identifying trends in complaints </w:t>
      </w:r>
      <w:r w:rsidRPr="000E5C1C">
        <w:rPr>
          <w:rFonts w:ascii="Palatino Linotype" w:hAnsi="Palatino Linotype"/>
          <w:sz w:val="24"/>
          <w:szCs w:val="24"/>
        </w:rPr>
        <w:t>pursuant to Resolution UEB-003</w:t>
      </w:r>
      <w:r w:rsidR="005509D3">
        <w:rPr>
          <w:rFonts w:ascii="Palatino Linotype" w:hAnsi="Palatino Linotype"/>
          <w:sz w:val="24"/>
          <w:szCs w:val="24"/>
        </w:rPr>
        <w:t>;</w:t>
      </w:r>
      <w:r w:rsidRPr="000E5C1C">
        <w:rPr>
          <w:rFonts w:ascii="Palatino Linotype" w:hAnsi="Palatino Linotype"/>
          <w:sz w:val="24"/>
          <w:szCs w:val="24"/>
          <w:vertAlign w:val="superscript"/>
        </w:rPr>
        <w:footnoteReference w:id="17"/>
      </w:r>
      <w:r w:rsidRPr="000E5C1C">
        <w:rPr>
          <w:rFonts w:ascii="Palatino Linotype" w:hAnsi="Palatino Linotype"/>
          <w:sz w:val="24"/>
          <w:szCs w:val="24"/>
        </w:rPr>
        <w:t xml:space="preserve"> issuing citations,</w:t>
      </w:r>
      <w:r w:rsidR="00FC0B68">
        <w:rPr>
          <w:rFonts w:ascii="Palatino Linotype" w:hAnsi="Palatino Linotype"/>
          <w:sz w:val="24"/>
          <w:szCs w:val="24"/>
        </w:rPr>
        <w:t xml:space="preserve"> warnings</w:t>
      </w:r>
      <w:r w:rsidR="005509D3">
        <w:rPr>
          <w:rFonts w:ascii="Palatino Linotype" w:hAnsi="Palatino Linotype"/>
          <w:sz w:val="24"/>
          <w:szCs w:val="24"/>
        </w:rPr>
        <w:t>,</w:t>
      </w:r>
      <w:r w:rsidR="00FC0B68">
        <w:rPr>
          <w:rFonts w:ascii="Palatino Linotype" w:hAnsi="Palatino Linotype"/>
          <w:sz w:val="24"/>
          <w:szCs w:val="24"/>
        </w:rPr>
        <w:t xml:space="preserve"> and other enforcement actions</w:t>
      </w:r>
      <w:r w:rsidR="005509D3">
        <w:rPr>
          <w:rFonts w:ascii="Palatino Linotype" w:hAnsi="Palatino Linotype"/>
          <w:sz w:val="24"/>
          <w:szCs w:val="24"/>
        </w:rPr>
        <w:t>;</w:t>
      </w:r>
      <w:r w:rsidRPr="000E5C1C">
        <w:rPr>
          <w:rFonts w:ascii="Palatino Linotype" w:hAnsi="Palatino Linotype"/>
          <w:sz w:val="24"/>
          <w:szCs w:val="24"/>
        </w:rPr>
        <w:t xml:space="preserve"> and collecting fines. </w:t>
      </w:r>
      <w:r w:rsidRPr="00A2753A" w:rsidR="00A2753A">
        <w:rPr>
          <w:rFonts w:ascii="Palatino Linotype" w:hAnsi="Palatino Linotype"/>
          <w:sz w:val="24"/>
          <w:szCs w:val="24"/>
        </w:rPr>
        <w:t>To calculate total UEB cost, staff use the median salary and benefits for each position multiplied by the percentage of time each person spent on CTA-related investigations in the preceding year.</w:t>
      </w:r>
      <w:r w:rsidR="00A2753A">
        <w:rPr>
          <w:rFonts w:ascii="Palatino Linotype" w:hAnsi="Palatino Linotype"/>
          <w:sz w:val="24"/>
          <w:szCs w:val="24"/>
        </w:rPr>
        <w:t xml:space="preserve"> </w:t>
      </w:r>
      <w:r w:rsidRPr="0001267B" w:rsidR="0001267B">
        <w:rPr>
          <w:rFonts w:ascii="Palatino Linotype" w:hAnsi="Palatino Linotype"/>
          <w:sz w:val="24"/>
          <w:szCs w:val="24"/>
        </w:rPr>
        <w:t>In 202</w:t>
      </w:r>
      <w:r w:rsidR="00624FFE">
        <w:rPr>
          <w:rFonts w:ascii="Palatino Linotype" w:hAnsi="Palatino Linotype"/>
          <w:sz w:val="24"/>
          <w:szCs w:val="24"/>
        </w:rPr>
        <w:t>5</w:t>
      </w:r>
      <w:r w:rsidRPr="0001267B" w:rsidR="0001267B">
        <w:rPr>
          <w:rFonts w:ascii="Palatino Linotype" w:hAnsi="Palatino Linotype"/>
          <w:sz w:val="24"/>
          <w:szCs w:val="24"/>
        </w:rPr>
        <w:t>, staff time increased due to an increase in the number of CTA-related citations.</w:t>
      </w:r>
      <w:r w:rsidRPr="0001267B" w:rsidDel="00113166" w:rsidR="0001267B">
        <w:rPr>
          <w:rFonts w:ascii="Palatino Linotype" w:hAnsi="Palatino Linotype"/>
          <w:sz w:val="24"/>
          <w:szCs w:val="24"/>
        </w:rPr>
        <w:t xml:space="preserve"> </w:t>
      </w:r>
      <w:r w:rsidRPr="0001267B" w:rsidR="0001267B">
        <w:rPr>
          <w:rFonts w:ascii="Palatino Linotype" w:hAnsi="Palatino Linotype"/>
          <w:sz w:val="24"/>
          <w:szCs w:val="24"/>
        </w:rPr>
        <w:t>UEB’s CTA-related costs for 202</w:t>
      </w:r>
      <w:r w:rsidR="00624FFE">
        <w:rPr>
          <w:rFonts w:ascii="Palatino Linotype" w:hAnsi="Palatino Linotype"/>
          <w:sz w:val="24"/>
          <w:szCs w:val="24"/>
        </w:rPr>
        <w:t>5</w:t>
      </w:r>
      <w:r w:rsidRPr="0001267B" w:rsidR="0001267B">
        <w:rPr>
          <w:rFonts w:ascii="Palatino Linotype" w:hAnsi="Palatino Linotype"/>
          <w:sz w:val="24"/>
          <w:szCs w:val="24"/>
        </w:rPr>
        <w:t xml:space="preserve"> totaled $</w:t>
      </w:r>
      <w:r w:rsidR="00DE3F0A">
        <w:rPr>
          <w:rFonts w:ascii="Palatino Linotype" w:hAnsi="Palatino Linotype"/>
          <w:sz w:val="24"/>
          <w:szCs w:val="24"/>
        </w:rPr>
        <w:t>604,639</w:t>
      </w:r>
      <w:r w:rsidRPr="0001267B" w:rsidR="0001267B">
        <w:rPr>
          <w:rFonts w:ascii="Palatino Linotype" w:hAnsi="Palatino Linotype"/>
          <w:sz w:val="24"/>
          <w:szCs w:val="24"/>
          <w:vertAlign w:val="superscript"/>
        </w:rPr>
        <w:footnoteReference w:id="18"/>
      </w:r>
      <w:r w:rsidRPr="0001267B" w:rsidR="0001267B">
        <w:rPr>
          <w:rFonts w:ascii="Palatino Linotype" w:hAnsi="Palatino Linotype"/>
          <w:sz w:val="24"/>
          <w:szCs w:val="24"/>
        </w:rPr>
        <w:t xml:space="preserve"> an increase of $</w:t>
      </w:r>
      <w:r w:rsidR="00B7502E">
        <w:rPr>
          <w:rFonts w:ascii="Palatino Linotype" w:hAnsi="Palatino Linotype"/>
          <w:sz w:val="24"/>
          <w:szCs w:val="24"/>
        </w:rPr>
        <w:t>18</w:t>
      </w:r>
      <w:r w:rsidR="003E2493">
        <w:rPr>
          <w:rFonts w:ascii="Palatino Linotype" w:hAnsi="Palatino Linotype"/>
          <w:sz w:val="24"/>
          <w:szCs w:val="24"/>
        </w:rPr>
        <w:t>,27</w:t>
      </w:r>
      <w:r w:rsidR="005501FE">
        <w:rPr>
          <w:rFonts w:ascii="Palatino Linotype" w:hAnsi="Palatino Linotype"/>
          <w:sz w:val="24"/>
          <w:szCs w:val="24"/>
        </w:rPr>
        <w:t>1</w:t>
      </w:r>
      <w:r w:rsidRPr="0001267B" w:rsidR="0001267B">
        <w:rPr>
          <w:rFonts w:ascii="Palatino Linotype" w:hAnsi="Palatino Linotype"/>
          <w:sz w:val="24"/>
          <w:szCs w:val="24"/>
        </w:rPr>
        <w:t xml:space="preserve"> compared to 202</w:t>
      </w:r>
      <w:r w:rsidR="003514E1">
        <w:rPr>
          <w:rFonts w:ascii="Palatino Linotype" w:hAnsi="Palatino Linotype"/>
          <w:sz w:val="24"/>
          <w:szCs w:val="24"/>
        </w:rPr>
        <w:t>4</w:t>
      </w:r>
      <w:r w:rsidRPr="0001267B" w:rsidR="0001267B">
        <w:rPr>
          <w:rFonts w:ascii="Palatino Linotype" w:hAnsi="Palatino Linotype"/>
          <w:sz w:val="24"/>
          <w:szCs w:val="24"/>
        </w:rPr>
        <w:t xml:space="preserve"> (see Table </w:t>
      </w:r>
      <w:r w:rsidR="001B3B6B">
        <w:rPr>
          <w:rFonts w:ascii="Palatino Linotype" w:hAnsi="Palatino Linotype"/>
          <w:sz w:val="24"/>
          <w:szCs w:val="24"/>
        </w:rPr>
        <w:t>3</w:t>
      </w:r>
      <w:r w:rsidRPr="0001267B" w:rsidR="0001267B">
        <w:rPr>
          <w:rFonts w:ascii="Palatino Linotype" w:hAnsi="Palatino Linotype"/>
          <w:sz w:val="24"/>
          <w:szCs w:val="24"/>
        </w:rPr>
        <w:t xml:space="preserve"> below). </w:t>
      </w:r>
      <w:r w:rsidRPr="000E5C1C">
        <w:rPr>
          <w:rFonts w:ascii="Palatino Linotype" w:hAnsi="Palatino Linotype"/>
          <w:sz w:val="24"/>
          <w:szCs w:val="24"/>
        </w:rPr>
        <w:t> </w:t>
      </w:r>
      <w:r w:rsidRPr="000E5C1C">
        <w:t xml:space="preserve">  </w:t>
      </w:r>
      <w:r w:rsidR="008C6E05">
        <w:tab/>
      </w:r>
    </w:p>
    <w:p w:rsidR="00480116" w:rsidRDefault="00480116" w14:paraId="74F9B022" w14:textId="1F82CDEB">
      <w:pPr>
        <w:rPr>
          <w:rFonts w:ascii="Palatino Linotype" w:hAnsi="Palatino Linotype" w:cs="Calibri"/>
          <w:b/>
          <w:color w:val="0E101A"/>
          <w:sz w:val="24"/>
          <w:szCs w:val="24"/>
        </w:rPr>
      </w:pPr>
    </w:p>
    <w:p w:rsidRPr="00CC0113" w:rsidR="008C6E05" w:rsidDel="000B4752" w:rsidP="00121159" w:rsidRDefault="008C6E05" w14:paraId="700E48E6" w14:textId="465639F1">
      <w:pPr>
        <w:pStyle w:val="TableHead"/>
      </w:pPr>
      <w:r w:rsidRPr="00CC0113">
        <w:t>Table 3: Variable Costs: UEB</w:t>
      </w:r>
    </w:p>
    <w:tbl>
      <w:tblPr>
        <w:tblW w:w="8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2790"/>
        <w:gridCol w:w="2070"/>
        <w:gridCol w:w="1620"/>
      </w:tblGrid>
      <w:tr w:rsidRPr="00135603" w:rsidR="00B14CF8" w:rsidTr="00B14CF8" w14:paraId="152DDEA8" w14:textId="77777777">
        <w:trPr>
          <w:trHeight w:val="894"/>
        </w:trPr>
        <w:tc>
          <w:tcPr>
            <w:tcW w:w="2332" w:type="dxa"/>
            <w:tcBorders>
              <w:top w:val="single" w:color="auto" w:sz="6" w:space="0"/>
              <w:left w:val="single" w:color="auto" w:sz="6" w:space="0"/>
              <w:bottom w:val="single" w:color="auto" w:sz="6" w:space="0"/>
              <w:right w:val="single" w:color="auto" w:sz="6" w:space="0"/>
            </w:tcBorders>
            <w:vAlign w:val="center"/>
            <w:hideMark/>
          </w:tcPr>
          <w:p w:rsidRPr="000A604E" w:rsidR="00B14CF8" w:rsidRDefault="00B14CF8" w14:paraId="10382CB9"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Position</w:t>
            </w:r>
          </w:p>
        </w:tc>
        <w:tc>
          <w:tcPr>
            <w:tcW w:w="2790" w:type="dxa"/>
            <w:tcBorders>
              <w:top w:val="single" w:color="auto" w:sz="6" w:space="0"/>
              <w:left w:val="nil"/>
              <w:bottom w:val="single" w:color="auto" w:sz="6" w:space="0"/>
              <w:right w:val="single" w:color="auto" w:sz="6" w:space="0"/>
            </w:tcBorders>
            <w:vAlign w:val="center"/>
            <w:hideMark/>
          </w:tcPr>
          <w:p w:rsidRPr="000A604E" w:rsidR="00B14CF8" w:rsidRDefault="00B14CF8" w14:paraId="5618745F"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Median Annual Salary + Benefits</w:t>
            </w:r>
          </w:p>
        </w:tc>
        <w:tc>
          <w:tcPr>
            <w:tcW w:w="2070" w:type="dxa"/>
            <w:tcBorders>
              <w:top w:val="single" w:color="auto" w:sz="6" w:space="0"/>
              <w:left w:val="nil"/>
              <w:bottom w:val="single" w:color="auto" w:sz="6" w:space="0"/>
              <w:right w:val="single" w:color="auto" w:sz="6" w:space="0"/>
            </w:tcBorders>
            <w:vAlign w:val="center"/>
            <w:hideMark/>
          </w:tcPr>
          <w:p w:rsidRPr="000A604E" w:rsidR="00B14CF8" w:rsidRDefault="00B14CF8" w14:paraId="03353F13"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 Time on CTAs</w:t>
            </w:r>
          </w:p>
        </w:tc>
        <w:tc>
          <w:tcPr>
            <w:tcW w:w="1620" w:type="dxa"/>
            <w:tcBorders>
              <w:top w:val="single" w:color="auto" w:sz="6" w:space="0"/>
              <w:left w:val="nil"/>
              <w:bottom w:val="single" w:color="auto" w:sz="6" w:space="0"/>
              <w:right w:val="single" w:color="auto" w:sz="6" w:space="0"/>
            </w:tcBorders>
            <w:vAlign w:val="center"/>
            <w:hideMark/>
          </w:tcPr>
          <w:p w:rsidRPr="000A604E" w:rsidR="00B14CF8" w:rsidRDefault="00B14CF8" w14:paraId="2CC17839"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CTA Cost</w:t>
            </w:r>
          </w:p>
        </w:tc>
      </w:tr>
      <w:tr w:rsidRPr="00135603" w:rsidR="00B14CF8" w:rsidTr="00F61C32" w14:paraId="0D0D914E"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1BC38323"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PM</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368AA0B8" w14:textId="6E92466D">
            <w:pPr>
              <w:pStyle w:val="Tabletext"/>
              <w:jc w:val="right"/>
              <w:rPr>
                <w:rFonts w:ascii="Palatino Linotype" w:hAnsi="Palatino Linotype" w:cs="Calibri"/>
                <w:sz w:val="24"/>
                <w:highlight w:val="yellow"/>
              </w:rPr>
            </w:pPr>
            <w:r w:rsidRPr="000A604E">
              <w:rPr>
                <w:rFonts w:ascii="Palatino Linotype" w:hAnsi="Palatino Linotype" w:cs="Calibri"/>
                <w:sz w:val="24"/>
              </w:rPr>
              <w:t>$291,390</w:t>
            </w:r>
            <w:r w:rsidR="00424255">
              <w:rPr>
                <w:rFonts w:ascii="Palatino Linotype" w:hAnsi="Palatino Linotype" w:cs="Calibri"/>
                <w:sz w:val="24"/>
              </w:rPr>
              <w:t xml:space="preserve">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7F4485DC"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20%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2D05305" w14:textId="25800C8F">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$58,278</w:t>
            </w:r>
          </w:p>
        </w:tc>
      </w:tr>
      <w:tr w:rsidRPr="00135603" w:rsidR="00B14CF8" w:rsidTr="00F61C32" w14:paraId="650DC02E"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C8C1070"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PPS</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45F84E1" w14:textId="182B878E">
            <w:pPr>
              <w:pStyle w:val="Tabletext"/>
              <w:jc w:val="right"/>
              <w:rPr>
                <w:rFonts w:ascii="Palatino Linotype" w:hAnsi="Palatino Linotype" w:cs="Calibri"/>
                <w:sz w:val="24"/>
                <w:highlight w:val="yellow"/>
              </w:rPr>
            </w:pPr>
            <w:r w:rsidRPr="000A604E">
              <w:rPr>
                <w:rFonts w:ascii="Palatino Linotype" w:hAnsi="Palatino Linotype" w:cs="Calibri"/>
                <w:sz w:val="24"/>
              </w:rPr>
              <w:t>$252,84</w:t>
            </w:r>
            <w:r w:rsidR="00424255">
              <w:rPr>
                <w:rFonts w:ascii="Palatino Linotype" w:hAnsi="Palatino Linotype" w:cs="Calibri"/>
                <w:sz w:val="24"/>
              </w:rPr>
              <w:t xml:space="preserve">9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F795B04"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30%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4DA599E5" w14:textId="7544865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$75,85</w:t>
            </w:r>
            <w:r w:rsidRPr="000A604E" w:rsidR="00D14E4C">
              <w:rPr>
                <w:rFonts w:ascii="Palatino Linotype" w:hAnsi="Palatino Linotype"/>
                <w:sz w:val="24"/>
                <w:szCs w:val="32"/>
              </w:rPr>
              <w:t>5</w:t>
            </w:r>
          </w:p>
        </w:tc>
      </w:tr>
      <w:tr w:rsidRPr="00135603" w:rsidR="00B14CF8" w:rsidTr="00F61C32" w14:paraId="2259223A"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B928451"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V</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1EEB0EF0" w14:textId="6DE90270">
            <w:pPr>
              <w:pStyle w:val="Tabletext"/>
              <w:jc w:val="right"/>
              <w:rPr>
                <w:rFonts w:ascii="Palatino Linotype" w:hAnsi="Palatino Linotype" w:cs="Calibri"/>
                <w:sz w:val="24"/>
                <w:highlight w:val="yellow"/>
              </w:rPr>
            </w:pPr>
            <w:r w:rsidRPr="000A604E">
              <w:rPr>
                <w:rFonts w:ascii="Palatino Linotype" w:hAnsi="Palatino Linotype" w:cs="Calibri"/>
                <w:sz w:val="24"/>
              </w:rPr>
              <w:t>$191,956</w:t>
            </w:r>
            <w:r w:rsidR="00424255">
              <w:rPr>
                <w:rFonts w:ascii="Palatino Linotype" w:hAnsi="Palatino Linotype" w:cs="Calibri"/>
                <w:sz w:val="24"/>
              </w:rPr>
              <w:t xml:space="preserve">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3AA8DC2A"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15%</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B12FBF7" w14:textId="2EFB894D">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$28,793</w:t>
            </w:r>
          </w:p>
        </w:tc>
      </w:tr>
      <w:tr w:rsidRPr="00135603" w:rsidR="00B14CF8" w:rsidTr="00F61C32" w14:paraId="67B55821"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082C956"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IV</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4472BFE9" w14:textId="14133311">
            <w:pPr>
              <w:pStyle w:val="Tabletext"/>
              <w:jc w:val="right"/>
              <w:rPr>
                <w:rFonts w:ascii="Palatino Linotype" w:hAnsi="Palatino Linotype" w:cs="Calibri"/>
                <w:sz w:val="24"/>
                <w:highlight w:val="yellow"/>
              </w:rPr>
            </w:pPr>
            <w:r w:rsidRPr="000A604E">
              <w:rPr>
                <w:rFonts w:ascii="Palatino Linotype" w:hAnsi="Palatino Linotype" w:cs="Calibri"/>
                <w:sz w:val="24"/>
              </w:rPr>
              <w:t>$174,73</w:t>
            </w:r>
            <w:r w:rsidR="00424255">
              <w:rPr>
                <w:rFonts w:ascii="Palatino Linotype" w:hAnsi="Palatino Linotype" w:cs="Calibri"/>
                <w:sz w:val="24"/>
              </w:rPr>
              <w:t xml:space="preserve">3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139150E"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40%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5E97189" w14:textId="1872D701">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$69,893</w:t>
            </w:r>
          </w:p>
        </w:tc>
      </w:tr>
      <w:tr w:rsidRPr="00135603" w:rsidR="00B14CF8" w:rsidTr="00F61C32" w14:paraId="48016467"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3302DAA4"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F8A8858" w14:textId="7054D7DB">
            <w:pPr>
              <w:pStyle w:val="Tabletext"/>
              <w:jc w:val="right"/>
              <w:rPr>
                <w:rFonts w:ascii="Palatino Linotype" w:hAnsi="Palatino Linotype" w:cs="Calibri"/>
                <w:sz w:val="24"/>
                <w:highlight w:val="yellow"/>
              </w:rPr>
            </w:pPr>
            <w:r w:rsidRPr="000A604E">
              <w:rPr>
                <w:rFonts w:ascii="Palatino Linotype" w:hAnsi="Palatino Linotype" w:cs="Calibri"/>
                <w:sz w:val="24"/>
              </w:rPr>
              <w:t>$159,10</w:t>
            </w:r>
            <w:r w:rsidR="00424255">
              <w:rPr>
                <w:rFonts w:ascii="Palatino Linotype" w:hAnsi="Palatino Linotype" w:cs="Calibri"/>
                <w:sz w:val="24"/>
              </w:rPr>
              <w:t xml:space="preserve">6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09D4560"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50%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1CE723C" w14:textId="5F7489CF">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$79,55</w:t>
            </w:r>
            <w:r w:rsidRPr="000A604E" w:rsidR="000F2343">
              <w:rPr>
                <w:rFonts w:ascii="Palatino Linotype" w:hAnsi="Palatino Linotype"/>
                <w:sz w:val="24"/>
                <w:szCs w:val="32"/>
              </w:rPr>
              <w:t>3</w:t>
            </w:r>
          </w:p>
        </w:tc>
      </w:tr>
      <w:tr w:rsidRPr="00135603" w:rsidR="00B14CF8" w:rsidTr="00F61C32" w14:paraId="4FDE7909" w14:textId="77777777">
        <w:trPr>
          <w:trHeight w:val="300"/>
        </w:trPr>
        <w:tc>
          <w:tcPr>
            <w:tcW w:w="2332" w:type="dxa"/>
            <w:tcBorders>
              <w:top w:val="nil"/>
              <w:left w:val="single" w:color="auto" w:sz="6" w:space="0"/>
              <w:bottom w:val="single" w:color="auto" w:sz="6" w:space="0"/>
              <w:right w:val="single" w:color="auto" w:sz="6" w:space="0"/>
            </w:tcBorders>
            <w:vAlign w:val="center"/>
          </w:tcPr>
          <w:p w:rsidRPr="000A604E" w:rsidR="00B14CF8" w:rsidP="00D33A4F" w:rsidRDefault="00B14CF8" w14:paraId="78759FE0"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lastRenderedPageBreak/>
              <w:t>PURA III</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53835A1F" w14:textId="578E641E">
            <w:pPr>
              <w:pStyle w:val="Tabletext"/>
              <w:jc w:val="right"/>
              <w:rPr>
                <w:rFonts w:ascii="Palatino Linotype" w:hAnsi="Palatino Linotype" w:cs="Calibri"/>
                <w:sz w:val="24"/>
                <w:highlight w:val="yellow"/>
              </w:rPr>
            </w:pPr>
            <w:r w:rsidRPr="000A604E">
              <w:rPr>
                <w:rFonts w:ascii="Palatino Linotype" w:hAnsi="Palatino Linotype" w:cs="Calibri"/>
                <w:sz w:val="24"/>
              </w:rPr>
              <w:t>$159,10</w:t>
            </w:r>
            <w:r w:rsidR="00E26292">
              <w:rPr>
                <w:rFonts w:ascii="Palatino Linotype" w:hAnsi="Palatino Linotype" w:cs="Calibri"/>
                <w:sz w:val="24"/>
              </w:rPr>
              <w:t xml:space="preserve">6 </w:t>
            </w: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12539F1"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60%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1A231B64" w14:textId="2D1BCC12">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$95,463</w:t>
            </w:r>
          </w:p>
        </w:tc>
      </w:tr>
      <w:tr w:rsidRPr="00135603" w:rsidR="00B14CF8" w:rsidTr="00F61C32" w14:paraId="435CFE8B"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24D62078"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45A85909" w14:textId="6352B11D">
            <w:pPr>
              <w:pStyle w:val="Tabletext"/>
              <w:jc w:val="right"/>
              <w:rPr>
                <w:rFonts w:ascii="Palatino Linotype" w:hAnsi="Palatino Linotype" w:cs="Calibri"/>
                <w:sz w:val="24"/>
                <w:highlight w:val="yellow"/>
              </w:rPr>
            </w:pPr>
            <w:r w:rsidRPr="000A604E">
              <w:rPr>
                <w:rFonts w:ascii="Palatino Linotype" w:hAnsi="Palatino Linotype" w:cs="Calibri"/>
                <w:sz w:val="24"/>
              </w:rPr>
              <w:t>$142,30</w:t>
            </w:r>
            <w:r w:rsidR="00E26292">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666C8602"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20%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AB881EB" w14:textId="680477A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$28,46</w:t>
            </w:r>
            <w:r w:rsidRPr="000A604E" w:rsidR="000F2343">
              <w:rPr>
                <w:rFonts w:ascii="Palatino Linotype" w:hAnsi="Palatino Linotype"/>
                <w:sz w:val="24"/>
                <w:szCs w:val="32"/>
              </w:rPr>
              <w:t>1</w:t>
            </w:r>
          </w:p>
        </w:tc>
      </w:tr>
      <w:tr w:rsidRPr="00135603" w:rsidR="00B14CF8" w:rsidTr="00F61C32" w14:paraId="3F1D1EAD" w14:textId="77777777">
        <w:trPr>
          <w:trHeight w:val="300"/>
        </w:trPr>
        <w:tc>
          <w:tcPr>
            <w:tcW w:w="2332" w:type="dxa"/>
            <w:tcBorders>
              <w:top w:val="nil"/>
              <w:left w:val="single" w:color="auto" w:sz="6" w:space="0"/>
              <w:bottom w:val="single" w:color="auto" w:sz="6" w:space="0"/>
              <w:right w:val="single" w:color="auto" w:sz="6" w:space="0"/>
            </w:tcBorders>
            <w:vAlign w:val="center"/>
          </w:tcPr>
          <w:p w:rsidRPr="000A604E" w:rsidR="00B14CF8" w:rsidP="00D33A4F" w:rsidRDefault="00B14CF8" w14:paraId="619E0318" w14:textId="77777777">
            <w:pPr>
              <w:pStyle w:val="Tabletext"/>
              <w:jc w:val="left"/>
              <w:rPr>
                <w:rFonts w:ascii="Palatino Linotype" w:hAnsi="Palatino Linotype" w:cs="Calibri"/>
                <w:sz w:val="24"/>
              </w:rPr>
            </w:pPr>
            <w:r w:rsidRPr="000A604E">
              <w:rPr>
                <w:rFonts w:ascii="Palatino Linotype" w:hAnsi="Palatino Linotype" w:cs="Calibri"/>
                <w:sz w:val="24"/>
              </w:rPr>
              <w:t>PURA I</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5E99F71" w14:textId="6830C5F7">
            <w:pPr>
              <w:pStyle w:val="Tabletext"/>
              <w:jc w:val="right"/>
              <w:rPr>
                <w:rFonts w:ascii="Palatino Linotype" w:hAnsi="Palatino Linotype" w:cs="Calibri"/>
                <w:sz w:val="24"/>
                <w:highlight w:val="yellow"/>
              </w:rPr>
            </w:pPr>
            <w:r w:rsidRPr="000A604E">
              <w:rPr>
                <w:rFonts w:ascii="Palatino Linotype" w:hAnsi="Palatino Linotype" w:cs="Calibri"/>
                <w:sz w:val="24"/>
              </w:rPr>
              <w:t>$120,24</w:t>
            </w:r>
            <w:r w:rsidR="008759CC">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E965EDB"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70%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19C1E93A" w14:textId="4B7320B6">
            <w:pPr>
              <w:pStyle w:val="Tabletext"/>
              <w:jc w:val="right"/>
              <w:rPr>
                <w:rFonts w:ascii="Palatino Linotype" w:hAnsi="Palatino Linotype"/>
                <w:sz w:val="24"/>
                <w:szCs w:val="32"/>
                <w:highlight w:val="yellow"/>
              </w:rPr>
            </w:pPr>
            <w:r w:rsidRPr="000A604E">
              <w:rPr>
                <w:rFonts w:ascii="Palatino Linotype" w:hAnsi="Palatino Linotype"/>
                <w:sz w:val="24"/>
                <w:szCs w:val="32"/>
              </w:rPr>
              <w:t>$84,171</w:t>
            </w:r>
          </w:p>
        </w:tc>
      </w:tr>
      <w:tr w:rsidRPr="00135603" w:rsidR="00B14CF8" w:rsidTr="00F61C32" w14:paraId="0802627A"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B2EAD0F"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28B20CF7" w14:textId="75AD719B">
            <w:pPr>
              <w:pStyle w:val="Tabletext"/>
              <w:jc w:val="right"/>
              <w:rPr>
                <w:rFonts w:ascii="Palatino Linotype" w:hAnsi="Palatino Linotype" w:cs="Calibri"/>
                <w:sz w:val="24"/>
                <w:highlight w:val="yellow"/>
              </w:rPr>
            </w:pPr>
            <w:r w:rsidRPr="000A604E">
              <w:rPr>
                <w:rFonts w:ascii="Palatino Linotype" w:hAnsi="Palatino Linotype" w:cs="Calibri"/>
                <w:sz w:val="24"/>
              </w:rPr>
              <w:t>$120,24</w:t>
            </w:r>
            <w:r w:rsidR="008759CC">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1A82484"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70%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80E4F3A" w14:textId="1306D2C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$84,171</w:t>
            </w:r>
          </w:p>
        </w:tc>
      </w:tr>
      <w:tr w:rsidRPr="00135603" w:rsidR="00B14CF8" w:rsidTr="00F61C32" w14:paraId="3BF68F3F"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E88A634"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Total</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3B5D0876" w14:textId="77777777">
            <w:pPr>
              <w:pStyle w:val="Tabletext"/>
              <w:jc w:val="right"/>
              <w:rPr>
                <w:rFonts w:ascii="Palatino Linotype" w:hAnsi="Palatino Linotype" w:cs="Calibri"/>
                <w:sz w:val="24"/>
                <w:highlight w:val="yellow"/>
              </w:rPr>
            </w:pP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B1A5C19" w14:textId="77777777">
            <w:pPr>
              <w:pStyle w:val="Tabletext"/>
              <w:jc w:val="right"/>
              <w:rPr>
                <w:rFonts w:ascii="Palatino Linotype" w:hAnsi="Palatino Linotype" w:cs="Calibri"/>
                <w:sz w:val="24"/>
                <w:highlight w:val="yellow"/>
              </w:rPr>
            </w:pP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2D33EC22" w14:textId="01AB40FC">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$604,639</w:t>
            </w:r>
          </w:p>
        </w:tc>
      </w:tr>
    </w:tbl>
    <w:p w:rsidRPr="0056202A" w:rsidR="00E6513E" w:rsidP="004703D8" w:rsidRDefault="00E6513E" w14:paraId="042750DE" w14:textId="7C65E7F1">
      <w:pPr>
        <w:pStyle w:val="standard"/>
        <w:ind w:firstLine="0"/>
        <w:rPr>
          <w:rFonts w:ascii="Palatino Linotype" w:hAnsi="Palatino Linotype"/>
          <w:sz w:val="24"/>
          <w:szCs w:val="24"/>
        </w:rPr>
      </w:pPr>
    </w:p>
    <w:p w:rsidR="0056202A" w:rsidP="0056202A" w:rsidRDefault="0056202A" w14:paraId="194DAC3D" w14:textId="5E7F9D94">
      <w:pPr>
        <w:rPr>
          <w:rFonts w:ascii="Palatino Linotype" w:hAnsi="Palatino Linotype"/>
          <w:sz w:val="24"/>
          <w:szCs w:val="24"/>
        </w:rPr>
      </w:pPr>
      <w:r w:rsidRPr="0056202A">
        <w:rPr>
          <w:rFonts w:ascii="Palatino Linotype" w:hAnsi="Palatino Linotype"/>
          <w:sz w:val="24"/>
          <w:szCs w:val="24"/>
        </w:rPr>
        <w:t>Resolution G-359</w:t>
      </w:r>
      <w:r w:rsidR="00BE70AC">
        <w:rPr>
          <w:rFonts w:ascii="Palatino Linotype" w:hAnsi="Palatino Linotype"/>
          <w:sz w:val="24"/>
          <w:szCs w:val="24"/>
        </w:rPr>
        <w:t>7</w:t>
      </w:r>
      <w:r w:rsidRPr="0056202A">
        <w:rPr>
          <w:rFonts w:ascii="Palatino Linotype" w:hAnsi="Palatino Linotype"/>
          <w:sz w:val="24"/>
          <w:szCs w:val="24"/>
        </w:rPr>
        <w:t xml:space="preserve"> allocated UEB costs </w:t>
      </w:r>
      <w:r>
        <w:rPr>
          <w:rFonts w:ascii="Palatino Linotype" w:hAnsi="Palatino Linotype"/>
          <w:sz w:val="24"/>
          <w:szCs w:val="24"/>
        </w:rPr>
        <w:t>as follows</w:t>
      </w:r>
      <w:r w:rsidRPr="0056202A">
        <w:rPr>
          <w:rFonts w:ascii="Palatino Linotype" w:hAnsi="Palatino Linotype"/>
          <w:sz w:val="24"/>
          <w:szCs w:val="24"/>
        </w:rPr>
        <w:t>:</w:t>
      </w:r>
    </w:p>
    <w:p w:rsidRPr="0056202A" w:rsidR="003412B8" w:rsidP="0056202A" w:rsidRDefault="003412B8" w14:paraId="6FA49B33" w14:textId="77777777">
      <w:pPr>
        <w:rPr>
          <w:rFonts w:ascii="Palatino Linotype" w:hAnsi="Palatino Linotype"/>
          <w:sz w:val="24"/>
          <w:szCs w:val="24"/>
        </w:rPr>
      </w:pPr>
    </w:p>
    <w:p w:rsidRPr="003412B8" w:rsidR="00B36981" w:rsidP="003412B8" w:rsidRDefault="00B36981" w14:paraId="00614471" w14:textId="4B9E5070">
      <w:pPr>
        <w:rPr>
          <w:rFonts w:ascii="Palatino Linotype" w:hAnsi="Palatino Linotype"/>
          <w:sz w:val="24"/>
          <w:szCs w:val="24"/>
        </w:rPr>
      </w:pPr>
      <w:r w:rsidRPr="003412B8">
        <w:rPr>
          <w:rFonts w:ascii="Palatino Linotype" w:hAnsi="Palatino Linotype"/>
          <w:sz w:val="24"/>
          <w:szCs w:val="24"/>
        </w:rPr>
        <w:t xml:space="preserve">First, UEB costs </w:t>
      </w:r>
      <w:r w:rsidR="00876DF1">
        <w:rPr>
          <w:rFonts w:ascii="Palatino Linotype" w:hAnsi="Palatino Linotype"/>
          <w:sz w:val="24"/>
          <w:szCs w:val="24"/>
        </w:rPr>
        <w:t xml:space="preserve">are </w:t>
      </w:r>
      <w:r w:rsidRPr="003412B8">
        <w:rPr>
          <w:rFonts w:ascii="Palatino Linotype" w:hAnsi="Palatino Linotype"/>
          <w:sz w:val="24"/>
          <w:szCs w:val="24"/>
        </w:rPr>
        <w:t xml:space="preserve">allocated only to those CTAs who </w:t>
      </w:r>
      <w:r w:rsidRPr="003412B8" w:rsidR="00153B55">
        <w:rPr>
          <w:rFonts w:ascii="Palatino Linotype" w:hAnsi="Palatino Linotype"/>
          <w:sz w:val="24"/>
          <w:szCs w:val="24"/>
        </w:rPr>
        <w:t>a</w:t>
      </w:r>
      <w:r w:rsidRPr="003412B8">
        <w:rPr>
          <w:rFonts w:ascii="Palatino Linotype" w:hAnsi="Palatino Linotype"/>
          <w:sz w:val="24"/>
          <w:szCs w:val="24"/>
        </w:rPr>
        <w:t>re the subject of</w:t>
      </w:r>
      <w:r w:rsidRPr="003412B8" w:rsidR="00665907">
        <w:rPr>
          <w:rFonts w:ascii="Palatino Linotype" w:hAnsi="Palatino Linotype"/>
          <w:sz w:val="24"/>
          <w:szCs w:val="24"/>
        </w:rPr>
        <w:t xml:space="preserve"> alleged</w:t>
      </w:r>
      <w:r w:rsidRPr="003412B8">
        <w:rPr>
          <w:rFonts w:ascii="Palatino Linotype" w:hAnsi="Palatino Linotype"/>
          <w:sz w:val="24"/>
          <w:szCs w:val="24"/>
        </w:rPr>
        <w:t xml:space="preserve"> unauthorized enrollment complaints since that is UEB’s focus. Second,</w:t>
      </w:r>
      <w:r w:rsidRPr="003412B8" w:rsidDel="00904912">
        <w:rPr>
          <w:rFonts w:ascii="Palatino Linotype" w:hAnsi="Palatino Linotype"/>
          <w:sz w:val="24"/>
          <w:szCs w:val="24"/>
        </w:rPr>
        <w:t xml:space="preserve"> </w:t>
      </w:r>
      <w:r w:rsidRPr="003412B8">
        <w:rPr>
          <w:rFonts w:ascii="Palatino Linotype" w:hAnsi="Palatino Linotype"/>
          <w:sz w:val="24"/>
          <w:szCs w:val="24"/>
        </w:rPr>
        <w:t xml:space="preserve">UEB costs </w:t>
      </w:r>
      <w:r w:rsidR="00904912">
        <w:rPr>
          <w:rFonts w:ascii="Palatino Linotype" w:hAnsi="Palatino Linotype"/>
          <w:sz w:val="24"/>
          <w:szCs w:val="24"/>
        </w:rPr>
        <w:t xml:space="preserve">are divided </w:t>
      </w:r>
      <w:r w:rsidRPr="003412B8">
        <w:rPr>
          <w:rFonts w:ascii="Palatino Linotype" w:hAnsi="Palatino Linotype"/>
          <w:sz w:val="24"/>
          <w:szCs w:val="24"/>
        </w:rPr>
        <w:t>between time spent investigating allegation</w:t>
      </w:r>
      <w:r w:rsidRPr="003412B8" w:rsidR="00457CF0">
        <w:rPr>
          <w:rFonts w:ascii="Palatino Linotype" w:hAnsi="Palatino Linotype"/>
          <w:sz w:val="24"/>
          <w:szCs w:val="24"/>
        </w:rPr>
        <w:t>s</w:t>
      </w:r>
      <w:r w:rsidRPr="003412B8">
        <w:rPr>
          <w:rFonts w:ascii="Palatino Linotype" w:hAnsi="Palatino Linotype"/>
          <w:sz w:val="24"/>
          <w:szCs w:val="24"/>
        </w:rPr>
        <w:t xml:space="preserve"> of unauthorized enrollment and time spent pursuing enforcement actions. The allocation methodology is as follows: </w:t>
      </w:r>
    </w:p>
    <w:p w:rsidRPr="00B36981" w:rsidR="00B36981" w:rsidP="00002671" w:rsidRDefault="00B36981" w14:paraId="2E8B5362" w14:textId="4DF63437">
      <w:pPr>
        <w:pStyle w:val="paragraph"/>
        <w:numPr>
          <w:ilvl w:val="0"/>
          <w:numId w:val="7"/>
        </w:numPr>
        <w:textAlignment w:val="baseline"/>
        <w:rPr>
          <w:rFonts w:ascii="Palatino Linotype" w:hAnsi="Palatino Linotype"/>
        </w:rPr>
      </w:pPr>
      <w:r w:rsidRPr="00B36981">
        <w:rPr>
          <w:rFonts w:ascii="Palatino Linotype" w:hAnsi="Palatino Linotype"/>
        </w:rPr>
        <w:t>Disaggregate total UEB costs between alleged unauthorized enrollment investigation</w:t>
      </w:r>
      <w:r w:rsidR="001C02A3">
        <w:rPr>
          <w:rFonts w:ascii="Palatino Linotype" w:hAnsi="Palatino Linotype"/>
        </w:rPr>
        <w:t>s</w:t>
      </w:r>
      <w:r w:rsidRPr="00B36981">
        <w:rPr>
          <w:rFonts w:ascii="Palatino Linotype" w:hAnsi="Palatino Linotype"/>
        </w:rPr>
        <w:t xml:space="preserve"> and enforcement action</w:t>
      </w:r>
      <w:r w:rsidR="001C02A3">
        <w:rPr>
          <w:rFonts w:ascii="Palatino Linotype" w:hAnsi="Palatino Linotype"/>
        </w:rPr>
        <w:t>s</w:t>
      </w:r>
      <w:r w:rsidRPr="00B36981">
        <w:rPr>
          <w:rFonts w:ascii="Palatino Linotype" w:hAnsi="Palatino Linotype"/>
        </w:rPr>
        <w:t xml:space="preserve"> by dividing the number of UEB actions by the number of complaints.</w:t>
      </w:r>
    </w:p>
    <w:p w:rsidRPr="00B36981" w:rsidR="00B36981" w:rsidP="00002671" w:rsidRDefault="00B36981" w14:paraId="320A9026" w14:textId="77777777">
      <w:pPr>
        <w:pStyle w:val="paragraph"/>
        <w:numPr>
          <w:ilvl w:val="1"/>
          <w:numId w:val="7"/>
        </w:numPr>
        <w:textAlignment w:val="baseline"/>
        <w:rPr>
          <w:rFonts w:ascii="Palatino Linotype" w:hAnsi="Palatino Linotype"/>
        </w:rPr>
      </w:pPr>
      <w:r w:rsidRPr="00B36981">
        <w:rPr>
          <w:rFonts w:ascii="Palatino Linotype" w:hAnsi="Palatino Linotype"/>
        </w:rPr>
        <w:t>Multiply the resulting percentage by total UEB costs to determine the amount to allocate towards enforcement.</w:t>
      </w:r>
    </w:p>
    <w:p w:rsidRPr="00B36981" w:rsidR="00B36981" w:rsidP="00002671" w:rsidRDefault="00B36981" w14:paraId="5A48D6D9" w14:textId="77777777">
      <w:pPr>
        <w:pStyle w:val="paragraph"/>
        <w:numPr>
          <w:ilvl w:val="1"/>
          <w:numId w:val="7"/>
        </w:numPr>
        <w:textAlignment w:val="baseline"/>
        <w:rPr>
          <w:rFonts w:ascii="Palatino Linotype" w:hAnsi="Palatino Linotype"/>
        </w:rPr>
      </w:pPr>
      <w:r w:rsidRPr="00B36981">
        <w:rPr>
          <w:rFonts w:ascii="Palatino Linotype" w:hAnsi="Palatino Linotype"/>
        </w:rPr>
        <w:t>Allocate the remainder toward alleged unauthorized enrollment investigation.</w:t>
      </w:r>
    </w:p>
    <w:p w:rsidRPr="00B36981" w:rsidR="00B36981" w:rsidP="00002671" w:rsidRDefault="00B36981" w14:paraId="376722E4" w14:textId="77777777">
      <w:pPr>
        <w:pStyle w:val="paragraph"/>
        <w:numPr>
          <w:ilvl w:val="0"/>
          <w:numId w:val="7"/>
        </w:numPr>
        <w:textAlignment w:val="baseline"/>
        <w:rPr>
          <w:rFonts w:ascii="Palatino Linotype" w:hAnsi="Palatino Linotype"/>
        </w:rPr>
      </w:pPr>
      <w:r w:rsidRPr="00B36981">
        <w:rPr>
          <w:rFonts w:ascii="Palatino Linotype" w:hAnsi="Palatino Linotype"/>
        </w:rPr>
        <w:t>Divide alleged unauthorized enrollment investigation costs equally per unauthorized enrollment complaint.</w:t>
      </w:r>
    </w:p>
    <w:p w:rsidRPr="00B36981" w:rsidR="00B36981" w:rsidP="00002671" w:rsidRDefault="00B36981" w14:paraId="0AB2596D" w14:textId="77777777">
      <w:pPr>
        <w:pStyle w:val="paragraph"/>
        <w:numPr>
          <w:ilvl w:val="0"/>
          <w:numId w:val="7"/>
        </w:numPr>
        <w:textAlignment w:val="baseline"/>
        <w:rPr>
          <w:rFonts w:ascii="Palatino Linotype" w:hAnsi="Palatino Linotype"/>
        </w:rPr>
      </w:pPr>
      <w:r w:rsidRPr="00B36981">
        <w:rPr>
          <w:rFonts w:ascii="Palatino Linotype" w:hAnsi="Palatino Linotype"/>
        </w:rPr>
        <w:t>Divide enforcement actions costs equally per UEB action.</w:t>
      </w:r>
    </w:p>
    <w:p w:rsidR="00153B55" w:rsidP="00B36981" w:rsidRDefault="00153B55" w14:paraId="309EFA31" w14:textId="024918A2">
      <w:pPr>
        <w:pStyle w:val="paragraph"/>
        <w:textAlignment w:val="baseline"/>
        <w:rPr>
          <w:rFonts w:ascii="Palatino Linotype" w:hAnsi="Palatino Linotype"/>
        </w:rPr>
      </w:pPr>
      <w:r w:rsidRPr="0056202A">
        <w:rPr>
          <w:rFonts w:ascii="Palatino Linotype" w:hAnsi="Palatino Linotype"/>
        </w:rPr>
        <w:t xml:space="preserve">This </w:t>
      </w:r>
      <w:r w:rsidR="009C603E">
        <w:rPr>
          <w:rFonts w:ascii="Palatino Linotype" w:hAnsi="Palatino Linotype"/>
        </w:rPr>
        <w:t>resolution</w:t>
      </w:r>
      <w:r>
        <w:rPr>
          <w:rFonts w:ascii="Palatino Linotype" w:hAnsi="Palatino Linotype"/>
        </w:rPr>
        <w:t xml:space="preserve"> </w:t>
      </w:r>
      <w:r w:rsidR="00932E44">
        <w:rPr>
          <w:rFonts w:ascii="Palatino Linotype" w:hAnsi="Palatino Linotype"/>
        </w:rPr>
        <w:t>reaffirms the methodology established in G-3597.</w:t>
      </w:r>
    </w:p>
    <w:p w:rsidRPr="00B36981" w:rsidR="00B36981" w:rsidP="00B36981" w:rsidRDefault="00B36981" w14:paraId="3D192BCA" w14:textId="0C9B5B26">
      <w:pPr>
        <w:pStyle w:val="paragraph"/>
        <w:textAlignment w:val="baseline"/>
        <w:rPr>
          <w:rFonts w:ascii="Palatino Linotype" w:hAnsi="Palatino Linotype"/>
        </w:rPr>
      </w:pPr>
      <w:r w:rsidRPr="00B36981">
        <w:rPr>
          <w:rFonts w:ascii="Palatino Linotype" w:hAnsi="Palatino Linotype"/>
        </w:rPr>
        <w:t>In 202</w:t>
      </w:r>
      <w:r w:rsidR="005A47B8">
        <w:rPr>
          <w:rFonts w:ascii="Palatino Linotype" w:hAnsi="Palatino Linotype"/>
        </w:rPr>
        <w:t>5</w:t>
      </w:r>
      <w:r w:rsidRPr="00B36981">
        <w:rPr>
          <w:rFonts w:ascii="Palatino Linotype" w:hAnsi="Palatino Linotype"/>
        </w:rPr>
        <w:t xml:space="preserve">, UEB staff </w:t>
      </w:r>
      <w:r w:rsidR="00AD27E6">
        <w:rPr>
          <w:rFonts w:ascii="Palatino Linotype" w:hAnsi="Palatino Linotype"/>
        </w:rPr>
        <w:t>reviewed</w:t>
      </w:r>
      <w:r w:rsidRPr="00B36981">
        <w:rPr>
          <w:rFonts w:ascii="Palatino Linotype" w:hAnsi="Palatino Linotype"/>
        </w:rPr>
        <w:t xml:space="preserve"> </w:t>
      </w:r>
      <w:r w:rsidR="000831CC">
        <w:rPr>
          <w:rFonts w:ascii="Palatino Linotype" w:hAnsi="Palatino Linotype"/>
        </w:rPr>
        <w:t>2</w:t>
      </w:r>
      <w:r w:rsidR="00932E44">
        <w:rPr>
          <w:rFonts w:ascii="Palatino Linotype" w:hAnsi="Palatino Linotype"/>
        </w:rPr>
        <w:t>,</w:t>
      </w:r>
      <w:r w:rsidR="000831CC">
        <w:rPr>
          <w:rFonts w:ascii="Palatino Linotype" w:hAnsi="Palatino Linotype"/>
        </w:rPr>
        <w:t>942</w:t>
      </w:r>
      <w:r w:rsidRPr="00B36981">
        <w:rPr>
          <w:rFonts w:ascii="Palatino Linotype" w:hAnsi="Palatino Linotype"/>
        </w:rPr>
        <w:t xml:space="preserve"> CTA-related complaints, </w:t>
      </w:r>
      <w:r w:rsidR="000831CC">
        <w:rPr>
          <w:rFonts w:ascii="Palatino Linotype" w:hAnsi="Palatino Linotype"/>
        </w:rPr>
        <w:t>818</w:t>
      </w:r>
      <w:r w:rsidRPr="00B36981">
        <w:rPr>
          <w:rFonts w:ascii="Palatino Linotype" w:hAnsi="Palatino Linotype"/>
        </w:rPr>
        <w:t xml:space="preserve"> of which concerned alleged unauthorized enrollment and could be attributed to a particular CTA. In addition, UEB staff issued </w:t>
      </w:r>
      <w:r w:rsidR="003A7504">
        <w:rPr>
          <w:rFonts w:ascii="Palatino Linotype" w:hAnsi="Palatino Linotype"/>
        </w:rPr>
        <w:t>5</w:t>
      </w:r>
      <w:r w:rsidRPr="00B36981" w:rsidDel="00984C0A">
        <w:rPr>
          <w:rFonts w:ascii="Palatino Linotype" w:hAnsi="Palatino Linotype"/>
        </w:rPr>
        <w:t xml:space="preserve">5 </w:t>
      </w:r>
      <w:r w:rsidRPr="00B36981">
        <w:rPr>
          <w:rFonts w:ascii="Palatino Linotype" w:hAnsi="Palatino Linotype"/>
        </w:rPr>
        <w:t>CTA-related citations totaling $</w:t>
      </w:r>
      <w:r w:rsidR="00473E1B">
        <w:rPr>
          <w:rFonts w:ascii="Palatino Linotype" w:hAnsi="Palatino Linotype"/>
        </w:rPr>
        <w:t>5</w:t>
      </w:r>
      <w:r w:rsidRPr="00B36981">
        <w:rPr>
          <w:rFonts w:ascii="Palatino Linotype" w:hAnsi="Palatino Linotype"/>
        </w:rPr>
        <w:t>5,000</w:t>
      </w:r>
      <w:r w:rsidR="005951B9">
        <w:rPr>
          <w:rFonts w:ascii="Palatino Linotype" w:hAnsi="Palatino Linotype"/>
        </w:rPr>
        <w:t>,</w:t>
      </w:r>
      <w:r w:rsidRPr="00B36981">
        <w:rPr>
          <w:rFonts w:ascii="Palatino Linotype" w:hAnsi="Palatino Linotype"/>
          <w:vertAlign w:val="superscript"/>
        </w:rPr>
        <w:footnoteReference w:id="19"/>
      </w:r>
      <w:r w:rsidRPr="00B36981">
        <w:rPr>
          <w:rFonts w:ascii="Palatino Linotype" w:hAnsi="Palatino Linotype"/>
          <w:vertAlign w:val="superscript"/>
        </w:rPr>
        <w:t>,</w:t>
      </w:r>
      <w:r w:rsidRPr="00B36981">
        <w:rPr>
          <w:rFonts w:ascii="Palatino Linotype" w:hAnsi="Palatino Linotype"/>
          <w:vertAlign w:val="superscript"/>
        </w:rPr>
        <w:footnoteReference w:id="20"/>
      </w:r>
      <w:r w:rsidRPr="00B36981">
        <w:rPr>
          <w:rFonts w:ascii="Palatino Linotype" w:hAnsi="Palatino Linotype"/>
          <w:vertAlign w:val="superscript"/>
        </w:rPr>
        <w:t xml:space="preserve"> </w:t>
      </w:r>
      <w:r w:rsidR="005951B9">
        <w:rPr>
          <w:rFonts w:ascii="Palatino Linotype" w:hAnsi="Palatino Linotype"/>
        </w:rPr>
        <w:t>five</w:t>
      </w:r>
      <w:r w:rsidRPr="003412B8" w:rsidR="00473E1B">
        <w:rPr>
          <w:rFonts w:ascii="Palatino Linotype" w:hAnsi="Palatino Linotype"/>
        </w:rPr>
        <w:t xml:space="preserve"> warning notices, </w:t>
      </w:r>
      <w:r w:rsidR="005951B9">
        <w:rPr>
          <w:rFonts w:ascii="Palatino Linotype" w:hAnsi="Palatino Linotype"/>
        </w:rPr>
        <w:t xml:space="preserve">two </w:t>
      </w:r>
      <w:r w:rsidRPr="003412B8" w:rsidR="00473E1B">
        <w:rPr>
          <w:rFonts w:ascii="Palatino Linotype" w:hAnsi="Palatino Linotype"/>
        </w:rPr>
        <w:t xml:space="preserve">requests for </w:t>
      </w:r>
      <w:r w:rsidRPr="003412B8" w:rsidR="00473E1B">
        <w:rPr>
          <w:rFonts w:ascii="Palatino Linotype" w:hAnsi="Palatino Linotype"/>
        </w:rPr>
        <w:lastRenderedPageBreak/>
        <w:t>action,</w:t>
      </w:r>
      <w:r w:rsidRPr="003412B8" w:rsidDel="00BD57A4" w:rsidR="00473E1B">
        <w:rPr>
          <w:rFonts w:ascii="Palatino Linotype" w:hAnsi="Palatino Linotype"/>
        </w:rPr>
        <w:t xml:space="preserve"> </w:t>
      </w:r>
      <w:r w:rsidR="005951B9">
        <w:rPr>
          <w:rFonts w:ascii="Palatino Linotype" w:hAnsi="Palatino Linotype"/>
        </w:rPr>
        <w:t>one</w:t>
      </w:r>
      <w:r w:rsidRPr="003412B8" w:rsidR="00473E1B">
        <w:rPr>
          <w:rFonts w:ascii="Palatino Linotype" w:hAnsi="Palatino Linotype"/>
        </w:rPr>
        <w:t xml:space="preserve"> notice of citation, </w:t>
      </w:r>
      <w:r w:rsidR="005951B9">
        <w:rPr>
          <w:rFonts w:ascii="Palatino Linotype" w:hAnsi="Palatino Linotype"/>
        </w:rPr>
        <w:t>one</w:t>
      </w:r>
      <w:r w:rsidRPr="003412B8" w:rsidR="00473E1B">
        <w:rPr>
          <w:rFonts w:ascii="Palatino Linotype" w:hAnsi="Palatino Linotype"/>
        </w:rPr>
        <w:t xml:space="preserve"> cease-and-desist letter</w:t>
      </w:r>
      <w:r w:rsidR="005951B9">
        <w:rPr>
          <w:rFonts w:ascii="Palatino Linotype" w:hAnsi="Palatino Linotype"/>
        </w:rPr>
        <w:t xml:space="preserve">, </w:t>
      </w:r>
      <w:r w:rsidRPr="003412B8" w:rsidR="00473E1B">
        <w:rPr>
          <w:rFonts w:ascii="Palatino Linotype" w:hAnsi="Palatino Linotype"/>
        </w:rPr>
        <w:t>and</w:t>
      </w:r>
      <w:r w:rsidRPr="003412B8" w:rsidDel="005951B9" w:rsidR="00473E1B">
        <w:rPr>
          <w:rFonts w:ascii="Palatino Linotype" w:hAnsi="Palatino Linotype"/>
        </w:rPr>
        <w:t xml:space="preserve"> </w:t>
      </w:r>
      <w:r w:rsidR="005951B9">
        <w:rPr>
          <w:rFonts w:ascii="Palatino Linotype" w:hAnsi="Palatino Linotype"/>
        </w:rPr>
        <w:t xml:space="preserve">one </w:t>
      </w:r>
      <w:r w:rsidRPr="003412B8" w:rsidR="00473E1B">
        <w:rPr>
          <w:rFonts w:ascii="Palatino Linotype" w:hAnsi="Palatino Linotype"/>
        </w:rPr>
        <w:t>administrative consent order</w:t>
      </w:r>
      <w:r w:rsidR="005951B9">
        <w:rPr>
          <w:rFonts w:ascii="Palatino Linotype" w:hAnsi="Palatino Linotype"/>
        </w:rPr>
        <w:t>,</w:t>
      </w:r>
      <w:r w:rsidRPr="003412B8" w:rsidR="00473E1B">
        <w:rPr>
          <w:rFonts w:ascii="Palatino Linotype" w:hAnsi="Palatino Linotype"/>
        </w:rPr>
        <w:t xml:space="preserve"> </w:t>
      </w:r>
      <w:r w:rsidR="00E74525">
        <w:rPr>
          <w:rFonts w:ascii="Palatino Linotype" w:hAnsi="Palatino Linotype"/>
        </w:rPr>
        <w:t xml:space="preserve">totaling </w:t>
      </w:r>
      <w:r w:rsidRPr="003412B8" w:rsidR="00473E1B">
        <w:rPr>
          <w:rFonts w:ascii="Palatino Linotype" w:hAnsi="Palatino Linotype"/>
        </w:rPr>
        <w:t>65 enforcement actions</w:t>
      </w:r>
      <w:r w:rsidRPr="003412B8">
        <w:rPr>
          <w:rFonts w:ascii="Palatino Linotype" w:hAnsi="Palatino Linotype"/>
        </w:rPr>
        <w:t>.</w:t>
      </w:r>
      <w:r w:rsidRPr="003412B8">
        <w:rPr>
          <w:rFonts w:ascii="Palatino Linotype" w:hAnsi="Palatino Linotype"/>
          <w:vertAlign w:val="superscript"/>
        </w:rPr>
        <w:footnoteReference w:id="21"/>
      </w:r>
      <w:r w:rsidRPr="00B36981">
        <w:rPr>
          <w:rFonts w:ascii="Palatino Linotype" w:hAnsi="Palatino Linotype"/>
        </w:rPr>
        <w:t xml:space="preserve"> </w:t>
      </w:r>
    </w:p>
    <w:p w:rsidRPr="00B36981" w:rsidR="00B36981" w:rsidP="00002671" w:rsidRDefault="00181E96" w14:paraId="02F26159" w14:textId="5A1FEB34">
      <w:pPr>
        <w:pStyle w:val="paragraph"/>
        <w:numPr>
          <w:ilvl w:val="0"/>
          <w:numId w:val="8"/>
        </w:numPr>
        <w:rPr>
          <w:rFonts w:ascii="Palatino Linotype" w:hAnsi="Palatino Linotype"/>
        </w:rPr>
      </w:pPr>
      <w:r>
        <w:rPr>
          <w:rFonts w:ascii="Palatino Linotype" w:hAnsi="Palatino Linotype"/>
        </w:rPr>
        <w:t>65</w:t>
      </w:r>
      <w:r w:rsidRPr="00B36981" w:rsidR="00B36981">
        <w:rPr>
          <w:rFonts w:ascii="Palatino Linotype" w:hAnsi="Palatino Linotype"/>
        </w:rPr>
        <w:t xml:space="preserve"> enforcement actions / </w:t>
      </w:r>
      <w:r>
        <w:rPr>
          <w:rFonts w:ascii="Palatino Linotype" w:hAnsi="Palatino Linotype"/>
        </w:rPr>
        <w:t>818</w:t>
      </w:r>
      <w:r w:rsidRPr="00B36981" w:rsidR="00B36981">
        <w:rPr>
          <w:rFonts w:ascii="Palatino Linotype" w:hAnsi="Palatino Linotype"/>
        </w:rPr>
        <w:t xml:space="preserve"> unauthorized enrollment complaints </w:t>
      </w:r>
      <w:proofErr w:type="gramStart"/>
      <w:r w:rsidRPr="00B36981" w:rsidR="00B36981">
        <w:rPr>
          <w:rFonts w:ascii="Palatino Linotype" w:hAnsi="Palatino Linotype"/>
        </w:rPr>
        <w:t>results</w:t>
      </w:r>
      <w:proofErr w:type="gramEnd"/>
      <w:r w:rsidRPr="00B36981" w:rsidR="00B36981">
        <w:rPr>
          <w:rFonts w:ascii="Palatino Linotype" w:hAnsi="Palatino Linotype"/>
        </w:rPr>
        <w:t xml:space="preserve"> in </w:t>
      </w:r>
      <w:r w:rsidR="001A14FC">
        <w:rPr>
          <w:rFonts w:ascii="Palatino Linotype" w:hAnsi="Palatino Linotype"/>
        </w:rPr>
        <w:t>8</w:t>
      </w:r>
      <w:r w:rsidRPr="00B36981" w:rsidR="00B36981">
        <w:rPr>
          <w:rFonts w:ascii="Palatino Linotype" w:hAnsi="Palatino Linotype"/>
        </w:rPr>
        <w:t xml:space="preserve"> percent of costs allocated to enforcement and </w:t>
      </w:r>
      <w:r w:rsidR="001A14FC">
        <w:rPr>
          <w:rFonts w:ascii="Palatino Linotype" w:hAnsi="Palatino Linotype"/>
        </w:rPr>
        <w:t>92</w:t>
      </w:r>
      <w:r w:rsidRPr="00B36981" w:rsidR="00B36981">
        <w:rPr>
          <w:rFonts w:ascii="Palatino Linotype" w:hAnsi="Palatino Linotype"/>
        </w:rPr>
        <w:t xml:space="preserve"> percent allocated to investigation</w:t>
      </w:r>
      <w:r w:rsidR="002362D8">
        <w:rPr>
          <w:rFonts w:ascii="Palatino Linotype" w:hAnsi="Palatino Linotype"/>
        </w:rPr>
        <w:t>s</w:t>
      </w:r>
      <w:r w:rsidRPr="00B36981" w:rsidR="00B36981">
        <w:rPr>
          <w:rFonts w:ascii="Palatino Linotype" w:hAnsi="Palatino Linotype"/>
        </w:rPr>
        <w:t>.</w:t>
      </w:r>
      <w:r w:rsidRPr="00B36981" w:rsidR="00B36981">
        <w:rPr>
          <w:rFonts w:ascii="Palatino Linotype" w:hAnsi="Palatino Linotype"/>
          <w:vertAlign w:val="superscript"/>
        </w:rPr>
        <w:footnoteReference w:id="22"/>
      </w:r>
    </w:p>
    <w:p w:rsidRPr="00B36981" w:rsidR="00B36981" w:rsidP="00002671" w:rsidRDefault="00B36981" w14:paraId="278D4BC1" w14:textId="78EE701B">
      <w:pPr>
        <w:pStyle w:val="paragraph"/>
        <w:numPr>
          <w:ilvl w:val="1"/>
          <w:numId w:val="8"/>
        </w:numPr>
        <w:rPr>
          <w:rFonts w:ascii="Palatino Linotype" w:hAnsi="Palatino Linotype"/>
        </w:rPr>
      </w:pPr>
      <w:r w:rsidRPr="00B36981">
        <w:rPr>
          <w:rFonts w:ascii="Palatino Linotype" w:hAnsi="Palatino Linotype"/>
        </w:rPr>
        <w:t xml:space="preserve">Total enforcement: </w:t>
      </w:r>
      <w:r w:rsidR="001A14FC">
        <w:rPr>
          <w:rFonts w:ascii="Palatino Linotype" w:hAnsi="Palatino Linotype"/>
        </w:rPr>
        <w:t>8</w:t>
      </w:r>
      <w:r w:rsidRPr="00B36981">
        <w:rPr>
          <w:rFonts w:ascii="Palatino Linotype" w:hAnsi="Palatino Linotype"/>
        </w:rPr>
        <w:t>% * $</w:t>
      </w:r>
      <w:r w:rsidR="001A14FC">
        <w:rPr>
          <w:rFonts w:ascii="Palatino Linotype" w:hAnsi="Palatino Linotype"/>
        </w:rPr>
        <w:t>604</w:t>
      </w:r>
      <w:r w:rsidR="00D20767">
        <w:rPr>
          <w:rFonts w:ascii="Palatino Linotype" w:hAnsi="Palatino Linotype"/>
        </w:rPr>
        <w:t>,639</w:t>
      </w:r>
      <w:r w:rsidRPr="00B36981">
        <w:rPr>
          <w:rFonts w:ascii="Palatino Linotype" w:hAnsi="Palatino Linotype"/>
        </w:rPr>
        <w:t xml:space="preserve"> = $</w:t>
      </w:r>
      <w:r w:rsidR="00D20767">
        <w:rPr>
          <w:rFonts w:ascii="Palatino Linotype" w:hAnsi="Palatino Linotype"/>
        </w:rPr>
        <w:t>48,04</w:t>
      </w:r>
      <w:r w:rsidR="00F519A8">
        <w:rPr>
          <w:rFonts w:ascii="Palatino Linotype" w:hAnsi="Palatino Linotype"/>
        </w:rPr>
        <w:t>6</w:t>
      </w:r>
    </w:p>
    <w:p w:rsidRPr="00B36981" w:rsidR="00B36981" w:rsidP="00002671" w:rsidRDefault="00B36981" w14:paraId="729FFC56" w14:textId="04249113">
      <w:pPr>
        <w:pStyle w:val="paragraph"/>
        <w:numPr>
          <w:ilvl w:val="1"/>
          <w:numId w:val="8"/>
        </w:numPr>
        <w:rPr>
          <w:rFonts w:ascii="Palatino Linotype" w:hAnsi="Palatino Linotype"/>
        </w:rPr>
      </w:pPr>
      <w:r w:rsidRPr="00B36981">
        <w:rPr>
          <w:rFonts w:ascii="Palatino Linotype" w:hAnsi="Palatino Linotype"/>
        </w:rPr>
        <w:t xml:space="preserve">Total alleged unauthorized enrollment investigations: </w:t>
      </w:r>
      <w:r w:rsidR="009C5336">
        <w:rPr>
          <w:rFonts w:ascii="Palatino Linotype" w:hAnsi="Palatino Linotype"/>
        </w:rPr>
        <w:t>92</w:t>
      </w:r>
      <w:r w:rsidRPr="00B36981">
        <w:rPr>
          <w:rFonts w:ascii="Palatino Linotype" w:hAnsi="Palatino Linotype"/>
        </w:rPr>
        <w:t>% * $</w:t>
      </w:r>
      <w:r w:rsidR="009C5336">
        <w:rPr>
          <w:rFonts w:ascii="Palatino Linotype" w:hAnsi="Palatino Linotype"/>
        </w:rPr>
        <w:t>604,</w:t>
      </w:r>
      <w:r w:rsidR="00EE7E41">
        <w:rPr>
          <w:rFonts w:ascii="Palatino Linotype" w:hAnsi="Palatino Linotype"/>
        </w:rPr>
        <w:t>639</w:t>
      </w:r>
      <w:r w:rsidRPr="00B36981">
        <w:rPr>
          <w:rFonts w:ascii="Palatino Linotype" w:hAnsi="Palatino Linotype"/>
        </w:rPr>
        <w:t xml:space="preserve"> = $</w:t>
      </w:r>
      <w:r w:rsidR="00EE7E41">
        <w:rPr>
          <w:rFonts w:ascii="Palatino Linotype" w:hAnsi="Palatino Linotype"/>
        </w:rPr>
        <w:t>556,593</w:t>
      </w:r>
    </w:p>
    <w:p w:rsidRPr="00B36981" w:rsidR="00B36981" w:rsidP="00002671" w:rsidRDefault="00B36981" w14:paraId="7EA05C2F" w14:textId="266B1D0C">
      <w:pPr>
        <w:pStyle w:val="paragraph"/>
        <w:numPr>
          <w:ilvl w:val="0"/>
          <w:numId w:val="8"/>
        </w:numPr>
        <w:rPr>
          <w:rFonts w:ascii="Palatino Linotype" w:hAnsi="Palatino Linotype"/>
        </w:rPr>
      </w:pPr>
      <w:r w:rsidRPr="00B36981">
        <w:rPr>
          <w:rFonts w:ascii="Palatino Linotype" w:hAnsi="Palatino Linotype"/>
        </w:rPr>
        <w:t>Alleged unauthorized enrollment investigations: $</w:t>
      </w:r>
      <w:r w:rsidR="00456418">
        <w:rPr>
          <w:rFonts w:ascii="Palatino Linotype" w:hAnsi="Palatino Linotype"/>
        </w:rPr>
        <w:t>55</w:t>
      </w:r>
      <w:r w:rsidR="005A2778">
        <w:rPr>
          <w:rFonts w:ascii="Palatino Linotype" w:hAnsi="Palatino Linotype"/>
        </w:rPr>
        <w:t>6,593</w:t>
      </w:r>
      <w:r w:rsidRPr="00B36981">
        <w:rPr>
          <w:rFonts w:ascii="Palatino Linotype" w:hAnsi="Palatino Linotype"/>
        </w:rPr>
        <w:t xml:space="preserve"> / </w:t>
      </w:r>
      <w:r w:rsidR="003222B6">
        <w:rPr>
          <w:rFonts w:ascii="Palatino Linotype" w:hAnsi="Palatino Linotype"/>
        </w:rPr>
        <w:t>818</w:t>
      </w:r>
      <w:r w:rsidRPr="00B36981">
        <w:rPr>
          <w:rFonts w:ascii="Palatino Linotype" w:hAnsi="Palatino Linotype"/>
        </w:rPr>
        <w:t xml:space="preserve"> complaints = $</w:t>
      </w:r>
      <w:r w:rsidR="005A6A03">
        <w:rPr>
          <w:rFonts w:ascii="Palatino Linotype" w:hAnsi="Palatino Linotype"/>
        </w:rPr>
        <w:t>680.43</w:t>
      </w:r>
      <w:r w:rsidRPr="00B36981">
        <w:rPr>
          <w:rFonts w:ascii="Palatino Linotype" w:hAnsi="Palatino Linotype"/>
        </w:rPr>
        <w:t xml:space="preserve"> per complaint</w:t>
      </w:r>
    </w:p>
    <w:p w:rsidRPr="00B36981" w:rsidR="00B36981" w:rsidP="00002671" w:rsidRDefault="00B36981" w14:paraId="68FD7B78" w14:textId="23657CB0">
      <w:pPr>
        <w:pStyle w:val="paragraph"/>
        <w:numPr>
          <w:ilvl w:val="0"/>
          <w:numId w:val="8"/>
        </w:numPr>
        <w:rPr>
          <w:rFonts w:ascii="Palatino Linotype" w:hAnsi="Palatino Linotype"/>
        </w:rPr>
      </w:pPr>
      <w:r w:rsidRPr="00B36981">
        <w:rPr>
          <w:rFonts w:ascii="Palatino Linotype" w:hAnsi="Palatino Linotype"/>
        </w:rPr>
        <w:t>Enforcement: $</w:t>
      </w:r>
      <w:r w:rsidR="002442C5">
        <w:rPr>
          <w:rFonts w:ascii="Palatino Linotype" w:hAnsi="Palatino Linotype"/>
        </w:rPr>
        <w:t>48,04</w:t>
      </w:r>
      <w:r w:rsidR="001B682D">
        <w:rPr>
          <w:rFonts w:ascii="Palatino Linotype" w:hAnsi="Palatino Linotype"/>
        </w:rPr>
        <w:t>6</w:t>
      </w:r>
      <w:r w:rsidRPr="00B36981">
        <w:rPr>
          <w:rFonts w:ascii="Palatino Linotype" w:hAnsi="Palatino Linotype"/>
        </w:rPr>
        <w:t xml:space="preserve"> / </w:t>
      </w:r>
      <w:r w:rsidR="00AE5741">
        <w:rPr>
          <w:rFonts w:ascii="Palatino Linotype" w:hAnsi="Palatino Linotype"/>
        </w:rPr>
        <w:t>65</w:t>
      </w:r>
      <w:r w:rsidRPr="00B36981">
        <w:rPr>
          <w:rFonts w:ascii="Palatino Linotype" w:hAnsi="Palatino Linotype"/>
        </w:rPr>
        <w:t xml:space="preserve"> UEB actions = $</w:t>
      </w:r>
      <w:r w:rsidR="00AE5741">
        <w:rPr>
          <w:rFonts w:ascii="Palatino Linotype" w:hAnsi="Palatino Linotype"/>
        </w:rPr>
        <w:t>739.17</w:t>
      </w:r>
      <w:r w:rsidRPr="00B36981">
        <w:rPr>
          <w:rFonts w:ascii="Palatino Linotype" w:hAnsi="Palatino Linotype"/>
        </w:rPr>
        <w:t xml:space="preserve"> per action</w:t>
      </w:r>
    </w:p>
    <w:p w:rsidRPr="00B36981" w:rsidR="00B36981" w:rsidP="0073339A" w:rsidRDefault="00B36981" w14:paraId="32CCFD3C" w14:textId="31E9866A">
      <w:pPr>
        <w:pStyle w:val="paragraph"/>
        <w:spacing w:before="0" w:beforeAutospacing="0" w:after="0" w:afterAutospacing="0"/>
        <w:textAlignment w:val="baseline"/>
        <w:rPr>
          <w:rFonts w:ascii="Palatino Linotype" w:hAnsi="Palatino Linotype"/>
        </w:rPr>
      </w:pPr>
      <w:r w:rsidRPr="00B36981">
        <w:rPr>
          <w:rFonts w:ascii="Palatino Linotype" w:hAnsi="Palatino Linotype"/>
        </w:rPr>
        <w:t>For 202</w:t>
      </w:r>
      <w:r w:rsidR="00CA42FC">
        <w:rPr>
          <w:rFonts w:ascii="Palatino Linotype" w:hAnsi="Palatino Linotype"/>
        </w:rPr>
        <w:t>6</w:t>
      </w:r>
      <w:r w:rsidRPr="00B36981">
        <w:rPr>
          <w:rFonts w:ascii="Palatino Linotype" w:hAnsi="Palatino Linotype"/>
        </w:rPr>
        <w:t>, the cost for alleged unauthorized enrollment investigation is $</w:t>
      </w:r>
      <w:r w:rsidR="00B434B0">
        <w:rPr>
          <w:rFonts w:ascii="Palatino Linotype" w:hAnsi="Palatino Linotype"/>
        </w:rPr>
        <w:t>680.43</w:t>
      </w:r>
      <w:r w:rsidRPr="00B36981">
        <w:rPr>
          <w:rFonts w:ascii="Palatino Linotype" w:hAnsi="Palatino Linotype"/>
        </w:rPr>
        <w:t xml:space="preserve"> per unauthorized enrollment complaint, and the cost for enforcement is $</w:t>
      </w:r>
      <w:r w:rsidR="00B208B3">
        <w:rPr>
          <w:rFonts w:ascii="Palatino Linotype" w:hAnsi="Palatino Linotype"/>
        </w:rPr>
        <w:t>739.17</w:t>
      </w:r>
      <w:r w:rsidRPr="00B36981">
        <w:rPr>
          <w:rFonts w:ascii="Palatino Linotype" w:hAnsi="Palatino Linotype"/>
        </w:rPr>
        <w:t xml:space="preserve"> per UEB action.</w:t>
      </w:r>
    </w:p>
    <w:p w:rsidR="4410CFD9" w:rsidDel="003A05CF" w:rsidP="0073339A" w:rsidRDefault="4410CFD9" w14:paraId="0FEA8F9D" w14:textId="278E2056">
      <w:pPr>
        <w:pStyle w:val="paragraph"/>
        <w:spacing w:before="0" w:beforeAutospacing="0" w:after="0" w:afterAutospacing="0"/>
        <w:rPr>
          <w:rFonts w:ascii="Palatino Linotype" w:hAnsi="Palatino Linotype"/>
        </w:rPr>
      </w:pPr>
    </w:p>
    <w:p w:rsidRPr="00EF692D" w:rsidR="00F62C6A" w:rsidP="00F22D8C" w:rsidRDefault="00F62C6A" w14:paraId="05D4C180" w14:textId="415B1866">
      <w:pPr>
        <w:pStyle w:val="Heading2"/>
        <w:rPr>
          <w:u w:val="single"/>
        </w:rPr>
      </w:pPr>
      <w:r w:rsidRPr="00EF692D">
        <w:t>Annual Fee for CTAs</w:t>
      </w:r>
    </w:p>
    <w:p w:rsidR="00A01FDA" w:rsidP="00EA0E82" w:rsidRDefault="00F62C6A" w14:paraId="59C53AD4" w14:textId="41091F03">
      <w:pPr>
        <w:rPr>
          <w:rFonts w:ascii="Palatino Linotype" w:hAnsi="Palatino Linotype" w:cs="Calibri"/>
          <w:sz w:val="24"/>
          <w:szCs w:val="24"/>
        </w:rPr>
      </w:pPr>
      <w:r w:rsidRPr="00EF692D">
        <w:rPr>
          <w:rFonts w:ascii="Palatino Linotype" w:hAnsi="Palatino Linotype" w:cs="Calibri"/>
          <w:sz w:val="24"/>
          <w:szCs w:val="24"/>
        </w:rPr>
        <w:t>The 202</w:t>
      </w:r>
      <w:r w:rsidR="0063668D">
        <w:rPr>
          <w:rFonts w:ascii="Palatino Linotype" w:hAnsi="Palatino Linotype" w:cs="Calibri"/>
          <w:sz w:val="24"/>
          <w:szCs w:val="24"/>
        </w:rPr>
        <w:t>6</w:t>
      </w:r>
      <w:r w:rsidRPr="00EF692D">
        <w:rPr>
          <w:rFonts w:ascii="Palatino Linotype" w:hAnsi="Palatino Linotype" w:cs="Calibri"/>
          <w:sz w:val="24"/>
          <w:szCs w:val="24"/>
        </w:rPr>
        <w:t xml:space="preserve"> Annual Fee </w:t>
      </w:r>
      <w:r w:rsidR="00EA0E82">
        <w:rPr>
          <w:rFonts w:ascii="Palatino Linotype" w:hAnsi="Palatino Linotype" w:cs="Calibri"/>
          <w:sz w:val="24"/>
          <w:szCs w:val="24"/>
        </w:rPr>
        <w:t>shall</w:t>
      </w:r>
      <w:r w:rsidRPr="00EF692D">
        <w:rPr>
          <w:rFonts w:ascii="Palatino Linotype" w:hAnsi="Palatino Linotype" w:cs="Calibri"/>
          <w:sz w:val="24"/>
          <w:szCs w:val="24"/>
        </w:rPr>
        <w:t xml:space="preserve"> be the sum of </w:t>
      </w:r>
      <w:r w:rsidR="00EA0E82">
        <w:rPr>
          <w:rFonts w:ascii="Palatino Linotype" w:hAnsi="Palatino Linotype" w:cs="Calibri"/>
          <w:sz w:val="24"/>
          <w:szCs w:val="24"/>
        </w:rPr>
        <w:t>the</w:t>
      </w:r>
      <w:r w:rsidRPr="00EF692D">
        <w:rPr>
          <w:rFonts w:ascii="Palatino Linotype" w:hAnsi="Palatino Linotype" w:cs="Calibri"/>
          <w:sz w:val="24"/>
          <w:szCs w:val="24"/>
        </w:rPr>
        <w:t xml:space="preserve"> </w:t>
      </w:r>
      <w:r w:rsidRPr="00EF692D" w:rsidR="00FA0FAA">
        <w:rPr>
          <w:rFonts w:ascii="Palatino Linotype" w:hAnsi="Palatino Linotype" w:cs="Calibri"/>
          <w:sz w:val="24"/>
          <w:szCs w:val="24"/>
        </w:rPr>
        <w:t>B</w:t>
      </w:r>
      <w:r w:rsidRPr="00EF692D">
        <w:rPr>
          <w:rFonts w:ascii="Palatino Linotype" w:hAnsi="Palatino Linotype" w:cs="Calibri"/>
          <w:sz w:val="24"/>
          <w:szCs w:val="24"/>
        </w:rPr>
        <w:t xml:space="preserve">ase </w:t>
      </w:r>
      <w:r w:rsidRPr="00EF692D" w:rsidR="00FA0FAA">
        <w:rPr>
          <w:rFonts w:ascii="Palatino Linotype" w:hAnsi="Palatino Linotype" w:cs="Calibri"/>
          <w:sz w:val="24"/>
          <w:szCs w:val="24"/>
        </w:rPr>
        <w:t>F</w:t>
      </w:r>
      <w:r w:rsidRPr="00EF692D">
        <w:rPr>
          <w:rFonts w:ascii="Palatino Linotype" w:hAnsi="Palatino Linotype" w:cs="Calibri"/>
          <w:sz w:val="24"/>
          <w:szCs w:val="24"/>
        </w:rPr>
        <w:t xml:space="preserve">ee and </w:t>
      </w:r>
      <w:r w:rsidR="00EA0E82">
        <w:rPr>
          <w:rFonts w:ascii="Palatino Linotype" w:hAnsi="Palatino Linotype" w:cs="Calibri"/>
          <w:sz w:val="24"/>
          <w:szCs w:val="24"/>
        </w:rPr>
        <w:t>the</w:t>
      </w:r>
      <w:r w:rsidRPr="00EF692D" w:rsidR="00F14078">
        <w:rPr>
          <w:rFonts w:ascii="Palatino Linotype" w:hAnsi="Palatino Linotype" w:cs="Calibri"/>
          <w:sz w:val="24"/>
          <w:szCs w:val="24"/>
        </w:rPr>
        <w:t xml:space="preserve"> </w:t>
      </w:r>
      <w:r w:rsidRPr="00EF692D" w:rsidR="00FA0FAA">
        <w:rPr>
          <w:rFonts w:ascii="Palatino Linotype" w:hAnsi="Palatino Linotype" w:cs="Calibri"/>
          <w:sz w:val="24"/>
          <w:szCs w:val="24"/>
        </w:rPr>
        <w:t>V</w:t>
      </w:r>
      <w:r w:rsidRPr="00EF692D">
        <w:rPr>
          <w:rFonts w:ascii="Palatino Linotype" w:hAnsi="Palatino Linotype" w:cs="Calibri"/>
          <w:sz w:val="24"/>
          <w:szCs w:val="24"/>
        </w:rPr>
        <w:t xml:space="preserve">ariable </w:t>
      </w:r>
      <w:r w:rsidRPr="00EF692D" w:rsidR="00FA0FAA">
        <w:rPr>
          <w:rFonts w:ascii="Palatino Linotype" w:hAnsi="Palatino Linotype" w:cs="Calibri"/>
          <w:sz w:val="24"/>
          <w:szCs w:val="24"/>
        </w:rPr>
        <w:t>Fee</w:t>
      </w:r>
      <w:r w:rsidRPr="00EF692D">
        <w:rPr>
          <w:rFonts w:ascii="Palatino Linotype" w:hAnsi="Palatino Linotype" w:cs="Calibri"/>
          <w:sz w:val="24"/>
          <w:szCs w:val="24"/>
        </w:rPr>
        <w:t>. The 202</w:t>
      </w:r>
      <w:r w:rsidR="0063668D">
        <w:rPr>
          <w:rFonts w:ascii="Palatino Linotype" w:hAnsi="Palatino Linotype" w:cs="Calibri"/>
          <w:sz w:val="24"/>
          <w:szCs w:val="24"/>
        </w:rPr>
        <w:t>6</w:t>
      </w:r>
      <w:r w:rsidRPr="00EF692D">
        <w:rPr>
          <w:rFonts w:ascii="Palatino Linotype" w:hAnsi="Palatino Linotype" w:cs="Calibri"/>
          <w:sz w:val="24"/>
          <w:szCs w:val="24"/>
        </w:rPr>
        <w:t xml:space="preserve"> annual </w:t>
      </w:r>
      <w:r w:rsidRPr="00EF692D" w:rsidR="00FA0FAA">
        <w:rPr>
          <w:rFonts w:ascii="Palatino Linotype" w:hAnsi="Palatino Linotype" w:cs="Calibri"/>
          <w:sz w:val="24"/>
          <w:szCs w:val="24"/>
        </w:rPr>
        <w:t>B</w:t>
      </w:r>
      <w:r w:rsidRPr="00EF692D">
        <w:rPr>
          <w:rFonts w:ascii="Palatino Linotype" w:hAnsi="Palatino Linotype" w:cs="Calibri"/>
          <w:sz w:val="24"/>
          <w:szCs w:val="24"/>
        </w:rPr>
        <w:t xml:space="preserve">ase </w:t>
      </w:r>
      <w:r w:rsidRPr="00EF692D" w:rsidR="00FA0FAA">
        <w:rPr>
          <w:rFonts w:ascii="Palatino Linotype" w:hAnsi="Palatino Linotype" w:cs="Calibri"/>
          <w:sz w:val="24"/>
          <w:szCs w:val="24"/>
        </w:rPr>
        <w:t>F</w:t>
      </w:r>
      <w:r w:rsidRPr="00EF692D">
        <w:rPr>
          <w:rFonts w:ascii="Palatino Linotype" w:hAnsi="Palatino Linotype" w:cs="Calibri"/>
          <w:sz w:val="24"/>
          <w:szCs w:val="24"/>
        </w:rPr>
        <w:t xml:space="preserve">ee for the CTA program </w:t>
      </w:r>
      <w:r w:rsidR="00EA0E82">
        <w:rPr>
          <w:rFonts w:ascii="Palatino Linotype" w:hAnsi="Palatino Linotype" w:cs="Calibri"/>
          <w:sz w:val="24"/>
          <w:szCs w:val="24"/>
        </w:rPr>
        <w:t xml:space="preserve">shall </w:t>
      </w:r>
      <w:r w:rsidR="00087570">
        <w:rPr>
          <w:rFonts w:ascii="Palatino Linotype" w:hAnsi="Palatino Linotype" w:cs="Calibri"/>
          <w:sz w:val="24"/>
          <w:szCs w:val="24"/>
        </w:rPr>
        <w:t>be</w:t>
      </w:r>
      <w:r w:rsidRPr="00EF692D" w:rsidR="00F14078">
        <w:rPr>
          <w:rFonts w:ascii="Palatino Linotype" w:hAnsi="Palatino Linotype" w:cs="Calibri"/>
          <w:sz w:val="24"/>
          <w:szCs w:val="24"/>
        </w:rPr>
        <w:t xml:space="preserve"> $5,000</w:t>
      </w:r>
      <w:r w:rsidRPr="00EF692D" w:rsidR="00121A64">
        <w:rPr>
          <w:rFonts w:ascii="Palatino Linotype" w:hAnsi="Palatino Linotype" w:cs="Calibri"/>
          <w:sz w:val="24"/>
          <w:szCs w:val="24"/>
        </w:rPr>
        <w:t>.</w:t>
      </w:r>
      <w:r w:rsidRPr="00EF692D">
        <w:rPr>
          <w:rFonts w:ascii="Palatino Linotype" w:hAnsi="Palatino Linotype" w:cs="Calibri"/>
          <w:sz w:val="24"/>
          <w:szCs w:val="24"/>
        </w:rPr>
        <w:t xml:space="preserve"> The </w:t>
      </w:r>
      <w:r w:rsidRPr="00EF692D" w:rsidR="00F14078">
        <w:rPr>
          <w:rFonts w:ascii="Palatino Linotype" w:hAnsi="Palatino Linotype" w:cs="Calibri"/>
          <w:sz w:val="24"/>
          <w:szCs w:val="24"/>
        </w:rPr>
        <w:t>V</w:t>
      </w:r>
      <w:r w:rsidRPr="00EF692D">
        <w:rPr>
          <w:rFonts w:ascii="Palatino Linotype" w:hAnsi="Palatino Linotype" w:cs="Calibri"/>
          <w:sz w:val="24"/>
          <w:szCs w:val="24"/>
        </w:rPr>
        <w:t xml:space="preserve">ariable </w:t>
      </w:r>
      <w:r w:rsidRPr="00EF692D" w:rsidR="00F14078">
        <w:rPr>
          <w:rFonts w:ascii="Palatino Linotype" w:hAnsi="Palatino Linotype" w:cs="Calibri"/>
          <w:sz w:val="24"/>
          <w:szCs w:val="24"/>
        </w:rPr>
        <w:t>Fee covers CAB and UEB costs to respond to complaints and take consumer protection actions. The CAB portion of the Variable Fee is $5.</w:t>
      </w:r>
      <w:r w:rsidR="00981BF4">
        <w:rPr>
          <w:rFonts w:ascii="Palatino Linotype" w:hAnsi="Palatino Linotype" w:cs="Calibri"/>
          <w:sz w:val="24"/>
          <w:szCs w:val="24"/>
        </w:rPr>
        <w:t>94</w:t>
      </w:r>
      <w:r w:rsidRPr="00EF692D" w:rsidR="00F14078">
        <w:rPr>
          <w:rFonts w:ascii="Palatino Linotype" w:hAnsi="Palatino Linotype" w:cs="Calibri"/>
          <w:sz w:val="24"/>
          <w:szCs w:val="24"/>
        </w:rPr>
        <w:t xml:space="preserve"> per phone complaint and $1</w:t>
      </w:r>
      <w:r w:rsidR="00981BF4">
        <w:rPr>
          <w:rFonts w:ascii="Palatino Linotype" w:hAnsi="Palatino Linotype" w:cs="Calibri"/>
          <w:sz w:val="24"/>
          <w:szCs w:val="24"/>
        </w:rPr>
        <w:t>8</w:t>
      </w:r>
      <w:r w:rsidRPr="00EF692D" w:rsidR="00F14078">
        <w:rPr>
          <w:rFonts w:ascii="Palatino Linotype" w:hAnsi="Palatino Linotype" w:cs="Calibri"/>
          <w:sz w:val="24"/>
          <w:szCs w:val="24"/>
        </w:rPr>
        <w:t>9.</w:t>
      </w:r>
      <w:r w:rsidR="00981BF4">
        <w:rPr>
          <w:rFonts w:ascii="Palatino Linotype" w:hAnsi="Palatino Linotype" w:cs="Calibri"/>
          <w:sz w:val="24"/>
          <w:szCs w:val="24"/>
        </w:rPr>
        <w:t>5</w:t>
      </w:r>
      <w:r w:rsidRPr="00EF692D" w:rsidR="00F14078">
        <w:rPr>
          <w:rFonts w:ascii="Palatino Linotype" w:hAnsi="Palatino Linotype" w:cs="Calibri"/>
          <w:sz w:val="24"/>
          <w:szCs w:val="24"/>
        </w:rPr>
        <w:t xml:space="preserve">2 per informal written complaint. </w:t>
      </w:r>
      <w:r w:rsidRPr="0028290E" w:rsidR="0028290E">
        <w:rPr>
          <w:rFonts w:ascii="Palatino Linotype" w:hAnsi="Palatino Linotype" w:cs="Calibri"/>
          <w:sz w:val="24"/>
          <w:szCs w:val="24"/>
        </w:rPr>
        <w:t>The Variable Fee for UEB-related costs is $</w:t>
      </w:r>
      <w:r w:rsidR="00981BF4">
        <w:rPr>
          <w:rFonts w:ascii="Palatino Linotype" w:hAnsi="Palatino Linotype" w:cs="Calibri"/>
          <w:sz w:val="24"/>
          <w:szCs w:val="24"/>
        </w:rPr>
        <w:t>680</w:t>
      </w:r>
      <w:r w:rsidR="00FD1E92">
        <w:rPr>
          <w:rFonts w:ascii="Palatino Linotype" w:hAnsi="Palatino Linotype" w:cs="Calibri"/>
          <w:sz w:val="24"/>
          <w:szCs w:val="24"/>
        </w:rPr>
        <w:t>.43</w:t>
      </w:r>
      <w:r w:rsidRPr="0028290E" w:rsidR="0028290E">
        <w:rPr>
          <w:rFonts w:ascii="Palatino Linotype" w:hAnsi="Palatino Linotype" w:cs="Calibri"/>
          <w:sz w:val="24"/>
          <w:szCs w:val="24"/>
        </w:rPr>
        <w:t xml:space="preserve"> per unauthorized enrollment complaint and $7</w:t>
      </w:r>
      <w:r w:rsidR="00FD1E92">
        <w:rPr>
          <w:rFonts w:ascii="Palatino Linotype" w:hAnsi="Palatino Linotype" w:cs="Calibri"/>
          <w:sz w:val="24"/>
          <w:szCs w:val="24"/>
        </w:rPr>
        <w:t>39.17</w:t>
      </w:r>
      <w:r w:rsidRPr="0028290E" w:rsidR="0028290E">
        <w:rPr>
          <w:rFonts w:ascii="Palatino Linotype" w:hAnsi="Palatino Linotype" w:cs="Calibri"/>
          <w:sz w:val="24"/>
          <w:szCs w:val="24"/>
        </w:rPr>
        <w:t xml:space="preserve"> per enforcement action. The Variable Fees owed by each CTA are detailed in Appendix A</w:t>
      </w:r>
      <w:r w:rsidR="00AD5D84">
        <w:rPr>
          <w:rFonts w:ascii="Palatino Linotype" w:hAnsi="Palatino Linotype" w:cs="Calibri"/>
          <w:sz w:val="24"/>
          <w:szCs w:val="24"/>
        </w:rPr>
        <w:t>-1</w:t>
      </w:r>
      <w:r w:rsidRPr="0028290E" w:rsidR="0028290E">
        <w:rPr>
          <w:rFonts w:ascii="Palatino Linotype" w:hAnsi="Palatino Linotype" w:cs="Calibri"/>
          <w:sz w:val="24"/>
          <w:szCs w:val="24"/>
        </w:rPr>
        <w:t xml:space="preserve"> below, which includes the total Annual Fee owed by each CTA. CTAs who receive no complaints do not pay a Variable Fee.</w:t>
      </w:r>
      <w:r w:rsidR="0063585F">
        <w:rPr>
          <w:rFonts w:ascii="Palatino Linotype" w:hAnsi="Palatino Linotype" w:cs="Calibri"/>
          <w:sz w:val="24"/>
          <w:szCs w:val="24"/>
        </w:rPr>
        <w:t xml:space="preserve"> </w:t>
      </w:r>
    </w:p>
    <w:p w:rsidR="00A01FDA" w:rsidP="00EA0E82" w:rsidRDefault="00A01FDA" w14:paraId="55DC705A" w14:textId="77777777">
      <w:pPr>
        <w:rPr>
          <w:rFonts w:ascii="Palatino Linotype" w:hAnsi="Palatino Linotype" w:cs="Calibri"/>
          <w:sz w:val="24"/>
          <w:szCs w:val="24"/>
        </w:rPr>
      </w:pPr>
    </w:p>
    <w:p w:rsidRPr="00EF692D" w:rsidR="00B96D4C" w:rsidP="00EA0E82" w:rsidRDefault="00EA0E82" w14:paraId="6E2CF19B" w14:textId="7176B0BA">
      <w:pPr>
        <w:rPr>
          <w:rFonts w:ascii="Palatino Linotype" w:hAnsi="Palatino Linotype" w:cs="Calibri"/>
          <w:sz w:val="24"/>
          <w:szCs w:val="24"/>
        </w:rPr>
      </w:pPr>
      <w:r>
        <w:rPr>
          <w:rFonts w:ascii="Palatino Linotype" w:hAnsi="Palatino Linotype" w:cs="Calibri"/>
          <w:sz w:val="24"/>
          <w:szCs w:val="24"/>
        </w:rPr>
        <w:t xml:space="preserve">The Annual Fee </w:t>
      </w:r>
      <w:r w:rsidRPr="00EA0E82">
        <w:rPr>
          <w:rFonts w:ascii="Palatino Linotype" w:hAnsi="Palatino Linotype" w:cs="Calibri"/>
          <w:sz w:val="24"/>
          <w:szCs w:val="24"/>
        </w:rPr>
        <w:t>shall be assessed by July 1, 202</w:t>
      </w:r>
      <w:r w:rsidR="00894224">
        <w:rPr>
          <w:rFonts w:ascii="Palatino Linotype" w:hAnsi="Palatino Linotype" w:cs="Calibri"/>
          <w:sz w:val="24"/>
          <w:szCs w:val="24"/>
        </w:rPr>
        <w:t>6</w:t>
      </w:r>
      <w:r w:rsidRPr="00EA0E82">
        <w:rPr>
          <w:rFonts w:ascii="Palatino Linotype" w:hAnsi="Palatino Linotype" w:cs="Calibri"/>
          <w:sz w:val="24"/>
          <w:szCs w:val="24"/>
        </w:rPr>
        <w:t>.</w:t>
      </w:r>
      <w:r>
        <w:rPr>
          <w:rFonts w:ascii="Palatino Linotype" w:hAnsi="Palatino Linotype" w:cs="Calibri"/>
          <w:sz w:val="24"/>
          <w:szCs w:val="24"/>
        </w:rPr>
        <w:t xml:space="preserve"> </w:t>
      </w:r>
      <w:r w:rsidRPr="00EA0E82">
        <w:rPr>
          <w:rFonts w:ascii="Palatino Linotype" w:hAnsi="Palatino Linotype" w:cs="Calibri"/>
          <w:sz w:val="24"/>
          <w:szCs w:val="24"/>
        </w:rPr>
        <w:t xml:space="preserve">Pursuant to Public Utilities Code 984(b), if payment is not received </w:t>
      </w:r>
      <w:r w:rsidR="00A15496">
        <w:rPr>
          <w:rFonts w:ascii="Palatino Linotype" w:hAnsi="Palatino Linotype" w:cs="Calibri"/>
          <w:sz w:val="24"/>
          <w:szCs w:val="24"/>
        </w:rPr>
        <w:t xml:space="preserve">by the CPUC </w:t>
      </w:r>
      <w:r w:rsidRPr="00EA0E82">
        <w:rPr>
          <w:rFonts w:ascii="Palatino Linotype" w:hAnsi="Palatino Linotype" w:cs="Calibri"/>
          <w:sz w:val="24"/>
          <w:szCs w:val="24"/>
        </w:rPr>
        <w:t>within 30 days of billing, a 15-percent late payment penalty will be assessed on the CTA.</w:t>
      </w:r>
    </w:p>
    <w:p w:rsidRPr="00EF692D" w:rsidR="00B6196E" w:rsidP="00B96D4C" w:rsidRDefault="00B6196E" w14:paraId="04F163AB" w14:textId="77777777">
      <w:pPr>
        <w:rPr>
          <w:rFonts w:ascii="Palatino Linotype" w:hAnsi="Palatino Linotype" w:cs="Calibri"/>
          <w:sz w:val="24"/>
          <w:szCs w:val="24"/>
        </w:rPr>
      </w:pPr>
    </w:p>
    <w:p w:rsidRPr="00EF692D" w:rsidR="00B96D4C" w:rsidP="00B96D4C" w:rsidRDefault="00B96D4C" w14:paraId="5EA94C05" w14:textId="1A18DE0C">
      <w:pPr>
        <w:spacing w:line="259" w:lineRule="auto"/>
        <w:rPr>
          <w:rFonts w:ascii="Palatino Linotype" w:hAnsi="Palatino Linotype"/>
          <w:sz w:val="24"/>
          <w:szCs w:val="24"/>
        </w:rPr>
      </w:pPr>
      <w:r w:rsidRPr="00EF692D">
        <w:rPr>
          <w:rFonts w:ascii="Palatino Linotype" w:hAnsi="Palatino Linotype"/>
          <w:sz w:val="24"/>
          <w:szCs w:val="24"/>
        </w:rPr>
        <w:t xml:space="preserve">In subsequent years, Energy Division staff will continue to </w:t>
      </w:r>
      <w:r w:rsidR="001608D2">
        <w:rPr>
          <w:rFonts w:ascii="Palatino Linotype" w:hAnsi="Palatino Linotype"/>
          <w:sz w:val="24"/>
          <w:szCs w:val="24"/>
        </w:rPr>
        <w:t>issue</w:t>
      </w:r>
      <w:r w:rsidRPr="00EF692D">
        <w:rPr>
          <w:rFonts w:ascii="Palatino Linotype" w:hAnsi="Palatino Linotype"/>
          <w:sz w:val="24"/>
          <w:szCs w:val="24"/>
        </w:rPr>
        <w:t xml:space="preserve"> </w:t>
      </w:r>
      <w:r w:rsidR="00EA0E82">
        <w:rPr>
          <w:rFonts w:ascii="Palatino Linotype" w:hAnsi="Palatino Linotype"/>
          <w:sz w:val="24"/>
          <w:szCs w:val="24"/>
        </w:rPr>
        <w:t xml:space="preserve">the </w:t>
      </w:r>
      <w:r w:rsidRPr="00444521" w:rsidR="004E203E">
        <w:rPr>
          <w:rFonts w:ascii="Palatino Linotype" w:hAnsi="Palatino Linotype"/>
          <w:i/>
          <w:iCs/>
          <w:sz w:val="24"/>
          <w:szCs w:val="24"/>
        </w:rPr>
        <w:t>CTA</w:t>
      </w:r>
      <w:r w:rsidRPr="00444521" w:rsidR="001F797B">
        <w:rPr>
          <w:rFonts w:ascii="Palatino Linotype" w:hAnsi="Palatino Linotype"/>
          <w:i/>
          <w:iCs/>
          <w:sz w:val="24"/>
          <w:szCs w:val="24"/>
        </w:rPr>
        <w:t xml:space="preserve"> Annual Report</w:t>
      </w:r>
      <w:r w:rsidR="001F797B">
        <w:rPr>
          <w:rFonts w:ascii="Palatino Linotype" w:hAnsi="Palatino Linotype"/>
          <w:sz w:val="24"/>
          <w:szCs w:val="24"/>
        </w:rPr>
        <w:t xml:space="preserve"> </w:t>
      </w:r>
      <w:r w:rsidRPr="00EF692D">
        <w:rPr>
          <w:rFonts w:ascii="Palatino Linotype" w:hAnsi="Palatino Linotype"/>
          <w:sz w:val="24"/>
          <w:szCs w:val="24"/>
        </w:rPr>
        <w:t xml:space="preserve">to review the administrative </w:t>
      </w:r>
      <w:r w:rsidR="00EA0E82">
        <w:rPr>
          <w:rFonts w:ascii="Palatino Linotype" w:hAnsi="Palatino Linotype"/>
          <w:sz w:val="24"/>
          <w:szCs w:val="24"/>
        </w:rPr>
        <w:t xml:space="preserve">and customer protection </w:t>
      </w:r>
      <w:r w:rsidRPr="00EF692D">
        <w:rPr>
          <w:rFonts w:ascii="Palatino Linotype" w:hAnsi="Palatino Linotype"/>
          <w:sz w:val="24"/>
          <w:szCs w:val="24"/>
        </w:rPr>
        <w:t xml:space="preserve">costs of the CTA program. </w:t>
      </w:r>
      <w:r w:rsidR="00EA0E82">
        <w:rPr>
          <w:rFonts w:ascii="Palatino Linotype" w:hAnsi="Palatino Linotype"/>
          <w:sz w:val="24"/>
          <w:szCs w:val="24"/>
        </w:rPr>
        <w:t xml:space="preserve">The Base Fee shall continue to be $5,000 unless the </w:t>
      </w:r>
      <w:r w:rsidR="001608D2">
        <w:rPr>
          <w:rFonts w:ascii="Palatino Linotype" w:hAnsi="Palatino Linotype"/>
          <w:sz w:val="24"/>
          <w:szCs w:val="24"/>
        </w:rPr>
        <w:t xml:space="preserve">actual administration costs are outside the 20 percent tolerance band. If administrative costs are higher or lower than the tolerance band, a new </w:t>
      </w:r>
      <w:r w:rsidR="009C603E">
        <w:rPr>
          <w:rFonts w:ascii="Palatino Linotype" w:hAnsi="Palatino Linotype"/>
          <w:sz w:val="24"/>
          <w:szCs w:val="24"/>
        </w:rPr>
        <w:t>resolution</w:t>
      </w:r>
      <w:r w:rsidR="001608D2">
        <w:rPr>
          <w:rFonts w:ascii="Palatino Linotype" w:hAnsi="Palatino Linotype"/>
          <w:sz w:val="24"/>
          <w:szCs w:val="24"/>
        </w:rPr>
        <w:t xml:space="preserve"> will be issued. The Variable Fee shall continue to be calculated using the </w:t>
      </w:r>
      <w:r w:rsidR="001608D2">
        <w:rPr>
          <w:rFonts w:ascii="Palatino Linotype" w:hAnsi="Palatino Linotype"/>
          <w:sz w:val="24"/>
          <w:szCs w:val="24"/>
        </w:rPr>
        <w:lastRenderedPageBreak/>
        <w:t>methodolog</w:t>
      </w:r>
      <w:r w:rsidR="003C6AB7">
        <w:rPr>
          <w:rFonts w:ascii="Palatino Linotype" w:hAnsi="Palatino Linotype"/>
          <w:sz w:val="24"/>
          <w:szCs w:val="24"/>
        </w:rPr>
        <w:t>ies</w:t>
      </w:r>
      <w:r w:rsidR="001608D2">
        <w:rPr>
          <w:rFonts w:ascii="Palatino Linotype" w:hAnsi="Palatino Linotype"/>
          <w:sz w:val="24"/>
          <w:szCs w:val="24"/>
        </w:rPr>
        <w:t xml:space="preserve"> described in the Variable Fee section of this </w:t>
      </w:r>
      <w:r w:rsidR="009C603E">
        <w:rPr>
          <w:rFonts w:ascii="Palatino Linotype" w:hAnsi="Palatino Linotype"/>
          <w:sz w:val="24"/>
          <w:szCs w:val="24"/>
        </w:rPr>
        <w:t>resolution</w:t>
      </w:r>
      <w:r w:rsidR="001608D2">
        <w:rPr>
          <w:rFonts w:ascii="Palatino Linotype" w:hAnsi="Palatino Linotype"/>
          <w:sz w:val="24"/>
          <w:szCs w:val="24"/>
        </w:rPr>
        <w:t>.</w:t>
      </w:r>
      <w:r w:rsidR="000D1507">
        <w:rPr>
          <w:rFonts w:ascii="Palatino Linotype" w:hAnsi="Palatino Linotype"/>
          <w:sz w:val="24"/>
          <w:szCs w:val="24"/>
        </w:rPr>
        <w:t xml:space="preserve"> </w:t>
      </w:r>
      <w:r w:rsidR="001C17BC">
        <w:rPr>
          <w:rFonts w:ascii="Palatino Linotype" w:hAnsi="Palatino Linotype"/>
          <w:sz w:val="24"/>
          <w:szCs w:val="24"/>
        </w:rPr>
        <w:t>T</w:t>
      </w:r>
      <w:r w:rsidR="00F463F3">
        <w:rPr>
          <w:rFonts w:ascii="Palatino Linotype" w:hAnsi="Palatino Linotype"/>
          <w:sz w:val="24"/>
          <w:szCs w:val="24"/>
        </w:rPr>
        <w:t xml:space="preserve">he CPUC </w:t>
      </w:r>
      <w:r w:rsidR="001C17BC">
        <w:rPr>
          <w:rFonts w:ascii="Palatino Linotype" w:hAnsi="Palatino Linotype"/>
          <w:sz w:val="24"/>
          <w:szCs w:val="24"/>
        </w:rPr>
        <w:t xml:space="preserve">will issue a new resolution if it </w:t>
      </w:r>
      <w:r w:rsidR="00F463F3">
        <w:rPr>
          <w:rFonts w:ascii="Palatino Linotype" w:hAnsi="Palatino Linotype"/>
          <w:sz w:val="24"/>
          <w:szCs w:val="24"/>
        </w:rPr>
        <w:t>wishes to propose a change to the methodology</w:t>
      </w:r>
      <w:r w:rsidR="00BC39F4">
        <w:rPr>
          <w:rFonts w:ascii="Palatino Linotype" w:hAnsi="Palatino Linotype"/>
          <w:sz w:val="24"/>
          <w:szCs w:val="24"/>
        </w:rPr>
        <w:t>.</w:t>
      </w:r>
    </w:p>
    <w:p w:rsidRPr="00EF692D" w:rsidR="00B96D4C" w:rsidP="00B96D4C" w:rsidRDefault="00B96D4C" w14:paraId="1FD65461" w14:textId="6645E717">
      <w:pPr>
        <w:rPr>
          <w:rFonts w:ascii="Palatino Linotype" w:hAnsi="Palatino Linotype"/>
          <w:sz w:val="24"/>
          <w:szCs w:val="24"/>
        </w:rPr>
      </w:pPr>
    </w:p>
    <w:p w:rsidR="00E06091" w:rsidP="00E06091" w:rsidRDefault="006C51CA" w14:paraId="2249EA90" w14:textId="586BFB90">
      <w:pPr>
        <w:rPr>
          <w:rFonts w:ascii="Palatino Linotype" w:hAnsi="Palatino Linotype"/>
        </w:rPr>
      </w:pPr>
      <w:r w:rsidRPr="00EF692D">
        <w:rPr>
          <w:rFonts w:ascii="Palatino Linotype" w:hAnsi="Palatino Linotype"/>
          <w:sz w:val="24"/>
          <w:szCs w:val="24"/>
        </w:rPr>
        <w:t xml:space="preserve">CPUC </w:t>
      </w:r>
      <w:r w:rsidRPr="00EF692D" w:rsidR="00E06091">
        <w:rPr>
          <w:rFonts w:ascii="Palatino Linotype" w:hAnsi="Palatino Linotype"/>
          <w:sz w:val="24"/>
          <w:szCs w:val="24"/>
        </w:rPr>
        <w:t xml:space="preserve">staff </w:t>
      </w:r>
      <w:proofErr w:type="gramStart"/>
      <w:r w:rsidRPr="00EF692D" w:rsidR="00E06091">
        <w:rPr>
          <w:rFonts w:ascii="Palatino Linotype" w:hAnsi="Palatino Linotype"/>
          <w:sz w:val="24"/>
          <w:szCs w:val="24"/>
        </w:rPr>
        <w:t>s</w:t>
      </w:r>
      <w:r w:rsidR="001608D2">
        <w:rPr>
          <w:rFonts w:ascii="Palatino Linotype" w:hAnsi="Palatino Linotype"/>
          <w:sz w:val="24"/>
          <w:szCs w:val="24"/>
        </w:rPr>
        <w:t>hall</w:t>
      </w:r>
      <w:proofErr w:type="gramEnd"/>
      <w:r w:rsidR="001608D2">
        <w:rPr>
          <w:rFonts w:ascii="Palatino Linotype" w:hAnsi="Palatino Linotype"/>
          <w:sz w:val="24"/>
          <w:szCs w:val="24"/>
        </w:rPr>
        <w:t xml:space="preserve"> </w:t>
      </w:r>
      <w:r w:rsidRPr="00EF692D" w:rsidR="00E06091">
        <w:rPr>
          <w:rFonts w:ascii="Palatino Linotype" w:hAnsi="Palatino Linotype"/>
          <w:sz w:val="24"/>
          <w:szCs w:val="24"/>
        </w:rPr>
        <w:t>monitor potential CTA cancellations or a decline in registrations for signs that the fee is deterring market entry.</w:t>
      </w:r>
      <w:r w:rsidRPr="00EF692D" w:rsidR="006A2A4D">
        <w:rPr>
          <w:rFonts w:ascii="Palatino Linotype" w:hAnsi="Palatino Linotype"/>
          <w:sz w:val="24"/>
          <w:szCs w:val="24"/>
        </w:rPr>
        <w:t xml:space="preserve"> </w:t>
      </w:r>
      <w:r w:rsidRPr="00EF692D" w:rsidR="00E06091">
        <w:rPr>
          <w:rFonts w:ascii="Palatino Linotype" w:hAnsi="Palatino Linotype"/>
          <w:sz w:val="24"/>
          <w:szCs w:val="24"/>
        </w:rPr>
        <w:t xml:space="preserve">Staff may propose a revised fee by </w:t>
      </w:r>
      <w:r w:rsidR="009C603E">
        <w:rPr>
          <w:rFonts w:ascii="Palatino Linotype" w:hAnsi="Palatino Linotype"/>
          <w:sz w:val="24"/>
          <w:szCs w:val="24"/>
        </w:rPr>
        <w:t>resolution</w:t>
      </w:r>
      <w:r w:rsidRPr="00EF692D" w:rsidR="00E06091">
        <w:rPr>
          <w:rFonts w:ascii="Palatino Linotype" w:hAnsi="Palatino Linotype"/>
          <w:sz w:val="24"/>
          <w:szCs w:val="24"/>
        </w:rPr>
        <w:t xml:space="preserve"> on staff’s own motion should a change to this annual fee be necessary in the future. </w:t>
      </w:r>
      <w:r w:rsidRPr="00EF692D" w:rsidR="00E06091">
        <w:rPr>
          <w:sz w:val="24"/>
          <w:szCs w:val="24"/>
        </w:rPr>
        <w:tab/>
      </w:r>
      <w:r w:rsidRPr="0F738376" w:rsidR="00E06091">
        <w:rPr>
          <w:rFonts w:ascii="Palatino Linotype" w:hAnsi="Palatino Linotype"/>
        </w:rPr>
        <w:t xml:space="preserve"> </w:t>
      </w:r>
    </w:p>
    <w:p w:rsidRPr="00BC04E2" w:rsidR="00CC5A9D" w:rsidP="00E06091" w:rsidRDefault="00CC5A9D" w14:paraId="3E0C90E7" w14:textId="77777777">
      <w:pPr>
        <w:rPr>
          <w:rFonts w:ascii="Palatino Linotype" w:hAnsi="Palatino Linotype"/>
        </w:rPr>
      </w:pPr>
    </w:p>
    <w:p w:rsidR="00CF17DE" w:rsidRDefault="00CF17DE" w14:paraId="16A82360" w14:textId="77777777">
      <w:pPr>
        <w:pStyle w:val="Heading1"/>
      </w:pPr>
      <w:r>
        <w:t>Comments</w:t>
      </w:r>
    </w:p>
    <w:p w:rsidRPr="00EF692D" w:rsidR="00090457" w:rsidP="00090457" w:rsidRDefault="00090457" w14:paraId="029F8842" w14:textId="5C5DA355">
      <w:pPr>
        <w:rPr>
          <w:rFonts w:ascii="Palatino Linotype" w:hAnsi="Palatino Linotype"/>
          <w:sz w:val="24"/>
          <w:szCs w:val="24"/>
        </w:rPr>
      </w:pPr>
      <w:r w:rsidRPr="00EF692D">
        <w:rPr>
          <w:rFonts w:ascii="Palatino Linotype" w:hAnsi="Palatino Linotype"/>
          <w:sz w:val="24"/>
          <w:szCs w:val="24"/>
        </w:rPr>
        <w:t xml:space="preserve">Public Utilities Code section 311(g)(1) provides that this </w:t>
      </w:r>
      <w:r w:rsidR="009C603E">
        <w:rPr>
          <w:rFonts w:ascii="Palatino Linotype" w:hAnsi="Palatino Linotype"/>
          <w:sz w:val="24"/>
          <w:szCs w:val="24"/>
        </w:rPr>
        <w:t>resolution</w:t>
      </w:r>
      <w:r w:rsidRPr="00EF692D">
        <w:rPr>
          <w:rFonts w:ascii="Palatino Linotype" w:hAnsi="Palatino Linotype"/>
          <w:sz w:val="24"/>
          <w:szCs w:val="24"/>
        </w:rPr>
        <w:t xml:space="preserve">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EF692D" w:rsidR="0024459D" w:rsidP="0024459D" w:rsidRDefault="0024459D" w14:paraId="1030F211" w14:textId="77777777">
      <w:pPr>
        <w:rPr>
          <w:rFonts w:ascii="Palatino Linotype" w:hAnsi="Palatino Linotype"/>
          <w:sz w:val="24"/>
          <w:szCs w:val="24"/>
        </w:rPr>
      </w:pPr>
    </w:p>
    <w:p w:rsidR="0024459D" w:rsidP="0024459D" w:rsidRDefault="0024459D" w14:paraId="40C33EDB" w14:textId="56CFDDE0">
      <w:pPr>
        <w:rPr>
          <w:rFonts w:ascii="Palatino Linotype" w:hAnsi="Palatino Linotype"/>
          <w:sz w:val="24"/>
          <w:szCs w:val="24"/>
        </w:rPr>
      </w:pPr>
      <w:r w:rsidRPr="00EF692D">
        <w:rPr>
          <w:rFonts w:ascii="Palatino Linotype" w:hAnsi="Palatino Linotype"/>
          <w:sz w:val="24"/>
          <w:szCs w:val="24"/>
        </w:rPr>
        <w:t>The 30-day review and 20-day comment period for the draft of this resolution was neither waived nor reduced.</w:t>
      </w:r>
      <w:r w:rsidRPr="00EF692D" w:rsidR="006A2A4D">
        <w:rPr>
          <w:rFonts w:ascii="Palatino Linotype" w:hAnsi="Palatino Linotype"/>
          <w:sz w:val="24"/>
          <w:szCs w:val="24"/>
        </w:rPr>
        <w:t xml:space="preserve"> </w:t>
      </w:r>
      <w:r w:rsidRPr="00EF692D">
        <w:rPr>
          <w:rFonts w:ascii="Palatino Linotype" w:hAnsi="Palatino Linotype"/>
          <w:sz w:val="24"/>
          <w:szCs w:val="24"/>
        </w:rPr>
        <w:t xml:space="preserve">Accordingly, this draft resolution was mailed to parties for </w:t>
      </w:r>
      <w:r w:rsidRPr="00EF692D" w:rsidR="003412B8">
        <w:rPr>
          <w:rFonts w:ascii="Palatino Linotype" w:hAnsi="Palatino Linotype"/>
          <w:sz w:val="24"/>
          <w:szCs w:val="24"/>
        </w:rPr>
        <w:t>comments and</w:t>
      </w:r>
      <w:r w:rsidRPr="00EF692D">
        <w:rPr>
          <w:rFonts w:ascii="Palatino Linotype" w:hAnsi="Palatino Linotype"/>
          <w:sz w:val="24"/>
          <w:szCs w:val="24"/>
        </w:rPr>
        <w:t xml:space="preserve"> will be placed on the Commission</w:t>
      </w:r>
      <w:r w:rsidRPr="00EF692D" w:rsidR="00093719">
        <w:rPr>
          <w:rFonts w:ascii="Palatino Linotype" w:hAnsi="Palatino Linotype"/>
          <w:sz w:val="24"/>
          <w:szCs w:val="24"/>
        </w:rPr>
        <w:t>’</w:t>
      </w:r>
      <w:r w:rsidRPr="00EF692D">
        <w:rPr>
          <w:rFonts w:ascii="Palatino Linotype" w:hAnsi="Palatino Linotype"/>
          <w:sz w:val="24"/>
          <w:szCs w:val="24"/>
        </w:rPr>
        <w:t>s agenda no earlier than 30 days from today.</w:t>
      </w:r>
    </w:p>
    <w:p w:rsidR="008A7164" w:rsidP="0024459D" w:rsidRDefault="008A7164" w14:paraId="07943BE9" w14:textId="77777777">
      <w:pPr>
        <w:rPr>
          <w:rFonts w:ascii="Palatino Linotype" w:hAnsi="Palatino Linotype"/>
          <w:sz w:val="24"/>
          <w:szCs w:val="24"/>
        </w:rPr>
      </w:pPr>
    </w:p>
    <w:p w:rsidRPr="002A2A3B" w:rsidR="008A7164" w:rsidP="0024459D" w:rsidRDefault="00C84349" w14:paraId="733C4185" w14:textId="3F81E041">
      <w:pPr>
        <w:rPr>
          <w:rFonts w:ascii="Palatino Linotype" w:hAnsi="Palatino Linotype"/>
          <w:sz w:val="24"/>
          <w:szCs w:val="24"/>
        </w:rPr>
      </w:pPr>
      <w:r>
        <w:rPr>
          <w:rFonts w:ascii="Palatino Linotype" w:hAnsi="Palatino Linotype"/>
          <w:sz w:val="24"/>
          <w:szCs w:val="24"/>
        </w:rPr>
        <w:t xml:space="preserve">The CPUC </w:t>
      </w:r>
      <w:r w:rsidR="000C5532">
        <w:rPr>
          <w:rFonts w:ascii="Palatino Linotype" w:hAnsi="Palatino Linotype"/>
          <w:sz w:val="24"/>
          <w:szCs w:val="24"/>
        </w:rPr>
        <w:t xml:space="preserve">received </w:t>
      </w:r>
      <w:r>
        <w:rPr>
          <w:rFonts w:ascii="Palatino Linotype" w:hAnsi="Palatino Linotype"/>
          <w:sz w:val="24"/>
          <w:szCs w:val="24"/>
        </w:rPr>
        <w:t xml:space="preserve">two comments </w:t>
      </w:r>
      <w:r w:rsidRPr="002A2A3B" w:rsidR="00A828BE">
        <w:rPr>
          <w:rFonts w:ascii="Palatino Linotype" w:hAnsi="Palatino Linotype"/>
          <w:sz w:val="24"/>
          <w:szCs w:val="24"/>
        </w:rPr>
        <w:t>o</w:t>
      </w:r>
      <w:r w:rsidRPr="002A2A3B" w:rsidR="001B068F">
        <w:rPr>
          <w:rFonts w:ascii="Palatino Linotype" w:hAnsi="Palatino Linotype"/>
          <w:sz w:val="24"/>
          <w:szCs w:val="24"/>
        </w:rPr>
        <w:t>n the</w:t>
      </w:r>
      <w:r w:rsidRPr="002A2A3B" w:rsidR="00A828BE">
        <w:rPr>
          <w:rFonts w:ascii="Palatino Linotype" w:hAnsi="Palatino Linotype"/>
          <w:sz w:val="24"/>
          <w:szCs w:val="24"/>
        </w:rPr>
        <w:t xml:space="preserve"> </w:t>
      </w:r>
      <w:r w:rsidRPr="002A2A3B" w:rsidR="001B068F">
        <w:rPr>
          <w:rFonts w:ascii="Palatino Linotype" w:hAnsi="Palatino Linotype"/>
          <w:sz w:val="24"/>
          <w:szCs w:val="24"/>
        </w:rPr>
        <w:t>D</w:t>
      </w:r>
      <w:r w:rsidRPr="002A2A3B" w:rsidR="00A828BE">
        <w:rPr>
          <w:rFonts w:ascii="Palatino Linotype" w:hAnsi="Palatino Linotype"/>
          <w:sz w:val="24"/>
          <w:szCs w:val="24"/>
        </w:rPr>
        <w:t xml:space="preserve">raft </w:t>
      </w:r>
      <w:r w:rsidRPr="002A2A3B" w:rsidR="001B068F">
        <w:rPr>
          <w:rFonts w:ascii="Palatino Linotype" w:hAnsi="Palatino Linotype"/>
          <w:sz w:val="24"/>
          <w:szCs w:val="24"/>
        </w:rPr>
        <w:t>R</w:t>
      </w:r>
      <w:r w:rsidRPr="002A2A3B" w:rsidR="00A828BE">
        <w:rPr>
          <w:rFonts w:ascii="Palatino Linotype" w:hAnsi="Palatino Linotype"/>
          <w:sz w:val="24"/>
          <w:szCs w:val="24"/>
        </w:rPr>
        <w:t>esolution</w:t>
      </w:r>
      <w:r w:rsidR="00A0357D">
        <w:rPr>
          <w:rFonts w:ascii="Palatino Linotype" w:hAnsi="Palatino Linotype"/>
          <w:sz w:val="24"/>
          <w:szCs w:val="24"/>
        </w:rPr>
        <w:t xml:space="preserve"> on May 26,</w:t>
      </w:r>
      <w:r w:rsidR="002144A4">
        <w:rPr>
          <w:rFonts w:ascii="Palatino Linotype" w:hAnsi="Palatino Linotype"/>
          <w:sz w:val="24"/>
          <w:szCs w:val="24"/>
        </w:rPr>
        <w:t xml:space="preserve"> </w:t>
      </w:r>
      <w:r w:rsidR="00A0357D">
        <w:rPr>
          <w:rFonts w:ascii="Palatino Linotype" w:hAnsi="Palatino Linotype"/>
          <w:sz w:val="24"/>
          <w:szCs w:val="24"/>
        </w:rPr>
        <w:t>2026</w:t>
      </w:r>
      <w:r w:rsidRPr="002A2A3B" w:rsidR="00A828BE">
        <w:rPr>
          <w:rFonts w:ascii="Palatino Linotype" w:hAnsi="Palatino Linotype"/>
          <w:sz w:val="24"/>
          <w:szCs w:val="24"/>
        </w:rPr>
        <w:t xml:space="preserve">. </w:t>
      </w:r>
      <w:r w:rsidR="000C5532">
        <w:rPr>
          <w:rFonts w:ascii="Palatino Linotype" w:hAnsi="Palatino Linotype"/>
          <w:sz w:val="24"/>
          <w:szCs w:val="24"/>
        </w:rPr>
        <w:t>One</w:t>
      </w:r>
      <w:r w:rsidR="00121BD7">
        <w:rPr>
          <w:rFonts w:ascii="Palatino Linotype" w:hAnsi="Palatino Linotype"/>
          <w:sz w:val="24"/>
          <w:szCs w:val="24"/>
        </w:rPr>
        <w:t xml:space="preserve"> comment</w:t>
      </w:r>
      <w:r w:rsidR="000C5532">
        <w:rPr>
          <w:rFonts w:ascii="Palatino Linotype" w:hAnsi="Palatino Linotype"/>
          <w:sz w:val="24"/>
          <w:szCs w:val="24"/>
        </w:rPr>
        <w:t xml:space="preserve"> was submitted by </w:t>
      </w:r>
      <w:r w:rsidRPr="002A2A3B" w:rsidR="00A828BE">
        <w:rPr>
          <w:rFonts w:ascii="Palatino Linotype" w:hAnsi="Palatino Linotype"/>
          <w:sz w:val="24"/>
          <w:szCs w:val="24"/>
        </w:rPr>
        <w:t>AAA Natural Gas</w:t>
      </w:r>
      <w:r w:rsidRPr="002A2A3B" w:rsidR="0099525F">
        <w:rPr>
          <w:rFonts w:ascii="Palatino Linotype" w:hAnsi="Palatino Linotype"/>
          <w:sz w:val="24"/>
          <w:szCs w:val="24"/>
        </w:rPr>
        <w:t xml:space="preserve">, </w:t>
      </w:r>
      <w:r w:rsidR="00F07DC7">
        <w:rPr>
          <w:rFonts w:ascii="Palatino Linotype" w:hAnsi="Palatino Linotype"/>
          <w:sz w:val="24"/>
          <w:szCs w:val="24"/>
        </w:rPr>
        <w:t>Inc.</w:t>
      </w:r>
      <w:r w:rsidR="00483CF8">
        <w:rPr>
          <w:rFonts w:ascii="Palatino Linotype" w:hAnsi="Palatino Linotype"/>
          <w:sz w:val="24"/>
          <w:szCs w:val="24"/>
        </w:rPr>
        <w:t xml:space="preserve"> and</w:t>
      </w:r>
      <w:r w:rsidR="00BF6FF1">
        <w:rPr>
          <w:rFonts w:ascii="Palatino Linotype" w:hAnsi="Palatino Linotype"/>
          <w:sz w:val="24"/>
          <w:szCs w:val="24"/>
        </w:rPr>
        <w:t xml:space="preserve"> </w:t>
      </w:r>
      <w:r w:rsidRPr="00BF6FF1" w:rsidR="00BF6FF1">
        <w:rPr>
          <w:rFonts w:ascii="Palatino Linotype" w:hAnsi="Palatino Linotype"/>
          <w:sz w:val="24"/>
          <w:szCs w:val="24"/>
        </w:rPr>
        <w:t xml:space="preserve">United Energy Trading, LLC d/b/a </w:t>
      </w:r>
      <w:proofErr w:type="spellStart"/>
      <w:r w:rsidRPr="00BF6FF1" w:rsidR="00BF6FF1">
        <w:rPr>
          <w:rFonts w:ascii="Palatino Linotype" w:hAnsi="Palatino Linotype"/>
          <w:sz w:val="24"/>
          <w:szCs w:val="24"/>
        </w:rPr>
        <w:t>Callective</w:t>
      </w:r>
      <w:proofErr w:type="spellEnd"/>
      <w:r w:rsidRPr="00BF6FF1" w:rsidR="00BF6FF1">
        <w:rPr>
          <w:rFonts w:ascii="Palatino Linotype" w:hAnsi="Palatino Linotype"/>
          <w:sz w:val="24"/>
          <w:szCs w:val="24"/>
        </w:rPr>
        <w:t xml:space="preserve"> Energy</w:t>
      </w:r>
      <w:r w:rsidR="00BF6FF1">
        <w:rPr>
          <w:rFonts w:ascii="Palatino Linotype" w:hAnsi="Palatino Linotype"/>
          <w:sz w:val="24"/>
          <w:szCs w:val="24"/>
        </w:rPr>
        <w:t xml:space="preserve"> (</w:t>
      </w:r>
      <w:r w:rsidR="007F4241">
        <w:rPr>
          <w:rFonts w:ascii="Palatino Linotype" w:hAnsi="Palatino Linotype"/>
          <w:sz w:val="24"/>
          <w:szCs w:val="24"/>
        </w:rPr>
        <w:t>the Joint CTAs)</w:t>
      </w:r>
      <w:r w:rsidR="00171BF0">
        <w:rPr>
          <w:rFonts w:ascii="Palatino Linotype" w:hAnsi="Palatino Linotype"/>
          <w:sz w:val="24"/>
          <w:szCs w:val="24"/>
        </w:rPr>
        <w:t xml:space="preserve"> with support from </w:t>
      </w:r>
      <w:r w:rsidRPr="00171BF0" w:rsidR="00171BF0">
        <w:rPr>
          <w:rFonts w:ascii="Palatino Linotype" w:hAnsi="Palatino Linotype"/>
          <w:sz w:val="24"/>
          <w:szCs w:val="24"/>
        </w:rPr>
        <w:t>Bolt Energy, Wave Energy, and Smart One Energy</w:t>
      </w:r>
      <w:r w:rsidR="00171BF0">
        <w:rPr>
          <w:rFonts w:ascii="Palatino Linotype" w:hAnsi="Palatino Linotype"/>
          <w:sz w:val="24"/>
          <w:szCs w:val="24"/>
        </w:rPr>
        <w:t>. The</w:t>
      </w:r>
      <w:r w:rsidR="002C2B1F">
        <w:rPr>
          <w:rFonts w:ascii="Palatino Linotype" w:hAnsi="Palatino Linotype"/>
          <w:sz w:val="24"/>
          <w:szCs w:val="24"/>
        </w:rPr>
        <w:t xml:space="preserve"> second </w:t>
      </w:r>
      <w:r>
        <w:rPr>
          <w:rFonts w:ascii="Palatino Linotype" w:hAnsi="Palatino Linotype"/>
          <w:sz w:val="24"/>
          <w:szCs w:val="24"/>
        </w:rPr>
        <w:t xml:space="preserve">comment </w:t>
      </w:r>
      <w:r w:rsidR="002C2B1F">
        <w:rPr>
          <w:rFonts w:ascii="Palatino Linotype" w:hAnsi="Palatino Linotype"/>
          <w:sz w:val="24"/>
          <w:szCs w:val="24"/>
        </w:rPr>
        <w:t>was submitted by</w:t>
      </w:r>
      <w:r w:rsidRPr="002A2A3B" w:rsidR="0099525F">
        <w:rPr>
          <w:rFonts w:ascii="Palatino Linotype" w:hAnsi="Palatino Linotype"/>
          <w:sz w:val="24"/>
          <w:szCs w:val="24"/>
        </w:rPr>
        <w:t xml:space="preserve"> SFE Energy </w:t>
      </w:r>
      <w:r w:rsidR="006C7AB1">
        <w:rPr>
          <w:rFonts w:ascii="Palatino Linotype" w:hAnsi="Palatino Linotype"/>
          <w:sz w:val="24"/>
          <w:szCs w:val="24"/>
        </w:rPr>
        <w:t>California,</w:t>
      </w:r>
      <w:r w:rsidRPr="002A2A3B" w:rsidR="0099525F">
        <w:rPr>
          <w:rFonts w:ascii="Palatino Linotype" w:hAnsi="Palatino Linotype"/>
          <w:sz w:val="24"/>
          <w:szCs w:val="24"/>
        </w:rPr>
        <w:t xml:space="preserve"> Inc</w:t>
      </w:r>
      <w:r w:rsidR="006C7AB1">
        <w:rPr>
          <w:rFonts w:ascii="Palatino Linotype" w:hAnsi="Palatino Linotype"/>
          <w:sz w:val="24"/>
          <w:szCs w:val="24"/>
        </w:rPr>
        <w:t>.</w:t>
      </w:r>
      <w:r w:rsidRPr="002A2A3B" w:rsidR="0099525F">
        <w:rPr>
          <w:rFonts w:ascii="Palatino Linotype" w:hAnsi="Palatino Linotype"/>
          <w:sz w:val="24"/>
          <w:szCs w:val="24"/>
        </w:rPr>
        <w:t xml:space="preserve"> and </w:t>
      </w:r>
      <w:proofErr w:type="spellStart"/>
      <w:r w:rsidRPr="002A2A3B" w:rsidR="0099525F">
        <w:rPr>
          <w:rFonts w:ascii="Palatino Linotype" w:hAnsi="Palatino Linotype"/>
          <w:sz w:val="24"/>
          <w:szCs w:val="24"/>
        </w:rPr>
        <w:t>StateWise</w:t>
      </w:r>
      <w:proofErr w:type="spellEnd"/>
      <w:r w:rsidRPr="002A2A3B" w:rsidR="0099525F">
        <w:rPr>
          <w:rFonts w:ascii="Palatino Linotype" w:hAnsi="Palatino Linotype"/>
          <w:sz w:val="24"/>
          <w:szCs w:val="24"/>
        </w:rPr>
        <w:t xml:space="preserve"> Energy</w:t>
      </w:r>
      <w:r w:rsidRPr="002A2A3B" w:rsidR="003F50FF">
        <w:rPr>
          <w:rFonts w:ascii="Palatino Linotype" w:hAnsi="Palatino Linotype"/>
          <w:sz w:val="24"/>
          <w:szCs w:val="24"/>
        </w:rPr>
        <w:t xml:space="preserve"> California LLC</w:t>
      </w:r>
      <w:r w:rsidR="001B3218">
        <w:rPr>
          <w:rFonts w:ascii="Palatino Linotype" w:hAnsi="Palatino Linotype"/>
          <w:sz w:val="24"/>
          <w:szCs w:val="24"/>
        </w:rPr>
        <w:t>.</w:t>
      </w:r>
    </w:p>
    <w:p w:rsidR="0024459D" w:rsidP="0024459D" w:rsidRDefault="0024459D" w14:paraId="2A500E66" w14:textId="77777777"/>
    <w:p w:rsidR="00005506" w:rsidP="0024459D" w:rsidRDefault="00171BF0" w14:paraId="118ADCE1" w14:textId="28FC9282">
      <w:pPr>
        <w:rPr>
          <w:rFonts w:ascii="Palatino Linotype" w:hAnsi="Palatino Linotype"/>
          <w:sz w:val="24"/>
          <w:szCs w:val="24"/>
        </w:rPr>
      </w:pPr>
      <w:r>
        <w:rPr>
          <w:rFonts w:ascii="Palatino Linotype" w:hAnsi="Palatino Linotype"/>
          <w:sz w:val="24"/>
          <w:szCs w:val="24"/>
        </w:rPr>
        <w:t xml:space="preserve">The Joint CTAs </w:t>
      </w:r>
      <w:r w:rsidRPr="002A2A3B" w:rsidR="009A321E">
        <w:rPr>
          <w:rFonts w:ascii="Palatino Linotype" w:hAnsi="Palatino Linotype"/>
          <w:sz w:val="24"/>
          <w:szCs w:val="24"/>
        </w:rPr>
        <w:t xml:space="preserve">contend that </w:t>
      </w:r>
      <w:r w:rsidRPr="002A2A3B" w:rsidR="00510F0C">
        <w:rPr>
          <w:rFonts w:ascii="Palatino Linotype" w:hAnsi="Palatino Linotype"/>
          <w:sz w:val="24"/>
          <w:szCs w:val="24"/>
        </w:rPr>
        <w:t xml:space="preserve">the </w:t>
      </w:r>
      <w:r w:rsidRPr="002A2A3B" w:rsidR="005315B2">
        <w:rPr>
          <w:rFonts w:ascii="Palatino Linotype" w:hAnsi="Palatino Linotype"/>
          <w:sz w:val="24"/>
          <w:szCs w:val="24"/>
        </w:rPr>
        <w:t>C</w:t>
      </w:r>
      <w:r w:rsidRPr="002A2A3B" w:rsidR="00C27B92">
        <w:rPr>
          <w:rFonts w:ascii="Palatino Linotype" w:hAnsi="Palatino Linotype"/>
          <w:sz w:val="24"/>
          <w:szCs w:val="24"/>
        </w:rPr>
        <w:t>TA</w:t>
      </w:r>
      <w:r w:rsidRPr="002A2A3B" w:rsidR="005315B2">
        <w:rPr>
          <w:rFonts w:ascii="Palatino Linotype" w:hAnsi="Palatino Linotype"/>
          <w:sz w:val="24"/>
          <w:szCs w:val="24"/>
        </w:rPr>
        <w:t xml:space="preserve"> Annual Fee </w:t>
      </w:r>
      <w:r w:rsidR="000B6C70">
        <w:rPr>
          <w:rFonts w:ascii="Palatino Linotype" w:hAnsi="Palatino Linotype"/>
          <w:sz w:val="24"/>
          <w:szCs w:val="24"/>
        </w:rPr>
        <w:t>(Annual Fee)</w:t>
      </w:r>
      <w:r w:rsidRPr="002A2A3B" w:rsidR="005315B2">
        <w:rPr>
          <w:rFonts w:ascii="Palatino Linotype" w:hAnsi="Palatino Linotype"/>
          <w:sz w:val="24"/>
          <w:szCs w:val="24"/>
        </w:rPr>
        <w:t xml:space="preserve"> as calculated does not </w:t>
      </w:r>
      <w:r w:rsidRPr="002A2A3B" w:rsidR="00000945">
        <w:rPr>
          <w:rFonts w:ascii="Palatino Linotype" w:hAnsi="Palatino Linotype"/>
          <w:sz w:val="24"/>
          <w:szCs w:val="24"/>
        </w:rPr>
        <w:t>a</w:t>
      </w:r>
      <w:r w:rsidRPr="002A2A3B" w:rsidR="005315B2">
        <w:rPr>
          <w:rFonts w:ascii="Palatino Linotype" w:hAnsi="Palatino Linotype"/>
          <w:sz w:val="24"/>
          <w:szCs w:val="24"/>
        </w:rPr>
        <w:t xml:space="preserve">lign with the </w:t>
      </w:r>
      <w:r w:rsidRPr="002A2A3B" w:rsidR="00CC0E12">
        <w:rPr>
          <w:rFonts w:ascii="Palatino Linotype" w:hAnsi="Palatino Linotype"/>
          <w:sz w:val="24"/>
          <w:szCs w:val="24"/>
        </w:rPr>
        <w:t>PU Code</w:t>
      </w:r>
      <w:r w:rsidR="007C2A95">
        <w:rPr>
          <w:rFonts w:ascii="Palatino Linotype" w:hAnsi="Palatino Linotype"/>
          <w:sz w:val="24"/>
          <w:szCs w:val="24"/>
        </w:rPr>
        <w:t>s</w:t>
      </w:r>
      <w:r w:rsidRPr="002A2A3B" w:rsidR="00CC0E12">
        <w:rPr>
          <w:rFonts w:ascii="Palatino Linotype" w:hAnsi="Palatino Linotype"/>
          <w:sz w:val="24"/>
          <w:szCs w:val="24"/>
        </w:rPr>
        <w:t xml:space="preserve"> 984(b)</w:t>
      </w:r>
      <w:r w:rsidR="007C2A95">
        <w:rPr>
          <w:rFonts w:ascii="Palatino Linotype" w:hAnsi="Palatino Linotype"/>
          <w:sz w:val="24"/>
          <w:szCs w:val="24"/>
        </w:rPr>
        <w:t xml:space="preserve"> and 2104(a). The former</w:t>
      </w:r>
      <w:r w:rsidRPr="002A2A3B" w:rsidR="0091209E">
        <w:rPr>
          <w:rFonts w:ascii="Palatino Linotype" w:hAnsi="Palatino Linotype"/>
          <w:sz w:val="24"/>
          <w:szCs w:val="24"/>
        </w:rPr>
        <w:t xml:space="preserve"> states that</w:t>
      </w:r>
      <w:r w:rsidRPr="002A2A3B" w:rsidR="00314D63">
        <w:rPr>
          <w:rFonts w:ascii="Palatino Linotype" w:hAnsi="Palatino Linotype"/>
          <w:sz w:val="24"/>
          <w:szCs w:val="24"/>
        </w:rPr>
        <w:t xml:space="preserve"> “</w:t>
      </w:r>
      <w:r w:rsidRPr="002A2A3B" w:rsidR="0091209E">
        <w:rPr>
          <w:rFonts w:ascii="Palatino Linotype" w:hAnsi="Palatino Linotype"/>
          <w:sz w:val="24"/>
          <w:szCs w:val="24"/>
        </w:rPr>
        <w:t>The commission shall only collect those costs not already being collected elsewhere</w:t>
      </w:r>
      <w:r w:rsidRPr="002A2A3B" w:rsidR="00314D63">
        <w:rPr>
          <w:rFonts w:ascii="Palatino Linotype" w:hAnsi="Palatino Linotype"/>
          <w:sz w:val="24"/>
          <w:szCs w:val="24"/>
        </w:rPr>
        <w:t>…</w:t>
      </w:r>
      <w:r w:rsidR="007432B7">
        <w:rPr>
          <w:rFonts w:ascii="Palatino Linotype" w:hAnsi="Palatino Linotype"/>
          <w:sz w:val="24"/>
          <w:szCs w:val="24"/>
        </w:rPr>
        <w:t>,</w:t>
      </w:r>
      <w:r w:rsidRPr="002A2A3B" w:rsidR="00314D63">
        <w:rPr>
          <w:rFonts w:ascii="Palatino Linotype" w:hAnsi="Palatino Linotype"/>
          <w:sz w:val="24"/>
          <w:szCs w:val="24"/>
        </w:rPr>
        <w:t>”</w:t>
      </w:r>
      <w:r w:rsidR="009F3F11">
        <w:rPr>
          <w:rFonts w:ascii="Palatino Linotype" w:hAnsi="Palatino Linotype"/>
          <w:sz w:val="24"/>
          <w:szCs w:val="24"/>
        </w:rPr>
        <w:t xml:space="preserve"> </w:t>
      </w:r>
      <w:r w:rsidR="007432B7">
        <w:rPr>
          <w:rFonts w:ascii="Palatino Linotype" w:hAnsi="Palatino Linotype"/>
          <w:sz w:val="24"/>
          <w:szCs w:val="24"/>
        </w:rPr>
        <w:t>while t</w:t>
      </w:r>
      <w:r w:rsidR="00856733">
        <w:rPr>
          <w:rFonts w:ascii="Palatino Linotype" w:hAnsi="Palatino Linotype"/>
          <w:sz w:val="24"/>
          <w:szCs w:val="24"/>
        </w:rPr>
        <w:t xml:space="preserve">he latter </w:t>
      </w:r>
      <w:r w:rsidR="007432B7">
        <w:rPr>
          <w:rFonts w:ascii="Palatino Linotype" w:hAnsi="Palatino Linotype"/>
          <w:sz w:val="24"/>
          <w:szCs w:val="24"/>
        </w:rPr>
        <w:t>says</w:t>
      </w:r>
      <w:r w:rsidR="00004886">
        <w:rPr>
          <w:rFonts w:ascii="Palatino Linotype" w:hAnsi="Palatino Linotype"/>
          <w:sz w:val="24"/>
          <w:szCs w:val="24"/>
        </w:rPr>
        <w:t>,</w:t>
      </w:r>
      <w:r w:rsidR="007432B7">
        <w:rPr>
          <w:rFonts w:ascii="Palatino Linotype" w:hAnsi="Palatino Linotype"/>
          <w:sz w:val="24"/>
          <w:szCs w:val="24"/>
        </w:rPr>
        <w:t xml:space="preserve"> </w:t>
      </w:r>
      <w:r w:rsidRPr="002A2A3B" w:rsidR="00FB1D76">
        <w:rPr>
          <w:rFonts w:ascii="Palatino Linotype" w:hAnsi="Palatino Linotype"/>
          <w:sz w:val="24"/>
          <w:szCs w:val="24"/>
        </w:rPr>
        <w:t>“All fines and penalties recovered by the state in any action, together with the costs thereof, shall be paid into the State Treasury to the credit of the General Fund…”</w:t>
      </w:r>
      <w:r w:rsidRPr="002A2A3B" w:rsidR="00A77239">
        <w:rPr>
          <w:rFonts w:ascii="Palatino Linotype" w:hAnsi="Palatino Linotype"/>
          <w:sz w:val="24"/>
          <w:szCs w:val="24"/>
        </w:rPr>
        <w:t xml:space="preserve"> </w:t>
      </w:r>
      <w:r w:rsidRPr="002A2A3B" w:rsidR="00314D63">
        <w:rPr>
          <w:rFonts w:ascii="Palatino Linotype" w:hAnsi="Palatino Linotype"/>
          <w:sz w:val="24"/>
          <w:szCs w:val="24"/>
        </w:rPr>
        <w:t xml:space="preserve">The </w:t>
      </w:r>
      <w:r w:rsidR="00F404CE">
        <w:rPr>
          <w:rFonts w:ascii="Palatino Linotype" w:hAnsi="Palatino Linotype"/>
          <w:sz w:val="24"/>
          <w:szCs w:val="24"/>
        </w:rPr>
        <w:t>Joint CTAs contend</w:t>
      </w:r>
      <w:r w:rsidRPr="002A2A3B" w:rsidR="00314D63">
        <w:rPr>
          <w:rFonts w:ascii="Palatino Linotype" w:hAnsi="Palatino Linotype"/>
          <w:sz w:val="24"/>
          <w:szCs w:val="24"/>
        </w:rPr>
        <w:t xml:space="preserve"> that</w:t>
      </w:r>
      <w:r w:rsidRPr="002A2A3B" w:rsidR="00E05023">
        <w:rPr>
          <w:rFonts w:ascii="Palatino Linotype" w:hAnsi="Palatino Linotype"/>
          <w:sz w:val="24"/>
          <w:szCs w:val="24"/>
        </w:rPr>
        <w:t xml:space="preserve"> the Commission may only charge CTAs for costs not already recovered elsewhere </w:t>
      </w:r>
      <w:r w:rsidRPr="002A2A3B" w:rsidR="00FB1D76">
        <w:rPr>
          <w:rFonts w:ascii="Palatino Linotype" w:hAnsi="Palatino Linotype"/>
          <w:sz w:val="24"/>
          <w:szCs w:val="24"/>
        </w:rPr>
        <w:t xml:space="preserve">according to 984(b) </w:t>
      </w:r>
      <w:r w:rsidRPr="002A2A3B" w:rsidR="00E05023">
        <w:rPr>
          <w:rFonts w:ascii="Palatino Linotype" w:hAnsi="Palatino Linotype"/>
          <w:sz w:val="24"/>
          <w:szCs w:val="24"/>
        </w:rPr>
        <w:t xml:space="preserve">and </w:t>
      </w:r>
      <w:r w:rsidRPr="002A2A3B" w:rsidR="00FB1D76">
        <w:rPr>
          <w:rFonts w:ascii="Palatino Linotype" w:hAnsi="Palatino Linotype"/>
          <w:sz w:val="24"/>
          <w:szCs w:val="24"/>
        </w:rPr>
        <w:t>that</w:t>
      </w:r>
      <w:r w:rsidRPr="002A2A3B" w:rsidR="00E05023">
        <w:rPr>
          <w:rFonts w:ascii="Palatino Linotype" w:hAnsi="Palatino Linotype"/>
          <w:sz w:val="24"/>
          <w:szCs w:val="24"/>
        </w:rPr>
        <w:t xml:space="preserve"> </w:t>
      </w:r>
      <w:r w:rsidRPr="002A2A3B" w:rsidR="006B4199">
        <w:rPr>
          <w:rFonts w:ascii="Palatino Linotype" w:hAnsi="Palatino Linotype"/>
          <w:sz w:val="24"/>
          <w:szCs w:val="24"/>
        </w:rPr>
        <w:t>all</w:t>
      </w:r>
      <w:r w:rsidRPr="002A2A3B" w:rsidR="00E05023">
        <w:rPr>
          <w:rFonts w:ascii="Palatino Linotype" w:hAnsi="Palatino Linotype"/>
          <w:sz w:val="24"/>
          <w:szCs w:val="24"/>
        </w:rPr>
        <w:t xml:space="preserve"> costs </w:t>
      </w:r>
      <w:r w:rsidRPr="002A2A3B" w:rsidR="006B4199">
        <w:rPr>
          <w:rFonts w:ascii="Palatino Linotype" w:hAnsi="Palatino Linotype"/>
          <w:sz w:val="24"/>
          <w:szCs w:val="24"/>
        </w:rPr>
        <w:t xml:space="preserve">related to a CTA infraction </w:t>
      </w:r>
      <w:r w:rsidRPr="002A2A3B" w:rsidR="00E05023">
        <w:rPr>
          <w:rFonts w:ascii="Palatino Linotype" w:hAnsi="Palatino Linotype"/>
          <w:sz w:val="24"/>
          <w:szCs w:val="24"/>
        </w:rPr>
        <w:t>must be included in the citation itself when fines are issued</w:t>
      </w:r>
      <w:r w:rsidRPr="002A2A3B" w:rsidR="006B4199">
        <w:rPr>
          <w:rFonts w:ascii="Palatino Linotype" w:hAnsi="Palatino Linotype"/>
          <w:sz w:val="24"/>
          <w:szCs w:val="24"/>
        </w:rPr>
        <w:t xml:space="preserve"> according to 2104(a).</w:t>
      </w:r>
      <w:r w:rsidRPr="002A2A3B" w:rsidR="00E05023">
        <w:rPr>
          <w:rFonts w:ascii="Palatino Linotype" w:hAnsi="Palatino Linotype"/>
          <w:sz w:val="24"/>
          <w:szCs w:val="24"/>
        </w:rPr>
        <w:t xml:space="preserve"> </w:t>
      </w:r>
    </w:p>
    <w:p w:rsidR="00005506" w:rsidP="0024459D" w:rsidRDefault="00005506" w14:paraId="4F0FB617" w14:textId="77777777">
      <w:pPr>
        <w:rPr>
          <w:rFonts w:ascii="Palatino Linotype" w:hAnsi="Palatino Linotype"/>
          <w:sz w:val="24"/>
          <w:szCs w:val="24"/>
        </w:rPr>
      </w:pPr>
    </w:p>
    <w:p w:rsidRPr="002A2A3B" w:rsidR="00801BC2" w:rsidP="0024459D" w:rsidRDefault="002B5054" w14:paraId="4E91D7CB" w14:textId="760490BA">
      <w:pPr>
        <w:rPr>
          <w:rFonts w:ascii="Palatino Linotype" w:hAnsi="Palatino Linotype"/>
          <w:sz w:val="24"/>
          <w:szCs w:val="24"/>
        </w:rPr>
      </w:pPr>
      <w:r>
        <w:rPr>
          <w:rFonts w:ascii="Palatino Linotype" w:hAnsi="Palatino Linotype"/>
          <w:sz w:val="24"/>
          <w:szCs w:val="24"/>
        </w:rPr>
        <w:t xml:space="preserve">The </w:t>
      </w:r>
      <w:r w:rsidR="006F6A77">
        <w:rPr>
          <w:rFonts w:ascii="Palatino Linotype" w:hAnsi="Palatino Linotype"/>
          <w:sz w:val="24"/>
          <w:szCs w:val="24"/>
        </w:rPr>
        <w:t>Annual Fee</w:t>
      </w:r>
      <w:r w:rsidR="0054349F">
        <w:rPr>
          <w:rFonts w:ascii="Palatino Linotype" w:hAnsi="Palatino Linotype"/>
          <w:sz w:val="24"/>
          <w:szCs w:val="24"/>
        </w:rPr>
        <w:t xml:space="preserve"> is not a </w:t>
      </w:r>
      <w:r w:rsidR="00F96B5F">
        <w:rPr>
          <w:rFonts w:ascii="Palatino Linotype" w:hAnsi="Palatino Linotype"/>
          <w:sz w:val="24"/>
          <w:szCs w:val="24"/>
        </w:rPr>
        <w:t>fine or</w:t>
      </w:r>
      <w:r w:rsidR="00AF2C3F">
        <w:rPr>
          <w:rFonts w:ascii="Palatino Linotype" w:hAnsi="Palatino Linotype"/>
          <w:sz w:val="24"/>
          <w:szCs w:val="24"/>
        </w:rPr>
        <w:t xml:space="preserve"> a</w:t>
      </w:r>
      <w:r w:rsidR="00F96B5F">
        <w:rPr>
          <w:rFonts w:ascii="Palatino Linotype" w:hAnsi="Palatino Linotype"/>
          <w:sz w:val="24"/>
          <w:szCs w:val="24"/>
        </w:rPr>
        <w:t xml:space="preserve"> penalty</w:t>
      </w:r>
      <w:r w:rsidR="001438A3">
        <w:rPr>
          <w:rFonts w:ascii="Palatino Linotype" w:hAnsi="Palatino Linotype"/>
          <w:sz w:val="24"/>
          <w:szCs w:val="24"/>
        </w:rPr>
        <w:t xml:space="preserve">. </w:t>
      </w:r>
      <w:r w:rsidR="00B05A17">
        <w:rPr>
          <w:rFonts w:ascii="Palatino Linotype" w:hAnsi="Palatino Linotype"/>
          <w:sz w:val="24"/>
          <w:szCs w:val="24"/>
        </w:rPr>
        <w:t xml:space="preserve">Rather, </w:t>
      </w:r>
      <w:r w:rsidR="00EA2546">
        <w:rPr>
          <w:rFonts w:ascii="Palatino Linotype" w:hAnsi="Palatino Linotype"/>
          <w:sz w:val="24"/>
          <w:szCs w:val="24"/>
        </w:rPr>
        <w:t xml:space="preserve">it is designed </w:t>
      </w:r>
      <w:r w:rsidR="004566E7">
        <w:rPr>
          <w:rFonts w:ascii="Palatino Linotype" w:hAnsi="Palatino Linotype"/>
          <w:sz w:val="24"/>
          <w:szCs w:val="24"/>
        </w:rPr>
        <w:t xml:space="preserve">to cover </w:t>
      </w:r>
      <w:r w:rsidRPr="002A2A3B" w:rsidR="00C5471D">
        <w:rPr>
          <w:rFonts w:ascii="Palatino Linotype" w:hAnsi="Palatino Linotype"/>
          <w:sz w:val="24"/>
          <w:szCs w:val="24"/>
        </w:rPr>
        <w:t xml:space="preserve">the cost to the </w:t>
      </w:r>
      <w:r w:rsidRPr="002A2A3B" w:rsidR="00C8735F">
        <w:rPr>
          <w:rFonts w:ascii="Palatino Linotype" w:hAnsi="Palatino Linotype"/>
          <w:sz w:val="24"/>
          <w:szCs w:val="24"/>
        </w:rPr>
        <w:t>Commission</w:t>
      </w:r>
      <w:r w:rsidRPr="002A2A3B" w:rsidR="00C5471D">
        <w:rPr>
          <w:rFonts w:ascii="Palatino Linotype" w:hAnsi="Palatino Linotype"/>
          <w:sz w:val="24"/>
          <w:szCs w:val="24"/>
        </w:rPr>
        <w:t xml:space="preserve"> </w:t>
      </w:r>
      <w:r w:rsidR="004566E7">
        <w:rPr>
          <w:rFonts w:ascii="Palatino Linotype" w:hAnsi="Palatino Linotype"/>
          <w:sz w:val="24"/>
          <w:szCs w:val="24"/>
        </w:rPr>
        <w:t xml:space="preserve">of </w:t>
      </w:r>
      <w:r w:rsidRPr="002A2A3B" w:rsidR="00C5471D">
        <w:rPr>
          <w:rFonts w:ascii="Palatino Linotype" w:hAnsi="Palatino Linotype"/>
          <w:sz w:val="24"/>
          <w:szCs w:val="24"/>
        </w:rPr>
        <w:t>administer</w:t>
      </w:r>
      <w:r w:rsidRPr="002A2A3B" w:rsidR="00B94184">
        <w:rPr>
          <w:rFonts w:ascii="Palatino Linotype" w:hAnsi="Palatino Linotype"/>
          <w:sz w:val="24"/>
          <w:szCs w:val="24"/>
        </w:rPr>
        <w:t>ing</w:t>
      </w:r>
      <w:r w:rsidRPr="002A2A3B" w:rsidR="00C5471D">
        <w:rPr>
          <w:rFonts w:ascii="Palatino Linotype" w:hAnsi="Palatino Linotype"/>
          <w:sz w:val="24"/>
          <w:szCs w:val="24"/>
        </w:rPr>
        <w:t xml:space="preserve"> the CTA program </w:t>
      </w:r>
      <w:r w:rsidR="00BB5DE4">
        <w:rPr>
          <w:rFonts w:ascii="Palatino Linotype" w:hAnsi="Palatino Linotype"/>
          <w:sz w:val="24"/>
          <w:szCs w:val="24"/>
        </w:rPr>
        <w:t>as required by PU Code 984(b), which states: “</w:t>
      </w:r>
      <w:r w:rsidRPr="00BB5DE4" w:rsidR="00BB5DE4">
        <w:rPr>
          <w:rFonts w:ascii="Palatino Linotype" w:hAnsi="Palatino Linotype"/>
          <w:sz w:val="24"/>
          <w:szCs w:val="24"/>
        </w:rPr>
        <w:t xml:space="preserve">The commission shall annually determine the costs of administering the registration program </w:t>
      </w:r>
      <w:r w:rsidRPr="00BB5DE4" w:rsidR="00BB5DE4">
        <w:rPr>
          <w:rFonts w:ascii="Palatino Linotype" w:hAnsi="Palatino Linotype"/>
          <w:sz w:val="24"/>
          <w:szCs w:val="24"/>
        </w:rPr>
        <w:lastRenderedPageBreak/>
        <w:t>and other facets of consumer protection directly related to the core transport service transactions of core transport agents</w:t>
      </w:r>
      <w:r w:rsidR="00D75931">
        <w:rPr>
          <w:rFonts w:ascii="Palatino Linotype" w:hAnsi="Palatino Linotype"/>
          <w:sz w:val="24"/>
          <w:szCs w:val="24"/>
        </w:rPr>
        <w:t>…</w:t>
      </w:r>
      <w:r w:rsidR="00463E7B">
        <w:rPr>
          <w:rFonts w:ascii="Palatino Linotype" w:hAnsi="Palatino Linotype"/>
          <w:sz w:val="24"/>
          <w:szCs w:val="24"/>
        </w:rPr>
        <w:t>.”</w:t>
      </w:r>
      <w:r w:rsidR="00C35EB3">
        <w:rPr>
          <w:rFonts w:ascii="Palatino Linotype" w:hAnsi="Palatino Linotype"/>
          <w:sz w:val="24"/>
          <w:szCs w:val="24"/>
        </w:rPr>
        <w:t xml:space="preserve"> </w:t>
      </w:r>
      <w:r w:rsidR="00FA3808">
        <w:rPr>
          <w:rFonts w:ascii="Palatino Linotype" w:hAnsi="Palatino Linotype"/>
          <w:sz w:val="24"/>
          <w:szCs w:val="24"/>
        </w:rPr>
        <w:t xml:space="preserve">Since the </w:t>
      </w:r>
      <w:r w:rsidR="00AD13B4">
        <w:rPr>
          <w:rFonts w:ascii="Palatino Linotype" w:hAnsi="Palatino Linotype"/>
          <w:sz w:val="24"/>
          <w:szCs w:val="24"/>
        </w:rPr>
        <w:t xml:space="preserve">Annual Fee </w:t>
      </w:r>
      <w:r w:rsidR="00FA3808">
        <w:rPr>
          <w:rFonts w:ascii="Palatino Linotype" w:hAnsi="Palatino Linotype"/>
          <w:sz w:val="24"/>
          <w:szCs w:val="24"/>
        </w:rPr>
        <w:t>is not a fine or a penalty, it</w:t>
      </w:r>
      <w:r w:rsidR="00936A83">
        <w:rPr>
          <w:rFonts w:ascii="Palatino Linotype" w:hAnsi="Palatino Linotype"/>
          <w:sz w:val="24"/>
          <w:szCs w:val="24"/>
        </w:rPr>
        <w:t xml:space="preserve"> should not be paid to the General Fund</w:t>
      </w:r>
      <w:r w:rsidR="00A227E6">
        <w:rPr>
          <w:rFonts w:ascii="Palatino Linotype" w:hAnsi="Palatino Linotype"/>
          <w:sz w:val="24"/>
          <w:szCs w:val="24"/>
        </w:rPr>
        <w:t xml:space="preserve"> nor </w:t>
      </w:r>
      <w:r w:rsidR="00F91904">
        <w:rPr>
          <w:rFonts w:ascii="Palatino Linotype" w:hAnsi="Palatino Linotype"/>
          <w:sz w:val="24"/>
          <w:szCs w:val="24"/>
        </w:rPr>
        <w:t>is it collected elsewhere</w:t>
      </w:r>
      <w:r w:rsidR="00047509">
        <w:rPr>
          <w:rFonts w:ascii="Palatino Linotype" w:hAnsi="Palatino Linotype"/>
          <w:sz w:val="24"/>
          <w:szCs w:val="24"/>
        </w:rPr>
        <w:t>.</w:t>
      </w:r>
    </w:p>
    <w:p w:rsidRPr="002A2A3B" w:rsidR="00B94184" w:rsidP="0024459D" w:rsidRDefault="00B94184" w14:paraId="64E3DFD3" w14:textId="77777777">
      <w:pPr>
        <w:rPr>
          <w:rFonts w:ascii="Palatino Linotype" w:hAnsi="Palatino Linotype"/>
          <w:sz w:val="24"/>
          <w:szCs w:val="24"/>
        </w:rPr>
      </w:pPr>
    </w:p>
    <w:p w:rsidR="00DC79A7" w:rsidP="0024459D" w:rsidRDefault="00EA6ECB" w14:paraId="525F7DDA" w14:textId="2FD38B43">
      <w:pPr>
        <w:rPr>
          <w:rFonts w:ascii="Palatino Linotype" w:hAnsi="Palatino Linotype" w:cs="CenturySchoolbook"/>
          <w:sz w:val="24"/>
          <w:szCs w:val="24"/>
        </w:rPr>
      </w:pPr>
      <w:r>
        <w:rPr>
          <w:rFonts w:ascii="Palatino Linotype" w:hAnsi="Palatino Linotype"/>
          <w:sz w:val="24"/>
          <w:szCs w:val="24"/>
        </w:rPr>
        <w:t>The Joint CTAs</w:t>
      </w:r>
      <w:r w:rsidRPr="002A2A3B" w:rsidR="00B94184">
        <w:rPr>
          <w:rFonts w:ascii="Palatino Linotype" w:hAnsi="Palatino Linotype"/>
          <w:sz w:val="24"/>
          <w:szCs w:val="24"/>
        </w:rPr>
        <w:t xml:space="preserve"> also contend that</w:t>
      </w:r>
      <w:r w:rsidRPr="002A2A3B" w:rsidR="004C07AB">
        <w:rPr>
          <w:rFonts w:ascii="Palatino Linotype" w:hAnsi="Palatino Linotype"/>
          <w:sz w:val="24"/>
          <w:szCs w:val="24"/>
        </w:rPr>
        <w:t xml:space="preserve"> </w:t>
      </w:r>
      <w:r w:rsidRPr="002A2A3B" w:rsidR="004C07AB">
        <w:rPr>
          <w:rFonts w:ascii="Palatino Linotype" w:hAnsi="Palatino Linotype" w:cs="CenturySchoolbook"/>
          <w:sz w:val="24"/>
          <w:szCs w:val="24"/>
        </w:rPr>
        <w:t>the Commission’s costs for administering the CTA program</w:t>
      </w:r>
      <w:r w:rsidR="0022446A">
        <w:rPr>
          <w:rFonts w:ascii="Palatino Linotype" w:hAnsi="Palatino Linotype" w:cs="CenturySchoolbook"/>
          <w:sz w:val="24"/>
          <w:szCs w:val="24"/>
        </w:rPr>
        <w:t>,</w:t>
      </w:r>
      <w:r w:rsidRPr="002A2A3B" w:rsidR="004C07AB">
        <w:rPr>
          <w:rFonts w:ascii="Palatino Linotype" w:hAnsi="Palatino Linotype" w:cs="CenturySchoolbook"/>
          <w:sz w:val="24"/>
          <w:szCs w:val="24"/>
        </w:rPr>
        <w:t xml:space="preserve"> specifically the UEB</w:t>
      </w:r>
      <w:r w:rsidR="000B4930">
        <w:rPr>
          <w:rFonts w:ascii="Palatino Linotype" w:hAnsi="Palatino Linotype" w:cs="CenturySchoolbook"/>
          <w:sz w:val="24"/>
          <w:szCs w:val="24"/>
        </w:rPr>
        <w:t xml:space="preserve"> </w:t>
      </w:r>
      <w:r w:rsidRPr="002A2A3B" w:rsidR="004C07AB">
        <w:rPr>
          <w:rFonts w:ascii="Palatino Linotype" w:hAnsi="Palatino Linotype" w:cs="CenturySchoolbook"/>
          <w:sz w:val="24"/>
          <w:szCs w:val="24"/>
        </w:rPr>
        <w:t xml:space="preserve">related costs </w:t>
      </w:r>
      <w:r w:rsidR="0022446A">
        <w:rPr>
          <w:rFonts w:ascii="Palatino Linotype" w:hAnsi="Palatino Linotype" w:cs="CenturySchoolbook"/>
          <w:sz w:val="24"/>
          <w:szCs w:val="24"/>
        </w:rPr>
        <w:t>in</w:t>
      </w:r>
      <w:r w:rsidRPr="002A2A3B" w:rsidR="004C07AB">
        <w:rPr>
          <w:rFonts w:ascii="Palatino Linotype" w:hAnsi="Palatino Linotype" w:cs="CenturySchoolbook"/>
          <w:sz w:val="24"/>
          <w:szCs w:val="24"/>
        </w:rPr>
        <w:t xml:space="preserve"> the variable portion of the Annual Fee, have risen sharply and the Commission </w:t>
      </w:r>
      <w:r w:rsidR="00482AC5">
        <w:rPr>
          <w:rFonts w:ascii="Palatino Linotype" w:hAnsi="Palatino Linotype" w:cs="CenturySchoolbook"/>
          <w:sz w:val="24"/>
          <w:szCs w:val="24"/>
        </w:rPr>
        <w:t>did not</w:t>
      </w:r>
      <w:r w:rsidRPr="002A2A3B" w:rsidR="004C07AB">
        <w:rPr>
          <w:rFonts w:ascii="Palatino Linotype" w:hAnsi="Palatino Linotype" w:cs="CenturySchoolbook"/>
          <w:sz w:val="24"/>
          <w:szCs w:val="24"/>
        </w:rPr>
        <w:t xml:space="preserve"> provide the </w:t>
      </w:r>
      <w:r w:rsidRPr="002A2A3B" w:rsidR="00EB7066">
        <w:rPr>
          <w:rFonts w:ascii="Palatino Linotype" w:hAnsi="Palatino Linotype" w:cs="CenturySchoolbook"/>
          <w:sz w:val="24"/>
          <w:szCs w:val="24"/>
        </w:rPr>
        <w:t>task</w:t>
      </w:r>
      <w:r w:rsidR="0022446A">
        <w:rPr>
          <w:rFonts w:ascii="Palatino Linotype" w:hAnsi="Palatino Linotype" w:cs="CenturySchoolbook"/>
          <w:sz w:val="24"/>
          <w:szCs w:val="24"/>
        </w:rPr>
        <w:t>-</w:t>
      </w:r>
      <w:r w:rsidRPr="002A2A3B" w:rsidR="00EB7066">
        <w:rPr>
          <w:rFonts w:ascii="Palatino Linotype" w:hAnsi="Palatino Linotype" w:cs="CenturySchoolbook"/>
          <w:sz w:val="24"/>
          <w:szCs w:val="24"/>
        </w:rPr>
        <w:t xml:space="preserve">level </w:t>
      </w:r>
      <w:r w:rsidRPr="002A2A3B" w:rsidR="004C07AB">
        <w:rPr>
          <w:rFonts w:ascii="Palatino Linotype" w:hAnsi="Palatino Linotype" w:cs="CenturySchoolbook"/>
          <w:sz w:val="24"/>
          <w:szCs w:val="24"/>
        </w:rPr>
        <w:t>transparency necessary to justify those increases</w:t>
      </w:r>
      <w:r w:rsidRPr="002A2A3B" w:rsidR="00D250DC">
        <w:rPr>
          <w:rFonts w:ascii="Palatino Linotype" w:hAnsi="Palatino Linotype" w:cs="CenturySchoolbook"/>
          <w:sz w:val="24"/>
          <w:szCs w:val="24"/>
        </w:rPr>
        <w:t xml:space="preserve">. </w:t>
      </w:r>
    </w:p>
    <w:p w:rsidR="00DC79A7" w:rsidP="0024459D" w:rsidRDefault="00DC79A7" w14:paraId="242F54DF" w14:textId="77777777">
      <w:pPr>
        <w:rPr>
          <w:rFonts w:ascii="Palatino Linotype" w:hAnsi="Palatino Linotype" w:cs="CenturySchoolbook"/>
          <w:sz w:val="24"/>
          <w:szCs w:val="24"/>
        </w:rPr>
      </w:pPr>
    </w:p>
    <w:p w:rsidRPr="002A2A3B" w:rsidR="00B94184" w:rsidP="0024459D" w:rsidRDefault="00047509" w14:paraId="62FDE6EE" w14:textId="5D66CEC0">
      <w:pPr>
        <w:rPr>
          <w:rFonts w:ascii="Palatino Linotype" w:hAnsi="Palatino Linotype" w:cs="CenturySchoolbook"/>
          <w:sz w:val="24"/>
          <w:szCs w:val="24"/>
        </w:rPr>
      </w:pPr>
      <w:r w:rsidRPr="0001267B">
        <w:rPr>
          <w:rFonts w:ascii="Palatino Linotype" w:hAnsi="Palatino Linotype"/>
          <w:sz w:val="24"/>
          <w:szCs w:val="24"/>
        </w:rPr>
        <w:t>In 202</w:t>
      </w:r>
      <w:r>
        <w:rPr>
          <w:rFonts w:ascii="Palatino Linotype" w:hAnsi="Palatino Linotype"/>
          <w:sz w:val="24"/>
          <w:szCs w:val="24"/>
        </w:rPr>
        <w:t>5</w:t>
      </w:r>
      <w:r w:rsidRPr="0001267B">
        <w:rPr>
          <w:rFonts w:ascii="Palatino Linotype" w:hAnsi="Palatino Linotype"/>
          <w:sz w:val="24"/>
          <w:szCs w:val="24"/>
        </w:rPr>
        <w:t>, staff time increased due to an increase in the number of CTA-related citations.</w:t>
      </w:r>
      <w:r>
        <w:rPr>
          <w:rFonts w:ascii="Palatino Linotype" w:hAnsi="Palatino Linotype"/>
          <w:sz w:val="24"/>
          <w:szCs w:val="24"/>
        </w:rPr>
        <w:t xml:space="preserve"> </w:t>
      </w:r>
      <w:r w:rsidR="006E1F4A">
        <w:rPr>
          <w:rFonts w:ascii="Palatino Linotype" w:hAnsi="Palatino Linotype" w:cs="CenturySchoolbook"/>
          <w:sz w:val="24"/>
          <w:szCs w:val="24"/>
        </w:rPr>
        <w:t xml:space="preserve">Sufficient transparency is provided by </w:t>
      </w:r>
      <w:r w:rsidR="00B96C4B">
        <w:rPr>
          <w:rFonts w:ascii="Palatino Linotype" w:hAnsi="Palatino Linotype" w:cs="CenturySchoolbook"/>
          <w:sz w:val="24"/>
          <w:szCs w:val="24"/>
        </w:rPr>
        <w:t>Table 3 of t</w:t>
      </w:r>
      <w:r w:rsidRPr="002A2A3B" w:rsidR="00D250DC">
        <w:rPr>
          <w:rFonts w:ascii="Palatino Linotype" w:hAnsi="Palatino Linotype" w:cs="CenturySchoolbook"/>
          <w:sz w:val="24"/>
          <w:szCs w:val="24"/>
        </w:rPr>
        <w:t xml:space="preserve">he </w:t>
      </w:r>
      <w:r w:rsidRPr="002A2A3B" w:rsidR="00EB7066">
        <w:rPr>
          <w:rFonts w:ascii="Palatino Linotype" w:hAnsi="Palatino Linotype" w:cs="CenturySchoolbook"/>
          <w:sz w:val="24"/>
          <w:szCs w:val="24"/>
        </w:rPr>
        <w:t>R</w:t>
      </w:r>
      <w:r w:rsidRPr="002A2A3B" w:rsidR="00FA7167">
        <w:rPr>
          <w:rFonts w:ascii="Palatino Linotype" w:hAnsi="Palatino Linotype" w:cs="CenturySchoolbook"/>
          <w:sz w:val="24"/>
          <w:szCs w:val="24"/>
        </w:rPr>
        <w:t>esolution</w:t>
      </w:r>
      <w:r w:rsidR="00B96C4B">
        <w:rPr>
          <w:rFonts w:ascii="Palatino Linotype" w:hAnsi="Palatino Linotype" w:cs="CenturySchoolbook"/>
          <w:sz w:val="24"/>
          <w:szCs w:val="24"/>
        </w:rPr>
        <w:t xml:space="preserve">, which </w:t>
      </w:r>
      <w:r w:rsidRPr="002A2A3B" w:rsidR="00FA7167">
        <w:rPr>
          <w:rFonts w:ascii="Palatino Linotype" w:hAnsi="Palatino Linotype" w:cs="CenturySchoolbook"/>
          <w:sz w:val="24"/>
          <w:szCs w:val="24"/>
        </w:rPr>
        <w:t>outline</w:t>
      </w:r>
      <w:r w:rsidRPr="002A2A3B" w:rsidR="0022189D">
        <w:rPr>
          <w:rFonts w:ascii="Palatino Linotype" w:hAnsi="Palatino Linotype" w:cs="CenturySchoolbook"/>
          <w:sz w:val="24"/>
          <w:szCs w:val="24"/>
        </w:rPr>
        <w:t>s</w:t>
      </w:r>
      <w:r w:rsidRPr="002A2A3B" w:rsidR="00FA7167">
        <w:rPr>
          <w:rFonts w:ascii="Palatino Linotype" w:hAnsi="Palatino Linotype" w:cs="CenturySchoolbook"/>
          <w:sz w:val="24"/>
          <w:szCs w:val="24"/>
        </w:rPr>
        <w:t xml:space="preserve"> the percentage of time </w:t>
      </w:r>
      <w:r w:rsidR="000C237F">
        <w:rPr>
          <w:rFonts w:ascii="Palatino Linotype" w:hAnsi="Palatino Linotype" w:cs="CenturySchoolbook"/>
          <w:sz w:val="24"/>
          <w:szCs w:val="24"/>
        </w:rPr>
        <w:t xml:space="preserve">during the work year </w:t>
      </w:r>
      <w:r w:rsidRPr="002A2A3B" w:rsidR="006D14E9">
        <w:rPr>
          <w:rFonts w:ascii="Palatino Linotype" w:hAnsi="Palatino Linotype" w:cs="CenturySchoolbook"/>
          <w:sz w:val="24"/>
          <w:szCs w:val="24"/>
        </w:rPr>
        <w:t xml:space="preserve">each </w:t>
      </w:r>
      <w:r w:rsidRPr="002A2A3B" w:rsidR="00ED4D0C">
        <w:rPr>
          <w:rFonts w:ascii="Palatino Linotype" w:hAnsi="Palatino Linotype" w:cs="CenturySchoolbook"/>
          <w:sz w:val="24"/>
          <w:szCs w:val="24"/>
        </w:rPr>
        <w:t xml:space="preserve">UEB </w:t>
      </w:r>
      <w:r w:rsidRPr="002A2A3B" w:rsidR="006D14E9">
        <w:rPr>
          <w:rFonts w:ascii="Palatino Linotype" w:hAnsi="Palatino Linotype" w:cs="CenturySchoolbook"/>
          <w:sz w:val="24"/>
          <w:szCs w:val="24"/>
        </w:rPr>
        <w:t xml:space="preserve">staff </w:t>
      </w:r>
      <w:proofErr w:type="gramStart"/>
      <w:r w:rsidRPr="002A2A3B" w:rsidR="006D14E9">
        <w:rPr>
          <w:rFonts w:ascii="Palatino Linotype" w:hAnsi="Palatino Linotype" w:cs="CenturySchoolbook"/>
          <w:sz w:val="24"/>
          <w:szCs w:val="24"/>
        </w:rPr>
        <w:t>spend</w:t>
      </w:r>
      <w:r w:rsidRPr="002A2A3B" w:rsidR="004D394F">
        <w:rPr>
          <w:rFonts w:ascii="Palatino Linotype" w:hAnsi="Palatino Linotype" w:cs="CenturySchoolbook"/>
          <w:sz w:val="24"/>
          <w:szCs w:val="24"/>
        </w:rPr>
        <w:t>s</w:t>
      </w:r>
      <w:proofErr w:type="gramEnd"/>
      <w:r w:rsidRPr="002A2A3B" w:rsidR="006D14E9">
        <w:rPr>
          <w:rFonts w:ascii="Palatino Linotype" w:hAnsi="Palatino Linotype" w:cs="CenturySchoolbook"/>
          <w:sz w:val="24"/>
          <w:szCs w:val="24"/>
        </w:rPr>
        <w:t xml:space="preserve"> </w:t>
      </w:r>
      <w:r w:rsidR="004E41FE">
        <w:rPr>
          <w:rFonts w:ascii="Palatino Linotype" w:hAnsi="Palatino Linotype" w:cs="CenturySchoolbook"/>
          <w:sz w:val="24"/>
          <w:szCs w:val="24"/>
        </w:rPr>
        <w:t xml:space="preserve">investigating </w:t>
      </w:r>
      <w:r w:rsidRPr="002A2A3B" w:rsidR="00F14E72">
        <w:rPr>
          <w:rFonts w:ascii="Palatino Linotype" w:hAnsi="Palatino Linotype" w:cs="CenturySchoolbook"/>
          <w:sz w:val="24"/>
          <w:szCs w:val="24"/>
        </w:rPr>
        <w:t>u</w:t>
      </w:r>
      <w:r w:rsidRPr="002A2A3B" w:rsidR="00D332E8">
        <w:rPr>
          <w:rFonts w:ascii="Palatino Linotype" w:hAnsi="Palatino Linotype" w:cs="CenturySchoolbook"/>
          <w:sz w:val="24"/>
          <w:szCs w:val="24"/>
        </w:rPr>
        <w:t xml:space="preserve">nauthorized </w:t>
      </w:r>
      <w:r w:rsidRPr="002A2A3B" w:rsidR="00F14E72">
        <w:rPr>
          <w:rFonts w:ascii="Palatino Linotype" w:hAnsi="Palatino Linotype" w:cs="CenturySchoolbook"/>
          <w:sz w:val="24"/>
          <w:szCs w:val="24"/>
        </w:rPr>
        <w:t>e</w:t>
      </w:r>
      <w:r w:rsidRPr="002A2A3B" w:rsidR="00D332E8">
        <w:rPr>
          <w:rFonts w:ascii="Palatino Linotype" w:hAnsi="Palatino Linotype" w:cs="CenturySchoolbook"/>
          <w:sz w:val="24"/>
          <w:szCs w:val="24"/>
        </w:rPr>
        <w:t xml:space="preserve">nrollment complaints and </w:t>
      </w:r>
      <w:r w:rsidRPr="002A2A3B" w:rsidR="006E3415">
        <w:rPr>
          <w:rFonts w:ascii="Palatino Linotype" w:hAnsi="Palatino Linotype" w:cs="CenturySchoolbook"/>
          <w:sz w:val="24"/>
          <w:szCs w:val="24"/>
        </w:rPr>
        <w:t>issuing UEB actions</w:t>
      </w:r>
      <w:r w:rsidRPr="002A2A3B" w:rsidR="004D394F">
        <w:rPr>
          <w:rFonts w:ascii="Palatino Linotype" w:hAnsi="Palatino Linotype" w:cs="CenturySchoolbook"/>
          <w:sz w:val="24"/>
          <w:szCs w:val="24"/>
        </w:rPr>
        <w:t>.</w:t>
      </w:r>
    </w:p>
    <w:p w:rsidRPr="002A2A3B" w:rsidR="004D394F" w:rsidP="0024459D" w:rsidRDefault="004D394F" w14:paraId="5630DC82" w14:textId="77777777">
      <w:pPr>
        <w:rPr>
          <w:rFonts w:ascii="Palatino Linotype" w:hAnsi="Palatino Linotype" w:cs="CenturySchoolbook"/>
          <w:sz w:val="24"/>
          <w:szCs w:val="24"/>
        </w:rPr>
      </w:pPr>
    </w:p>
    <w:p w:rsidR="000D1193" w:rsidP="0016562A" w:rsidRDefault="004D394F" w14:paraId="15C200DA" w14:textId="6192613B">
      <w:pPr>
        <w:rPr>
          <w:rFonts w:ascii="Palatino Linotype" w:hAnsi="Palatino Linotype"/>
          <w:sz w:val="24"/>
          <w:szCs w:val="24"/>
        </w:rPr>
      </w:pPr>
      <w:r w:rsidRPr="002A2A3B">
        <w:rPr>
          <w:rFonts w:ascii="Palatino Linotype" w:hAnsi="Palatino Linotype"/>
          <w:sz w:val="24"/>
          <w:szCs w:val="24"/>
        </w:rPr>
        <w:t xml:space="preserve">Another </w:t>
      </w:r>
      <w:r w:rsidRPr="002A2A3B" w:rsidR="00EB7066">
        <w:rPr>
          <w:rFonts w:ascii="Palatino Linotype" w:hAnsi="Palatino Linotype"/>
          <w:sz w:val="24"/>
          <w:szCs w:val="24"/>
        </w:rPr>
        <w:t xml:space="preserve">argument provided by the </w:t>
      </w:r>
      <w:r w:rsidR="00C84349">
        <w:rPr>
          <w:rFonts w:ascii="Palatino Linotype" w:hAnsi="Palatino Linotype"/>
          <w:sz w:val="24"/>
          <w:szCs w:val="24"/>
        </w:rPr>
        <w:t xml:space="preserve">Joint CTAs </w:t>
      </w:r>
      <w:r w:rsidRPr="002A2A3B" w:rsidR="00F14E72">
        <w:rPr>
          <w:rFonts w:ascii="Palatino Linotype" w:hAnsi="Palatino Linotype"/>
          <w:sz w:val="24"/>
          <w:szCs w:val="24"/>
        </w:rPr>
        <w:t>i</w:t>
      </w:r>
      <w:r w:rsidRPr="002A2A3B" w:rsidR="00EB7066">
        <w:rPr>
          <w:rFonts w:ascii="Palatino Linotype" w:hAnsi="Palatino Linotype"/>
          <w:sz w:val="24"/>
          <w:szCs w:val="24"/>
        </w:rPr>
        <w:t>s</w:t>
      </w:r>
      <w:r w:rsidRPr="002A2A3B" w:rsidR="0016562A">
        <w:rPr>
          <w:rFonts w:ascii="Palatino Linotype" w:hAnsi="Palatino Linotype"/>
          <w:sz w:val="24"/>
          <w:szCs w:val="24"/>
        </w:rPr>
        <w:t xml:space="preserve"> </w:t>
      </w:r>
      <w:r w:rsidRPr="002A2A3B" w:rsidR="00F14E72">
        <w:rPr>
          <w:rFonts w:ascii="Palatino Linotype" w:hAnsi="Palatino Linotype"/>
          <w:sz w:val="24"/>
          <w:szCs w:val="24"/>
        </w:rPr>
        <w:t xml:space="preserve">that </w:t>
      </w:r>
      <w:r w:rsidR="0034548E">
        <w:rPr>
          <w:rFonts w:ascii="Palatino Linotype" w:hAnsi="Palatino Linotype"/>
          <w:sz w:val="24"/>
          <w:szCs w:val="24"/>
        </w:rPr>
        <w:t xml:space="preserve">they allege that </w:t>
      </w:r>
      <w:r w:rsidRPr="002A2A3B" w:rsidR="0016562A">
        <w:rPr>
          <w:rFonts w:ascii="Palatino Linotype" w:hAnsi="Palatino Linotype"/>
          <w:sz w:val="24"/>
          <w:szCs w:val="24"/>
        </w:rPr>
        <w:t>the Commission’s current formula for allocating the UEB</w:t>
      </w:r>
      <w:r w:rsidR="00AE15B2">
        <w:rPr>
          <w:rFonts w:ascii="Palatino Linotype" w:hAnsi="Palatino Linotype"/>
          <w:sz w:val="24"/>
          <w:szCs w:val="24"/>
        </w:rPr>
        <w:t xml:space="preserve"> </w:t>
      </w:r>
      <w:r w:rsidRPr="002A2A3B" w:rsidR="0016562A">
        <w:rPr>
          <w:rFonts w:ascii="Palatino Linotype" w:hAnsi="Palatino Linotype"/>
          <w:sz w:val="24"/>
          <w:szCs w:val="24"/>
        </w:rPr>
        <w:t xml:space="preserve">related portion of the Variable Fee is unfair, and </w:t>
      </w:r>
      <w:r w:rsidR="0034548E">
        <w:rPr>
          <w:rFonts w:ascii="Palatino Linotype" w:hAnsi="Palatino Linotype"/>
          <w:sz w:val="24"/>
          <w:szCs w:val="24"/>
        </w:rPr>
        <w:t>may produce</w:t>
      </w:r>
      <w:r w:rsidRPr="002A2A3B" w:rsidR="0016562A">
        <w:rPr>
          <w:rFonts w:ascii="Palatino Linotype" w:hAnsi="Palatino Linotype"/>
          <w:sz w:val="24"/>
          <w:szCs w:val="24"/>
        </w:rPr>
        <w:t xml:space="preserve"> </w:t>
      </w:r>
      <w:r w:rsidRPr="002A2A3B" w:rsidR="008D0146">
        <w:rPr>
          <w:rFonts w:ascii="Palatino Linotype" w:hAnsi="Palatino Linotype"/>
          <w:sz w:val="24"/>
          <w:szCs w:val="24"/>
        </w:rPr>
        <w:t>in</w:t>
      </w:r>
      <w:r w:rsidRPr="002A2A3B" w:rsidR="00560962">
        <w:rPr>
          <w:rFonts w:ascii="Palatino Linotype" w:hAnsi="Palatino Linotype"/>
          <w:sz w:val="24"/>
          <w:szCs w:val="24"/>
        </w:rPr>
        <w:t>equitable</w:t>
      </w:r>
      <w:r w:rsidRPr="002A2A3B" w:rsidR="0016562A">
        <w:rPr>
          <w:rFonts w:ascii="Palatino Linotype" w:hAnsi="Palatino Linotype"/>
          <w:sz w:val="24"/>
          <w:szCs w:val="24"/>
        </w:rPr>
        <w:t xml:space="preserve"> outcomes. </w:t>
      </w:r>
    </w:p>
    <w:p w:rsidR="000D1193" w:rsidP="0016562A" w:rsidRDefault="000D1193" w14:paraId="0CA0366C" w14:textId="77777777">
      <w:pPr>
        <w:rPr>
          <w:rFonts w:ascii="Palatino Linotype" w:hAnsi="Palatino Linotype"/>
          <w:sz w:val="24"/>
          <w:szCs w:val="24"/>
        </w:rPr>
      </w:pPr>
    </w:p>
    <w:p w:rsidRPr="00991559" w:rsidR="00AD6721" w:rsidP="00AD6721" w:rsidRDefault="00AD6721" w14:paraId="606C4BA6" w14:textId="4B0A3AE3">
      <w:pPr>
        <w:rPr>
          <w:rFonts w:ascii="Palatino Linotype" w:hAnsi="Palatino Linotype" w:cs="Calibri"/>
          <w:sz w:val="24"/>
          <w:szCs w:val="24"/>
        </w:rPr>
      </w:pPr>
      <w:r w:rsidRPr="00991559">
        <w:rPr>
          <w:rFonts w:ascii="Palatino Linotype" w:hAnsi="Palatino Linotype" w:cs="Calibri"/>
          <w:sz w:val="24"/>
          <w:szCs w:val="24"/>
        </w:rPr>
        <w:t xml:space="preserve">The </w:t>
      </w:r>
      <w:r w:rsidR="000C7C53">
        <w:rPr>
          <w:rFonts w:ascii="Palatino Linotype" w:hAnsi="Palatino Linotype" w:cs="Calibri"/>
          <w:sz w:val="24"/>
          <w:szCs w:val="24"/>
        </w:rPr>
        <w:t>C</w:t>
      </w:r>
      <w:r w:rsidRPr="00991559">
        <w:rPr>
          <w:rFonts w:ascii="Palatino Linotype" w:hAnsi="Palatino Linotype" w:cs="Calibri"/>
          <w:sz w:val="24"/>
          <w:szCs w:val="24"/>
        </w:rPr>
        <w:t xml:space="preserve">ommission maintains that the methodology </w:t>
      </w:r>
      <w:r w:rsidRPr="00285B05" w:rsidR="002E3027">
        <w:rPr>
          <w:rFonts w:ascii="Palatino Linotype" w:hAnsi="Palatino Linotype" w:cs="Calibri"/>
          <w:sz w:val="24"/>
          <w:szCs w:val="24"/>
        </w:rPr>
        <w:t xml:space="preserve">for allocating UEB </w:t>
      </w:r>
      <w:r w:rsidR="002A7327">
        <w:rPr>
          <w:rFonts w:ascii="Palatino Linotype" w:hAnsi="Palatino Linotype" w:cs="Calibri"/>
          <w:sz w:val="24"/>
          <w:szCs w:val="24"/>
        </w:rPr>
        <w:t xml:space="preserve">related </w:t>
      </w:r>
      <w:r w:rsidRPr="00285B05" w:rsidR="002E3027">
        <w:rPr>
          <w:rFonts w:ascii="Palatino Linotype" w:hAnsi="Palatino Linotype" w:cs="Calibri"/>
          <w:sz w:val="24"/>
          <w:szCs w:val="24"/>
        </w:rPr>
        <w:t>cost</w:t>
      </w:r>
      <w:r w:rsidR="002A7327">
        <w:rPr>
          <w:rFonts w:ascii="Palatino Linotype" w:hAnsi="Palatino Linotype" w:cs="Calibri"/>
          <w:sz w:val="24"/>
          <w:szCs w:val="24"/>
        </w:rPr>
        <w:t>s</w:t>
      </w:r>
      <w:r w:rsidRPr="00285B05" w:rsidR="002E3027">
        <w:rPr>
          <w:rFonts w:ascii="Palatino Linotype" w:hAnsi="Palatino Linotype" w:cs="Calibri"/>
          <w:sz w:val="24"/>
          <w:szCs w:val="24"/>
        </w:rPr>
        <w:t xml:space="preserve"> to CTAs</w:t>
      </w:r>
      <w:r w:rsidR="00032AE7">
        <w:rPr>
          <w:rFonts w:ascii="Palatino Linotype" w:hAnsi="Palatino Linotype" w:cs="Calibri"/>
          <w:sz w:val="24"/>
          <w:szCs w:val="24"/>
        </w:rPr>
        <w:t>,</w:t>
      </w:r>
      <w:r w:rsidRPr="00285B05" w:rsidR="00032AE7">
        <w:rPr>
          <w:rFonts w:ascii="Palatino Linotype" w:hAnsi="Palatino Linotype" w:cs="Calibri"/>
          <w:sz w:val="24"/>
          <w:szCs w:val="24"/>
        </w:rPr>
        <w:t xml:space="preserve"> </w:t>
      </w:r>
      <w:r w:rsidR="00047509">
        <w:rPr>
          <w:rFonts w:ascii="Palatino Linotype" w:hAnsi="Palatino Linotype"/>
        </w:rPr>
        <w:t>as established in G-</w:t>
      </w:r>
      <w:r w:rsidR="003E6659">
        <w:rPr>
          <w:rFonts w:ascii="Palatino Linotype" w:hAnsi="Palatino Linotype"/>
        </w:rPr>
        <w:t>3597,</w:t>
      </w:r>
      <w:r w:rsidR="003E6659">
        <w:rPr>
          <w:rFonts w:ascii="Palatino Linotype" w:hAnsi="Palatino Linotype" w:cs="Calibri"/>
          <w:sz w:val="24"/>
          <w:szCs w:val="24"/>
        </w:rPr>
        <w:t xml:space="preserve"> remains</w:t>
      </w:r>
      <w:r w:rsidRPr="00991559">
        <w:rPr>
          <w:rFonts w:ascii="Palatino Linotype" w:hAnsi="Palatino Linotype" w:cs="Calibri"/>
          <w:sz w:val="24"/>
          <w:szCs w:val="24"/>
        </w:rPr>
        <w:t xml:space="preserve"> reasonable. The UEB </w:t>
      </w:r>
      <w:r w:rsidR="00AF4B07">
        <w:rPr>
          <w:rFonts w:ascii="Palatino Linotype" w:hAnsi="Palatino Linotype" w:cs="Calibri"/>
          <w:sz w:val="24"/>
          <w:szCs w:val="24"/>
        </w:rPr>
        <w:t>v</w:t>
      </w:r>
      <w:r w:rsidRPr="00991559">
        <w:rPr>
          <w:rFonts w:ascii="Palatino Linotype" w:hAnsi="Palatino Linotype" w:cs="Calibri"/>
          <w:sz w:val="24"/>
          <w:szCs w:val="24"/>
        </w:rPr>
        <w:t>ariable fee cost allocation method is designed to make the fee allocation more closely tied to actual enforcement activity by splitting the UEB cost between the time UEB staff spend pursuing enforcement actions and investigating unauthorized enrollment complaints. This ensures that the variable fees are more targeted and equitable by allowing CTAs t</w:t>
      </w:r>
      <w:r>
        <w:rPr>
          <w:rFonts w:ascii="Palatino Linotype" w:hAnsi="Palatino Linotype" w:cs="Calibri"/>
          <w:sz w:val="24"/>
          <w:szCs w:val="24"/>
        </w:rPr>
        <w:t>hat</w:t>
      </w:r>
      <w:r w:rsidRPr="00991559">
        <w:rPr>
          <w:rFonts w:ascii="Palatino Linotype" w:hAnsi="Palatino Linotype" w:cs="Calibri"/>
          <w:sz w:val="24"/>
          <w:szCs w:val="24"/>
        </w:rPr>
        <w:t xml:space="preserve"> generate more complaints to pay more to cover the CPUC’s enforcement and complaint handling costs.</w:t>
      </w:r>
      <w:r>
        <w:rPr>
          <w:rFonts w:ascii="Palatino Linotype" w:hAnsi="Palatino Linotype" w:cs="Calibri"/>
          <w:sz w:val="24"/>
          <w:szCs w:val="24"/>
        </w:rPr>
        <w:t xml:space="preserve"> </w:t>
      </w:r>
    </w:p>
    <w:p w:rsidRPr="002A2A3B" w:rsidR="004D394F" w:rsidP="0024459D" w:rsidRDefault="004D394F" w14:paraId="3F7D8EF9" w14:textId="1EAF8BFE">
      <w:pPr>
        <w:rPr>
          <w:rFonts w:ascii="Palatino Linotype" w:hAnsi="Palatino Linotype"/>
          <w:sz w:val="24"/>
          <w:szCs w:val="24"/>
        </w:rPr>
      </w:pPr>
    </w:p>
    <w:p w:rsidR="00E90CD5" w:rsidP="0050359E" w:rsidRDefault="0050359E" w14:paraId="79FF9C22" w14:textId="4C812414">
      <w:pPr>
        <w:rPr>
          <w:rFonts w:ascii="Palatino Linotype" w:hAnsi="Palatino Linotype"/>
          <w:sz w:val="24"/>
          <w:szCs w:val="24"/>
        </w:rPr>
      </w:pPr>
      <w:r w:rsidRPr="002A2A3B">
        <w:rPr>
          <w:rFonts w:ascii="Palatino Linotype" w:hAnsi="Palatino Linotype"/>
          <w:sz w:val="24"/>
          <w:szCs w:val="24"/>
        </w:rPr>
        <w:t xml:space="preserve">For procedural due process considerations, </w:t>
      </w:r>
      <w:r w:rsidR="00483CF8">
        <w:rPr>
          <w:rFonts w:ascii="Palatino Linotype" w:hAnsi="Palatino Linotype"/>
          <w:sz w:val="24"/>
          <w:szCs w:val="24"/>
        </w:rPr>
        <w:t>the Joint CTAs</w:t>
      </w:r>
      <w:r w:rsidRPr="002A2A3B" w:rsidR="00ED576D">
        <w:rPr>
          <w:rFonts w:ascii="Palatino Linotype" w:hAnsi="Palatino Linotype"/>
          <w:sz w:val="24"/>
          <w:szCs w:val="24"/>
        </w:rPr>
        <w:t xml:space="preserve"> </w:t>
      </w:r>
      <w:r w:rsidRPr="002A2A3B" w:rsidR="00225424">
        <w:rPr>
          <w:rFonts w:ascii="Palatino Linotype" w:hAnsi="Palatino Linotype"/>
          <w:sz w:val="24"/>
          <w:szCs w:val="24"/>
        </w:rPr>
        <w:t xml:space="preserve">ask that </w:t>
      </w:r>
      <w:r w:rsidRPr="002A2A3B">
        <w:rPr>
          <w:rFonts w:ascii="Palatino Linotype" w:hAnsi="Palatino Linotype"/>
          <w:sz w:val="24"/>
          <w:szCs w:val="24"/>
        </w:rPr>
        <w:t xml:space="preserve">Energy Division issue </w:t>
      </w:r>
      <w:r w:rsidR="00A96D9F">
        <w:rPr>
          <w:rFonts w:ascii="Palatino Linotype" w:hAnsi="Palatino Linotype"/>
          <w:sz w:val="24"/>
          <w:szCs w:val="24"/>
        </w:rPr>
        <w:t xml:space="preserve">a </w:t>
      </w:r>
      <w:r w:rsidRPr="002A2A3B">
        <w:rPr>
          <w:rFonts w:ascii="Palatino Linotype" w:hAnsi="Palatino Linotype"/>
          <w:sz w:val="24"/>
          <w:szCs w:val="24"/>
        </w:rPr>
        <w:t xml:space="preserve">resolution each </w:t>
      </w:r>
      <w:r w:rsidRPr="002A2A3B" w:rsidR="00153B97">
        <w:rPr>
          <w:rFonts w:ascii="Palatino Linotype" w:hAnsi="Palatino Linotype"/>
          <w:sz w:val="24"/>
          <w:szCs w:val="24"/>
        </w:rPr>
        <w:t>year</w:t>
      </w:r>
      <w:r w:rsidR="00672199">
        <w:rPr>
          <w:rFonts w:ascii="Palatino Linotype" w:hAnsi="Palatino Linotype"/>
          <w:sz w:val="24"/>
          <w:szCs w:val="24"/>
        </w:rPr>
        <w:t xml:space="preserve"> rather </w:t>
      </w:r>
      <w:r w:rsidR="00E569DA">
        <w:rPr>
          <w:rFonts w:ascii="Palatino Linotype" w:hAnsi="Palatino Linotype"/>
          <w:sz w:val="24"/>
          <w:szCs w:val="24"/>
        </w:rPr>
        <w:t>than updating the Annual Fee in a report</w:t>
      </w:r>
      <w:r w:rsidRPr="002A2A3B" w:rsidR="00153B97">
        <w:rPr>
          <w:rFonts w:ascii="Palatino Linotype" w:hAnsi="Palatino Linotype"/>
          <w:sz w:val="24"/>
          <w:szCs w:val="24"/>
        </w:rPr>
        <w:t xml:space="preserve">. </w:t>
      </w:r>
    </w:p>
    <w:p w:rsidR="00E90CD5" w:rsidP="0050359E" w:rsidRDefault="00E90CD5" w14:paraId="65159620" w14:textId="77777777">
      <w:pPr>
        <w:rPr>
          <w:rFonts w:ascii="Palatino Linotype" w:hAnsi="Palatino Linotype"/>
          <w:sz w:val="24"/>
          <w:szCs w:val="24"/>
        </w:rPr>
      </w:pPr>
    </w:p>
    <w:p w:rsidRPr="002A2A3B" w:rsidR="000D1193" w:rsidP="0050359E" w:rsidRDefault="00153B97" w14:paraId="307F01B7" w14:textId="47A8F0BF">
      <w:pPr>
        <w:rPr>
          <w:rFonts w:ascii="Palatino Linotype" w:hAnsi="Palatino Linotype"/>
          <w:sz w:val="24"/>
          <w:szCs w:val="24"/>
        </w:rPr>
      </w:pPr>
      <w:r w:rsidRPr="002A2A3B">
        <w:rPr>
          <w:rFonts w:ascii="Palatino Linotype" w:hAnsi="Palatino Linotype"/>
          <w:sz w:val="24"/>
          <w:szCs w:val="24"/>
        </w:rPr>
        <w:t>The</w:t>
      </w:r>
      <w:r w:rsidRPr="002A2A3B" w:rsidR="00225424">
        <w:rPr>
          <w:rFonts w:ascii="Palatino Linotype" w:hAnsi="Palatino Linotype"/>
          <w:sz w:val="24"/>
          <w:szCs w:val="24"/>
        </w:rPr>
        <w:t xml:space="preserve"> Commission </w:t>
      </w:r>
      <w:r w:rsidR="00EB58EB">
        <w:rPr>
          <w:rFonts w:ascii="Palatino Linotype" w:hAnsi="Palatino Linotype"/>
          <w:sz w:val="24"/>
          <w:szCs w:val="24"/>
        </w:rPr>
        <w:t xml:space="preserve">declines to accept the Joint CTAs’ </w:t>
      </w:r>
      <w:r w:rsidR="00CC46AF">
        <w:rPr>
          <w:rFonts w:ascii="Palatino Linotype" w:hAnsi="Palatino Linotype"/>
          <w:sz w:val="24"/>
          <w:szCs w:val="24"/>
        </w:rPr>
        <w:t xml:space="preserve">suggestion. </w:t>
      </w:r>
      <w:r w:rsidR="000C16F9">
        <w:rPr>
          <w:rFonts w:ascii="Palatino Linotype" w:hAnsi="Palatino Linotype"/>
          <w:sz w:val="24"/>
          <w:szCs w:val="24"/>
        </w:rPr>
        <w:t>Under</w:t>
      </w:r>
      <w:r w:rsidRPr="002A2A3B" w:rsidR="009C411D">
        <w:rPr>
          <w:rFonts w:ascii="Palatino Linotype" w:hAnsi="Palatino Linotype"/>
          <w:sz w:val="24"/>
          <w:szCs w:val="24"/>
        </w:rPr>
        <w:t xml:space="preserve"> Section 2.6.3 of </w:t>
      </w:r>
      <w:r w:rsidRPr="002A2A3B" w:rsidR="00170406">
        <w:rPr>
          <w:rFonts w:ascii="Palatino Linotype" w:hAnsi="Palatino Linotype"/>
          <w:sz w:val="24"/>
          <w:szCs w:val="24"/>
        </w:rPr>
        <w:t>D</w:t>
      </w:r>
      <w:r w:rsidRPr="002A2A3B" w:rsidR="0053799C">
        <w:rPr>
          <w:rFonts w:ascii="Palatino Linotype" w:hAnsi="Palatino Linotype"/>
          <w:sz w:val="24"/>
          <w:szCs w:val="24"/>
        </w:rPr>
        <w:t xml:space="preserve">.18-02-002, a resolution </w:t>
      </w:r>
      <w:r w:rsidRPr="002A2A3B" w:rsidR="002C4340">
        <w:rPr>
          <w:rFonts w:ascii="Palatino Linotype" w:hAnsi="Palatino Linotype"/>
          <w:sz w:val="24"/>
          <w:szCs w:val="24"/>
        </w:rPr>
        <w:t xml:space="preserve">is </w:t>
      </w:r>
      <w:r w:rsidR="000C16F9">
        <w:rPr>
          <w:rFonts w:ascii="Palatino Linotype" w:hAnsi="Palatino Linotype"/>
          <w:sz w:val="24"/>
          <w:szCs w:val="24"/>
        </w:rPr>
        <w:t xml:space="preserve">only </w:t>
      </w:r>
      <w:r w:rsidRPr="002A2A3B" w:rsidR="002C4340">
        <w:rPr>
          <w:rFonts w:ascii="Palatino Linotype" w:hAnsi="Palatino Linotype"/>
          <w:sz w:val="24"/>
          <w:szCs w:val="24"/>
        </w:rPr>
        <w:t>required</w:t>
      </w:r>
      <w:r w:rsidRPr="002A2A3B" w:rsidR="0053799C">
        <w:rPr>
          <w:rFonts w:ascii="Palatino Linotype" w:hAnsi="Palatino Linotype"/>
          <w:sz w:val="24"/>
          <w:szCs w:val="24"/>
        </w:rPr>
        <w:t xml:space="preserve"> </w:t>
      </w:r>
      <w:r w:rsidRPr="002A2A3B" w:rsidR="007F7440">
        <w:rPr>
          <w:rFonts w:ascii="Palatino Linotype" w:hAnsi="Palatino Linotype"/>
          <w:sz w:val="24"/>
          <w:szCs w:val="24"/>
        </w:rPr>
        <w:t>when</w:t>
      </w:r>
      <w:r w:rsidRPr="002A2A3B" w:rsidR="0053799C">
        <w:rPr>
          <w:rFonts w:ascii="Palatino Linotype" w:hAnsi="Palatino Linotype"/>
          <w:sz w:val="24"/>
          <w:szCs w:val="24"/>
        </w:rPr>
        <w:t xml:space="preserve"> the </w:t>
      </w:r>
      <w:r w:rsidR="000C16F9">
        <w:rPr>
          <w:rFonts w:ascii="Palatino Linotype" w:hAnsi="Palatino Linotype"/>
          <w:sz w:val="24"/>
          <w:szCs w:val="24"/>
        </w:rPr>
        <w:t>A</w:t>
      </w:r>
      <w:r w:rsidRPr="002A2A3B" w:rsidR="00723B30">
        <w:rPr>
          <w:rFonts w:ascii="Palatino Linotype" w:hAnsi="Palatino Linotype"/>
          <w:sz w:val="24"/>
          <w:szCs w:val="24"/>
        </w:rPr>
        <w:t xml:space="preserve">nnual </w:t>
      </w:r>
      <w:r w:rsidR="000C16F9">
        <w:rPr>
          <w:rFonts w:ascii="Palatino Linotype" w:hAnsi="Palatino Linotype"/>
          <w:sz w:val="24"/>
          <w:szCs w:val="24"/>
        </w:rPr>
        <w:t>F</w:t>
      </w:r>
      <w:r w:rsidRPr="002A2A3B" w:rsidR="00723B30">
        <w:rPr>
          <w:rFonts w:ascii="Palatino Linotype" w:hAnsi="Palatino Linotype"/>
          <w:sz w:val="24"/>
          <w:szCs w:val="24"/>
        </w:rPr>
        <w:t>ee is increased</w:t>
      </w:r>
      <w:r w:rsidRPr="002A2A3B" w:rsidR="007F7440">
        <w:rPr>
          <w:rFonts w:ascii="Palatino Linotype" w:hAnsi="Palatino Linotype"/>
          <w:sz w:val="24"/>
          <w:szCs w:val="24"/>
        </w:rPr>
        <w:t xml:space="preserve">. </w:t>
      </w:r>
      <w:r w:rsidR="00EC0D01">
        <w:rPr>
          <w:rFonts w:ascii="Palatino Linotype" w:hAnsi="Palatino Linotype"/>
          <w:sz w:val="24"/>
          <w:szCs w:val="24"/>
        </w:rPr>
        <w:t xml:space="preserve">Per Resolution G-3589, a new resolution is required only </w:t>
      </w:r>
      <w:r w:rsidR="003E3477">
        <w:rPr>
          <w:rFonts w:ascii="Palatino Linotype" w:hAnsi="Palatino Linotype"/>
          <w:sz w:val="24"/>
          <w:szCs w:val="24"/>
        </w:rPr>
        <w:t xml:space="preserve">if the </w:t>
      </w:r>
      <w:r w:rsidR="00F058B8">
        <w:rPr>
          <w:rFonts w:ascii="Palatino Linotype" w:hAnsi="Palatino Linotype"/>
          <w:sz w:val="24"/>
          <w:szCs w:val="24"/>
        </w:rPr>
        <w:t xml:space="preserve">Base Fee increases or the </w:t>
      </w:r>
      <w:r w:rsidR="003E3477">
        <w:rPr>
          <w:rFonts w:ascii="Palatino Linotype" w:hAnsi="Palatino Linotype"/>
          <w:sz w:val="24"/>
          <w:szCs w:val="24"/>
        </w:rPr>
        <w:t xml:space="preserve">methodology </w:t>
      </w:r>
      <w:r w:rsidR="005A652F">
        <w:rPr>
          <w:rFonts w:ascii="Palatino Linotype" w:hAnsi="Palatino Linotype"/>
          <w:sz w:val="24"/>
          <w:szCs w:val="24"/>
        </w:rPr>
        <w:t>for determining the Annual Fee is changed</w:t>
      </w:r>
      <w:r w:rsidR="00F058B8">
        <w:rPr>
          <w:rFonts w:ascii="Palatino Linotype" w:hAnsi="Palatino Linotype"/>
          <w:sz w:val="24"/>
          <w:szCs w:val="24"/>
        </w:rPr>
        <w:t>.</w:t>
      </w:r>
      <w:r w:rsidR="000E3DEC">
        <w:rPr>
          <w:rFonts w:ascii="Palatino Linotype" w:hAnsi="Palatino Linotype"/>
          <w:sz w:val="24"/>
          <w:szCs w:val="24"/>
        </w:rPr>
        <w:t xml:space="preserve"> </w:t>
      </w:r>
      <w:r w:rsidR="005F72CC">
        <w:rPr>
          <w:rFonts w:ascii="Palatino Linotype" w:hAnsi="Palatino Linotype"/>
          <w:sz w:val="24"/>
          <w:szCs w:val="24"/>
        </w:rPr>
        <w:t xml:space="preserve">Energy Division issued </w:t>
      </w:r>
      <w:r w:rsidR="000E3DEC">
        <w:rPr>
          <w:rFonts w:ascii="Palatino Linotype" w:hAnsi="Palatino Linotype"/>
          <w:sz w:val="24"/>
          <w:szCs w:val="24"/>
        </w:rPr>
        <w:t>Resolution G-3597</w:t>
      </w:r>
      <w:r w:rsidR="005F72CC">
        <w:rPr>
          <w:rFonts w:ascii="Palatino Linotype" w:hAnsi="Palatino Linotype"/>
          <w:sz w:val="24"/>
          <w:szCs w:val="24"/>
        </w:rPr>
        <w:t xml:space="preserve"> </w:t>
      </w:r>
      <w:r w:rsidR="005C3E08">
        <w:rPr>
          <w:rFonts w:ascii="Palatino Linotype" w:hAnsi="Palatino Linotype"/>
          <w:sz w:val="24"/>
          <w:szCs w:val="24"/>
        </w:rPr>
        <w:t xml:space="preserve">in 2023 </w:t>
      </w:r>
      <w:r w:rsidR="005F72CC">
        <w:rPr>
          <w:rFonts w:ascii="Palatino Linotype" w:hAnsi="Palatino Linotype"/>
          <w:sz w:val="24"/>
          <w:szCs w:val="24"/>
        </w:rPr>
        <w:t xml:space="preserve">as required due to a </w:t>
      </w:r>
      <w:r w:rsidR="008364F5">
        <w:rPr>
          <w:rFonts w:ascii="Palatino Linotype" w:hAnsi="Palatino Linotype"/>
          <w:sz w:val="24"/>
          <w:szCs w:val="24"/>
        </w:rPr>
        <w:t xml:space="preserve">refinement of </w:t>
      </w:r>
      <w:r w:rsidR="005F72CC">
        <w:rPr>
          <w:rFonts w:ascii="Palatino Linotype" w:hAnsi="Palatino Linotype"/>
          <w:sz w:val="24"/>
          <w:szCs w:val="24"/>
        </w:rPr>
        <w:t xml:space="preserve">the methodology. </w:t>
      </w:r>
      <w:r w:rsidR="000979E4">
        <w:rPr>
          <w:rFonts w:ascii="Palatino Linotype" w:hAnsi="Palatino Linotype"/>
          <w:sz w:val="24"/>
          <w:szCs w:val="24"/>
        </w:rPr>
        <w:t xml:space="preserve">This </w:t>
      </w:r>
      <w:r w:rsidR="0065764D">
        <w:rPr>
          <w:rFonts w:ascii="Palatino Linotype" w:hAnsi="Palatino Linotype"/>
          <w:sz w:val="24"/>
          <w:szCs w:val="24"/>
        </w:rPr>
        <w:t>r</w:t>
      </w:r>
      <w:r w:rsidR="000979E4">
        <w:rPr>
          <w:rFonts w:ascii="Palatino Linotype" w:hAnsi="Palatino Linotype"/>
          <w:sz w:val="24"/>
          <w:szCs w:val="24"/>
        </w:rPr>
        <w:t xml:space="preserve">esolution </w:t>
      </w:r>
      <w:proofErr w:type="gramStart"/>
      <w:r w:rsidR="000979E4">
        <w:rPr>
          <w:rFonts w:ascii="Palatino Linotype" w:hAnsi="Palatino Linotype"/>
          <w:sz w:val="24"/>
          <w:szCs w:val="24"/>
        </w:rPr>
        <w:t>reiterated</w:t>
      </w:r>
      <w:proofErr w:type="gramEnd"/>
      <w:r w:rsidR="000979E4">
        <w:rPr>
          <w:rFonts w:ascii="Palatino Linotype" w:hAnsi="Palatino Linotype"/>
          <w:sz w:val="24"/>
          <w:szCs w:val="24"/>
        </w:rPr>
        <w:t xml:space="preserve"> that a </w:t>
      </w:r>
      <w:r w:rsidR="009B436A">
        <w:rPr>
          <w:rFonts w:ascii="Palatino Linotype" w:hAnsi="Palatino Linotype"/>
          <w:sz w:val="24"/>
          <w:szCs w:val="24"/>
        </w:rPr>
        <w:t xml:space="preserve">new </w:t>
      </w:r>
      <w:r w:rsidR="00EF2128">
        <w:rPr>
          <w:rFonts w:ascii="Palatino Linotype" w:hAnsi="Palatino Linotype"/>
          <w:sz w:val="24"/>
          <w:szCs w:val="24"/>
        </w:rPr>
        <w:t xml:space="preserve">resolution </w:t>
      </w:r>
      <w:r w:rsidR="0065764D">
        <w:rPr>
          <w:rFonts w:ascii="Palatino Linotype" w:hAnsi="Palatino Linotype"/>
          <w:sz w:val="24"/>
          <w:szCs w:val="24"/>
        </w:rPr>
        <w:t xml:space="preserve">is only needed if there is a change in the methodology or if </w:t>
      </w:r>
      <w:r w:rsidR="00182647">
        <w:rPr>
          <w:rFonts w:ascii="Palatino Linotype" w:hAnsi="Palatino Linotype"/>
          <w:sz w:val="24"/>
          <w:szCs w:val="24"/>
        </w:rPr>
        <w:t xml:space="preserve">the </w:t>
      </w:r>
      <w:r w:rsidR="005B4D30">
        <w:rPr>
          <w:rFonts w:ascii="Palatino Linotype" w:hAnsi="Palatino Linotype"/>
          <w:sz w:val="24"/>
          <w:szCs w:val="24"/>
        </w:rPr>
        <w:t xml:space="preserve">costs covered in the </w:t>
      </w:r>
      <w:r w:rsidR="00182647">
        <w:rPr>
          <w:rFonts w:ascii="Palatino Linotype" w:hAnsi="Palatino Linotype"/>
          <w:sz w:val="24"/>
          <w:szCs w:val="24"/>
        </w:rPr>
        <w:t xml:space="preserve">Base Fee </w:t>
      </w:r>
      <w:r w:rsidR="00EA7438">
        <w:rPr>
          <w:rFonts w:ascii="Palatino Linotype" w:hAnsi="Palatino Linotype"/>
          <w:sz w:val="24"/>
          <w:szCs w:val="24"/>
        </w:rPr>
        <w:t xml:space="preserve">are more than 20 percent above or below </w:t>
      </w:r>
      <w:r w:rsidR="00D45264">
        <w:rPr>
          <w:rFonts w:ascii="Palatino Linotype" w:hAnsi="Palatino Linotype"/>
          <w:sz w:val="24"/>
          <w:szCs w:val="24"/>
        </w:rPr>
        <w:t xml:space="preserve">$5,000 per CTA. </w:t>
      </w:r>
      <w:r w:rsidR="00792E55">
        <w:rPr>
          <w:rFonts w:ascii="Palatino Linotype" w:hAnsi="Palatino Linotype"/>
          <w:sz w:val="24"/>
          <w:szCs w:val="24"/>
        </w:rPr>
        <w:t xml:space="preserve">Energy Division </w:t>
      </w:r>
      <w:r w:rsidR="006F212F">
        <w:rPr>
          <w:rFonts w:ascii="Palatino Linotype" w:hAnsi="Palatino Linotype"/>
          <w:sz w:val="24"/>
          <w:szCs w:val="24"/>
        </w:rPr>
        <w:t>i</w:t>
      </w:r>
      <w:r w:rsidR="000114A0">
        <w:rPr>
          <w:rFonts w:ascii="Palatino Linotype" w:hAnsi="Palatino Linotype"/>
          <w:sz w:val="24"/>
          <w:szCs w:val="24"/>
        </w:rPr>
        <w:t xml:space="preserve">ssued </w:t>
      </w:r>
      <w:r w:rsidR="00642BEE">
        <w:rPr>
          <w:rFonts w:ascii="Palatino Linotype" w:hAnsi="Palatino Linotype"/>
          <w:sz w:val="24"/>
          <w:szCs w:val="24"/>
        </w:rPr>
        <w:t>this current resolution</w:t>
      </w:r>
      <w:r w:rsidR="009A26D8">
        <w:rPr>
          <w:rFonts w:ascii="Palatino Linotype" w:hAnsi="Palatino Linotype"/>
          <w:sz w:val="24"/>
          <w:szCs w:val="24"/>
        </w:rPr>
        <w:t>, which reiterates the methodology established in G</w:t>
      </w:r>
      <w:r w:rsidR="003D7F3C">
        <w:rPr>
          <w:rFonts w:ascii="Palatino Linotype" w:hAnsi="Palatino Linotype"/>
          <w:sz w:val="24"/>
          <w:szCs w:val="24"/>
        </w:rPr>
        <w:t>-3597</w:t>
      </w:r>
      <w:r w:rsidR="00653E16">
        <w:rPr>
          <w:rFonts w:ascii="Palatino Linotype" w:hAnsi="Palatino Linotype"/>
          <w:sz w:val="24"/>
          <w:szCs w:val="24"/>
        </w:rPr>
        <w:t>,</w:t>
      </w:r>
      <w:r w:rsidR="003D7F3C">
        <w:rPr>
          <w:rFonts w:ascii="Palatino Linotype" w:hAnsi="Palatino Linotype"/>
          <w:sz w:val="24"/>
          <w:szCs w:val="24"/>
        </w:rPr>
        <w:t xml:space="preserve"> to allow parties an </w:t>
      </w:r>
      <w:r w:rsidR="003D7F3C">
        <w:rPr>
          <w:rFonts w:ascii="Palatino Linotype" w:hAnsi="Palatino Linotype"/>
          <w:sz w:val="24"/>
          <w:szCs w:val="24"/>
        </w:rPr>
        <w:lastRenderedPageBreak/>
        <w:t xml:space="preserve">additional opportunity to comment. </w:t>
      </w:r>
      <w:r w:rsidR="00440295">
        <w:rPr>
          <w:rFonts w:ascii="Palatino Linotype" w:hAnsi="Palatino Linotype"/>
          <w:sz w:val="24"/>
          <w:szCs w:val="24"/>
        </w:rPr>
        <w:t xml:space="preserve">Going forward, </w:t>
      </w:r>
      <w:r w:rsidR="001B6E2D">
        <w:rPr>
          <w:rFonts w:ascii="Palatino Linotype" w:hAnsi="Palatino Linotype"/>
          <w:sz w:val="24"/>
          <w:szCs w:val="24"/>
        </w:rPr>
        <w:t xml:space="preserve">Energy Division will </w:t>
      </w:r>
      <w:r w:rsidR="00872444">
        <w:rPr>
          <w:rFonts w:ascii="Palatino Linotype" w:hAnsi="Palatino Linotype"/>
          <w:sz w:val="24"/>
          <w:szCs w:val="24"/>
        </w:rPr>
        <w:t>issue resolutions on an as-needed basis</w:t>
      </w:r>
      <w:r w:rsidR="00992613">
        <w:rPr>
          <w:rFonts w:ascii="Palatino Linotype" w:hAnsi="Palatino Linotype"/>
          <w:sz w:val="24"/>
          <w:szCs w:val="24"/>
        </w:rPr>
        <w:t xml:space="preserve"> as described in Resolutions G-3589 and G-3597.</w:t>
      </w:r>
    </w:p>
    <w:p w:rsidRPr="002A2A3B" w:rsidR="00B81F80" w:rsidP="0050359E" w:rsidRDefault="00B81F80" w14:paraId="14B1B93B" w14:textId="77777777">
      <w:pPr>
        <w:rPr>
          <w:rFonts w:ascii="Palatino Linotype" w:hAnsi="Palatino Linotype"/>
          <w:sz w:val="24"/>
          <w:szCs w:val="24"/>
        </w:rPr>
      </w:pPr>
    </w:p>
    <w:p w:rsidR="006B1BB9" w:rsidP="002C180E" w:rsidRDefault="00292BBA" w14:paraId="11938BDA" w14:textId="72D97418">
      <w:pPr>
        <w:rPr>
          <w:rFonts w:ascii="Palatino Linotype" w:hAnsi="Palatino Linotype"/>
          <w:sz w:val="24"/>
          <w:szCs w:val="24"/>
        </w:rPr>
      </w:pPr>
      <w:r>
        <w:rPr>
          <w:rFonts w:ascii="Palatino Linotype" w:hAnsi="Palatino Linotype"/>
          <w:sz w:val="24"/>
          <w:szCs w:val="24"/>
        </w:rPr>
        <w:t xml:space="preserve">In their joint comment, </w:t>
      </w:r>
      <w:r w:rsidRPr="002A2A3B" w:rsidR="00B81F80">
        <w:rPr>
          <w:rFonts w:ascii="Palatino Linotype" w:hAnsi="Palatino Linotype"/>
          <w:sz w:val="24"/>
          <w:szCs w:val="24"/>
        </w:rPr>
        <w:t>SFE Energy Inc</w:t>
      </w:r>
      <w:r w:rsidRPr="002A2A3B" w:rsidR="001C10DA">
        <w:rPr>
          <w:rFonts w:ascii="Palatino Linotype" w:hAnsi="Palatino Linotype"/>
          <w:sz w:val="24"/>
          <w:szCs w:val="24"/>
        </w:rPr>
        <w:t>.</w:t>
      </w:r>
      <w:r w:rsidRPr="002A2A3B" w:rsidR="00B81F80">
        <w:rPr>
          <w:rFonts w:ascii="Palatino Linotype" w:hAnsi="Palatino Linotype"/>
          <w:sz w:val="24"/>
          <w:szCs w:val="24"/>
        </w:rPr>
        <w:t xml:space="preserve"> and </w:t>
      </w:r>
      <w:proofErr w:type="spellStart"/>
      <w:r w:rsidRPr="002A2A3B" w:rsidR="00B81F80">
        <w:rPr>
          <w:rFonts w:ascii="Palatino Linotype" w:hAnsi="Palatino Linotype"/>
          <w:sz w:val="24"/>
          <w:szCs w:val="24"/>
        </w:rPr>
        <w:t>StateWise</w:t>
      </w:r>
      <w:proofErr w:type="spellEnd"/>
      <w:r w:rsidRPr="002A2A3B" w:rsidR="00B81F80">
        <w:rPr>
          <w:rFonts w:ascii="Palatino Linotype" w:hAnsi="Palatino Linotype"/>
          <w:sz w:val="24"/>
          <w:szCs w:val="24"/>
        </w:rPr>
        <w:t xml:space="preserve"> Energy California LLC</w:t>
      </w:r>
      <w:r w:rsidRPr="002A2A3B" w:rsidR="002C180E">
        <w:rPr>
          <w:rFonts w:ascii="Palatino Linotype" w:hAnsi="Palatino Linotype"/>
          <w:sz w:val="24"/>
          <w:szCs w:val="24"/>
        </w:rPr>
        <w:t xml:space="preserve"> </w:t>
      </w:r>
      <w:r w:rsidRPr="002A2A3B" w:rsidR="00F42170">
        <w:rPr>
          <w:rFonts w:ascii="Palatino Linotype" w:hAnsi="Palatino Linotype"/>
          <w:sz w:val="24"/>
          <w:szCs w:val="24"/>
        </w:rPr>
        <w:t>urge</w:t>
      </w:r>
      <w:r w:rsidRPr="002A2A3B" w:rsidR="002C180E">
        <w:rPr>
          <w:rFonts w:ascii="Palatino Linotype" w:hAnsi="Palatino Linotype"/>
          <w:sz w:val="24"/>
          <w:szCs w:val="24"/>
        </w:rPr>
        <w:t xml:space="preserve"> the Commission to provide each CTA with its own complaint data throughout the year, rather than only revealing aggregated information in the Annual Report</w:t>
      </w:r>
      <w:r w:rsidRPr="002A2A3B" w:rsidR="00933971">
        <w:rPr>
          <w:rFonts w:ascii="Palatino Linotype" w:hAnsi="Palatino Linotype"/>
          <w:sz w:val="24"/>
          <w:szCs w:val="24"/>
        </w:rPr>
        <w:t xml:space="preserve">. </w:t>
      </w:r>
    </w:p>
    <w:p w:rsidR="006B1BB9" w:rsidP="002C180E" w:rsidRDefault="006B1BB9" w14:paraId="30D94281" w14:textId="77777777">
      <w:pPr>
        <w:rPr>
          <w:rFonts w:ascii="Palatino Linotype" w:hAnsi="Palatino Linotype"/>
          <w:sz w:val="24"/>
          <w:szCs w:val="24"/>
        </w:rPr>
      </w:pPr>
    </w:p>
    <w:p w:rsidRPr="002A2A3B" w:rsidR="002C180E" w:rsidP="002C180E" w:rsidRDefault="00933971" w14:paraId="14439AFA" w14:textId="44927FBB">
      <w:pPr>
        <w:rPr>
          <w:rFonts w:ascii="Palatino Linotype" w:hAnsi="Palatino Linotype"/>
          <w:sz w:val="24"/>
          <w:szCs w:val="24"/>
        </w:rPr>
      </w:pPr>
      <w:r w:rsidRPr="002A2A3B">
        <w:rPr>
          <w:rFonts w:ascii="Palatino Linotype" w:hAnsi="Palatino Linotype"/>
          <w:sz w:val="24"/>
          <w:szCs w:val="24"/>
        </w:rPr>
        <w:t xml:space="preserve">The </w:t>
      </w:r>
      <w:r w:rsidRPr="002A2A3B" w:rsidR="00E35B02">
        <w:rPr>
          <w:rFonts w:ascii="Palatino Linotype" w:hAnsi="Palatino Linotype"/>
          <w:sz w:val="24"/>
          <w:szCs w:val="24"/>
        </w:rPr>
        <w:t>Commission</w:t>
      </w:r>
      <w:r w:rsidRPr="002A2A3B" w:rsidR="002C05B1">
        <w:rPr>
          <w:rFonts w:ascii="Palatino Linotype" w:hAnsi="Palatino Linotype"/>
          <w:sz w:val="24"/>
          <w:szCs w:val="24"/>
        </w:rPr>
        <w:t xml:space="preserve"> </w:t>
      </w:r>
      <w:r w:rsidR="006B1BB9">
        <w:rPr>
          <w:rFonts w:ascii="Palatino Linotype" w:hAnsi="Palatino Linotype"/>
          <w:sz w:val="24"/>
          <w:szCs w:val="24"/>
        </w:rPr>
        <w:t xml:space="preserve">notes </w:t>
      </w:r>
      <w:r w:rsidRPr="002A2A3B">
        <w:rPr>
          <w:rFonts w:ascii="Palatino Linotype" w:hAnsi="Palatino Linotype"/>
          <w:sz w:val="24"/>
          <w:szCs w:val="24"/>
        </w:rPr>
        <w:t xml:space="preserve">that this information is </w:t>
      </w:r>
      <w:r w:rsidRPr="002A2A3B" w:rsidR="002C05B1">
        <w:rPr>
          <w:rFonts w:ascii="Palatino Linotype" w:hAnsi="Palatino Linotype"/>
          <w:sz w:val="24"/>
          <w:szCs w:val="24"/>
        </w:rPr>
        <w:t xml:space="preserve">already </w:t>
      </w:r>
      <w:r w:rsidRPr="002A2A3B">
        <w:rPr>
          <w:rFonts w:ascii="Palatino Linotype" w:hAnsi="Palatino Linotype"/>
          <w:sz w:val="24"/>
          <w:szCs w:val="24"/>
        </w:rPr>
        <w:t xml:space="preserve">provided to CTAs </w:t>
      </w:r>
      <w:r w:rsidRPr="002A2A3B" w:rsidR="002C05B1">
        <w:rPr>
          <w:rFonts w:ascii="Palatino Linotype" w:hAnsi="Palatino Linotype"/>
          <w:sz w:val="24"/>
          <w:szCs w:val="24"/>
        </w:rPr>
        <w:t xml:space="preserve">throughout the </w:t>
      </w:r>
      <w:r w:rsidRPr="002A2A3B" w:rsidR="00B9156B">
        <w:rPr>
          <w:rFonts w:ascii="Palatino Linotype" w:hAnsi="Palatino Linotype"/>
          <w:sz w:val="24"/>
          <w:szCs w:val="24"/>
        </w:rPr>
        <w:t>year by the Consumer Affairs branch a</w:t>
      </w:r>
      <w:r w:rsidRPr="002A2A3B" w:rsidR="00F42170">
        <w:rPr>
          <w:rFonts w:ascii="Palatino Linotype" w:hAnsi="Palatino Linotype"/>
          <w:sz w:val="24"/>
          <w:szCs w:val="24"/>
        </w:rPr>
        <w:t>nd is also</w:t>
      </w:r>
      <w:r w:rsidRPr="002A2A3B" w:rsidR="00B9156B">
        <w:rPr>
          <w:rFonts w:ascii="Palatino Linotype" w:hAnsi="Palatino Linotype"/>
          <w:sz w:val="24"/>
          <w:szCs w:val="24"/>
        </w:rPr>
        <w:t xml:space="preserve"> posted on the C</w:t>
      </w:r>
      <w:r w:rsidRPr="002A2A3B" w:rsidR="00E35B02">
        <w:rPr>
          <w:rFonts w:ascii="Palatino Linotype" w:hAnsi="Palatino Linotype"/>
          <w:sz w:val="24"/>
          <w:szCs w:val="24"/>
        </w:rPr>
        <w:t>PUC</w:t>
      </w:r>
      <w:r w:rsidRPr="002A2A3B" w:rsidR="00F42170">
        <w:rPr>
          <w:rFonts w:ascii="Palatino Linotype" w:hAnsi="Palatino Linotype"/>
          <w:sz w:val="24"/>
          <w:szCs w:val="24"/>
        </w:rPr>
        <w:t>’s</w:t>
      </w:r>
      <w:r w:rsidRPr="002A2A3B" w:rsidR="00E35B02">
        <w:rPr>
          <w:rFonts w:ascii="Palatino Linotype" w:hAnsi="Palatino Linotype"/>
          <w:sz w:val="24"/>
          <w:szCs w:val="24"/>
        </w:rPr>
        <w:t xml:space="preserve"> website</w:t>
      </w:r>
      <w:r w:rsidRPr="002A2A3B" w:rsidR="00F42170">
        <w:rPr>
          <w:rFonts w:ascii="Palatino Linotype" w:hAnsi="Palatino Linotype"/>
          <w:sz w:val="24"/>
          <w:szCs w:val="24"/>
        </w:rPr>
        <w:t xml:space="preserve"> on a monthly basis.</w:t>
      </w:r>
    </w:p>
    <w:p w:rsidRPr="002A2A3B" w:rsidR="00C8735F" w:rsidP="0024459D" w:rsidRDefault="00C8735F" w14:paraId="5C353AA7" w14:textId="77777777">
      <w:pPr>
        <w:rPr>
          <w:rFonts w:ascii="Palatino Linotype" w:hAnsi="Palatino Linotype"/>
          <w:sz w:val="24"/>
          <w:szCs w:val="24"/>
        </w:rPr>
      </w:pPr>
    </w:p>
    <w:p w:rsidR="00CF17DE" w:rsidRDefault="00CF17DE" w14:paraId="07618DBE" w14:textId="77777777">
      <w:pPr>
        <w:pStyle w:val="Heading1"/>
      </w:pPr>
      <w:r>
        <w:t>Findings</w:t>
      </w:r>
    </w:p>
    <w:p w:rsidRPr="00EF692D" w:rsidR="00887638" w:rsidP="00002671" w:rsidRDefault="00887638" w14:paraId="27245FBA" w14:textId="6F18D92D">
      <w:pPr>
        <w:numPr>
          <w:ilvl w:val="0"/>
          <w:numId w:val="3"/>
        </w:numPr>
        <w:rPr>
          <w:rFonts w:ascii="Palatino Linotype" w:hAnsi="Palatino Linotype"/>
          <w:sz w:val="24"/>
          <w:szCs w:val="24"/>
        </w:rPr>
      </w:pPr>
      <w:r w:rsidRPr="00EF692D">
        <w:rPr>
          <w:rFonts w:ascii="Palatino Linotype" w:hAnsi="Palatino Linotype"/>
          <w:sz w:val="24"/>
          <w:szCs w:val="24"/>
        </w:rPr>
        <w:t>Public Utilities Code Section 984(b) authorizes collection of annual fees from Core Transport Agents.</w:t>
      </w:r>
      <w:r>
        <w:br/>
      </w:r>
    </w:p>
    <w:p w:rsidR="00887638" w:rsidP="00002671" w:rsidRDefault="00887638" w14:paraId="397918D2" w14:textId="11FFF8D7">
      <w:pPr>
        <w:numPr>
          <w:ilvl w:val="0"/>
          <w:numId w:val="3"/>
        </w:numPr>
        <w:rPr>
          <w:rFonts w:ascii="Palatino Linotype" w:hAnsi="Palatino Linotype"/>
          <w:sz w:val="24"/>
          <w:szCs w:val="24"/>
        </w:rPr>
      </w:pPr>
      <w:r w:rsidRPr="00EF692D">
        <w:rPr>
          <w:rFonts w:ascii="Palatino Linotype" w:hAnsi="Palatino Linotype"/>
          <w:sz w:val="24"/>
          <w:szCs w:val="24"/>
        </w:rPr>
        <w:t xml:space="preserve">Ordering Paragraph 5(a)(v) of Decision 18-02-002 directs Energy Division to </w:t>
      </w:r>
      <w:r w:rsidR="001F797B">
        <w:rPr>
          <w:rFonts w:ascii="Palatino Linotype" w:hAnsi="Palatino Linotype"/>
          <w:sz w:val="24"/>
          <w:szCs w:val="24"/>
        </w:rPr>
        <w:t>“</w:t>
      </w:r>
      <w:r w:rsidRPr="001F797B" w:rsidR="001F797B">
        <w:rPr>
          <w:rFonts w:ascii="Palatino Linotype" w:hAnsi="Palatino Linotype"/>
          <w:sz w:val="24"/>
          <w:szCs w:val="24"/>
        </w:rPr>
        <w:t>determine the costs of administering the registration program and other facets of consumer protection related to core transport service and core transport agents, and to prepare the resolutions for the recurring charge</w:t>
      </w:r>
      <w:r w:rsidRPr="004A7FB4" w:rsidR="004A7FB4">
        <w:rPr>
          <w:rFonts w:ascii="Palatino Linotype" w:hAnsi="Palatino Linotype"/>
          <w:sz w:val="24"/>
          <w:szCs w:val="24"/>
        </w:rPr>
        <w:t xml:space="preserve"> </w:t>
      </w:r>
      <w:r w:rsidRPr="00A16AA4" w:rsidR="004A7FB4">
        <w:rPr>
          <w:rFonts w:ascii="Palatino Linotype" w:hAnsi="Palatino Linotype"/>
          <w:sz w:val="24"/>
          <w:szCs w:val="24"/>
        </w:rPr>
        <w:t>as addressed in Section 2.6.3. of today’s decision.</w:t>
      </w:r>
      <w:r w:rsidR="001F797B">
        <w:rPr>
          <w:rFonts w:ascii="Palatino Linotype" w:hAnsi="Palatino Linotype"/>
          <w:sz w:val="24"/>
          <w:szCs w:val="24"/>
        </w:rPr>
        <w:t xml:space="preserve">” </w:t>
      </w:r>
    </w:p>
    <w:p w:rsidR="00D66645" w:rsidP="00055A9E" w:rsidRDefault="00D66645" w14:paraId="7006C395" w14:textId="77777777">
      <w:pPr>
        <w:ind w:left="420"/>
        <w:rPr>
          <w:rFonts w:ascii="Palatino Linotype" w:hAnsi="Palatino Linotype"/>
          <w:sz w:val="24"/>
          <w:szCs w:val="24"/>
        </w:rPr>
      </w:pPr>
    </w:p>
    <w:p w:rsidRPr="00055A9E" w:rsidR="00D66645" w:rsidP="00D66645" w:rsidRDefault="008C014A" w14:paraId="6AB6707D" w14:textId="383CABE7">
      <w:pPr>
        <w:numPr>
          <w:ilvl w:val="0"/>
          <w:numId w:val="3"/>
        </w:numPr>
        <w:rPr>
          <w:rFonts w:ascii="Palatino Linotype" w:hAnsi="Palatino Linotype"/>
          <w:sz w:val="24"/>
          <w:szCs w:val="24"/>
        </w:rPr>
      </w:pPr>
      <w:r w:rsidRPr="0037395E">
        <w:rPr>
          <w:rFonts w:ascii="Palatino Linotype" w:hAnsi="Palatino Linotype"/>
          <w:sz w:val="24"/>
          <w:szCs w:val="24"/>
        </w:rPr>
        <w:t xml:space="preserve">Section 2.6.3. of D.18-02-002 states that </w:t>
      </w:r>
      <w:r w:rsidR="005F2233">
        <w:rPr>
          <w:rFonts w:ascii="Palatino Linotype" w:hAnsi="Palatino Linotype"/>
          <w:sz w:val="24"/>
          <w:szCs w:val="24"/>
        </w:rPr>
        <w:t xml:space="preserve">Energy Division </w:t>
      </w:r>
      <w:r w:rsidRPr="0037395E">
        <w:rPr>
          <w:rFonts w:ascii="Palatino Linotype" w:hAnsi="Palatino Linotype"/>
          <w:sz w:val="24"/>
          <w:szCs w:val="24"/>
        </w:rPr>
        <w:t xml:space="preserve">staff shall review Core Transport Agent program costs annually and prepare a resolution if an increase to the </w:t>
      </w:r>
      <w:r w:rsidR="00EA5831">
        <w:rPr>
          <w:rFonts w:ascii="Palatino Linotype" w:hAnsi="Palatino Linotype"/>
          <w:sz w:val="24"/>
          <w:szCs w:val="24"/>
        </w:rPr>
        <w:t>A</w:t>
      </w:r>
      <w:r w:rsidRPr="0037395E">
        <w:rPr>
          <w:rFonts w:ascii="Palatino Linotype" w:hAnsi="Palatino Linotype"/>
          <w:sz w:val="24"/>
          <w:szCs w:val="24"/>
        </w:rPr>
        <w:t xml:space="preserve">nnual </w:t>
      </w:r>
      <w:r w:rsidR="00EA5831">
        <w:rPr>
          <w:rFonts w:ascii="Palatino Linotype" w:hAnsi="Palatino Linotype"/>
          <w:sz w:val="24"/>
          <w:szCs w:val="24"/>
        </w:rPr>
        <w:t>F</w:t>
      </w:r>
      <w:r w:rsidRPr="0037395E">
        <w:rPr>
          <w:rFonts w:ascii="Palatino Linotype" w:hAnsi="Palatino Linotype"/>
          <w:sz w:val="24"/>
          <w:szCs w:val="24"/>
        </w:rPr>
        <w:t>ee is warrante</w:t>
      </w:r>
      <w:r>
        <w:rPr>
          <w:rFonts w:ascii="Palatino Linotype" w:hAnsi="Palatino Linotype"/>
          <w:sz w:val="24"/>
          <w:szCs w:val="24"/>
        </w:rPr>
        <w:t>d.</w:t>
      </w:r>
    </w:p>
    <w:p w:rsidR="00D66645" w:rsidP="00055A9E" w:rsidRDefault="00D66645" w14:paraId="7DD77EC5" w14:textId="77777777">
      <w:pPr>
        <w:ind w:left="420"/>
        <w:rPr>
          <w:rFonts w:ascii="Palatino Linotype" w:hAnsi="Palatino Linotype"/>
          <w:sz w:val="24"/>
          <w:szCs w:val="24"/>
        </w:rPr>
      </w:pPr>
    </w:p>
    <w:p w:rsidRPr="00EF692D" w:rsidR="00B41E27" w:rsidP="00002671" w:rsidRDefault="00B41E27" w14:paraId="7B6CCCC1" w14:textId="3EA682A9">
      <w:pPr>
        <w:numPr>
          <w:ilvl w:val="0"/>
          <w:numId w:val="3"/>
        </w:numPr>
        <w:rPr>
          <w:rFonts w:ascii="Palatino Linotype" w:hAnsi="Palatino Linotype"/>
          <w:sz w:val="24"/>
          <w:szCs w:val="24"/>
        </w:rPr>
      </w:pPr>
      <w:r w:rsidRPr="00EF692D">
        <w:rPr>
          <w:rFonts w:ascii="Palatino Linotype" w:hAnsi="Palatino Linotype"/>
          <w:sz w:val="24"/>
          <w:szCs w:val="24"/>
        </w:rPr>
        <w:t xml:space="preserve">Energy Division is to act as lead on most of the tasks to implement the consumer protection rules regarding Core Transport Agents. </w:t>
      </w:r>
    </w:p>
    <w:p w:rsidRPr="00EF692D" w:rsidR="00652192" w:rsidP="00A222B8" w:rsidRDefault="00652192" w14:paraId="5AF1DC62" w14:textId="77777777">
      <w:pPr>
        <w:ind w:left="420"/>
        <w:rPr>
          <w:rFonts w:ascii="Palatino Linotype" w:hAnsi="Palatino Linotype"/>
          <w:sz w:val="24"/>
          <w:szCs w:val="24"/>
        </w:rPr>
      </w:pPr>
    </w:p>
    <w:p w:rsidRPr="00EF692D" w:rsidR="00CF17DE" w:rsidP="00002671" w:rsidRDefault="00B41E27" w14:paraId="4487620D" w14:textId="2C1F7B2F">
      <w:pPr>
        <w:numPr>
          <w:ilvl w:val="0"/>
          <w:numId w:val="3"/>
        </w:numPr>
        <w:rPr>
          <w:rFonts w:ascii="Palatino Linotype" w:hAnsi="Palatino Linotype"/>
          <w:sz w:val="24"/>
          <w:szCs w:val="24"/>
        </w:rPr>
      </w:pPr>
      <w:r w:rsidRPr="00EF692D">
        <w:rPr>
          <w:rFonts w:ascii="Palatino Linotype" w:hAnsi="Palatino Linotype"/>
          <w:sz w:val="24"/>
          <w:szCs w:val="24"/>
        </w:rPr>
        <w:t xml:space="preserve">A </w:t>
      </w:r>
      <w:r w:rsidRPr="00EF692D" w:rsidR="00CD5646">
        <w:rPr>
          <w:rFonts w:ascii="Palatino Linotype" w:hAnsi="Palatino Linotype"/>
          <w:sz w:val="24"/>
          <w:szCs w:val="24"/>
        </w:rPr>
        <w:t>B</w:t>
      </w:r>
      <w:r w:rsidRPr="00EF692D">
        <w:rPr>
          <w:rFonts w:ascii="Palatino Linotype" w:hAnsi="Palatino Linotype"/>
          <w:sz w:val="24"/>
          <w:szCs w:val="24"/>
        </w:rPr>
        <w:t xml:space="preserve">ase </w:t>
      </w:r>
      <w:r w:rsidRPr="00EF692D" w:rsidR="00CD5646">
        <w:rPr>
          <w:rFonts w:ascii="Palatino Linotype" w:hAnsi="Palatino Linotype"/>
          <w:sz w:val="24"/>
          <w:szCs w:val="24"/>
        </w:rPr>
        <w:t>A</w:t>
      </w:r>
      <w:r w:rsidRPr="00EF692D">
        <w:rPr>
          <w:rFonts w:ascii="Palatino Linotype" w:hAnsi="Palatino Linotype"/>
          <w:sz w:val="24"/>
          <w:szCs w:val="24"/>
        </w:rPr>
        <w:t>nnual fee of $</w:t>
      </w:r>
      <w:r w:rsidR="0023565A">
        <w:rPr>
          <w:rFonts w:ascii="Palatino Linotype" w:hAnsi="Palatino Linotype"/>
          <w:sz w:val="24"/>
          <w:szCs w:val="24"/>
        </w:rPr>
        <w:t xml:space="preserve">5,000 </w:t>
      </w:r>
      <w:r w:rsidRPr="00EF692D">
        <w:rPr>
          <w:rFonts w:ascii="Palatino Linotype" w:hAnsi="Palatino Linotype"/>
          <w:sz w:val="24"/>
          <w:szCs w:val="24"/>
        </w:rPr>
        <w:t xml:space="preserve">plus a </w:t>
      </w:r>
      <w:r w:rsidRPr="00EF692D" w:rsidR="00CD5646">
        <w:rPr>
          <w:rFonts w:ascii="Palatino Linotype" w:hAnsi="Palatino Linotype"/>
          <w:sz w:val="24"/>
          <w:szCs w:val="24"/>
        </w:rPr>
        <w:t>V</w:t>
      </w:r>
      <w:r w:rsidRPr="00EF692D">
        <w:rPr>
          <w:rFonts w:ascii="Palatino Linotype" w:hAnsi="Palatino Linotype"/>
          <w:sz w:val="24"/>
          <w:szCs w:val="24"/>
        </w:rPr>
        <w:t xml:space="preserve">ariable </w:t>
      </w:r>
      <w:r w:rsidRPr="00EF692D" w:rsidR="00CD5646">
        <w:rPr>
          <w:rFonts w:ascii="Palatino Linotype" w:hAnsi="Palatino Linotype"/>
          <w:sz w:val="24"/>
          <w:szCs w:val="24"/>
        </w:rPr>
        <w:t>Fee</w:t>
      </w:r>
      <w:r w:rsidRPr="00EF692D">
        <w:rPr>
          <w:rFonts w:ascii="Palatino Linotype" w:hAnsi="Palatino Linotype"/>
          <w:sz w:val="24"/>
          <w:szCs w:val="24"/>
        </w:rPr>
        <w:t xml:space="preserve"> determined by the number and type of complaints made</w:t>
      </w:r>
      <w:r w:rsidR="0023565A">
        <w:rPr>
          <w:rFonts w:ascii="Palatino Linotype" w:hAnsi="Palatino Linotype"/>
          <w:sz w:val="24"/>
          <w:szCs w:val="24"/>
        </w:rPr>
        <w:t xml:space="preserve"> to the Consumer Affairs Branch and the </w:t>
      </w:r>
      <w:r w:rsidR="00AF7201">
        <w:rPr>
          <w:rFonts w:ascii="Palatino Linotype" w:hAnsi="Palatino Linotype"/>
          <w:sz w:val="24"/>
          <w:szCs w:val="24"/>
        </w:rPr>
        <w:t xml:space="preserve">complaints investigated and the </w:t>
      </w:r>
      <w:r w:rsidR="0023565A">
        <w:rPr>
          <w:rFonts w:ascii="Palatino Linotype" w:hAnsi="Palatino Linotype"/>
          <w:sz w:val="24"/>
          <w:szCs w:val="24"/>
        </w:rPr>
        <w:t>actions taken by the Utility Enforcement Branch</w:t>
      </w:r>
      <w:r w:rsidRPr="00EF692D">
        <w:rPr>
          <w:rFonts w:ascii="Palatino Linotype" w:hAnsi="Palatino Linotype"/>
          <w:sz w:val="24"/>
          <w:szCs w:val="24"/>
        </w:rPr>
        <w:t xml:space="preserve"> against each Core Transport Agent covers the CPUC</w:t>
      </w:r>
      <w:r w:rsidRPr="00EF692D" w:rsidR="00566E4B">
        <w:rPr>
          <w:rFonts w:ascii="Palatino Linotype" w:hAnsi="Palatino Linotype"/>
          <w:sz w:val="24"/>
          <w:szCs w:val="24"/>
        </w:rPr>
        <w:t>’</w:t>
      </w:r>
      <w:r w:rsidRPr="00EF692D">
        <w:rPr>
          <w:rFonts w:ascii="Palatino Linotype" w:hAnsi="Palatino Linotype"/>
          <w:sz w:val="24"/>
          <w:szCs w:val="24"/>
        </w:rPr>
        <w:t>s costs to administer the Core Transport Agent program.</w:t>
      </w:r>
      <w:r w:rsidRPr="00EF692D" w:rsidR="006A2A4D">
        <w:rPr>
          <w:rFonts w:ascii="Palatino Linotype" w:hAnsi="Palatino Linotype"/>
          <w:sz w:val="24"/>
          <w:szCs w:val="24"/>
        </w:rPr>
        <w:t xml:space="preserve"> </w:t>
      </w:r>
    </w:p>
    <w:p w:rsidRPr="00EF692D" w:rsidR="004942A1" w:rsidP="00CD00BE" w:rsidRDefault="004942A1" w14:paraId="0CF52E63" w14:textId="77777777">
      <w:pPr>
        <w:pStyle w:val="ListParagraph"/>
        <w:rPr>
          <w:rFonts w:ascii="Palatino Linotype" w:hAnsi="Palatino Linotype"/>
          <w:sz w:val="24"/>
          <w:szCs w:val="24"/>
        </w:rPr>
      </w:pPr>
    </w:p>
    <w:p w:rsidR="0023565A" w:rsidP="00002671" w:rsidRDefault="00D33066" w14:paraId="0923DE59" w14:textId="09A20438">
      <w:pPr>
        <w:numPr>
          <w:ilvl w:val="0"/>
          <w:numId w:val="3"/>
        </w:numPr>
        <w:rPr>
          <w:rFonts w:ascii="Palatino Linotype" w:hAnsi="Palatino Linotype"/>
          <w:sz w:val="24"/>
          <w:szCs w:val="24"/>
        </w:rPr>
      </w:pPr>
      <w:bookmarkStart w:name="_Hlk102495303" w:id="3"/>
      <w:r w:rsidRPr="00EF692D">
        <w:rPr>
          <w:rFonts w:ascii="Palatino Linotype" w:hAnsi="Palatino Linotype"/>
          <w:sz w:val="24"/>
          <w:szCs w:val="24"/>
        </w:rPr>
        <w:t xml:space="preserve">It is reasonable for </w:t>
      </w:r>
      <w:bookmarkStart w:name="_Hlk102637021" w:id="4"/>
      <w:r w:rsidRPr="00EF692D">
        <w:rPr>
          <w:rFonts w:ascii="Palatino Linotype" w:hAnsi="Palatino Linotype"/>
          <w:sz w:val="24"/>
          <w:szCs w:val="24"/>
        </w:rPr>
        <w:t xml:space="preserve">Energy Division staff to </w:t>
      </w:r>
      <w:r w:rsidR="0023565A">
        <w:rPr>
          <w:rFonts w:ascii="Palatino Linotype" w:hAnsi="Palatino Linotype"/>
          <w:sz w:val="24"/>
          <w:szCs w:val="24"/>
        </w:rPr>
        <w:t xml:space="preserve">assess the </w:t>
      </w:r>
      <w:r w:rsidRPr="00EF692D">
        <w:rPr>
          <w:rFonts w:ascii="Palatino Linotype" w:hAnsi="Palatino Linotype"/>
          <w:sz w:val="24"/>
          <w:szCs w:val="24"/>
        </w:rPr>
        <w:t xml:space="preserve">Base Fee </w:t>
      </w:r>
      <w:r w:rsidR="0023565A">
        <w:rPr>
          <w:rFonts w:ascii="Palatino Linotype" w:hAnsi="Palatino Linotype"/>
          <w:sz w:val="24"/>
          <w:szCs w:val="24"/>
        </w:rPr>
        <w:t>at $5,000</w:t>
      </w:r>
      <w:r w:rsidR="009C1D5B">
        <w:rPr>
          <w:rFonts w:ascii="Palatino Linotype" w:hAnsi="Palatino Linotype"/>
          <w:sz w:val="24"/>
          <w:szCs w:val="24"/>
        </w:rPr>
        <w:t xml:space="preserve"> per Core Transport Agent</w:t>
      </w:r>
      <w:r w:rsidR="0023565A">
        <w:rPr>
          <w:rFonts w:ascii="Palatino Linotype" w:hAnsi="Palatino Linotype"/>
          <w:sz w:val="24"/>
          <w:szCs w:val="24"/>
        </w:rPr>
        <w:t xml:space="preserve"> for 202</w:t>
      </w:r>
      <w:r w:rsidR="00B33773">
        <w:rPr>
          <w:rFonts w:ascii="Palatino Linotype" w:hAnsi="Palatino Linotype"/>
          <w:sz w:val="24"/>
          <w:szCs w:val="24"/>
        </w:rPr>
        <w:t>6</w:t>
      </w:r>
      <w:r w:rsidR="0023565A">
        <w:rPr>
          <w:rFonts w:ascii="Palatino Linotype" w:hAnsi="Palatino Linotype"/>
          <w:sz w:val="24"/>
          <w:szCs w:val="24"/>
        </w:rPr>
        <w:t xml:space="preserve"> and subsequent years unless the Core </w:t>
      </w:r>
      <w:proofErr w:type="gramStart"/>
      <w:r w:rsidR="0023565A">
        <w:rPr>
          <w:rFonts w:ascii="Palatino Linotype" w:hAnsi="Palatino Linotype"/>
          <w:sz w:val="24"/>
          <w:szCs w:val="24"/>
        </w:rPr>
        <w:t>Transport Agent</w:t>
      </w:r>
      <w:proofErr w:type="gramEnd"/>
      <w:r w:rsidR="0023565A">
        <w:rPr>
          <w:rFonts w:ascii="Palatino Linotype" w:hAnsi="Palatino Linotype"/>
          <w:sz w:val="24"/>
          <w:szCs w:val="24"/>
        </w:rPr>
        <w:t xml:space="preserve"> Program Annual Report finds that actual administrative costs are 20 percent higher or lower than </w:t>
      </w:r>
      <w:r w:rsidR="001A4A44">
        <w:rPr>
          <w:rFonts w:ascii="Palatino Linotype" w:hAnsi="Palatino Linotype"/>
          <w:sz w:val="24"/>
          <w:szCs w:val="24"/>
        </w:rPr>
        <w:t>$5,000 per CTA</w:t>
      </w:r>
      <w:r w:rsidR="0023565A">
        <w:rPr>
          <w:rFonts w:ascii="Palatino Linotype" w:hAnsi="Palatino Linotype"/>
          <w:sz w:val="24"/>
          <w:szCs w:val="24"/>
        </w:rPr>
        <w:t xml:space="preserve">. </w:t>
      </w:r>
    </w:p>
    <w:p w:rsidR="0023565A" w:rsidP="0023565A" w:rsidRDefault="0023565A" w14:paraId="4015A638" w14:textId="77777777">
      <w:pPr>
        <w:pStyle w:val="ListParagraph"/>
        <w:rPr>
          <w:rFonts w:ascii="Palatino Linotype" w:hAnsi="Palatino Linotype"/>
          <w:sz w:val="24"/>
          <w:szCs w:val="24"/>
        </w:rPr>
      </w:pPr>
    </w:p>
    <w:p w:rsidR="004942A1" w:rsidP="00002671" w:rsidRDefault="0023565A" w14:paraId="2FF9606E" w14:textId="71354718">
      <w:pPr>
        <w:numPr>
          <w:ilvl w:val="0"/>
          <w:numId w:val="3"/>
        </w:numPr>
        <w:rPr>
          <w:rFonts w:ascii="Palatino Linotype" w:hAnsi="Palatino Linotype"/>
          <w:sz w:val="24"/>
          <w:szCs w:val="24"/>
        </w:rPr>
      </w:pPr>
      <w:r>
        <w:rPr>
          <w:rFonts w:ascii="Palatino Linotype" w:hAnsi="Palatino Linotype"/>
          <w:sz w:val="24"/>
          <w:szCs w:val="24"/>
        </w:rPr>
        <w:lastRenderedPageBreak/>
        <w:t xml:space="preserve">It is reasonable for Energy Division staff to assess the Variable Fee for each Core Transport Agent in </w:t>
      </w:r>
      <w:r w:rsidR="003412B8">
        <w:rPr>
          <w:rFonts w:ascii="Palatino Linotype" w:hAnsi="Palatino Linotype"/>
          <w:sz w:val="24"/>
          <w:szCs w:val="24"/>
        </w:rPr>
        <w:t>2026,</w:t>
      </w:r>
      <w:r>
        <w:rPr>
          <w:rFonts w:ascii="Palatino Linotype" w:hAnsi="Palatino Linotype"/>
          <w:sz w:val="24"/>
          <w:szCs w:val="24"/>
        </w:rPr>
        <w:t xml:space="preserve"> and subsequent years based on the two-part methodology described in this </w:t>
      </w:r>
      <w:r w:rsidR="009C603E">
        <w:rPr>
          <w:rFonts w:ascii="Palatino Linotype" w:hAnsi="Palatino Linotype"/>
          <w:sz w:val="24"/>
          <w:szCs w:val="24"/>
        </w:rPr>
        <w:t>resolution</w:t>
      </w:r>
      <w:r w:rsidR="00D839A2">
        <w:rPr>
          <w:rFonts w:ascii="Palatino Linotype" w:hAnsi="Palatino Linotype"/>
          <w:sz w:val="24"/>
          <w:szCs w:val="24"/>
        </w:rPr>
        <w:t xml:space="preserve"> to</w:t>
      </w:r>
      <w:r w:rsidR="007E1D4B">
        <w:rPr>
          <w:rFonts w:ascii="Palatino Linotype" w:hAnsi="Palatino Linotype"/>
          <w:sz w:val="24"/>
          <w:szCs w:val="24"/>
        </w:rPr>
        <w:t xml:space="preserve"> allocate </w:t>
      </w:r>
      <w:r w:rsidRPr="006A2A4D" w:rsidR="00B32068">
        <w:rPr>
          <w:rFonts w:ascii="Palatino Linotype" w:hAnsi="Palatino Linotype"/>
          <w:sz w:val="24"/>
          <w:szCs w:val="24"/>
        </w:rPr>
        <w:t>Consumer Affairs Branch</w:t>
      </w:r>
      <w:r w:rsidR="00B32068">
        <w:rPr>
          <w:rFonts w:ascii="Palatino Linotype" w:hAnsi="Palatino Linotype"/>
          <w:sz w:val="24"/>
          <w:szCs w:val="24"/>
        </w:rPr>
        <w:t xml:space="preserve"> and Utility Enforcement Branch </w:t>
      </w:r>
      <w:r w:rsidR="00D839A2">
        <w:rPr>
          <w:rFonts w:ascii="Palatino Linotype" w:hAnsi="Palatino Linotype"/>
          <w:sz w:val="24"/>
          <w:szCs w:val="24"/>
        </w:rPr>
        <w:t>costs</w:t>
      </w:r>
      <w:r>
        <w:rPr>
          <w:rFonts w:ascii="Palatino Linotype" w:hAnsi="Palatino Linotype"/>
          <w:sz w:val="24"/>
          <w:szCs w:val="24"/>
        </w:rPr>
        <w:t>.</w:t>
      </w:r>
      <w:bookmarkEnd w:id="3"/>
      <w:bookmarkEnd w:id="4"/>
    </w:p>
    <w:p w:rsidR="0039537D" w:rsidP="00331BC4" w:rsidRDefault="0039537D" w14:paraId="06C82B4F" w14:textId="77777777">
      <w:pPr>
        <w:pStyle w:val="ListParagraph"/>
        <w:rPr>
          <w:rFonts w:ascii="Palatino Linotype" w:hAnsi="Palatino Linotype"/>
          <w:sz w:val="24"/>
          <w:szCs w:val="24"/>
        </w:rPr>
      </w:pPr>
    </w:p>
    <w:p w:rsidRPr="00121159" w:rsidR="00CF17DE" w:rsidP="00121159" w:rsidRDefault="00CF17DE" w14:paraId="03EBB768" w14:textId="38528954">
      <w:pPr>
        <w:pStyle w:val="Heading1"/>
      </w:pPr>
      <w:r w:rsidRPr="00121159">
        <w:t>Therefore</w:t>
      </w:r>
      <w:r w:rsidRPr="00121159" w:rsidR="00EF692D">
        <w:t>,</w:t>
      </w:r>
      <w:r w:rsidRPr="00121159">
        <w:t xml:space="preserve"> it is ordered that:</w:t>
      </w:r>
    </w:p>
    <w:p w:rsidR="002C579A" w:rsidP="3DCF8024" w:rsidRDefault="001A4087" w14:paraId="16DDE13F" w14:textId="6919E626">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Pursuant to Ordering Paragra</w:t>
      </w:r>
      <w:r w:rsidRPr="00EF692D" w:rsidR="005E05D5">
        <w:rPr>
          <w:rFonts w:ascii="Palatino Linotype" w:hAnsi="Palatino Linotype"/>
          <w:snapToGrid w:val="0"/>
          <w:sz w:val="24"/>
          <w:szCs w:val="24"/>
        </w:rPr>
        <w:t>ph 1(e) of Decision 18-02-002</w:t>
      </w:r>
      <w:r w:rsidRPr="3DCF8024" w:rsidR="00822ED7">
        <w:rPr>
          <w:rFonts w:ascii="Palatino Linotype" w:hAnsi="Palatino Linotype"/>
          <w:sz w:val="24"/>
          <w:szCs w:val="24"/>
        </w:rPr>
        <w:t>,</w:t>
      </w:r>
      <w:r w:rsidR="004C70CB">
        <w:rPr>
          <w:rFonts w:ascii="Palatino Linotype" w:hAnsi="Palatino Linotype"/>
          <w:snapToGrid w:val="0"/>
          <w:sz w:val="24"/>
          <w:szCs w:val="24"/>
        </w:rPr>
        <w:t xml:space="preserve"> each Core Transport Agent shall pay the </w:t>
      </w:r>
      <w:r w:rsidRPr="00EF692D" w:rsidR="00CC2EA7">
        <w:rPr>
          <w:rFonts w:ascii="Palatino Linotype" w:hAnsi="Palatino Linotype"/>
          <w:snapToGrid w:val="0"/>
          <w:sz w:val="24"/>
          <w:szCs w:val="24"/>
        </w:rPr>
        <w:t>202</w:t>
      </w:r>
      <w:r w:rsidR="0037442D">
        <w:rPr>
          <w:rFonts w:ascii="Palatino Linotype" w:hAnsi="Palatino Linotype"/>
          <w:snapToGrid w:val="0"/>
          <w:sz w:val="24"/>
          <w:szCs w:val="24"/>
        </w:rPr>
        <w:t>6</w:t>
      </w:r>
      <w:r w:rsidRPr="00EF692D" w:rsidR="00CC2EA7">
        <w:rPr>
          <w:rFonts w:ascii="Palatino Linotype" w:hAnsi="Palatino Linotype"/>
          <w:snapToGrid w:val="0"/>
          <w:sz w:val="24"/>
          <w:szCs w:val="24"/>
        </w:rPr>
        <w:t xml:space="preserve"> </w:t>
      </w:r>
      <w:r w:rsidRPr="00EF692D" w:rsidR="005E05D5">
        <w:rPr>
          <w:rFonts w:ascii="Palatino Linotype" w:hAnsi="Palatino Linotype"/>
          <w:snapToGrid w:val="0"/>
          <w:sz w:val="24"/>
          <w:szCs w:val="24"/>
        </w:rPr>
        <w:t>Annu</w:t>
      </w:r>
      <w:r w:rsidRPr="00EF692D" w:rsidR="00CC2EA7">
        <w:rPr>
          <w:rFonts w:ascii="Palatino Linotype" w:hAnsi="Palatino Linotype"/>
          <w:snapToGrid w:val="0"/>
          <w:sz w:val="24"/>
          <w:szCs w:val="24"/>
        </w:rPr>
        <w:t xml:space="preserve">al Fee, which includes a </w:t>
      </w:r>
      <w:r w:rsidRPr="00EF692D" w:rsidR="00A0631D">
        <w:rPr>
          <w:rFonts w:ascii="Palatino Linotype" w:hAnsi="Palatino Linotype"/>
          <w:snapToGrid w:val="0"/>
          <w:sz w:val="24"/>
          <w:szCs w:val="24"/>
        </w:rPr>
        <w:t>B</w:t>
      </w:r>
      <w:r w:rsidRPr="00EF692D" w:rsidR="00CC2EA7">
        <w:rPr>
          <w:rFonts w:ascii="Palatino Linotype" w:hAnsi="Palatino Linotype"/>
          <w:snapToGrid w:val="0"/>
          <w:sz w:val="24"/>
          <w:szCs w:val="24"/>
        </w:rPr>
        <w:t xml:space="preserve">ase </w:t>
      </w:r>
      <w:r w:rsidR="004C70CB">
        <w:rPr>
          <w:rFonts w:ascii="Palatino Linotype" w:hAnsi="Palatino Linotype"/>
          <w:snapToGrid w:val="0"/>
          <w:sz w:val="24"/>
          <w:szCs w:val="24"/>
        </w:rPr>
        <w:t>F</w:t>
      </w:r>
      <w:r w:rsidRPr="00EF692D" w:rsidR="00CC2EA7">
        <w:rPr>
          <w:rFonts w:ascii="Palatino Linotype" w:hAnsi="Palatino Linotype"/>
          <w:snapToGrid w:val="0"/>
          <w:sz w:val="24"/>
          <w:szCs w:val="24"/>
        </w:rPr>
        <w:t>ee of $</w:t>
      </w:r>
      <w:r w:rsidR="004C70CB">
        <w:rPr>
          <w:rFonts w:ascii="Palatino Linotype" w:hAnsi="Palatino Linotype"/>
          <w:snapToGrid w:val="0"/>
          <w:sz w:val="24"/>
          <w:szCs w:val="24"/>
        </w:rPr>
        <w:t xml:space="preserve">5,000 </w:t>
      </w:r>
      <w:r w:rsidRPr="00EF692D" w:rsidR="00121CB9">
        <w:rPr>
          <w:rFonts w:ascii="Palatino Linotype" w:hAnsi="Palatino Linotype"/>
          <w:snapToGrid w:val="0"/>
          <w:sz w:val="24"/>
          <w:szCs w:val="24"/>
        </w:rPr>
        <w:t xml:space="preserve">and a </w:t>
      </w:r>
      <w:r w:rsidRPr="00EF692D" w:rsidR="00A0631D">
        <w:rPr>
          <w:rFonts w:ascii="Palatino Linotype" w:hAnsi="Palatino Linotype"/>
          <w:snapToGrid w:val="0"/>
          <w:sz w:val="24"/>
          <w:szCs w:val="24"/>
        </w:rPr>
        <w:t>V</w:t>
      </w:r>
      <w:r w:rsidRPr="00EF692D" w:rsidR="00121CB9">
        <w:rPr>
          <w:rFonts w:ascii="Palatino Linotype" w:hAnsi="Palatino Linotype"/>
          <w:snapToGrid w:val="0"/>
          <w:sz w:val="24"/>
          <w:szCs w:val="24"/>
        </w:rPr>
        <w:t xml:space="preserve">ariable </w:t>
      </w:r>
      <w:r w:rsidRPr="00EF692D" w:rsidR="00A0631D">
        <w:rPr>
          <w:rFonts w:ascii="Palatino Linotype" w:hAnsi="Palatino Linotype"/>
          <w:snapToGrid w:val="0"/>
          <w:sz w:val="24"/>
          <w:szCs w:val="24"/>
        </w:rPr>
        <w:t>Fee</w:t>
      </w:r>
      <w:r w:rsidRPr="00EF692D" w:rsidR="00121CB9">
        <w:rPr>
          <w:rFonts w:ascii="Palatino Linotype" w:hAnsi="Palatino Linotype"/>
          <w:snapToGrid w:val="0"/>
          <w:sz w:val="24"/>
          <w:szCs w:val="24"/>
        </w:rPr>
        <w:t xml:space="preserve"> based on the number and type of complaints attributed to the </w:t>
      </w:r>
      <w:r w:rsidR="004C70CB">
        <w:rPr>
          <w:rFonts w:ascii="Palatino Linotype" w:hAnsi="Palatino Linotype"/>
          <w:snapToGrid w:val="0"/>
          <w:sz w:val="24"/>
          <w:szCs w:val="24"/>
        </w:rPr>
        <w:t>Core Transport Agent and the</w:t>
      </w:r>
      <w:r w:rsidR="00637B2C">
        <w:rPr>
          <w:rFonts w:ascii="Palatino Linotype" w:hAnsi="Palatino Linotype"/>
          <w:snapToGrid w:val="0"/>
          <w:sz w:val="24"/>
          <w:szCs w:val="24"/>
        </w:rPr>
        <w:t xml:space="preserve"> complaints investigated and</w:t>
      </w:r>
      <w:r w:rsidR="004C70CB">
        <w:rPr>
          <w:rFonts w:ascii="Palatino Linotype" w:hAnsi="Palatino Linotype"/>
          <w:snapToGrid w:val="0"/>
          <w:sz w:val="24"/>
          <w:szCs w:val="24"/>
        </w:rPr>
        <w:t xml:space="preserve"> actions taken by the Utility Enforcement Branch against it </w:t>
      </w:r>
      <w:r w:rsidRPr="00EF692D" w:rsidR="00C14F2D">
        <w:rPr>
          <w:rFonts w:ascii="Palatino Linotype" w:hAnsi="Palatino Linotype"/>
          <w:snapToGrid w:val="0"/>
          <w:sz w:val="24"/>
          <w:szCs w:val="24"/>
        </w:rPr>
        <w:t>from January 202</w:t>
      </w:r>
      <w:r w:rsidR="0037442D">
        <w:rPr>
          <w:rFonts w:ascii="Palatino Linotype" w:hAnsi="Palatino Linotype"/>
          <w:snapToGrid w:val="0"/>
          <w:sz w:val="24"/>
          <w:szCs w:val="24"/>
        </w:rPr>
        <w:t>5</w:t>
      </w:r>
      <w:r w:rsidRPr="00EF692D" w:rsidR="00C14F2D">
        <w:rPr>
          <w:rFonts w:ascii="Palatino Linotype" w:hAnsi="Palatino Linotype"/>
          <w:snapToGrid w:val="0"/>
          <w:sz w:val="24"/>
          <w:szCs w:val="24"/>
        </w:rPr>
        <w:t xml:space="preserve"> through December 202</w:t>
      </w:r>
      <w:r w:rsidR="0037442D">
        <w:rPr>
          <w:rFonts w:ascii="Palatino Linotype" w:hAnsi="Palatino Linotype"/>
          <w:snapToGrid w:val="0"/>
          <w:sz w:val="24"/>
          <w:szCs w:val="24"/>
        </w:rPr>
        <w:t>5</w:t>
      </w:r>
      <w:r w:rsidRPr="00EF692D" w:rsidR="00C14F2D">
        <w:rPr>
          <w:rFonts w:ascii="Palatino Linotype" w:hAnsi="Palatino Linotype"/>
          <w:snapToGrid w:val="0"/>
          <w:sz w:val="24"/>
          <w:szCs w:val="24"/>
        </w:rPr>
        <w:t xml:space="preserve"> and determined</w:t>
      </w:r>
      <w:r w:rsidRPr="00EF692D" w:rsidR="00C85C7C">
        <w:rPr>
          <w:rFonts w:ascii="Palatino Linotype" w:hAnsi="Palatino Linotype"/>
          <w:snapToGrid w:val="0"/>
          <w:sz w:val="24"/>
          <w:szCs w:val="24"/>
        </w:rPr>
        <w:t xml:space="preserve"> in accordance with the methodology </w:t>
      </w:r>
      <w:r w:rsidRPr="00EF692D" w:rsidR="005C708F">
        <w:rPr>
          <w:rFonts w:ascii="Palatino Linotype" w:hAnsi="Palatino Linotype"/>
          <w:snapToGrid w:val="0"/>
          <w:sz w:val="24"/>
          <w:szCs w:val="24"/>
        </w:rPr>
        <w:t>describe</w:t>
      </w:r>
      <w:r w:rsidR="009B3E9C">
        <w:rPr>
          <w:rFonts w:ascii="Palatino Linotype" w:hAnsi="Palatino Linotype"/>
          <w:snapToGrid w:val="0"/>
          <w:sz w:val="24"/>
          <w:szCs w:val="24"/>
        </w:rPr>
        <w:t>d</w:t>
      </w:r>
      <w:r w:rsidRPr="00EF692D" w:rsidR="005C708F">
        <w:rPr>
          <w:rFonts w:ascii="Palatino Linotype" w:hAnsi="Palatino Linotype"/>
          <w:snapToGrid w:val="0"/>
          <w:sz w:val="24"/>
          <w:szCs w:val="24"/>
        </w:rPr>
        <w:t xml:space="preserve"> </w:t>
      </w:r>
      <w:r w:rsidR="009B3E9C">
        <w:rPr>
          <w:rFonts w:ascii="Palatino Linotype" w:hAnsi="Palatino Linotype"/>
          <w:snapToGrid w:val="0"/>
          <w:sz w:val="24"/>
          <w:szCs w:val="24"/>
        </w:rPr>
        <w:t xml:space="preserve">in this </w:t>
      </w:r>
      <w:r w:rsidR="009C603E">
        <w:rPr>
          <w:rFonts w:ascii="Palatino Linotype" w:hAnsi="Palatino Linotype"/>
          <w:snapToGrid w:val="0"/>
          <w:sz w:val="24"/>
          <w:szCs w:val="24"/>
        </w:rPr>
        <w:t>resolution</w:t>
      </w:r>
      <w:r w:rsidRPr="00EF692D" w:rsidR="00113B36">
        <w:rPr>
          <w:rFonts w:ascii="Palatino Linotype" w:hAnsi="Palatino Linotype"/>
          <w:snapToGrid w:val="0"/>
          <w:sz w:val="24"/>
          <w:szCs w:val="24"/>
        </w:rPr>
        <w:t>.</w:t>
      </w:r>
      <w:r w:rsidRPr="00EF692D" w:rsidR="002C579A">
        <w:rPr>
          <w:rFonts w:ascii="Palatino Linotype" w:hAnsi="Palatino Linotype"/>
          <w:snapToGrid w:val="0"/>
          <w:sz w:val="24"/>
          <w:szCs w:val="24"/>
        </w:rPr>
        <w:tab/>
      </w:r>
    </w:p>
    <w:p w:rsidRPr="00EF692D" w:rsidR="004C70CB" w:rsidP="004C70CB" w:rsidRDefault="004C70CB" w14:paraId="15DA762A" w14:textId="77777777">
      <w:pPr>
        <w:ind w:left="360"/>
        <w:rPr>
          <w:rFonts w:ascii="Palatino Linotype" w:hAnsi="Palatino Linotype"/>
          <w:snapToGrid w:val="0"/>
          <w:sz w:val="24"/>
          <w:szCs w:val="24"/>
        </w:rPr>
      </w:pPr>
    </w:p>
    <w:p w:rsidR="00D67A55" w:rsidP="3DCF8024" w:rsidRDefault="00F56537" w14:paraId="06BE56B8" w14:textId="3011E09B">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 xml:space="preserve">Energy Division </w:t>
      </w:r>
      <w:r w:rsidRPr="00EF692D" w:rsidR="00C30D26">
        <w:rPr>
          <w:rFonts w:ascii="Palatino Linotype" w:hAnsi="Palatino Linotype"/>
          <w:snapToGrid w:val="0"/>
          <w:sz w:val="24"/>
          <w:szCs w:val="24"/>
        </w:rPr>
        <w:t xml:space="preserve">staff will continue to </w:t>
      </w:r>
      <w:r w:rsidR="004C70CB">
        <w:rPr>
          <w:rFonts w:ascii="Palatino Linotype" w:hAnsi="Palatino Linotype"/>
          <w:snapToGrid w:val="0"/>
          <w:sz w:val="24"/>
          <w:szCs w:val="24"/>
        </w:rPr>
        <w:t xml:space="preserve">issue the Core Transport Agent Program Annual Report </w:t>
      </w:r>
      <w:r w:rsidRPr="00EF692D" w:rsidR="00C30D26">
        <w:rPr>
          <w:rFonts w:ascii="Palatino Linotype" w:hAnsi="Palatino Linotype"/>
          <w:snapToGrid w:val="0"/>
          <w:sz w:val="24"/>
          <w:szCs w:val="24"/>
        </w:rPr>
        <w:t>to review the administrative cost of the CTA program. If the</w:t>
      </w:r>
      <w:r w:rsidRPr="00EF692D" w:rsidR="00A815FB">
        <w:rPr>
          <w:rFonts w:ascii="Palatino Linotype" w:hAnsi="Palatino Linotype"/>
          <w:snapToGrid w:val="0"/>
          <w:sz w:val="24"/>
          <w:szCs w:val="24"/>
        </w:rPr>
        <w:t>se</w:t>
      </w:r>
      <w:r w:rsidRPr="00EF692D" w:rsidR="00C30D26">
        <w:rPr>
          <w:rFonts w:ascii="Palatino Linotype" w:hAnsi="Palatino Linotype"/>
          <w:snapToGrid w:val="0"/>
          <w:sz w:val="24"/>
          <w:szCs w:val="24"/>
        </w:rPr>
        <w:t xml:space="preserve"> costs </w:t>
      </w:r>
      <w:r w:rsidR="004C70CB">
        <w:rPr>
          <w:rFonts w:ascii="Palatino Linotype" w:hAnsi="Palatino Linotype"/>
          <w:snapToGrid w:val="0"/>
          <w:sz w:val="24"/>
          <w:szCs w:val="24"/>
        </w:rPr>
        <w:t>are more than 20 percent above or below the current Base Fee of $5,000</w:t>
      </w:r>
      <w:r w:rsidR="00E04EEC">
        <w:rPr>
          <w:rFonts w:ascii="Palatino Linotype" w:hAnsi="Palatino Linotype"/>
          <w:snapToGrid w:val="0"/>
          <w:sz w:val="24"/>
          <w:szCs w:val="24"/>
        </w:rPr>
        <w:t xml:space="preserve"> per CTA</w:t>
      </w:r>
      <w:r w:rsidR="004C70CB">
        <w:rPr>
          <w:rFonts w:ascii="Palatino Linotype" w:hAnsi="Palatino Linotype"/>
          <w:snapToGrid w:val="0"/>
          <w:sz w:val="24"/>
          <w:szCs w:val="24"/>
        </w:rPr>
        <w:t xml:space="preserve">, </w:t>
      </w:r>
      <w:r w:rsidRPr="00EF692D" w:rsidR="0099694E">
        <w:rPr>
          <w:rFonts w:ascii="Palatino Linotype" w:hAnsi="Palatino Linotype"/>
          <w:snapToGrid w:val="0"/>
          <w:sz w:val="24"/>
          <w:szCs w:val="24"/>
        </w:rPr>
        <w:t xml:space="preserve">staff </w:t>
      </w:r>
      <w:r w:rsidR="004C70CB">
        <w:rPr>
          <w:rFonts w:ascii="Palatino Linotype" w:hAnsi="Palatino Linotype"/>
          <w:snapToGrid w:val="0"/>
          <w:sz w:val="24"/>
          <w:szCs w:val="24"/>
        </w:rPr>
        <w:t xml:space="preserve">shall </w:t>
      </w:r>
      <w:r w:rsidRPr="00EF692D" w:rsidR="0099694E">
        <w:rPr>
          <w:rFonts w:ascii="Palatino Linotype" w:hAnsi="Palatino Linotype"/>
          <w:snapToGrid w:val="0"/>
          <w:sz w:val="24"/>
          <w:szCs w:val="24"/>
        </w:rPr>
        <w:t xml:space="preserve">draft </w:t>
      </w:r>
      <w:r w:rsidR="004C70CB">
        <w:rPr>
          <w:rFonts w:ascii="Palatino Linotype" w:hAnsi="Palatino Linotype"/>
          <w:snapToGrid w:val="0"/>
          <w:sz w:val="24"/>
          <w:szCs w:val="24"/>
        </w:rPr>
        <w:t xml:space="preserve">a </w:t>
      </w:r>
      <w:r w:rsidR="009C603E">
        <w:rPr>
          <w:rFonts w:ascii="Palatino Linotype" w:hAnsi="Palatino Linotype"/>
          <w:snapToGrid w:val="0"/>
          <w:sz w:val="24"/>
          <w:szCs w:val="24"/>
        </w:rPr>
        <w:t>resolution</w:t>
      </w:r>
      <w:r w:rsidRPr="00EF692D" w:rsidR="0099694E">
        <w:rPr>
          <w:rFonts w:ascii="Palatino Linotype" w:hAnsi="Palatino Linotype"/>
          <w:snapToGrid w:val="0"/>
          <w:sz w:val="24"/>
          <w:szCs w:val="24"/>
        </w:rPr>
        <w:t xml:space="preserve"> </w:t>
      </w:r>
      <w:r w:rsidR="004C70CB">
        <w:rPr>
          <w:rFonts w:ascii="Palatino Linotype" w:hAnsi="Palatino Linotype"/>
          <w:snapToGrid w:val="0"/>
          <w:sz w:val="24"/>
          <w:szCs w:val="24"/>
        </w:rPr>
        <w:t>that changes the Base F</w:t>
      </w:r>
      <w:r w:rsidRPr="00EF692D" w:rsidR="00D67A55">
        <w:rPr>
          <w:rFonts w:ascii="Palatino Linotype" w:hAnsi="Palatino Linotype"/>
          <w:snapToGrid w:val="0"/>
          <w:sz w:val="24"/>
          <w:szCs w:val="24"/>
        </w:rPr>
        <w:t>ee</w:t>
      </w:r>
      <w:r w:rsidRPr="00EF692D" w:rsidR="008D533D">
        <w:rPr>
          <w:rFonts w:ascii="Palatino Linotype" w:hAnsi="Palatino Linotype"/>
          <w:snapToGrid w:val="0"/>
          <w:sz w:val="24"/>
          <w:szCs w:val="24"/>
        </w:rPr>
        <w:t>.</w:t>
      </w:r>
    </w:p>
    <w:p w:rsidR="004C70CB" w:rsidP="004C70CB" w:rsidRDefault="004C70CB" w14:paraId="60E99DC5" w14:textId="77777777">
      <w:pPr>
        <w:pStyle w:val="ListParagraph"/>
        <w:rPr>
          <w:rFonts w:ascii="Palatino Linotype" w:hAnsi="Palatino Linotype"/>
          <w:snapToGrid w:val="0"/>
          <w:sz w:val="24"/>
          <w:szCs w:val="24"/>
        </w:rPr>
      </w:pPr>
    </w:p>
    <w:p w:rsidR="004C70CB" w:rsidP="3DCF8024" w:rsidRDefault="004C70CB" w14:paraId="53EA6240" w14:textId="78CDFAF4">
      <w:pPr>
        <w:numPr>
          <w:ilvl w:val="0"/>
          <w:numId w:val="32"/>
        </w:numPr>
        <w:rPr>
          <w:rFonts w:ascii="Palatino Linotype" w:hAnsi="Palatino Linotype"/>
          <w:snapToGrid w:val="0"/>
          <w:sz w:val="24"/>
          <w:szCs w:val="24"/>
        </w:rPr>
      </w:pPr>
      <w:bookmarkStart w:name="_Hlk130891232" w:id="5"/>
      <w:r>
        <w:rPr>
          <w:rFonts w:ascii="Palatino Linotype" w:hAnsi="Palatino Linotype"/>
          <w:snapToGrid w:val="0"/>
          <w:sz w:val="24"/>
          <w:szCs w:val="24"/>
        </w:rPr>
        <w:t xml:space="preserve">Energy Division staff may propose a </w:t>
      </w:r>
      <w:r w:rsidR="00DC424E">
        <w:rPr>
          <w:rFonts w:ascii="Palatino Linotype" w:hAnsi="Palatino Linotype"/>
          <w:snapToGrid w:val="0"/>
          <w:sz w:val="24"/>
          <w:szCs w:val="24"/>
        </w:rPr>
        <w:t xml:space="preserve">change to the </w:t>
      </w:r>
      <w:r w:rsidR="00D217DF">
        <w:rPr>
          <w:rFonts w:ascii="Palatino Linotype" w:hAnsi="Palatino Linotype"/>
          <w:snapToGrid w:val="0"/>
          <w:sz w:val="24"/>
          <w:szCs w:val="24"/>
        </w:rPr>
        <w:t>methodology for</w:t>
      </w:r>
      <w:r w:rsidR="008E333D">
        <w:rPr>
          <w:rFonts w:ascii="Palatino Linotype" w:hAnsi="Palatino Linotype"/>
          <w:snapToGrid w:val="0"/>
          <w:sz w:val="24"/>
          <w:szCs w:val="24"/>
        </w:rPr>
        <w:t xml:space="preserve"> calculating </w:t>
      </w:r>
      <w:r w:rsidR="005412B8">
        <w:rPr>
          <w:rFonts w:ascii="Palatino Linotype" w:hAnsi="Palatino Linotype"/>
          <w:snapToGrid w:val="0"/>
          <w:sz w:val="24"/>
          <w:szCs w:val="24"/>
        </w:rPr>
        <w:t xml:space="preserve">the </w:t>
      </w:r>
      <w:r w:rsidR="008E333D">
        <w:rPr>
          <w:rFonts w:ascii="Palatino Linotype" w:hAnsi="Palatino Linotype"/>
          <w:snapToGrid w:val="0"/>
          <w:sz w:val="24"/>
          <w:szCs w:val="24"/>
        </w:rPr>
        <w:t>Variable</w:t>
      </w:r>
      <w:r w:rsidR="00D217DF">
        <w:rPr>
          <w:rFonts w:ascii="Palatino Linotype" w:hAnsi="Palatino Linotype"/>
          <w:snapToGrid w:val="0"/>
          <w:sz w:val="24"/>
          <w:szCs w:val="24"/>
        </w:rPr>
        <w:t xml:space="preserve"> </w:t>
      </w:r>
      <w:r w:rsidR="005412B8">
        <w:rPr>
          <w:rFonts w:ascii="Palatino Linotype" w:hAnsi="Palatino Linotype"/>
          <w:snapToGrid w:val="0"/>
          <w:sz w:val="24"/>
          <w:szCs w:val="24"/>
        </w:rPr>
        <w:t xml:space="preserve">Fee </w:t>
      </w:r>
      <w:r>
        <w:rPr>
          <w:rFonts w:ascii="Palatino Linotype" w:hAnsi="Palatino Linotype"/>
          <w:snapToGrid w:val="0"/>
          <w:sz w:val="24"/>
          <w:szCs w:val="24"/>
        </w:rPr>
        <w:t xml:space="preserve">by </w:t>
      </w:r>
      <w:r w:rsidR="009C603E">
        <w:rPr>
          <w:rFonts w:ascii="Palatino Linotype" w:hAnsi="Palatino Linotype"/>
          <w:snapToGrid w:val="0"/>
          <w:sz w:val="24"/>
          <w:szCs w:val="24"/>
        </w:rPr>
        <w:t>resolution</w:t>
      </w:r>
      <w:r>
        <w:rPr>
          <w:rFonts w:ascii="Palatino Linotype" w:hAnsi="Palatino Linotype"/>
          <w:snapToGrid w:val="0"/>
          <w:sz w:val="24"/>
          <w:szCs w:val="24"/>
        </w:rPr>
        <w:t xml:space="preserve"> on staff’s own motion should a change be necessary in the future.</w:t>
      </w:r>
    </w:p>
    <w:p w:rsidR="401A5BEC" w:rsidP="005C148E" w:rsidRDefault="401A5BEC" w14:paraId="624EA0B9" w14:textId="1BE0E991">
      <w:pPr>
        <w:rPr>
          <w:rFonts w:ascii="Palatino Linotype" w:hAnsi="Palatino Linotype"/>
          <w:snapToGrid w:val="0"/>
          <w:sz w:val="24"/>
          <w:szCs w:val="24"/>
        </w:rPr>
      </w:pPr>
    </w:p>
    <w:p w:rsidR="005466B7" w:rsidP="3DCF8024" w:rsidRDefault="00C400C4" w14:paraId="708CC249" w14:textId="4EE3967E">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All registered CTAs shall be assess</w:t>
      </w:r>
      <w:r w:rsidRPr="00EF692D" w:rsidR="000D5D46">
        <w:rPr>
          <w:rFonts w:ascii="Palatino Linotype" w:hAnsi="Palatino Linotype"/>
          <w:snapToGrid w:val="0"/>
          <w:sz w:val="24"/>
          <w:szCs w:val="24"/>
        </w:rPr>
        <w:t>ed</w:t>
      </w:r>
      <w:r w:rsidRPr="00EF692D">
        <w:rPr>
          <w:rFonts w:ascii="Palatino Linotype" w:hAnsi="Palatino Linotype"/>
          <w:snapToGrid w:val="0"/>
          <w:sz w:val="24"/>
          <w:szCs w:val="24"/>
        </w:rPr>
        <w:t xml:space="preserve"> th</w:t>
      </w:r>
      <w:r w:rsidR="00E04EEC">
        <w:rPr>
          <w:rFonts w:ascii="Palatino Linotype" w:hAnsi="Palatino Linotype"/>
          <w:snapToGrid w:val="0"/>
          <w:sz w:val="24"/>
          <w:szCs w:val="24"/>
        </w:rPr>
        <w:t>e</w:t>
      </w:r>
      <w:r w:rsidRPr="00EF692D">
        <w:rPr>
          <w:rFonts w:ascii="Palatino Linotype" w:hAnsi="Palatino Linotype"/>
          <w:snapToGrid w:val="0"/>
          <w:sz w:val="24"/>
          <w:szCs w:val="24"/>
        </w:rPr>
        <w:t xml:space="preserve"> </w:t>
      </w:r>
      <w:r w:rsidRPr="00EF692D" w:rsidR="00801494">
        <w:rPr>
          <w:rFonts w:ascii="Palatino Linotype" w:hAnsi="Palatino Linotype"/>
          <w:snapToGrid w:val="0"/>
          <w:sz w:val="24"/>
          <w:szCs w:val="24"/>
        </w:rPr>
        <w:t>A</w:t>
      </w:r>
      <w:r w:rsidRPr="00EF692D">
        <w:rPr>
          <w:rFonts w:ascii="Palatino Linotype" w:hAnsi="Palatino Linotype"/>
          <w:snapToGrid w:val="0"/>
          <w:sz w:val="24"/>
          <w:szCs w:val="24"/>
        </w:rPr>
        <w:t xml:space="preserve">nnual </w:t>
      </w:r>
      <w:r w:rsidRPr="00EF692D" w:rsidR="00801494">
        <w:rPr>
          <w:rFonts w:ascii="Palatino Linotype" w:hAnsi="Palatino Linotype"/>
          <w:snapToGrid w:val="0"/>
          <w:sz w:val="24"/>
          <w:szCs w:val="24"/>
        </w:rPr>
        <w:t>F</w:t>
      </w:r>
      <w:r w:rsidRPr="00EF692D">
        <w:rPr>
          <w:rFonts w:ascii="Palatino Linotype" w:hAnsi="Palatino Linotype"/>
          <w:snapToGrid w:val="0"/>
          <w:sz w:val="24"/>
          <w:szCs w:val="24"/>
        </w:rPr>
        <w:t xml:space="preserve">ee by </w:t>
      </w:r>
      <w:r w:rsidRPr="00EF692D" w:rsidR="005466B7">
        <w:rPr>
          <w:rFonts w:ascii="Palatino Linotype" w:hAnsi="Palatino Linotype"/>
          <w:snapToGrid w:val="0"/>
          <w:sz w:val="24"/>
          <w:szCs w:val="24"/>
        </w:rPr>
        <w:t>July 1, 202</w:t>
      </w:r>
      <w:r w:rsidR="00F6209E">
        <w:rPr>
          <w:rFonts w:ascii="Palatino Linotype" w:hAnsi="Palatino Linotype"/>
          <w:snapToGrid w:val="0"/>
          <w:sz w:val="24"/>
          <w:szCs w:val="24"/>
        </w:rPr>
        <w:t>6</w:t>
      </w:r>
      <w:r w:rsidRPr="00EF692D" w:rsidR="005466B7">
        <w:rPr>
          <w:rFonts w:ascii="Palatino Linotype" w:hAnsi="Palatino Linotype"/>
          <w:snapToGrid w:val="0"/>
          <w:sz w:val="24"/>
          <w:szCs w:val="24"/>
        </w:rPr>
        <w:t>, and by July 1 of the subsequent years.</w:t>
      </w:r>
    </w:p>
    <w:p w:rsidRPr="00EF692D" w:rsidR="004C70CB" w:rsidP="004C70CB" w:rsidRDefault="004C70CB" w14:paraId="76290F5F" w14:textId="77777777">
      <w:pPr>
        <w:rPr>
          <w:rFonts w:ascii="Palatino Linotype" w:hAnsi="Palatino Linotype"/>
          <w:snapToGrid w:val="0"/>
          <w:sz w:val="24"/>
          <w:szCs w:val="24"/>
        </w:rPr>
      </w:pPr>
    </w:p>
    <w:p w:rsidR="004B2C7A" w:rsidP="3DCF8024" w:rsidRDefault="00A36BD4" w14:paraId="6A513EFD" w14:textId="69B6BE8A">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Pursuant to Public Utilities Code 984(b)</w:t>
      </w:r>
      <w:r w:rsidRPr="00EF692D" w:rsidR="00006EED">
        <w:rPr>
          <w:rFonts w:ascii="Palatino Linotype" w:hAnsi="Palatino Linotype"/>
          <w:snapToGrid w:val="0"/>
          <w:sz w:val="24"/>
          <w:szCs w:val="24"/>
        </w:rPr>
        <w:t>, if payment is not received within 30 days of billing</w:t>
      </w:r>
      <w:r w:rsidRPr="00EF692D" w:rsidR="000D5D46">
        <w:rPr>
          <w:rFonts w:ascii="Palatino Linotype" w:hAnsi="Palatino Linotype"/>
          <w:snapToGrid w:val="0"/>
          <w:sz w:val="24"/>
          <w:szCs w:val="24"/>
        </w:rPr>
        <w:t xml:space="preserve">, a 15-percent late payment penalty will be assessed </w:t>
      </w:r>
      <w:r w:rsidRPr="00EF692D" w:rsidR="004B2C7A">
        <w:rPr>
          <w:rFonts w:ascii="Palatino Linotype" w:hAnsi="Palatino Linotype"/>
          <w:snapToGrid w:val="0"/>
          <w:sz w:val="24"/>
          <w:szCs w:val="24"/>
        </w:rPr>
        <w:t xml:space="preserve">on the CTA. </w:t>
      </w:r>
    </w:p>
    <w:p w:rsidRPr="00EF692D" w:rsidR="004C70CB" w:rsidP="004C70CB" w:rsidRDefault="004C70CB" w14:paraId="22B8B59C" w14:textId="77777777">
      <w:pPr>
        <w:rPr>
          <w:rFonts w:ascii="Palatino Linotype" w:hAnsi="Palatino Linotype"/>
          <w:snapToGrid w:val="0"/>
          <w:sz w:val="24"/>
          <w:szCs w:val="24"/>
        </w:rPr>
      </w:pPr>
    </w:p>
    <w:bookmarkEnd w:id="5"/>
    <w:p w:rsidR="00CF17DE" w:rsidP="3DCF8024" w:rsidRDefault="004B2C7A" w14:paraId="04E7CDC7" w14:textId="57CBEE96">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 xml:space="preserve">Failure to pay the </w:t>
      </w:r>
      <w:r w:rsidRPr="00EF692D" w:rsidR="00750040">
        <w:rPr>
          <w:rFonts w:ascii="Palatino Linotype" w:hAnsi="Palatino Linotype"/>
          <w:snapToGrid w:val="0"/>
          <w:sz w:val="24"/>
          <w:szCs w:val="24"/>
        </w:rPr>
        <w:t>A</w:t>
      </w:r>
      <w:r w:rsidRPr="00EF692D">
        <w:rPr>
          <w:rFonts w:ascii="Palatino Linotype" w:hAnsi="Palatino Linotype"/>
          <w:snapToGrid w:val="0"/>
          <w:sz w:val="24"/>
          <w:szCs w:val="24"/>
        </w:rPr>
        <w:t xml:space="preserve">nnual </w:t>
      </w:r>
      <w:r w:rsidRPr="00EF692D" w:rsidR="00750040">
        <w:rPr>
          <w:rFonts w:ascii="Palatino Linotype" w:hAnsi="Palatino Linotype"/>
          <w:snapToGrid w:val="0"/>
          <w:sz w:val="24"/>
          <w:szCs w:val="24"/>
        </w:rPr>
        <w:t>F</w:t>
      </w:r>
      <w:r w:rsidRPr="00EF692D">
        <w:rPr>
          <w:rFonts w:ascii="Palatino Linotype" w:hAnsi="Palatino Linotype"/>
          <w:snapToGrid w:val="0"/>
          <w:sz w:val="24"/>
          <w:szCs w:val="24"/>
        </w:rPr>
        <w:t xml:space="preserve">ee with 15-percent penalty will </w:t>
      </w:r>
      <w:r w:rsidRPr="00EF692D" w:rsidR="0002132C">
        <w:rPr>
          <w:rFonts w:ascii="Palatino Linotype" w:hAnsi="Palatino Linotype"/>
          <w:snapToGrid w:val="0"/>
          <w:sz w:val="24"/>
          <w:szCs w:val="24"/>
        </w:rPr>
        <w:t>subject the CTA to suspension or revocation of its registration</w:t>
      </w:r>
      <w:r w:rsidRPr="00EF692D" w:rsidR="00DA0000">
        <w:rPr>
          <w:rFonts w:ascii="Palatino Linotype" w:hAnsi="Palatino Linotype"/>
          <w:snapToGrid w:val="0"/>
          <w:sz w:val="24"/>
          <w:szCs w:val="24"/>
        </w:rPr>
        <w:t>.</w:t>
      </w:r>
    </w:p>
    <w:p w:rsidR="005C148E" w:rsidP="005C148E" w:rsidRDefault="005C148E" w14:paraId="15DCC243" w14:textId="77777777">
      <w:pPr>
        <w:pStyle w:val="ListParagraph"/>
        <w:rPr>
          <w:rFonts w:ascii="Palatino Linotype" w:hAnsi="Palatino Linotype"/>
          <w:snapToGrid w:val="0"/>
          <w:sz w:val="24"/>
          <w:szCs w:val="24"/>
        </w:rPr>
      </w:pPr>
    </w:p>
    <w:p w:rsidR="005C148E" w:rsidP="005C148E" w:rsidRDefault="005C148E" w14:paraId="14F854E0" w14:textId="77777777">
      <w:pPr>
        <w:rPr>
          <w:rFonts w:ascii="Palatino Linotype" w:hAnsi="Palatino Linotype"/>
          <w:snapToGrid w:val="0"/>
          <w:sz w:val="24"/>
          <w:szCs w:val="24"/>
        </w:rPr>
      </w:pPr>
    </w:p>
    <w:p w:rsidR="005C148E" w:rsidP="005C148E" w:rsidRDefault="005C148E" w14:paraId="34E8CBA9" w14:textId="77777777">
      <w:pPr>
        <w:rPr>
          <w:rFonts w:ascii="Palatino Linotype" w:hAnsi="Palatino Linotype"/>
          <w:snapToGrid w:val="0"/>
          <w:sz w:val="24"/>
          <w:szCs w:val="24"/>
        </w:rPr>
      </w:pPr>
    </w:p>
    <w:p w:rsidR="005C148E" w:rsidP="005C148E" w:rsidRDefault="005C148E" w14:paraId="7F59F633" w14:textId="77777777">
      <w:pPr>
        <w:rPr>
          <w:rFonts w:ascii="Palatino Linotype" w:hAnsi="Palatino Linotype"/>
          <w:snapToGrid w:val="0"/>
          <w:sz w:val="24"/>
          <w:szCs w:val="24"/>
        </w:rPr>
      </w:pPr>
    </w:p>
    <w:p w:rsidR="005C148E" w:rsidP="005C148E" w:rsidRDefault="005C148E" w14:paraId="73B3B817" w14:textId="77777777">
      <w:pPr>
        <w:rPr>
          <w:rFonts w:ascii="Palatino Linotype" w:hAnsi="Palatino Linotype"/>
          <w:snapToGrid w:val="0"/>
          <w:sz w:val="24"/>
          <w:szCs w:val="24"/>
        </w:rPr>
      </w:pPr>
    </w:p>
    <w:p w:rsidR="005C148E" w:rsidP="005C148E" w:rsidRDefault="005C148E" w14:paraId="2DC4DB40" w14:textId="77777777">
      <w:pPr>
        <w:rPr>
          <w:rFonts w:ascii="Palatino Linotype" w:hAnsi="Palatino Linotype"/>
          <w:snapToGrid w:val="0"/>
          <w:sz w:val="24"/>
          <w:szCs w:val="24"/>
        </w:rPr>
      </w:pPr>
    </w:p>
    <w:p w:rsidR="005C148E" w:rsidP="005C148E" w:rsidRDefault="005C148E" w14:paraId="6E70843A" w14:textId="77777777">
      <w:pPr>
        <w:rPr>
          <w:rFonts w:ascii="Palatino Linotype" w:hAnsi="Palatino Linotype"/>
          <w:snapToGrid w:val="0"/>
          <w:sz w:val="24"/>
          <w:szCs w:val="24"/>
        </w:rPr>
      </w:pPr>
    </w:p>
    <w:p w:rsidRPr="00EF692D" w:rsidR="00CF17DE" w:rsidRDefault="00CF17DE" w14:paraId="37DEE6CF" w14:textId="68EFDE7B">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F692D">
        <w:rPr>
          <w:rFonts w:ascii="Palatino Linotype" w:hAnsi="Palatino Linotype"/>
          <w:sz w:val="24"/>
          <w:szCs w:val="24"/>
        </w:rPr>
        <w:t xml:space="preserve">This </w:t>
      </w:r>
      <w:r w:rsidR="009C603E">
        <w:rPr>
          <w:rFonts w:ascii="Palatino Linotype" w:hAnsi="Palatino Linotype"/>
          <w:sz w:val="24"/>
          <w:szCs w:val="24"/>
        </w:rPr>
        <w:t>resolution</w:t>
      </w:r>
      <w:r w:rsidRPr="00EF692D">
        <w:rPr>
          <w:rFonts w:ascii="Palatino Linotype" w:hAnsi="Palatino Linotype"/>
          <w:sz w:val="24"/>
          <w:szCs w:val="24"/>
        </w:rPr>
        <w:t xml:space="preserve"> is effective today.</w:t>
      </w:r>
    </w:p>
    <w:p w:rsidR="001B4E1B" w:rsidP="001B4E1B" w:rsidRDefault="001B4E1B" w14:paraId="051E5A95" w14:textId="68126719">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lastRenderedPageBreak/>
        <w:t xml:space="preserve">The foregoing resolution was duly introduced, passed and adopted at a conference of the Public Utilities Commission of the State of California held on </w:t>
      </w:r>
      <w:r w:rsidR="00FF13FA">
        <w:rPr>
          <w:rFonts w:ascii="Palatino Linotype" w:hAnsi="Palatino Linotype"/>
          <w:color w:val="000000"/>
          <w:sz w:val="24"/>
          <w:szCs w:val="24"/>
        </w:rPr>
        <w:t>June 11, 2026</w:t>
      </w:r>
      <w:r w:rsidRPr="00D31D55">
        <w:rPr>
          <w:rFonts w:ascii="Palatino Linotype" w:hAnsi="Palatino Linotype"/>
          <w:color w:val="000000"/>
          <w:sz w:val="24"/>
          <w:szCs w:val="24"/>
        </w:rPr>
        <w:t xml:space="preserve">; the following Commissioners </w:t>
      </w:r>
      <w:proofErr w:type="gramStart"/>
      <w:r w:rsidRPr="00D31D55">
        <w:rPr>
          <w:rFonts w:ascii="Palatino Linotype" w:hAnsi="Palatino Linotype"/>
          <w:color w:val="000000"/>
          <w:sz w:val="24"/>
          <w:szCs w:val="24"/>
        </w:rPr>
        <w:t>voting</w:t>
      </w:r>
      <w:proofErr w:type="gramEnd"/>
      <w:r w:rsidRPr="00D31D55">
        <w:rPr>
          <w:rFonts w:ascii="Palatino Linotype" w:hAnsi="Palatino Linotype"/>
          <w:color w:val="000000"/>
          <w:sz w:val="24"/>
          <w:szCs w:val="24"/>
        </w:rPr>
        <w:t xml:space="preserve"> favorably thereon:</w:t>
      </w:r>
    </w:p>
    <w:p w:rsidRPr="00D31D55" w:rsidR="005C148E" w:rsidP="001B4E1B" w:rsidRDefault="005C148E" w14:paraId="581974A2" w14:textId="77777777">
      <w:pPr>
        <w:spacing w:before="100" w:beforeAutospacing="1" w:after="100" w:afterAutospacing="1"/>
        <w:rPr>
          <w:rFonts w:ascii="Palatino Linotype" w:hAnsi="Palatino Linotype"/>
          <w:color w:val="000000"/>
          <w:sz w:val="24"/>
          <w:szCs w:val="24"/>
        </w:rPr>
      </w:pPr>
    </w:p>
    <w:p w:rsidRPr="00D31D55" w:rsidR="001B4E1B" w:rsidP="00B777C2" w:rsidRDefault="001B4E1B" w14:paraId="20722018" w14:textId="77777777">
      <w:pPr>
        <w:jc w:val="right"/>
        <w:rPr>
          <w:rFonts w:ascii="Palatino Linotype" w:hAnsi="Palatino Linotype"/>
          <w:color w:val="000000"/>
          <w:sz w:val="24"/>
          <w:szCs w:val="24"/>
        </w:rPr>
      </w:pPr>
      <w:r w:rsidRPr="00D31D55">
        <w:rPr>
          <w:rFonts w:ascii="Palatino Linotype" w:hAnsi="Palatino Linotype"/>
          <w:color w:val="000000"/>
          <w:sz w:val="24"/>
          <w:szCs w:val="24"/>
        </w:rPr>
        <w:t>Commissioner Signature blocks to be added</w:t>
      </w:r>
    </w:p>
    <w:p w:rsidR="001B4E1B" w:rsidP="0000121F" w:rsidRDefault="0000121F" w14:paraId="5545FFAD" w14:textId="08CADC9B">
      <w:pPr>
        <w:jc w:val="center"/>
        <w:rPr>
          <w:rFonts w:ascii="Palatino Linotype" w:hAnsi="Palatino Linotype"/>
          <w:color w:val="000000"/>
          <w:sz w:val="24"/>
          <w:szCs w:val="24"/>
        </w:rPr>
      </w:pPr>
      <w:r>
        <w:rPr>
          <w:rFonts w:ascii="Palatino Linotype" w:hAnsi="Palatino Linotype"/>
          <w:color w:val="000000"/>
          <w:sz w:val="24"/>
          <w:szCs w:val="24"/>
        </w:rPr>
        <w:t xml:space="preserve">                                                                      </w:t>
      </w:r>
      <w:r w:rsidRPr="00D31D55" w:rsidR="001B4E1B">
        <w:rPr>
          <w:rFonts w:ascii="Palatino Linotype" w:hAnsi="Palatino Linotype"/>
          <w:color w:val="000000"/>
          <w:sz w:val="24"/>
          <w:szCs w:val="24"/>
        </w:rPr>
        <w:t>upon adoption of the resolution</w:t>
      </w:r>
    </w:p>
    <w:p w:rsidRPr="00D31D55" w:rsidR="00FF13FA" w:rsidP="0000121F" w:rsidRDefault="00FF13FA" w14:paraId="023B797D" w14:textId="77777777">
      <w:pPr>
        <w:jc w:val="center"/>
        <w:rPr>
          <w:rFonts w:ascii="Palatino Linotype" w:hAnsi="Palatino Linotype"/>
          <w:color w:val="000000"/>
          <w:sz w:val="24"/>
          <w:szCs w:val="24"/>
        </w:rPr>
      </w:pPr>
    </w:p>
    <w:p w:rsidRPr="00D31D55" w:rsidR="001B4E1B" w:rsidP="001B4E1B" w:rsidRDefault="001B4E1B" w14:paraId="796E6A35" w14:textId="52813E4D">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Dated</w:t>
      </w:r>
      <w:r w:rsidRPr="00FF13FA">
        <w:rPr>
          <w:rFonts w:ascii="Palatino Linotype" w:hAnsi="Palatino Linotype"/>
          <w:color w:val="000000"/>
          <w:sz w:val="24"/>
          <w:szCs w:val="24"/>
        </w:rPr>
        <w:t xml:space="preserve"> </w:t>
      </w:r>
      <w:r w:rsidR="00FF13FA">
        <w:rPr>
          <w:rFonts w:ascii="Palatino Linotype" w:hAnsi="Palatino Linotype"/>
          <w:color w:val="000000"/>
          <w:sz w:val="24"/>
          <w:szCs w:val="24"/>
        </w:rPr>
        <w:t>June 11, 2026</w:t>
      </w:r>
      <w:r w:rsidRPr="00FF13FA">
        <w:rPr>
          <w:rFonts w:ascii="Palatino Linotype" w:hAnsi="Palatino Linotype"/>
          <w:color w:val="000000"/>
          <w:sz w:val="24"/>
          <w:szCs w:val="24"/>
        </w:rPr>
        <w:t>,</w:t>
      </w:r>
      <w:r w:rsidRPr="00D31D55">
        <w:rPr>
          <w:rFonts w:ascii="Palatino Linotype" w:hAnsi="Palatino Linotype"/>
          <w:color w:val="000000"/>
          <w:sz w:val="24"/>
          <w:szCs w:val="24"/>
        </w:rPr>
        <w:t xml:space="preserve"> at </w:t>
      </w:r>
      <w:r w:rsidR="00FF13FA">
        <w:rPr>
          <w:rFonts w:ascii="Palatino Linotype" w:hAnsi="Palatino Linotype"/>
          <w:color w:val="000000"/>
          <w:sz w:val="24"/>
          <w:szCs w:val="24"/>
        </w:rPr>
        <w:t>Sacramento</w:t>
      </w:r>
      <w:r w:rsidRPr="00D31D55">
        <w:rPr>
          <w:rFonts w:ascii="Palatino Linotype" w:hAnsi="Palatino Linotype"/>
          <w:color w:val="000000"/>
          <w:sz w:val="24"/>
          <w:szCs w:val="24"/>
        </w:rPr>
        <w:t>, Californi</w:t>
      </w:r>
      <w:r w:rsidR="00FF13FA">
        <w:rPr>
          <w:rFonts w:ascii="Palatino Linotype" w:hAnsi="Palatino Linotype"/>
          <w:color w:val="000000"/>
          <w:sz w:val="24"/>
          <w:szCs w:val="24"/>
        </w:rPr>
        <w:t>a.</w:t>
      </w:r>
    </w:p>
    <w:p w:rsidR="00474DB5" w:rsidP="00D31D55" w:rsidRDefault="00474DB5" w14:paraId="2592984B" w14:textId="04F9C4B3">
      <w:pPr>
        <w:spacing w:before="100" w:beforeAutospacing="1" w:after="100" w:afterAutospacing="1"/>
        <w:rPr>
          <w:bCs/>
        </w:rPr>
      </w:pPr>
    </w:p>
    <w:p w:rsidR="005971EA" w:rsidP="00055A9E" w:rsidRDefault="005971EA" w14:paraId="72F321A1" w14:textId="77777777">
      <w:pPr>
        <w:spacing w:line="259" w:lineRule="auto"/>
        <w:jc w:val="center"/>
        <w:sectPr w:rsidR="005971EA" w:rsidSect="00573873">
          <w:headerReference w:type="default" r:id="rId8"/>
          <w:footerReference w:type="default" r:id="rId9"/>
          <w:headerReference w:type="first" r:id="rId10"/>
          <w:footerReference w:type="first" r:id="rId11"/>
          <w:type w:val="continuous"/>
          <w:pgSz w:w="12240" w:h="15840"/>
          <w:pgMar w:top="1080" w:right="1080" w:bottom="1642" w:left="1080" w:header="720" w:footer="720" w:gutter="0"/>
          <w:cols w:space="720"/>
          <w:titlePg/>
          <w:docGrid w:linePitch="360"/>
        </w:sectPr>
      </w:pPr>
      <w:bookmarkStart w:name="_Toc141884644" w:id="6"/>
      <w:bookmarkStart w:name="_Toc62392382" w:id="7"/>
    </w:p>
    <w:p w:rsidRPr="00A960AD" w:rsidR="005971EA" w:rsidP="00D31D55" w:rsidRDefault="67FE7F40" w14:paraId="140DDF5C" w14:textId="31361F8B">
      <w:pPr>
        <w:pStyle w:val="Heading1"/>
        <w:jc w:val="center"/>
        <w:rPr>
          <w:rFonts w:eastAsia="Helvetica" w:cs="Helvetica"/>
          <w:b w:val="0"/>
          <w:bCs/>
          <w:caps w:val="0"/>
          <w:color w:val="000000" w:themeColor="text1"/>
          <w:szCs w:val="26"/>
        </w:rPr>
      </w:pPr>
      <w:r w:rsidRPr="56DCBDFF">
        <w:rPr>
          <w:rFonts w:eastAsia="Helvetica" w:cs="Helvetica"/>
          <w:bCs/>
          <w:color w:val="000000" w:themeColor="text1"/>
          <w:szCs w:val="26"/>
        </w:rPr>
        <w:lastRenderedPageBreak/>
        <w:t>APPENDIX A</w:t>
      </w:r>
    </w:p>
    <w:p w:rsidRPr="00A960AD" w:rsidR="005971EA" w:rsidP="00D31D55" w:rsidRDefault="67FE7F40" w14:paraId="7241BDD9" w14:textId="1183B500">
      <w:pPr>
        <w:spacing w:before="240" w:line="259" w:lineRule="auto"/>
        <w:jc w:val="center"/>
        <w:rPr>
          <w:rFonts w:ascii="Century Gothic" w:hAnsi="Century Gothic" w:eastAsia="Century Gothic" w:cs="Century Gothic"/>
          <w:color w:val="000000" w:themeColor="text1"/>
          <w:sz w:val="28"/>
          <w:szCs w:val="28"/>
        </w:rPr>
      </w:pPr>
      <w:r w:rsidRPr="56DCBDFF">
        <w:rPr>
          <w:rFonts w:ascii="Century Gothic" w:hAnsi="Century Gothic" w:eastAsia="Century Gothic" w:cs="Century Gothic"/>
          <w:b/>
          <w:bCs/>
          <w:color w:val="000000" w:themeColor="text1"/>
          <w:sz w:val="28"/>
          <w:szCs w:val="28"/>
        </w:rPr>
        <w:t>2026 Core Transport Agent Program Annual Report</w:t>
      </w:r>
    </w:p>
    <w:bookmarkEnd w:id="6"/>
    <w:bookmarkEnd w:id="7"/>
    <w:p w:rsidRPr="00A960AD" w:rsidR="005971EA" w:rsidP="00D31D55" w:rsidRDefault="67FE7F40" w14:paraId="3E82FDC1" w14:textId="76B695D9">
      <w:pPr>
        <w:keepNext/>
        <w:keepLines/>
        <w:spacing w:before="240" w:line="276" w:lineRule="auto"/>
      </w:pPr>
      <w:r w:rsidRPr="56DCBDFF">
        <w:rPr>
          <w:rFonts w:ascii="Century Gothic" w:hAnsi="Century Gothic" w:eastAsia="Century Gothic" w:cs="Century Gothic"/>
          <w:color w:val="2F5496"/>
          <w:sz w:val="32"/>
          <w:szCs w:val="32"/>
        </w:rPr>
        <w:t>Background and Summary </w:t>
      </w:r>
      <w:r>
        <w:t xml:space="preserve"> </w:t>
      </w:r>
    </w:p>
    <w:p w:rsidRPr="00A960AD" w:rsidR="005971EA" w:rsidP="003412B8" w:rsidRDefault="005971EA" w14:paraId="7577F3DD" w14:textId="724875C3">
      <w:pPr>
        <w:pStyle w:val="paragraph"/>
        <w:spacing w:before="240"/>
      </w:pPr>
      <w:r w:rsidRPr="00A960AD">
        <w:t>Since 1991, the California Public Utilities Commission (CPUC) has allowed all</w:t>
      </w:r>
      <w:r>
        <w:t xml:space="preserve"> core</w:t>
      </w:r>
      <w:r w:rsidRPr="00A960AD">
        <w:t xml:space="preserve"> customers</w:t>
      </w:r>
      <w:r w:rsidRPr="0540ECAD">
        <w:rPr>
          <w:rStyle w:val="FootnoteReference"/>
        </w:rPr>
        <w:footnoteReference w:id="23"/>
      </w:r>
      <w:r w:rsidRPr="00A960AD">
        <w:t xml:space="preserve"> of the state’s regulated natural gas utilities the option to choose a non-utility gas supplier to procure their supply of natural gas.</w:t>
      </w:r>
      <w:r w:rsidRPr="005B6FF1">
        <w:rPr>
          <w:vertAlign w:val="superscript"/>
        </w:rPr>
        <w:footnoteReference w:id="24"/>
      </w:r>
      <w:r w:rsidRPr="00A960AD">
        <w:t xml:space="preserve"> The</w:t>
      </w:r>
      <w:r>
        <w:t xml:space="preserve"> </w:t>
      </w:r>
      <w:r w:rsidRPr="00A960AD">
        <w:t>program is intended to create competition between regulated and unregulated gas suppliers and to give consumers a choice of providers. The unregulated gas suppliers, known as Core Transport Agents</w:t>
      </w:r>
      <w:r w:rsidRPr="00EB6F37">
        <w:rPr>
          <w:rStyle w:val="FootnoteReference"/>
        </w:rPr>
        <w:footnoteReference w:id="25"/>
      </w:r>
      <w:r w:rsidRPr="00A960AD">
        <w:t xml:space="preserve"> or CTAs, procure gas for the residential and small commercial customers known as “core” customers. The gas supplied by CTAs is delivered over the regulated utilities’ pipeline systems. </w:t>
      </w:r>
    </w:p>
    <w:p w:rsidR="59309DFB" w:rsidP="59309DFB" w:rsidRDefault="005971EA" w14:paraId="6880938D" w14:textId="6BF7E1F3">
      <w:pPr>
        <w:pStyle w:val="paragraph"/>
      </w:pPr>
      <w:r w:rsidRPr="00A960AD">
        <w:t xml:space="preserve">The CPUC does not regulate the rates or fees for gas services supplied by CTAs. </w:t>
      </w:r>
      <w:r>
        <w:t>Customers</w:t>
      </w:r>
      <w:r w:rsidRPr="00A960AD">
        <w:t xml:space="preserve"> who </w:t>
      </w:r>
      <w:r>
        <w:t>are considering leaving</w:t>
      </w:r>
      <w:r w:rsidRPr="00A960AD">
        <w:t xml:space="preserve"> the regulated gas utility for CTA gas </w:t>
      </w:r>
      <w:r>
        <w:t>services are encouraged</w:t>
      </w:r>
      <w:r w:rsidRPr="00A960AD">
        <w:t xml:space="preserve"> to carefully review the CTA’s </w:t>
      </w:r>
      <w:r>
        <w:t xml:space="preserve">prices, </w:t>
      </w:r>
      <w:r w:rsidRPr="00A960AD">
        <w:t>terms</w:t>
      </w:r>
      <w:r>
        <w:t>,</w:t>
      </w:r>
      <w:r w:rsidRPr="00A960AD">
        <w:t xml:space="preserve"> and conditions and compare </w:t>
      </w:r>
      <w:r>
        <w:t xml:space="preserve">them </w:t>
      </w:r>
      <w:r w:rsidRPr="00A960AD">
        <w:t xml:space="preserve">with </w:t>
      </w:r>
      <w:r>
        <w:t xml:space="preserve">those of </w:t>
      </w:r>
      <w:r w:rsidRPr="00A960AD">
        <w:t xml:space="preserve">the gas utility’s prior to signing any agreement with the CTA. </w:t>
      </w:r>
    </w:p>
    <w:p w:rsidR="59309DFB" w:rsidP="59309DFB" w:rsidRDefault="005971EA" w14:paraId="3592A37D" w14:textId="354B0694">
      <w:pPr>
        <w:pStyle w:val="paragraph"/>
      </w:pPr>
      <w:r w:rsidRPr="00A960AD">
        <w:t xml:space="preserve">In 2013, Senate Bill 656 required the CPUC to regulate certain aspects of CTA services having to do with consumer protection and the resolution of consumer complaints. In 2018, Decision (D.) </w:t>
      </w:r>
      <w:r w:rsidRPr="00A960AD">
        <w:br/>
        <w:t xml:space="preserve">18-02-002 established an annual CTA fee (Annual Fee) that was to be based on the cost of administering the CTA program. The decision also required the CPUC’s Energy Division staff to submit a </w:t>
      </w:r>
      <w:r w:rsidRPr="0540ECAD">
        <w:rPr>
          <w:i/>
          <w:iCs/>
        </w:rPr>
        <w:t>Core Transport Agent Program Annual Report</w:t>
      </w:r>
      <w:r w:rsidRPr="00A960AD">
        <w:t xml:space="preserve"> (</w:t>
      </w:r>
      <w:r w:rsidRPr="0540ECAD">
        <w:rPr>
          <w:i/>
          <w:iCs/>
        </w:rPr>
        <w:t>CTA Annual Report</w:t>
      </w:r>
      <w:r w:rsidRPr="00A960AD">
        <w:t xml:space="preserve">) on these costs and to recommend changes to the Annual Fee </w:t>
      </w:r>
      <w:r w:rsidR="007148FF">
        <w:t>via resolution as necessary</w:t>
      </w:r>
      <w:r w:rsidRPr="00A960AD">
        <w:t xml:space="preserve">. </w:t>
      </w:r>
    </w:p>
    <w:p w:rsidRPr="00A960AD" w:rsidR="005971EA" w:rsidDel="00E36973" w:rsidP="005971EA" w:rsidRDefault="009D7720" w14:paraId="1B8BDF1D" w14:textId="4DC7A86C">
      <w:pPr>
        <w:pStyle w:val="paragraph"/>
      </w:pPr>
      <w:r>
        <w:t>Energy Division staff have issued a series of resolutions since the 20</w:t>
      </w:r>
      <w:r w:rsidR="00C875E2">
        <w:t>18 decision</w:t>
      </w:r>
      <w:r w:rsidR="007D5281">
        <w:t xml:space="preserve"> that were subsequently approved by the Commission</w:t>
      </w:r>
      <w:r w:rsidR="00C875E2">
        <w:t xml:space="preserve">. In 2019, </w:t>
      </w:r>
      <w:r w:rsidR="004209DB">
        <w:t xml:space="preserve">Resolution G-3522 </w:t>
      </w:r>
      <w:r w:rsidR="00A246AA">
        <w:t xml:space="preserve">established an </w:t>
      </w:r>
      <w:r w:rsidR="00BE212C">
        <w:t xml:space="preserve">Annual Fee of $2,860 and noted that the Commission </w:t>
      </w:r>
      <w:r w:rsidR="004A7D95">
        <w:t>might consider a Variable Fee in future years.</w:t>
      </w:r>
      <w:r w:rsidR="004A7D95">
        <w:rPr>
          <w:rStyle w:val="FootnoteReference"/>
        </w:rPr>
        <w:footnoteReference w:id="26"/>
      </w:r>
      <w:r w:rsidR="004663A8">
        <w:t xml:space="preserve"> In 2021, </w:t>
      </w:r>
      <w:r w:rsidR="00802D14">
        <w:t xml:space="preserve">G-3580 increased the Base Fee to </w:t>
      </w:r>
      <w:r w:rsidR="004C3D20">
        <w:t xml:space="preserve">$3,955 and established a Variable Fee </w:t>
      </w:r>
      <w:r w:rsidR="004327D0">
        <w:t>based on</w:t>
      </w:r>
      <w:r w:rsidR="00BA5E5F">
        <w:t xml:space="preserve"> the number and type of</w:t>
      </w:r>
      <w:r w:rsidR="004327D0">
        <w:t xml:space="preserve"> customer complaints</w:t>
      </w:r>
      <w:r w:rsidR="00BA5E5F">
        <w:t xml:space="preserve"> </w:t>
      </w:r>
      <w:r w:rsidR="00EA3EFF">
        <w:t xml:space="preserve">received about </w:t>
      </w:r>
      <w:r w:rsidR="00BA5E5F">
        <w:t>each CTA</w:t>
      </w:r>
      <w:r w:rsidR="004327D0">
        <w:t>.</w:t>
      </w:r>
      <w:r w:rsidR="002D3749">
        <w:rPr>
          <w:rStyle w:val="FootnoteReference"/>
        </w:rPr>
        <w:footnoteReference w:id="27"/>
      </w:r>
      <w:r w:rsidR="004A7D95">
        <w:t xml:space="preserve"> </w:t>
      </w:r>
      <w:r w:rsidRPr="00A960AD" w:rsidR="005971EA">
        <w:t xml:space="preserve">In 2022, Resolution G-3589, </w:t>
      </w:r>
      <w:r w:rsidR="00D46186">
        <w:t>slightly reduced the Base</w:t>
      </w:r>
      <w:r w:rsidR="0031015D">
        <w:t xml:space="preserve"> Fee</w:t>
      </w:r>
      <w:r w:rsidR="00D46186">
        <w:t xml:space="preserve"> and adjusted the methodology for determining the Variable Fee.</w:t>
      </w:r>
      <w:r w:rsidRPr="00E361B6" w:rsidR="005971EA">
        <w:rPr>
          <w:rStyle w:val="FootnoteReference"/>
        </w:rPr>
        <w:footnoteReference w:id="28"/>
      </w:r>
    </w:p>
    <w:p w:rsidR="59309DFB" w:rsidP="0073339A" w:rsidRDefault="005971EA" w14:paraId="7122810A" w14:textId="10C8579F">
      <w:pPr>
        <w:pStyle w:val="paragraph"/>
        <w:spacing w:before="240" w:beforeAutospacing="0" w:after="240" w:afterAutospacing="0"/>
      </w:pPr>
      <w:r w:rsidRPr="00E361B6">
        <w:rPr>
          <w:rStyle w:val="FootnoteReference"/>
        </w:rPr>
        <w:lastRenderedPageBreak/>
        <w:t xml:space="preserve"> </w:t>
      </w:r>
      <w:r w:rsidRPr="00A960AD">
        <w:t xml:space="preserve">In </w:t>
      </w:r>
      <w:r w:rsidR="00A50047">
        <w:t xml:space="preserve">2023, </w:t>
      </w:r>
      <w:r w:rsidR="00922B68">
        <w:t xml:space="preserve">G-3597 </w:t>
      </w:r>
      <w:r w:rsidRPr="00A960AD">
        <w:t>increase</w:t>
      </w:r>
      <w:r w:rsidR="00922B68">
        <w:t>d</w:t>
      </w:r>
      <w:r w:rsidRPr="00A960AD">
        <w:t xml:space="preserve"> the Base Fee to $5,000</w:t>
      </w:r>
      <w:r w:rsidR="00922482">
        <w:t xml:space="preserve"> and </w:t>
      </w:r>
      <w:r w:rsidR="004C7ECB">
        <w:t xml:space="preserve">made it constant </w:t>
      </w:r>
      <w:r w:rsidR="00E07633">
        <w:t xml:space="preserve">for </w:t>
      </w:r>
      <w:r w:rsidRPr="00A960AD">
        <w:t xml:space="preserve">future years unless administrative costs are more than 20 percent higher or lower than </w:t>
      </w:r>
      <w:r w:rsidRPr="00A960AD" w:rsidR="000B2FF9">
        <w:t>$5,000</w:t>
      </w:r>
      <w:r w:rsidRPr="00A960AD">
        <w:t xml:space="preserve">. </w:t>
      </w:r>
      <w:r w:rsidR="00F02889">
        <w:t xml:space="preserve">The resolution also </w:t>
      </w:r>
      <w:r w:rsidRPr="00A960AD">
        <w:t>change</w:t>
      </w:r>
      <w:r w:rsidR="00F02889">
        <w:t>d</w:t>
      </w:r>
      <w:r w:rsidRPr="00A960AD" w:rsidDel="00F02889">
        <w:t xml:space="preserve"> </w:t>
      </w:r>
      <w:r w:rsidRPr="00A960AD">
        <w:t>the methodology for calculating the Variable Fee to more precisely allocate enforcement costs.</w:t>
      </w:r>
      <w:r>
        <w:rPr>
          <w:rStyle w:val="FootnoteReference"/>
        </w:rPr>
        <w:footnoteReference w:id="29"/>
      </w:r>
    </w:p>
    <w:p w:rsidRPr="00D31D55" w:rsidR="005971EA" w:rsidP="0073339A" w:rsidRDefault="005971EA" w14:paraId="78AFA1E8" w14:textId="01190014">
      <w:pPr>
        <w:spacing w:before="240" w:after="240"/>
        <w:rPr>
          <w:rFonts w:ascii="Century Gothic" w:hAnsi="Century Gothic"/>
          <w:color w:val="1F497D" w:themeColor="text2"/>
          <w:sz w:val="32"/>
          <w:szCs w:val="32"/>
        </w:rPr>
      </w:pPr>
      <w:bookmarkStart w:name="_Toc193374941" w:id="8"/>
      <w:r w:rsidRPr="00D31D55">
        <w:rPr>
          <w:rFonts w:ascii="Century Gothic" w:hAnsi="Century Gothic"/>
          <w:color w:val="1F497D" w:themeColor="text2"/>
          <w:sz w:val="32"/>
          <w:szCs w:val="32"/>
        </w:rPr>
        <w:t>CTA Registration </w:t>
      </w:r>
      <w:bookmarkEnd w:id="8"/>
    </w:p>
    <w:p w:rsidR="005971EA" w:rsidP="00E7794B" w:rsidRDefault="005971EA" w14:paraId="40F2990A" w14:textId="117F1901">
      <w:pPr>
        <w:pStyle w:val="paragraph"/>
        <w:spacing w:before="240" w:beforeAutospacing="0" w:after="240" w:afterAutospacing="0"/>
      </w:pPr>
      <w:r w:rsidRPr="00135603">
        <w:t xml:space="preserve">There are currently </w:t>
      </w:r>
      <w:r w:rsidRPr="00E829D9">
        <w:t>3</w:t>
      </w:r>
      <w:r w:rsidR="00272CBD">
        <w:t>9</w:t>
      </w:r>
      <w:r w:rsidRPr="00135603">
        <w:t xml:space="preserve"> CTAs registered with the CPUC.</w:t>
      </w:r>
      <w:r w:rsidRPr="00135603">
        <w:rPr>
          <w:vertAlign w:val="superscript"/>
        </w:rPr>
        <w:footnoteReference w:id="30"/>
      </w:r>
      <w:r w:rsidRPr="00135603">
        <w:t xml:space="preserve"> Energy Division staff are responsible for the registration process. Staff review the CTA’s filings for evidence of its operational and technical abilities and financial health. Key CTA personnel </w:t>
      </w:r>
      <w:r>
        <w:t>are required</w:t>
      </w:r>
      <w:r w:rsidRPr="00135603">
        <w:t xml:space="preserve"> to pass a background check with the </w:t>
      </w:r>
      <w:r>
        <w:t xml:space="preserve">California </w:t>
      </w:r>
      <w:r w:rsidRPr="00135603">
        <w:t xml:space="preserve">Department of Justice before a CTA </w:t>
      </w:r>
      <w:r>
        <w:t>is eligible to</w:t>
      </w:r>
      <w:r w:rsidRPr="00135603">
        <w:t xml:space="preserve"> complete registration.</w:t>
      </w:r>
      <w:r w:rsidRPr="00135603" w:rsidDel="00F4708B">
        <w:t xml:space="preserve"> </w:t>
      </w:r>
    </w:p>
    <w:p w:rsidRPr="00D31D55" w:rsidR="00B65F01" w:rsidP="005971EA" w:rsidRDefault="00B65F01" w14:paraId="72FC6FC9" w14:textId="0F7073F6">
      <w:pPr>
        <w:spacing w:before="240" w:after="240"/>
        <w:rPr>
          <w:rFonts w:ascii="Century Gothic" w:hAnsi="Century Gothic"/>
          <w:color w:val="1F497D" w:themeColor="text2"/>
          <w:sz w:val="32"/>
          <w:szCs w:val="32"/>
        </w:rPr>
      </w:pPr>
      <w:r w:rsidRPr="00D31D55">
        <w:rPr>
          <w:rFonts w:ascii="Century Gothic" w:hAnsi="Century Gothic"/>
          <w:color w:val="1F497D" w:themeColor="text2"/>
          <w:sz w:val="32"/>
          <w:szCs w:val="32"/>
        </w:rPr>
        <w:t>CTA Program Administration and Consumer Protections</w:t>
      </w:r>
    </w:p>
    <w:p w:rsidRPr="003412B8" w:rsidR="005971EA" w:rsidP="005971EA" w:rsidRDefault="005971EA" w14:paraId="15CD7EDC" w14:textId="175D57C2">
      <w:pPr>
        <w:spacing w:before="240" w:after="240"/>
        <w:rPr>
          <w:rFonts w:ascii="Garamond" w:hAnsi="Garamond"/>
          <w:sz w:val="24"/>
          <w:szCs w:val="24"/>
        </w:rPr>
      </w:pPr>
      <w:r w:rsidRPr="003412B8">
        <w:rPr>
          <w:rFonts w:ascii="Garamond" w:hAnsi="Garamond"/>
          <w:sz w:val="24"/>
          <w:szCs w:val="24"/>
        </w:rPr>
        <w:t xml:space="preserve">Several groups within the CPUC administer the CTA program and work to ensure consumer protection. These groups include Energy Division, the Consumer Affairs Branch (CAB), the Utility Enforcement Branch (UEB), and the Fiscal Office. Energy Division is charged with administering the CTA program, registering CTAs, creating and updating the CTA website, monitoring complaints, responding to consumers’ and CTA inquiries, providing guidance to CTAs on how to enter and withdraw from the California market, collecting rate information from CTAs to display on the CPUC’s website, and conducting analysis on CTA-related issues for decisionmakers. </w:t>
      </w:r>
    </w:p>
    <w:p w:rsidR="59309DFB" w:rsidP="59309DFB" w:rsidRDefault="005971EA" w14:paraId="3A225B97" w14:textId="71707901">
      <w:pPr>
        <w:pStyle w:val="paragraph"/>
      </w:pPr>
      <w:r w:rsidRPr="372AFA12">
        <w:rPr>
          <w:rFonts w:cs="Segoe UI"/>
        </w:rPr>
        <w:t xml:space="preserve">CAB receives consumers’ CTA-related complaints both by phone and in writing. CAB engages with the CTAs to resolve consumers’ </w:t>
      </w:r>
      <w:r>
        <w:t>concerns, which generally center on billing, service issues, and deceptive marketing. </w:t>
      </w:r>
    </w:p>
    <w:p w:rsidR="005971EA" w:rsidP="005971EA" w:rsidRDefault="005971EA" w14:paraId="2EE33F09" w14:textId="61D8F9C3">
      <w:pPr>
        <w:pStyle w:val="paragraph"/>
      </w:pPr>
      <w:r>
        <w:rPr>
          <w:rFonts w:cs="Segoe UI"/>
        </w:rPr>
        <w:t xml:space="preserve">Energy Division </w:t>
      </w:r>
      <w:r w:rsidRPr="3ADAE714">
        <w:rPr>
          <w:rFonts w:cs="Segoe UI"/>
        </w:rPr>
        <w:t>create</w:t>
      </w:r>
      <w:r>
        <w:rPr>
          <w:rFonts w:cs="Segoe UI"/>
        </w:rPr>
        <w:t>s</w:t>
      </w:r>
      <w:r w:rsidRPr="372AFA12">
        <w:rPr>
          <w:rFonts w:cs="Segoe UI"/>
        </w:rPr>
        <w:t xml:space="preserve"> the Monthly CTA Complaint Report </w:t>
      </w:r>
      <w:r>
        <w:rPr>
          <w:rFonts w:cs="Segoe UI"/>
        </w:rPr>
        <w:t xml:space="preserve">with </w:t>
      </w:r>
      <w:proofErr w:type="gramStart"/>
      <w:r>
        <w:rPr>
          <w:rFonts w:cs="Segoe UI"/>
        </w:rPr>
        <w:t>direction</w:t>
      </w:r>
      <w:proofErr w:type="gramEnd"/>
      <w:r>
        <w:rPr>
          <w:rFonts w:cs="Segoe UI"/>
        </w:rPr>
        <w:t xml:space="preserve"> from CAB </w:t>
      </w:r>
      <w:r w:rsidRPr="372AFA12">
        <w:rPr>
          <w:rFonts w:cs="Segoe UI"/>
        </w:rPr>
        <w:t>that documents consumer complaints by type</w:t>
      </w:r>
      <w:r>
        <w:rPr>
          <w:rFonts w:cs="Segoe UI"/>
        </w:rPr>
        <w:t xml:space="preserve"> and submits it </w:t>
      </w:r>
      <w:r w:rsidRPr="372AFA12">
        <w:rPr>
          <w:rFonts w:cs="Segoe UI"/>
        </w:rPr>
        <w:t>to the Utility Enforcement Branch</w:t>
      </w:r>
      <w:r>
        <w:rPr>
          <w:rFonts w:cs="Segoe UI"/>
        </w:rPr>
        <w:t xml:space="preserve"> for additional review</w:t>
      </w:r>
      <w:r w:rsidDel="006D49A2">
        <w:rPr>
          <w:rFonts w:cs="Segoe UI"/>
        </w:rPr>
        <w:t>.</w:t>
      </w:r>
      <w:r w:rsidRPr="372AFA12">
        <w:rPr>
          <w:rFonts w:cs="Segoe UI"/>
        </w:rPr>
        <w:t xml:space="preserve"> </w:t>
      </w:r>
    </w:p>
    <w:p w:rsidRPr="00135603" w:rsidR="005971EA" w:rsidP="005971EA" w:rsidRDefault="005971EA" w14:paraId="21E34009" w14:textId="72BED37C">
      <w:pPr>
        <w:pStyle w:val="paragraph"/>
        <w:rPr>
          <w:rFonts w:cs="Segoe UI"/>
        </w:rPr>
      </w:pPr>
      <w:r w:rsidRPr="3ADAE714">
        <w:rPr>
          <w:rFonts w:cs="Segoe UI"/>
        </w:rPr>
        <w:t xml:space="preserve">UEB’s work has two parts. First, UEB staff analyze both the Monthly CTA Complaint Report and the complaints it receives from local District Attorney’s offices, looking for overall patterns and trends, with a focus on complaints related to unauthorized enrollment. Second, UEB staff pursue citations against individual CTAs who fail to comply with the standard for verifying enrollment or to abide by the California Public Utilities Code or CPUC decisions when the initial screen indicates that such action is warranted. </w:t>
      </w:r>
    </w:p>
    <w:p w:rsidR="003412B8" w:rsidP="00E7794B" w:rsidRDefault="005971EA" w14:paraId="329667E7" w14:textId="44B9EAC9">
      <w:pPr>
        <w:pStyle w:val="paragraph"/>
        <w:spacing w:before="240" w:beforeAutospacing="0" w:after="240" w:afterAutospacing="0"/>
        <w:rPr>
          <w:rFonts w:eastAsia="Garamond"/>
        </w:rPr>
      </w:pPr>
      <w:r w:rsidRPr="3ADAE714">
        <w:rPr>
          <w:rFonts w:cs="Segoe UI"/>
        </w:rPr>
        <w:t>Fiscal Office staff record, track, and receive the financial resources that the CTAs post to the CPUC.</w:t>
      </w:r>
      <w:r w:rsidRPr="3ADAE714" w:rsidDel="007F5067">
        <w:rPr>
          <w:rFonts w:cs="Segoe UI"/>
        </w:rPr>
        <w:t xml:space="preserve"> </w:t>
      </w:r>
      <w:r w:rsidRPr="3ADAE714">
        <w:rPr>
          <w:rFonts w:cs="Segoe UI"/>
        </w:rPr>
        <w:t>Fiscal Office staff also inform Energy Division staff when registered CTAs submit the Annual Fee payment and verify</w:t>
      </w:r>
      <w:r w:rsidRPr="3ADAE714" w:rsidDel="004C1E4E">
        <w:rPr>
          <w:rFonts w:cs="Segoe UI"/>
        </w:rPr>
        <w:t xml:space="preserve"> </w:t>
      </w:r>
      <w:r w:rsidRPr="3ADAE714">
        <w:rPr>
          <w:rFonts w:cs="Segoe UI"/>
        </w:rPr>
        <w:t xml:space="preserve">that the posted amounts are correct and paid on time. If necessary, they will assess late payment fees. </w:t>
      </w:r>
    </w:p>
    <w:p w:rsidR="009A340B" w:rsidP="00E7794B" w:rsidRDefault="009A340B" w14:paraId="63FAE790" w14:textId="77777777">
      <w:pPr>
        <w:spacing w:before="240" w:after="240"/>
        <w:rPr>
          <w:rFonts w:ascii="Century Gothic" w:hAnsi="Century Gothic"/>
          <w:color w:val="1F497D" w:themeColor="text2"/>
          <w:sz w:val="32"/>
          <w:szCs w:val="32"/>
        </w:rPr>
      </w:pPr>
      <w:bookmarkStart w:name="_Toc193374943" w:id="9"/>
    </w:p>
    <w:p w:rsidRPr="00E95BE0" w:rsidR="005971EA" w:rsidP="00407E3E" w:rsidRDefault="005971EA" w14:paraId="6AA0F164" w14:textId="34A61EDE">
      <w:pPr>
        <w:spacing w:before="240" w:after="240"/>
        <w:rPr>
          <w:rFonts w:ascii="Century Gothic" w:hAnsi="Century Gothic" w:cs="Segoe UI"/>
          <w:color w:val="1F497D" w:themeColor="text2"/>
          <w:sz w:val="32"/>
          <w:szCs w:val="32"/>
        </w:rPr>
      </w:pPr>
      <w:r w:rsidRPr="00E95BE0">
        <w:rPr>
          <w:rFonts w:ascii="Century Gothic" w:hAnsi="Century Gothic"/>
          <w:color w:val="1F497D" w:themeColor="text2"/>
          <w:sz w:val="32"/>
          <w:szCs w:val="32"/>
        </w:rPr>
        <w:lastRenderedPageBreak/>
        <w:t>Costs of Administering the CTA Program</w:t>
      </w:r>
      <w:bookmarkEnd w:id="9"/>
    </w:p>
    <w:p w:rsidRPr="00135603" w:rsidR="005971EA" w:rsidP="00407E3E" w:rsidRDefault="005971EA" w14:paraId="180AA59F" w14:textId="10C2CBCE">
      <w:pPr>
        <w:pStyle w:val="paragraph"/>
        <w:spacing w:before="240" w:beforeAutospacing="0" w:after="240" w:afterAutospacing="0"/>
      </w:pPr>
      <w:r>
        <w:t xml:space="preserve">Some of the costs incurred to administer and oversee the CTA program are fixed and some vary depending on the number and type of complaints received. </w:t>
      </w:r>
    </w:p>
    <w:p w:rsidR="0A9D4114" w:rsidP="0A9D4114" w:rsidRDefault="005971EA" w14:paraId="65B8DEA2" w14:textId="0C604682">
      <w:pPr>
        <w:pStyle w:val="paragraph"/>
      </w:pPr>
      <w:r w:rsidRPr="00135603">
        <w:t xml:space="preserve">Fixed costs include the cost to Energy Division of administering the program as well as the cost to CAB of </w:t>
      </w:r>
      <w:r w:rsidR="00F35401">
        <w:t>reviewing</w:t>
      </w:r>
      <w:r w:rsidRPr="00135603">
        <w:t xml:space="preserve"> the Monthly CTA Complaint Report. These activities and associated costs do not vary materially with the number of CTA-related complaints received. </w:t>
      </w:r>
    </w:p>
    <w:p w:rsidR="0A9D4114" w:rsidP="0A9D4114" w:rsidRDefault="005971EA" w14:paraId="650B223D" w14:textId="637B1414">
      <w:pPr>
        <w:pStyle w:val="paragraph"/>
      </w:pPr>
      <w:r w:rsidRPr="00135603">
        <w:t xml:space="preserve">Costs associated with responding to complaints are variable and depend on the number and type of complaints received. These include CAB costs associated with receiving and attempting to resolve </w:t>
      </w:r>
      <w:r w:rsidR="005D1668">
        <w:br/>
      </w:r>
      <w:r w:rsidRPr="00135603">
        <w:t xml:space="preserve">CTA-related consumer complaints and the cost of UEB investigations and enforcement actions. </w:t>
      </w:r>
    </w:p>
    <w:p w:rsidRPr="003412B8" w:rsidR="005971EA" w:rsidP="005971EA" w:rsidRDefault="005971EA" w14:paraId="3D7CEC3F" w14:textId="546C279D">
      <w:pPr>
        <w:pStyle w:val="paragraph"/>
        <w:rPr>
          <w:color w:val="000000"/>
          <w:shd w:val="clear" w:color="auto" w:fill="FFFFFF"/>
        </w:rPr>
      </w:pPr>
      <w:r w:rsidRPr="00135603">
        <w:t xml:space="preserve">The purpose of the CTA Annual Fee is to cover the CPUC’s costs in administering the CTA program and responding to complaints. Resolution G-3580 divided the Annual Fee into a Base Fee and a Variable Fee. The Base Fee corresponds with fixed costs and is allocated to all CTAs equally. </w:t>
      </w:r>
      <w:r w:rsidRPr="00135603">
        <w:rPr>
          <w:color w:val="000000"/>
          <w:shd w:val="clear" w:color="auto" w:fill="FFFFFF"/>
        </w:rPr>
        <w:t xml:space="preserve">Since not all CTAs contribute equally to complaint-related costs, </w:t>
      </w:r>
      <w:r w:rsidRPr="00135603">
        <w:t>Resolution G-</w:t>
      </w:r>
      <w:r w:rsidRPr="00135603">
        <w:rPr>
          <w:rFonts w:cs="Calibri"/>
        </w:rPr>
        <w:t xml:space="preserve">3580 determined that they should </w:t>
      </w:r>
      <w:r w:rsidRPr="00135603">
        <w:t>be allocated on a cost-causation basis</w:t>
      </w:r>
      <w:r w:rsidRPr="00135603">
        <w:rPr>
          <w:color w:val="000000"/>
          <w:shd w:val="clear" w:color="auto" w:fill="FFFFFF"/>
        </w:rPr>
        <w:t>. Individual CTAs thus incur a Variable Fee based on the number and type of complaints and enforcement actions attributed to them. If a CTA receives no complaints and is not the subject of any enforcement actions, it pays no Variable Fee.</w:t>
      </w:r>
    </w:p>
    <w:p w:rsidR="0A9D4114" w:rsidP="0A9D4114" w:rsidRDefault="005971EA" w14:paraId="2CA95E70" w14:textId="5EA651E1">
      <w:pPr>
        <w:pStyle w:val="paragraph"/>
        <w:rPr>
          <w:color w:val="000000" w:themeColor="text1"/>
        </w:rPr>
      </w:pPr>
      <w:r w:rsidRPr="00A9472D">
        <w:rPr>
          <w:color w:val="000000"/>
          <w:shd w:val="clear" w:color="auto" w:fill="FFFFFF"/>
        </w:rPr>
        <w:t>For example, in 2025,</w:t>
      </w:r>
      <w:r w:rsidRPr="00A9472D">
        <w:rPr>
          <w:rStyle w:val="FootnoteReference"/>
          <w:color w:val="000000"/>
          <w:shd w:val="clear" w:color="auto" w:fill="FFFFFF"/>
        </w:rPr>
        <w:footnoteReference w:id="31"/>
      </w:r>
      <w:r w:rsidRPr="00A9472D">
        <w:rPr>
          <w:color w:val="000000"/>
          <w:shd w:val="clear" w:color="auto" w:fill="FFFFFF"/>
        </w:rPr>
        <w:t xml:space="preserve"> four CTAs</w:t>
      </w:r>
      <w:r w:rsidRPr="75133644" w:rsidR="00536F0B">
        <w:rPr>
          <w:color w:val="000000" w:themeColor="text1"/>
        </w:rPr>
        <w:t>—</w:t>
      </w:r>
      <w:r w:rsidRPr="00A9472D">
        <w:rPr>
          <w:color w:val="000000"/>
          <w:shd w:val="clear" w:color="auto" w:fill="FFFFFF"/>
        </w:rPr>
        <w:t xml:space="preserve">Big Tree Energy CA LLC, </w:t>
      </w:r>
      <w:r w:rsidRPr="00E829D9">
        <w:rPr>
          <w:color w:val="000000"/>
          <w:shd w:val="clear" w:color="auto" w:fill="FFFFFF"/>
        </w:rPr>
        <w:t>SFE Energy Inc., Wave Energy</w:t>
      </w:r>
      <w:r w:rsidRPr="75133644" w:rsidR="00536F0B">
        <w:rPr>
          <w:color w:val="000000" w:themeColor="text1"/>
        </w:rPr>
        <w:t>,</w:t>
      </w:r>
      <w:r w:rsidRPr="00E829D9">
        <w:rPr>
          <w:color w:val="000000"/>
          <w:shd w:val="clear" w:color="auto" w:fill="FFFFFF"/>
        </w:rPr>
        <w:t xml:space="preserve"> </w:t>
      </w:r>
      <w:r>
        <w:rPr>
          <w:color w:val="000000"/>
          <w:shd w:val="clear" w:color="auto" w:fill="FFFFFF"/>
        </w:rPr>
        <w:t xml:space="preserve">and </w:t>
      </w:r>
      <w:r w:rsidRPr="00E829D9">
        <w:rPr>
          <w:color w:val="000000"/>
          <w:shd w:val="clear" w:color="auto" w:fill="FFFFFF"/>
        </w:rPr>
        <w:t xml:space="preserve">United Energy Trading LLC dba </w:t>
      </w:r>
      <w:proofErr w:type="spellStart"/>
      <w:r w:rsidRPr="00E829D9">
        <w:rPr>
          <w:color w:val="000000"/>
          <w:shd w:val="clear" w:color="auto" w:fill="FFFFFF"/>
        </w:rPr>
        <w:t>Callective</w:t>
      </w:r>
      <w:proofErr w:type="spellEnd"/>
      <w:r w:rsidRPr="00E829D9">
        <w:rPr>
          <w:color w:val="000000"/>
          <w:shd w:val="clear" w:color="auto" w:fill="FFFFFF"/>
        </w:rPr>
        <w:t xml:space="preserve"> Energy—generated 52 percent of all complaints. An additional 15 CTAs accounted for the remaining 48 percent of the complaints. CAB and UEB received no complaints for 1</w:t>
      </w:r>
      <w:r w:rsidRPr="50237EA1" w:rsidDel="005971EA">
        <w:rPr>
          <w:color w:val="000000" w:themeColor="text1"/>
        </w:rPr>
        <w:t>8</w:t>
      </w:r>
      <w:r w:rsidRPr="00E829D9">
        <w:rPr>
          <w:color w:val="000000"/>
          <w:shd w:val="clear" w:color="auto" w:fill="FFFFFF"/>
        </w:rPr>
        <w:t xml:space="preserve"> CTAs.</w:t>
      </w:r>
      <w:r w:rsidRPr="75133644" w:rsidR="00D31A1D">
        <w:rPr>
          <w:color w:val="000000" w:themeColor="text1"/>
        </w:rPr>
        <w:t xml:space="preserve"> </w:t>
      </w:r>
      <w:r w:rsidR="009619C3">
        <w:rPr>
          <w:color w:val="000000" w:themeColor="text1"/>
        </w:rPr>
        <w:t>Two</w:t>
      </w:r>
      <w:r w:rsidRPr="75133644" w:rsidR="00D31A1D">
        <w:rPr>
          <w:color w:val="000000" w:themeColor="text1"/>
        </w:rPr>
        <w:t xml:space="preserve"> CTA</w:t>
      </w:r>
      <w:r w:rsidR="009619C3">
        <w:rPr>
          <w:color w:val="000000" w:themeColor="text1"/>
        </w:rPr>
        <w:t>s</w:t>
      </w:r>
      <w:r w:rsidRPr="75133644" w:rsidR="00D31A1D">
        <w:rPr>
          <w:color w:val="000000" w:themeColor="text1"/>
        </w:rPr>
        <w:t xml:space="preserve"> </w:t>
      </w:r>
      <w:r w:rsidRPr="75133644" w:rsidR="00B2518E">
        <w:rPr>
          <w:color w:val="000000" w:themeColor="text1"/>
        </w:rPr>
        <w:t>registered in 202</w:t>
      </w:r>
      <w:r w:rsidR="00994DB6">
        <w:rPr>
          <w:color w:val="000000" w:themeColor="text1"/>
        </w:rPr>
        <w:t>6</w:t>
      </w:r>
      <w:r w:rsidRPr="75133644" w:rsidR="00B2518E">
        <w:rPr>
          <w:color w:val="000000" w:themeColor="text1"/>
        </w:rPr>
        <w:t xml:space="preserve"> and </w:t>
      </w:r>
      <w:r w:rsidR="00FE38D0">
        <w:rPr>
          <w:color w:val="000000" w:themeColor="text1"/>
        </w:rPr>
        <w:t>are</w:t>
      </w:r>
      <w:r w:rsidRPr="75133644" w:rsidR="00B2518E">
        <w:rPr>
          <w:color w:val="000000" w:themeColor="text1"/>
        </w:rPr>
        <w:t xml:space="preserve"> thus not included in this total.</w:t>
      </w:r>
      <w:r w:rsidRPr="75133644" w:rsidDel="00D31A1D">
        <w:rPr>
          <w:color w:val="000000" w:themeColor="text1"/>
        </w:rPr>
        <w:t xml:space="preserve"> </w:t>
      </w:r>
    </w:p>
    <w:p w:rsidRPr="007F085A" w:rsidR="004F5420" w:rsidP="00575C7E" w:rsidRDefault="005971EA" w14:paraId="6A42E465" w14:textId="4C04EAF5">
      <w:pPr>
        <w:pStyle w:val="paragraph"/>
        <w:spacing w:before="0" w:beforeAutospacing="0" w:after="0" w:afterAutospacing="0"/>
      </w:pPr>
      <w:r w:rsidRPr="00135603">
        <w:rPr>
          <w:color w:val="000000"/>
          <w:shd w:val="clear" w:color="auto" w:fill="FFFFFF"/>
        </w:rPr>
        <w:t>Every year,</w:t>
      </w:r>
      <w:r w:rsidRPr="00135603" w:rsidDel="0095133C">
        <w:rPr>
          <w:color w:val="000000"/>
          <w:shd w:val="clear" w:color="auto" w:fill="FFFFFF"/>
        </w:rPr>
        <w:t xml:space="preserve"> </w:t>
      </w:r>
      <w:r w:rsidRPr="00135603">
        <w:rPr>
          <w:color w:val="000000"/>
          <w:shd w:val="clear" w:color="auto" w:fill="FFFFFF"/>
        </w:rPr>
        <w:t xml:space="preserve">Energy Division staff calculate the compensation costs for CAB and UEB staff to respond to phone contacts and informal written complaints and to conduct investigations. Because these costs are incremental, it is reasonable to divide them proportionally amongst the CTAs who were the subject of complaints or enforcement actions. This results in a more reasonable and fair allocation of costs that better </w:t>
      </w:r>
      <w:r>
        <w:rPr>
          <w:color w:val="000000"/>
          <w:shd w:val="clear" w:color="auto" w:fill="FFFFFF"/>
        </w:rPr>
        <w:t xml:space="preserve">aligns </w:t>
      </w:r>
      <w:r w:rsidRPr="00135603">
        <w:rPr>
          <w:color w:val="000000"/>
          <w:shd w:val="clear" w:color="auto" w:fill="FFFFFF"/>
        </w:rPr>
        <w:t>an individual CTA’s Annual Fee with the actual administrative costs associated with that CTA.</w:t>
      </w:r>
      <w:r w:rsidRPr="00135603">
        <w:rPr>
          <w:color w:val="000000"/>
          <w:shd w:val="clear" w:color="auto" w:fill="FFFFFF"/>
          <w:vertAlign w:val="superscript"/>
        </w:rPr>
        <w:footnoteReference w:id="32"/>
      </w:r>
      <w:r w:rsidRPr="00135603">
        <w:rPr>
          <w:color w:val="000000"/>
          <w:shd w:val="clear" w:color="auto" w:fill="FFFFFF"/>
        </w:rPr>
        <w:t> </w:t>
      </w:r>
    </w:p>
    <w:p w:rsidRPr="009274FB" w:rsidR="004F5420" w:rsidP="00C75FD0" w:rsidRDefault="004F5420" w14:paraId="45CE7900" w14:textId="77777777">
      <w:pPr>
        <w:rPr>
          <w:rFonts w:ascii="Garamond" w:hAnsi="Garamond"/>
          <w:color w:val="1F497D" w:themeColor="text2"/>
          <w:sz w:val="24"/>
          <w:szCs w:val="24"/>
        </w:rPr>
      </w:pPr>
    </w:p>
    <w:p w:rsidRPr="00055A9E" w:rsidR="000A0CEC" w:rsidP="00575C7E" w:rsidRDefault="000D4824" w14:paraId="787888F1" w14:textId="3D06B805">
      <w:pPr>
        <w:rPr>
          <w:rFonts w:ascii="Century Gothic" w:hAnsi="Century Gothic"/>
          <w:color w:val="1F497D" w:themeColor="text2"/>
          <w:sz w:val="28"/>
          <w:szCs w:val="28"/>
        </w:rPr>
      </w:pPr>
      <w:r w:rsidRPr="00055A9E">
        <w:rPr>
          <w:rFonts w:ascii="Century Gothic" w:hAnsi="Century Gothic"/>
          <w:color w:val="1F497D" w:themeColor="text2"/>
          <w:sz w:val="28"/>
          <w:szCs w:val="28"/>
        </w:rPr>
        <w:t>2026 Base Fee</w:t>
      </w:r>
    </w:p>
    <w:p w:rsidRPr="00135603" w:rsidR="005971EA" w:rsidP="00C73504" w:rsidRDefault="005971EA" w14:paraId="16548B07" w14:textId="0E30F56E">
      <w:pPr>
        <w:pStyle w:val="paragraph"/>
        <w:spacing w:before="240" w:beforeAutospacing="0" w:after="240" w:afterAutospacing="0"/>
      </w:pPr>
      <w:r w:rsidRPr="00135603">
        <w:t xml:space="preserve">The Base Fee reflects the compensation costs for the positions involved in the management and administration of the program. To make the Base Fee more stable over time, compensation costs are </w:t>
      </w:r>
      <w:r w:rsidRPr="00135603">
        <w:lastRenderedPageBreak/>
        <w:t>calculated using the median</w:t>
      </w:r>
      <w:r w:rsidRPr="00135603">
        <w:rPr>
          <w:vertAlign w:val="superscript"/>
        </w:rPr>
        <w:footnoteReference w:id="33"/>
      </w:r>
      <w:r w:rsidRPr="00135603">
        <w:t xml:space="preserve"> of the salary range for the relevant position plus employee benefit costs</w:t>
      </w:r>
      <w:r>
        <w:t xml:space="preserve"> during the most recent fiscal year, in this case </w:t>
      </w:r>
      <w:r w:rsidRPr="00084942">
        <w:t>202</w:t>
      </w:r>
      <w:r>
        <w:t>4</w:t>
      </w:r>
      <w:r w:rsidRPr="00084942">
        <w:t>-202</w:t>
      </w:r>
      <w:r>
        <w:t>5</w:t>
      </w:r>
      <w:r w:rsidRPr="00084942">
        <w:t>.</w:t>
      </w:r>
      <w:r w:rsidRPr="00084942">
        <w:rPr>
          <w:rFonts w:cs="Calibri"/>
          <w:color w:val="000000"/>
          <w:vertAlign w:val="superscript"/>
        </w:rPr>
        <w:footnoteReference w:id="34"/>
      </w:r>
      <w:r w:rsidRPr="00135603">
        <w:t xml:space="preserve"> The compensation costs are then multiplied by the average amount of time the position is involved in activities required for the CTA program. </w:t>
      </w:r>
    </w:p>
    <w:p w:rsidRPr="00135603" w:rsidR="005971EA" w:rsidP="005971EA" w:rsidRDefault="005971EA" w14:paraId="228C48FB" w14:textId="4D66E310">
      <w:pPr>
        <w:pStyle w:val="paragraph"/>
      </w:pPr>
      <w:r w:rsidRPr="00084942">
        <w:t xml:space="preserve">For Energy Division, </w:t>
      </w:r>
      <w:r w:rsidR="00355FDE">
        <w:t xml:space="preserve">in 2025 </w:t>
      </w:r>
      <w:r w:rsidRPr="00084942">
        <w:t>these costs include</w:t>
      </w:r>
      <w:r w:rsidR="001B1CB3">
        <w:t>d</w:t>
      </w:r>
      <w:r w:rsidRPr="00084942">
        <w:t xml:space="preserve"> </w:t>
      </w:r>
      <w:r w:rsidR="00027810">
        <w:t xml:space="preserve">two </w:t>
      </w:r>
      <w:r w:rsidRPr="00084942">
        <w:t>staff</w:t>
      </w:r>
      <w:r w:rsidR="00364A6B">
        <w:t xml:space="preserve">, </w:t>
      </w:r>
      <w:r w:rsidRPr="00084942">
        <w:t>one Public Utilities Regulatory Analyst (PURA) I at</w:t>
      </w:r>
      <w:r w:rsidRPr="00084942" w:rsidDel="008914BF">
        <w:t xml:space="preserve"> </w:t>
      </w:r>
      <w:r w:rsidRPr="00084942">
        <w:t>100 percent time</w:t>
      </w:r>
      <w:r w:rsidR="00964A71">
        <w:t xml:space="preserve"> and</w:t>
      </w:r>
      <w:r w:rsidRPr="00084942">
        <w:t xml:space="preserve"> one Public Utilities Regulatory Analyst (PURA) II at</w:t>
      </w:r>
      <w:r w:rsidRPr="00084942" w:rsidDel="008914BF">
        <w:t xml:space="preserve"> </w:t>
      </w:r>
      <w:r w:rsidR="00B226AF">
        <w:t>37.5</w:t>
      </w:r>
      <w:r w:rsidRPr="00084942">
        <w:t xml:space="preserve"> percent time</w:t>
      </w:r>
      <w:r w:rsidR="00364A6B">
        <w:t xml:space="preserve">, </w:t>
      </w:r>
      <w:r w:rsidRPr="00084942">
        <w:t xml:space="preserve">and one Program and Project Supervisor (PPS) </w:t>
      </w:r>
      <w:r w:rsidR="00B226AF">
        <w:t xml:space="preserve">at </w:t>
      </w:r>
      <w:r w:rsidRPr="00084942">
        <w:t xml:space="preserve">15 percent time. For CAB, the base cost includes the cost of a PURA </w:t>
      </w:r>
      <w:r>
        <w:t>II</w:t>
      </w:r>
      <w:r w:rsidRPr="00084942">
        <w:t>I who allocates approximately 0.</w:t>
      </w:r>
      <w:r>
        <w:t>6</w:t>
      </w:r>
      <w:r w:rsidRPr="00084942">
        <w:t xml:space="preserve"> percent of their time to the Monthly CTA Complaint Reports.</w:t>
      </w:r>
      <w:r>
        <w:t xml:space="preserve"> </w:t>
      </w:r>
    </w:p>
    <w:p w:rsidRPr="00135603" w:rsidR="005971EA" w:rsidP="005971EA" w:rsidRDefault="005971EA" w14:paraId="7AD88911" w14:textId="77777777">
      <w:pPr>
        <w:pStyle w:val="paragraph"/>
      </w:pPr>
      <w:r w:rsidRPr="00135603">
        <w:t>The total of these costs is shared equally by each CTA according to the formula below:</w:t>
      </w:r>
    </w:p>
    <w:p w:rsidRPr="00135603" w:rsidR="005971EA" w:rsidP="005971EA" w:rsidRDefault="005971EA" w14:paraId="4433A4B2" w14:textId="33277785">
      <w:pPr>
        <w:pStyle w:val="paragraph"/>
      </w:pPr>
      <w:r w:rsidRPr="00135603">
        <w:t>Base Fee per CTA = Total Fixed Costs ÷ Number of Registered CTAs</w:t>
      </w:r>
    </w:p>
    <w:p w:rsidRPr="00135603" w:rsidR="005971EA" w:rsidP="005971EA" w:rsidRDefault="005971EA" w14:paraId="0C421B2E" w14:textId="403A5F7F">
      <w:pPr>
        <w:pStyle w:val="paragraph"/>
        <w:rPr>
          <w:rFonts w:cs="Segoe UI"/>
        </w:rPr>
      </w:pPr>
      <w:r w:rsidRPr="372AFA12">
        <w:rPr>
          <w:rFonts w:cs="Segoe UI"/>
        </w:rPr>
        <w:t xml:space="preserve">The fiscal year </w:t>
      </w:r>
      <w:r w:rsidRPr="0045140A">
        <w:rPr>
          <w:rFonts w:cs="Segoe UI"/>
        </w:rPr>
        <w:t>202</w:t>
      </w:r>
      <w:r>
        <w:rPr>
          <w:rFonts w:cs="Segoe UI"/>
        </w:rPr>
        <w:t>4</w:t>
      </w:r>
      <w:r w:rsidRPr="0045140A">
        <w:rPr>
          <w:rFonts w:cs="Segoe UI"/>
        </w:rPr>
        <w:t>-202</w:t>
      </w:r>
      <w:r>
        <w:rPr>
          <w:rFonts w:cs="Segoe UI"/>
        </w:rPr>
        <w:t>5</w:t>
      </w:r>
      <w:r w:rsidRPr="372AFA12">
        <w:rPr>
          <w:rFonts w:cs="Segoe UI"/>
        </w:rPr>
        <w:t xml:space="preserve"> Total Fixed Costs used for this report are </w:t>
      </w:r>
      <w:r w:rsidRPr="372AFA12" w:rsidR="0C371786">
        <w:rPr>
          <w:rFonts w:cs="Segoe UI"/>
        </w:rPr>
        <w:t>$212,491.</w:t>
      </w:r>
      <w:r w:rsidR="008D3446">
        <w:rPr>
          <w:rFonts w:cs="Segoe UI"/>
        </w:rPr>
        <w:t>1</w:t>
      </w:r>
      <w:r w:rsidRPr="372AFA12" w:rsidR="0C371786">
        <w:rPr>
          <w:rFonts w:cs="Segoe UI"/>
        </w:rPr>
        <w:t>7</w:t>
      </w:r>
      <w:r w:rsidRPr="372AFA12" w:rsidDel="00611569">
        <w:rPr>
          <w:rFonts w:cs="Segoe UI"/>
        </w:rPr>
        <w:t xml:space="preserve"> </w:t>
      </w:r>
      <w:r w:rsidRPr="372AFA12">
        <w:rPr>
          <w:rFonts w:cs="Segoe UI"/>
        </w:rPr>
        <w:t xml:space="preserve">divided evenly amongst the </w:t>
      </w:r>
      <w:r w:rsidRPr="006A3351">
        <w:rPr>
          <w:rFonts w:cs="Segoe UI"/>
        </w:rPr>
        <w:t>3</w:t>
      </w:r>
      <w:r w:rsidR="00FD6A09">
        <w:rPr>
          <w:rFonts w:cs="Segoe UI"/>
        </w:rPr>
        <w:t>9</w:t>
      </w:r>
      <w:r w:rsidRPr="372AFA12">
        <w:rPr>
          <w:rFonts w:cs="Segoe UI"/>
        </w:rPr>
        <w:t xml:space="preserve"> CTAs (see Table 1).</w:t>
      </w:r>
      <w:r>
        <w:rPr>
          <w:rStyle w:val="FootnoteReference"/>
          <w:rFonts w:cs="Segoe UI"/>
        </w:rPr>
        <w:footnoteReference w:id="35"/>
      </w:r>
      <w:r w:rsidRPr="372AFA12">
        <w:rPr>
          <w:rFonts w:cs="Segoe UI"/>
        </w:rPr>
        <w:t xml:space="preserve">  </w:t>
      </w:r>
    </w:p>
    <w:p w:rsidRPr="00055A9E" w:rsidR="005971EA" w:rsidP="005971EA" w:rsidRDefault="005971EA" w14:paraId="5F19775F" w14:textId="77777777">
      <w:pPr>
        <w:pStyle w:val="TableHead1"/>
        <w:rPr>
          <w:rFonts w:ascii="Century Gothic" w:hAnsi="Century Gothic" w:cs="Segoe UI"/>
        </w:rPr>
      </w:pPr>
      <w:r w:rsidRPr="00055A9E">
        <w:rPr>
          <w:rFonts w:ascii="Century Gothic" w:hAnsi="Century Gothic"/>
        </w:rPr>
        <w:t>Table 1: Fixed Costs for Fiscal Year 2024-2025 (</w:t>
      </w:r>
      <w:r w:rsidRPr="00055A9E">
        <w:rPr>
          <w:rFonts w:ascii="Century Gothic" w:hAnsi="Century Gothic"/>
          <w:i/>
        </w:rPr>
        <w:t>2026 CTA Annual Report</w:t>
      </w:r>
      <w:r w:rsidRPr="00055A9E">
        <w:rPr>
          <w:rFonts w:ascii="Century Gothic" w:hAnsi="Century Gothic"/>
        </w:rPr>
        <w:t>)</w:t>
      </w:r>
    </w:p>
    <w:tbl>
      <w:tblPr>
        <w:tblW w:w="1006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7"/>
        <w:gridCol w:w="1485"/>
        <w:gridCol w:w="2092"/>
        <w:gridCol w:w="1111"/>
        <w:gridCol w:w="936"/>
        <w:gridCol w:w="2513"/>
      </w:tblGrid>
      <w:tr w:rsidRPr="00E07026" w:rsidR="005971EA" w:rsidTr="00055A9E" w14:paraId="328D50DA" w14:textId="77777777">
        <w:trPr>
          <w:trHeight w:val="585"/>
          <w:jc w:val="center"/>
        </w:trPr>
        <w:tc>
          <w:tcPr>
            <w:tcW w:w="1927" w:type="dxa"/>
            <w:tcBorders>
              <w:top w:val="single" w:color="auto" w:sz="6" w:space="0"/>
              <w:left w:val="single" w:color="auto" w:sz="6" w:space="0"/>
              <w:bottom w:val="single" w:color="auto" w:sz="6" w:space="0"/>
              <w:right w:val="single" w:color="auto" w:sz="6" w:space="0"/>
            </w:tcBorders>
            <w:vAlign w:val="center"/>
            <w:hideMark/>
          </w:tcPr>
          <w:p w:rsidRPr="00E07026" w:rsidR="005971EA" w:rsidRDefault="005971EA" w14:paraId="6F05522C" w14:textId="77777777">
            <w:pPr>
              <w:pStyle w:val="Tabletext"/>
              <w:jc w:val="center"/>
              <w:rPr>
                <w:b/>
                <w:bCs w:val="0"/>
                <w:sz w:val="24"/>
              </w:rPr>
            </w:pPr>
            <w:r w:rsidRPr="00E07026">
              <w:rPr>
                <w:b/>
                <w:bCs w:val="0"/>
                <w:sz w:val="24"/>
              </w:rPr>
              <w:t xml:space="preserve">CPUC </w:t>
            </w:r>
          </w:p>
          <w:p w:rsidRPr="00E07026" w:rsidR="005971EA" w:rsidRDefault="005971EA" w14:paraId="3A2E59F2" w14:textId="77777777">
            <w:pPr>
              <w:pStyle w:val="Tabletext"/>
              <w:jc w:val="center"/>
              <w:rPr>
                <w:b/>
                <w:bCs w:val="0"/>
                <w:sz w:val="24"/>
              </w:rPr>
            </w:pPr>
            <w:r w:rsidRPr="00E07026">
              <w:rPr>
                <w:b/>
                <w:bCs w:val="0"/>
                <w:sz w:val="24"/>
              </w:rPr>
              <w:t>Organizational Area</w:t>
            </w:r>
          </w:p>
        </w:tc>
        <w:tc>
          <w:tcPr>
            <w:tcW w:w="1485" w:type="dxa"/>
            <w:tcBorders>
              <w:top w:val="single" w:color="auto" w:sz="6" w:space="0"/>
              <w:left w:val="nil"/>
              <w:bottom w:val="single" w:color="auto" w:sz="6" w:space="0"/>
              <w:right w:val="single" w:color="auto" w:sz="6" w:space="0"/>
            </w:tcBorders>
            <w:vAlign w:val="center"/>
            <w:hideMark/>
          </w:tcPr>
          <w:p w:rsidRPr="00E07026" w:rsidR="005971EA" w:rsidRDefault="005971EA" w14:paraId="1F3D6B6A" w14:textId="77777777">
            <w:pPr>
              <w:pStyle w:val="Tabletext"/>
              <w:jc w:val="center"/>
              <w:rPr>
                <w:b/>
                <w:bCs w:val="0"/>
                <w:sz w:val="24"/>
              </w:rPr>
            </w:pPr>
            <w:r w:rsidRPr="00E07026">
              <w:rPr>
                <w:b/>
                <w:bCs w:val="0"/>
                <w:sz w:val="24"/>
              </w:rPr>
              <w:t>Position</w:t>
            </w:r>
          </w:p>
        </w:tc>
        <w:tc>
          <w:tcPr>
            <w:tcW w:w="2092" w:type="dxa"/>
            <w:tcBorders>
              <w:top w:val="single" w:color="auto" w:sz="6" w:space="0"/>
              <w:left w:val="nil"/>
              <w:bottom w:val="single" w:color="auto" w:sz="6" w:space="0"/>
              <w:right w:val="single" w:color="auto" w:sz="6" w:space="0"/>
            </w:tcBorders>
            <w:vAlign w:val="center"/>
            <w:hideMark/>
          </w:tcPr>
          <w:p w:rsidRPr="00E07026" w:rsidR="005971EA" w:rsidRDefault="005971EA" w14:paraId="124E7476" w14:textId="77777777">
            <w:pPr>
              <w:pStyle w:val="Tabletext"/>
              <w:jc w:val="center"/>
              <w:rPr>
                <w:b/>
                <w:bCs w:val="0"/>
                <w:sz w:val="24"/>
              </w:rPr>
            </w:pPr>
            <w:r w:rsidRPr="00E07026">
              <w:rPr>
                <w:b/>
                <w:bCs w:val="0"/>
                <w:sz w:val="24"/>
              </w:rPr>
              <w:t>Median Salary + Benefits</w:t>
            </w:r>
          </w:p>
        </w:tc>
        <w:tc>
          <w:tcPr>
            <w:tcW w:w="1111" w:type="dxa"/>
            <w:tcBorders>
              <w:top w:val="single" w:color="auto" w:sz="6" w:space="0"/>
              <w:left w:val="nil"/>
              <w:bottom w:val="single" w:color="auto" w:sz="6" w:space="0"/>
              <w:right w:val="single" w:color="auto" w:sz="4" w:space="0"/>
            </w:tcBorders>
            <w:vAlign w:val="center"/>
            <w:hideMark/>
          </w:tcPr>
          <w:p w:rsidRPr="00E07026" w:rsidR="005971EA" w:rsidRDefault="005971EA" w14:paraId="66D69A1F" w14:textId="77777777">
            <w:pPr>
              <w:pStyle w:val="Tabletext"/>
              <w:jc w:val="center"/>
              <w:rPr>
                <w:b/>
                <w:bCs w:val="0"/>
                <w:sz w:val="24"/>
              </w:rPr>
            </w:pPr>
            <w:r w:rsidRPr="00E07026">
              <w:rPr>
                <w:b/>
                <w:bCs w:val="0"/>
                <w:sz w:val="24"/>
              </w:rPr>
              <w:t>% Time on CTAs</w:t>
            </w:r>
          </w:p>
        </w:tc>
        <w:tc>
          <w:tcPr>
            <w:tcW w:w="936" w:type="dxa"/>
            <w:tcBorders>
              <w:top w:val="single" w:color="auto" w:sz="4" w:space="0"/>
              <w:left w:val="single" w:color="auto" w:sz="4" w:space="0"/>
              <w:bottom w:val="single" w:color="auto" w:sz="4" w:space="0"/>
              <w:right w:val="single" w:color="auto" w:sz="4" w:space="0"/>
            </w:tcBorders>
            <w:vAlign w:val="center"/>
          </w:tcPr>
          <w:p w:rsidRPr="00E07026" w:rsidR="005971EA" w:rsidRDefault="005971EA" w14:paraId="51E38D7F" w14:textId="77777777">
            <w:pPr>
              <w:pStyle w:val="Tabletext"/>
              <w:jc w:val="center"/>
              <w:rPr>
                <w:b/>
                <w:bCs w:val="0"/>
                <w:sz w:val="24"/>
              </w:rPr>
            </w:pPr>
            <w:r w:rsidRPr="00E07026">
              <w:rPr>
                <w:b/>
                <w:bCs w:val="0"/>
                <w:sz w:val="24"/>
              </w:rPr>
              <w:t># of CTAs</w:t>
            </w:r>
          </w:p>
        </w:tc>
        <w:tc>
          <w:tcPr>
            <w:tcW w:w="2513" w:type="dxa"/>
            <w:tcBorders>
              <w:top w:val="single" w:color="auto" w:sz="6" w:space="0"/>
              <w:left w:val="single" w:color="auto" w:sz="4" w:space="0"/>
              <w:bottom w:val="single" w:color="auto" w:sz="6" w:space="0"/>
              <w:right w:val="single" w:color="auto" w:sz="6" w:space="0"/>
            </w:tcBorders>
            <w:vAlign w:val="center"/>
            <w:hideMark/>
          </w:tcPr>
          <w:p w:rsidRPr="00E07026" w:rsidR="005971EA" w:rsidRDefault="005971EA" w14:paraId="21B8331B" w14:textId="77777777">
            <w:pPr>
              <w:pStyle w:val="Tabletext"/>
              <w:jc w:val="center"/>
              <w:rPr>
                <w:b/>
                <w:bCs w:val="0"/>
                <w:sz w:val="24"/>
              </w:rPr>
            </w:pPr>
            <w:r w:rsidRPr="00E07026">
              <w:rPr>
                <w:b/>
                <w:bCs w:val="0"/>
                <w:sz w:val="24"/>
              </w:rPr>
              <w:t>CTA Cost</w:t>
            </w:r>
          </w:p>
        </w:tc>
      </w:tr>
      <w:tr w:rsidRPr="00E07026" w:rsidR="005971EA" w:rsidTr="00055A9E" w14:paraId="55E7B591"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72637DF4" w14:textId="77777777">
            <w:pPr>
              <w:pStyle w:val="Tabletext"/>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6DE3F3C5" w14:textId="77777777">
            <w:pPr>
              <w:pStyle w:val="Tabletext"/>
              <w:jc w:val="left"/>
            </w:pPr>
            <w:r w:rsidRPr="00E07026">
              <w:rPr>
                <w:sz w:val="24"/>
              </w:rPr>
              <w:t>PURA I</w:t>
            </w: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E4024" w:rsidR="005971EA" w:rsidP="00BD45D4" w:rsidRDefault="005971EA" w14:paraId="5D0BCFC4"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$120,244.92</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E4024" w:rsidR="005971EA" w:rsidP="00BD45D4" w:rsidRDefault="005971EA" w14:paraId="292E6E24"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100%</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E4024" w:rsidR="005971EA" w:rsidP="00BD45D4" w:rsidRDefault="005971EA" w14:paraId="7544300B"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E4024" w:rsidR="005971EA" w:rsidP="00BD45D4" w:rsidRDefault="005971EA" w14:paraId="53F41573" w14:textId="50EDCACF">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$120,</w:t>
            </w:r>
            <w:r w:rsidRPr="3516C8E5">
              <w:rPr>
                <w:rFonts w:ascii="Garamond" w:hAnsi="Garamond" w:eastAsia="Garamond" w:cs="Garamond"/>
                <w:color w:val="000000" w:themeColor="text1"/>
                <w:sz w:val="24"/>
                <w:szCs w:val="24"/>
              </w:rPr>
              <w:t>24</w:t>
            </w:r>
            <w:r w:rsidRPr="3516C8E5" w:rsidR="5F16D2BC">
              <w:rPr>
                <w:rFonts w:ascii="Garamond" w:hAnsi="Garamond" w:eastAsia="Garamond" w:cs="Garamond"/>
                <w:color w:val="000000" w:themeColor="text1"/>
                <w:sz w:val="24"/>
                <w:szCs w:val="24"/>
              </w:rPr>
              <w:t>4.</w:t>
            </w:r>
            <w:r w:rsidRPr="0B65BF68" w:rsidR="5F16D2BC">
              <w:rPr>
                <w:rFonts w:ascii="Garamond" w:hAnsi="Garamond" w:eastAsia="Garamond" w:cs="Garamond"/>
                <w:color w:val="000000" w:themeColor="text1"/>
                <w:sz w:val="24"/>
                <w:szCs w:val="24"/>
              </w:rPr>
              <w:t xml:space="preserve">92 </w:t>
            </w:r>
          </w:p>
        </w:tc>
      </w:tr>
      <w:tr w:rsidRPr="00E07026" w:rsidR="005971EA" w:rsidTr="00055A9E" w14:paraId="69717571"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tcPr>
          <w:p w:rsidRPr="00E07026" w:rsidR="005971EA" w:rsidP="00BD45D4" w:rsidRDefault="005971EA" w14:paraId="352D5EE2" w14:textId="77777777">
            <w:pPr>
              <w:pStyle w:val="Tabletext"/>
              <w:spacing w:before="0" w:after="0"/>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289DCA76" w14:textId="77777777">
            <w:pPr>
              <w:pStyle w:val="Tabletext"/>
              <w:jc w:val="left"/>
              <w:rPr>
                <w:sz w:val="24"/>
              </w:rPr>
            </w:pPr>
            <w:r w:rsidRPr="00E07026">
              <w:rPr>
                <w:sz w:val="24"/>
              </w:rPr>
              <w:t>PURA II</w:t>
            </w:r>
          </w:p>
        </w:tc>
        <w:tc>
          <w:tcPr>
            <w:tcW w:w="2092" w:type="dxa"/>
            <w:tcBorders>
              <w:top w:val="nil"/>
              <w:left w:val="nil"/>
              <w:bottom w:val="single" w:color="auto" w:sz="6" w:space="0"/>
              <w:right w:val="single" w:color="auto" w:sz="6" w:space="0"/>
            </w:tcBorders>
            <w:tcMar>
              <w:left w:w="144" w:type="dxa"/>
              <w:right w:w="144" w:type="dxa"/>
            </w:tcMar>
            <w:vAlign w:val="bottom"/>
          </w:tcPr>
          <w:p w:rsidRPr="00EE4024" w:rsidR="005971EA" w:rsidP="00BD45D4" w:rsidRDefault="005971EA" w14:paraId="486CD9D9"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$142,304.85</w:t>
            </w:r>
          </w:p>
        </w:tc>
        <w:tc>
          <w:tcPr>
            <w:tcW w:w="1111" w:type="dxa"/>
            <w:tcBorders>
              <w:top w:val="nil"/>
              <w:left w:val="nil"/>
              <w:bottom w:val="single" w:color="auto" w:sz="6" w:space="0"/>
              <w:right w:val="single" w:color="auto" w:sz="4" w:space="0"/>
            </w:tcBorders>
            <w:tcMar>
              <w:left w:w="144" w:type="dxa"/>
              <w:right w:w="144" w:type="dxa"/>
            </w:tcMar>
            <w:vAlign w:val="bottom"/>
          </w:tcPr>
          <w:p w:rsidRPr="00EE4024" w:rsidR="005971EA" w:rsidP="00BD45D4" w:rsidRDefault="566943C1" w14:paraId="12EE3087" w14:textId="091C9E20">
            <w:pPr>
              <w:jc w:val="right"/>
              <w:rPr>
                <w:rFonts w:ascii="Garamond" w:hAnsi="Garamond" w:eastAsia="Garamond" w:cs="Garamond"/>
                <w:color w:val="000000" w:themeColor="text1"/>
                <w:sz w:val="24"/>
                <w:szCs w:val="24"/>
              </w:rPr>
            </w:pPr>
            <w:r w:rsidRPr="312C6FEB">
              <w:rPr>
                <w:rFonts w:ascii="Garamond" w:hAnsi="Garamond" w:eastAsia="Garamond" w:cs="Garamond"/>
                <w:color w:val="000000" w:themeColor="text1"/>
                <w:sz w:val="24"/>
                <w:szCs w:val="24"/>
              </w:rPr>
              <w:t>3</w:t>
            </w:r>
            <w:r w:rsidRPr="312C6FEB" w:rsidR="5E2506DE">
              <w:rPr>
                <w:rFonts w:ascii="Garamond" w:hAnsi="Garamond" w:eastAsia="Garamond" w:cs="Garamond"/>
                <w:color w:val="000000" w:themeColor="text1"/>
                <w:sz w:val="24"/>
                <w:szCs w:val="24"/>
              </w:rPr>
              <w:t>7.</w:t>
            </w:r>
            <w:r w:rsidRPr="59309DFB" w:rsidR="7C84B41D">
              <w:rPr>
                <w:rFonts w:ascii="Garamond" w:hAnsi="Garamond" w:eastAsia="Garamond" w:cs="Garamond"/>
                <w:color w:val="000000" w:themeColor="text1"/>
                <w:sz w:val="24"/>
                <w:szCs w:val="24"/>
              </w:rPr>
              <w:t>5</w:t>
            </w:r>
            <w:r w:rsidRPr="44A3B52F" w:rsidR="005971EA">
              <w:rPr>
                <w:rFonts w:ascii="Garamond" w:hAnsi="Garamond" w:eastAsia="Garamond" w:cs="Garamond"/>
                <w:color w:val="000000" w:themeColor="text1"/>
                <w:sz w:val="24"/>
                <w:szCs w:val="24"/>
              </w:rPr>
              <w:t>%</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56C86496"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tcPr>
          <w:p w:rsidRPr="00EE4024" w:rsidR="005971EA" w:rsidP="00BD45D4" w:rsidRDefault="48F6830E" w14:paraId="60C7BB83" w14:textId="6A4BD8B2">
            <w:pPr>
              <w:jc w:val="right"/>
              <w:rPr>
                <w:rFonts w:ascii="Garamond" w:hAnsi="Garamond" w:eastAsia="Garamond" w:cs="Garamond"/>
                <w:color w:val="000000" w:themeColor="text1"/>
                <w:sz w:val="24"/>
                <w:szCs w:val="24"/>
              </w:rPr>
            </w:pPr>
            <w:r w:rsidRPr="30E4F554">
              <w:rPr>
                <w:rFonts w:ascii="Garamond" w:hAnsi="Garamond" w:eastAsia="Garamond" w:cs="Garamond"/>
                <w:color w:val="000000" w:themeColor="text1"/>
                <w:sz w:val="24"/>
                <w:szCs w:val="24"/>
              </w:rPr>
              <w:t>$</w:t>
            </w:r>
            <w:r w:rsidRPr="654821F7">
              <w:rPr>
                <w:rFonts w:ascii="Garamond" w:hAnsi="Garamond" w:eastAsia="Garamond" w:cs="Garamond"/>
                <w:color w:val="000000" w:themeColor="text1"/>
                <w:sz w:val="24"/>
                <w:szCs w:val="24"/>
              </w:rPr>
              <w:t>53</w:t>
            </w:r>
            <w:r w:rsidRPr="48E97620">
              <w:rPr>
                <w:rFonts w:ascii="Garamond" w:hAnsi="Garamond" w:eastAsia="Garamond" w:cs="Garamond"/>
                <w:color w:val="000000" w:themeColor="text1"/>
                <w:sz w:val="24"/>
                <w:szCs w:val="24"/>
              </w:rPr>
              <w:t>,</w:t>
            </w:r>
            <w:r w:rsidRPr="42E241EC">
              <w:rPr>
                <w:rFonts w:ascii="Garamond" w:hAnsi="Garamond" w:eastAsia="Garamond" w:cs="Garamond"/>
                <w:color w:val="000000" w:themeColor="text1"/>
                <w:sz w:val="24"/>
                <w:szCs w:val="24"/>
              </w:rPr>
              <w:t>364</w:t>
            </w:r>
            <w:r w:rsidRPr="2BCC8FB1" w:rsidR="3B9B4AD0">
              <w:rPr>
                <w:rFonts w:ascii="Garamond" w:hAnsi="Garamond" w:eastAsia="Garamond" w:cs="Garamond"/>
                <w:color w:val="000000" w:themeColor="text1"/>
                <w:sz w:val="24"/>
                <w:szCs w:val="24"/>
              </w:rPr>
              <w:t xml:space="preserve">.32 </w:t>
            </w:r>
            <w:r w:rsidRPr="29A546E3">
              <w:rPr>
                <w:rFonts w:ascii="Garamond" w:hAnsi="Garamond" w:eastAsia="Garamond" w:cs="Garamond"/>
                <w:color w:val="000000" w:themeColor="text1"/>
                <w:sz w:val="24"/>
                <w:szCs w:val="24"/>
              </w:rPr>
              <w:t xml:space="preserve"> </w:t>
            </w:r>
          </w:p>
        </w:tc>
      </w:tr>
      <w:tr w:rsidRPr="00E07026" w:rsidR="005971EA" w:rsidTr="00055A9E" w14:paraId="6F1905FE"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tcPr>
          <w:p w:rsidRPr="00E07026" w:rsidR="005971EA" w:rsidP="00BD45D4" w:rsidRDefault="005971EA" w14:paraId="40B35C9F" w14:textId="77777777">
            <w:pPr>
              <w:pStyle w:val="Tabletext"/>
              <w:spacing w:before="0" w:after="0"/>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3BF5212B" w14:textId="77777777">
            <w:pPr>
              <w:pStyle w:val="Tabletext"/>
              <w:jc w:val="left"/>
              <w:rPr>
                <w:sz w:val="24"/>
              </w:rPr>
            </w:pPr>
            <w:r w:rsidRPr="00E07026">
              <w:rPr>
                <w:sz w:val="24"/>
              </w:rPr>
              <w:t>PPS</w:t>
            </w:r>
          </w:p>
        </w:tc>
        <w:tc>
          <w:tcPr>
            <w:tcW w:w="2092" w:type="dxa"/>
            <w:tcBorders>
              <w:top w:val="nil"/>
              <w:left w:val="nil"/>
              <w:bottom w:val="single" w:color="auto" w:sz="6" w:space="0"/>
              <w:right w:val="single" w:color="auto" w:sz="6" w:space="0"/>
            </w:tcBorders>
            <w:tcMar>
              <w:left w:w="144" w:type="dxa"/>
              <w:right w:w="144" w:type="dxa"/>
            </w:tcMar>
            <w:vAlign w:val="bottom"/>
          </w:tcPr>
          <w:p w:rsidRPr="00EE4024" w:rsidR="005971EA" w:rsidP="00BD45D4" w:rsidRDefault="005971EA" w14:paraId="46064D8E"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$252,848.67</w:t>
            </w:r>
          </w:p>
        </w:tc>
        <w:tc>
          <w:tcPr>
            <w:tcW w:w="1111" w:type="dxa"/>
            <w:tcBorders>
              <w:top w:val="nil"/>
              <w:left w:val="nil"/>
              <w:bottom w:val="single" w:color="auto" w:sz="6" w:space="0"/>
              <w:right w:val="single" w:color="auto" w:sz="4" w:space="0"/>
            </w:tcBorders>
            <w:tcMar>
              <w:left w:w="144" w:type="dxa"/>
              <w:right w:w="144" w:type="dxa"/>
            </w:tcMar>
            <w:vAlign w:val="bottom"/>
          </w:tcPr>
          <w:p w:rsidRPr="00EE4024" w:rsidR="005971EA" w:rsidP="00BD45D4" w:rsidRDefault="005971EA" w14:paraId="7ADA1FBE"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15%</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1D00B017"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tcPr>
          <w:p w:rsidRPr="00EE4024" w:rsidR="005971EA" w:rsidP="00BD45D4" w:rsidRDefault="005971EA" w14:paraId="3E7023C5" w14:textId="4937D29B">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$37,927</w:t>
            </w:r>
            <w:r w:rsidRPr="45E47ACC" w:rsidR="3E50C6C2">
              <w:rPr>
                <w:rFonts w:ascii="Garamond" w:hAnsi="Garamond" w:eastAsia="Garamond" w:cs="Garamond"/>
                <w:color w:val="000000" w:themeColor="text1"/>
                <w:sz w:val="24"/>
                <w:szCs w:val="24"/>
              </w:rPr>
              <w:t>.30</w:t>
            </w:r>
          </w:p>
        </w:tc>
      </w:tr>
      <w:tr w:rsidRPr="00E07026" w:rsidR="005971EA" w:rsidTr="00055A9E" w14:paraId="2984D0D5"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2E07E1C7" w14:textId="77777777">
            <w:pPr>
              <w:pStyle w:val="Tabletext"/>
              <w:spacing w:before="0" w:after="0"/>
              <w:jc w:val="left"/>
              <w:rPr>
                <w:sz w:val="24"/>
              </w:rPr>
            </w:pPr>
            <w:r w:rsidRPr="00E07026">
              <w:rPr>
                <w:sz w:val="24"/>
              </w:rPr>
              <w:t>Consumer Affairs Branch</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F6D568C" w14:textId="77777777">
            <w:pPr>
              <w:pStyle w:val="Tabletext"/>
              <w:jc w:val="left"/>
              <w:rPr>
                <w:sz w:val="24"/>
              </w:rPr>
            </w:pPr>
            <w:r w:rsidRPr="00E07026">
              <w:rPr>
                <w:sz w:val="24"/>
              </w:rPr>
              <w:t>PURA I</w:t>
            </w:r>
            <w:r>
              <w:rPr>
                <w:sz w:val="24"/>
              </w:rPr>
              <w:t>II</w:t>
            </w: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E4024" w:rsidR="005971EA" w:rsidP="00BD45D4" w:rsidRDefault="005971EA" w14:paraId="209E2F19"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 xml:space="preserve">$159,105.71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E4024" w:rsidR="005971EA" w:rsidP="00BD45D4" w:rsidRDefault="005971EA" w14:paraId="6F819DD5" w14:textId="7F21CB41">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0.6%</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5A90E6B8"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E4024" w:rsidR="005971EA" w:rsidP="00BD45D4" w:rsidRDefault="005971EA" w14:paraId="03F001E1" w14:textId="40853079">
            <w:pPr>
              <w:jc w:val="right"/>
              <w:rPr>
                <w:rFonts w:ascii="Garamond" w:hAnsi="Garamond" w:eastAsia="Garamond" w:cs="Garamond"/>
                <w:color w:val="000000" w:themeColor="text1"/>
                <w:sz w:val="24"/>
                <w:szCs w:val="24"/>
              </w:rPr>
            </w:pPr>
            <w:r w:rsidRPr="64CFA9E9">
              <w:rPr>
                <w:rFonts w:ascii="Garamond" w:hAnsi="Garamond" w:eastAsia="Garamond" w:cs="Garamond"/>
                <w:color w:val="000000" w:themeColor="text1"/>
                <w:sz w:val="24"/>
                <w:szCs w:val="24"/>
              </w:rPr>
              <w:t>$95</w:t>
            </w:r>
            <w:r w:rsidRPr="64CFA9E9" w:rsidR="37CB0FBF">
              <w:rPr>
                <w:rFonts w:ascii="Garamond" w:hAnsi="Garamond" w:eastAsia="Garamond" w:cs="Garamond"/>
                <w:color w:val="000000" w:themeColor="text1"/>
                <w:sz w:val="24"/>
                <w:szCs w:val="24"/>
              </w:rPr>
              <w:t xml:space="preserve">4.63 </w:t>
            </w:r>
          </w:p>
        </w:tc>
      </w:tr>
      <w:tr w:rsidRPr="00E07026" w:rsidR="005971EA" w:rsidTr="00055A9E" w14:paraId="4FBAFB2B"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674C48C7" w14:textId="77777777">
            <w:pPr>
              <w:pStyle w:val="Tabletext"/>
              <w:jc w:val="left"/>
              <w:rPr>
                <w:sz w:val="24"/>
              </w:rPr>
            </w:pPr>
            <w:r w:rsidRPr="00E07026">
              <w:rPr>
                <w:sz w:val="24"/>
              </w:rPr>
              <w:t>Total Base Cost</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490EC7B" w14:textId="77777777">
            <w:pPr>
              <w:pStyle w:val="Tabletext"/>
              <w:jc w:val="left"/>
              <w:rPr>
                <w:sz w:val="24"/>
              </w:rPr>
            </w:pP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6CD23FD" w14:textId="77777777">
            <w:pPr>
              <w:pStyle w:val="Tabletext"/>
              <w:jc w:val="right"/>
              <w:rPr>
                <w:sz w:val="24"/>
              </w:rPr>
            </w:pPr>
            <w:r w:rsidRPr="00E07026">
              <w:rPr>
                <w:rFonts w:ascii="Times New Roman" w:hAnsi="Times New Roman"/>
                <w:sz w:val="24"/>
              </w:rPr>
              <w:t>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07026" w:rsidR="005971EA" w:rsidP="00BD45D4" w:rsidRDefault="005971EA" w14:paraId="36EAA41C" w14:textId="77777777">
            <w:pPr>
              <w:pStyle w:val="Tabletext"/>
              <w:jc w:val="right"/>
              <w:rPr>
                <w:rFonts w:eastAsia="Garamond" w:cs="Garamond"/>
                <w:sz w:val="24"/>
              </w:rPr>
            </w:pP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62A6A21B"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07026" w:rsidR="005971EA" w:rsidP="00BD45D4" w:rsidRDefault="0527052C" w14:paraId="2DA5E124" w14:textId="46EA99DF">
            <w:pPr>
              <w:pStyle w:val="Tabletext"/>
              <w:jc w:val="right"/>
              <w:rPr>
                <w:rFonts w:cs="Segoe UI"/>
                <w:sz w:val="24"/>
              </w:rPr>
            </w:pPr>
            <w:r w:rsidRPr="531BC302">
              <w:rPr>
                <w:sz w:val="24"/>
              </w:rPr>
              <w:t>$</w:t>
            </w:r>
            <w:r w:rsidRPr="16CADC35">
              <w:rPr>
                <w:sz w:val="24"/>
              </w:rPr>
              <w:t>212,</w:t>
            </w:r>
            <w:r w:rsidRPr="4D5A21E3">
              <w:rPr>
                <w:sz w:val="24"/>
              </w:rPr>
              <w:t>491</w:t>
            </w:r>
            <w:r w:rsidRPr="2FB3308A" w:rsidR="75C7B6DD">
              <w:rPr>
                <w:sz w:val="24"/>
              </w:rPr>
              <w:t>.</w:t>
            </w:r>
            <w:r w:rsidRPr="4AC1EFC2" w:rsidR="75C7B6DD">
              <w:rPr>
                <w:sz w:val="24"/>
              </w:rPr>
              <w:t>17</w:t>
            </w:r>
            <w:r w:rsidRPr="4D5A21E3">
              <w:rPr>
                <w:sz w:val="24"/>
              </w:rPr>
              <w:t xml:space="preserve"> </w:t>
            </w:r>
          </w:p>
        </w:tc>
      </w:tr>
      <w:tr w:rsidRPr="00135603" w:rsidR="005971EA" w:rsidTr="00055A9E" w14:paraId="302E0558" w14:textId="77777777">
        <w:trPr>
          <w:trHeight w:val="237"/>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53427956" w14:textId="77777777">
            <w:pPr>
              <w:pStyle w:val="Tabletext"/>
              <w:jc w:val="left"/>
              <w:rPr>
                <w:sz w:val="24"/>
              </w:rPr>
            </w:pPr>
            <w:r w:rsidRPr="00E07026">
              <w:rPr>
                <w:sz w:val="24"/>
              </w:rPr>
              <w:t>Base Cost Per CTA</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3835B47B" w14:textId="77777777">
            <w:pPr>
              <w:pStyle w:val="Tabletext"/>
              <w:jc w:val="left"/>
              <w:rPr>
                <w:sz w:val="24"/>
              </w:rPr>
            </w:pP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F599D29" w14:textId="77777777">
            <w:pPr>
              <w:pStyle w:val="Tabletext"/>
              <w:jc w:val="right"/>
              <w:rPr>
                <w:sz w:val="24"/>
              </w:rPr>
            </w:pPr>
            <w:r w:rsidRPr="00E07026">
              <w:rPr>
                <w:rFonts w:ascii="Times New Roman" w:hAnsi="Times New Roman"/>
                <w:sz w:val="24"/>
              </w:rPr>
              <w:t>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07026" w:rsidR="005971EA" w:rsidP="00BD45D4" w:rsidRDefault="005971EA" w14:paraId="2BEF1CDD" w14:textId="77777777">
            <w:pPr>
              <w:pStyle w:val="Tabletext"/>
              <w:jc w:val="right"/>
              <w:rPr>
                <w:sz w:val="24"/>
              </w:rPr>
            </w:pPr>
            <w:r w:rsidRPr="00E07026">
              <w:rPr>
                <w:rFonts w:ascii="Times New Roman" w:hAnsi="Times New Roman"/>
                <w:sz w:val="24"/>
              </w:rPr>
              <w:t> </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0F332494" w14:textId="1A6E60C8">
            <w:pPr>
              <w:pStyle w:val="Tabletext"/>
              <w:jc w:val="right"/>
              <w:rPr>
                <w:sz w:val="24"/>
              </w:rPr>
            </w:pPr>
            <w:r w:rsidRPr="00E07026">
              <w:rPr>
                <w:sz w:val="24"/>
              </w:rPr>
              <w:t>3</w:t>
            </w:r>
            <w:r w:rsidR="006050E2">
              <w:rPr>
                <w:sz w:val="24"/>
              </w:rPr>
              <w:t>9</w:t>
            </w: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773A82" w:rsidR="005971EA" w:rsidP="00BD45D4" w:rsidRDefault="12A9D8C6" w14:paraId="380EF086" w14:textId="5294F921">
            <w:pPr>
              <w:pStyle w:val="Tabletext"/>
              <w:jc w:val="right"/>
              <w:rPr>
                <w:sz w:val="24"/>
              </w:rPr>
            </w:pPr>
            <w:r w:rsidRPr="62DA6C97">
              <w:rPr>
                <w:sz w:val="24"/>
              </w:rPr>
              <w:t>$5</w:t>
            </w:r>
            <w:r w:rsidRPr="2D02B14E">
              <w:rPr>
                <w:sz w:val="24"/>
              </w:rPr>
              <w:t>,</w:t>
            </w:r>
            <w:r w:rsidR="006050E2">
              <w:rPr>
                <w:sz w:val="24"/>
              </w:rPr>
              <w:t>448.49</w:t>
            </w:r>
            <w:r w:rsidRPr="7A157A3F">
              <w:rPr>
                <w:sz w:val="24"/>
              </w:rPr>
              <w:t xml:space="preserve"> </w:t>
            </w:r>
          </w:p>
        </w:tc>
      </w:tr>
    </w:tbl>
    <w:p w:rsidRPr="00135603" w:rsidR="005971EA" w:rsidP="005971EA" w:rsidRDefault="005971EA" w14:paraId="708FD170" w14:textId="77777777">
      <w:pPr>
        <w:spacing w:line="259" w:lineRule="auto"/>
      </w:pPr>
    </w:p>
    <w:p w:rsidRPr="00135603" w:rsidR="005971EA" w:rsidP="00CC3991" w:rsidRDefault="004E3DFB" w14:paraId="5862B909" w14:textId="3649E4B3">
      <w:pPr>
        <w:pStyle w:val="paragraph"/>
        <w:spacing w:before="0" w:beforeAutospacing="0" w:after="0" w:afterAutospacing="0"/>
      </w:pPr>
      <w:r>
        <w:t xml:space="preserve">In Resolution G-3597, the CPUC set the Base Fee at $5,000 and determined that it would remain at that level in future years </w:t>
      </w:r>
      <w:r w:rsidRPr="00D531F9">
        <w:t>unless actual administrative costs are 20 percent higher or lower than $5,000</w:t>
      </w:r>
      <w:r w:rsidRPr="00755C00">
        <w:t>.</w:t>
      </w:r>
      <w:r>
        <w:t xml:space="preserve"> </w:t>
      </w:r>
      <w:r w:rsidR="00D946FF">
        <w:t xml:space="preserve">Creating a set Base Fee </w:t>
      </w:r>
      <w:r w:rsidR="007D6FB4">
        <w:t xml:space="preserve">with a tolerance band </w:t>
      </w:r>
      <w:r w:rsidR="00D946FF">
        <w:t xml:space="preserve">makes </w:t>
      </w:r>
      <w:r w:rsidR="000B1366">
        <w:t xml:space="preserve">CTA fees </w:t>
      </w:r>
      <w:r w:rsidR="005971EA">
        <w:t xml:space="preserve">more stable year-to-year while still </w:t>
      </w:r>
      <w:r w:rsidR="000B1366">
        <w:t xml:space="preserve">providing the CPUC with </w:t>
      </w:r>
      <w:r w:rsidR="005971EA">
        <w:t>the flexibility to respond to inflation or changes in personnel costs</w:t>
      </w:r>
      <w:r w:rsidR="007D6FB4">
        <w:t>.</w:t>
      </w:r>
      <w:r w:rsidDel="004E3DFB" w:rsidR="005971EA">
        <w:t xml:space="preserve"> </w:t>
      </w:r>
      <w:r w:rsidR="005971EA">
        <w:t xml:space="preserve">If staff find that administrative costs are outside the 20 percent tolerance band in the </w:t>
      </w:r>
      <w:r w:rsidRPr="372AFA12" w:rsidR="005971EA">
        <w:rPr>
          <w:i/>
          <w:iCs/>
        </w:rPr>
        <w:t>CTA Annual Report</w:t>
      </w:r>
      <w:r w:rsidR="005971EA">
        <w:t xml:space="preserve">, staff will submit a resolution to change the fee. Since the fixed costs </w:t>
      </w:r>
      <w:r w:rsidRPr="00322F2F" w:rsidR="005971EA">
        <w:t>for 2025 are within</w:t>
      </w:r>
      <w:r w:rsidR="005971EA">
        <w:t xml:space="preserve"> 20 percent of $5,000, there is no change to the Base Fee.</w:t>
      </w:r>
    </w:p>
    <w:p w:rsidR="59309DFB" w:rsidP="00CC3991" w:rsidRDefault="59309DFB" w14:paraId="4CEF2251" w14:textId="13AB787E">
      <w:pPr>
        <w:pStyle w:val="paragraph"/>
        <w:spacing w:before="0" w:beforeAutospacing="0" w:after="0" w:afterAutospacing="0"/>
      </w:pPr>
    </w:p>
    <w:p w:rsidRPr="00055A9E" w:rsidR="005971EA" w:rsidP="00CC3991" w:rsidRDefault="005971EA" w14:paraId="5E617824" w14:textId="77777777">
      <w:pPr>
        <w:rPr>
          <w:rFonts w:ascii="Century Gothic" w:hAnsi="Century Gothic"/>
          <w:color w:val="1F497D" w:themeColor="text2"/>
          <w:sz w:val="28"/>
          <w:szCs w:val="28"/>
        </w:rPr>
      </w:pPr>
      <w:bookmarkStart w:name="_Toc193374945" w:id="10"/>
      <w:r w:rsidRPr="00055A9E">
        <w:rPr>
          <w:rFonts w:ascii="Century Gothic" w:hAnsi="Century Gothic"/>
          <w:color w:val="1F497D" w:themeColor="text2"/>
          <w:sz w:val="28"/>
          <w:szCs w:val="28"/>
        </w:rPr>
        <w:t>2026 Variable Fee</w:t>
      </w:r>
      <w:bookmarkEnd w:id="10"/>
    </w:p>
    <w:p w:rsidRPr="00135603" w:rsidR="005971EA" w:rsidP="000B7CB0" w:rsidRDefault="005971EA" w14:paraId="5C4AF02B" w14:textId="4E7F72C6">
      <w:pPr>
        <w:pStyle w:val="paragraph"/>
        <w:spacing w:before="240" w:beforeAutospacing="0" w:after="240" w:afterAutospacing="0"/>
        <w:rPr>
          <w:rFonts w:cs="Segoe UI"/>
        </w:rPr>
      </w:pPr>
      <w:r>
        <w:t>Variable costs for CTA-related consumer protections reflect the hours CAB and UEB spent responding to consumer complaints and pursuing consumer protection actions in the previous calendar year</w:t>
      </w:r>
      <w:r w:rsidRPr="00636432" w:rsidDel="000C22C2">
        <w:t>.</w:t>
      </w:r>
      <w:r>
        <w:t xml:space="preserve"> Thus, the Variable Fee has two parts: one for CAB and one for UEB. For CAB, these costs vary by the number and type of complaints received. For UEB they vary by the number of unauthorized enrollment complaints received and the number of UEB actions. For </w:t>
      </w:r>
      <w:r w:rsidRPr="00636432">
        <w:t>202</w:t>
      </w:r>
      <w:r>
        <w:t xml:space="preserve">6, </w:t>
      </w:r>
      <w:r w:rsidRPr="372AFA12">
        <w:rPr>
          <w:rFonts w:cs="Segoe UI"/>
        </w:rPr>
        <w:t xml:space="preserve">the combined variable costs for CAB and UEB totaled </w:t>
      </w:r>
      <w:r w:rsidRPr="00867073">
        <w:rPr>
          <w:rFonts w:cs="Segoe UI"/>
        </w:rPr>
        <w:t>$</w:t>
      </w:r>
      <w:r>
        <w:rPr>
          <w:rFonts w:cs="Segoe UI"/>
        </w:rPr>
        <w:t xml:space="preserve">782,746.16 </w:t>
      </w:r>
      <w:r w:rsidRPr="372AFA12">
        <w:rPr>
          <w:rFonts w:cs="Segoe UI"/>
        </w:rPr>
        <w:t xml:space="preserve">as shown in Table </w:t>
      </w:r>
      <w:r>
        <w:rPr>
          <w:rFonts w:cs="Segoe UI"/>
        </w:rPr>
        <w:t>2</w:t>
      </w:r>
      <w:r w:rsidRPr="372AFA12">
        <w:rPr>
          <w:rFonts w:cs="Segoe UI"/>
        </w:rPr>
        <w:t xml:space="preserve"> below.</w:t>
      </w:r>
    </w:p>
    <w:p w:rsidRPr="00055A9E" w:rsidR="005971EA" w:rsidP="005971EA" w:rsidRDefault="005971EA" w14:paraId="41EC7B76" w14:textId="77777777">
      <w:pPr>
        <w:pStyle w:val="TableHead1"/>
        <w:rPr>
          <w:rFonts w:ascii="Century Gothic" w:hAnsi="Century Gothic"/>
          <w:sz w:val="18"/>
          <w:szCs w:val="18"/>
        </w:rPr>
      </w:pPr>
      <w:r w:rsidRPr="00055A9E">
        <w:rPr>
          <w:rFonts w:ascii="Century Gothic" w:hAnsi="Century Gothic"/>
        </w:rPr>
        <w:t>Table 2: 2025 Total Variable Costs</w:t>
      </w:r>
    </w:p>
    <w:tbl>
      <w:tblPr>
        <w:tblW w:w="503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52"/>
        <w:gridCol w:w="1980"/>
      </w:tblGrid>
      <w:tr w:rsidRPr="00867073" w:rsidR="005971EA" w14:paraId="2A81D4E8" w14:textId="77777777">
        <w:trPr>
          <w:trHeight w:val="585"/>
        </w:trPr>
        <w:tc>
          <w:tcPr>
            <w:tcW w:w="3052" w:type="dxa"/>
            <w:tcBorders>
              <w:top w:val="single" w:color="auto" w:sz="6" w:space="0"/>
              <w:left w:val="single" w:color="auto" w:sz="6" w:space="0"/>
              <w:bottom w:val="single" w:color="auto" w:sz="6" w:space="0"/>
              <w:right w:val="single" w:color="auto" w:sz="6" w:space="0"/>
            </w:tcBorders>
            <w:tcMar>
              <w:left w:w="144" w:type="dxa"/>
              <w:right w:w="144" w:type="dxa"/>
            </w:tcMar>
            <w:vAlign w:val="center"/>
            <w:hideMark/>
          </w:tcPr>
          <w:p w:rsidRPr="00867073" w:rsidR="005971EA" w:rsidRDefault="005971EA" w14:paraId="28492F8A" w14:textId="77777777">
            <w:pPr>
              <w:pStyle w:val="Tabletext"/>
              <w:jc w:val="center"/>
              <w:rPr>
                <w:b/>
                <w:bCs w:val="0"/>
                <w:sz w:val="24"/>
              </w:rPr>
            </w:pPr>
            <w:r w:rsidRPr="00867073">
              <w:rPr>
                <w:b/>
                <w:bCs w:val="0"/>
                <w:sz w:val="24"/>
              </w:rPr>
              <w:t>CPUC Organizational Area</w:t>
            </w:r>
          </w:p>
        </w:tc>
        <w:tc>
          <w:tcPr>
            <w:tcW w:w="1980" w:type="dxa"/>
            <w:tcBorders>
              <w:top w:val="single" w:color="auto" w:sz="6" w:space="0"/>
              <w:left w:val="nil"/>
              <w:bottom w:val="single" w:color="auto" w:sz="6" w:space="0"/>
              <w:right w:val="single" w:color="auto" w:sz="6" w:space="0"/>
            </w:tcBorders>
            <w:tcMar>
              <w:left w:w="144" w:type="dxa"/>
              <w:right w:w="144" w:type="dxa"/>
            </w:tcMar>
            <w:vAlign w:val="center"/>
            <w:hideMark/>
          </w:tcPr>
          <w:p w:rsidRPr="00867073" w:rsidR="005971EA" w:rsidRDefault="005971EA" w14:paraId="1AB19A86" w14:textId="77777777">
            <w:pPr>
              <w:pStyle w:val="Tabletext"/>
              <w:jc w:val="center"/>
              <w:rPr>
                <w:b/>
                <w:bCs w:val="0"/>
                <w:sz w:val="24"/>
              </w:rPr>
            </w:pPr>
            <w:r w:rsidRPr="00867073">
              <w:rPr>
                <w:b/>
                <w:bCs w:val="0"/>
                <w:sz w:val="24"/>
              </w:rPr>
              <w:t>CTA Costs</w:t>
            </w:r>
          </w:p>
        </w:tc>
      </w:tr>
      <w:tr w:rsidRPr="00867073" w:rsidR="005971EA" w14:paraId="6C88F6C4"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51D19408" w14:textId="77777777">
            <w:pPr>
              <w:pStyle w:val="Tabletext"/>
              <w:jc w:val="left"/>
              <w:rPr>
                <w:sz w:val="24"/>
              </w:rPr>
            </w:pPr>
            <w:r w:rsidRPr="00867073">
              <w:rPr>
                <w:sz w:val="24"/>
              </w:rPr>
              <w:t>CAB</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055A9E" w:rsidR="005971EA" w:rsidP="00BD45D4" w:rsidRDefault="005971EA" w14:paraId="7028E93F" w14:textId="6B03AEDE">
            <w:pPr>
              <w:jc w:val="right"/>
              <w:rPr>
                <w:rFonts w:ascii="Garamond" w:hAnsi="Garamond"/>
                <w:sz w:val="24"/>
                <w:szCs w:val="24"/>
              </w:rPr>
            </w:pPr>
            <w:r w:rsidRPr="00055A9E">
              <w:rPr>
                <w:rFonts w:ascii="Garamond" w:hAnsi="Garamond" w:cs="Arial"/>
                <w:color w:val="000000"/>
                <w:sz w:val="24"/>
                <w:szCs w:val="24"/>
              </w:rPr>
              <w:t>$178,10</w:t>
            </w:r>
            <w:r w:rsidR="0067755B">
              <w:rPr>
                <w:rFonts w:ascii="Garamond" w:hAnsi="Garamond" w:cs="Arial"/>
                <w:color w:val="000000"/>
                <w:sz w:val="24"/>
                <w:szCs w:val="24"/>
              </w:rPr>
              <w:t>6.</w:t>
            </w:r>
            <w:r w:rsidR="009B433B">
              <w:rPr>
                <w:rFonts w:ascii="Garamond" w:hAnsi="Garamond" w:cs="Arial"/>
                <w:color w:val="000000"/>
                <w:sz w:val="24"/>
                <w:szCs w:val="24"/>
              </w:rPr>
              <w:t>91</w:t>
            </w:r>
          </w:p>
        </w:tc>
      </w:tr>
      <w:tr w:rsidRPr="00867073" w:rsidR="005971EA" w14:paraId="62BFF70D"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5D6FB829" w14:textId="77777777">
            <w:pPr>
              <w:pStyle w:val="Tabletext"/>
              <w:jc w:val="left"/>
              <w:rPr>
                <w:sz w:val="24"/>
              </w:rPr>
            </w:pPr>
            <w:r w:rsidRPr="00867073">
              <w:rPr>
                <w:sz w:val="24"/>
              </w:rPr>
              <w:t>UEB</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055A9E" w:rsidR="005971EA" w:rsidP="00BD45D4" w:rsidRDefault="005971EA" w14:paraId="21F8D995" w14:textId="1BBE6929">
            <w:pPr>
              <w:jc w:val="right"/>
              <w:rPr>
                <w:rFonts w:ascii="Garamond" w:hAnsi="Garamond"/>
                <w:sz w:val="24"/>
                <w:szCs w:val="24"/>
              </w:rPr>
            </w:pPr>
            <w:r w:rsidRPr="00055A9E">
              <w:rPr>
                <w:rFonts w:ascii="Garamond" w:hAnsi="Garamond" w:cs="Arial"/>
                <w:color w:val="000000"/>
                <w:sz w:val="24"/>
                <w:szCs w:val="24"/>
              </w:rPr>
              <w:t>$604,639</w:t>
            </w:r>
            <w:r w:rsidR="00F22353">
              <w:rPr>
                <w:rFonts w:ascii="Garamond" w:hAnsi="Garamond" w:cs="Arial"/>
                <w:color w:val="000000"/>
                <w:sz w:val="24"/>
                <w:szCs w:val="24"/>
              </w:rPr>
              <w:t>.26</w:t>
            </w:r>
          </w:p>
        </w:tc>
      </w:tr>
      <w:tr w:rsidRPr="00135603" w:rsidR="005971EA" w14:paraId="4C413A5A"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7975AA53" w14:textId="77777777">
            <w:pPr>
              <w:pStyle w:val="Tabletext"/>
              <w:jc w:val="left"/>
              <w:rPr>
                <w:sz w:val="24"/>
              </w:rPr>
            </w:pPr>
            <w:r w:rsidRPr="00867073">
              <w:rPr>
                <w:sz w:val="24"/>
              </w:rPr>
              <w:t>Total Variable Costs</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C24A12" w:rsidR="005971EA" w:rsidP="00BD45D4" w:rsidRDefault="005971EA" w14:paraId="321434FA" w14:textId="082B4477">
            <w:pPr>
              <w:pStyle w:val="Tabletext"/>
              <w:jc w:val="right"/>
              <w:rPr>
                <w:sz w:val="24"/>
              </w:rPr>
            </w:pPr>
            <w:r w:rsidRPr="00867073">
              <w:rPr>
                <w:rFonts w:cs="Arial"/>
                <w:bCs w:val="0"/>
                <w:color w:val="000000"/>
                <w:sz w:val="24"/>
              </w:rPr>
              <w:t>$</w:t>
            </w:r>
            <w:r>
              <w:rPr>
                <w:rFonts w:cs="Arial"/>
                <w:bCs w:val="0"/>
                <w:color w:val="000000"/>
                <w:sz w:val="24"/>
              </w:rPr>
              <w:t>782,746</w:t>
            </w:r>
            <w:r w:rsidR="00C35C7C">
              <w:rPr>
                <w:rFonts w:cs="Arial"/>
                <w:bCs w:val="0"/>
                <w:color w:val="000000"/>
                <w:sz w:val="24"/>
              </w:rPr>
              <w:t>.16</w:t>
            </w:r>
            <w:r>
              <w:rPr>
                <w:rFonts w:cs="Arial"/>
                <w:bCs w:val="0"/>
                <w:color w:val="000000"/>
                <w:sz w:val="24"/>
              </w:rPr>
              <w:t xml:space="preserve"> </w:t>
            </w:r>
          </w:p>
        </w:tc>
      </w:tr>
    </w:tbl>
    <w:p w:rsidRPr="00055A9E" w:rsidR="005971EA" w:rsidP="005971EA" w:rsidRDefault="005971EA" w14:paraId="7D687F3C" w14:textId="77777777">
      <w:pPr>
        <w:pStyle w:val="Heading3"/>
        <w:spacing w:before="240"/>
        <w:rPr>
          <w:color w:val="1F497D" w:themeColor="text2"/>
        </w:rPr>
      </w:pPr>
      <w:bookmarkStart w:name="_Toc193374946" w:id="11"/>
      <w:r w:rsidRPr="00055A9E">
        <w:rPr>
          <w:color w:val="1F497D" w:themeColor="text2"/>
        </w:rPr>
        <w:t>Variable Fee: CAB</w:t>
      </w:r>
      <w:bookmarkEnd w:id="11"/>
    </w:p>
    <w:p w:rsidR="005971EA" w:rsidP="00055A9E" w:rsidRDefault="005971EA" w14:paraId="128A1A64" w14:textId="03BE1E28">
      <w:pPr>
        <w:pStyle w:val="paragraph"/>
        <w:spacing w:before="0" w:beforeAutospacing="0"/>
      </w:pPr>
      <w:r w:rsidRPr="00135603">
        <w:t xml:space="preserve">Consumers typically contact CAB for assistance when they do not receive a resolution from the </w:t>
      </w:r>
      <w:r w:rsidR="005D1668">
        <w:br/>
      </w:r>
      <w:r w:rsidRPr="00135603">
        <w:t>CTA’s customer service department. During 202</w:t>
      </w:r>
      <w:r>
        <w:t>5</w:t>
      </w:r>
      <w:r w:rsidRPr="00135603">
        <w:t xml:space="preserve">, CAB received a total of </w:t>
      </w:r>
      <w:r>
        <w:t>2,942</w:t>
      </w:r>
      <w:r>
        <w:rPr>
          <w:rStyle w:val="FootnoteReference"/>
        </w:rPr>
        <w:footnoteReference w:id="36"/>
      </w:r>
      <w:r>
        <w:t xml:space="preserve"> </w:t>
      </w:r>
      <w:r w:rsidRPr="00135603">
        <w:t>CTA-related complaints and inquiries</w:t>
      </w:r>
      <w:r>
        <w:t>, which is</w:t>
      </w:r>
      <w:r w:rsidR="00400A58">
        <w:t xml:space="preserve"> a 7</w:t>
      </w:r>
      <w:r w:rsidR="006E7EB5">
        <w:t>5</w:t>
      </w:r>
      <w:r w:rsidR="00400A58">
        <w:t xml:space="preserve"> percent increase</w:t>
      </w:r>
      <w:r>
        <w:t xml:space="preserve"> </w:t>
      </w:r>
      <w:r w:rsidR="00055A9E">
        <w:t xml:space="preserve">from </w:t>
      </w:r>
      <w:r w:rsidR="006E7EB5">
        <w:t xml:space="preserve">the </w:t>
      </w:r>
      <w:r w:rsidRPr="002A4524">
        <w:t>1,68</w:t>
      </w:r>
      <w:r w:rsidRPr="00FF39CF">
        <w:t>5</w:t>
      </w:r>
      <w:r w:rsidRPr="002A4524">
        <w:t xml:space="preserve"> complaints </w:t>
      </w:r>
      <w:r w:rsidR="00302015">
        <w:t xml:space="preserve">received </w:t>
      </w:r>
      <w:r w:rsidRPr="002A4524">
        <w:t>in 202</w:t>
      </w:r>
      <w:r w:rsidRPr="00FF39CF">
        <w:t>4</w:t>
      </w:r>
      <w:r>
        <w:t>.</w:t>
      </w:r>
      <w:r w:rsidRPr="00135603">
        <w:t xml:space="preserve"> Of these, </w:t>
      </w:r>
      <w:r>
        <w:t xml:space="preserve">2,067 </w:t>
      </w:r>
      <w:r w:rsidRPr="00135603">
        <w:t xml:space="preserve">were received by phone and </w:t>
      </w:r>
      <w:r>
        <w:t>875</w:t>
      </w:r>
      <w:r w:rsidRPr="00135603">
        <w:t xml:space="preserve"> were informal written complaints. The cost of responding to a complaint varies based on the average time involved. Phone contacts are incoming calls from consumers seeking assistance with a CTA-related issue and require significantly less time to resolve than informal written complaints. Thus, they are less expensive (see Table </w:t>
      </w:r>
      <w:r>
        <w:t>3</w:t>
      </w:r>
      <w:r w:rsidRPr="00135603">
        <w:t xml:space="preserve"> below). If the consumer is unable to resolve a problem with a CTA after receiving phone assistance, CAB encourages them to submit an informal written complaint. CAB submits informal written complaints to the CTA, which is required to provide a resolution in writing. CAB then informs the consumer of the outcome. </w:t>
      </w:r>
    </w:p>
    <w:p w:rsidR="008301FF" w:rsidP="00055A9E" w:rsidRDefault="008301FF" w14:paraId="74B534AC" w14:textId="77777777">
      <w:pPr>
        <w:pStyle w:val="paragraph"/>
        <w:spacing w:before="0" w:beforeAutospacing="0"/>
      </w:pPr>
    </w:p>
    <w:p w:rsidR="008301FF" w:rsidP="00055A9E" w:rsidRDefault="008301FF" w14:paraId="6B673180" w14:textId="77777777">
      <w:pPr>
        <w:pStyle w:val="paragraph"/>
        <w:spacing w:before="0" w:beforeAutospacing="0"/>
      </w:pPr>
    </w:p>
    <w:p w:rsidR="008301FF" w:rsidP="00055A9E" w:rsidRDefault="008301FF" w14:paraId="4E663F92" w14:textId="77777777">
      <w:pPr>
        <w:pStyle w:val="paragraph"/>
        <w:spacing w:before="0" w:beforeAutospacing="0"/>
        <w:rPr>
          <w:rFonts w:asciiTheme="minorHAnsi" w:hAnsiTheme="minorHAnsi"/>
          <w:bCs/>
        </w:rPr>
      </w:pPr>
    </w:p>
    <w:p w:rsidRPr="00055A9E" w:rsidR="005971EA" w:rsidP="005971EA" w:rsidRDefault="005971EA" w14:paraId="57231B95" w14:textId="77777777">
      <w:pPr>
        <w:pStyle w:val="TableHead1"/>
        <w:rPr>
          <w:rFonts w:ascii="Century Gothic" w:hAnsi="Century Gothic"/>
          <w:sz w:val="18"/>
          <w:szCs w:val="18"/>
        </w:rPr>
      </w:pPr>
      <w:r w:rsidRPr="00055A9E">
        <w:rPr>
          <w:rFonts w:ascii="Century Gothic" w:hAnsi="Century Gothic"/>
        </w:rPr>
        <w:lastRenderedPageBreak/>
        <w:t>Table 3: 2025 Variable Cost by Complaint Type: CAB </w:t>
      </w:r>
    </w:p>
    <w:tbl>
      <w:tblPr>
        <w:tblW w:w="1007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52"/>
        <w:gridCol w:w="1530"/>
        <w:gridCol w:w="1440"/>
        <w:gridCol w:w="1170"/>
        <w:gridCol w:w="1440"/>
        <w:gridCol w:w="1440"/>
      </w:tblGrid>
      <w:tr w:rsidRPr="00201AA5" w:rsidR="005971EA" w14:paraId="4FF9F735" w14:textId="77777777">
        <w:trPr>
          <w:trHeight w:val="585"/>
        </w:trPr>
        <w:tc>
          <w:tcPr>
            <w:tcW w:w="3052" w:type="dxa"/>
            <w:tcBorders>
              <w:top w:val="single" w:color="auto" w:sz="6" w:space="0"/>
              <w:left w:val="single" w:color="auto" w:sz="6" w:space="0"/>
              <w:bottom w:val="single" w:color="auto" w:sz="6" w:space="0"/>
              <w:right w:val="single" w:color="auto" w:sz="6" w:space="0"/>
            </w:tcBorders>
            <w:tcMar>
              <w:left w:w="144" w:type="dxa"/>
              <w:right w:w="144" w:type="dxa"/>
            </w:tcMar>
            <w:vAlign w:val="center"/>
            <w:hideMark/>
          </w:tcPr>
          <w:p w:rsidRPr="00201AA5" w:rsidR="005971EA" w:rsidRDefault="005971EA" w14:paraId="78E6183D" w14:textId="77777777">
            <w:pPr>
              <w:pStyle w:val="Tabletext"/>
              <w:jc w:val="center"/>
              <w:rPr>
                <w:b/>
                <w:bCs w:val="0"/>
                <w:sz w:val="24"/>
              </w:rPr>
            </w:pPr>
            <w:r w:rsidRPr="00201AA5">
              <w:rPr>
                <w:rFonts w:ascii="Times New Roman" w:hAnsi="Times New Roman" w:cs="Times New Roman"/>
                <w:b/>
                <w:bCs w:val="0"/>
                <w:sz w:val="24"/>
              </w:rPr>
              <w:t> </w:t>
            </w:r>
          </w:p>
        </w:tc>
        <w:tc>
          <w:tcPr>
            <w:tcW w:w="153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2E3CD8B1" w14:textId="77777777">
            <w:pPr>
              <w:pStyle w:val="Tabletext"/>
              <w:jc w:val="center"/>
              <w:rPr>
                <w:b/>
                <w:bCs w:val="0"/>
                <w:sz w:val="24"/>
              </w:rPr>
            </w:pPr>
            <w:r w:rsidRPr="00201AA5">
              <w:rPr>
                <w:b/>
                <w:bCs w:val="0"/>
                <w:sz w:val="24"/>
              </w:rPr>
              <w:t>Complaints by Type</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6F51D3F1" w14:textId="77777777">
            <w:pPr>
              <w:pStyle w:val="Tabletext"/>
              <w:jc w:val="center"/>
              <w:rPr>
                <w:b/>
                <w:bCs w:val="0"/>
                <w:sz w:val="24"/>
              </w:rPr>
            </w:pPr>
            <w:r w:rsidRPr="00201AA5">
              <w:rPr>
                <w:b/>
                <w:bCs w:val="0"/>
                <w:sz w:val="24"/>
              </w:rPr>
              <w:t>Average Hours per Complaint</w:t>
            </w:r>
          </w:p>
        </w:tc>
        <w:tc>
          <w:tcPr>
            <w:tcW w:w="117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313CB5FE" w14:textId="77777777">
            <w:pPr>
              <w:pStyle w:val="Tabletext"/>
              <w:jc w:val="center"/>
              <w:rPr>
                <w:b/>
                <w:bCs w:val="0"/>
                <w:sz w:val="24"/>
              </w:rPr>
            </w:pPr>
            <w:r w:rsidRPr="00201AA5">
              <w:rPr>
                <w:b/>
                <w:bCs w:val="0"/>
                <w:sz w:val="24"/>
              </w:rPr>
              <w:t>Median Cost per Hour</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011EAB6B" w14:textId="77777777">
            <w:pPr>
              <w:pStyle w:val="Tabletext"/>
              <w:jc w:val="center"/>
              <w:rPr>
                <w:b/>
                <w:bCs w:val="0"/>
                <w:sz w:val="24"/>
              </w:rPr>
            </w:pPr>
            <w:r w:rsidRPr="00201AA5">
              <w:rPr>
                <w:b/>
                <w:bCs w:val="0"/>
                <w:sz w:val="24"/>
              </w:rPr>
              <w:t>Cost Per Complaint</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10A2C8B1" w14:textId="77777777">
            <w:pPr>
              <w:pStyle w:val="Tabletext"/>
              <w:jc w:val="center"/>
              <w:rPr>
                <w:b/>
                <w:bCs w:val="0"/>
                <w:sz w:val="24"/>
              </w:rPr>
            </w:pPr>
            <w:r w:rsidRPr="00201AA5">
              <w:rPr>
                <w:b/>
                <w:bCs w:val="0"/>
                <w:sz w:val="24"/>
              </w:rPr>
              <w:t>Total Cost</w:t>
            </w:r>
          </w:p>
        </w:tc>
      </w:tr>
      <w:tr w:rsidRPr="0058138C" w:rsidR="005971EA" w14:paraId="4CDD6225" w14:textId="77777777">
        <w:trPr>
          <w:trHeight w:val="516"/>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438D877B" w14:textId="77777777">
            <w:pPr>
              <w:pStyle w:val="Tabletext"/>
              <w:jc w:val="left"/>
              <w:rPr>
                <w:sz w:val="24"/>
              </w:rPr>
            </w:pPr>
            <w:r w:rsidRPr="00201AA5">
              <w:rPr>
                <w:sz w:val="24"/>
              </w:rPr>
              <w:t>Phone Contacts</w:t>
            </w:r>
          </w:p>
        </w:tc>
        <w:tc>
          <w:tcPr>
            <w:tcW w:w="153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279345F6" w14:textId="77777777">
            <w:pPr>
              <w:pStyle w:val="Tabletext"/>
              <w:jc w:val="right"/>
              <w:rPr>
                <w:sz w:val="24"/>
              </w:rPr>
            </w:pPr>
            <w:r w:rsidRPr="00201AA5">
              <w:rPr>
                <w:sz w:val="24"/>
              </w:rPr>
              <w:t>2,067</w:t>
            </w:r>
          </w:p>
        </w:tc>
        <w:tc>
          <w:tcPr>
            <w:tcW w:w="1440" w:type="dxa"/>
            <w:tcBorders>
              <w:top w:val="nil"/>
              <w:left w:val="nil"/>
              <w:bottom w:val="single" w:color="auto" w:sz="6" w:space="0"/>
              <w:right w:val="single" w:color="auto" w:sz="6" w:space="0"/>
            </w:tcBorders>
            <w:shd w:val="clear" w:color="auto" w:fill="FFFFFF" w:themeFill="background1"/>
            <w:tcMar>
              <w:left w:w="144" w:type="dxa"/>
              <w:right w:w="144" w:type="dxa"/>
            </w:tcMar>
            <w:vAlign w:val="center"/>
            <w:hideMark/>
          </w:tcPr>
          <w:p w:rsidRPr="00201AA5" w:rsidR="005971EA" w:rsidP="00BD45D4" w:rsidRDefault="005971EA" w14:paraId="57EFC4C2" w14:textId="77777777">
            <w:pPr>
              <w:pStyle w:val="Tabletext"/>
              <w:jc w:val="right"/>
              <w:rPr>
                <w:sz w:val="24"/>
              </w:rPr>
            </w:pPr>
            <w:r w:rsidRPr="00201AA5">
              <w:rPr>
                <w:sz w:val="24"/>
              </w:rPr>
              <w:t>0.11</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45C30E0" w14:textId="77777777">
            <w:pPr>
              <w:pStyle w:val="Tabletext"/>
              <w:jc w:val="right"/>
              <w:rPr>
                <w:sz w:val="24"/>
              </w:rPr>
            </w:pPr>
            <w:r w:rsidRPr="00201AA5">
              <w:rPr>
                <w:sz w:val="24"/>
              </w:rPr>
              <w:t>$53.99</w:t>
            </w:r>
            <w:r w:rsidRPr="00201AA5">
              <w:rPr>
                <w:sz w:val="24"/>
                <w:vertAlign w:val="superscript"/>
              </w:rPr>
              <w:footnoteReference w:id="37"/>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7FCBD883" w14:textId="77777777">
            <w:pPr>
              <w:pStyle w:val="Tabletext"/>
              <w:jc w:val="right"/>
              <w:rPr>
                <w:sz w:val="24"/>
              </w:rPr>
            </w:pPr>
            <w:r w:rsidRPr="00201AA5">
              <w:rPr>
                <w:sz w:val="24"/>
              </w:rPr>
              <w:t>$5.94</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4A3E234F" w14:textId="2ECD5975">
            <w:pPr>
              <w:pStyle w:val="Tabletext"/>
              <w:jc w:val="right"/>
              <w:rPr>
                <w:sz w:val="24"/>
              </w:rPr>
            </w:pPr>
            <w:r w:rsidRPr="00201AA5">
              <w:rPr>
                <w:sz w:val="24"/>
              </w:rPr>
              <w:t>$</w:t>
            </w:r>
            <w:r>
              <w:rPr>
                <w:sz w:val="24"/>
              </w:rPr>
              <w:t>12,27</w:t>
            </w:r>
            <w:r w:rsidR="00520058">
              <w:rPr>
                <w:sz w:val="24"/>
              </w:rPr>
              <w:t>6.70</w:t>
            </w:r>
            <w:r>
              <w:rPr>
                <w:sz w:val="24"/>
              </w:rPr>
              <w:t xml:space="preserve"> </w:t>
            </w:r>
          </w:p>
        </w:tc>
      </w:tr>
      <w:tr w:rsidRPr="0058138C" w:rsidR="005971EA" w14:paraId="3DA49F43"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640AF41D" w14:textId="77777777">
            <w:pPr>
              <w:pStyle w:val="Tabletext"/>
              <w:jc w:val="left"/>
              <w:rPr>
                <w:sz w:val="24"/>
              </w:rPr>
            </w:pPr>
            <w:r w:rsidRPr="00201AA5">
              <w:rPr>
                <w:sz w:val="24"/>
              </w:rPr>
              <w:t>Informal Written Complaints</w:t>
            </w:r>
          </w:p>
        </w:tc>
        <w:tc>
          <w:tcPr>
            <w:tcW w:w="153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1343F21A" w14:textId="77777777">
            <w:pPr>
              <w:pStyle w:val="Tabletext"/>
              <w:jc w:val="right"/>
              <w:rPr>
                <w:sz w:val="24"/>
              </w:rPr>
            </w:pPr>
            <w:r w:rsidRPr="00201AA5">
              <w:rPr>
                <w:sz w:val="24"/>
              </w:rPr>
              <w:t>875</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30AB82B3" w14:textId="77777777">
            <w:pPr>
              <w:pStyle w:val="Tabletext"/>
              <w:jc w:val="right"/>
              <w:rPr>
                <w:sz w:val="24"/>
              </w:rPr>
            </w:pPr>
            <w:r w:rsidRPr="00201AA5">
              <w:rPr>
                <w:sz w:val="24"/>
              </w:rPr>
              <w:t>3.51</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3EC1C9CB" w14:textId="77777777">
            <w:pPr>
              <w:pStyle w:val="Tabletext"/>
              <w:jc w:val="right"/>
              <w:rPr>
                <w:sz w:val="24"/>
              </w:rPr>
            </w:pPr>
            <w:r w:rsidRPr="00201AA5">
              <w:rPr>
                <w:sz w:val="24"/>
              </w:rPr>
              <w:t>$53.99</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B675680" w14:textId="77777777">
            <w:pPr>
              <w:pStyle w:val="Tabletext"/>
              <w:jc w:val="right"/>
              <w:rPr>
                <w:sz w:val="24"/>
              </w:rPr>
            </w:pPr>
            <w:r w:rsidRPr="00201AA5">
              <w:rPr>
                <w:sz w:val="24"/>
              </w:rPr>
              <w:t>$189.52</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366E399A" w14:textId="29C9DF07">
            <w:pPr>
              <w:pStyle w:val="Tabletext"/>
              <w:jc w:val="right"/>
              <w:rPr>
                <w:sz w:val="24"/>
              </w:rPr>
            </w:pPr>
            <w:r w:rsidRPr="00201AA5">
              <w:rPr>
                <w:sz w:val="24"/>
              </w:rPr>
              <w:t>$</w:t>
            </w:r>
            <w:r>
              <w:rPr>
                <w:sz w:val="24"/>
              </w:rPr>
              <w:t>165,830</w:t>
            </w:r>
            <w:r w:rsidR="00540860">
              <w:rPr>
                <w:sz w:val="24"/>
              </w:rPr>
              <w:t>.21</w:t>
            </w:r>
            <w:r>
              <w:rPr>
                <w:sz w:val="24"/>
              </w:rPr>
              <w:t xml:space="preserve"> </w:t>
            </w:r>
          </w:p>
        </w:tc>
      </w:tr>
      <w:tr w:rsidRPr="00135603" w:rsidR="005971EA" w14:paraId="118E7E40"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6F7EB0C4" w14:textId="77777777">
            <w:pPr>
              <w:pStyle w:val="Tabletext"/>
              <w:jc w:val="left"/>
              <w:rPr>
                <w:sz w:val="24"/>
              </w:rPr>
            </w:pPr>
            <w:r w:rsidRPr="00201AA5">
              <w:rPr>
                <w:sz w:val="24"/>
              </w:rPr>
              <w:t>Total</w:t>
            </w:r>
          </w:p>
        </w:tc>
        <w:tc>
          <w:tcPr>
            <w:tcW w:w="153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6A5050D4" w14:textId="77777777">
            <w:pPr>
              <w:pStyle w:val="Tabletext"/>
              <w:jc w:val="right"/>
              <w:rPr>
                <w:sz w:val="24"/>
              </w:rPr>
            </w:pPr>
            <w:r w:rsidRPr="00201AA5">
              <w:rPr>
                <w:sz w:val="24"/>
              </w:rPr>
              <w:t>2,942</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639B826" w14:textId="77777777">
            <w:pPr>
              <w:pStyle w:val="Tabletext"/>
              <w:jc w:val="right"/>
              <w:rPr>
                <w:sz w:val="24"/>
              </w:rPr>
            </w:pPr>
            <w:r w:rsidRPr="00201AA5">
              <w:rPr>
                <w:rFonts w:ascii="Times New Roman" w:hAnsi="Times New Roman" w:cs="Times New Roman"/>
                <w:sz w:val="24"/>
              </w:rPr>
              <w:t> </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0F5A4933" w14:textId="77777777">
            <w:pPr>
              <w:pStyle w:val="Tabletext"/>
              <w:jc w:val="right"/>
              <w:rPr>
                <w:sz w:val="24"/>
              </w:rPr>
            </w:pPr>
            <w:r w:rsidRPr="00201AA5">
              <w:rPr>
                <w:rFonts w:ascii="Times New Roman" w:hAnsi="Times New Roman" w:cs="Times New Roman"/>
                <w:sz w:val="24"/>
              </w:rPr>
              <w:t> </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15B6D045" w14:textId="77777777">
            <w:pPr>
              <w:pStyle w:val="Tabletext"/>
              <w:jc w:val="right"/>
              <w:rPr>
                <w:sz w:val="24"/>
              </w:rPr>
            </w:pPr>
            <w:r w:rsidRPr="00201AA5">
              <w:rPr>
                <w:rFonts w:ascii="Times New Roman" w:hAnsi="Times New Roman" w:cs="Times New Roman"/>
                <w:sz w:val="24"/>
              </w:rPr>
              <w:t> </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21609706" w14:textId="0118735C">
            <w:pPr>
              <w:pStyle w:val="Tabletext"/>
              <w:jc w:val="right"/>
              <w:rPr>
                <w:sz w:val="24"/>
              </w:rPr>
            </w:pPr>
            <w:r w:rsidRPr="00201AA5">
              <w:rPr>
                <w:sz w:val="24"/>
              </w:rPr>
              <w:t>$</w:t>
            </w:r>
            <w:r>
              <w:rPr>
                <w:sz w:val="24"/>
              </w:rPr>
              <w:t>178,10</w:t>
            </w:r>
            <w:r w:rsidR="000564C9">
              <w:rPr>
                <w:sz w:val="24"/>
              </w:rPr>
              <w:t>6</w:t>
            </w:r>
            <w:r w:rsidR="00310CAF">
              <w:rPr>
                <w:sz w:val="24"/>
              </w:rPr>
              <w:t>.91</w:t>
            </w:r>
          </w:p>
        </w:tc>
      </w:tr>
    </w:tbl>
    <w:p w:rsidRPr="00135603" w:rsidR="005971EA" w:rsidP="005971EA" w:rsidRDefault="005971EA" w14:paraId="228E1227" w14:textId="77777777">
      <w:pPr>
        <w:textAlignment w:val="baseline"/>
        <w:rPr>
          <w:rFonts w:cs="Segoe UI"/>
          <w:sz w:val="18"/>
          <w:szCs w:val="18"/>
        </w:rPr>
      </w:pPr>
    </w:p>
    <w:p w:rsidRPr="00135603" w:rsidR="005971EA" w:rsidP="005971EA" w:rsidRDefault="005971EA" w14:paraId="25B8DCD6" w14:textId="4ECFB214">
      <w:pPr>
        <w:pStyle w:val="paragraph"/>
      </w:pPr>
      <w:r w:rsidRPr="00135603">
        <w:t>To calculate CAB costs, staff use the following methodology:</w:t>
      </w:r>
    </w:p>
    <w:p w:rsidRPr="00C6607F" w:rsidR="005971EA" w:rsidP="005971EA" w:rsidRDefault="005971EA" w14:paraId="3FFCD316" w14:textId="77777777">
      <w:pPr>
        <w:pStyle w:val="paragraph"/>
        <w:ind w:left="2"/>
        <w:rPr>
          <w:rFonts w:ascii="Segoe UI" w:hAnsi="Segoe UI" w:cs="Segoe UI"/>
          <w:sz w:val="18"/>
          <w:szCs w:val="18"/>
        </w:rPr>
      </w:pPr>
      <w:r w:rsidRPr="0540ECAD">
        <w:rPr>
          <w:rFonts w:cs="Segoe UI"/>
        </w:rPr>
        <w:t>Cost per phone contact</w:t>
      </w:r>
      <w:r w:rsidRPr="00C6607F">
        <w:rPr>
          <w:vertAlign w:val="superscript"/>
        </w:rPr>
        <w:footnoteReference w:id="38"/>
      </w:r>
      <w:r w:rsidRPr="0540ECAD">
        <w:rPr>
          <w:rFonts w:cs="Segoe UI"/>
        </w:rPr>
        <w:t xml:space="preserve"> multiplied by the CTA’s number of phone contacts; plus, </w:t>
      </w:r>
    </w:p>
    <w:p w:rsidRPr="003412B8" w:rsidR="005971EA" w:rsidP="003412B8" w:rsidRDefault="005971EA" w14:paraId="272D006D" w14:textId="27FBE75D">
      <w:pPr>
        <w:pStyle w:val="paragraph"/>
        <w:ind w:left="2"/>
        <w:rPr>
          <w:rFonts w:ascii="Segoe UI" w:hAnsi="Segoe UI" w:cs="Segoe UI"/>
          <w:sz w:val="18"/>
          <w:szCs w:val="18"/>
        </w:rPr>
      </w:pPr>
      <w:r w:rsidRPr="00C6607F">
        <w:rPr>
          <w:rFonts w:cs="Segoe UI"/>
        </w:rPr>
        <w:t>Cost per informal written complaint multiplied by the CTA’s number of informal written complaints. </w:t>
      </w:r>
    </w:p>
    <w:p w:rsidRPr="00437C39" w:rsidR="005971EA" w:rsidP="005971EA" w:rsidRDefault="005971EA" w14:paraId="04760D59" w14:textId="77777777">
      <w:pPr>
        <w:pStyle w:val="Tabletext"/>
        <w:jc w:val="left"/>
        <w:rPr>
          <w:sz w:val="24"/>
          <w:szCs w:val="32"/>
        </w:rPr>
      </w:pPr>
      <w:r w:rsidRPr="00437C39">
        <w:rPr>
          <w:sz w:val="24"/>
        </w:rPr>
        <w:t>For the 202</w:t>
      </w:r>
      <w:r>
        <w:rPr>
          <w:sz w:val="24"/>
        </w:rPr>
        <w:t xml:space="preserve">6 </w:t>
      </w:r>
      <w:r w:rsidRPr="00437C39">
        <w:rPr>
          <w:sz w:val="24"/>
        </w:rPr>
        <w:t xml:space="preserve">fee, </w:t>
      </w:r>
      <w:r w:rsidRPr="00437C39">
        <w:rPr>
          <w:rFonts w:cs="Segoe UI"/>
          <w:sz w:val="24"/>
        </w:rPr>
        <w:t xml:space="preserve">the cost per Phone Contact is </w:t>
      </w:r>
      <w:r w:rsidRPr="000B4704">
        <w:rPr>
          <w:sz w:val="24"/>
        </w:rPr>
        <w:t>$5.94</w:t>
      </w:r>
      <w:r w:rsidRPr="00437C39">
        <w:rPr>
          <w:rFonts w:cs="Segoe UI"/>
          <w:sz w:val="24"/>
        </w:rPr>
        <w:t xml:space="preserve">, and the cost per Informal Written Complaint is </w:t>
      </w:r>
      <w:r w:rsidRPr="000B4704">
        <w:rPr>
          <w:sz w:val="24"/>
          <w:szCs w:val="32"/>
        </w:rPr>
        <w:t>$189.52.</w:t>
      </w:r>
      <w:r>
        <w:rPr>
          <w:sz w:val="24"/>
          <w:szCs w:val="32"/>
        </w:rPr>
        <w:t xml:space="preserve"> </w:t>
      </w:r>
    </w:p>
    <w:p w:rsidRPr="00437C39" w:rsidR="0073339A" w:rsidP="005971EA" w:rsidRDefault="0073339A" w14:paraId="333100CE" w14:textId="77777777">
      <w:pPr>
        <w:pStyle w:val="Tabletext"/>
        <w:jc w:val="left"/>
        <w:rPr>
          <w:sz w:val="24"/>
          <w:szCs w:val="32"/>
        </w:rPr>
      </w:pPr>
    </w:p>
    <w:p w:rsidRPr="00055A9E" w:rsidR="005971EA" w:rsidP="0073339A" w:rsidRDefault="005971EA" w14:paraId="3FEAC834" w14:textId="77777777">
      <w:pPr>
        <w:pStyle w:val="Heading3"/>
        <w:rPr>
          <w:color w:val="1F497D" w:themeColor="text2"/>
        </w:rPr>
      </w:pPr>
      <w:bookmarkStart w:name="_Toc193374947" w:id="12"/>
      <w:r w:rsidRPr="00055A9E">
        <w:rPr>
          <w:color w:val="1F497D" w:themeColor="text2"/>
        </w:rPr>
        <w:t>Variable Costs: UEB</w:t>
      </w:r>
      <w:bookmarkEnd w:id="12"/>
    </w:p>
    <w:p w:rsidR="005971EA" w:rsidP="0073339A" w:rsidRDefault="005971EA" w14:paraId="3E391C88" w14:textId="0178CAFE">
      <w:pPr>
        <w:pStyle w:val="paragraph"/>
        <w:spacing w:before="0" w:beforeAutospacing="0"/>
      </w:pPr>
      <w:r w:rsidRPr="00135603">
        <w:t xml:space="preserve">The second factor in the Variable Fee is the cost of the investigation and citation programs conducted by the Utility Enforcement Branch. UEB staff </w:t>
      </w:r>
      <w:r>
        <w:t>are</w:t>
      </w:r>
      <w:r w:rsidRPr="00135603">
        <w:t xml:space="preserve"> responsible for</w:t>
      </w:r>
      <w:r w:rsidRPr="00135603" w:rsidDel="00B720CB">
        <w:t xml:space="preserve"> investigating</w:t>
      </w:r>
      <w:r w:rsidRPr="00135603">
        <w:t xml:space="preserve"> allegations</w:t>
      </w:r>
      <w:r w:rsidRPr="00135603" w:rsidDel="00B720CB">
        <w:t xml:space="preserve"> </w:t>
      </w:r>
      <w:r w:rsidRPr="00135603">
        <w:t>of unauthorized enrollment and identifying trends in complaints pursuant to Resolution UEB-003,</w:t>
      </w:r>
      <w:r w:rsidRPr="00135603">
        <w:rPr>
          <w:vertAlign w:val="superscript"/>
        </w:rPr>
        <w:footnoteReference w:id="39"/>
      </w:r>
      <w:r w:rsidRPr="00135603">
        <w:t xml:space="preserve"> issuing citations, and collecting fines. To calculate total UEB cost</w:t>
      </w:r>
      <w:r>
        <w:t>s</w:t>
      </w:r>
      <w:r w:rsidRPr="00135603">
        <w:t xml:space="preserve">, staff use the median salary and benefits for each </w:t>
      </w:r>
      <w:r w:rsidR="00DA1E33">
        <w:t xml:space="preserve">staff </w:t>
      </w:r>
      <w:r w:rsidRPr="00135603">
        <w:t>position</w:t>
      </w:r>
      <w:r>
        <w:t xml:space="preserve"> involved with the CTA program</w:t>
      </w:r>
      <w:r w:rsidRPr="00135603">
        <w:t xml:space="preserve"> multiplied by the percentage of time each person spent on CTA-related investigations in the preceding year</w:t>
      </w:r>
      <w:r w:rsidRPr="00135603">
        <w:rPr>
          <w:vertAlign w:val="superscript"/>
        </w:rPr>
        <w:footnoteReference w:id="40"/>
      </w:r>
      <w:r>
        <w:t xml:space="preserve"> as shown in Table 4 below. </w:t>
      </w:r>
    </w:p>
    <w:p w:rsidRPr="00135603" w:rsidR="005971EA" w:rsidP="005971EA" w:rsidRDefault="005971EA" w14:paraId="49FB3543" w14:textId="057156B3">
      <w:pPr>
        <w:pStyle w:val="paragraph"/>
      </w:pPr>
      <w:r>
        <w:t xml:space="preserve">In 2025, UEB assigned an additional PURA I to the CTA Program. Additionally, in order to keep up with the increased number of investigations, the percentage of staff time specifically dedicated to CTAs increased across senior analyst staff levels. </w:t>
      </w:r>
    </w:p>
    <w:p w:rsidRPr="00055A9E" w:rsidR="005971EA" w:rsidP="005971EA" w:rsidRDefault="005971EA" w14:paraId="453723E8" w14:textId="77777777">
      <w:pPr>
        <w:pStyle w:val="TableHead1"/>
        <w:rPr>
          <w:rFonts w:ascii="Century Gothic" w:hAnsi="Century Gothic"/>
        </w:rPr>
      </w:pPr>
      <w:r w:rsidRPr="00055A9E">
        <w:rPr>
          <w:rFonts w:ascii="Century Gothic" w:hAnsi="Century Gothic"/>
        </w:rPr>
        <w:lastRenderedPageBreak/>
        <w:t>Table 4: 2026 Variable Cost: UEB</w:t>
      </w:r>
    </w:p>
    <w:tbl>
      <w:tblPr>
        <w:tblW w:w="8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2790"/>
        <w:gridCol w:w="2070"/>
        <w:gridCol w:w="1620"/>
      </w:tblGrid>
      <w:tr w:rsidRPr="00135603" w:rsidR="005971EA" w14:paraId="1530B72F" w14:textId="77777777">
        <w:trPr>
          <w:trHeight w:val="894"/>
        </w:trPr>
        <w:tc>
          <w:tcPr>
            <w:tcW w:w="2332" w:type="dxa"/>
            <w:tcBorders>
              <w:top w:val="single" w:color="auto" w:sz="6" w:space="0"/>
              <w:left w:val="single" w:color="auto" w:sz="6" w:space="0"/>
              <w:bottom w:val="single" w:color="auto" w:sz="6" w:space="0"/>
              <w:right w:val="single" w:color="auto" w:sz="6" w:space="0"/>
            </w:tcBorders>
            <w:vAlign w:val="center"/>
            <w:hideMark/>
          </w:tcPr>
          <w:p w:rsidRPr="00B33870" w:rsidR="005971EA" w:rsidRDefault="005971EA" w14:paraId="6F694994" w14:textId="77777777">
            <w:pPr>
              <w:pStyle w:val="Tabletext"/>
              <w:jc w:val="center"/>
              <w:rPr>
                <w:rFonts w:cs="Calibri"/>
                <w:b/>
                <w:bCs w:val="0"/>
                <w:sz w:val="24"/>
                <w:highlight w:val="yellow"/>
              </w:rPr>
            </w:pPr>
            <w:r w:rsidRPr="00B2046D">
              <w:rPr>
                <w:rFonts w:cs="Calibri"/>
                <w:b/>
                <w:bCs w:val="0"/>
                <w:sz w:val="24"/>
              </w:rPr>
              <w:t>Position</w:t>
            </w:r>
          </w:p>
        </w:tc>
        <w:tc>
          <w:tcPr>
            <w:tcW w:w="2790" w:type="dxa"/>
            <w:tcBorders>
              <w:top w:val="single" w:color="auto" w:sz="6" w:space="0"/>
              <w:left w:val="nil"/>
              <w:bottom w:val="single" w:color="auto" w:sz="6" w:space="0"/>
              <w:right w:val="single" w:color="auto" w:sz="6" w:space="0"/>
            </w:tcBorders>
            <w:vAlign w:val="center"/>
            <w:hideMark/>
          </w:tcPr>
          <w:p w:rsidRPr="00B33870" w:rsidR="005971EA" w:rsidRDefault="005971EA" w14:paraId="3538ABDA" w14:textId="77777777">
            <w:pPr>
              <w:pStyle w:val="Tabletext"/>
              <w:jc w:val="center"/>
              <w:rPr>
                <w:rFonts w:cs="Calibri"/>
                <w:b/>
                <w:bCs w:val="0"/>
                <w:sz w:val="24"/>
                <w:highlight w:val="yellow"/>
              </w:rPr>
            </w:pPr>
            <w:r w:rsidRPr="00B2046D">
              <w:rPr>
                <w:rFonts w:cs="Calibri"/>
                <w:b/>
                <w:bCs w:val="0"/>
                <w:sz w:val="24"/>
              </w:rPr>
              <w:t>Median Annual Salary + Benefits</w:t>
            </w:r>
          </w:p>
        </w:tc>
        <w:tc>
          <w:tcPr>
            <w:tcW w:w="2070" w:type="dxa"/>
            <w:tcBorders>
              <w:top w:val="single" w:color="auto" w:sz="6" w:space="0"/>
              <w:left w:val="nil"/>
              <w:bottom w:val="single" w:color="auto" w:sz="6" w:space="0"/>
              <w:right w:val="single" w:color="auto" w:sz="6" w:space="0"/>
            </w:tcBorders>
            <w:vAlign w:val="center"/>
            <w:hideMark/>
          </w:tcPr>
          <w:p w:rsidRPr="00B33870" w:rsidR="005971EA" w:rsidRDefault="005971EA" w14:paraId="5A25920D" w14:textId="77777777">
            <w:pPr>
              <w:pStyle w:val="Tabletext"/>
              <w:jc w:val="center"/>
              <w:rPr>
                <w:rFonts w:cs="Calibri"/>
                <w:b/>
                <w:bCs w:val="0"/>
                <w:sz w:val="24"/>
                <w:highlight w:val="yellow"/>
              </w:rPr>
            </w:pPr>
            <w:r w:rsidRPr="00B2046D">
              <w:rPr>
                <w:rFonts w:cs="Calibri"/>
                <w:b/>
                <w:bCs w:val="0"/>
                <w:sz w:val="24"/>
              </w:rPr>
              <w:t>% Time on CTAs</w:t>
            </w:r>
          </w:p>
        </w:tc>
        <w:tc>
          <w:tcPr>
            <w:tcW w:w="1620" w:type="dxa"/>
            <w:tcBorders>
              <w:top w:val="single" w:color="auto" w:sz="6" w:space="0"/>
              <w:left w:val="nil"/>
              <w:bottom w:val="single" w:color="auto" w:sz="6" w:space="0"/>
              <w:right w:val="single" w:color="auto" w:sz="6" w:space="0"/>
            </w:tcBorders>
            <w:vAlign w:val="center"/>
            <w:hideMark/>
          </w:tcPr>
          <w:p w:rsidRPr="00B33870" w:rsidR="005971EA" w:rsidRDefault="005971EA" w14:paraId="6E60DDFA" w14:textId="77777777">
            <w:pPr>
              <w:pStyle w:val="Tabletext"/>
              <w:jc w:val="center"/>
              <w:rPr>
                <w:rFonts w:cs="Calibri"/>
                <w:b/>
                <w:bCs w:val="0"/>
                <w:sz w:val="24"/>
                <w:highlight w:val="yellow"/>
              </w:rPr>
            </w:pPr>
            <w:r w:rsidRPr="00B2046D">
              <w:rPr>
                <w:rFonts w:cs="Calibri"/>
                <w:b/>
                <w:bCs w:val="0"/>
                <w:sz w:val="24"/>
              </w:rPr>
              <w:t>CTA Cost</w:t>
            </w:r>
          </w:p>
        </w:tc>
      </w:tr>
      <w:tr w:rsidRPr="00135603" w:rsidR="005971EA" w14:paraId="7A1422F7"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08F04731" w14:textId="77777777">
            <w:pPr>
              <w:pStyle w:val="Tabletext"/>
              <w:jc w:val="left"/>
              <w:rPr>
                <w:rFonts w:cs="Calibri"/>
                <w:sz w:val="24"/>
                <w:highlight w:val="yellow"/>
              </w:rPr>
            </w:pPr>
            <w:r w:rsidRPr="002D5BE7">
              <w:rPr>
                <w:rFonts w:cs="Calibri"/>
                <w:sz w:val="24"/>
              </w:rPr>
              <w:t>PM</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04E7D05C" w14:textId="77777777">
            <w:pPr>
              <w:pStyle w:val="Tabletext"/>
              <w:jc w:val="right"/>
              <w:rPr>
                <w:rFonts w:cs="Calibri"/>
                <w:sz w:val="24"/>
                <w:highlight w:val="yellow"/>
              </w:rPr>
            </w:pPr>
            <w:r w:rsidRPr="002D5BE7">
              <w:rPr>
                <w:rFonts w:cs="Calibri"/>
                <w:sz w:val="24"/>
              </w:rPr>
              <w:t>$291,390.15</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C311DAE" w14:textId="77777777">
            <w:pPr>
              <w:pStyle w:val="Tabletext"/>
              <w:jc w:val="right"/>
              <w:rPr>
                <w:rFonts w:cs="Calibri"/>
                <w:sz w:val="24"/>
                <w:highlight w:val="yellow"/>
              </w:rPr>
            </w:pPr>
            <w:r w:rsidRPr="00064D6A">
              <w:rPr>
                <w:rFonts w:cs="Calibri"/>
                <w:sz w:val="24"/>
              </w:rPr>
              <w:t>20%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134C8843" w14:textId="3506CD2A">
            <w:pPr>
              <w:pStyle w:val="Tabletext"/>
              <w:jc w:val="right"/>
              <w:rPr>
                <w:rFonts w:cs="Calibri"/>
                <w:sz w:val="24"/>
                <w:szCs w:val="32"/>
                <w:highlight w:val="yellow"/>
              </w:rPr>
            </w:pPr>
            <w:r w:rsidRPr="00B079E9">
              <w:rPr>
                <w:sz w:val="24"/>
                <w:szCs w:val="32"/>
              </w:rPr>
              <w:t>$58,278</w:t>
            </w:r>
            <w:r w:rsidR="00C80B99">
              <w:rPr>
                <w:sz w:val="24"/>
                <w:szCs w:val="32"/>
              </w:rPr>
              <w:t>.03</w:t>
            </w:r>
          </w:p>
        </w:tc>
      </w:tr>
      <w:tr w:rsidRPr="00135603" w:rsidR="005971EA" w14:paraId="21F1CEE3"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718E5982" w14:textId="77777777">
            <w:pPr>
              <w:pStyle w:val="Tabletext"/>
              <w:jc w:val="left"/>
              <w:rPr>
                <w:rFonts w:cs="Calibri"/>
                <w:sz w:val="24"/>
                <w:highlight w:val="yellow"/>
              </w:rPr>
            </w:pPr>
            <w:r w:rsidRPr="002D5BE7">
              <w:rPr>
                <w:rFonts w:cs="Calibri"/>
                <w:sz w:val="24"/>
              </w:rPr>
              <w:t>PPS</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7D0CD31F" w14:textId="77777777">
            <w:pPr>
              <w:pStyle w:val="Tabletext"/>
              <w:jc w:val="right"/>
              <w:rPr>
                <w:rFonts w:cs="Calibri"/>
                <w:sz w:val="24"/>
                <w:highlight w:val="yellow"/>
              </w:rPr>
            </w:pPr>
            <w:r w:rsidRPr="002D5BE7">
              <w:rPr>
                <w:rFonts w:cs="Calibri"/>
                <w:sz w:val="24"/>
              </w:rPr>
              <w:t>$252,848.67</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700C590D" w14:textId="77777777">
            <w:pPr>
              <w:pStyle w:val="Tabletext"/>
              <w:jc w:val="right"/>
              <w:rPr>
                <w:rFonts w:cs="Calibri"/>
                <w:sz w:val="24"/>
                <w:highlight w:val="yellow"/>
              </w:rPr>
            </w:pPr>
            <w:r w:rsidRPr="00266DD8">
              <w:rPr>
                <w:rFonts w:cs="Calibri"/>
                <w:sz w:val="24"/>
              </w:rPr>
              <w:t>30%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24C12D41" w14:textId="056738E4">
            <w:pPr>
              <w:pStyle w:val="Tabletext"/>
              <w:jc w:val="right"/>
              <w:rPr>
                <w:rFonts w:cs="Calibri"/>
                <w:sz w:val="24"/>
                <w:szCs w:val="32"/>
                <w:highlight w:val="yellow"/>
              </w:rPr>
            </w:pPr>
            <w:r w:rsidRPr="00B079E9">
              <w:rPr>
                <w:sz w:val="24"/>
                <w:szCs w:val="32"/>
              </w:rPr>
              <w:t>$75,85</w:t>
            </w:r>
            <w:r w:rsidR="006D4D85">
              <w:rPr>
                <w:sz w:val="24"/>
                <w:szCs w:val="32"/>
              </w:rPr>
              <w:t xml:space="preserve">4.60 </w:t>
            </w:r>
          </w:p>
        </w:tc>
      </w:tr>
      <w:tr w:rsidRPr="00135603" w:rsidR="005971EA" w14:paraId="26CFAA50"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549A9DC0" w14:textId="77777777">
            <w:pPr>
              <w:pStyle w:val="Tabletext"/>
              <w:jc w:val="left"/>
              <w:rPr>
                <w:rFonts w:cs="Calibri"/>
                <w:sz w:val="24"/>
                <w:highlight w:val="yellow"/>
              </w:rPr>
            </w:pPr>
            <w:r w:rsidRPr="002D5BE7">
              <w:rPr>
                <w:rFonts w:cs="Calibri"/>
                <w:sz w:val="24"/>
              </w:rPr>
              <w:t>PURA V</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AA2ACEF" w14:textId="77777777">
            <w:pPr>
              <w:pStyle w:val="Tabletext"/>
              <w:jc w:val="right"/>
              <w:rPr>
                <w:rFonts w:cs="Calibri"/>
                <w:sz w:val="24"/>
                <w:highlight w:val="yellow"/>
              </w:rPr>
            </w:pPr>
            <w:r w:rsidRPr="0078272D">
              <w:rPr>
                <w:rFonts w:cs="Calibri"/>
                <w:sz w:val="24"/>
              </w:rPr>
              <w:t>$191,956.13</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5DD13306" w14:textId="77777777">
            <w:pPr>
              <w:pStyle w:val="Tabletext"/>
              <w:jc w:val="right"/>
              <w:rPr>
                <w:rFonts w:cs="Calibri"/>
                <w:sz w:val="24"/>
                <w:highlight w:val="yellow"/>
              </w:rPr>
            </w:pPr>
            <w:r w:rsidRPr="00266DD8">
              <w:rPr>
                <w:rFonts w:cs="Calibri"/>
                <w:sz w:val="24"/>
              </w:rPr>
              <w:t>15%</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3D9F6417" w14:textId="6B2AFC2E">
            <w:pPr>
              <w:pStyle w:val="Tabletext"/>
              <w:jc w:val="right"/>
              <w:rPr>
                <w:rFonts w:cs="Calibri"/>
                <w:sz w:val="24"/>
                <w:szCs w:val="32"/>
                <w:highlight w:val="yellow"/>
              </w:rPr>
            </w:pPr>
            <w:r w:rsidRPr="00B079E9">
              <w:rPr>
                <w:sz w:val="24"/>
                <w:szCs w:val="32"/>
              </w:rPr>
              <w:t>$28,793</w:t>
            </w:r>
            <w:r w:rsidR="00C06A6C">
              <w:rPr>
                <w:sz w:val="24"/>
                <w:szCs w:val="32"/>
              </w:rPr>
              <w:t>.42</w:t>
            </w:r>
          </w:p>
        </w:tc>
      </w:tr>
      <w:tr w:rsidRPr="00135603" w:rsidR="005971EA" w14:paraId="072143D1"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07C57E61" w14:textId="77777777">
            <w:pPr>
              <w:pStyle w:val="Tabletext"/>
              <w:jc w:val="left"/>
              <w:rPr>
                <w:rFonts w:cs="Calibri"/>
                <w:sz w:val="24"/>
                <w:highlight w:val="yellow"/>
              </w:rPr>
            </w:pPr>
            <w:r w:rsidRPr="002D5BE7">
              <w:rPr>
                <w:rFonts w:cs="Calibri"/>
                <w:sz w:val="24"/>
              </w:rPr>
              <w:t>PURA IV</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3E8E155F" w14:textId="77777777">
            <w:pPr>
              <w:pStyle w:val="Tabletext"/>
              <w:jc w:val="right"/>
              <w:rPr>
                <w:rFonts w:cs="Calibri"/>
                <w:sz w:val="24"/>
                <w:highlight w:val="yellow"/>
              </w:rPr>
            </w:pPr>
            <w:r w:rsidRPr="0078272D">
              <w:rPr>
                <w:rFonts w:cs="Calibri"/>
                <w:sz w:val="24"/>
              </w:rPr>
              <w:t>$174,732.67</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6BD6B7F3" w14:textId="77777777">
            <w:pPr>
              <w:pStyle w:val="Tabletext"/>
              <w:jc w:val="right"/>
              <w:rPr>
                <w:rFonts w:cs="Calibri"/>
                <w:sz w:val="24"/>
                <w:highlight w:val="yellow"/>
              </w:rPr>
            </w:pPr>
            <w:r>
              <w:rPr>
                <w:rFonts w:cs="Calibri"/>
                <w:sz w:val="24"/>
              </w:rPr>
              <w:t>4</w:t>
            </w:r>
            <w:r w:rsidRPr="00266DD8">
              <w:rPr>
                <w:rFonts w:cs="Calibri"/>
                <w:sz w:val="24"/>
              </w:rPr>
              <w:t>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275BC856" w14:textId="3D6B616A">
            <w:pPr>
              <w:pStyle w:val="Tabletext"/>
              <w:jc w:val="right"/>
              <w:rPr>
                <w:rFonts w:cs="Calibri"/>
                <w:sz w:val="24"/>
                <w:szCs w:val="32"/>
                <w:highlight w:val="yellow"/>
              </w:rPr>
            </w:pPr>
            <w:r w:rsidRPr="00B079E9">
              <w:rPr>
                <w:sz w:val="24"/>
                <w:szCs w:val="32"/>
              </w:rPr>
              <w:t>$</w:t>
            </w:r>
            <w:r>
              <w:rPr>
                <w:sz w:val="24"/>
                <w:szCs w:val="32"/>
              </w:rPr>
              <w:t>69,893</w:t>
            </w:r>
            <w:r w:rsidR="00B97AEC">
              <w:rPr>
                <w:sz w:val="24"/>
                <w:szCs w:val="32"/>
              </w:rPr>
              <w:t>.07</w:t>
            </w:r>
          </w:p>
        </w:tc>
      </w:tr>
      <w:tr w:rsidRPr="00135603" w:rsidR="005971EA" w14:paraId="4822B2B8"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223361B9" w14:textId="77777777">
            <w:pPr>
              <w:pStyle w:val="Tabletext"/>
              <w:jc w:val="left"/>
              <w:rPr>
                <w:rFonts w:cs="Calibri"/>
                <w:sz w:val="24"/>
                <w:highlight w:val="yellow"/>
              </w:rPr>
            </w:pPr>
            <w:r w:rsidRPr="002D5BE7">
              <w:rPr>
                <w:rFonts w:cs="Calibri"/>
                <w:sz w:val="24"/>
              </w:rPr>
              <w:t>PURA III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838C3E9" w14:textId="77777777">
            <w:pPr>
              <w:pStyle w:val="Tabletext"/>
              <w:jc w:val="right"/>
              <w:rPr>
                <w:rFonts w:cs="Calibri"/>
                <w:sz w:val="24"/>
                <w:highlight w:val="yellow"/>
              </w:rPr>
            </w:pPr>
            <w:r w:rsidRPr="0078272D">
              <w:rPr>
                <w:rFonts w:cs="Calibri"/>
                <w:sz w:val="24"/>
              </w:rPr>
              <w:t>$159,105.71</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4C082FC" w14:textId="77777777">
            <w:pPr>
              <w:pStyle w:val="Tabletext"/>
              <w:jc w:val="right"/>
              <w:rPr>
                <w:rFonts w:cs="Calibri"/>
                <w:sz w:val="24"/>
                <w:highlight w:val="yellow"/>
              </w:rPr>
            </w:pPr>
            <w:r>
              <w:rPr>
                <w:rFonts w:cs="Calibri"/>
                <w:sz w:val="24"/>
              </w:rPr>
              <w:t>5</w:t>
            </w:r>
            <w:r w:rsidRPr="00266DD8">
              <w:rPr>
                <w:rFonts w:cs="Calibri"/>
                <w:sz w:val="24"/>
              </w:rPr>
              <w:t>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086DC003" w14:textId="45D94DAF">
            <w:pPr>
              <w:pStyle w:val="Tabletext"/>
              <w:jc w:val="right"/>
              <w:rPr>
                <w:sz w:val="24"/>
                <w:szCs w:val="32"/>
              </w:rPr>
            </w:pPr>
            <w:r w:rsidRPr="00B079E9">
              <w:rPr>
                <w:sz w:val="24"/>
                <w:szCs w:val="32"/>
              </w:rPr>
              <w:t>$</w:t>
            </w:r>
            <w:r>
              <w:rPr>
                <w:sz w:val="24"/>
                <w:szCs w:val="32"/>
              </w:rPr>
              <w:t>79,55</w:t>
            </w:r>
            <w:r w:rsidR="00585968">
              <w:rPr>
                <w:sz w:val="24"/>
                <w:szCs w:val="32"/>
              </w:rPr>
              <w:t>2</w:t>
            </w:r>
            <w:r w:rsidR="00DB1F9B">
              <w:rPr>
                <w:sz w:val="24"/>
                <w:szCs w:val="32"/>
              </w:rPr>
              <w:t>.86</w:t>
            </w:r>
          </w:p>
          <w:p w:rsidRPr="00266DD8" w:rsidR="005971EA" w:rsidP="00BD45D4" w:rsidRDefault="005971EA" w14:paraId="756BEAFC" w14:textId="77777777">
            <w:pPr>
              <w:pStyle w:val="Tabletext"/>
              <w:jc w:val="right"/>
              <w:rPr>
                <w:rFonts w:cs="Calibri"/>
                <w:sz w:val="24"/>
                <w:szCs w:val="32"/>
                <w:highlight w:val="yellow"/>
              </w:rPr>
            </w:pPr>
          </w:p>
        </w:tc>
      </w:tr>
      <w:tr w:rsidRPr="00135603" w:rsidR="005971EA" w14:paraId="5E73F3AB" w14:textId="77777777">
        <w:trPr>
          <w:trHeight w:val="300"/>
        </w:trPr>
        <w:tc>
          <w:tcPr>
            <w:tcW w:w="2332" w:type="dxa"/>
            <w:tcBorders>
              <w:top w:val="nil"/>
              <w:left w:val="single" w:color="auto" w:sz="6" w:space="0"/>
              <w:bottom w:val="single" w:color="auto" w:sz="6" w:space="0"/>
              <w:right w:val="single" w:color="auto" w:sz="6" w:space="0"/>
            </w:tcBorders>
          </w:tcPr>
          <w:p w:rsidRPr="00266DD8" w:rsidR="005971EA" w:rsidP="00BD45D4" w:rsidRDefault="005971EA" w14:paraId="762F0958" w14:textId="77777777">
            <w:pPr>
              <w:pStyle w:val="Tabletext"/>
              <w:jc w:val="left"/>
              <w:rPr>
                <w:rFonts w:cs="Calibri"/>
                <w:sz w:val="24"/>
                <w:highlight w:val="yellow"/>
              </w:rPr>
            </w:pPr>
            <w:r w:rsidRPr="002D5BE7">
              <w:rPr>
                <w:rFonts w:cs="Calibri"/>
                <w:sz w:val="24"/>
              </w:rPr>
              <w:t>PURA III</w:t>
            </w:r>
          </w:p>
        </w:tc>
        <w:tc>
          <w:tcPr>
            <w:tcW w:w="279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5866045" w14:textId="77777777">
            <w:pPr>
              <w:pStyle w:val="Tabletext"/>
              <w:jc w:val="right"/>
              <w:rPr>
                <w:rFonts w:cs="Calibri"/>
                <w:sz w:val="24"/>
                <w:highlight w:val="yellow"/>
              </w:rPr>
            </w:pPr>
            <w:r w:rsidRPr="0078272D">
              <w:rPr>
                <w:rFonts w:cs="Calibri"/>
                <w:sz w:val="24"/>
              </w:rPr>
              <w:t>$159,105.71</w:t>
            </w:r>
          </w:p>
        </w:tc>
        <w:tc>
          <w:tcPr>
            <w:tcW w:w="207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F27EEBE" w14:textId="77777777">
            <w:pPr>
              <w:pStyle w:val="Tabletext"/>
              <w:jc w:val="right"/>
              <w:rPr>
                <w:rFonts w:cs="Calibri"/>
                <w:sz w:val="24"/>
                <w:highlight w:val="yellow"/>
              </w:rPr>
            </w:pPr>
            <w:r w:rsidRPr="00266DD8">
              <w:rPr>
                <w:rFonts w:cs="Calibri"/>
                <w:sz w:val="24"/>
              </w:rPr>
              <w:t>60%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09FEA0EE" w14:textId="783619EF">
            <w:pPr>
              <w:pStyle w:val="Tabletext"/>
              <w:jc w:val="right"/>
              <w:rPr>
                <w:sz w:val="24"/>
                <w:szCs w:val="32"/>
              </w:rPr>
            </w:pPr>
            <w:r w:rsidRPr="00B079E9">
              <w:rPr>
                <w:sz w:val="24"/>
                <w:szCs w:val="32"/>
              </w:rPr>
              <w:t>$</w:t>
            </w:r>
            <w:r>
              <w:rPr>
                <w:sz w:val="24"/>
                <w:szCs w:val="32"/>
              </w:rPr>
              <w:t>95,463</w:t>
            </w:r>
            <w:r w:rsidR="00320753">
              <w:rPr>
                <w:sz w:val="24"/>
                <w:szCs w:val="32"/>
              </w:rPr>
              <w:t>.43</w:t>
            </w:r>
          </w:p>
          <w:p w:rsidRPr="00266DD8" w:rsidR="005971EA" w:rsidP="00BD45D4" w:rsidRDefault="005971EA" w14:paraId="08707CE4" w14:textId="77777777">
            <w:pPr>
              <w:pStyle w:val="Tabletext"/>
              <w:jc w:val="right"/>
              <w:rPr>
                <w:rFonts w:cs="Calibri"/>
                <w:sz w:val="24"/>
                <w:szCs w:val="32"/>
                <w:highlight w:val="yellow"/>
              </w:rPr>
            </w:pPr>
          </w:p>
        </w:tc>
      </w:tr>
      <w:tr w:rsidRPr="00135603" w:rsidR="005971EA" w14:paraId="0F2C1D2C"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2157D3D8" w14:textId="77777777">
            <w:pPr>
              <w:pStyle w:val="Tabletext"/>
              <w:jc w:val="left"/>
              <w:rPr>
                <w:rFonts w:cs="Calibri"/>
                <w:sz w:val="24"/>
                <w:highlight w:val="yellow"/>
              </w:rPr>
            </w:pPr>
            <w:r w:rsidRPr="002D5BE7">
              <w:rPr>
                <w:rFonts w:cs="Calibri"/>
                <w:sz w:val="24"/>
              </w:rPr>
              <w:t>PURA II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166CE73" w14:textId="77777777">
            <w:pPr>
              <w:pStyle w:val="Tabletext"/>
              <w:jc w:val="right"/>
              <w:rPr>
                <w:rFonts w:cs="Calibri"/>
                <w:sz w:val="24"/>
                <w:highlight w:val="yellow"/>
              </w:rPr>
            </w:pPr>
            <w:r w:rsidRPr="0078272D">
              <w:rPr>
                <w:rFonts w:cs="Calibri"/>
                <w:sz w:val="24"/>
              </w:rPr>
              <w:t>$142,304.85</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00AE879" w14:textId="77777777">
            <w:pPr>
              <w:pStyle w:val="Tabletext"/>
              <w:jc w:val="right"/>
              <w:rPr>
                <w:rFonts w:cs="Calibri"/>
                <w:sz w:val="24"/>
                <w:highlight w:val="yellow"/>
              </w:rPr>
            </w:pPr>
            <w:r w:rsidRPr="00266DD8">
              <w:rPr>
                <w:rFonts w:cs="Calibri"/>
                <w:sz w:val="24"/>
              </w:rPr>
              <w:t>20%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5D852380" w14:textId="025F4E9E">
            <w:pPr>
              <w:pStyle w:val="Tabletext"/>
              <w:jc w:val="right"/>
              <w:rPr>
                <w:sz w:val="24"/>
                <w:szCs w:val="32"/>
              </w:rPr>
            </w:pPr>
            <w:r w:rsidRPr="00B079E9">
              <w:rPr>
                <w:sz w:val="24"/>
                <w:szCs w:val="32"/>
              </w:rPr>
              <w:t>$</w:t>
            </w:r>
            <w:r>
              <w:rPr>
                <w:sz w:val="24"/>
                <w:szCs w:val="32"/>
              </w:rPr>
              <w:t>28,46</w:t>
            </w:r>
            <w:r w:rsidR="00F06CB8">
              <w:rPr>
                <w:sz w:val="24"/>
                <w:szCs w:val="32"/>
              </w:rPr>
              <w:t>0.97</w:t>
            </w:r>
          </w:p>
          <w:p w:rsidRPr="00266DD8" w:rsidR="005971EA" w:rsidP="00BD45D4" w:rsidRDefault="005971EA" w14:paraId="57AFD285" w14:textId="77777777">
            <w:pPr>
              <w:pStyle w:val="Tabletext"/>
              <w:jc w:val="right"/>
              <w:rPr>
                <w:rFonts w:cs="Calibri"/>
                <w:sz w:val="24"/>
                <w:szCs w:val="32"/>
                <w:highlight w:val="yellow"/>
              </w:rPr>
            </w:pPr>
          </w:p>
        </w:tc>
      </w:tr>
      <w:tr w:rsidRPr="00135603" w:rsidR="005971EA" w14:paraId="58696F27" w14:textId="77777777">
        <w:trPr>
          <w:trHeight w:val="300"/>
        </w:trPr>
        <w:tc>
          <w:tcPr>
            <w:tcW w:w="2332" w:type="dxa"/>
            <w:tcBorders>
              <w:top w:val="nil"/>
              <w:left w:val="single" w:color="auto" w:sz="6" w:space="0"/>
              <w:bottom w:val="single" w:color="auto" w:sz="6" w:space="0"/>
              <w:right w:val="single" w:color="auto" w:sz="6" w:space="0"/>
            </w:tcBorders>
          </w:tcPr>
          <w:p w:rsidRPr="002D5BE7" w:rsidR="005971EA" w:rsidP="00BD45D4" w:rsidRDefault="005971EA" w14:paraId="2A67E732" w14:textId="77777777">
            <w:pPr>
              <w:pStyle w:val="Tabletext"/>
              <w:jc w:val="left"/>
              <w:rPr>
                <w:rFonts w:cs="Calibri"/>
                <w:sz w:val="24"/>
              </w:rPr>
            </w:pPr>
            <w:r w:rsidRPr="002D5BE7">
              <w:rPr>
                <w:rFonts w:cs="Calibri"/>
                <w:sz w:val="24"/>
              </w:rPr>
              <w:t>PURA I</w:t>
            </w:r>
          </w:p>
        </w:tc>
        <w:tc>
          <w:tcPr>
            <w:tcW w:w="2790" w:type="dxa"/>
            <w:tcBorders>
              <w:top w:val="nil"/>
              <w:left w:val="nil"/>
              <w:bottom w:val="single" w:color="auto" w:sz="6" w:space="0"/>
              <w:right w:val="single" w:color="auto" w:sz="6" w:space="0"/>
            </w:tcBorders>
            <w:tcMar>
              <w:right w:w="144" w:type="dxa"/>
            </w:tcMar>
            <w:vAlign w:val="center"/>
          </w:tcPr>
          <w:p w:rsidRPr="002D5BE7" w:rsidR="005971EA" w:rsidP="00BD45D4" w:rsidRDefault="005971EA" w14:paraId="6F1D2434" w14:textId="77777777">
            <w:pPr>
              <w:pStyle w:val="Tabletext"/>
              <w:jc w:val="right"/>
              <w:rPr>
                <w:rFonts w:cs="Calibri"/>
                <w:sz w:val="24"/>
                <w:highlight w:val="yellow"/>
              </w:rPr>
            </w:pPr>
            <w:r w:rsidRPr="00266DD8">
              <w:rPr>
                <w:rFonts w:cs="Calibri"/>
                <w:sz w:val="24"/>
              </w:rPr>
              <w:t>$120,244.92</w:t>
            </w:r>
          </w:p>
        </w:tc>
        <w:tc>
          <w:tcPr>
            <w:tcW w:w="2070" w:type="dxa"/>
            <w:tcBorders>
              <w:top w:val="nil"/>
              <w:left w:val="nil"/>
              <w:bottom w:val="single" w:color="auto" w:sz="6" w:space="0"/>
              <w:right w:val="single" w:color="auto" w:sz="6" w:space="0"/>
            </w:tcBorders>
            <w:tcMar>
              <w:right w:w="144" w:type="dxa"/>
            </w:tcMar>
            <w:vAlign w:val="center"/>
          </w:tcPr>
          <w:p w:rsidRPr="002D5BE7" w:rsidR="005971EA" w:rsidP="00BD45D4" w:rsidRDefault="005971EA" w14:paraId="4C02E430" w14:textId="77777777">
            <w:pPr>
              <w:pStyle w:val="Tabletext"/>
              <w:jc w:val="right"/>
              <w:rPr>
                <w:rFonts w:cs="Calibri"/>
                <w:sz w:val="24"/>
                <w:highlight w:val="yellow"/>
              </w:rPr>
            </w:pPr>
            <w:r w:rsidRPr="00266DD8">
              <w:rPr>
                <w:rFonts w:cs="Calibri"/>
                <w:sz w:val="24"/>
              </w:rPr>
              <w:t>70%</w:t>
            </w:r>
          </w:p>
        </w:tc>
        <w:tc>
          <w:tcPr>
            <w:tcW w:w="1620" w:type="dxa"/>
            <w:tcBorders>
              <w:top w:val="nil"/>
              <w:left w:val="nil"/>
              <w:bottom w:val="single" w:color="auto" w:sz="6" w:space="0"/>
              <w:right w:val="single" w:color="auto" w:sz="6" w:space="0"/>
            </w:tcBorders>
            <w:tcMar>
              <w:right w:w="144" w:type="dxa"/>
            </w:tcMar>
          </w:tcPr>
          <w:p w:rsidRPr="002D5BE7" w:rsidR="005971EA" w:rsidP="00BD45D4" w:rsidRDefault="005971EA" w14:paraId="25F8E4AC" w14:textId="1B895E6B">
            <w:pPr>
              <w:pStyle w:val="Tabletext"/>
              <w:jc w:val="right"/>
              <w:rPr>
                <w:sz w:val="24"/>
                <w:szCs w:val="32"/>
                <w:highlight w:val="yellow"/>
              </w:rPr>
            </w:pPr>
            <w:r w:rsidRPr="00B079E9">
              <w:rPr>
                <w:sz w:val="24"/>
                <w:szCs w:val="32"/>
              </w:rPr>
              <w:t>$84,171</w:t>
            </w:r>
            <w:r w:rsidR="00780671">
              <w:rPr>
                <w:sz w:val="24"/>
                <w:szCs w:val="32"/>
              </w:rPr>
              <w:t>.44</w:t>
            </w:r>
          </w:p>
        </w:tc>
      </w:tr>
      <w:tr w:rsidRPr="00135603" w:rsidR="005971EA" w14:paraId="632A09C4"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5FDA0EBF" w14:textId="77777777">
            <w:pPr>
              <w:pStyle w:val="Tabletext"/>
              <w:jc w:val="left"/>
              <w:rPr>
                <w:rFonts w:cs="Calibri"/>
                <w:sz w:val="24"/>
                <w:highlight w:val="yellow"/>
              </w:rPr>
            </w:pPr>
            <w:r w:rsidRPr="002D5BE7">
              <w:rPr>
                <w:rFonts w:cs="Calibri"/>
                <w:sz w:val="24"/>
              </w:rPr>
              <w:t>PURA 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B749E96" w14:textId="77777777">
            <w:pPr>
              <w:pStyle w:val="Tabletext"/>
              <w:jc w:val="right"/>
              <w:rPr>
                <w:rFonts w:cs="Calibri"/>
                <w:sz w:val="24"/>
                <w:highlight w:val="yellow"/>
              </w:rPr>
            </w:pPr>
            <w:r w:rsidRPr="00266DD8">
              <w:rPr>
                <w:rFonts w:cs="Calibri"/>
                <w:sz w:val="24"/>
              </w:rPr>
              <w:t>$120,244.92</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53F4BB3B" w14:textId="77777777">
            <w:pPr>
              <w:pStyle w:val="Tabletext"/>
              <w:jc w:val="right"/>
              <w:rPr>
                <w:rFonts w:cs="Calibri"/>
                <w:sz w:val="24"/>
                <w:highlight w:val="yellow"/>
              </w:rPr>
            </w:pPr>
            <w:r w:rsidRPr="00266DD8">
              <w:rPr>
                <w:rFonts w:cs="Calibri"/>
                <w:sz w:val="24"/>
              </w:rPr>
              <w:t>70%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6EBF9EFF" w14:textId="4980ADBF">
            <w:pPr>
              <w:pStyle w:val="Tabletext"/>
              <w:jc w:val="right"/>
              <w:rPr>
                <w:sz w:val="24"/>
                <w:szCs w:val="32"/>
              </w:rPr>
            </w:pPr>
            <w:r w:rsidRPr="00B079E9">
              <w:rPr>
                <w:sz w:val="24"/>
                <w:szCs w:val="32"/>
              </w:rPr>
              <w:t>$</w:t>
            </w:r>
            <w:r>
              <w:rPr>
                <w:sz w:val="24"/>
                <w:szCs w:val="32"/>
              </w:rPr>
              <w:t>84,171</w:t>
            </w:r>
            <w:r w:rsidR="00EE3044">
              <w:rPr>
                <w:sz w:val="24"/>
                <w:szCs w:val="32"/>
              </w:rPr>
              <w:t>.44</w:t>
            </w:r>
          </w:p>
          <w:p w:rsidRPr="00266DD8" w:rsidR="005971EA" w:rsidP="00BD45D4" w:rsidRDefault="005971EA" w14:paraId="4843914D" w14:textId="77777777">
            <w:pPr>
              <w:pStyle w:val="Tabletext"/>
              <w:jc w:val="right"/>
              <w:rPr>
                <w:rFonts w:cs="Calibri"/>
                <w:sz w:val="24"/>
                <w:szCs w:val="32"/>
                <w:highlight w:val="yellow"/>
              </w:rPr>
            </w:pPr>
          </w:p>
        </w:tc>
      </w:tr>
      <w:tr w:rsidRPr="00135603" w:rsidR="005971EA" w14:paraId="53091E0A" w14:textId="77777777">
        <w:trPr>
          <w:trHeight w:val="300"/>
        </w:trPr>
        <w:tc>
          <w:tcPr>
            <w:tcW w:w="2332" w:type="dxa"/>
            <w:tcBorders>
              <w:top w:val="nil"/>
              <w:left w:val="single" w:color="auto" w:sz="6" w:space="0"/>
              <w:bottom w:val="single" w:color="auto" w:sz="6" w:space="0"/>
              <w:right w:val="single" w:color="auto" w:sz="6" w:space="0"/>
            </w:tcBorders>
            <w:vAlign w:val="bottom"/>
            <w:hideMark/>
          </w:tcPr>
          <w:p w:rsidRPr="00266DD8" w:rsidR="005971EA" w:rsidP="00BD45D4" w:rsidRDefault="005971EA" w14:paraId="5EC59964" w14:textId="77777777">
            <w:pPr>
              <w:pStyle w:val="Tabletext"/>
              <w:jc w:val="left"/>
              <w:rPr>
                <w:rFonts w:cs="Calibri"/>
                <w:sz w:val="24"/>
                <w:highlight w:val="yellow"/>
              </w:rPr>
            </w:pPr>
            <w:r w:rsidRPr="002D5BE7">
              <w:rPr>
                <w:rFonts w:cs="Calibri"/>
                <w:sz w:val="24"/>
              </w:rPr>
              <w:t>Total</w:t>
            </w:r>
          </w:p>
        </w:tc>
        <w:tc>
          <w:tcPr>
            <w:tcW w:w="279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5D9A6E76" w14:textId="77777777">
            <w:pPr>
              <w:pStyle w:val="Tabletext"/>
              <w:jc w:val="right"/>
              <w:rPr>
                <w:rFonts w:cs="Calibri"/>
                <w:sz w:val="24"/>
                <w:highlight w:val="yellow"/>
              </w:rPr>
            </w:pPr>
          </w:p>
        </w:tc>
        <w:tc>
          <w:tcPr>
            <w:tcW w:w="207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88C9C9B" w14:textId="77777777">
            <w:pPr>
              <w:pStyle w:val="Tabletext"/>
              <w:jc w:val="right"/>
              <w:rPr>
                <w:rFonts w:cs="Calibri"/>
                <w:sz w:val="24"/>
                <w:highlight w:val="yellow"/>
              </w:rPr>
            </w:pP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1560A3D4" w14:textId="53EBBB84">
            <w:pPr>
              <w:pStyle w:val="Tabletext"/>
              <w:jc w:val="right"/>
              <w:rPr>
                <w:sz w:val="24"/>
                <w:szCs w:val="32"/>
              </w:rPr>
            </w:pPr>
            <w:r w:rsidRPr="00B079E9">
              <w:rPr>
                <w:sz w:val="24"/>
                <w:szCs w:val="32"/>
              </w:rPr>
              <w:t>$</w:t>
            </w:r>
            <w:r>
              <w:rPr>
                <w:sz w:val="24"/>
                <w:szCs w:val="32"/>
              </w:rPr>
              <w:t>604,639</w:t>
            </w:r>
            <w:r w:rsidR="00EE3044">
              <w:rPr>
                <w:sz w:val="24"/>
                <w:szCs w:val="32"/>
              </w:rPr>
              <w:t>.26</w:t>
            </w:r>
          </w:p>
          <w:p w:rsidRPr="00266DD8" w:rsidR="005971EA" w:rsidP="00BD45D4" w:rsidRDefault="005971EA" w14:paraId="3779B45D" w14:textId="77777777">
            <w:pPr>
              <w:pStyle w:val="Tabletext"/>
              <w:jc w:val="right"/>
              <w:rPr>
                <w:rFonts w:cs="Calibri"/>
                <w:sz w:val="24"/>
                <w:szCs w:val="32"/>
                <w:highlight w:val="yellow"/>
              </w:rPr>
            </w:pPr>
          </w:p>
        </w:tc>
      </w:tr>
    </w:tbl>
    <w:p w:rsidRPr="00135603" w:rsidR="005971EA" w:rsidP="00BF7D97" w:rsidRDefault="005971EA" w14:paraId="5FE2763D" w14:textId="0A0A4034">
      <w:pPr>
        <w:pStyle w:val="paragraph"/>
        <w:spacing w:before="240" w:beforeAutospacing="0"/>
      </w:pPr>
      <w:r>
        <w:t xml:space="preserve">In </w:t>
      </w:r>
      <w:r w:rsidR="00D54072">
        <w:t xml:space="preserve">Resolutions G-3580 and G-3589, adopted in </w:t>
      </w:r>
      <w:r>
        <w:t>2021 and 2022</w:t>
      </w:r>
      <w:r w:rsidR="006C248C">
        <w:t xml:space="preserve"> </w:t>
      </w:r>
      <w:r w:rsidR="00D54072">
        <w:t>respectively</w:t>
      </w:r>
      <w:r w:rsidR="006C248C">
        <w:t>, the CPUC</w:t>
      </w:r>
      <w:r>
        <w:t xml:space="preserve"> allocated UEB costs evenly for all complaint types</w:t>
      </w:r>
      <w:r w:rsidR="006D6C7F">
        <w:t xml:space="preserve">. The rationale </w:t>
      </w:r>
      <w:r w:rsidR="001806BC">
        <w:t xml:space="preserve">was that </w:t>
      </w:r>
      <w:r>
        <w:t xml:space="preserve">UEB staff review all CTA-related complaints to identify allegations of unauthorized enrollment and trends in the complaints. In </w:t>
      </w:r>
      <w:r w:rsidR="0047523D">
        <w:t xml:space="preserve">G-3597, adopted in </w:t>
      </w:r>
      <w:r>
        <w:t>2023</w:t>
      </w:r>
      <w:r w:rsidR="0047523D">
        <w:t xml:space="preserve">, the CPUC </w:t>
      </w:r>
      <w:r w:rsidR="00170DA9">
        <w:t xml:space="preserve">made </w:t>
      </w:r>
      <w:r>
        <w:t xml:space="preserve">two changes to </w:t>
      </w:r>
      <w:r w:rsidR="00E55F8A">
        <w:t xml:space="preserve">the methodology to </w:t>
      </w:r>
      <w:r>
        <w:t>more precisely allocate UEB costs. First, UEB costs are allocated only to those CTAs who were the subject of alleged unauthorized enrollment complaints since that is UEB’s focus. Second,</w:t>
      </w:r>
      <w:r w:rsidDel="00B37A3C">
        <w:t xml:space="preserve"> </w:t>
      </w:r>
      <w:r w:rsidR="00B37A3C">
        <w:t xml:space="preserve">the resolution adopted </w:t>
      </w:r>
      <w:r>
        <w:t xml:space="preserve">a method that divides UEB costs between time spent investigating allegations of unauthorized enrollment and time spent pursuing enforcement actions. </w:t>
      </w:r>
      <w:r w:rsidR="00B37A3C">
        <w:t>T</w:t>
      </w:r>
      <w:r>
        <w:t>he</w:t>
      </w:r>
      <w:r w:rsidDel="004574B4">
        <w:t xml:space="preserve"> </w:t>
      </w:r>
      <w:r>
        <w:t xml:space="preserve">allocation methodology is as follows: </w:t>
      </w:r>
    </w:p>
    <w:p w:rsidRPr="00837D09" w:rsidR="005971EA" w:rsidP="00002671" w:rsidRDefault="005971EA" w14:paraId="0DDEF58E" w14:textId="77777777">
      <w:pPr>
        <w:pStyle w:val="ListBullet"/>
        <w:numPr>
          <w:ilvl w:val="0"/>
          <w:numId w:val="19"/>
        </w:numPr>
      </w:pPr>
      <w:r w:rsidRPr="00837D09">
        <w:t xml:space="preserve">Disaggregate total UEB costs between </w:t>
      </w:r>
      <w:r>
        <w:t xml:space="preserve">enforcement actions and </w:t>
      </w:r>
      <w:r w:rsidRPr="00837D09">
        <w:t xml:space="preserve">alleged unauthorized enrollment investigations by dividing the number of UEB actions by the number of </w:t>
      </w:r>
      <w:r>
        <w:t xml:space="preserve">unauthorized enrollment </w:t>
      </w:r>
      <w:r w:rsidRPr="00837D09">
        <w:t>complaints.</w:t>
      </w:r>
    </w:p>
    <w:p w:rsidRPr="00837D09" w:rsidR="005971EA" w:rsidP="00002671" w:rsidRDefault="005971EA" w14:paraId="3D7EF192" w14:textId="77777777">
      <w:pPr>
        <w:pStyle w:val="ListBullet"/>
        <w:numPr>
          <w:ilvl w:val="0"/>
          <w:numId w:val="19"/>
        </w:numPr>
      </w:pPr>
      <w:r w:rsidRPr="00837D09">
        <w:t>Multiply the resulting percentage by total UEB costs to determine the amount to allocate towards enforcement.</w:t>
      </w:r>
    </w:p>
    <w:p w:rsidRPr="00837D09" w:rsidR="005971EA" w:rsidP="00002671" w:rsidRDefault="005971EA" w14:paraId="4A065597" w14:textId="77777777">
      <w:pPr>
        <w:pStyle w:val="ListBullet"/>
        <w:numPr>
          <w:ilvl w:val="0"/>
          <w:numId w:val="19"/>
        </w:numPr>
      </w:pPr>
      <w:r w:rsidRPr="00837D09">
        <w:t>Allocate the remainder toward alleged unauthorized enrollment</w:t>
      </w:r>
      <w:r>
        <w:t xml:space="preserve"> complaint </w:t>
      </w:r>
      <w:r w:rsidRPr="00837D09">
        <w:t>investigation</w:t>
      </w:r>
      <w:r>
        <w:t>s</w:t>
      </w:r>
      <w:r w:rsidRPr="00837D09">
        <w:t>.</w:t>
      </w:r>
    </w:p>
    <w:p w:rsidRPr="00837D09" w:rsidR="005971EA" w:rsidP="00002671" w:rsidRDefault="005971EA" w14:paraId="700E5CBE" w14:textId="77777777">
      <w:pPr>
        <w:pStyle w:val="ListBullet"/>
        <w:numPr>
          <w:ilvl w:val="0"/>
          <w:numId w:val="19"/>
        </w:numPr>
      </w:pPr>
      <w:r w:rsidRPr="00837D09">
        <w:t>Divide alleged unauthorized enrollment investigation costs equally per unauthorized enrollment complaint.</w:t>
      </w:r>
    </w:p>
    <w:p w:rsidRPr="00837D09" w:rsidR="005971EA" w:rsidP="00002671" w:rsidRDefault="005971EA" w14:paraId="7208CB86" w14:textId="77777777">
      <w:pPr>
        <w:pStyle w:val="ListBullet"/>
        <w:numPr>
          <w:ilvl w:val="0"/>
          <w:numId w:val="19"/>
        </w:numPr>
        <w:spacing w:before="0" w:line="259" w:lineRule="auto"/>
      </w:pPr>
      <w:r w:rsidRPr="00837D09">
        <w:t>Divide enforcement actions costs equally per UEB action.</w:t>
      </w:r>
    </w:p>
    <w:p w:rsidRPr="003412B8" w:rsidR="005971EA" w:rsidP="005971EA" w:rsidRDefault="005971EA" w14:paraId="3F00700E" w14:textId="2F97A4AC">
      <w:pPr>
        <w:pStyle w:val="paragraph"/>
        <w:rPr>
          <w:rFonts w:ascii="Aptos" w:hAnsi="Aptos" w:eastAsia="Aptos" w:cs="Aptos"/>
          <w:i/>
          <w:iCs/>
          <w:sz w:val="22"/>
          <w:szCs w:val="22"/>
        </w:rPr>
      </w:pPr>
      <w:r w:rsidRPr="00135603">
        <w:lastRenderedPageBreak/>
        <w:t>In 202</w:t>
      </w:r>
      <w:r>
        <w:t>5</w:t>
      </w:r>
      <w:r w:rsidRPr="00135603">
        <w:t xml:space="preserve">, UEB staff reviewed </w:t>
      </w:r>
      <w:r>
        <w:t>2,942</w:t>
      </w:r>
      <w:r w:rsidRPr="00135603">
        <w:t xml:space="preserve"> CTA-related complaints</w:t>
      </w:r>
      <w:r w:rsidRPr="517297C7">
        <w:rPr>
          <w:rFonts w:eastAsia="Garamond" w:cs="Garamond"/>
        </w:rPr>
        <w:t xml:space="preserve"> and identified </w:t>
      </w:r>
      <w:r>
        <w:rPr>
          <w:rFonts w:eastAsia="Garamond" w:cs="Garamond"/>
        </w:rPr>
        <w:t>818</w:t>
      </w:r>
      <w:r w:rsidRPr="517297C7">
        <w:rPr>
          <w:rFonts w:eastAsia="Garamond" w:cs="Garamond"/>
        </w:rPr>
        <w:t xml:space="preserve"> unauthorized enrollment complaints for further investigation</w:t>
      </w:r>
      <w:r w:rsidRPr="00135603">
        <w:t>.</w:t>
      </w:r>
      <w:r>
        <w:t xml:space="preserve"> This is an</w:t>
      </w:r>
      <w:r w:rsidR="00CC7046">
        <w:t xml:space="preserve"> 88 percent </w:t>
      </w:r>
      <w:r>
        <w:t>increase compared to the 435</w:t>
      </w:r>
      <w:r w:rsidRPr="00B027E2">
        <w:t xml:space="preserve"> </w:t>
      </w:r>
      <w:r>
        <w:t xml:space="preserve">such complaints investigated in 2024. With regards to enforcement actions, </w:t>
      </w:r>
      <w:r w:rsidRPr="00135603">
        <w:t xml:space="preserve">UEB staff issued </w:t>
      </w:r>
      <w:r>
        <w:t>55</w:t>
      </w:r>
      <w:r w:rsidRPr="00135603" w:rsidDel="00984C0A">
        <w:t xml:space="preserve"> </w:t>
      </w:r>
      <w:r w:rsidRPr="00135603">
        <w:t xml:space="preserve">CTA-related </w:t>
      </w:r>
      <w:r w:rsidR="000B7CDD">
        <w:t xml:space="preserve">citations </w:t>
      </w:r>
      <w:r>
        <w:t xml:space="preserve">totaling </w:t>
      </w:r>
      <w:r w:rsidRPr="00DA7DD8">
        <w:t>$</w:t>
      </w:r>
      <w:r>
        <w:t>55,000</w:t>
      </w:r>
      <w:r w:rsidRPr="00135603">
        <w:rPr>
          <w:vertAlign w:val="superscript"/>
        </w:rPr>
        <w:footnoteReference w:id="41"/>
      </w:r>
      <w:r w:rsidRPr="00135603">
        <w:rPr>
          <w:vertAlign w:val="superscript"/>
        </w:rPr>
        <w:t>,</w:t>
      </w:r>
      <w:r w:rsidRPr="00135603">
        <w:rPr>
          <w:vertAlign w:val="superscript"/>
        </w:rPr>
        <w:footnoteReference w:id="42"/>
      </w:r>
      <w:r w:rsidRPr="00135603">
        <w:rPr>
          <w:vertAlign w:val="superscript"/>
        </w:rPr>
        <w:t xml:space="preserve"> </w:t>
      </w:r>
      <w:r w:rsidR="008A4503">
        <w:t xml:space="preserve">as well as </w:t>
      </w:r>
      <w:r w:rsidR="009D2841">
        <w:t>five</w:t>
      </w:r>
      <w:r>
        <w:t xml:space="preserve"> warning notices, </w:t>
      </w:r>
      <w:r w:rsidR="009D2841">
        <w:t>two</w:t>
      </w:r>
      <w:r>
        <w:t xml:space="preserve"> requests for action, </w:t>
      </w:r>
      <w:r w:rsidR="009D2841">
        <w:t>one</w:t>
      </w:r>
      <w:r>
        <w:t xml:space="preserve"> notice of citation, </w:t>
      </w:r>
      <w:r w:rsidR="009D2841">
        <w:t>one</w:t>
      </w:r>
      <w:r w:rsidRPr="00135603">
        <w:t xml:space="preserve"> </w:t>
      </w:r>
      <w:r w:rsidR="005D1668">
        <w:br/>
      </w:r>
      <w:r w:rsidRPr="00135603">
        <w:t>cease-and-desist letter</w:t>
      </w:r>
      <w:r w:rsidR="009D2841">
        <w:t>,</w:t>
      </w:r>
      <w:r>
        <w:t xml:space="preserve"> and</w:t>
      </w:r>
      <w:r w:rsidDel="009D2841">
        <w:t xml:space="preserve"> </w:t>
      </w:r>
      <w:r w:rsidR="009D2841">
        <w:t xml:space="preserve">one </w:t>
      </w:r>
      <w:r>
        <w:t>administrative consent order</w:t>
      </w:r>
      <w:r w:rsidR="003E4372">
        <w:t>.</w:t>
      </w:r>
      <w:r>
        <w:t xml:space="preserve"> </w:t>
      </w:r>
      <w:r w:rsidR="00B0113F">
        <w:t>Th</w:t>
      </w:r>
      <w:r w:rsidR="00F07C9F">
        <w:t xml:space="preserve">e 65 </w:t>
      </w:r>
      <w:r w:rsidR="00B0113F">
        <w:t xml:space="preserve">total </w:t>
      </w:r>
      <w:r w:rsidR="00F07C9F">
        <w:t xml:space="preserve">enforcement actions represent </w:t>
      </w:r>
      <w:r w:rsidR="00B0113F">
        <w:t>a</w:t>
      </w:r>
      <w:r w:rsidR="00F660C0">
        <w:t>n</w:t>
      </w:r>
      <w:r w:rsidR="00B0113F">
        <w:t xml:space="preserve"> </w:t>
      </w:r>
      <w:r w:rsidR="00F660C0">
        <w:t xml:space="preserve">83 </w:t>
      </w:r>
      <w:r w:rsidR="00B0113F">
        <w:t xml:space="preserve">percent decrease compared to </w:t>
      </w:r>
      <w:r w:rsidR="00B20D6D">
        <w:t>the 3</w:t>
      </w:r>
      <w:r w:rsidR="002D6E35">
        <w:t>93</w:t>
      </w:r>
      <w:r w:rsidR="00B20D6D">
        <w:t xml:space="preserve"> </w:t>
      </w:r>
      <w:r w:rsidR="00F07C9F">
        <w:t xml:space="preserve">such </w:t>
      </w:r>
      <w:r w:rsidR="002D6E35">
        <w:t xml:space="preserve">actions </w:t>
      </w:r>
      <w:r w:rsidR="00441767">
        <w:t xml:space="preserve">in </w:t>
      </w:r>
      <w:r w:rsidR="00B0113F">
        <w:t>202</w:t>
      </w:r>
      <w:r w:rsidR="009B2A2A">
        <w:t>4.</w:t>
      </w:r>
    </w:p>
    <w:p w:rsidRPr="00135603" w:rsidR="005971EA" w:rsidP="00D95CD3" w:rsidRDefault="005971EA" w14:paraId="0ED7A361" w14:textId="77777777">
      <w:pPr>
        <w:pStyle w:val="ListBullet"/>
        <w:ind w:left="270" w:hanging="270"/>
      </w:pPr>
      <w:r>
        <w:t xml:space="preserve">65 enforcement actions </w:t>
      </w:r>
      <w:r w:rsidRPr="00A22101">
        <w:t>÷</w:t>
      </w:r>
      <w:r>
        <w:t xml:space="preserve"> 818 total alleged unauthorized enrollment complaints resulted in 8 percent of costs allocated to enforcement actions and 920 percent allocated to overall unauthorized enrollment complaints.</w:t>
      </w:r>
      <w:r w:rsidRPr="680FE318">
        <w:rPr>
          <w:vertAlign w:val="superscript"/>
        </w:rPr>
        <w:footnoteReference w:id="43"/>
      </w:r>
    </w:p>
    <w:p w:rsidR="005971EA" w:rsidP="59309DFB" w:rsidRDefault="005971EA" w14:paraId="01A36EFF" w14:textId="260AC7F6">
      <w:pPr>
        <w:pStyle w:val="ListBullet"/>
        <w:ind w:left="270" w:hanging="270"/>
      </w:pPr>
      <w:r>
        <w:t>Total enforcement actions: 8</w:t>
      </w:r>
      <w:r w:rsidRPr="00A36BB0">
        <w:t>%</w:t>
      </w:r>
      <w:r>
        <w:t xml:space="preserve"> * </w:t>
      </w:r>
      <w:r w:rsidRPr="00667AEF">
        <w:t>$</w:t>
      </w:r>
      <w:r>
        <w:t>604,639</w:t>
      </w:r>
      <w:r w:rsidR="0083D674">
        <w:t>.26</w:t>
      </w:r>
      <w:r>
        <w:t xml:space="preserve"> = </w:t>
      </w:r>
      <w:r w:rsidRPr="00667AEF">
        <w:t>$</w:t>
      </w:r>
      <w:r>
        <w:t>48,04</w:t>
      </w:r>
      <w:r w:rsidR="4DA2A755">
        <w:t>5.91</w:t>
      </w:r>
      <w:r>
        <w:t xml:space="preserve"> </w:t>
      </w:r>
    </w:p>
    <w:p w:rsidR="005971EA" w:rsidP="59309DFB" w:rsidRDefault="005971EA" w14:paraId="75E5ED4C" w14:textId="72179785">
      <w:pPr>
        <w:pStyle w:val="ListBullet"/>
        <w:ind w:left="270" w:hanging="270"/>
      </w:pPr>
      <w:r>
        <w:t>Total alleged unauthorized enrollment complaints</w:t>
      </w:r>
      <w:r w:rsidRPr="006735EE">
        <w:t xml:space="preserve">: </w:t>
      </w:r>
      <w:r>
        <w:t>92</w:t>
      </w:r>
      <w:r w:rsidRPr="00A36BB0">
        <w:t>%</w:t>
      </w:r>
      <w:r>
        <w:t xml:space="preserve"> * </w:t>
      </w:r>
      <w:r w:rsidRPr="00667AEF">
        <w:t>$</w:t>
      </w:r>
      <w:r>
        <w:t>604,639</w:t>
      </w:r>
      <w:r w:rsidR="5A77FC04">
        <w:t>.26</w:t>
      </w:r>
      <w:r>
        <w:t xml:space="preserve"> = </w:t>
      </w:r>
      <w:r w:rsidRPr="00667AEF">
        <w:t>$</w:t>
      </w:r>
      <w:r>
        <w:t>556,593</w:t>
      </w:r>
      <w:r w:rsidR="5B67A604">
        <w:t>.35</w:t>
      </w:r>
      <w:r>
        <w:t xml:space="preserve">  </w:t>
      </w:r>
    </w:p>
    <w:p w:rsidRPr="00135603" w:rsidR="005971EA" w:rsidP="59309DFB" w:rsidRDefault="005971EA" w14:paraId="10CD7373" w14:textId="4CDE6E5C">
      <w:pPr>
        <w:pStyle w:val="ListBullet"/>
        <w:ind w:left="270" w:hanging="270"/>
      </w:pPr>
      <w:r>
        <w:t xml:space="preserve">Enforcement: </w:t>
      </w:r>
      <w:r w:rsidRPr="00667AEF">
        <w:t>$</w:t>
      </w:r>
      <w:r>
        <w:t>48,0</w:t>
      </w:r>
      <w:r w:rsidR="00930C0D">
        <w:t>46</w:t>
      </w:r>
      <w:r>
        <w:t xml:space="preserve"> </w:t>
      </w:r>
      <w:r w:rsidRPr="00091951">
        <w:t>÷</w:t>
      </w:r>
      <w:r>
        <w:t xml:space="preserve"> 65 UEB actions = </w:t>
      </w:r>
      <w:r w:rsidRPr="00667AEF">
        <w:t>$</w:t>
      </w:r>
      <w:r>
        <w:t>739.17 per action</w:t>
      </w:r>
    </w:p>
    <w:p w:rsidR="005971EA" w:rsidP="59309DFB" w:rsidRDefault="005971EA" w14:paraId="34D2C4F1" w14:textId="5C849205">
      <w:pPr>
        <w:pStyle w:val="ListBullet"/>
        <w:ind w:left="270" w:hanging="270"/>
      </w:pPr>
      <w:r>
        <w:t xml:space="preserve">Alleged unauthorized enrollment investigations: </w:t>
      </w:r>
      <w:r w:rsidRPr="00667AEF">
        <w:t>$</w:t>
      </w:r>
      <w:r>
        <w:t xml:space="preserve">556,593 </w:t>
      </w:r>
      <w:r w:rsidRPr="00091951">
        <w:t>÷</w:t>
      </w:r>
      <w:r>
        <w:t xml:space="preserve"> 818 complaints = </w:t>
      </w:r>
      <w:r w:rsidRPr="00EC15ED">
        <w:t>$</w:t>
      </w:r>
      <w:r>
        <w:t>680.43 per complaint</w:t>
      </w:r>
    </w:p>
    <w:p w:rsidR="005971EA" w:rsidP="005971EA" w:rsidRDefault="005971EA" w14:paraId="14DA13F1" w14:textId="77777777">
      <w:pPr>
        <w:pStyle w:val="ListBullet"/>
        <w:numPr>
          <w:ilvl w:val="0"/>
          <w:numId w:val="0"/>
        </w:numPr>
      </w:pPr>
    </w:p>
    <w:p w:rsidRPr="00135603" w:rsidR="005971EA" w:rsidP="005971EA" w:rsidRDefault="005971EA" w14:paraId="0D3BB57B" w14:textId="21ECFDEF">
      <w:pPr>
        <w:pStyle w:val="ListBullet"/>
        <w:numPr>
          <w:ilvl w:val="0"/>
          <w:numId w:val="0"/>
        </w:numPr>
      </w:pPr>
      <w:r>
        <w:t>In</w:t>
      </w:r>
      <w:r w:rsidRPr="00135603">
        <w:t xml:space="preserve"> 202</w:t>
      </w:r>
      <w:r>
        <w:t>6</w:t>
      </w:r>
      <w:r w:rsidRPr="00135603">
        <w:t xml:space="preserve">, the cost for alleged unauthorized enrollment investigation is </w:t>
      </w:r>
      <w:r w:rsidRPr="00085BCE">
        <w:t>$</w:t>
      </w:r>
      <w:r>
        <w:t xml:space="preserve">680.43 </w:t>
      </w:r>
      <w:r w:rsidRPr="00135603">
        <w:t xml:space="preserve">per unauthorized enrollment complaint, and the cost for enforcement is </w:t>
      </w:r>
      <w:r w:rsidRPr="00085BCE">
        <w:t>$</w:t>
      </w:r>
      <w:r>
        <w:t xml:space="preserve">739.17 </w:t>
      </w:r>
      <w:r w:rsidRPr="00135603">
        <w:t xml:space="preserve">per UEB action. </w:t>
      </w:r>
    </w:p>
    <w:p w:rsidR="005971EA" w:rsidP="005971EA" w:rsidRDefault="005971EA" w14:paraId="46ADFA9D" w14:textId="77777777">
      <w:pPr>
        <w:pStyle w:val="ListBullet"/>
        <w:numPr>
          <w:ilvl w:val="0"/>
          <w:numId w:val="0"/>
        </w:numPr>
        <w:ind w:left="360" w:hanging="360"/>
      </w:pPr>
    </w:p>
    <w:p w:rsidRPr="00055A9E" w:rsidR="005971EA" w:rsidP="00B80889" w:rsidRDefault="005971EA" w14:paraId="1B742517" w14:textId="77777777">
      <w:pPr>
        <w:spacing w:before="240" w:after="240"/>
        <w:rPr>
          <w:rFonts w:ascii="Century Gothic" w:hAnsi="Century Gothic" w:cs="Segoe UI"/>
          <w:color w:val="1F497D" w:themeColor="text2"/>
          <w:sz w:val="32"/>
          <w:szCs w:val="32"/>
        </w:rPr>
      </w:pPr>
      <w:bookmarkStart w:name="_Toc193374948" w:id="13"/>
      <w:r w:rsidRPr="00055A9E">
        <w:rPr>
          <w:rFonts w:ascii="Century Gothic" w:hAnsi="Century Gothic"/>
          <w:color w:val="1F497D" w:themeColor="text2"/>
          <w:sz w:val="32"/>
          <w:szCs w:val="32"/>
        </w:rPr>
        <w:t>2026 Annual Fee</w:t>
      </w:r>
      <w:bookmarkEnd w:id="13"/>
    </w:p>
    <w:p w:rsidRPr="00135603" w:rsidR="005971EA" w:rsidP="00B80889" w:rsidRDefault="005971EA" w14:paraId="4023C2DE" w14:textId="1D4BDAD1">
      <w:pPr>
        <w:pStyle w:val="paragraph"/>
        <w:spacing w:before="240" w:beforeAutospacing="0" w:after="240" w:afterAutospacing="0"/>
      </w:pPr>
      <w:r>
        <w:t>The Annual Base Fee for the CTA program is $5,000.</w:t>
      </w:r>
    </w:p>
    <w:p w:rsidRPr="00135603" w:rsidR="005971EA" w:rsidP="005971EA" w:rsidRDefault="005971EA" w14:paraId="530F2BAD" w14:textId="098E019D">
      <w:pPr>
        <w:pStyle w:val="paragraph"/>
      </w:pPr>
      <w:r>
        <w:t>The 2026 Variable Fee for CAB-related costs is $</w:t>
      </w:r>
      <w:r w:rsidRPr="00667AEF">
        <w:t>5.94</w:t>
      </w:r>
      <w:r>
        <w:t xml:space="preserve"> per Phone Contact and $</w:t>
      </w:r>
      <w:r w:rsidRPr="00667AEF">
        <w:t>189.52</w:t>
      </w:r>
      <w:r>
        <w:t xml:space="preserve"> per Informal Written Complaint. </w:t>
      </w:r>
      <w:r w:rsidRPr="002D7806">
        <w:t xml:space="preserve">The Variable Fee for UEB-related costs is </w:t>
      </w:r>
      <w:r w:rsidRPr="00667AEF">
        <w:t>$</w:t>
      </w:r>
      <w:r>
        <w:t xml:space="preserve">680.43 </w:t>
      </w:r>
      <w:r w:rsidRPr="002D7806">
        <w:t xml:space="preserve">per unauthorized enrollment complaint and </w:t>
      </w:r>
      <w:r w:rsidRPr="00667AEF">
        <w:t>$</w:t>
      </w:r>
      <w:r>
        <w:t xml:space="preserve">739.17 </w:t>
      </w:r>
      <w:r w:rsidRPr="002D7806">
        <w:t>per enforcement action</w:t>
      </w:r>
      <w:r>
        <w:t>. The total Annual Fees owed by each CTA are detailed in Appendix 1 below, which includes both the Base Fee and the Variable Fee. CTAs who receive no complaints do not pay a Variable Fee.</w:t>
      </w:r>
    </w:p>
    <w:p w:rsidR="005971EA" w:rsidP="005971EA" w:rsidRDefault="005971EA" w14:paraId="080B7799" w14:textId="77777777">
      <w:pPr>
        <w:pStyle w:val="paragraph"/>
        <w:sectPr w:rsidR="005971EA" w:rsidSect="005971EA">
          <w:headerReference w:type="default" r:id="rId12"/>
          <w:footerReference w:type="default" r:id="rId13"/>
          <w:pgSz w:w="12240" w:h="15840"/>
          <w:pgMar w:top="1080" w:right="1080" w:bottom="1642" w:left="1080" w:header="720" w:footer="720" w:gutter="0"/>
          <w:pgNumType w:start="1"/>
          <w:cols w:space="720"/>
          <w:docGrid w:linePitch="360"/>
        </w:sectPr>
      </w:pPr>
      <w:r w:rsidRPr="00135603">
        <w:t>The CPUC Administrative Law Judge Division, Legal Division, and Fiscal Division incurred costs for the CTA program that were not examined for this year but could be included in future years if</w:t>
      </w:r>
      <w:r>
        <w:t xml:space="preserve"> substantive.</w:t>
      </w:r>
    </w:p>
    <w:p w:rsidRPr="00395438" w:rsidR="005971EA" w:rsidP="003412B8" w:rsidRDefault="005971EA" w14:paraId="3AF7E3B3" w14:textId="03818EA6">
      <w:pPr>
        <w:pStyle w:val="Heading1"/>
        <w:jc w:val="center"/>
      </w:pPr>
      <w:bookmarkStart w:name="_Toc193374949" w:id="14"/>
      <w:r>
        <w:lastRenderedPageBreak/>
        <w:t xml:space="preserve">Appendix </w:t>
      </w:r>
      <w:r w:rsidR="00A72855">
        <w:t>A-</w:t>
      </w:r>
      <w:r>
        <w:t xml:space="preserve">1: 2026 </w:t>
      </w:r>
      <w:r w:rsidRPr="00395438">
        <w:t>Annual Fee for Each CTA</w:t>
      </w:r>
      <w:r>
        <w:rPr>
          <w:rStyle w:val="FootnoteReference"/>
        </w:rPr>
        <w:footnoteReference w:id="44"/>
      </w:r>
      <w:bookmarkEnd w:id="14"/>
    </w:p>
    <w:tbl>
      <w:tblPr>
        <w:tblStyle w:val="CPUCTable1"/>
        <w:tblW w:w="14532" w:type="dxa"/>
        <w:tblLayout w:type="fixed"/>
        <w:tblLook w:val="04A0" w:firstRow="1" w:lastRow="0" w:firstColumn="1" w:lastColumn="0" w:noHBand="0" w:noVBand="1"/>
      </w:tblPr>
      <w:tblGrid>
        <w:gridCol w:w="1635"/>
        <w:gridCol w:w="970"/>
        <w:gridCol w:w="1181"/>
        <w:gridCol w:w="1339"/>
        <w:gridCol w:w="1170"/>
        <w:gridCol w:w="1139"/>
        <w:gridCol w:w="1146"/>
        <w:gridCol w:w="1322"/>
        <w:gridCol w:w="1073"/>
        <w:gridCol w:w="1170"/>
        <w:gridCol w:w="1195"/>
        <w:gridCol w:w="1192"/>
      </w:tblGrid>
      <w:tr w:rsidRPr="00A01783" w:rsidR="005971EA" w:rsidTr="1BF69C51" w14:paraId="1A37AD8F" w14:textId="77777777">
        <w:trPr>
          <w:cnfStyle w:val="100000000000" w:firstRow="1" w:lastRow="0" w:firstColumn="0" w:lastColumn="0" w:oddVBand="0" w:evenVBand="0" w:oddHBand="0" w:evenHBand="0" w:firstRowFirstColumn="0" w:firstRowLastColumn="0" w:lastRowFirstColumn="0" w:lastRowLastColumn="0"/>
          <w:trHeight w:val="792"/>
        </w:trPr>
        <w:tc>
          <w:tcPr>
            <w:tcW w:w="1635" w:type="dxa"/>
            <w:vAlign w:val="center"/>
            <w:hideMark/>
          </w:tcPr>
          <w:p w:rsidRPr="000571D7" w:rsidR="005971EA" w:rsidP="00117284" w:rsidRDefault="005971EA" w14:paraId="52E72FEE" w14:textId="77777777">
            <w:pPr>
              <w:spacing w:before="0" w:beforeLines="0" w:after="0"/>
              <w:jc w:val="center"/>
              <w:rPr>
                <w:rFonts w:ascii="Garamond" w:hAnsi="Garamond"/>
                <w:sz w:val="20"/>
                <w:szCs w:val="20"/>
              </w:rPr>
            </w:pPr>
            <w:r w:rsidRPr="000571D7">
              <w:rPr>
                <w:rFonts w:ascii="Garamond" w:hAnsi="Garamond"/>
                <w:sz w:val="20"/>
              </w:rPr>
              <w:t>CTA</w:t>
            </w:r>
          </w:p>
        </w:tc>
        <w:tc>
          <w:tcPr>
            <w:tcW w:w="970" w:type="dxa"/>
            <w:vAlign w:val="center"/>
            <w:hideMark/>
          </w:tcPr>
          <w:p w:rsidRPr="00200519" w:rsidR="005971EA" w:rsidP="00117284" w:rsidRDefault="005971EA" w14:paraId="0A269881" w14:textId="77777777">
            <w:pPr>
              <w:spacing w:before="0" w:beforeLines="0" w:after="0"/>
              <w:jc w:val="center"/>
              <w:rPr>
                <w:rFonts w:ascii="Garamond" w:hAnsi="Garamond"/>
                <w:sz w:val="20"/>
                <w:szCs w:val="20"/>
              </w:rPr>
            </w:pPr>
            <w:r w:rsidRPr="00200519">
              <w:rPr>
                <w:rFonts w:ascii="Garamond" w:hAnsi="Garamond"/>
                <w:sz w:val="20"/>
              </w:rPr>
              <w:t>Phone </w:t>
            </w:r>
            <w:r w:rsidRPr="00200519">
              <w:rPr>
                <w:rFonts w:ascii="Garamond" w:hAnsi="Garamond"/>
                <w:sz w:val="20"/>
              </w:rPr>
              <w:br/>
              <w:t>Contacts</w:t>
            </w:r>
          </w:p>
        </w:tc>
        <w:tc>
          <w:tcPr>
            <w:tcW w:w="1181" w:type="dxa"/>
            <w:vAlign w:val="center"/>
            <w:hideMark/>
          </w:tcPr>
          <w:p w:rsidRPr="000571D7" w:rsidR="005971EA" w:rsidP="00117284" w:rsidRDefault="005971EA" w14:paraId="05B53494" w14:textId="77777777">
            <w:pPr>
              <w:spacing w:before="0" w:beforeLines="0" w:after="0"/>
              <w:jc w:val="center"/>
              <w:rPr>
                <w:rFonts w:ascii="Garamond" w:hAnsi="Garamond"/>
                <w:sz w:val="20"/>
                <w:szCs w:val="20"/>
              </w:rPr>
            </w:pPr>
            <w:r w:rsidRPr="00200519">
              <w:rPr>
                <w:rFonts w:ascii="Garamond" w:hAnsi="Garamond"/>
                <w:sz w:val="20"/>
              </w:rPr>
              <w:t>Informal </w:t>
            </w:r>
            <w:r w:rsidRPr="00200519">
              <w:rPr>
                <w:rFonts w:ascii="Garamond" w:hAnsi="Garamond"/>
                <w:sz w:val="20"/>
              </w:rPr>
              <w:br/>
              <w:t>Complaints</w:t>
            </w:r>
          </w:p>
        </w:tc>
        <w:tc>
          <w:tcPr>
            <w:tcW w:w="1339" w:type="dxa"/>
            <w:vAlign w:val="center"/>
            <w:hideMark/>
          </w:tcPr>
          <w:p w:rsidRPr="00200519" w:rsidR="005971EA" w:rsidP="00117284" w:rsidRDefault="005971EA" w14:paraId="13AECF96" w14:textId="77777777">
            <w:pPr>
              <w:spacing w:before="0" w:beforeLines="0" w:after="0"/>
              <w:jc w:val="center"/>
              <w:rPr>
                <w:rFonts w:ascii="Garamond" w:hAnsi="Garamond"/>
                <w:sz w:val="20"/>
                <w:szCs w:val="20"/>
              </w:rPr>
            </w:pPr>
            <w:r w:rsidRPr="00200519">
              <w:rPr>
                <w:rFonts w:ascii="Garamond" w:hAnsi="Garamond"/>
                <w:sz w:val="20"/>
              </w:rPr>
              <w:t>Unauthorized Enrollment Complaints</w:t>
            </w:r>
          </w:p>
        </w:tc>
        <w:tc>
          <w:tcPr>
            <w:tcW w:w="1170" w:type="dxa"/>
            <w:vAlign w:val="center"/>
            <w:hideMark/>
          </w:tcPr>
          <w:p w:rsidRPr="00200519" w:rsidR="005971EA" w:rsidP="00117284" w:rsidRDefault="005971EA" w14:paraId="345E5B59" w14:textId="77777777">
            <w:pPr>
              <w:spacing w:before="0" w:beforeLines="0" w:after="0"/>
              <w:jc w:val="center"/>
              <w:rPr>
                <w:rFonts w:ascii="Garamond" w:hAnsi="Garamond"/>
                <w:sz w:val="20"/>
                <w:szCs w:val="20"/>
              </w:rPr>
            </w:pPr>
            <w:r w:rsidRPr="00200519">
              <w:rPr>
                <w:rFonts w:ascii="Garamond" w:hAnsi="Garamond"/>
                <w:sz w:val="20"/>
              </w:rPr>
              <w:t>UEB</w:t>
            </w:r>
            <w:r w:rsidRPr="00200519">
              <w:rPr>
                <w:rFonts w:ascii="Garamond" w:hAnsi="Garamond"/>
                <w:sz w:val="20"/>
              </w:rPr>
              <w:br/>
              <w:t>Actions</w:t>
            </w:r>
          </w:p>
        </w:tc>
        <w:tc>
          <w:tcPr>
            <w:tcW w:w="1139" w:type="dxa"/>
            <w:vAlign w:val="center"/>
            <w:hideMark/>
          </w:tcPr>
          <w:p w:rsidRPr="00200519" w:rsidR="005971EA" w:rsidP="00117284" w:rsidRDefault="005971EA" w14:paraId="22E34578" w14:textId="77777777">
            <w:pPr>
              <w:spacing w:before="0" w:beforeLines="0" w:after="0"/>
              <w:jc w:val="center"/>
              <w:rPr>
                <w:rFonts w:ascii="Garamond" w:hAnsi="Garamond"/>
                <w:sz w:val="20"/>
                <w:szCs w:val="20"/>
              </w:rPr>
            </w:pPr>
            <w:r w:rsidRPr="00200519">
              <w:rPr>
                <w:rFonts w:ascii="Garamond" w:hAnsi="Garamond"/>
                <w:sz w:val="20"/>
              </w:rPr>
              <w:t>Phone </w:t>
            </w:r>
            <w:r w:rsidRPr="00200519">
              <w:rPr>
                <w:rFonts w:ascii="Garamond" w:hAnsi="Garamond"/>
                <w:sz w:val="20"/>
              </w:rPr>
              <w:br/>
              <w:t>Contact </w:t>
            </w:r>
            <w:r w:rsidRPr="00200519">
              <w:rPr>
                <w:rFonts w:ascii="Garamond" w:hAnsi="Garamond"/>
                <w:sz w:val="20"/>
              </w:rPr>
              <w:br/>
              <w:t>Cost</w:t>
            </w:r>
          </w:p>
        </w:tc>
        <w:tc>
          <w:tcPr>
            <w:tcW w:w="1146" w:type="dxa"/>
            <w:vAlign w:val="center"/>
            <w:hideMark/>
          </w:tcPr>
          <w:p w:rsidRPr="000571D7" w:rsidR="005971EA" w:rsidP="00117284" w:rsidRDefault="005971EA" w14:paraId="03ECC1CC" w14:textId="77777777">
            <w:pPr>
              <w:spacing w:before="0" w:beforeLines="0" w:after="0"/>
              <w:jc w:val="center"/>
              <w:rPr>
                <w:rFonts w:ascii="Garamond" w:hAnsi="Garamond"/>
                <w:sz w:val="20"/>
                <w:szCs w:val="20"/>
              </w:rPr>
            </w:pPr>
            <w:r w:rsidRPr="00200519">
              <w:rPr>
                <w:rFonts w:ascii="Garamond" w:hAnsi="Garamond"/>
                <w:sz w:val="20"/>
              </w:rPr>
              <w:t>Informal </w:t>
            </w:r>
            <w:r w:rsidRPr="00200519">
              <w:rPr>
                <w:rFonts w:ascii="Garamond" w:hAnsi="Garamond"/>
                <w:sz w:val="20"/>
              </w:rPr>
              <w:br/>
              <w:t>Complaint </w:t>
            </w:r>
            <w:r w:rsidRPr="00200519">
              <w:rPr>
                <w:rFonts w:ascii="Garamond" w:hAnsi="Garamond"/>
                <w:sz w:val="20"/>
              </w:rPr>
              <w:br/>
              <w:t>Cost</w:t>
            </w:r>
          </w:p>
        </w:tc>
        <w:tc>
          <w:tcPr>
            <w:tcW w:w="1322" w:type="dxa"/>
            <w:vAlign w:val="center"/>
            <w:hideMark/>
          </w:tcPr>
          <w:p w:rsidRPr="000571D7" w:rsidR="005971EA" w:rsidP="00117284" w:rsidRDefault="005971EA" w14:paraId="2CD3613D" w14:textId="77777777">
            <w:pPr>
              <w:spacing w:before="0" w:beforeLines="0" w:after="0"/>
              <w:jc w:val="center"/>
              <w:rPr>
                <w:rFonts w:ascii="Garamond" w:hAnsi="Garamond"/>
                <w:sz w:val="20"/>
                <w:szCs w:val="20"/>
              </w:rPr>
            </w:pPr>
            <w:r w:rsidRPr="00200519">
              <w:rPr>
                <w:rFonts w:ascii="Garamond" w:hAnsi="Garamond"/>
                <w:sz w:val="20"/>
              </w:rPr>
              <w:t>UEB Investigation Cost</w:t>
            </w:r>
          </w:p>
        </w:tc>
        <w:tc>
          <w:tcPr>
            <w:tcW w:w="1073" w:type="dxa"/>
            <w:vAlign w:val="center"/>
            <w:hideMark/>
          </w:tcPr>
          <w:p w:rsidRPr="00200519" w:rsidR="005971EA" w:rsidP="00117284" w:rsidRDefault="005971EA" w14:paraId="4446287E" w14:textId="77777777">
            <w:pPr>
              <w:spacing w:before="0" w:beforeLines="0" w:after="0"/>
              <w:jc w:val="center"/>
              <w:rPr>
                <w:rFonts w:ascii="Garamond" w:hAnsi="Garamond"/>
                <w:sz w:val="20"/>
                <w:szCs w:val="20"/>
              </w:rPr>
            </w:pPr>
            <w:r w:rsidRPr="00200519">
              <w:rPr>
                <w:rFonts w:ascii="Garamond" w:hAnsi="Garamond"/>
                <w:sz w:val="20"/>
              </w:rPr>
              <w:t>UEB Action</w:t>
            </w:r>
            <w:r w:rsidRPr="00200519">
              <w:rPr>
                <w:rFonts w:ascii="Garamond" w:hAnsi="Garamond"/>
                <w:sz w:val="20"/>
              </w:rPr>
              <w:br/>
              <w:t>Cost</w:t>
            </w:r>
          </w:p>
        </w:tc>
        <w:tc>
          <w:tcPr>
            <w:tcW w:w="1170" w:type="dxa"/>
            <w:vAlign w:val="center"/>
            <w:hideMark/>
          </w:tcPr>
          <w:p w:rsidRPr="00200519" w:rsidR="005971EA" w:rsidP="00117284" w:rsidRDefault="005971EA" w14:paraId="528C409D" w14:textId="77777777">
            <w:pPr>
              <w:spacing w:before="0" w:beforeLines="0" w:after="0"/>
              <w:jc w:val="center"/>
              <w:rPr>
                <w:rFonts w:ascii="Garamond" w:hAnsi="Garamond"/>
                <w:sz w:val="20"/>
                <w:szCs w:val="20"/>
              </w:rPr>
            </w:pPr>
            <w:r w:rsidRPr="00200519">
              <w:rPr>
                <w:rFonts w:ascii="Garamond" w:hAnsi="Garamond"/>
                <w:sz w:val="20"/>
              </w:rPr>
              <w:t>Variable Fee</w:t>
            </w:r>
          </w:p>
        </w:tc>
        <w:tc>
          <w:tcPr>
            <w:tcW w:w="1195" w:type="dxa"/>
            <w:vAlign w:val="center"/>
            <w:hideMark/>
          </w:tcPr>
          <w:p w:rsidRPr="00694756" w:rsidR="005971EA" w:rsidP="00117284" w:rsidRDefault="005971EA" w14:paraId="6997B4E1" w14:textId="77777777">
            <w:pPr>
              <w:spacing w:before="0" w:beforeLines="0" w:after="0"/>
              <w:jc w:val="center"/>
              <w:rPr>
                <w:rFonts w:ascii="Garamond" w:hAnsi="Garamond"/>
                <w:sz w:val="20"/>
                <w:szCs w:val="20"/>
              </w:rPr>
            </w:pPr>
            <w:r w:rsidRPr="00694756">
              <w:rPr>
                <w:rFonts w:ascii="Garamond" w:hAnsi="Garamond"/>
                <w:sz w:val="20"/>
              </w:rPr>
              <w:t>Base Fee</w:t>
            </w:r>
          </w:p>
        </w:tc>
        <w:tc>
          <w:tcPr>
            <w:tcW w:w="1192" w:type="dxa"/>
            <w:vAlign w:val="center"/>
            <w:hideMark/>
          </w:tcPr>
          <w:p w:rsidRPr="00694756" w:rsidR="005971EA" w:rsidP="00117284" w:rsidRDefault="005971EA" w14:paraId="7C030083" w14:textId="77777777">
            <w:pPr>
              <w:spacing w:before="0" w:beforeLines="0" w:after="0"/>
              <w:jc w:val="center"/>
              <w:rPr>
                <w:rFonts w:ascii="Garamond" w:hAnsi="Garamond"/>
                <w:sz w:val="20"/>
                <w:szCs w:val="20"/>
              </w:rPr>
            </w:pPr>
            <w:r w:rsidRPr="00694756">
              <w:rPr>
                <w:rFonts w:ascii="Garamond" w:hAnsi="Garamond"/>
                <w:sz w:val="20"/>
              </w:rPr>
              <w:t>Total Fee (Base + Variable)</w:t>
            </w:r>
          </w:p>
        </w:tc>
      </w:tr>
      <w:tr w:rsidRPr="00A01783" w:rsidR="00ED6C18" w:rsidTr="1BF69C51" w14:paraId="319C3AB3"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694756" w:rsidR="005971EA" w:rsidP="00117284" w:rsidRDefault="005971EA" w14:paraId="650A061D" w14:textId="77777777">
            <w:pPr>
              <w:spacing w:after="0"/>
              <w:rPr>
                <w:rFonts w:ascii="Garamond" w:hAnsi="Garamond"/>
                <w:sz w:val="20"/>
                <w:szCs w:val="20"/>
              </w:rPr>
            </w:pPr>
            <w:r w:rsidRPr="00694756">
              <w:rPr>
                <w:rFonts w:ascii="Garamond" w:hAnsi="Garamond"/>
                <w:sz w:val="20"/>
              </w:rPr>
              <w:t>AAA Natural Gas</w:t>
            </w:r>
          </w:p>
        </w:tc>
        <w:tc>
          <w:tcPr>
            <w:tcW w:w="970" w:type="dxa"/>
            <w:noWrap/>
            <w:vAlign w:val="center"/>
            <w:hideMark/>
          </w:tcPr>
          <w:p w:rsidRPr="00D754A3" w:rsidR="005971EA" w:rsidP="00117284" w:rsidRDefault="005971EA" w14:paraId="4C996518" w14:textId="77777777">
            <w:pPr>
              <w:spacing w:after="0"/>
              <w:jc w:val="right"/>
              <w:rPr>
                <w:rFonts w:ascii="Garamond" w:hAnsi="Garamond" w:cs="Calibri"/>
                <w:sz w:val="20"/>
                <w:szCs w:val="20"/>
              </w:rPr>
            </w:pPr>
            <w:r w:rsidRPr="00D754A3">
              <w:rPr>
                <w:rFonts w:ascii="Garamond" w:hAnsi="Garamond" w:cs="Calibri"/>
                <w:color w:val="000000"/>
                <w:sz w:val="20"/>
                <w:szCs w:val="20"/>
              </w:rPr>
              <w:t>157</w:t>
            </w:r>
          </w:p>
        </w:tc>
        <w:tc>
          <w:tcPr>
            <w:tcW w:w="1181" w:type="dxa"/>
            <w:noWrap/>
            <w:vAlign w:val="center"/>
            <w:hideMark/>
          </w:tcPr>
          <w:p w:rsidRPr="00CB4098" w:rsidR="005971EA" w:rsidP="00117284" w:rsidRDefault="005971EA" w14:paraId="33C82C66" w14:textId="77777777">
            <w:pPr>
              <w:spacing w:after="0"/>
              <w:jc w:val="right"/>
              <w:rPr>
                <w:rFonts w:ascii="Garamond" w:hAnsi="Garamond"/>
                <w:sz w:val="20"/>
                <w:szCs w:val="20"/>
              </w:rPr>
            </w:pPr>
            <w:r w:rsidRPr="00B31E33">
              <w:rPr>
                <w:rFonts w:ascii="Garamond" w:hAnsi="Garamond"/>
                <w:color w:val="000000"/>
                <w:sz w:val="20"/>
                <w:szCs w:val="20"/>
              </w:rPr>
              <w:t>78</w:t>
            </w:r>
          </w:p>
        </w:tc>
        <w:tc>
          <w:tcPr>
            <w:tcW w:w="1339" w:type="dxa"/>
            <w:noWrap/>
            <w:vAlign w:val="center"/>
            <w:hideMark/>
          </w:tcPr>
          <w:p w:rsidRPr="00935490" w:rsidR="005971EA" w:rsidP="00117284" w:rsidRDefault="005971EA" w14:paraId="215C275D" w14:textId="1D05FC62">
            <w:pPr>
              <w:spacing w:after="0"/>
              <w:jc w:val="right"/>
              <w:rPr>
                <w:rFonts w:ascii="Garamond" w:hAnsi="Garamond"/>
                <w:sz w:val="20"/>
                <w:szCs w:val="20"/>
              </w:rPr>
            </w:pPr>
            <w:r w:rsidRPr="00694756">
              <w:rPr>
                <w:rFonts w:ascii="Garamond" w:hAnsi="Garamond" w:cs="Arial"/>
                <w:color w:val="000000"/>
                <w:sz w:val="20"/>
              </w:rPr>
              <w:t>88</w:t>
            </w:r>
          </w:p>
        </w:tc>
        <w:tc>
          <w:tcPr>
            <w:tcW w:w="1170" w:type="dxa"/>
            <w:noWrap/>
            <w:vAlign w:val="center"/>
            <w:hideMark/>
          </w:tcPr>
          <w:p w:rsidRPr="00C212E4" w:rsidR="005971EA" w:rsidP="00117284" w:rsidRDefault="005971EA" w14:paraId="675EDA3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3CE79D52" w14:textId="77777777">
            <w:pPr>
              <w:spacing w:after="0"/>
              <w:jc w:val="right"/>
              <w:rPr>
                <w:rFonts w:ascii="Garamond" w:hAnsi="Garamond"/>
                <w:sz w:val="20"/>
                <w:szCs w:val="20"/>
              </w:rPr>
            </w:pPr>
            <w:r w:rsidRPr="00DD6ADF">
              <w:rPr>
                <w:rFonts w:ascii="Garamond" w:hAnsi="Garamond"/>
                <w:color w:val="000000"/>
                <w:sz w:val="20"/>
                <w:szCs w:val="20"/>
              </w:rPr>
              <w:t>$932.48</w:t>
            </w:r>
          </w:p>
        </w:tc>
        <w:tc>
          <w:tcPr>
            <w:tcW w:w="1146" w:type="dxa"/>
            <w:noWrap/>
            <w:vAlign w:val="center"/>
            <w:hideMark/>
          </w:tcPr>
          <w:p w:rsidRPr="002A7D7B" w:rsidR="005971EA" w:rsidP="00117284" w:rsidRDefault="005971EA" w14:paraId="1C8B24FD" w14:textId="77777777">
            <w:pPr>
              <w:spacing w:after="0"/>
              <w:jc w:val="right"/>
              <w:rPr>
                <w:rFonts w:ascii="Garamond" w:hAnsi="Garamond"/>
                <w:sz w:val="20"/>
                <w:szCs w:val="20"/>
              </w:rPr>
            </w:pPr>
            <w:r w:rsidRPr="00967FD6">
              <w:rPr>
                <w:rFonts w:ascii="Garamond" w:hAnsi="Garamond"/>
                <w:color w:val="000000"/>
                <w:sz w:val="20"/>
                <w:szCs w:val="20"/>
              </w:rPr>
              <w:t>$14,782.58</w:t>
            </w:r>
          </w:p>
        </w:tc>
        <w:tc>
          <w:tcPr>
            <w:tcW w:w="1322" w:type="dxa"/>
            <w:noWrap/>
            <w:vAlign w:val="center"/>
            <w:hideMark/>
          </w:tcPr>
          <w:p w:rsidRPr="00D23015" w:rsidR="005971EA" w:rsidP="00117284" w:rsidRDefault="005971EA" w14:paraId="2116BB5B" w14:textId="77777777">
            <w:pPr>
              <w:spacing w:after="0"/>
              <w:jc w:val="right"/>
              <w:rPr>
                <w:rFonts w:ascii="Garamond" w:hAnsi="Garamond"/>
                <w:sz w:val="20"/>
                <w:szCs w:val="20"/>
              </w:rPr>
            </w:pPr>
            <w:r w:rsidRPr="00D23015">
              <w:rPr>
                <w:rFonts w:ascii="Garamond" w:hAnsi="Garamond"/>
                <w:color w:val="000000"/>
                <w:sz w:val="20"/>
                <w:szCs w:val="20"/>
              </w:rPr>
              <w:t>$59,878.01</w:t>
            </w:r>
          </w:p>
        </w:tc>
        <w:tc>
          <w:tcPr>
            <w:tcW w:w="1073" w:type="dxa"/>
            <w:noWrap/>
            <w:vAlign w:val="center"/>
            <w:hideMark/>
          </w:tcPr>
          <w:p w:rsidRPr="001F260B" w:rsidR="005971EA" w:rsidP="00117284" w:rsidRDefault="005971EA" w14:paraId="001E437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40DEE11" w14:textId="77777777">
            <w:pPr>
              <w:spacing w:after="0"/>
              <w:jc w:val="right"/>
              <w:rPr>
                <w:rFonts w:ascii="Garamond" w:hAnsi="Garamond"/>
                <w:sz w:val="20"/>
                <w:szCs w:val="20"/>
              </w:rPr>
            </w:pPr>
            <w:r w:rsidRPr="00B74AA0">
              <w:rPr>
                <w:rFonts w:ascii="Garamond" w:hAnsi="Garamond"/>
                <w:color w:val="000000"/>
                <w:sz w:val="20"/>
                <w:szCs w:val="20"/>
              </w:rPr>
              <w:t>$75,593.07</w:t>
            </w:r>
          </w:p>
        </w:tc>
        <w:tc>
          <w:tcPr>
            <w:tcW w:w="1195" w:type="dxa"/>
            <w:noWrap/>
            <w:vAlign w:val="center"/>
            <w:hideMark/>
          </w:tcPr>
          <w:p w:rsidRPr="003F3171" w:rsidR="005971EA" w:rsidP="00117284" w:rsidRDefault="005971EA" w14:paraId="4572B581"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5CA9E7FC" w14:textId="77777777">
            <w:pPr>
              <w:spacing w:after="0"/>
              <w:jc w:val="right"/>
              <w:rPr>
                <w:rFonts w:ascii="Garamond" w:hAnsi="Garamond"/>
                <w:sz w:val="20"/>
                <w:szCs w:val="20"/>
              </w:rPr>
            </w:pPr>
            <w:r w:rsidRPr="00B74AA0">
              <w:rPr>
                <w:rFonts w:ascii="Garamond" w:hAnsi="Garamond"/>
                <w:color w:val="000000"/>
                <w:sz w:val="20"/>
                <w:szCs w:val="20"/>
              </w:rPr>
              <w:t>$80,593.07</w:t>
            </w:r>
          </w:p>
        </w:tc>
      </w:tr>
      <w:tr w:rsidRPr="00A01783" w:rsidR="00ED6C18" w:rsidTr="1BF69C51" w14:paraId="07032D40" w14:textId="77777777">
        <w:trPr>
          <w:trHeight w:val="264"/>
        </w:trPr>
        <w:tc>
          <w:tcPr>
            <w:tcW w:w="1635" w:type="dxa"/>
            <w:vAlign w:val="center"/>
            <w:hideMark/>
          </w:tcPr>
          <w:p w:rsidRPr="00694756" w:rsidR="005971EA" w:rsidP="00117284" w:rsidRDefault="005971EA" w14:paraId="0A310A78" w14:textId="77777777">
            <w:pPr>
              <w:spacing w:after="0"/>
              <w:rPr>
                <w:rFonts w:ascii="Garamond" w:hAnsi="Garamond"/>
                <w:sz w:val="20"/>
                <w:szCs w:val="20"/>
              </w:rPr>
            </w:pPr>
            <w:r w:rsidRPr="00694756">
              <w:rPr>
                <w:rFonts w:ascii="Garamond" w:hAnsi="Garamond"/>
                <w:sz w:val="20"/>
              </w:rPr>
              <w:t>Ambit California LLC</w:t>
            </w:r>
          </w:p>
        </w:tc>
        <w:tc>
          <w:tcPr>
            <w:tcW w:w="970" w:type="dxa"/>
            <w:noWrap/>
            <w:vAlign w:val="center"/>
            <w:hideMark/>
          </w:tcPr>
          <w:p w:rsidRPr="00D754A3" w:rsidR="005971EA" w:rsidP="00117284" w:rsidRDefault="005971EA" w14:paraId="166B4562"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CB4098" w:rsidR="005971EA" w:rsidP="00117284" w:rsidRDefault="005971EA" w14:paraId="2C518563" w14:textId="77777777">
            <w:pPr>
              <w:spacing w:after="0"/>
              <w:jc w:val="right"/>
              <w:rPr>
                <w:rFonts w:ascii="Garamond" w:hAnsi="Garamond"/>
                <w:sz w:val="20"/>
                <w:szCs w:val="20"/>
              </w:rPr>
            </w:pPr>
            <w:r w:rsidRPr="00B31E33">
              <w:rPr>
                <w:rFonts w:ascii="Garamond" w:hAnsi="Garamond"/>
                <w:color w:val="000000"/>
                <w:sz w:val="20"/>
                <w:szCs w:val="20"/>
              </w:rPr>
              <w:t>1</w:t>
            </w:r>
          </w:p>
        </w:tc>
        <w:tc>
          <w:tcPr>
            <w:tcW w:w="1339" w:type="dxa"/>
            <w:noWrap/>
            <w:vAlign w:val="center"/>
            <w:hideMark/>
          </w:tcPr>
          <w:p w:rsidRPr="00935490" w:rsidR="005971EA" w:rsidP="00117284" w:rsidRDefault="005971EA" w14:paraId="4E76F710" w14:textId="4FA87756">
            <w:pPr>
              <w:spacing w:after="0"/>
              <w:jc w:val="right"/>
              <w:rPr>
                <w:rFonts w:ascii="Garamond" w:hAnsi="Garamond"/>
                <w:sz w:val="20"/>
                <w:szCs w:val="20"/>
              </w:rPr>
            </w:pPr>
            <w:r w:rsidRPr="29A95352">
              <w:rPr>
                <w:rFonts w:ascii="Garamond" w:hAnsi="Garamond" w:cs="Arial"/>
                <w:color w:val="000000" w:themeColor="text1"/>
                <w:sz w:val="20"/>
                <w:szCs w:val="20"/>
              </w:rPr>
              <w:t>1</w:t>
            </w:r>
          </w:p>
        </w:tc>
        <w:tc>
          <w:tcPr>
            <w:tcW w:w="1170" w:type="dxa"/>
            <w:noWrap/>
            <w:vAlign w:val="center"/>
            <w:hideMark/>
          </w:tcPr>
          <w:p w:rsidRPr="00C212E4" w:rsidR="005971EA" w:rsidP="00117284" w:rsidRDefault="005971EA" w14:paraId="44F1015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CCC7ED4"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2A7D7B" w:rsidR="005971EA" w:rsidP="00117284" w:rsidRDefault="005971EA" w14:paraId="7C2A7543" w14:textId="77777777">
            <w:pPr>
              <w:spacing w:after="0"/>
              <w:jc w:val="right"/>
              <w:rPr>
                <w:rFonts w:ascii="Garamond" w:hAnsi="Garamond"/>
                <w:sz w:val="20"/>
                <w:szCs w:val="20"/>
              </w:rPr>
            </w:pPr>
            <w:r w:rsidRPr="00967FD6">
              <w:rPr>
                <w:rFonts w:ascii="Garamond" w:hAnsi="Garamond"/>
                <w:color w:val="000000"/>
                <w:sz w:val="20"/>
                <w:szCs w:val="20"/>
              </w:rPr>
              <w:t>$189.52</w:t>
            </w:r>
          </w:p>
        </w:tc>
        <w:tc>
          <w:tcPr>
            <w:tcW w:w="1322" w:type="dxa"/>
            <w:noWrap/>
            <w:vAlign w:val="center"/>
            <w:hideMark/>
          </w:tcPr>
          <w:p w:rsidRPr="00D23015" w:rsidR="005971EA" w:rsidP="00117284" w:rsidRDefault="005971EA" w14:paraId="03E17B10" w14:textId="77777777">
            <w:pPr>
              <w:spacing w:after="0"/>
              <w:jc w:val="right"/>
              <w:rPr>
                <w:rFonts w:ascii="Garamond" w:hAnsi="Garamond"/>
                <w:sz w:val="20"/>
                <w:szCs w:val="20"/>
              </w:rPr>
            </w:pPr>
            <w:r w:rsidRPr="00D23015">
              <w:rPr>
                <w:rFonts w:ascii="Garamond" w:hAnsi="Garamond"/>
                <w:color w:val="000000"/>
                <w:sz w:val="20"/>
                <w:szCs w:val="20"/>
              </w:rPr>
              <w:t>$680.43</w:t>
            </w:r>
          </w:p>
        </w:tc>
        <w:tc>
          <w:tcPr>
            <w:tcW w:w="1073" w:type="dxa"/>
            <w:noWrap/>
            <w:vAlign w:val="center"/>
            <w:hideMark/>
          </w:tcPr>
          <w:p w:rsidRPr="001F260B" w:rsidR="005971EA" w:rsidP="00117284" w:rsidRDefault="005971EA" w14:paraId="7C3AC1B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5259BEF" w14:textId="77777777">
            <w:pPr>
              <w:spacing w:after="0"/>
              <w:jc w:val="right"/>
              <w:rPr>
                <w:rFonts w:ascii="Garamond" w:hAnsi="Garamond"/>
                <w:sz w:val="20"/>
                <w:szCs w:val="20"/>
              </w:rPr>
            </w:pPr>
            <w:r w:rsidRPr="00B74AA0">
              <w:rPr>
                <w:rFonts w:ascii="Garamond" w:hAnsi="Garamond"/>
                <w:color w:val="000000"/>
                <w:sz w:val="20"/>
                <w:szCs w:val="20"/>
              </w:rPr>
              <w:t>$893.71</w:t>
            </w:r>
          </w:p>
        </w:tc>
        <w:tc>
          <w:tcPr>
            <w:tcW w:w="1195" w:type="dxa"/>
            <w:noWrap/>
            <w:vAlign w:val="center"/>
            <w:hideMark/>
          </w:tcPr>
          <w:p w:rsidRPr="003F3171" w:rsidR="005971EA" w:rsidP="00117284" w:rsidRDefault="005971EA" w14:paraId="3EDC0ABF"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1A952305" w14:textId="77777777">
            <w:pPr>
              <w:spacing w:after="0"/>
              <w:jc w:val="right"/>
              <w:rPr>
                <w:rFonts w:ascii="Garamond" w:hAnsi="Garamond"/>
                <w:sz w:val="20"/>
                <w:szCs w:val="20"/>
              </w:rPr>
            </w:pPr>
            <w:r w:rsidRPr="00B74AA0">
              <w:rPr>
                <w:rFonts w:ascii="Garamond" w:hAnsi="Garamond"/>
                <w:color w:val="000000"/>
                <w:sz w:val="20"/>
                <w:szCs w:val="20"/>
              </w:rPr>
              <w:t>$5,893.71</w:t>
            </w:r>
          </w:p>
        </w:tc>
      </w:tr>
      <w:tr w:rsidRPr="00A01783" w:rsidR="00ED6C18" w:rsidTr="1BF69C51" w14:paraId="159A205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694756" w:rsidR="005971EA" w:rsidP="00117284" w:rsidRDefault="005971EA" w14:paraId="08E1C40C" w14:textId="77777777">
            <w:pPr>
              <w:spacing w:after="0"/>
              <w:rPr>
                <w:rFonts w:ascii="Garamond" w:hAnsi="Garamond"/>
                <w:sz w:val="20"/>
                <w:szCs w:val="20"/>
              </w:rPr>
            </w:pPr>
            <w:r w:rsidRPr="00694756">
              <w:rPr>
                <w:rFonts w:ascii="Garamond" w:hAnsi="Garamond"/>
                <w:sz w:val="20"/>
              </w:rPr>
              <w:t>Anew RNG LLC dba Elements Markets Renewable Energy LLC</w:t>
            </w:r>
          </w:p>
        </w:tc>
        <w:tc>
          <w:tcPr>
            <w:tcW w:w="970" w:type="dxa"/>
            <w:noWrap/>
            <w:vAlign w:val="center"/>
            <w:hideMark/>
          </w:tcPr>
          <w:p w:rsidRPr="00D754A3" w:rsidR="005971EA" w:rsidP="00117284" w:rsidRDefault="005971EA" w14:paraId="582AA8D2"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779B5D6C" w14:textId="77777777">
            <w:pPr>
              <w:spacing w:after="0"/>
              <w:jc w:val="right"/>
              <w:rPr>
                <w:rFonts w:ascii="Garamond" w:hAnsi="Garamond"/>
                <w:sz w:val="20"/>
                <w:szCs w:val="20"/>
              </w:rPr>
            </w:pPr>
            <w:r w:rsidRPr="00B31E33">
              <w:rPr>
                <w:rFonts w:ascii="Garamond" w:hAnsi="Garamond"/>
                <w:color w:val="000000"/>
                <w:sz w:val="20"/>
                <w:szCs w:val="20"/>
              </w:rPr>
              <w:t>0</w:t>
            </w:r>
          </w:p>
        </w:tc>
        <w:tc>
          <w:tcPr>
            <w:tcW w:w="1339" w:type="dxa"/>
            <w:noWrap/>
            <w:vAlign w:val="center"/>
            <w:hideMark/>
          </w:tcPr>
          <w:p w:rsidRPr="00935490" w:rsidR="005971EA" w:rsidP="00117284" w:rsidRDefault="005971EA" w14:paraId="1E5BEFF9" w14:textId="1A337F06">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4811E11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0F64EE8"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343E02A8"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F8C1EB"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67343ADF"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59C3696F" w14:textId="77777777">
            <w:pPr>
              <w:spacing w:after="0"/>
              <w:jc w:val="right"/>
              <w:rPr>
                <w:rFonts w:ascii="Garamond" w:hAnsi="Garamond"/>
                <w:sz w:val="20"/>
                <w:szCs w:val="20"/>
              </w:rPr>
            </w:pPr>
            <w:r w:rsidRPr="00B74AA0">
              <w:rPr>
                <w:rFonts w:ascii="Garamond" w:hAnsi="Garamond"/>
                <w:color w:val="000000"/>
                <w:sz w:val="20"/>
                <w:szCs w:val="20"/>
              </w:rPr>
              <w:t>$0.00</w:t>
            </w:r>
          </w:p>
        </w:tc>
        <w:tc>
          <w:tcPr>
            <w:tcW w:w="1195" w:type="dxa"/>
            <w:noWrap/>
            <w:vAlign w:val="center"/>
            <w:hideMark/>
          </w:tcPr>
          <w:p w:rsidRPr="003F3171" w:rsidR="005971EA" w:rsidP="00117284" w:rsidRDefault="005971EA" w14:paraId="38B09ACC"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6A2F44EC"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30F5D90F" w14:textId="77777777">
        <w:trPr>
          <w:trHeight w:val="528"/>
        </w:trPr>
        <w:tc>
          <w:tcPr>
            <w:tcW w:w="1635" w:type="dxa"/>
            <w:vAlign w:val="center"/>
            <w:hideMark/>
          </w:tcPr>
          <w:p w:rsidRPr="00694756" w:rsidR="005971EA" w:rsidP="00117284" w:rsidRDefault="005971EA" w14:paraId="24D09030" w14:textId="77777777">
            <w:pPr>
              <w:spacing w:after="0"/>
              <w:rPr>
                <w:rFonts w:ascii="Garamond" w:hAnsi="Garamond"/>
                <w:sz w:val="20"/>
                <w:szCs w:val="20"/>
              </w:rPr>
            </w:pPr>
            <w:r w:rsidRPr="00694756">
              <w:rPr>
                <w:rFonts w:ascii="Garamond" w:hAnsi="Garamond"/>
                <w:sz w:val="20"/>
              </w:rPr>
              <w:t>Big Tree Energy CA LLC</w:t>
            </w:r>
          </w:p>
        </w:tc>
        <w:tc>
          <w:tcPr>
            <w:tcW w:w="970" w:type="dxa"/>
            <w:noWrap/>
            <w:vAlign w:val="center"/>
            <w:hideMark/>
          </w:tcPr>
          <w:p w:rsidRPr="00D754A3" w:rsidR="005971EA" w:rsidP="00117284" w:rsidRDefault="005971EA" w14:paraId="7038459F" w14:textId="77777777">
            <w:pPr>
              <w:spacing w:after="0"/>
              <w:jc w:val="right"/>
              <w:rPr>
                <w:rFonts w:ascii="Garamond" w:hAnsi="Garamond" w:cs="Calibri"/>
                <w:sz w:val="20"/>
                <w:szCs w:val="20"/>
              </w:rPr>
            </w:pPr>
            <w:r w:rsidRPr="00D754A3">
              <w:rPr>
                <w:rFonts w:ascii="Garamond" w:hAnsi="Garamond" w:cs="Calibri"/>
                <w:color w:val="000000"/>
                <w:sz w:val="20"/>
                <w:szCs w:val="20"/>
              </w:rPr>
              <w:t>182</w:t>
            </w:r>
          </w:p>
        </w:tc>
        <w:tc>
          <w:tcPr>
            <w:tcW w:w="1181" w:type="dxa"/>
            <w:noWrap/>
            <w:vAlign w:val="center"/>
            <w:hideMark/>
          </w:tcPr>
          <w:p w:rsidRPr="00CB4098" w:rsidR="005971EA" w:rsidP="00117284" w:rsidRDefault="005971EA" w14:paraId="39D3C9D7" w14:textId="77777777">
            <w:pPr>
              <w:spacing w:after="0"/>
              <w:jc w:val="right"/>
              <w:rPr>
                <w:rFonts w:ascii="Garamond" w:hAnsi="Garamond"/>
                <w:sz w:val="20"/>
                <w:szCs w:val="20"/>
              </w:rPr>
            </w:pPr>
            <w:r w:rsidRPr="00B31E33">
              <w:rPr>
                <w:rFonts w:ascii="Garamond" w:hAnsi="Garamond"/>
                <w:color w:val="000000"/>
                <w:sz w:val="20"/>
                <w:szCs w:val="20"/>
              </w:rPr>
              <w:t>84</w:t>
            </w:r>
          </w:p>
        </w:tc>
        <w:tc>
          <w:tcPr>
            <w:tcW w:w="1339" w:type="dxa"/>
            <w:noWrap/>
            <w:vAlign w:val="center"/>
            <w:hideMark/>
          </w:tcPr>
          <w:p w:rsidRPr="00935490" w:rsidR="005971EA" w:rsidP="00117284" w:rsidRDefault="005971EA" w14:paraId="0CF3184C" w14:textId="0D7B6AFD">
            <w:pPr>
              <w:spacing w:after="0"/>
              <w:jc w:val="right"/>
              <w:rPr>
                <w:rFonts w:ascii="Garamond" w:hAnsi="Garamond"/>
                <w:sz w:val="20"/>
                <w:szCs w:val="20"/>
              </w:rPr>
            </w:pPr>
            <w:r w:rsidRPr="29A95352">
              <w:rPr>
                <w:rFonts w:ascii="Garamond" w:hAnsi="Garamond" w:cs="Arial"/>
                <w:color w:val="000000" w:themeColor="text1"/>
                <w:sz w:val="20"/>
                <w:szCs w:val="20"/>
              </w:rPr>
              <w:t>95</w:t>
            </w:r>
          </w:p>
        </w:tc>
        <w:tc>
          <w:tcPr>
            <w:tcW w:w="1170" w:type="dxa"/>
            <w:noWrap/>
            <w:vAlign w:val="center"/>
            <w:hideMark/>
          </w:tcPr>
          <w:p w:rsidRPr="00C212E4" w:rsidR="005971EA" w:rsidP="00117284" w:rsidRDefault="005971EA" w14:paraId="64F7D142" w14:textId="77777777">
            <w:pPr>
              <w:spacing w:after="0"/>
              <w:jc w:val="right"/>
              <w:rPr>
                <w:rFonts w:ascii="Garamond" w:hAnsi="Garamond"/>
                <w:sz w:val="20"/>
                <w:szCs w:val="20"/>
              </w:rPr>
            </w:pPr>
            <w:r w:rsidRPr="00C212E4">
              <w:rPr>
                <w:rFonts w:ascii="Garamond" w:hAnsi="Garamond"/>
                <w:color w:val="000000"/>
                <w:sz w:val="20"/>
                <w:szCs w:val="20"/>
              </w:rPr>
              <w:t>5</w:t>
            </w:r>
          </w:p>
        </w:tc>
        <w:tc>
          <w:tcPr>
            <w:tcW w:w="1139" w:type="dxa"/>
            <w:noWrap/>
            <w:vAlign w:val="center"/>
            <w:hideMark/>
          </w:tcPr>
          <w:p w:rsidRPr="00AC7F3C" w:rsidR="005971EA" w:rsidP="00117284" w:rsidRDefault="005971EA" w14:paraId="1223ACEB" w14:textId="77777777">
            <w:pPr>
              <w:spacing w:after="0"/>
              <w:jc w:val="right"/>
              <w:rPr>
                <w:rFonts w:ascii="Garamond" w:hAnsi="Garamond"/>
                <w:sz w:val="20"/>
                <w:szCs w:val="20"/>
              </w:rPr>
            </w:pPr>
            <w:r w:rsidRPr="00DD6ADF">
              <w:rPr>
                <w:rFonts w:ascii="Garamond" w:hAnsi="Garamond"/>
                <w:color w:val="000000"/>
                <w:sz w:val="20"/>
                <w:szCs w:val="20"/>
              </w:rPr>
              <w:t>$1,080.97</w:t>
            </w:r>
          </w:p>
        </w:tc>
        <w:tc>
          <w:tcPr>
            <w:tcW w:w="1146" w:type="dxa"/>
            <w:noWrap/>
            <w:vAlign w:val="center"/>
            <w:hideMark/>
          </w:tcPr>
          <w:p w:rsidRPr="002A7D7B" w:rsidR="005971EA" w:rsidP="00117284" w:rsidRDefault="005971EA" w14:paraId="7DAD61F9" w14:textId="77777777">
            <w:pPr>
              <w:spacing w:after="0"/>
              <w:jc w:val="right"/>
              <w:rPr>
                <w:rFonts w:ascii="Garamond" w:hAnsi="Garamond"/>
                <w:sz w:val="20"/>
                <w:szCs w:val="20"/>
              </w:rPr>
            </w:pPr>
            <w:r w:rsidRPr="00967FD6">
              <w:rPr>
                <w:rFonts w:ascii="Garamond" w:hAnsi="Garamond"/>
                <w:color w:val="000000"/>
                <w:sz w:val="20"/>
                <w:szCs w:val="20"/>
              </w:rPr>
              <w:t>$15,919.70</w:t>
            </w:r>
          </w:p>
        </w:tc>
        <w:tc>
          <w:tcPr>
            <w:tcW w:w="1322" w:type="dxa"/>
            <w:noWrap/>
            <w:vAlign w:val="center"/>
            <w:hideMark/>
          </w:tcPr>
          <w:p w:rsidRPr="00D23015" w:rsidR="005971EA" w:rsidP="00117284" w:rsidRDefault="005971EA" w14:paraId="7F948CE8" w14:textId="77777777">
            <w:pPr>
              <w:spacing w:after="0"/>
              <w:jc w:val="right"/>
              <w:rPr>
                <w:rFonts w:ascii="Garamond" w:hAnsi="Garamond"/>
                <w:sz w:val="20"/>
                <w:szCs w:val="20"/>
              </w:rPr>
            </w:pPr>
            <w:r w:rsidRPr="00D23015">
              <w:rPr>
                <w:rFonts w:ascii="Garamond" w:hAnsi="Garamond"/>
                <w:color w:val="000000"/>
                <w:sz w:val="20"/>
                <w:szCs w:val="20"/>
              </w:rPr>
              <w:t>$64,641.04</w:t>
            </w:r>
          </w:p>
        </w:tc>
        <w:tc>
          <w:tcPr>
            <w:tcW w:w="1073" w:type="dxa"/>
            <w:noWrap/>
            <w:vAlign w:val="center"/>
            <w:hideMark/>
          </w:tcPr>
          <w:p w:rsidRPr="001F260B" w:rsidR="005971EA" w:rsidP="00117284" w:rsidRDefault="005971EA" w14:paraId="00EE9F70" w14:textId="77777777">
            <w:pPr>
              <w:spacing w:after="0"/>
              <w:jc w:val="right"/>
              <w:rPr>
                <w:rFonts w:ascii="Garamond" w:hAnsi="Garamond"/>
                <w:sz w:val="20"/>
                <w:szCs w:val="20"/>
              </w:rPr>
            </w:pPr>
            <w:r w:rsidRPr="001F260B">
              <w:rPr>
                <w:rFonts w:ascii="Garamond" w:hAnsi="Garamond"/>
                <w:color w:val="000000"/>
                <w:sz w:val="20"/>
                <w:szCs w:val="20"/>
              </w:rPr>
              <w:t>$3,695.84</w:t>
            </w:r>
          </w:p>
        </w:tc>
        <w:tc>
          <w:tcPr>
            <w:tcW w:w="1170" w:type="dxa"/>
            <w:noWrap/>
            <w:vAlign w:val="center"/>
            <w:hideMark/>
          </w:tcPr>
          <w:p w:rsidRPr="003F3171" w:rsidR="005971EA" w:rsidP="00117284" w:rsidRDefault="005971EA" w14:paraId="5D67489A" w14:textId="77777777">
            <w:pPr>
              <w:spacing w:after="0"/>
              <w:jc w:val="right"/>
              <w:rPr>
                <w:rFonts w:ascii="Garamond" w:hAnsi="Garamond"/>
                <w:sz w:val="20"/>
                <w:szCs w:val="20"/>
              </w:rPr>
            </w:pPr>
            <w:r w:rsidRPr="0065737C">
              <w:rPr>
                <w:rFonts w:ascii="Garamond" w:hAnsi="Garamond"/>
                <w:color w:val="000000"/>
                <w:sz w:val="20"/>
                <w:szCs w:val="20"/>
              </w:rPr>
              <w:t>$85,337.54</w:t>
            </w:r>
          </w:p>
        </w:tc>
        <w:tc>
          <w:tcPr>
            <w:tcW w:w="1195" w:type="dxa"/>
            <w:noWrap/>
            <w:vAlign w:val="center"/>
            <w:hideMark/>
          </w:tcPr>
          <w:p w:rsidRPr="003F3171" w:rsidR="005971EA" w:rsidP="00117284" w:rsidRDefault="005971EA" w14:paraId="5E592FA2"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1E85508A" w14:textId="77777777">
            <w:pPr>
              <w:spacing w:after="0"/>
              <w:jc w:val="right"/>
              <w:rPr>
                <w:rFonts w:ascii="Garamond" w:hAnsi="Garamond"/>
                <w:sz w:val="20"/>
                <w:szCs w:val="20"/>
              </w:rPr>
            </w:pPr>
            <w:r w:rsidRPr="00F009EE">
              <w:rPr>
                <w:rFonts w:ascii="Garamond" w:hAnsi="Garamond"/>
                <w:color w:val="000000"/>
                <w:sz w:val="20"/>
                <w:szCs w:val="20"/>
              </w:rPr>
              <w:t>$90,337.54</w:t>
            </w:r>
          </w:p>
        </w:tc>
      </w:tr>
      <w:tr w:rsidRPr="00A01783" w:rsidR="00ED6C18" w:rsidTr="1BF69C51" w14:paraId="1055F7AF"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1880FC2" w14:textId="77777777">
            <w:pPr>
              <w:spacing w:after="0"/>
              <w:rPr>
                <w:rFonts w:ascii="Garamond" w:hAnsi="Garamond"/>
                <w:sz w:val="20"/>
                <w:szCs w:val="20"/>
              </w:rPr>
            </w:pPr>
            <w:r w:rsidRPr="00200519">
              <w:rPr>
                <w:rFonts w:ascii="Garamond" w:hAnsi="Garamond"/>
                <w:sz w:val="20"/>
              </w:rPr>
              <w:t>Bolt Energy Services LLC</w:t>
            </w:r>
          </w:p>
        </w:tc>
        <w:tc>
          <w:tcPr>
            <w:tcW w:w="970" w:type="dxa"/>
            <w:noWrap/>
            <w:vAlign w:val="center"/>
            <w:hideMark/>
          </w:tcPr>
          <w:p w:rsidRPr="00D754A3" w:rsidR="005971EA" w:rsidP="00117284" w:rsidRDefault="005971EA" w14:paraId="5BD12445"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CB4098" w:rsidR="005971EA" w:rsidP="00117284" w:rsidRDefault="005971EA" w14:paraId="01695E03" w14:textId="77777777">
            <w:pPr>
              <w:spacing w:after="0"/>
              <w:jc w:val="right"/>
              <w:rPr>
                <w:rFonts w:ascii="Garamond" w:hAnsi="Garamond"/>
                <w:sz w:val="20"/>
                <w:szCs w:val="20"/>
              </w:rPr>
            </w:pPr>
            <w:r w:rsidRPr="00B31E33">
              <w:rPr>
                <w:rFonts w:ascii="Garamond" w:hAnsi="Garamond"/>
                <w:color w:val="000000"/>
                <w:sz w:val="20"/>
                <w:szCs w:val="20"/>
              </w:rPr>
              <w:t>3</w:t>
            </w:r>
          </w:p>
        </w:tc>
        <w:tc>
          <w:tcPr>
            <w:tcW w:w="1339" w:type="dxa"/>
            <w:noWrap/>
            <w:vAlign w:val="center"/>
            <w:hideMark/>
          </w:tcPr>
          <w:p w:rsidRPr="00935490" w:rsidR="005971EA" w:rsidP="00117284" w:rsidRDefault="005971EA" w14:paraId="42484A18" w14:textId="7179A7B7">
            <w:pPr>
              <w:spacing w:after="0"/>
              <w:jc w:val="right"/>
              <w:rPr>
                <w:rFonts w:ascii="Garamond" w:hAnsi="Garamond"/>
                <w:sz w:val="20"/>
                <w:szCs w:val="20"/>
              </w:rPr>
            </w:pPr>
            <w:r w:rsidRPr="29A95352">
              <w:rPr>
                <w:rFonts w:ascii="Garamond" w:hAnsi="Garamond" w:cs="Arial"/>
                <w:color w:val="000000" w:themeColor="text1"/>
                <w:sz w:val="20"/>
                <w:szCs w:val="20"/>
              </w:rPr>
              <w:t>8</w:t>
            </w:r>
          </w:p>
        </w:tc>
        <w:tc>
          <w:tcPr>
            <w:tcW w:w="1170" w:type="dxa"/>
            <w:noWrap/>
            <w:vAlign w:val="center"/>
            <w:hideMark/>
          </w:tcPr>
          <w:p w:rsidRPr="00C212E4" w:rsidR="005971EA" w:rsidP="00117284" w:rsidRDefault="005971EA" w14:paraId="6A4F4C9D"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C7F3C" w:rsidR="005971EA" w:rsidP="00117284" w:rsidRDefault="005971EA" w14:paraId="7F3B1CCA"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2A7D7B" w:rsidR="005971EA" w:rsidP="00117284" w:rsidRDefault="005971EA" w14:paraId="19CC77F5"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422AE2C" w14:textId="77777777">
            <w:pPr>
              <w:spacing w:after="0"/>
              <w:jc w:val="right"/>
              <w:rPr>
                <w:rFonts w:ascii="Garamond" w:hAnsi="Garamond"/>
                <w:sz w:val="20"/>
                <w:szCs w:val="20"/>
              </w:rPr>
            </w:pPr>
            <w:r w:rsidRPr="00D23015">
              <w:rPr>
                <w:rFonts w:ascii="Garamond" w:hAnsi="Garamond"/>
                <w:color w:val="000000"/>
                <w:sz w:val="20"/>
                <w:szCs w:val="20"/>
              </w:rPr>
              <w:t>$5,443.46</w:t>
            </w:r>
          </w:p>
        </w:tc>
        <w:tc>
          <w:tcPr>
            <w:tcW w:w="1073" w:type="dxa"/>
            <w:noWrap/>
            <w:vAlign w:val="center"/>
            <w:hideMark/>
          </w:tcPr>
          <w:p w:rsidRPr="001F260B" w:rsidR="005971EA" w:rsidP="00117284" w:rsidRDefault="005971EA" w14:paraId="5180A25A"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3F3171" w:rsidR="005971EA" w:rsidP="00117284" w:rsidRDefault="005971EA" w14:paraId="4EE144C4" w14:textId="77777777">
            <w:pPr>
              <w:spacing w:after="0"/>
              <w:jc w:val="right"/>
              <w:rPr>
                <w:rFonts w:ascii="Garamond" w:hAnsi="Garamond"/>
                <w:sz w:val="20"/>
                <w:szCs w:val="20"/>
              </w:rPr>
            </w:pPr>
            <w:r w:rsidRPr="00F009EE">
              <w:rPr>
                <w:rFonts w:ascii="Garamond" w:hAnsi="Garamond"/>
                <w:color w:val="000000"/>
                <w:sz w:val="20"/>
                <w:szCs w:val="20"/>
              </w:rPr>
              <w:t>$6,774.94</w:t>
            </w:r>
          </w:p>
        </w:tc>
        <w:tc>
          <w:tcPr>
            <w:tcW w:w="1195" w:type="dxa"/>
            <w:noWrap/>
            <w:vAlign w:val="center"/>
            <w:hideMark/>
          </w:tcPr>
          <w:p w:rsidRPr="003F3171" w:rsidR="005971EA" w:rsidP="00117284" w:rsidRDefault="005971EA" w14:paraId="3317E686"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noWrap/>
            <w:vAlign w:val="center"/>
            <w:hideMark/>
          </w:tcPr>
          <w:p w:rsidRPr="003F3171" w:rsidR="005971EA" w:rsidP="00117284" w:rsidRDefault="005971EA" w14:paraId="36F37BEC" w14:textId="77777777">
            <w:pPr>
              <w:spacing w:after="0"/>
              <w:jc w:val="right"/>
              <w:rPr>
                <w:rFonts w:ascii="Garamond" w:hAnsi="Garamond"/>
                <w:sz w:val="20"/>
                <w:szCs w:val="20"/>
              </w:rPr>
            </w:pPr>
            <w:r w:rsidRPr="00F009EE">
              <w:rPr>
                <w:rFonts w:ascii="Garamond" w:hAnsi="Garamond"/>
                <w:color w:val="000000"/>
                <w:sz w:val="20"/>
                <w:szCs w:val="20"/>
              </w:rPr>
              <w:t>$11,774.94</w:t>
            </w:r>
          </w:p>
        </w:tc>
      </w:tr>
      <w:tr w:rsidRPr="00A01783" w:rsidR="00ED6C18" w:rsidTr="1BF69C51" w14:paraId="7DF1CECD" w14:textId="77777777">
        <w:trPr>
          <w:trHeight w:val="264"/>
        </w:trPr>
        <w:tc>
          <w:tcPr>
            <w:tcW w:w="1635" w:type="dxa"/>
            <w:vAlign w:val="center"/>
            <w:hideMark/>
          </w:tcPr>
          <w:p w:rsidRPr="007C02C4" w:rsidR="005971EA" w:rsidP="00117284" w:rsidRDefault="005971EA" w14:paraId="4BF7332D" w14:textId="77777777">
            <w:pPr>
              <w:spacing w:after="0"/>
              <w:rPr>
                <w:rFonts w:ascii="Garamond" w:hAnsi="Garamond"/>
                <w:sz w:val="20"/>
                <w:szCs w:val="20"/>
              </w:rPr>
            </w:pPr>
            <w:r w:rsidRPr="007C02C4">
              <w:rPr>
                <w:rFonts w:ascii="Garamond" w:hAnsi="Garamond"/>
                <w:sz w:val="20"/>
              </w:rPr>
              <w:t>BP Energy Company </w:t>
            </w:r>
          </w:p>
        </w:tc>
        <w:tc>
          <w:tcPr>
            <w:tcW w:w="970" w:type="dxa"/>
            <w:noWrap/>
            <w:vAlign w:val="center"/>
            <w:hideMark/>
          </w:tcPr>
          <w:p w:rsidRPr="00D754A3" w:rsidR="005971EA" w:rsidP="00117284" w:rsidRDefault="005971EA" w14:paraId="65731093"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0A4FBF55"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06BD0E2" w14:textId="0A5651F3">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3339400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365907E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10921DB0"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5089B5D0"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4E10D456"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6AED708" w14:textId="77777777">
            <w:pPr>
              <w:spacing w:after="0"/>
              <w:jc w:val="right"/>
              <w:rPr>
                <w:rFonts w:ascii="Garamond" w:hAnsi="Garamond"/>
                <w:sz w:val="20"/>
                <w:szCs w:val="20"/>
              </w:rPr>
            </w:pPr>
            <w:r w:rsidRPr="00F009EE">
              <w:rPr>
                <w:rFonts w:ascii="Garamond" w:hAnsi="Garamond"/>
                <w:color w:val="000000"/>
                <w:sz w:val="20"/>
                <w:szCs w:val="20"/>
              </w:rPr>
              <w:t>$0.00</w:t>
            </w:r>
          </w:p>
        </w:tc>
        <w:tc>
          <w:tcPr>
            <w:tcW w:w="1195" w:type="dxa"/>
            <w:noWrap/>
            <w:vAlign w:val="center"/>
            <w:hideMark/>
          </w:tcPr>
          <w:p w:rsidRPr="003F3171" w:rsidR="005971EA" w:rsidP="00117284" w:rsidRDefault="005971EA" w14:paraId="2C7C4E69"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37D8D967"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2D108B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7E2C4CD8" w14:textId="347B1536">
            <w:pPr>
              <w:spacing w:after="0"/>
              <w:rPr>
                <w:rFonts w:ascii="Garamond" w:hAnsi="Garamond"/>
                <w:sz w:val="20"/>
                <w:szCs w:val="20"/>
              </w:rPr>
            </w:pPr>
            <w:r w:rsidRPr="00200519">
              <w:rPr>
                <w:rFonts w:ascii="Garamond" w:hAnsi="Garamond" w:eastAsia="Garamond" w:cs="Garamond"/>
                <w:color w:val="242424"/>
                <w:sz w:val="20"/>
              </w:rPr>
              <w:t>BP Energy Retail Company LLC (Formerly</w:t>
            </w:r>
            <w:r w:rsidRPr="00200519">
              <w:rPr>
                <w:rFonts w:ascii="Garamond" w:hAnsi="Garamond" w:eastAsia="Garamond" w:cs="Garamond"/>
                <w:sz w:val="20"/>
              </w:rPr>
              <w:t xml:space="preserve"> </w:t>
            </w:r>
            <w:r w:rsidRPr="00200519">
              <w:rPr>
                <w:rFonts w:ascii="Garamond" w:hAnsi="Garamond"/>
                <w:sz w:val="20"/>
              </w:rPr>
              <w:t>EDF Energy Services LLC)</w:t>
            </w:r>
          </w:p>
        </w:tc>
        <w:tc>
          <w:tcPr>
            <w:tcW w:w="970" w:type="dxa"/>
            <w:noWrap/>
            <w:vAlign w:val="center"/>
            <w:hideMark/>
          </w:tcPr>
          <w:p w:rsidRPr="00D754A3" w:rsidR="005971EA" w:rsidP="00117284" w:rsidRDefault="005971EA" w14:paraId="048D053D" w14:textId="77777777">
            <w:pPr>
              <w:spacing w:after="0"/>
              <w:jc w:val="right"/>
              <w:rPr>
                <w:rFonts w:ascii="Garamond" w:hAnsi="Garamond" w:cs="Calibri"/>
                <w:sz w:val="20"/>
                <w:szCs w:val="20"/>
              </w:rPr>
            </w:pPr>
            <w:r w:rsidRPr="00D754A3">
              <w:rPr>
                <w:rFonts w:ascii="Garamond" w:hAnsi="Garamond" w:cs="Calibri"/>
                <w:sz w:val="20"/>
                <w:szCs w:val="20"/>
              </w:rPr>
              <w:t>0</w:t>
            </w:r>
          </w:p>
        </w:tc>
        <w:tc>
          <w:tcPr>
            <w:tcW w:w="1181" w:type="dxa"/>
            <w:noWrap/>
            <w:vAlign w:val="center"/>
            <w:hideMark/>
          </w:tcPr>
          <w:p w:rsidRPr="00CB4098" w:rsidR="005971EA" w:rsidP="00117284" w:rsidRDefault="005971EA" w14:paraId="310EB7EC" w14:textId="77777777">
            <w:pPr>
              <w:spacing w:after="0"/>
              <w:jc w:val="right"/>
              <w:rPr>
                <w:rFonts w:ascii="Garamond" w:hAnsi="Garamond"/>
                <w:sz w:val="20"/>
                <w:szCs w:val="20"/>
              </w:rPr>
            </w:pPr>
            <w:r w:rsidRPr="00BF35B0">
              <w:rPr>
                <w:rFonts w:ascii="Garamond" w:hAnsi="Garamond"/>
                <w:sz w:val="20"/>
                <w:szCs w:val="20"/>
              </w:rPr>
              <w:t>0</w:t>
            </w:r>
          </w:p>
        </w:tc>
        <w:tc>
          <w:tcPr>
            <w:tcW w:w="1339" w:type="dxa"/>
            <w:noWrap/>
            <w:vAlign w:val="center"/>
            <w:hideMark/>
          </w:tcPr>
          <w:p w:rsidRPr="00935490" w:rsidR="005971EA" w:rsidP="00117284" w:rsidRDefault="005971EA" w14:paraId="1CB2AC82" w14:textId="160AF0B4">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0D90AD8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025EC82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0931300D"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F0D18D3"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47E26A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69E3860" w14:textId="77777777">
            <w:pPr>
              <w:spacing w:after="0"/>
              <w:jc w:val="right"/>
              <w:rPr>
                <w:rFonts w:ascii="Garamond" w:hAnsi="Garamond"/>
                <w:sz w:val="20"/>
                <w:szCs w:val="20"/>
              </w:rPr>
            </w:pPr>
            <w:r w:rsidRPr="00F009EE">
              <w:rPr>
                <w:rFonts w:ascii="Garamond" w:hAnsi="Garamond"/>
                <w:color w:val="000000"/>
                <w:sz w:val="20"/>
                <w:szCs w:val="20"/>
              </w:rPr>
              <w:t>$0.00</w:t>
            </w:r>
          </w:p>
        </w:tc>
        <w:tc>
          <w:tcPr>
            <w:tcW w:w="1195" w:type="dxa"/>
            <w:noWrap/>
            <w:vAlign w:val="center"/>
            <w:hideMark/>
          </w:tcPr>
          <w:p w:rsidRPr="003F3171" w:rsidR="005971EA" w:rsidP="00117284" w:rsidRDefault="005971EA" w14:paraId="1EE59504"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vAlign w:val="center"/>
            <w:hideMark/>
          </w:tcPr>
          <w:p w:rsidRPr="003F3171" w:rsidR="005971EA" w:rsidP="00117284" w:rsidRDefault="005971EA" w14:paraId="689281A2"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61565EC" w14:textId="77777777">
        <w:trPr>
          <w:trHeight w:val="264"/>
        </w:trPr>
        <w:tc>
          <w:tcPr>
            <w:tcW w:w="1635" w:type="dxa"/>
            <w:vAlign w:val="center"/>
            <w:hideMark/>
          </w:tcPr>
          <w:p w:rsidRPr="007C02C4" w:rsidR="005971EA" w:rsidP="00117284" w:rsidRDefault="005971EA" w14:paraId="00DE5BFD" w14:textId="77777777">
            <w:pPr>
              <w:spacing w:after="0"/>
              <w:rPr>
                <w:rFonts w:ascii="Garamond" w:hAnsi="Garamond"/>
                <w:sz w:val="20"/>
                <w:szCs w:val="20"/>
              </w:rPr>
            </w:pPr>
            <w:r w:rsidRPr="007C02C4">
              <w:rPr>
                <w:rFonts w:ascii="Garamond" w:hAnsi="Garamond"/>
                <w:sz w:val="20"/>
              </w:rPr>
              <w:t>Calpine Energy Solutions LLC </w:t>
            </w:r>
          </w:p>
        </w:tc>
        <w:tc>
          <w:tcPr>
            <w:tcW w:w="970" w:type="dxa"/>
            <w:noWrap/>
            <w:vAlign w:val="center"/>
            <w:hideMark/>
          </w:tcPr>
          <w:p w:rsidRPr="00D754A3" w:rsidR="005971EA" w:rsidP="00117284" w:rsidRDefault="005971EA" w14:paraId="6D7BB693"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3E18120D"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C794A46" w14:textId="094D8CB4">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1423393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2655FDD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4BF90B29"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2C2DF1BF"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99FFBA8"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098662FB" w14:textId="77777777">
            <w:pPr>
              <w:spacing w:after="0"/>
              <w:jc w:val="right"/>
              <w:rPr>
                <w:rFonts w:ascii="Garamond" w:hAnsi="Garamond"/>
                <w:sz w:val="20"/>
                <w:szCs w:val="20"/>
              </w:rPr>
            </w:pPr>
            <w:r w:rsidRPr="00B74AA0">
              <w:rPr>
                <w:rFonts w:ascii="Garamond" w:hAnsi="Garamond"/>
                <w:color w:val="000000"/>
                <w:sz w:val="20"/>
                <w:szCs w:val="20"/>
              </w:rPr>
              <w:t>$0.00</w:t>
            </w:r>
          </w:p>
        </w:tc>
        <w:tc>
          <w:tcPr>
            <w:tcW w:w="1195" w:type="dxa"/>
            <w:noWrap/>
            <w:vAlign w:val="center"/>
            <w:hideMark/>
          </w:tcPr>
          <w:p w:rsidRPr="003F3171" w:rsidR="005971EA" w:rsidP="00117284" w:rsidRDefault="005971EA" w14:paraId="038FEFE9"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vAlign w:val="center"/>
            <w:hideMark/>
          </w:tcPr>
          <w:p w:rsidRPr="003F3171" w:rsidR="005971EA" w:rsidP="00117284" w:rsidRDefault="005971EA" w14:paraId="43F35E03"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C597E8C"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1379C719" w14:textId="77777777">
            <w:pPr>
              <w:spacing w:after="0"/>
              <w:rPr>
                <w:rFonts w:ascii="Garamond" w:hAnsi="Garamond"/>
                <w:sz w:val="20"/>
                <w:szCs w:val="20"/>
              </w:rPr>
            </w:pPr>
            <w:r w:rsidRPr="00200519">
              <w:rPr>
                <w:rFonts w:ascii="Garamond" w:hAnsi="Garamond"/>
                <w:sz w:val="20"/>
              </w:rPr>
              <w:t>Clean Energy Renewable Fuels LLC</w:t>
            </w:r>
          </w:p>
        </w:tc>
        <w:tc>
          <w:tcPr>
            <w:tcW w:w="970" w:type="dxa"/>
            <w:noWrap/>
            <w:vAlign w:val="center"/>
            <w:hideMark/>
          </w:tcPr>
          <w:p w:rsidRPr="00D754A3" w:rsidR="005971EA" w:rsidP="00117284" w:rsidRDefault="005971EA" w14:paraId="41D7C580"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0DC09AEA"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103CD90" w14:textId="2E84AE07">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9F1DCE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4EB3C68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61D52A8C"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CE2B74"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565DEE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30241A22" w14:textId="77777777">
            <w:pPr>
              <w:spacing w:after="0"/>
              <w:jc w:val="right"/>
              <w:rPr>
                <w:rFonts w:ascii="Garamond" w:hAnsi="Garamond"/>
                <w:sz w:val="20"/>
                <w:szCs w:val="20"/>
              </w:rPr>
            </w:pPr>
            <w:r w:rsidRPr="0065737C">
              <w:rPr>
                <w:rFonts w:ascii="Garamond" w:hAnsi="Garamond"/>
                <w:color w:val="000000"/>
                <w:sz w:val="20"/>
                <w:szCs w:val="20"/>
              </w:rPr>
              <w:t>$0.00</w:t>
            </w:r>
          </w:p>
        </w:tc>
        <w:tc>
          <w:tcPr>
            <w:tcW w:w="1195" w:type="dxa"/>
            <w:noWrap/>
            <w:vAlign w:val="center"/>
            <w:hideMark/>
          </w:tcPr>
          <w:p w:rsidRPr="003F3171" w:rsidR="005971EA" w:rsidP="00117284" w:rsidRDefault="005971EA" w14:paraId="740B4D42" w14:textId="77777777">
            <w:pPr>
              <w:spacing w:after="0"/>
              <w:jc w:val="right"/>
              <w:rPr>
                <w:rFonts w:ascii="Garamond" w:hAnsi="Garamond"/>
                <w:sz w:val="20"/>
                <w:szCs w:val="20"/>
              </w:rPr>
            </w:pPr>
            <w:r w:rsidRPr="0065737C">
              <w:rPr>
                <w:rFonts w:ascii="Garamond" w:hAnsi="Garamond"/>
                <w:color w:val="000000"/>
                <w:sz w:val="20"/>
                <w:szCs w:val="20"/>
              </w:rPr>
              <w:t>$5,000.00</w:t>
            </w:r>
          </w:p>
        </w:tc>
        <w:tc>
          <w:tcPr>
            <w:tcW w:w="1192" w:type="dxa"/>
            <w:vAlign w:val="center"/>
            <w:hideMark/>
          </w:tcPr>
          <w:p w:rsidRPr="003F3171" w:rsidR="005971EA" w:rsidP="00117284" w:rsidRDefault="005971EA" w14:paraId="709FE50B" w14:textId="77777777">
            <w:pPr>
              <w:spacing w:after="0"/>
              <w:jc w:val="right"/>
              <w:rPr>
                <w:rFonts w:ascii="Garamond" w:hAnsi="Garamond"/>
                <w:sz w:val="20"/>
                <w:szCs w:val="20"/>
              </w:rPr>
            </w:pPr>
            <w:r w:rsidRPr="0065737C">
              <w:rPr>
                <w:rFonts w:ascii="Garamond" w:hAnsi="Garamond"/>
                <w:color w:val="000000"/>
                <w:sz w:val="20"/>
                <w:szCs w:val="20"/>
              </w:rPr>
              <w:t>$5,000.00</w:t>
            </w:r>
          </w:p>
        </w:tc>
      </w:tr>
      <w:tr w:rsidRPr="00A01783" w:rsidR="00ED6C18" w:rsidTr="1BF69C51" w14:paraId="19FBC2B1" w14:textId="77777777">
        <w:trPr>
          <w:trHeight w:val="264"/>
        </w:trPr>
        <w:tc>
          <w:tcPr>
            <w:tcW w:w="1635" w:type="dxa"/>
            <w:vAlign w:val="center"/>
            <w:hideMark/>
          </w:tcPr>
          <w:p w:rsidRPr="00200519" w:rsidR="005971EA" w:rsidP="00117284" w:rsidRDefault="005971EA" w14:paraId="6FD79A95" w14:textId="77777777">
            <w:pPr>
              <w:spacing w:after="0"/>
              <w:rPr>
                <w:rFonts w:ascii="Garamond" w:hAnsi="Garamond"/>
                <w:sz w:val="20"/>
                <w:szCs w:val="20"/>
              </w:rPr>
            </w:pPr>
            <w:r w:rsidRPr="00200519">
              <w:rPr>
                <w:rFonts w:ascii="Garamond" w:hAnsi="Garamond"/>
                <w:sz w:val="20"/>
              </w:rPr>
              <w:t>Commercial Energy of Montana Inc </w:t>
            </w:r>
          </w:p>
        </w:tc>
        <w:tc>
          <w:tcPr>
            <w:tcW w:w="970" w:type="dxa"/>
            <w:noWrap/>
            <w:vAlign w:val="center"/>
            <w:hideMark/>
          </w:tcPr>
          <w:p w:rsidRPr="00D754A3" w:rsidR="005971EA" w:rsidP="00117284" w:rsidRDefault="005971EA" w14:paraId="3D5242A9"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17D4230A"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05101B6" w14:textId="0C4F1DFB">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EBB7D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9BB546A"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22A25E05"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FDB4DE"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2510745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034B7F87" w14:textId="77777777">
            <w:pPr>
              <w:spacing w:after="0"/>
              <w:jc w:val="right"/>
              <w:rPr>
                <w:rFonts w:ascii="Garamond" w:hAnsi="Garamond"/>
                <w:sz w:val="20"/>
                <w:szCs w:val="20"/>
              </w:rPr>
            </w:pPr>
            <w:r w:rsidRPr="0065737C">
              <w:rPr>
                <w:rFonts w:ascii="Garamond" w:hAnsi="Garamond"/>
                <w:color w:val="000000"/>
                <w:sz w:val="20"/>
                <w:szCs w:val="20"/>
              </w:rPr>
              <w:t>$0.00</w:t>
            </w:r>
          </w:p>
        </w:tc>
        <w:tc>
          <w:tcPr>
            <w:tcW w:w="1195" w:type="dxa"/>
            <w:noWrap/>
            <w:vAlign w:val="center"/>
            <w:hideMark/>
          </w:tcPr>
          <w:p w:rsidRPr="003F3171" w:rsidR="005971EA" w:rsidP="00117284" w:rsidRDefault="005971EA" w14:paraId="02681CB0"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6F2139B8"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29D5B03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4B6173C7" w14:textId="77777777">
            <w:pPr>
              <w:spacing w:after="0"/>
              <w:rPr>
                <w:rFonts w:ascii="Garamond" w:hAnsi="Garamond"/>
                <w:sz w:val="20"/>
                <w:szCs w:val="20"/>
              </w:rPr>
            </w:pPr>
            <w:r w:rsidRPr="00200519">
              <w:rPr>
                <w:rFonts w:ascii="Garamond" w:hAnsi="Garamond"/>
                <w:sz w:val="20"/>
              </w:rPr>
              <w:lastRenderedPageBreak/>
              <w:t xml:space="preserve">Constellation </w:t>
            </w:r>
            <w:proofErr w:type="spellStart"/>
            <w:r w:rsidRPr="00200519">
              <w:rPr>
                <w:rFonts w:ascii="Garamond" w:hAnsi="Garamond"/>
                <w:sz w:val="20"/>
              </w:rPr>
              <w:t>NewEnergy</w:t>
            </w:r>
            <w:proofErr w:type="spellEnd"/>
            <w:r w:rsidRPr="00200519">
              <w:rPr>
                <w:rFonts w:ascii="Garamond" w:hAnsi="Garamond"/>
                <w:sz w:val="20"/>
              </w:rPr>
              <w:t xml:space="preserve"> - Gas Division LLC </w:t>
            </w:r>
          </w:p>
        </w:tc>
        <w:tc>
          <w:tcPr>
            <w:tcW w:w="970" w:type="dxa"/>
            <w:noWrap/>
            <w:vAlign w:val="center"/>
            <w:hideMark/>
          </w:tcPr>
          <w:p w:rsidRPr="00D754A3" w:rsidR="005971EA" w:rsidP="00117284" w:rsidRDefault="005971EA" w14:paraId="74A364F8"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3B656977"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C8BDF4F" w14:textId="183CE26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5D02B4D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4BDF649B"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54236E5E"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6E4DE0BD"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3CB3B5A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554BF52C"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5E097359"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2B9AF96C"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C033BA7" w14:textId="77777777">
        <w:trPr>
          <w:trHeight w:val="264"/>
        </w:trPr>
        <w:tc>
          <w:tcPr>
            <w:tcW w:w="1635" w:type="dxa"/>
            <w:vAlign w:val="center"/>
            <w:hideMark/>
          </w:tcPr>
          <w:p w:rsidRPr="00200519" w:rsidR="005971EA" w:rsidP="00117284" w:rsidRDefault="005971EA" w14:paraId="2D108324" w14:textId="77777777">
            <w:pPr>
              <w:spacing w:after="0"/>
              <w:rPr>
                <w:rFonts w:ascii="Garamond" w:hAnsi="Garamond"/>
                <w:sz w:val="20"/>
                <w:szCs w:val="20"/>
              </w:rPr>
            </w:pPr>
            <w:r w:rsidRPr="00200519">
              <w:rPr>
                <w:rFonts w:ascii="Garamond" w:hAnsi="Garamond"/>
                <w:sz w:val="20"/>
              </w:rPr>
              <w:t>Direct Energy Business LLC</w:t>
            </w:r>
          </w:p>
        </w:tc>
        <w:tc>
          <w:tcPr>
            <w:tcW w:w="970" w:type="dxa"/>
            <w:noWrap/>
            <w:vAlign w:val="center"/>
            <w:hideMark/>
          </w:tcPr>
          <w:p w:rsidRPr="00D754A3" w:rsidR="005971EA" w:rsidP="00117284" w:rsidRDefault="005971EA" w14:paraId="6D83D59D"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75A6EA8F"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1F8159FA" w14:textId="3DAEC365">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4065803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10F3D6BC"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7581923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06D3DA86"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872E82D"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3B41C13E"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649F3885"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4B482DB8"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021BE4BB"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6ED4327D" w14:textId="77777777">
            <w:pPr>
              <w:spacing w:after="0"/>
              <w:rPr>
                <w:rFonts w:ascii="Garamond" w:hAnsi="Garamond"/>
                <w:sz w:val="20"/>
                <w:szCs w:val="20"/>
              </w:rPr>
            </w:pPr>
            <w:r w:rsidRPr="00200519">
              <w:rPr>
                <w:rFonts w:ascii="Garamond" w:hAnsi="Garamond"/>
                <w:sz w:val="20"/>
              </w:rPr>
              <w:t>Everyday Energy LLC </w:t>
            </w:r>
          </w:p>
        </w:tc>
        <w:tc>
          <w:tcPr>
            <w:tcW w:w="970" w:type="dxa"/>
            <w:noWrap/>
            <w:vAlign w:val="center"/>
            <w:hideMark/>
          </w:tcPr>
          <w:p w:rsidRPr="00D754A3" w:rsidR="005971EA" w:rsidP="00117284" w:rsidRDefault="005971EA" w14:paraId="5DA1D11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23DEED38"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A3F47F9" w14:textId="4DCD29E2">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28B8F20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5A28BBF8"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67C00E5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DF39D2A"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15E1218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8CF5C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461BB5DF"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301D081A"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67544E28" w14:textId="77777777">
        <w:trPr>
          <w:trHeight w:val="528"/>
        </w:trPr>
        <w:tc>
          <w:tcPr>
            <w:tcW w:w="1635" w:type="dxa"/>
            <w:vAlign w:val="center"/>
            <w:hideMark/>
          </w:tcPr>
          <w:p w:rsidRPr="00200519" w:rsidR="005971EA" w:rsidP="00117284" w:rsidRDefault="005971EA" w14:paraId="15D67FC3" w14:textId="77777777">
            <w:pPr>
              <w:spacing w:after="0"/>
              <w:rPr>
                <w:rFonts w:ascii="Garamond" w:hAnsi="Garamond"/>
                <w:sz w:val="20"/>
                <w:szCs w:val="20"/>
              </w:rPr>
            </w:pPr>
            <w:r w:rsidRPr="00200519">
              <w:rPr>
                <w:rFonts w:ascii="Garamond" w:hAnsi="Garamond"/>
                <w:sz w:val="20"/>
              </w:rPr>
              <w:t>GHI Energy LLC</w:t>
            </w:r>
          </w:p>
        </w:tc>
        <w:tc>
          <w:tcPr>
            <w:tcW w:w="970" w:type="dxa"/>
            <w:noWrap/>
            <w:vAlign w:val="center"/>
            <w:hideMark/>
          </w:tcPr>
          <w:p w:rsidRPr="00D754A3" w:rsidR="005971EA" w:rsidP="00117284" w:rsidRDefault="005971EA" w14:paraId="60F00EF0" w14:textId="77777777">
            <w:pPr>
              <w:spacing w:after="0"/>
              <w:jc w:val="right"/>
              <w:rPr>
                <w:rFonts w:ascii="Garamond" w:hAnsi="Garamond" w:cs="Calibri"/>
                <w:sz w:val="20"/>
                <w:szCs w:val="20"/>
              </w:rPr>
            </w:pPr>
            <w:r w:rsidRPr="00D754A3">
              <w:rPr>
                <w:rFonts w:ascii="Garamond" w:hAnsi="Garamond" w:cs="Calibri"/>
                <w:sz w:val="20"/>
                <w:szCs w:val="20"/>
              </w:rPr>
              <w:t>0</w:t>
            </w:r>
          </w:p>
        </w:tc>
        <w:tc>
          <w:tcPr>
            <w:tcW w:w="1181" w:type="dxa"/>
            <w:noWrap/>
            <w:vAlign w:val="center"/>
            <w:hideMark/>
          </w:tcPr>
          <w:p w:rsidRPr="00CB4098" w:rsidR="005971EA" w:rsidP="00117284" w:rsidRDefault="005971EA" w14:paraId="747A08BE" w14:textId="77777777">
            <w:pPr>
              <w:spacing w:after="0"/>
              <w:jc w:val="right"/>
              <w:rPr>
                <w:rFonts w:ascii="Garamond" w:hAnsi="Garamond"/>
                <w:sz w:val="20"/>
                <w:szCs w:val="20"/>
              </w:rPr>
            </w:pPr>
            <w:r w:rsidRPr="00BF35B0">
              <w:rPr>
                <w:rFonts w:ascii="Garamond" w:hAnsi="Garamond"/>
                <w:sz w:val="20"/>
                <w:szCs w:val="20"/>
              </w:rPr>
              <w:t>0</w:t>
            </w:r>
          </w:p>
        </w:tc>
        <w:tc>
          <w:tcPr>
            <w:tcW w:w="1339" w:type="dxa"/>
            <w:noWrap/>
            <w:vAlign w:val="center"/>
            <w:hideMark/>
          </w:tcPr>
          <w:p w:rsidRPr="00935490" w:rsidR="005971EA" w:rsidP="00117284" w:rsidRDefault="005971EA" w14:paraId="08AE4F06" w14:textId="4E79D05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221A3F2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3F631FB"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76E85075"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639662"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C8D0D7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1A494161"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075DE8DA"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38BAB907"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5D8779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6D25BD21" w14:textId="77777777">
            <w:pPr>
              <w:spacing w:after="0"/>
              <w:rPr>
                <w:rFonts w:ascii="Garamond" w:hAnsi="Garamond"/>
                <w:sz w:val="20"/>
                <w:szCs w:val="20"/>
              </w:rPr>
            </w:pPr>
            <w:proofErr w:type="spellStart"/>
            <w:r w:rsidRPr="00200519">
              <w:rPr>
                <w:rFonts w:ascii="Garamond" w:hAnsi="Garamond"/>
                <w:sz w:val="20"/>
              </w:rPr>
              <w:t>Greenwave</w:t>
            </w:r>
            <w:proofErr w:type="spellEnd"/>
            <w:r w:rsidRPr="00200519">
              <w:rPr>
                <w:rFonts w:ascii="Garamond" w:hAnsi="Garamond"/>
                <w:sz w:val="20"/>
              </w:rPr>
              <w:t xml:space="preserve"> Energy LLC</w:t>
            </w:r>
          </w:p>
        </w:tc>
        <w:tc>
          <w:tcPr>
            <w:tcW w:w="970" w:type="dxa"/>
            <w:noWrap/>
            <w:vAlign w:val="center"/>
            <w:hideMark/>
          </w:tcPr>
          <w:p w:rsidRPr="00D754A3" w:rsidR="005971EA" w:rsidP="00117284" w:rsidRDefault="005971EA" w14:paraId="5BD59EC9" w14:textId="77777777">
            <w:pPr>
              <w:spacing w:after="0"/>
              <w:jc w:val="right"/>
              <w:rPr>
                <w:rFonts w:ascii="Garamond" w:hAnsi="Garamond" w:cs="Calibri"/>
                <w:sz w:val="20"/>
                <w:szCs w:val="20"/>
              </w:rPr>
            </w:pPr>
            <w:r w:rsidRPr="00D754A3">
              <w:rPr>
                <w:rFonts w:ascii="Garamond" w:hAnsi="Garamond" w:cs="Calibri"/>
                <w:color w:val="000000"/>
                <w:sz w:val="20"/>
                <w:szCs w:val="20"/>
              </w:rPr>
              <w:t>39</w:t>
            </w:r>
          </w:p>
        </w:tc>
        <w:tc>
          <w:tcPr>
            <w:tcW w:w="1181" w:type="dxa"/>
            <w:noWrap/>
            <w:vAlign w:val="center"/>
            <w:hideMark/>
          </w:tcPr>
          <w:p w:rsidRPr="00CB4098" w:rsidR="005971EA" w:rsidP="00117284" w:rsidRDefault="005971EA" w14:paraId="2D397257" w14:textId="77777777">
            <w:pPr>
              <w:spacing w:after="0"/>
              <w:jc w:val="right"/>
              <w:rPr>
                <w:rFonts w:ascii="Garamond" w:hAnsi="Garamond"/>
                <w:sz w:val="20"/>
                <w:szCs w:val="20"/>
              </w:rPr>
            </w:pPr>
            <w:r w:rsidRPr="00BF35B0">
              <w:rPr>
                <w:rFonts w:ascii="Garamond" w:hAnsi="Garamond"/>
                <w:color w:val="000000"/>
                <w:sz w:val="20"/>
                <w:szCs w:val="20"/>
              </w:rPr>
              <w:t>41</w:t>
            </w:r>
          </w:p>
        </w:tc>
        <w:tc>
          <w:tcPr>
            <w:tcW w:w="1339" w:type="dxa"/>
            <w:noWrap/>
            <w:vAlign w:val="center"/>
            <w:hideMark/>
          </w:tcPr>
          <w:p w:rsidRPr="00935490" w:rsidR="005971EA" w:rsidP="00117284" w:rsidRDefault="005971EA" w14:paraId="0FE44DF9" w14:textId="0948A2CE">
            <w:pPr>
              <w:spacing w:after="0"/>
              <w:jc w:val="right"/>
              <w:rPr>
                <w:rFonts w:ascii="Garamond" w:hAnsi="Garamond"/>
                <w:sz w:val="20"/>
                <w:szCs w:val="20"/>
              </w:rPr>
            </w:pPr>
            <w:r w:rsidRPr="29A95352">
              <w:rPr>
                <w:rFonts w:ascii="Garamond" w:hAnsi="Garamond" w:cs="Arial"/>
                <w:color w:val="000000" w:themeColor="text1"/>
                <w:sz w:val="20"/>
                <w:szCs w:val="20"/>
              </w:rPr>
              <w:t>10</w:t>
            </w:r>
          </w:p>
        </w:tc>
        <w:tc>
          <w:tcPr>
            <w:tcW w:w="1170" w:type="dxa"/>
            <w:noWrap/>
            <w:vAlign w:val="center"/>
            <w:hideMark/>
          </w:tcPr>
          <w:p w:rsidRPr="00C212E4" w:rsidR="005971EA" w:rsidP="00117284" w:rsidRDefault="005971EA" w14:paraId="448FFF2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33D6A9D" w14:textId="77777777">
            <w:pPr>
              <w:spacing w:after="0"/>
              <w:jc w:val="right"/>
              <w:rPr>
                <w:rFonts w:ascii="Garamond" w:hAnsi="Garamond"/>
                <w:sz w:val="20"/>
                <w:szCs w:val="20"/>
              </w:rPr>
            </w:pPr>
            <w:r w:rsidRPr="00DD6ADF">
              <w:rPr>
                <w:rFonts w:ascii="Garamond" w:hAnsi="Garamond"/>
                <w:color w:val="000000"/>
                <w:sz w:val="20"/>
                <w:szCs w:val="20"/>
              </w:rPr>
              <w:t>$231.64</w:t>
            </w:r>
          </w:p>
        </w:tc>
        <w:tc>
          <w:tcPr>
            <w:tcW w:w="1146" w:type="dxa"/>
            <w:noWrap/>
            <w:vAlign w:val="center"/>
            <w:hideMark/>
          </w:tcPr>
          <w:p w:rsidRPr="002A7D7B" w:rsidR="005971EA" w:rsidP="00117284" w:rsidRDefault="005971EA" w14:paraId="4630003F" w14:textId="77777777">
            <w:pPr>
              <w:spacing w:after="0"/>
              <w:jc w:val="right"/>
              <w:rPr>
                <w:rFonts w:ascii="Garamond" w:hAnsi="Garamond"/>
                <w:sz w:val="20"/>
                <w:szCs w:val="20"/>
              </w:rPr>
            </w:pPr>
            <w:r w:rsidRPr="00967FD6">
              <w:rPr>
                <w:rFonts w:ascii="Garamond" w:hAnsi="Garamond"/>
                <w:color w:val="000000"/>
                <w:sz w:val="20"/>
                <w:szCs w:val="20"/>
              </w:rPr>
              <w:t>$7,770.33</w:t>
            </w:r>
          </w:p>
        </w:tc>
        <w:tc>
          <w:tcPr>
            <w:tcW w:w="1322" w:type="dxa"/>
            <w:noWrap/>
            <w:vAlign w:val="center"/>
            <w:hideMark/>
          </w:tcPr>
          <w:p w:rsidRPr="00D23015" w:rsidR="005971EA" w:rsidP="00117284" w:rsidRDefault="005971EA" w14:paraId="3A864A5A" w14:textId="77777777">
            <w:pPr>
              <w:spacing w:after="0"/>
              <w:jc w:val="right"/>
              <w:rPr>
                <w:rFonts w:ascii="Garamond" w:hAnsi="Garamond"/>
                <w:sz w:val="20"/>
                <w:szCs w:val="20"/>
              </w:rPr>
            </w:pPr>
            <w:r w:rsidRPr="00D23015">
              <w:rPr>
                <w:rFonts w:ascii="Garamond" w:hAnsi="Garamond"/>
                <w:color w:val="000000"/>
                <w:sz w:val="20"/>
                <w:szCs w:val="20"/>
              </w:rPr>
              <w:t>$6,804.32</w:t>
            </w:r>
          </w:p>
        </w:tc>
        <w:tc>
          <w:tcPr>
            <w:tcW w:w="1073" w:type="dxa"/>
            <w:noWrap/>
            <w:vAlign w:val="center"/>
            <w:hideMark/>
          </w:tcPr>
          <w:p w:rsidRPr="001F260B" w:rsidR="005971EA" w:rsidP="00117284" w:rsidRDefault="005971EA" w14:paraId="4CDF33E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9D67976" w14:textId="77777777">
            <w:pPr>
              <w:spacing w:after="0"/>
              <w:jc w:val="right"/>
              <w:rPr>
                <w:rFonts w:ascii="Garamond" w:hAnsi="Garamond"/>
                <w:sz w:val="20"/>
                <w:szCs w:val="20"/>
              </w:rPr>
            </w:pPr>
            <w:r w:rsidRPr="007B002C">
              <w:rPr>
                <w:rFonts w:ascii="Garamond" w:hAnsi="Garamond"/>
                <w:color w:val="000000"/>
                <w:sz w:val="20"/>
                <w:szCs w:val="20"/>
              </w:rPr>
              <w:t>$14,806.29</w:t>
            </w:r>
          </w:p>
        </w:tc>
        <w:tc>
          <w:tcPr>
            <w:tcW w:w="1195" w:type="dxa"/>
            <w:noWrap/>
            <w:vAlign w:val="center"/>
            <w:hideMark/>
          </w:tcPr>
          <w:p w:rsidRPr="003F3171" w:rsidR="005971EA" w:rsidP="00117284" w:rsidRDefault="005971EA" w14:paraId="23FE7039"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7323F1B4" w14:textId="77777777">
            <w:pPr>
              <w:spacing w:after="0"/>
              <w:jc w:val="right"/>
              <w:rPr>
                <w:rFonts w:ascii="Garamond" w:hAnsi="Garamond"/>
                <w:sz w:val="20"/>
                <w:szCs w:val="20"/>
              </w:rPr>
            </w:pPr>
            <w:r w:rsidRPr="007B002C">
              <w:rPr>
                <w:rFonts w:ascii="Garamond" w:hAnsi="Garamond"/>
                <w:color w:val="000000"/>
                <w:sz w:val="20"/>
                <w:szCs w:val="20"/>
              </w:rPr>
              <w:t>$19,806.29</w:t>
            </w:r>
          </w:p>
        </w:tc>
      </w:tr>
      <w:tr w:rsidRPr="00A01783" w:rsidR="00ED6C18" w:rsidTr="1BF69C51" w14:paraId="7A93C59D" w14:textId="77777777">
        <w:trPr>
          <w:trHeight w:val="264"/>
        </w:trPr>
        <w:tc>
          <w:tcPr>
            <w:tcW w:w="1635" w:type="dxa"/>
            <w:vAlign w:val="center"/>
            <w:hideMark/>
          </w:tcPr>
          <w:p w:rsidRPr="00200519" w:rsidR="005971EA" w:rsidP="00117284" w:rsidRDefault="005971EA" w14:paraId="22E1B3B7" w14:textId="77777777">
            <w:pPr>
              <w:spacing w:after="0"/>
              <w:rPr>
                <w:rFonts w:ascii="Garamond" w:hAnsi="Garamond"/>
                <w:sz w:val="20"/>
                <w:szCs w:val="20"/>
              </w:rPr>
            </w:pPr>
            <w:r w:rsidRPr="00200519">
              <w:rPr>
                <w:rFonts w:ascii="Garamond" w:hAnsi="Garamond"/>
                <w:sz w:val="20"/>
              </w:rPr>
              <w:t>Interstate Gas Supply Inc</w:t>
            </w:r>
          </w:p>
        </w:tc>
        <w:tc>
          <w:tcPr>
            <w:tcW w:w="970" w:type="dxa"/>
            <w:noWrap/>
            <w:vAlign w:val="center"/>
            <w:hideMark/>
          </w:tcPr>
          <w:p w:rsidRPr="00D754A3" w:rsidR="005971EA" w:rsidP="00117284" w:rsidRDefault="005971EA" w14:paraId="47B833EB" w14:textId="77777777">
            <w:pPr>
              <w:spacing w:after="0"/>
              <w:jc w:val="right"/>
              <w:rPr>
                <w:rFonts w:ascii="Garamond" w:hAnsi="Garamond" w:cs="Calibri"/>
                <w:sz w:val="20"/>
                <w:szCs w:val="20"/>
              </w:rPr>
            </w:pPr>
            <w:r w:rsidRPr="00D754A3">
              <w:rPr>
                <w:rFonts w:ascii="Garamond" w:hAnsi="Garamond" w:cs="Calibri"/>
                <w:color w:val="000000"/>
                <w:sz w:val="20"/>
                <w:szCs w:val="20"/>
              </w:rPr>
              <w:t>1</w:t>
            </w:r>
          </w:p>
        </w:tc>
        <w:tc>
          <w:tcPr>
            <w:tcW w:w="1181" w:type="dxa"/>
            <w:noWrap/>
            <w:vAlign w:val="center"/>
            <w:hideMark/>
          </w:tcPr>
          <w:p w:rsidRPr="00CB4098" w:rsidR="005971EA" w:rsidP="00117284" w:rsidRDefault="005971EA" w14:paraId="00ACA04E"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98E9352" w14:textId="58048BBF">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6DB69976"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112A462C" w14:textId="77777777">
            <w:pPr>
              <w:spacing w:after="0"/>
              <w:jc w:val="right"/>
              <w:rPr>
                <w:rFonts w:ascii="Garamond" w:hAnsi="Garamond"/>
                <w:sz w:val="20"/>
                <w:szCs w:val="20"/>
              </w:rPr>
            </w:pPr>
            <w:r w:rsidRPr="00DD6ADF">
              <w:rPr>
                <w:rFonts w:ascii="Garamond" w:hAnsi="Garamond"/>
                <w:color w:val="000000"/>
                <w:sz w:val="20"/>
                <w:szCs w:val="20"/>
              </w:rPr>
              <w:t>$5.94</w:t>
            </w:r>
          </w:p>
        </w:tc>
        <w:tc>
          <w:tcPr>
            <w:tcW w:w="1146" w:type="dxa"/>
            <w:noWrap/>
            <w:vAlign w:val="center"/>
            <w:hideMark/>
          </w:tcPr>
          <w:p w:rsidRPr="002A7D7B" w:rsidR="005971EA" w:rsidP="00117284" w:rsidRDefault="005971EA" w14:paraId="1DD2B4A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769BDD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6EA3CF8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1D5CFDEE" w14:textId="77777777">
            <w:pPr>
              <w:spacing w:after="0"/>
              <w:jc w:val="right"/>
              <w:rPr>
                <w:rFonts w:ascii="Garamond" w:hAnsi="Garamond"/>
                <w:sz w:val="20"/>
                <w:szCs w:val="20"/>
              </w:rPr>
            </w:pPr>
            <w:r w:rsidRPr="007B002C">
              <w:rPr>
                <w:rFonts w:ascii="Garamond" w:hAnsi="Garamond"/>
                <w:color w:val="000000"/>
                <w:sz w:val="20"/>
                <w:szCs w:val="20"/>
              </w:rPr>
              <w:t>$5.94</w:t>
            </w:r>
          </w:p>
        </w:tc>
        <w:tc>
          <w:tcPr>
            <w:tcW w:w="1195" w:type="dxa"/>
            <w:noWrap/>
            <w:vAlign w:val="center"/>
            <w:hideMark/>
          </w:tcPr>
          <w:p w:rsidRPr="003F3171" w:rsidR="005971EA" w:rsidP="00117284" w:rsidRDefault="005971EA" w14:paraId="13865A6C"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2447953D" w14:textId="77777777">
            <w:pPr>
              <w:spacing w:after="0"/>
              <w:jc w:val="right"/>
              <w:rPr>
                <w:rFonts w:ascii="Garamond" w:hAnsi="Garamond"/>
                <w:sz w:val="20"/>
                <w:szCs w:val="20"/>
              </w:rPr>
            </w:pPr>
            <w:r w:rsidRPr="007B002C">
              <w:rPr>
                <w:rFonts w:ascii="Garamond" w:hAnsi="Garamond"/>
                <w:color w:val="000000"/>
                <w:sz w:val="20"/>
                <w:szCs w:val="20"/>
              </w:rPr>
              <w:t>$5,005.94</w:t>
            </w:r>
          </w:p>
        </w:tc>
      </w:tr>
      <w:tr w:rsidRPr="00A01783" w:rsidR="00ED6C18" w:rsidTr="1BF69C51" w14:paraId="3BB1754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30899302" w14:textId="77777777">
            <w:pPr>
              <w:spacing w:after="0"/>
              <w:rPr>
                <w:rFonts w:ascii="Garamond" w:hAnsi="Garamond"/>
                <w:sz w:val="20"/>
                <w:szCs w:val="20"/>
              </w:rPr>
            </w:pPr>
            <w:r w:rsidRPr="00200519">
              <w:rPr>
                <w:rFonts w:ascii="Garamond" w:hAnsi="Garamond"/>
                <w:sz w:val="20"/>
              </w:rPr>
              <w:t>Just Energy Solutions Inc.</w:t>
            </w:r>
          </w:p>
        </w:tc>
        <w:tc>
          <w:tcPr>
            <w:tcW w:w="970" w:type="dxa"/>
            <w:noWrap/>
            <w:vAlign w:val="center"/>
            <w:hideMark/>
          </w:tcPr>
          <w:p w:rsidRPr="00D754A3" w:rsidR="005971EA" w:rsidP="00117284" w:rsidRDefault="005971EA" w14:paraId="28D98493" w14:textId="77777777">
            <w:pPr>
              <w:spacing w:after="0"/>
              <w:jc w:val="right"/>
              <w:rPr>
                <w:rFonts w:ascii="Garamond" w:hAnsi="Garamond" w:cs="Calibri"/>
                <w:sz w:val="20"/>
                <w:szCs w:val="20"/>
              </w:rPr>
            </w:pPr>
            <w:r w:rsidRPr="00D754A3">
              <w:rPr>
                <w:rFonts w:ascii="Garamond" w:hAnsi="Garamond" w:cs="Calibri"/>
                <w:color w:val="000000"/>
                <w:sz w:val="20"/>
                <w:szCs w:val="20"/>
              </w:rPr>
              <w:t>9</w:t>
            </w:r>
          </w:p>
        </w:tc>
        <w:tc>
          <w:tcPr>
            <w:tcW w:w="1181" w:type="dxa"/>
            <w:noWrap/>
            <w:vAlign w:val="center"/>
            <w:hideMark/>
          </w:tcPr>
          <w:p w:rsidRPr="00CB4098" w:rsidR="005971EA" w:rsidP="00117284" w:rsidRDefault="005971EA" w14:paraId="3BBFD4DE" w14:textId="77777777">
            <w:pPr>
              <w:spacing w:after="0"/>
              <w:jc w:val="right"/>
              <w:rPr>
                <w:rFonts w:ascii="Garamond" w:hAnsi="Garamond"/>
                <w:sz w:val="20"/>
                <w:szCs w:val="20"/>
              </w:rPr>
            </w:pPr>
            <w:r w:rsidRPr="00BF35B0">
              <w:rPr>
                <w:rFonts w:ascii="Garamond" w:hAnsi="Garamond"/>
                <w:color w:val="000000"/>
                <w:sz w:val="20"/>
                <w:szCs w:val="20"/>
              </w:rPr>
              <w:t>4</w:t>
            </w:r>
          </w:p>
        </w:tc>
        <w:tc>
          <w:tcPr>
            <w:tcW w:w="1339" w:type="dxa"/>
            <w:noWrap/>
            <w:vAlign w:val="center"/>
            <w:hideMark/>
          </w:tcPr>
          <w:p w:rsidRPr="00935490" w:rsidR="005971EA" w:rsidP="00117284" w:rsidRDefault="005971EA" w14:paraId="49561DD7" w14:textId="37EE50BE">
            <w:pPr>
              <w:spacing w:after="0"/>
              <w:jc w:val="right"/>
              <w:rPr>
                <w:rFonts w:ascii="Garamond" w:hAnsi="Garamond"/>
                <w:sz w:val="20"/>
                <w:szCs w:val="20"/>
              </w:rPr>
            </w:pPr>
            <w:r w:rsidRPr="29A95352">
              <w:rPr>
                <w:rFonts w:ascii="Garamond" w:hAnsi="Garamond" w:cs="Arial"/>
                <w:color w:val="000000" w:themeColor="text1"/>
                <w:sz w:val="20"/>
                <w:szCs w:val="20"/>
              </w:rPr>
              <w:t>5</w:t>
            </w:r>
          </w:p>
        </w:tc>
        <w:tc>
          <w:tcPr>
            <w:tcW w:w="1170" w:type="dxa"/>
            <w:noWrap/>
            <w:vAlign w:val="center"/>
            <w:hideMark/>
          </w:tcPr>
          <w:p w:rsidRPr="00C212E4" w:rsidR="005971EA" w:rsidP="00117284" w:rsidRDefault="005971EA" w14:paraId="07C3AF1B"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C7F3C" w:rsidR="005971EA" w:rsidP="00117284" w:rsidRDefault="005971EA" w14:paraId="792144CB" w14:textId="77777777">
            <w:pPr>
              <w:spacing w:after="0"/>
              <w:jc w:val="right"/>
              <w:rPr>
                <w:rFonts w:ascii="Garamond" w:hAnsi="Garamond"/>
                <w:sz w:val="20"/>
                <w:szCs w:val="20"/>
              </w:rPr>
            </w:pPr>
            <w:r w:rsidRPr="00DD6ADF">
              <w:rPr>
                <w:rFonts w:ascii="Garamond" w:hAnsi="Garamond"/>
                <w:color w:val="000000"/>
                <w:sz w:val="20"/>
                <w:szCs w:val="20"/>
              </w:rPr>
              <w:t>$53.45</w:t>
            </w:r>
          </w:p>
        </w:tc>
        <w:tc>
          <w:tcPr>
            <w:tcW w:w="1146" w:type="dxa"/>
            <w:noWrap/>
            <w:vAlign w:val="center"/>
            <w:hideMark/>
          </w:tcPr>
          <w:p w:rsidRPr="002A7D7B" w:rsidR="005971EA" w:rsidP="00117284" w:rsidRDefault="005971EA" w14:paraId="0C592379" w14:textId="77777777">
            <w:pPr>
              <w:spacing w:after="0"/>
              <w:jc w:val="right"/>
              <w:rPr>
                <w:rFonts w:ascii="Garamond" w:hAnsi="Garamond"/>
                <w:sz w:val="20"/>
                <w:szCs w:val="20"/>
              </w:rPr>
            </w:pPr>
            <w:r w:rsidRPr="00967FD6">
              <w:rPr>
                <w:rFonts w:ascii="Garamond" w:hAnsi="Garamond"/>
                <w:color w:val="000000"/>
                <w:sz w:val="20"/>
                <w:szCs w:val="20"/>
              </w:rPr>
              <w:t>$758.08</w:t>
            </w:r>
          </w:p>
        </w:tc>
        <w:tc>
          <w:tcPr>
            <w:tcW w:w="1322" w:type="dxa"/>
            <w:noWrap/>
            <w:vAlign w:val="center"/>
            <w:hideMark/>
          </w:tcPr>
          <w:p w:rsidRPr="00D23015" w:rsidR="005971EA" w:rsidP="00117284" w:rsidRDefault="005971EA" w14:paraId="52B29905" w14:textId="77777777">
            <w:pPr>
              <w:spacing w:after="0"/>
              <w:jc w:val="right"/>
              <w:rPr>
                <w:rFonts w:ascii="Garamond" w:hAnsi="Garamond"/>
                <w:sz w:val="20"/>
                <w:szCs w:val="20"/>
              </w:rPr>
            </w:pPr>
            <w:r w:rsidRPr="00D23015">
              <w:rPr>
                <w:rFonts w:ascii="Garamond" w:hAnsi="Garamond"/>
                <w:color w:val="000000"/>
                <w:sz w:val="20"/>
                <w:szCs w:val="20"/>
              </w:rPr>
              <w:t>$3,402.16</w:t>
            </w:r>
          </w:p>
        </w:tc>
        <w:tc>
          <w:tcPr>
            <w:tcW w:w="1073" w:type="dxa"/>
            <w:noWrap/>
            <w:vAlign w:val="center"/>
            <w:hideMark/>
          </w:tcPr>
          <w:p w:rsidRPr="001F260B" w:rsidR="005971EA" w:rsidP="00117284" w:rsidRDefault="005971EA" w14:paraId="28A53A45"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3F3171" w:rsidR="005971EA" w:rsidP="00117284" w:rsidRDefault="005971EA" w14:paraId="65B940A8" w14:textId="77777777">
            <w:pPr>
              <w:spacing w:after="0"/>
              <w:jc w:val="right"/>
              <w:rPr>
                <w:rFonts w:ascii="Garamond" w:hAnsi="Garamond"/>
                <w:sz w:val="20"/>
                <w:szCs w:val="20"/>
              </w:rPr>
            </w:pPr>
            <w:r w:rsidRPr="007B002C">
              <w:rPr>
                <w:rFonts w:ascii="Garamond" w:hAnsi="Garamond"/>
                <w:color w:val="000000"/>
                <w:sz w:val="20"/>
                <w:szCs w:val="20"/>
              </w:rPr>
              <w:t>$4,952.86</w:t>
            </w:r>
          </w:p>
        </w:tc>
        <w:tc>
          <w:tcPr>
            <w:tcW w:w="1195" w:type="dxa"/>
            <w:noWrap/>
            <w:vAlign w:val="center"/>
            <w:hideMark/>
          </w:tcPr>
          <w:p w:rsidRPr="003F3171" w:rsidR="005971EA" w:rsidP="00117284" w:rsidRDefault="005971EA" w14:paraId="0EF253D6"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0186F450" w14:textId="77777777">
            <w:pPr>
              <w:spacing w:after="0"/>
              <w:jc w:val="right"/>
              <w:rPr>
                <w:rFonts w:ascii="Garamond" w:hAnsi="Garamond"/>
                <w:sz w:val="20"/>
                <w:szCs w:val="20"/>
              </w:rPr>
            </w:pPr>
            <w:r w:rsidRPr="007B002C">
              <w:rPr>
                <w:rFonts w:ascii="Garamond" w:hAnsi="Garamond"/>
                <w:color w:val="000000"/>
                <w:sz w:val="20"/>
                <w:szCs w:val="20"/>
              </w:rPr>
              <w:t>$9,952.86</w:t>
            </w:r>
          </w:p>
        </w:tc>
      </w:tr>
      <w:tr w:rsidRPr="006527B6" w:rsidR="0072535A" w:rsidTr="006527B6" w14:paraId="11130593" w14:textId="77777777">
        <w:trPr>
          <w:trHeight w:val="264"/>
        </w:trPr>
        <w:tc>
          <w:tcPr>
            <w:tcW w:w="1635" w:type="dxa"/>
          </w:tcPr>
          <w:p w:rsidRPr="006429C7" w:rsidR="0072535A" w:rsidP="0072535A" w:rsidRDefault="0072535A" w14:paraId="673BDE04" w14:textId="2CCA8864">
            <w:pPr>
              <w:rPr>
                <w:rFonts w:ascii="Garamond" w:hAnsi="Garamond"/>
                <w:sz w:val="20"/>
              </w:rPr>
            </w:pPr>
            <w:r w:rsidRPr="006527B6">
              <w:rPr>
                <w:rFonts w:ascii="Garamond" w:hAnsi="Garamond"/>
                <w:sz w:val="20"/>
                <w:szCs w:val="20"/>
              </w:rPr>
              <w:t>Lumeo Ventures, LLC</w:t>
            </w:r>
          </w:p>
        </w:tc>
        <w:tc>
          <w:tcPr>
            <w:tcW w:w="970" w:type="dxa"/>
            <w:noWrap/>
            <w:vAlign w:val="bottom"/>
          </w:tcPr>
          <w:p w:rsidRPr="006429C7" w:rsidR="0072535A" w:rsidP="0072535A" w:rsidRDefault="0072535A" w14:paraId="7EC139A8" w14:textId="70DF3E64">
            <w:pPr>
              <w:jc w:val="right"/>
              <w:rPr>
                <w:rFonts w:ascii="Garamond" w:hAnsi="Garamond" w:cs="Calibri"/>
                <w:color w:val="000000"/>
                <w:sz w:val="20"/>
              </w:rPr>
            </w:pPr>
            <w:r w:rsidRPr="006527B6">
              <w:rPr>
                <w:rFonts w:ascii="Garamond" w:hAnsi="Garamond" w:cs="Calibri"/>
                <w:color w:val="000000"/>
                <w:sz w:val="20"/>
                <w:szCs w:val="20"/>
              </w:rPr>
              <w:t>0</w:t>
            </w:r>
          </w:p>
        </w:tc>
        <w:tc>
          <w:tcPr>
            <w:tcW w:w="1181" w:type="dxa"/>
            <w:noWrap/>
            <w:vAlign w:val="bottom"/>
          </w:tcPr>
          <w:p w:rsidRPr="006429C7" w:rsidR="0072535A" w:rsidP="0072535A" w:rsidRDefault="0072535A" w14:paraId="55CDEC0C" w14:textId="3F6968E8">
            <w:pPr>
              <w:jc w:val="right"/>
              <w:rPr>
                <w:rFonts w:ascii="Garamond" w:hAnsi="Garamond"/>
                <w:color w:val="000000"/>
                <w:sz w:val="20"/>
              </w:rPr>
            </w:pPr>
            <w:r w:rsidRPr="006527B6">
              <w:rPr>
                <w:rFonts w:ascii="Garamond" w:hAnsi="Garamond" w:cs="Arial"/>
                <w:color w:val="000000"/>
                <w:sz w:val="20"/>
                <w:szCs w:val="20"/>
              </w:rPr>
              <w:t>0</w:t>
            </w:r>
          </w:p>
        </w:tc>
        <w:tc>
          <w:tcPr>
            <w:tcW w:w="1339" w:type="dxa"/>
            <w:noWrap/>
            <w:vAlign w:val="bottom"/>
          </w:tcPr>
          <w:p w:rsidRPr="006429C7" w:rsidR="0072535A" w:rsidP="0072535A" w:rsidRDefault="0072535A" w14:paraId="57E578AD" w14:textId="49EA5962">
            <w:pPr>
              <w:jc w:val="right"/>
              <w:rPr>
                <w:rFonts w:ascii="Garamond" w:hAnsi="Garamond" w:cs="Arial"/>
                <w:color w:val="000000" w:themeColor="text1"/>
                <w:sz w:val="20"/>
              </w:rPr>
            </w:pPr>
            <w:r w:rsidRPr="006429C7">
              <w:rPr>
                <w:rFonts w:ascii="Garamond" w:hAnsi="Garamond" w:cs="Arial"/>
                <w:color w:val="000000"/>
                <w:sz w:val="20"/>
                <w:szCs w:val="20"/>
              </w:rPr>
              <w:t>0</w:t>
            </w:r>
          </w:p>
        </w:tc>
        <w:tc>
          <w:tcPr>
            <w:tcW w:w="1170" w:type="dxa"/>
            <w:noWrap/>
            <w:vAlign w:val="bottom"/>
          </w:tcPr>
          <w:p w:rsidRPr="006429C7" w:rsidR="0072535A" w:rsidP="0072535A" w:rsidRDefault="0072535A" w14:paraId="19536967" w14:textId="3E73DAEB">
            <w:pPr>
              <w:jc w:val="right"/>
              <w:rPr>
                <w:rFonts w:ascii="Garamond" w:hAnsi="Garamond"/>
                <w:color w:val="000000"/>
                <w:sz w:val="20"/>
              </w:rPr>
            </w:pPr>
            <w:r w:rsidRPr="006527B6">
              <w:rPr>
                <w:rFonts w:ascii="Garamond" w:hAnsi="Garamond" w:cs="Arial"/>
                <w:color w:val="000000"/>
                <w:sz w:val="20"/>
                <w:szCs w:val="20"/>
              </w:rPr>
              <w:t>0</w:t>
            </w:r>
          </w:p>
        </w:tc>
        <w:tc>
          <w:tcPr>
            <w:tcW w:w="1139" w:type="dxa"/>
            <w:noWrap/>
            <w:vAlign w:val="bottom"/>
          </w:tcPr>
          <w:p w:rsidRPr="006429C7" w:rsidR="0072535A" w:rsidP="0072535A" w:rsidRDefault="0072535A" w14:paraId="2FFF651E" w14:textId="7DA24CCC">
            <w:pPr>
              <w:jc w:val="right"/>
              <w:rPr>
                <w:rFonts w:ascii="Garamond" w:hAnsi="Garamond"/>
                <w:color w:val="000000"/>
                <w:sz w:val="20"/>
              </w:rPr>
            </w:pPr>
            <w:r w:rsidRPr="006527B6">
              <w:rPr>
                <w:rFonts w:ascii="Garamond" w:hAnsi="Garamond" w:cs="Arial"/>
                <w:color w:val="000000"/>
                <w:sz w:val="20"/>
                <w:szCs w:val="20"/>
              </w:rPr>
              <w:t>$0.00</w:t>
            </w:r>
          </w:p>
        </w:tc>
        <w:tc>
          <w:tcPr>
            <w:tcW w:w="1146" w:type="dxa"/>
            <w:noWrap/>
            <w:vAlign w:val="bottom"/>
          </w:tcPr>
          <w:p w:rsidRPr="006429C7" w:rsidR="0072535A" w:rsidP="0072535A" w:rsidRDefault="0072535A" w14:paraId="73D6FB6C" w14:textId="56692FBC">
            <w:pPr>
              <w:jc w:val="right"/>
              <w:rPr>
                <w:rFonts w:ascii="Garamond" w:hAnsi="Garamond"/>
                <w:color w:val="000000"/>
                <w:sz w:val="20"/>
              </w:rPr>
            </w:pPr>
            <w:r w:rsidRPr="006527B6">
              <w:rPr>
                <w:rFonts w:ascii="Garamond" w:hAnsi="Garamond" w:cs="Arial"/>
                <w:color w:val="000000"/>
                <w:sz w:val="20"/>
                <w:szCs w:val="20"/>
              </w:rPr>
              <w:t>$0.00</w:t>
            </w:r>
          </w:p>
        </w:tc>
        <w:tc>
          <w:tcPr>
            <w:tcW w:w="1322" w:type="dxa"/>
            <w:noWrap/>
            <w:vAlign w:val="bottom"/>
          </w:tcPr>
          <w:p w:rsidRPr="006429C7" w:rsidR="0072535A" w:rsidP="0072535A" w:rsidRDefault="0072535A" w14:paraId="19786209" w14:textId="1C59226E">
            <w:pPr>
              <w:jc w:val="right"/>
              <w:rPr>
                <w:rFonts w:ascii="Garamond" w:hAnsi="Garamond"/>
                <w:color w:val="000000"/>
                <w:sz w:val="20"/>
              </w:rPr>
            </w:pPr>
            <w:r w:rsidRPr="006527B6">
              <w:rPr>
                <w:rFonts w:ascii="Garamond" w:hAnsi="Garamond" w:cs="Arial"/>
                <w:color w:val="000000"/>
                <w:sz w:val="20"/>
                <w:szCs w:val="20"/>
              </w:rPr>
              <w:t>$0.00</w:t>
            </w:r>
          </w:p>
        </w:tc>
        <w:tc>
          <w:tcPr>
            <w:tcW w:w="1073" w:type="dxa"/>
            <w:noWrap/>
            <w:vAlign w:val="bottom"/>
          </w:tcPr>
          <w:p w:rsidRPr="006429C7" w:rsidR="0072535A" w:rsidP="0072535A" w:rsidRDefault="0072535A" w14:paraId="3A55BA3A" w14:textId="228A955A">
            <w:pPr>
              <w:jc w:val="right"/>
              <w:rPr>
                <w:rFonts w:ascii="Garamond" w:hAnsi="Garamond"/>
                <w:color w:val="000000"/>
                <w:sz w:val="20"/>
              </w:rPr>
            </w:pPr>
            <w:r w:rsidRPr="006527B6">
              <w:rPr>
                <w:rFonts w:ascii="Garamond" w:hAnsi="Garamond" w:cs="Arial"/>
                <w:color w:val="000000"/>
                <w:sz w:val="20"/>
                <w:szCs w:val="20"/>
              </w:rPr>
              <w:t>$0.00</w:t>
            </w:r>
          </w:p>
        </w:tc>
        <w:tc>
          <w:tcPr>
            <w:tcW w:w="1170" w:type="dxa"/>
            <w:noWrap/>
            <w:vAlign w:val="bottom"/>
          </w:tcPr>
          <w:p w:rsidRPr="006429C7" w:rsidR="0072535A" w:rsidP="0072535A" w:rsidRDefault="0072535A" w14:paraId="05D61D70" w14:textId="39906ACC">
            <w:pPr>
              <w:jc w:val="right"/>
              <w:rPr>
                <w:rFonts w:ascii="Garamond" w:hAnsi="Garamond"/>
                <w:color w:val="000000"/>
                <w:sz w:val="20"/>
              </w:rPr>
            </w:pPr>
            <w:r w:rsidRPr="006527B6">
              <w:rPr>
                <w:rFonts w:ascii="Garamond" w:hAnsi="Garamond" w:cs="Arial"/>
                <w:color w:val="000000"/>
                <w:sz w:val="20"/>
                <w:szCs w:val="20"/>
              </w:rPr>
              <w:t>$0.00</w:t>
            </w:r>
          </w:p>
        </w:tc>
        <w:tc>
          <w:tcPr>
            <w:tcW w:w="1195" w:type="dxa"/>
            <w:noWrap/>
            <w:vAlign w:val="bottom"/>
          </w:tcPr>
          <w:p w:rsidRPr="006429C7" w:rsidR="0072535A" w:rsidP="0072535A" w:rsidRDefault="0072535A" w14:paraId="0234076A" w14:textId="745DEA6D">
            <w:pPr>
              <w:jc w:val="right"/>
              <w:rPr>
                <w:rFonts w:ascii="Garamond" w:hAnsi="Garamond"/>
                <w:color w:val="000000"/>
                <w:sz w:val="20"/>
              </w:rPr>
            </w:pPr>
            <w:r w:rsidRPr="006527B6">
              <w:rPr>
                <w:rFonts w:ascii="Garamond" w:hAnsi="Garamond" w:cs="Arial"/>
                <w:color w:val="000000"/>
                <w:sz w:val="20"/>
                <w:szCs w:val="20"/>
              </w:rPr>
              <w:t>$5,000.00</w:t>
            </w:r>
          </w:p>
        </w:tc>
        <w:tc>
          <w:tcPr>
            <w:tcW w:w="1192" w:type="dxa"/>
            <w:vAlign w:val="bottom"/>
          </w:tcPr>
          <w:p w:rsidRPr="006429C7" w:rsidR="0072535A" w:rsidP="0072535A" w:rsidRDefault="0072535A" w14:paraId="210D2A0D" w14:textId="51F73B07">
            <w:pPr>
              <w:jc w:val="right"/>
              <w:rPr>
                <w:rFonts w:ascii="Garamond" w:hAnsi="Garamond"/>
                <w:color w:val="000000"/>
                <w:sz w:val="20"/>
              </w:rPr>
            </w:pPr>
            <w:r w:rsidRPr="006527B6">
              <w:rPr>
                <w:rFonts w:ascii="Garamond" w:hAnsi="Garamond" w:cs="Arial"/>
                <w:color w:val="000000"/>
                <w:sz w:val="20"/>
                <w:szCs w:val="20"/>
              </w:rPr>
              <w:t>$5,000.00</w:t>
            </w:r>
          </w:p>
        </w:tc>
      </w:tr>
      <w:tr w:rsidRPr="00A01783" w:rsidR="00ED6C18" w:rsidTr="1BF69C51" w14:paraId="24F47455"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0A6090A" w14:textId="77777777">
            <w:pPr>
              <w:spacing w:after="0"/>
              <w:rPr>
                <w:rFonts w:ascii="Garamond" w:hAnsi="Garamond"/>
                <w:sz w:val="20"/>
                <w:szCs w:val="20"/>
              </w:rPr>
            </w:pPr>
            <w:r w:rsidRPr="00200519">
              <w:rPr>
                <w:rFonts w:ascii="Garamond" w:hAnsi="Garamond"/>
                <w:sz w:val="20"/>
              </w:rPr>
              <w:t>Mansfield Power and Gas LLC</w:t>
            </w:r>
          </w:p>
        </w:tc>
        <w:tc>
          <w:tcPr>
            <w:tcW w:w="970" w:type="dxa"/>
            <w:noWrap/>
            <w:vAlign w:val="center"/>
            <w:hideMark/>
          </w:tcPr>
          <w:p w:rsidRPr="00D754A3" w:rsidR="005971EA" w:rsidP="00117284" w:rsidRDefault="005971EA" w14:paraId="7CB57A17"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5919C86B"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D2A8876" w14:textId="15CBB5A2">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3C1FDA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42D6B0D"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0D70BB26"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8C86A29"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B9D7A1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6360A9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0E529C4B"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12429D19"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0C590F" w:rsidTr="1BF69C51" w14:paraId="7055B782" w14:textId="77777777">
        <w:trPr>
          <w:trHeight w:val="264"/>
        </w:trPr>
        <w:tc>
          <w:tcPr>
            <w:tcW w:w="1635" w:type="dxa"/>
            <w:vAlign w:val="center"/>
          </w:tcPr>
          <w:p w:rsidRPr="00AE5F98" w:rsidR="000C590F" w:rsidP="00117284" w:rsidRDefault="000C590F" w14:paraId="13306587" w14:textId="6D79E671">
            <w:pPr>
              <w:spacing w:after="0"/>
              <w:rPr>
                <w:rFonts w:ascii="Garamond" w:hAnsi="Garamond"/>
                <w:sz w:val="20"/>
              </w:rPr>
            </w:pPr>
            <w:r>
              <w:rPr>
                <w:rFonts w:ascii="Garamond" w:hAnsi="Garamond"/>
                <w:sz w:val="20"/>
              </w:rPr>
              <w:t>Median Energy CA LLC</w:t>
            </w:r>
          </w:p>
        </w:tc>
        <w:tc>
          <w:tcPr>
            <w:tcW w:w="970" w:type="dxa"/>
            <w:noWrap/>
            <w:vAlign w:val="center"/>
          </w:tcPr>
          <w:p w:rsidRPr="004A776A" w:rsidR="000C590F" w:rsidP="00117284" w:rsidRDefault="000C590F" w14:paraId="42B3AC68" w14:textId="11F13C05">
            <w:pPr>
              <w:spacing w:after="0"/>
              <w:jc w:val="right"/>
              <w:rPr>
                <w:rFonts w:ascii="Garamond" w:hAnsi="Garamond" w:cs="Calibri"/>
                <w:color w:val="000000"/>
                <w:sz w:val="20"/>
              </w:rPr>
            </w:pPr>
            <w:r w:rsidRPr="004A776A">
              <w:rPr>
                <w:rFonts w:ascii="Garamond" w:hAnsi="Garamond" w:cs="Calibri"/>
                <w:color w:val="000000"/>
                <w:sz w:val="20"/>
                <w:szCs w:val="20"/>
              </w:rPr>
              <w:t>0</w:t>
            </w:r>
          </w:p>
        </w:tc>
        <w:tc>
          <w:tcPr>
            <w:tcW w:w="1181" w:type="dxa"/>
            <w:noWrap/>
            <w:vAlign w:val="center"/>
          </w:tcPr>
          <w:p w:rsidRPr="004A776A" w:rsidR="000C590F" w:rsidP="00117284" w:rsidRDefault="000C590F" w14:paraId="01E9ECC0" w14:textId="6E9850F9">
            <w:pPr>
              <w:spacing w:after="0"/>
              <w:jc w:val="right"/>
              <w:rPr>
                <w:rFonts w:ascii="Garamond" w:hAnsi="Garamond"/>
                <w:color w:val="000000"/>
                <w:sz w:val="20"/>
              </w:rPr>
            </w:pPr>
            <w:r w:rsidRPr="004A776A">
              <w:rPr>
                <w:rFonts w:ascii="Garamond" w:hAnsi="Garamond"/>
                <w:color w:val="000000"/>
                <w:sz w:val="20"/>
                <w:szCs w:val="20"/>
              </w:rPr>
              <w:t>0</w:t>
            </w:r>
          </w:p>
        </w:tc>
        <w:tc>
          <w:tcPr>
            <w:tcW w:w="1339" w:type="dxa"/>
            <w:noWrap/>
            <w:vAlign w:val="center"/>
          </w:tcPr>
          <w:p w:rsidRPr="00AE5F98" w:rsidR="000C590F" w:rsidP="00117284" w:rsidRDefault="000C590F" w14:paraId="062C227F" w14:textId="3107F6B3">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tcPr>
          <w:p w:rsidRPr="004A776A" w:rsidR="000C590F" w:rsidP="00117284" w:rsidRDefault="000C590F" w14:paraId="66342413" w14:textId="6AF73C1B">
            <w:pPr>
              <w:spacing w:after="0"/>
              <w:jc w:val="right"/>
              <w:rPr>
                <w:rFonts w:ascii="Garamond" w:hAnsi="Garamond"/>
                <w:color w:val="000000"/>
                <w:sz w:val="20"/>
              </w:rPr>
            </w:pPr>
            <w:r w:rsidRPr="004A776A">
              <w:rPr>
                <w:rFonts w:ascii="Garamond" w:hAnsi="Garamond"/>
                <w:color w:val="000000"/>
                <w:sz w:val="20"/>
                <w:szCs w:val="20"/>
              </w:rPr>
              <w:t>0</w:t>
            </w:r>
          </w:p>
        </w:tc>
        <w:tc>
          <w:tcPr>
            <w:tcW w:w="1139" w:type="dxa"/>
            <w:noWrap/>
            <w:vAlign w:val="center"/>
          </w:tcPr>
          <w:p w:rsidRPr="004A776A" w:rsidR="000C590F" w:rsidP="00117284" w:rsidRDefault="000C590F" w14:paraId="7958D7BD" w14:textId="29C9BFA9">
            <w:pPr>
              <w:spacing w:after="0"/>
              <w:jc w:val="right"/>
              <w:rPr>
                <w:rFonts w:ascii="Garamond" w:hAnsi="Garamond"/>
                <w:color w:val="000000"/>
                <w:sz w:val="20"/>
              </w:rPr>
            </w:pPr>
            <w:r w:rsidRPr="004A776A">
              <w:rPr>
                <w:rFonts w:ascii="Garamond" w:hAnsi="Garamond"/>
                <w:color w:val="000000"/>
                <w:sz w:val="20"/>
                <w:szCs w:val="20"/>
              </w:rPr>
              <w:t>$0.00</w:t>
            </w:r>
          </w:p>
        </w:tc>
        <w:tc>
          <w:tcPr>
            <w:tcW w:w="1146" w:type="dxa"/>
            <w:noWrap/>
            <w:vAlign w:val="center"/>
          </w:tcPr>
          <w:p w:rsidRPr="004A776A" w:rsidR="000C590F" w:rsidP="00117284" w:rsidRDefault="000C590F" w14:paraId="60595F53" w14:textId="3BCA86F1">
            <w:pPr>
              <w:spacing w:after="0"/>
              <w:jc w:val="right"/>
              <w:rPr>
                <w:rFonts w:ascii="Garamond" w:hAnsi="Garamond"/>
                <w:color w:val="000000"/>
                <w:sz w:val="20"/>
              </w:rPr>
            </w:pPr>
            <w:r w:rsidRPr="004A776A">
              <w:rPr>
                <w:rFonts w:ascii="Garamond" w:hAnsi="Garamond"/>
                <w:color w:val="000000"/>
                <w:sz w:val="20"/>
                <w:szCs w:val="20"/>
              </w:rPr>
              <w:t>$0.00</w:t>
            </w:r>
          </w:p>
        </w:tc>
        <w:tc>
          <w:tcPr>
            <w:tcW w:w="1322" w:type="dxa"/>
            <w:noWrap/>
            <w:vAlign w:val="center"/>
          </w:tcPr>
          <w:p w:rsidRPr="004A776A" w:rsidR="000C590F" w:rsidP="00117284" w:rsidRDefault="000C590F" w14:paraId="5FAAE21F" w14:textId="63A7AF81">
            <w:pPr>
              <w:spacing w:after="0"/>
              <w:jc w:val="right"/>
              <w:rPr>
                <w:rFonts w:ascii="Garamond" w:hAnsi="Garamond"/>
                <w:color w:val="000000"/>
                <w:sz w:val="20"/>
              </w:rPr>
            </w:pPr>
            <w:r w:rsidRPr="004A776A">
              <w:rPr>
                <w:rFonts w:ascii="Garamond" w:hAnsi="Garamond"/>
                <w:color w:val="000000"/>
                <w:sz w:val="20"/>
                <w:szCs w:val="20"/>
              </w:rPr>
              <w:t>$0.00</w:t>
            </w:r>
          </w:p>
        </w:tc>
        <w:tc>
          <w:tcPr>
            <w:tcW w:w="1073" w:type="dxa"/>
            <w:noWrap/>
            <w:vAlign w:val="center"/>
          </w:tcPr>
          <w:p w:rsidRPr="004A776A" w:rsidR="000C590F" w:rsidP="00117284" w:rsidRDefault="000C590F" w14:paraId="39B1997A" w14:textId="3304CD8B">
            <w:pPr>
              <w:spacing w:after="0"/>
              <w:jc w:val="right"/>
              <w:rPr>
                <w:rFonts w:ascii="Garamond" w:hAnsi="Garamond"/>
                <w:color w:val="000000"/>
                <w:sz w:val="20"/>
              </w:rPr>
            </w:pPr>
            <w:r w:rsidRPr="004A776A">
              <w:rPr>
                <w:rFonts w:ascii="Garamond" w:hAnsi="Garamond"/>
                <w:color w:val="000000"/>
                <w:sz w:val="20"/>
                <w:szCs w:val="20"/>
              </w:rPr>
              <w:t>$0.00</w:t>
            </w:r>
          </w:p>
        </w:tc>
        <w:tc>
          <w:tcPr>
            <w:tcW w:w="1170" w:type="dxa"/>
            <w:noWrap/>
            <w:vAlign w:val="center"/>
          </w:tcPr>
          <w:p w:rsidRPr="004A776A" w:rsidR="000C590F" w:rsidP="00117284" w:rsidRDefault="000C590F" w14:paraId="6D59AB78" w14:textId="5A4E13A1">
            <w:pPr>
              <w:spacing w:after="0"/>
              <w:jc w:val="right"/>
              <w:rPr>
                <w:rFonts w:ascii="Garamond" w:hAnsi="Garamond"/>
                <w:color w:val="000000"/>
                <w:sz w:val="20"/>
              </w:rPr>
            </w:pPr>
            <w:r w:rsidRPr="004A776A">
              <w:rPr>
                <w:rFonts w:ascii="Garamond" w:hAnsi="Garamond"/>
                <w:color w:val="000000"/>
                <w:sz w:val="20"/>
                <w:szCs w:val="20"/>
              </w:rPr>
              <w:t>$0.00</w:t>
            </w:r>
          </w:p>
        </w:tc>
        <w:tc>
          <w:tcPr>
            <w:tcW w:w="1195" w:type="dxa"/>
            <w:noWrap/>
            <w:vAlign w:val="center"/>
          </w:tcPr>
          <w:p w:rsidRPr="004A776A" w:rsidR="000C590F" w:rsidP="00117284" w:rsidRDefault="000C590F" w14:paraId="241405BE" w14:textId="0053E1EE">
            <w:pPr>
              <w:spacing w:after="0"/>
              <w:jc w:val="right"/>
              <w:rPr>
                <w:rFonts w:ascii="Garamond" w:hAnsi="Garamond"/>
                <w:color w:val="000000"/>
                <w:sz w:val="20"/>
              </w:rPr>
            </w:pPr>
            <w:r w:rsidRPr="004A776A">
              <w:rPr>
                <w:rFonts w:ascii="Garamond" w:hAnsi="Garamond"/>
                <w:color w:val="000000"/>
                <w:sz w:val="20"/>
                <w:szCs w:val="20"/>
              </w:rPr>
              <w:t>$5,000.00</w:t>
            </w:r>
          </w:p>
        </w:tc>
        <w:tc>
          <w:tcPr>
            <w:tcW w:w="1192" w:type="dxa"/>
            <w:vAlign w:val="center"/>
          </w:tcPr>
          <w:p w:rsidRPr="004A776A" w:rsidR="000C590F" w:rsidP="00117284" w:rsidRDefault="000C590F" w14:paraId="2F2D1A46" w14:textId="2D0F2428">
            <w:pPr>
              <w:spacing w:after="0"/>
              <w:jc w:val="right"/>
              <w:rPr>
                <w:rFonts w:ascii="Garamond" w:hAnsi="Garamond"/>
                <w:color w:val="000000"/>
                <w:sz w:val="20"/>
              </w:rPr>
            </w:pPr>
            <w:r w:rsidRPr="004A776A">
              <w:rPr>
                <w:rFonts w:ascii="Garamond" w:hAnsi="Garamond"/>
                <w:color w:val="000000"/>
                <w:sz w:val="20"/>
                <w:szCs w:val="20"/>
              </w:rPr>
              <w:t>$5,000.00</w:t>
            </w:r>
          </w:p>
        </w:tc>
      </w:tr>
      <w:tr w:rsidRPr="00A01783" w:rsidR="00ED6C18" w:rsidTr="1BF69C51" w14:paraId="06628631"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C3D4096" w14:textId="77777777">
            <w:pPr>
              <w:spacing w:after="0"/>
              <w:rPr>
                <w:rFonts w:ascii="Garamond" w:hAnsi="Garamond"/>
                <w:sz w:val="20"/>
                <w:szCs w:val="20"/>
              </w:rPr>
            </w:pPr>
            <w:r w:rsidRPr="00200519">
              <w:rPr>
                <w:rFonts w:ascii="Garamond" w:hAnsi="Garamond"/>
                <w:sz w:val="20"/>
              </w:rPr>
              <w:t>Mirabito Natural Gas LLC dba Evergreen Gas &amp; Electric</w:t>
            </w:r>
          </w:p>
        </w:tc>
        <w:tc>
          <w:tcPr>
            <w:tcW w:w="970" w:type="dxa"/>
            <w:noWrap/>
            <w:vAlign w:val="center"/>
            <w:hideMark/>
          </w:tcPr>
          <w:p w:rsidRPr="00D754A3" w:rsidR="005971EA" w:rsidP="00117284" w:rsidRDefault="005971EA" w14:paraId="24E3643B" w14:textId="77777777">
            <w:pPr>
              <w:spacing w:after="0"/>
              <w:jc w:val="right"/>
              <w:rPr>
                <w:rFonts w:ascii="Garamond" w:hAnsi="Garamond" w:cs="Calibri"/>
                <w:sz w:val="20"/>
                <w:szCs w:val="20"/>
              </w:rPr>
            </w:pPr>
            <w:r w:rsidRPr="00D754A3">
              <w:rPr>
                <w:rFonts w:ascii="Garamond" w:hAnsi="Garamond" w:cs="Calibri"/>
                <w:color w:val="000000"/>
                <w:sz w:val="20"/>
                <w:szCs w:val="20"/>
              </w:rPr>
              <w:t>59</w:t>
            </w:r>
          </w:p>
        </w:tc>
        <w:tc>
          <w:tcPr>
            <w:tcW w:w="1181" w:type="dxa"/>
            <w:noWrap/>
            <w:vAlign w:val="center"/>
            <w:hideMark/>
          </w:tcPr>
          <w:p w:rsidRPr="00CB4098" w:rsidR="005971EA" w:rsidP="00117284" w:rsidRDefault="005971EA" w14:paraId="4288E594"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18DC36CF" w14:textId="0C6EF6E1">
            <w:pPr>
              <w:spacing w:after="0"/>
              <w:jc w:val="right"/>
              <w:rPr>
                <w:rFonts w:ascii="Garamond" w:hAnsi="Garamond"/>
                <w:sz w:val="20"/>
                <w:szCs w:val="20"/>
              </w:rPr>
            </w:pPr>
            <w:r w:rsidRPr="29A95352">
              <w:rPr>
                <w:rFonts w:ascii="Garamond" w:hAnsi="Garamond" w:cs="Arial"/>
                <w:color w:val="000000" w:themeColor="text1"/>
                <w:sz w:val="20"/>
                <w:szCs w:val="20"/>
              </w:rPr>
              <w:t>14</w:t>
            </w:r>
          </w:p>
        </w:tc>
        <w:tc>
          <w:tcPr>
            <w:tcW w:w="1170" w:type="dxa"/>
            <w:noWrap/>
            <w:vAlign w:val="center"/>
            <w:hideMark/>
          </w:tcPr>
          <w:p w:rsidRPr="00C212E4" w:rsidR="005971EA" w:rsidP="00117284" w:rsidRDefault="005971EA" w14:paraId="532F6715"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5C928032" w14:textId="77777777">
            <w:pPr>
              <w:spacing w:after="0"/>
              <w:jc w:val="right"/>
              <w:rPr>
                <w:rFonts w:ascii="Garamond" w:hAnsi="Garamond"/>
                <w:sz w:val="20"/>
                <w:szCs w:val="20"/>
              </w:rPr>
            </w:pPr>
            <w:r w:rsidRPr="00DD6ADF">
              <w:rPr>
                <w:rFonts w:ascii="Garamond" w:hAnsi="Garamond"/>
                <w:color w:val="000000"/>
                <w:sz w:val="20"/>
                <w:szCs w:val="20"/>
              </w:rPr>
              <w:t>$350.42</w:t>
            </w:r>
          </w:p>
        </w:tc>
        <w:tc>
          <w:tcPr>
            <w:tcW w:w="1146" w:type="dxa"/>
            <w:noWrap/>
            <w:vAlign w:val="center"/>
            <w:hideMark/>
          </w:tcPr>
          <w:p w:rsidRPr="002A7D7B" w:rsidR="005971EA" w:rsidP="00117284" w:rsidRDefault="005971EA" w14:paraId="7B4CE9C2"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0B0B162" w14:textId="77777777">
            <w:pPr>
              <w:spacing w:after="0"/>
              <w:jc w:val="right"/>
              <w:rPr>
                <w:rFonts w:ascii="Garamond" w:hAnsi="Garamond"/>
                <w:sz w:val="20"/>
                <w:szCs w:val="20"/>
              </w:rPr>
            </w:pPr>
            <w:r w:rsidRPr="00D23015">
              <w:rPr>
                <w:rFonts w:ascii="Garamond" w:hAnsi="Garamond"/>
                <w:color w:val="000000"/>
                <w:sz w:val="20"/>
                <w:szCs w:val="20"/>
              </w:rPr>
              <w:t>$9,526.05</w:t>
            </w:r>
          </w:p>
        </w:tc>
        <w:tc>
          <w:tcPr>
            <w:tcW w:w="1073" w:type="dxa"/>
            <w:noWrap/>
            <w:vAlign w:val="center"/>
            <w:hideMark/>
          </w:tcPr>
          <w:p w:rsidRPr="001F260B" w:rsidR="005971EA" w:rsidP="00117284" w:rsidRDefault="005971EA" w14:paraId="2591EAD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69EA5B8B" w14:textId="77777777">
            <w:pPr>
              <w:spacing w:after="0"/>
              <w:jc w:val="right"/>
              <w:rPr>
                <w:rFonts w:ascii="Garamond" w:hAnsi="Garamond"/>
                <w:sz w:val="20"/>
                <w:szCs w:val="20"/>
              </w:rPr>
            </w:pPr>
            <w:r w:rsidRPr="007B002C">
              <w:rPr>
                <w:rFonts w:ascii="Garamond" w:hAnsi="Garamond"/>
                <w:color w:val="000000"/>
                <w:sz w:val="20"/>
                <w:szCs w:val="20"/>
              </w:rPr>
              <w:t>$10,445.03</w:t>
            </w:r>
          </w:p>
        </w:tc>
        <w:tc>
          <w:tcPr>
            <w:tcW w:w="1195" w:type="dxa"/>
            <w:noWrap/>
            <w:vAlign w:val="center"/>
            <w:hideMark/>
          </w:tcPr>
          <w:p w:rsidRPr="003F3171" w:rsidR="005971EA" w:rsidP="00117284" w:rsidRDefault="005971EA" w14:paraId="5EC6DADB"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0DC6EAF7" w14:textId="77777777">
            <w:pPr>
              <w:spacing w:after="0"/>
              <w:jc w:val="right"/>
              <w:rPr>
                <w:rFonts w:ascii="Garamond" w:hAnsi="Garamond"/>
                <w:sz w:val="20"/>
                <w:szCs w:val="20"/>
              </w:rPr>
            </w:pPr>
            <w:r w:rsidRPr="007B002C">
              <w:rPr>
                <w:rFonts w:ascii="Garamond" w:hAnsi="Garamond"/>
                <w:color w:val="000000"/>
                <w:sz w:val="20"/>
                <w:szCs w:val="20"/>
              </w:rPr>
              <w:t>$15,445.03</w:t>
            </w:r>
          </w:p>
        </w:tc>
      </w:tr>
      <w:tr w:rsidRPr="00A01783" w:rsidR="00ED6C18" w:rsidTr="1BF69C51" w14:paraId="0D5A118B" w14:textId="77777777">
        <w:trPr>
          <w:trHeight w:val="528"/>
        </w:trPr>
        <w:tc>
          <w:tcPr>
            <w:tcW w:w="1635" w:type="dxa"/>
            <w:vAlign w:val="center"/>
            <w:hideMark/>
          </w:tcPr>
          <w:p w:rsidRPr="00200519" w:rsidR="005971EA" w:rsidP="00117284" w:rsidRDefault="005971EA" w14:paraId="1D4F8E2C" w14:textId="77777777">
            <w:pPr>
              <w:spacing w:after="0"/>
              <w:rPr>
                <w:rFonts w:ascii="Garamond" w:hAnsi="Garamond"/>
                <w:sz w:val="20"/>
                <w:szCs w:val="20"/>
              </w:rPr>
            </w:pPr>
            <w:r w:rsidRPr="00200519">
              <w:rPr>
                <w:rFonts w:ascii="Garamond" w:hAnsi="Garamond"/>
                <w:sz w:val="20"/>
              </w:rPr>
              <w:t>National Gas &amp; Electric LLC</w:t>
            </w:r>
          </w:p>
        </w:tc>
        <w:tc>
          <w:tcPr>
            <w:tcW w:w="970" w:type="dxa"/>
            <w:noWrap/>
            <w:vAlign w:val="center"/>
            <w:hideMark/>
          </w:tcPr>
          <w:p w:rsidRPr="00D754A3" w:rsidR="005971EA" w:rsidP="00117284" w:rsidRDefault="005971EA" w14:paraId="100DF34C" w14:textId="77777777">
            <w:pPr>
              <w:spacing w:after="0"/>
              <w:jc w:val="right"/>
              <w:rPr>
                <w:rFonts w:ascii="Garamond" w:hAnsi="Garamond" w:cs="Calibri"/>
                <w:sz w:val="20"/>
                <w:szCs w:val="20"/>
              </w:rPr>
            </w:pPr>
            <w:r w:rsidRPr="00D754A3">
              <w:rPr>
                <w:rFonts w:ascii="Garamond" w:hAnsi="Garamond" w:cs="Calibri"/>
                <w:color w:val="000000"/>
                <w:sz w:val="20"/>
                <w:szCs w:val="20"/>
              </w:rPr>
              <w:t>8</w:t>
            </w:r>
          </w:p>
        </w:tc>
        <w:tc>
          <w:tcPr>
            <w:tcW w:w="1181" w:type="dxa"/>
            <w:noWrap/>
            <w:vAlign w:val="center"/>
            <w:hideMark/>
          </w:tcPr>
          <w:p w:rsidRPr="00CB4098" w:rsidR="005971EA" w:rsidP="00117284" w:rsidRDefault="005971EA" w14:paraId="023B5EC3"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3AAF2280" w14:textId="7011710F">
            <w:pPr>
              <w:spacing w:after="0"/>
              <w:jc w:val="right"/>
              <w:rPr>
                <w:rFonts w:ascii="Garamond" w:hAnsi="Garamond"/>
                <w:sz w:val="20"/>
                <w:szCs w:val="20"/>
              </w:rPr>
            </w:pPr>
            <w:r w:rsidRPr="29A95352">
              <w:rPr>
                <w:rFonts w:ascii="Garamond" w:hAnsi="Garamond" w:cs="Arial"/>
                <w:color w:val="000000" w:themeColor="text1"/>
                <w:sz w:val="20"/>
                <w:szCs w:val="20"/>
              </w:rPr>
              <w:t>2</w:t>
            </w:r>
          </w:p>
        </w:tc>
        <w:tc>
          <w:tcPr>
            <w:tcW w:w="1170" w:type="dxa"/>
            <w:noWrap/>
            <w:vAlign w:val="center"/>
            <w:hideMark/>
          </w:tcPr>
          <w:p w:rsidRPr="00C212E4" w:rsidR="005971EA" w:rsidP="00117284" w:rsidRDefault="005971EA" w14:paraId="6BCB632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4A82ADB" w14:textId="77777777">
            <w:pPr>
              <w:spacing w:after="0"/>
              <w:jc w:val="right"/>
              <w:rPr>
                <w:rFonts w:ascii="Garamond" w:hAnsi="Garamond"/>
                <w:sz w:val="20"/>
                <w:szCs w:val="20"/>
              </w:rPr>
            </w:pPr>
            <w:r w:rsidRPr="00DD6ADF">
              <w:rPr>
                <w:rFonts w:ascii="Garamond" w:hAnsi="Garamond"/>
                <w:color w:val="000000"/>
                <w:sz w:val="20"/>
                <w:szCs w:val="20"/>
              </w:rPr>
              <w:t>$47.52</w:t>
            </w:r>
          </w:p>
        </w:tc>
        <w:tc>
          <w:tcPr>
            <w:tcW w:w="1146" w:type="dxa"/>
            <w:noWrap/>
            <w:vAlign w:val="center"/>
            <w:hideMark/>
          </w:tcPr>
          <w:p w:rsidRPr="002A7D7B" w:rsidR="005971EA" w:rsidP="00117284" w:rsidRDefault="005971EA" w14:paraId="72810346"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A678E09" w14:textId="77777777">
            <w:pPr>
              <w:spacing w:after="0"/>
              <w:jc w:val="right"/>
              <w:rPr>
                <w:rFonts w:ascii="Garamond" w:hAnsi="Garamond"/>
                <w:sz w:val="20"/>
                <w:szCs w:val="20"/>
              </w:rPr>
            </w:pPr>
            <w:r w:rsidRPr="00D23015">
              <w:rPr>
                <w:rFonts w:ascii="Garamond" w:hAnsi="Garamond"/>
                <w:color w:val="000000"/>
                <w:sz w:val="20"/>
                <w:szCs w:val="20"/>
              </w:rPr>
              <w:t>$1,360.86</w:t>
            </w:r>
          </w:p>
        </w:tc>
        <w:tc>
          <w:tcPr>
            <w:tcW w:w="1073" w:type="dxa"/>
            <w:noWrap/>
            <w:vAlign w:val="center"/>
            <w:hideMark/>
          </w:tcPr>
          <w:p w:rsidRPr="001F260B" w:rsidR="005971EA" w:rsidP="00117284" w:rsidRDefault="005971EA" w14:paraId="51C0E7F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090538F" w14:textId="77777777">
            <w:pPr>
              <w:spacing w:after="0"/>
              <w:jc w:val="right"/>
              <w:rPr>
                <w:rFonts w:ascii="Garamond" w:hAnsi="Garamond"/>
                <w:sz w:val="20"/>
                <w:szCs w:val="20"/>
              </w:rPr>
            </w:pPr>
            <w:r w:rsidRPr="007B002C">
              <w:rPr>
                <w:rFonts w:ascii="Garamond" w:hAnsi="Garamond"/>
                <w:color w:val="000000"/>
                <w:sz w:val="20"/>
                <w:szCs w:val="20"/>
              </w:rPr>
              <w:t>$1,976.94</w:t>
            </w:r>
          </w:p>
        </w:tc>
        <w:tc>
          <w:tcPr>
            <w:tcW w:w="1195" w:type="dxa"/>
            <w:noWrap/>
            <w:vAlign w:val="center"/>
            <w:hideMark/>
          </w:tcPr>
          <w:p w:rsidRPr="003F3171" w:rsidR="005971EA" w:rsidP="00117284" w:rsidRDefault="005971EA" w14:paraId="6BE28ACF"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noWrap/>
            <w:vAlign w:val="center"/>
            <w:hideMark/>
          </w:tcPr>
          <w:p w:rsidRPr="003F3171" w:rsidR="005971EA" w:rsidP="00117284" w:rsidRDefault="005971EA" w14:paraId="6CF41CC2" w14:textId="77777777">
            <w:pPr>
              <w:spacing w:after="0"/>
              <w:jc w:val="right"/>
              <w:rPr>
                <w:rFonts w:ascii="Garamond" w:hAnsi="Garamond"/>
                <w:sz w:val="20"/>
                <w:szCs w:val="20"/>
              </w:rPr>
            </w:pPr>
            <w:r w:rsidRPr="007B002C">
              <w:rPr>
                <w:rFonts w:ascii="Garamond" w:hAnsi="Garamond"/>
                <w:color w:val="000000"/>
                <w:sz w:val="20"/>
                <w:szCs w:val="20"/>
              </w:rPr>
              <w:t>$6,976.94</w:t>
            </w:r>
          </w:p>
        </w:tc>
      </w:tr>
      <w:tr w:rsidRPr="00A01783" w:rsidR="00ED6C18" w:rsidTr="1BF69C51" w14:paraId="3F2788AD"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606BAB37" w14:textId="77777777">
            <w:pPr>
              <w:spacing w:after="0"/>
              <w:rPr>
                <w:rFonts w:ascii="Garamond" w:hAnsi="Garamond"/>
                <w:sz w:val="20"/>
                <w:szCs w:val="20"/>
              </w:rPr>
            </w:pPr>
            <w:r w:rsidRPr="005536BA">
              <w:rPr>
                <w:rFonts w:ascii="Garamond" w:hAnsi="Garamond"/>
                <w:sz w:val="20"/>
              </w:rPr>
              <w:t>North Star Gas Company LLC dba YEP Energy</w:t>
            </w:r>
          </w:p>
        </w:tc>
        <w:tc>
          <w:tcPr>
            <w:tcW w:w="970" w:type="dxa"/>
            <w:noWrap/>
            <w:vAlign w:val="center"/>
            <w:hideMark/>
          </w:tcPr>
          <w:p w:rsidRPr="00A36BB0" w:rsidR="005971EA" w:rsidP="00117284" w:rsidRDefault="005971EA" w14:paraId="1D9445A8"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A36BB0" w:rsidR="005971EA" w:rsidP="00117284" w:rsidRDefault="005971EA" w14:paraId="5C410E5A" w14:textId="77777777">
            <w:pPr>
              <w:spacing w:after="0"/>
              <w:jc w:val="right"/>
              <w:rPr>
                <w:rFonts w:ascii="Garamond" w:hAnsi="Garamond"/>
                <w:sz w:val="20"/>
                <w:szCs w:val="20"/>
              </w:rPr>
            </w:pPr>
            <w:r w:rsidRPr="00BF35B0">
              <w:rPr>
                <w:rFonts w:ascii="Garamond" w:hAnsi="Garamond"/>
                <w:color w:val="000000"/>
                <w:sz w:val="20"/>
                <w:szCs w:val="20"/>
              </w:rPr>
              <w:t>4</w:t>
            </w:r>
          </w:p>
        </w:tc>
        <w:tc>
          <w:tcPr>
            <w:tcW w:w="1339" w:type="dxa"/>
            <w:noWrap/>
            <w:vAlign w:val="center"/>
            <w:hideMark/>
          </w:tcPr>
          <w:p w:rsidRPr="00935490" w:rsidR="005971EA" w:rsidP="00117284" w:rsidRDefault="005971EA" w14:paraId="46D0881C" w14:textId="4D79AF1C">
            <w:pPr>
              <w:spacing w:after="0"/>
              <w:jc w:val="right"/>
              <w:rPr>
                <w:rFonts w:ascii="Garamond" w:hAnsi="Garamond"/>
                <w:sz w:val="20"/>
                <w:szCs w:val="20"/>
              </w:rPr>
            </w:pPr>
            <w:r w:rsidRPr="29A95352">
              <w:rPr>
                <w:rFonts w:ascii="Garamond" w:hAnsi="Garamond" w:cs="Arial"/>
                <w:color w:val="000000" w:themeColor="text1"/>
                <w:sz w:val="20"/>
                <w:szCs w:val="20"/>
              </w:rPr>
              <w:t>4</w:t>
            </w:r>
          </w:p>
        </w:tc>
        <w:tc>
          <w:tcPr>
            <w:tcW w:w="1170" w:type="dxa"/>
            <w:noWrap/>
            <w:vAlign w:val="center"/>
            <w:hideMark/>
          </w:tcPr>
          <w:p w:rsidRPr="00A36BB0" w:rsidR="005971EA" w:rsidP="00117284" w:rsidRDefault="005971EA" w14:paraId="490265D9"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36BB0" w:rsidR="005971EA" w:rsidP="00117284" w:rsidRDefault="005971EA" w14:paraId="7C0A2133"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A36BB0" w:rsidR="005971EA" w:rsidP="00117284" w:rsidRDefault="005971EA" w14:paraId="2BA8ACE5" w14:textId="77777777">
            <w:pPr>
              <w:spacing w:after="0"/>
              <w:jc w:val="right"/>
              <w:rPr>
                <w:rFonts w:ascii="Garamond" w:hAnsi="Garamond"/>
                <w:sz w:val="20"/>
                <w:szCs w:val="20"/>
              </w:rPr>
            </w:pPr>
            <w:r w:rsidRPr="00967FD6">
              <w:rPr>
                <w:rFonts w:ascii="Garamond" w:hAnsi="Garamond"/>
                <w:color w:val="000000"/>
                <w:sz w:val="20"/>
                <w:szCs w:val="20"/>
              </w:rPr>
              <w:t>$758.08</w:t>
            </w:r>
          </w:p>
        </w:tc>
        <w:tc>
          <w:tcPr>
            <w:tcW w:w="1322" w:type="dxa"/>
            <w:noWrap/>
            <w:vAlign w:val="center"/>
            <w:hideMark/>
          </w:tcPr>
          <w:p w:rsidRPr="00A36BB0" w:rsidR="005971EA" w:rsidP="00117284" w:rsidRDefault="005971EA" w14:paraId="00FDA157" w14:textId="77777777">
            <w:pPr>
              <w:spacing w:after="0"/>
              <w:jc w:val="right"/>
              <w:rPr>
                <w:rFonts w:ascii="Garamond" w:hAnsi="Garamond"/>
                <w:sz w:val="20"/>
                <w:szCs w:val="20"/>
              </w:rPr>
            </w:pPr>
            <w:r w:rsidRPr="00D23015">
              <w:rPr>
                <w:rFonts w:ascii="Garamond" w:hAnsi="Garamond"/>
                <w:color w:val="000000"/>
                <w:sz w:val="20"/>
                <w:szCs w:val="20"/>
              </w:rPr>
              <w:t>$2,721.73</w:t>
            </w:r>
          </w:p>
        </w:tc>
        <w:tc>
          <w:tcPr>
            <w:tcW w:w="1073" w:type="dxa"/>
            <w:noWrap/>
            <w:vAlign w:val="center"/>
            <w:hideMark/>
          </w:tcPr>
          <w:p w:rsidRPr="00A36BB0" w:rsidR="005971EA" w:rsidP="00117284" w:rsidRDefault="005971EA" w14:paraId="1D233969"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A36BB0" w:rsidR="005971EA" w:rsidP="00117284" w:rsidRDefault="005971EA" w14:paraId="6B5E2A77" w14:textId="77777777">
            <w:pPr>
              <w:spacing w:after="0"/>
              <w:jc w:val="right"/>
              <w:rPr>
                <w:rFonts w:ascii="Garamond" w:hAnsi="Garamond"/>
                <w:sz w:val="20"/>
                <w:szCs w:val="20"/>
              </w:rPr>
            </w:pPr>
            <w:r w:rsidRPr="007B002C">
              <w:rPr>
                <w:rFonts w:ascii="Garamond" w:hAnsi="Garamond"/>
                <w:color w:val="000000"/>
                <w:sz w:val="20"/>
                <w:szCs w:val="20"/>
              </w:rPr>
              <w:t>$4,242.73</w:t>
            </w:r>
          </w:p>
        </w:tc>
        <w:tc>
          <w:tcPr>
            <w:tcW w:w="1195" w:type="dxa"/>
            <w:noWrap/>
            <w:vAlign w:val="center"/>
            <w:hideMark/>
          </w:tcPr>
          <w:p w:rsidRPr="00A36BB0" w:rsidR="005971EA" w:rsidP="00117284" w:rsidRDefault="005971EA" w14:paraId="168FFADA"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A36BB0" w:rsidR="005971EA" w:rsidP="00117284" w:rsidRDefault="005971EA" w14:paraId="2C97305F" w14:textId="77777777">
            <w:pPr>
              <w:spacing w:after="0"/>
              <w:jc w:val="right"/>
              <w:rPr>
                <w:rFonts w:ascii="Garamond" w:hAnsi="Garamond"/>
                <w:sz w:val="20"/>
                <w:szCs w:val="20"/>
              </w:rPr>
            </w:pPr>
            <w:r w:rsidRPr="007B002C">
              <w:rPr>
                <w:rFonts w:ascii="Garamond" w:hAnsi="Garamond"/>
                <w:color w:val="000000"/>
                <w:sz w:val="20"/>
                <w:szCs w:val="20"/>
              </w:rPr>
              <w:t>$9,242.73</w:t>
            </w:r>
          </w:p>
        </w:tc>
      </w:tr>
      <w:tr w:rsidRPr="00A01783" w:rsidR="00ED6C18" w:rsidTr="1BF69C51" w14:paraId="3E181A5B" w14:textId="77777777">
        <w:trPr>
          <w:trHeight w:val="264"/>
        </w:trPr>
        <w:tc>
          <w:tcPr>
            <w:tcW w:w="1635" w:type="dxa"/>
            <w:vAlign w:val="center"/>
            <w:hideMark/>
          </w:tcPr>
          <w:p w:rsidRPr="005536BA" w:rsidR="005971EA" w:rsidP="00117284" w:rsidRDefault="005971EA" w14:paraId="6AB3185B" w14:textId="77777777">
            <w:pPr>
              <w:spacing w:after="0"/>
              <w:rPr>
                <w:rFonts w:ascii="Garamond" w:hAnsi="Garamond"/>
                <w:sz w:val="20"/>
                <w:szCs w:val="20"/>
              </w:rPr>
            </w:pPr>
            <w:r w:rsidRPr="005536BA">
              <w:rPr>
                <w:rFonts w:ascii="Garamond" w:hAnsi="Garamond"/>
                <w:sz w:val="20"/>
              </w:rPr>
              <w:t>NRG Business Marketing LLC</w:t>
            </w:r>
          </w:p>
        </w:tc>
        <w:tc>
          <w:tcPr>
            <w:tcW w:w="970" w:type="dxa"/>
            <w:noWrap/>
            <w:vAlign w:val="center"/>
            <w:hideMark/>
          </w:tcPr>
          <w:p w:rsidRPr="00A36BB0" w:rsidR="005971EA" w:rsidP="00117284" w:rsidRDefault="005971EA" w14:paraId="73BA4E2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4D54E1A5"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C6148B0" w14:textId="0F398C15">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B2E684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4E63F5B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BD6399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146CDE2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2F926457"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1E203AF8"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5582FC02"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D0AB03F"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00C24DF" w14:textId="77777777">
        <w:trPr>
          <w:cnfStyle w:val="000000100000" w:firstRow="0" w:lastRow="0" w:firstColumn="0" w:lastColumn="0" w:oddVBand="0" w:evenVBand="0" w:oddHBand="1" w:evenHBand="0" w:firstRowFirstColumn="0" w:firstRowLastColumn="0" w:lastRowFirstColumn="0" w:lastRowLastColumn="0"/>
          <w:trHeight w:val="528"/>
        </w:trPr>
        <w:tc>
          <w:tcPr>
            <w:tcW w:w="1635" w:type="dxa"/>
            <w:vAlign w:val="center"/>
            <w:hideMark/>
          </w:tcPr>
          <w:p w:rsidRPr="005536BA" w:rsidR="005971EA" w:rsidP="00117284" w:rsidRDefault="005971EA" w14:paraId="3DB7FB1D" w14:textId="77777777">
            <w:pPr>
              <w:spacing w:after="0"/>
              <w:rPr>
                <w:rFonts w:ascii="Garamond" w:hAnsi="Garamond"/>
                <w:sz w:val="20"/>
                <w:szCs w:val="20"/>
              </w:rPr>
            </w:pPr>
            <w:r w:rsidRPr="005536BA">
              <w:rPr>
                <w:rFonts w:ascii="Garamond" w:hAnsi="Garamond"/>
                <w:sz w:val="20"/>
              </w:rPr>
              <w:lastRenderedPageBreak/>
              <w:t>Pacific Summit Energy LLC</w:t>
            </w:r>
          </w:p>
        </w:tc>
        <w:tc>
          <w:tcPr>
            <w:tcW w:w="970" w:type="dxa"/>
            <w:noWrap/>
            <w:vAlign w:val="center"/>
            <w:hideMark/>
          </w:tcPr>
          <w:p w:rsidRPr="00A36BB0" w:rsidR="005971EA" w:rsidP="00117284" w:rsidRDefault="005971EA" w14:paraId="56294A2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090E59A4"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0691A726" w14:textId="74817917">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1CC6039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385A1AE"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89895E1"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40BADABD"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5B66641E"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021BBC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A36BB0" w:rsidR="005971EA" w:rsidP="00117284" w:rsidRDefault="005971EA" w14:paraId="7D1A452C"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73DC934F"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2D4502C9" w14:textId="77777777">
        <w:trPr>
          <w:trHeight w:val="264"/>
        </w:trPr>
        <w:tc>
          <w:tcPr>
            <w:tcW w:w="1635" w:type="dxa"/>
            <w:vAlign w:val="center"/>
            <w:hideMark/>
          </w:tcPr>
          <w:p w:rsidRPr="005536BA" w:rsidR="005971EA" w:rsidP="00117284" w:rsidRDefault="005971EA" w14:paraId="1CEF83DD" w14:textId="77777777">
            <w:pPr>
              <w:spacing w:after="0"/>
              <w:rPr>
                <w:rFonts w:ascii="Garamond" w:hAnsi="Garamond"/>
                <w:sz w:val="20"/>
                <w:szCs w:val="20"/>
              </w:rPr>
            </w:pPr>
            <w:r w:rsidRPr="005536BA">
              <w:rPr>
                <w:rFonts w:ascii="Garamond" w:hAnsi="Garamond"/>
                <w:sz w:val="20"/>
              </w:rPr>
              <w:t>Peak Six Power and Gas LLC</w:t>
            </w:r>
          </w:p>
        </w:tc>
        <w:tc>
          <w:tcPr>
            <w:tcW w:w="970" w:type="dxa"/>
            <w:noWrap/>
            <w:vAlign w:val="center"/>
            <w:hideMark/>
          </w:tcPr>
          <w:p w:rsidRPr="00A36BB0" w:rsidR="005971EA" w:rsidP="00117284" w:rsidRDefault="005971EA" w14:paraId="2BA26AB6" w14:textId="77777777">
            <w:pPr>
              <w:spacing w:after="0"/>
              <w:jc w:val="right"/>
              <w:rPr>
                <w:rFonts w:ascii="Garamond" w:hAnsi="Garamond" w:cs="Calibri"/>
                <w:sz w:val="20"/>
                <w:szCs w:val="20"/>
              </w:rPr>
            </w:pPr>
            <w:r w:rsidRPr="00D754A3">
              <w:rPr>
                <w:rFonts w:ascii="Garamond" w:hAnsi="Garamond" w:cs="Calibri"/>
                <w:color w:val="000000"/>
                <w:sz w:val="20"/>
                <w:szCs w:val="20"/>
              </w:rPr>
              <w:t>61</w:t>
            </w:r>
          </w:p>
        </w:tc>
        <w:tc>
          <w:tcPr>
            <w:tcW w:w="1181" w:type="dxa"/>
            <w:noWrap/>
            <w:vAlign w:val="center"/>
            <w:hideMark/>
          </w:tcPr>
          <w:p w:rsidRPr="00A36BB0" w:rsidR="005971EA" w:rsidP="00117284" w:rsidRDefault="005971EA" w14:paraId="10E48F27" w14:textId="77777777">
            <w:pPr>
              <w:spacing w:after="0"/>
              <w:jc w:val="right"/>
              <w:rPr>
                <w:rFonts w:ascii="Garamond" w:hAnsi="Garamond"/>
                <w:sz w:val="20"/>
                <w:szCs w:val="20"/>
              </w:rPr>
            </w:pPr>
            <w:r w:rsidRPr="00BF35B0">
              <w:rPr>
                <w:rFonts w:ascii="Garamond" w:hAnsi="Garamond"/>
                <w:color w:val="000000"/>
                <w:sz w:val="20"/>
                <w:szCs w:val="20"/>
              </w:rPr>
              <w:t>16</w:t>
            </w:r>
          </w:p>
        </w:tc>
        <w:tc>
          <w:tcPr>
            <w:tcW w:w="1339" w:type="dxa"/>
            <w:noWrap/>
            <w:vAlign w:val="center"/>
            <w:hideMark/>
          </w:tcPr>
          <w:p w:rsidRPr="00935490" w:rsidR="005971EA" w:rsidP="00117284" w:rsidRDefault="005971EA" w14:paraId="2B548623" w14:textId="19B67775">
            <w:pPr>
              <w:spacing w:after="0"/>
              <w:jc w:val="right"/>
              <w:rPr>
                <w:rFonts w:ascii="Garamond" w:hAnsi="Garamond"/>
                <w:sz w:val="20"/>
                <w:szCs w:val="20"/>
              </w:rPr>
            </w:pPr>
            <w:r w:rsidRPr="29A95352">
              <w:rPr>
                <w:rFonts w:ascii="Garamond" w:hAnsi="Garamond" w:cs="Arial"/>
                <w:color w:val="000000" w:themeColor="text1"/>
                <w:sz w:val="20"/>
                <w:szCs w:val="20"/>
              </w:rPr>
              <w:t>17</w:t>
            </w:r>
          </w:p>
        </w:tc>
        <w:tc>
          <w:tcPr>
            <w:tcW w:w="1170" w:type="dxa"/>
            <w:noWrap/>
            <w:vAlign w:val="center"/>
            <w:hideMark/>
          </w:tcPr>
          <w:p w:rsidRPr="00A36BB0" w:rsidR="005971EA" w:rsidP="00117284" w:rsidRDefault="005971EA" w14:paraId="64AAC4A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06482A7F" w14:textId="77777777">
            <w:pPr>
              <w:spacing w:after="0"/>
              <w:jc w:val="right"/>
              <w:rPr>
                <w:rFonts w:ascii="Garamond" w:hAnsi="Garamond"/>
                <w:sz w:val="20"/>
                <w:szCs w:val="20"/>
              </w:rPr>
            </w:pPr>
            <w:r w:rsidRPr="00DD6ADF">
              <w:rPr>
                <w:rFonts w:ascii="Garamond" w:hAnsi="Garamond"/>
                <w:color w:val="000000"/>
                <w:sz w:val="20"/>
                <w:szCs w:val="20"/>
              </w:rPr>
              <w:t>$362.30</w:t>
            </w:r>
          </w:p>
        </w:tc>
        <w:tc>
          <w:tcPr>
            <w:tcW w:w="1146" w:type="dxa"/>
            <w:noWrap/>
            <w:vAlign w:val="center"/>
            <w:hideMark/>
          </w:tcPr>
          <w:p w:rsidRPr="00A36BB0" w:rsidR="005971EA" w:rsidP="00117284" w:rsidRDefault="005971EA" w14:paraId="1992F11A" w14:textId="77777777">
            <w:pPr>
              <w:spacing w:after="0"/>
              <w:jc w:val="right"/>
              <w:rPr>
                <w:rFonts w:ascii="Garamond" w:hAnsi="Garamond"/>
                <w:sz w:val="20"/>
                <w:szCs w:val="20"/>
              </w:rPr>
            </w:pPr>
            <w:r w:rsidRPr="00967FD6">
              <w:rPr>
                <w:rFonts w:ascii="Garamond" w:hAnsi="Garamond"/>
                <w:color w:val="000000"/>
                <w:sz w:val="20"/>
                <w:szCs w:val="20"/>
              </w:rPr>
              <w:t>$3,032.32</w:t>
            </w:r>
          </w:p>
        </w:tc>
        <w:tc>
          <w:tcPr>
            <w:tcW w:w="1322" w:type="dxa"/>
            <w:noWrap/>
            <w:vAlign w:val="center"/>
            <w:hideMark/>
          </w:tcPr>
          <w:p w:rsidRPr="00A36BB0" w:rsidR="005971EA" w:rsidP="00117284" w:rsidRDefault="005971EA" w14:paraId="3538374E" w14:textId="77777777">
            <w:pPr>
              <w:spacing w:after="0"/>
              <w:jc w:val="right"/>
              <w:rPr>
                <w:rFonts w:ascii="Garamond" w:hAnsi="Garamond"/>
                <w:sz w:val="20"/>
                <w:szCs w:val="20"/>
              </w:rPr>
            </w:pPr>
            <w:r w:rsidRPr="00D23015">
              <w:rPr>
                <w:rFonts w:ascii="Garamond" w:hAnsi="Garamond"/>
                <w:color w:val="000000"/>
                <w:sz w:val="20"/>
                <w:szCs w:val="20"/>
              </w:rPr>
              <w:t>$11,567.34</w:t>
            </w:r>
          </w:p>
        </w:tc>
        <w:tc>
          <w:tcPr>
            <w:tcW w:w="1073" w:type="dxa"/>
            <w:noWrap/>
            <w:vAlign w:val="center"/>
            <w:hideMark/>
          </w:tcPr>
          <w:p w:rsidRPr="00A36BB0" w:rsidR="005971EA" w:rsidP="00117284" w:rsidRDefault="005971EA" w14:paraId="48AE8267"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69CD85CD" w14:textId="77777777">
            <w:pPr>
              <w:spacing w:after="0"/>
              <w:jc w:val="right"/>
              <w:rPr>
                <w:rFonts w:ascii="Garamond" w:hAnsi="Garamond"/>
                <w:sz w:val="20"/>
                <w:szCs w:val="20"/>
              </w:rPr>
            </w:pPr>
            <w:r w:rsidRPr="003F3171">
              <w:rPr>
                <w:rFonts w:ascii="Garamond" w:hAnsi="Garamond"/>
                <w:color w:val="000000"/>
                <w:sz w:val="20"/>
                <w:szCs w:val="20"/>
              </w:rPr>
              <w:t>$14,961.97</w:t>
            </w:r>
          </w:p>
        </w:tc>
        <w:tc>
          <w:tcPr>
            <w:tcW w:w="1195" w:type="dxa"/>
            <w:noWrap/>
            <w:vAlign w:val="center"/>
            <w:hideMark/>
          </w:tcPr>
          <w:p w:rsidRPr="00A36BB0" w:rsidR="005971EA" w:rsidP="00117284" w:rsidRDefault="005971EA" w14:paraId="0C930841"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A36BB0" w:rsidR="005971EA" w:rsidP="00117284" w:rsidRDefault="005971EA" w14:paraId="7FB065F9" w14:textId="77777777">
            <w:pPr>
              <w:spacing w:after="0"/>
              <w:jc w:val="right"/>
              <w:rPr>
                <w:rFonts w:ascii="Garamond" w:hAnsi="Garamond"/>
                <w:sz w:val="20"/>
                <w:szCs w:val="20"/>
              </w:rPr>
            </w:pPr>
            <w:r w:rsidRPr="007B002C">
              <w:rPr>
                <w:rFonts w:ascii="Garamond" w:hAnsi="Garamond"/>
                <w:color w:val="000000"/>
                <w:sz w:val="20"/>
                <w:szCs w:val="20"/>
              </w:rPr>
              <w:t>$19,961.97</w:t>
            </w:r>
          </w:p>
        </w:tc>
      </w:tr>
      <w:tr w:rsidRPr="00A01783" w:rsidR="00ED6C18" w:rsidTr="1BF69C51" w14:paraId="1B1BAF5E"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4B88A047" w14:textId="77777777">
            <w:pPr>
              <w:spacing w:after="0"/>
              <w:rPr>
                <w:rFonts w:ascii="Garamond" w:hAnsi="Garamond"/>
                <w:sz w:val="20"/>
                <w:szCs w:val="20"/>
              </w:rPr>
            </w:pPr>
            <w:r w:rsidRPr="00200519">
              <w:rPr>
                <w:rFonts w:ascii="Garamond" w:hAnsi="Garamond"/>
                <w:sz w:val="20"/>
              </w:rPr>
              <w:t>SFE Energy Inc.</w:t>
            </w:r>
          </w:p>
        </w:tc>
        <w:tc>
          <w:tcPr>
            <w:tcW w:w="970" w:type="dxa"/>
            <w:noWrap/>
            <w:vAlign w:val="center"/>
            <w:hideMark/>
          </w:tcPr>
          <w:p w:rsidRPr="00A36BB0" w:rsidR="005971EA" w:rsidP="00117284" w:rsidRDefault="005971EA" w14:paraId="537993AA" w14:textId="77777777">
            <w:pPr>
              <w:spacing w:after="0"/>
              <w:jc w:val="right"/>
              <w:rPr>
                <w:rFonts w:ascii="Garamond" w:hAnsi="Garamond" w:cs="Calibri"/>
                <w:sz w:val="20"/>
                <w:szCs w:val="20"/>
              </w:rPr>
            </w:pPr>
            <w:r w:rsidRPr="00D754A3">
              <w:rPr>
                <w:rFonts w:ascii="Garamond" w:hAnsi="Garamond" w:cs="Calibri"/>
                <w:color w:val="000000"/>
                <w:sz w:val="20"/>
                <w:szCs w:val="20"/>
              </w:rPr>
              <w:t>380</w:t>
            </w:r>
          </w:p>
        </w:tc>
        <w:tc>
          <w:tcPr>
            <w:tcW w:w="1181" w:type="dxa"/>
            <w:noWrap/>
            <w:vAlign w:val="center"/>
            <w:hideMark/>
          </w:tcPr>
          <w:p w:rsidRPr="00A36BB0" w:rsidR="005971EA" w:rsidP="00117284" w:rsidRDefault="005971EA" w14:paraId="7A22D2B8" w14:textId="77777777">
            <w:pPr>
              <w:spacing w:after="0"/>
              <w:jc w:val="right"/>
              <w:rPr>
                <w:rFonts w:ascii="Garamond" w:hAnsi="Garamond"/>
                <w:sz w:val="20"/>
                <w:szCs w:val="20"/>
              </w:rPr>
            </w:pPr>
            <w:r w:rsidRPr="00BF35B0">
              <w:rPr>
                <w:rFonts w:ascii="Garamond" w:hAnsi="Garamond"/>
                <w:color w:val="000000"/>
                <w:sz w:val="20"/>
                <w:szCs w:val="20"/>
              </w:rPr>
              <w:t>151</w:t>
            </w:r>
          </w:p>
        </w:tc>
        <w:tc>
          <w:tcPr>
            <w:tcW w:w="1339" w:type="dxa"/>
            <w:noWrap/>
            <w:vAlign w:val="center"/>
            <w:hideMark/>
          </w:tcPr>
          <w:p w:rsidRPr="00935490" w:rsidR="005971EA" w:rsidP="00117284" w:rsidRDefault="005971EA" w14:paraId="24FAE79D" w14:textId="38BA16FD">
            <w:pPr>
              <w:spacing w:after="0"/>
              <w:jc w:val="right"/>
              <w:rPr>
                <w:rFonts w:ascii="Garamond" w:hAnsi="Garamond"/>
                <w:sz w:val="20"/>
                <w:szCs w:val="20"/>
              </w:rPr>
            </w:pPr>
            <w:r w:rsidRPr="29A95352">
              <w:rPr>
                <w:rFonts w:ascii="Garamond" w:hAnsi="Garamond" w:cs="Arial"/>
                <w:color w:val="000000" w:themeColor="text1"/>
                <w:sz w:val="20"/>
                <w:szCs w:val="20"/>
              </w:rPr>
              <w:t>121</w:t>
            </w:r>
          </w:p>
        </w:tc>
        <w:tc>
          <w:tcPr>
            <w:tcW w:w="1170" w:type="dxa"/>
            <w:noWrap/>
            <w:vAlign w:val="center"/>
            <w:hideMark/>
          </w:tcPr>
          <w:p w:rsidRPr="00A36BB0" w:rsidR="005971EA" w:rsidP="00117284" w:rsidRDefault="005971EA" w14:paraId="489434C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8BA49E0" w14:textId="77777777">
            <w:pPr>
              <w:spacing w:after="0"/>
              <w:jc w:val="right"/>
              <w:rPr>
                <w:rFonts w:ascii="Garamond" w:hAnsi="Garamond"/>
                <w:sz w:val="20"/>
                <w:szCs w:val="20"/>
              </w:rPr>
            </w:pPr>
            <w:r w:rsidRPr="00DD6ADF">
              <w:rPr>
                <w:rFonts w:ascii="Garamond" w:hAnsi="Garamond"/>
                <w:color w:val="000000"/>
                <w:sz w:val="20"/>
                <w:szCs w:val="20"/>
              </w:rPr>
              <w:t>$2,256.96</w:t>
            </w:r>
          </w:p>
        </w:tc>
        <w:tc>
          <w:tcPr>
            <w:tcW w:w="1146" w:type="dxa"/>
            <w:noWrap/>
            <w:vAlign w:val="center"/>
            <w:hideMark/>
          </w:tcPr>
          <w:p w:rsidRPr="00A36BB0" w:rsidR="005971EA" w:rsidP="00117284" w:rsidRDefault="005971EA" w14:paraId="1DB1196D" w14:textId="77777777">
            <w:pPr>
              <w:spacing w:after="0"/>
              <w:jc w:val="right"/>
              <w:rPr>
                <w:rFonts w:ascii="Garamond" w:hAnsi="Garamond"/>
                <w:sz w:val="20"/>
                <w:szCs w:val="20"/>
              </w:rPr>
            </w:pPr>
            <w:r w:rsidRPr="00967FD6">
              <w:rPr>
                <w:rFonts w:ascii="Garamond" w:hAnsi="Garamond"/>
                <w:color w:val="000000"/>
                <w:sz w:val="20"/>
                <w:szCs w:val="20"/>
              </w:rPr>
              <w:t>$28,617.56</w:t>
            </w:r>
          </w:p>
        </w:tc>
        <w:tc>
          <w:tcPr>
            <w:tcW w:w="1322" w:type="dxa"/>
            <w:noWrap/>
            <w:vAlign w:val="center"/>
            <w:hideMark/>
          </w:tcPr>
          <w:p w:rsidRPr="00A36BB0" w:rsidR="005971EA" w:rsidP="00117284" w:rsidRDefault="005971EA" w14:paraId="2E293899" w14:textId="77777777">
            <w:pPr>
              <w:spacing w:after="0"/>
              <w:jc w:val="right"/>
              <w:rPr>
                <w:rFonts w:ascii="Garamond" w:hAnsi="Garamond"/>
                <w:sz w:val="20"/>
                <w:szCs w:val="20"/>
              </w:rPr>
            </w:pPr>
            <w:r w:rsidRPr="00D23015">
              <w:rPr>
                <w:rFonts w:ascii="Garamond" w:hAnsi="Garamond"/>
                <w:color w:val="000000"/>
                <w:sz w:val="20"/>
                <w:szCs w:val="20"/>
              </w:rPr>
              <w:t>$82,332.27</w:t>
            </w:r>
          </w:p>
        </w:tc>
        <w:tc>
          <w:tcPr>
            <w:tcW w:w="1073" w:type="dxa"/>
            <w:noWrap/>
            <w:vAlign w:val="center"/>
            <w:hideMark/>
          </w:tcPr>
          <w:p w:rsidRPr="00A36BB0" w:rsidR="005971EA" w:rsidP="00117284" w:rsidRDefault="005971EA" w14:paraId="7E6D22C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3BDC9E16" w14:textId="77777777">
            <w:pPr>
              <w:spacing w:after="0"/>
              <w:jc w:val="right"/>
              <w:rPr>
                <w:rFonts w:ascii="Garamond" w:hAnsi="Garamond"/>
                <w:sz w:val="20"/>
                <w:szCs w:val="20"/>
              </w:rPr>
            </w:pPr>
            <w:r w:rsidRPr="003F3171">
              <w:rPr>
                <w:rFonts w:ascii="Garamond" w:hAnsi="Garamond"/>
                <w:color w:val="000000"/>
                <w:sz w:val="20"/>
                <w:szCs w:val="20"/>
              </w:rPr>
              <w:t>$113,206.79</w:t>
            </w:r>
          </w:p>
        </w:tc>
        <w:tc>
          <w:tcPr>
            <w:tcW w:w="1195" w:type="dxa"/>
            <w:noWrap/>
            <w:vAlign w:val="center"/>
            <w:hideMark/>
          </w:tcPr>
          <w:p w:rsidRPr="00A36BB0" w:rsidR="005971EA" w:rsidP="00117284" w:rsidRDefault="005971EA" w14:paraId="19A991D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94C31B5" w14:textId="77777777">
            <w:pPr>
              <w:spacing w:after="0"/>
              <w:jc w:val="right"/>
              <w:rPr>
                <w:rFonts w:ascii="Garamond" w:hAnsi="Garamond"/>
                <w:sz w:val="20"/>
                <w:szCs w:val="20"/>
              </w:rPr>
            </w:pPr>
            <w:r w:rsidRPr="007B002C">
              <w:rPr>
                <w:rFonts w:ascii="Garamond" w:hAnsi="Garamond"/>
                <w:color w:val="000000"/>
                <w:sz w:val="20"/>
                <w:szCs w:val="20"/>
              </w:rPr>
              <w:t>$118,206.79</w:t>
            </w:r>
          </w:p>
        </w:tc>
      </w:tr>
      <w:tr w:rsidRPr="00A01783" w:rsidR="00ED6C18" w:rsidTr="1BF69C51" w14:paraId="02B469FE" w14:textId="77777777">
        <w:trPr>
          <w:trHeight w:val="264"/>
        </w:trPr>
        <w:tc>
          <w:tcPr>
            <w:tcW w:w="1635" w:type="dxa"/>
            <w:vAlign w:val="center"/>
            <w:hideMark/>
          </w:tcPr>
          <w:p w:rsidRPr="00200519" w:rsidR="005971EA" w:rsidP="00117284" w:rsidRDefault="005971EA" w14:paraId="10236EFC" w14:textId="77777777">
            <w:pPr>
              <w:spacing w:after="0"/>
              <w:rPr>
                <w:rFonts w:ascii="Garamond" w:hAnsi="Garamond"/>
                <w:sz w:val="20"/>
                <w:szCs w:val="20"/>
              </w:rPr>
            </w:pPr>
            <w:r w:rsidRPr="00200519">
              <w:rPr>
                <w:rFonts w:ascii="Garamond" w:hAnsi="Garamond"/>
                <w:sz w:val="20"/>
              </w:rPr>
              <w:t>Shell Energy North America (US) L.P.</w:t>
            </w:r>
          </w:p>
        </w:tc>
        <w:tc>
          <w:tcPr>
            <w:tcW w:w="970" w:type="dxa"/>
            <w:noWrap/>
            <w:vAlign w:val="center"/>
            <w:hideMark/>
          </w:tcPr>
          <w:p w:rsidRPr="00A36BB0" w:rsidR="005971EA" w:rsidP="00117284" w:rsidRDefault="005971EA" w14:paraId="3A65781D"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61BDBDB6"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723CC67" w14:textId="7DBF387C">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3656AB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24BC3D36"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484F9B6"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5C6CA4B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4EF6F18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729C3F46"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6F3456F7"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5F9295B"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23E0FC30"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5E52F842" w14:textId="77777777">
            <w:pPr>
              <w:spacing w:after="0"/>
              <w:rPr>
                <w:rFonts w:ascii="Garamond" w:hAnsi="Garamond"/>
                <w:sz w:val="20"/>
                <w:szCs w:val="20"/>
              </w:rPr>
            </w:pPr>
            <w:r w:rsidRPr="005536BA">
              <w:rPr>
                <w:rFonts w:ascii="Garamond" w:hAnsi="Garamond"/>
                <w:sz w:val="20"/>
              </w:rPr>
              <w:t>Smart One Energy LLC</w:t>
            </w:r>
          </w:p>
        </w:tc>
        <w:tc>
          <w:tcPr>
            <w:tcW w:w="970" w:type="dxa"/>
            <w:noWrap/>
            <w:vAlign w:val="center"/>
            <w:hideMark/>
          </w:tcPr>
          <w:p w:rsidRPr="00A36BB0" w:rsidR="005971EA" w:rsidP="00117284" w:rsidRDefault="005971EA" w14:paraId="300AE4A8"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2CF2C1FF"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809199E" w14:textId="38430A6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1028B544"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04BEB6B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2374491F"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3F25FE68"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2F9DB4F2"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50338799"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63E5D0B2"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2842DE3"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6D5D03ED" w14:textId="77777777">
        <w:trPr>
          <w:trHeight w:val="264"/>
        </w:trPr>
        <w:tc>
          <w:tcPr>
            <w:tcW w:w="1635" w:type="dxa"/>
            <w:vAlign w:val="center"/>
            <w:hideMark/>
          </w:tcPr>
          <w:p w:rsidRPr="005536BA" w:rsidR="005971EA" w:rsidP="00117284" w:rsidRDefault="005971EA" w14:paraId="0937830D" w14:textId="77777777">
            <w:pPr>
              <w:spacing w:after="0"/>
              <w:rPr>
                <w:rFonts w:ascii="Garamond" w:hAnsi="Garamond"/>
                <w:sz w:val="20"/>
                <w:szCs w:val="20"/>
              </w:rPr>
            </w:pPr>
            <w:r w:rsidRPr="005536BA">
              <w:rPr>
                <w:rFonts w:ascii="Garamond" w:hAnsi="Garamond"/>
                <w:sz w:val="20"/>
              </w:rPr>
              <w:t>Spark Energy Gas LLC</w:t>
            </w:r>
          </w:p>
        </w:tc>
        <w:tc>
          <w:tcPr>
            <w:tcW w:w="970" w:type="dxa"/>
            <w:noWrap/>
            <w:vAlign w:val="center"/>
            <w:hideMark/>
          </w:tcPr>
          <w:p w:rsidRPr="00A36BB0" w:rsidR="005971EA" w:rsidP="00117284" w:rsidRDefault="005971EA" w14:paraId="31AB4A63" w14:textId="77777777">
            <w:pPr>
              <w:spacing w:after="0"/>
              <w:jc w:val="right"/>
              <w:rPr>
                <w:rFonts w:ascii="Garamond" w:hAnsi="Garamond" w:cs="Calibri"/>
                <w:sz w:val="20"/>
                <w:szCs w:val="20"/>
              </w:rPr>
            </w:pPr>
            <w:r w:rsidRPr="00D754A3">
              <w:rPr>
                <w:rFonts w:ascii="Garamond" w:hAnsi="Garamond" w:cs="Calibri"/>
                <w:color w:val="000000"/>
                <w:sz w:val="20"/>
                <w:szCs w:val="20"/>
              </w:rPr>
              <w:t>86</w:t>
            </w:r>
          </w:p>
        </w:tc>
        <w:tc>
          <w:tcPr>
            <w:tcW w:w="1181" w:type="dxa"/>
            <w:noWrap/>
            <w:vAlign w:val="center"/>
            <w:hideMark/>
          </w:tcPr>
          <w:p w:rsidRPr="00A36BB0" w:rsidR="005971EA" w:rsidP="00117284" w:rsidRDefault="005971EA" w14:paraId="13518871" w14:textId="77777777">
            <w:pPr>
              <w:spacing w:after="0"/>
              <w:jc w:val="right"/>
              <w:rPr>
                <w:rFonts w:ascii="Garamond" w:hAnsi="Garamond"/>
                <w:sz w:val="20"/>
                <w:szCs w:val="20"/>
              </w:rPr>
            </w:pPr>
            <w:r w:rsidRPr="00BF35B0">
              <w:rPr>
                <w:rFonts w:ascii="Garamond" w:hAnsi="Garamond"/>
                <w:color w:val="000000"/>
                <w:sz w:val="20"/>
                <w:szCs w:val="20"/>
              </w:rPr>
              <w:t>91</w:t>
            </w:r>
          </w:p>
        </w:tc>
        <w:tc>
          <w:tcPr>
            <w:tcW w:w="1339" w:type="dxa"/>
            <w:noWrap/>
            <w:vAlign w:val="center"/>
            <w:hideMark/>
          </w:tcPr>
          <w:p w:rsidRPr="00935490" w:rsidR="005971EA" w:rsidP="00117284" w:rsidRDefault="005971EA" w14:paraId="39EC0DAD" w14:textId="02334DA8">
            <w:pPr>
              <w:spacing w:after="0"/>
              <w:jc w:val="right"/>
              <w:rPr>
                <w:rFonts w:ascii="Garamond" w:hAnsi="Garamond"/>
                <w:sz w:val="20"/>
                <w:szCs w:val="20"/>
              </w:rPr>
            </w:pPr>
            <w:r w:rsidRPr="29A95352">
              <w:rPr>
                <w:rFonts w:ascii="Garamond" w:hAnsi="Garamond" w:cs="Arial"/>
                <w:color w:val="000000" w:themeColor="text1"/>
                <w:sz w:val="20"/>
                <w:szCs w:val="20"/>
              </w:rPr>
              <w:t>53</w:t>
            </w:r>
          </w:p>
        </w:tc>
        <w:tc>
          <w:tcPr>
            <w:tcW w:w="1170" w:type="dxa"/>
            <w:noWrap/>
            <w:vAlign w:val="center"/>
            <w:hideMark/>
          </w:tcPr>
          <w:p w:rsidRPr="00A36BB0" w:rsidR="005971EA" w:rsidP="00117284" w:rsidRDefault="005971EA" w14:paraId="2FD56949" w14:textId="77777777">
            <w:pPr>
              <w:spacing w:after="0"/>
              <w:jc w:val="right"/>
              <w:rPr>
                <w:rFonts w:ascii="Garamond" w:hAnsi="Garamond"/>
                <w:sz w:val="20"/>
                <w:szCs w:val="20"/>
              </w:rPr>
            </w:pPr>
            <w:r w:rsidRPr="00C212E4">
              <w:rPr>
                <w:rFonts w:ascii="Garamond" w:hAnsi="Garamond"/>
                <w:color w:val="000000"/>
                <w:sz w:val="20"/>
                <w:szCs w:val="20"/>
              </w:rPr>
              <w:t>7</w:t>
            </w:r>
          </w:p>
        </w:tc>
        <w:tc>
          <w:tcPr>
            <w:tcW w:w="1139" w:type="dxa"/>
            <w:noWrap/>
            <w:vAlign w:val="center"/>
            <w:hideMark/>
          </w:tcPr>
          <w:p w:rsidRPr="00A36BB0" w:rsidR="005971EA" w:rsidP="00117284" w:rsidRDefault="005971EA" w14:paraId="2934DB48" w14:textId="77777777">
            <w:pPr>
              <w:spacing w:after="0"/>
              <w:jc w:val="right"/>
              <w:rPr>
                <w:rFonts w:ascii="Garamond" w:hAnsi="Garamond"/>
                <w:sz w:val="20"/>
                <w:szCs w:val="20"/>
              </w:rPr>
            </w:pPr>
            <w:r w:rsidRPr="00DD6ADF">
              <w:rPr>
                <w:rFonts w:ascii="Garamond" w:hAnsi="Garamond"/>
                <w:color w:val="000000"/>
                <w:sz w:val="20"/>
                <w:szCs w:val="20"/>
              </w:rPr>
              <w:t>$510.79</w:t>
            </w:r>
          </w:p>
        </w:tc>
        <w:tc>
          <w:tcPr>
            <w:tcW w:w="1146" w:type="dxa"/>
            <w:noWrap/>
            <w:vAlign w:val="center"/>
            <w:hideMark/>
          </w:tcPr>
          <w:p w:rsidRPr="00A36BB0" w:rsidR="005971EA" w:rsidP="00117284" w:rsidRDefault="005971EA" w14:paraId="6BCD10C0" w14:textId="77777777">
            <w:pPr>
              <w:spacing w:after="0"/>
              <w:jc w:val="right"/>
              <w:rPr>
                <w:rFonts w:ascii="Garamond" w:hAnsi="Garamond"/>
                <w:sz w:val="20"/>
                <w:szCs w:val="20"/>
              </w:rPr>
            </w:pPr>
            <w:r w:rsidRPr="00967FD6">
              <w:rPr>
                <w:rFonts w:ascii="Garamond" w:hAnsi="Garamond"/>
                <w:color w:val="000000"/>
                <w:sz w:val="20"/>
                <w:szCs w:val="20"/>
              </w:rPr>
              <w:t>$17,246.34</w:t>
            </w:r>
          </w:p>
        </w:tc>
        <w:tc>
          <w:tcPr>
            <w:tcW w:w="1322" w:type="dxa"/>
            <w:noWrap/>
            <w:vAlign w:val="center"/>
            <w:hideMark/>
          </w:tcPr>
          <w:p w:rsidRPr="00A36BB0" w:rsidR="005971EA" w:rsidP="00117284" w:rsidRDefault="005971EA" w14:paraId="35088D69" w14:textId="77777777">
            <w:pPr>
              <w:spacing w:after="0"/>
              <w:jc w:val="right"/>
              <w:rPr>
                <w:rFonts w:ascii="Garamond" w:hAnsi="Garamond"/>
                <w:sz w:val="20"/>
                <w:szCs w:val="20"/>
              </w:rPr>
            </w:pPr>
            <w:r w:rsidRPr="00D23015">
              <w:rPr>
                <w:rFonts w:ascii="Garamond" w:hAnsi="Garamond"/>
                <w:color w:val="000000"/>
                <w:sz w:val="20"/>
                <w:szCs w:val="20"/>
              </w:rPr>
              <w:t>$36,062.89</w:t>
            </w:r>
          </w:p>
        </w:tc>
        <w:tc>
          <w:tcPr>
            <w:tcW w:w="1073" w:type="dxa"/>
            <w:noWrap/>
            <w:vAlign w:val="center"/>
            <w:hideMark/>
          </w:tcPr>
          <w:p w:rsidRPr="00A36BB0" w:rsidR="005971EA" w:rsidP="00117284" w:rsidRDefault="005971EA" w14:paraId="2425D222" w14:textId="77777777">
            <w:pPr>
              <w:spacing w:after="0"/>
              <w:jc w:val="right"/>
              <w:rPr>
                <w:rFonts w:ascii="Garamond" w:hAnsi="Garamond"/>
                <w:sz w:val="20"/>
                <w:szCs w:val="20"/>
              </w:rPr>
            </w:pPr>
            <w:r w:rsidRPr="001F260B">
              <w:rPr>
                <w:rFonts w:ascii="Garamond" w:hAnsi="Garamond"/>
                <w:color w:val="000000"/>
                <w:sz w:val="20"/>
                <w:szCs w:val="20"/>
              </w:rPr>
              <w:t>$5,174.17</w:t>
            </w:r>
          </w:p>
        </w:tc>
        <w:tc>
          <w:tcPr>
            <w:tcW w:w="1170" w:type="dxa"/>
            <w:noWrap/>
            <w:vAlign w:val="center"/>
            <w:hideMark/>
          </w:tcPr>
          <w:p w:rsidRPr="00A36BB0" w:rsidR="005971EA" w:rsidP="00117284" w:rsidRDefault="005971EA" w14:paraId="59FB25C9" w14:textId="77777777">
            <w:pPr>
              <w:spacing w:after="0"/>
              <w:jc w:val="right"/>
              <w:rPr>
                <w:rFonts w:ascii="Garamond" w:hAnsi="Garamond"/>
                <w:sz w:val="20"/>
                <w:szCs w:val="20"/>
              </w:rPr>
            </w:pPr>
            <w:r w:rsidRPr="003F3171">
              <w:rPr>
                <w:rFonts w:ascii="Garamond" w:hAnsi="Garamond"/>
                <w:color w:val="000000"/>
                <w:sz w:val="20"/>
                <w:szCs w:val="20"/>
              </w:rPr>
              <w:t>$58,994.20</w:t>
            </w:r>
          </w:p>
        </w:tc>
        <w:tc>
          <w:tcPr>
            <w:tcW w:w="1195" w:type="dxa"/>
            <w:noWrap/>
            <w:vAlign w:val="center"/>
            <w:hideMark/>
          </w:tcPr>
          <w:p w:rsidRPr="00A36BB0" w:rsidR="005971EA" w:rsidP="00117284" w:rsidRDefault="005971EA" w14:paraId="12E57C2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8D84F0B" w14:textId="77777777">
            <w:pPr>
              <w:spacing w:after="0"/>
              <w:jc w:val="right"/>
              <w:rPr>
                <w:rFonts w:ascii="Garamond" w:hAnsi="Garamond"/>
                <w:sz w:val="20"/>
                <w:szCs w:val="20"/>
              </w:rPr>
            </w:pPr>
            <w:r w:rsidRPr="003F3171">
              <w:rPr>
                <w:rFonts w:ascii="Garamond" w:hAnsi="Garamond"/>
                <w:color w:val="000000"/>
                <w:sz w:val="20"/>
                <w:szCs w:val="20"/>
              </w:rPr>
              <w:t>$63,994.20</w:t>
            </w:r>
          </w:p>
        </w:tc>
      </w:tr>
      <w:tr w:rsidRPr="00A01783" w:rsidR="00ED6C18" w:rsidTr="1BF69C51" w14:paraId="0F15DEA6"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246C9E60" w14:textId="77777777">
            <w:pPr>
              <w:spacing w:after="0"/>
              <w:rPr>
                <w:rFonts w:ascii="Garamond" w:hAnsi="Garamond"/>
                <w:sz w:val="20"/>
                <w:szCs w:val="20"/>
              </w:rPr>
            </w:pPr>
            <w:proofErr w:type="spellStart"/>
            <w:r w:rsidRPr="005536BA">
              <w:rPr>
                <w:rFonts w:ascii="Garamond" w:hAnsi="Garamond"/>
                <w:sz w:val="20"/>
              </w:rPr>
              <w:t>StateWise</w:t>
            </w:r>
            <w:proofErr w:type="spellEnd"/>
            <w:r w:rsidRPr="005536BA">
              <w:rPr>
                <w:rFonts w:ascii="Garamond" w:hAnsi="Garamond"/>
                <w:sz w:val="20"/>
              </w:rPr>
              <w:t xml:space="preserve"> Energy California LLC</w:t>
            </w:r>
          </w:p>
        </w:tc>
        <w:tc>
          <w:tcPr>
            <w:tcW w:w="970" w:type="dxa"/>
            <w:noWrap/>
            <w:vAlign w:val="center"/>
            <w:hideMark/>
          </w:tcPr>
          <w:p w:rsidRPr="00A36BB0" w:rsidR="005971EA" w:rsidP="00117284" w:rsidRDefault="005971EA" w14:paraId="76048557" w14:textId="77777777">
            <w:pPr>
              <w:spacing w:after="0"/>
              <w:jc w:val="right"/>
              <w:rPr>
                <w:rFonts w:ascii="Garamond" w:hAnsi="Garamond" w:cs="Calibri"/>
                <w:sz w:val="20"/>
                <w:szCs w:val="20"/>
              </w:rPr>
            </w:pPr>
            <w:r w:rsidRPr="00D754A3">
              <w:rPr>
                <w:rFonts w:ascii="Garamond" w:hAnsi="Garamond" w:cs="Calibri"/>
                <w:color w:val="000000"/>
                <w:sz w:val="20"/>
                <w:szCs w:val="20"/>
              </w:rPr>
              <w:t>205</w:t>
            </w:r>
          </w:p>
        </w:tc>
        <w:tc>
          <w:tcPr>
            <w:tcW w:w="1181" w:type="dxa"/>
            <w:noWrap/>
            <w:vAlign w:val="center"/>
            <w:hideMark/>
          </w:tcPr>
          <w:p w:rsidRPr="00A36BB0" w:rsidR="005971EA" w:rsidP="00117284" w:rsidRDefault="005971EA" w14:paraId="267C4ADA" w14:textId="77777777">
            <w:pPr>
              <w:spacing w:after="0"/>
              <w:jc w:val="right"/>
              <w:rPr>
                <w:rFonts w:ascii="Garamond" w:hAnsi="Garamond"/>
                <w:sz w:val="20"/>
                <w:szCs w:val="20"/>
              </w:rPr>
            </w:pPr>
            <w:r w:rsidRPr="00BF35B0">
              <w:rPr>
                <w:rFonts w:ascii="Garamond" w:hAnsi="Garamond"/>
                <w:color w:val="000000"/>
                <w:sz w:val="20"/>
                <w:szCs w:val="20"/>
              </w:rPr>
              <w:t>71</w:t>
            </w:r>
          </w:p>
        </w:tc>
        <w:tc>
          <w:tcPr>
            <w:tcW w:w="1339" w:type="dxa"/>
            <w:noWrap/>
            <w:vAlign w:val="center"/>
            <w:hideMark/>
          </w:tcPr>
          <w:p w:rsidRPr="00935490" w:rsidR="005971EA" w:rsidP="00117284" w:rsidRDefault="005971EA" w14:paraId="09504492" w14:textId="48DDD9D3">
            <w:pPr>
              <w:spacing w:after="0"/>
              <w:jc w:val="right"/>
              <w:rPr>
                <w:rFonts w:ascii="Garamond" w:hAnsi="Garamond"/>
                <w:sz w:val="20"/>
                <w:szCs w:val="20"/>
              </w:rPr>
            </w:pPr>
            <w:r w:rsidRPr="29A95352">
              <w:rPr>
                <w:rFonts w:ascii="Garamond" w:hAnsi="Garamond" w:cs="Arial"/>
                <w:color w:val="000000" w:themeColor="text1"/>
                <w:sz w:val="20"/>
                <w:szCs w:val="20"/>
              </w:rPr>
              <w:t>73</w:t>
            </w:r>
          </w:p>
        </w:tc>
        <w:tc>
          <w:tcPr>
            <w:tcW w:w="1170" w:type="dxa"/>
            <w:noWrap/>
            <w:vAlign w:val="center"/>
            <w:hideMark/>
          </w:tcPr>
          <w:p w:rsidRPr="00A36BB0" w:rsidR="005971EA" w:rsidP="00117284" w:rsidRDefault="005971EA" w14:paraId="6763516E"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36BB0" w:rsidR="005971EA" w:rsidP="00117284" w:rsidRDefault="005971EA" w14:paraId="6837D23C" w14:textId="77777777">
            <w:pPr>
              <w:spacing w:after="0"/>
              <w:jc w:val="right"/>
              <w:rPr>
                <w:rFonts w:ascii="Garamond" w:hAnsi="Garamond"/>
                <w:sz w:val="20"/>
                <w:szCs w:val="20"/>
              </w:rPr>
            </w:pPr>
            <w:r w:rsidRPr="00DD6ADF">
              <w:rPr>
                <w:rFonts w:ascii="Garamond" w:hAnsi="Garamond"/>
                <w:color w:val="000000"/>
                <w:sz w:val="20"/>
                <w:szCs w:val="20"/>
              </w:rPr>
              <w:t>$1,217.57</w:t>
            </w:r>
          </w:p>
        </w:tc>
        <w:tc>
          <w:tcPr>
            <w:tcW w:w="1146" w:type="dxa"/>
            <w:noWrap/>
            <w:vAlign w:val="center"/>
            <w:hideMark/>
          </w:tcPr>
          <w:p w:rsidRPr="00A36BB0" w:rsidR="005971EA" w:rsidP="00117284" w:rsidRDefault="005971EA" w14:paraId="40892981" w14:textId="77777777">
            <w:pPr>
              <w:spacing w:after="0"/>
              <w:jc w:val="right"/>
              <w:rPr>
                <w:rFonts w:ascii="Garamond" w:hAnsi="Garamond"/>
                <w:sz w:val="20"/>
                <w:szCs w:val="20"/>
              </w:rPr>
            </w:pPr>
            <w:r w:rsidRPr="00967FD6">
              <w:rPr>
                <w:rFonts w:ascii="Garamond" w:hAnsi="Garamond"/>
                <w:color w:val="000000"/>
                <w:sz w:val="20"/>
                <w:szCs w:val="20"/>
              </w:rPr>
              <w:t>$13,455.94</w:t>
            </w:r>
          </w:p>
        </w:tc>
        <w:tc>
          <w:tcPr>
            <w:tcW w:w="1322" w:type="dxa"/>
            <w:noWrap/>
            <w:vAlign w:val="center"/>
            <w:hideMark/>
          </w:tcPr>
          <w:p w:rsidRPr="00A36BB0" w:rsidR="005971EA" w:rsidP="00117284" w:rsidRDefault="005971EA" w14:paraId="690A0E4E" w14:textId="77777777">
            <w:pPr>
              <w:spacing w:after="0"/>
              <w:jc w:val="right"/>
              <w:rPr>
                <w:rFonts w:ascii="Garamond" w:hAnsi="Garamond"/>
                <w:sz w:val="20"/>
                <w:szCs w:val="20"/>
              </w:rPr>
            </w:pPr>
            <w:r w:rsidRPr="00D23015">
              <w:rPr>
                <w:rFonts w:ascii="Garamond" w:hAnsi="Garamond"/>
                <w:color w:val="000000"/>
                <w:sz w:val="20"/>
                <w:szCs w:val="20"/>
              </w:rPr>
              <w:t>$49,671.53</w:t>
            </w:r>
          </w:p>
        </w:tc>
        <w:tc>
          <w:tcPr>
            <w:tcW w:w="1073" w:type="dxa"/>
            <w:noWrap/>
            <w:vAlign w:val="center"/>
            <w:hideMark/>
          </w:tcPr>
          <w:p w:rsidRPr="00A36BB0" w:rsidR="005971EA" w:rsidP="00117284" w:rsidRDefault="005971EA" w14:paraId="41D3BB60"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A36BB0" w:rsidR="005971EA" w:rsidP="00117284" w:rsidRDefault="005971EA" w14:paraId="72C82112" w14:textId="77777777">
            <w:pPr>
              <w:spacing w:after="0"/>
              <w:jc w:val="right"/>
              <w:rPr>
                <w:rFonts w:ascii="Garamond" w:hAnsi="Garamond"/>
                <w:sz w:val="20"/>
                <w:szCs w:val="20"/>
              </w:rPr>
            </w:pPr>
            <w:r w:rsidRPr="003F3171">
              <w:rPr>
                <w:rFonts w:ascii="Garamond" w:hAnsi="Garamond"/>
                <w:color w:val="000000"/>
                <w:sz w:val="20"/>
                <w:szCs w:val="20"/>
              </w:rPr>
              <w:t>$65,084.21</w:t>
            </w:r>
          </w:p>
        </w:tc>
        <w:tc>
          <w:tcPr>
            <w:tcW w:w="1195" w:type="dxa"/>
            <w:noWrap/>
            <w:vAlign w:val="center"/>
            <w:hideMark/>
          </w:tcPr>
          <w:p w:rsidRPr="00A36BB0" w:rsidR="005971EA" w:rsidP="00117284" w:rsidRDefault="005971EA" w14:paraId="02A9AF8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2BF3E15" w14:textId="77777777">
            <w:pPr>
              <w:spacing w:after="0"/>
              <w:jc w:val="right"/>
              <w:rPr>
                <w:rFonts w:ascii="Garamond" w:hAnsi="Garamond"/>
                <w:sz w:val="20"/>
                <w:szCs w:val="20"/>
              </w:rPr>
            </w:pPr>
            <w:r w:rsidRPr="003F3171">
              <w:rPr>
                <w:rFonts w:ascii="Garamond" w:hAnsi="Garamond"/>
                <w:color w:val="000000"/>
                <w:sz w:val="20"/>
                <w:szCs w:val="20"/>
              </w:rPr>
              <w:t>$70,084.21</w:t>
            </w:r>
          </w:p>
        </w:tc>
      </w:tr>
      <w:tr w:rsidR="4BCA63A9" w:rsidTr="1BF69C51" w14:paraId="74CB4A47" w14:textId="77777777">
        <w:trPr>
          <w:trHeight w:val="264"/>
        </w:trPr>
        <w:tc>
          <w:tcPr>
            <w:tcW w:w="1635" w:type="dxa"/>
            <w:vAlign w:val="center"/>
          </w:tcPr>
          <w:p w:rsidRPr="00200519" w:rsidR="4BCA63A9" w:rsidP="00117284" w:rsidRDefault="12A9DAEC" w14:paraId="4A6E2B07" w14:textId="569B819A">
            <w:pPr>
              <w:spacing w:after="0"/>
              <w:rPr>
                <w:rFonts w:ascii="Garamond" w:hAnsi="Garamond"/>
                <w:sz w:val="20"/>
                <w:szCs w:val="20"/>
              </w:rPr>
            </w:pPr>
            <w:r w:rsidRPr="00200519">
              <w:rPr>
                <w:rFonts w:ascii="Garamond" w:hAnsi="Garamond"/>
                <w:sz w:val="20"/>
              </w:rPr>
              <w:t>Think Natural Gas LLC</w:t>
            </w:r>
          </w:p>
        </w:tc>
        <w:tc>
          <w:tcPr>
            <w:tcW w:w="970" w:type="dxa"/>
            <w:noWrap/>
            <w:vAlign w:val="center"/>
          </w:tcPr>
          <w:p w:rsidR="4BCA63A9" w:rsidP="00117284" w:rsidRDefault="5020E9D2" w14:paraId="6F2708DC" w14:textId="3E49C04E">
            <w:pPr>
              <w:spacing w:after="0"/>
              <w:jc w:val="right"/>
              <w:rPr>
                <w:rFonts w:ascii="Garamond" w:hAnsi="Garamond" w:cs="Calibri"/>
                <w:color w:val="000000" w:themeColor="text1"/>
                <w:sz w:val="20"/>
                <w:szCs w:val="20"/>
              </w:rPr>
            </w:pPr>
            <w:r w:rsidRPr="259E4125">
              <w:rPr>
                <w:rFonts w:ascii="Garamond" w:hAnsi="Garamond" w:cs="Calibri"/>
                <w:color w:val="000000" w:themeColor="text1"/>
                <w:sz w:val="20"/>
                <w:szCs w:val="20"/>
              </w:rPr>
              <w:t>0</w:t>
            </w:r>
          </w:p>
        </w:tc>
        <w:tc>
          <w:tcPr>
            <w:tcW w:w="1181" w:type="dxa"/>
            <w:noWrap/>
            <w:vAlign w:val="center"/>
          </w:tcPr>
          <w:p w:rsidRPr="00200519" w:rsidR="4BCA63A9" w:rsidP="00117284" w:rsidRDefault="5020E9D2" w14:paraId="1E5D7BBC" w14:textId="732821EB">
            <w:pPr>
              <w:spacing w:after="0"/>
              <w:jc w:val="right"/>
              <w:rPr>
                <w:rFonts w:ascii="Garamond" w:hAnsi="Garamond" w:eastAsia="Palatino Linotype" w:cs="Palatino Linotype"/>
                <w:color w:val="000000" w:themeColor="text1"/>
                <w:sz w:val="20"/>
                <w:szCs w:val="20"/>
              </w:rPr>
            </w:pPr>
            <w:r w:rsidRPr="00200519">
              <w:rPr>
                <w:rFonts w:ascii="Garamond" w:hAnsi="Garamond" w:eastAsia="Palatino Linotype" w:cs="Palatino Linotype"/>
                <w:color w:val="000000" w:themeColor="text1"/>
                <w:sz w:val="20"/>
              </w:rPr>
              <w:t>0</w:t>
            </w:r>
          </w:p>
        </w:tc>
        <w:tc>
          <w:tcPr>
            <w:tcW w:w="1339" w:type="dxa"/>
            <w:noWrap/>
            <w:vAlign w:val="center"/>
          </w:tcPr>
          <w:p w:rsidRPr="00200519" w:rsidR="4BCA63A9" w:rsidP="00117284" w:rsidRDefault="4BCA63A9" w14:paraId="3E106846" w14:textId="73C0CEF0">
            <w:pPr>
              <w:spacing w:after="0"/>
              <w:jc w:val="right"/>
              <w:rPr>
                <w:rFonts w:ascii="Garamond" w:hAnsi="Garamond" w:eastAsia="Palatino Linotype" w:cs="Palatino Linotype"/>
                <w:color w:val="000000" w:themeColor="text1"/>
                <w:sz w:val="20"/>
                <w:szCs w:val="20"/>
              </w:rPr>
            </w:pPr>
            <w:r w:rsidRPr="29A95352">
              <w:rPr>
                <w:rFonts w:ascii="Garamond" w:hAnsi="Garamond" w:cs="Arial"/>
                <w:color w:val="000000" w:themeColor="text1"/>
                <w:sz w:val="20"/>
                <w:szCs w:val="20"/>
              </w:rPr>
              <w:t>0</w:t>
            </w:r>
          </w:p>
        </w:tc>
        <w:tc>
          <w:tcPr>
            <w:tcW w:w="1170" w:type="dxa"/>
            <w:noWrap/>
            <w:vAlign w:val="center"/>
          </w:tcPr>
          <w:p w:rsidR="4BCA63A9" w:rsidP="00117284" w:rsidRDefault="4BCA63A9" w14:paraId="45F55414" w14:textId="77777777">
            <w:pPr>
              <w:spacing w:after="0"/>
              <w:jc w:val="right"/>
              <w:rPr>
                <w:rFonts w:ascii="Garamond" w:hAnsi="Garamond"/>
                <w:sz w:val="20"/>
                <w:szCs w:val="20"/>
              </w:rPr>
            </w:pPr>
            <w:r w:rsidRPr="579A0C3D">
              <w:rPr>
                <w:rFonts w:ascii="Garamond" w:hAnsi="Garamond"/>
                <w:color w:val="000000" w:themeColor="text1"/>
                <w:sz w:val="20"/>
                <w:szCs w:val="20"/>
              </w:rPr>
              <w:t>0</w:t>
            </w:r>
          </w:p>
        </w:tc>
        <w:tc>
          <w:tcPr>
            <w:tcW w:w="1139" w:type="dxa"/>
            <w:noWrap/>
            <w:vAlign w:val="center"/>
          </w:tcPr>
          <w:p w:rsidR="4BCA63A9" w:rsidP="00117284" w:rsidRDefault="723D8317" w14:paraId="1F26922F" w14:textId="38DFBA98">
            <w:pPr>
              <w:spacing w:after="0"/>
              <w:jc w:val="right"/>
              <w:rPr>
                <w:rFonts w:ascii="Garamond" w:hAnsi="Garamond"/>
                <w:sz w:val="20"/>
                <w:szCs w:val="20"/>
              </w:rPr>
            </w:pPr>
            <w:r w:rsidRPr="2AAD773F">
              <w:rPr>
                <w:rFonts w:ascii="Garamond" w:hAnsi="Garamond"/>
                <w:color w:val="000000" w:themeColor="text1"/>
                <w:sz w:val="20"/>
                <w:szCs w:val="20"/>
              </w:rPr>
              <w:t>$0.00</w:t>
            </w:r>
          </w:p>
        </w:tc>
        <w:tc>
          <w:tcPr>
            <w:tcW w:w="1146" w:type="dxa"/>
            <w:noWrap/>
            <w:vAlign w:val="center"/>
          </w:tcPr>
          <w:p w:rsidR="4BCA63A9" w:rsidP="00117284" w:rsidRDefault="723D8317" w14:paraId="0027CBCF" w14:textId="4728F538">
            <w:pPr>
              <w:spacing w:after="0"/>
              <w:jc w:val="right"/>
              <w:rPr>
                <w:rFonts w:ascii="Garamond" w:hAnsi="Garamond"/>
                <w:sz w:val="20"/>
                <w:szCs w:val="20"/>
              </w:rPr>
            </w:pPr>
            <w:r w:rsidRPr="2AAD773F">
              <w:rPr>
                <w:rFonts w:ascii="Garamond" w:hAnsi="Garamond"/>
                <w:color w:val="000000" w:themeColor="text1"/>
                <w:sz w:val="20"/>
                <w:szCs w:val="20"/>
              </w:rPr>
              <w:t>$0.00</w:t>
            </w:r>
          </w:p>
        </w:tc>
        <w:tc>
          <w:tcPr>
            <w:tcW w:w="1322" w:type="dxa"/>
            <w:noWrap/>
            <w:vAlign w:val="center"/>
          </w:tcPr>
          <w:p w:rsidR="4BCA63A9" w:rsidP="00117284" w:rsidRDefault="723D8317" w14:paraId="7EF62C78" w14:textId="7EA91CB9">
            <w:pPr>
              <w:spacing w:after="0"/>
              <w:jc w:val="right"/>
              <w:rPr>
                <w:rFonts w:ascii="Garamond" w:hAnsi="Garamond"/>
                <w:sz w:val="20"/>
                <w:szCs w:val="20"/>
              </w:rPr>
            </w:pPr>
            <w:r w:rsidRPr="7E1D8428">
              <w:rPr>
                <w:rFonts w:ascii="Garamond" w:hAnsi="Garamond"/>
                <w:color w:val="000000" w:themeColor="text1"/>
                <w:sz w:val="20"/>
                <w:szCs w:val="20"/>
              </w:rPr>
              <w:t>$0.00</w:t>
            </w:r>
          </w:p>
        </w:tc>
        <w:tc>
          <w:tcPr>
            <w:tcW w:w="1073" w:type="dxa"/>
            <w:noWrap/>
            <w:vAlign w:val="center"/>
          </w:tcPr>
          <w:p w:rsidR="4BCA63A9" w:rsidP="00117284" w:rsidRDefault="723D8317" w14:paraId="4B80F01F" w14:textId="433B508D">
            <w:pPr>
              <w:spacing w:after="0"/>
              <w:jc w:val="right"/>
              <w:rPr>
                <w:rFonts w:ascii="Garamond" w:hAnsi="Garamond"/>
                <w:sz w:val="20"/>
                <w:szCs w:val="20"/>
              </w:rPr>
            </w:pPr>
            <w:r w:rsidRPr="7E1D8428">
              <w:rPr>
                <w:rFonts w:ascii="Garamond" w:hAnsi="Garamond"/>
                <w:color w:val="000000" w:themeColor="text1"/>
                <w:sz w:val="20"/>
                <w:szCs w:val="20"/>
              </w:rPr>
              <w:t>$0.00</w:t>
            </w:r>
          </w:p>
        </w:tc>
        <w:tc>
          <w:tcPr>
            <w:tcW w:w="1170" w:type="dxa"/>
            <w:noWrap/>
            <w:vAlign w:val="center"/>
          </w:tcPr>
          <w:p w:rsidR="4BCA63A9" w:rsidP="00117284" w:rsidRDefault="723D8317" w14:paraId="231DAF9B" w14:textId="42A47166">
            <w:pPr>
              <w:spacing w:after="0"/>
              <w:jc w:val="right"/>
              <w:rPr>
                <w:rFonts w:ascii="Garamond" w:hAnsi="Garamond"/>
                <w:sz w:val="20"/>
                <w:szCs w:val="20"/>
              </w:rPr>
            </w:pPr>
            <w:r w:rsidRPr="120CF6B0">
              <w:rPr>
                <w:rFonts w:ascii="Garamond" w:hAnsi="Garamond"/>
                <w:color w:val="000000" w:themeColor="text1"/>
                <w:sz w:val="20"/>
                <w:szCs w:val="20"/>
              </w:rPr>
              <w:t>$0.00</w:t>
            </w:r>
          </w:p>
        </w:tc>
        <w:tc>
          <w:tcPr>
            <w:tcW w:w="1195" w:type="dxa"/>
            <w:noWrap/>
            <w:vAlign w:val="center"/>
          </w:tcPr>
          <w:p w:rsidR="4BCA63A9" w:rsidP="00117284" w:rsidRDefault="723D8317" w14:paraId="509F8A08" w14:textId="145CB178">
            <w:pPr>
              <w:spacing w:after="0"/>
              <w:jc w:val="right"/>
              <w:rPr>
                <w:rFonts w:ascii="Garamond" w:hAnsi="Garamond"/>
                <w:sz w:val="20"/>
                <w:szCs w:val="20"/>
              </w:rPr>
            </w:pPr>
            <w:r w:rsidRPr="120CF6B0">
              <w:rPr>
                <w:rFonts w:ascii="Garamond" w:hAnsi="Garamond"/>
                <w:color w:val="000000" w:themeColor="text1"/>
                <w:sz w:val="20"/>
                <w:szCs w:val="20"/>
              </w:rPr>
              <w:t>$5,000.00</w:t>
            </w:r>
          </w:p>
        </w:tc>
        <w:tc>
          <w:tcPr>
            <w:tcW w:w="1192" w:type="dxa"/>
            <w:vAlign w:val="center"/>
          </w:tcPr>
          <w:p w:rsidR="4BCA63A9" w:rsidP="00117284" w:rsidRDefault="723D8317" w14:paraId="04D34841" w14:textId="4585D602">
            <w:pPr>
              <w:spacing w:after="0"/>
              <w:jc w:val="right"/>
              <w:rPr>
                <w:rFonts w:ascii="Garamond" w:hAnsi="Garamond"/>
                <w:sz w:val="20"/>
                <w:szCs w:val="20"/>
              </w:rPr>
            </w:pPr>
            <w:r w:rsidRPr="120CF6B0">
              <w:rPr>
                <w:rFonts w:ascii="Garamond" w:hAnsi="Garamond"/>
                <w:color w:val="000000" w:themeColor="text1"/>
                <w:sz w:val="20"/>
                <w:szCs w:val="20"/>
              </w:rPr>
              <w:t>$5,000.00</w:t>
            </w:r>
          </w:p>
        </w:tc>
      </w:tr>
      <w:tr w:rsidRPr="00A01783" w:rsidR="00ED6C18" w:rsidTr="1BF69C51" w14:paraId="463FF5C3"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744E9B25" w14:textId="77777777">
            <w:pPr>
              <w:spacing w:after="0"/>
              <w:rPr>
                <w:rFonts w:ascii="Garamond" w:hAnsi="Garamond"/>
                <w:sz w:val="20"/>
                <w:szCs w:val="20"/>
              </w:rPr>
            </w:pPr>
            <w:r w:rsidRPr="005536BA">
              <w:rPr>
                <w:rFonts w:ascii="Garamond" w:hAnsi="Garamond"/>
                <w:sz w:val="20"/>
              </w:rPr>
              <w:t>Tiger Natural Gas Inc.</w:t>
            </w:r>
          </w:p>
        </w:tc>
        <w:tc>
          <w:tcPr>
            <w:tcW w:w="970" w:type="dxa"/>
            <w:noWrap/>
            <w:vAlign w:val="center"/>
          </w:tcPr>
          <w:p w:rsidRPr="00A36BB0" w:rsidR="005971EA" w:rsidP="00117284" w:rsidRDefault="005971EA" w14:paraId="06A2C49E"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A36BB0" w:rsidR="005971EA" w:rsidP="00117284" w:rsidRDefault="005971EA" w14:paraId="2D5DA3B6"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C5E4D70" w14:textId="6D832D8F">
            <w:pPr>
              <w:spacing w:after="0"/>
              <w:jc w:val="right"/>
              <w:rPr>
                <w:rFonts w:ascii="Garamond" w:hAnsi="Garamond"/>
                <w:sz w:val="20"/>
                <w:szCs w:val="20"/>
              </w:rPr>
            </w:pPr>
            <w:r w:rsidRPr="29A95352">
              <w:rPr>
                <w:rFonts w:ascii="Garamond" w:hAnsi="Garamond" w:cs="Arial"/>
                <w:color w:val="000000" w:themeColor="text1"/>
                <w:sz w:val="20"/>
                <w:szCs w:val="20"/>
              </w:rPr>
              <w:t>1</w:t>
            </w:r>
          </w:p>
        </w:tc>
        <w:tc>
          <w:tcPr>
            <w:tcW w:w="1170" w:type="dxa"/>
            <w:noWrap/>
            <w:vAlign w:val="center"/>
            <w:hideMark/>
          </w:tcPr>
          <w:p w:rsidRPr="00A36BB0" w:rsidR="005971EA" w:rsidP="00117284" w:rsidRDefault="005971EA" w14:paraId="48CDB7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16F62C33"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A36BB0" w:rsidR="005971EA" w:rsidP="00117284" w:rsidRDefault="005971EA" w14:paraId="7D0A6C80"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13F171C0" w14:textId="77777777">
            <w:pPr>
              <w:spacing w:after="0"/>
              <w:jc w:val="right"/>
              <w:rPr>
                <w:rFonts w:ascii="Garamond" w:hAnsi="Garamond"/>
                <w:sz w:val="20"/>
                <w:szCs w:val="20"/>
              </w:rPr>
            </w:pPr>
            <w:r w:rsidRPr="00D23015">
              <w:rPr>
                <w:rFonts w:ascii="Garamond" w:hAnsi="Garamond"/>
                <w:color w:val="000000"/>
                <w:sz w:val="20"/>
                <w:szCs w:val="20"/>
              </w:rPr>
              <w:t>$680.43</w:t>
            </w:r>
          </w:p>
        </w:tc>
        <w:tc>
          <w:tcPr>
            <w:tcW w:w="1073" w:type="dxa"/>
            <w:noWrap/>
            <w:vAlign w:val="center"/>
            <w:hideMark/>
          </w:tcPr>
          <w:p w:rsidRPr="00A36BB0" w:rsidR="005971EA" w:rsidP="00117284" w:rsidRDefault="005971EA" w14:paraId="30A580FB"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5851F9CB" w14:textId="77777777">
            <w:pPr>
              <w:spacing w:after="0"/>
              <w:jc w:val="right"/>
              <w:rPr>
                <w:rFonts w:ascii="Garamond" w:hAnsi="Garamond"/>
                <w:sz w:val="20"/>
                <w:szCs w:val="20"/>
              </w:rPr>
            </w:pPr>
            <w:r w:rsidRPr="003F3171">
              <w:rPr>
                <w:rFonts w:ascii="Garamond" w:hAnsi="Garamond"/>
                <w:color w:val="000000"/>
                <w:sz w:val="20"/>
                <w:szCs w:val="20"/>
              </w:rPr>
              <w:t>$704.19</w:t>
            </w:r>
          </w:p>
        </w:tc>
        <w:tc>
          <w:tcPr>
            <w:tcW w:w="1195" w:type="dxa"/>
            <w:noWrap/>
            <w:vAlign w:val="center"/>
            <w:hideMark/>
          </w:tcPr>
          <w:p w:rsidRPr="00A36BB0" w:rsidR="005971EA" w:rsidP="00117284" w:rsidRDefault="005971EA" w14:paraId="5BE8CE11"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D363C8B" w14:textId="77777777">
            <w:pPr>
              <w:spacing w:after="0"/>
              <w:jc w:val="right"/>
              <w:rPr>
                <w:rFonts w:ascii="Garamond" w:hAnsi="Garamond"/>
                <w:sz w:val="20"/>
                <w:szCs w:val="20"/>
              </w:rPr>
            </w:pPr>
            <w:r w:rsidRPr="003F3171">
              <w:rPr>
                <w:rFonts w:ascii="Garamond" w:hAnsi="Garamond"/>
                <w:color w:val="000000"/>
                <w:sz w:val="20"/>
                <w:szCs w:val="20"/>
              </w:rPr>
              <w:t>$5,704.19</w:t>
            </w:r>
          </w:p>
        </w:tc>
      </w:tr>
      <w:tr w:rsidRPr="00A01783" w:rsidR="00ED6C18" w:rsidTr="1BF69C51" w14:paraId="513D2D63" w14:textId="77777777">
        <w:trPr>
          <w:trHeight w:val="264"/>
        </w:trPr>
        <w:tc>
          <w:tcPr>
            <w:tcW w:w="1635" w:type="dxa"/>
            <w:vAlign w:val="center"/>
            <w:hideMark/>
          </w:tcPr>
          <w:p w:rsidRPr="005536BA" w:rsidR="005971EA" w:rsidP="00117284" w:rsidRDefault="005971EA" w14:paraId="1EA18540" w14:textId="77777777">
            <w:pPr>
              <w:spacing w:after="0"/>
              <w:rPr>
                <w:rFonts w:ascii="Garamond" w:hAnsi="Garamond"/>
                <w:sz w:val="20"/>
                <w:szCs w:val="20"/>
              </w:rPr>
            </w:pPr>
            <w:r w:rsidRPr="005536BA">
              <w:rPr>
                <w:rFonts w:ascii="Garamond" w:hAnsi="Garamond"/>
                <w:sz w:val="20"/>
              </w:rPr>
              <w:t>Trillium USA Company LLC</w:t>
            </w:r>
          </w:p>
        </w:tc>
        <w:tc>
          <w:tcPr>
            <w:tcW w:w="970" w:type="dxa"/>
            <w:noWrap/>
            <w:vAlign w:val="center"/>
          </w:tcPr>
          <w:p w:rsidRPr="00A36BB0" w:rsidR="005971EA" w:rsidP="00117284" w:rsidRDefault="005971EA" w14:paraId="3581B919"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4CA6CD8C"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628490E" w14:textId="58D9C24F">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28765B8"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5F561032"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03B82B87"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4B6A99F5"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53A12385"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67DC8526"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11ECE8DC"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8AE0288"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0986C4C6"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6DC483DF" w14:textId="77777777">
            <w:pPr>
              <w:spacing w:after="0"/>
              <w:rPr>
                <w:rFonts w:ascii="Garamond" w:hAnsi="Garamond"/>
                <w:sz w:val="20"/>
                <w:szCs w:val="20"/>
              </w:rPr>
            </w:pPr>
            <w:r w:rsidRPr="005536BA">
              <w:rPr>
                <w:rFonts w:ascii="Garamond" w:hAnsi="Garamond"/>
                <w:sz w:val="20"/>
              </w:rPr>
              <w:t xml:space="preserve">United Energy Trading LLC dba </w:t>
            </w:r>
            <w:proofErr w:type="spellStart"/>
            <w:r w:rsidRPr="005536BA">
              <w:rPr>
                <w:rFonts w:ascii="Garamond" w:hAnsi="Garamond"/>
                <w:sz w:val="20"/>
              </w:rPr>
              <w:t>Callective</w:t>
            </w:r>
            <w:proofErr w:type="spellEnd"/>
            <w:r w:rsidRPr="005536BA">
              <w:rPr>
                <w:rFonts w:ascii="Garamond" w:hAnsi="Garamond"/>
                <w:sz w:val="20"/>
              </w:rPr>
              <w:t xml:space="preserve"> Energy</w:t>
            </w:r>
          </w:p>
        </w:tc>
        <w:tc>
          <w:tcPr>
            <w:tcW w:w="970" w:type="dxa"/>
            <w:noWrap/>
            <w:vAlign w:val="center"/>
          </w:tcPr>
          <w:p w:rsidRPr="00A36BB0" w:rsidR="005971EA" w:rsidP="00117284" w:rsidRDefault="005971EA" w14:paraId="2703F58E" w14:textId="77777777">
            <w:pPr>
              <w:spacing w:after="0"/>
              <w:jc w:val="right"/>
              <w:rPr>
                <w:rFonts w:ascii="Garamond" w:hAnsi="Garamond" w:cs="Calibri"/>
                <w:sz w:val="20"/>
                <w:szCs w:val="20"/>
              </w:rPr>
            </w:pPr>
            <w:r w:rsidRPr="00D754A3">
              <w:rPr>
                <w:rFonts w:ascii="Garamond" w:hAnsi="Garamond" w:cs="Calibri"/>
                <w:color w:val="000000"/>
                <w:sz w:val="20"/>
                <w:szCs w:val="20"/>
              </w:rPr>
              <w:t>179</w:t>
            </w:r>
          </w:p>
        </w:tc>
        <w:tc>
          <w:tcPr>
            <w:tcW w:w="1181" w:type="dxa"/>
            <w:noWrap/>
            <w:vAlign w:val="center"/>
            <w:hideMark/>
          </w:tcPr>
          <w:p w:rsidRPr="00A36BB0" w:rsidR="005971EA" w:rsidP="00117284" w:rsidRDefault="005971EA" w14:paraId="5DEFFFA8" w14:textId="77777777">
            <w:pPr>
              <w:spacing w:after="0"/>
              <w:jc w:val="right"/>
              <w:rPr>
                <w:rFonts w:ascii="Garamond" w:hAnsi="Garamond"/>
                <w:sz w:val="20"/>
                <w:szCs w:val="20"/>
              </w:rPr>
            </w:pPr>
            <w:r w:rsidRPr="00BF35B0">
              <w:rPr>
                <w:rFonts w:ascii="Garamond" w:hAnsi="Garamond"/>
                <w:color w:val="000000"/>
                <w:sz w:val="20"/>
                <w:szCs w:val="20"/>
              </w:rPr>
              <w:t>126</w:t>
            </w:r>
          </w:p>
        </w:tc>
        <w:tc>
          <w:tcPr>
            <w:tcW w:w="1339" w:type="dxa"/>
            <w:noWrap/>
            <w:vAlign w:val="center"/>
            <w:hideMark/>
          </w:tcPr>
          <w:p w:rsidRPr="00935490" w:rsidR="005971EA" w:rsidP="00117284" w:rsidRDefault="005971EA" w14:paraId="5B2FBD46" w14:textId="77CDE82C">
            <w:pPr>
              <w:spacing w:after="0"/>
              <w:jc w:val="right"/>
              <w:rPr>
                <w:rFonts w:ascii="Garamond" w:hAnsi="Garamond"/>
                <w:sz w:val="20"/>
                <w:szCs w:val="20"/>
              </w:rPr>
            </w:pPr>
            <w:r w:rsidRPr="29A95352">
              <w:rPr>
                <w:rFonts w:ascii="Garamond" w:hAnsi="Garamond" w:cs="Arial"/>
                <w:color w:val="000000" w:themeColor="text1"/>
                <w:sz w:val="20"/>
                <w:szCs w:val="20"/>
              </w:rPr>
              <w:t>77</w:t>
            </w:r>
          </w:p>
        </w:tc>
        <w:tc>
          <w:tcPr>
            <w:tcW w:w="1170" w:type="dxa"/>
            <w:noWrap/>
            <w:vAlign w:val="center"/>
            <w:hideMark/>
          </w:tcPr>
          <w:p w:rsidRPr="00A36BB0" w:rsidR="005971EA" w:rsidP="00117284" w:rsidRDefault="005971EA" w14:paraId="517D2030" w14:textId="77777777">
            <w:pPr>
              <w:spacing w:after="0"/>
              <w:jc w:val="right"/>
              <w:rPr>
                <w:rFonts w:ascii="Garamond" w:hAnsi="Garamond"/>
                <w:sz w:val="20"/>
                <w:szCs w:val="20"/>
              </w:rPr>
            </w:pPr>
            <w:r w:rsidRPr="00C212E4">
              <w:rPr>
                <w:rFonts w:ascii="Garamond" w:hAnsi="Garamond"/>
                <w:color w:val="000000"/>
                <w:sz w:val="20"/>
                <w:szCs w:val="20"/>
              </w:rPr>
              <w:t>2</w:t>
            </w:r>
          </w:p>
        </w:tc>
        <w:tc>
          <w:tcPr>
            <w:tcW w:w="1139" w:type="dxa"/>
            <w:noWrap/>
            <w:vAlign w:val="center"/>
            <w:hideMark/>
          </w:tcPr>
          <w:p w:rsidRPr="00A36BB0" w:rsidR="005971EA" w:rsidP="00117284" w:rsidRDefault="005971EA" w14:paraId="4848B1A5" w14:textId="77777777">
            <w:pPr>
              <w:spacing w:after="0"/>
              <w:jc w:val="right"/>
              <w:rPr>
                <w:rFonts w:ascii="Garamond" w:hAnsi="Garamond"/>
                <w:sz w:val="20"/>
                <w:szCs w:val="20"/>
              </w:rPr>
            </w:pPr>
            <w:r w:rsidRPr="00DD6ADF">
              <w:rPr>
                <w:rFonts w:ascii="Garamond" w:hAnsi="Garamond"/>
                <w:color w:val="000000"/>
                <w:sz w:val="20"/>
                <w:szCs w:val="20"/>
              </w:rPr>
              <w:t>$1,063.15</w:t>
            </w:r>
          </w:p>
        </w:tc>
        <w:tc>
          <w:tcPr>
            <w:tcW w:w="1146" w:type="dxa"/>
            <w:noWrap/>
            <w:vAlign w:val="center"/>
            <w:hideMark/>
          </w:tcPr>
          <w:p w:rsidRPr="00A36BB0" w:rsidR="005971EA" w:rsidP="00117284" w:rsidRDefault="005971EA" w14:paraId="27D3E979" w14:textId="77777777">
            <w:pPr>
              <w:spacing w:after="0"/>
              <w:jc w:val="right"/>
              <w:rPr>
                <w:rFonts w:ascii="Garamond" w:hAnsi="Garamond"/>
                <w:sz w:val="20"/>
                <w:szCs w:val="20"/>
              </w:rPr>
            </w:pPr>
            <w:r w:rsidRPr="002A7D7B">
              <w:rPr>
                <w:rFonts w:ascii="Garamond" w:hAnsi="Garamond"/>
                <w:color w:val="000000"/>
                <w:sz w:val="20"/>
                <w:szCs w:val="20"/>
              </w:rPr>
              <w:t>$23,879.55</w:t>
            </w:r>
          </w:p>
        </w:tc>
        <w:tc>
          <w:tcPr>
            <w:tcW w:w="1322" w:type="dxa"/>
            <w:noWrap/>
            <w:vAlign w:val="center"/>
            <w:hideMark/>
          </w:tcPr>
          <w:p w:rsidRPr="00A36BB0" w:rsidR="005971EA" w:rsidP="00117284" w:rsidRDefault="005971EA" w14:paraId="07B09B54" w14:textId="77777777">
            <w:pPr>
              <w:spacing w:after="0"/>
              <w:jc w:val="right"/>
              <w:rPr>
                <w:rFonts w:ascii="Garamond" w:hAnsi="Garamond"/>
                <w:sz w:val="20"/>
                <w:szCs w:val="20"/>
              </w:rPr>
            </w:pPr>
            <w:r w:rsidRPr="00D23015">
              <w:rPr>
                <w:rFonts w:ascii="Garamond" w:hAnsi="Garamond"/>
                <w:color w:val="000000"/>
                <w:sz w:val="20"/>
                <w:szCs w:val="20"/>
              </w:rPr>
              <w:t>$52,393.26</w:t>
            </w:r>
          </w:p>
        </w:tc>
        <w:tc>
          <w:tcPr>
            <w:tcW w:w="1073" w:type="dxa"/>
            <w:noWrap/>
            <w:vAlign w:val="center"/>
            <w:hideMark/>
          </w:tcPr>
          <w:p w:rsidRPr="00A36BB0" w:rsidR="005971EA" w:rsidP="00117284" w:rsidRDefault="005971EA" w14:paraId="1D43AD39" w14:textId="77777777">
            <w:pPr>
              <w:spacing w:after="0"/>
              <w:jc w:val="right"/>
              <w:rPr>
                <w:rFonts w:ascii="Garamond" w:hAnsi="Garamond"/>
                <w:sz w:val="20"/>
                <w:szCs w:val="20"/>
              </w:rPr>
            </w:pPr>
            <w:r w:rsidRPr="001F260B">
              <w:rPr>
                <w:rFonts w:ascii="Garamond" w:hAnsi="Garamond"/>
                <w:color w:val="000000"/>
                <w:sz w:val="20"/>
                <w:szCs w:val="20"/>
              </w:rPr>
              <w:t>$1,478.34</w:t>
            </w:r>
          </w:p>
        </w:tc>
        <w:tc>
          <w:tcPr>
            <w:tcW w:w="1170" w:type="dxa"/>
            <w:noWrap/>
            <w:vAlign w:val="center"/>
            <w:hideMark/>
          </w:tcPr>
          <w:p w:rsidRPr="00A36BB0" w:rsidR="005971EA" w:rsidP="00117284" w:rsidRDefault="005971EA" w14:paraId="48593707" w14:textId="77777777">
            <w:pPr>
              <w:spacing w:after="0"/>
              <w:jc w:val="right"/>
              <w:rPr>
                <w:rFonts w:ascii="Garamond" w:hAnsi="Garamond"/>
                <w:sz w:val="20"/>
                <w:szCs w:val="20"/>
              </w:rPr>
            </w:pPr>
            <w:r w:rsidRPr="003F3171">
              <w:rPr>
                <w:rFonts w:ascii="Garamond" w:hAnsi="Garamond"/>
                <w:color w:val="000000"/>
                <w:sz w:val="20"/>
                <w:szCs w:val="20"/>
              </w:rPr>
              <w:t>$78,814.30</w:t>
            </w:r>
          </w:p>
        </w:tc>
        <w:tc>
          <w:tcPr>
            <w:tcW w:w="1195" w:type="dxa"/>
            <w:noWrap/>
            <w:vAlign w:val="center"/>
            <w:hideMark/>
          </w:tcPr>
          <w:p w:rsidRPr="00A36BB0" w:rsidR="005971EA" w:rsidP="00117284" w:rsidRDefault="005971EA" w14:paraId="21A0E0C9"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33DC3F4F" w14:textId="77777777">
            <w:pPr>
              <w:spacing w:after="0"/>
              <w:jc w:val="right"/>
              <w:rPr>
                <w:rFonts w:ascii="Garamond" w:hAnsi="Garamond"/>
                <w:sz w:val="20"/>
                <w:szCs w:val="20"/>
              </w:rPr>
            </w:pPr>
            <w:r w:rsidRPr="003F3171">
              <w:rPr>
                <w:rFonts w:ascii="Garamond" w:hAnsi="Garamond"/>
                <w:color w:val="000000"/>
                <w:sz w:val="20"/>
                <w:szCs w:val="20"/>
              </w:rPr>
              <w:t>$83,814.30</w:t>
            </w:r>
          </w:p>
        </w:tc>
      </w:tr>
      <w:tr w:rsidRPr="00A01783" w:rsidR="00ED6C18" w:rsidTr="1BF69C51" w14:paraId="3C518396" w14:textId="77777777">
        <w:trPr>
          <w:trHeight w:val="264"/>
        </w:trPr>
        <w:tc>
          <w:tcPr>
            <w:tcW w:w="1635" w:type="dxa"/>
            <w:vAlign w:val="center"/>
            <w:hideMark/>
          </w:tcPr>
          <w:p w:rsidRPr="005536BA" w:rsidR="005971EA" w:rsidP="00117284" w:rsidRDefault="005971EA" w14:paraId="6FC9B0E4" w14:textId="77777777">
            <w:pPr>
              <w:spacing w:after="0"/>
              <w:rPr>
                <w:rFonts w:ascii="Garamond" w:hAnsi="Garamond"/>
                <w:sz w:val="20"/>
                <w:szCs w:val="20"/>
              </w:rPr>
            </w:pPr>
            <w:r w:rsidRPr="005536BA">
              <w:rPr>
                <w:rFonts w:ascii="Garamond" w:hAnsi="Garamond"/>
                <w:sz w:val="20"/>
              </w:rPr>
              <w:t>Viridian Energy PA LLC</w:t>
            </w:r>
          </w:p>
        </w:tc>
        <w:tc>
          <w:tcPr>
            <w:tcW w:w="970" w:type="dxa"/>
            <w:noWrap/>
            <w:vAlign w:val="center"/>
          </w:tcPr>
          <w:p w:rsidRPr="00A36BB0" w:rsidR="005971EA" w:rsidP="00117284" w:rsidRDefault="005971EA" w14:paraId="279402C1"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743A7D8D"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02EF8974" w14:textId="7088A148">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3A78EB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4BE0149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E83EFE0"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56965597"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605E6D6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2196EED1"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365493D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65B805ED"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328C68F2" w14:textId="77777777">
        <w:trPr>
          <w:cnfStyle w:val="000000100000" w:firstRow="0" w:lastRow="0" w:firstColumn="0" w:lastColumn="0" w:oddVBand="0" w:evenVBand="0" w:oddHBand="1" w:evenHBand="0" w:firstRowFirstColumn="0" w:firstRowLastColumn="0" w:lastRowFirstColumn="0" w:lastRowLastColumn="0"/>
          <w:trHeight w:val="528"/>
        </w:trPr>
        <w:tc>
          <w:tcPr>
            <w:tcW w:w="1635" w:type="dxa"/>
            <w:vAlign w:val="center"/>
            <w:hideMark/>
          </w:tcPr>
          <w:p w:rsidRPr="005536BA" w:rsidR="005971EA" w:rsidP="00117284" w:rsidRDefault="005971EA" w14:paraId="234F3EB7" w14:textId="77777777">
            <w:pPr>
              <w:spacing w:after="0"/>
              <w:rPr>
                <w:rFonts w:ascii="Garamond" w:hAnsi="Garamond"/>
                <w:sz w:val="20"/>
                <w:szCs w:val="20"/>
              </w:rPr>
            </w:pPr>
            <w:r w:rsidRPr="005536BA">
              <w:rPr>
                <w:rFonts w:ascii="Garamond" w:hAnsi="Garamond"/>
                <w:sz w:val="20"/>
              </w:rPr>
              <w:t>Vista Energy Marketing L.P.</w:t>
            </w:r>
          </w:p>
        </w:tc>
        <w:tc>
          <w:tcPr>
            <w:tcW w:w="970" w:type="dxa"/>
            <w:noWrap/>
            <w:vAlign w:val="center"/>
          </w:tcPr>
          <w:p w:rsidRPr="00A36BB0" w:rsidR="005971EA" w:rsidP="00117284" w:rsidRDefault="005971EA" w14:paraId="3225C115" w14:textId="77777777">
            <w:pPr>
              <w:spacing w:after="0"/>
              <w:jc w:val="right"/>
              <w:rPr>
                <w:rFonts w:ascii="Garamond" w:hAnsi="Garamond" w:cs="Calibri"/>
                <w:sz w:val="20"/>
                <w:szCs w:val="20"/>
              </w:rPr>
            </w:pPr>
            <w:r w:rsidRPr="00D754A3">
              <w:rPr>
                <w:rFonts w:ascii="Garamond" w:hAnsi="Garamond" w:cs="Calibri"/>
                <w:color w:val="000000"/>
                <w:sz w:val="20"/>
                <w:szCs w:val="20"/>
              </w:rPr>
              <w:t>138</w:t>
            </w:r>
          </w:p>
        </w:tc>
        <w:tc>
          <w:tcPr>
            <w:tcW w:w="1181" w:type="dxa"/>
            <w:noWrap/>
            <w:vAlign w:val="center"/>
            <w:hideMark/>
          </w:tcPr>
          <w:p w:rsidRPr="00A36BB0" w:rsidR="005971EA" w:rsidP="00117284" w:rsidRDefault="005971EA" w14:paraId="6D6D0ADB" w14:textId="77777777">
            <w:pPr>
              <w:spacing w:after="0"/>
              <w:jc w:val="right"/>
              <w:rPr>
                <w:rFonts w:ascii="Garamond" w:hAnsi="Garamond"/>
                <w:sz w:val="20"/>
                <w:szCs w:val="20"/>
              </w:rPr>
            </w:pPr>
            <w:r w:rsidRPr="00BF35B0">
              <w:rPr>
                <w:rFonts w:ascii="Garamond" w:hAnsi="Garamond"/>
                <w:color w:val="000000"/>
                <w:sz w:val="20"/>
                <w:szCs w:val="20"/>
              </w:rPr>
              <w:t>38</w:t>
            </w:r>
          </w:p>
        </w:tc>
        <w:tc>
          <w:tcPr>
            <w:tcW w:w="1339" w:type="dxa"/>
            <w:noWrap/>
            <w:vAlign w:val="center"/>
            <w:hideMark/>
          </w:tcPr>
          <w:p w:rsidRPr="00935490" w:rsidR="005971EA" w:rsidP="00117284" w:rsidRDefault="005971EA" w14:paraId="0B4677A9" w14:textId="4E68C9CC">
            <w:pPr>
              <w:spacing w:after="0"/>
              <w:jc w:val="right"/>
              <w:rPr>
                <w:rFonts w:ascii="Garamond" w:hAnsi="Garamond"/>
                <w:sz w:val="20"/>
                <w:szCs w:val="20"/>
              </w:rPr>
            </w:pPr>
            <w:r w:rsidRPr="29A95352">
              <w:rPr>
                <w:rFonts w:ascii="Garamond" w:hAnsi="Garamond" w:cs="Arial"/>
                <w:color w:val="000000" w:themeColor="text1"/>
                <w:sz w:val="20"/>
                <w:szCs w:val="20"/>
              </w:rPr>
              <w:t>47</w:t>
            </w:r>
          </w:p>
        </w:tc>
        <w:tc>
          <w:tcPr>
            <w:tcW w:w="1170" w:type="dxa"/>
            <w:noWrap/>
            <w:vAlign w:val="center"/>
            <w:hideMark/>
          </w:tcPr>
          <w:p w:rsidRPr="00A36BB0" w:rsidR="005971EA" w:rsidP="00117284" w:rsidRDefault="005971EA" w14:paraId="29694ADD" w14:textId="77777777">
            <w:pPr>
              <w:spacing w:after="0"/>
              <w:jc w:val="right"/>
              <w:rPr>
                <w:rFonts w:ascii="Garamond" w:hAnsi="Garamond"/>
                <w:sz w:val="20"/>
                <w:szCs w:val="20"/>
              </w:rPr>
            </w:pPr>
            <w:r w:rsidRPr="00C212E4">
              <w:rPr>
                <w:rFonts w:ascii="Garamond" w:hAnsi="Garamond"/>
                <w:color w:val="000000"/>
                <w:sz w:val="20"/>
                <w:szCs w:val="20"/>
              </w:rPr>
              <w:t>4</w:t>
            </w:r>
          </w:p>
        </w:tc>
        <w:tc>
          <w:tcPr>
            <w:tcW w:w="1139" w:type="dxa"/>
            <w:noWrap/>
            <w:vAlign w:val="center"/>
            <w:hideMark/>
          </w:tcPr>
          <w:p w:rsidRPr="00A36BB0" w:rsidR="005971EA" w:rsidP="00117284" w:rsidRDefault="005971EA" w14:paraId="4769CA2A" w14:textId="77777777">
            <w:pPr>
              <w:spacing w:after="0"/>
              <w:jc w:val="right"/>
              <w:rPr>
                <w:rFonts w:ascii="Garamond" w:hAnsi="Garamond"/>
                <w:sz w:val="20"/>
                <w:szCs w:val="20"/>
              </w:rPr>
            </w:pPr>
            <w:r w:rsidRPr="00DD6ADF">
              <w:rPr>
                <w:rFonts w:ascii="Garamond" w:hAnsi="Garamond"/>
                <w:color w:val="000000"/>
                <w:sz w:val="20"/>
                <w:szCs w:val="20"/>
              </w:rPr>
              <w:t>$819.63</w:t>
            </w:r>
          </w:p>
        </w:tc>
        <w:tc>
          <w:tcPr>
            <w:tcW w:w="1146" w:type="dxa"/>
            <w:noWrap/>
            <w:vAlign w:val="center"/>
            <w:hideMark/>
          </w:tcPr>
          <w:p w:rsidRPr="00A36BB0" w:rsidR="005971EA" w:rsidP="00117284" w:rsidRDefault="005971EA" w14:paraId="407D8AD8" w14:textId="77777777">
            <w:pPr>
              <w:spacing w:after="0"/>
              <w:jc w:val="right"/>
              <w:rPr>
                <w:rFonts w:ascii="Garamond" w:hAnsi="Garamond"/>
                <w:sz w:val="20"/>
                <w:szCs w:val="20"/>
              </w:rPr>
            </w:pPr>
            <w:r w:rsidRPr="002A7D7B">
              <w:rPr>
                <w:rFonts w:ascii="Garamond" w:hAnsi="Garamond"/>
                <w:color w:val="000000"/>
                <w:sz w:val="20"/>
                <w:szCs w:val="20"/>
              </w:rPr>
              <w:t>$7,201.77</w:t>
            </w:r>
          </w:p>
        </w:tc>
        <w:tc>
          <w:tcPr>
            <w:tcW w:w="1322" w:type="dxa"/>
            <w:noWrap/>
            <w:vAlign w:val="center"/>
            <w:hideMark/>
          </w:tcPr>
          <w:p w:rsidRPr="00A36BB0" w:rsidR="005971EA" w:rsidP="00117284" w:rsidRDefault="005971EA" w14:paraId="2B44554A" w14:textId="77777777">
            <w:pPr>
              <w:spacing w:after="0"/>
              <w:jc w:val="right"/>
              <w:rPr>
                <w:rFonts w:ascii="Garamond" w:hAnsi="Garamond"/>
                <w:sz w:val="20"/>
                <w:szCs w:val="20"/>
              </w:rPr>
            </w:pPr>
            <w:r w:rsidRPr="00D23015">
              <w:rPr>
                <w:rFonts w:ascii="Garamond" w:hAnsi="Garamond"/>
                <w:color w:val="000000"/>
                <w:sz w:val="20"/>
                <w:szCs w:val="20"/>
              </w:rPr>
              <w:t>$31,980.30</w:t>
            </w:r>
          </w:p>
        </w:tc>
        <w:tc>
          <w:tcPr>
            <w:tcW w:w="1073" w:type="dxa"/>
            <w:noWrap/>
            <w:vAlign w:val="center"/>
            <w:hideMark/>
          </w:tcPr>
          <w:p w:rsidRPr="00A36BB0" w:rsidR="005971EA" w:rsidP="00117284" w:rsidRDefault="005971EA" w14:paraId="7788C308" w14:textId="77777777">
            <w:pPr>
              <w:spacing w:after="0"/>
              <w:jc w:val="right"/>
              <w:rPr>
                <w:rFonts w:ascii="Garamond" w:hAnsi="Garamond"/>
                <w:sz w:val="20"/>
                <w:szCs w:val="20"/>
              </w:rPr>
            </w:pPr>
            <w:r w:rsidRPr="001F260B">
              <w:rPr>
                <w:rFonts w:ascii="Garamond" w:hAnsi="Garamond"/>
                <w:color w:val="000000"/>
                <w:sz w:val="20"/>
                <w:szCs w:val="20"/>
              </w:rPr>
              <w:t>$2,956.67</w:t>
            </w:r>
          </w:p>
        </w:tc>
        <w:tc>
          <w:tcPr>
            <w:tcW w:w="1170" w:type="dxa"/>
            <w:noWrap/>
            <w:vAlign w:val="center"/>
            <w:hideMark/>
          </w:tcPr>
          <w:p w:rsidRPr="00A36BB0" w:rsidR="005971EA" w:rsidP="00117284" w:rsidRDefault="005971EA" w14:paraId="54AF113A" w14:textId="77777777">
            <w:pPr>
              <w:spacing w:after="0"/>
              <w:jc w:val="right"/>
              <w:rPr>
                <w:rFonts w:ascii="Garamond" w:hAnsi="Garamond"/>
                <w:sz w:val="20"/>
                <w:szCs w:val="20"/>
              </w:rPr>
            </w:pPr>
            <w:r w:rsidRPr="003F3171">
              <w:rPr>
                <w:rFonts w:ascii="Garamond" w:hAnsi="Garamond"/>
                <w:color w:val="000000"/>
                <w:sz w:val="20"/>
                <w:szCs w:val="20"/>
              </w:rPr>
              <w:t>$42,958.38</w:t>
            </w:r>
          </w:p>
        </w:tc>
        <w:tc>
          <w:tcPr>
            <w:tcW w:w="1195" w:type="dxa"/>
            <w:noWrap/>
            <w:vAlign w:val="center"/>
            <w:hideMark/>
          </w:tcPr>
          <w:p w:rsidRPr="00A36BB0" w:rsidR="005971EA" w:rsidP="00117284" w:rsidRDefault="005971EA" w14:paraId="5B34B9B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0C53437" w14:textId="77777777">
            <w:pPr>
              <w:spacing w:after="0"/>
              <w:jc w:val="right"/>
              <w:rPr>
                <w:rFonts w:ascii="Garamond" w:hAnsi="Garamond"/>
                <w:sz w:val="20"/>
                <w:szCs w:val="20"/>
              </w:rPr>
            </w:pPr>
            <w:r w:rsidRPr="003F3171">
              <w:rPr>
                <w:rFonts w:ascii="Garamond" w:hAnsi="Garamond"/>
                <w:color w:val="000000"/>
                <w:sz w:val="20"/>
                <w:szCs w:val="20"/>
              </w:rPr>
              <w:t>$47,958.38</w:t>
            </w:r>
          </w:p>
        </w:tc>
      </w:tr>
      <w:tr w:rsidRPr="00A01783" w:rsidR="00ED6C18" w:rsidTr="1BF69C51" w14:paraId="3B3A40FE" w14:textId="77777777">
        <w:trPr>
          <w:trHeight w:val="528"/>
        </w:trPr>
        <w:tc>
          <w:tcPr>
            <w:tcW w:w="1635" w:type="dxa"/>
            <w:vAlign w:val="center"/>
            <w:hideMark/>
          </w:tcPr>
          <w:p w:rsidRPr="005536BA" w:rsidR="005971EA" w:rsidP="00117284" w:rsidRDefault="005971EA" w14:paraId="1E156005" w14:textId="77777777">
            <w:pPr>
              <w:spacing w:after="0"/>
              <w:rPr>
                <w:rFonts w:ascii="Garamond" w:hAnsi="Garamond"/>
                <w:sz w:val="20"/>
                <w:szCs w:val="20"/>
              </w:rPr>
            </w:pPr>
            <w:r w:rsidRPr="005536BA">
              <w:rPr>
                <w:rFonts w:ascii="Garamond" w:hAnsi="Garamond"/>
                <w:sz w:val="20"/>
              </w:rPr>
              <w:t>Wave Energy LLC</w:t>
            </w:r>
          </w:p>
        </w:tc>
        <w:tc>
          <w:tcPr>
            <w:tcW w:w="970" w:type="dxa"/>
            <w:noWrap/>
            <w:vAlign w:val="center"/>
          </w:tcPr>
          <w:p w:rsidRPr="00A36BB0" w:rsidR="005971EA" w:rsidP="00117284" w:rsidRDefault="005971EA" w14:paraId="351163C7" w14:textId="77777777">
            <w:pPr>
              <w:spacing w:after="0"/>
              <w:jc w:val="right"/>
              <w:rPr>
                <w:rFonts w:ascii="Garamond" w:hAnsi="Garamond" w:cs="Calibri"/>
                <w:sz w:val="20"/>
                <w:szCs w:val="20"/>
              </w:rPr>
            </w:pPr>
            <w:r w:rsidRPr="00D754A3">
              <w:rPr>
                <w:rFonts w:ascii="Garamond" w:hAnsi="Garamond" w:cs="Calibri"/>
                <w:sz w:val="20"/>
                <w:szCs w:val="20"/>
              </w:rPr>
              <w:t>539</w:t>
            </w:r>
          </w:p>
        </w:tc>
        <w:tc>
          <w:tcPr>
            <w:tcW w:w="1181" w:type="dxa"/>
            <w:noWrap/>
            <w:vAlign w:val="center"/>
            <w:hideMark/>
          </w:tcPr>
          <w:p w:rsidRPr="00A36BB0" w:rsidR="005971EA" w:rsidP="00117284" w:rsidRDefault="005971EA" w14:paraId="772D9977" w14:textId="77777777">
            <w:pPr>
              <w:spacing w:after="0"/>
              <w:jc w:val="right"/>
              <w:rPr>
                <w:rFonts w:ascii="Garamond" w:hAnsi="Garamond"/>
                <w:sz w:val="20"/>
                <w:szCs w:val="20"/>
              </w:rPr>
            </w:pPr>
            <w:r w:rsidRPr="00BF35B0">
              <w:rPr>
                <w:rFonts w:ascii="Garamond" w:hAnsi="Garamond"/>
                <w:sz w:val="20"/>
                <w:szCs w:val="20"/>
              </w:rPr>
              <w:t>158</w:t>
            </w:r>
          </w:p>
        </w:tc>
        <w:tc>
          <w:tcPr>
            <w:tcW w:w="1339" w:type="dxa"/>
            <w:noWrap/>
            <w:vAlign w:val="center"/>
            <w:hideMark/>
          </w:tcPr>
          <w:p w:rsidRPr="00935490" w:rsidR="005971EA" w:rsidP="00117284" w:rsidRDefault="005971EA" w14:paraId="2B6551B5" w14:textId="661495D6">
            <w:pPr>
              <w:spacing w:after="0"/>
              <w:jc w:val="right"/>
              <w:rPr>
                <w:rFonts w:ascii="Garamond" w:hAnsi="Garamond"/>
                <w:sz w:val="20"/>
                <w:szCs w:val="20"/>
              </w:rPr>
            </w:pPr>
            <w:r w:rsidRPr="29A95352">
              <w:rPr>
                <w:rFonts w:ascii="Garamond" w:hAnsi="Garamond" w:cs="Arial"/>
                <w:color w:val="000000" w:themeColor="text1"/>
                <w:sz w:val="20"/>
                <w:szCs w:val="20"/>
              </w:rPr>
              <w:t>200</w:t>
            </w:r>
          </w:p>
        </w:tc>
        <w:tc>
          <w:tcPr>
            <w:tcW w:w="1170" w:type="dxa"/>
            <w:noWrap/>
            <w:vAlign w:val="center"/>
            <w:hideMark/>
          </w:tcPr>
          <w:p w:rsidRPr="00A36BB0" w:rsidR="005971EA" w:rsidP="00117284" w:rsidRDefault="005971EA" w14:paraId="68FC60BF" w14:textId="77777777">
            <w:pPr>
              <w:spacing w:after="0"/>
              <w:jc w:val="right"/>
              <w:rPr>
                <w:rFonts w:ascii="Garamond" w:hAnsi="Garamond"/>
                <w:sz w:val="20"/>
                <w:szCs w:val="20"/>
              </w:rPr>
            </w:pPr>
            <w:r w:rsidRPr="00C212E4">
              <w:rPr>
                <w:rFonts w:ascii="Garamond" w:hAnsi="Garamond"/>
                <w:color w:val="000000"/>
                <w:sz w:val="20"/>
                <w:szCs w:val="20"/>
              </w:rPr>
              <w:t>43</w:t>
            </w:r>
          </w:p>
        </w:tc>
        <w:tc>
          <w:tcPr>
            <w:tcW w:w="1139" w:type="dxa"/>
            <w:noWrap/>
            <w:vAlign w:val="center"/>
            <w:hideMark/>
          </w:tcPr>
          <w:p w:rsidRPr="00A36BB0" w:rsidR="005971EA" w:rsidP="00117284" w:rsidRDefault="005971EA" w14:paraId="351870FB" w14:textId="77777777">
            <w:pPr>
              <w:spacing w:after="0"/>
              <w:jc w:val="right"/>
              <w:rPr>
                <w:rFonts w:ascii="Garamond" w:hAnsi="Garamond"/>
                <w:sz w:val="20"/>
                <w:szCs w:val="20"/>
              </w:rPr>
            </w:pPr>
            <w:r w:rsidRPr="00DD6ADF">
              <w:rPr>
                <w:rFonts w:ascii="Garamond" w:hAnsi="Garamond"/>
                <w:color w:val="000000"/>
                <w:sz w:val="20"/>
                <w:szCs w:val="20"/>
              </w:rPr>
              <w:t>$3,201.33</w:t>
            </w:r>
          </w:p>
        </w:tc>
        <w:tc>
          <w:tcPr>
            <w:tcW w:w="1146" w:type="dxa"/>
            <w:noWrap/>
            <w:vAlign w:val="center"/>
            <w:hideMark/>
          </w:tcPr>
          <w:p w:rsidRPr="00A36BB0" w:rsidR="005971EA" w:rsidP="00117284" w:rsidRDefault="005971EA" w14:paraId="05B30EC0" w14:textId="77777777">
            <w:pPr>
              <w:spacing w:after="0"/>
              <w:jc w:val="right"/>
              <w:rPr>
                <w:rFonts w:ascii="Garamond" w:hAnsi="Garamond"/>
                <w:sz w:val="20"/>
                <w:szCs w:val="20"/>
              </w:rPr>
            </w:pPr>
            <w:r w:rsidRPr="002A7D7B">
              <w:rPr>
                <w:rFonts w:ascii="Garamond" w:hAnsi="Garamond"/>
                <w:color w:val="000000"/>
                <w:sz w:val="20"/>
                <w:szCs w:val="20"/>
              </w:rPr>
              <w:t>$29,944.20</w:t>
            </w:r>
          </w:p>
        </w:tc>
        <w:tc>
          <w:tcPr>
            <w:tcW w:w="1322" w:type="dxa"/>
            <w:noWrap/>
            <w:vAlign w:val="center"/>
            <w:hideMark/>
          </w:tcPr>
          <w:p w:rsidRPr="00A36BB0" w:rsidR="005971EA" w:rsidP="00117284" w:rsidRDefault="005971EA" w14:paraId="41498CC1" w14:textId="77777777">
            <w:pPr>
              <w:spacing w:after="0"/>
              <w:jc w:val="right"/>
              <w:rPr>
                <w:rFonts w:ascii="Garamond" w:hAnsi="Garamond"/>
                <w:sz w:val="20"/>
                <w:szCs w:val="20"/>
              </w:rPr>
            </w:pPr>
            <w:r w:rsidRPr="00D23015">
              <w:rPr>
                <w:rFonts w:ascii="Garamond" w:hAnsi="Garamond"/>
                <w:color w:val="000000"/>
                <w:sz w:val="20"/>
                <w:szCs w:val="20"/>
              </w:rPr>
              <w:t>$136,086.39</w:t>
            </w:r>
          </w:p>
        </w:tc>
        <w:tc>
          <w:tcPr>
            <w:tcW w:w="1073" w:type="dxa"/>
            <w:noWrap/>
            <w:vAlign w:val="center"/>
            <w:hideMark/>
          </w:tcPr>
          <w:p w:rsidRPr="00A36BB0" w:rsidR="005971EA" w:rsidP="00117284" w:rsidRDefault="005971EA" w14:paraId="3DA99A03" w14:textId="77777777">
            <w:pPr>
              <w:spacing w:after="0"/>
              <w:jc w:val="right"/>
              <w:rPr>
                <w:rFonts w:ascii="Garamond" w:hAnsi="Garamond"/>
                <w:sz w:val="20"/>
                <w:szCs w:val="20"/>
              </w:rPr>
            </w:pPr>
            <w:r w:rsidRPr="001F260B">
              <w:rPr>
                <w:rFonts w:ascii="Garamond" w:hAnsi="Garamond"/>
                <w:color w:val="000000"/>
                <w:sz w:val="20"/>
                <w:szCs w:val="20"/>
              </w:rPr>
              <w:t>$31,784.22</w:t>
            </w:r>
          </w:p>
        </w:tc>
        <w:tc>
          <w:tcPr>
            <w:tcW w:w="1170" w:type="dxa"/>
            <w:noWrap/>
            <w:vAlign w:val="center"/>
            <w:hideMark/>
          </w:tcPr>
          <w:p w:rsidRPr="00A36BB0" w:rsidR="005971EA" w:rsidP="00117284" w:rsidRDefault="005971EA" w14:paraId="2E862D06" w14:textId="77777777">
            <w:pPr>
              <w:spacing w:after="0"/>
              <w:jc w:val="right"/>
              <w:rPr>
                <w:rFonts w:ascii="Garamond" w:hAnsi="Garamond"/>
                <w:sz w:val="20"/>
                <w:szCs w:val="20"/>
              </w:rPr>
            </w:pPr>
            <w:r w:rsidRPr="003F3171">
              <w:rPr>
                <w:rFonts w:ascii="Garamond" w:hAnsi="Garamond"/>
                <w:color w:val="000000"/>
                <w:sz w:val="20"/>
                <w:szCs w:val="20"/>
              </w:rPr>
              <w:t>$201,016.13</w:t>
            </w:r>
          </w:p>
        </w:tc>
        <w:tc>
          <w:tcPr>
            <w:tcW w:w="1195" w:type="dxa"/>
            <w:noWrap/>
            <w:vAlign w:val="center"/>
            <w:hideMark/>
          </w:tcPr>
          <w:p w:rsidRPr="00A36BB0" w:rsidR="005971EA" w:rsidP="00117284" w:rsidRDefault="005971EA" w14:paraId="6C7A010A"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F86CFE0" w14:textId="77777777">
            <w:pPr>
              <w:spacing w:after="0"/>
              <w:jc w:val="right"/>
              <w:rPr>
                <w:rFonts w:ascii="Garamond" w:hAnsi="Garamond"/>
                <w:sz w:val="20"/>
                <w:szCs w:val="20"/>
              </w:rPr>
            </w:pPr>
            <w:r w:rsidRPr="003F3171">
              <w:rPr>
                <w:rFonts w:ascii="Garamond" w:hAnsi="Garamond"/>
                <w:color w:val="000000"/>
                <w:sz w:val="20"/>
                <w:szCs w:val="20"/>
              </w:rPr>
              <w:t>$206,016.13</w:t>
            </w:r>
          </w:p>
        </w:tc>
      </w:tr>
      <w:tr w:rsidRPr="00A01783" w:rsidR="00ED6C18" w:rsidTr="1BF69C51" w14:paraId="688F824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13DC1F8F" w14:textId="77777777">
            <w:pPr>
              <w:spacing w:after="0"/>
              <w:rPr>
                <w:rFonts w:ascii="Garamond" w:hAnsi="Garamond"/>
                <w:sz w:val="20"/>
                <w:szCs w:val="20"/>
              </w:rPr>
            </w:pPr>
            <w:r w:rsidRPr="005536BA">
              <w:rPr>
                <w:rFonts w:ascii="Garamond" w:hAnsi="Garamond"/>
                <w:sz w:val="20"/>
              </w:rPr>
              <w:t>XOOM Energy California LLC</w:t>
            </w:r>
          </w:p>
        </w:tc>
        <w:tc>
          <w:tcPr>
            <w:tcW w:w="970" w:type="dxa"/>
            <w:noWrap/>
            <w:vAlign w:val="center"/>
          </w:tcPr>
          <w:p w:rsidRPr="00A36BB0" w:rsidR="005971EA" w:rsidP="00117284" w:rsidRDefault="005971EA" w14:paraId="7EB35C7B" w14:textId="77777777">
            <w:pPr>
              <w:spacing w:after="0"/>
              <w:jc w:val="right"/>
              <w:rPr>
                <w:rFonts w:ascii="Garamond" w:hAnsi="Garamond" w:cs="Calibri"/>
                <w:sz w:val="20"/>
                <w:szCs w:val="20"/>
              </w:rPr>
            </w:pPr>
            <w:r w:rsidRPr="005536BA">
              <w:rPr>
                <w:rFonts w:ascii="Garamond" w:hAnsi="Garamond" w:cs="Calibri"/>
                <w:sz w:val="20"/>
              </w:rPr>
              <w:t>8</w:t>
            </w:r>
          </w:p>
        </w:tc>
        <w:tc>
          <w:tcPr>
            <w:tcW w:w="1181" w:type="dxa"/>
            <w:noWrap/>
            <w:vAlign w:val="center"/>
            <w:hideMark/>
          </w:tcPr>
          <w:p w:rsidRPr="00A36BB0" w:rsidR="005971EA" w:rsidP="00117284" w:rsidRDefault="005971EA" w14:paraId="41EFC8FA"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26FE070C" w14:textId="14E3AC64">
            <w:pPr>
              <w:spacing w:after="0"/>
              <w:jc w:val="right"/>
              <w:rPr>
                <w:rFonts w:ascii="Garamond" w:hAnsi="Garamond"/>
                <w:sz w:val="20"/>
                <w:szCs w:val="20"/>
              </w:rPr>
            </w:pPr>
            <w:r w:rsidRPr="29A95352">
              <w:rPr>
                <w:rFonts w:ascii="Garamond" w:hAnsi="Garamond" w:cs="Arial"/>
                <w:color w:val="000000" w:themeColor="text1"/>
                <w:sz w:val="20"/>
                <w:szCs w:val="20"/>
              </w:rPr>
              <w:t>2</w:t>
            </w:r>
          </w:p>
        </w:tc>
        <w:tc>
          <w:tcPr>
            <w:tcW w:w="1170" w:type="dxa"/>
            <w:noWrap/>
            <w:vAlign w:val="center"/>
            <w:hideMark/>
          </w:tcPr>
          <w:p w:rsidRPr="00A36BB0" w:rsidR="005971EA" w:rsidP="00117284" w:rsidRDefault="005971EA" w14:paraId="7A61243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BB7F992" w14:textId="77777777">
            <w:pPr>
              <w:spacing w:after="0"/>
              <w:jc w:val="right"/>
              <w:rPr>
                <w:rFonts w:ascii="Garamond" w:hAnsi="Garamond"/>
                <w:sz w:val="20"/>
                <w:szCs w:val="20"/>
              </w:rPr>
            </w:pPr>
            <w:r w:rsidRPr="00DD6ADF">
              <w:rPr>
                <w:rFonts w:ascii="Garamond" w:hAnsi="Garamond"/>
                <w:color w:val="000000"/>
                <w:sz w:val="20"/>
                <w:szCs w:val="20"/>
              </w:rPr>
              <w:t>$47.52</w:t>
            </w:r>
          </w:p>
        </w:tc>
        <w:tc>
          <w:tcPr>
            <w:tcW w:w="1146" w:type="dxa"/>
            <w:noWrap/>
            <w:vAlign w:val="center"/>
            <w:hideMark/>
          </w:tcPr>
          <w:p w:rsidRPr="00A36BB0" w:rsidR="005971EA" w:rsidP="00117284" w:rsidRDefault="005971EA" w14:paraId="5BEE45E8" w14:textId="77777777">
            <w:pPr>
              <w:spacing w:after="0"/>
              <w:jc w:val="right"/>
              <w:rPr>
                <w:rFonts w:ascii="Garamond" w:hAnsi="Garamond"/>
                <w:sz w:val="20"/>
                <w:szCs w:val="20"/>
              </w:rPr>
            </w:pPr>
            <w:r w:rsidRPr="002A7D7B">
              <w:rPr>
                <w:rFonts w:ascii="Garamond" w:hAnsi="Garamond"/>
                <w:color w:val="000000"/>
                <w:sz w:val="20"/>
                <w:szCs w:val="20"/>
              </w:rPr>
              <w:t>$568.56</w:t>
            </w:r>
          </w:p>
        </w:tc>
        <w:tc>
          <w:tcPr>
            <w:tcW w:w="1322" w:type="dxa"/>
            <w:noWrap/>
            <w:vAlign w:val="center"/>
            <w:hideMark/>
          </w:tcPr>
          <w:p w:rsidRPr="00A36BB0" w:rsidR="005971EA" w:rsidP="00117284" w:rsidRDefault="005971EA" w14:paraId="5EFCB676" w14:textId="77777777">
            <w:pPr>
              <w:spacing w:after="0"/>
              <w:jc w:val="right"/>
              <w:rPr>
                <w:rFonts w:ascii="Garamond" w:hAnsi="Garamond"/>
                <w:sz w:val="20"/>
                <w:szCs w:val="20"/>
              </w:rPr>
            </w:pPr>
            <w:r w:rsidRPr="00D23015">
              <w:rPr>
                <w:rFonts w:ascii="Garamond" w:hAnsi="Garamond"/>
                <w:color w:val="000000"/>
                <w:sz w:val="20"/>
                <w:szCs w:val="20"/>
              </w:rPr>
              <w:t>$1,360.86</w:t>
            </w:r>
          </w:p>
        </w:tc>
        <w:tc>
          <w:tcPr>
            <w:tcW w:w="1073" w:type="dxa"/>
            <w:noWrap/>
            <w:vAlign w:val="center"/>
            <w:hideMark/>
          </w:tcPr>
          <w:p w:rsidRPr="00A36BB0" w:rsidR="005971EA" w:rsidP="00117284" w:rsidRDefault="005971EA" w14:paraId="1FF0BD4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7199787F" w14:textId="77777777">
            <w:pPr>
              <w:spacing w:after="0"/>
              <w:jc w:val="right"/>
              <w:rPr>
                <w:rFonts w:ascii="Garamond" w:hAnsi="Garamond"/>
                <w:sz w:val="20"/>
                <w:szCs w:val="20"/>
              </w:rPr>
            </w:pPr>
            <w:r w:rsidRPr="003F3171">
              <w:rPr>
                <w:rFonts w:ascii="Garamond" w:hAnsi="Garamond"/>
                <w:color w:val="000000"/>
                <w:sz w:val="20"/>
                <w:szCs w:val="20"/>
              </w:rPr>
              <w:t>$1,976.94</w:t>
            </w:r>
          </w:p>
        </w:tc>
        <w:tc>
          <w:tcPr>
            <w:tcW w:w="1195" w:type="dxa"/>
            <w:noWrap/>
            <w:vAlign w:val="center"/>
            <w:hideMark/>
          </w:tcPr>
          <w:p w:rsidRPr="00A36BB0" w:rsidR="005971EA" w:rsidP="00117284" w:rsidRDefault="005971EA" w14:paraId="27B0931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3C073252" w14:textId="77777777">
            <w:pPr>
              <w:spacing w:after="0"/>
              <w:jc w:val="right"/>
              <w:rPr>
                <w:rFonts w:ascii="Garamond" w:hAnsi="Garamond"/>
                <w:sz w:val="20"/>
                <w:szCs w:val="20"/>
              </w:rPr>
            </w:pPr>
            <w:r w:rsidRPr="003F3171">
              <w:rPr>
                <w:rFonts w:ascii="Garamond" w:hAnsi="Garamond"/>
                <w:color w:val="000000"/>
                <w:sz w:val="20"/>
                <w:szCs w:val="20"/>
              </w:rPr>
              <w:t>$6,976.94</w:t>
            </w:r>
          </w:p>
        </w:tc>
      </w:tr>
      <w:tr w:rsidRPr="003D6DFD" w:rsidR="005971EA" w:rsidTr="1BF69C51" w14:paraId="54D86F30" w14:textId="77777777">
        <w:trPr>
          <w:trHeight w:val="264"/>
        </w:trPr>
        <w:tc>
          <w:tcPr>
            <w:tcW w:w="1635" w:type="dxa"/>
            <w:vAlign w:val="center"/>
            <w:hideMark/>
          </w:tcPr>
          <w:p w:rsidRPr="005536BA" w:rsidR="005971EA" w:rsidP="00117284" w:rsidRDefault="005971EA" w14:paraId="6A62B530" w14:textId="77777777">
            <w:pPr>
              <w:spacing w:after="0"/>
              <w:rPr>
                <w:rFonts w:ascii="Garamond" w:hAnsi="Garamond"/>
                <w:sz w:val="20"/>
                <w:szCs w:val="20"/>
              </w:rPr>
            </w:pPr>
            <w:r w:rsidRPr="005536BA">
              <w:rPr>
                <w:rFonts w:ascii="Garamond" w:hAnsi="Garamond"/>
                <w:sz w:val="20"/>
              </w:rPr>
              <w:lastRenderedPageBreak/>
              <w:t>TOTAL</w:t>
            </w:r>
          </w:p>
        </w:tc>
        <w:tc>
          <w:tcPr>
            <w:tcW w:w="970" w:type="dxa"/>
            <w:noWrap/>
            <w:vAlign w:val="center"/>
            <w:hideMark/>
          </w:tcPr>
          <w:p w:rsidRPr="005536BA" w:rsidR="005971EA" w:rsidP="3AD6AFDB" w:rsidRDefault="005971EA" w14:paraId="67CDEEE4" w14:textId="66E227E4">
            <w:pPr>
              <w:spacing w:after="0"/>
              <w:jc w:val="right"/>
              <w:rPr>
                <w:rFonts w:ascii="Garamond" w:hAnsi="Garamond" w:cs="Arial"/>
                <w:b/>
                <w:bCs/>
                <w:color w:val="000000" w:themeColor="text1"/>
                <w:sz w:val="20"/>
                <w:szCs w:val="20"/>
              </w:rPr>
            </w:pPr>
            <w:r w:rsidRPr="59309DFB">
              <w:rPr>
                <w:rFonts w:ascii="Garamond" w:hAnsi="Garamond" w:cs="Arial"/>
                <w:b/>
                <w:bCs/>
                <w:color w:val="000000" w:themeColor="text1"/>
                <w:sz w:val="20"/>
                <w:szCs w:val="20"/>
              </w:rPr>
              <w:t>2067</w:t>
            </w:r>
          </w:p>
        </w:tc>
        <w:tc>
          <w:tcPr>
            <w:tcW w:w="1181" w:type="dxa"/>
            <w:noWrap/>
            <w:vAlign w:val="center"/>
            <w:hideMark/>
          </w:tcPr>
          <w:p w:rsidRPr="00CB4098" w:rsidR="005971EA" w:rsidP="3AD6AFDB" w:rsidRDefault="005971EA" w14:paraId="625295B7" w14:textId="77777777">
            <w:pPr>
              <w:spacing w:after="0"/>
              <w:jc w:val="right"/>
              <w:rPr>
                <w:rFonts w:ascii="Garamond" w:hAnsi="Garamond"/>
                <w:b/>
                <w:bCs/>
                <w:sz w:val="20"/>
                <w:szCs w:val="20"/>
              </w:rPr>
            </w:pPr>
            <w:r w:rsidRPr="3AD6AFDB">
              <w:rPr>
                <w:rFonts w:ascii="Garamond" w:hAnsi="Garamond"/>
                <w:b/>
                <w:color w:val="000000" w:themeColor="text1"/>
                <w:sz w:val="20"/>
                <w:szCs w:val="20"/>
              </w:rPr>
              <w:t>875</w:t>
            </w:r>
          </w:p>
        </w:tc>
        <w:tc>
          <w:tcPr>
            <w:tcW w:w="1339" w:type="dxa"/>
            <w:noWrap/>
            <w:vAlign w:val="center"/>
            <w:hideMark/>
          </w:tcPr>
          <w:p w:rsidRPr="00935490" w:rsidR="005971EA" w:rsidP="3AD6AFDB" w:rsidRDefault="005971EA" w14:paraId="1546751C" w14:textId="53865326">
            <w:pPr>
              <w:spacing w:after="0"/>
              <w:jc w:val="right"/>
              <w:rPr>
                <w:rFonts w:ascii="Garamond" w:hAnsi="Garamond"/>
                <w:b/>
                <w:bCs/>
                <w:sz w:val="20"/>
                <w:szCs w:val="20"/>
              </w:rPr>
            </w:pPr>
            <w:r w:rsidRPr="29A95352">
              <w:rPr>
                <w:rFonts w:ascii="Garamond" w:hAnsi="Garamond" w:cs="Arial"/>
                <w:b/>
                <w:color w:val="000000" w:themeColor="text1"/>
                <w:sz w:val="20"/>
                <w:szCs w:val="20"/>
              </w:rPr>
              <w:t>818</w:t>
            </w:r>
          </w:p>
        </w:tc>
        <w:tc>
          <w:tcPr>
            <w:tcW w:w="1170" w:type="dxa"/>
            <w:noWrap/>
            <w:vAlign w:val="center"/>
            <w:hideMark/>
          </w:tcPr>
          <w:p w:rsidRPr="00C212E4" w:rsidR="005971EA" w:rsidP="3AD6AFDB" w:rsidRDefault="005971EA" w14:paraId="4B076EAA" w14:textId="77777777">
            <w:pPr>
              <w:spacing w:after="0"/>
              <w:jc w:val="right"/>
              <w:rPr>
                <w:rFonts w:ascii="Garamond" w:hAnsi="Garamond"/>
                <w:b/>
                <w:bCs/>
                <w:sz w:val="20"/>
                <w:szCs w:val="20"/>
              </w:rPr>
            </w:pPr>
            <w:r w:rsidRPr="3AD6AFDB">
              <w:rPr>
                <w:rFonts w:ascii="Garamond" w:hAnsi="Garamond"/>
                <w:b/>
                <w:color w:val="000000" w:themeColor="text1"/>
                <w:sz w:val="20"/>
                <w:szCs w:val="20"/>
              </w:rPr>
              <w:t>65</w:t>
            </w:r>
          </w:p>
        </w:tc>
        <w:tc>
          <w:tcPr>
            <w:tcW w:w="1139" w:type="dxa"/>
            <w:noWrap/>
            <w:vAlign w:val="center"/>
            <w:hideMark/>
          </w:tcPr>
          <w:p w:rsidRPr="00AC7F3C" w:rsidR="005971EA" w:rsidP="3AD6AFDB" w:rsidRDefault="005971EA" w14:paraId="772D5223" w14:textId="77777777">
            <w:pPr>
              <w:spacing w:after="0"/>
              <w:jc w:val="right"/>
              <w:rPr>
                <w:rFonts w:ascii="Garamond" w:hAnsi="Garamond"/>
                <w:b/>
                <w:bCs/>
                <w:sz w:val="20"/>
                <w:szCs w:val="20"/>
              </w:rPr>
            </w:pPr>
            <w:r w:rsidRPr="3AD6AFDB">
              <w:rPr>
                <w:rFonts w:ascii="Garamond" w:hAnsi="Garamond"/>
                <w:b/>
                <w:color w:val="000000" w:themeColor="text1"/>
                <w:sz w:val="20"/>
                <w:szCs w:val="20"/>
              </w:rPr>
              <w:t>$12,276.70</w:t>
            </w:r>
          </w:p>
        </w:tc>
        <w:tc>
          <w:tcPr>
            <w:tcW w:w="1146" w:type="dxa"/>
            <w:noWrap/>
            <w:vAlign w:val="center"/>
            <w:hideMark/>
          </w:tcPr>
          <w:p w:rsidRPr="002A7D7B" w:rsidR="005971EA" w:rsidP="3AD6AFDB" w:rsidRDefault="005971EA" w14:paraId="20B4F583" w14:textId="77777777">
            <w:pPr>
              <w:spacing w:after="0"/>
              <w:jc w:val="right"/>
              <w:rPr>
                <w:rFonts w:ascii="Garamond" w:hAnsi="Garamond"/>
                <w:b/>
                <w:bCs/>
                <w:sz w:val="20"/>
                <w:szCs w:val="20"/>
              </w:rPr>
            </w:pPr>
            <w:r w:rsidRPr="3AD6AFDB">
              <w:rPr>
                <w:rFonts w:ascii="Garamond" w:hAnsi="Garamond"/>
                <w:b/>
                <w:color w:val="000000" w:themeColor="text1"/>
                <w:sz w:val="20"/>
                <w:szCs w:val="20"/>
              </w:rPr>
              <w:t>$165,830.21</w:t>
            </w:r>
          </w:p>
        </w:tc>
        <w:tc>
          <w:tcPr>
            <w:tcW w:w="1322" w:type="dxa"/>
            <w:noWrap/>
            <w:vAlign w:val="center"/>
            <w:hideMark/>
          </w:tcPr>
          <w:p w:rsidRPr="00D23015" w:rsidR="005971EA" w:rsidP="3AD6AFDB" w:rsidRDefault="005971EA" w14:paraId="593B728A" w14:textId="77777777">
            <w:pPr>
              <w:spacing w:after="0"/>
              <w:jc w:val="right"/>
              <w:rPr>
                <w:rFonts w:ascii="Garamond" w:hAnsi="Garamond"/>
                <w:b/>
                <w:bCs/>
                <w:sz w:val="20"/>
                <w:szCs w:val="20"/>
              </w:rPr>
            </w:pPr>
            <w:r w:rsidRPr="3AD6AFDB">
              <w:rPr>
                <w:rFonts w:ascii="Garamond" w:hAnsi="Garamond"/>
                <w:b/>
                <w:color w:val="000000" w:themeColor="text1"/>
                <w:sz w:val="20"/>
                <w:szCs w:val="20"/>
              </w:rPr>
              <w:t>$556,593.35</w:t>
            </w:r>
          </w:p>
        </w:tc>
        <w:tc>
          <w:tcPr>
            <w:tcW w:w="1073" w:type="dxa"/>
            <w:noWrap/>
            <w:vAlign w:val="center"/>
            <w:hideMark/>
          </w:tcPr>
          <w:p w:rsidRPr="001F260B" w:rsidR="005971EA" w:rsidP="3AD6AFDB" w:rsidRDefault="005971EA" w14:paraId="58A5EAB4" w14:textId="77777777">
            <w:pPr>
              <w:spacing w:after="0"/>
              <w:jc w:val="right"/>
              <w:rPr>
                <w:rFonts w:ascii="Garamond" w:hAnsi="Garamond"/>
                <w:b/>
                <w:bCs/>
                <w:sz w:val="20"/>
                <w:szCs w:val="20"/>
              </w:rPr>
            </w:pPr>
            <w:r w:rsidRPr="3AD6AFDB">
              <w:rPr>
                <w:rFonts w:ascii="Garamond" w:hAnsi="Garamond"/>
                <w:b/>
                <w:color w:val="000000" w:themeColor="text1"/>
                <w:sz w:val="20"/>
                <w:szCs w:val="20"/>
              </w:rPr>
              <w:t>$48,045.91</w:t>
            </w:r>
          </w:p>
        </w:tc>
        <w:tc>
          <w:tcPr>
            <w:tcW w:w="1170" w:type="dxa"/>
            <w:noWrap/>
            <w:vAlign w:val="center"/>
            <w:hideMark/>
          </w:tcPr>
          <w:p w:rsidRPr="003F3171" w:rsidR="005971EA" w:rsidP="3AD6AFDB" w:rsidRDefault="005971EA" w14:paraId="7029DBAC" w14:textId="77777777">
            <w:pPr>
              <w:spacing w:after="0"/>
              <w:jc w:val="right"/>
              <w:rPr>
                <w:rFonts w:ascii="Garamond" w:hAnsi="Garamond"/>
                <w:b/>
                <w:bCs/>
                <w:sz w:val="20"/>
                <w:szCs w:val="20"/>
              </w:rPr>
            </w:pPr>
            <w:r w:rsidRPr="3AD6AFDB">
              <w:rPr>
                <w:rFonts w:ascii="Garamond" w:hAnsi="Garamond"/>
                <w:b/>
                <w:color w:val="000000" w:themeColor="text1"/>
                <w:sz w:val="20"/>
                <w:szCs w:val="20"/>
              </w:rPr>
              <w:t>$782,746.16</w:t>
            </w:r>
          </w:p>
        </w:tc>
        <w:tc>
          <w:tcPr>
            <w:tcW w:w="1195" w:type="dxa"/>
            <w:noWrap/>
            <w:vAlign w:val="center"/>
            <w:hideMark/>
          </w:tcPr>
          <w:p w:rsidRPr="003F3171" w:rsidR="005971EA" w:rsidP="3AD6AFDB" w:rsidRDefault="005971EA" w14:paraId="10DD3EFD" w14:textId="38263823">
            <w:pPr>
              <w:spacing w:after="0"/>
              <w:jc w:val="right"/>
              <w:rPr>
                <w:rFonts w:ascii="Garamond" w:hAnsi="Garamond"/>
                <w:b/>
                <w:bCs/>
                <w:sz w:val="20"/>
                <w:szCs w:val="20"/>
              </w:rPr>
            </w:pPr>
            <w:r w:rsidRPr="3AD6AFDB">
              <w:rPr>
                <w:rFonts w:ascii="Garamond" w:hAnsi="Garamond"/>
                <w:b/>
                <w:color w:val="000000" w:themeColor="text1"/>
                <w:sz w:val="20"/>
                <w:szCs w:val="20"/>
              </w:rPr>
              <w:t>$1</w:t>
            </w:r>
            <w:r w:rsidR="000777F1">
              <w:rPr>
                <w:rFonts w:ascii="Garamond" w:hAnsi="Garamond"/>
                <w:b/>
                <w:color w:val="000000" w:themeColor="text1"/>
                <w:sz w:val="20"/>
                <w:szCs w:val="20"/>
              </w:rPr>
              <w:t>9</w:t>
            </w:r>
            <w:r w:rsidR="006429C7">
              <w:rPr>
                <w:rFonts w:ascii="Garamond" w:hAnsi="Garamond"/>
                <w:b/>
                <w:color w:val="000000" w:themeColor="text1"/>
                <w:sz w:val="20"/>
                <w:szCs w:val="20"/>
              </w:rPr>
              <w:t>5</w:t>
            </w:r>
            <w:r w:rsidRPr="3AD6AFDB">
              <w:rPr>
                <w:rFonts w:ascii="Garamond" w:hAnsi="Garamond"/>
                <w:b/>
                <w:color w:val="000000" w:themeColor="text1"/>
                <w:sz w:val="20"/>
                <w:szCs w:val="20"/>
              </w:rPr>
              <w:t>,000.00</w:t>
            </w:r>
          </w:p>
        </w:tc>
        <w:tc>
          <w:tcPr>
            <w:tcW w:w="1192" w:type="dxa"/>
            <w:noWrap/>
            <w:vAlign w:val="center"/>
            <w:hideMark/>
          </w:tcPr>
          <w:p w:rsidRPr="003F3171" w:rsidR="005971EA" w:rsidP="3AD6AFDB" w:rsidRDefault="005971EA" w14:paraId="12C619CC" w14:textId="2D4465B1">
            <w:pPr>
              <w:spacing w:after="0"/>
              <w:jc w:val="right"/>
              <w:rPr>
                <w:rFonts w:ascii="Garamond" w:hAnsi="Garamond"/>
                <w:b/>
                <w:bCs/>
                <w:sz w:val="20"/>
                <w:szCs w:val="20"/>
              </w:rPr>
            </w:pPr>
            <w:r w:rsidRPr="3AD6AFDB">
              <w:rPr>
                <w:rFonts w:ascii="Garamond" w:hAnsi="Garamond"/>
                <w:b/>
                <w:color w:val="000000" w:themeColor="text1"/>
                <w:sz w:val="20"/>
                <w:szCs w:val="20"/>
              </w:rPr>
              <w:t>$</w:t>
            </w:r>
            <w:r w:rsidRPr="3AD6AFDB" w:rsidR="000A56D7">
              <w:rPr>
                <w:rFonts w:ascii="Garamond" w:hAnsi="Garamond"/>
                <w:b/>
                <w:color w:val="000000" w:themeColor="text1"/>
                <w:sz w:val="20"/>
                <w:szCs w:val="20"/>
              </w:rPr>
              <w:t>97</w:t>
            </w:r>
            <w:r w:rsidR="00D9706B">
              <w:rPr>
                <w:rFonts w:ascii="Garamond" w:hAnsi="Garamond"/>
                <w:b/>
                <w:color w:val="000000" w:themeColor="text1"/>
                <w:sz w:val="20"/>
                <w:szCs w:val="20"/>
              </w:rPr>
              <w:t>7</w:t>
            </w:r>
            <w:r w:rsidRPr="3AD6AFDB">
              <w:rPr>
                <w:rFonts w:ascii="Garamond" w:hAnsi="Garamond"/>
                <w:b/>
                <w:color w:val="000000" w:themeColor="text1"/>
                <w:sz w:val="20"/>
                <w:szCs w:val="20"/>
              </w:rPr>
              <w:t>,746.16</w:t>
            </w:r>
          </w:p>
        </w:tc>
      </w:tr>
    </w:tbl>
    <w:p w:rsidR="00474DB5" w:rsidRDefault="00474DB5" w14:paraId="6F1E4507" w14:textId="05CB5B9D">
      <w:pPr>
        <w:rPr>
          <w:sz w:val="20"/>
        </w:rPr>
      </w:pPr>
    </w:p>
    <w:sectPr w:rsidR="00474DB5" w:rsidSect="00743CBB">
      <w:headerReference w:type="default" r:id="rId14"/>
      <w:footerReference w:type="default" r:id="rId15"/>
      <w:headerReference w:type="first" r:id="rId16"/>
      <w:footerReference w:type="first" r:id="rId17"/>
      <w:pgSz w:w="15840" w:h="12240" w:orient="landscape" w:code="1"/>
      <w:pgMar w:top="1440" w:right="720" w:bottom="1440" w:left="720" w:header="720" w:footer="720" w:gutter="0"/>
      <w:pgNumType w:start="1"/>
      <w:cols w:space="720"/>
      <w:titlePg/>
      <w:docGrid w:linePitch="354"/>
    </w:sectPr>
    <w:p>
      <w:r>
        <w:t xml:space="preserve"/>
      </w:r>
    </w:p>
    <w:p>
      <w:r>
        <w:t xml:space="preserve">Attachment 1: </w:t>
      </w:r>
    </w:p>
    <w:p>
      <w:hyperlink w:history="true" r:id="Rf59b715b74874e8d">
        <w:r w:rsidRPr="00CB1292">
          <w:rPr>
            <w:rStyle w:val="Hyperlink"/>
            <w:color w:val="2E74B5" w:themeColor="accent1" w:themeShade="BF"/>
            <w:u w:val="single"/>
          </w:rPr>
          <w:t>G-3621 Draft Agenda Resolution (2026 CTA Annual Report) (Redline)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86D9" w14:textId="77777777" w:rsidR="00066069" w:rsidRDefault="00066069">
      <w:r>
        <w:separator/>
      </w:r>
    </w:p>
    <w:p w14:paraId="7B37E807" w14:textId="77777777" w:rsidR="00066069" w:rsidRDefault="00066069"/>
  </w:endnote>
  <w:endnote w:type="continuationSeparator" w:id="0">
    <w:p w14:paraId="22053777" w14:textId="77777777" w:rsidR="00066069" w:rsidRDefault="00066069">
      <w:r>
        <w:continuationSeparator/>
      </w:r>
    </w:p>
    <w:p w14:paraId="3D2D87AE" w14:textId="77777777" w:rsidR="00066069" w:rsidRDefault="00066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Body)">
    <w:altName w:val="Century Gothic"/>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School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106" w14:textId="77777777" w:rsidR="00573873" w:rsidRPr="00573873" w:rsidRDefault="00573873">
    <w:pPr>
      <w:pStyle w:val="Footer"/>
      <w:rPr>
        <w:rFonts w:ascii="Palatino Linotype" w:hAnsi="Palatino Linotype"/>
        <w:caps/>
        <w:noProof/>
        <w:sz w:val="24"/>
        <w:szCs w:val="24"/>
      </w:rPr>
    </w:pPr>
    <w:r w:rsidRPr="00573873">
      <w:rPr>
        <w:rFonts w:ascii="Palatino Linotype" w:hAnsi="Palatino Linotype"/>
        <w:caps/>
        <w:sz w:val="24"/>
        <w:szCs w:val="24"/>
      </w:rPr>
      <w:fldChar w:fldCharType="begin"/>
    </w:r>
    <w:r w:rsidRPr="00573873">
      <w:rPr>
        <w:rFonts w:ascii="Palatino Linotype" w:hAnsi="Palatino Linotype"/>
        <w:caps/>
        <w:sz w:val="24"/>
        <w:szCs w:val="24"/>
      </w:rPr>
      <w:instrText xml:space="preserve"> PAGE   \* MERGEFORMAT </w:instrText>
    </w:r>
    <w:r w:rsidRPr="00573873">
      <w:rPr>
        <w:rFonts w:ascii="Palatino Linotype" w:hAnsi="Palatino Linotype"/>
        <w:caps/>
        <w:sz w:val="24"/>
        <w:szCs w:val="24"/>
      </w:rPr>
      <w:fldChar w:fldCharType="separate"/>
    </w:r>
    <w:r w:rsidRPr="00573873">
      <w:rPr>
        <w:rFonts w:ascii="Palatino Linotype" w:hAnsi="Palatino Linotype"/>
        <w:caps/>
        <w:noProof/>
        <w:sz w:val="24"/>
        <w:szCs w:val="24"/>
      </w:rPr>
      <w:t>2</w:t>
    </w:r>
    <w:r w:rsidRPr="00573873">
      <w:rPr>
        <w:rFonts w:ascii="Palatino Linotype" w:hAnsi="Palatino Linotype"/>
        <w:caps/>
        <w:noProof/>
        <w:sz w:val="24"/>
        <w:szCs w:val="24"/>
      </w:rPr>
      <w:fldChar w:fldCharType="end"/>
    </w:r>
  </w:p>
  <w:p w14:paraId="5AAEAE1F" w14:textId="3E07F1B8" w:rsidR="00552A95" w:rsidRPr="00540C3B" w:rsidRDefault="00552A95">
    <w:pPr>
      <w:pStyle w:val="Footer"/>
      <w:rPr>
        <w:rFonts w:ascii="Palatino Linotype" w:hAnsi="Palatino Linotype"/>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9B5B" w14:textId="1A47D01E" w:rsidR="00552A95" w:rsidRPr="00552A95" w:rsidRDefault="000B5744" w:rsidP="000B5744">
    <w:pPr>
      <w:pStyle w:val="Footer"/>
      <w:tabs>
        <w:tab w:val="left" w:pos="90"/>
        <w:tab w:val="center" w:pos="5040"/>
      </w:tabs>
      <w:jc w:val="both"/>
      <w:rPr>
        <w:rFonts w:ascii="Palatino Linotype" w:hAnsi="Palatino Linotype"/>
        <w:sz w:val="24"/>
        <w:szCs w:val="24"/>
      </w:rPr>
    </w:pPr>
    <w:r w:rsidRPr="000B5744">
      <w:rPr>
        <w:rFonts w:ascii="Tahoma" w:hAnsi="Tahoma" w:cs="Tahoma"/>
        <w:caps/>
        <w:sz w:val="18"/>
        <w:szCs w:val="18"/>
      </w:rPr>
      <w:t>608372042</w:t>
    </w:r>
    <w:r w:rsidR="00552A95">
      <w:rPr>
        <w:rFonts w:ascii="Palatino Linotype" w:hAnsi="Palatino Linotype"/>
        <w:caps/>
        <w:sz w:val="24"/>
        <w:szCs w:val="24"/>
      </w:rPr>
      <w:tab/>
    </w:r>
    <w:r w:rsidR="00552A95">
      <w:rPr>
        <w:rFonts w:ascii="Palatino Linotype" w:hAnsi="Palatino Linotype"/>
        <w:caps/>
        <w:sz w:val="24"/>
        <w:szCs w:val="24"/>
      </w:rPr>
      <w:tab/>
    </w:r>
    <w:r w:rsidR="00552A95" w:rsidRPr="00552A95">
      <w:rPr>
        <w:rFonts w:ascii="Palatino Linotype" w:hAnsi="Palatino Linotype"/>
        <w:caps/>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788404373"/>
      <w:docPartObj>
        <w:docPartGallery w:val="Page Numbers (Bottom of Page)"/>
        <w:docPartUnique/>
      </w:docPartObj>
    </w:sdtPr>
    <w:sdtContent>
      <w:p w14:paraId="11634965" w14:textId="1858B23E" w:rsidR="00AC2FED" w:rsidRPr="00117284" w:rsidRDefault="00AC2FED">
        <w:pPr>
          <w:pStyle w:val="Footer"/>
          <w:jc w:val="right"/>
          <w:rPr>
            <w:rFonts w:ascii="Garamond" w:hAnsi="Garamond"/>
            <w:sz w:val="22"/>
            <w:szCs w:val="22"/>
          </w:rPr>
        </w:pPr>
        <w:r w:rsidRPr="00117284">
          <w:rPr>
            <w:rFonts w:ascii="Garamond" w:hAnsi="Garamond"/>
            <w:sz w:val="22"/>
            <w:szCs w:val="22"/>
          </w:rPr>
          <w:t>A-</w:t>
        </w:r>
        <w:r w:rsidRPr="00117284">
          <w:rPr>
            <w:rFonts w:ascii="Garamond" w:hAnsi="Garamond"/>
            <w:sz w:val="22"/>
            <w:szCs w:val="22"/>
          </w:rPr>
          <w:fldChar w:fldCharType="begin"/>
        </w:r>
        <w:r w:rsidRPr="00117284">
          <w:rPr>
            <w:rFonts w:ascii="Garamond" w:hAnsi="Garamond"/>
            <w:sz w:val="22"/>
            <w:szCs w:val="22"/>
          </w:rPr>
          <w:instrText xml:space="preserve"> PAGE   \* MERGEFORMAT </w:instrText>
        </w:r>
        <w:r w:rsidRPr="00117284">
          <w:rPr>
            <w:rFonts w:ascii="Garamond" w:hAnsi="Garamond"/>
            <w:sz w:val="22"/>
            <w:szCs w:val="22"/>
          </w:rPr>
          <w:fldChar w:fldCharType="separate"/>
        </w:r>
        <w:r w:rsidRPr="00117284">
          <w:rPr>
            <w:rFonts w:ascii="Garamond" w:hAnsi="Garamond"/>
            <w:noProof/>
            <w:sz w:val="22"/>
            <w:szCs w:val="22"/>
          </w:rPr>
          <w:t>2</w:t>
        </w:r>
        <w:r w:rsidRPr="00117284">
          <w:rPr>
            <w:rFonts w:ascii="Garamond" w:hAnsi="Garamond"/>
            <w:noProof/>
            <w:sz w:val="22"/>
            <w:szCs w:val="22"/>
          </w:rPr>
          <w:fldChar w:fldCharType="end"/>
        </w:r>
      </w:p>
    </w:sdtContent>
  </w:sdt>
  <w:p w14:paraId="3B1A00E3" w14:textId="54BDD362" w:rsidR="005971EA" w:rsidRPr="00117284" w:rsidRDefault="005971EA">
    <w:pPr>
      <w:pStyle w:val="Footer"/>
      <w:rPr>
        <w:rFonts w:ascii="Garamond" w:hAnsi="Garamond"/>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F7E7" w14:textId="2CDE1EC4" w:rsidR="00CA6361" w:rsidRPr="00117284" w:rsidRDefault="00CA6361">
    <w:pPr>
      <w:pStyle w:val="Footer"/>
      <w:jc w:val="right"/>
      <w:rPr>
        <w:rFonts w:ascii="Garamond" w:hAnsi="Garamond"/>
        <w:sz w:val="22"/>
        <w:szCs w:val="22"/>
      </w:rPr>
    </w:pPr>
    <w:r w:rsidRPr="00117284">
      <w:rPr>
        <w:rFonts w:ascii="Garamond" w:hAnsi="Garamond"/>
        <w:sz w:val="22"/>
        <w:szCs w:val="22"/>
      </w:rPr>
      <w:t>A1-</w:t>
    </w:r>
    <w:sdt>
      <w:sdtPr>
        <w:rPr>
          <w:rFonts w:ascii="Garamond" w:hAnsi="Garamond"/>
          <w:sz w:val="22"/>
          <w:szCs w:val="22"/>
        </w:rPr>
        <w:id w:val="-1818493967"/>
        <w:docPartObj>
          <w:docPartGallery w:val="Page Numbers (Bottom of Page)"/>
          <w:docPartUnique/>
        </w:docPartObj>
      </w:sdtPr>
      <w:sdtContent>
        <w:r w:rsidRPr="00117284">
          <w:rPr>
            <w:rFonts w:ascii="Garamond" w:hAnsi="Garamond"/>
            <w:sz w:val="22"/>
            <w:szCs w:val="22"/>
          </w:rPr>
          <w:fldChar w:fldCharType="begin"/>
        </w:r>
        <w:r w:rsidRPr="00117284">
          <w:rPr>
            <w:rFonts w:ascii="Garamond" w:hAnsi="Garamond"/>
            <w:sz w:val="22"/>
            <w:szCs w:val="22"/>
          </w:rPr>
          <w:instrText xml:space="preserve"> PAGE   \* MERGEFORMAT </w:instrText>
        </w:r>
        <w:r w:rsidRPr="00117284">
          <w:rPr>
            <w:rFonts w:ascii="Garamond" w:hAnsi="Garamond"/>
            <w:sz w:val="22"/>
            <w:szCs w:val="22"/>
          </w:rPr>
          <w:fldChar w:fldCharType="separate"/>
        </w:r>
        <w:r w:rsidRPr="00117284">
          <w:rPr>
            <w:rFonts w:ascii="Garamond" w:hAnsi="Garamond"/>
            <w:noProof/>
            <w:sz w:val="22"/>
            <w:szCs w:val="22"/>
          </w:rPr>
          <w:t>2</w:t>
        </w:r>
        <w:r w:rsidRPr="00117284">
          <w:rPr>
            <w:rFonts w:ascii="Garamond" w:hAnsi="Garamond"/>
            <w:noProof/>
            <w:sz w:val="22"/>
            <w:szCs w:val="22"/>
          </w:rPr>
          <w:fldChar w:fldCharType="end"/>
        </w:r>
      </w:sdtContent>
    </w:sdt>
  </w:p>
  <w:p w14:paraId="198092BD" w14:textId="69430B5E" w:rsidR="004D3B98" w:rsidRDefault="004D3B98" w:rsidP="00331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363486004"/>
      <w:docPartObj>
        <w:docPartGallery w:val="Page Numbers (Bottom of Page)"/>
        <w:docPartUnique/>
      </w:docPartObj>
    </w:sdtPr>
    <w:sdtContent>
      <w:p w14:paraId="1132AA0E" w14:textId="1EB75329" w:rsidR="004D3B98" w:rsidRPr="00C15363" w:rsidRDefault="00CA6361" w:rsidP="00117284">
        <w:pPr>
          <w:pStyle w:val="Footer"/>
          <w:jc w:val="right"/>
          <w:rPr>
            <w:rFonts w:ascii="Garamond" w:hAnsi="Garamond"/>
            <w:sz w:val="22"/>
            <w:szCs w:val="22"/>
          </w:rPr>
        </w:pPr>
        <w:r w:rsidRPr="00117284">
          <w:rPr>
            <w:rFonts w:ascii="Garamond" w:hAnsi="Garamond"/>
            <w:sz w:val="22"/>
            <w:szCs w:val="22"/>
          </w:rPr>
          <w:t>A1-</w:t>
        </w:r>
        <w:r w:rsidR="005063EE" w:rsidRPr="00117284">
          <w:rPr>
            <w:rFonts w:ascii="Garamond" w:hAnsi="Garamond"/>
            <w:sz w:val="22"/>
            <w:szCs w:val="22"/>
          </w:rPr>
          <w:fldChar w:fldCharType="begin"/>
        </w:r>
        <w:r w:rsidR="005063EE" w:rsidRPr="00117284">
          <w:rPr>
            <w:rFonts w:ascii="Garamond" w:hAnsi="Garamond"/>
            <w:sz w:val="22"/>
            <w:szCs w:val="22"/>
          </w:rPr>
          <w:instrText xml:space="preserve"> PAGE   \* MERGEFORMAT </w:instrText>
        </w:r>
        <w:r w:rsidR="005063EE" w:rsidRPr="00117284">
          <w:rPr>
            <w:rFonts w:ascii="Garamond" w:hAnsi="Garamond"/>
            <w:sz w:val="22"/>
            <w:szCs w:val="22"/>
          </w:rPr>
          <w:fldChar w:fldCharType="separate"/>
        </w:r>
        <w:r w:rsidR="005063EE" w:rsidRPr="00117284">
          <w:rPr>
            <w:rFonts w:ascii="Garamond" w:hAnsi="Garamond"/>
            <w:noProof/>
            <w:sz w:val="22"/>
            <w:szCs w:val="22"/>
          </w:rPr>
          <w:t>2</w:t>
        </w:r>
        <w:r w:rsidR="005063EE" w:rsidRPr="00117284">
          <w:rPr>
            <w:rFonts w:ascii="Garamond" w:hAnsi="Garamond"/>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AED" w14:textId="77777777" w:rsidR="00066069" w:rsidRDefault="00066069">
      <w:r>
        <w:separator/>
      </w:r>
    </w:p>
    <w:p w14:paraId="652B4FC7" w14:textId="77777777" w:rsidR="00066069" w:rsidRDefault="00066069"/>
  </w:footnote>
  <w:footnote w:type="continuationSeparator" w:id="0">
    <w:p w14:paraId="2E172BD8" w14:textId="77777777" w:rsidR="00066069" w:rsidRDefault="00066069">
      <w:r>
        <w:continuationSeparator/>
      </w:r>
    </w:p>
    <w:p w14:paraId="49F9D177" w14:textId="77777777" w:rsidR="00066069" w:rsidRDefault="00066069"/>
  </w:footnote>
  <w:footnote w:type="continuationNotice" w:id="1">
    <w:p w14:paraId="7470A96D" w14:textId="77777777" w:rsidR="00066069" w:rsidRDefault="00066069">
      <w:pPr>
        <w:rPr>
          <w:sz w:val="22"/>
        </w:rPr>
      </w:pPr>
    </w:p>
    <w:p w14:paraId="2120B854" w14:textId="77777777" w:rsidR="00066069" w:rsidRDefault="00066069">
      <w:pPr>
        <w:jc w:val="right"/>
        <w:rPr>
          <w:sz w:val="22"/>
        </w:rPr>
      </w:pPr>
      <w:r>
        <w:rPr>
          <w:i/>
          <w:sz w:val="22"/>
        </w:rPr>
        <w:t xml:space="preserve">Footnote </w:t>
      </w:r>
      <w:proofErr w:type="gramStart"/>
      <w:r>
        <w:rPr>
          <w:i/>
          <w:sz w:val="22"/>
        </w:rPr>
        <w:t>continued on</w:t>
      </w:r>
      <w:proofErr w:type="gramEnd"/>
      <w:r>
        <w:rPr>
          <w:i/>
          <w:sz w:val="22"/>
        </w:rPr>
        <w:t xml:space="preserve"> next page</w:t>
      </w:r>
    </w:p>
    <w:p w14:paraId="7F4C408F" w14:textId="77777777" w:rsidR="00066069" w:rsidRDefault="00066069"/>
  </w:footnote>
  <w:footnote w:id="2">
    <w:p w14:paraId="4F7E4518" w14:textId="7D81C91C" w:rsidR="00041292" w:rsidRPr="00CD0A51" w:rsidRDefault="00041292" w:rsidP="00041292">
      <w:pPr>
        <w:pStyle w:val="FootnoteText"/>
      </w:pPr>
      <w:r w:rsidRPr="00CD0A51">
        <w:rPr>
          <w:rStyle w:val="FootnoteReference"/>
        </w:rPr>
        <w:footnoteRef/>
      </w:r>
      <w:r w:rsidRPr="00CD0A51">
        <w:t xml:space="preserve"> D.18-02-002 at Ordering Paragraph 1(e).</w:t>
      </w:r>
    </w:p>
  </w:footnote>
  <w:footnote w:id="3">
    <w:p w14:paraId="2247A641" w14:textId="5D91D594" w:rsidR="00A773ED" w:rsidRPr="00CD0A51" w:rsidRDefault="00A773ED" w:rsidP="00A773ED">
      <w:pPr>
        <w:pStyle w:val="FootnoteText"/>
      </w:pPr>
      <w:r w:rsidRPr="00CD0A51">
        <w:rPr>
          <w:rStyle w:val="FootnoteReference"/>
        </w:rPr>
        <w:footnoteRef/>
      </w:r>
      <w:r w:rsidRPr="00CD0A51">
        <w:t xml:space="preserve"> </w:t>
      </w:r>
      <w:r w:rsidR="00864E4D" w:rsidRPr="00CD0A51">
        <w:t xml:space="preserve">Ibid, </w:t>
      </w:r>
      <w:r w:rsidRPr="00CD0A51">
        <w:t>Ordering Paragraph 5(a)(v).</w:t>
      </w:r>
      <w:r w:rsidR="5C269EE6" w:rsidRPr="00CD0A51">
        <w:t xml:space="preserve"> This decision does not require a resolution annually.</w:t>
      </w:r>
    </w:p>
  </w:footnote>
  <w:footnote w:id="4">
    <w:p w14:paraId="4B5367CC" w14:textId="5F1E6A1C" w:rsidR="003F57A1" w:rsidRPr="00CD0A51" w:rsidRDefault="003F57A1">
      <w:pPr>
        <w:pStyle w:val="FootnoteText"/>
      </w:pPr>
      <w:r w:rsidRPr="00CD0A51">
        <w:rPr>
          <w:rStyle w:val="FootnoteReference"/>
        </w:rPr>
        <w:footnoteRef/>
      </w:r>
      <w:r w:rsidRPr="00CD0A51">
        <w:t xml:space="preserve"> Ibid, p</w:t>
      </w:r>
      <w:r w:rsidR="00847ED7" w:rsidRPr="00CD0A51">
        <w:t xml:space="preserve">. </w:t>
      </w:r>
      <w:r w:rsidR="000140AB" w:rsidRPr="00CD0A51">
        <w:t>79,</w:t>
      </w:r>
    </w:p>
  </w:footnote>
  <w:footnote w:id="5">
    <w:p w14:paraId="472ABD45" w14:textId="3C8AEEEF" w:rsidR="00911F7B" w:rsidRPr="00CD0A51" w:rsidRDefault="00323719" w:rsidP="002B1AE5">
      <w:pPr>
        <w:pStyle w:val="FootnoteText"/>
      </w:pPr>
      <w:r w:rsidRPr="00CD0A51">
        <w:rPr>
          <w:vertAlign w:val="superscript"/>
        </w:rPr>
        <w:t>4</w:t>
      </w:r>
      <w:r w:rsidR="00A773ED" w:rsidRPr="00CD0A51">
        <w:t xml:space="preserve"> </w:t>
      </w:r>
      <w:r w:rsidR="00911F7B" w:rsidRPr="00CD0A51">
        <w:t>Ibid, pp.78-79</w:t>
      </w:r>
    </w:p>
  </w:footnote>
  <w:footnote w:id="6">
    <w:p w14:paraId="43EA82EA" w14:textId="5C1877BE" w:rsidR="00864E4D" w:rsidRPr="00CD0A51" w:rsidRDefault="00864E4D">
      <w:pPr>
        <w:pStyle w:val="FootnoteText"/>
      </w:pPr>
      <w:r w:rsidRPr="00CD0A51">
        <w:rPr>
          <w:rStyle w:val="FootnoteReference"/>
        </w:rPr>
        <w:footnoteRef/>
      </w:r>
      <w:r w:rsidRPr="00CD0A51">
        <w:t xml:space="preserve"> Ibid, p. 77.</w:t>
      </w:r>
    </w:p>
  </w:footnote>
  <w:footnote w:id="7">
    <w:p w14:paraId="4DABD020" w14:textId="2A460757" w:rsidR="00911F7B" w:rsidRPr="00CD0A51" w:rsidDel="007040E6" w:rsidRDefault="00DB4140" w:rsidP="002B1AE5">
      <w:pPr>
        <w:pStyle w:val="FootnoteText"/>
      </w:pPr>
      <w:r w:rsidRPr="00CD0A51">
        <w:rPr>
          <w:vertAlign w:val="superscript"/>
        </w:rPr>
        <w:t>6</w:t>
      </w:r>
      <w:r w:rsidR="00121159" w:rsidRPr="00CD0A51" w:rsidDel="007040E6">
        <w:t xml:space="preserve"> </w:t>
      </w:r>
      <w:r w:rsidR="00911F7B" w:rsidRPr="00CD0A51" w:rsidDel="007040E6">
        <w:t>Resolution M-4797, p. 3</w:t>
      </w:r>
    </w:p>
  </w:footnote>
  <w:footnote w:id="8">
    <w:p w14:paraId="7646E008" w14:textId="6E6A94C7" w:rsidR="000E5C1C" w:rsidRPr="00CD0A51" w:rsidRDefault="000E5C1C" w:rsidP="000E5C1C">
      <w:pPr>
        <w:pStyle w:val="FootnoteText"/>
        <w:ind w:left="360" w:hanging="360"/>
      </w:pPr>
      <w:r w:rsidRPr="00CD0A51">
        <w:rPr>
          <w:rStyle w:val="FootnoteReference"/>
        </w:rPr>
        <w:footnoteRef/>
      </w:r>
      <w:r w:rsidRPr="00CD0A51">
        <w:t xml:space="preserve"> Resolution UEB 003: </w:t>
      </w:r>
      <w:hyperlink r:id="rId1" w:history="1">
        <w:r w:rsidRPr="00CD0A51">
          <w:rPr>
            <w:rStyle w:val="Hyperlink"/>
          </w:rPr>
          <w:t>236850987.PDF (ca.gov)</w:t>
        </w:r>
      </w:hyperlink>
    </w:p>
  </w:footnote>
  <w:footnote w:id="9">
    <w:p w14:paraId="535C4BDE" w14:textId="41030D37" w:rsidR="00911F7B" w:rsidRPr="00CD0A51" w:rsidRDefault="00526278" w:rsidP="002B1AE5">
      <w:pPr>
        <w:pStyle w:val="FootnoteText"/>
        <w:ind w:left="360" w:hanging="360"/>
      </w:pPr>
      <w:r w:rsidRPr="00CD0A51">
        <w:rPr>
          <w:vertAlign w:val="superscript"/>
        </w:rPr>
        <w:t>8</w:t>
      </w:r>
      <w:r w:rsidRPr="00CD0A51">
        <w:t xml:space="preserve"> </w:t>
      </w:r>
      <w:r w:rsidR="00911F7B" w:rsidRPr="00CD0A51">
        <w:t xml:space="preserve">Resolution G-3552: </w:t>
      </w:r>
      <w:hyperlink r:id="rId2" w:history="1">
        <w:r w:rsidR="00911F7B" w:rsidRPr="00CD0A51">
          <w:rPr>
            <w:rStyle w:val="Hyperlink"/>
          </w:rPr>
          <w:t>https://docs.cpuc.ca.gov/PublishedDocs/Published/G000/M285/K723/285723653.PDF</w:t>
        </w:r>
      </w:hyperlink>
    </w:p>
  </w:footnote>
  <w:footnote w:id="10">
    <w:p w14:paraId="16D7613D" w14:textId="07BD28E5" w:rsidR="00911F7B" w:rsidRPr="00CD0A51" w:rsidRDefault="00526278" w:rsidP="0054699E">
      <w:pPr>
        <w:pStyle w:val="FootnoteText"/>
        <w:ind w:left="360" w:hanging="360"/>
      </w:pPr>
      <w:r w:rsidRPr="00CD0A51">
        <w:rPr>
          <w:vertAlign w:val="superscript"/>
        </w:rPr>
        <w:t>9</w:t>
      </w:r>
      <w:r w:rsidR="0054699E" w:rsidRPr="00CD0A51">
        <w:t xml:space="preserve"> </w:t>
      </w:r>
      <w:r w:rsidR="00911F7B" w:rsidRPr="00CD0A51">
        <w:t>Resolution G-3552, pp 5-7</w:t>
      </w:r>
    </w:p>
  </w:footnote>
  <w:footnote w:id="11">
    <w:p w14:paraId="04D2FCE8" w14:textId="0C2E8CB2" w:rsidR="00B10283" w:rsidRPr="00CD0A51" w:rsidRDefault="00B10283">
      <w:pPr>
        <w:pStyle w:val="FootnoteText"/>
      </w:pPr>
      <w:r w:rsidRPr="00CD0A51">
        <w:rPr>
          <w:rStyle w:val="FootnoteReference"/>
        </w:rPr>
        <w:footnoteRef/>
      </w:r>
      <w:r w:rsidRPr="00CD0A51">
        <w:t xml:space="preserve"> See </w:t>
      </w:r>
      <w:hyperlink r:id="rId3" w:history="1">
        <w:r w:rsidR="00662197" w:rsidRPr="00CD0A51">
          <w:rPr>
            <w:rStyle w:val="Hyperlink"/>
          </w:rPr>
          <w:t>Core Transport Agent Annual Reports and Resolutions</w:t>
        </w:r>
      </w:hyperlink>
      <w:r w:rsidR="00662197" w:rsidRPr="00CD0A51">
        <w:t>.</w:t>
      </w:r>
    </w:p>
  </w:footnote>
  <w:footnote w:id="12">
    <w:p w14:paraId="74D74250" w14:textId="4F6AB1B9" w:rsidR="009217F5" w:rsidRPr="00CD0A51" w:rsidRDefault="00526278" w:rsidP="0054699E">
      <w:pPr>
        <w:pStyle w:val="FootnoteText"/>
        <w:ind w:left="360" w:hanging="360"/>
      </w:pPr>
      <w:r w:rsidRPr="00CD0A51">
        <w:rPr>
          <w:vertAlign w:val="superscript"/>
        </w:rPr>
        <w:t>10</w:t>
      </w:r>
      <w:r w:rsidR="00671F77" w:rsidRPr="00CD0A51">
        <w:t xml:space="preserve"> </w:t>
      </w:r>
      <w:r w:rsidR="009217F5" w:rsidRPr="00CD0A51">
        <w:t>D.18-02-002, p.</w:t>
      </w:r>
      <w:r w:rsidRPr="00CD0A51">
        <w:t xml:space="preserve"> </w:t>
      </w:r>
      <w:r w:rsidR="009217F5" w:rsidRPr="00CD0A51">
        <w:t xml:space="preserve">79 </w:t>
      </w:r>
    </w:p>
  </w:footnote>
  <w:footnote w:id="13">
    <w:p w14:paraId="4BC45A2E" w14:textId="6AE9CC01" w:rsidR="00C0390D" w:rsidRPr="00CD0A51" w:rsidRDefault="00C0390D" w:rsidP="009D7636">
      <w:pPr>
        <w:pStyle w:val="FootnoteText"/>
      </w:pPr>
      <w:r w:rsidRPr="00CD0A51">
        <w:rPr>
          <w:rStyle w:val="FootnoteReference"/>
        </w:rPr>
        <w:footnoteRef/>
      </w:r>
      <w:r w:rsidRPr="00CD0A51">
        <w:t xml:space="preserve"> </w:t>
      </w:r>
      <w:r w:rsidR="00BA5838" w:rsidRPr="00CD0A51">
        <w:t>See</w:t>
      </w:r>
      <w:r w:rsidRPr="00CD0A51" w:rsidDel="00C63C17">
        <w:t xml:space="preserve"> </w:t>
      </w:r>
      <w:hyperlink r:id="rId4" w:history="1">
        <w:r w:rsidR="00C63C17" w:rsidRPr="00CD0A51">
          <w:rPr>
            <w:rStyle w:val="Hyperlink"/>
          </w:rPr>
          <w:t>Core Transport Agent Annual Reports and Resolutions</w:t>
        </w:r>
      </w:hyperlink>
      <w:r w:rsidR="00C63C17" w:rsidRPr="00CD0A51">
        <w:t>.</w:t>
      </w:r>
    </w:p>
  </w:footnote>
  <w:footnote w:id="14">
    <w:p w14:paraId="43045BE2" w14:textId="315365B8" w:rsidR="007E2A14" w:rsidRPr="00CD0A51" w:rsidRDefault="007E2A14">
      <w:pPr>
        <w:pStyle w:val="FootnoteText"/>
      </w:pPr>
      <w:r w:rsidRPr="00CD0A51">
        <w:rPr>
          <w:rStyle w:val="FootnoteReference"/>
        </w:rPr>
        <w:footnoteRef/>
      </w:r>
      <w:r w:rsidRPr="00CD0A51">
        <w:t xml:space="preserve"> For greater consistency, the median salary for each job category is used, not the actual salary.</w:t>
      </w:r>
    </w:p>
  </w:footnote>
  <w:footnote w:id="15">
    <w:p w14:paraId="22579365" w14:textId="1AA64522" w:rsidR="00582467" w:rsidRPr="00CD0A51" w:rsidRDefault="00582467">
      <w:pPr>
        <w:pStyle w:val="FootnoteText"/>
      </w:pPr>
      <w:r w:rsidRPr="00CD0A51">
        <w:rPr>
          <w:rStyle w:val="FootnoteReference"/>
        </w:rPr>
        <w:footnoteRef/>
      </w:r>
      <w:r w:rsidRPr="00CD0A51">
        <w:t xml:space="preserve"> </w:t>
      </w:r>
      <w:r w:rsidR="00AA6060" w:rsidRPr="00CD0A51">
        <w:t>Small discrepancie</w:t>
      </w:r>
      <w:r w:rsidR="00811FE6" w:rsidRPr="00CD0A51">
        <w:t>s in calculations are due to rounding error.</w:t>
      </w:r>
    </w:p>
  </w:footnote>
  <w:footnote w:id="16">
    <w:p w14:paraId="33B1C6E4" w14:textId="77777777" w:rsidR="00B476DE" w:rsidRPr="00CD0A51" w:rsidRDefault="00B476DE" w:rsidP="00B476DE">
      <w:pPr>
        <w:pStyle w:val="FootnoteText"/>
      </w:pPr>
      <w:r w:rsidRPr="00CD0A51">
        <w:rPr>
          <w:rStyle w:val="FootnoteReference"/>
        </w:rPr>
        <w:footnoteRef/>
      </w:r>
      <w:r w:rsidRPr="00CD0A51">
        <w:t xml:space="preserve"> Energy Division staff receive CAB’s median cost per hour from the Administrative Services Division </w:t>
      </w:r>
    </w:p>
  </w:footnote>
  <w:footnote w:id="17">
    <w:p w14:paraId="6835A47C" w14:textId="77777777" w:rsidR="000E5C1C" w:rsidRPr="00CD0A51" w:rsidRDefault="000E5C1C" w:rsidP="000E5C1C">
      <w:pPr>
        <w:pStyle w:val="FootnoteText"/>
      </w:pPr>
      <w:r w:rsidRPr="00CD0A51">
        <w:rPr>
          <w:rStyle w:val="FootnoteReference"/>
        </w:rPr>
        <w:footnoteRef/>
      </w:r>
      <w:r w:rsidRPr="00CD0A51">
        <w:t xml:space="preserve"> UEB-003: </w:t>
      </w:r>
      <w:hyperlink r:id="rId5" w:history="1">
        <w:r w:rsidRPr="00CD0A51">
          <w:rPr>
            <w:rStyle w:val="Hyperlink"/>
          </w:rPr>
          <w:t>236850987.PDF (ca.gov)</w:t>
        </w:r>
      </w:hyperlink>
    </w:p>
  </w:footnote>
  <w:footnote w:id="18">
    <w:p w14:paraId="0D0DF211" w14:textId="77777777" w:rsidR="0001267B" w:rsidRPr="00CD0A51" w:rsidRDefault="0001267B" w:rsidP="0001267B">
      <w:pPr>
        <w:pStyle w:val="FootnoteText"/>
      </w:pPr>
      <w:r w:rsidRPr="00CD0A51">
        <w:rPr>
          <w:rStyle w:val="FootnoteReference"/>
        </w:rPr>
        <w:footnoteRef/>
      </w:r>
      <w:r w:rsidRPr="00CD0A51">
        <w:t xml:space="preserve"> There are additional CAB variable costs that can only be estimated. These </w:t>
      </w:r>
      <w:proofErr w:type="gramStart"/>
      <w:r w:rsidRPr="00CD0A51">
        <w:t>are considered to be</w:t>
      </w:r>
      <w:proofErr w:type="gramEnd"/>
      <w:r w:rsidRPr="00CD0A51">
        <w:t xml:space="preserve"> less than $1,000 and are not included in this analysis. Additionally, there are costs associated with the citations generated by the Utility Enforcement Branch that cannot be estimated or reliably estimated at this time. </w:t>
      </w:r>
    </w:p>
    <w:p w14:paraId="6B0C2873" w14:textId="77777777" w:rsidR="0001267B" w:rsidRPr="00CD0A51" w:rsidRDefault="0001267B" w:rsidP="0001267B">
      <w:pPr>
        <w:pStyle w:val="FootnoteText"/>
      </w:pPr>
    </w:p>
  </w:footnote>
  <w:footnote w:id="19">
    <w:p w14:paraId="706E0B91" w14:textId="77777777" w:rsidR="00B36981" w:rsidRPr="00CD0A51" w:rsidRDefault="00B36981" w:rsidP="00B36981">
      <w:pPr>
        <w:pStyle w:val="FootnoteText"/>
      </w:pPr>
      <w:r w:rsidRPr="00CD0A51">
        <w:rPr>
          <w:rStyle w:val="FootnoteReference"/>
        </w:rPr>
        <w:footnoteRef/>
      </w:r>
      <w:r w:rsidRPr="00CD0A51">
        <w:t xml:space="preserve"> The Fiscal Office collects citation payments and deposits them into the State’s General Fund. </w:t>
      </w:r>
    </w:p>
  </w:footnote>
  <w:footnote w:id="20">
    <w:p w14:paraId="48BEAAF8" w14:textId="0406C212" w:rsidR="00B36981" w:rsidRPr="00CD0A51" w:rsidRDefault="00B36981" w:rsidP="00B36981">
      <w:pPr>
        <w:pStyle w:val="FootnoteText"/>
      </w:pPr>
      <w:r w:rsidRPr="00CD0A51">
        <w:rPr>
          <w:rStyle w:val="FootnoteReference"/>
        </w:rPr>
        <w:footnoteRef/>
      </w:r>
      <w:r w:rsidRPr="00CD0A51">
        <w:t xml:space="preserve"> A list of CTAs citations can be found on the CPUC website: </w:t>
      </w:r>
      <w:hyperlink r:id="rId6" w:history="1">
        <w:r w:rsidRPr="00CD0A51">
          <w:rPr>
            <w:rStyle w:val="Hyperlink"/>
          </w:rPr>
          <w:t>UEB Citations-Fines-Restitutions -- Active.xlsx (ca.gov)</w:t>
        </w:r>
      </w:hyperlink>
    </w:p>
  </w:footnote>
  <w:footnote w:id="21">
    <w:p w14:paraId="55B1B825" w14:textId="2353F494" w:rsidR="00B36981" w:rsidRPr="00CD0A51" w:rsidRDefault="00B36981" w:rsidP="00B36981">
      <w:pPr>
        <w:pStyle w:val="FootnoteText"/>
      </w:pPr>
      <w:r w:rsidRPr="00CD0A51">
        <w:rPr>
          <w:rStyle w:val="FootnoteReference"/>
        </w:rPr>
        <w:footnoteRef/>
      </w:r>
      <w:r w:rsidRPr="00CD0A51">
        <w:t xml:space="preserve"> For comparison, UEB investigated 1,</w:t>
      </w:r>
      <w:r w:rsidR="00087682" w:rsidRPr="00CD0A51">
        <w:t>6</w:t>
      </w:r>
      <w:r w:rsidRPr="00CD0A51">
        <w:t>8</w:t>
      </w:r>
      <w:r w:rsidR="00087682" w:rsidRPr="00CD0A51">
        <w:t>5</w:t>
      </w:r>
      <w:r w:rsidRPr="00CD0A51">
        <w:t xml:space="preserve"> complaints in 202</w:t>
      </w:r>
      <w:r w:rsidR="00D014E8" w:rsidRPr="00CD0A51">
        <w:t>4</w:t>
      </w:r>
      <w:r w:rsidRPr="00CD0A51">
        <w:t xml:space="preserve">, </w:t>
      </w:r>
      <w:r w:rsidR="00D014E8" w:rsidRPr="00CD0A51">
        <w:t>435</w:t>
      </w:r>
      <w:r w:rsidRPr="00CD0A51">
        <w:t xml:space="preserve"> of which concerned unauthorized enrollment; issued </w:t>
      </w:r>
      <w:r w:rsidR="00497DAC" w:rsidRPr="00CD0A51">
        <w:t>3</w:t>
      </w:r>
      <w:r w:rsidR="00BD572A" w:rsidRPr="00CD0A51">
        <w:t>87</w:t>
      </w:r>
      <w:r w:rsidRPr="00CD0A51">
        <w:t xml:space="preserve"> CTA-related citations for a total of $</w:t>
      </w:r>
      <w:r w:rsidR="002E0604" w:rsidRPr="00CD0A51">
        <w:t>387</w:t>
      </w:r>
      <w:r w:rsidRPr="00CD0A51">
        <w:t>,000; and sent six cease-and-desist and request-for-action letters.</w:t>
      </w:r>
    </w:p>
  </w:footnote>
  <w:footnote w:id="22">
    <w:p w14:paraId="1DF24B4B" w14:textId="77777777" w:rsidR="00B36981" w:rsidRPr="00CD0A51" w:rsidRDefault="00B36981" w:rsidP="00B36981">
      <w:pPr>
        <w:pStyle w:val="FootnoteText"/>
      </w:pPr>
      <w:r w:rsidRPr="00CD0A51">
        <w:rPr>
          <w:rStyle w:val="FootnoteReference"/>
        </w:rPr>
        <w:footnoteRef/>
      </w:r>
      <w:r w:rsidRPr="00CD0A51">
        <w:t xml:space="preserve"> Percentages and total costs are rounded to the nearest whole number.</w:t>
      </w:r>
    </w:p>
  </w:footnote>
  <w:footnote w:id="23">
    <w:p w14:paraId="39FBD925" w14:textId="77777777" w:rsidR="005971EA" w:rsidRPr="00CD0A51" w:rsidRDefault="005971EA" w:rsidP="005971EA">
      <w:pPr>
        <w:pStyle w:val="FootnoteText"/>
      </w:pPr>
      <w:r w:rsidRPr="00CD0A51">
        <w:rPr>
          <w:rStyle w:val="FootnoteReference"/>
        </w:rPr>
        <w:footnoteRef/>
      </w:r>
      <w:r w:rsidRPr="00CD0A51">
        <w:t xml:space="preserve"> Core customers are made up of small residential and commercial customers. CTAs do not serve the large commercial and industrial customers known as noncore customers. </w:t>
      </w:r>
    </w:p>
  </w:footnote>
  <w:footnote w:id="24">
    <w:p w14:paraId="0DC62B60" w14:textId="77777777" w:rsidR="005971EA" w:rsidRPr="00CD0A51" w:rsidRDefault="005971EA" w:rsidP="005971EA">
      <w:pPr>
        <w:pStyle w:val="FootnoteText"/>
      </w:pPr>
      <w:r w:rsidRPr="00CD0A51">
        <w:rPr>
          <w:rStyle w:val="FootnoteReference"/>
        </w:rPr>
        <w:footnoteRef/>
      </w:r>
      <w:r w:rsidRPr="00CD0A51">
        <w:t xml:space="preserve"> D.91-02-040</w:t>
      </w:r>
    </w:p>
  </w:footnote>
  <w:footnote w:id="25">
    <w:p w14:paraId="067AA791" w14:textId="77777777" w:rsidR="005971EA" w:rsidRPr="00CD0A51" w:rsidRDefault="005971EA" w:rsidP="005971EA">
      <w:pPr>
        <w:pStyle w:val="FootnoteText"/>
      </w:pPr>
      <w:r w:rsidRPr="00CD0A51">
        <w:rPr>
          <w:rStyle w:val="FootnoteReference"/>
        </w:rPr>
        <w:footnoteRef/>
      </w:r>
      <w:r w:rsidRPr="00CD0A51">
        <w:t xml:space="preserve"> Also referred to as core aggregation service. </w:t>
      </w:r>
    </w:p>
  </w:footnote>
  <w:footnote w:id="26">
    <w:p w14:paraId="0A13A394" w14:textId="4C9511D4" w:rsidR="0096129B" w:rsidRPr="00CD0A51" w:rsidRDefault="004A7D95">
      <w:pPr>
        <w:pStyle w:val="FootnoteText"/>
      </w:pPr>
      <w:r w:rsidRPr="00CD0A51">
        <w:rPr>
          <w:rStyle w:val="FootnoteReference"/>
        </w:rPr>
        <w:footnoteRef/>
      </w:r>
      <w:r w:rsidRPr="00CD0A51">
        <w:t xml:space="preserve"> </w:t>
      </w:r>
      <w:r w:rsidR="0096129B" w:rsidRPr="00CD0A51">
        <w:t xml:space="preserve">Resolution G-3552: </w:t>
      </w:r>
      <w:hyperlink r:id="rId7" w:history="1">
        <w:r w:rsidR="0096129B" w:rsidRPr="00CD0A51">
          <w:rPr>
            <w:rStyle w:val="Hyperlink"/>
          </w:rPr>
          <w:t>https://docs.cpuc.ca.gov/PublishedDocs/Published/G000/M285/K723/285723653.PDF</w:t>
        </w:r>
      </w:hyperlink>
      <w:r w:rsidR="0096129B" w:rsidRPr="00CD0A51">
        <w:t>.</w:t>
      </w:r>
    </w:p>
  </w:footnote>
  <w:footnote w:id="27">
    <w:p w14:paraId="35771697" w14:textId="3B9E5D30" w:rsidR="002D4813" w:rsidRPr="00CD0A51" w:rsidRDefault="002D3749">
      <w:pPr>
        <w:pStyle w:val="FootnoteText"/>
      </w:pPr>
      <w:r w:rsidRPr="00CD0A51">
        <w:rPr>
          <w:rStyle w:val="FootnoteReference"/>
        </w:rPr>
        <w:footnoteRef/>
      </w:r>
      <w:r w:rsidRPr="00CD0A51">
        <w:t xml:space="preserve"> Resolution G-3580: </w:t>
      </w:r>
      <w:hyperlink r:id="rId8" w:history="1">
        <w:r w:rsidR="002D4813" w:rsidRPr="00CD0A51">
          <w:rPr>
            <w:rStyle w:val="Hyperlink"/>
          </w:rPr>
          <w:t>https://docs.cpuc.ca.gov/PublishedDocs/Published/G000/M387/K064/387064412.PDF</w:t>
        </w:r>
      </w:hyperlink>
      <w:r w:rsidR="002D4813" w:rsidRPr="00CD0A51">
        <w:t>.</w:t>
      </w:r>
    </w:p>
  </w:footnote>
  <w:footnote w:id="28">
    <w:p w14:paraId="1AE83585" w14:textId="7B895814" w:rsidR="005971EA" w:rsidRPr="00CD0A51" w:rsidRDefault="005971EA" w:rsidP="005971EA">
      <w:pPr>
        <w:pStyle w:val="FootnoteText"/>
      </w:pPr>
      <w:r w:rsidRPr="00CD0A51">
        <w:rPr>
          <w:rStyle w:val="FootnoteReference"/>
        </w:rPr>
        <w:footnoteRef/>
      </w:r>
      <w:r w:rsidR="59309DFB" w:rsidRPr="00CD0A51">
        <w:t xml:space="preserve"> </w:t>
      </w:r>
    </w:p>
    <w:p w14:paraId="2A7B272A" w14:textId="4882D0FA" w:rsidR="005971EA" w:rsidRPr="00CD0A51" w:rsidRDefault="59309DFB" w:rsidP="005971EA">
      <w:pPr>
        <w:pStyle w:val="FootnoteText"/>
      </w:pPr>
      <w:r w:rsidRPr="00CD0A51">
        <w:t xml:space="preserve">Resolution G-3589: </w:t>
      </w:r>
      <w:hyperlink r:id="rId9" w:history="1">
        <w:r w:rsidRPr="00CD0A51">
          <w:rPr>
            <w:rStyle w:val="Hyperlink"/>
          </w:rPr>
          <w:t>https://docs.cpuc.ca.gov/PublishedDocs/Published/G000/M490/K129/490129633.PDF</w:t>
        </w:r>
      </w:hyperlink>
      <w:r w:rsidRPr="00CD0A51">
        <w:rPr>
          <w:rStyle w:val="Hyperlink"/>
        </w:rPr>
        <w:t>.</w:t>
      </w:r>
    </w:p>
  </w:footnote>
  <w:footnote w:id="29">
    <w:p w14:paraId="519A46A8" w14:textId="77777777" w:rsidR="005971EA" w:rsidRPr="00CD0A51" w:rsidRDefault="005971EA" w:rsidP="005971EA">
      <w:pPr>
        <w:pStyle w:val="FootnoteText"/>
      </w:pPr>
      <w:r w:rsidRPr="00CD0A51">
        <w:rPr>
          <w:rStyle w:val="FootnoteReference"/>
        </w:rPr>
        <w:footnoteRef/>
      </w:r>
      <w:r w:rsidRPr="00CD0A51">
        <w:t xml:space="preserve"> Resolution G-3597: </w:t>
      </w:r>
      <w:hyperlink r:id="rId10" w:history="1">
        <w:r w:rsidRPr="00CD0A51">
          <w:rPr>
            <w:rStyle w:val="Hyperlink"/>
          </w:rPr>
          <w:t>https://docs.cpuc.ca.gov/PublishedDocs/Published/G000/M509/K545/509545115.PDF</w:t>
        </w:r>
      </w:hyperlink>
      <w:r w:rsidRPr="00CD0A51">
        <w:t>.</w:t>
      </w:r>
    </w:p>
  </w:footnote>
  <w:footnote w:id="30">
    <w:p w14:paraId="2695710D" w14:textId="77777777" w:rsidR="005971EA" w:rsidRPr="00CD0A51" w:rsidRDefault="005971EA" w:rsidP="005971EA">
      <w:pPr>
        <w:pStyle w:val="FootnoteText"/>
      </w:pPr>
      <w:r w:rsidRPr="00CD0A51">
        <w:rPr>
          <w:rStyle w:val="FootnoteReference"/>
        </w:rPr>
        <w:footnoteRef/>
      </w:r>
      <w:r w:rsidRPr="00CD0A51">
        <w:t xml:space="preserve"> List of registered CTAs from the CPUC website: </w:t>
      </w:r>
      <w:hyperlink r:id="rId11" w:history="1">
        <w:r w:rsidRPr="00CD0A51">
          <w:rPr>
            <w:rStyle w:val="Hyperlink"/>
          </w:rPr>
          <w:t>apps.cpuc.ca.gov/apex/</w:t>
        </w:r>
        <w:proofErr w:type="spellStart"/>
        <w:r w:rsidRPr="00CD0A51">
          <w:rPr>
            <w:rStyle w:val="Hyperlink"/>
          </w:rPr>
          <w:t>f?p</w:t>
        </w:r>
        <w:proofErr w:type="spellEnd"/>
        <w:r w:rsidRPr="00CD0A51">
          <w:rPr>
            <w:rStyle w:val="Hyperlink"/>
          </w:rPr>
          <w:t>=</w:t>
        </w:r>
        <w:proofErr w:type="gramStart"/>
        <w:r w:rsidRPr="00CD0A51">
          <w:rPr>
            <w:rStyle w:val="Hyperlink"/>
          </w:rPr>
          <w:t>555:1::::::</w:t>
        </w:r>
        <w:proofErr w:type="gramEnd"/>
      </w:hyperlink>
    </w:p>
  </w:footnote>
  <w:footnote w:id="31">
    <w:p w14:paraId="4E1EC747" w14:textId="0DD9E1F6" w:rsidR="005971EA" w:rsidRPr="00CD0A51" w:rsidRDefault="005971EA" w:rsidP="005971EA">
      <w:pPr>
        <w:pStyle w:val="FootnoteText"/>
      </w:pPr>
      <w:r w:rsidRPr="00CD0A51">
        <w:rPr>
          <w:rStyle w:val="FootnoteReference"/>
        </w:rPr>
        <w:footnoteRef/>
      </w:r>
      <w:r w:rsidRPr="00CD0A51">
        <w:t xml:space="preserve"> The Annual Fee for the current year is based on the median staff salary, complaints, and actions or citations from the prior calendar year. Therefore, the Annual Fee for 2026 is based on what occurred in 202</w:t>
      </w:r>
      <w:r w:rsidR="00C5235B" w:rsidRPr="00CD0A51">
        <w:t>5</w:t>
      </w:r>
      <w:r w:rsidRPr="00CD0A51">
        <w:t xml:space="preserve">. </w:t>
      </w:r>
    </w:p>
  </w:footnote>
  <w:footnote w:id="32">
    <w:p w14:paraId="0DCFDA8B" w14:textId="77777777" w:rsidR="005971EA" w:rsidRPr="00CD0A51" w:rsidRDefault="005971EA" w:rsidP="005971EA">
      <w:pPr>
        <w:pStyle w:val="FootnoteText"/>
      </w:pPr>
      <w:r w:rsidRPr="00CD0A51">
        <w:rPr>
          <w:rStyle w:val="FootnoteReference"/>
        </w:rPr>
        <w:footnoteRef/>
      </w:r>
      <w:r w:rsidRPr="00CD0A51">
        <w:t xml:space="preserve"> </w:t>
      </w:r>
      <w:r w:rsidRPr="00CD0A51">
        <w:rPr>
          <w:rFonts w:eastAsia="Calibri" w:cs="Arial"/>
          <w:kern w:val="2"/>
        </w:rPr>
        <w:t xml:space="preserve">The Base Fee includes the sum of the fixed costs over the most recent 12-month period July 1 through June 30, in this case fiscal year 2023-2024. The Variable Fee covers the variable costs for the 12-month period January 1 through December 31, 2024, based on the number and type of complaints received and the costs incurred by the CPUC in resolving those complaints and pursuing enforcement actions. </w:t>
      </w:r>
    </w:p>
  </w:footnote>
  <w:footnote w:id="33">
    <w:p w14:paraId="79FFC19C" w14:textId="77777777" w:rsidR="005971EA" w:rsidRPr="00CD0A51" w:rsidRDefault="005971EA" w:rsidP="005971EA">
      <w:pPr>
        <w:pStyle w:val="FootnoteText"/>
      </w:pPr>
      <w:r w:rsidRPr="00CD0A51">
        <w:rPr>
          <w:rStyle w:val="FootnoteReference"/>
        </w:rPr>
        <w:footnoteRef/>
      </w:r>
      <w:r w:rsidRPr="00CD0A51">
        <w:t xml:space="preserve"> Median amount is the average of the min and max range of the CALHR pay scale range for each classification. </w:t>
      </w:r>
    </w:p>
  </w:footnote>
  <w:footnote w:id="34">
    <w:p w14:paraId="63B389F0" w14:textId="77777777" w:rsidR="005971EA" w:rsidRPr="00CD0A51" w:rsidRDefault="005971EA" w:rsidP="005971EA">
      <w:pPr>
        <w:pStyle w:val="FootnoteText"/>
      </w:pPr>
      <w:r w:rsidRPr="00CD0A51">
        <w:rPr>
          <w:rStyle w:val="FootnoteReference"/>
        </w:rPr>
        <w:footnoteRef/>
      </w:r>
      <w:r w:rsidRPr="00CD0A51">
        <w:t xml:space="preserve"> Position compensation costs are based on the median salary plus benefits for the level of the staff assigned to the program.</w:t>
      </w:r>
    </w:p>
  </w:footnote>
  <w:footnote w:id="35">
    <w:p w14:paraId="79BF9739" w14:textId="77777777" w:rsidR="005971EA" w:rsidRPr="00CD0A51" w:rsidRDefault="005971EA" w:rsidP="005971EA">
      <w:pPr>
        <w:pStyle w:val="FootnoteText"/>
      </w:pPr>
      <w:r w:rsidRPr="00CD0A51">
        <w:rPr>
          <w:rStyle w:val="FootnoteReference"/>
        </w:rPr>
        <w:footnoteRef/>
      </w:r>
      <w:r w:rsidRPr="00CD0A51">
        <w:t xml:space="preserve"> Small discrepancies related to rounding may be found in the calculations in this report.</w:t>
      </w:r>
    </w:p>
  </w:footnote>
  <w:footnote w:id="36">
    <w:p w14:paraId="46195A25" w14:textId="7ABE5C13" w:rsidR="005971EA" w:rsidRPr="00CD0A51" w:rsidRDefault="005971EA" w:rsidP="005971EA">
      <w:pPr>
        <w:pStyle w:val="FootnoteText"/>
      </w:pPr>
      <w:r w:rsidRPr="00CD0A51">
        <w:rPr>
          <w:rStyle w:val="FootnoteReference"/>
        </w:rPr>
        <w:footnoteRef/>
      </w:r>
      <w:r w:rsidRPr="00CD0A51">
        <w:t xml:space="preserve"> Energy Division acknowledges that CAB may collect the data more frequently</w:t>
      </w:r>
      <w:r w:rsidR="00487B10" w:rsidRPr="00CD0A51">
        <w:t xml:space="preserve"> than Energy Division</w:t>
      </w:r>
      <w:r w:rsidRPr="00CD0A51">
        <w:t xml:space="preserve">, therefore, showing a discrepancy. CAB continuously updates the complaint information until the case has been officially closed. Therefore, the subject and number of complaints may reflect a discrepancy from CAB’s Quarterly Reports. This complaint information was collected in </w:t>
      </w:r>
      <w:r w:rsidR="008D74E0" w:rsidRPr="00CD0A51">
        <w:t>February</w:t>
      </w:r>
      <w:r w:rsidRPr="00CD0A51">
        <w:t xml:space="preserve"> 2026. </w:t>
      </w:r>
    </w:p>
  </w:footnote>
  <w:footnote w:id="37">
    <w:p w14:paraId="55A421C5" w14:textId="77777777" w:rsidR="005971EA" w:rsidRPr="00CD0A51" w:rsidRDefault="005971EA" w:rsidP="005971EA">
      <w:pPr>
        <w:pStyle w:val="FootnoteText"/>
      </w:pPr>
      <w:r w:rsidRPr="00CD0A51">
        <w:rPr>
          <w:rStyle w:val="FootnoteReference"/>
        </w:rPr>
        <w:footnoteRef/>
      </w:r>
      <w:r w:rsidRPr="00CD0A51">
        <w:t xml:space="preserve"> Energy Division staff receive CAB’s median cost per hour from the Administrative Services Division </w:t>
      </w:r>
    </w:p>
  </w:footnote>
  <w:footnote w:id="38">
    <w:p w14:paraId="14B064BA" w14:textId="77777777" w:rsidR="005971EA" w:rsidRPr="00CD0A51" w:rsidRDefault="005971EA" w:rsidP="005971EA">
      <w:pPr>
        <w:pStyle w:val="FootnoteText"/>
      </w:pPr>
      <w:r w:rsidRPr="00CD0A51">
        <w:rPr>
          <w:rStyle w:val="FootnoteReference"/>
        </w:rPr>
        <w:footnoteRef/>
      </w:r>
      <w:r w:rsidRPr="00CD0A51">
        <w:t xml:space="preserve"> CAB maintains statistics concerning the time associated with phone contacts and informal written complaints.</w:t>
      </w:r>
    </w:p>
  </w:footnote>
  <w:footnote w:id="39">
    <w:p w14:paraId="4E14E519" w14:textId="77777777" w:rsidR="005971EA" w:rsidRPr="00CD0A51" w:rsidRDefault="005971EA" w:rsidP="005971EA">
      <w:pPr>
        <w:pStyle w:val="FootnoteText"/>
      </w:pPr>
      <w:r w:rsidRPr="00CD0A51">
        <w:rPr>
          <w:rStyle w:val="FootnoteReference"/>
        </w:rPr>
        <w:footnoteRef/>
      </w:r>
      <w:r w:rsidRPr="00CD0A51">
        <w:t xml:space="preserve"> UEB-003: </w:t>
      </w:r>
      <w:hyperlink r:id="rId12" w:history="1">
        <w:r w:rsidRPr="00CD0A51">
          <w:rPr>
            <w:rStyle w:val="Hyperlink"/>
          </w:rPr>
          <w:t>236850987.PDF (ca.gov)</w:t>
        </w:r>
      </w:hyperlink>
      <w:r w:rsidRPr="00CD0A51">
        <w:rPr>
          <w:rStyle w:val="Hyperlink"/>
        </w:rPr>
        <w:t>.</w:t>
      </w:r>
    </w:p>
  </w:footnote>
  <w:footnote w:id="40">
    <w:p w14:paraId="12A5CC66" w14:textId="77777777" w:rsidR="005971EA" w:rsidRPr="00CD0A51" w:rsidRDefault="005971EA" w:rsidP="005971EA">
      <w:pPr>
        <w:pStyle w:val="FootnoteText"/>
      </w:pPr>
      <w:r w:rsidRPr="00CD0A51">
        <w:rPr>
          <w:rStyle w:val="FootnoteReference"/>
        </w:rPr>
        <w:footnoteRef/>
      </w:r>
      <w:r w:rsidRPr="00CD0A51">
        <w:t xml:space="preserve"> There are additional CAB variable costs that can only be estimated. These </w:t>
      </w:r>
      <w:proofErr w:type="gramStart"/>
      <w:r w:rsidRPr="00CD0A51">
        <w:t>are considered to be</w:t>
      </w:r>
      <w:proofErr w:type="gramEnd"/>
      <w:r w:rsidRPr="00CD0A51">
        <w:t xml:space="preserve"> less than $500 and are not included in this analysis. Additionally, there are costs associated with the citations generated by the Utility Enforcement Branch that cannot be reliably estimated at this time. </w:t>
      </w:r>
    </w:p>
  </w:footnote>
  <w:footnote w:id="41">
    <w:p w14:paraId="7D9F1023" w14:textId="77777777" w:rsidR="005971EA" w:rsidRPr="00CD0A51" w:rsidRDefault="005971EA" w:rsidP="005971EA">
      <w:pPr>
        <w:pStyle w:val="FootnoteText"/>
      </w:pPr>
      <w:r w:rsidRPr="00CD0A51">
        <w:rPr>
          <w:rStyle w:val="FootnoteReference"/>
        </w:rPr>
        <w:footnoteRef/>
      </w:r>
      <w:r w:rsidRPr="00CD0A51">
        <w:t xml:space="preserve"> The Fiscal Office collects citation payments and deposits them into the State’s General Fund. </w:t>
      </w:r>
    </w:p>
  </w:footnote>
  <w:footnote w:id="42">
    <w:p w14:paraId="5A3AF990" w14:textId="77777777" w:rsidR="005971EA" w:rsidRPr="00CD0A51" w:rsidRDefault="005971EA" w:rsidP="005971EA">
      <w:pPr>
        <w:rPr>
          <w:rFonts w:ascii="Palatino Linotype" w:hAnsi="Palatino Linotype"/>
          <w:sz w:val="20"/>
        </w:rPr>
      </w:pPr>
      <w:r w:rsidRPr="00CD0A51">
        <w:rPr>
          <w:rStyle w:val="FootnoteReference"/>
          <w:rFonts w:ascii="Palatino Linotype" w:hAnsi="Palatino Linotype"/>
          <w:sz w:val="20"/>
        </w:rPr>
        <w:footnoteRef/>
      </w:r>
      <w:r w:rsidRPr="00CD0A51">
        <w:rPr>
          <w:rFonts w:ascii="Palatino Linotype" w:hAnsi="Palatino Linotype"/>
          <w:sz w:val="20"/>
        </w:rPr>
        <w:t xml:space="preserve"> </w:t>
      </w:r>
      <w:r w:rsidRPr="00CD0A51">
        <w:rPr>
          <w:rFonts w:ascii="Palatino Linotype" w:eastAsia="Garamond" w:hAnsi="Palatino Linotype" w:cs="Garamond"/>
          <w:sz w:val="20"/>
        </w:rPr>
        <w:t xml:space="preserve">A list of CTA citations can be found on the bottom of the UEB Citation website: </w:t>
      </w:r>
      <w:hyperlink r:id="rId13">
        <w:r w:rsidRPr="00CD0A51">
          <w:rPr>
            <w:rStyle w:val="Hyperlink"/>
            <w:rFonts w:ascii="Palatino Linotype" w:eastAsia="Garamond" w:hAnsi="Palatino Linotype" w:cs="Garamond"/>
            <w:sz w:val="20"/>
          </w:rPr>
          <w:t>Energy Citation Programs.</w:t>
        </w:r>
      </w:hyperlink>
    </w:p>
  </w:footnote>
  <w:footnote w:id="43">
    <w:p w14:paraId="2384E40D" w14:textId="77777777" w:rsidR="005971EA" w:rsidRPr="00CD0A51" w:rsidRDefault="005971EA" w:rsidP="005971EA">
      <w:pPr>
        <w:pStyle w:val="FootnoteText"/>
      </w:pPr>
      <w:r w:rsidRPr="00CD0A51">
        <w:rPr>
          <w:rStyle w:val="FootnoteReference"/>
        </w:rPr>
        <w:footnoteRef/>
      </w:r>
      <w:r w:rsidRPr="00CD0A51">
        <w:t xml:space="preserve"> Percentages and total costs are rounded to the nearest whole number.</w:t>
      </w:r>
    </w:p>
  </w:footnote>
  <w:footnote w:id="44">
    <w:p w14:paraId="3C2D9F4A" w14:textId="77777777" w:rsidR="005971EA" w:rsidRPr="00CD0A51" w:rsidRDefault="005971EA" w:rsidP="005971EA">
      <w:pPr>
        <w:pStyle w:val="FootnoteText"/>
      </w:pPr>
      <w:r w:rsidRPr="00CD0A51">
        <w:rPr>
          <w:rStyle w:val="FootnoteReference"/>
        </w:rPr>
        <w:footnoteRef/>
      </w:r>
      <w:r w:rsidRPr="00CD0A51">
        <w:t xml:space="preserve"> The CPUC acknowledges that the use of Excel may result in rounding discrepancies less than or equal to five dollars.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C6D" w14:textId="55882833" w:rsidR="00A90773" w:rsidRPr="00A90773" w:rsidRDefault="005D1668" w:rsidP="005D1668">
    <w:pPr>
      <w:pStyle w:val="Header"/>
      <w:tabs>
        <w:tab w:val="clear" w:pos="8640"/>
        <w:tab w:val="right" w:pos="8910"/>
        <w:tab w:val="left" w:pos="9360"/>
      </w:tabs>
      <w:ind w:hanging="1080"/>
      <w:jc w:val="center"/>
      <w:rPr>
        <w:rFonts w:ascii="Palatino Linotype" w:hAnsi="Palatino Linotype"/>
        <w:sz w:val="24"/>
        <w:szCs w:val="24"/>
      </w:rPr>
    </w:pPr>
    <w:r>
      <w:rPr>
        <w:rFonts w:ascii="Palatino Linotype" w:hAnsi="Palatino Linotype"/>
        <w:sz w:val="24"/>
        <w:szCs w:val="24"/>
      </w:rPr>
      <w:t xml:space="preserve">        </w:t>
    </w:r>
    <w:r w:rsidR="00A90773" w:rsidRPr="00A90773">
      <w:rPr>
        <w:rFonts w:ascii="Palatino Linotype" w:hAnsi="Palatino Linotype"/>
        <w:sz w:val="24"/>
        <w:szCs w:val="24"/>
      </w:rPr>
      <w:t xml:space="preserve">ED/Resolution </w:t>
    </w:r>
    <w:r w:rsidR="00A90773">
      <w:rPr>
        <w:rFonts w:ascii="Palatino Linotype" w:hAnsi="Palatino Linotype"/>
        <w:sz w:val="24"/>
        <w:szCs w:val="24"/>
      </w:rPr>
      <w:t>G-3621</w:t>
    </w:r>
    <w:r>
      <w:rPr>
        <w:rFonts w:ascii="Palatino Linotype" w:hAnsi="Palatino Linotype"/>
        <w:sz w:val="24"/>
        <w:szCs w:val="24"/>
      </w:rPr>
      <w:t xml:space="preserve"> </w:t>
    </w:r>
    <w:r w:rsidR="00A90773" w:rsidRPr="00A90773">
      <w:rPr>
        <w:rFonts w:ascii="Palatino Linotype" w:hAnsi="Palatino Linotype"/>
        <w:sz w:val="24"/>
        <w:szCs w:val="24"/>
      </w:rPr>
      <w:tab/>
    </w:r>
    <w:r w:rsidR="00A90773">
      <w:rPr>
        <w:rFonts w:ascii="Palatino Linotype" w:hAnsi="Palatino Linotype"/>
        <w:sz w:val="24"/>
        <w:szCs w:val="24"/>
      </w:rPr>
      <w:t>DRAFT</w:t>
    </w:r>
    <w:r w:rsidR="00A90773" w:rsidRPr="00A90773">
      <w:rPr>
        <w:rFonts w:ascii="Palatino Linotype" w:hAnsi="Palatino Linotype"/>
        <w:sz w:val="24"/>
        <w:szCs w:val="24"/>
      </w:rPr>
      <w:tab/>
    </w:r>
    <w:r>
      <w:rPr>
        <w:rFonts w:ascii="Palatino Linotype" w:hAnsi="Palatino Linotype"/>
        <w:sz w:val="24"/>
        <w:szCs w:val="24"/>
      </w:rPr>
      <w:t xml:space="preserve">    </w:t>
    </w:r>
    <w:r w:rsidR="008301FF">
      <w:rPr>
        <w:rFonts w:ascii="Palatino Linotype" w:hAnsi="Palatino Linotype"/>
        <w:sz w:val="24"/>
        <w:szCs w:val="24"/>
      </w:rPr>
      <w:t>June</w:t>
    </w:r>
    <w:r w:rsidR="00A90773" w:rsidRPr="00A90773">
      <w:rPr>
        <w:rFonts w:ascii="Palatino Linotype" w:hAnsi="Palatino Linotype"/>
        <w:sz w:val="24"/>
        <w:szCs w:val="24"/>
      </w:rPr>
      <w:t xml:space="preserve"> </w:t>
    </w:r>
    <w:r w:rsidR="008301FF">
      <w:rPr>
        <w:rFonts w:ascii="Palatino Linotype" w:hAnsi="Palatino Linotype"/>
        <w:sz w:val="24"/>
        <w:szCs w:val="24"/>
      </w:rPr>
      <w:t>11</w:t>
    </w:r>
    <w:r w:rsidR="00A90773" w:rsidRPr="00A90773">
      <w:rPr>
        <w:rFonts w:ascii="Palatino Linotype" w:hAnsi="Palatino Linotype"/>
        <w:sz w:val="24"/>
        <w:szCs w:val="24"/>
      </w:rPr>
      <w:t>, 2026</w:t>
    </w:r>
  </w:p>
  <w:p w14:paraId="05D9ECCC" w14:textId="1F2F9C53" w:rsidR="005971EA" w:rsidRDefault="00F70D42" w:rsidP="00F70D42">
    <w:pPr>
      <w:pStyle w:val="Header"/>
      <w:rPr>
        <w:rFonts w:ascii="Palatino Linotype" w:hAnsi="Palatino Linotype"/>
        <w:sz w:val="24"/>
        <w:szCs w:val="24"/>
      </w:rPr>
    </w:pPr>
    <w:r w:rsidRPr="00F70D42">
      <w:rPr>
        <w:rFonts w:ascii="Palatino Linotype" w:hAnsi="Palatino Linotype"/>
        <w:sz w:val="24"/>
        <w:szCs w:val="24"/>
      </w:rPr>
      <w:t>2026 CTA Annual Report</w:t>
    </w:r>
    <w:r w:rsidR="00A90773" w:rsidRPr="00A90773">
      <w:rPr>
        <w:rFonts w:ascii="Palatino Linotype" w:hAnsi="Palatino Linotype"/>
        <w:sz w:val="24"/>
        <w:szCs w:val="24"/>
      </w:rPr>
      <w:t>/</w:t>
    </w:r>
    <w:r w:rsidR="008301FF">
      <w:rPr>
        <w:rFonts w:ascii="Palatino Linotype" w:hAnsi="Palatino Linotype"/>
        <w:sz w:val="24"/>
        <w:szCs w:val="24"/>
      </w:rPr>
      <w:t>OO1</w:t>
    </w:r>
  </w:p>
  <w:p w14:paraId="6871A7B7" w14:textId="77777777" w:rsidR="00A90773" w:rsidRPr="00A65CE4" w:rsidRDefault="00A90773" w:rsidP="00A90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1F67" w14:textId="41DAB5F7" w:rsidR="005971EA" w:rsidRDefault="008301FF" w:rsidP="008301FF">
    <w:pPr>
      <w:pStyle w:val="Header"/>
      <w:jc w:val="center"/>
      <w:rPr>
        <w:rFonts w:ascii="Palatino Linotype" w:hAnsi="Palatino Linotype"/>
        <w:sz w:val="24"/>
        <w:szCs w:val="24"/>
      </w:rPr>
    </w:pPr>
    <w:r w:rsidRPr="008301FF">
      <w:rPr>
        <w:rFonts w:ascii="Palatino Linotype" w:hAnsi="Palatino Linotype"/>
        <w:sz w:val="24"/>
        <w:szCs w:val="24"/>
      </w:rPr>
      <w:t>DRAFT</w:t>
    </w:r>
  </w:p>
  <w:p w14:paraId="6DB1C13E" w14:textId="77777777" w:rsidR="008301FF" w:rsidRPr="008301FF" w:rsidRDefault="008301FF" w:rsidP="008301FF">
    <w:pPr>
      <w:pStyle w:val="Header"/>
      <w:jc w:val="center"/>
      <w:rPr>
        <w:rFonts w:ascii="Palatino Linotype" w:hAnsi="Palatino Linotype"/>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58B" w14:textId="1D8C1B45" w:rsidR="005971EA" w:rsidRDefault="005971EA">
    <w:pPr>
      <w:pStyle w:val="Header"/>
    </w:pPr>
    <w:r>
      <w:t>202</w:t>
    </w:r>
    <w:r w:rsidR="00E7175D">
      <w:t>6</w:t>
    </w:r>
    <w:r>
      <w:t xml:space="preserve"> CTA Program Annual R</w:t>
    </w:r>
    <w:r w:rsidR="00E7175D">
      <w:t>e</w:t>
    </w:r>
    <w:r>
      <w:t>port</w:t>
    </w:r>
  </w:p>
  <w:p w14:paraId="02BEBA05" w14:textId="77777777" w:rsidR="005971EA" w:rsidRDefault="005971EA">
    <w:pPr>
      <w:pStyle w:val="Header"/>
    </w:pPr>
  </w:p>
  <w:p w14:paraId="69F30118" w14:textId="77777777" w:rsidR="005971EA" w:rsidRPr="00A65CE4" w:rsidRDefault="005971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6F33" w14:textId="77777777" w:rsidR="004D3B98" w:rsidRDefault="004D3B9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8BCB" w14:textId="06E0EED6" w:rsidR="005A6A31" w:rsidRDefault="005A6A31" w:rsidP="003F6E5A">
    <w:pPr>
      <w:pStyle w:val="Header"/>
      <w:jc w:val="center"/>
    </w:pPr>
  </w:p>
  <w:p w14:paraId="26D36F5D" w14:textId="77777777" w:rsidR="004D3B98" w:rsidRDefault="004D3B98" w:rsidP="00BD4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2C367A"/>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C360B878"/>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7E"/>
    <w:multiLevelType w:val="singleLevel"/>
    <w:tmpl w:val="537A07B8"/>
    <w:lvl w:ilvl="0">
      <w:start w:val="1"/>
      <w:numFmt w:val="lowerRoman"/>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7B28A3C"/>
    <w:lvl w:ilvl="0">
      <w:start w:val="1"/>
      <w:numFmt w:val="bullet"/>
      <w:pStyle w:val="ListBullet5"/>
      <w:lvlText w:val=""/>
      <w:lvlJc w:val="left"/>
      <w:pPr>
        <w:ind w:left="1584" w:hanging="360"/>
      </w:pPr>
      <w:rPr>
        <w:rFonts w:ascii="Wingdings" w:hAnsi="Wingdings" w:cs="Wingdings" w:hint="default"/>
      </w:rPr>
    </w:lvl>
  </w:abstractNum>
  <w:abstractNum w:abstractNumId="4" w15:restartNumberingAfterBreak="0">
    <w:nsid w:val="FFFFFF81"/>
    <w:multiLevelType w:val="singleLevel"/>
    <w:tmpl w:val="0C5ED79A"/>
    <w:lvl w:ilvl="0">
      <w:start w:val="1"/>
      <w:numFmt w:val="bullet"/>
      <w:pStyle w:val="ListBullet4"/>
      <w:lvlText w:val=""/>
      <w:lvlJc w:val="left"/>
      <w:pPr>
        <w:ind w:left="1440" w:hanging="360"/>
      </w:pPr>
      <w:rPr>
        <w:rFonts w:ascii="Wingdings" w:hAnsi="Wingdings" w:hint="default"/>
      </w:rPr>
    </w:lvl>
  </w:abstractNum>
  <w:abstractNum w:abstractNumId="5" w15:restartNumberingAfterBreak="0">
    <w:nsid w:val="FFFFFF82"/>
    <w:multiLevelType w:val="singleLevel"/>
    <w:tmpl w:val="6B28618E"/>
    <w:lvl w:ilvl="0">
      <w:start w:val="1"/>
      <w:numFmt w:val="bullet"/>
      <w:pStyle w:val="ListBullet3"/>
      <w:lvlText w:val=""/>
      <w:lvlJc w:val="left"/>
      <w:pPr>
        <w:ind w:left="1080" w:hanging="360"/>
      </w:pPr>
      <w:rPr>
        <w:rFonts w:ascii="Symbol" w:hAnsi="Symbol" w:hint="default"/>
      </w:rPr>
    </w:lvl>
  </w:abstractNum>
  <w:abstractNum w:abstractNumId="6" w15:restartNumberingAfterBreak="0">
    <w:nsid w:val="FFFFFF88"/>
    <w:multiLevelType w:val="singleLevel"/>
    <w:tmpl w:val="141E1DDC"/>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47F013C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B46F3E"/>
    <w:multiLevelType w:val="hybridMultilevel"/>
    <w:tmpl w:val="C760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C4F86"/>
    <w:multiLevelType w:val="hybridMultilevel"/>
    <w:tmpl w:val="FED4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DBA4B9C"/>
    <w:multiLevelType w:val="multilevel"/>
    <w:tmpl w:val="04090025"/>
    <w:styleLink w:val="CurrentList3"/>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FE620CE"/>
    <w:multiLevelType w:val="singleLevel"/>
    <w:tmpl w:val="2DD0FAE8"/>
    <w:lvl w:ilvl="0">
      <w:start w:val="1"/>
      <w:numFmt w:val="lowerLetter"/>
      <w:pStyle w:val="ListNumber2"/>
      <w:lvlText w:val="%1)"/>
      <w:lvlJc w:val="left"/>
      <w:pPr>
        <w:tabs>
          <w:tab w:val="num" w:pos="720"/>
        </w:tabs>
        <w:ind w:left="720" w:hanging="360"/>
      </w:pPr>
      <w:rPr>
        <w:rFonts w:hint="default"/>
      </w:rPr>
    </w:lvl>
  </w:abstractNum>
  <w:abstractNum w:abstractNumId="14" w15:restartNumberingAfterBreak="0">
    <w:nsid w:val="1B0304C2"/>
    <w:multiLevelType w:val="multilevel"/>
    <w:tmpl w:val="2910A39C"/>
    <w:numStyleLink w:val="CPUCbullets"/>
  </w:abstractNum>
  <w:abstractNum w:abstractNumId="15" w15:restartNumberingAfterBreak="0">
    <w:nsid w:val="1DEC19E7"/>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045110"/>
    <w:multiLevelType w:val="multilevel"/>
    <w:tmpl w:val="04090025"/>
    <w:styleLink w:val="CurrentList4"/>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542071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F8414F"/>
    <w:multiLevelType w:val="hybridMultilevel"/>
    <w:tmpl w:val="F3C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921507"/>
    <w:multiLevelType w:val="hybridMultilevel"/>
    <w:tmpl w:val="C5C4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9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CC079B"/>
    <w:multiLevelType w:val="hybridMultilevel"/>
    <w:tmpl w:val="380687BA"/>
    <w:lvl w:ilvl="0" w:tplc="8C6C892E">
      <w:start w:val="1"/>
      <w:numFmt w:val="bullet"/>
      <w:pStyle w:val="ListBullet2"/>
      <w:lvlText w:val="»"/>
      <w:lvlJc w:val="left"/>
      <w:pPr>
        <w:ind w:left="720" w:hanging="360"/>
      </w:pPr>
      <w:rPr>
        <w:rFonts w:ascii="Century Gothic (Body)" w:hAnsi="Century Gothic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9A1913"/>
    <w:multiLevelType w:val="hybridMultilevel"/>
    <w:tmpl w:val="6BB20E3A"/>
    <w:lvl w:ilvl="0" w:tplc="141861EA">
      <w:start w:val="1"/>
      <w:numFmt w:val="decimal"/>
      <w:lvlText w:val="%1."/>
      <w:lvlJc w:val="left"/>
      <w:pPr>
        <w:ind w:left="420" w:hanging="420"/>
      </w:pPr>
    </w:lvl>
    <w:lvl w:ilvl="1" w:tplc="B5121F62">
      <w:start w:val="1"/>
      <w:numFmt w:val="lowerLetter"/>
      <w:lvlText w:val="%2."/>
      <w:lvlJc w:val="left"/>
      <w:pPr>
        <w:ind w:left="1500" w:hanging="360"/>
      </w:pPr>
    </w:lvl>
    <w:lvl w:ilvl="2" w:tplc="64463186">
      <w:start w:val="1"/>
      <w:numFmt w:val="lowerRoman"/>
      <w:lvlText w:val="%3."/>
      <w:lvlJc w:val="right"/>
      <w:pPr>
        <w:ind w:left="2220" w:hanging="180"/>
      </w:pPr>
    </w:lvl>
    <w:lvl w:ilvl="3" w:tplc="3104B520">
      <w:start w:val="1"/>
      <w:numFmt w:val="decimal"/>
      <w:lvlText w:val="%4."/>
      <w:lvlJc w:val="left"/>
      <w:pPr>
        <w:ind w:left="2940" w:hanging="360"/>
      </w:pPr>
    </w:lvl>
    <w:lvl w:ilvl="4" w:tplc="2056DFD4">
      <w:start w:val="1"/>
      <w:numFmt w:val="lowerLetter"/>
      <w:lvlText w:val="%5."/>
      <w:lvlJc w:val="left"/>
      <w:pPr>
        <w:ind w:left="3660" w:hanging="360"/>
      </w:pPr>
    </w:lvl>
    <w:lvl w:ilvl="5" w:tplc="841243F0">
      <w:start w:val="1"/>
      <w:numFmt w:val="lowerRoman"/>
      <w:lvlText w:val="%6."/>
      <w:lvlJc w:val="right"/>
      <w:pPr>
        <w:ind w:left="4380" w:hanging="180"/>
      </w:pPr>
    </w:lvl>
    <w:lvl w:ilvl="6" w:tplc="D0EC85F0">
      <w:start w:val="1"/>
      <w:numFmt w:val="decimal"/>
      <w:lvlText w:val="%7."/>
      <w:lvlJc w:val="left"/>
      <w:pPr>
        <w:ind w:left="5100" w:hanging="360"/>
      </w:pPr>
    </w:lvl>
    <w:lvl w:ilvl="7" w:tplc="DDA230F4">
      <w:start w:val="1"/>
      <w:numFmt w:val="lowerLetter"/>
      <w:lvlText w:val="%8."/>
      <w:lvlJc w:val="left"/>
      <w:pPr>
        <w:ind w:left="5820" w:hanging="360"/>
      </w:pPr>
    </w:lvl>
    <w:lvl w:ilvl="8" w:tplc="861077B4">
      <w:start w:val="1"/>
      <w:numFmt w:val="lowerRoman"/>
      <w:lvlText w:val="%9."/>
      <w:lvlJc w:val="right"/>
      <w:pPr>
        <w:ind w:left="6540" w:hanging="180"/>
      </w:pPr>
    </w:lvl>
  </w:abstractNum>
  <w:abstractNum w:abstractNumId="2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EC65E3"/>
    <w:multiLevelType w:val="multilevel"/>
    <w:tmpl w:val="40C2DEDE"/>
    <w:styleLink w:val="CurrentList9"/>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A99401"/>
    <w:multiLevelType w:val="hybridMultilevel"/>
    <w:tmpl w:val="FFFFFFFF"/>
    <w:lvl w:ilvl="0" w:tplc="6C601D8A">
      <w:start w:val="1"/>
      <w:numFmt w:val="decimal"/>
      <w:lvlText w:val="%1."/>
      <w:lvlJc w:val="left"/>
      <w:pPr>
        <w:ind w:left="720" w:hanging="360"/>
      </w:pPr>
    </w:lvl>
    <w:lvl w:ilvl="1" w:tplc="A36E33CC">
      <w:start w:val="1"/>
      <w:numFmt w:val="lowerLetter"/>
      <w:lvlText w:val="%2."/>
      <w:lvlJc w:val="left"/>
      <w:pPr>
        <w:ind w:left="1440" w:hanging="360"/>
      </w:pPr>
    </w:lvl>
    <w:lvl w:ilvl="2" w:tplc="71E4D474">
      <w:start w:val="1"/>
      <w:numFmt w:val="lowerRoman"/>
      <w:lvlText w:val="%3."/>
      <w:lvlJc w:val="right"/>
      <w:pPr>
        <w:ind w:left="2160" w:hanging="180"/>
      </w:pPr>
    </w:lvl>
    <w:lvl w:ilvl="3" w:tplc="F1A4CFE6">
      <w:start w:val="1"/>
      <w:numFmt w:val="decimal"/>
      <w:lvlText w:val="%4."/>
      <w:lvlJc w:val="left"/>
      <w:pPr>
        <w:ind w:left="2880" w:hanging="360"/>
      </w:pPr>
    </w:lvl>
    <w:lvl w:ilvl="4" w:tplc="42F05F90">
      <w:start w:val="1"/>
      <w:numFmt w:val="lowerLetter"/>
      <w:lvlText w:val="%5."/>
      <w:lvlJc w:val="left"/>
      <w:pPr>
        <w:ind w:left="3600" w:hanging="360"/>
      </w:pPr>
    </w:lvl>
    <w:lvl w:ilvl="5" w:tplc="B31E372E">
      <w:start w:val="1"/>
      <w:numFmt w:val="lowerRoman"/>
      <w:lvlText w:val="%6."/>
      <w:lvlJc w:val="right"/>
      <w:pPr>
        <w:ind w:left="4320" w:hanging="180"/>
      </w:pPr>
    </w:lvl>
    <w:lvl w:ilvl="6" w:tplc="42AC5374">
      <w:start w:val="1"/>
      <w:numFmt w:val="decimal"/>
      <w:lvlText w:val="%7."/>
      <w:lvlJc w:val="left"/>
      <w:pPr>
        <w:ind w:left="5040" w:hanging="360"/>
      </w:pPr>
    </w:lvl>
    <w:lvl w:ilvl="7" w:tplc="DAC08AE0">
      <w:start w:val="1"/>
      <w:numFmt w:val="lowerLetter"/>
      <w:lvlText w:val="%8."/>
      <w:lvlJc w:val="left"/>
      <w:pPr>
        <w:ind w:left="5760" w:hanging="360"/>
      </w:pPr>
    </w:lvl>
    <w:lvl w:ilvl="8" w:tplc="5FAC9E7A">
      <w:start w:val="1"/>
      <w:numFmt w:val="lowerRoman"/>
      <w:lvlText w:val="%9."/>
      <w:lvlJc w:val="right"/>
      <w:pPr>
        <w:ind w:left="6480" w:hanging="180"/>
      </w:pPr>
    </w:lvl>
  </w:abstractNum>
  <w:abstractNum w:abstractNumId="2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8" w15:restartNumberingAfterBreak="0">
    <w:nsid w:val="6C891CF3"/>
    <w:multiLevelType w:val="multilevel"/>
    <w:tmpl w:val="04090025"/>
    <w:styleLink w:val="CurrentList2"/>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D8960E7"/>
    <w:multiLevelType w:val="multilevel"/>
    <w:tmpl w:val="B0FEB220"/>
    <w:styleLink w:val="CurrentList6"/>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ED40B7C"/>
    <w:multiLevelType w:val="hybridMultilevel"/>
    <w:tmpl w:val="84A2B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E4522"/>
    <w:multiLevelType w:val="multilevel"/>
    <w:tmpl w:val="2910A39C"/>
    <w:styleLink w:val="CPUC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entury Gothic (Body)" w:hAnsi="Century Gothic (Body)"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330DC8"/>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1277076">
    <w:abstractNumId w:val="10"/>
  </w:num>
  <w:num w:numId="2" w16cid:durableId="85882822">
    <w:abstractNumId w:val="24"/>
  </w:num>
  <w:num w:numId="3" w16cid:durableId="1687364561">
    <w:abstractNumId w:val="27"/>
  </w:num>
  <w:num w:numId="4" w16cid:durableId="413472444">
    <w:abstractNumId w:val="11"/>
  </w:num>
  <w:num w:numId="5" w16cid:durableId="1639607021">
    <w:abstractNumId w:val="18"/>
  </w:num>
  <w:num w:numId="6" w16cid:durableId="570239062">
    <w:abstractNumId w:val="20"/>
  </w:num>
  <w:num w:numId="7" w16cid:durableId="1109394839">
    <w:abstractNumId w:val="8"/>
  </w:num>
  <w:num w:numId="8" w16cid:durableId="807355239">
    <w:abstractNumId w:val="30"/>
  </w:num>
  <w:num w:numId="9" w16cid:durableId="1558199423">
    <w:abstractNumId w:val="5"/>
  </w:num>
  <w:num w:numId="10" w16cid:durableId="445538092">
    <w:abstractNumId w:val="4"/>
  </w:num>
  <w:num w:numId="11" w16cid:durableId="1752195192">
    <w:abstractNumId w:val="3"/>
  </w:num>
  <w:num w:numId="12" w16cid:durableId="1068768228">
    <w:abstractNumId w:val="19"/>
  </w:num>
  <w:num w:numId="13" w16cid:durableId="979070473">
    <w:abstractNumId w:val="22"/>
  </w:num>
  <w:num w:numId="14" w16cid:durableId="1713575099">
    <w:abstractNumId w:val="32"/>
  </w:num>
  <w:num w:numId="15" w16cid:durableId="1386103742">
    <w:abstractNumId w:val="28"/>
  </w:num>
  <w:num w:numId="16" w16cid:durableId="1608658963">
    <w:abstractNumId w:val="12"/>
  </w:num>
  <w:num w:numId="17" w16cid:durableId="735013499">
    <w:abstractNumId w:val="16"/>
  </w:num>
  <w:num w:numId="18" w16cid:durableId="2003266284">
    <w:abstractNumId w:val="31"/>
  </w:num>
  <w:num w:numId="19" w16cid:durableId="1180701087">
    <w:abstractNumId w:val="14"/>
  </w:num>
  <w:num w:numId="20" w16cid:durableId="195117024">
    <w:abstractNumId w:val="25"/>
  </w:num>
  <w:num w:numId="21" w16cid:durableId="675420535">
    <w:abstractNumId w:val="17"/>
  </w:num>
  <w:num w:numId="22" w16cid:durableId="1381440267">
    <w:abstractNumId w:val="15"/>
  </w:num>
  <w:num w:numId="23" w16cid:durableId="1084305037">
    <w:abstractNumId w:val="29"/>
  </w:num>
  <w:num w:numId="24" w16cid:durableId="932204874">
    <w:abstractNumId w:val="2"/>
  </w:num>
  <w:num w:numId="25" w16cid:durableId="661739933">
    <w:abstractNumId w:val="6"/>
  </w:num>
  <w:num w:numId="26" w16cid:durableId="602802614">
    <w:abstractNumId w:val="21"/>
  </w:num>
  <w:num w:numId="27" w16cid:durableId="1534537182">
    <w:abstractNumId w:val="13"/>
  </w:num>
  <w:num w:numId="28" w16cid:durableId="35395568">
    <w:abstractNumId w:val="0"/>
  </w:num>
  <w:num w:numId="29" w16cid:durableId="680014516">
    <w:abstractNumId w:val="1"/>
  </w:num>
  <w:num w:numId="30" w16cid:durableId="53507522">
    <w:abstractNumId w:val="7"/>
  </w:num>
  <w:num w:numId="31" w16cid:durableId="1262762197">
    <w:abstractNumId w:val="9"/>
  </w:num>
  <w:num w:numId="32" w16cid:durableId="1581671506">
    <w:abstractNumId w:val="26"/>
  </w:num>
  <w:num w:numId="33" w16cid:durableId="11527205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755"/>
    <w:rsid w:val="00000945"/>
    <w:rsid w:val="00000C01"/>
    <w:rsid w:val="0000121F"/>
    <w:rsid w:val="0000151A"/>
    <w:rsid w:val="00001B9E"/>
    <w:rsid w:val="00002671"/>
    <w:rsid w:val="00002F7F"/>
    <w:rsid w:val="000042B8"/>
    <w:rsid w:val="00004886"/>
    <w:rsid w:val="00004B8C"/>
    <w:rsid w:val="00004F79"/>
    <w:rsid w:val="00005506"/>
    <w:rsid w:val="00005BC2"/>
    <w:rsid w:val="00005BD4"/>
    <w:rsid w:val="00006566"/>
    <w:rsid w:val="00006EED"/>
    <w:rsid w:val="0000792A"/>
    <w:rsid w:val="00007954"/>
    <w:rsid w:val="000102C9"/>
    <w:rsid w:val="000114A0"/>
    <w:rsid w:val="00011E22"/>
    <w:rsid w:val="0001267B"/>
    <w:rsid w:val="000128D6"/>
    <w:rsid w:val="00012D45"/>
    <w:rsid w:val="00012E23"/>
    <w:rsid w:val="00013A49"/>
    <w:rsid w:val="000140AB"/>
    <w:rsid w:val="00014355"/>
    <w:rsid w:val="00014AEE"/>
    <w:rsid w:val="00015ECC"/>
    <w:rsid w:val="00016CCF"/>
    <w:rsid w:val="00016D98"/>
    <w:rsid w:val="00017892"/>
    <w:rsid w:val="000200F9"/>
    <w:rsid w:val="0002128C"/>
    <w:rsid w:val="0002132C"/>
    <w:rsid w:val="000219D8"/>
    <w:rsid w:val="0002288C"/>
    <w:rsid w:val="00022EE3"/>
    <w:rsid w:val="00023ACE"/>
    <w:rsid w:val="00023F4F"/>
    <w:rsid w:val="00024153"/>
    <w:rsid w:val="00024AC3"/>
    <w:rsid w:val="00024C89"/>
    <w:rsid w:val="00025975"/>
    <w:rsid w:val="00025C2A"/>
    <w:rsid w:val="00025D77"/>
    <w:rsid w:val="00027810"/>
    <w:rsid w:val="00030819"/>
    <w:rsid w:val="00031273"/>
    <w:rsid w:val="00031884"/>
    <w:rsid w:val="00032955"/>
    <w:rsid w:val="00032AE7"/>
    <w:rsid w:val="00033112"/>
    <w:rsid w:val="0003353A"/>
    <w:rsid w:val="00033A20"/>
    <w:rsid w:val="00033AA3"/>
    <w:rsid w:val="00033B01"/>
    <w:rsid w:val="00033DAC"/>
    <w:rsid w:val="00034B0A"/>
    <w:rsid w:val="0003564A"/>
    <w:rsid w:val="00036548"/>
    <w:rsid w:val="00040E10"/>
    <w:rsid w:val="00041292"/>
    <w:rsid w:val="00041B09"/>
    <w:rsid w:val="00042F4C"/>
    <w:rsid w:val="00043298"/>
    <w:rsid w:val="00043402"/>
    <w:rsid w:val="00044436"/>
    <w:rsid w:val="00047509"/>
    <w:rsid w:val="000500FA"/>
    <w:rsid w:val="00050AB5"/>
    <w:rsid w:val="00050C17"/>
    <w:rsid w:val="00051136"/>
    <w:rsid w:val="00051941"/>
    <w:rsid w:val="00051C02"/>
    <w:rsid w:val="000527F7"/>
    <w:rsid w:val="00052CCF"/>
    <w:rsid w:val="00054EB9"/>
    <w:rsid w:val="00054F21"/>
    <w:rsid w:val="0005508A"/>
    <w:rsid w:val="00055467"/>
    <w:rsid w:val="00055A9E"/>
    <w:rsid w:val="00056424"/>
    <w:rsid w:val="000564C9"/>
    <w:rsid w:val="000564E2"/>
    <w:rsid w:val="000568B5"/>
    <w:rsid w:val="00056947"/>
    <w:rsid w:val="000571D7"/>
    <w:rsid w:val="0005722D"/>
    <w:rsid w:val="0005797B"/>
    <w:rsid w:val="00057A29"/>
    <w:rsid w:val="00057CE5"/>
    <w:rsid w:val="0006036A"/>
    <w:rsid w:val="0006091A"/>
    <w:rsid w:val="0006138E"/>
    <w:rsid w:val="0006226E"/>
    <w:rsid w:val="0006277C"/>
    <w:rsid w:val="00063709"/>
    <w:rsid w:val="00063B4A"/>
    <w:rsid w:val="00063D6E"/>
    <w:rsid w:val="000640A5"/>
    <w:rsid w:val="0006430B"/>
    <w:rsid w:val="0006556F"/>
    <w:rsid w:val="00066069"/>
    <w:rsid w:val="000669F5"/>
    <w:rsid w:val="00066AE6"/>
    <w:rsid w:val="0006756D"/>
    <w:rsid w:val="00067DC7"/>
    <w:rsid w:val="00067E41"/>
    <w:rsid w:val="000706A0"/>
    <w:rsid w:val="0007079D"/>
    <w:rsid w:val="000708D1"/>
    <w:rsid w:val="00070AB7"/>
    <w:rsid w:val="00072CB4"/>
    <w:rsid w:val="00073DB7"/>
    <w:rsid w:val="00073F64"/>
    <w:rsid w:val="000754CD"/>
    <w:rsid w:val="000756A2"/>
    <w:rsid w:val="000756AA"/>
    <w:rsid w:val="00076A1E"/>
    <w:rsid w:val="00076B9F"/>
    <w:rsid w:val="00076BB9"/>
    <w:rsid w:val="0007707B"/>
    <w:rsid w:val="000777F1"/>
    <w:rsid w:val="0008174D"/>
    <w:rsid w:val="0008186A"/>
    <w:rsid w:val="00081927"/>
    <w:rsid w:val="00082D9F"/>
    <w:rsid w:val="000831CC"/>
    <w:rsid w:val="00084A20"/>
    <w:rsid w:val="00084F2A"/>
    <w:rsid w:val="0008653B"/>
    <w:rsid w:val="000870B1"/>
    <w:rsid w:val="00087570"/>
    <w:rsid w:val="00087682"/>
    <w:rsid w:val="00090457"/>
    <w:rsid w:val="0009053E"/>
    <w:rsid w:val="00090966"/>
    <w:rsid w:val="00091508"/>
    <w:rsid w:val="000918DE"/>
    <w:rsid w:val="00091E8C"/>
    <w:rsid w:val="00093719"/>
    <w:rsid w:val="00094892"/>
    <w:rsid w:val="00094D6A"/>
    <w:rsid w:val="00095F16"/>
    <w:rsid w:val="00095F8C"/>
    <w:rsid w:val="000964A1"/>
    <w:rsid w:val="000979E4"/>
    <w:rsid w:val="00097E01"/>
    <w:rsid w:val="000A04D9"/>
    <w:rsid w:val="000A0CEC"/>
    <w:rsid w:val="000A0E65"/>
    <w:rsid w:val="000A10E6"/>
    <w:rsid w:val="000A14E3"/>
    <w:rsid w:val="000A16E1"/>
    <w:rsid w:val="000A328A"/>
    <w:rsid w:val="000A4585"/>
    <w:rsid w:val="000A4603"/>
    <w:rsid w:val="000A4D74"/>
    <w:rsid w:val="000A525D"/>
    <w:rsid w:val="000A5472"/>
    <w:rsid w:val="000A56D7"/>
    <w:rsid w:val="000A604E"/>
    <w:rsid w:val="000A61D4"/>
    <w:rsid w:val="000A6950"/>
    <w:rsid w:val="000A776D"/>
    <w:rsid w:val="000A796F"/>
    <w:rsid w:val="000A7ADA"/>
    <w:rsid w:val="000B0F23"/>
    <w:rsid w:val="000B1366"/>
    <w:rsid w:val="000B26CB"/>
    <w:rsid w:val="000B2FF9"/>
    <w:rsid w:val="000B4752"/>
    <w:rsid w:val="000B4819"/>
    <w:rsid w:val="000B4930"/>
    <w:rsid w:val="000B56BD"/>
    <w:rsid w:val="000B5744"/>
    <w:rsid w:val="000B5D11"/>
    <w:rsid w:val="000B65A4"/>
    <w:rsid w:val="000B6C22"/>
    <w:rsid w:val="000B6C70"/>
    <w:rsid w:val="000B7253"/>
    <w:rsid w:val="000B789C"/>
    <w:rsid w:val="000B7CB0"/>
    <w:rsid w:val="000B7CDD"/>
    <w:rsid w:val="000C0122"/>
    <w:rsid w:val="000C062F"/>
    <w:rsid w:val="000C071A"/>
    <w:rsid w:val="000C07E2"/>
    <w:rsid w:val="000C16F9"/>
    <w:rsid w:val="000C22C2"/>
    <w:rsid w:val="000C237F"/>
    <w:rsid w:val="000C43DC"/>
    <w:rsid w:val="000C44AC"/>
    <w:rsid w:val="000C5532"/>
    <w:rsid w:val="000C590F"/>
    <w:rsid w:val="000C59AA"/>
    <w:rsid w:val="000C687C"/>
    <w:rsid w:val="000C7500"/>
    <w:rsid w:val="000C7C53"/>
    <w:rsid w:val="000D0006"/>
    <w:rsid w:val="000D04B0"/>
    <w:rsid w:val="000D1193"/>
    <w:rsid w:val="000D1507"/>
    <w:rsid w:val="000D18DB"/>
    <w:rsid w:val="000D22AB"/>
    <w:rsid w:val="000D3588"/>
    <w:rsid w:val="000D37AF"/>
    <w:rsid w:val="000D3A75"/>
    <w:rsid w:val="000D3CA3"/>
    <w:rsid w:val="000D4824"/>
    <w:rsid w:val="000D4A96"/>
    <w:rsid w:val="000D517D"/>
    <w:rsid w:val="000D5D46"/>
    <w:rsid w:val="000E0367"/>
    <w:rsid w:val="000E0FDF"/>
    <w:rsid w:val="000E1074"/>
    <w:rsid w:val="000E1609"/>
    <w:rsid w:val="000E1856"/>
    <w:rsid w:val="000E1C4C"/>
    <w:rsid w:val="000E2A4F"/>
    <w:rsid w:val="000E3DEC"/>
    <w:rsid w:val="000E4970"/>
    <w:rsid w:val="000E5211"/>
    <w:rsid w:val="000E57D1"/>
    <w:rsid w:val="000E5C1C"/>
    <w:rsid w:val="000E6783"/>
    <w:rsid w:val="000E6BE8"/>
    <w:rsid w:val="000E7B7F"/>
    <w:rsid w:val="000F0AF3"/>
    <w:rsid w:val="000F1445"/>
    <w:rsid w:val="000F1978"/>
    <w:rsid w:val="000F2343"/>
    <w:rsid w:val="000F3A90"/>
    <w:rsid w:val="000F3BF9"/>
    <w:rsid w:val="000F4834"/>
    <w:rsid w:val="000F49F8"/>
    <w:rsid w:val="000F4A97"/>
    <w:rsid w:val="000F4DA3"/>
    <w:rsid w:val="000F69AE"/>
    <w:rsid w:val="000F7439"/>
    <w:rsid w:val="000F75E4"/>
    <w:rsid w:val="000F7CA5"/>
    <w:rsid w:val="000F7D74"/>
    <w:rsid w:val="0010045C"/>
    <w:rsid w:val="00100636"/>
    <w:rsid w:val="00100B0B"/>
    <w:rsid w:val="00100F04"/>
    <w:rsid w:val="0010170D"/>
    <w:rsid w:val="0010315A"/>
    <w:rsid w:val="00104263"/>
    <w:rsid w:val="001042DE"/>
    <w:rsid w:val="00104CA9"/>
    <w:rsid w:val="00105F64"/>
    <w:rsid w:val="00107CCF"/>
    <w:rsid w:val="00110293"/>
    <w:rsid w:val="0011059E"/>
    <w:rsid w:val="001108BA"/>
    <w:rsid w:val="00111398"/>
    <w:rsid w:val="001122A1"/>
    <w:rsid w:val="00112BF9"/>
    <w:rsid w:val="0011323F"/>
    <w:rsid w:val="00113B36"/>
    <w:rsid w:val="00113F70"/>
    <w:rsid w:val="001145A1"/>
    <w:rsid w:val="00114817"/>
    <w:rsid w:val="00115B3D"/>
    <w:rsid w:val="0011618D"/>
    <w:rsid w:val="0011691C"/>
    <w:rsid w:val="0011702E"/>
    <w:rsid w:val="00117284"/>
    <w:rsid w:val="00117FED"/>
    <w:rsid w:val="00121159"/>
    <w:rsid w:val="00121A64"/>
    <w:rsid w:val="00121BD7"/>
    <w:rsid w:val="00121CB9"/>
    <w:rsid w:val="00121F3B"/>
    <w:rsid w:val="00121F6F"/>
    <w:rsid w:val="00122461"/>
    <w:rsid w:val="00122B76"/>
    <w:rsid w:val="001254E2"/>
    <w:rsid w:val="001267B0"/>
    <w:rsid w:val="00126AEC"/>
    <w:rsid w:val="00131D55"/>
    <w:rsid w:val="00132AF6"/>
    <w:rsid w:val="00134B06"/>
    <w:rsid w:val="00134DA6"/>
    <w:rsid w:val="001351D9"/>
    <w:rsid w:val="00135603"/>
    <w:rsid w:val="001358AE"/>
    <w:rsid w:val="00136574"/>
    <w:rsid w:val="00137252"/>
    <w:rsid w:val="00137F3B"/>
    <w:rsid w:val="001401BF"/>
    <w:rsid w:val="00140288"/>
    <w:rsid w:val="0014193B"/>
    <w:rsid w:val="001420E1"/>
    <w:rsid w:val="00142FB8"/>
    <w:rsid w:val="001438A3"/>
    <w:rsid w:val="001439B0"/>
    <w:rsid w:val="00143E2B"/>
    <w:rsid w:val="001446E3"/>
    <w:rsid w:val="00144C53"/>
    <w:rsid w:val="0014518A"/>
    <w:rsid w:val="00145329"/>
    <w:rsid w:val="00145656"/>
    <w:rsid w:val="00145C18"/>
    <w:rsid w:val="00145D11"/>
    <w:rsid w:val="00151321"/>
    <w:rsid w:val="00151E96"/>
    <w:rsid w:val="00152100"/>
    <w:rsid w:val="001529FF"/>
    <w:rsid w:val="00153083"/>
    <w:rsid w:val="00153B55"/>
    <w:rsid w:val="00153B97"/>
    <w:rsid w:val="001549A2"/>
    <w:rsid w:val="001555DB"/>
    <w:rsid w:val="001556D7"/>
    <w:rsid w:val="00155B89"/>
    <w:rsid w:val="00155BF7"/>
    <w:rsid w:val="00155D0B"/>
    <w:rsid w:val="0015643A"/>
    <w:rsid w:val="0015762D"/>
    <w:rsid w:val="00157ACC"/>
    <w:rsid w:val="00157B5E"/>
    <w:rsid w:val="0016078D"/>
    <w:rsid w:val="001608D2"/>
    <w:rsid w:val="00161228"/>
    <w:rsid w:val="0016130C"/>
    <w:rsid w:val="001624FB"/>
    <w:rsid w:val="00162F6B"/>
    <w:rsid w:val="00163373"/>
    <w:rsid w:val="00164017"/>
    <w:rsid w:val="00165280"/>
    <w:rsid w:val="001652B4"/>
    <w:rsid w:val="0016562A"/>
    <w:rsid w:val="00165CFA"/>
    <w:rsid w:val="001662C2"/>
    <w:rsid w:val="001670B3"/>
    <w:rsid w:val="001671E2"/>
    <w:rsid w:val="00168BB2"/>
    <w:rsid w:val="001700B9"/>
    <w:rsid w:val="00170406"/>
    <w:rsid w:val="001704CD"/>
    <w:rsid w:val="00170744"/>
    <w:rsid w:val="00170DA9"/>
    <w:rsid w:val="00171BF0"/>
    <w:rsid w:val="0017216D"/>
    <w:rsid w:val="001724A2"/>
    <w:rsid w:val="001737C5"/>
    <w:rsid w:val="001760CA"/>
    <w:rsid w:val="00176FD1"/>
    <w:rsid w:val="001806BC"/>
    <w:rsid w:val="00181E96"/>
    <w:rsid w:val="00182647"/>
    <w:rsid w:val="001830A7"/>
    <w:rsid w:val="001834E0"/>
    <w:rsid w:val="00183CC9"/>
    <w:rsid w:val="00184447"/>
    <w:rsid w:val="00184A66"/>
    <w:rsid w:val="0018533B"/>
    <w:rsid w:val="001857CD"/>
    <w:rsid w:val="00190655"/>
    <w:rsid w:val="001910AC"/>
    <w:rsid w:val="00191936"/>
    <w:rsid w:val="0019242A"/>
    <w:rsid w:val="0019245A"/>
    <w:rsid w:val="00192E05"/>
    <w:rsid w:val="001932C3"/>
    <w:rsid w:val="00193B3F"/>
    <w:rsid w:val="00194843"/>
    <w:rsid w:val="00194D5F"/>
    <w:rsid w:val="00194E55"/>
    <w:rsid w:val="00195C1C"/>
    <w:rsid w:val="00195FED"/>
    <w:rsid w:val="001960C3"/>
    <w:rsid w:val="001A14FC"/>
    <w:rsid w:val="001A1C1D"/>
    <w:rsid w:val="001A1C47"/>
    <w:rsid w:val="001A1CD0"/>
    <w:rsid w:val="001A279B"/>
    <w:rsid w:val="001A2D70"/>
    <w:rsid w:val="001A352D"/>
    <w:rsid w:val="001A4087"/>
    <w:rsid w:val="001A43CF"/>
    <w:rsid w:val="001A496E"/>
    <w:rsid w:val="001A49FD"/>
    <w:rsid w:val="001A4A44"/>
    <w:rsid w:val="001A5654"/>
    <w:rsid w:val="001A56BC"/>
    <w:rsid w:val="001A5927"/>
    <w:rsid w:val="001A6D8F"/>
    <w:rsid w:val="001A742F"/>
    <w:rsid w:val="001B068F"/>
    <w:rsid w:val="001B147C"/>
    <w:rsid w:val="001B1CB3"/>
    <w:rsid w:val="001B257D"/>
    <w:rsid w:val="001B3218"/>
    <w:rsid w:val="001B3561"/>
    <w:rsid w:val="001B3578"/>
    <w:rsid w:val="001B3ADB"/>
    <w:rsid w:val="001B3B0B"/>
    <w:rsid w:val="001B3B6B"/>
    <w:rsid w:val="001B4459"/>
    <w:rsid w:val="001B44CA"/>
    <w:rsid w:val="001B4C51"/>
    <w:rsid w:val="001B4E1B"/>
    <w:rsid w:val="001B58A5"/>
    <w:rsid w:val="001B5B2A"/>
    <w:rsid w:val="001B65B5"/>
    <w:rsid w:val="001B682D"/>
    <w:rsid w:val="001B6BAF"/>
    <w:rsid w:val="001B6D72"/>
    <w:rsid w:val="001B6E2D"/>
    <w:rsid w:val="001B70FE"/>
    <w:rsid w:val="001C0162"/>
    <w:rsid w:val="001C02A3"/>
    <w:rsid w:val="001C10DA"/>
    <w:rsid w:val="001C1464"/>
    <w:rsid w:val="001C17BC"/>
    <w:rsid w:val="001C2C66"/>
    <w:rsid w:val="001C311C"/>
    <w:rsid w:val="001C4C16"/>
    <w:rsid w:val="001C4E60"/>
    <w:rsid w:val="001C5362"/>
    <w:rsid w:val="001C64A1"/>
    <w:rsid w:val="001C6573"/>
    <w:rsid w:val="001C689A"/>
    <w:rsid w:val="001C696B"/>
    <w:rsid w:val="001C6A04"/>
    <w:rsid w:val="001C6B31"/>
    <w:rsid w:val="001C79FA"/>
    <w:rsid w:val="001C7BBB"/>
    <w:rsid w:val="001D03A3"/>
    <w:rsid w:val="001D1AD8"/>
    <w:rsid w:val="001D1DA5"/>
    <w:rsid w:val="001D2B93"/>
    <w:rsid w:val="001D3E20"/>
    <w:rsid w:val="001D57B0"/>
    <w:rsid w:val="001D5A70"/>
    <w:rsid w:val="001D5EEC"/>
    <w:rsid w:val="001D6331"/>
    <w:rsid w:val="001D6C84"/>
    <w:rsid w:val="001E003B"/>
    <w:rsid w:val="001E056E"/>
    <w:rsid w:val="001E086A"/>
    <w:rsid w:val="001E1842"/>
    <w:rsid w:val="001E26C6"/>
    <w:rsid w:val="001E2B80"/>
    <w:rsid w:val="001E4431"/>
    <w:rsid w:val="001E443C"/>
    <w:rsid w:val="001E44C1"/>
    <w:rsid w:val="001E5399"/>
    <w:rsid w:val="001E63CE"/>
    <w:rsid w:val="001E6B11"/>
    <w:rsid w:val="001E735A"/>
    <w:rsid w:val="001E7638"/>
    <w:rsid w:val="001F1BBA"/>
    <w:rsid w:val="001F2754"/>
    <w:rsid w:val="001F3052"/>
    <w:rsid w:val="001F30EB"/>
    <w:rsid w:val="001F3616"/>
    <w:rsid w:val="001F37B8"/>
    <w:rsid w:val="001F3F8D"/>
    <w:rsid w:val="001F41B6"/>
    <w:rsid w:val="001F453F"/>
    <w:rsid w:val="001F5325"/>
    <w:rsid w:val="001F5884"/>
    <w:rsid w:val="001F5E51"/>
    <w:rsid w:val="001F797B"/>
    <w:rsid w:val="00200519"/>
    <w:rsid w:val="00200AC6"/>
    <w:rsid w:val="00200C80"/>
    <w:rsid w:val="00201717"/>
    <w:rsid w:val="00202321"/>
    <w:rsid w:val="00202846"/>
    <w:rsid w:val="00203163"/>
    <w:rsid w:val="002031CA"/>
    <w:rsid w:val="002037D9"/>
    <w:rsid w:val="002050BB"/>
    <w:rsid w:val="002052F4"/>
    <w:rsid w:val="00205720"/>
    <w:rsid w:val="00205E5A"/>
    <w:rsid w:val="00210CF1"/>
    <w:rsid w:val="0021183B"/>
    <w:rsid w:val="00212742"/>
    <w:rsid w:val="00213801"/>
    <w:rsid w:val="00213EF7"/>
    <w:rsid w:val="002142BF"/>
    <w:rsid w:val="002144A4"/>
    <w:rsid w:val="00214CF8"/>
    <w:rsid w:val="00215726"/>
    <w:rsid w:val="002158B4"/>
    <w:rsid w:val="00217859"/>
    <w:rsid w:val="0022189D"/>
    <w:rsid w:val="00221CDC"/>
    <w:rsid w:val="00222807"/>
    <w:rsid w:val="00223017"/>
    <w:rsid w:val="002233E7"/>
    <w:rsid w:val="0022446A"/>
    <w:rsid w:val="00224DF4"/>
    <w:rsid w:val="00225424"/>
    <w:rsid w:val="002254D0"/>
    <w:rsid w:val="00225A4C"/>
    <w:rsid w:val="00225B6D"/>
    <w:rsid w:val="0022632C"/>
    <w:rsid w:val="00226657"/>
    <w:rsid w:val="002279CF"/>
    <w:rsid w:val="00231210"/>
    <w:rsid w:val="00231383"/>
    <w:rsid w:val="00232D04"/>
    <w:rsid w:val="00232F6B"/>
    <w:rsid w:val="002331BA"/>
    <w:rsid w:val="00234AC1"/>
    <w:rsid w:val="00234B19"/>
    <w:rsid w:val="00234E8C"/>
    <w:rsid w:val="0023565A"/>
    <w:rsid w:val="00235A6A"/>
    <w:rsid w:val="00236242"/>
    <w:rsid w:val="00236262"/>
    <w:rsid w:val="002362D8"/>
    <w:rsid w:val="00236362"/>
    <w:rsid w:val="00236AAD"/>
    <w:rsid w:val="00237785"/>
    <w:rsid w:val="002411BB"/>
    <w:rsid w:val="002412D9"/>
    <w:rsid w:val="0024191A"/>
    <w:rsid w:val="00241D3B"/>
    <w:rsid w:val="002442C5"/>
    <w:rsid w:val="00244494"/>
    <w:rsid w:val="0024459D"/>
    <w:rsid w:val="00246325"/>
    <w:rsid w:val="00247398"/>
    <w:rsid w:val="002502C1"/>
    <w:rsid w:val="00251FB8"/>
    <w:rsid w:val="00252526"/>
    <w:rsid w:val="002528B0"/>
    <w:rsid w:val="0025432C"/>
    <w:rsid w:val="00254BA6"/>
    <w:rsid w:val="00255849"/>
    <w:rsid w:val="002575AD"/>
    <w:rsid w:val="00257EAF"/>
    <w:rsid w:val="002610C4"/>
    <w:rsid w:val="00261A63"/>
    <w:rsid w:val="00261FF8"/>
    <w:rsid w:val="00262F96"/>
    <w:rsid w:val="0026493C"/>
    <w:rsid w:val="00264C08"/>
    <w:rsid w:val="002654EC"/>
    <w:rsid w:val="00265C9E"/>
    <w:rsid w:val="00270082"/>
    <w:rsid w:val="00270866"/>
    <w:rsid w:val="00272AB9"/>
    <w:rsid w:val="00272CBD"/>
    <w:rsid w:val="0027373E"/>
    <w:rsid w:val="002769A0"/>
    <w:rsid w:val="00276B37"/>
    <w:rsid w:val="00281959"/>
    <w:rsid w:val="0028290E"/>
    <w:rsid w:val="00282D87"/>
    <w:rsid w:val="00285DBA"/>
    <w:rsid w:val="002868A2"/>
    <w:rsid w:val="00286F55"/>
    <w:rsid w:val="002875D2"/>
    <w:rsid w:val="0028776E"/>
    <w:rsid w:val="00287899"/>
    <w:rsid w:val="00287AAC"/>
    <w:rsid w:val="002914D6"/>
    <w:rsid w:val="00292278"/>
    <w:rsid w:val="00292BBA"/>
    <w:rsid w:val="002934DF"/>
    <w:rsid w:val="00293531"/>
    <w:rsid w:val="00293C92"/>
    <w:rsid w:val="0029469F"/>
    <w:rsid w:val="00295134"/>
    <w:rsid w:val="00295EF3"/>
    <w:rsid w:val="0029616B"/>
    <w:rsid w:val="0029639F"/>
    <w:rsid w:val="0029648C"/>
    <w:rsid w:val="002971C8"/>
    <w:rsid w:val="002A0EE8"/>
    <w:rsid w:val="002A291F"/>
    <w:rsid w:val="002A2A3B"/>
    <w:rsid w:val="002A3073"/>
    <w:rsid w:val="002A329E"/>
    <w:rsid w:val="002A36EC"/>
    <w:rsid w:val="002A3742"/>
    <w:rsid w:val="002A3FD1"/>
    <w:rsid w:val="002A44A4"/>
    <w:rsid w:val="002A5057"/>
    <w:rsid w:val="002A5132"/>
    <w:rsid w:val="002A7327"/>
    <w:rsid w:val="002A7C79"/>
    <w:rsid w:val="002B1AE5"/>
    <w:rsid w:val="002B1C4A"/>
    <w:rsid w:val="002B26DC"/>
    <w:rsid w:val="002B373C"/>
    <w:rsid w:val="002B4C4D"/>
    <w:rsid w:val="002B5054"/>
    <w:rsid w:val="002B623A"/>
    <w:rsid w:val="002B75F0"/>
    <w:rsid w:val="002C05B1"/>
    <w:rsid w:val="002C063B"/>
    <w:rsid w:val="002C0E46"/>
    <w:rsid w:val="002C180E"/>
    <w:rsid w:val="002C1837"/>
    <w:rsid w:val="002C1A5D"/>
    <w:rsid w:val="002C1A8F"/>
    <w:rsid w:val="002C1C46"/>
    <w:rsid w:val="002C1CED"/>
    <w:rsid w:val="002C2689"/>
    <w:rsid w:val="002C26B2"/>
    <w:rsid w:val="002C2B1F"/>
    <w:rsid w:val="002C2F4E"/>
    <w:rsid w:val="002C3B46"/>
    <w:rsid w:val="002C4340"/>
    <w:rsid w:val="002C469B"/>
    <w:rsid w:val="002C4FB1"/>
    <w:rsid w:val="002C579A"/>
    <w:rsid w:val="002C6BFE"/>
    <w:rsid w:val="002C6F3E"/>
    <w:rsid w:val="002C75A0"/>
    <w:rsid w:val="002D0A87"/>
    <w:rsid w:val="002D0B1E"/>
    <w:rsid w:val="002D287F"/>
    <w:rsid w:val="002D2F21"/>
    <w:rsid w:val="002D34F8"/>
    <w:rsid w:val="002D3749"/>
    <w:rsid w:val="002D3A1B"/>
    <w:rsid w:val="002D3F08"/>
    <w:rsid w:val="002D3FBF"/>
    <w:rsid w:val="002D423C"/>
    <w:rsid w:val="002D4813"/>
    <w:rsid w:val="002D4B4C"/>
    <w:rsid w:val="002D52A6"/>
    <w:rsid w:val="002D54A4"/>
    <w:rsid w:val="002D59E9"/>
    <w:rsid w:val="002D633C"/>
    <w:rsid w:val="002D69D5"/>
    <w:rsid w:val="002D6E35"/>
    <w:rsid w:val="002D7B6A"/>
    <w:rsid w:val="002D7D7D"/>
    <w:rsid w:val="002D7E57"/>
    <w:rsid w:val="002D7F27"/>
    <w:rsid w:val="002E05D5"/>
    <w:rsid w:val="002E0604"/>
    <w:rsid w:val="002E1649"/>
    <w:rsid w:val="002E1724"/>
    <w:rsid w:val="002E1800"/>
    <w:rsid w:val="002E1CC7"/>
    <w:rsid w:val="002E3027"/>
    <w:rsid w:val="002E46A2"/>
    <w:rsid w:val="002E72A7"/>
    <w:rsid w:val="002F025C"/>
    <w:rsid w:val="002F0B1D"/>
    <w:rsid w:val="002F0F4B"/>
    <w:rsid w:val="002F1757"/>
    <w:rsid w:val="002F191C"/>
    <w:rsid w:val="002F2CEA"/>
    <w:rsid w:val="002F3F30"/>
    <w:rsid w:val="002F43B1"/>
    <w:rsid w:val="002F4B68"/>
    <w:rsid w:val="002F6EDD"/>
    <w:rsid w:val="002F7163"/>
    <w:rsid w:val="0030098A"/>
    <w:rsid w:val="00301068"/>
    <w:rsid w:val="0030189C"/>
    <w:rsid w:val="00302015"/>
    <w:rsid w:val="003030A1"/>
    <w:rsid w:val="003040B0"/>
    <w:rsid w:val="003041FC"/>
    <w:rsid w:val="003044B9"/>
    <w:rsid w:val="003048EF"/>
    <w:rsid w:val="00304A14"/>
    <w:rsid w:val="00305831"/>
    <w:rsid w:val="00306291"/>
    <w:rsid w:val="003066CF"/>
    <w:rsid w:val="00306B9B"/>
    <w:rsid w:val="00306CDB"/>
    <w:rsid w:val="0030719A"/>
    <w:rsid w:val="0031015D"/>
    <w:rsid w:val="0031028F"/>
    <w:rsid w:val="00310CAF"/>
    <w:rsid w:val="003111CA"/>
    <w:rsid w:val="00312CE9"/>
    <w:rsid w:val="003135DA"/>
    <w:rsid w:val="003143A8"/>
    <w:rsid w:val="00314709"/>
    <w:rsid w:val="00314D63"/>
    <w:rsid w:val="003154C4"/>
    <w:rsid w:val="003158BE"/>
    <w:rsid w:val="00316275"/>
    <w:rsid w:val="0032070F"/>
    <w:rsid w:val="00320753"/>
    <w:rsid w:val="003222B6"/>
    <w:rsid w:val="00323719"/>
    <w:rsid w:val="00324D1A"/>
    <w:rsid w:val="00325903"/>
    <w:rsid w:val="00325A47"/>
    <w:rsid w:val="00325BCF"/>
    <w:rsid w:val="00326001"/>
    <w:rsid w:val="00326655"/>
    <w:rsid w:val="00326755"/>
    <w:rsid w:val="00327579"/>
    <w:rsid w:val="003312E9"/>
    <w:rsid w:val="00331BC4"/>
    <w:rsid w:val="003326FD"/>
    <w:rsid w:val="00332F5D"/>
    <w:rsid w:val="003335C1"/>
    <w:rsid w:val="003338AA"/>
    <w:rsid w:val="00334179"/>
    <w:rsid w:val="00336442"/>
    <w:rsid w:val="0033797D"/>
    <w:rsid w:val="003406FF"/>
    <w:rsid w:val="0034123C"/>
    <w:rsid w:val="003412B8"/>
    <w:rsid w:val="00341697"/>
    <w:rsid w:val="00342EB9"/>
    <w:rsid w:val="0034304E"/>
    <w:rsid w:val="0034527C"/>
    <w:rsid w:val="0034548E"/>
    <w:rsid w:val="00345842"/>
    <w:rsid w:val="00345B2B"/>
    <w:rsid w:val="00346E27"/>
    <w:rsid w:val="003509D0"/>
    <w:rsid w:val="00351425"/>
    <w:rsid w:val="003514E1"/>
    <w:rsid w:val="003515C0"/>
    <w:rsid w:val="00351F51"/>
    <w:rsid w:val="0035218C"/>
    <w:rsid w:val="00353D51"/>
    <w:rsid w:val="0035424F"/>
    <w:rsid w:val="00354CAE"/>
    <w:rsid w:val="003552D1"/>
    <w:rsid w:val="003552D7"/>
    <w:rsid w:val="00355FDE"/>
    <w:rsid w:val="00356B15"/>
    <w:rsid w:val="00361B68"/>
    <w:rsid w:val="00362348"/>
    <w:rsid w:val="00362902"/>
    <w:rsid w:val="00362CED"/>
    <w:rsid w:val="003631C3"/>
    <w:rsid w:val="00363F77"/>
    <w:rsid w:val="00364A6B"/>
    <w:rsid w:val="00364E2C"/>
    <w:rsid w:val="00367223"/>
    <w:rsid w:val="00367CBA"/>
    <w:rsid w:val="003707DF"/>
    <w:rsid w:val="00371385"/>
    <w:rsid w:val="0037395E"/>
    <w:rsid w:val="003741B6"/>
    <w:rsid w:val="003742C1"/>
    <w:rsid w:val="0037442D"/>
    <w:rsid w:val="00375BFF"/>
    <w:rsid w:val="00376503"/>
    <w:rsid w:val="003766F2"/>
    <w:rsid w:val="003769AF"/>
    <w:rsid w:val="003774F8"/>
    <w:rsid w:val="003779F8"/>
    <w:rsid w:val="00380BE1"/>
    <w:rsid w:val="003817CB"/>
    <w:rsid w:val="0038213E"/>
    <w:rsid w:val="003834D8"/>
    <w:rsid w:val="003843AD"/>
    <w:rsid w:val="00384C91"/>
    <w:rsid w:val="003850D9"/>
    <w:rsid w:val="00385562"/>
    <w:rsid w:val="0038620F"/>
    <w:rsid w:val="00386B8A"/>
    <w:rsid w:val="00386D75"/>
    <w:rsid w:val="00387C8B"/>
    <w:rsid w:val="00391A0B"/>
    <w:rsid w:val="0039293C"/>
    <w:rsid w:val="00392E4E"/>
    <w:rsid w:val="00394175"/>
    <w:rsid w:val="00394746"/>
    <w:rsid w:val="00394B3A"/>
    <w:rsid w:val="0039537D"/>
    <w:rsid w:val="00395438"/>
    <w:rsid w:val="003A05CF"/>
    <w:rsid w:val="003A18F1"/>
    <w:rsid w:val="003A213B"/>
    <w:rsid w:val="003A2580"/>
    <w:rsid w:val="003A3379"/>
    <w:rsid w:val="003A4EA1"/>
    <w:rsid w:val="003A50A9"/>
    <w:rsid w:val="003A63B5"/>
    <w:rsid w:val="003A7504"/>
    <w:rsid w:val="003A7A27"/>
    <w:rsid w:val="003A7B77"/>
    <w:rsid w:val="003B0293"/>
    <w:rsid w:val="003B07CF"/>
    <w:rsid w:val="003B1839"/>
    <w:rsid w:val="003B28DC"/>
    <w:rsid w:val="003B3516"/>
    <w:rsid w:val="003B4EED"/>
    <w:rsid w:val="003B4F13"/>
    <w:rsid w:val="003B5DA3"/>
    <w:rsid w:val="003B7202"/>
    <w:rsid w:val="003B7EF7"/>
    <w:rsid w:val="003C0B22"/>
    <w:rsid w:val="003C17E4"/>
    <w:rsid w:val="003C2B32"/>
    <w:rsid w:val="003C2BA0"/>
    <w:rsid w:val="003C2CF3"/>
    <w:rsid w:val="003C3B58"/>
    <w:rsid w:val="003C4362"/>
    <w:rsid w:val="003C5AA1"/>
    <w:rsid w:val="003C661B"/>
    <w:rsid w:val="003C6AB7"/>
    <w:rsid w:val="003C7FC3"/>
    <w:rsid w:val="003D29A4"/>
    <w:rsid w:val="003D2F21"/>
    <w:rsid w:val="003D4A7A"/>
    <w:rsid w:val="003D6973"/>
    <w:rsid w:val="003D7F3C"/>
    <w:rsid w:val="003E08CB"/>
    <w:rsid w:val="003E233C"/>
    <w:rsid w:val="003E2493"/>
    <w:rsid w:val="003E3477"/>
    <w:rsid w:val="003E4372"/>
    <w:rsid w:val="003E5F0C"/>
    <w:rsid w:val="003E5FE7"/>
    <w:rsid w:val="003E6237"/>
    <w:rsid w:val="003E6659"/>
    <w:rsid w:val="003E6F76"/>
    <w:rsid w:val="003E701E"/>
    <w:rsid w:val="003F0EA4"/>
    <w:rsid w:val="003F217F"/>
    <w:rsid w:val="003F2750"/>
    <w:rsid w:val="003F2C0E"/>
    <w:rsid w:val="003F3388"/>
    <w:rsid w:val="003F50FF"/>
    <w:rsid w:val="003F57A1"/>
    <w:rsid w:val="003F584D"/>
    <w:rsid w:val="003F5AA1"/>
    <w:rsid w:val="003F5FE9"/>
    <w:rsid w:val="003F5FF4"/>
    <w:rsid w:val="003F6867"/>
    <w:rsid w:val="003F6DED"/>
    <w:rsid w:val="003F6E5A"/>
    <w:rsid w:val="00400A58"/>
    <w:rsid w:val="00400C9C"/>
    <w:rsid w:val="00400F6B"/>
    <w:rsid w:val="00400FF1"/>
    <w:rsid w:val="004018DC"/>
    <w:rsid w:val="00401CA3"/>
    <w:rsid w:val="00401D1A"/>
    <w:rsid w:val="0040268C"/>
    <w:rsid w:val="00402C8E"/>
    <w:rsid w:val="00403830"/>
    <w:rsid w:val="00403B9F"/>
    <w:rsid w:val="00404676"/>
    <w:rsid w:val="00407E3E"/>
    <w:rsid w:val="00410320"/>
    <w:rsid w:val="00410D94"/>
    <w:rsid w:val="00411281"/>
    <w:rsid w:val="00411B58"/>
    <w:rsid w:val="00411D6C"/>
    <w:rsid w:val="00412562"/>
    <w:rsid w:val="00412747"/>
    <w:rsid w:val="004128B2"/>
    <w:rsid w:val="00413068"/>
    <w:rsid w:val="00413904"/>
    <w:rsid w:val="004152B6"/>
    <w:rsid w:val="00416039"/>
    <w:rsid w:val="0041611C"/>
    <w:rsid w:val="0041716A"/>
    <w:rsid w:val="0041757A"/>
    <w:rsid w:val="004209DB"/>
    <w:rsid w:val="00420D99"/>
    <w:rsid w:val="0042196D"/>
    <w:rsid w:val="00421FF2"/>
    <w:rsid w:val="00422BA0"/>
    <w:rsid w:val="0042417C"/>
    <w:rsid w:val="00424255"/>
    <w:rsid w:val="00424AD7"/>
    <w:rsid w:val="00425489"/>
    <w:rsid w:val="00425500"/>
    <w:rsid w:val="00426D56"/>
    <w:rsid w:val="00426F84"/>
    <w:rsid w:val="004277D7"/>
    <w:rsid w:val="00430BCA"/>
    <w:rsid w:val="0043183E"/>
    <w:rsid w:val="00431BF6"/>
    <w:rsid w:val="004324F8"/>
    <w:rsid w:val="004327D0"/>
    <w:rsid w:val="00433517"/>
    <w:rsid w:val="00435A6B"/>
    <w:rsid w:val="00435CFC"/>
    <w:rsid w:val="00436161"/>
    <w:rsid w:val="00440295"/>
    <w:rsid w:val="004402A6"/>
    <w:rsid w:val="00440AB7"/>
    <w:rsid w:val="00440B15"/>
    <w:rsid w:val="00441767"/>
    <w:rsid w:val="00441846"/>
    <w:rsid w:val="00441B17"/>
    <w:rsid w:val="00442209"/>
    <w:rsid w:val="00442742"/>
    <w:rsid w:val="00442F5E"/>
    <w:rsid w:val="00443118"/>
    <w:rsid w:val="00444521"/>
    <w:rsid w:val="00445CA1"/>
    <w:rsid w:val="00445E6C"/>
    <w:rsid w:val="004468BC"/>
    <w:rsid w:val="00446F0B"/>
    <w:rsid w:val="00447440"/>
    <w:rsid w:val="004527B7"/>
    <w:rsid w:val="004541C5"/>
    <w:rsid w:val="004544C0"/>
    <w:rsid w:val="004550F0"/>
    <w:rsid w:val="004559F6"/>
    <w:rsid w:val="00455A31"/>
    <w:rsid w:val="00456418"/>
    <w:rsid w:val="004566E7"/>
    <w:rsid w:val="00456B6B"/>
    <w:rsid w:val="004574B4"/>
    <w:rsid w:val="0045798D"/>
    <w:rsid w:val="00457CF0"/>
    <w:rsid w:val="00457ED9"/>
    <w:rsid w:val="004605AE"/>
    <w:rsid w:val="00460D1E"/>
    <w:rsid w:val="004616DC"/>
    <w:rsid w:val="00461C51"/>
    <w:rsid w:val="0046263E"/>
    <w:rsid w:val="00462AB3"/>
    <w:rsid w:val="00463959"/>
    <w:rsid w:val="00463DEB"/>
    <w:rsid w:val="00463E7B"/>
    <w:rsid w:val="00464212"/>
    <w:rsid w:val="00464FF7"/>
    <w:rsid w:val="00465B6F"/>
    <w:rsid w:val="004663A8"/>
    <w:rsid w:val="00466E93"/>
    <w:rsid w:val="00467956"/>
    <w:rsid w:val="004703D8"/>
    <w:rsid w:val="00470B9B"/>
    <w:rsid w:val="00471270"/>
    <w:rsid w:val="00471729"/>
    <w:rsid w:val="00473B8D"/>
    <w:rsid w:val="00473BB3"/>
    <w:rsid w:val="00473D69"/>
    <w:rsid w:val="00473E1B"/>
    <w:rsid w:val="00474DB5"/>
    <w:rsid w:val="0047523D"/>
    <w:rsid w:val="00476093"/>
    <w:rsid w:val="00480116"/>
    <w:rsid w:val="0048032C"/>
    <w:rsid w:val="004808D6"/>
    <w:rsid w:val="00482AC5"/>
    <w:rsid w:val="00483217"/>
    <w:rsid w:val="00483CF8"/>
    <w:rsid w:val="0048628B"/>
    <w:rsid w:val="00486CF2"/>
    <w:rsid w:val="0048711C"/>
    <w:rsid w:val="00487468"/>
    <w:rsid w:val="00487631"/>
    <w:rsid w:val="00487B10"/>
    <w:rsid w:val="004905D3"/>
    <w:rsid w:val="0049082E"/>
    <w:rsid w:val="00490D00"/>
    <w:rsid w:val="00491053"/>
    <w:rsid w:val="00491330"/>
    <w:rsid w:val="004942A1"/>
    <w:rsid w:val="00494DE3"/>
    <w:rsid w:val="00494E44"/>
    <w:rsid w:val="00495878"/>
    <w:rsid w:val="00495907"/>
    <w:rsid w:val="0049716D"/>
    <w:rsid w:val="00497408"/>
    <w:rsid w:val="00497A19"/>
    <w:rsid w:val="00497DAC"/>
    <w:rsid w:val="00497EC2"/>
    <w:rsid w:val="004A00B2"/>
    <w:rsid w:val="004A0DA5"/>
    <w:rsid w:val="004A2B7E"/>
    <w:rsid w:val="004A3317"/>
    <w:rsid w:val="004A33BF"/>
    <w:rsid w:val="004A3A25"/>
    <w:rsid w:val="004A4671"/>
    <w:rsid w:val="004A4EEF"/>
    <w:rsid w:val="004A5FC7"/>
    <w:rsid w:val="004A776A"/>
    <w:rsid w:val="004A7CD9"/>
    <w:rsid w:val="004A7D95"/>
    <w:rsid w:val="004A7FB4"/>
    <w:rsid w:val="004B0401"/>
    <w:rsid w:val="004B1449"/>
    <w:rsid w:val="004B16A2"/>
    <w:rsid w:val="004B2C7A"/>
    <w:rsid w:val="004B31A0"/>
    <w:rsid w:val="004B398B"/>
    <w:rsid w:val="004B3FC1"/>
    <w:rsid w:val="004B4285"/>
    <w:rsid w:val="004B4CCB"/>
    <w:rsid w:val="004B4E97"/>
    <w:rsid w:val="004B5325"/>
    <w:rsid w:val="004B626D"/>
    <w:rsid w:val="004B69DE"/>
    <w:rsid w:val="004B7528"/>
    <w:rsid w:val="004B7B9D"/>
    <w:rsid w:val="004C07AB"/>
    <w:rsid w:val="004C0C39"/>
    <w:rsid w:val="004C1129"/>
    <w:rsid w:val="004C1B91"/>
    <w:rsid w:val="004C1CC7"/>
    <w:rsid w:val="004C2230"/>
    <w:rsid w:val="004C2459"/>
    <w:rsid w:val="004C3D20"/>
    <w:rsid w:val="004C5E62"/>
    <w:rsid w:val="004C6884"/>
    <w:rsid w:val="004C6B46"/>
    <w:rsid w:val="004C6BD8"/>
    <w:rsid w:val="004C70CB"/>
    <w:rsid w:val="004C766F"/>
    <w:rsid w:val="004C76C7"/>
    <w:rsid w:val="004C7ECB"/>
    <w:rsid w:val="004D05DC"/>
    <w:rsid w:val="004D222E"/>
    <w:rsid w:val="004D3208"/>
    <w:rsid w:val="004D3212"/>
    <w:rsid w:val="004D394F"/>
    <w:rsid w:val="004D3B98"/>
    <w:rsid w:val="004D560A"/>
    <w:rsid w:val="004D5F43"/>
    <w:rsid w:val="004D63E8"/>
    <w:rsid w:val="004D63F9"/>
    <w:rsid w:val="004D7141"/>
    <w:rsid w:val="004D72ED"/>
    <w:rsid w:val="004E0584"/>
    <w:rsid w:val="004E07B2"/>
    <w:rsid w:val="004E0DEB"/>
    <w:rsid w:val="004E16F0"/>
    <w:rsid w:val="004E1D95"/>
    <w:rsid w:val="004E203E"/>
    <w:rsid w:val="004E2778"/>
    <w:rsid w:val="004E2981"/>
    <w:rsid w:val="004E2B16"/>
    <w:rsid w:val="004E3AD9"/>
    <w:rsid w:val="004E3DFB"/>
    <w:rsid w:val="004E3F5D"/>
    <w:rsid w:val="004E41FE"/>
    <w:rsid w:val="004E4276"/>
    <w:rsid w:val="004E4B86"/>
    <w:rsid w:val="004E54B1"/>
    <w:rsid w:val="004E6299"/>
    <w:rsid w:val="004E6973"/>
    <w:rsid w:val="004E784D"/>
    <w:rsid w:val="004E793B"/>
    <w:rsid w:val="004E7CE5"/>
    <w:rsid w:val="004E7FC8"/>
    <w:rsid w:val="004F07E8"/>
    <w:rsid w:val="004F112E"/>
    <w:rsid w:val="004F1F2A"/>
    <w:rsid w:val="004F1F7C"/>
    <w:rsid w:val="004F3407"/>
    <w:rsid w:val="004F3CDE"/>
    <w:rsid w:val="004F41E8"/>
    <w:rsid w:val="004F4DD9"/>
    <w:rsid w:val="004F52F0"/>
    <w:rsid w:val="004F5420"/>
    <w:rsid w:val="004F64B0"/>
    <w:rsid w:val="004F691F"/>
    <w:rsid w:val="004F69E0"/>
    <w:rsid w:val="004F6FD6"/>
    <w:rsid w:val="00500561"/>
    <w:rsid w:val="0050131E"/>
    <w:rsid w:val="005016F9"/>
    <w:rsid w:val="00501AD2"/>
    <w:rsid w:val="0050359E"/>
    <w:rsid w:val="00504ACE"/>
    <w:rsid w:val="00504B38"/>
    <w:rsid w:val="00505763"/>
    <w:rsid w:val="00505C77"/>
    <w:rsid w:val="00506021"/>
    <w:rsid w:val="005063C6"/>
    <w:rsid w:val="005063EE"/>
    <w:rsid w:val="0050650C"/>
    <w:rsid w:val="00506925"/>
    <w:rsid w:val="00507017"/>
    <w:rsid w:val="00507428"/>
    <w:rsid w:val="0051054E"/>
    <w:rsid w:val="00510F0C"/>
    <w:rsid w:val="005120C3"/>
    <w:rsid w:val="00513AA5"/>
    <w:rsid w:val="005151EA"/>
    <w:rsid w:val="0051604C"/>
    <w:rsid w:val="0051693E"/>
    <w:rsid w:val="00516EA7"/>
    <w:rsid w:val="00517F51"/>
    <w:rsid w:val="00520009"/>
    <w:rsid w:val="00520058"/>
    <w:rsid w:val="00522260"/>
    <w:rsid w:val="005249DF"/>
    <w:rsid w:val="00526278"/>
    <w:rsid w:val="005267F2"/>
    <w:rsid w:val="00526F24"/>
    <w:rsid w:val="0053046B"/>
    <w:rsid w:val="005308F2"/>
    <w:rsid w:val="005315B2"/>
    <w:rsid w:val="00533556"/>
    <w:rsid w:val="005347BF"/>
    <w:rsid w:val="00535010"/>
    <w:rsid w:val="005362FD"/>
    <w:rsid w:val="00536C66"/>
    <w:rsid w:val="00536F0B"/>
    <w:rsid w:val="00537221"/>
    <w:rsid w:val="0053799C"/>
    <w:rsid w:val="00537CC6"/>
    <w:rsid w:val="005400C2"/>
    <w:rsid w:val="00540860"/>
    <w:rsid w:val="00540C3B"/>
    <w:rsid w:val="00540F9A"/>
    <w:rsid w:val="005412B8"/>
    <w:rsid w:val="005414BD"/>
    <w:rsid w:val="005414C6"/>
    <w:rsid w:val="005423A1"/>
    <w:rsid w:val="0054349F"/>
    <w:rsid w:val="005466B7"/>
    <w:rsid w:val="00546955"/>
    <w:rsid w:val="0054699E"/>
    <w:rsid w:val="005476EC"/>
    <w:rsid w:val="005501FE"/>
    <w:rsid w:val="005509D3"/>
    <w:rsid w:val="005509E0"/>
    <w:rsid w:val="00550DF8"/>
    <w:rsid w:val="005525B2"/>
    <w:rsid w:val="00552A95"/>
    <w:rsid w:val="005534B3"/>
    <w:rsid w:val="005536BA"/>
    <w:rsid w:val="005538E6"/>
    <w:rsid w:val="00554D0F"/>
    <w:rsid w:val="005552B5"/>
    <w:rsid w:val="005553FB"/>
    <w:rsid w:val="00560962"/>
    <w:rsid w:val="00560E5A"/>
    <w:rsid w:val="00561251"/>
    <w:rsid w:val="0056172E"/>
    <w:rsid w:val="00561B17"/>
    <w:rsid w:val="00561E7C"/>
    <w:rsid w:val="0056202A"/>
    <w:rsid w:val="00562A97"/>
    <w:rsid w:val="00562FF3"/>
    <w:rsid w:val="0056480B"/>
    <w:rsid w:val="005653B9"/>
    <w:rsid w:val="005659E5"/>
    <w:rsid w:val="005661F3"/>
    <w:rsid w:val="00566E4B"/>
    <w:rsid w:val="00567355"/>
    <w:rsid w:val="00570738"/>
    <w:rsid w:val="005727D5"/>
    <w:rsid w:val="00572DB0"/>
    <w:rsid w:val="0057370A"/>
    <w:rsid w:val="00573873"/>
    <w:rsid w:val="00573968"/>
    <w:rsid w:val="0057398B"/>
    <w:rsid w:val="00573A2B"/>
    <w:rsid w:val="00573F4C"/>
    <w:rsid w:val="00574ACF"/>
    <w:rsid w:val="00575111"/>
    <w:rsid w:val="00575C7E"/>
    <w:rsid w:val="0057655A"/>
    <w:rsid w:val="005804C7"/>
    <w:rsid w:val="005805BF"/>
    <w:rsid w:val="0058078C"/>
    <w:rsid w:val="005817E5"/>
    <w:rsid w:val="00581933"/>
    <w:rsid w:val="00582054"/>
    <w:rsid w:val="005820A9"/>
    <w:rsid w:val="00582467"/>
    <w:rsid w:val="005825FB"/>
    <w:rsid w:val="00582A0D"/>
    <w:rsid w:val="00583476"/>
    <w:rsid w:val="0058415C"/>
    <w:rsid w:val="00584F56"/>
    <w:rsid w:val="0058514D"/>
    <w:rsid w:val="00585811"/>
    <w:rsid w:val="00585968"/>
    <w:rsid w:val="00585CCD"/>
    <w:rsid w:val="00586635"/>
    <w:rsid w:val="005866D0"/>
    <w:rsid w:val="0058703C"/>
    <w:rsid w:val="0059015A"/>
    <w:rsid w:val="0059040A"/>
    <w:rsid w:val="00591AF0"/>
    <w:rsid w:val="00591B22"/>
    <w:rsid w:val="00592EEC"/>
    <w:rsid w:val="00593807"/>
    <w:rsid w:val="005943AD"/>
    <w:rsid w:val="00594874"/>
    <w:rsid w:val="00594E00"/>
    <w:rsid w:val="005951B9"/>
    <w:rsid w:val="00595669"/>
    <w:rsid w:val="005971EA"/>
    <w:rsid w:val="00597603"/>
    <w:rsid w:val="005A2703"/>
    <w:rsid w:val="005A2778"/>
    <w:rsid w:val="005A335A"/>
    <w:rsid w:val="005A3C37"/>
    <w:rsid w:val="005A3FB3"/>
    <w:rsid w:val="005A46DD"/>
    <w:rsid w:val="005A47B8"/>
    <w:rsid w:val="005A56E7"/>
    <w:rsid w:val="005A652F"/>
    <w:rsid w:val="005A6979"/>
    <w:rsid w:val="005A6A03"/>
    <w:rsid w:val="005A6A31"/>
    <w:rsid w:val="005A74B9"/>
    <w:rsid w:val="005A7547"/>
    <w:rsid w:val="005A7EA8"/>
    <w:rsid w:val="005B131C"/>
    <w:rsid w:val="005B1354"/>
    <w:rsid w:val="005B16FC"/>
    <w:rsid w:val="005B1A76"/>
    <w:rsid w:val="005B4438"/>
    <w:rsid w:val="005B4D30"/>
    <w:rsid w:val="005B5360"/>
    <w:rsid w:val="005B6740"/>
    <w:rsid w:val="005B6EA6"/>
    <w:rsid w:val="005B715C"/>
    <w:rsid w:val="005B7937"/>
    <w:rsid w:val="005B7BF9"/>
    <w:rsid w:val="005C051F"/>
    <w:rsid w:val="005C148E"/>
    <w:rsid w:val="005C3D4E"/>
    <w:rsid w:val="005C3E08"/>
    <w:rsid w:val="005C3E8B"/>
    <w:rsid w:val="005C45A1"/>
    <w:rsid w:val="005C5992"/>
    <w:rsid w:val="005C5AAD"/>
    <w:rsid w:val="005C6433"/>
    <w:rsid w:val="005C6453"/>
    <w:rsid w:val="005C6C92"/>
    <w:rsid w:val="005C6F62"/>
    <w:rsid w:val="005C708F"/>
    <w:rsid w:val="005D02D9"/>
    <w:rsid w:val="005D0D45"/>
    <w:rsid w:val="005D1668"/>
    <w:rsid w:val="005D18A5"/>
    <w:rsid w:val="005D2BA2"/>
    <w:rsid w:val="005D3121"/>
    <w:rsid w:val="005D34EB"/>
    <w:rsid w:val="005D48DB"/>
    <w:rsid w:val="005D4D57"/>
    <w:rsid w:val="005D556F"/>
    <w:rsid w:val="005D61CB"/>
    <w:rsid w:val="005D67B8"/>
    <w:rsid w:val="005D782F"/>
    <w:rsid w:val="005D7D62"/>
    <w:rsid w:val="005D7F8E"/>
    <w:rsid w:val="005E05D5"/>
    <w:rsid w:val="005E0703"/>
    <w:rsid w:val="005E0A43"/>
    <w:rsid w:val="005E148D"/>
    <w:rsid w:val="005E1551"/>
    <w:rsid w:val="005E16D1"/>
    <w:rsid w:val="005E3042"/>
    <w:rsid w:val="005E3882"/>
    <w:rsid w:val="005E435C"/>
    <w:rsid w:val="005E491B"/>
    <w:rsid w:val="005E5376"/>
    <w:rsid w:val="005E619A"/>
    <w:rsid w:val="005E6802"/>
    <w:rsid w:val="005E7744"/>
    <w:rsid w:val="005E7DE2"/>
    <w:rsid w:val="005F1942"/>
    <w:rsid w:val="005F1FBB"/>
    <w:rsid w:val="005F2233"/>
    <w:rsid w:val="005F2642"/>
    <w:rsid w:val="005F416F"/>
    <w:rsid w:val="005F42C7"/>
    <w:rsid w:val="005F43F8"/>
    <w:rsid w:val="005F49AE"/>
    <w:rsid w:val="005F49D6"/>
    <w:rsid w:val="005F5569"/>
    <w:rsid w:val="005F5572"/>
    <w:rsid w:val="005F6975"/>
    <w:rsid w:val="005F6C3D"/>
    <w:rsid w:val="005F6C60"/>
    <w:rsid w:val="005F6F46"/>
    <w:rsid w:val="005F72CC"/>
    <w:rsid w:val="005F7F9F"/>
    <w:rsid w:val="00602C02"/>
    <w:rsid w:val="00603C85"/>
    <w:rsid w:val="00603D6D"/>
    <w:rsid w:val="006040BD"/>
    <w:rsid w:val="006047C3"/>
    <w:rsid w:val="006050E2"/>
    <w:rsid w:val="006053C1"/>
    <w:rsid w:val="006054DF"/>
    <w:rsid w:val="00606A0C"/>
    <w:rsid w:val="00606E1B"/>
    <w:rsid w:val="00606F2F"/>
    <w:rsid w:val="006070FD"/>
    <w:rsid w:val="00611569"/>
    <w:rsid w:val="0061199D"/>
    <w:rsid w:val="00611E2D"/>
    <w:rsid w:val="00612700"/>
    <w:rsid w:val="00612DEE"/>
    <w:rsid w:val="0061397A"/>
    <w:rsid w:val="00613C9A"/>
    <w:rsid w:val="0061568A"/>
    <w:rsid w:val="00616EC8"/>
    <w:rsid w:val="006170F6"/>
    <w:rsid w:val="0061788D"/>
    <w:rsid w:val="00617C5B"/>
    <w:rsid w:val="00620499"/>
    <w:rsid w:val="00621995"/>
    <w:rsid w:val="00623D61"/>
    <w:rsid w:val="00624064"/>
    <w:rsid w:val="00624FFE"/>
    <w:rsid w:val="006259E6"/>
    <w:rsid w:val="006263DE"/>
    <w:rsid w:val="0062674E"/>
    <w:rsid w:val="00626D1E"/>
    <w:rsid w:val="0062746E"/>
    <w:rsid w:val="00627AD0"/>
    <w:rsid w:val="006316AF"/>
    <w:rsid w:val="006331A6"/>
    <w:rsid w:val="00633B79"/>
    <w:rsid w:val="00634B39"/>
    <w:rsid w:val="00634DC6"/>
    <w:rsid w:val="0063561D"/>
    <w:rsid w:val="0063585F"/>
    <w:rsid w:val="00635B1C"/>
    <w:rsid w:val="00635FF5"/>
    <w:rsid w:val="0063668D"/>
    <w:rsid w:val="0063675F"/>
    <w:rsid w:val="00637B2C"/>
    <w:rsid w:val="00640AFE"/>
    <w:rsid w:val="006413EC"/>
    <w:rsid w:val="006429C7"/>
    <w:rsid w:val="00642BEE"/>
    <w:rsid w:val="00643B6D"/>
    <w:rsid w:val="00643FDE"/>
    <w:rsid w:val="0064427B"/>
    <w:rsid w:val="006449A4"/>
    <w:rsid w:val="0064533A"/>
    <w:rsid w:val="00645389"/>
    <w:rsid w:val="006454DC"/>
    <w:rsid w:val="00646447"/>
    <w:rsid w:val="00646D5E"/>
    <w:rsid w:val="00647663"/>
    <w:rsid w:val="006500FD"/>
    <w:rsid w:val="00650EFD"/>
    <w:rsid w:val="00652192"/>
    <w:rsid w:val="006527B2"/>
    <w:rsid w:val="006527B6"/>
    <w:rsid w:val="00652E50"/>
    <w:rsid w:val="00653E16"/>
    <w:rsid w:val="00653EE7"/>
    <w:rsid w:val="006543ED"/>
    <w:rsid w:val="0065454E"/>
    <w:rsid w:val="0065504F"/>
    <w:rsid w:val="0065598B"/>
    <w:rsid w:val="006574C9"/>
    <w:rsid w:val="0065764D"/>
    <w:rsid w:val="00657ADE"/>
    <w:rsid w:val="00660D1B"/>
    <w:rsid w:val="00660ED2"/>
    <w:rsid w:val="00662197"/>
    <w:rsid w:val="00662E4B"/>
    <w:rsid w:val="006641C5"/>
    <w:rsid w:val="00664E0C"/>
    <w:rsid w:val="00664FB0"/>
    <w:rsid w:val="00665907"/>
    <w:rsid w:val="00666805"/>
    <w:rsid w:val="00666D7C"/>
    <w:rsid w:val="006670CF"/>
    <w:rsid w:val="00671B84"/>
    <w:rsid w:val="00671F2F"/>
    <w:rsid w:val="00671F77"/>
    <w:rsid w:val="00672199"/>
    <w:rsid w:val="006723B0"/>
    <w:rsid w:val="00673E46"/>
    <w:rsid w:val="006748F8"/>
    <w:rsid w:val="00674BE9"/>
    <w:rsid w:val="0067594D"/>
    <w:rsid w:val="00675AA5"/>
    <w:rsid w:val="00676B5B"/>
    <w:rsid w:val="0067755B"/>
    <w:rsid w:val="00680FAF"/>
    <w:rsid w:val="00681A99"/>
    <w:rsid w:val="00682B65"/>
    <w:rsid w:val="006841E5"/>
    <w:rsid w:val="006846D2"/>
    <w:rsid w:val="006864A7"/>
    <w:rsid w:val="00686884"/>
    <w:rsid w:val="006903BD"/>
    <w:rsid w:val="00690CC2"/>
    <w:rsid w:val="00690E62"/>
    <w:rsid w:val="00690EB9"/>
    <w:rsid w:val="0069109C"/>
    <w:rsid w:val="00693E30"/>
    <w:rsid w:val="00694031"/>
    <w:rsid w:val="0069449B"/>
    <w:rsid w:val="006946DC"/>
    <w:rsid w:val="00694756"/>
    <w:rsid w:val="00694C08"/>
    <w:rsid w:val="00695D22"/>
    <w:rsid w:val="0069631C"/>
    <w:rsid w:val="00696E99"/>
    <w:rsid w:val="006973F9"/>
    <w:rsid w:val="00697555"/>
    <w:rsid w:val="00697B74"/>
    <w:rsid w:val="00697CB1"/>
    <w:rsid w:val="006A02E1"/>
    <w:rsid w:val="006A215A"/>
    <w:rsid w:val="006A2A4D"/>
    <w:rsid w:val="006A2F44"/>
    <w:rsid w:val="006A3A0C"/>
    <w:rsid w:val="006A4EC6"/>
    <w:rsid w:val="006A54F7"/>
    <w:rsid w:val="006A5659"/>
    <w:rsid w:val="006A6D41"/>
    <w:rsid w:val="006A75C5"/>
    <w:rsid w:val="006A7F02"/>
    <w:rsid w:val="006B05EE"/>
    <w:rsid w:val="006B0F72"/>
    <w:rsid w:val="006B11E5"/>
    <w:rsid w:val="006B150B"/>
    <w:rsid w:val="006B1608"/>
    <w:rsid w:val="006B17DB"/>
    <w:rsid w:val="006B19B0"/>
    <w:rsid w:val="006B1BB9"/>
    <w:rsid w:val="006B1E96"/>
    <w:rsid w:val="006B1EA5"/>
    <w:rsid w:val="006B24C0"/>
    <w:rsid w:val="006B2EB0"/>
    <w:rsid w:val="006B336F"/>
    <w:rsid w:val="006B3A37"/>
    <w:rsid w:val="006B3E3B"/>
    <w:rsid w:val="006B3F3E"/>
    <w:rsid w:val="006B4199"/>
    <w:rsid w:val="006B534F"/>
    <w:rsid w:val="006B56BC"/>
    <w:rsid w:val="006B58CF"/>
    <w:rsid w:val="006B5A64"/>
    <w:rsid w:val="006C1518"/>
    <w:rsid w:val="006C15E1"/>
    <w:rsid w:val="006C1791"/>
    <w:rsid w:val="006C222C"/>
    <w:rsid w:val="006C248C"/>
    <w:rsid w:val="006C24B9"/>
    <w:rsid w:val="006C2601"/>
    <w:rsid w:val="006C34B1"/>
    <w:rsid w:val="006C51CA"/>
    <w:rsid w:val="006C5EAA"/>
    <w:rsid w:val="006C65CB"/>
    <w:rsid w:val="006C7245"/>
    <w:rsid w:val="006C7AB1"/>
    <w:rsid w:val="006C7C15"/>
    <w:rsid w:val="006D0218"/>
    <w:rsid w:val="006D0225"/>
    <w:rsid w:val="006D107E"/>
    <w:rsid w:val="006D14E9"/>
    <w:rsid w:val="006D14FA"/>
    <w:rsid w:val="006D1B27"/>
    <w:rsid w:val="006D3AEC"/>
    <w:rsid w:val="006D4203"/>
    <w:rsid w:val="006D49A2"/>
    <w:rsid w:val="006D4D3A"/>
    <w:rsid w:val="006D4D85"/>
    <w:rsid w:val="006D61CC"/>
    <w:rsid w:val="006D64F4"/>
    <w:rsid w:val="006D6C7F"/>
    <w:rsid w:val="006E0E14"/>
    <w:rsid w:val="006E1F4A"/>
    <w:rsid w:val="006E2D8B"/>
    <w:rsid w:val="006E2DB1"/>
    <w:rsid w:val="006E2EC9"/>
    <w:rsid w:val="006E3060"/>
    <w:rsid w:val="006E3415"/>
    <w:rsid w:val="006E3A49"/>
    <w:rsid w:val="006E3C93"/>
    <w:rsid w:val="006E4E1D"/>
    <w:rsid w:val="006E5355"/>
    <w:rsid w:val="006E543F"/>
    <w:rsid w:val="006E7EB5"/>
    <w:rsid w:val="006F09E6"/>
    <w:rsid w:val="006F11AB"/>
    <w:rsid w:val="006F1AFD"/>
    <w:rsid w:val="006F1B14"/>
    <w:rsid w:val="006F212F"/>
    <w:rsid w:val="006F3392"/>
    <w:rsid w:val="006F3677"/>
    <w:rsid w:val="006F4E8D"/>
    <w:rsid w:val="006F4EAF"/>
    <w:rsid w:val="006F588D"/>
    <w:rsid w:val="006F6A77"/>
    <w:rsid w:val="006F6EBE"/>
    <w:rsid w:val="006F7E51"/>
    <w:rsid w:val="0070021B"/>
    <w:rsid w:val="0070030A"/>
    <w:rsid w:val="00703347"/>
    <w:rsid w:val="00703B1C"/>
    <w:rsid w:val="00703D34"/>
    <w:rsid w:val="007040E6"/>
    <w:rsid w:val="00704364"/>
    <w:rsid w:val="00704D45"/>
    <w:rsid w:val="00705BCC"/>
    <w:rsid w:val="00706DC4"/>
    <w:rsid w:val="00706E92"/>
    <w:rsid w:val="007073F8"/>
    <w:rsid w:val="007077DF"/>
    <w:rsid w:val="00707A86"/>
    <w:rsid w:val="00710277"/>
    <w:rsid w:val="007130BD"/>
    <w:rsid w:val="00713B3C"/>
    <w:rsid w:val="007140CF"/>
    <w:rsid w:val="007148FF"/>
    <w:rsid w:val="00714F36"/>
    <w:rsid w:val="00715FC3"/>
    <w:rsid w:val="00716625"/>
    <w:rsid w:val="007214D0"/>
    <w:rsid w:val="007215E0"/>
    <w:rsid w:val="0072195E"/>
    <w:rsid w:val="00721F86"/>
    <w:rsid w:val="00722163"/>
    <w:rsid w:val="00723AAC"/>
    <w:rsid w:val="00723B30"/>
    <w:rsid w:val="00724F51"/>
    <w:rsid w:val="00725202"/>
    <w:rsid w:val="0072535A"/>
    <w:rsid w:val="007266ED"/>
    <w:rsid w:val="0072723C"/>
    <w:rsid w:val="00727304"/>
    <w:rsid w:val="007274A9"/>
    <w:rsid w:val="007277C0"/>
    <w:rsid w:val="007278E7"/>
    <w:rsid w:val="0073052F"/>
    <w:rsid w:val="00730705"/>
    <w:rsid w:val="00731F3F"/>
    <w:rsid w:val="0073327F"/>
    <w:rsid w:val="0073339A"/>
    <w:rsid w:val="00733BFB"/>
    <w:rsid w:val="0073499B"/>
    <w:rsid w:val="00734CAF"/>
    <w:rsid w:val="00735B4B"/>
    <w:rsid w:val="00735F13"/>
    <w:rsid w:val="00736525"/>
    <w:rsid w:val="0073652F"/>
    <w:rsid w:val="007401BC"/>
    <w:rsid w:val="00741017"/>
    <w:rsid w:val="00741F1C"/>
    <w:rsid w:val="007432B7"/>
    <w:rsid w:val="00743CBB"/>
    <w:rsid w:val="00743D1A"/>
    <w:rsid w:val="0074419D"/>
    <w:rsid w:val="007441F2"/>
    <w:rsid w:val="007452D2"/>
    <w:rsid w:val="007477D2"/>
    <w:rsid w:val="00750040"/>
    <w:rsid w:val="007527E1"/>
    <w:rsid w:val="00752CC9"/>
    <w:rsid w:val="007534B8"/>
    <w:rsid w:val="00753677"/>
    <w:rsid w:val="007543EA"/>
    <w:rsid w:val="007557DE"/>
    <w:rsid w:val="00755B61"/>
    <w:rsid w:val="0075793A"/>
    <w:rsid w:val="00760778"/>
    <w:rsid w:val="00760991"/>
    <w:rsid w:val="00761A64"/>
    <w:rsid w:val="00761B95"/>
    <w:rsid w:val="00762A9D"/>
    <w:rsid w:val="00763604"/>
    <w:rsid w:val="00763C19"/>
    <w:rsid w:val="00763F18"/>
    <w:rsid w:val="00764047"/>
    <w:rsid w:val="00765745"/>
    <w:rsid w:val="00765D3C"/>
    <w:rsid w:val="00766D11"/>
    <w:rsid w:val="007676BC"/>
    <w:rsid w:val="0077099C"/>
    <w:rsid w:val="0077130B"/>
    <w:rsid w:val="00771E1A"/>
    <w:rsid w:val="00771FD2"/>
    <w:rsid w:val="00771FFE"/>
    <w:rsid w:val="00772B3F"/>
    <w:rsid w:val="00773204"/>
    <w:rsid w:val="00774DB5"/>
    <w:rsid w:val="007753BB"/>
    <w:rsid w:val="007764A7"/>
    <w:rsid w:val="007764D2"/>
    <w:rsid w:val="007769C5"/>
    <w:rsid w:val="00776A30"/>
    <w:rsid w:val="00776BEB"/>
    <w:rsid w:val="00776E4E"/>
    <w:rsid w:val="00777E7A"/>
    <w:rsid w:val="00780671"/>
    <w:rsid w:val="00781AD7"/>
    <w:rsid w:val="00781C47"/>
    <w:rsid w:val="00782756"/>
    <w:rsid w:val="00782F64"/>
    <w:rsid w:val="00783B36"/>
    <w:rsid w:val="0078465F"/>
    <w:rsid w:val="00786A8B"/>
    <w:rsid w:val="00787117"/>
    <w:rsid w:val="007875AC"/>
    <w:rsid w:val="0079094E"/>
    <w:rsid w:val="007923AC"/>
    <w:rsid w:val="00792E55"/>
    <w:rsid w:val="0079436A"/>
    <w:rsid w:val="00794C85"/>
    <w:rsid w:val="00795E24"/>
    <w:rsid w:val="00796AD1"/>
    <w:rsid w:val="00796FFF"/>
    <w:rsid w:val="007971DA"/>
    <w:rsid w:val="007975F3"/>
    <w:rsid w:val="0079DCED"/>
    <w:rsid w:val="007A0963"/>
    <w:rsid w:val="007A134D"/>
    <w:rsid w:val="007A1518"/>
    <w:rsid w:val="007A2018"/>
    <w:rsid w:val="007A227A"/>
    <w:rsid w:val="007A22BB"/>
    <w:rsid w:val="007A281A"/>
    <w:rsid w:val="007A4FD5"/>
    <w:rsid w:val="007A5C20"/>
    <w:rsid w:val="007A6409"/>
    <w:rsid w:val="007A7E5A"/>
    <w:rsid w:val="007B039A"/>
    <w:rsid w:val="007B05FA"/>
    <w:rsid w:val="007B0CCC"/>
    <w:rsid w:val="007B6070"/>
    <w:rsid w:val="007B6F01"/>
    <w:rsid w:val="007B7337"/>
    <w:rsid w:val="007B74C0"/>
    <w:rsid w:val="007C02C4"/>
    <w:rsid w:val="007C1D09"/>
    <w:rsid w:val="007C1D41"/>
    <w:rsid w:val="007C2042"/>
    <w:rsid w:val="007C2A95"/>
    <w:rsid w:val="007C33E8"/>
    <w:rsid w:val="007C3E8C"/>
    <w:rsid w:val="007C4590"/>
    <w:rsid w:val="007C5323"/>
    <w:rsid w:val="007C54C9"/>
    <w:rsid w:val="007C70F4"/>
    <w:rsid w:val="007C72C1"/>
    <w:rsid w:val="007C766E"/>
    <w:rsid w:val="007D0A7C"/>
    <w:rsid w:val="007D1FB0"/>
    <w:rsid w:val="007D4BCD"/>
    <w:rsid w:val="007D5281"/>
    <w:rsid w:val="007D578F"/>
    <w:rsid w:val="007D58FA"/>
    <w:rsid w:val="007D60C1"/>
    <w:rsid w:val="007D61C8"/>
    <w:rsid w:val="007D665C"/>
    <w:rsid w:val="007D67CA"/>
    <w:rsid w:val="007D6FB4"/>
    <w:rsid w:val="007D763D"/>
    <w:rsid w:val="007E014A"/>
    <w:rsid w:val="007E090B"/>
    <w:rsid w:val="007E1D4B"/>
    <w:rsid w:val="007E26CB"/>
    <w:rsid w:val="007E270E"/>
    <w:rsid w:val="007E29B2"/>
    <w:rsid w:val="007E2A14"/>
    <w:rsid w:val="007E3810"/>
    <w:rsid w:val="007E4B3A"/>
    <w:rsid w:val="007E55E4"/>
    <w:rsid w:val="007E58FA"/>
    <w:rsid w:val="007E74DB"/>
    <w:rsid w:val="007F082B"/>
    <w:rsid w:val="007F0FCD"/>
    <w:rsid w:val="007F12B2"/>
    <w:rsid w:val="007F195E"/>
    <w:rsid w:val="007F19FA"/>
    <w:rsid w:val="007F20F4"/>
    <w:rsid w:val="007F29C3"/>
    <w:rsid w:val="007F320E"/>
    <w:rsid w:val="007F3F01"/>
    <w:rsid w:val="007F4241"/>
    <w:rsid w:val="007F4281"/>
    <w:rsid w:val="007F4D5B"/>
    <w:rsid w:val="007F58CD"/>
    <w:rsid w:val="007F5BEE"/>
    <w:rsid w:val="007F5F2D"/>
    <w:rsid w:val="007F6417"/>
    <w:rsid w:val="007F7440"/>
    <w:rsid w:val="007F782C"/>
    <w:rsid w:val="00801494"/>
    <w:rsid w:val="00801BC2"/>
    <w:rsid w:val="00801D70"/>
    <w:rsid w:val="00801EF2"/>
    <w:rsid w:val="00802893"/>
    <w:rsid w:val="0080299F"/>
    <w:rsid w:val="00802A5F"/>
    <w:rsid w:val="00802D14"/>
    <w:rsid w:val="0080380E"/>
    <w:rsid w:val="00803B8F"/>
    <w:rsid w:val="008054C6"/>
    <w:rsid w:val="0080563C"/>
    <w:rsid w:val="00805B2A"/>
    <w:rsid w:val="0080686F"/>
    <w:rsid w:val="00806A11"/>
    <w:rsid w:val="00806A24"/>
    <w:rsid w:val="00806ABB"/>
    <w:rsid w:val="0080714B"/>
    <w:rsid w:val="0080731B"/>
    <w:rsid w:val="00807AFF"/>
    <w:rsid w:val="00811210"/>
    <w:rsid w:val="00811983"/>
    <w:rsid w:val="00811CCE"/>
    <w:rsid w:val="00811FE6"/>
    <w:rsid w:val="00812E99"/>
    <w:rsid w:val="008144BB"/>
    <w:rsid w:val="00816765"/>
    <w:rsid w:val="0081682E"/>
    <w:rsid w:val="0082178E"/>
    <w:rsid w:val="00822061"/>
    <w:rsid w:val="00822A3C"/>
    <w:rsid w:val="00822C58"/>
    <w:rsid w:val="00822ED7"/>
    <w:rsid w:val="0082308D"/>
    <w:rsid w:val="00824033"/>
    <w:rsid w:val="008254D6"/>
    <w:rsid w:val="0082595A"/>
    <w:rsid w:val="008272E0"/>
    <w:rsid w:val="0082735F"/>
    <w:rsid w:val="008301FF"/>
    <w:rsid w:val="00830E09"/>
    <w:rsid w:val="00831515"/>
    <w:rsid w:val="008321BC"/>
    <w:rsid w:val="008321E7"/>
    <w:rsid w:val="008329E0"/>
    <w:rsid w:val="00832E56"/>
    <w:rsid w:val="00833D05"/>
    <w:rsid w:val="00834140"/>
    <w:rsid w:val="008341D7"/>
    <w:rsid w:val="00834747"/>
    <w:rsid w:val="00836050"/>
    <w:rsid w:val="008364F5"/>
    <w:rsid w:val="00836796"/>
    <w:rsid w:val="0083D674"/>
    <w:rsid w:val="00840004"/>
    <w:rsid w:val="00840311"/>
    <w:rsid w:val="00840687"/>
    <w:rsid w:val="00840F0F"/>
    <w:rsid w:val="00841804"/>
    <w:rsid w:val="00841DA9"/>
    <w:rsid w:val="00841DB7"/>
    <w:rsid w:val="00842F67"/>
    <w:rsid w:val="008434AC"/>
    <w:rsid w:val="00844344"/>
    <w:rsid w:val="00845BF5"/>
    <w:rsid w:val="00846490"/>
    <w:rsid w:val="00846D50"/>
    <w:rsid w:val="00847219"/>
    <w:rsid w:val="00847ED7"/>
    <w:rsid w:val="00847F76"/>
    <w:rsid w:val="00851660"/>
    <w:rsid w:val="0085227D"/>
    <w:rsid w:val="00852531"/>
    <w:rsid w:val="0085278C"/>
    <w:rsid w:val="00852A53"/>
    <w:rsid w:val="0085320E"/>
    <w:rsid w:val="0085351C"/>
    <w:rsid w:val="0085368A"/>
    <w:rsid w:val="008558B0"/>
    <w:rsid w:val="00855AAF"/>
    <w:rsid w:val="00855F38"/>
    <w:rsid w:val="00856733"/>
    <w:rsid w:val="00857650"/>
    <w:rsid w:val="00857754"/>
    <w:rsid w:val="00860D29"/>
    <w:rsid w:val="00860FDB"/>
    <w:rsid w:val="008614F9"/>
    <w:rsid w:val="00861884"/>
    <w:rsid w:val="00862902"/>
    <w:rsid w:val="008637F5"/>
    <w:rsid w:val="00863B1D"/>
    <w:rsid w:val="008649DC"/>
    <w:rsid w:val="00864E4D"/>
    <w:rsid w:val="00865A5E"/>
    <w:rsid w:val="00866042"/>
    <w:rsid w:val="00866EC9"/>
    <w:rsid w:val="008677EC"/>
    <w:rsid w:val="00870DD7"/>
    <w:rsid w:val="00872444"/>
    <w:rsid w:val="00872805"/>
    <w:rsid w:val="00872832"/>
    <w:rsid w:val="00872B53"/>
    <w:rsid w:val="00872F33"/>
    <w:rsid w:val="00873062"/>
    <w:rsid w:val="0087339D"/>
    <w:rsid w:val="00873E69"/>
    <w:rsid w:val="00874374"/>
    <w:rsid w:val="008757A6"/>
    <w:rsid w:val="008759CC"/>
    <w:rsid w:val="00875D9D"/>
    <w:rsid w:val="00876CAA"/>
    <w:rsid w:val="00876DF1"/>
    <w:rsid w:val="00877123"/>
    <w:rsid w:val="008774CC"/>
    <w:rsid w:val="00877DB6"/>
    <w:rsid w:val="00880D5D"/>
    <w:rsid w:val="00882F50"/>
    <w:rsid w:val="008849D9"/>
    <w:rsid w:val="00884A2D"/>
    <w:rsid w:val="008852E8"/>
    <w:rsid w:val="00887638"/>
    <w:rsid w:val="0088795D"/>
    <w:rsid w:val="008901C8"/>
    <w:rsid w:val="00891330"/>
    <w:rsid w:val="00893134"/>
    <w:rsid w:val="008940ED"/>
    <w:rsid w:val="00894224"/>
    <w:rsid w:val="008952E8"/>
    <w:rsid w:val="00895E27"/>
    <w:rsid w:val="00896037"/>
    <w:rsid w:val="0089620E"/>
    <w:rsid w:val="0089722E"/>
    <w:rsid w:val="00897C27"/>
    <w:rsid w:val="00897E63"/>
    <w:rsid w:val="00897EF4"/>
    <w:rsid w:val="008A07B0"/>
    <w:rsid w:val="008A1976"/>
    <w:rsid w:val="008A2920"/>
    <w:rsid w:val="008A34B1"/>
    <w:rsid w:val="008A34DD"/>
    <w:rsid w:val="008A4503"/>
    <w:rsid w:val="008A48C9"/>
    <w:rsid w:val="008A4FC9"/>
    <w:rsid w:val="008A56AA"/>
    <w:rsid w:val="008A5945"/>
    <w:rsid w:val="008A5E99"/>
    <w:rsid w:val="008A6787"/>
    <w:rsid w:val="008A6F45"/>
    <w:rsid w:val="008A7056"/>
    <w:rsid w:val="008A7164"/>
    <w:rsid w:val="008B0380"/>
    <w:rsid w:val="008B1923"/>
    <w:rsid w:val="008B1BF5"/>
    <w:rsid w:val="008B4354"/>
    <w:rsid w:val="008B5247"/>
    <w:rsid w:val="008B6BC2"/>
    <w:rsid w:val="008B72A0"/>
    <w:rsid w:val="008B784F"/>
    <w:rsid w:val="008B7FDA"/>
    <w:rsid w:val="008C014A"/>
    <w:rsid w:val="008C22AB"/>
    <w:rsid w:val="008C27F7"/>
    <w:rsid w:val="008C2EAF"/>
    <w:rsid w:val="008C30B2"/>
    <w:rsid w:val="008C37B7"/>
    <w:rsid w:val="008C4566"/>
    <w:rsid w:val="008C4E96"/>
    <w:rsid w:val="008C5711"/>
    <w:rsid w:val="008C5BFE"/>
    <w:rsid w:val="008C5D7F"/>
    <w:rsid w:val="008C5E1C"/>
    <w:rsid w:val="008C6E05"/>
    <w:rsid w:val="008C6E09"/>
    <w:rsid w:val="008C70AD"/>
    <w:rsid w:val="008C79BE"/>
    <w:rsid w:val="008C7D68"/>
    <w:rsid w:val="008D0146"/>
    <w:rsid w:val="008D13F2"/>
    <w:rsid w:val="008D2B97"/>
    <w:rsid w:val="008D3446"/>
    <w:rsid w:val="008D3602"/>
    <w:rsid w:val="008D4221"/>
    <w:rsid w:val="008D5239"/>
    <w:rsid w:val="008D533D"/>
    <w:rsid w:val="008D67E9"/>
    <w:rsid w:val="008D6AC1"/>
    <w:rsid w:val="008D6D59"/>
    <w:rsid w:val="008D74E0"/>
    <w:rsid w:val="008D75B0"/>
    <w:rsid w:val="008E1298"/>
    <w:rsid w:val="008E208B"/>
    <w:rsid w:val="008E333D"/>
    <w:rsid w:val="008E3367"/>
    <w:rsid w:val="008E3901"/>
    <w:rsid w:val="008E4825"/>
    <w:rsid w:val="008E4A08"/>
    <w:rsid w:val="008E52F9"/>
    <w:rsid w:val="008E6797"/>
    <w:rsid w:val="008E6F75"/>
    <w:rsid w:val="008F05B4"/>
    <w:rsid w:val="008F0BE9"/>
    <w:rsid w:val="008F1757"/>
    <w:rsid w:val="008F1C01"/>
    <w:rsid w:val="008F1F7D"/>
    <w:rsid w:val="008F2525"/>
    <w:rsid w:val="008F3A6E"/>
    <w:rsid w:val="008F3CF1"/>
    <w:rsid w:val="008F40C5"/>
    <w:rsid w:val="008F4F2C"/>
    <w:rsid w:val="008F5064"/>
    <w:rsid w:val="008F61D9"/>
    <w:rsid w:val="008F6A44"/>
    <w:rsid w:val="008F70B4"/>
    <w:rsid w:val="008F7BE1"/>
    <w:rsid w:val="009002B8"/>
    <w:rsid w:val="00900B7B"/>
    <w:rsid w:val="00902107"/>
    <w:rsid w:val="00904772"/>
    <w:rsid w:val="00904912"/>
    <w:rsid w:val="009061E6"/>
    <w:rsid w:val="009066B8"/>
    <w:rsid w:val="0091126D"/>
    <w:rsid w:val="00911F6B"/>
    <w:rsid w:val="00911F7B"/>
    <w:rsid w:val="0091209E"/>
    <w:rsid w:val="00912331"/>
    <w:rsid w:val="0091304C"/>
    <w:rsid w:val="00914F24"/>
    <w:rsid w:val="009155DD"/>
    <w:rsid w:val="00915E92"/>
    <w:rsid w:val="00916544"/>
    <w:rsid w:val="00916D58"/>
    <w:rsid w:val="00916D7C"/>
    <w:rsid w:val="00916F05"/>
    <w:rsid w:val="00917B58"/>
    <w:rsid w:val="00920042"/>
    <w:rsid w:val="0092082C"/>
    <w:rsid w:val="00920BB2"/>
    <w:rsid w:val="009217AD"/>
    <w:rsid w:val="009217F5"/>
    <w:rsid w:val="00922482"/>
    <w:rsid w:val="00922B24"/>
    <w:rsid w:val="00922B68"/>
    <w:rsid w:val="0092448D"/>
    <w:rsid w:val="00924915"/>
    <w:rsid w:val="009272D8"/>
    <w:rsid w:val="009274FB"/>
    <w:rsid w:val="00930C0D"/>
    <w:rsid w:val="009314A8"/>
    <w:rsid w:val="00931FEC"/>
    <w:rsid w:val="0093220B"/>
    <w:rsid w:val="00932E44"/>
    <w:rsid w:val="00933971"/>
    <w:rsid w:val="00933989"/>
    <w:rsid w:val="00933FD1"/>
    <w:rsid w:val="00935490"/>
    <w:rsid w:val="00935EB3"/>
    <w:rsid w:val="00936A83"/>
    <w:rsid w:val="00936E07"/>
    <w:rsid w:val="009370C5"/>
    <w:rsid w:val="009377CC"/>
    <w:rsid w:val="009377D7"/>
    <w:rsid w:val="00937886"/>
    <w:rsid w:val="00937AE6"/>
    <w:rsid w:val="00937FA9"/>
    <w:rsid w:val="0094020B"/>
    <w:rsid w:val="00940680"/>
    <w:rsid w:val="00942BEF"/>
    <w:rsid w:val="009430C7"/>
    <w:rsid w:val="00943775"/>
    <w:rsid w:val="00943904"/>
    <w:rsid w:val="00943CDA"/>
    <w:rsid w:val="0094470E"/>
    <w:rsid w:val="009448A9"/>
    <w:rsid w:val="00944CAD"/>
    <w:rsid w:val="00945D03"/>
    <w:rsid w:val="00946E2C"/>
    <w:rsid w:val="00946EE2"/>
    <w:rsid w:val="0094735E"/>
    <w:rsid w:val="009524F3"/>
    <w:rsid w:val="009528A2"/>
    <w:rsid w:val="00952B6B"/>
    <w:rsid w:val="00952ECE"/>
    <w:rsid w:val="009533C9"/>
    <w:rsid w:val="00953B3C"/>
    <w:rsid w:val="00953F3F"/>
    <w:rsid w:val="00954205"/>
    <w:rsid w:val="00954286"/>
    <w:rsid w:val="00955973"/>
    <w:rsid w:val="0095678A"/>
    <w:rsid w:val="00960411"/>
    <w:rsid w:val="009607E0"/>
    <w:rsid w:val="0096129B"/>
    <w:rsid w:val="00961770"/>
    <w:rsid w:val="009619C3"/>
    <w:rsid w:val="00962C00"/>
    <w:rsid w:val="00962F52"/>
    <w:rsid w:val="00963C30"/>
    <w:rsid w:val="00963F62"/>
    <w:rsid w:val="00964A5C"/>
    <w:rsid w:val="00964A71"/>
    <w:rsid w:val="00964A75"/>
    <w:rsid w:val="00964C72"/>
    <w:rsid w:val="00966821"/>
    <w:rsid w:val="009679D1"/>
    <w:rsid w:val="009700BD"/>
    <w:rsid w:val="00970298"/>
    <w:rsid w:val="009717D5"/>
    <w:rsid w:val="009718B8"/>
    <w:rsid w:val="00971B06"/>
    <w:rsid w:val="00972510"/>
    <w:rsid w:val="009742D2"/>
    <w:rsid w:val="00974724"/>
    <w:rsid w:val="00976644"/>
    <w:rsid w:val="00977DC2"/>
    <w:rsid w:val="009801E2"/>
    <w:rsid w:val="009809B1"/>
    <w:rsid w:val="00981AC1"/>
    <w:rsid w:val="00981BF4"/>
    <w:rsid w:val="0098376D"/>
    <w:rsid w:val="00984622"/>
    <w:rsid w:val="00985990"/>
    <w:rsid w:val="00985C21"/>
    <w:rsid w:val="009860CE"/>
    <w:rsid w:val="009862A4"/>
    <w:rsid w:val="00987E7B"/>
    <w:rsid w:val="00990FD7"/>
    <w:rsid w:val="00991559"/>
    <w:rsid w:val="009921C4"/>
    <w:rsid w:val="00992613"/>
    <w:rsid w:val="00992B71"/>
    <w:rsid w:val="00993F24"/>
    <w:rsid w:val="0099432E"/>
    <w:rsid w:val="00994DB6"/>
    <w:rsid w:val="00994E14"/>
    <w:rsid w:val="009950CD"/>
    <w:rsid w:val="0099525F"/>
    <w:rsid w:val="009952DD"/>
    <w:rsid w:val="00995615"/>
    <w:rsid w:val="0099694E"/>
    <w:rsid w:val="009969F4"/>
    <w:rsid w:val="009A01E3"/>
    <w:rsid w:val="009A0338"/>
    <w:rsid w:val="009A227B"/>
    <w:rsid w:val="009A24A8"/>
    <w:rsid w:val="009A24C3"/>
    <w:rsid w:val="009A26D8"/>
    <w:rsid w:val="009A2A74"/>
    <w:rsid w:val="009A3210"/>
    <w:rsid w:val="009A321E"/>
    <w:rsid w:val="009A340B"/>
    <w:rsid w:val="009A3D1D"/>
    <w:rsid w:val="009A3D83"/>
    <w:rsid w:val="009A47A3"/>
    <w:rsid w:val="009A50E0"/>
    <w:rsid w:val="009A51FF"/>
    <w:rsid w:val="009A62B0"/>
    <w:rsid w:val="009A67D5"/>
    <w:rsid w:val="009A7EB2"/>
    <w:rsid w:val="009B2A2A"/>
    <w:rsid w:val="009B34C4"/>
    <w:rsid w:val="009B3AED"/>
    <w:rsid w:val="009B3E9C"/>
    <w:rsid w:val="009B433B"/>
    <w:rsid w:val="009B436A"/>
    <w:rsid w:val="009B490B"/>
    <w:rsid w:val="009B567F"/>
    <w:rsid w:val="009B570C"/>
    <w:rsid w:val="009B574A"/>
    <w:rsid w:val="009B5CA7"/>
    <w:rsid w:val="009B650A"/>
    <w:rsid w:val="009B6EAC"/>
    <w:rsid w:val="009B7443"/>
    <w:rsid w:val="009C1D5B"/>
    <w:rsid w:val="009C36F1"/>
    <w:rsid w:val="009C3F76"/>
    <w:rsid w:val="009C411D"/>
    <w:rsid w:val="009C5336"/>
    <w:rsid w:val="009C603E"/>
    <w:rsid w:val="009C6A7F"/>
    <w:rsid w:val="009C7920"/>
    <w:rsid w:val="009D05D6"/>
    <w:rsid w:val="009D0CBE"/>
    <w:rsid w:val="009D0E70"/>
    <w:rsid w:val="009D0FED"/>
    <w:rsid w:val="009D1C78"/>
    <w:rsid w:val="009D1FFC"/>
    <w:rsid w:val="009D2841"/>
    <w:rsid w:val="009D307C"/>
    <w:rsid w:val="009D48CA"/>
    <w:rsid w:val="009D5409"/>
    <w:rsid w:val="009D5623"/>
    <w:rsid w:val="009D5931"/>
    <w:rsid w:val="009D5DD4"/>
    <w:rsid w:val="009D5DE7"/>
    <w:rsid w:val="009D612E"/>
    <w:rsid w:val="009D63EA"/>
    <w:rsid w:val="009D6ADE"/>
    <w:rsid w:val="009D7160"/>
    <w:rsid w:val="009D7636"/>
    <w:rsid w:val="009D7720"/>
    <w:rsid w:val="009E1A71"/>
    <w:rsid w:val="009E1B2A"/>
    <w:rsid w:val="009E2045"/>
    <w:rsid w:val="009E2487"/>
    <w:rsid w:val="009E2BB7"/>
    <w:rsid w:val="009E2EA3"/>
    <w:rsid w:val="009E3EC6"/>
    <w:rsid w:val="009E421F"/>
    <w:rsid w:val="009E4B60"/>
    <w:rsid w:val="009E59A8"/>
    <w:rsid w:val="009E61E9"/>
    <w:rsid w:val="009E7ADF"/>
    <w:rsid w:val="009E7C06"/>
    <w:rsid w:val="009F0361"/>
    <w:rsid w:val="009F0A27"/>
    <w:rsid w:val="009F0FFE"/>
    <w:rsid w:val="009F1221"/>
    <w:rsid w:val="009F2424"/>
    <w:rsid w:val="009F2DCE"/>
    <w:rsid w:val="009F3235"/>
    <w:rsid w:val="009F3F11"/>
    <w:rsid w:val="009F4B17"/>
    <w:rsid w:val="009F5B05"/>
    <w:rsid w:val="009F6808"/>
    <w:rsid w:val="009F775B"/>
    <w:rsid w:val="00A009E2"/>
    <w:rsid w:val="00A00AF5"/>
    <w:rsid w:val="00A0103B"/>
    <w:rsid w:val="00A0143A"/>
    <w:rsid w:val="00A01556"/>
    <w:rsid w:val="00A0171A"/>
    <w:rsid w:val="00A01F52"/>
    <w:rsid w:val="00A01FDA"/>
    <w:rsid w:val="00A02601"/>
    <w:rsid w:val="00A0331C"/>
    <w:rsid w:val="00A0357D"/>
    <w:rsid w:val="00A03A42"/>
    <w:rsid w:val="00A04210"/>
    <w:rsid w:val="00A0555A"/>
    <w:rsid w:val="00A06039"/>
    <w:rsid w:val="00A06240"/>
    <w:rsid w:val="00A0631D"/>
    <w:rsid w:val="00A06537"/>
    <w:rsid w:val="00A06DD0"/>
    <w:rsid w:val="00A072CB"/>
    <w:rsid w:val="00A077DC"/>
    <w:rsid w:val="00A07B00"/>
    <w:rsid w:val="00A07ED1"/>
    <w:rsid w:val="00A07EE3"/>
    <w:rsid w:val="00A07FCF"/>
    <w:rsid w:val="00A10077"/>
    <w:rsid w:val="00A10F85"/>
    <w:rsid w:val="00A1150D"/>
    <w:rsid w:val="00A12DB0"/>
    <w:rsid w:val="00A1428C"/>
    <w:rsid w:val="00A14B66"/>
    <w:rsid w:val="00A1526C"/>
    <w:rsid w:val="00A15496"/>
    <w:rsid w:val="00A154D1"/>
    <w:rsid w:val="00A163E9"/>
    <w:rsid w:val="00A16AA4"/>
    <w:rsid w:val="00A16EB4"/>
    <w:rsid w:val="00A202D3"/>
    <w:rsid w:val="00A21246"/>
    <w:rsid w:val="00A218B6"/>
    <w:rsid w:val="00A21E89"/>
    <w:rsid w:val="00A222B8"/>
    <w:rsid w:val="00A227E6"/>
    <w:rsid w:val="00A23C0B"/>
    <w:rsid w:val="00A246AA"/>
    <w:rsid w:val="00A246EE"/>
    <w:rsid w:val="00A25F45"/>
    <w:rsid w:val="00A268B3"/>
    <w:rsid w:val="00A26AF0"/>
    <w:rsid w:val="00A2753A"/>
    <w:rsid w:val="00A27EE6"/>
    <w:rsid w:val="00A301CB"/>
    <w:rsid w:val="00A3129F"/>
    <w:rsid w:val="00A32525"/>
    <w:rsid w:val="00A337F0"/>
    <w:rsid w:val="00A35693"/>
    <w:rsid w:val="00A35B5F"/>
    <w:rsid w:val="00A36BD4"/>
    <w:rsid w:val="00A40619"/>
    <w:rsid w:val="00A40F76"/>
    <w:rsid w:val="00A41B28"/>
    <w:rsid w:val="00A422F7"/>
    <w:rsid w:val="00A431C8"/>
    <w:rsid w:val="00A436E1"/>
    <w:rsid w:val="00A440C5"/>
    <w:rsid w:val="00A44425"/>
    <w:rsid w:val="00A44F1A"/>
    <w:rsid w:val="00A44FB6"/>
    <w:rsid w:val="00A45126"/>
    <w:rsid w:val="00A45E65"/>
    <w:rsid w:val="00A46467"/>
    <w:rsid w:val="00A478A3"/>
    <w:rsid w:val="00A50047"/>
    <w:rsid w:val="00A502F3"/>
    <w:rsid w:val="00A5093B"/>
    <w:rsid w:val="00A50F0C"/>
    <w:rsid w:val="00A51E9A"/>
    <w:rsid w:val="00A523F8"/>
    <w:rsid w:val="00A52ADE"/>
    <w:rsid w:val="00A52E20"/>
    <w:rsid w:val="00A532B4"/>
    <w:rsid w:val="00A53F18"/>
    <w:rsid w:val="00A54B16"/>
    <w:rsid w:val="00A56DE0"/>
    <w:rsid w:val="00A57085"/>
    <w:rsid w:val="00A60201"/>
    <w:rsid w:val="00A60660"/>
    <w:rsid w:val="00A60CB7"/>
    <w:rsid w:val="00A60FBF"/>
    <w:rsid w:val="00A61CB1"/>
    <w:rsid w:val="00A61EEA"/>
    <w:rsid w:val="00A6287B"/>
    <w:rsid w:val="00A633B2"/>
    <w:rsid w:val="00A636E7"/>
    <w:rsid w:val="00A63976"/>
    <w:rsid w:val="00A64A31"/>
    <w:rsid w:val="00A64A34"/>
    <w:rsid w:val="00A65411"/>
    <w:rsid w:val="00A66273"/>
    <w:rsid w:val="00A6712F"/>
    <w:rsid w:val="00A67DD1"/>
    <w:rsid w:val="00A70996"/>
    <w:rsid w:val="00A70D7C"/>
    <w:rsid w:val="00A720B5"/>
    <w:rsid w:val="00A72855"/>
    <w:rsid w:val="00A73170"/>
    <w:rsid w:val="00A74673"/>
    <w:rsid w:val="00A749C7"/>
    <w:rsid w:val="00A76943"/>
    <w:rsid w:val="00A77239"/>
    <w:rsid w:val="00A773ED"/>
    <w:rsid w:val="00A77A5E"/>
    <w:rsid w:val="00A800D4"/>
    <w:rsid w:val="00A803C0"/>
    <w:rsid w:val="00A8121C"/>
    <w:rsid w:val="00A81399"/>
    <w:rsid w:val="00A815FB"/>
    <w:rsid w:val="00A81D44"/>
    <w:rsid w:val="00A8224E"/>
    <w:rsid w:val="00A822E3"/>
    <w:rsid w:val="00A828BE"/>
    <w:rsid w:val="00A82ED1"/>
    <w:rsid w:val="00A83044"/>
    <w:rsid w:val="00A830FD"/>
    <w:rsid w:val="00A83570"/>
    <w:rsid w:val="00A8411B"/>
    <w:rsid w:val="00A843D2"/>
    <w:rsid w:val="00A8520F"/>
    <w:rsid w:val="00A85B2C"/>
    <w:rsid w:val="00A86E8F"/>
    <w:rsid w:val="00A8714F"/>
    <w:rsid w:val="00A90773"/>
    <w:rsid w:val="00A90E31"/>
    <w:rsid w:val="00A90E36"/>
    <w:rsid w:val="00A91E2D"/>
    <w:rsid w:val="00A923A8"/>
    <w:rsid w:val="00A927AD"/>
    <w:rsid w:val="00A943BF"/>
    <w:rsid w:val="00A94CAD"/>
    <w:rsid w:val="00A94D8D"/>
    <w:rsid w:val="00A956E1"/>
    <w:rsid w:val="00A96D9F"/>
    <w:rsid w:val="00A9729E"/>
    <w:rsid w:val="00A979A6"/>
    <w:rsid w:val="00A97E5C"/>
    <w:rsid w:val="00AA0356"/>
    <w:rsid w:val="00AA1176"/>
    <w:rsid w:val="00AA1472"/>
    <w:rsid w:val="00AA14C9"/>
    <w:rsid w:val="00AA166E"/>
    <w:rsid w:val="00AA1C3F"/>
    <w:rsid w:val="00AA204F"/>
    <w:rsid w:val="00AA2510"/>
    <w:rsid w:val="00AA2864"/>
    <w:rsid w:val="00AA2ACD"/>
    <w:rsid w:val="00AA2E93"/>
    <w:rsid w:val="00AA2FED"/>
    <w:rsid w:val="00AA3596"/>
    <w:rsid w:val="00AA4896"/>
    <w:rsid w:val="00AA5ADE"/>
    <w:rsid w:val="00AA6060"/>
    <w:rsid w:val="00AA6249"/>
    <w:rsid w:val="00AA7249"/>
    <w:rsid w:val="00AA749F"/>
    <w:rsid w:val="00AB0466"/>
    <w:rsid w:val="00AB0F3D"/>
    <w:rsid w:val="00AB0FD8"/>
    <w:rsid w:val="00AB12E1"/>
    <w:rsid w:val="00AB193A"/>
    <w:rsid w:val="00AB22E7"/>
    <w:rsid w:val="00AB25C3"/>
    <w:rsid w:val="00AB2C9C"/>
    <w:rsid w:val="00AB41FF"/>
    <w:rsid w:val="00AB4AB5"/>
    <w:rsid w:val="00AB4C85"/>
    <w:rsid w:val="00AB5390"/>
    <w:rsid w:val="00AB6331"/>
    <w:rsid w:val="00AB659B"/>
    <w:rsid w:val="00AB6D33"/>
    <w:rsid w:val="00AB6DAD"/>
    <w:rsid w:val="00AB72AC"/>
    <w:rsid w:val="00AB7689"/>
    <w:rsid w:val="00AC0660"/>
    <w:rsid w:val="00AC11D9"/>
    <w:rsid w:val="00AC1498"/>
    <w:rsid w:val="00AC24AB"/>
    <w:rsid w:val="00AC2C66"/>
    <w:rsid w:val="00AC2D48"/>
    <w:rsid w:val="00AC2FED"/>
    <w:rsid w:val="00AC3348"/>
    <w:rsid w:val="00AC33C7"/>
    <w:rsid w:val="00AC33EC"/>
    <w:rsid w:val="00AC4631"/>
    <w:rsid w:val="00AC47C8"/>
    <w:rsid w:val="00AC4CE5"/>
    <w:rsid w:val="00AC4F89"/>
    <w:rsid w:val="00AC5279"/>
    <w:rsid w:val="00AC78FB"/>
    <w:rsid w:val="00AD0CAA"/>
    <w:rsid w:val="00AD13B4"/>
    <w:rsid w:val="00AD1A01"/>
    <w:rsid w:val="00AD27E6"/>
    <w:rsid w:val="00AD2850"/>
    <w:rsid w:val="00AD30DF"/>
    <w:rsid w:val="00AD3465"/>
    <w:rsid w:val="00AD3C7E"/>
    <w:rsid w:val="00AD4A9E"/>
    <w:rsid w:val="00AD5AE8"/>
    <w:rsid w:val="00AD5D84"/>
    <w:rsid w:val="00AD5F2B"/>
    <w:rsid w:val="00AD62AA"/>
    <w:rsid w:val="00AD6653"/>
    <w:rsid w:val="00AD6721"/>
    <w:rsid w:val="00AD70C6"/>
    <w:rsid w:val="00AD752D"/>
    <w:rsid w:val="00AE08FE"/>
    <w:rsid w:val="00AE10C6"/>
    <w:rsid w:val="00AE1300"/>
    <w:rsid w:val="00AE15B2"/>
    <w:rsid w:val="00AE1906"/>
    <w:rsid w:val="00AE1AD9"/>
    <w:rsid w:val="00AE1DAE"/>
    <w:rsid w:val="00AE2D89"/>
    <w:rsid w:val="00AE3ACD"/>
    <w:rsid w:val="00AE5741"/>
    <w:rsid w:val="00AE5E79"/>
    <w:rsid w:val="00AE5F98"/>
    <w:rsid w:val="00AE60C0"/>
    <w:rsid w:val="00AE60D1"/>
    <w:rsid w:val="00AE664C"/>
    <w:rsid w:val="00AE6EC0"/>
    <w:rsid w:val="00AE7BAC"/>
    <w:rsid w:val="00AE7F60"/>
    <w:rsid w:val="00AF103E"/>
    <w:rsid w:val="00AF10F2"/>
    <w:rsid w:val="00AF10F6"/>
    <w:rsid w:val="00AF1483"/>
    <w:rsid w:val="00AF17A0"/>
    <w:rsid w:val="00AF1DF6"/>
    <w:rsid w:val="00AF2C3F"/>
    <w:rsid w:val="00AF38AA"/>
    <w:rsid w:val="00AF3AA0"/>
    <w:rsid w:val="00AF4B07"/>
    <w:rsid w:val="00AF5076"/>
    <w:rsid w:val="00AF6ED2"/>
    <w:rsid w:val="00AF7201"/>
    <w:rsid w:val="00AF7382"/>
    <w:rsid w:val="00AF763C"/>
    <w:rsid w:val="00B0113F"/>
    <w:rsid w:val="00B01498"/>
    <w:rsid w:val="00B0223C"/>
    <w:rsid w:val="00B02621"/>
    <w:rsid w:val="00B0348C"/>
    <w:rsid w:val="00B03F4F"/>
    <w:rsid w:val="00B04829"/>
    <w:rsid w:val="00B05702"/>
    <w:rsid w:val="00B05A17"/>
    <w:rsid w:val="00B05F75"/>
    <w:rsid w:val="00B061C7"/>
    <w:rsid w:val="00B06231"/>
    <w:rsid w:val="00B06ACF"/>
    <w:rsid w:val="00B06CA7"/>
    <w:rsid w:val="00B06F15"/>
    <w:rsid w:val="00B07E84"/>
    <w:rsid w:val="00B10283"/>
    <w:rsid w:val="00B106D3"/>
    <w:rsid w:val="00B11F36"/>
    <w:rsid w:val="00B1292C"/>
    <w:rsid w:val="00B13C69"/>
    <w:rsid w:val="00B14CF8"/>
    <w:rsid w:val="00B14D82"/>
    <w:rsid w:val="00B1525E"/>
    <w:rsid w:val="00B15637"/>
    <w:rsid w:val="00B16E55"/>
    <w:rsid w:val="00B16EB1"/>
    <w:rsid w:val="00B16F40"/>
    <w:rsid w:val="00B208B3"/>
    <w:rsid w:val="00B20AB3"/>
    <w:rsid w:val="00B20D6D"/>
    <w:rsid w:val="00B226AF"/>
    <w:rsid w:val="00B22AD5"/>
    <w:rsid w:val="00B24363"/>
    <w:rsid w:val="00B2463E"/>
    <w:rsid w:val="00B2518E"/>
    <w:rsid w:val="00B2586E"/>
    <w:rsid w:val="00B30151"/>
    <w:rsid w:val="00B32068"/>
    <w:rsid w:val="00B32D57"/>
    <w:rsid w:val="00B33773"/>
    <w:rsid w:val="00B34488"/>
    <w:rsid w:val="00B34D02"/>
    <w:rsid w:val="00B35C30"/>
    <w:rsid w:val="00B36981"/>
    <w:rsid w:val="00B36FD2"/>
    <w:rsid w:val="00B37339"/>
    <w:rsid w:val="00B37933"/>
    <w:rsid w:val="00B37A3C"/>
    <w:rsid w:val="00B37FE6"/>
    <w:rsid w:val="00B41802"/>
    <w:rsid w:val="00B41E27"/>
    <w:rsid w:val="00B421EC"/>
    <w:rsid w:val="00B434B0"/>
    <w:rsid w:val="00B44350"/>
    <w:rsid w:val="00B46A13"/>
    <w:rsid w:val="00B46F64"/>
    <w:rsid w:val="00B476DE"/>
    <w:rsid w:val="00B5024A"/>
    <w:rsid w:val="00B50A3C"/>
    <w:rsid w:val="00B50E6F"/>
    <w:rsid w:val="00B53056"/>
    <w:rsid w:val="00B53268"/>
    <w:rsid w:val="00B5485C"/>
    <w:rsid w:val="00B557B2"/>
    <w:rsid w:val="00B55899"/>
    <w:rsid w:val="00B565B7"/>
    <w:rsid w:val="00B57BF4"/>
    <w:rsid w:val="00B57FA3"/>
    <w:rsid w:val="00B61034"/>
    <w:rsid w:val="00B6196E"/>
    <w:rsid w:val="00B62347"/>
    <w:rsid w:val="00B63961"/>
    <w:rsid w:val="00B63DAF"/>
    <w:rsid w:val="00B65107"/>
    <w:rsid w:val="00B65495"/>
    <w:rsid w:val="00B65F01"/>
    <w:rsid w:val="00B662B6"/>
    <w:rsid w:val="00B6670A"/>
    <w:rsid w:val="00B70E78"/>
    <w:rsid w:val="00B71A0F"/>
    <w:rsid w:val="00B72A62"/>
    <w:rsid w:val="00B74EF3"/>
    <w:rsid w:val="00B7502E"/>
    <w:rsid w:val="00B754A3"/>
    <w:rsid w:val="00B77296"/>
    <w:rsid w:val="00B777C2"/>
    <w:rsid w:val="00B77D3C"/>
    <w:rsid w:val="00B80889"/>
    <w:rsid w:val="00B80952"/>
    <w:rsid w:val="00B80FC7"/>
    <w:rsid w:val="00B81BA8"/>
    <w:rsid w:val="00B81F80"/>
    <w:rsid w:val="00B8275B"/>
    <w:rsid w:val="00B84222"/>
    <w:rsid w:val="00B85E2A"/>
    <w:rsid w:val="00B86132"/>
    <w:rsid w:val="00B868AA"/>
    <w:rsid w:val="00B90F8C"/>
    <w:rsid w:val="00B9156B"/>
    <w:rsid w:val="00B921BA"/>
    <w:rsid w:val="00B92620"/>
    <w:rsid w:val="00B927B5"/>
    <w:rsid w:val="00B92C4E"/>
    <w:rsid w:val="00B93428"/>
    <w:rsid w:val="00B93B15"/>
    <w:rsid w:val="00B940D0"/>
    <w:rsid w:val="00B94108"/>
    <w:rsid w:val="00B94184"/>
    <w:rsid w:val="00B9479B"/>
    <w:rsid w:val="00B94948"/>
    <w:rsid w:val="00B94C5E"/>
    <w:rsid w:val="00B9580D"/>
    <w:rsid w:val="00B95829"/>
    <w:rsid w:val="00B960C7"/>
    <w:rsid w:val="00B96C4B"/>
    <w:rsid w:val="00B96D4C"/>
    <w:rsid w:val="00B97AEC"/>
    <w:rsid w:val="00BA066F"/>
    <w:rsid w:val="00BA0D04"/>
    <w:rsid w:val="00BA0DF7"/>
    <w:rsid w:val="00BA1492"/>
    <w:rsid w:val="00BA14B5"/>
    <w:rsid w:val="00BA37AB"/>
    <w:rsid w:val="00BA4482"/>
    <w:rsid w:val="00BA4D02"/>
    <w:rsid w:val="00BA4F07"/>
    <w:rsid w:val="00BA50D8"/>
    <w:rsid w:val="00BA54E9"/>
    <w:rsid w:val="00BA5838"/>
    <w:rsid w:val="00BA5E5F"/>
    <w:rsid w:val="00BA6020"/>
    <w:rsid w:val="00BA6C38"/>
    <w:rsid w:val="00BA74F2"/>
    <w:rsid w:val="00BA7F3C"/>
    <w:rsid w:val="00BB0058"/>
    <w:rsid w:val="00BB0968"/>
    <w:rsid w:val="00BB1907"/>
    <w:rsid w:val="00BB1ABA"/>
    <w:rsid w:val="00BB2DF9"/>
    <w:rsid w:val="00BB42DD"/>
    <w:rsid w:val="00BB4737"/>
    <w:rsid w:val="00BB58D9"/>
    <w:rsid w:val="00BB5DE4"/>
    <w:rsid w:val="00BB637E"/>
    <w:rsid w:val="00BB6AC9"/>
    <w:rsid w:val="00BB7094"/>
    <w:rsid w:val="00BB7345"/>
    <w:rsid w:val="00BB7C51"/>
    <w:rsid w:val="00BC091E"/>
    <w:rsid w:val="00BC1D58"/>
    <w:rsid w:val="00BC255E"/>
    <w:rsid w:val="00BC2755"/>
    <w:rsid w:val="00BC2BC8"/>
    <w:rsid w:val="00BC2C4F"/>
    <w:rsid w:val="00BC3347"/>
    <w:rsid w:val="00BC39F4"/>
    <w:rsid w:val="00BC4DAE"/>
    <w:rsid w:val="00BC59C4"/>
    <w:rsid w:val="00BC5D13"/>
    <w:rsid w:val="00BC5EE0"/>
    <w:rsid w:val="00BC6C93"/>
    <w:rsid w:val="00BC7C10"/>
    <w:rsid w:val="00BD0B7A"/>
    <w:rsid w:val="00BD24C3"/>
    <w:rsid w:val="00BD2596"/>
    <w:rsid w:val="00BD2AAD"/>
    <w:rsid w:val="00BD3221"/>
    <w:rsid w:val="00BD3E5F"/>
    <w:rsid w:val="00BD447B"/>
    <w:rsid w:val="00BD45D4"/>
    <w:rsid w:val="00BD468D"/>
    <w:rsid w:val="00BD4D4C"/>
    <w:rsid w:val="00BD4D87"/>
    <w:rsid w:val="00BD572A"/>
    <w:rsid w:val="00BD57A4"/>
    <w:rsid w:val="00BD5803"/>
    <w:rsid w:val="00BD5C12"/>
    <w:rsid w:val="00BD6B6C"/>
    <w:rsid w:val="00BD6FF5"/>
    <w:rsid w:val="00BD7044"/>
    <w:rsid w:val="00BD797F"/>
    <w:rsid w:val="00BE018F"/>
    <w:rsid w:val="00BE060D"/>
    <w:rsid w:val="00BE189D"/>
    <w:rsid w:val="00BE1C38"/>
    <w:rsid w:val="00BE1E7B"/>
    <w:rsid w:val="00BE212C"/>
    <w:rsid w:val="00BE22D4"/>
    <w:rsid w:val="00BE39D8"/>
    <w:rsid w:val="00BE3ACD"/>
    <w:rsid w:val="00BE471B"/>
    <w:rsid w:val="00BE4E82"/>
    <w:rsid w:val="00BE64AE"/>
    <w:rsid w:val="00BE68C1"/>
    <w:rsid w:val="00BE70AC"/>
    <w:rsid w:val="00BE7C65"/>
    <w:rsid w:val="00BF11ED"/>
    <w:rsid w:val="00BF1C79"/>
    <w:rsid w:val="00BF2076"/>
    <w:rsid w:val="00BF35C4"/>
    <w:rsid w:val="00BF412B"/>
    <w:rsid w:val="00BF44B6"/>
    <w:rsid w:val="00BF4AA5"/>
    <w:rsid w:val="00BF5024"/>
    <w:rsid w:val="00BF57F8"/>
    <w:rsid w:val="00BF5F5E"/>
    <w:rsid w:val="00BF6237"/>
    <w:rsid w:val="00BF6FF1"/>
    <w:rsid w:val="00BF74A0"/>
    <w:rsid w:val="00BF7D97"/>
    <w:rsid w:val="00C01483"/>
    <w:rsid w:val="00C02296"/>
    <w:rsid w:val="00C02C65"/>
    <w:rsid w:val="00C034B7"/>
    <w:rsid w:val="00C0390D"/>
    <w:rsid w:val="00C03C28"/>
    <w:rsid w:val="00C03FF2"/>
    <w:rsid w:val="00C04A37"/>
    <w:rsid w:val="00C0564B"/>
    <w:rsid w:val="00C0671A"/>
    <w:rsid w:val="00C06A6C"/>
    <w:rsid w:val="00C06E7A"/>
    <w:rsid w:val="00C1009A"/>
    <w:rsid w:val="00C103DF"/>
    <w:rsid w:val="00C10EC5"/>
    <w:rsid w:val="00C116D6"/>
    <w:rsid w:val="00C12529"/>
    <w:rsid w:val="00C1329C"/>
    <w:rsid w:val="00C14874"/>
    <w:rsid w:val="00C14A83"/>
    <w:rsid w:val="00C14CAC"/>
    <w:rsid w:val="00C14F2D"/>
    <w:rsid w:val="00C1518C"/>
    <w:rsid w:val="00C15363"/>
    <w:rsid w:val="00C158B9"/>
    <w:rsid w:val="00C1676B"/>
    <w:rsid w:val="00C16AAE"/>
    <w:rsid w:val="00C16B74"/>
    <w:rsid w:val="00C17908"/>
    <w:rsid w:val="00C229DA"/>
    <w:rsid w:val="00C23586"/>
    <w:rsid w:val="00C2366E"/>
    <w:rsid w:val="00C23B8A"/>
    <w:rsid w:val="00C2405E"/>
    <w:rsid w:val="00C27B92"/>
    <w:rsid w:val="00C3080B"/>
    <w:rsid w:val="00C30A82"/>
    <w:rsid w:val="00C30D26"/>
    <w:rsid w:val="00C330E1"/>
    <w:rsid w:val="00C34D12"/>
    <w:rsid w:val="00C34DAF"/>
    <w:rsid w:val="00C35C7C"/>
    <w:rsid w:val="00C35D5F"/>
    <w:rsid w:val="00C35EB3"/>
    <w:rsid w:val="00C362EF"/>
    <w:rsid w:val="00C363E9"/>
    <w:rsid w:val="00C36C1A"/>
    <w:rsid w:val="00C36F58"/>
    <w:rsid w:val="00C37064"/>
    <w:rsid w:val="00C400C4"/>
    <w:rsid w:val="00C404A1"/>
    <w:rsid w:val="00C40793"/>
    <w:rsid w:val="00C409D5"/>
    <w:rsid w:val="00C40E93"/>
    <w:rsid w:val="00C41240"/>
    <w:rsid w:val="00C4240F"/>
    <w:rsid w:val="00C4280C"/>
    <w:rsid w:val="00C42D3B"/>
    <w:rsid w:val="00C430AC"/>
    <w:rsid w:val="00C43F62"/>
    <w:rsid w:val="00C4477F"/>
    <w:rsid w:val="00C44BA8"/>
    <w:rsid w:val="00C451D5"/>
    <w:rsid w:val="00C45507"/>
    <w:rsid w:val="00C4561B"/>
    <w:rsid w:val="00C459F1"/>
    <w:rsid w:val="00C45B5A"/>
    <w:rsid w:val="00C478FB"/>
    <w:rsid w:val="00C5013F"/>
    <w:rsid w:val="00C507BF"/>
    <w:rsid w:val="00C51920"/>
    <w:rsid w:val="00C51F71"/>
    <w:rsid w:val="00C5235B"/>
    <w:rsid w:val="00C52953"/>
    <w:rsid w:val="00C5430F"/>
    <w:rsid w:val="00C5471D"/>
    <w:rsid w:val="00C5474C"/>
    <w:rsid w:val="00C54D8B"/>
    <w:rsid w:val="00C55A2F"/>
    <w:rsid w:val="00C578D7"/>
    <w:rsid w:val="00C6090C"/>
    <w:rsid w:val="00C62208"/>
    <w:rsid w:val="00C62334"/>
    <w:rsid w:val="00C62605"/>
    <w:rsid w:val="00C629B7"/>
    <w:rsid w:val="00C62CA6"/>
    <w:rsid w:val="00C63251"/>
    <w:rsid w:val="00C63541"/>
    <w:rsid w:val="00C63570"/>
    <w:rsid w:val="00C6379C"/>
    <w:rsid w:val="00C63913"/>
    <w:rsid w:val="00C63C17"/>
    <w:rsid w:val="00C65A18"/>
    <w:rsid w:val="00C65B8C"/>
    <w:rsid w:val="00C66C3D"/>
    <w:rsid w:val="00C66C6C"/>
    <w:rsid w:val="00C678D3"/>
    <w:rsid w:val="00C67C6E"/>
    <w:rsid w:val="00C71B42"/>
    <w:rsid w:val="00C72235"/>
    <w:rsid w:val="00C7226C"/>
    <w:rsid w:val="00C72587"/>
    <w:rsid w:val="00C73235"/>
    <w:rsid w:val="00C73504"/>
    <w:rsid w:val="00C73914"/>
    <w:rsid w:val="00C74069"/>
    <w:rsid w:val="00C74A16"/>
    <w:rsid w:val="00C75FD0"/>
    <w:rsid w:val="00C76689"/>
    <w:rsid w:val="00C77114"/>
    <w:rsid w:val="00C777E9"/>
    <w:rsid w:val="00C77B73"/>
    <w:rsid w:val="00C80B99"/>
    <w:rsid w:val="00C80E1F"/>
    <w:rsid w:val="00C811C4"/>
    <w:rsid w:val="00C81517"/>
    <w:rsid w:val="00C8203C"/>
    <w:rsid w:val="00C832C8"/>
    <w:rsid w:val="00C83F57"/>
    <w:rsid w:val="00C84216"/>
    <w:rsid w:val="00C84342"/>
    <w:rsid w:val="00C84349"/>
    <w:rsid w:val="00C85C7C"/>
    <w:rsid w:val="00C8606E"/>
    <w:rsid w:val="00C86DB9"/>
    <w:rsid w:val="00C86E77"/>
    <w:rsid w:val="00C87106"/>
    <w:rsid w:val="00C8735F"/>
    <w:rsid w:val="00C874D0"/>
    <w:rsid w:val="00C875E2"/>
    <w:rsid w:val="00C90763"/>
    <w:rsid w:val="00C91005"/>
    <w:rsid w:val="00C911EA"/>
    <w:rsid w:val="00C92683"/>
    <w:rsid w:val="00C934E7"/>
    <w:rsid w:val="00C93A88"/>
    <w:rsid w:val="00C93B98"/>
    <w:rsid w:val="00C93D10"/>
    <w:rsid w:val="00C9510E"/>
    <w:rsid w:val="00C95BAD"/>
    <w:rsid w:val="00C95F0E"/>
    <w:rsid w:val="00C968F6"/>
    <w:rsid w:val="00C97285"/>
    <w:rsid w:val="00CA0EAB"/>
    <w:rsid w:val="00CA1623"/>
    <w:rsid w:val="00CA25DC"/>
    <w:rsid w:val="00CA28A1"/>
    <w:rsid w:val="00CA357C"/>
    <w:rsid w:val="00CA3656"/>
    <w:rsid w:val="00CA42FC"/>
    <w:rsid w:val="00CA4BDE"/>
    <w:rsid w:val="00CA5CCA"/>
    <w:rsid w:val="00CA6361"/>
    <w:rsid w:val="00CA6602"/>
    <w:rsid w:val="00CA6B87"/>
    <w:rsid w:val="00CA6E8F"/>
    <w:rsid w:val="00CA7AE6"/>
    <w:rsid w:val="00CB0CB1"/>
    <w:rsid w:val="00CB3E20"/>
    <w:rsid w:val="00CB42C3"/>
    <w:rsid w:val="00CB46D9"/>
    <w:rsid w:val="00CB49EB"/>
    <w:rsid w:val="00CB4D5D"/>
    <w:rsid w:val="00CB52F4"/>
    <w:rsid w:val="00CB68B7"/>
    <w:rsid w:val="00CC0113"/>
    <w:rsid w:val="00CC0E12"/>
    <w:rsid w:val="00CC1A45"/>
    <w:rsid w:val="00CC23B8"/>
    <w:rsid w:val="00CC2EA7"/>
    <w:rsid w:val="00CC341C"/>
    <w:rsid w:val="00CC3991"/>
    <w:rsid w:val="00CC4267"/>
    <w:rsid w:val="00CC439C"/>
    <w:rsid w:val="00CC45E9"/>
    <w:rsid w:val="00CC46AF"/>
    <w:rsid w:val="00CC51B9"/>
    <w:rsid w:val="00CC55E3"/>
    <w:rsid w:val="00CC5A9D"/>
    <w:rsid w:val="00CC60A3"/>
    <w:rsid w:val="00CC6747"/>
    <w:rsid w:val="00CC6FDF"/>
    <w:rsid w:val="00CC7046"/>
    <w:rsid w:val="00CC7796"/>
    <w:rsid w:val="00CC785E"/>
    <w:rsid w:val="00CD0021"/>
    <w:rsid w:val="00CD00BE"/>
    <w:rsid w:val="00CD0769"/>
    <w:rsid w:val="00CD0A51"/>
    <w:rsid w:val="00CD0B1B"/>
    <w:rsid w:val="00CD0CB6"/>
    <w:rsid w:val="00CD1B4C"/>
    <w:rsid w:val="00CD3B04"/>
    <w:rsid w:val="00CD3ED2"/>
    <w:rsid w:val="00CD44E5"/>
    <w:rsid w:val="00CD4876"/>
    <w:rsid w:val="00CD5052"/>
    <w:rsid w:val="00CD5646"/>
    <w:rsid w:val="00CD57A2"/>
    <w:rsid w:val="00CD5DAD"/>
    <w:rsid w:val="00CD69CC"/>
    <w:rsid w:val="00CD78AE"/>
    <w:rsid w:val="00CD7BFC"/>
    <w:rsid w:val="00CE1E9A"/>
    <w:rsid w:val="00CE1F40"/>
    <w:rsid w:val="00CE209F"/>
    <w:rsid w:val="00CE2504"/>
    <w:rsid w:val="00CE2948"/>
    <w:rsid w:val="00CE2BBA"/>
    <w:rsid w:val="00CE3062"/>
    <w:rsid w:val="00CE32A2"/>
    <w:rsid w:val="00CE5E3D"/>
    <w:rsid w:val="00CE69F9"/>
    <w:rsid w:val="00CE6FD1"/>
    <w:rsid w:val="00CE7B51"/>
    <w:rsid w:val="00CF06DC"/>
    <w:rsid w:val="00CF081A"/>
    <w:rsid w:val="00CF0EE1"/>
    <w:rsid w:val="00CF1591"/>
    <w:rsid w:val="00CF17DE"/>
    <w:rsid w:val="00CF23CF"/>
    <w:rsid w:val="00CF2DC9"/>
    <w:rsid w:val="00CF31F2"/>
    <w:rsid w:val="00CF3DBD"/>
    <w:rsid w:val="00CF4C4B"/>
    <w:rsid w:val="00CF4F8A"/>
    <w:rsid w:val="00CF6941"/>
    <w:rsid w:val="00CF7443"/>
    <w:rsid w:val="00D00EEF"/>
    <w:rsid w:val="00D010AE"/>
    <w:rsid w:val="00D014E8"/>
    <w:rsid w:val="00D0188B"/>
    <w:rsid w:val="00D03D76"/>
    <w:rsid w:val="00D04028"/>
    <w:rsid w:val="00D0484A"/>
    <w:rsid w:val="00D04F7A"/>
    <w:rsid w:val="00D056D4"/>
    <w:rsid w:val="00D058E1"/>
    <w:rsid w:val="00D0608B"/>
    <w:rsid w:val="00D077B1"/>
    <w:rsid w:val="00D1011F"/>
    <w:rsid w:val="00D10B18"/>
    <w:rsid w:val="00D1124A"/>
    <w:rsid w:val="00D115C3"/>
    <w:rsid w:val="00D12491"/>
    <w:rsid w:val="00D1289D"/>
    <w:rsid w:val="00D137B9"/>
    <w:rsid w:val="00D13EED"/>
    <w:rsid w:val="00D14434"/>
    <w:rsid w:val="00D14658"/>
    <w:rsid w:val="00D1496E"/>
    <w:rsid w:val="00D14E4C"/>
    <w:rsid w:val="00D1516A"/>
    <w:rsid w:val="00D15E90"/>
    <w:rsid w:val="00D160F9"/>
    <w:rsid w:val="00D1616C"/>
    <w:rsid w:val="00D17866"/>
    <w:rsid w:val="00D17AC6"/>
    <w:rsid w:val="00D20767"/>
    <w:rsid w:val="00D20F6C"/>
    <w:rsid w:val="00D217DF"/>
    <w:rsid w:val="00D219B6"/>
    <w:rsid w:val="00D21A27"/>
    <w:rsid w:val="00D23082"/>
    <w:rsid w:val="00D23363"/>
    <w:rsid w:val="00D240C7"/>
    <w:rsid w:val="00D250DC"/>
    <w:rsid w:val="00D2575E"/>
    <w:rsid w:val="00D262AA"/>
    <w:rsid w:val="00D30CF2"/>
    <w:rsid w:val="00D30D0E"/>
    <w:rsid w:val="00D318B3"/>
    <w:rsid w:val="00D31A1D"/>
    <w:rsid w:val="00D31D55"/>
    <w:rsid w:val="00D32AD1"/>
    <w:rsid w:val="00D3302F"/>
    <w:rsid w:val="00D33066"/>
    <w:rsid w:val="00D332E8"/>
    <w:rsid w:val="00D334CC"/>
    <w:rsid w:val="00D338EE"/>
    <w:rsid w:val="00D33A4F"/>
    <w:rsid w:val="00D340E3"/>
    <w:rsid w:val="00D34484"/>
    <w:rsid w:val="00D34BED"/>
    <w:rsid w:val="00D36A18"/>
    <w:rsid w:val="00D36F11"/>
    <w:rsid w:val="00D37A27"/>
    <w:rsid w:val="00D37D83"/>
    <w:rsid w:val="00D40058"/>
    <w:rsid w:val="00D40244"/>
    <w:rsid w:val="00D40725"/>
    <w:rsid w:val="00D4117B"/>
    <w:rsid w:val="00D42695"/>
    <w:rsid w:val="00D42A6C"/>
    <w:rsid w:val="00D42C8A"/>
    <w:rsid w:val="00D45264"/>
    <w:rsid w:val="00D458D0"/>
    <w:rsid w:val="00D46186"/>
    <w:rsid w:val="00D47147"/>
    <w:rsid w:val="00D515F8"/>
    <w:rsid w:val="00D5176E"/>
    <w:rsid w:val="00D51A19"/>
    <w:rsid w:val="00D52227"/>
    <w:rsid w:val="00D52BB3"/>
    <w:rsid w:val="00D52F2C"/>
    <w:rsid w:val="00D53338"/>
    <w:rsid w:val="00D539B3"/>
    <w:rsid w:val="00D54072"/>
    <w:rsid w:val="00D54F8D"/>
    <w:rsid w:val="00D562A0"/>
    <w:rsid w:val="00D57E29"/>
    <w:rsid w:val="00D603A6"/>
    <w:rsid w:val="00D618D1"/>
    <w:rsid w:val="00D64082"/>
    <w:rsid w:val="00D648D8"/>
    <w:rsid w:val="00D64A88"/>
    <w:rsid w:val="00D6536B"/>
    <w:rsid w:val="00D655BD"/>
    <w:rsid w:val="00D65C1D"/>
    <w:rsid w:val="00D66645"/>
    <w:rsid w:val="00D66B1F"/>
    <w:rsid w:val="00D6777F"/>
    <w:rsid w:val="00D6793D"/>
    <w:rsid w:val="00D67A55"/>
    <w:rsid w:val="00D70F88"/>
    <w:rsid w:val="00D71D63"/>
    <w:rsid w:val="00D720D0"/>
    <w:rsid w:val="00D72BCF"/>
    <w:rsid w:val="00D72F21"/>
    <w:rsid w:val="00D736EA"/>
    <w:rsid w:val="00D74178"/>
    <w:rsid w:val="00D75606"/>
    <w:rsid w:val="00D75890"/>
    <w:rsid w:val="00D75931"/>
    <w:rsid w:val="00D76D92"/>
    <w:rsid w:val="00D801C2"/>
    <w:rsid w:val="00D80284"/>
    <w:rsid w:val="00D80B82"/>
    <w:rsid w:val="00D8149C"/>
    <w:rsid w:val="00D81805"/>
    <w:rsid w:val="00D81B91"/>
    <w:rsid w:val="00D822FD"/>
    <w:rsid w:val="00D823DA"/>
    <w:rsid w:val="00D82657"/>
    <w:rsid w:val="00D82CC9"/>
    <w:rsid w:val="00D83570"/>
    <w:rsid w:val="00D839A2"/>
    <w:rsid w:val="00D842C9"/>
    <w:rsid w:val="00D8529F"/>
    <w:rsid w:val="00D85CB5"/>
    <w:rsid w:val="00D86558"/>
    <w:rsid w:val="00D86782"/>
    <w:rsid w:val="00D86F62"/>
    <w:rsid w:val="00D876F7"/>
    <w:rsid w:val="00D8795A"/>
    <w:rsid w:val="00D90D81"/>
    <w:rsid w:val="00D910C7"/>
    <w:rsid w:val="00D91412"/>
    <w:rsid w:val="00D917E8"/>
    <w:rsid w:val="00D92622"/>
    <w:rsid w:val="00D92742"/>
    <w:rsid w:val="00D93818"/>
    <w:rsid w:val="00D946FF"/>
    <w:rsid w:val="00D958C1"/>
    <w:rsid w:val="00D95AA4"/>
    <w:rsid w:val="00D95CD3"/>
    <w:rsid w:val="00D96A11"/>
    <w:rsid w:val="00D9706B"/>
    <w:rsid w:val="00D97971"/>
    <w:rsid w:val="00DA0000"/>
    <w:rsid w:val="00DA0787"/>
    <w:rsid w:val="00DA07DE"/>
    <w:rsid w:val="00DA0861"/>
    <w:rsid w:val="00DA0B8D"/>
    <w:rsid w:val="00DA0BC6"/>
    <w:rsid w:val="00DA0D27"/>
    <w:rsid w:val="00DA0D4C"/>
    <w:rsid w:val="00DA0FDD"/>
    <w:rsid w:val="00DA1572"/>
    <w:rsid w:val="00DA1C6E"/>
    <w:rsid w:val="00DA1E33"/>
    <w:rsid w:val="00DA20EC"/>
    <w:rsid w:val="00DA2546"/>
    <w:rsid w:val="00DA3111"/>
    <w:rsid w:val="00DA5B4C"/>
    <w:rsid w:val="00DA5D73"/>
    <w:rsid w:val="00DA5E3C"/>
    <w:rsid w:val="00DA608F"/>
    <w:rsid w:val="00DA67D4"/>
    <w:rsid w:val="00DA6B3E"/>
    <w:rsid w:val="00DB03F3"/>
    <w:rsid w:val="00DB08CE"/>
    <w:rsid w:val="00DB093D"/>
    <w:rsid w:val="00DB1C8B"/>
    <w:rsid w:val="00DB1F9B"/>
    <w:rsid w:val="00DB2C93"/>
    <w:rsid w:val="00DB3038"/>
    <w:rsid w:val="00DB3255"/>
    <w:rsid w:val="00DB4140"/>
    <w:rsid w:val="00DB46EC"/>
    <w:rsid w:val="00DB481B"/>
    <w:rsid w:val="00DB4934"/>
    <w:rsid w:val="00DB5285"/>
    <w:rsid w:val="00DB5353"/>
    <w:rsid w:val="00DB5B71"/>
    <w:rsid w:val="00DB619F"/>
    <w:rsid w:val="00DB648C"/>
    <w:rsid w:val="00DB69E6"/>
    <w:rsid w:val="00DB6E63"/>
    <w:rsid w:val="00DB6F2C"/>
    <w:rsid w:val="00DB79B9"/>
    <w:rsid w:val="00DC1366"/>
    <w:rsid w:val="00DC1AEE"/>
    <w:rsid w:val="00DC2483"/>
    <w:rsid w:val="00DC2937"/>
    <w:rsid w:val="00DC424E"/>
    <w:rsid w:val="00DC5243"/>
    <w:rsid w:val="00DC5594"/>
    <w:rsid w:val="00DC55F8"/>
    <w:rsid w:val="00DC6344"/>
    <w:rsid w:val="00DC63D1"/>
    <w:rsid w:val="00DC691B"/>
    <w:rsid w:val="00DC7417"/>
    <w:rsid w:val="00DC75AA"/>
    <w:rsid w:val="00DC79A7"/>
    <w:rsid w:val="00DD02C2"/>
    <w:rsid w:val="00DD032D"/>
    <w:rsid w:val="00DD1D49"/>
    <w:rsid w:val="00DD20F1"/>
    <w:rsid w:val="00DD4341"/>
    <w:rsid w:val="00DD5632"/>
    <w:rsid w:val="00DD5BE8"/>
    <w:rsid w:val="00DD6BF2"/>
    <w:rsid w:val="00DD71D8"/>
    <w:rsid w:val="00DD73B1"/>
    <w:rsid w:val="00DD7733"/>
    <w:rsid w:val="00DD7D26"/>
    <w:rsid w:val="00DD7E43"/>
    <w:rsid w:val="00DD7E91"/>
    <w:rsid w:val="00DD7F69"/>
    <w:rsid w:val="00DE014B"/>
    <w:rsid w:val="00DE0622"/>
    <w:rsid w:val="00DE07DC"/>
    <w:rsid w:val="00DE1AD3"/>
    <w:rsid w:val="00DE21AA"/>
    <w:rsid w:val="00DE2C4B"/>
    <w:rsid w:val="00DE2D81"/>
    <w:rsid w:val="00DE2E9B"/>
    <w:rsid w:val="00DE3176"/>
    <w:rsid w:val="00DE3225"/>
    <w:rsid w:val="00DE3F0A"/>
    <w:rsid w:val="00DE457D"/>
    <w:rsid w:val="00DE4996"/>
    <w:rsid w:val="00DE5D82"/>
    <w:rsid w:val="00DE778C"/>
    <w:rsid w:val="00DF0787"/>
    <w:rsid w:val="00DF15D1"/>
    <w:rsid w:val="00DF2726"/>
    <w:rsid w:val="00DF2ABD"/>
    <w:rsid w:val="00DF35CC"/>
    <w:rsid w:val="00DF3B84"/>
    <w:rsid w:val="00DF4107"/>
    <w:rsid w:val="00DF4740"/>
    <w:rsid w:val="00DF5301"/>
    <w:rsid w:val="00DF62F4"/>
    <w:rsid w:val="00DF6636"/>
    <w:rsid w:val="00DF6E51"/>
    <w:rsid w:val="00DF735F"/>
    <w:rsid w:val="00E006DB"/>
    <w:rsid w:val="00E01E27"/>
    <w:rsid w:val="00E01E3C"/>
    <w:rsid w:val="00E02127"/>
    <w:rsid w:val="00E02CA0"/>
    <w:rsid w:val="00E02E80"/>
    <w:rsid w:val="00E036F9"/>
    <w:rsid w:val="00E03F75"/>
    <w:rsid w:val="00E045C5"/>
    <w:rsid w:val="00E04EEC"/>
    <w:rsid w:val="00E05023"/>
    <w:rsid w:val="00E057E4"/>
    <w:rsid w:val="00E06091"/>
    <w:rsid w:val="00E06A1E"/>
    <w:rsid w:val="00E070FA"/>
    <w:rsid w:val="00E07633"/>
    <w:rsid w:val="00E07FAB"/>
    <w:rsid w:val="00E106E5"/>
    <w:rsid w:val="00E11301"/>
    <w:rsid w:val="00E11EAB"/>
    <w:rsid w:val="00E12042"/>
    <w:rsid w:val="00E12330"/>
    <w:rsid w:val="00E12CAC"/>
    <w:rsid w:val="00E13072"/>
    <w:rsid w:val="00E1417C"/>
    <w:rsid w:val="00E144A5"/>
    <w:rsid w:val="00E15DCF"/>
    <w:rsid w:val="00E166CD"/>
    <w:rsid w:val="00E168DF"/>
    <w:rsid w:val="00E16E70"/>
    <w:rsid w:val="00E1736B"/>
    <w:rsid w:val="00E17FD7"/>
    <w:rsid w:val="00E21490"/>
    <w:rsid w:val="00E21ED8"/>
    <w:rsid w:val="00E22055"/>
    <w:rsid w:val="00E228A8"/>
    <w:rsid w:val="00E23716"/>
    <w:rsid w:val="00E23B67"/>
    <w:rsid w:val="00E23DF4"/>
    <w:rsid w:val="00E23E25"/>
    <w:rsid w:val="00E24262"/>
    <w:rsid w:val="00E254F3"/>
    <w:rsid w:val="00E25A5F"/>
    <w:rsid w:val="00E25DB1"/>
    <w:rsid w:val="00E26292"/>
    <w:rsid w:val="00E306C7"/>
    <w:rsid w:val="00E30EEF"/>
    <w:rsid w:val="00E31755"/>
    <w:rsid w:val="00E31BC3"/>
    <w:rsid w:val="00E344F0"/>
    <w:rsid w:val="00E345A7"/>
    <w:rsid w:val="00E348EF"/>
    <w:rsid w:val="00E34C8F"/>
    <w:rsid w:val="00E351F9"/>
    <w:rsid w:val="00E357A6"/>
    <w:rsid w:val="00E35B02"/>
    <w:rsid w:val="00E36973"/>
    <w:rsid w:val="00E3790F"/>
    <w:rsid w:val="00E407F8"/>
    <w:rsid w:val="00E40FCA"/>
    <w:rsid w:val="00E423DB"/>
    <w:rsid w:val="00E426D0"/>
    <w:rsid w:val="00E43156"/>
    <w:rsid w:val="00E4422B"/>
    <w:rsid w:val="00E44804"/>
    <w:rsid w:val="00E44DF6"/>
    <w:rsid w:val="00E453AD"/>
    <w:rsid w:val="00E46169"/>
    <w:rsid w:val="00E478B5"/>
    <w:rsid w:val="00E50739"/>
    <w:rsid w:val="00E50CE3"/>
    <w:rsid w:val="00E51346"/>
    <w:rsid w:val="00E51BBE"/>
    <w:rsid w:val="00E5289C"/>
    <w:rsid w:val="00E5339B"/>
    <w:rsid w:val="00E53C4F"/>
    <w:rsid w:val="00E53C87"/>
    <w:rsid w:val="00E54192"/>
    <w:rsid w:val="00E54892"/>
    <w:rsid w:val="00E54CDC"/>
    <w:rsid w:val="00E55F8A"/>
    <w:rsid w:val="00E569DA"/>
    <w:rsid w:val="00E56EE2"/>
    <w:rsid w:val="00E60647"/>
    <w:rsid w:val="00E60ACE"/>
    <w:rsid w:val="00E618A8"/>
    <w:rsid w:val="00E62CAA"/>
    <w:rsid w:val="00E63077"/>
    <w:rsid w:val="00E630CB"/>
    <w:rsid w:val="00E63D3B"/>
    <w:rsid w:val="00E6513E"/>
    <w:rsid w:val="00E65904"/>
    <w:rsid w:val="00E65B16"/>
    <w:rsid w:val="00E6749A"/>
    <w:rsid w:val="00E67FE3"/>
    <w:rsid w:val="00E7111D"/>
    <w:rsid w:val="00E7175D"/>
    <w:rsid w:val="00E71BD8"/>
    <w:rsid w:val="00E74276"/>
    <w:rsid w:val="00E74525"/>
    <w:rsid w:val="00E75ACD"/>
    <w:rsid w:val="00E7658E"/>
    <w:rsid w:val="00E76978"/>
    <w:rsid w:val="00E7794B"/>
    <w:rsid w:val="00E77C47"/>
    <w:rsid w:val="00E77EA5"/>
    <w:rsid w:val="00E80A4D"/>
    <w:rsid w:val="00E819B9"/>
    <w:rsid w:val="00E82299"/>
    <w:rsid w:val="00E8247E"/>
    <w:rsid w:val="00E8295A"/>
    <w:rsid w:val="00E82CD7"/>
    <w:rsid w:val="00E82E60"/>
    <w:rsid w:val="00E83DC3"/>
    <w:rsid w:val="00E83DE4"/>
    <w:rsid w:val="00E84407"/>
    <w:rsid w:val="00E84776"/>
    <w:rsid w:val="00E86391"/>
    <w:rsid w:val="00E863A0"/>
    <w:rsid w:val="00E86CE6"/>
    <w:rsid w:val="00E9026B"/>
    <w:rsid w:val="00E90745"/>
    <w:rsid w:val="00E90CD5"/>
    <w:rsid w:val="00E91745"/>
    <w:rsid w:val="00E928CF"/>
    <w:rsid w:val="00E92D81"/>
    <w:rsid w:val="00E93501"/>
    <w:rsid w:val="00E93972"/>
    <w:rsid w:val="00E94F2A"/>
    <w:rsid w:val="00E95BE0"/>
    <w:rsid w:val="00E95BF7"/>
    <w:rsid w:val="00E95E7C"/>
    <w:rsid w:val="00E96318"/>
    <w:rsid w:val="00E96553"/>
    <w:rsid w:val="00E96F57"/>
    <w:rsid w:val="00E97A7B"/>
    <w:rsid w:val="00EA0741"/>
    <w:rsid w:val="00EA0CAC"/>
    <w:rsid w:val="00EA0E82"/>
    <w:rsid w:val="00EA17C6"/>
    <w:rsid w:val="00EA1E40"/>
    <w:rsid w:val="00EA1FBE"/>
    <w:rsid w:val="00EA2546"/>
    <w:rsid w:val="00EA3B72"/>
    <w:rsid w:val="00EA3EFF"/>
    <w:rsid w:val="00EA3F44"/>
    <w:rsid w:val="00EA401E"/>
    <w:rsid w:val="00EA4912"/>
    <w:rsid w:val="00EA5831"/>
    <w:rsid w:val="00EA58B8"/>
    <w:rsid w:val="00EA64ED"/>
    <w:rsid w:val="00EA6965"/>
    <w:rsid w:val="00EA6ECB"/>
    <w:rsid w:val="00EA7438"/>
    <w:rsid w:val="00EB0F6B"/>
    <w:rsid w:val="00EB1ABF"/>
    <w:rsid w:val="00EB28C1"/>
    <w:rsid w:val="00EB2CCF"/>
    <w:rsid w:val="00EB3177"/>
    <w:rsid w:val="00EB33B3"/>
    <w:rsid w:val="00EB353F"/>
    <w:rsid w:val="00EB4386"/>
    <w:rsid w:val="00EB569F"/>
    <w:rsid w:val="00EB58EB"/>
    <w:rsid w:val="00EB5A2D"/>
    <w:rsid w:val="00EB60A4"/>
    <w:rsid w:val="00EB674A"/>
    <w:rsid w:val="00EB6B4C"/>
    <w:rsid w:val="00EB6DBE"/>
    <w:rsid w:val="00EB6E82"/>
    <w:rsid w:val="00EB7066"/>
    <w:rsid w:val="00EB7C69"/>
    <w:rsid w:val="00EC0C14"/>
    <w:rsid w:val="00EC0D01"/>
    <w:rsid w:val="00EC20BD"/>
    <w:rsid w:val="00EC2788"/>
    <w:rsid w:val="00EC2BD1"/>
    <w:rsid w:val="00EC4FE6"/>
    <w:rsid w:val="00EC5000"/>
    <w:rsid w:val="00EC50A6"/>
    <w:rsid w:val="00EC56B5"/>
    <w:rsid w:val="00EC6580"/>
    <w:rsid w:val="00EC6A46"/>
    <w:rsid w:val="00EC6A92"/>
    <w:rsid w:val="00EC6D6C"/>
    <w:rsid w:val="00EC7297"/>
    <w:rsid w:val="00ED0B1F"/>
    <w:rsid w:val="00ED2040"/>
    <w:rsid w:val="00ED3032"/>
    <w:rsid w:val="00ED34A2"/>
    <w:rsid w:val="00ED4285"/>
    <w:rsid w:val="00ED4439"/>
    <w:rsid w:val="00ED450D"/>
    <w:rsid w:val="00ED4D0C"/>
    <w:rsid w:val="00ED576D"/>
    <w:rsid w:val="00ED6C18"/>
    <w:rsid w:val="00ED6EA4"/>
    <w:rsid w:val="00ED7FE7"/>
    <w:rsid w:val="00EE00E5"/>
    <w:rsid w:val="00EE09E0"/>
    <w:rsid w:val="00EE0BDD"/>
    <w:rsid w:val="00EE0C58"/>
    <w:rsid w:val="00EE26CE"/>
    <w:rsid w:val="00EE2CE0"/>
    <w:rsid w:val="00EE3044"/>
    <w:rsid w:val="00EE3405"/>
    <w:rsid w:val="00EE343F"/>
    <w:rsid w:val="00EE3DAD"/>
    <w:rsid w:val="00EE4024"/>
    <w:rsid w:val="00EE504E"/>
    <w:rsid w:val="00EE5A57"/>
    <w:rsid w:val="00EE690F"/>
    <w:rsid w:val="00EE6B91"/>
    <w:rsid w:val="00EE7E41"/>
    <w:rsid w:val="00EF059E"/>
    <w:rsid w:val="00EF2128"/>
    <w:rsid w:val="00EF21D9"/>
    <w:rsid w:val="00EF280B"/>
    <w:rsid w:val="00EF2D17"/>
    <w:rsid w:val="00EF2DCB"/>
    <w:rsid w:val="00EF3D73"/>
    <w:rsid w:val="00EF3D83"/>
    <w:rsid w:val="00EF4409"/>
    <w:rsid w:val="00EF4A31"/>
    <w:rsid w:val="00EF692D"/>
    <w:rsid w:val="00EF6C45"/>
    <w:rsid w:val="00EF7836"/>
    <w:rsid w:val="00F004F6"/>
    <w:rsid w:val="00F022B4"/>
    <w:rsid w:val="00F02889"/>
    <w:rsid w:val="00F02A45"/>
    <w:rsid w:val="00F02C53"/>
    <w:rsid w:val="00F035BE"/>
    <w:rsid w:val="00F04008"/>
    <w:rsid w:val="00F04253"/>
    <w:rsid w:val="00F058B8"/>
    <w:rsid w:val="00F05DA3"/>
    <w:rsid w:val="00F06AD0"/>
    <w:rsid w:val="00F06CB8"/>
    <w:rsid w:val="00F0747B"/>
    <w:rsid w:val="00F07C9F"/>
    <w:rsid w:val="00F07DC7"/>
    <w:rsid w:val="00F10935"/>
    <w:rsid w:val="00F10F48"/>
    <w:rsid w:val="00F10FE4"/>
    <w:rsid w:val="00F14078"/>
    <w:rsid w:val="00F14995"/>
    <w:rsid w:val="00F14E72"/>
    <w:rsid w:val="00F154A7"/>
    <w:rsid w:val="00F16906"/>
    <w:rsid w:val="00F2039D"/>
    <w:rsid w:val="00F2078A"/>
    <w:rsid w:val="00F20A20"/>
    <w:rsid w:val="00F22353"/>
    <w:rsid w:val="00F22D6C"/>
    <w:rsid w:val="00F22D8C"/>
    <w:rsid w:val="00F23163"/>
    <w:rsid w:val="00F24292"/>
    <w:rsid w:val="00F246DE"/>
    <w:rsid w:val="00F24996"/>
    <w:rsid w:val="00F24AA8"/>
    <w:rsid w:val="00F24C7E"/>
    <w:rsid w:val="00F24CA5"/>
    <w:rsid w:val="00F2582A"/>
    <w:rsid w:val="00F26438"/>
    <w:rsid w:val="00F26903"/>
    <w:rsid w:val="00F2711A"/>
    <w:rsid w:val="00F273D7"/>
    <w:rsid w:val="00F275E7"/>
    <w:rsid w:val="00F30861"/>
    <w:rsid w:val="00F313D4"/>
    <w:rsid w:val="00F31BA5"/>
    <w:rsid w:val="00F3281C"/>
    <w:rsid w:val="00F33F09"/>
    <w:rsid w:val="00F343C0"/>
    <w:rsid w:val="00F3474E"/>
    <w:rsid w:val="00F34D93"/>
    <w:rsid w:val="00F35401"/>
    <w:rsid w:val="00F37172"/>
    <w:rsid w:val="00F37C4B"/>
    <w:rsid w:val="00F404CE"/>
    <w:rsid w:val="00F40E13"/>
    <w:rsid w:val="00F42170"/>
    <w:rsid w:val="00F421B2"/>
    <w:rsid w:val="00F4400D"/>
    <w:rsid w:val="00F45671"/>
    <w:rsid w:val="00F463F3"/>
    <w:rsid w:val="00F46F5E"/>
    <w:rsid w:val="00F514EC"/>
    <w:rsid w:val="00F519A8"/>
    <w:rsid w:val="00F51F8B"/>
    <w:rsid w:val="00F54F07"/>
    <w:rsid w:val="00F54F2C"/>
    <w:rsid w:val="00F551F0"/>
    <w:rsid w:val="00F56537"/>
    <w:rsid w:val="00F57C52"/>
    <w:rsid w:val="00F57D66"/>
    <w:rsid w:val="00F607B7"/>
    <w:rsid w:val="00F61052"/>
    <w:rsid w:val="00F61B36"/>
    <w:rsid w:val="00F61C32"/>
    <w:rsid w:val="00F6209E"/>
    <w:rsid w:val="00F62C6A"/>
    <w:rsid w:val="00F63C06"/>
    <w:rsid w:val="00F63CF3"/>
    <w:rsid w:val="00F654A5"/>
    <w:rsid w:val="00F65525"/>
    <w:rsid w:val="00F65667"/>
    <w:rsid w:val="00F65AA9"/>
    <w:rsid w:val="00F65CF4"/>
    <w:rsid w:val="00F65EBA"/>
    <w:rsid w:val="00F660C0"/>
    <w:rsid w:val="00F6627B"/>
    <w:rsid w:val="00F670CE"/>
    <w:rsid w:val="00F67A6A"/>
    <w:rsid w:val="00F67F59"/>
    <w:rsid w:val="00F67F82"/>
    <w:rsid w:val="00F70BFA"/>
    <w:rsid w:val="00F70D42"/>
    <w:rsid w:val="00F71DAC"/>
    <w:rsid w:val="00F71E6F"/>
    <w:rsid w:val="00F7291E"/>
    <w:rsid w:val="00F72B48"/>
    <w:rsid w:val="00F73498"/>
    <w:rsid w:val="00F756A2"/>
    <w:rsid w:val="00F756FD"/>
    <w:rsid w:val="00F7597E"/>
    <w:rsid w:val="00F75CB6"/>
    <w:rsid w:val="00F7656A"/>
    <w:rsid w:val="00F7703C"/>
    <w:rsid w:val="00F77D9F"/>
    <w:rsid w:val="00F81E62"/>
    <w:rsid w:val="00F822B7"/>
    <w:rsid w:val="00F82BD6"/>
    <w:rsid w:val="00F83303"/>
    <w:rsid w:val="00F8359E"/>
    <w:rsid w:val="00F857B7"/>
    <w:rsid w:val="00F858BF"/>
    <w:rsid w:val="00F85DD4"/>
    <w:rsid w:val="00F85E1D"/>
    <w:rsid w:val="00F8629F"/>
    <w:rsid w:val="00F8669A"/>
    <w:rsid w:val="00F86E04"/>
    <w:rsid w:val="00F87985"/>
    <w:rsid w:val="00F90EA1"/>
    <w:rsid w:val="00F90EBC"/>
    <w:rsid w:val="00F917B5"/>
    <w:rsid w:val="00F91904"/>
    <w:rsid w:val="00F9321C"/>
    <w:rsid w:val="00F93A17"/>
    <w:rsid w:val="00F940A8"/>
    <w:rsid w:val="00F9471B"/>
    <w:rsid w:val="00F95AAA"/>
    <w:rsid w:val="00F963B2"/>
    <w:rsid w:val="00F96B5F"/>
    <w:rsid w:val="00F97666"/>
    <w:rsid w:val="00FA0FAA"/>
    <w:rsid w:val="00FA145F"/>
    <w:rsid w:val="00FA19FF"/>
    <w:rsid w:val="00FA242F"/>
    <w:rsid w:val="00FA34FF"/>
    <w:rsid w:val="00FA3808"/>
    <w:rsid w:val="00FA3DAB"/>
    <w:rsid w:val="00FA3FD0"/>
    <w:rsid w:val="00FA42B2"/>
    <w:rsid w:val="00FA4A2D"/>
    <w:rsid w:val="00FA5B26"/>
    <w:rsid w:val="00FA6DB5"/>
    <w:rsid w:val="00FA7167"/>
    <w:rsid w:val="00FA7918"/>
    <w:rsid w:val="00FB0AE4"/>
    <w:rsid w:val="00FB11DF"/>
    <w:rsid w:val="00FB1616"/>
    <w:rsid w:val="00FB1D76"/>
    <w:rsid w:val="00FB4151"/>
    <w:rsid w:val="00FB422A"/>
    <w:rsid w:val="00FB436D"/>
    <w:rsid w:val="00FB5641"/>
    <w:rsid w:val="00FB709C"/>
    <w:rsid w:val="00FB7ADB"/>
    <w:rsid w:val="00FC0202"/>
    <w:rsid w:val="00FC0B68"/>
    <w:rsid w:val="00FC29A2"/>
    <w:rsid w:val="00FC2DE4"/>
    <w:rsid w:val="00FC2E0F"/>
    <w:rsid w:val="00FC355A"/>
    <w:rsid w:val="00FC3EEF"/>
    <w:rsid w:val="00FC46A4"/>
    <w:rsid w:val="00FC5837"/>
    <w:rsid w:val="00FC6D4B"/>
    <w:rsid w:val="00FD1848"/>
    <w:rsid w:val="00FD18A9"/>
    <w:rsid w:val="00FD1E92"/>
    <w:rsid w:val="00FD2178"/>
    <w:rsid w:val="00FD2289"/>
    <w:rsid w:val="00FD3033"/>
    <w:rsid w:val="00FD3754"/>
    <w:rsid w:val="00FD4216"/>
    <w:rsid w:val="00FD436F"/>
    <w:rsid w:val="00FD4428"/>
    <w:rsid w:val="00FD4A2A"/>
    <w:rsid w:val="00FD5264"/>
    <w:rsid w:val="00FD53CC"/>
    <w:rsid w:val="00FD5BF9"/>
    <w:rsid w:val="00FD6A09"/>
    <w:rsid w:val="00FD7B13"/>
    <w:rsid w:val="00FE1625"/>
    <w:rsid w:val="00FE24D4"/>
    <w:rsid w:val="00FE24F5"/>
    <w:rsid w:val="00FE37E4"/>
    <w:rsid w:val="00FE38D0"/>
    <w:rsid w:val="00FE40C6"/>
    <w:rsid w:val="00FE41CE"/>
    <w:rsid w:val="00FE482C"/>
    <w:rsid w:val="00FE4840"/>
    <w:rsid w:val="00FE6116"/>
    <w:rsid w:val="00FE6C44"/>
    <w:rsid w:val="00FE6CAC"/>
    <w:rsid w:val="00FF01F6"/>
    <w:rsid w:val="00FF13FA"/>
    <w:rsid w:val="00FF1FCE"/>
    <w:rsid w:val="00FF273C"/>
    <w:rsid w:val="00FF4AFC"/>
    <w:rsid w:val="00FF5F88"/>
    <w:rsid w:val="00FF69E5"/>
    <w:rsid w:val="00FF70A2"/>
    <w:rsid w:val="00FF7A96"/>
    <w:rsid w:val="018FEF83"/>
    <w:rsid w:val="01FBC304"/>
    <w:rsid w:val="0284110D"/>
    <w:rsid w:val="029C98FC"/>
    <w:rsid w:val="0319DC6B"/>
    <w:rsid w:val="0420678A"/>
    <w:rsid w:val="0456DB0C"/>
    <w:rsid w:val="048FB59F"/>
    <w:rsid w:val="0527052C"/>
    <w:rsid w:val="0557AF6D"/>
    <w:rsid w:val="056853D0"/>
    <w:rsid w:val="05BB8AC0"/>
    <w:rsid w:val="06125679"/>
    <w:rsid w:val="064A5043"/>
    <w:rsid w:val="06B40233"/>
    <w:rsid w:val="0779BA9D"/>
    <w:rsid w:val="08E6696D"/>
    <w:rsid w:val="08EDE5FA"/>
    <w:rsid w:val="08F147E0"/>
    <w:rsid w:val="090F6779"/>
    <w:rsid w:val="09288489"/>
    <w:rsid w:val="094B353D"/>
    <w:rsid w:val="0A9D4114"/>
    <w:rsid w:val="0AECC758"/>
    <w:rsid w:val="0B020B98"/>
    <w:rsid w:val="0B65BF68"/>
    <w:rsid w:val="0B931C88"/>
    <w:rsid w:val="0BFE2232"/>
    <w:rsid w:val="0C371786"/>
    <w:rsid w:val="0D6B750F"/>
    <w:rsid w:val="0DEC6402"/>
    <w:rsid w:val="0F1C0023"/>
    <w:rsid w:val="0F3D9B9D"/>
    <w:rsid w:val="0F74DAF1"/>
    <w:rsid w:val="0F8D3CC1"/>
    <w:rsid w:val="0F936353"/>
    <w:rsid w:val="0FA0B54E"/>
    <w:rsid w:val="10F07135"/>
    <w:rsid w:val="1155BD35"/>
    <w:rsid w:val="120CF6B0"/>
    <w:rsid w:val="121AFA58"/>
    <w:rsid w:val="1256BD47"/>
    <w:rsid w:val="12A9D8C6"/>
    <w:rsid w:val="12A9DAEC"/>
    <w:rsid w:val="12CBD1CC"/>
    <w:rsid w:val="12F996C8"/>
    <w:rsid w:val="13FC43A0"/>
    <w:rsid w:val="1406BF31"/>
    <w:rsid w:val="14D87F2A"/>
    <w:rsid w:val="14E572CF"/>
    <w:rsid w:val="1514F476"/>
    <w:rsid w:val="154C0F58"/>
    <w:rsid w:val="168392FD"/>
    <w:rsid w:val="16CADC35"/>
    <w:rsid w:val="16F85476"/>
    <w:rsid w:val="17B3E741"/>
    <w:rsid w:val="17EBCC39"/>
    <w:rsid w:val="184CCDAB"/>
    <w:rsid w:val="1A24BAA5"/>
    <w:rsid w:val="1A4F6799"/>
    <w:rsid w:val="1BF69C51"/>
    <w:rsid w:val="1C27A50A"/>
    <w:rsid w:val="1CAB3C00"/>
    <w:rsid w:val="1CB5E4B6"/>
    <w:rsid w:val="1D88787D"/>
    <w:rsid w:val="1E167018"/>
    <w:rsid w:val="1E97E71C"/>
    <w:rsid w:val="1F1D6D0F"/>
    <w:rsid w:val="1F48487B"/>
    <w:rsid w:val="2039F496"/>
    <w:rsid w:val="20E3CBF8"/>
    <w:rsid w:val="20EE7D9A"/>
    <w:rsid w:val="211E24EE"/>
    <w:rsid w:val="2228E14E"/>
    <w:rsid w:val="233E99F5"/>
    <w:rsid w:val="25293B1D"/>
    <w:rsid w:val="259E4125"/>
    <w:rsid w:val="2791CF96"/>
    <w:rsid w:val="27A60FC4"/>
    <w:rsid w:val="27A8A4E2"/>
    <w:rsid w:val="27FC9AC3"/>
    <w:rsid w:val="2834DD28"/>
    <w:rsid w:val="28369FD4"/>
    <w:rsid w:val="28CED894"/>
    <w:rsid w:val="29125F39"/>
    <w:rsid w:val="294F8661"/>
    <w:rsid w:val="29603F1B"/>
    <w:rsid w:val="29A546E3"/>
    <w:rsid w:val="29A95352"/>
    <w:rsid w:val="29A9D533"/>
    <w:rsid w:val="2A010F21"/>
    <w:rsid w:val="2AAD773F"/>
    <w:rsid w:val="2ABD26CD"/>
    <w:rsid w:val="2B260785"/>
    <w:rsid w:val="2B941A94"/>
    <w:rsid w:val="2BCC8FB1"/>
    <w:rsid w:val="2BF24FAC"/>
    <w:rsid w:val="2C838BA6"/>
    <w:rsid w:val="2C94911C"/>
    <w:rsid w:val="2CA40DA0"/>
    <w:rsid w:val="2CC0E8AD"/>
    <w:rsid w:val="2CF31F01"/>
    <w:rsid w:val="2D02B14E"/>
    <w:rsid w:val="2D311F3F"/>
    <w:rsid w:val="2DF9FC17"/>
    <w:rsid w:val="2DFE2952"/>
    <w:rsid w:val="2FB3308A"/>
    <w:rsid w:val="2FD047FB"/>
    <w:rsid w:val="306F8AEF"/>
    <w:rsid w:val="30E4F554"/>
    <w:rsid w:val="312C6FEB"/>
    <w:rsid w:val="3171F5A5"/>
    <w:rsid w:val="31E3F261"/>
    <w:rsid w:val="31F7908B"/>
    <w:rsid w:val="328DDFD0"/>
    <w:rsid w:val="32D3266B"/>
    <w:rsid w:val="32D5306A"/>
    <w:rsid w:val="3324F396"/>
    <w:rsid w:val="3329D2BE"/>
    <w:rsid w:val="3346CE38"/>
    <w:rsid w:val="33926FBA"/>
    <w:rsid w:val="3516C8E5"/>
    <w:rsid w:val="35ADA8FE"/>
    <w:rsid w:val="3655745E"/>
    <w:rsid w:val="370382E5"/>
    <w:rsid w:val="3703F848"/>
    <w:rsid w:val="37CB0FBF"/>
    <w:rsid w:val="380F5A6C"/>
    <w:rsid w:val="383A85F6"/>
    <w:rsid w:val="38B639E8"/>
    <w:rsid w:val="38C50043"/>
    <w:rsid w:val="3A152E94"/>
    <w:rsid w:val="3AD6AFDB"/>
    <w:rsid w:val="3B9B4AD0"/>
    <w:rsid w:val="3BF1C92A"/>
    <w:rsid w:val="3BFE02FC"/>
    <w:rsid w:val="3CA6FB1B"/>
    <w:rsid w:val="3CCCC9C2"/>
    <w:rsid w:val="3CDA73D6"/>
    <w:rsid w:val="3D1998B1"/>
    <w:rsid w:val="3D267B8E"/>
    <w:rsid w:val="3D3BADBD"/>
    <w:rsid w:val="3DCF8024"/>
    <w:rsid w:val="3DDF8D5C"/>
    <w:rsid w:val="3E2DF1B9"/>
    <w:rsid w:val="3E50C6C2"/>
    <w:rsid w:val="3E76D837"/>
    <w:rsid w:val="3F1D80F3"/>
    <w:rsid w:val="401A5BEC"/>
    <w:rsid w:val="41381F00"/>
    <w:rsid w:val="42225CDF"/>
    <w:rsid w:val="42E241EC"/>
    <w:rsid w:val="432AFC3B"/>
    <w:rsid w:val="43F4CBAC"/>
    <w:rsid w:val="4410CFD9"/>
    <w:rsid w:val="44334D56"/>
    <w:rsid w:val="4482355F"/>
    <w:rsid w:val="448F3760"/>
    <w:rsid w:val="44A3B52F"/>
    <w:rsid w:val="45C1E7C2"/>
    <w:rsid w:val="45E47ACC"/>
    <w:rsid w:val="45EEA460"/>
    <w:rsid w:val="469424B3"/>
    <w:rsid w:val="46ADE244"/>
    <w:rsid w:val="47A4C577"/>
    <w:rsid w:val="47C1A251"/>
    <w:rsid w:val="48E97620"/>
    <w:rsid w:val="48F6830E"/>
    <w:rsid w:val="49EE6A74"/>
    <w:rsid w:val="4A82D8EF"/>
    <w:rsid w:val="4AC1EFC2"/>
    <w:rsid w:val="4AC4185E"/>
    <w:rsid w:val="4B1EFA92"/>
    <w:rsid w:val="4B4359FB"/>
    <w:rsid w:val="4BCA63A9"/>
    <w:rsid w:val="4D5A21E3"/>
    <w:rsid w:val="4D5B50B3"/>
    <w:rsid w:val="4DA2A755"/>
    <w:rsid w:val="4F4C70CC"/>
    <w:rsid w:val="5020E9D2"/>
    <w:rsid w:val="50237EA1"/>
    <w:rsid w:val="50C8D9AE"/>
    <w:rsid w:val="5107AEEB"/>
    <w:rsid w:val="531BC302"/>
    <w:rsid w:val="5331E87F"/>
    <w:rsid w:val="53C7D709"/>
    <w:rsid w:val="54038C02"/>
    <w:rsid w:val="543B0984"/>
    <w:rsid w:val="549CA09F"/>
    <w:rsid w:val="54ECFD08"/>
    <w:rsid w:val="550AD697"/>
    <w:rsid w:val="5514F020"/>
    <w:rsid w:val="55306685"/>
    <w:rsid w:val="55DEAADE"/>
    <w:rsid w:val="5662694E"/>
    <w:rsid w:val="566943C1"/>
    <w:rsid w:val="56DCBDFF"/>
    <w:rsid w:val="5703BCC0"/>
    <w:rsid w:val="577948F1"/>
    <w:rsid w:val="579A0C3D"/>
    <w:rsid w:val="5888464B"/>
    <w:rsid w:val="59309DFB"/>
    <w:rsid w:val="5948916F"/>
    <w:rsid w:val="595411D4"/>
    <w:rsid w:val="59616EAB"/>
    <w:rsid w:val="5A6FE8F5"/>
    <w:rsid w:val="5A77FC04"/>
    <w:rsid w:val="5B051865"/>
    <w:rsid w:val="5B67A604"/>
    <w:rsid w:val="5B782D24"/>
    <w:rsid w:val="5BACC8BA"/>
    <w:rsid w:val="5BD13668"/>
    <w:rsid w:val="5BF1E5C7"/>
    <w:rsid w:val="5C269EE6"/>
    <w:rsid w:val="5CDC98E8"/>
    <w:rsid w:val="5D2440D9"/>
    <w:rsid w:val="5D78350A"/>
    <w:rsid w:val="5DE92E47"/>
    <w:rsid w:val="5E0A3AE3"/>
    <w:rsid w:val="5E2506DE"/>
    <w:rsid w:val="5E8908E7"/>
    <w:rsid w:val="5EDDA3A3"/>
    <w:rsid w:val="5EE96C5D"/>
    <w:rsid w:val="5F16D2BC"/>
    <w:rsid w:val="5FADB7BA"/>
    <w:rsid w:val="602DDCBF"/>
    <w:rsid w:val="61F1A18B"/>
    <w:rsid w:val="6228861A"/>
    <w:rsid w:val="628C8201"/>
    <w:rsid w:val="62DA6C97"/>
    <w:rsid w:val="631A6B3A"/>
    <w:rsid w:val="643B18E8"/>
    <w:rsid w:val="644B2247"/>
    <w:rsid w:val="646135A2"/>
    <w:rsid w:val="647D508E"/>
    <w:rsid w:val="64978BC5"/>
    <w:rsid w:val="64B61817"/>
    <w:rsid w:val="64CFA9E9"/>
    <w:rsid w:val="654821F7"/>
    <w:rsid w:val="6619BA2F"/>
    <w:rsid w:val="678B2A4F"/>
    <w:rsid w:val="67FBF6D2"/>
    <w:rsid w:val="67FE7F40"/>
    <w:rsid w:val="68E61590"/>
    <w:rsid w:val="6AB7033D"/>
    <w:rsid w:val="6B202088"/>
    <w:rsid w:val="6DAD702C"/>
    <w:rsid w:val="6DD71ACA"/>
    <w:rsid w:val="6E406915"/>
    <w:rsid w:val="6E4148E8"/>
    <w:rsid w:val="6E53733C"/>
    <w:rsid w:val="6E67C90E"/>
    <w:rsid w:val="6F0AFDC1"/>
    <w:rsid w:val="6F0D742F"/>
    <w:rsid w:val="6FC02B7F"/>
    <w:rsid w:val="70054F68"/>
    <w:rsid w:val="70401B8B"/>
    <w:rsid w:val="713BA36F"/>
    <w:rsid w:val="71B56E64"/>
    <w:rsid w:val="723D8317"/>
    <w:rsid w:val="75133644"/>
    <w:rsid w:val="75C7B6DD"/>
    <w:rsid w:val="75E31E57"/>
    <w:rsid w:val="76B1C4B3"/>
    <w:rsid w:val="7787228A"/>
    <w:rsid w:val="77B96EE3"/>
    <w:rsid w:val="78AD85B1"/>
    <w:rsid w:val="79411DD6"/>
    <w:rsid w:val="7A157A3F"/>
    <w:rsid w:val="7A3B82C6"/>
    <w:rsid w:val="7AF98097"/>
    <w:rsid w:val="7AFE2EC6"/>
    <w:rsid w:val="7B484E22"/>
    <w:rsid w:val="7B80798C"/>
    <w:rsid w:val="7C84B41D"/>
    <w:rsid w:val="7D413E19"/>
    <w:rsid w:val="7D797205"/>
    <w:rsid w:val="7DC547E5"/>
    <w:rsid w:val="7E1D8428"/>
    <w:rsid w:val="7EEB0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DFDD5A2D-8F9F-4AB8-9E6F-4F6B18A894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36"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6"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15"/>
    <w:rPr>
      <w:rFonts w:ascii="Palatino" w:hAnsi="Palatino"/>
      <w:sz w:val="26"/>
    </w:rPr>
  </w:style>
  <w:style w:type="paragraph" w:styleId="Heading1">
    <w:name w:val="heading 1"/>
    <w:basedOn w:val="Normal"/>
    <w:next w:val="standard"/>
    <w:link w:val="Heading1Char"/>
    <w:uiPriority w:val="9"/>
    <w:qFormat/>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uiPriority w:val="9"/>
    <w:qFormat/>
    <w:rsid w:val="004C70CB"/>
    <w:pPr>
      <w:keepNext/>
      <w:outlineLvl w:val="1"/>
    </w:pPr>
    <w:rPr>
      <w:rFonts w:ascii="Palatino Linotype" w:hAnsi="Palatino Linotype"/>
      <w:b/>
      <w:sz w:val="24"/>
    </w:rPr>
  </w:style>
  <w:style w:type="paragraph" w:styleId="Heading3">
    <w:name w:val="heading 3"/>
    <w:basedOn w:val="Normal"/>
    <w:next w:val="sub2"/>
    <w:link w:val="Heading3Char"/>
    <w:uiPriority w:val="9"/>
    <w:qFormat/>
    <w:rsid w:val="00D0608B"/>
    <w:pPr>
      <w:keepNext/>
      <w:outlineLvl w:val="2"/>
    </w:pPr>
    <w:rPr>
      <w:rFonts w:ascii="Palatino Linotype" w:hAnsi="Palatino Linotype"/>
      <w:i/>
      <w:sz w:val="24"/>
    </w:rPr>
  </w:style>
  <w:style w:type="paragraph" w:styleId="Heading4">
    <w:name w:val="heading 4"/>
    <w:basedOn w:val="Normal"/>
    <w:next w:val="sub3"/>
    <w:link w:val="Heading4Char"/>
    <w:uiPriority w:val="9"/>
    <w:qFormat/>
    <w:pPr>
      <w:keepNext/>
      <w:spacing w:before="120" w:after="120"/>
      <w:ind w:firstLine="2880"/>
      <w:outlineLvl w:val="3"/>
    </w:pPr>
    <w:rPr>
      <w:rFonts w:ascii="Helvetica" w:hAnsi="Helvetica"/>
      <w:b/>
      <w:i/>
    </w:rPr>
  </w:style>
  <w:style w:type="paragraph" w:styleId="Heading5">
    <w:name w:val="heading 5"/>
    <w:basedOn w:val="Normal"/>
    <w:next w:val="sub4"/>
    <w:link w:val="Heading5Char"/>
    <w:uiPriority w:val="9"/>
    <w:qFormat/>
    <w:pPr>
      <w:spacing w:before="120" w:after="120"/>
      <w:ind w:firstLine="3600"/>
      <w:outlineLvl w:val="4"/>
    </w:pPr>
    <w:rPr>
      <w:rFonts w:ascii="Helvetica" w:hAnsi="Helvetica"/>
      <w:b/>
    </w:rPr>
  </w:style>
  <w:style w:type="paragraph" w:styleId="Heading6">
    <w:name w:val="heading 6"/>
    <w:basedOn w:val="Normal"/>
    <w:next w:val="Normal"/>
    <w:link w:val="Heading6Char"/>
    <w:uiPriority w:val="9"/>
    <w:qFormat/>
    <w:pPr>
      <w:keepNext/>
      <w:outlineLvl w:val="5"/>
    </w:pPr>
    <w:rPr>
      <w:b/>
    </w:rPr>
  </w:style>
  <w:style w:type="paragraph" w:styleId="Heading7">
    <w:name w:val="heading 7"/>
    <w:basedOn w:val="Heading6"/>
    <w:next w:val="Normal"/>
    <w:link w:val="Heading7Char"/>
    <w:uiPriority w:val="9"/>
    <w:unhideWhenUsed/>
    <w:rsid w:val="005971EA"/>
    <w:pPr>
      <w:suppressAutoHyphens/>
      <w:spacing w:before="360"/>
      <w:outlineLvl w:val="6"/>
    </w:pPr>
    <w:rPr>
      <w:rFonts w:asciiTheme="minorHAnsi" w:eastAsiaTheme="majorEastAsia" w:hAnsiTheme="minorHAnsi" w:cstheme="minorHAnsi"/>
      <w:b w:val="0"/>
      <w:iCs/>
      <w:color w:val="244061" w:themeColor="accent1" w:themeShade="80"/>
      <w:kern w:val="24"/>
      <w:sz w:val="24"/>
      <w:szCs w:val="24"/>
      <w14:ligatures w14:val="standardContextual"/>
    </w:rPr>
  </w:style>
  <w:style w:type="paragraph" w:styleId="Heading8">
    <w:name w:val="heading 8"/>
    <w:basedOn w:val="Heading7"/>
    <w:next w:val="Normal"/>
    <w:link w:val="Heading8Char"/>
    <w:uiPriority w:val="9"/>
    <w:unhideWhenUsed/>
    <w:rsid w:val="005971EA"/>
    <w:pPr>
      <w:outlineLvl w:val="7"/>
    </w:pPr>
  </w:style>
  <w:style w:type="paragraph" w:styleId="Heading9">
    <w:name w:val="heading 9"/>
    <w:basedOn w:val="Heading8"/>
    <w:next w:val="Normal"/>
    <w:link w:val="Heading9Char"/>
    <w:uiPriority w:val="9"/>
    <w:unhideWhenUsed/>
    <w:rsid w:val="005971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A773ED"/>
    <w:rPr>
      <w:rFonts w:ascii="Palatino Linotype" w:hAnsi="Palatino Linotype"/>
      <w:sz w:val="20"/>
    </w:rPr>
  </w:style>
  <w:style w:type="paragraph" w:styleId="EndnoteText">
    <w:name w:val="endnote text"/>
    <w:basedOn w:val="Normal"/>
    <w:link w:val="EndnoteTextChar"/>
    <w:uiPriority w:val="99"/>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link w:val="SubtitleChar"/>
    <w:uiPriority w:val="7"/>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uiPriority w:val="99"/>
    <w:semiHidden/>
    <w:qFormat/>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uiPriority w:val="99"/>
    <w:rsid w:val="00E23B67"/>
    <w:rPr>
      <w:rFonts w:ascii="Garamond" w:hAnsi="Garamond"/>
      <w:sz w:val="20"/>
    </w:r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tabs>
        <w:tab w:val="clear" w:pos="1152"/>
      </w:tabs>
    </w:pPr>
  </w:style>
  <w:style w:type="character" w:styleId="EndnoteReference">
    <w:name w:val="endnote reference"/>
    <w:uiPriority w:val="99"/>
    <w:semiHidden/>
    <w:rPr>
      <w:vertAlign w:val="superscript"/>
    </w:rPr>
  </w:style>
  <w:style w:type="paragraph" w:customStyle="1" w:styleId="1ListIndent">
    <w:name w:val="1. List Indent"/>
    <w:basedOn w:val="num2"/>
    <w:pPr>
      <w:numPr>
        <w:numId w:val="2"/>
      </w:numPr>
      <w:tabs>
        <w:tab w:val="clear" w:pos="360"/>
      </w:tabs>
    </w:pPr>
  </w:style>
  <w:style w:type="character" w:styleId="FootnoteReference">
    <w:name w:val="footnote reference"/>
    <w:uiPriority w:val="99"/>
    <w:rPr>
      <w:vertAlign w:val="superscript"/>
    </w:rPr>
  </w:style>
  <w:style w:type="paragraph" w:styleId="List">
    <w:name w:val="List"/>
    <w:basedOn w:val="Normal"/>
    <w:uiPriority w:val="99"/>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uiPriority w:val="99"/>
    <w:rsid w:val="00D822FD"/>
    <w:rPr>
      <w:rFonts w:ascii="Segoe UI" w:hAnsi="Segoe UI" w:cs="Segoe UI"/>
      <w:sz w:val="18"/>
      <w:szCs w:val="18"/>
    </w:rPr>
  </w:style>
  <w:style w:type="character" w:customStyle="1" w:styleId="BalloonTextChar">
    <w:name w:val="Balloon Text Char"/>
    <w:basedOn w:val="DefaultParagraphFont"/>
    <w:link w:val="BalloonText"/>
    <w:uiPriority w:val="99"/>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uiPriority w:val="99"/>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rsid w:val="00A773ED"/>
    <w:rPr>
      <w:rFonts w:ascii="Palatino Linotype" w:hAnsi="Palatino Linotype"/>
    </w:rPr>
  </w:style>
  <w:style w:type="character" w:styleId="CommentReference">
    <w:name w:val="annotation reference"/>
    <w:basedOn w:val="DefaultParagraphFont"/>
    <w:uiPriority w:val="99"/>
    <w:unhideWhenUsed/>
    <w:rsid w:val="00AA2E93"/>
    <w:rPr>
      <w:sz w:val="16"/>
      <w:szCs w:val="16"/>
    </w:rPr>
  </w:style>
  <w:style w:type="paragraph" w:styleId="CommentText">
    <w:name w:val="annotation text"/>
    <w:basedOn w:val="Normal"/>
    <w:link w:val="CommentTextChar"/>
    <w:unhideWhenUsed/>
    <w:rsid w:val="00AA2E93"/>
    <w:rPr>
      <w:sz w:val="20"/>
    </w:rPr>
  </w:style>
  <w:style w:type="character" w:customStyle="1" w:styleId="CommentTextChar">
    <w:name w:val="Comment Text Char"/>
    <w:basedOn w:val="DefaultParagraphFont"/>
    <w:link w:val="CommentText"/>
    <w:rsid w:val="00AA2E93"/>
    <w:rPr>
      <w:rFonts w:ascii="Palatino" w:hAnsi="Palatino"/>
    </w:rPr>
  </w:style>
  <w:style w:type="paragraph" w:styleId="CommentSubject">
    <w:name w:val="annotation subject"/>
    <w:basedOn w:val="CommentText"/>
    <w:next w:val="CommentText"/>
    <w:link w:val="CommentSubjectChar"/>
    <w:uiPriority w:val="99"/>
    <w:semiHidden/>
    <w:unhideWhenUsed/>
    <w:rsid w:val="00AA2E93"/>
    <w:rPr>
      <w:b/>
      <w:bCs/>
    </w:rPr>
  </w:style>
  <w:style w:type="character" w:customStyle="1" w:styleId="CommentSubjectChar">
    <w:name w:val="Comment Subject Char"/>
    <w:basedOn w:val="CommentTextChar"/>
    <w:link w:val="CommentSubject"/>
    <w:uiPriority w:val="99"/>
    <w:semiHidden/>
    <w:rsid w:val="00AA2E93"/>
    <w:rPr>
      <w:rFonts w:ascii="Palatino" w:hAnsi="Palatino"/>
      <w:b/>
      <w:bCs/>
    </w:rPr>
  </w:style>
  <w:style w:type="character" w:customStyle="1" w:styleId="HeaderChar">
    <w:name w:val="Header Char"/>
    <w:basedOn w:val="DefaultParagraphFont"/>
    <w:link w:val="Header"/>
    <w:uiPriority w:val="99"/>
    <w:rsid w:val="00C5430F"/>
    <w:rPr>
      <w:rFonts w:ascii="Palatino" w:hAnsi="Palatino"/>
      <w:sz w:val="26"/>
    </w:rPr>
  </w:style>
  <w:style w:type="character" w:customStyle="1" w:styleId="FooterChar">
    <w:name w:val="Footer Char"/>
    <w:basedOn w:val="DefaultParagraphFont"/>
    <w:link w:val="Footer"/>
    <w:uiPriority w:val="99"/>
    <w:rsid w:val="00DE5D82"/>
    <w:rPr>
      <w:rFonts w:ascii="Palatino" w:hAnsi="Palatino"/>
      <w:sz w:val="26"/>
    </w:rPr>
  </w:style>
  <w:style w:type="paragraph" w:styleId="Revision">
    <w:name w:val="Revision"/>
    <w:hidden/>
    <w:uiPriority w:val="99"/>
    <w:semiHidden/>
    <w:rsid w:val="009F4B17"/>
    <w:rPr>
      <w:rFonts w:ascii="Palatino" w:hAnsi="Palatino"/>
      <w:sz w:val="26"/>
    </w:rPr>
  </w:style>
  <w:style w:type="numbering" w:customStyle="1" w:styleId="NoList1">
    <w:name w:val="No List1"/>
    <w:next w:val="NoList"/>
    <w:uiPriority w:val="99"/>
    <w:semiHidden/>
    <w:unhideWhenUsed/>
    <w:rsid w:val="00395438"/>
  </w:style>
  <w:style w:type="character" w:customStyle="1" w:styleId="Heading1Char">
    <w:name w:val="Heading 1 Char"/>
    <w:basedOn w:val="DefaultParagraphFont"/>
    <w:link w:val="Heading1"/>
    <w:uiPriority w:val="9"/>
    <w:rsid w:val="00395438"/>
    <w:rPr>
      <w:rFonts w:ascii="Helvetica" w:hAnsi="Helvetica"/>
      <w:b/>
      <w:caps/>
      <w:kern w:val="28"/>
      <w:sz w:val="26"/>
      <w:u w:val="single"/>
    </w:rPr>
  </w:style>
  <w:style w:type="character" w:customStyle="1" w:styleId="Heading2Char">
    <w:name w:val="Heading 2 Char"/>
    <w:basedOn w:val="DefaultParagraphFont"/>
    <w:link w:val="Heading2"/>
    <w:uiPriority w:val="9"/>
    <w:rsid w:val="004C70CB"/>
    <w:rPr>
      <w:rFonts w:ascii="Palatino Linotype" w:hAnsi="Palatino Linotype"/>
      <w:b/>
      <w:sz w:val="24"/>
    </w:rPr>
  </w:style>
  <w:style w:type="paragraph" w:customStyle="1" w:styleId="Title1">
    <w:name w:val="Title1"/>
    <w:basedOn w:val="Normal"/>
    <w:next w:val="Normal"/>
    <w:uiPriority w:val="10"/>
    <w:qFormat/>
    <w:rsid w:val="00395438"/>
    <w:pPr>
      <w:spacing w:line="276" w:lineRule="auto"/>
      <w:contextualSpacing/>
    </w:pPr>
    <w:rPr>
      <w:rFonts w:ascii="Calibri Light" w:eastAsia="Yu Gothic Light" w:hAnsi="Calibri Light"/>
      <w:color w:val="0E101A"/>
      <w:spacing w:val="-10"/>
      <w:kern w:val="28"/>
      <w:sz w:val="56"/>
      <w:szCs w:val="56"/>
    </w:rPr>
  </w:style>
  <w:style w:type="character" w:customStyle="1" w:styleId="TitleChar">
    <w:name w:val="Title Char"/>
    <w:basedOn w:val="DefaultParagraphFont"/>
    <w:link w:val="Title"/>
    <w:uiPriority w:val="6"/>
    <w:rsid w:val="00395438"/>
    <w:rPr>
      <w:rFonts w:ascii="Calibri Light" w:eastAsia="Yu Gothic Light" w:hAnsi="Calibri Light" w:cs="Times New Roman"/>
      <w:spacing w:val="-10"/>
      <w:kern w:val="28"/>
      <w:sz w:val="56"/>
      <w:szCs w:val="56"/>
    </w:rPr>
  </w:style>
  <w:style w:type="paragraph" w:customStyle="1" w:styleId="TableHead">
    <w:name w:val="TableHead"/>
    <w:basedOn w:val="Normal"/>
    <w:link w:val="TableHeadChar"/>
    <w:qFormat/>
    <w:rsid w:val="00121159"/>
    <w:pPr>
      <w:keepNext/>
      <w:jc w:val="center"/>
    </w:pPr>
    <w:rPr>
      <w:rFonts w:ascii="Palatino Linotype" w:hAnsi="Palatino Linotype" w:cs="Calibri"/>
      <w:b/>
      <w:color w:val="0E101A"/>
      <w:sz w:val="24"/>
      <w:szCs w:val="24"/>
    </w:rPr>
  </w:style>
  <w:style w:type="character" w:customStyle="1" w:styleId="TableHeadChar">
    <w:name w:val="TableHead Char"/>
    <w:basedOn w:val="DefaultParagraphFont"/>
    <w:link w:val="TableHead"/>
    <w:rsid w:val="00121159"/>
    <w:rPr>
      <w:rFonts w:ascii="Palatino Linotype" w:hAnsi="Palatino Linotype" w:cs="Calibri"/>
      <w:b/>
      <w:color w:val="0E101A"/>
      <w:sz w:val="24"/>
      <w:szCs w:val="24"/>
    </w:rPr>
  </w:style>
  <w:style w:type="character" w:customStyle="1" w:styleId="Heading3Char">
    <w:name w:val="Heading 3 Char"/>
    <w:basedOn w:val="DefaultParagraphFont"/>
    <w:link w:val="Heading3"/>
    <w:uiPriority w:val="9"/>
    <w:rsid w:val="00D0608B"/>
    <w:rPr>
      <w:rFonts w:ascii="Palatino Linotype" w:hAnsi="Palatino Linotype"/>
      <w:i/>
      <w:sz w:val="24"/>
    </w:rPr>
  </w:style>
  <w:style w:type="table" w:styleId="TableGrid">
    <w:name w:val="Table Grid"/>
    <w:basedOn w:val="TableNormal"/>
    <w:uiPriority w:val="1"/>
    <w:rsid w:val="0039543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6"/>
    <w:qFormat/>
    <w:rsid w:val="00395438"/>
    <w:pPr>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395438"/>
    <w:rPr>
      <w:rFonts w:asciiTheme="majorHAnsi" w:eastAsiaTheme="majorEastAsia" w:hAnsiTheme="majorHAnsi" w:cstheme="majorBidi"/>
      <w:spacing w:val="-10"/>
      <w:kern w:val="28"/>
      <w:sz w:val="56"/>
      <w:szCs w:val="56"/>
    </w:rPr>
  </w:style>
  <w:style w:type="paragraph" w:customStyle="1" w:styleId="paragraph">
    <w:name w:val="paragraph"/>
    <w:basedOn w:val="Normal"/>
    <w:rsid w:val="00225B6D"/>
    <w:pPr>
      <w:spacing w:before="100" w:beforeAutospacing="1" w:after="100" w:afterAutospacing="1"/>
    </w:pPr>
    <w:rPr>
      <w:rFonts w:ascii="Garamond" w:hAnsi="Garamond"/>
      <w:sz w:val="24"/>
      <w:szCs w:val="24"/>
    </w:rPr>
  </w:style>
  <w:style w:type="paragraph" w:customStyle="1" w:styleId="Tabletext">
    <w:name w:val="Table text"/>
    <w:basedOn w:val="Normal"/>
    <w:qFormat/>
    <w:rsid w:val="00B14CF8"/>
    <w:pPr>
      <w:widowControl w:val="0"/>
      <w:spacing w:before="40" w:after="20"/>
      <w:jc w:val="both"/>
    </w:pPr>
    <w:rPr>
      <w:rFonts w:ascii="Garamond" w:eastAsiaTheme="minorHAnsi" w:hAnsi="Garamond" w:cstheme="majorBidi"/>
      <w:bCs/>
      <w:kern w:val="24"/>
      <w:sz w:val="21"/>
      <w:szCs w:val="24"/>
      <w14:ligatures w14:val="standardContextual"/>
    </w:rPr>
  </w:style>
  <w:style w:type="paragraph" w:styleId="TOC1">
    <w:name w:val="toc 1"/>
    <w:basedOn w:val="Normal"/>
    <w:next w:val="Normal"/>
    <w:autoRedefine/>
    <w:uiPriority w:val="39"/>
    <w:unhideWhenUsed/>
    <w:qFormat/>
    <w:rsid w:val="005971EA"/>
    <w:pPr>
      <w:spacing w:after="100"/>
    </w:pPr>
  </w:style>
  <w:style w:type="paragraph" w:styleId="TOC2">
    <w:name w:val="toc 2"/>
    <w:basedOn w:val="Normal"/>
    <w:next w:val="Normal"/>
    <w:autoRedefine/>
    <w:uiPriority w:val="39"/>
    <w:unhideWhenUsed/>
    <w:qFormat/>
    <w:rsid w:val="005971EA"/>
    <w:pPr>
      <w:spacing w:after="100"/>
      <w:ind w:left="260"/>
    </w:pPr>
  </w:style>
  <w:style w:type="paragraph" w:styleId="TOC3">
    <w:name w:val="toc 3"/>
    <w:basedOn w:val="Normal"/>
    <w:next w:val="Normal"/>
    <w:autoRedefine/>
    <w:uiPriority w:val="39"/>
    <w:unhideWhenUsed/>
    <w:qFormat/>
    <w:rsid w:val="005971EA"/>
    <w:pPr>
      <w:spacing w:after="100"/>
      <w:ind w:left="520"/>
    </w:pPr>
  </w:style>
  <w:style w:type="paragraph" w:styleId="TOCHeading">
    <w:name w:val="TOC Heading"/>
    <w:basedOn w:val="Heading1"/>
    <w:next w:val="Normal"/>
    <w:uiPriority w:val="39"/>
    <w:unhideWhenUsed/>
    <w:qFormat/>
    <w:rsid w:val="005971EA"/>
    <w:pPr>
      <w:keepLines/>
      <w:spacing w:before="240" w:after="0"/>
      <w:outlineLvl w:val="9"/>
    </w:pPr>
    <w:rPr>
      <w:rFonts w:asciiTheme="majorHAnsi" w:eastAsiaTheme="majorEastAsia" w:hAnsiTheme="majorHAnsi" w:cstheme="majorBidi"/>
      <w:b w:val="0"/>
      <w:caps w:val="0"/>
      <w:color w:val="365F91" w:themeColor="accent1" w:themeShade="BF"/>
      <w:kern w:val="0"/>
      <w:sz w:val="32"/>
      <w:szCs w:val="32"/>
      <w:u w:val="none"/>
    </w:rPr>
  </w:style>
  <w:style w:type="character" w:customStyle="1" w:styleId="Heading7Char">
    <w:name w:val="Heading 7 Char"/>
    <w:basedOn w:val="DefaultParagraphFont"/>
    <w:link w:val="Heading7"/>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character" w:customStyle="1" w:styleId="Heading8Char">
    <w:name w:val="Heading 8 Char"/>
    <w:basedOn w:val="DefaultParagraphFont"/>
    <w:link w:val="Heading8"/>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character" w:customStyle="1" w:styleId="Heading9Char">
    <w:name w:val="Heading 9 Char"/>
    <w:basedOn w:val="DefaultParagraphFont"/>
    <w:link w:val="Heading9"/>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paragraph" w:styleId="IntenseQuote">
    <w:name w:val="Intense Quote"/>
    <w:basedOn w:val="Quote"/>
    <w:link w:val="IntenseQuoteChar"/>
    <w:uiPriority w:val="30"/>
    <w:qFormat/>
    <w:rsid w:val="005971EA"/>
  </w:style>
  <w:style w:type="character" w:customStyle="1" w:styleId="IntenseQuoteChar">
    <w:name w:val="Intense Quote Char"/>
    <w:basedOn w:val="DefaultParagraphFont"/>
    <w:link w:val="IntenseQuote"/>
    <w:uiPriority w:val="30"/>
    <w:rsid w:val="005971EA"/>
    <w:rPr>
      <w:rFonts w:ascii="Garamond" w:eastAsiaTheme="minorHAnsi" w:hAnsi="Garamond" w:cstheme="majorBidi"/>
      <w:color w:val="404040" w:themeColor="text1" w:themeTint="BF"/>
      <w:kern w:val="24"/>
      <w:sz w:val="24"/>
      <w:szCs w:val="24"/>
      <w14:ligatures w14:val="standardContextual"/>
    </w:rPr>
  </w:style>
  <w:style w:type="character" w:customStyle="1" w:styleId="SubtitleChar">
    <w:name w:val="Subtitle Char"/>
    <w:basedOn w:val="DefaultParagraphFont"/>
    <w:link w:val="Subtitle"/>
    <w:uiPriority w:val="7"/>
    <w:rsid w:val="005971EA"/>
    <w:rPr>
      <w:rFonts w:ascii="Arial" w:hAnsi="Arial"/>
      <w:sz w:val="26"/>
    </w:rPr>
  </w:style>
  <w:style w:type="character" w:customStyle="1" w:styleId="Heading4Char">
    <w:name w:val="Heading 4 Char"/>
    <w:basedOn w:val="DefaultParagraphFont"/>
    <w:link w:val="Heading4"/>
    <w:uiPriority w:val="9"/>
    <w:rsid w:val="005971EA"/>
    <w:rPr>
      <w:rFonts w:ascii="Helvetica" w:hAnsi="Helvetica"/>
      <w:b/>
      <w:i/>
      <w:sz w:val="26"/>
    </w:rPr>
  </w:style>
  <w:style w:type="character" w:customStyle="1" w:styleId="Heading5Char">
    <w:name w:val="Heading 5 Char"/>
    <w:basedOn w:val="DefaultParagraphFont"/>
    <w:link w:val="Heading5"/>
    <w:uiPriority w:val="9"/>
    <w:rsid w:val="005971EA"/>
    <w:rPr>
      <w:rFonts w:ascii="Helvetica" w:hAnsi="Helvetica"/>
      <w:b/>
      <w:sz w:val="26"/>
    </w:rPr>
  </w:style>
  <w:style w:type="character" w:customStyle="1" w:styleId="Heading6Char">
    <w:name w:val="Heading 6 Char"/>
    <w:basedOn w:val="DefaultParagraphFont"/>
    <w:link w:val="Heading6"/>
    <w:uiPriority w:val="9"/>
    <w:rsid w:val="005971EA"/>
    <w:rPr>
      <w:rFonts w:ascii="Palatino" w:hAnsi="Palatino"/>
      <w:b/>
      <w:sz w:val="26"/>
    </w:rPr>
  </w:style>
  <w:style w:type="paragraph" w:styleId="List2">
    <w:name w:val="List 2"/>
    <w:basedOn w:val="List"/>
    <w:uiPriority w:val="99"/>
    <w:unhideWhenUsed/>
    <w:rsid w:val="005971EA"/>
    <w:pPr>
      <w:spacing w:before="40" w:line="264" w:lineRule="auto"/>
      <w:ind w:left="720"/>
    </w:pPr>
    <w:rPr>
      <w:rFonts w:ascii="Garamond" w:eastAsiaTheme="minorHAnsi" w:hAnsi="Garamond" w:cstheme="majorBidi"/>
      <w:kern w:val="24"/>
      <w:szCs w:val="24"/>
      <w14:ligatures w14:val="standardContextual"/>
    </w:rPr>
  </w:style>
  <w:style w:type="numbering" w:customStyle="1" w:styleId="MedianListStyle">
    <w:name w:val="Median List Style"/>
    <w:uiPriority w:val="99"/>
    <w:rsid w:val="005971EA"/>
    <w:pPr>
      <w:numPr>
        <w:numId w:val="12"/>
      </w:numPr>
    </w:pPr>
  </w:style>
  <w:style w:type="paragraph" w:styleId="TableofAuthorities">
    <w:name w:val="table of authorities"/>
    <w:basedOn w:val="Normal"/>
    <w:next w:val="Normal"/>
    <w:uiPriority w:val="99"/>
    <w:unhideWhenUsed/>
    <w:rsid w:val="005971EA"/>
    <w:pPr>
      <w:spacing w:before="160" w:line="264" w:lineRule="auto"/>
      <w:ind w:left="220" w:hanging="220"/>
    </w:pPr>
    <w:rPr>
      <w:rFonts w:ascii="Garamond" w:eastAsiaTheme="minorHAnsi" w:hAnsi="Garamond" w:cstheme="majorBidi"/>
      <w:kern w:val="24"/>
      <w:sz w:val="24"/>
      <w:szCs w:val="24"/>
      <w14:ligatures w14:val="standardContextual"/>
    </w:rPr>
  </w:style>
  <w:style w:type="paragraph" w:styleId="TOC5">
    <w:name w:val="toc 5"/>
    <w:basedOn w:val="Normal"/>
    <w:next w:val="Normal"/>
    <w:autoRedefine/>
    <w:uiPriority w:val="99"/>
    <w:semiHidden/>
    <w:unhideWhenUsed/>
    <w:qFormat/>
    <w:rsid w:val="005971EA"/>
    <w:pPr>
      <w:tabs>
        <w:tab w:val="right" w:leader="dot" w:pos="8630"/>
      </w:tabs>
      <w:spacing w:before="160" w:after="40" w:line="264" w:lineRule="auto"/>
      <w:ind w:left="576"/>
    </w:pPr>
    <w:rPr>
      <w:rFonts w:ascii="Garamond" w:eastAsiaTheme="minorHAnsi" w:hAnsi="Garamond" w:cstheme="majorBidi"/>
      <w:noProof/>
      <w:kern w:val="24"/>
      <w:sz w:val="24"/>
      <w:szCs w:val="24"/>
      <w14:ligatures w14:val="standardContextual"/>
    </w:rPr>
  </w:style>
  <w:style w:type="paragraph" w:styleId="TOC6">
    <w:name w:val="toc 6"/>
    <w:basedOn w:val="Normal"/>
    <w:next w:val="Normal"/>
    <w:autoRedefine/>
    <w:uiPriority w:val="99"/>
    <w:semiHidden/>
    <w:unhideWhenUsed/>
    <w:qFormat/>
    <w:rsid w:val="005971EA"/>
    <w:pPr>
      <w:tabs>
        <w:tab w:val="right" w:leader="dot" w:pos="8630"/>
      </w:tabs>
      <w:spacing w:before="160" w:after="40" w:line="264" w:lineRule="auto"/>
      <w:ind w:left="720"/>
    </w:pPr>
    <w:rPr>
      <w:rFonts w:ascii="Garamond" w:eastAsiaTheme="minorHAnsi" w:hAnsi="Garamond" w:cstheme="majorBidi"/>
      <w:noProof/>
      <w:kern w:val="24"/>
      <w:sz w:val="24"/>
      <w:szCs w:val="24"/>
      <w14:ligatures w14:val="standardContextual"/>
    </w:rPr>
  </w:style>
  <w:style w:type="paragraph" w:styleId="TOC7">
    <w:name w:val="toc 7"/>
    <w:basedOn w:val="Normal"/>
    <w:next w:val="Normal"/>
    <w:autoRedefine/>
    <w:uiPriority w:val="99"/>
    <w:semiHidden/>
    <w:unhideWhenUsed/>
    <w:qFormat/>
    <w:rsid w:val="005971EA"/>
    <w:pPr>
      <w:tabs>
        <w:tab w:val="right" w:leader="dot" w:pos="8630"/>
      </w:tabs>
      <w:spacing w:before="160" w:after="40" w:line="264" w:lineRule="auto"/>
      <w:ind w:left="864"/>
    </w:pPr>
    <w:rPr>
      <w:rFonts w:ascii="Garamond" w:eastAsiaTheme="minorHAnsi" w:hAnsi="Garamond" w:cstheme="majorBidi"/>
      <w:noProof/>
      <w:kern w:val="24"/>
      <w:sz w:val="24"/>
      <w:szCs w:val="24"/>
      <w14:ligatures w14:val="standardContextual"/>
    </w:rPr>
  </w:style>
  <w:style w:type="paragraph" w:styleId="TOC8">
    <w:name w:val="toc 8"/>
    <w:basedOn w:val="Normal"/>
    <w:next w:val="Normal"/>
    <w:autoRedefine/>
    <w:uiPriority w:val="99"/>
    <w:semiHidden/>
    <w:unhideWhenUsed/>
    <w:qFormat/>
    <w:rsid w:val="005971EA"/>
    <w:pPr>
      <w:tabs>
        <w:tab w:val="right" w:leader="dot" w:pos="8630"/>
      </w:tabs>
      <w:spacing w:before="160" w:after="40" w:line="264" w:lineRule="auto"/>
      <w:ind w:left="1008"/>
    </w:pPr>
    <w:rPr>
      <w:rFonts w:ascii="Garamond" w:eastAsiaTheme="minorHAnsi" w:hAnsi="Garamond" w:cstheme="majorBidi"/>
      <w:noProof/>
      <w:kern w:val="24"/>
      <w:sz w:val="24"/>
      <w:szCs w:val="24"/>
      <w14:ligatures w14:val="standardContextual"/>
    </w:rPr>
  </w:style>
  <w:style w:type="paragraph" w:styleId="TOC9">
    <w:name w:val="toc 9"/>
    <w:basedOn w:val="Normal"/>
    <w:next w:val="Normal"/>
    <w:autoRedefine/>
    <w:uiPriority w:val="99"/>
    <w:semiHidden/>
    <w:unhideWhenUsed/>
    <w:qFormat/>
    <w:rsid w:val="005971EA"/>
    <w:pPr>
      <w:tabs>
        <w:tab w:val="right" w:leader="dot" w:pos="8630"/>
      </w:tabs>
      <w:spacing w:before="160" w:after="40" w:line="264" w:lineRule="auto"/>
      <w:ind w:left="1152"/>
    </w:pPr>
    <w:rPr>
      <w:rFonts w:ascii="Garamond" w:eastAsiaTheme="minorHAnsi" w:hAnsi="Garamond" w:cstheme="majorBidi"/>
      <w:noProof/>
      <w:kern w:val="24"/>
      <w:sz w:val="24"/>
      <w:szCs w:val="24"/>
      <w14:ligatures w14:val="standardContextual"/>
    </w:rPr>
  </w:style>
  <w:style w:type="paragraph" w:customStyle="1" w:styleId="FooterEven">
    <w:name w:val="Footer Even"/>
    <w:basedOn w:val="Normal"/>
    <w:uiPriority w:val="49"/>
    <w:unhideWhenUsed/>
    <w:rsid w:val="005971EA"/>
    <w:pPr>
      <w:pBdr>
        <w:top w:val="single" w:sz="4" w:space="1" w:color="4F81BD" w:themeColor="accent1"/>
      </w:pBdr>
      <w:spacing w:before="160" w:line="264" w:lineRule="auto"/>
    </w:pPr>
    <w:rPr>
      <w:rFonts w:ascii="Garamond" w:eastAsiaTheme="minorHAnsi" w:hAnsi="Garamond" w:cstheme="majorBidi"/>
      <w:kern w:val="24"/>
      <w:sz w:val="22"/>
      <w:szCs w:val="24"/>
      <w14:ligatures w14:val="standardContextual"/>
    </w:rPr>
  </w:style>
  <w:style w:type="paragraph" w:customStyle="1" w:styleId="FooterOdd">
    <w:name w:val="Footer Odd"/>
    <w:basedOn w:val="Normal"/>
    <w:uiPriority w:val="49"/>
    <w:unhideWhenUsed/>
    <w:rsid w:val="005971EA"/>
    <w:pPr>
      <w:pBdr>
        <w:top w:val="single" w:sz="4" w:space="1" w:color="4F81BD" w:themeColor="accent1"/>
      </w:pBdr>
      <w:spacing w:before="160" w:line="264" w:lineRule="auto"/>
      <w:jc w:val="right"/>
    </w:pPr>
    <w:rPr>
      <w:rFonts w:ascii="Garamond" w:eastAsiaTheme="minorHAnsi" w:hAnsi="Garamond" w:cstheme="majorBidi"/>
      <w:kern w:val="24"/>
      <w:sz w:val="22"/>
      <w:szCs w:val="24"/>
      <w14:ligatures w14:val="standardContextual"/>
    </w:rPr>
  </w:style>
  <w:style w:type="paragraph" w:customStyle="1" w:styleId="HeaderEven">
    <w:name w:val="Header Even"/>
    <w:basedOn w:val="Normal"/>
    <w:uiPriority w:val="49"/>
    <w:unhideWhenUsed/>
    <w:rsid w:val="005971EA"/>
    <w:pPr>
      <w:pBdr>
        <w:bottom w:val="single" w:sz="4" w:space="1" w:color="4F81BD" w:themeColor="accent1"/>
      </w:pBdr>
      <w:spacing w:before="160" w:line="264" w:lineRule="auto"/>
    </w:pPr>
    <w:rPr>
      <w:rFonts w:ascii="Garamond" w:hAnsi="Garamond" w:cstheme="majorBidi"/>
      <w:b/>
      <w:kern w:val="24"/>
      <w:sz w:val="22"/>
      <w:szCs w:val="24"/>
      <w:lang w:eastAsia="ko-KR"/>
      <w14:ligatures w14:val="standardContextual"/>
    </w:rPr>
  </w:style>
  <w:style w:type="paragraph" w:customStyle="1" w:styleId="HeaderOdd">
    <w:name w:val="Header Odd"/>
    <w:basedOn w:val="Normal"/>
    <w:uiPriority w:val="49"/>
    <w:unhideWhenUsed/>
    <w:rsid w:val="005971EA"/>
    <w:pPr>
      <w:pBdr>
        <w:bottom w:val="single" w:sz="4" w:space="1" w:color="4F81BD" w:themeColor="accent1"/>
      </w:pBdr>
      <w:spacing w:before="160" w:line="264" w:lineRule="auto"/>
    </w:pPr>
    <w:rPr>
      <w:rFonts w:ascii="Garamond" w:hAnsi="Garamond" w:cstheme="majorBidi"/>
      <w:b/>
      <w:kern w:val="24"/>
      <w:sz w:val="22"/>
      <w:szCs w:val="24"/>
      <w:lang w:eastAsia="ko-KR"/>
      <w14:ligatures w14:val="standardContextual"/>
    </w:rPr>
  </w:style>
  <w:style w:type="paragraph" w:styleId="Bibliography">
    <w:name w:val="Bibliography"/>
    <w:basedOn w:val="Normal"/>
    <w:next w:val="Normal"/>
    <w:uiPriority w:val="37"/>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table" w:styleId="TableGridLight">
    <w:name w:val="Grid Table Light"/>
    <w:basedOn w:val="TableNormal"/>
    <w:uiPriority w:val="40"/>
    <w:rsid w:val="005971EA"/>
    <w:rPr>
      <w:rFonts w:ascii="Garamond" w:eastAsiaTheme="minorHAnsi" w:hAnsi="Garamond" w:cstheme="majorBidi"/>
      <w:kern w:val="24"/>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5971EA"/>
    <w:pPr>
      <w:spacing w:before="160" w:line="264" w:lineRule="auto"/>
    </w:pPr>
    <w:rPr>
      <w:rFonts w:asciiTheme="minorHAnsi" w:eastAsiaTheme="minorHAnsi" w:hAnsiTheme="minorHAnsi" w:cstheme="majorBidi"/>
      <w:color w:val="FFFFFF" w:themeColor="background1"/>
      <w:kern w:val="24"/>
      <w:sz w:val="28"/>
      <w:szCs w:val="24"/>
      <w14:ligatures w14:val="standardContextual"/>
    </w:rPr>
  </w:style>
  <w:style w:type="character" w:customStyle="1" w:styleId="DateChar">
    <w:name w:val="Date Char"/>
    <w:basedOn w:val="DefaultParagraphFont"/>
    <w:link w:val="Date"/>
    <w:uiPriority w:val="2"/>
    <w:rsid w:val="005971EA"/>
    <w:rPr>
      <w:rFonts w:asciiTheme="minorHAnsi" w:eastAsiaTheme="minorHAnsi" w:hAnsiTheme="minorHAnsi" w:cstheme="majorBidi"/>
      <w:color w:val="FFFFFF" w:themeColor="background1"/>
      <w:kern w:val="24"/>
      <w:sz w:val="28"/>
      <w:szCs w:val="24"/>
      <w14:ligatures w14:val="standardContextual"/>
    </w:rPr>
  </w:style>
  <w:style w:type="paragraph" w:customStyle="1" w:styleId="Abstract">
    <w:name w:val="Abstract"/>
    <w:basedOn w:val="Normal"/>
    <w:uiPriority w:val="5"/>
    <w:qFormat/>
    <w:rsid w:val="005971EA"/>
    <w:pPr>
      <w:spacing w:before="160" w:line="312" w:lineRule="auto"/>
    </w:pPr>
    <w:rPr>
      <w:rFonts w:ascii="Century Gothic" w:eastAsiaTheme="minorHAnsi" w:hAnsi="Century Gothic" w:cstheme="minorHAnsi"/>
      <w:color w:val="FFFFFF" w:themeColor="background1"/>
      <w:kern w:val="24"/>
      <w:sz w:val="20"/>
      <w:szCs w:val="24"/>
      <w14:ligatures w14:val="standardContextual"/>
    </w:rPr>
  </w:style>
  <w:style w:type="paragraph" w:styleId="BlockText">
    <w:name w:val="Block Text"/>
    <w:basedOn w:val="Normal"/>
    <w:uiPriority w:val="99"/>
    <w:semiHidden/>
    <w:unhideWhenUsed/>
    <w:rsid w:val="005971EA"/>
    <w:pPr>
      <w:pBdr>
        <w:top w:val="single" w:sz="2" w:space="10" w:color="244061" w:themeColor="accent1" w:themeShade="80"/>
        <w:left w:val="single" w:sz="2" w:space="10" w:color="244061" w:themeColor="accent1" w:themeShade="80"/>
        <w:bottom w:val="single" w:sz="2" w:space="10" w:color="244061" w:themeColor="accent1" w:themeShade="80"/>
        <w:right w:val="single" w:sz="2" w:space="10" w:color="244061" w:themeColor="accent1" w:themeShade="80"/>
      </w:pBdr>
      <w:spacing w:before="160" w:line="264" w:lineRule="auto"/>
      <w:ind w:left="1152" w:right="1152"/>
    </w:pPr>
    <w:rPr>
      <w:rFonts w:ascii="Garamond" w:eastAsiaTheme="minorEastAsia" w:hAnsi="Garamond" w:cstheme="minorBidi"/>
      <w:i/>
      <w:iCs/>
      <w:color w:val="244061" w:themeColor="accent1" w:themeShade="80"/>
      <w:kern w:val="24"/>
      <w:sz w:val="24"/>
      <w:szCs w:val="24"/>
      <w14:ligatures w14:val="standardContextual"/>
    </w:rPr>
  </w:style>
  <w:style w:type="paragraph" w:styleId="BodyText">
    <w:name w:val="Body Text"/>
    <w:basedOn w:val="Normal"/>
    <w:link w:val="BodyText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Char">
    <w:name w:val="Body Text Char"/>
    <w:basedOn w:val="DefaultParagraphFont"/>
    <w:link w:val="BodyText"/>
    <w:uiPriority w:val="99"/>
    <w:rsid w:val="005971EA"/>
    <w:rPr>
      <w:rFonts w:ascii="Garamond" w:eastAsiaTheme="minorHAnsi" w:hAnsi="Garamond" w:cstheme="majorBidi"/>
      <w:kern w:val="24"/>
      <w:sz w:val="24"/>
      <w:szCs w:val="24"/>
      <w14:ligatures w14:val="standardContextual"/>
    </w:rPr>
  </w:style>
  <w:style w:type="paragraph" w:styleId="BodyText2">
    <w:name w:val="Body Text 2"/>
    <w:basedOn w:val="Normal"/>
    <w:link w:val="BodyText2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2Char">
    <w:name w:val="Body Text 2 Char"/>
    <w:basedOn w:val="DefaultParagraphFont"/>
    <w:link w:val="BodyText2"/>
    <w:uiPriority w:val="99"/>
    <w:rsid w:val="005971EA"/>
    <w:rPr>
      <w:rFonts w:ascii="Garamond" w:eastAsiaTheme="minorHAnsi" w:hAnsi="Garamond" w:cstheme="majorBidi"/>
      <w:kern w:val="24"/>
      <w:sz w:val="24"/>
      <w:szCs w:val="24"/>
      <w14:ligatures w14:val="standardContextual"/>
    </w:rPr>
  </w:style>
  <w:style w:type="paragraph" w:styleId="BodyText3">
    <w:name w:val="Body Text 3"/>
    <w:basedOn w:val="Normal"/>
    <w:link w:val="BodyText3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3Char">
    <w:name w:val="Body Text 3 Char"/>
    <w:basedOn w:val="DefaultParagraphFont"/>
    <w:link w:val="BodyText3"/>
    <w:uiPriority w:val="99"/>
    <w:rsid w:val="005971EA"/>
    <w:rPr>
      <w:rFonts w:ascii="Garamond" w:eastAsiaTheme="minorHAnsi" w:hAnsi="Garamond" w:cstheme="majorBidi"/>
      <w:kern w:val="24"/>
      <w:sz w:val="24"/>
      <w:szCs w:val="24"/>
      <w14:ligatures w14:val="standardContextual"/>
    </w:rPr>
  </w:style>
  <w:style w:type="paragraph" w:styleId="BodyTextFirstIndent">
    <w:name w:val="Body Text First Indent"/>
    <w:basedOn w:val="Normal"/>
    <w:link w:val="BodyTextFirstIndentChar"/>
    <w:uiPriority w:val="99"/>
    <w:unhideWhenUsed/>
    <w:rsid w:val="005971EA"/>
    <w:pPr>
      <w:spacing w:before="160" w:line="264" w:lineRule="auto"/>
      <w:ind w:firstLine="360"/>
    </w:pPr>
    <w:rPr>
      <w:rFonts w:ascii="Garamond" w:eastAsiaTheme="minorHAnsi" w:hAnsi="Garamond" w:cstheme="majorBidi"/>
      <w:kern w:val="24"/>
      <w:sz w:val="24"/>
      <w:szCs w:val="24"/>
      <w14:ligatures w14:val="standardContextual"/>
    </w:rPr>
  </w:style>
  <w:style w:type="character" w:customStyle="1" w:styleId="BodyTextFirstIndentChar">
    <w:name w:val="Body Text First Indent Char"/>
    <w:basedOn w:val="BodyTextChar"/>
    <w:link w:val="BodyTextFirstIndent"/>
    <w:uiPriority w:val="99"/>
    <w:rsid w:val="005971EA"/>
    <w:rPr>
      <w:rFonts w:ascii="Garamond" w:eastAsiaTheme="minorHAnsi" w:hAnsi="Garamond" w:cstheme="majorBidi"/>
      <w:kern w:val="24"/>
      <w:sz w:val="24"/>
      <w:szCs w:val="24"/>
      <w14:ligatures w14:val="standardContextual"/>
    </w:rPr>
  </w:style>
  <w:style w:type="paragraph" w:styleId="BodyTextIndent">
    <w:name w:val="Body Text Indent"/>
    <w:basedOn w:val="Normal"/>
    <w:link w:val="BodyTextIndentChar"/>
    <w:uiPriority w:val="99"/>
    <w:unhideWhenUsed/>
    <w:rsid w:val="005971EA"/>
    <w:pPr>
      <w:spacing w:before="160" w:line="264" w:lineRule="auto"/>
      <w:ind w:left="360"/>
    </w:pPr>
    <w:rPr>
      <w:rFonts w:ascii="Garamond" w:eastAsiaTheme="minorHAnsi" w:hAnsi="Garamond" w:cstheme="majorBidi"/>
      <w:kern w:val="24"/>
      <w:sz w:val="24"/>
      <w:szCs w:val="24"/>
      <w14:ligatures w14:val="standardContextual"/>
    </w:rPr>
  </w:style>
  <w:style w:type="character" w:customStyle="1" w:styleId="BodyTextIndentChar">
    <w:name w:val="Body Text Indent Char"/>
    <w:basedOn w:val="DefaultParagraphFont"/>
    <w:link w:val="BodyTextIndent"/>
    <w:uiPriority w:val="99"/>
    <w:rsid w:val="005971EA"/>
    <w:rPr>
      <w:rFonts w:ascii="Garamond" w:eastAsiaTheme="minorHAnsi" w:hAnsi="Garamond" w:cstheme="majorBidi"/>
      <w:kern w:val="24"/>
      <w:sz w:val="24"/>
      <w:szCs w:val="24"/>
      <w14:ligatures w14:val="standardContextual"/>
    </w:rPr>
  </w:style>
  <w:style w:type="paragraph" w:styleId="BodyTextFirstIndent2">
    <w:name w:val="Body Text First Indent 2"/>
    <w:basedOn w:val="Normal"/>
    <w:link w:val="BodyTextFirstIndent2Char"/>
    <w:uiPriority w:val="99"/>
    <w:unhideWhenUsed/>
    <w:rsid w:val="005971EA"/>
    <w:pPr>
      <w:spacing w:before="160" w:line="264" w:lineRule="auto"/>
      <w:ind w:firstLine="720"/>
    </w:pPr>
    <w:rPr>
      <w:rFonts w:ascii="Garamond" w:eastAsiaTheme="minorHAnsi" w:hAnsi="Garamond" w:cstheme="majorBidi"/>
      <w:kern w:val="24"/>
      <w:sz w:val="24"/>
      <w:szCs w:val="24"/>
      <w14:ligatures w14:val="standardContextual"/>
    </w:rPr>
  </w:style>
  <w:style w:type="character" w:customStyle="1" w:styleId="BodyTextFirstIndent2Char">
    <w:name w:val="Body Text First Indent 2 Char"/>
    <w:basedOn w:val="BodyTextIndentChar"/>
    <w:link w:val="BodyTextFirstIndent2"/>
    <w:uiPriority w:val="99"/>
    <w:rsid w:val="005971EA"/>
    <w:rPr>
      <w:rFonts w:ascii="Garamond" w:eastAsiaTheme="minorHAnsi" w:hAnsi="Garamond" w:cstheme="majorBidi"/>
      <w:kern w:val="24"/>
      <w:sz w:val="24"/>
      <w:szCs w:val="24"/>
      <w14:ligatures w14:val="standardContextual"/>
    </w:rPr>
  </w:style>
  <w:style w:type="paragraph" w:styleId="BodyTextIndent2">
    <w:name w:val="Body Text Indent 2"/>
    <w:basedOn w:val="Normal"/>
    <w:link w:val="BodyTextIndent2Char"/>
    <w:uiPriority w:val="99"/>
    <w:unhideWhenUsed/>
    <w:rsid w:val="005971EA"/>
    <w:pPr>
      <w:spacing w:before="160" w:line="264" w:lineRule="auto"/>
      <w:ind w:left="720"/>
    </w:pPr>
    <w:rPr>
      <w:rFonts w:ascii="Garamond" w:eastAsiaTheme="minorHAnsi" w:hAnsi="Garamond" w:cstheme="majorBidi"/>
      <w:kern w:val="24"/>
      <w:sz w:val="24"/>
      <w:szCs w:val="24"/>
      <w14:ligatures w14:val="standardContextual"/>
    </w:rPr>
  </w:style>
  <w:style w:type="character" w:customStyle="1" w:styleId="BodyTextIndent2Char">
    <w:name w:val="Body Text Indent 2 Char"/>
    <w:basedOn w:val="DefaultParagraphFont"/>
    <w:link w:val="BodyTextIndent2"/>
    <w:uiPriority w:val="99"/>
    <w:rsid w:val="005971EA"/>
    <w:rPr>
      <w:rFonts w:ascii="Garamond" w:eastAsiaTheme="minorHAnsi" w:hAnsi="Garamond" w:cstheme="majorBidi"/>
      <w:kern w:val="24"/>
      <w:sz w:val="24"/>
      <w:szCs w:val="24"/>
      <w14:ligatures w14:val="standardContextual"/>
    </w:rPr>
  </w:style>
  <w:style w:type="paragraph" w:styleId="BodyTextIndent3">
    <w:name w:val="Body Text Indent 3"/>
    <w:basedOn w:val="Normal"/>
    <w:link w:val="BodyTextIndent3Char"/>
    <w:uiPriority w:val="99"/>
    <w:unhideWhenUsed/>
    <w:rsid w:val="005971EA"/>
    <w:pPr>
      <w:spacing w:before="160" w:line="264" w:lineRule="auto"/>
      <w:ind w:left="1080"/>
    </w:pPr>
    <w:rPr>
      <w:rFonts w:ascii="Garamond" w:eastAsiaTheme="minorHAnsi" w:hAnsi="Garamond" w:cstheme="majorBidi"/>
      <w:kern w:val="24"/>
      <w:sz w:val="24"/>
      <w:szCs w:val="24"/>
      <w14:ligatures w14:val="standardContextual"/>
    </w:rPr>
  </w:style>
  <w:style w:type="character" w:customStyle="1" w:styleId="BodyTextIndent3Char">
    <w:name w:val="Body Text Indent 3 Char"/>
    <w:basedOn w:val="DefaultParagraphFont"/>
    <w:link w:val="BodyTextIndent3"/>
    <w:uiPriority w:val="99"/>
    <w:rsid w:val="005971EA"/>
    <w:rPr>
      <w:rFonts w:ascii="Garamond" w:eastAsiaTheme="minorHAnsi" w:hAnsi="Garamond" w:cstheme="majorBidi"/>
      <w:kern w:val="24"/>
      <w:sz w:val="24"/>
      <w:szCs w:val="24"/>
      <w14:ligatures w14:val="standardContextual"/>
    </w:rPr>
  </w:style>
  <w:style w:type="paragraph" w:styleId="Closing">
    <w:name w:val="Closing"/>
    <w:basedOn w:val="Normal"/>
    <w:link w:val="ClosingChar"/>
    <w:uiPriority w:val="99"/>
    <w:semiHidden/>
    <w:unhideWhenUsed/>
    <w:rsid w:val="005971EA"/>
    <w:pPr>
      <w:spacing w:before="160" w:line="264" w:lineRule="auto"/>
      <w:ind w:left="4320"/>
    </w:pPr>
    <w:rPr>
      <w:rFonts w:ascii="Garamond" w:eastAsiaTheme="minorHAnsi" w:hAnsi="Garamond" w:cstheme="majorBidi"/>
      <w:kern w:val="24"/>
      <w:sz w:val="24"/>
      <w:szCs w:val="24"/>
      <w14:ligatures w14:val="standardContextual"/>
    </w:rPr>
  </w:style>
  <w:style w:type="character" w:customStyle="1" w:styleId="ClosingChar">
    <w:name w:val="Closing Char"/>
    <w:basedOn w:val="DefaultParagraphFont"/>
    <w:link w:val="Closing"/>
    <w:uiPriority w:val="99"/>
    <w:semiHidden/>
    <w:rsid w:val="005971EA"/>
    <w:rPr>
      <w:rFonts w:ascii="Garamond" w:eastAsiaTheme="minorHAnsi" w:hAnsi="Garamond" w:cstheme="majorBidi"/>
      <w:kern w:val="24"/>
      <w:sz w:val="24"/>
      <w:szCs w:val="24"/>
      <w14:ligatures w14:val="standardContextual"/>
    </w:rPr>
  </w:style>
  <w:style w:type="table" w:styleId="ColorfulGrid">
    <w:name w:val="Colorful Grid"/>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40"/>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42"/>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45"/>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5971EA"/>
    <w:pPr>
      <w:spacing w:before="160" w:line="264" w:lineRule="auto"/>
    </w:pPr>
    <w:rPr>
      <w:rFonts w:ascii="Segoe UI" w:eastAsiaTheme="minorHAnsi" w:hAnsi="Segoe UI" w:cs="Segoe UI"/>
      <w:kern w:val="24"/>
      <w:sz w:val="22"/>
      <w:szCs w:val="16"/>
      <w14:ligatures w14:val="standardContextual"/>
    </w:rPr>
  </w:style>
  <w:style w:type="character" w:customStyle="1" w:styleId="DocumentMapChar">
    <w:name w:val="Document Map Char"/>
    <w:basedOn w:val="DefaultParagraphFont"/>
    <w:link w:val="DocumentMap"/>
    <w:uiPriority w:val="99"/>
    <w:semiHidden/>
    <w:rsid w:val="005971EA"/>
    <w:rPr>
      <w:rFonts w:ascii="Segoe UI" w:eastAsiaTheme="minorHAnsi" w:hAnsi="Segoe UI" w:cs="Segoe UI"/>
      <w:kern w:val="24"/>
      <w:sz w:val="22"/>
      <w:szCs w:val="16"/>
      <w14:ligatures w14:val="standardContextual"/>
    </w:rPr>
  </w:style>
  <w:style w:type="paragraph" w:styleId="E-mailSignature">
    <w:name w:val="E-mail Signature"/>
    <w:basedOn w:val="Normal"/>
    <w:link w:val="E-mailSignature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E-mailSignatureChar">
    <w:name w:val="E-mail Signature Char"/>
    <w:basedOn w:val="DefaultParagraphFont"/>
    <w:link w:val="E-mailSignature"/>
    <w:uiPriority w:val="99"/>
    <w:semiHidden/>
    <w:rsid w:val="005971EA"/>
    <w:rPr>
      <w:rFonts w:ascii="Garamond" w:eastAsiaTheme="minorHAnsi" w:hAnsi="Garamond" w:cstheme="majorBidi"/>
      <w:kern w:val="24"/>
      <w:sz w:val="24"/>
      <w:szCs w:val="24"/>
      <w14:ligatures w14:val="standardContextual"/>
    </w:rPr>
  </w:style>
  <w:style w:type="character" w:customStyle="1" w:styleId="EndnoteTextChar">
    <w:name w:val="Endnote Text Char"/>
    <w:basedOn w:val="DefaultParagraphFont"/>
    <w:link w:val="EndnoteText"/>
    <w:uiPriority w:val="99"/>
    <w:semiHidden/>
    <w:rsid w:val="005971EA"/>
    <w:rPr>
      <w:rFonts w:ascii="Palatino" w:hAnsi="Palatino"/>
    </w:rPr>
  </w:style>
  <w:style w:type="paragraph" w:styleId="EnvelopeAddress">
    <w:name w:val="envelope address"/>
    <w:basedOn w:val="Normal"/>
    <w:uiPriority w:val="99"/>
    <w:semiHidden/>
    <w:unhideWhenUsed/>
    <w:rsid w:val="005971EA"/>
    <w:pPr>
      <w:framePr w:w="7920" w:h="1980" w:hRule="exact" w:hSpace="180" w:wrap="auto" w:hAnchor="page" w:xAlign="center" w:yAlign="bottom"/>
      <w:spacing w:before="160" w:line="264" w:lineRule="auto"/>
      <w:ind w:left="2880"/>
    </w:pPr>
    <w:rPr>
      <w:rFonts w:asciiTheme="majorHAnsi" w:eastAsiaTheme="majorEastAsia" w:hAnsiTheme="majorHAnsi" w:cstheme="majorBidi"/>
      <w:kern w:val="24"/>
      <w:sz w:val="24"/>
      <w:szCs w:val="24"/>
      <w14:ligatures w14:val="standardContextual"/>
    </w:rPr>
  </w:style>
  <w:style w:type="paragraph" w:styleId="EnvelopeReturn">
    <w:name w:val="envelope return"/>
    <w:basedOn w:val="Normal"/>
    <w:uiPriority w:val="99"/>
    <w:semiHidden/>
    <w:unhideWhenUsed/>
    <w:rsid w:val="005971EA"/>
    <w:pPr>
      <w:spacing w:before="160" w:line="264" w:lineRule="auto"/>
    </w:pPr>
    <w:rPr>
      <w:rFonts w:asciiTheme="majorHAnsi" w:eastAsiaTheme="majorEastAsia" w:hAnsiTheme="majorHAnsi" w:cstheme="majorBidi"/>
      <w:kern w:val="24"/>
      <w:sz w:val="22"/>
      <w:szCs w:val="24"/>
      <w14:ligatures w14:val="standardContextual"/>
    </w:rPr>
  </w:style>
  <w:style w:type="table" w:styleId="GridTable1Light">
    <w:name w:val="Grid Table 1 Light"/>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CPUC table 1,Grid Table 4 - Accent 4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tcMar>
        <w:top w:w="58" w:type="dxa"/>
        <w:left w:w="115" w:type="dxa"/>
        <w:right w:w="115" w:type="dxa"/>
      </w:tcMar>
    </w:tcPr>
    <w:tblStylePr w:type="firstRow">
      <w:rPr>
        <w:rFonts w:asciiTheme="minorHAnsi" w:hAnsiTheme="minorHAnsi"/>
        <w:b/>
        <w:bCs/>
        <w:i w:val="0"/>
        <w:color w:val="0F1308" w:themeColor="accent3" w:themeShade="1A"/>
        <w:sz w:val="20"/>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val="0"/>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5971EA"/>
    <w:rPr>
      <w:color w:val="2B579A"/>
      <w:shd w:val="clear" w:color="auto" w:fill="E6E6E6"/>
    </w:rPr>
  </w:style>
  <w:style w:type="character" w:styleId="HTMLAcronym">
    <w:name w:val="HTML Acronym"/>
    <w:basedOn w:val="DefaultParagraphFont"/>
    <w:uiPriority w:val="99"/>
    <w:semiHidden/>
    <w:unhideWhenUsed/>
    <w:rsid w:val="005971EA"/>
  </w:style>
  <w:style w:type="paragraph" w:styleId="HTMLAddress">
    <w:name w:val="HTML Address"/>
    <w:basedOn w:val="Normal"/>
    <w:link w:val="HTMLAddressChar"/>
    <w:uiPriority w:val="99"/>
    <w:semiHidden/>
    <w:unhideWhenUsed/>
    <w:rsid w:val="005971EA"/>
    <w:pPr>
      <w:spacing w:before="160" w:line="264" w:lineRule="auto"/>
    </w:pPr>
    <w:rPr>
      <w:rFonts w:ascii="Garamond" w:eastAsiaTheme="minorHAnsi" w:hAnsi="Garamond" w:cstheme="majorBidi"/>
      <w:i/>
      <w:iCs/>
      <w:kern w:val="24"/>
      <w:sz w:val="24"/>
      <w:szCs w:val="24"/>
      <w14:ligatures w14:val="standardContextual"/>
    </w:rPr>
  </w:style>
  <w:style w:type="character" w:customStyle="1" w:styleId="HTMLAddressChar">
    <w:name w:val="HTML Address Char"/>
    <w:basedOn w:val="DefaultParagraphFont"/>
    <w:link w:val="HTMLAddress"/>
    <w:uiPriority w:val="99"/>
    <w:semiHidden/>
    <w:rsid w:val="005971EA"/>
    <w:rPr>
      <w:rFonts w:ascii="Garamond" w:eastAsiaTheme="minorHAnsi" w:hAnsi="Garamond" w:cstheme="majorBidi"/>
      <w:i/>
      <w:iCs/>
      <w:kern w:val="24"/>
      <w:sz w:val="24"/>
      <w:szCs w:val="24"/>
      <w14:ligatures w14:val="standardContextual"/>
    </w:rPr>
  </w:style>
  <w:style w:type="character" w:styleId="HTMLCite">
    <w:name w:val="HTML Cite"/>
    <w:basedOn w:val="DefaultParagraphFont"/>
    <w:uiPriority w:val="99"/>
    <w:semiHidden/>
    <w:unhideWhenUsed/>
    <w:rsid w:val="005971EA"/>
    <w:rPr>
      <w:i/>
      <w:iCs/>
    </w:rPr>
  </w:style>
  <w:style w:type="character" w:styleId="HTMLCode">
    <w:name w:val="HTML Code"/>
    <w:basedOn w:val="DefaultParagraphFont"/>
    <w:uiPriority w:val="99"/>
    <w:semiHidden/>
    <w:unhideWhenUsed/>
    <w:rsid w:val="005971EA"/>
    <w:rPr>
      <w:rFonts w:ascii="Consolas" w:hAnsi="Consolas"/>
      <w:sz w:val="22"/>
      <w:szCs w:val="20"/>
    </w:rPr>
  </w:style>
  <w:style w:type="character" w:styleId="HTMLDefinition">
    <w:name w:val="HTML Definition"/>
    <w:basedOn w:val="DefaultParagraphFont"/>
    <w:uiPriority w:val="99"/>
    <w:semiHidden/>
    <w:unhideWhenUsed/>
    <w:rsid w:val="005971EA"/>
    <w:rPr>
      <w:i/>
      <w:iCs/>
    </w:rPr>
  </w:style>
  <w:style w:type="character" w:styleId="HTMLKeyboard">
    <w:name w:val="HTML Keyboard"/>
    <w:basedOn w:val="DefaultParagraphFont"/>
    <w:uiPriority w:val="99"/>
    <w:semiHidden/>
    <w:unhideWhenUsed/>
    <w:rsid w:val="005971EA"/>
    <w:rPr>
      <w:rFonts w:ascii="Consolas" w:hAnsi="Consolas"/>
      <w:sz w:val="22"/>
      <w:szCs w:val="20"/>
    </w:rPr>
  </w:style>
  <w:style w:type="paragraph" w:styleId="HTMLPreformatted">
    <w:name w:val="HTML Preformatted"/>
    <w:basedOn w:val="Normal"/>
    <w:link w:val="HTMLPreformattedChar"/>
    <w:uiPriority w:val="99"/>
    <w:semiHidden/>
    <w:unhideWhenUsed/>
    <w:rsid w:val="005971EA"/>
    <w:pPr>
      <w:spacing w:before="160" w:line="264" w:lineRule="auto"/>
    </w:pPr>
    <w:rPr>
      <w:rFonts w:ascii="Consolas" w:eastAsiaTheme="minorHAnsi" w:hAnsi="Consolas" w:cstheme="majorBidi"/>
      <w:kern w:val="24"/>
      <w:sz w:val="22"/>
      <w:szCs w:val="24"/>
      <w14:ligatures w14:val="standardContextual"/>
    </w:rPr>
  </w:style>
  <w:style w:type="character" w:customStyle="1" w:styleId="HTMLPreformattedChar">
    <w:name w:val="HTML Preformatted Char"/>
    <w:basedOn w:val="DefaultParagraphFont"/>
    <w:link w:val="HTMLPreformatted"/>
    <w:uiPriority w:val="99"/>
    <w:semiHidden/>
    <w:rsid w:val="005971EA"/>
    <w:rPr>
      <w:rFonts w:ascii="Consolas" w:eastAsiaTheme="minorHAnsi" w:hAnsi="Consolas" w:cstheme="majorBidi"/>
      <w:kern w:val="24"/>
      <w:sz w:val="22"/>
      <w:szCs w:val="24"/>
      <w14:ligatures w14:val="standardContextual"/>
    </w:rPr>
  </w:style>
  <w:style w:type="character" w:styleId="HTMLSample">
    <w:name w:val="HTML Sample"/>
    <w:basedOn w:val="DefaultParagraphFont"/>
    <w:uiPriority w:val="99"/>
    <w:semiHidden/>
    <w:unhideWhenUsed/>
    <w:rsid w:val="005971EA"/>
    <w:rPr>
      <w:rFonts w:ascii="Consolas" w:hAnsi="Consolas"/>
      <w:sz w:val="24"/>
      <w:szCs w:val="24"/>
    </w:rPr>
  </w:style>
  <w:style w:type="character" w:styleId="HTMLTypewriter">
    <w:name w:val="HTML Typewriter"/>
    <w:basedOn w:val="DefaultParagraphFont"/>
    <w:uiPriority w:val="99"/>
    <w:semiHidden/>
    <w:unhideWhenUsed/>
    <w:rsid w:val="005971EA"/>
    <w:rPr>
      <w:rFonts w:ascii="Consolas" w:hAnsi="Consolas"/>
      <w:sz w:val="22"/>
      <w:szCs w:val="20"/>
    </w:rPr>
  </w:style>
  <w:style w:type="character" w:styleId="HTMLVariable">
    <w:name w:val="HTML Variable"/>
    <w:basedOn w:val="DefaultParagraphFont"/>
    <w:uiPriority w:val="99"/>
    <w:semiHidden/>
    <w:unhideWhenUsed/>
    <w:rsid w:val="005971EA"/>
    <w:rPr>
      <w:i/>
      <w:iCs/>
    </w:rPr>
  </w:style>
  <w:style w:type="paragraph" w:styleId="Index1">
    <w:name w:val="index 1"/>
    <w:basedOn w:val="Normal"/>
    <w:next w:val="Normal"/>
    <w:autoRedefine/>
    <w:uiPriority w:val="99"/>
    <w:semiHidden/>
    <w:unhideWhenUsed/>
    <w:rsid w:val="005971EA"/>
    <w:pPr>
      <w:spacing w:before="160" w:line="264" w:lineRule="auto"/>
      <w:ind w:left="230" w:hanging="230"/>
    </w:pPr>
    <w:rPr>
      <w:rFonts w:ascii="Garamond" w:eastAsiaTheme="minorHAnsi" w:hAnsi="Garamond" w:cstheme="majorBidi"/>
      <w:kern w:val="24"/>
      <w:sz w:val="24"/>
      <w:szCs w:val="24"/>
      <w14:ligatures w14:val="standardContextual"/>
    </w:rPr>
  </w:style>
  <w:style w:type="paragraph" w:styleId="Index2">
    <w:name w:val="index 2"/>
    <w:basedOn w:val="Normal"/>
    <w:next w:val="Normal"/>
    <w:autoRedefine/>
    <w:uiPriority w:val="99"/>
    <w:semiHidden/>
    <w:unhideWhenUsed/>
    <w:rsid w:val="005971EA"/>
    <w:pPr>
      <w:spacing w:before="160" w:line="264" w:lineRule="auto"/>
      <w:ind w:left="460" w:hanging="230"/>
    </w:pPr>
    <w:rPr>
      <w:rFonts w:ascii="Garamond" w:eastAsiaTheme="minorHAnsi" w:hAnsi="Garamond" w:cstheme="majorBidi"/>
      <w:kern w:val="24"/>
      <w:sz w:val="24"/>
      <w:szCs w:val="24"/>
      <w14:ligatures w14:val="standardContextual"/>
    </w:rPr>
  </w:style>
  <w:style w:type="paragraph" w:styleId="Index3">
    <w:name w:val="index 3"/>
    <w:basedOn w:val="Normal"/>
    <w:next w:val="Normal"/>
    <w:autoRedefine/>
    <w:uiPriority w:val="99"/>
    <w:semiHidden/>
    <w:unhideWhenUsed/>
    <w:rsid w:val="005971EA"/>
    <w:pPr>
      <w:spacing w:before="160" w:line="264" w:lineRule="auto"/>
      <w:ind w:left="690" w:hanging="230"/>
    </w:pPr>
    <w:rPr>
      <w:rFonts w:ascii="Garamond" w:eastAsiaTheme="minorHAnsi" w:hAnsi="Garamond" w:cstheme="majorBidi"/>
      <w:kern w:val="24"/>
      <w:sz w:val="24"/>
      <w:szCs w:val="24"/>
      <w14:ligatures w14:val="standardContextual"/>
    </w:rPr>
  </w:style>
  <w:style w:type="paragraph" w:styleId="Index4">
    <w:name w:val="index 4"/>
    <w:basedOn w:val="Normal"/>
    <w:next w:val="Normal"/>
    <w:autoRedefine/>
    <w:uiPriority w:val="99"/>
    <w:semiHidden/>
    <w:unhideWhenUsed/>
    <w:rsid w:val="005971EA"/>
    <w:pPr>
      <w:spacing w:before="160" w:line="264" w:lineRule="auto"/>
      <w:ind w:left="920" w:hanging="230"/>
    </w:pPr>
    <w:rPr>
      <w:rFonts w:ascii="Garamond" w:eastAsiaTheme="minorHAnsi" w:hAnsi="Garamond" w:cstheme="majorBidi"/>
      <w:kern w:val="24"/>
      <w:sz w:val="24"/>
      <w:szCs w:val="24"/>
      <w14:ligatures w14:val="standardContextual"/>
    </w:rPr>
  </w:style>
  <w:style w:type="paragraph" w:styleId="Index5">
    <w:name w:val="index 5"/>
    <w:basedOn w:val="Normal"/>
    <w:next w:val="Normal"/>
    <w:autoRedefine/>
    <w:uiPriority w:val="99"/>
    <w:semiHidden/>
    <w:unhideWhenUsed/>
    <w:rsid w:val="005971EA"/>
    <w:pPr>
      <w:spacing w:before="160" w:line="264" w:lineRule="auto"/>
      <w:ind w:left="1150" w:hanging="230"/>
    </w:pPr>
    <w:rPr>
      <w:rFonts w:ascii="Garamond" w:eastAsiaTheme="minorHAnsi" w:hAnsi="Garamond" w:cstheme="majorBidi"/>
      <w:kern w:val="24"/>
      <w:sz w:val="24"/>
      <w:szCs w:val="24"/>
      <w14:ligatures w14:val="standardContextual"/>
    </w:rPr>
  </w:style>
  <w:style w:type="paragraph" w:styleId="Index6">
    <w:name w:val="index 6"/>
    <w:basedOn w:val="Normal"/>
    <w:next w:val="Normal"/>
    <w:autoRedefine/>
    <w:uiPriority w:val="99"/>
    <w:semiHidden/>
    <w:unhideWhenUsed/>
    <w:rsid w:val="005971EA"/>
    <w:pPr>
      <w:spacing w:before="160" w:line="264" w:lineRule="auto"/>
      <w:ind w:left="1380" w:hanging="230"/>
    </w:pPr>
    <w:rPr>
      <w:rFonts w:ascii="Garamond" w:eastAsiaTheme="minorHAnsi" w:hAnsi="Garamond" w:cstheme="majorBidi"/>
      <w:kern w:val="24"/>
      <w:sz w:val="24"/>
      <w:szCs w:val="24"/>
      <w14:ligatures w14:val="standardContextual"/>
    </w:rPr>
  </w:style>
  <w:style w:type="paragraph" w:styleId="Index7">
    <w:name w:val="index 7"/>
    <w:basedOn w:val="Normal"/>
    <w:next w:val="Normal"/>
    <w:autoRedefine/>
    <w:uiPriority w:val="99"/>
    <w:semiHidden/>
    <w:unhideWhenUsed/>
    <w:rsid w:val="005971EA"/>
    <w:pPr>
      <w:spacing w:before="160" w:line="264" w:lineRule="auto"/>
      <w:ind w:left="1610" w:hanging="230"/>
    </w:pPr>
    <w:rPr>
      <w:rFonts w:ascii="Garamond" w:eastAsiaTheme="minorHAnsi" w:hAnsi="Garamond" w:cstheme="majorBidi"/>
      <w:kern w:val="24"/>
      <w:sz w:val="24"/>
      <w:szCs w:val="24"/>
      <w14:ligatures w14:val="standardContextual"/>
    </w:rPr>
  </w:style>
  <w:style w:type="paragraph" w:styleId="Index8">
    <w:name w:val="index 8"/>
    <w:basedOn w:val="Normal"/>
    <w:next w:val="Normal"/>
    <w:autoRedefine/>
    <w:uiPriority w:val="99"/>
    <w:semiHidden/>
    <w:unhideWhenUsed/>
    <w:rsid w:val="005971EA"/>
    <w:pPr>
      <w:spacing w:before="160" w:line="264" w:lineRule="auto"/>
      <w:ind w:left="1840" w:hanging="230"/>
    </w:pPr>
    <w:rPr>
      <w:rFonts w:ascii="Garamond" w:eastAsiaTheme="minorHAnsi" w:hAnsi="Garamond" w:cstheme="majorBidi"/>
      <w:kern w:val="24"/>
      <w:sz w:val="24"/>
      <w:szCs w:val="24"/>
      <w14:ligatures w14:val="standardContextual"/>
    </w:rPr>
  </w:style>
  <w:style w:type="paragraph" w:styleId="Index9">
    <w:name w:val="index 9"/>
    <w:basedOn w:val="Normal"/>
    <w:next w:val="Normal"/>
    <w:autoRedefine/>
    <w:uiPriority w:val="99"/>
    <w:semiHidden/>
    <w:unhideWhenUsed/>
    <w:rsid w:val="005971EA"/>
    <w:pPr>
      <w:spacing w:before="160" w:line="264" w:lineRule="auto"/>
      <w:ind w:left="2070" w:hanging="230"/>
    </w:pPr>
    <w:rPr>
      <w:rFonts w:ascii="Garamond" w:eastAsiaTheme="minorHAnsi" w:hAnsi="Garamond" w:cstheme="majorBidi"/>
      <w:kern w:val="24"/>
      <w:sz w:val="24"/>
      <w:szCs w:val="24"/>
      <w14:ligatures w14:val="standardContextual"/>
    </w:rPr>
  </w:style>
  <w:style w:type="paragraph" w:styleId="IndexHeading">
    <w:name w:val="index heading"/>
    <w:basedOn w:val="Normal"/>
    <w:next w:val="Index1"/>
    <w:uiPriority w:val="99"/>
    <w:semiHidden/>
    <w:unhideWhenUsed/>
    <w:rsid w:val="005971EA"/>
    <w:pPr>
      <w:spacing w:before="160" w:line="264" w:lineRule="auto"/>
    </w:pPr>
    <w:rPr>
      <w:rFonts w:asciiTheme="majorHAnsi" w:eastAsiaTheme="majorEastAsia" w:hAnsiTheme="majorHAnsi" w:cstheme="majorBidi"/>
      <w:b/>
      <w:bCs/>
      <w:kern w:val="24"/>
      <w:sz w:val="24"/>
      <w:szCs w:val="24"/>
      <w14:ligatures w14:val="standardContextual"/>
    </w:rPr>
  </w:style>
  <w:style w:type="table" w:styleId="LightGrid">
    <w:name w:val="Light Grid"/>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40"/>
    <w:semiHidden/>
    <w:unhideWhenUsed/>
    <w:rsid w:val="005971EA"/>
    <w:rPr>
      <w:rFonts w:ascii="Garamond" w:eastAsiaTheme="minorHAnsi" w:hAnsi="Garamond" w:cstheme="majorBidi"/>
      <w:color w:val="000000" w:themeColor="text1" w:themeShade="BF"/>
      <w:kern w:val="24"/>
      <w:sz w:val="24"/>
      <w:szCs w:val="24"/>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42"/>
    <w:semiHidden/>
    <w:unhideWhenUsed/>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45"/>
    <w:semiHidden/>
    <w:unhideWhenUsed/>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971EA"/>
  </w:style>
  <w:style w:type="paragraph" w:styleId="List3">
    <w:name w:val="List 3"/>
    <w:basedOn w:val="List2"/>
    <w:uiPriority w:val="99"/>
    <w:unhideWhenUsed/>
    <w:rsid w:val="005971EA"/>
    <w:pPr>
      <w:ind w:left="1080"/>
      <w:contextualSpacing/>
    </w:pPr>
  </w:style>
  <w:style w:type="paragraph" w:styleId="List4">
    <w:name w:val="List 4"/>
    <w:basedOn w:val="List3"/>
    <w:uiPriority w:val="99"/>
    <w:unhideWhenUsed/>
    <w:rsid w:val="005971EA"/>
    <w:pPr>
      <w:ind w:left="1440"/>
    </w:pPr>
  </w:style>
  <w:style w:type="paragraph" w:styleId="List5">
    <w:name w:val="List 5"/>
    <w:basedOn w:val="List4"/>
    <w:uiPriority w:val="99"/>
    <w:unhideWhenUsed/>
    <w:rsid w:val="005971EA"/>
    <w:pPr>
      <w:ind w:left="1800"/>
    </w:pPr>
  </w:style>
  <w:style w:type="paragraph" w:styleId="ListContinue">
    <w:name w:val="List Continue"/>
    <w:basedOn w:val="Normal"/>
    <w:uiPriority w:val="99"/>
    <w:semiHidden/>
    <w:unhideWhenUsed/>
    <w:rsid w:val="005971EA"/>
    <w:pPr>
      <w:spacing w:before="160" w:after="120" w:line="264" w:lineRule="auto"/>
      <w:ind w:left="360"/>
      <w:contextualSpacing/>
    </w:pPr>
    <w:rPr>
      <w:rFonts w:ascii="Garamond" w:eastAsiaTheme="minorHAnsi" w:hAnsi="Garamond" w:cstheme="majorBidi"/>
      <w:kern w:val="24"/>
      <w:sz w:val="24"/>
      <w:szCs w:val="24"/>
      <w14:ligatures w14:val="standardContextual"/>
    </w:rPr>
  </w:style>
  <w:style w:type="paragraph" w:styleId="ListContinue2">
    <w:name w:val="List Continue 2"/>
    <w:basedOn w:val="Normal"/>
    <w:uiPriority w:val="99"/>
    <w:semiHidden/>
    <w:unhideWhenUsed/>
    <w:rsid w:val="005971EA"/>
    <w:pPr>
      <w:spacing w:before="160" w:after="120" w:line="264" w:lineRule="auto"/>
      <w:ind w:left="720"/>
      <w:contextualSpacing/>
    </w:pPr>
    <w:rPr>
      <w:rFonts w:ascii="Garamond" w:eastAsiaTheme="minorHAnsi" w:hAnsi="Garamond" w:cstheme="majorBidi"/>
      <w:kern w:val="24"/>
      <w:sz w:val="24"/>
      <w:szCs w:val="24"/>
      <w14:ligatures w14:val="standardContextual"/>
    </w:rPr>
  </w:style>
  <w:style w:type="paragraph" w:styleId="ListContinue3">
    <w:name w:val="List Continue 3"/>
    <w:basedOn w:val="Normal"/>
    <w:uiPriority w:val="99"/>
    <w:unhideWhenUsed/>
    <w:rsid w:val="005971EA"/>
    <w:pPr>
      <w:spacing w:before="160" w:after="120" w:line="264" w:lineRule="auto"/>
      <w:ind w:left="1080"/>
      <w:contextualSpacing/>
    </w:pPr>
    <w:rPr>
      <w:rFonts w:ascii="Garamond" w:eastAsiaTheme="minorHAnsi" w:hAnsi="Garamond" w:cstheme="majorBidi"/>
      <w:kern w:val="24"/>
      <w:sz w:val="24"/>
      <w:szCs w:val="24"/>
      <w14:ligatures w14:val="standardContextual"/>
    </w:rPr>
  </w:style>
  <w:style w:type="paragraph" w:styleId="ListContinue4">
    <w:name w:val="List Continue 4"/>
    <w:basedOn w:val="Normal"/>
    <w:uiPriority w:val="99"/>
    <w:unhideWhenUsed/>
    <w:rsid w:val="005971EA"/>
    <w:pPr>
      <w:spacing w:before="160" w:after="120" w:line="264" w:lineRule="auto"/>
      <w:ind w:left="1440"/>
      <w:contextualSpacing/>
    </w:pPr>
    <w:rPr>
      <w:rFonts w:ascii="Garamond" w:eastAsiaTheme="minorHAnsi" w:hAnsi="Garamond" w:cstheme="majorBidi"/>
      <w:kern w:val="24"/>
      <w:sz w:val="24"/>
      <w:szCs w:val="24"/>
      <w14:ligatures w14:val="standardContextual"/>
    </w:rPr>
  </w:style>
  <w:style w:type="paragraph" w:styleId="ListContinue5">
    <w:name w:val="List Continue 5"/>
    <w:basedOn w:val="Normal"/>
    <w:uiPriority w:val="99"/>
    <w:unhideWhenUsed/>
    <w:rsid w:val="005971EA"/>
    <w:pPr>
      <w:spacing w:before="160" w:after="120" w:line="264" w:lineRule="auto"/>
      <w:ind w:left="1800"/>
      <w:contextualSpacing/>
    </w:pPr>
    <w:rPr>
      <w:rFonts w:ascii="Garamond" w:eastAsiaTheme="minorHAnsi" w:hAnsi="Garamond" w:cstheme="majorBidi"/>
      <w:kern w:val="24"/>
      <w:sz w:val="24"/>
      <w:szCs w:val="24"/>
      <w14:ligatures w14:val="standardContextual"/>
    </w:rPr>
  </w:style>
  <w:style w:type="paragraph" w:styleId="ListNumber">
    <w:name w:val="List Number"/>
    <w:basedOn w:val="Normal"/>
    <w:uiPriority w:val="99"/>
    <w:unhideWhenUsed/>
    <w:qFormat/>
    <w:rsid w:val="005971EA"/>
    <w:pPr>
      <w:numPr>
        <w:numId w:val="25"/>
      </w:numPr>
      <w:tabs>
        <w:tab w:val="clear" w:pos="360"/>
      </w:tabs>
      <w:spacing w:before="40" w:line="264" w:lineRule="auto"/>
      <w:ind w:left="0" w:firstLine="0"/>
      <w:contextualSpacing/>
    </w:pPr>
    <w:rPr>
      <w:rFonts w:ascii="Garamond" w:eastAsiaTheme="minorHAnsi" w:hAnsi="Garamond" w:cstheme="majorBidi"/>
      <w:kern w:val="24"/>
      <w:sz w:val="24"/>
      <w:szCs w:val="24"/>
      <w14:ligatures w14:val="standardContextual"/>
    </w:rPr>
  </w:style>
  <w:style w:type="paragraph" w:styleId="ListNumber2">
    <w:name w:val="List Number 2"/>
    <w:basedOn w:val="ListBullet"/>
    <w:uiPriority w:val="99"/>
    <w:unhideWhenUsed/>
    <w:qFormat/>
    <w:rsid w:val="005971EA"/>
    <w:pPr>
      <w:numPr>
        <w:numId w:val="27"/>
      </w:numPr>
      <w:tabs>
        <w:tab w:val="clear" w:pos="720"/>
      </w:tabs>
      <w:adjustRightInd w:val="0"/>
      <w:snapToGrid w:val="0"/>
      <w:ind w:left="0" w:firstLine="0"/>
    </w:pPr>
  </w:style>
  <w:style w:type="numbering" w:customStyle="1" w:styleId="CurrentList6">
    <w:name w:val="Current List6"/>
    <w:uiPriority w:val="99"/>
    <w:rsid w:val="005971EA"/>
    <w:pPr>
      <w:numPr>
        <w:numId w:val="23"/>
      </w:numPr>
    </w:pPr>
  </w:style>
  <w:style w:type="table" w:styleId="ListTable1Light">
    <w:name w:val="List Table 1 Light"/>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971EA"/>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heme="minorHAnsi" w:hAnsi="Consolas" w:cstheme="majorBidi"/>
      <w:kern w:val="24"/>
      <w:sz w:val="22"/>
      <w:szCs w:val="24"/>
      <w14:ligatures w14:val="standardContextual"/>
    </w:rPr>
  </w:style>
  <w:style w:type="character" w:customStyle="1" w:styleId="MacroTextChar">
    <w:name w:val="Macro Text Char"/>
    <w:basedOn w:val="DefaultParagraphFont"/>
    <w:link w:val="MacroText"/>
    <w:uiPriority w:val="99"/>
    <w:rsid w:val="005971EA"/>
    <w:rPr>
      <w:rFonts w:ascii="Consolas" w:eastAsiaTheme="minorHAnsi" w:hAnsi="Consolas" w:cstheme="majorBidi"/>
      <w:kern w:val="24"/>
      <w:sz w:val="22"/>
      <w:szCs w:val="24"/>
      <w14:ligatures w14:val="standardContextual"/>
    </w:rPr>
  </w:style>
  <w:style w:type="table" w:styleId="MediumGrid1">
    <w:name w:val="Medium Grid 1"/>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40"/>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40"/>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971EA"/>
    <w:rPr>
      <w:color w:val="2B579A"/>
      <w:shd w:val="clear" w:color="auto" w:fill="E6E6E6"/>
    </w:rPr>
  </w:style>
  <w:style w:type="paragraph" w:styleId="MessageHeader">
    <w:name w:val="Message Header"/>
    <w:basedOn w:val="Normal"/>
    <w:link w:val="MessageHeaderChar"/>
    <w:uiPriority w:val="99"/>
    <w:unhideWhenUsed/>
    <w:rsid w:val="005971EA"/>
    <w:pPr>
      <w:pBdr>
        <w:top w:val="single" w:sz="6" w:space="1" w:color="auto"/>
        <w:left w:val="single" w:sz="6" w:space="1" w:color="auto"/>
        <w:bottom w:val="single" w:sz="6" w:space="1" w:color="auto"/>
        <w:right w:val="single" w:sz="6" w:space="1" w:color="auto"/>
      </w:pBdr>
      <w:shd w:val="pct20" w:color="auto" w:fill="auto"/>
      <w:spacing w:before="160" w:line="264" w:lineRule="auto"/>
      <w:ind w:left="1080" w:hanging="1080"/>
    </w:pPr>
    <w:rPr>
      <w:rFonts w:asciiTheme="majorHAnsi" w:eastAsiaTheme="majorEastAsia" w:hAnsiTheme="majorHAnsi" w:cstheme="majorBidi"/>
      <w:kern w:val="24"/>
      <w:sz w:val="24"/>
      <w:szCs w:val="24"/>
      <w14:ligatures w14:val="standardContextual"/>
    </w:rPr>
  </w:style>
  <w:style w:type="character" w:customStyle="1" w:styleId="MessageHeaderChar">
    <w:name w:val="Message Header Char"/>
    <w:basedOn w:val="DefaultParagraphFont"/>
    <w:link w:val="MessageHeader"/>
    <w:uiPriority w:val="99"/>
    <w:rsid w:val="005971EA"/>
    <w:rPr>
      <w:rFonts w:asciiTheme="majorHAnsi" w:eastAsiaTheme="majorEastAsia" w:hAnsiTheme="majorHAnsi" w:cstheme="majorBidi"/>
      <w:kern w:val="24"/>
      <w:sz w:val="24"/>
      <w:szCs w:val="24"/>
      <w:shd w:val="pct20" w:color="auto" w:fill="auto"/>
      <w14:ligatures w14:val="standardContextual"/>
    </w:rPr>
  </w:style>
  <w:style w:type="paragraph" w:styleId="NormalWeb">
    <w:name w:val="Normal (Web)"/>
    <w:basedOn w:val="Normal"/>
    <w:uiPriority w:val="99"/>
    <w:semiHidden/>
    <w:unhideWhenUsed/>
    <w:rsid w:val="005971EA"/>
    <w:pPr>
      <w:spacing w:before="160" w:line="264" w:lineRule="auto"/>
    </w:pPr>
    <w:rPr>
      <w:rFonts w:ascii="Times New Roman" w:eastAsiaTheme="minorHAnsi" w:hAnsi="Times New Roman" w:cstheme="majorBidi"/>
      <w:kern w:val="24"/>
      <w:sz w:val="24"/>
      <w:szCs w:val="24"/>
      <w14:ligatures w14:val="standardContextual"/>
    </w:rPr>
  </w:style>
  <w:style w:type="paragraph" w:styleId="NormalIndent">
    <w:name w:val="Normal Indent"/>
    <w:basedOn w:val="Normal"/>
    <w:uiPriority w:val="99"/>
    <w:semiHidden/>
    <w:unhideWhenUsed/>
    <w:rsid w:val="005971EA"/>
    <w:pPr>
      <w:spacing w:before="160" w:line="264" w:lineRule="auto"/>
      <w:ind w:left="720"/>
    </w:pPr>
    <w:rPr>
      <w:rFonts w:ascii="Garamond" w:eastAsiaTheme="minorHAnsi" w:hAnsi="Garamond" w:cstheme="majorBidi"/>
      <w:kern w:val="24"/>
      <w:sz w:val="24"/>
      <w:szCs w:val="24"/>
      <w14:ligatures w14:val="standardContextual"/>
    </w:rPr>
  </w:style>
  <w:style w:type="paragraph" w:styleId="NoteHeading">
    <w:name w:val="Note Heading"/>
    <w:basedOn w:val="Normal"/>
    <w:next w:val="Normal"/>
    <w:link w:val="NoteHeading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NoteHeadingChar">
    <w:name w:val="Note Heading Char"/>
    <w:basedOn w:val="DefaultParagraphFont"/>
    <w:link w:val="NoteHeading"/>
    <w:uiPriority w:val="99"/>
    <w:semiHidden/>
    <w:rsid w:val="005971EA"/>
    <w:rPr>
      <w:rFonts w:ascii="Garamond" w:eastAsiaTheme="minorHAnsi" w:hAnsi="Garamond" w:cstheme="majorBidi"/>
      <w:kern w:val="24"/>
      <w:sz w:val="24"/>
      <w:szCs w:val="24"/>
      <w14:ligatures w14:val="standardContextual"/>
    </w:rPr>
  </w:style>
  <w:style w:type="table" w:styleId="PlainTable1">
    <w:name w:val="Plain Table 1"/>
    <w:basedOn w:val="TableNormal"/>
    <w:uiPriority w:val="41"/>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971EA"/>
    <w:pPr>
      <w:spacing w:before="160" w:line="264" w:lineRule="auto"/>
    </w:pPr>
    <w:rPr>
      <w:rFonts w:ascii="Consolas" w:eastAsiaTheme="minorHAnsi" w:hAnsi="Consolas" w:cstheme="majorBidi"/>
      <w:kern w:val="24"/>
      <w:sz w:val="22"/>
      <w:szCs w:val="21"/>
      <w14:ligatures w14:val="standardContextual"/>
    </w:rPr>
  </w:style>
  <w:style w:type="character" w:customStyle="1" w:styleId="PlainTextChar">
    <w:name w:val="Plain Text Char"/>
    <w:basedOn w:val="DefaultParagraphFont"/>
    <w:link w:val="PlainText"/>
    <w:uiPriority w:val="99"/>
    <w:semiHidden/>
    <w:rsid w:val="005971EA"/>
    <w:rPr>
      <w:rFonts w:ascii="Consolas" w:eastAsiaTheme="minorHAnsi" w:hAnsi="Consolas" w:cstheme="majorBidi"/>
      <w:kern w:val="24"/>
      <w:sz w:val="22"/>
      <w:szCs w:val="21"/>
      <w14:ligatures w14:val="standardContextual"/>
    </w:rPr>
  </w:style>
  <w:style w:type="paragraph" w:styleId="Salutation">
    <w:name w:val="Salutation"/>
    <w:basedOn w:val="Normal"/>
    <w:next w:val="Normal"/>
    <w:link w:val="Salutation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SalutationChar">
    <w:name w:val="Salutation Char"/>
    <w:basedOn w:val="DefaultParagraphFont"/>
    <w:link w:val="Salutation"/>
    <w:uiPriority w:val="99"/>
    <w:semiHidden/>
    <w:rsid w:val="005971EA"/>
    <w:rPr>
      <w:rFonts w:ascii="Garamond" w:eastAsiaTheme="minorHAnsi" w:hAnsi="Garamond" w:cstheme="majorBidi"/>
      <w:kern w:val="24"/>
      <w:sz w:val="24"/>
      <w:szCs w:val="24"/>
      <w14:ligatures w14:val="standardContextual"/>
    </w:rPr>
  </w:style>
  <w:style w:type="paragraph" w:styleId="Signature">
    <w:name w:val="Signature"/>
    <w:basedOn w:val="Normal"/>
    <w:link w:val="SignatureChar"/>
    <w:uiPriority w:val="99"/>
    <w:semiHidden/>
    <w:unhideWhenUsed/>
    <w:rsid w:val="005971EA"/>
    <w:pPr>
      <w:spacing w:before="160" w:line="264" w:lineRule="auto"/>
      <w:ind w:left="4320"/>
    </w:pPr>
    <w:rPr>
      <w:rFonts w:ascii="Garamond" w:eastAsiaTheme="minorHAnsi" w:hAnsi="Garamond" w:cstheme="majorBidi"/>
      <w:kern w:val="24"/>
      <w:sz w:val="24"/>
      <w:szCs w:val="24"/>
      <w14:ligatures w14:val="standardContextual"/>
    </w:rPr>
  </w:style>
  <w:style w:type="character" w:customStyle="1" w:styleId="SignatureChar">
    <w:name w:val="Signature Char"/>
    <w:basedOn w:val="DefaultParagraphFont"/>
    <w:link w:val="Signature"/>
    <w:uiPriority w:val="99"/>
    <w:semiHidden/>
    <w:rsid w:val="005971EA"/>
    <w:rPr>
      <w:rFonts w:ascii="Garamond" w:eastAsiaTheme="minorHAnsi" w:hAnsi="Garamond" w:cstheme="majorBidi"/>
      <w:kern w:val="24"/>
      <w:sz w:val="24"/>
      <w:szCs w:val="24"/>
      <w14:ligatures w14:val="standardContextual"/>
    </w:rPr>
  </w:style>
  <w:style w:type="character" w:customStyle="1" w:styleId="SmartHyperlink1">
    <w:name w:val="Smart Hyperlink1"/>
    <w:basedOn w:val="DefaultParagraphFont"/>
    <w:uiPriority w:val="99"/>
    <w:semiHidden/>
    <w:unhideWhenUsed/>
    <w:rsid w:val="005971EA"/>
    <w:rPr>
      <w:u w:val="dotted"/>
    </w:rPr>
  </w:style>
  <w:style w:type="table" w:styleId="Table3Deffects1">
    <w:name w:val="Table 3D effects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971EA"/>
    <w:pPr>
      <w:spacing w:after="160" w:line="264" w:lineRule="auto"/>
    </w:pPr>
    <w:rPr>
      <w:rFonts w:ascii="Garamond" w:eastAsiaTheme="minorHAnsi" w:hAnsi="Garamond" w:cstheme="majorBidi"/>
      <w:color w:val="000080"/>
      <w:kern w:val="24"/>
      <w:sz w:val="24"/>
      <w:szCs w:val="24"/>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971EA"/>
    <w:pPr>
      <w:spacing w:after="160" w:line="264" w:lineRule="auto"/>
    </w:pPr>
    <w:rPr>
      <w:rFonts w:ascii="Garamond" w:eastAsiaTheme="minorHAnsi" w:hAnsi="Garamond" w:cstheme="majorBidi"/>
      <w:color w:val="FFFFFF"/>
      <w:kern w:val="24"/>
      <w:sz w:val="24"/>
      <w:szCs w:val="24"/>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Normal"/>
    <w:uiPriority w:val="99"/>
    <w:unhideWhenUsed/>
    <w:rsid w:val="005971EA"/>
    <w:pPr>
      <w:tabs>
        <w:tab w:val="right" w:leader="dot" w:pos="10080"/>
      </w:tabs>
      <w:spacing w:before="180" w:after="40" w:line="264" w:lineRule="auto"/>
    </w:pPr>
    <w:rPr>
      <w:rFonts w:ascii="Century Gothic" w:eastAsiaTheme="minorHAnsi" w:hAnsi="Century Gothic" w:cstheme="majorBidi"/>
      <w:noProof/>
      <w:kern w:val="24"/>
      <w:sz w:val="24"/>
      <w:szCs w:val="24"/>
      <w14:ligatures w14:val="standardContextual"/>
    </w:rPr>
  </w:style>
  <w:style w:type="table" w:styleId="TableProfessional">
    <w:name w:val="Table Professional"/>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5971EA"/>
    <w:pPr>
      <w:spacing w:before="120" w:line="264" w:lineRule="auto"/>
    </w:pPr>
    <w:rPr>
      <w:rFonts w:asciiTheme="majorHAnsi" w:eastAsiaTheme="majorEastAsia" w:hAnsiTheme="majorHAnsi" w:cstheme="majorBidi"/>
      <w:b/>
      <w:bCs/>
      <w:kern w:val="24"/>
      <w:sz w:val="24"/>
      <w:szCs w:val="24"/>
      <w14:ligatures w14:val="standardContextual"/>
    </w:rPr>
  </w:style>
  <w:style w:type="character" w:customStyle="1" w:styleId="UnresolvedMention1">
    <w:name w:val="Unresolved Mention1"/>
    <w:basedOn w:val="DefaultParagraphFont"/>
    <w:uiPriority w:val="99"/>
    <w:semiHidden/>
    <w:unhideWhenUsed/>
    <w:rsid w:val="005971EA"/>
    <w:rPr>
      <w:color w:val="808080"/>
      <w:shd w:val="clear" w:color="auto" w:fill="E6E6E6"/>
    </w:rPr>
  </w:style>
  <w:style w:type="character" w:styleId="BookTitle">
    <w:name w:val="Book Title"/>
    <w:basedOn w:val="DefaultParagraphFont"/>
    <w:uiPriority w:val="33"/>
    <w:unhideWhenUsed/>
    <w:qFormat/>
    <w:rsid w:val="005971EA"/>
    <w:rPr>
      <w:b/>
      <w:bCs/>
      <w:i/>
      <w:iCs/>
      <w:spacing w:val="0"/>
    </w:rPr>
  </w:style>
  <w:style w:type="character" w:styleId="IntenseEmphasis">
    <w:name w:val="Intense Emphasis"/>
    <w:basedOn w:val="DefaultParagraphFont"/>
    <w:uiPriority w:val="21"/>
    <w:unhideWhenUsed/>
    <w:qFormat/>
    <w:rsid w:val="005971EA"/>
    <w:rPr>
      <w:i/>
      <w:iCs/>
      <w:color w:val="244061" w:themeColor="accent1" w:themeShade="80"/>
    </w:rPr>
  </w:style>
  <w:style w:type="character" w:styleId="IntenseReference">
    <w:name w:val="Intense Reference"/>
    <w:basedOn w:val="DefaultParagraphFont"/>
    <w:uiPriority w:val="32"/>
    <w:unhideWhenUsed/>
    <w:qFormat/>
    <w:rsid w:val="005971EA"/>
    <w:rPr>
      <w:b/>
      <w:bCs/>
      <w:caps w:val="0"/>
      <w:smallCaps/>
      <w:color w:val="244061" w:themeColor="accent1" w:themeShade="80"/>
      <w:spacing w:val="0"/>
    </w:rPr>
  </w:style>
  <w:style w:type="paragraph" w:styleId="Caption">
    <w:name w:val="caption"/>
    <w:basedOn w:val="Normal"/>
    <w:next w:val="Normal"/>
    <w:unhideWhenUsed/>
    <w:qFormat/>
    <w:rsid w:val="005971EA"/>
    <w:pPr>
      <w:spacing w:before="80" w:after="240" w:line="264" w:lineRule="auto"/>
    </w:pPr>
    <w:rPr>
      <w:rFonts w:ascii="Century Gothic" w:eastAsiaTheme="minorHAnsi" w:hAnsi="Century Gothic" w:cstheme="majorBidi"/>
      <w:i/>
      <w:iCs/>
      <w:noProof/>
      <w:kern w:val="24"/>
      <w:sz w:val="20"/>
      <w:szCs w:val="18"/>
      <w14:ligatures w14:val="standardContextual"/>
    </w:rPr>
  </w:style>
  <w:style w:type="character" w:styleId="Emphasis">
    <w:name w:val="Emphasis"/>
    <w:basedOn w:val="DefaultParagraphFont"/>
    <w:uiPriority w:val="20"/>
    <w:unhideWhenUsed/>
    <w:qFormat/>
    <w:rsid w:val="005971EA"/>
    <w:rPr>
      <w:i/>
      <w:iCs/>
    </w:rPr>
  </w:style>
  <w:style w:type="paragraph" w:styleId="ListBullet">
    <w:name w:val="List Bullet"/>
    <w:basedOn w:val="Normal"/>
    <w:uiPriority w:val="36"/>
    <w:unhideWhenUsed/>
    <w:qFormat/>
    <w:rsid w:val="005971EA"/>
    <w:pPr>
      <w:numPr>
        <w:numId w:val="30"/>
      </w:numPr>
      <w:tabs>
        <w:tab w:val="clear" w:pos="360"/>
      </w:tabs>
      <w:spacing w:before="40" w:line="264" w:lineRule="auto"/>
      <w:ind w:left="0" w:firstLine="0"/>
    </w:pPr>
    <w:rPr>
      <w:rFonts w:ascii="Garamond" w:eastAsiaTheme="minorHAnsi" w:hAnsi="Garamond" w:cstheme="majorBidi"/>
      <w:kern w:val="24"/>
      <w:sz w:val="24"/>
      <w:szCs w:val="24"/>
      <w14:ligatures w14:val="standardContextual"/>
    </w:rPr>
  </w:style>
  <w:style w:type="paragraph" w:styleId="ListBullet2">
    <w:name w:val="List Bullet 2"/>
    <w:basedOn w:val="ListBullet"/>
    <w:uiPriority w:val="36"/>
    <w:unhideWhenUsed/>
    <w:qFormat/>
    <w:rsid w:val="005971EA"/>
    <w:pPr>
      <w:numPr>
        <w:numId w:val="13"/>
      </w:numPr>
      <w:ind w:left="0" w:firstLine="0"/>
    </w:pPr>
  </w:style>
  <w:style w:type="paragraph" w:styleId="ListBullet3">
    <w:name w:val="List Bullet 3"/>
    <w:basedOn w:val="ListBullet2"/>
    <w:uiPriority w:val="36"/>
    <w:unhideWhenUsed/>
    <w:qFormat/>
    <w:rsid w:val="005971EA"/>
    <w:pPr>
      <w:numPr>
        <w:numId w:val="9"/>
      </w:numPr>
      <w:ind w:left="0" w:firstLine="0"/>
      <w:contextualSpacing/>
    </w:pPr>
  </w:style>
  <w:style w:type="paragraph" w:styleId="ListBullet4">
    <w:name w:val="List Bullet 4"/>
    <w:basedOn w:val="ListBullet3"/>
    <w:uiPriority w:val="36"/>
    <w:unhideWhenUsed/>
    <w:qFormat/>
    <w:rsid w:val="005971EA"/>
    <w:pPr>
      <w:numPr>
        <w:numId w:val="10"/>
      </w:numPr>
      <w:ind w:left="0" w:firstLine="0"/>
    </w:pPr>
  </w:style>
  <w:style w:type="paragraph" w:styleId="ListBullet5">
    <w:name w:val="List Bullet 5"/>
    <w:basedOn w:val="ListBullet4"/>
    <w:uiPriority w:val="36"/>
    <w:unhideWhenUsed/>
    <w:qFormat/>
    <w:rsid w:val="005971EA"/>
    <w:pPr>
      <w:numPr>
        <w:numId w:val="11"/>
      </w:numPr>
      <w:ind w:left="0" w:firstLine="0"/>
    </w:pPr>
  </w:style>
  <w:style w:type="paragraph" w:styleId="NoSpacing">
    <w:name w:val="No Spacing"/>
    <w:uiPriority w:val="99"/>
    <w:unhideWhenUsed/>
    <w:qFormat/>
    <w:rsid w:val="005971EA"/>
    <w:rPr>
      <w:rFonts w:ascii="Garamond" w:eastAsiaTheme="minorHAnsi" w:hAnsi="Garamond" w:cstheme="majorBidi"/>
      <w:kern w:val="24"/>
      <w:sz w:val="24"/>
      <w:szCs w:val="24"/>
      <w14:ligatures w14:val="standardContextual"/>
    </w:rPr>
  </w:style>
  <w:style w:type="character" w:styleId="PlaceholderText">
    <w:name w:val="Placeholder Text"/>
    <w:basedOn w:val="DefaultParagraphFont"/>
    <w:uiPriority w:val="99"/>
    <w:semiHidden/>
    <w:rsid w:val="005971EA"/>
    <w:rPr>
      <w:color w:val="595959" w:themeColor="text1" w:themeTint="A6"/>
    </w:rPr>
  </w:style>
  <w:style w:type="paragraph" w:styleId="Quote">
    <w:name w:val="Quote"/>
    <w:basedOn w:val="Normal"/>
    <w:next w:val="Normal"/>
    <w:link w:val="QuoteChar"/>
    <w:uiPriority w:val="29"/>
    <w:unhideWhenUsed/>
    <w:qFormat/>
    <w:rsid w:val="005971EA"/>
    <w:pPr>
      <w:spacing w:before="200" w:after="200" w:line="264" w:lineRule="auto"/>
      <w:ind w:left="720" w:right="720"/>
    </w:pPr>
    <w:rPr>
      <w:rFonts w:ascii="Garamond" w:eastAsiaTheme="minorHAnsi" w:hAnsi="Garamond" w:cstheme="majorBidi"/>
      <w:color w:val="404040" w:themeColor="text1" w:themeTint="BF"/>
      <w:kern w:val="24"/>
      <w:sz w:val="24"/>
      <w:szCs w:val="24"/>
      <w14:ligatures w14:val="standardContextual"/>
    </w:rPr>
  </w:style>
  <w:style w:type="character" w:customStyle="1" w:styleId="QuoteChar">
    <w:name w:val="Quote Char"/>
    <w:basedOn w:val="DefaultParagraphFont"/>
    <w:link w:val="Quote"/>
    <w:uiPriority w:val="29"/>
    <w:rsid w:val="005971EA"/>
    <w:rPr>
      <w:rFonts w:ascii="Garamond" w:eastAsiaTheme="minorHAnsi" w:hAnsi="Garamond" w:cstheme="majorBidi"/>
      <w:color w:val="404040" w:themeColor="text1" w:themeTint="BF"/>
      <w:kern w:val="24"/>
      <w:sz w:val="24"/>
      <w:szCs w:val="24"/>
      <w14:ligatures w14:val="standardContextual"/>
    </w:rPr>
  </w:style>
  <w:style w:type="character" w:styleId="Strong">
    <w:name w:val="Strong"/>
    <w:basedOn w:val="DefaultParagraphFont"/>
    <w:uiPriority w:val="22"/>
    <w:unhideWhenUsed/>
    <w:qFormat/>
    <w:rsid w:val="005971EA"/>
    <w:rPr>
      <w:b/>
      <w:bCs/>
    </w:rPr>
  </w:style>
  <w:style w:type="character" w:styleId="SubtleEmphasis">
    <w:name w:val="Subtle Emphasis"/>
    <w:basedOn w:val="DefaultParagraphFont"/>
    <w:uiPriority w:val="19"/>
    <w:unhideWhenUsed/>
    <w:qFormat/>
    <w:rsid w:val="005971EA"/>
    <w:rPr>
      <w:i/>
      <w:iCs/>
      <w:color w:val="404040" w:themeColor="text1" w:themeTint="BF"/>
    </w:rPr>
  </w:style>
  <w:style w:type="table" w:customStyle="1" w:styleId="GridTable4-Accent61">
    <w:name w:val="Grid Table 4 - Accent 61"/>
    <w:basedOn w:val="TableNormal"/>
    <w:uiPriority w:val="49"/>
    <w:rsid w:val="005971EA"/>
    <w:rPr>
      <w:rFonts w:ascii="Garamond" w:eastAsiaTheme="minorHAnsi" w:hAnsi="Garamond" w:cstheme="majorBidi"/>
      <w:kern w:val="24"/>
      <w:sz w:val="24"/>
      <w:szCs w:val="24"/>
      <w:lang w:eastAsia="ja-JP"/>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note">
    <w:name w:val="table note"/>
    <w:basedOn w:val="Normal"/>
    <w:qFormat/>
    <w:rsid w:val="005971EA"/>
    <w:pPr>
      <w:spacing w:before="120" w:after="240" w:line="264" w:lineRule="auto"/>
    </w:pPr>
    <w:rPr>
      <w:rFonts w:ascii="Garamond" w:eastAsiaTheme="minorHAnsi" w:hAnsi="Garamond" w:cstheme="majorBidi"/>
      <w:kern w:val="24"/>
      <w:sz w:val="20"/>
      <w:szCs w:val="24"/>
      <w14:ligatures w14:val="standardContextual"/>
    </w:rPr>
  </w:style>
  <w:style w:type="paragraph" w:customStyle="1" w:styleId="TableHead1">
    <w:name w:val="Table Head 1"/>
    <w:qFormat/>
    <w:rsid w:val="005971EA"/>
    <w:pPr>
      <w:keepNext/>
      <w:spacing w:before="360" w:after="80" w:line="264" w:lineRule="auto"/>
    </w:pPr>
    <w:rPr>
      <w:rFonts w:asciiTheme="minorHAnsi" w:eastAsiaTheme="minorHAnsi" w:hAnsiTheme="minorHAnsi" w:cstheme="majorBidi"/>
      <w:bCs/>
      <w:kern w:val="24"/>
      <w:sz w:val="24"/>
      <w:szCs w:val="24"/>
      <w14:ligatures w14:val="standardContextual"/>
    </w:rPr>
  </w:style>
  <w:style w:type="paragraph" w:customStyle="1" w:styleId="TableParagraph">
    <w:name w:val="Table Paragraph"/>
    <w:basedOn w:val="Normal"/>
    <w:uiPriority w:val="1"/>
    <w:qFormat/>
    <w:rsid w:val="005971EA"/>
    <w:pPr>
      <w:widowControl w:val="0"/>
      <w:autoSpaceDE w:val="0"/>
      <w:autoSpaceDN w:val="0"/>
      <w:adjustRightInd w:val="0"/>
      <w:snapToGrid w:val="0"/>
      <w:spacing w:before="160" w:after="80" w:line="264" w:lineRule="auto"/>
    </w:pPr>
    <w:rPr>
      <w:rFonts w:ascii="Garamond" w:eastAsia="Calibri" w:hAnsi="Garamond" w:cs="Calibri"/>
      <w:sz w:val="21"/>
      <w:szCs w:val="22"/>
    </w:rPr>
  </w:style>
  <w:style w:type="character" w:styleId="Mention">
    <w:name w:val="Mention"/>
    <w:basedOn w:val="DefaultParagraphFont"/>
    <w:uiPriority w:val="99"/>
    <w:unhideWhenUsed/>
    <w:rsid w:val="005971EA"/>
    <w:rPr>
      <w:color w:val="2B579A"/>
      <w:shd w:val="clear" w:color="auto" w:fill="E1DFDD"/>
    </w:rPr>
  </w:style>
  <w:style w:type="character" w:customStyle="1" w:styleId="normaltextrun">
    <w:name w:val="normaltextrun"/>
    <w:basedOn w:val="DefaultParagraphFont"/>
    <w:rsid w:val="005971EA"/>
  </w:style>
  <w:style w:type="numbering" w:customStyle="1" w:styleId="CurrentList1">
    <w:name w:val="Current List1"/>
    <w:uiPriority w:val="99"/>
    <w:rsid w:val="005971EA"/>
    <w:pPr>
      <w:numPr>
        <w:numId w:val="14"/>
      </w:numPr>
    </w:pPr>
  </w:style>
  <w:style w:type="numbering" w:customStyle="1" w:styleId="CurrentList2">
    <w:name w:val="Current List2"/>
    <w:uiPriority w:val="99"/>
    <w:rsid w:val="005971EA"/>
    <w:pPr>
      <w:numPr>
        <w:numId w:val="15"/>
      </w:numPr>
    </w:pPr>
  </w:style>
  <w:style w:type="numbering" w:customStyle="1" w:styleId="CurrentList3">
    <w:name w:val="Current List3"/>
    <w:uiPriority w:val="99"/>
    <w:rsid w:val="005971EA"/>
    <w:pPr>
      <w:numPr>
        <w:numId w:val="16"/>
      </w:numPr>
    </w:pPr>
  </w:style>
  <w:style w:type="numbering" w:customStyle="1" w:styleId="CurrentList4">
    <w:name w:val="Current List4"/>
    <w:uiPriority w:val="99"/>
    <w:rsid w:val="005971EA"/>
    <w:pPr>
      <w:numPr>
        <w:numId w:val="17"/>
      </w:numPr>
    </w:pPr>
  </w:style>
  <w:style w:type="numbering" w:customStyle="1" w:styleId="CPUCbullets">
    <w:name w:val="CPUC bullets"/>
    <w:uiPriority w:val="99"/>
    <w:rsid w:val="005971EA"/>
    <w:pPr>
      <w:numPr>
        <w:numId w:val="18"/>
      </w:numPr>
    </w:pPr>
  </w:style>
  <w:style w:type="table" w:customStyle="1" w:styleId="CPUCTable1">
    <w:name w:val="CPUC Table 1"/>
    <w:basedOn w:val="TableNormal"/>
    <w:uiPriority w:val="99"/>
    <w:rsid w:val="005971EA"/>
    <w:pPr>
      <w:widowControl w:val="0"/>
      <w:spacing w:after="80"/>
    </w:pPr>
    <w:rPr>
      <w:rFonts w:ascii="Garamond" w:eastAsiaTheme="minorHAnsi" w:hAnsi="Garamond" w:cstheme="majorBidi"/>
      <w:kern w:val="24"/>
      <w:sz w:val="22"/>
      <w:szCs w:val="24"/>
      <w14:ligatures w14:val="standardContextual"/>
    </w:rPr>
    <w:tblPr>
      <w:tblStyleRow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left w:w="72" w:type="dxa"/>
        <w:bottom w:w="29" w:type="dxa"/>
        <w:right w:w="72" w:type="dxa"/>
      </w:tblCellMar>
    </w:tblPr>
    <w:tcPr>
      <w:tcMar>
        <w:top w:w="29" w:type="dxa"/>
        <w:left w:w="72" w:type="dxa"/>
        <w:bottom w:w="29" w:type="dxa"/>
        <w:right w:w="72" w:type="dxa"/>
      </w:tcMar>
    </w:tcPr>
    <w:tblStylePr w:type="firstRow">
      <w:pPr>
        <w:wordWrap/>
        <w:spacing w:beforeLines="50" w:before="50" w:beforeAutospacing="0"/>
      </w:pPr>
      <w:rPr>
        <w:rFonts w:asciiTheme="minorHAnsi" w:hAnsiTheme="minorHAnsi"/>
        <w:b/>
        <w:sz w:val="18"/>
      </w:rPr>
      <w:tblPr/>
      <w:trPr>
        <w:tblHeader/>
      </w:trPr>
      <w:tcPr>
        <w:shd w:val="clear" w:color="auto" w:fill="B8CCE4" w:themeFill="accent1" w:themeFillTint="66"/>
      </w:tcPr>
    </w:tblStylePr>
    <w:tblStylePr w:type="band1Horz">
      <w:tblPr/>
      <w:tcPr>
        <w:shd w:val="clear" w:color="auto" w:fill="F2F2F2" w:themeFill="background1" w:themeFillShade="F2"/>
      </w:tcPr>
    </w:tblStylePr>
  </w:style>
  <w:style w:type="numbering" w:styleId="1ai">
    <w:name w:val="Outline List 1"/>
    <w:basedOn w:val="NoList"/>
    <w:uiPriority w:val="99"/>
    <w:semiHidden/>
    <w:unhideWhenUsed/>
    <w:rsid w:val="005971EA"/>
    <w:pPr>
      <w:numPr>
        <w:numId w:val="21"/>
      </w:numPr>
    </w:pPr>
  </w:style>
  <w:style w:type="numbering" w:customStyle="1" w:styleId="CurrentList5">
    <w:name w:val="Current List5"/>
    <w:uiPriority w:val="99"/>
    <w:rsid w:val="005971EA"/>
    <w:pPr>
      <w:numPr>
        <w:numId w:val="22"/>
      </w:numPr>
    </w:pPr>
  </w:style>
  <w:style w:type="paragraph" w:styleId="ListNumber3">
    <w:name w:val="List Number 3"/>
    <w:basedOn w:val="ListBullet2"/>
    <w:uiPriority w:val="99"/>
    <w:unhideWhenUsed/>
    <w:qFormat/>
    <w:rsid w:val="005971EA"/>
    <w:pPr>
      <w:numPr>
        <w:numId w:val="24"/>
      </w:numPr>
      <w:tabs>
        <w:tab w:val="clear" w:pos="1080"/>
      </w:tabs>
      <w:ind w:left="0" w:firstLine="0"/>
      <w:contextualSpacing/>
    </w:pPr>
  </w:style>
  <w:style w:type="numbering" w:customStyle="1" w:styleId="CurrentList9">
    <w:name w:val="Current List9"/>
    <w:uiPriority w:val="99"/>
    <w:rsid w:val="005971EA"/>
    <w:pPr>
      <w:numPr>
        <w:numId w:val="20"/>
      </w:numPr>
    </w:pPr>
  </w:style>
  <w:style w:type="numbering" w:styleId="111111">
    <w:name w:val="Outline List 2"/>
    <w:basedOn w:val="NoList"/>
    <w:uiPriority w:val="99"/>
    <w:semiHidden/>
    <w:unhideWhenUsed/>
    <w:rsid w:val="005971EA"/>
    <w:pPr>
      <w:numPr>
        <w:numId w:val="26"/>
      </w:numPr>
    </w:pPr>
  </w:style>
  <w:style w:type="paragraph" w:styleId="ListNumber4">
    <w:name w:val="List Number 4"/>
    <w:basedOn w:val="ListBullet3"/>
    <w:uiPriority w:val="99"/>
    <w:unhideWhenUsed/>
    <w:qFormat/>
    <w:rsid w:val="005971EA"/>
    <w:pPr>
      <w:numPr>
        <w:numId w:val="29"/>
      </w:numPr>
      <w:tabs>
        <w:tab w:val="clear" w:pos="1440"/>
      </w:tabs>
      <w:ind w:left="0" w:firstLine="0"/>
    </w:pPr>
  </w:style>
  <w:style w:type="paragraph" w:styleId="ListNumber5">
    <w:name w:val="List Number 5"/>
    <w:basedOn w:val="ListBullet4"/>
    <w:uiPriority w:val="99"/>
    <w:unhideWhenUsed/>
    <w:qFormat/>
    <w:rsid w:val="005971EA"/>
    <w:pPr>
      <w:numPr>
        <w:numId w:val="28"/>
      </w:numPr>
      <w:tabs>
        <w:tab w:val="clear" w:pos="1800"/>
      </w:tabs>
      <w:ind w:left="0" w:firstLine="0"/>
    </w:pPr>
  </w:style>
  <w:style w:type="character" w:customStyle="1" w:styleId="eop">
    <w:name w:val="eop"/>
    <w:basedOn w:val="DefaultParagraphFont"/>
    <w:rsid w:val="00F22D8C"/>
  </w:style>
  <w:style w:type="character" w:customStyle="1" w:styleId="scxw211777016">
    <w:name w:val="scxw211777016"/>
    <w:basedOn w:val="DefaultParagraphFont"/>
    <w:rsid w:val="00F2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006">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37261274">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88255872">
      <w:bodyDiv w:val="1"/>
      <w:marLeft w:val="0"/>
      <w:marRight w:val="0"/>
      <w:marTop w:val="0"/>
      <w:marBottom w:val="0"/>
      <w:divBdr>
        <w:top w:val="none" w:sz="0" w:space="0" w:color="auto"/>
        <w:left w:val="none" w:sz="0" w:space="0" w:color="auto"/>
        <w:bottom w:val="none" w:sz="0" w:space="0" w:color="auto"/>
        <w:right w:val="none" w:sz="0" w:space="0" w:color="auto"/>
      </w:divBdr>
    </w:div>
    <w:div w:id="815073525">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326201138">
      <w:bodyDiv w:val="1"/>
      <w:marLeft w:val="0"/>
      <w:marRight w:val="0"/>
      <w:marTop w:val="0"/>
      <w:marBottom w:val="0"/>
      <w:divBdr>
        <w:top w:val="none" w:sz="0" w:space="0" w:color="auto"/>
        <w:left w:val="none" w:sz="0" w:space="0" w:color="auto"/>
        <w:bottom w:val="none" w:sz="0" w:space="0" w:color="auto"/>
        <w:right w:val="none" w:sz="0" w:space="0" w:color="auto"/>
      </w:divBdr>
    </w:div>
    <w:div w:id="1722945046">
      <w:bodyDiv w:val="1"/>
      <w:marLeft w:val="0"/>
      <w:marRight w:val="0"/>
      <w:marTop w:val="0"/>
      <w:marBottom w:val="0"/>
      <w:divBdr>
        <w:top w:val="none" w:sz="0" w:space="0" w:color="auto"/>
        <w:left w:val="none" w:sz="0" w:space="0" w:color="auto"/>
        <w:bottom w:val="none" w:sz="0" w:space="0" w:color="auto"/>
        <w:right w:val="none" w:sz="0" w:space="0" w:color="auto"/>
      </w:divBdr>
    </w:div>
    <w:div w:id="1778477095">
      <w:bodyDiv w:val="1"/>
      <w:marLeft w:val="0"/>
      <w:marRight w:val="0"/>
      <w:marTop w:val="0"/>
      <w:marBottom w:val="0"/>
      <w:divBdr>
        <w:top w:val="none" w:sz="0" w:space="0" w:color="auto"/>
        <w:left w:val="none" w:sz="0" w:space="0" w:color="auto"/>
        <w:bottom w:val="none" w:sz="0" w:space="0" w:color="auto"/>
        <w:right w:val="none" w:sz="0" w:space="0" w:color="auto"/>
      </w:divBdr>
    </w:div>
    <w:div w:id="1859271084">
      <w:bodyDiv w:val="1"/>
      <w:marLeft w:val="0"/>
      <w:marRight w:val="0"/>
      <w:marTop w:val="0"/>
      <w:marBottom w:val="0"/>
      <w:divBdr>
        <w:top w:val="none" w:sz="0" w:space="0" w:color="auto"/>
        <w:left w:val="none" w:sz="0" w:space="0" w:color="auto"/>
        <w:bottom w:val="none" w:sz="0" w:space="0" w:color="auto"/>
        <w:right w:val="none" w:sz="0" w:space="0" w:color="auto"/>
      </w:divBdr>
    </w:div>
    <w:div w:id="1986204292">
      <w:bodyDiv w:val="1"/>
      <w:marLeft w:val="0"/>
      <w:marRight w:val="0"/>
      <w:marTop w:val="0"/>
      <w:marBottom w:val="0"/>
      <w:divBdr>
        <w:top w:val="none" w:sz="0" w:space="0" w:color="auto"/>
        <w:left w:val="none" w:sz="0" w:space="0" w:color="auto"/>
        <w:bottom w:val="none" w:sz="0" w:space="0" w:color="auto"/>
        <w:right w:val="none" w:sz="0" w:space="0" w:color="auto"/>
      </w:divBdr>
    </w:div>
    <w:div w:id="203496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4.xml" Id="rId14" /><Relationship Type="http://schemas.openxmlformats.org/officeDocument/2006/relationships/hyperlink" Target="https://docs.cpuc.ca.gov/PublishedDocs/Published/G000/M608/K566/608566014.pdf" TargetMode="External" Id="Rf59b715b74874e8d" /></Relationships>
</file>

<file path=word/_rels/footnotes.xml.rels><?xml version="1.0" encoding="UTF-8" standalone="yes"?>
<Relationships xmlns="http://schemas.openxmlformats.org/package/2006/relationships"><Relationship Id="rId8" Type="http://schemas.openxmlformats.org/officeDocument/2006/relationships/hyperlink" Target="https://docs.cpuc.ca.gov/PublishedDocs/Published/G000/M387/K064/387064412.PDF" TargetMode="External"/><Relationship Id="rId13" Type="http://schemas.openxmlformats.org/officeDocument/2006/relationships/hyperlink" Target="https://www.cpuc.ca.gov/regulatory-services/enforcement-and-citations/utility-enforcement-branch/energy-citation-programs" TargetMode="External"/><Relationship Id="rId3" Type="http://schemas.openxmlformats.org/officeDocument/2006/relationships/hyperlink" Target="https://www.cpuc.ca.gov/industries-and-topics/natural-gas/core-transport-agents/core-transport-agent-annual-reports-and-resolutions" TargetMode="External"/><Relationship Id="rId7" Type="http://schemas.openxmlformats.org/officeDocument/2006/relationships/hyperlink" Target="https://docs.cpuc.ca.gov/PublishedDocs/Published/G000/M285/K723/285723653.PDF" TargetMode="External"/><Relationship Id="rId12" Type="http://schemas.openxmlformats.org/officeDocument/2006/relationships/hyperlink" Target="https://docs.cpuc.ca.gov/PublishedDocs/Published/G000/M236/K850/236850987.PDF" TargetMode="External"/><Relationship Id="rId2" Type="http://schemas.openxmlformats.org/officeDocument/2006/relationships/hyperlink" Target="https://docs.cpuc.ca.gov/PublishedDocs/Published/G000/M285/K723/285723653.PDF" TargetMode="External"/><Relationship Id="rId1" Type="http://schemas.openxmlformats.org/officeDocument/2006/relationships/hyperlink" Target="https://docs.cpuc.ca.gov/PublishedDocs/Published/G000/M236/K850/236850987.PDF" TargetMode="External"/><Relationship Id="rId6" Type="http://schemas.openxmlformats.org/officeDocument/2006/relationships/hyperlink" Target="https://www.cpuc.ca.gov/-/media/cpuc-website/divisions/consumer-protection-and-enforcement-division/documents/ueb/energy-citations/2026/feb-2026-ueb-energy-citations.pdf" TargetMode="External"/><Relationship Id="rId11" Type="http://schemas.openxmlformats.org/officeDocument/2006/relationships/hyperlink" Target="https://apps.cpuc.ca.gov/apex/f?p=555:1::::::" TargetMode="External"/><Relationship Id="rId5" Type="http://schemas.openxmlformats.org/officeDocument/2006/relationships/hyperlink" Target="https://docs.cpuc.ca.gov/PublishedDocs/Published/G000/M236/K850/236850987.PDF" TargetMode="External"/><Relationship Id="rId10" Type="http://schemas.openxmlformats.org/officeDocument/2006/relationships/hyperlink" Target="https://docs.cpuc.ca.gov/PublishedDocs/Published/G000/M509/K545/509545115.PDF" TargetMode="External"/><Relationship Id="rId4" Type="http://schemas.openxmlformats.org/officeDocument/2006/relationships/hyperlink" Target="https://www.cpuc.ca.gov/industries-and-topics/natural-gas/core-transport-agents/core-transport-agent-annual-reports-and-resolutions" TargetMode="External"/><Relationship Id="rId9" Type="http://schemas.openxmlformats.org/officeDocument/2006/relationships/hyperlink" Target="https://docs.cpuc.ca.gov/PublishedDocs/Published/G000/M490/K129/4901296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5A9C-9B21-47AD-9017-B8262CA5D4E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7159</ap:Words>
  <ap:Characters>40807</ap:Characters>
  <ap:Application>Microsoft Office Word</ap:Application>
  <ap:DocSecurity>0</ap:DocSecurity>
  <ap:Lines>340</ap:Lines>
  <ap:Paragraphs>95</ap:Paragraphs>
  <ap:ScaleCrop>false</ap:ScaleCrop>
  <ap:Company/>
  <ap:LinksUpToDate>false</ap:LinksUpToDate>
  <ap:CharactersWithSpaces>47871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2026-06-08T11:42:23Z</dcterms:created>
  <dcterms:modified xsi:type="dcterms:W3CDTF">2026-06-08T11:42:23Z</dcterms:modified>
</cp:coreProperties>
</file>