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5833" w:rsidR="00B60421" w:rsidP="007E0FEE" w:rsidRDefault="00030527" w14:paraId="05FBEF2F" w14:textId="5C48E226">
      <w:pPr>
        <w:tabs>
          <w:tab w:val="center" w:pos="4680"/>
          <w:tab w:val="right" w:pos="9360"/>
        </w:tabs>
        <w:spacing w:line="240" w:lineRule="auto"/>
        <w:ind w:firstLine="0"/>
        <w:rPr>
          <w:b/>
          <w:bCs/>
        </w:rPr>
      </w:pPr>
      <w:r w:rsidRPr="00030527">
        <w:t>ALJ/SCD/abb</w:t>
      </w:r>
      <w:r w:rsidR="00B8509E">
        <w:t xml:space="preserve">           </w:t>
      </w:r>
      <w:r w:rsidR="00DA7B5D">
        <w:rPr>
          <w:rFonts w:ascii="Arial" w:hAnsi="Arial" w:cs="Arial"/>
          <w:b/>
          <w:sz w:val="32"/>
          <w:szCs w:val="32"/>
        </w:rPr>
        <w:t>PROPOSED DECISION</w:t>
      </w:r>
      <w:r w:rsidR="00DA7B5D">
        <w:tab/>
      </w:r>
      <w:r w:rsidRPr="00EE4315" w:rsidR="00DA7B5D">
        <w:rPr>
          <w:b/>
        </w:rPr>
        <w:t>Agenda ID #</w:t>
      </w:r>
      <w:r w:rsidR="00CC5833">
        <w:rPr>
          <w:b/>
        </w:rPr>
        <w:t xml:space="preserve"> </w:t>
      </w:r>
      <w:r w:rsidRPr="00CC5833" w:rsidR="00CC5833">
        <w:rPr>
          <w:b/>
          <w:bCs/>
        </w:rPr>
        <w:t>24189</w:t>
      </w:r>
      <w:r w:rsidR="00B8509E">
        <w:rPr>
          <w:b/>
          <w:bCs/>
        </w:rPr>
        <w:t xml:space="preserve"> (Rev.1)</w:t>
      </w:r>
    </w:p>
    <w:p w:rsidR="00DA7B5D" w:rsidP="00632207" w:rsidRDefault="00030527" w14:paraId="2D138D21" w14:textId="0A722CF5">
      <w:pPr>
        <w:spacing w:line="240" w:lineRule="auto"/>
        <w:jc w:val="right"/>
        <w:rPr>
          <w:b/>
        </w:rPr>
      </w:pPr>
      <w:r>
        <w:rPr>
          <w:b/>
        </w:rPr>
        <w:t>Ratesetting</w:t>
      </w:r>
    </w:p>
    <w:p w:rsidRPr="00EE4315" w:rsidR="00B8509E" w:rsidP="00632207" w:rsidRDefault="00B8509E" w14:paraId="626585CE" w14:textId="32F9A25A">
      <w:pPr>
        <w:spacing w:line="240" w:lineRule="auto"/>
        <w:jc w:val="right"/>
        <w:rPr>
          <w:b/>
        </w:rPr>
      </w:pPr>
      <w:r>
        <w:rPr>
          <w:b/>
        </w:rPr>
        <w:t>6/11/2026 Item #11</w:t>
      </w:r>
    </w:p>
    <w:p w:rsidR="00DA7B5D" w:rsidP="008F0116" w:rsidRDefault="00DA7B5D" w14:paraId="621A0786" w14:textId="77777777">
      <w:pPr>
        <w:ind w:firstLine="0"/>
      </w:pPr>
    </w:p>
    <w:p w:rsidRPr="00EE3060" w:rsidR="00DA7B5D" w:rsidP="0098655A" w:rsidRDefault="00DA7B5D" w14:paraId="1B9F8609" w14:textId="37473A9B">
      <w:pPr>
        <w:ind w:left="1080" w:hanging="1080"/>
      </w:pPr>
      <w:r>
        <w:t xml:space="preserve">Decision </w:t>
      </w:r>
      <w:r w:rsidRPr="00A75658" w:rsidR="00383151">
        <w:rPr>
          <w:b/>
          <w:bCs/>
          <w:u w:val="single"/>
        </w:rPr>
        <w:t>PROPOSED DECISION OF ALJ CLARK (Mailed 5/</w:t>
      </w:r>
      <w:r w:rsidR="002D5701">
        <w:rPr>
          <w:b/>
          <w:bCs/>
          <w:u w:val="single"/>
        </w:rPr>
        <w:t>1</w:t>
      </w:r>
      <w:r w:rsidRPr="00A75658" w:rsidR="00383151">
        <w:rPr>
          <w:b/>
          <w:bCs/>
          <w:u w:val="single"/>
        </w:rPr>
        <w:t>/2026)</w:t>
      </w:r>
    </w:p>
    <w:p w:rsidR="00DA7B5D" w:rsidP="00BB0243" w:rsidRDefault="00DA7B5D" w14:paraId="51E5BF64" w14:textId="77777777">
      <w:pPr>
        <w:spacing w:line="240" w:lineRule="auto"/>
        <w:jc w:val="center"/>
        <w:rPr>
          <w:u w:val="single"/>
        </w:rPr>
      </w:pPr>
    </w:p>
    <w:p w:rsidR="00DA7B5D" w:rsidP="00BB0243" w:rsidRDefault="00DA7B5D" w14:paraId="75EC3B0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2A1D510" w14:textId="77777777">
      <w:pPr>
        <w:spacing w:line="240" w:lineRule="auto"/>
        <w:ind w:firstLine="0"/>
        <w:rPr>
          <w:rFonts w:ascii="Arial" w:hAnsi="Arial" w:cs="Arial"/>
          <w:sz w:val="24"/>
          <w:szCs w:val="24"/>
        </w:rPr>
      </w:pPr>
    </w:p>
    <w:p w:rsidR="00030527" w:rsidP="008F0116" w:rsidRDefault="00030527" w14:paraId="2287FE8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220"/>
        <w:gridCol w:w="4140"/>
      </w:tblGrid>
      <w:tr w:rsidR="00DA7B5D" w:rsidTr="00030527" w14:paraId="480AD0EC" w14:textId="77777777">
        <w:trPr>
          <w:jc w:val="center"/>
        </w:trPr>
        <w:tc>
          <w:tcPr>
            <w:tcW w:w="5220" w:type="dxa"/>
            <w:tcBorders>
              <w:top w:val="nil"/>
              <w:left w:val="nil"/>
              <w:bottom w:val="single" w:color="auto" w:sz="4" w:space="0"/>
              <w:right w:val="single" w:color="auto" w:sz="4" w:space="0"/>
            </w:tcBorders>
          </w:tcPr>
          <w:p w:rsidRPr="00DA7B5D" w:rsidR="00DA7B5D" w:rsidP="00C10B5F" w:rsidRDefault="00CC639C" w14:paraId="157785FB" w14:textId="195CC820">
            <w:pPr>
              <w:spacing w:line="240" w:lineRule="auto"/>
              <w:ind w:firstLine="0"/>
              <w:rPr>
                <w:rFonts w:cs="Arial"/>
                <w:szCs w:val="26"/>
              </w:rPr>
            </w:pPr>
            <w:r w:rsidRPr="00055B28">
              <w:rPr>
                <w:rFonts w:cs="Arial"/>
                <w:szCs w:val="26"/>
              </w:rPr>
              <w:t>In the Matter of the Joint Application of Platinum Equity Capital Partners IV, L.P. and SCRS Intermediate Holding Corporation, Requesting Expedited Approval of Indirect Transfer of Control of Securus Technologies, LLC (U-6888-C) Pursuant to California Public Utilities Code Section 854(a).</w:t>
            </w:r>
            <w:r w:rsidRPr="00DA7B5D" w:rsidR="00DA7B5D">
              <w:rPr>
                <w:rFonts w:cs="Arial"/>
                <w:szCs w:val="26"/>
              </w:rPr>
              <w:br/>
            </w:r>
          </w:p>
        </w:tc>
        <w:tc>
          <w:tcPr>
            <w:tcW w:w="4140" w:type="dxa"/>
            <w:tcBorders>
              <w:top w:val="nil"/>
              <w:left w:val="single" w:color="auto" w:sz="4" w:space="0"/>
              <w:bottom w:val="nil"/>
              <w:right w:val="nil"/>
            </w:tcBorders>
            <w:vAlign w:val="center"/>
          </w:tcPr>
          <w:p w:rsidRPr="00DA7B5D" w:rsidR="00DA7B5D" w:rsidP="00412C83" w:rsidRDefault="00CC639C" w14:paraId="255BA662" w14:textId="5B5C2AA8">
            <w:pPr>
              <w:spacing w:line="240" w:lineRule="auto"/>
              <w:ind w:firstLine="0"/>
              <w:jc w:val="center"/>
              <w:rPr>
                <w:rFonts w:cs="Arial"/>
                <w:szCs w:val="26"/>
              </w:rPr>
            </w:pPr>
            <w:r>
              <w:rPr>
                <w:rFonts w:cs="Arial"/>
                <w:szCs w:val="26"/>
              </w:rPr>
              <w:t>Application</w:t>
            </w:r>
            <w:r w:rsidR="00030527">
              <w:rPr>
                <w:rFonts w:cs="Arial"/>
                <w:szCs w:val="26"/>
              </w:rPr>
              <w:t> </w:t>
            </w:r>
            <w:r>
              <w:rPr>
                <w:rFonts w:cs="Arial"/>
                <w:szCs w:val="26"/>
              </w:rPr>
              <w:t>25-05-016</w:t>
            </w:r>
          </w:p>
        </w:tc>
      </w:tr>
    </w:tbl>
    <w:p w:rsidR="00DA7B5D" w:rsidP="008F0116" w:rsidRDefault="00DA7B5D" w14:paraId="61FDC6F9" w14:textId="77777777">
      <w:pPr>
        <w:spacing w:line="240" w:lineRule="auto"/>
        <w:ind w:firstLine="0"/>
        <w:rPr>
          <w:rFonts w:ascii="Arial" w:hAnsi="Arial" w:cs="Arial"/>
          <w:sz w:val="24"/>
          <w:szCs w:val="24"/>
        </w:rPr>
      </w:pPr>
    </w:p>
    <w:p w:rsidR="00DA7B5D" w:rsidP="008F0116" w:rsidRDefault="00DA7B5D" w14:paraId="5FC7251B" w14:textId="77777777">
      <w:pPr>
        <w:spacing w:line="240" w:lineRule="auto"/>
        <w:ind w:firstLine="0"/>
        <w:rPr>
          <w:rFonts w:ascii="Arial" w:hAnsi="Arial" w:cs="Arial"/>
          <w:sz w:val="24"/>
          <w:szCs w:val="24"/>
        </w:rPr>
      </w:pPr>
    </w:p>
    <w:p w:rsidR="00A70A93" w:rsidP="00A70A93" w:rsidRDefault="006F58B0" w14:paraId="101A4993" w14:textId="77777777">
      <w:pPr>
        <w:pStyle w:val="Dummy"/>
        <w:spacing w:after="0"/>
        <w:jc w:val="center"/>
      </w:pPr>
      <w:bookmarkStart w:name="_Toc228532627" w:id="0"/>
      <w:bookmarkStart w:name="_Toc222902109" w:id="1"/>
      <w:r w:rsidRPr="006F58B0">
        <w:t xml:space="preserve">DECISION </w:t>
      </w:r>
      <w:r w:rsidRPr="001879F4">
        <w:t>APPROVING INDIRECT TRANSFER OF</w:t>
      </w:r>
      <w:r w:rsidR="00A70A93">
        <w:t xml:space="preserve"> </w:t>
      </w:r>
      <w:r w:rsidRPr="001879F4">
        <w:t>CONTROL</w:t>
      </w:r>
      <w:bookmarkEnd w:id="0"/>
    </w:p>
    <w:p w:rsidR="00A70A93" w:rsidP="00A70A93" w:rsidRDefault="006F58B0" w14:paraId="3D3A5190" w14:textId="77777777">
      <w:pPr>
        <w:pStyle w:val="Dummy"/>
        <w:spacing w:after="0"/>
        <w:jc w:val="center"/>
      </w:pPr>
      <w:bookmarkStart w:name="_Toc228532628" w:id="2"/>
      <w:r w:rsidRPr="001879F4">
        <w:t xml:space="preserve">OF </w:t>
      </w:r>
      <w:r w:rsidRPr="001879F4" w:rsidR="00C923C0">
        <w:t>SECURUS TECHNOLOGIES</w:t>
      </w:r>
      <w:r w:rsidRPr="001879F4" w:rsidR="001879F4">
        <w:t>, LLC</w:t>
      </w:r>
      <w:r w:rsidRPr="001879F4">
        <w:t xml:space="preserve"> TO </w:t>
      </w:r>
      <w:r w:rsidRPr="001879F4" w:rsidR="001879F4">
        <w:t>SCRS INTERMEDIATE</w:t>
      </w:r>
      <w:bookmarkEnd w:id="2"/>
      <w:r w:rsidRPr="001879F4" w:rsidR="001879F4">
        <w:t xml:space="preserve"> </w:t>
      </w:r>
    </w:p>
    <w:p w:rsidRPr="006F58B0" w:rsidR="006F58B0" w:rsidP="00A70A93" w:rsidRDefault="001879F4" w14:paraId="75E7772A" w14:textId="20B43AA3">
      <w:pPr>
        <w:pStyle w:val="Dummy"/>
        <w:spacing w:after="0"/>
        <w:jc w:val="center"/>
      </w:pPr>
      <w:bookmarkStart w:name="_Toc227333427" w:id="3"/>
      <w:bookmarkStart w:name="_Toc228532629" w:id="4"/>
      <w:r w:rsidRPr="001879F4">
        <w:t>HOLDING CORPORATION</w:t>
      </w:r>
      <w:bookmarkEnd w:id="1"/>
      <w:r w:rsidR="007D3165">
        <w:t xml:space="preserve"> SUBJECT TO CONDITION</w:t>
      </w:r>
      <w:bookmarkEnd w:id="3"/>
      <w:bookmarkEnd w:id="4"/>
    </w:p>
    <w:p w:rsidRPr="00F92385" w:rsidR="00F92385" w:rsidP="00B3087D" w:rsidRDefault="00F92385" w14:paraId="4BD377D9" w14:textId="77777777">
      <w:pPr>
        <w:pStyle w:val="Dummy"/>
        <w:jc w:val="center"/>
        <w:sectPr w:rsidRPr="00F92385" w:rsidR="00F92385" w:rsidSect="0021375E">
          <w:headerReference w:type="first" r:id="rId11"/>
          <w:footerReference w:type="first" r:id="rId12"/>
          <w:pgSz w:w="12240" w:h="15840"/>
          <w:pgMar w:top="1440" w:right="1440" w:bottom="1440" w:left="1440" w:header="720" w:footer="720" w:gutter="0"/>
          <w:pgNumType w:fmt="numberInDash" w:start="1"/>
          <w:cols w:space="720"/>
          <w:titlePg/>
          <w:docGrid w:linePitch="360"/>
        </w:sectPr>
      </w:pPr>
    </w:p>
    <w:p w:rsidRPr="00A70A93" w:rsidR="00D50119" w:rsidP="00F76650" w:rsidRDefault="00D50119" w14:paraId="0AA9A7C3" w14:textId="77777777">
      <w:pPr>
        <w:pStyle w:val="Main"/>
        <w:rPr>
          <w:rFonts w:cs="Arial"/>
        </w:rPr>
      </w:pPr>
      <w:r w:rsidRPr="00A70A93">
        <w:rPr>
          <w:rFonts w:cs="Arial"/>
        </w:rPr>
        <w:lastRenderedPageBreak/>
        <w:t>TABLE OF CONTENTS</w:t>
      </w:r>
    </w:p>
    <w:p w:rsidRPr="00D50119" w:rsidR="00D50119" w:rsidP="005B7E4C" w:rsidRDefault="00D50119" w14:paraId="299594D8"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sz w:val="23"/>
          <w:szCs w:val="23"/>
        </w:rPr>
      </w:sdtEndPr>
      <w:sdtContent>
        <w:p w:rsidRPr="005B7E4C" w:rsidR="002740B4" w:rsidRDefault="008C7413" w14:paraId="0DD763D4" w14:textId="3EC3488E">
          <w:pPr>
            <w:pStyle w:val="TOC1"/>
            <w:tabs>
              <w:tab w:val="right" w:leader="dot" w:pos="9350"/>
            </w:tabs>
            <w:rPr>
              <w:rFonts w:ascii="Arial" w:hAnsi="Arial" w:cs="Arial"/>
              <w:noProof/>
              <w:kern w:val="2"/>
              <w:sz w:val="24"/>
              <w:szCs w:val="24"/>
              <w14:ligatures w14:val="standardContextual"/>
            </w:rPr>
          </w:pPr>
          <w:r w:rsidRPr="002740B4">
            <w:rPr>
              <w:sz w:val="24"/>
              <w:szCs w:val="24"/>
            </w:rPr>
            <w:fldChar w:fldCharType="begin"/>
          </w:r>
          <w:r w:rsidRPr="002740B4">
            <w:rPr>
              <w:sz w:val="24"/>
              <w:szCs w:val="24"/>
            </w:rPr>
            <w:instrText xml:space="preserve"> TOC \o "1-6" \h \z \u </w:instrText>
          </w:r>
          <w:r w:rsidRPr="002740B4">
            <w:rPr>
              <w:sz w:val="24"/>
              <w:szCs w:val="24"/>
            </w:rPr>
            <w:fldChar w:fldCharType="separate"/>
          </w:r>
          <w:hyperlink w:history="1" w:anchor="_Toc228532630">
            <w:r w:rsidRPr="005B7E4C" w:rsidR="002740B4">
              <w:rPr>
                <w:rStyle w:val="Hyperlink"/>
                <w:rFonts w:ascii="Arial" w:hAnsi="Arial" w:cs="Arial"/>
                <w:noProof/>
                <w:sz w:val="24"/>
                <w:szCs w:val="24"/>
              </w:rPr>
              <w:t>DECISION APPROVING INDIRECT TRANSFER OF CONTROL</w:t>
            </w:r>
            <w:r w:rsidRPr="005B7E4C" w:rsidR="00C77718">
              <w:rPr>
                <w:rStyle w:val="Hyperlink"/>
                <w:rFonts w:ascii="Arial" w:hAnsi="Arial" w:cs="Arial"/>
                <w:noProof/>
                <w:sz w:val="24"/>
                <w:szCs w:val="24"/>
              </w:rPr>
              <w:t xml:space="preserve"> OF SECURUS</w:t>
            </w:r>
            <w:r w:rsidRPr="005B7E4C" w:rsidR="002740B4">
              <w:rPr>
                <w:rFonts w:ascii="Arial" w:hAnsi="Arial" w:cs="Arial"/>
                <w:noProof/>
                <w:webHidden/>
                <w:sz w:val="24"/>
                <w:szCs w:val="24"/>
              </w:rPr>
              <w:tab/>
            </w:r>
            <w:r w:rsidRPr="005B7E4C" w:rsidR="002740B4">
              <w:rPr>
                <w:rFonts w:ascii="Arial" w:hAnsi="Arial" w:cs="Arial"/>
                <w:noProof/>
                <w:webHidden/>
                <w:sz w:val="24"/>
                <w:szCs w:val="24"/>
              </w:rPr>
              <w:fldChar w:fldCharType="begin"/>
            </w:r>
            <w:r w:rsidRPr="005B7E4C" w:rsidR="002740B4">
              <w:rPr>
                <w:rFonts w:ascii="Arial" w:hAnsi="Arial" w:cs="Arial"/>
                <w:noProof/>
                <w:webHidden/>
                <w:sz w:val="24"/>
                <w:szCs w:val="24"/>
              </w:rPr>
              <w:instrText xml:space="preserve"> PAGEREF _Toc228532630 \h </w:instrText>
            </w:r>
            <w:r w:rsidRPr="005B7E4C" w:rsidR="002740B4">
              <w:rPr>
                <w:rFonts w:ascii="Arial" w:hAnsi="Arial" w:cs="Arial"/>
                <w:noProof/>
                <w:webHidden/>
                <w:sz w:val="24"/>
                <w:szCs w:val="24"/>
              </w:rPr>
            </w:r>
            <w:r w:rsidRPr="005B7E4C" w:rsidR="002740B4">
              <w:rPr>
                <w:rFonts w:ascii="Arial" w:hAnsi="Arial" w:cs="Arial"/>
                <w:noProof/>
                <w:webHidden/>
                <w:sz w:val="24"/>
                <w:szCs w:val="24"/>
              </w:rPr>
              <w:fldChar w:fldCharType="separate"/>
            </w:r>
            <w:r w:rsidRPr="005B7E4C" w:rsidR="002740B4">
              <w:rPr>
                <w:rFonts w:ascii="Arial" w:hAnsi="Arial" w:cs="Arial"/>
                <w:noProof/>
                <w:webHidden/>
                <w:sz w:val="24"/>
                <w:szCs w:val="24"/>
              </w:rPr>
              <w:t>2</w:t>
            </w:r>
            <w:r w:rsidRPr="005B7E4C" w:rsidR="002740B4">
              <w:rPr>
                <w:rFonts w:ascii="Arial" w:hAnsi="Arial" w:cs="Arial"/>
                <w:noProof/>
                <w:webHidden/>
                <w:sz w:val="24"/>
                <w:szCs w:val="24"/>
              </w:rPr>
              <w:fldChar w:fldCharType="end"/>
            </w:r>
          </w:hyperlink>
        </w:p>
        <w:p w:rsidRPr="005B7E4C" w:rsidR="002740B4" w:rsidRDefault="002740B4" w14:paraId="1B1D80F4" w14:textId="03BFC069">
          <w:pPr>
            <w:pStyle w:val="TOC1"/>
            <w:tabs>
              <w:tab w:val="right" w:leader="dot" w:pos="9350"/>
            </w:tabs>
            <w:rPr>
              <w:rFonts w:ascii="Arial" w:hAnsi="Arial" w:cs="Arial"/>
              <w:noProof/>
              <w:kern w:val="2"/>
              <w:sz w:val="24"/>
              <w:szCs w:val="24"/>
              <w14:ligatures w14:val="standardContextual"/>
            </w:rPr>
          </w:pPr>
          <w:hyperlink w:history="1" w:anchor="_Toc228532631">
            <w:r w:rsidRPr="005B7E4C">
              <w:rPr>
                <w:rStyle w:val="Hyperlink"/>
                <w:rFonts w:ascii="Arial" w:hAnsi="Arial" w:cs="Arial"/>
                <w:noProof/>
                <w:sz w:val="24"/>
                <w:szCs w:val="24"/>
              </w:rPr>
              <w:t>TECHNOLOGIES, LLC TO SCRS INTERMEDIATE</w:t>
            </w:r>
            <w:r w:rsidRPr="005B7E4C" w:rsidR="00C77718">
              <w:rPr>
                <w:rStyle w:val="Hyperlink"/>
                <w:rFonts w:ascii="Arial" w:hAnsi="Arial" w:cs="Arial"/>
                <w:noProof/>
                <w:sz w:val="24"/>
                <w:szCs w:val="24"/>
              </w:rPr>
              <w:t xml:space="preserve"> HOLDINGS CORPORATION</w:t>
            </w:r>
            <w:r w:rsidRPr="005B7E4C">
              <w:rPr>
                <w:rFonts w:ascii="Arial" w:hAnsi="Arial" w:cs="Arial"/>
                <w:noProof/>
                <w:webHidden/>
                <w:sz w:val="24"/>
                <w:szCs w:val="24"/>
              </w:rPr>
              <w:tab/>
            </w:r>
            <w:r w:rsidRPr="005B7E4C">
              <w:rPr>
                <w:rFonts w:ascii="Arial" w:hAnsi="Arial" w:cs="Arial"/>
                <w:noProof/>
                <w:webHidden/>
                <w:sz w:val="24"/>
                <w:szCs w:val="24"/>
              </w:rPr>
              <w:fldChar w:fldCharType="begin"/>
            </w:r>
            <w:r w:rsidRPr="005B7E4C">
              <w:rPr>
                <w:rFonts w:ascii="Arial" w:hAnsi="Arial" w:cs="Arial"/>
                <w:noProof/>
                <w:webHidden/>
                <w:sz w:val="24"/>
                <w:szCs w:val="24"/>
              </w:rPr>
              <w:instrText xml:space="preserve"> PAGEREF _Toc228532631 \h </w:instrText>
            </w:r>
            <w:r w:rsidRPr="005B7E4C">
              <w:rPr>
                <w:rFonts w:ascii="Arial" w:hAnsi="Arial" w:cs="Arial"/>
                <w:noProof/>
                <w:webHidden/>
                <w:sz w:val="24"/>
                <w:szCs w:val="24"/>
              </w:rPr>
            </w:r>
            <w:r w:rsidRPr="005B7E4C">
              <w:rPr>
                <w:rFonts w:ascii="Arial" w:hAnsi="Arial" w:cs="Arial"/>
                <w:noProof/>
                <w:webHidden/>
                <w:sz w:val="24"/>
                <w:szCs w:val="24"/>
              </w:rPr>
              <w:fldChar w:fldCharType="separate"/>
            </w:r>
            <w:r w:rsidRPr="005B7E4C">
              <w:rPr>
                <w:rFonts w:ascii="Arial" w:hAnsi="Arial" w:cs="Arial"/>
                <w:noProof/>
                <w:webHidden/>
                <w:sz w:val="24"/>
                <w:szCs w:val="24"/>
              </w:rPr>
              <w:t>2</w:t>
            </w:r>
            <w:r w:rsidRPr="005B7E4C">
              <w:rPr>
                <w:rFonts w:ascii="Arial" w:hAnsi="Arial" w:cs="Arial"/>
                <w:noProof/>
                <w:webHidden/>
                <w:sz w:val="24"/>
                <w:szCs w:val="24"/>
              </w:rPr>
              <w:fldChar w:fldCharType="end"/>
            </w:r>
          </w:hyperlink>
        </w:p>
        <w:p w:rsidRPr="005B7E4C" w:rsidR="002740B4" w:rsidRDefault="002740B4" w14:paraId="55E8C850" w14:textId="5E0C649D">
          <w:pPr>
            <w:pStyle w:val="TOC1"/>
            <w:tabs>
              <w:tab w:val="right" w:leader="dot" w:pos="9350"/>
            </w:tabs>
            <w:rPr>
              <w:rFonts w:ascii="Arial" w:hAnsi="Arial" w:cs="Arial"/>
              <w:noProof/>
              <w:kern w:val="2"/>
              <w:sz w:val="24"/>
              <w:szCs w:val="24"/>
              <w14:ligatures w14:val="standardContextual"/>
            </w:rPr>
          </w:pPr>
          <w:hyperlink w:history="1" w:anchor="_Toc228532632">
            <w:r w:rsidRPr="005B7E4C">
              <w:rPr>
                <w:rStyle w:val="Hyperlink"/>
                <w:rFonts w:ascii="Arial" w:hAnsi="Arial" w:cs="Arial"/>
                <w:noProof/>
                <w:sz w:val="24"/>
                <w:szCs w:val="24"/>
              </w:rPr>
              <w:t>SUBJECT TO CONDITION</w:t>
            </w:r>
            <w:r w:rsidRPr="005B7E4C">
              <w:rPr>
                <w:rFonts w:ascii="Arial" w:hAnsi="Arial" w:cs="Arial"/>
                <w:noProof/>
                <w:webHidden/>
                <w:sz w:val="24"/>
                <w:szCs w:val="24"/>
              </w:rPr>
              <w:tab/>
            </w:r>
            <w:r w:rsidRPr="005B7E4C">
              <w:rPr>
                <w:rFonts w:ascii="Arial" w:hAnsi="Arial" w:cs="Arial"/>
                <w:noProof/>
                <w:webHidden/>
                <w:sz w:val="24"/>
                <w:szCs w:val="24"/>
              </w:rPr>
              <w:fldChar w:fldCharType="begin"/>
            </w:r>
            <w:r w:rsidRPr="005B7E4C">
              <w:rPr>
                <w:rFonts w:ascii="Arial" w:hAnsi="Arial" w:cs="Arial"/>
                <w:noProof/>
                <w:webHidden/>
                <w:sz w:val="24"/>
                <w:szCs w:val="24"/>
              </w:rPr>
              <w:instrText xml:space="preserve"> PAGEREF _Toc228532632 \h </w:instrText>
            </w:r>
            <w:r w:rsidRPr="005B7E4C">
              <w:rPr>
                <w:rFonts w:ascii="Arial" w:hAnsi="Arial" w:cs="Arial"/>
                <w:noProof/>
                <w:webHidden/>
                <w:sz w:val="24"/>
                <w:szCs w:val="24"/>
              </w:rPr>
            </w:r>
            <w:r w:rsidRPr="005B7E4C">
              <w:rPr>
                <w:rFonts w:ascii="Arial" w:hAnsi="Arial" w:cs="Arial"/>
                <w:noProof/>
                <w:webHidden/>
                <w:sz w:val="24"/>
                <w:szCs w:val="24"/>
              </w:rPr>
              <w:fldChar w:fldCharType="separate"/>
            </w:r>
            <w:r w:rsidRPr="005B7E4C">
              <w:rPr>
                <w:rFonts w:ascii="Arial" w:hAnsi="Arial" w:cs="Arial"/>
                <w:noProof/>
                <w:webHidden/>
                <w:sz w:val="24"/>
                <w:szCs w:val="24"/>
              </w:rPr>
              <w:t>2</w:t>
            </w:r>
            <w:r w:rsidRPr="005B7E4C">
              <w:rPr>
                <w:rFonts w:ascii="Arial" w:hAnsi="Arial" w:cs="Arial"/>
                <w:noProof/>
                <w:webHidden/>
                <w:sz w:val="24"/>
                <w:szCs w:val="24"/>
              </w:rPr>
              <w:fldChar w:fldCharType="end"/>
            </w:r>
          </w:hyperlink>
        </w:p>
        <w:p w:rsidRPr="002740B4" w:rsidR="002740B4" w:rsidRDefault="002740B4" w14:paraId="5E597D54" w14:textId="74648C4E">
          <w:pPr>
            <w:pStyle w:val="TOC1"/>
            <w:tabs>
              <w:tab w:val="right" w:leader="dot" w:pos="9350"/>
            </w:tabs>
            <w:rPr>
              <w:rFonts w:cstheme="minorBidi"/>
              <w:noProof/>
              <w:kern w:val="2"/>
              <w:sz w:val="24"/>
              <w:szCs w:val="24"/>
              <w14:ligatures w14:val="standardContextual"/>
            </w:rPr>
          </w:pPr>
          <w:hyperlink w:history="1" w:anchor="_Toc228532633">
            <w:r w:rsidRPr="002740B4">
              <w:rPr>
                <w:rStyle w:val="Hyperlink"/>
                <w:noProof/>
                <w:sz w:val="24"/>
                <w:szCs w:val="24"/>
              </w:rPr>
              <w:t>Summary</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_Toc228532633 \h </w:instrText>
            </w:r>
            <w:r w:rsidRPr="002740B4">
              <w:rPr>
                <w:noProof/>
                <w:webHidden/>
                <w:sz w:val="24"/>
                <w:szCs w:val="24"/>
              </w:rPr>
            </w:r>
            <w:r w:rsidRPr="002740B4">
              <w:rPr>
                <w:noProof/>
                <w:webHidden/>
                <w:sz w:val="24"/>
                <w:szCs w:val="24"/>
              </w:rPr>
              <w:fldChar w:fldCharType="separate"/>
            </w:r>
            <w:r w:rsidRPr="002740B4">
              <w:rPr>
                <w:noProof/>
                <w:webHidden/>
                <w:sz w:val="24"/>
                <w:szCs w:val="24"/>
              </w:rPr>
              <w:t>2</w:t>
            </w:r>
            <w:r w:rsidRPr="002740B4">
              <w:rPr>
                <w:noProof/>
                <w:webHidden/>
                <w:sz w:val="24"/>
                <w:szCs w:val="24"/>
              </w:rPr>
              <w:fldChar w:fldCharType="end"/>
            </w:r>
          </w:hyperlink>
        </w:p>
        <w:p w:rsidRPr="002740B4" w:rsidR="002740B4" w:rsidRDefault="002740B4" w14:paraId="2A29D84F" w14:textId="2E95E6BF">
          <w:pPr>
            <w:pStyle w:val="TOC1"/>
            <w:tabs>
              <w:tab w:val="right" w:leader="dot" w:pos="9350"/>
            </w:tabs>
            <w:rPr>
              <w:rFonts w:cstheme="minorBidi"/>
              <w:noProof/>
              <w:kern w:val="2"/>
              <w:sz w:val="24"/>
              <w:szCs w:val="24"/>
              <w14:ligatures w14:val="standardContextual"/>
            </w:rPr>
          </w:pPr>
          <w:hyperlink w:history="1" w:anchor="_Toc228532634">
            <w:r w:rsidRPr="002740B4">
              <w:rPr>
                <w:rStyle w:val="Hyperlink"/>
                <w:noProof/>
                <w:sz w:val="24"/>
                <w:szCs w:val="24"/>
              </w:rPr>
              <w:t>1.</w:t>
            </w:r>
            <w:r w:rsidRPr="002740B4">
              <w:rPr>
                <w:rFonts w:cstheme="minorBidi"/>
                <w:noProof/>
                <w:kern w:val="2"/>
                <w:sz w:val="24"/>
                <w:szCs w:val="24"/>
                <w14:ligatures w14:val="standardContextual"/>
              </w:rPr>
              <w:tab/>
            </w:r>
            <w:r w:rsidRPr="002740B4">
              <w:rPr>
                <w:rStyle w:val="Hyperlink"/>
                <w:noProof/>
                <w:sz w:val="24"/>
                <w:szCs w:val="24"/>
              </w:rPr>
              <w:t>Factual Background</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_Toc228532634 \h </w:instrText>
            </w:r>
            <w:r w:rsidRPr="002740B4">
              <w:rPr>
                <w:noProof/>
                <w:webHidden/>
                <w:sz w:val="24"/>
                <w:szCs w:val="24"/>
              </w:rPr>
            </w:r>
            <w:r w:rsidRPr="002740B4">
              <w:rPr>
                <w:noProof/>
                <w:webHidden/>
                <w:sz w:val="24"/>
                <w:szCs w:val="24"/>
              </w:rPr>
              <w:fldChar w:fldCharType="separate"/>
            </w:r>
            <w:r w:rsidRPr="002740B4">
              <w:rPr>
                <w:noProof/>
                <w:webHidden/>
                <w:sz w:val="24"/>
                <w:szCs w:val="24"/>
              </w:rPr>
              <w:t>2</w:t>
            </w:r>
            <w:r w:rsidRPr="002740B4">
              <w:rPr>
                <w:noProof/>
                <w:webHidden/>
                <w:sz w:val="24"/>
                <w:szCs w:val="24"/>
              </w:rPr>
              <w:fldChar w:fldCharType="end"/>
            </w:r>
          </w:hyperlink>
        </w:p>
        <w:p w:rsidRPr="002740B4" w:rsidR="002740B4" w:rsidRDefault="002740B4" w14:paraId="225C0B8B" w14:textId="74F8E327">
          <w:pPr>
            <w:pStyle w:val="TOC2"/>
            <w:tabs>
              <w:tab w:val="right" w:leader="dot" w:pos="9350"/>
            </w:tabs>
            <w:rPr>
              <w:rFonts w:cstheme="minorBidi"/>
              <w:noProof/>
              <w:kern w:val="2"/>
              <w:sz w:val="24"/>
              <w:szCs w:val="24"/>
              <w14:ligatures w14:val="standardContextual"/>
            </w:rPr>
          </w:pPr>
          <w:hyperlink w:history="1" w:anchor="_Toc228532635">
            <w:r w:rsidRPr="002740B4">
              <w:rPr>
                <w:rStyle w:val="Hyperlink"/>
                <w:noProof/>
                <w:sz w:val="24"/>
                <w:szCs w:val="24"/>
              </w:rPr>
              <w:t>1.1.</w:t>
            </w:r>
            <w:r w:rsidRPr="002740B4">
              <w:rPr>
                <w:rFonts w:cstheme="minorBidi"/>
                <w:noProof/>
                <w:kern w:val="2"/>
                <w:sz w:val="24"/>
                <w:szCs w:val="24"/>
                <w14:ligatures w14:val="standardContextual"/>
              </w:rPr>
              <w:tab/>
            </w:r>
            <w:r w:rsidRPr="00C77718">
              <w:rPr>
                <w:rStyle w:val="Hyperlink"/>
                <w:noProof/>
                <w:sz w:val="23"/>
                <w:szCs w:val="23"/>
              </w:rPr>
              <w:t>Parties</w:t>
            </w:r>
            <w:r w:rsidRPr="002740B4">
              <w:rPr>
                <w:rStyle w:val="Hyperlink"/>
                <w:noProof/>
                <w:sz w:val="24"/>
                <w:szCs w:val="24"/>
              </w:rPr>
              <w:t xml:space="preserve"> to the Transaction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_Toc228532635 \h </w:instrText>
            </w:r>
            <w:r w:rsidRPr="002740B4">
              <w:rPr>
                <w:noProof/>
                <w:webHidden/>
                <w:sz w:val="24"/>
                <w:szCs w:val="24"/>
              </w:rPr>
            </w:r>
            <w:r w:rsidRPr="002740B4">
              <w:rPr>
                <w:noProof/>
                <w:webHidden/>
                <w:sz w:val="24"/>
                <w:szCs w:val="24"/>
              </w:rPr>
              <w:fldChar w:fldCharType="separate"/>
            </w:r>
            <w:r w:rsidRPr="002740B4">
              <w:rPr>
                <w:noProof/>
                <w:webHidden/>
                <w:sz w:val="24"/>
                <w:szCs w:val="24"/>
              </w:rPr>
              <w:t>2</w:t>
            </w:r>
            <w:r w:rsidRPr="002740B4">
              <w:rPr>
                <w:noProof/>
                <w:webHidden/>
                <w:sz w:val="24"/>
                <w:szCs w:val="24"/>
              </w:rPr>
              <w:fldChar w:fldCharType="end"/>
            </w:r>
          </w:hyperlink>
        </w:p>
        <w:p w:rsidRPr="002740B4" w:rsidR="002740B4" w:rsidRDefault="002740B4" w14:paraId="403399DB" w14:textId="2D4D4BFE">
          <w:pPr>
            <w:pStyle w:val="TOC3"/>
            <w:tabs>
              <w:tab w:val="left" w:pos="1296"/>
              <w:tab w:val="right" w:leader="dot" w:pos="9350"/>
            </w:tabs>
            <w:rPr>
              <w:rFonts w:cstheme="minorBidi"/>
              <w:noProof/>
              <w:kern w:val="2"/>
              <w:sz w:val="24"/>
              <w:szCs w:val="24"/>
              <w14:ligatures w14:val="standardContextual"/>
            </w:rPr>
          </w:pPr>
          <w:hyperlink w:history="1" w:anchor="_Toc228532636">
            <w:r w:rsidRPr="002740B4">
              <w:rPr>
                <w:rStyle w:val="Hyperlink"/>
                <w:noProof/>
                <w:sz w:val="24"/>
                <w:szCs w:val="24"/>
              </w:rPr>
              <w:t>1.1.1.</w:t>
            </w:r>
            <w:r w:rsidRPr="002740B4">
              <w:rPr>
                <w:rFonts w:cstheme="minorBidi"/>
                <w:noProof/>
                <w:kern w:val="2"/>
                <w:sz w:val="24"/>
                <w:szCs w:val="24"/>
                <w14:ligatures w14:val="standardContextual"/>
              </w:rPr>
              <w:tab/>
            </w:r>
            <w:r w:rsidRPr="002740B4">
              <w:rPr>
                <w:rStyle w:val="Hyperlink"/>
                <w:noProof/>
                <w:sz w:val="24"/>
                <w:szCs w:val="24"/>
              </w:rPr>
              <w:t>Platinum Equity Capital Partners IV, L.P.</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_Toc228532636 \h </w:instrText>
            </w:r>
            <w:r w:rsidRPr="002740B4">
              <w:rPr>
                <w:noProof/>
                <w:webHidden/>
                <w:sz w:val="24"/>
                <w:szCs w:val="24"/>
              </w:rPr>
            </w:r>
            <w:r w:rsidRPr="002740B4">
              <w:rPr>
                <w:noProof/>
                <w:webHidden/>
                <w:sz w:val="24"/>
                <w:szCs w:val="24"/>
              </w:rPr>
              <w:fldChar w:fldCharType="separate"/>
            </w:r>
            <w:r w:rsidRPr="002740B4">
              <w:rPr>
                <w:noProof/>
                <w:webHidden/>
                <w:sz w:val="24"/>
                <w:szCs w:val="24"/>
              </w:rPr>
              <w:t>3</w:t>
            </w:r>
            <w:r w:rsidRPr="002740B4">
              <w:rPr>
                <w:noProof/>
                <w:webHidden/>
                <w:sz w:val="24"/>
                <w:szCs w:val="24"/>
              </w:rPr>
              <w:fldChar w:fldCharType="end"/>
            </w:r>
          </w:hyperlink>
        </w:p>
        <w:p w:rsidRPr="002740B4" w:rsidR="002740B4" w:rsidRDefault="002740B4" w14:paraId="16A22F8B" w14:textId="1FBD4D58">
          <w:pPr>
            <w:pStyle w:val="TOC3"/>
            <w:tabs>
              <w:tab w:val="left" w:pos="1296"/>
              <w:tab w:val="right" w:leader="dot" w:pos="9350"/>
            </w:tabs>
            <w:rPr>
              <w:rFonts w:cstheme="minorBidi"/>
              <w:noProof/>
              <w:kern w:val="2"/>
              <w:sz w:val="24"/>
              <w:szCs w:val="24"/>
              <w14:ligatures w14:val="standardContextual"/>
            </w:rPr>
          </w:pPr>
          <w:hyperlink w:history="1" w:anchor="_Toc228532637">
            <w:r w:rsidRPr="002740B4">
              <w:rPr>
                <w:rStyle w:val="Hyperlink"/>
                <w:noProof/>
                <w:sz w:val="24"/>
                <w:szCs w:val="24"/>
              </w:rPr>
              <w:t>1.1.2.</w:t>
            </w:r>
            <w:r w:rsidRPr="002740B4">
              <w:rPr>
                <w:rFonts w:cstheme="minorBidi"/>
                <w:noProof/>
                <w:kern w:val="2"/>
                <w:sz w:val="24"/>
                <w:szCs w:val="24"/>
                <w14:ligatures w14:val="standardContextual"/>
              </w:rPr>
              <w:tab/>
            </w:r>
            <w:r w:rsidRPr="002740B4">
              <w:rPr>
                <w:rStyle w:val="Hyperlink"/>
                <w:noProof/>
                <w:sz w:val="24"/>
                <w:szCs w:val="24"/>
              </w:rPr>
              <w:t>SCRS Intermediate Holding Corporation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_Toc228532637 \h </w:instrText>
            </w:r>
            <w:r w:rsidRPr="002740B4">
              <w:rPr>
                <w:noProof/>
                <w:webHidden/>
                <w:sz w:val="24"/>
                <w:szCs w:val="24"/>
              </w:rPr>
            </w:r>
            <w:r w:rsidRPr="002740B4">
              <w:rPr>
                <w:noProof/>
                <w:webHidden/>
                <w:sz w:val="24"/>
                <w:szCs w:val="24"/>
              </w:rPr>
              <w:fldChar w:fldCharType="separate"/>
            </w:r>
            <w:r w:rsidRPr="002740B4">
              <w:rPr>
                <w:noProof/>
                <w:webHidden/>
                <w:sz w:val="24"/>
                <w:szCs w:val="24"/>
              </w:rPr>
              <w:t>3</w:t>
            </w:r>
            <w:r w:rsidRPr="002740B4">
              <w:rPr>
                <w:noProof/>
                <w:webHidden/>
                <w:sz w:val="24"/>
                <w:szCs w:val="24"/>
              </w:rPr>
              <w:fldChar w:fldCharType="end"/>
            </w:r>
          </w:hyperlink>
        </w:p>
        <w:p w:rsidRPr="002740B4" w:rsidR="002740B4" w:rsidRDefault="002740B4" w14:paraId="670697D3" w14:textId="6BCBB1EB">
          <w:pPr>
            <w:pStyle w:val="TOC3"/>
            <w:tabs>
              <w:tab w:val="left" w:pos="1296"/>
              <w:tab w:val="right" w:leader="dot" w:pos="9350"/>
            </w:tabs>
            <w:rPr>
              <w:rFonts w:cstheme="minorBidi"/>
              <w:noProof/>
              <w:kern w:val="2"/>
              <w:sz w:val="24"/>
              <w:szCs w:val="24"/>
              <w14:ligatures w14:val="standardContextual"/>
            </w:rPr>
          </w:pPr>
          <w:hyperlink w:history="1" w:anchor="_Toc228532638">
            <w:r w:rsidRPr="002740B4">
              <w:rPr>
                <w:rStyle w:val="Hyperlink"/>
                <w:noProof/>
                <w:sz w:val="24"/>
                <w:szCs w:val="24"/>
              </w:rPr>
              <w:t>1.1.3.</w:t>
            </w:r>
            <w:r w:rsidRPr="002740B4">
              <w:rPr>
                <w:rFonts w:cstheme="minorBidi"/>
                <w:noProof/>
                <w:kern w:val="2"/>
                <w:sz w:val="24"/>
                <w:szCs w:val="24"/>
                <w14:ligatures w14:val="standardContextual"/>
              </w:rPr>
              <w:tab/>
            </w:r>
            <w:r w:rsidRPr="002740B4">
              <w:rPr>
                <w:rStyle w:val="Hyperlink"/>
                <w:noProof/>
                <w:sz w:val="24"/>
                <w:szCs w:val="24"/>
              </w:rPr>
              <w:t>Securus Technologies, LLC</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_Toc228532638 \h </w:instrText>
            </w:r>
            <w:r w:rsidRPr="002740B4">
              <w:rPr>
                <w:noProof/>
                <w:webHidden/>
                <w:sz w:val="24"/>
                <w:szCs w:val="24"/>
              </w:rPr>
            </w:r>
            <w:r w:rsidRPr="002740B4">
              <w:rPr>
                <w:noProof/>
                <w:webHidden/>
                <w:sz w:val="24"/>
                <w:szCs w:val="24"/>
              </w:rPr>
              <w:fldChar w:fldCharType="separate"/>
            </w:r>
            <w:r w:rsidRPr="002740B4">
              <w:rPr>
                <w:noProof/>
                <w:webHidden/>
                <w:sz w:val="24"/>
                <w:szCs w:val="24"/>
              </w:rPr>
              <w:t>4</w:t>
            </w:r>
            <w:r w:rsidRPr="002740B4">
              <w:rPr>
                <w:noProof/>
                <w:webHidden/>
                <w:sz w:val="24"/>
                <w:szCs w:val="24"/>
              </w:rPr>
              <w:fldChar w:fldCharType="end"/>
            </w:r>
          </w:hyperlink>
        </w:p>
        <w:p w:rsidRPr="002740B4" w:rsidR="002740B4" w:rsidRDefault="002740B4" w14:paraId="02FB5991" w14:textId="378B6BCD">
          <w:pPr>
            <w:pStyle w:val="TOC3"/>
            <w:tabs>
              <w:tab w:val="left" w:pos="1296"/>
              <w:tab w:val="right" w:leader="dot" w:pos="9350"/>
            </w:tabs>
            <w:rPr>
              <w:rFonts w:cstheme="minorBidi"/>
              <w:noProof/>
              <w:kern w:val="2"/>
              <w:sz w:val="24"/>
              <w:szCs w:val="24"/>
              <w14:ligatures w14:val="standardContextual"/>
            </w:rPr>
          </w:pPr>
          <w:hyperlink w:history="1" w:anchor="_Toc228532639">
            <w:r w:rsidRPr="002740B4">
              <w:rPr>
                <w:rStyle w:val="Hyperlink"/>
                <w:noProof/>
                <w:sz w:val="24"/>
                <w:szCs w:val="24"/>
              </w:rPr>
              <w:t>1.1.4</w:t>
            </w:r>
            <w:r w:rsidRPr="002740B4">
              <w:rPr>
                <w:rFonts w:cstheme="minorBidi"/>
                <w:noProof/>
                <w:kern w:val="2"/>
                <w:sz w:val="24"/>
                <w:szCs w:val="24"/>
                <w14:ligatures w14:val="standardContextual"/>
              </w:rPr>
              <w:tab/>
            </w:r>
            <w:r w:rsidRPr="002740B4">
              <w:rPr>
                <w:rStyle w:val="Hyperlink"/>
                <w:noProof/>
                <w:sz w:val="24"/>
                <w:szCs w:val="24"/>
              </w:rPr>
              <w:t>Aventiv Technologies, LLC</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_Toc228532639 \h </w:instrText>
            </w:r>
            <w:r w:rsidRPr="002740B4">
              <w:rPr>
                <w:noProof/>
                <w:webHidden/>
                <w:sz w:val="24"/>
                <w:szCs w:val="24"/>
              </w:rPr>
            </w:r>
            <w:r w:rsidRPr="002740B4">
              <w:rPr>
                <w:noProof/>
                <w:webHidden/>
                <w:sz w:val="24"/>
                <w:szCs w:val="24"/>
              </w:rPr>
              <w:fldChar w:fldCharType="separate"/>
            </w:r>
            <w:r w:rsidRPr="002740B4">
              <w:rPr>
                <w:noProof/>
                <w:webHidden/>
                <w:sz w:val="24"/>
                <w:szCs w:val="24"/>
              </w:rPr>
              <w:t>4</w:t>
            </w:r>
            <w:r w:rsidRPr="002740B4">
              <w:rPr>
                <w:noProof/>
                <w:webHidden/>
                <w:sz w:val="24"/>
                <w:szCs w:val="24"/>
              </w:rPr>
              <w:fldChar w:fldCharType="end"/>
            </w:r>
          </w:hyperlink>
        </w:p>
        <w:p w:rsidRPr="002740B4" w:rsidR="002740B4" w:rsidRDefault="002740B4" w14:paraId="7FA7AFF7" w14:textId="5208FBF2">
          <w:pPr>
            <w:pStyle w:val="TOC2"/>
            <w:tabs>
              <w:tab w:val="right" w:leader="dot" w:pos="9350"/>
            </w:tabs>
            <w:rPr>
              <w:rFonts w:cstheme="minorBidi"/>
              <w:noProof/>
              <w:kern w:val="2"/>
              <w:sz w:val="24"/>
              <w:szCs w:val="24"/>
              <w14:ligatures w14:val="standardContextual"/>
            </w:rPr>
          </w:pPr>
          <w:hyperlink w:history="1" w:anchor="_Toc228532640">
            <w:r w:rsidRPr="002740B4">
              <w:rPr>
                <w:rStyle w:val="Hyperlink"/>
                <w:noProof/>
                <w:sz w:val="24"/>
                <w:szCs w:val="24"/>
              </w:rPr>
              <w:t>1.2.</w:t>
            </w:r>
            <w:r w:rsidRPr="002740B4">
              <w:rPr>
                <w:rFonts w:cstheme="minorBidi"/>
                <w:noProof/>
                <w:kern w:val="2"/>
                <w:sz w:val="24"/>
                <w:szCs w:val="24"/>
                <w14:ligatures w14:val="standardContextual"/>
              </w:rPr>
              <w:tab/>
            </w:r>
            <w:r w:rsidRPr="002740B4">
              <w:rPr>
                <w:rStyle w:val="Hyperlink"/>
                <w:noProof/>
                <w:sz w:val="24"/>
                <w:szCs w:val="24"/>
              </w:rPr>
              <w:t>The Proposed Transaction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_Toc228532640 \h </w:instrText>
            </w:r>
            <w:r w:rsidRPr="002740B4">
              <w:rPr>
                <w:noProof/>
                <w:webHidden/>
                <w:sz w:val="24"/>
                <w:szCs w:val="24"/>
              </w:rPr>
            </w:r>
            <w:r w:rsidRPr="002740B4">
              <w:rPr>
                <w:noProof/>
                <w:webHidden/>
                <w:sz w:val="24"/>
                <w:szCs w:val="24"/>
              </w:rPr>
              <w:fldChar w:fldCharType="separate"/>
            </w:r>
            <w:r w:rsidRPr="002740B4">
              <w:rPr>
                <w:noProof/>
                <w:webHidden/>
                <w:sz w:val="24"/>
                <w:szCs w:val="24"/>
              </w:rPr>
              <w:t>5</w:t>
            </w:r>
            <w:r w:rsidRPr="002740B4">
              <w:rPr>
                <w:noProof/>
                <w:webHidden/>
                <w:sz w:val="24"/>
                <w:szCs w:val="24"/>
              </w:rPr>
              <w:fldChar w:fldCharType="end"/>
            </w:r>
          </w:hyperlink>
        </w:p>
        <w:p w:rsidRPr="002740B4" w:rsidR="002740B4" w:rsidRDefault="002740B4" w14:paraId="5F16A1F3" w14:textId="182F3CD2">
          <w:pPr>
            <w:pStyle w:val="TOC1"/>
            <w:tabs>
              <w:tab w:val="right" w:leader="dot" w:pos="9350"/>
            </w:tabs>
            <w:rPr>
              <w:rFonts w:cstheme="minorBidi"/>
              <w:noProof/>
              <w:kern w:val="2"/>
              <w:sz w:val="24"/>
              <w:szCs w:val="24"/>
              <w14:ligatures w14:val="standardContextual"/>
            </w:rPr>
          </w:pPr>
          <w:hyperlink w:history="1" w:anchor="_Toc228532641">
            <w:r w:rsidRPr="002740B4">
              <w:rPr>
                <w:rStyle w:val="Hyperlink"/>
                <w:noProof/>
                <w:sz w:val="24"/>
                <w:szCs w:val="24"/>
              </w:rPr>
              <w:t>2.</w:t>
            </w:r>
            <w:r w:rsidRPr="002740B4">
              <w:rPr>
                <w:rFonts w:cstheme="minorBidi"/>
                <w:noProof/>
                <w:kern w:val="2"/>
                <w:sz w:val="24"/>
                <w:szCs w:val="24"/>
                <w14:ligatures w14:val="standardContextual"/>
              </w:rPr>
              <w:tab/>
            </w:r>
            <w:r w:rsidRPr="002740B4">
              <w:rPr>
                <w:rStyle w:val="Hyperlink"/>
                <w:noProof/>
                <w:sz w:val="24"/>
                <w:szCs w:val="24"/>
              </w:rPr>
              <w:t>Procedural Background</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_Toc228532641 \h </w:instrText>
            </w:r>
            <w:r w:rsidRPr="002740B4">
              <w:rPr>
                <w:noProof/>
                <w:webHidden/>
                <w:sz w:val="24"/>
                <w:szCs w:val="24"/>
              </w:rPr>
            </w:r>
            <w:r w:rsidRPr="002740B4">
              <w:rPr>
                <w:noProof/>
                <w:webHidden/>
                <w:sz w:val="24"/>
                <w:szCs w:val="24"/>
              </w:rPr>
              <w:fldChar w:fldCharType="separate"/>
            </w:r>
            <w:r w:rsidRPr="002740B4">
              <w:rPr>
                <w:noProof/>
                <w:webHidden/>
                <w:sz w:val="24"/>
                <w:szCs w:val="24"/>
              </w:rPr>
              <w:t>6</w:t>
            </w:r>
            <w:r w:rsidRPr="002740B4">
              <w:rPr>
                <w:noProof/>
                <w:webHidden/>
                <w:sz w:val="24"/>
                <w:szCs w:val="24"/>
              </w:rPr>
              <w:fldChar w:fldCharType="end"/>
            </w:r>
          </w:hyperlink>
        </w:p>
        <w:p w:rsidRPr="002740B4" w:rsidR="002740B4" w:rsidRDefault="002740B4" w14:paraId="024FC491" w14:textId="288CB0CB">
          <w:pPr>
            <w:pStyle w:val="TOC1"/>
            <w:tabs>
              <w:tab w:val="right" w:leader="dot" w:pos="9350"/>
            </w:tabs>
            <w:rPr>
              <w:rFonts w:cstheme="minorBidi"/>
              <w:noProof/>
              <w:kern w:val="2"/>
              <w:sz w:val="24"/>
              <w:szCs w:val="24"/>
              <w14:ligatures w14:val="standardContextual"/>
            </w:rPr>
          </w:pPr>
          <w:hyperlink w:history="1" w:anchor="_Toc228532642">
            <w:r w:rsidRPr="002740B4">
              <w:rPr>
                <w:rStyle w:val="Hyperlink"/>
                <w:noProof/>
                <w:sz w:val="24"/>
                <w:szCs w:val="24"/>
              </w:rPr>
              <w:t>3.</w:t>
            </w:r>
            <w:r w:rsidRPr="002740B4">
              <w:rPr>
                <w:rFonts w:cstheme="minorBidi"/>
                <w:noProof/>
                <w:kern w:val="2"/>
                <w:sz w:val="24"/>
                <w:szCs w:val="24"/>
                <w14:ligatures w14:val="standardContextual"/>
              </w:rPr>
              <w:tab/>
            </w:r>
            <w:r w:rsidRPr="002740B4">
              <w:rPr>
                <w:rStyle w:val="Hyperlink"/>
                <w:noProof/>
                <w:sz w:val="24"/>
                <w:szCs w:val="24"/>
              </w:rPr>
              <w:t>Submission Date</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_Toc228532642 \h </w:instrText>
            </w:r>
            <w:r w:rsidRPr="002740B4">
              <w:rPr>
                <w:noProof/>
                <w:webHidden/>
                <w:sz w:val="24"/>
                <w:szCs w:val="24"/>
              </w:rPr>
            </w:r>
            <w:r w:rsidRPr="002740B4">
              <w:rPr>
                <w:noProof/>
                <w:webHidden/>
                <w:sz w:val="24"/>
                <w:szCs w:val="24"/>
              </w:rPr>
              <w:fldChar w:fldCharType="separate"/>
            </w:r>
            <w:r w:rsidRPr="002740B4">
              <w:rPr>
                <w:noProof/>
                <w:webHidden/>
                <w:sz w:val="24"/>
                <w:szCs w:val="24"/>
              </w:rPr>
              <w:t>10</w:t>
            </w:r>
            <w:r w:rsidRPr="002740B4">
              <w:rPr>
                <w:noProof/>
                <w:webHidden/>
                <w:sz w:val="24"/>
                <w:szCs w:val="24"/>
              </w:rPr>
              <w:fldChar w:fldCharType="end"/>
            </w:r>
          </w:hyperlink>
        </w:p>
        <w:p w:rsidRPr="002740B4" w:rsidR="002740B4" w:rsidRDefault="002740B4" w14:paraId="4934A79F" w14:textId="65274AB9">
          <w:pPr>
            <w:pStyle w:val="TOC1"/>
            <w:tabs>
              <w:tab w:val="right" w:leader="dot" w:pos="9350"/>
            </w:tabs>
            <w:rPr>
              <w:rFonts w:cstheme="minorBidi"/>
              <w:noProof/>
              <w:kern w:val="2"/>
              <w:sz w:val="24"/>
              <w:szCs w:val="24"/>
              <w14:ligatures w14:val="standardContextual"/>
            </w:rPr>
          </w:pPr>
          <w:hyperlink w:history="1" w:anchor="_Toc228532643">
            <w:r w:rsidRPr="002740B4">
              <w:rPr>
                <w:rStyle w:val="Hyperlink"/>
                <w:noProof/>
                <w:sz w:val="24"/>
                <w:szCs w:val="24"/>
              </w:rPr>
              <w:t>4.</w:t>
            </w:r>
            <w:r w:rsidRPr="002740B4">
              <w:rPr>
                <w:rFonts w:cstheme="minorBidi"/>
                <w:noProof/>
                <w:kern w:val="2"/>
                <w:sz w:val="24"/>
                <w:szCs w:val="24"/>
                <w14:ligatures w14:val="standardContextual"/>
              </w:rPr>
              <w:tab/>
            </w:r>
            <w:r w:rsidRPr="002740B4">
              <w:rPr>
                <w:rStyle w:val="Hyperlink"/>
                <w:noProof/>
                <w:sz w:val="24"/>
                <w:szCs w:val="24"/>
              </w:rPr>
              <w:t>Jurisdiction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_Toc228532643 \h </w:instrText>
            </w:r>
            <w:r w:rsidRPr="002740B4">
              <w:rPr>
                <w:noProof/>
                <w:webHidden/>
                <w:sz w:val="24"/>
                <w:szCs w:val="24"/>
              </w:rPr>
            </w:r>
            <w:r w:rsidRPr="002740B4">
              <w:rPr>
                <w:noProof/>
                <w:webHidden/>
                <w:sz w:val="24"/>
                <w:szCs w:val="24"/>
              </w:rPr>
              <w:fldChar w:fldCharType="separate"/>
            </w:r>
            <w:r w:rsidRPr="002740B4">
              <w:rPr>
                <w:noProof/>
                <w:webHidden/>
                <w:sz w:val="24"/>
                <w:szCs w:val="24"/>
              </w:rPr>
              <w:t>11</w:t>
            </w:r>
            <w:r w:rsidRPr="002740B4">
              <w:rPr>
                <w:noProof/>
                <w:webHidden/>
                <w:sz w:val="24"/>
                <w:szCs w:val="24"/>
              </w:rPr>
              <w:fldChar w:fldCharType="end"/>
            </w:r>
          </w:hyperlink>
        </w:p>
        <w:p w:rsidRPr="002740B4" w:rsidR="002740B4" w:rsidRDefault="002740B4" w14:paraId="040F5A68" w14:textId="22CB5704">
          <w:pPr>
            <w:pStyle w:val="TOC1"/>
            <w:tabs>
              <w:tab w:val="right" w:leader="dot" w:pos="9350"/>
            </w:tabs>
            <w:rPr>
              <w:rFonts w:cstheme="minorBidi"/>
              <w:noProof/>
              <w:kern w:val="2"/>
              <w:sz w:val="24"/>
              <w:szCs w:val="24"/>
              <w14:ligatures w14:val="standardContextual"/>
            </w:rPr>
          </w:pPr>
          <w:hyperlink w:history="1" w:anchor="_Toc228532644">
            <w:r w:rsidRPr="002740B4">
              <w:rPr>
                <w:rStyle w:val="Hyperlink"/>
                <w:noProof/>
                <w:sz w:val="24"/>
                <w:szCs w:val="24"/>
              </w:rPr>
              <w:t>5.</w:t>
            </w:r>
            <w:r w:rsidRPr="002740B4">
              <w:rPr>
                <w:rFonts w:cstheme="minorBidi"/>
                <w:noProof/>
                <w:kern w:val="2"/>
                <w:sz w:val="24"/>
                <w:szCs w:val="24"/>
                <w14:ligatures w14:val="standardContextual"/>
              </w:rPr>
              <w:tab/>
            </w:r>
            <w:r w:rsidRPr="002740B4">
              <w:rPr>
                <w:rStyle w:val="Hyperlink"/>
                <w:noProof/>
                <w:sz w:val="24"/>
                <w:szCs w:val="24"/>
              </w:rPr>
              <w:t>Issues Before the Commission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_Toc228532644 \h </w:instrText>
            </w:r>
            <w:r w:rsidRPr="002740B4">
              <w:rPr>
                <w:noProof/>
                <w:webHidden/>
                <w:sz w:val="24"/>
                <w:szCs w:val="24"/>
              </w:rPr>
            </w:r>
            <w:r w:rsidRPr="002740B4">
              <w:rPr>
                <w:noProof/>
                <w:webHidden/>
                <w:sz w:val="24"/>
                <w:szCs w:val="24"/>
              </w:rPr>
              <w:fldChar w:fldCharType="separate"/>
            </w:r>
            <w:r w:rsidRPr="002740B4">
              <w:rPr>
                <w:noProof/>
                <w:webHidden/>
                <w:sz w:val="24"/>
                <w:szCs w:val="24"/>
              </w:rPr>
              <w:t>11</w:t>
            </w:r>
            <w:r w:rsidRPr="002740B4">
              <w:rPr>
                <w:noProof/>
                <w:webHidden/>
                <w:sz w:val="24"/>
                <w:szCs w:val="24"/>
              </w:rPr>
              <w:fldChar w:fldCharType="end"/>
            </w:r>
          </w:hyperlink>
        </w:p>
        <w:p w:rsidRPr="002740B4" w:rsidR="002740B4" w:rsidRDefault="002740B4" w14:paraId="5C0BF184" w14:textId="44125168">
          <w:pPr>
            <w:pStyle w:val="TOC1"/>
            <w:tabs>
              <w:tab w:val="right" w:leader="dot" w:pos="9350"/>
            </w:tabs>
            <w:rPr>
              <w:rFonts w:cstheme="minorBidi"/>
              <w:noProof/>
              <w:kern w:val="2"/>
              <w:sz w:val="24"/>
              <w:szCs w:val="24"/>
              <w14:ligatures w14:val="standardContextual"/>
            </w:rPr>
          </w:pPr>
          <w:hyperlink w:history="1" w:anchor="_Toc228532645">
            <w:r w:rsidRPr="002740B4">
              <w:rPr>
                <w:rStyle w:val="Hyperlink"/>
                <w:noProof/>
                <w:sz w:val="24"/>
                <w:szCs w:val="24"/>
              </w:rPr>
              <w:t>6.</w:t>
            </w:r>
            <w:r w:rsidRPr="002740B4">
              <w:rPr>
                <w:rFonts w:cstheme="minorBidi"/>
                <w:noProof/>
                <w:kern w:val="2"/>
                <w:sz w:val="24"/>
                <w:szCs w:val="24"/>
                <w14:ligatures w14:val="standardContextual"/>
              </w:rPr>
              <w:tab/>
            </w:r>
            <w:r w:rsidRPr="002740B4">
              <w:rPr>
                <w:rStyle w:val="Hyperlink"/>
                <w:noProof/>
                <w:sz w:val="24"/>
                <w:szCs w:val="24"/>
              </w:rPr>
              <w:t>Standard of Review</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_Toc228532645 \h </w:instrText>
            </w:r>
            <w:r w:rsidRPr="002740B4">
              <w:rPr>
                <w:noProof/>
                <w:webHidden/>
                <w:sz w:val="24"/>
                <w:szCs w:val="24"/>
              </w:rPr>
            </w:r>
            <w:r w:rsidRPr="002740B4">
              <w:rPr>
                <w:noProof/>
                <w:webHidden/>
                <w:sz w:val="24"/>
                <w:szCs w:val="24"/>
              </w:rPr>
              <w:fldChar w:fldCharType="separate"/>
            </w:r>
            <w:r w:rsidRPr="002740B4">
              <w:rPr>
                <w:noProof/>
                <w:webHidden/>
                <w:sz w:val="24"/>
                <w:szCs w:val="24"/>
              </w:rPr>
              <w:t>12</w:t>
            </w:r>
            <w:r w:rsidRPr="002740B4">
              <w:rPr>
                <w:noProof/>
                <w:webHidden/>
                <w:sz w:val="24"/>
                <w:szCs w:val="24"/>
              </w:rPr>
              <w:fldChar w:fldCharType="end"/>
            </w:r>
          </w:hyperlink>
        </w:p>
        <w:p w:rsidRPr="002740B4" w:rsidR="002740B4" w:rsidP="002740B4" w:rsidRDefault="002740B4" w14:paraId="513D3576" w14:textId="13D1150F">
          <w:pPr>
            <w:pStyle w:val="TOC1"/>
            <w:tabs>
              <w:tab w:val="right" w:leader="dot" w:pos="9350"/>
            </w:tabs>
            <w:rPr>
              <w:rFonts w:cstheme="minorBidi"/>
              <w:noProof/>
              <w:kern w:val="2"/>
              <w:sz w:val="24"/>
              <w:szCs w:val="24"/>
              <w14:ligatures w14:val="standardContextual"/>
            </w:rPr>
          </w:pPr>
          <w:hyperlink w:history="1" w:anchor="_Toc228532646">
            <w:r w:rsidRPr="002740B4">
              <w:rPr>
                <w:rStyle w:val="Hyperlink"/>
                <w:noProof/>
                <w:sz w:val="24"/>
                <w:szCs w:val="24"/>
              </w:rPr>
              <w:t>7.</w:t>
            </w:r>
            <w:r w:rsidRPr="002740B4">
              <w:rPr>
                <w:rFonts w:cstheme="minorBidi"/>
                <w:noProof/>
                <w:kern w:val="2"/>
                <w:sz w:val="24"/>
                <w:szCs w:val="24"/>
                <w14:ligatures w14:val="standardContextual"/>
              </w:rPr>
              <w:tab/>
            </w:r>
            <w:r w:rsidRPr="002740B4">
              <w:rPr>
                <w:rStyle w:val="Hyperlink"/>
                <w:noProof/>
                <w:sz w:val="24"/>
                <w:szCs w:val="24"/>
              </w:rPr>
              <w:t>The Public Interest</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_Toc228532646 \h </w:instrText>
            </w:r>
            <w:r w:rsidRPr="002740B4">
              <w:rPr>
                <w:noProof/>
                <w:webHidden/>
                <w:sz w:val="24"/>
                <w:szCs w:val="24"/>
              </w:rPr>
            </w:r>
            <w:r w:rsidRPr="002740B4">
              <w:rPr>
                <w:noProof/>
                <w:webHidden/>
                <w:sz w:val="24"/>
                <w:szCs w:val="24"/>
              </w:rPr>
              <w:fldChar w:fldCharType="separate"/>
            </w:r>
            <w:r w:rsidRPr="002740B4">
              <w:rPr>
                <w:noProof/>
                <w:webHidden/>
                <w:sz w:val="24"/>
                <w:szCs w:val="24"/>
              </w:rPr>
              <w:t>12</w:t>
            </w:r>
            <w:r w:rsidRPr="002740B4">
              <w:rPr>
                <w:noProof/>
                <w:webHidden/>
                <w:sz w:val="24"/>
                <w:szCs w:val="24"/>
              </w:rPr>
              <w:fldChar w:fldCharType="end"/>
            </w:r>
          </w:hyperlink>
        </w:p>
        <w:p w:rsidRPr="002740B4" w:rsidR="002740B4" w:rsidRDefault="002740B4" w14:paraId="3438C7E9" w14:textId="3E2EFD07">
          <w:pPr>
            <w:pStyle w:val="TOC2"/>
            <w:tabs>
              <w:tab w:val="right" w:leader="dot" w:pos="9350"/>
            </w:tabs>
            <w:rPr>
              <w:rFonts w:cstheme="minorBidi"/>
              <w:noProof/>
              <w:kern w:val="2"/>
              <w:sz w:val="24"/>
              <w:szCs w:val="24"/>
              <w14:ligatures w14:val="standardContextual"/>
            </w:rPr>
          </w:pPr>
          <w:hyperlink w:history="1" w:anchor="_Toc228532647">
            <w:r w:rsidRPr="002740B4">
              <w:rPr>
                <w:rStyle w:val="Hyperlink"/>
                <w:noProof/>
                <w:sz w:val="24"/>
                <w:szCs w:val="24"/>
              </w:rPr>
              <w:t>7.1.</w:t>
            </w:r>
            <w:r w:rsidRPr="002740B4">
              <w:rPr>
                <w:rFonts w:cstheme="minorBidi"/>
                <w:noProof/>
                <w:kern w:val="2"/>
                <w:sz w:val="24"/>
                <w:szCs w:val="24"/>
                <w14:ligatures w14:val="standardContextual"/>
              </w:rPr>
              <w:tab/>
            </w:r>
            <w:r w:rsidRPr="002740B4">
              <w:rPr>
                <w:rStyle w:val="Hyperlink"/>
                <w:noProof/>
                <w:sz w:val="24"/>
                <w:szCs w:val="24"/>
              </w:rPr>
              <w:t>Joint Applicants’ Contentions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_Toc228532647 \h </w:instrText>
            </w:r>
            <w:r w:rsidRPr="002740B4">
              <w:rPr>
                <w:noProof/>
                <w:webHidden/>
                <w:sz w:val="24"/>
                <w:szCs w:val="24"/>
              </w:rPr>
            </w:r>
            <w:r w:rsidRPr="002740B4">
              <w:rPr>
                <w:noProof/>
                <w:webHidden/>
                <w:sz w:val="24"/>
                <w:szCs w:val="24"/>
              </w:rPr>
              <w:fldChar w:fldCharType="separate"/>
            </w:r>
            <w:r w:rsidRPr="002740B4">
              <w:rPr>
                <w:noProof/>
                <w:webHidden/>
                <w:sz w:val="24"/>
                <w:szCs w:val="24"/>
              </w:rPr>
              <w:t>12</w:t>
            </w:r>
            <w:r w:rsidRPr="002740B4">
              <w:rPr>
                <w:noProof/>
                <w:webHidden/>
                <w:sz w:val="24"/>
                <w:szCs w:val="24"/>
              </w:rPr>
              <w:fldChar w:fldCharType="end"/>
            </w:r>
          </w:hyperlink>
        </w:p>
        <w:p w:rsidRPr="002740B4" w:rsidR="002740B4" w:rsidRDefault="002740B4" w14:paraId="0159F989" w14:textId="4724A6D3">
          <w:pPr>
            <w:pStyle w:val="TOC2"/>
            <w:tabs>
              <w:tab w:val="right" w:leader="dot" w:pos="9350"/>
            </w:tabs>
            <w:rPr>
              <w:rFonts w:cstheme="minorBidi"/>
              <w:noProof/>
              <w:kern w:val="2"/>
              <w:sz w:val="24"/>
              <w:szCs w:val="24"/>
              <w14:ligatures w14:val="standardContextual"/>
            </w:rPr>
          </w:pPr>
          <w:hyperlink w:history="1" w:anchor="_Toc228532648">
            <w:r w:rsidRPr="002740B4">
              <w:rPr>
                <w:rStyle w:val="Hyperlink"/>
                <w:noProof/>
                <w:sz w:val="24"/>
                <w:szCs w:val="24"/>
              </w:rPr>
              <w:t>7.2.</w:t>
            </w:r>
            <w:r w:rsidRPr="002740B4">
              <w:rPr>
                <w:rFonts w:cstheme="minorBidi"/>
                <w:noProof/>
                <w:kern w:val="2"/>
                <w:sz w:val="24"/>
                <w:szCs w:val="24"/>
                <w14:ligatures w14:val="standardContextual"/>
              </w:rPr>
              <w:tab/>
            </w:r>
            <w:r w:rsidRPr="002740B4">
              <w:rPr>
                <w:rStyle w:val="Hyperlink"/>
                <w:noProof/>
                <w:sz w:val="24"/>
                <w:szCs w:val="24"/>
              </w:rPr>
              <w:t>TURN’s Contentions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_Toc228532648 \h </w:instrText>
            </w:r>
            <w:r w:rsidRPr="002740B4">
              <w:rPr>
                <w:noProof/>
                <w:webHidden/>
                <w:sz w:val="24"/>
                <w:szCs w:val="24"/>
              </w:rPr>
            </w:r>
            <w:r w:rsidRPr="002740B4">
              <w:rPr>
                <w:noProof/>
                <w:webHidden/>
                <w:sz w:val="24"/>
                <w:szCs w:val="24"/>
              </w:rPr>
              <w:fldChar w:fldCharType="separate"/>
            </w:r>
            <w:r w:rsidRPr="002740B4">
              <w:rPr>
                <w:noProof/>
                <w:webHidden/>
                <w:sz w:val="24"/>
                <w:szCs w:val="24"/>
              </w:rPr>
              <w:t>13</w:t>
            </w:r>
            <w:r w:rsidRPr="002740B4">
              <w:rPr>
                <w:noProof/>
                <w:webHidden/>
                <w:sz w:val="24"/>
                <w:szCs w:val="24"/>
              </w:rPr>
              <w:fldChar w:fldCharType="end"/>
            </w:r>
          </w:hyperlink>
        </w:p>
        <w:p w:rsidRPr="002740B4" w:rsidR="002740B4" w:rsidRDefault="002740B4" w14:paraId="73C69F9C" w14:textId="575D6D9A">
          <w:pPr>
            <w:pStyle w:val="TOC2"/>
            <w:tabs>
              <w:tab w:val="right" w:leader="dot" w:pos="9350"/>
            </w:tabs>
            <w:rPr>
              <w:rFonts w:cstheme="minorBidi"/>
              <w:noProof/>
              <w:kern w:val="2"/>
              <w:sz w:val="24"/>
              <w:szCs w:val="24"/>
              <w14:ligatures w14:val="standardContextual"/>
            </w:rPr>
          </w:pPr>
          <w:hyperlink w:history="1" w:anchor="_Toc228532649">
            <w:r w:rsidRPr="002740B4">
              <w:rPr>
                <w:rStyle w:val="Hyperlink"/>
                <w:noProof/>
                <w:sz w:val="24"/>
                <w:szCs w:val="24"/>
              </w:rPr>
              <w:t>7.3</w:t>
            </w:r>
            <w:r w:rsidRPr="002740B4">
              <w:rPr>
                <w:rFonts w:cstheme="minorBidi"/>
                <w:noProof/>
                <w:kern w:val="2"/>
                <w:sz w:val="24"/>
                <w:szCs w:val="24"/>
                <w14:ligatures w14:val="standardContextual"/>
              </w:rPr>
              <w:tab/>
            </w:r>
            <w:r w:rsidRPr="002740B4">
              <w:rPr>
                <w:rStyle w:val="Hyperlink"/>
                <w:noProof/>
                <w:sz w:val="24"/>
                <w:szCs w:val="24"/>
              </w:rPr>
              <w:t>Discussion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_Toc228532649 \h </w:instrText>
            </w:r>
            <w:r w:rsidRPr="002740B4">
              <w:rPr>
                <w:noProof/>
                <w:webHidden/>
                <w:sz w:val="24"/>
                <w:szCs w:val="24"/>
              </w:rPr>
            </w:r>
            <w:r w:rsidRPr="002740B4">
              <w:rPr>
                <w:noProof/>
                <w:webHidden/>
                <w:sz w:val="24"/>
                <w:szCs w:val="24"/>
              </w:rPr>
              <w:fldChar w:fldCharType="separate"/>
            </w:r>
            <w:r w:rsidRPr="002740B4">
              <w:rPr>
                <w:noProof/>
                <w:webHidden/>
                <w:sz w:val="24"/>
                <w:szCs w:val="24"/>
              </w:rPr>
              <w:t>14</w:t>
            </w:r>
            <w:r w:rsidRPr="002740B4">
              <w:rPr>
                <w:noProof/>
                <w:webHidden/>
                <w:sz w:val="24"/>
                <w:szCs w:val="24"/>
              </w:rPr>
              <w:fldChar w:fldCharType="end"/>
            </w:r>
          </w:hyperlink>
        </w:p>
        <w:p w:rsidRPr="002740B4" w:rsidR="002740B4" w:rsidP="002740B4" w:rsidRDefault="002740B4" w14:paraId="25E60F46" w14:textId="31B81901">
          <w:pPr>
            <w:pStyle w:val="TOC1"/>
            <w:tabs>
              <w:tab w:val="right" w:leader="dot" w:pos="9350"/>
            </w:tabs>
            <w:rPr>
              <w:rFonts w:cstheme="minorBidi"/>
              <w:noProof/>
              <w:kern w:val="2"/>
              <w:sz w:val="24"/>
              <w:szCs w:val="24"/>
              <w14:ligatures w14:val="standardContextual"/>
            </w:rPr>
          </w:pPr>
          <w:hyperlink w:history="1" w:anchor="_Toc228532650">
            <w:r w:rsidRPr="002740B4">
              <w:rPr>
                <w:rStyle w:val="Hyperlink"/>
                <w:noProof/>
                <w:sz w:val="24"/>
                <w:szCs w:val="24"/>
              </w:rPr>
              <w:t>8.</w:t>
            </w:r>
            <w:r w:rsidRPr="002740B4">
              <w:rPr>
                <w:rFonts w:cstheme="minorBidi"/>
                <w:noProof/>
                <w:kern w:val="2"/>
                <w:sz w:val="24"/>
                <w:szCs w:val="24"/>
                <w14:ligatures w14:val="standardContextual"/>
              </w:rPr>
              <w:tab/>
            </w:r>
            <w:r w:rsidRPr="002740B4">
              <w:rPr>
                <w:rStyle w:val="Hyperlink"/>
                <w:noProof/>
                <w:sz w:val="24"/>
                <w:szCs w:val="24"/>
              </w:rPr>
              <w:t>Rule 3.6</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_Toc228532650 \h </w:instrText>
            </w:r>
            <w:r w:rsidRPr="002740B4">
              <w:rPr>
                <w:noProof/>
                <w:webHidden/>
                <w:sz w:val="24"/>
                <w:szCs w:val="24"/>
              </w:rPr>
            </w:r>
            <w:r w:rsidRPr="002740B4">
              <w:rPr>
                <w:noProof/>
                <w:webHidden/>
                <w:sz w:val="24"/>
                <w:szCs w:val="24"/>
              </w:rPr>
              <w:fldChar w:fldCharType="separate"/>
            </w:r>
            <w:r w:rsidRPr="002740B4">
              <w:rPr>
                <w:noProof/>
                <w:webHidden/>
                <w:sz w:val="24"/>
                <w:szCs w:val="24"/>
              </w:rPr>
              <w:t>16</w:t>
            </w:r>
            <w:r w:rsidRPr="002740B4">
              <w:rPr>
                <w:noProof/>
                <w:webHidden/>
                <w:sz w:val="24"/>
                <w:szCs w:val="24"/>
              </w:rPr>
              <w:fldChar w:fldCharType="end"/>
            </w:r>
          </w:hyperlink>
        </w:p>
        <w:p w:rsidRPr="002740B4" w:rsidR="002740B4" w:rsidP="002740B4" w:rsidRDefault="002740B4" w14:paraId="05E4A927" w14:textId="738FAE72">
          <w:pPr>
            <w:pStyle w:val="TOC1"/>
            <w:tabs>
              <w:tab w:val="right" w:leader="dot" w:pos="9350"/>
            </w:tabs>
            <w:rPr>
              <w:rFonts w:cstheme="minorBidi"/>
              <w:noProof/>
              <w:kern w:val="2"/>
              <w:sz w:val="24"/>
              <w:szCs w:val="24"/>
              <w14:ligatures w14:val="standardContextual"/>
            </w:rPr>
          </w:pPr>
          <w:hyperlink w:history="1" w:anchor="_Toc228532651">
            <w:r w:rsidRPr="002740B4">
              <w:rPr>
                <w:rStyle w:val="Hyperlink"/>
                <w:noProof/>
                <w:sz w:val="24"/>
                <w:szCs w:val="24"/>
              </w:rPr>
              <w:t>9.</w:t>
            </w:r>
            <w:r w:rsidRPr="002740B4">
              <w:rPr>
                <w:rFonts w:cstheme="minorBidi"/>
                <w:noProof/>
                <w:kern w:val="2"/>
                <w:sz w:val="24"/>
                <w:szCs w:val="24"/>
                <w14:ligatures w14:val="standardContextual"/>
              </w:rPr>
              <w:tab/>
            </w:r>
            <w:r w:rsidRPr="002740B4">
              <w:rPr>
                <w:rStyle w:val="Hyperlink"/>
                <w:noProof/>
                <w:sz w:val="24"/>
                <w:szCs w:val="24"/>
              </w:rPr>
              <w:t>CPCN Criteria</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_Toc228532651 \h </w:instrText>
            </w:r>
            <w:r w:rsidRPr="002740B4">
              <w:rPr>
                <w:noProof/>
                <w:webHidden/>
                <w:sz w:val="24"/>
                <w:szCs w:val="24"/>
              </w:rPr>
            </w:r>
            <w:r w:rsidRPr="002740B4">
              <w:rPr>
                <w:noProof/>
                <w:webHidden/>
                <w:sz w:val="24"/>
                <w:szCs w:val="24"/>
              </w:rPr>
              <w:fldChar w:fldCharType="separate"/>
            </w:r>
            <w:r w:rsidRPr="002740B4">
              <w:rPr>
                <w:noProof/>
                <w:webHidden/>
                <w:sz w:val="24"/>
                <w:szCs w:val="24"/>
              </w:rPr>
              <w:t>17</w:t>
            </w:r>
            <w:r w:rsidRPr="002740B4">
              <w:rPr>
                <w:noProof/>
                <w:webHidden/>
                <w:sz w:val="24"/>
                <w:szCs w:val="24"/>
              </w:rPr>
              <w:fldChar w:fldCharType="end"/>
            </w:r>
          </w:hyperlink>
        </w:p>
        <w:p w:rsidRPr="002740B4" w:rsidR="002740B4" w:rsidP="00C77718" w:rsidRDefault="002740B4" w14:paraId="303A03E7" w14:textId="0B1FD90C">
          <w:pPr>
            <w:pStyle w:val="TOC2"/>
            <w:tabs>
              <w:tab w:val="right" w:leader="dot" w:pos="9350"/>
            </w:tabs>
            <w:rPr>
              <w:rFonts w:cstheme="minorBidi"/>
              <w:noProof/>
              <w:kern w:val="2"/>
              <w:sz w:val="24"/>
              <w:szCs w:val="24"/>
              <w14:ligatures w14:val="standardContextual"/>
            </w:rPr>
          </w:pPr>
          <w:hyperlink w:history="1" w:anchor="_Toc228532652">
            <w:r w:rsidRPr="002740B4">
              <w:rPr>
                <w:rStyle w:val="Hyperlink"/>
                <w:noProof/>
                <w:sz w:val="24"/>
                <w:szCs w:val="24"/>
              </w:rPr>
              <w:t>9.1</w:t>
            </w:r>
            <w:r w:rsidRPr="002740B4">
              <w:rPr>
                <w:rFonts w:cstheme="minorBidi"/>
                <w:noProof/>
                <w:kern w:val="2"/>
                <w:sz w:val="24"/>
                <w:szCs w:val="24"/>
                <w14:ligatures w14:val="standardContextual"/>
              </w:rPr>
              <w:tab/>
            </w:r>
            <w:r w:rsidRPr="002740B4">
              <w:rPr>
                <w:rStyle w:val="Hyperlink"/>
                <w:noProof/>
                <w:sz w:val="24"/>
                <w:szCs w:val="24"/>
              </w:rPr>
              <w:t>Financial Qualifications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_Toc228532652 \h </w:instrText>
            </w:r>
            <w:r w:rsidRPr="002740B4">
              <w:rPr>
                <w:noProof/>
                <w:webHidden/>
                <w:sz w:val="24"/>
                <w:szCs w:val="24"/>
              </w:rPr>
            </w:r>
            <w:r w:rsidRPr="002740B4">
              <w:rPr>
                <w:noProof/>
                <w:webHidden/>
                <w:sz w:val="24"/>
                <w:szCs w:val="24"/>
              </w:rPr>
              <w:fldChar w:fldCharType="separate"/>
            </w:r>
            <w:r w:rsidRPr="002740B4">
              <w:rPr>
                <w:noProof/>
                <w:webHidden/>
                <w:sz w:val="24"/>
                <w:szCs w:val="24"/>
              </w:rPr>
              <w:t>17</w:t>
            </w:r>
            <w:r w:rsidRPr="002740B4">
              <w:rPr>
                <w:noProof/>
                <w:webHidden/>
                <w:sz w:val="24"/>
                <w:szCs w:val="24"/>
              </w:rPr>
              <w:fldChar w:fldCharType="end"/>
            </w:r>
          </w:hyperlink>
        </w:p>
        <w:p w:rsidRPr="002740B4" w:rsidR="002740B4" w:rsidP="00C77718" w:rsidRDefault="002740B4" w14:paraId="3CB47A61" w14:textId="3F756567">
          <w:pPr>
            <w:pStyle w:val="TOC2"/>
            <w:tabs>
              <w:tab w:val="right" w:leader="dot" w:pos="9350"/>
            </w:tabs>
            <w:rPr>
              <w:rFonts w:cstheme="minorBidi"/>
              <w:noProof/>
              <w:kern w:val="2"/>
              <w:sz w:val="24"/>
              <w:szCs w:val="24"/>
              <w14:ligatures w14:val="standardContextual"/>
            </w:rPr>
          </w:pPr>
          <w:hyperlink w:history="1" w:anchor="_Toc228532653">
            <w:r w:rsidRPr="002740B4">
              <w:rPr>
                <w:rStyle w:val="Hyperlink"/>
                <w:noProof/>
                <w:sz w:val="24"/>
                <w:szCs w:val="24"/>
              </w:rPr>
              <w:t>9.2</w:t>
            </w:r>
            <w:r w:rsidRPr="002740B4">
              <w:rPr>
                <w:rFonts w:cstheme="minorBidi"/>
                <w:noProof/>
                <w:kern w:val="2"/>
                <w:sz w:val="24"/>
                <w:szCs w:val="24"/>
                <w14:ligatures w14:val="standardContextual"/>
              </w:rPr>
              <w:tab/>
            </w:r>
            <w:r w:rsidRPr="002740B4">
              <w:rPr>
                <w:rStyle w:val="Hyperlink"/>
                <w:noProof/>
                <w:sz w:val="24"/>
                <w:szCs w:val="24"/>
              </w:rPr>
              <w:t>Technical Qualifications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_Toc228532653 \h </w:instrText>
            </w:r>
            <w:r w:rsidRPr="002740B4">
              <w:rPr>
                <w:noProof/>
                <w:webHidden/>
                <w:sz w:val="24"/>
                <w:szCs w:val="24"/>
              </w:rPr>
            </w:r>
            <w:r w:rsidRPr="002740B4">
              <w:rPr>
                <w:noProof/>
                <w:webHidden/>
                <w:sz w:val="24"/>
                <w:szCs w:val="24"/>
              </w:rPr>
              <w:fldChar w:fldCharType="separate"/>
            </w:r>
            <w:r w:rsidRPr="002740B4">
              <w:rPr>
                <w:noProof/>
                <w:webHidden/>
                <w:sz w:val="24"/>
                <w:szCs w:val="24"/>
              </w:rPr>
              <w:t>18</w:t>
            </w:r>
            <w:r w:rsidRPr="002740B4">
              <w:rPr>
                <w:noProof/>
                <w:webHidden/>
                <w:sz w:val="24"/>
                <w:szCs w:val="24"/>
              </w:rPr>
              <w:fldChar w:fldCharType="end"/>
            </w:r>
          </w:hyperlink>
        </w:p>
        <w:p w:rsidRPr="002740B4" w:rsidR="002740B4" w:rsidP="00C77718" w:rsidRDefault="002740B4" w14:paraId="72C79D52" w14:textId="7F6C791B">
          <w:pPr>
            <w:pStyle w:val="TOC2"/>
            <w:tabs>
              <w:tab w:val="right" w:leader="dot" w:pos="9350"/>
            </w:tabs>
            <w:rPr>
              <w:rFonts w:cstheme="minorBidi"/>
              <w:noProof/>
              <w:kern w:val="2"/>
              <w:sz w:val="24"/>
              <w:szCs w:val="24"/>
              <w14:ligatures w14:val="standardContextual"/>
            </w:rPr>
          </w:pPr>
          <w:hyperlink w:history="1" w:anchor="_Toc228532654">
            <w:r w:rsidRPr="002740B4">
              <w:rPr>
                <w:rStyle w:val="Hyperlink"/>
                <w:noProof/>
                <w:sz w:val="24"/>
                <w:szCs w:val="24"/>
              </w:rPr>
              <w:t>9.3</w:t>
            </w:r>
            <w:r w:rsidRPr="002740B4">
              <w:rPr>
                <w:rFonts w:cstheme="minorBidi"/>
                <w:noProof/>
                <w:kern w:val="2"/>
                <w:sz w:val="24"/>
                <w:szCs w:val="24"/>
                <w14:ligatures w14:val="standardContextual"/>
              </w:rPr>
              <w:tab/>
            </w:r>
            <w:r w:rsidRPr="002740B4">
              <w:rPr>
                <w:rStyle w:val="Hyperlink"/>
                <w:noProof/>
                <w:sz w:val="24"/>
                <w:szCs w:val="24"/>
              </w:rPr>
              <w:t>Certification Requirements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_Toc228532654 \h </w:instrText>
            </w:r>
            <w:r w:rsidRPr="002740B4">
              <w:rPr>
                <w:noProof/>
                <w:webHidden/>
                <w:sz w:val="24"/>
                <w:szCs w:val="24"/>
              </w:rPr>
            </w:r>
            <w:r w:rsidRPr="002740B4">
              <w:rPr>
                <w:noProof/>
                <w:webHidden/>
                <w:sz w:val="24"/>
                <w:szCs w:val="24"/>
              </w:rPr>
              <w:fldChar w:fldCharType="separate"/>
            </w:r>
            <w:r w:rsidRPr="002740B4">
              <w:rPr>
                <w:noProof/>
                <w:webHidden/>
                <w:sz w:val="24"/>
                <w:szCs w:val="24"/>
              </w:rPr>
              <w:t>18</w:t>
            </w:r>
            <w:r w:rsidRPr="002740B4">
              <w:rPr>
                <w:noProof/>
                <w:webHidden/>
                <w:sz w:val="24"/>
                <w:szCs w:val="24"/>
              </w:rPr>
              <w:fldChar w:fldCharType="end"/>
            </w:r>
          </w:hyperlink>
        </w:p>
        <w:p w:rsidRPr="002740B4" w:rsidR="002740B4" w:rsidP="002740B4" w:rsidRDefault="002740B4" w14:paraId="6EEB5AEE" w14:textId="5D9863AA">
          <w:pPr>
            <w:pStyle w:val="TOC1"/>
            <w:tabs>
              <w:tab w:val="right" w:leader="dot" w:pos="9350"/>
            </w:tabs>
            <w:rPr>
              <w:rFonts w:cstheme="minorBidi"/>
              <w:noProof/>
              <w:kern w:val="2"/>
              <w:sz w:val="24"/>
              <w:szCs w:val="24"/>
              <w14:ligatures w14:val="standardContextual"/>
            </w:rPr>
          </w:pPr>
          <w:hyperlink w:history="1" w:anchor="_Toc228532655">
            <w:r w:rsidRPr="002740B4">
              <w:rPr>
                <w:rStyle w:val="Hyperlink"/>
                <w:noProof/>
                <w:sz w:val="24"/>
                <w:szCs w:val="24"/>
              </w:rPr>
              <w:t>10.</w:t>
            </w:r>
            <w:r w:rsidRPr="002740B4">
              <w:rPr>
                <w:rFonts w:cstheme="minorBidi"/>
                <w:noProof/>
                <w:kern w:val="2"/>
                <w:sz w:val="24"/>
                <w:szCs w:val="24"/>
                <w14:ligatures w14:val="standardContextual"/>
              </w:rPr>
              <w:tab/>
            </w:r>
            <w:r w:rsidRPr="002740B4">
              <w:rPr>
                <w:rStyle w:val="Hyperlink"/>
                <w:noProof/>
                <w:sz w:val="24"/>
                <w:szCs w:val="24"/>
              </w:rPr>
              <w:t>CEQA</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_Toc228532655 \h </w:instrText>
            </w:r>
            <w:r w:rsidRPr="002740B4">
              <w:rPr>
                <w:noProof/>
                <w:webHidden/>
                <w:sz w:val="24"/>
                <w:szCs w:val="24"/>
              </w:rPr>
            </w:r>
            <w:r w:rsidRPr="002740B4">
              <w:rPr>
                <w:noProof/>
                <w:webHidden/>
                <w:sz w:val="24"/>
                <w:szCs w:val="24"/>
              </w:rPr>
              <w:fldChar w:fldCharType="separate"/>
            </w:r>
            <w:r w:rsidRPr="002740B4">
              <w:rPr>
                <w:noProof/>
                <w:webHidden/>
                <w:sz w:val="24"/>
                <w:szCs w:val="24"/>
              </w:rPr>
              <w:t>21</w:t>
            </w:r>
            <w:r w:rsidRPr="002740B4">
              <w:rPr>
                <w:noProof/>
                <w:webHidden/>
                <w:sz w:val="24"/>
                <w:szCs w:val="24"/>
              </w:rPr>
              <w:fldChar w:fldCharType="end"/>
            </w:r>
          </w:hyperlink>
        </w:p>
        <w:p w:rsidRPr="002740B4" w:rsidR="002740B4" w:rsidP="00C77718" w:rsidRDefault="002740B4" w14:paraId="560C5E50" w14:textId="055D8765">
          <w:pPr>
            <w:pStyle w:val="TOC1"/>
            <w:tabs>
              <w:tab w:val="right" w:leader="dot" w:pos="9350"/>
            </w:tabs>
            <w:rPr>
              <w:rFonts w:cstheme="minorBidi"/>
              <w:noProof/>
              <w:kern w:val="2"/>
              <w:sz w:val="24"/>
              <w:szCs w:val="24"/>
              <w14:ligatures w14:val="standardContextual"/>
            </w:rPr>
          </w:pPr>
          <w:hyperlink w:history="1" w:anchor="_Toc228532656">
            <w:r w:rsidRPr="002740B4">
              <w:rPr>
                <w:rStyle w:val="Hyperlink"/>
                <w:noProof/>
                <w:sz w:val="24"/>
                <w:szCs w:val="24"/>
              </w:rPr>
              <w:t>11.</w:t>
            </w:r>
            <w:r w:rsidRPr="002740B4">
              <w:rPr>
                <w:rFonts w:cstheme="minorBidi"/>
                <w:noProof/>
                <w:kern w:val="2"/>
                <w:sz w:val="24"/>
                <w:szCs w:val="24"/>
                <w14:ligatures w14:val="standardContextual"/>
              </w:rPr>
              <w:tab/>
            </w:r>
            <w:r w:rsidRPr="002740B4">
              <w:rPr>
                <w:rStyle w:val="Hyperlink"/>
                <w:noProof/>
                <w:sz w:val="24"/>
                <w:szCs w:val="24"/>
              </w:rPr>
              <w:t>Alignment with Commission’s Environmental and Social Justice Plan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_Toc228532656 \h </w:instrText>
            </w:r>
            <w:r w:rsidRPr="002740B4">
              <w:rPr>
                <w:noProof/>
                <w:webHidden/>
                <w:sz w:val="24"/>
                <w:szCs w:val="24"/>
              </w:rPr>
            </w:r>
            <w:r w:rsidRPr="002740B4">
              <w:rPr>
                <w:noProof/>
                <w:webHidden/>
                <w:sz w:val="24"/>
                <w:szCs w:val="24"/>
              </w:rPr>
              <w:fldChar w:fldCharType="separate"/>
            </w:r>
            <w:r w:rsidRPr="002740B4">
              <w:rPr>
                <w:noProof/>
                <w:webHidden/>
                <w:sz w:val="24"/>
                <w:szCs w:val="24"/>
              </w:rPr>
              <w:t>22</w:t>
            </w:r>
            <w:r w:rsidRPr="002740B4">
              <w:rPr>
                <w:noProof/>
                <w:webHidden/>
                <w:sz w:val="24"/>
                <w:szCs w:val="24"/>
              </w:rPr>
              <w:fldChar w:fldCharType="end"/>
            </w:r>
          </w:hyperlink>
        </w:p>
        <w:p w:rsidRPr="002740B4" w:rsidR="002740B4" w:rsidP="00C77718" w:rsidRDefault="002740B4" w14:paraId="338AF4A9" w14:textId="0F33E125">
          <w:pPr>
            <w:pStyle w:val="TOC1"/>
            <w:tabs>
              <w:tab w:val="right" w:leader="dot" w:pos="9350"/>
            </w:tabs>
            <w:rPr>
              <w:rFonts w:cstheme="minorBidi"/>
              <w:noProof/>
              <w:kern w:val="2"/>
              <w:sz w:val="24"/>
              <w:szCs w:val="24"/>
              <w14:ligatures w14:val="standardContextual"/>
            </w:rPr>
          </w:pPr>
          <w:hyperlink w:history="1" w:anchor="_Toc228532657">
            <w:r w:rsidRPr="002740B4">
              <w:rPr>
                <w:rStyle w:val="Hyperlink"/>
                <w:noProof/>
                <w:sz w:val="24"/>
                <w:szCs w:val="24"/>
              </w:rPr>
              <w:t>12.</w:t>
            </w:r>
            <w:r w:rsidRPr="002740B4">
              <w:rPr>
                <w:rFonts w:cstheme="minorBidi"/>
                <w:noProof/>
                <w:kern w:val="2"/>
                <w:sz w:val="24"/>
                <w:szCs w:val="24"/>
                <w14:ligatures w14:val="standardContextual"/>
              </w:rPr>
              <w:tab/>
            </w:r>
            <w:r w:rsidRPr="002740B4">
              <w:rPr>
                <w:rStyle w:val="Hyperlink"/>
                <w:noProof/>
                <w:sz w:val="24"/>
                <w:szCs w:val="24"/>
              </w:rPr>
              <w:t>Conditions of Approval</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_Toc228532657 \h </w:instrText>
            </w:r>
            <w:r w:rsidRPr="002740B4">
              <w:rPr>
                <w:noProof/>
                <w:webHidden/>
                <w:sz w:val="24"/>
                <w:szCs w:val="24"/>
              </w:rPr>
            </w:r>
            <w:r w:rsidRPr="002740B4">
              <w:rPr>
                <w:noProof/>
                <w:webHidden/>
                <w:sz w:val="24"/>
                <w:szCs w:val="24"/>
              </w:rPr>
              <w:fldChar w:fldCharType="separate"/>
            </w:r>
            <w:r w:rsidRPr="002740B4">
              <w:rPr>
                <w:noProof/>
                <w:webHidden/>
                <w:sz w:val="24"/>
                <w:szCs w:val="24"/>
              </w:rPr>
              <w:t>23</w:t>
            </w:r>
            <w:r w:rsidRPr="002740B4">
              <w:rPr>
                <w:noProof/>
                <w:webHidden/>
                <w:sz w:val="24"/>
                <w:szCs w:val="24"/>
              </w:rPr>
              <w:fldChar w:fldCharType="end"/>
            </w:r>
          </w:hyperlink>
        </w:p>
        <w:p w:rsidRPr="002740B4" w:rsidR="002740B4" w:rsidP="00C77718" w:rsidRDefault="002740B4" w14:paraId="74D8C9D0" w14:textId="436FA5F0">
          <w:pPr>
            <w:pStyle w:val="TOC2"/>
            <w:tabs>
              <w:tab w:val="right" w:leader="dot" w:pos="9350"/>
            </w:tabs>
            <w:rPr>
              <w:rFonts w:cstheme="minorBidi"/>
              <w:noProof/>
              <w:kern w:val="2"/>
              <w:sz w:val="24"/>
              <w:szCs w:val="24"/>
              <w14:ligatures w14:val="standardContextual"/>
            </w:rPr>
          </w:pPr>
          <w:hyperlink w:history="1" w:anchor="_Toc228532658">
            <w:r w:rsidRPr="002740B4">
              <w:rPr>
                <w:rStyle w:val="Hyperlink"/>
                <w:noProof/>
                <w:sz w:val="24"/>
                <w:szCs w:val="24"/>
              </w:rPr>
              <w:t>12.1</w:t>
            </w:r>
            <w:r w:rsidRPr="002740B4">
              <w:rPr>
                <w:rFonts w:cstheme="minorBidi"/>
                <w:noProof/>
                <w:kern w:val="2"/>
                <w:sz w:val="24"/>
                <w:szCs w:val="24"/>
                <w14:ligatures w14:val="standardContextual"/>
              </w:rPr>
              <w:tab/>
            </w:r>
            <w:r w:rsidRPr="002740B4">
              <w:rPr>
                <w:rStyle w:val="Hyperlink"/>
                <w:noProof/>
                <w:sz w:val="24"/>
                <w:szCs w:val="24"/>
              </w:rPr>
              <w:t>Reporting Conditions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_Toc228532658 \h </w:instrText>
            </w:r>
            <w:r w:rsidRPr="002740B4">
              <w:rPr>
                <w:noProof/>
                <w:webHidden/>
                <w:sz w:val="24"/>
                <w:szCs w:val="24"/>
              </w:rPr>
            </w:r>
            <w:r w:rsidRPr="002740B4">
              <w:rPr>
                <w:noProof/>
                <w:webHidden/>
                <w:sz w:val="24"/>
                <w:szCs w:val="24"/>
              </w:rPr>
              <w:fldChar w:fldCharType="separate"/>
            </w:r>
            <w:r w:rsidRPr="002740B4">
              <w:rPr>
                <w:noProof/>
                <w:webHidden/>
                <w:sz w:val="24"/>
                <w:szCs w:val="24"/>
              </w:rPr>
              <w:t>24</w:t>
            </w:r>
            <w:r w:rsidRPr="002740B4">
              <w:rPr>
                <w:noProof/>
                <w:webHidden/>
                <w:sz w:val="24"/>
                <w:szCs w:val="24"/>
              </w:rPr>
              <w:fldChar w:fldCharType="end"/>
            </w:r>
          </w:hyperlink>
        </w:p>
        <w:p w:rsidRPr="002740B4" w:rsidR="002740B4" w:rsidP="00C77718" w:rsidRDefault="002740B4" w14:paraId="3BC32946" w14:textId="34FE9B94">
          <w:pPr>
            <w:pStyle w:val="TOC2"/>
            <w:tabs>
              <w:tab w:val="right" w:leader="dot" w:pos="9350"/>
            </w:tabs>
            <w:rPr>
              <w:rFonts w:cstheme="minorBidi"/>
              <w:noProof/>
              <w:kern w:val="2"/>
              <w:sz w:val="24"/>
              <w:szCs w:val="24"/>
              <w14:ligatures w14:val="standardContextual"/>
            </w:rPr>
          </w:pPr>
          <w:hyperlink w:history="1" w:anchor="_Toc228532659">
            <w:r w:rsidRPr="002740B4">
              <w:rPr>
                <w:rStyle w:val="Hyperlink"/>
                <w:noProof/>
                <w:sz w:val="24"/>
                <w:szCs w:val="24"/>
              </w:rPr>
              <w:t>12.2</w:t>
            </w:r>
            <w:r w:rsidRPr="002740B4">
              <w:rPr>
                <w:rFonts w:cstheme="minorBidi"/>
                <w:noProof/>
                <w:kern w:val="2"/>
                <w:sz w:val="24"/>
                <w:szCs w:val="24"/>
                <w14:ligatures w14:val="standardContextual"/>
              </w:rPr>
              <w:tab/>
            </w:r>
            <w:r w:rsidRPr="002740B4">
              <w:rPr>
                <w:rStyle w:val="Hyperlink"/>
                <w:noProof/>
                <w:sz w:val="24"/>
                <w:szCs w:val="24"/>
              </w:rPr>
              <w:t>Affordability Conditions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_Toc228532659 \h </w:instrText>
            </w:r>
            <w:r w:rsidRPr="002740B4">
              <w:rPr>
                <w:noProof/>
                <w:webHidden/>
                <w:sz w:val="24"/>
                <w:szCs w:val="24"/>
              </w:rPr>
            </w:r>
            <w:r w:rsidRPr="002740B4">
              <w:rPr>
                <w:noProof/>
                <w:webHidden/>
                <w:sz w:val="24"/>
                <w:szCs w:val="24"/>
              </w:rPr>
              <w:fldChar w:fldCharType="separate"/>
            </w:r>
            <w:r w:rsidRPr="002740B4">
              <w:rPr>
                <w:noProof/>
                <w:webHidden/>
                <w:sz w:val="24"/>
                <w:szCs w:val="24"/>
              </w:rPr>
              <w:t>27</w:t>
            </w:r>
            <w:r w:rsidRPr="002740B4">
              <w:rPr>
                <w:noProof/>
                <w:webHidden/>
                <w:sz w:val="24"/>
                <w:szCs w:val="24"/>
              </w:rPr>
              <w:fldChar w:fldCharType="end"/>
            </w:r>
          </w:hyperlink>
        </w:p>
        <w:p w:rsidRPr="002740B4" w:rsidR="002740B4" w:rsidP="00C77718" w:rsidRDefault="002740B4" w14:paraId="49132DE2" w14:textId="61FC5877">
          <w:pPr>
            <w:pStyle w:val="TOC2"/>
            <w:tabs>
              <w:tab w:val="right" w:leader="dot" w:pos="9350"/>
            </w:tabs>
            <w:rPr>
              <w:rFonts w:cstheme="minorBidi"/>
              <w:noProof/>
              <w:kern w:val="2"/>
              <w:sz w:val="24"/>
              <w:szCs w:val="24"/>
              <w14:ligatures w14:val="standardContextual"/>
            </w:rPr>
          </w:pPr>
          <w:hyperlink w:history="1" w:anchor="_Toc228532660">
            <w:r w:rsidRPr="002740B4">
              <w:rPr>
                <w:rStyle w:val="Hyperlink"/>
                <w:noProof/>
                <w:sz w:val="24"/>
                <w:szCs w:val="24"/>
              </w:rPr>
              <w:t>12.3</w:t>
            </w:r>
            <w:r w:rsidRPr="002740B4">
              <w:rPr>
                <w:rFonts w:cstheme="minorBidi"/>
                <w:noProof/>
                <w:kern w:val="2"/>
                <w:sz w:val="24"/>
                <w:szCs w:val="24"/>
                <w14:ligatures w14:val="standardContextual"/>
              </w:rPr>
              <w:tab/>
            </w:r>
            <w:r w:rsidRPr="002740B4">
              <w:rPr>
                <w:rStyle w:val="Hyperlink"/>
                <w:noProof/>
                <w:sz w:val="24"/>
                <w:szCs w:val="24"/>
              </w:rPr>
              <w:t>Privacy-Related Conditions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_Toc228532660 \h </w:instrText>
            </w:r>
            <w:r w:rsidRPr="002740B4">
              <w:rPr>
                <w:noProof/>
                <w:webHidden/>
                <w:sz w:val="24"/>
                <w:szCs w:val="24"/>
              </w:rPr>
            </w:r>
            <w:r w:rsidRPr="002740B4">
              <w:rPr>
                <w:noProof/>
                <w:webHidden/>
                <w:sz w:val="24"/>
                <w:szCs w:val="24"/>
              </w:rPr>
              <w:fldChar w:fldCharType="separate"/>
            </w:r>
            <w:r w:rsidRPr="002740B4">
              <w:rPr>
                <w:noProof/>
                <w:webHidden/>
                <w:sz w:val="24"/>
                <w:szCs w:val="24"/>
              </w:rPr>
              <w:t>27</w:t>
            </w:r>
            <w:r w:rsidRPr="002740B4">
              <w:rPr>
                <w:noProof/>
                <w:webHidden/>
                <w:sz w:val="24"/>
                <w:szCs w:val="24"/>
              </w:rPr>
              <w:fldChar w:fldCharType="end"/>
            </w:r>
          </w:hyperlink>
        </w:p>
        <w:p w:rsidRPr="002740B4" w:rsidR="002740B4" w:rsidP="00C77718" w:rsidRDefault="002740B4" w14:paraId="7FD40D91" w14:textId="6764EDEA">
          <w:pPr>
            <w:pStyle w:val="TOC1"/>
            <w:tabs>
              <w:tab w:val="right" w:leader="dot" w:pos="9350"/>
            </w:tabs>
            <w:rPr>
              <w:rFonts w:cstheme="minorBidi"/>
              <w:noProof/>
              <w:kern w:val="2"/>
              <w:sz w:val="24"/>
              <w:szCs w:val="24"/>
              <w14:ligatures w14:val="standardContextual"/>
            </w:rPr>
          </w:pPr>
          <w:hyperlink w:history="1" w:anchor="_Toc228532661">
            <w:r w:rsidRPr="002740B4">
              <w:rPr>
                <w:rStyle w:val="Hyperlink"/>
                <w:noProof/>
                <w:sz w:val="24"/>
                <w:szCs w:val="24"/>
              </w:rPr>
              <w:t>13.</w:t>
            </w:r>
            <w:r w:rsidRPr="002740B4">
              <w:rPr>
                <w:rFonts w:cstheme="minorBidi"/>
                <w:noProof/>
                <w:kern w:val="2"/>
                <w:sz w:val="24"/>
                <w:szCs w:val="24"/>
                <w14:ligatures w14:val="standardContextual"/>
              </w:rPr>
              <w:tab/>
            </w:r>
            <w:r w:rsidRPr="002740B4">
              <w:rPr>
                <w:rStyle w:val="Hyperlink"/>
                <w:noProof/>
                <w:sz w:val="24"/>
                <w:szCs w:val="24"/>
              </w:rPr>
              <w:t>Conclusion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_Toc228532661 \h </w:instrText>
            </w:r>
            <w:r w:rsidRPr="002740B4">
              <w:rPr>
                <w:noProof/>
                <w:webHidden/>
                <w:sz w:val="24"/>
                <w:szCs w:val="24"/>
              </w:rPr>
            </w:r>
            <w:r w:rsidRPr="002740B4">
              <w:rPr>
                <w:noProof/>
                <w:webHidden/>
                <w:sz w:val="24"/>
                <w:szCs w:val="24"/>
              </w:rPr>
              <w:fldChar w:fldCharType="separate"/>
            </w:r>
            <w:r w:rsidRPr="002740B4">
              <w:rPr>
                <w:noProof/>
                <w:webHidden/>
                <w:sz w:val="24"/>
                <w:szCs w:val="24"/>
              </w:rPr>
              <w:t>28</w:t>
            </w:r>
            <w:r w:rsidRPr="002740B4">
              <w:rPr>
                <w:noProof/>
                <w:webHidden/>
                <w:sz w:val="24"/>
                <w:szCs w:val="24"/>
              </w:rPr>
              <w:fldChar w:fldCharType="end"/>
            </w:r>
          </w:hyperlink>
        </w:p>
        <w:p w:rsidRPr="002740B4" w:rsidR="002740B4" w:rsidRDefault="002740B4" w14:paraId="0519650C" w14:textId="21C9B0FB">
          <w:pPr>
            <w:pStyle w:val="TOC1"/>
            <w:tabs>
              <w:tab w:val="right" w:leader="dot" w:pos="9350"/>
            </w:tabs>
            <w:rPr>
              <w:rFonts w:cstheme="minorBidi"/>
              <w:noProof/>
              <w:kern w:val="2"/>
              <w:sz w:val="24"/>
              <w:szCs w:val="24"/>
              <w14:ligatures w14:val="standardContextual"/>
            </w:rPr>
          </w:pPr>
          <w:hyperlink w:history="1" w:anchor="_Toc228532662">
            <w:r w:rsidRPr="002740B4">
              <w:rPr>
                <w:rStyle w:val="Hyperlink"/>
                <w:noProof/>
                <w:sz w:val="24"/>
                <w:szCs w:val="24"/>
              </w:rPr>
              <w:t>14.</w:t>
            </w:r>
            <w:r w:rsidRPr="002740B4">
              <w:rPr>
                <w:rFonts w:cstheme="minorBidi"/>
                <w:noProof/>
                <w:kern w:val="2"/>
                <w:sz w:val="24"/>
                <w:szCs w:val="24"/>
                <w14:ligatures w14:val="standardContextual"/>
              </w:rPr>
              <w:tab/>
            </w:r>
            <w:r w:rsidRPr="002740B4">
              <w:rPr>
                <w:rStyle w:val="Hyperlink"/>
                <w:noProof/>
                <w:sz w:val="24"/>
                <w:szCs w:val="24"/>
              </w:rPr>
              <w:t>Summary of Public Comment</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_Toc228532662 \h </w:instrText>
            </w:r>
            <w:r w:rsidRPr="002740B4">
              <w:rPr>
                <w:noProof/>
                <w:webHidden/>
                <w:sz w:val="24"/>
                <w:szCs w:val="24"/>
              </w:rPr>
            </w:r>
            <w:r w:rsidRPr="002740B4">
              <w:rPr>
                <w:noProof/>
                <w:webHidden/>
                <w:sz w:val="24"/>
                <w:szCs w:val="24"/>
              </w:rPr>
              <w:fldChar w:fldCharType="separate"/>
            </w:r>
            <w:r w:rsidRPr="002740B4">
              <w:rPr>
                <w:noProof/>
                <w:webHidden/>
                <w:sz w:val="24"/>
                <w:szCs w:val="24"/>
              </w:rPr>
              <w:t>28</w:t>
            </w:r>
            <w:r w:rsidRPr="002740B4">
              <w:rPr>
                <w:noProof/>
                <w:webHidden/>
                <w:sz w:val="24"/>
                <w:szCs w:val="24"/>
              </w:rPr>
              <w:fldChar w:fldCharType="end"/>
            </w:r>
          </w:hyperlink>
        </w:p>
        <w:p w:rsidRPr="002740B4" w:rsidR="002740B4" w:rsidRDefault="002740B4" w14:paraId="3A462A18" w14:textId="36B475BC">
          <w:pPr>
            <w:pStyle w:val="TOC1"/>
            <w:tabs>
              <w:tab w:val="right" w:leader="dot" w:pos="9350"/>
            </w:tabs>
            <w:rPr>
              <w:rFonts w:cstheme="minorBidi"/>
              <w:noProof/>
              <w:kern w:val="2"/>
              <w:sz w:val="24"/>
              <w:szCs w:val="24"/>
              <w14:ligatures w14:val="standardContextual"/>
            </w:rPr>
          </w:pPr>
          <w:hyperlink w:history="1" w:anchor="_Toc228532663">
            <w:r w:rsidRPr="002740B4">
              <w:rPr>
                <w:rStyle w:val="Hyperlink"/>
                <w:noProof/>
                <w:sz w:val="24"/>
                <w:szCs w:val="24"/>
              </w:rPr>
              <w:t>15.</w:t>
            </w:r>
            <w:r w:rsidRPr="002740B4">
              <w:rPr>
                <w:rFonts w:cstheme="minorBidi"/>
                <w:noProof/>
                <w:kern w:val="2"/>
                <w:sz w:val="24"/>
                <w:szCs w:val="24"/>
                <w14:ligatures w14:val="standardContextual"/>
              </w:rPr>
              <w:tab/>
            </w:r>
            <w:r w:rsidRPr="002740B4">
              <w:rPr>
                <w:rStyle w:val="Hyperlink"/>
                <w:noProof/>
                <w:sz w:val="24"/>
                <w:szCs w:val="24"/>
              </w:rPr>
              <w:t>Procedural Matters</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_Toc228532663 \h </w:instrText>
            </w:r>
            <w:r w:rsidRPr="002740B4">
              <w:rPr>
                <w:noProof/>
                <w:webHidden/>
                <w:sz w:val="24"/>
                <w:szCs w:val="24"/>
              </w:rPr>
            </w:r>
            <w:r w:rsidRPr="002740B4">
              <w:rPr>
                <w:noProof/>
                <w:webHidden/>
                <w:sz w:val="24"/>
                <w:szCs w:val="24"/>
              </w:rPr>
              <w:fldChar w:fldCharType="separate"/>
            </w:r>
            <w:r w:rsidRPr="002740B4">
              <w:rPr>
                <w:noProof/>
                <w:webHidden/>
                <w:sz w:val="24"/>
                <w:szCs w:val="24"/>
              </w:rPr>
              <w:t>28</w:t>
            </w:r>
            <w:r w:rsidRPr="002740B4">
              <w:rPr>
                <w:noProof/>
                <w:webHidden/>
                <w:sz w:val="24"/>
                <w:szCs w:val="24"/>
              </w:rPr>
              <w:fldChar w:fldCharType="end"/>
            </w:r>
          </w:hyperlink>
        </w:p>
        <w:p w:rsidRPr="002740B4" w:rsidR="002740B4" w:rsidRDefault="002740B4" w14:paraId="30C99F0E" w14:textId="070B311E">
          <w:pPr>
            <w:pStyle w:val="TOC1"/>
            <w:tabs>
              <w:tab w:val="right" w:leader="dot" w:pos="9350"/>
            </w:tabs>
            <w:rPr>
              <w:rFonts w:cstheme="minorBidi"/>
              <w:noProof/>
              <w:kern w:val="2"/>
              <w:sz w:val="24"/>
              <w:szCs w:val="24"/>
              <w14:ligatures w14:val="standardContextual"/>
            </w:rPr>
          </w:pPr>
          <w:hyperlink w:history="1" w:anchor="_Toc228532664">
            <w:r w:rsidRPr="002740B4">
              <w:rPr>
                <w:rStyle w:val="Hyperlink"/>
                <w:noProof/>
                <w:sz w:val="24"/>
                <w:szCs w:val="24"/>
              </w:rPr>
              <w:t>16.</w:t>
            </w:r>
            <w:r w:rsidRPr="002740B4">
              <w:rPr>
                <w:rFonts w:cstheme="minorBidi"/>
                <w:noProof/>
                <w:kern w:val="2"/>
                <w:sz w:val="24"/>
                <w:szCs w:val="24"/>
                <w14:ligatures w14:val="standardContextual"/>
              </w:rPr>
              <w:tab/>
            </w:r>
            <w:r w:rsidRPr="002740B4">
              <w:rPr>
                <w:rStyle w:val="Hyperlink"/>
                <w:noProof/>
                <w:sz w:val="24"/>
                <w:szCs w:val="24"/>
              </w:rPr>
              <w:t>Comments on Proposed Decision</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_Toc228532664 \h </w:instrText>
            </w:r>
            <w:r w:rsidRPr="002740B4">
              <w:rPr>
                <w:noProof/>
                <w:webHidden/>
                <w:sz w:val="24"/>
                <w:szCs w:val="24"/>
              </w:rPr>
            </w:r>
            <w:r w:rsidRPr="002740B4">
              <w:rPr>
                <w:noProof/>
                <w:webHidden/>
                <w:sz w:val="24"/>
                <w:szCs w:val="24"/>
              </w:rPr>
              <w:fldChar w:fldCharType="separate"/>
            </w:r>
            <w:r w:rsidRPr="002740B4">
              <w:rPr>
                <w:noProof/>
                <w:webHidden/>
                <w:sz w:val="24"/>
                <w:szCs w:val="24"/>
              </w:rPr>
              <w:t>30</w:t>
            </w:r>
            <w:r w:rsidRPr="002740B4">
              <w:rPr>
                <w:noProof/>
                <w:webHidden/>
                <w:sz w:val="24"/>
                <w:szCs w:val="24"/>
              </w:rPr>
              <w:fldChar w:fldCharType="end"/>
            </w:r>
          </w:hyperlink>
        </w:p>
        <w:p w:rsidRPr="002740B4" w:rsidR="002740B4" w:rsidRDefault="002740B4" w14:paraId="41E7A8BD" w14:textId="57F09538">
          <w:pPr>
            <w:pStyle w:val="TOC1"/>
            <w:tabs>
              <w:tab w:val="right" w:leader="dot" w:pos="9350"/>
            </w:tabs>
            <w:rPr>
              <w:rFonts w:cstheme="minorBidi"/>
              <w:noProof/>
              <w:kern w:val="2"/>
              <w:sz w:val="24"/>
              <w:szCs w:val="24"/>
              <w14:ligatures w14:val="standardContextual"/>
            </w:rPr>
          </w:pPr>
          <w:hyperlink w:history="1" w:anchor="_Toc228532665">
            <w:r w:rsidRPr="002740B4">
              <w:rPr>
                <w:rStyle w:val="Hyperlink"/>
                <w:noProof/>
                <w:sz w:val="24"/>
                <w:szCs w:val="24"/>
              </w:rPr>
              <w:t>17.</w:t>
            </w:r>
            <w:r w:rsidRPr="002740B4">
              <w:rPr>
                <w:rFonts w:cstheme="minorBidi"/>
                <w:noProof/>
                <w:kern w:val="2"/>
                <w:sz w:val="24"/>
                <w:szCs w:val="24"/>
                <w14:ligatures w14:val="standardContextual"/>
              </w:rPr>
              <w:tab/>
            </w:r>
            <w:r w:rsidRPr="002740B4">
              <w:rPr>
                <w:rStyle w:val="Hyperlink"/>
                <w:noProof/>
                <w:sz w:val="24"/>
                <w:szCs w:val="24"/>
              </w:rPr>
              <w:t>Assignment of Proceeding</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_Toc228532665 \h </w:instrText>
            </w:r>
            <w:r w:rsidRPr="002740B4">
              <w:rPr>
                <w:noProof/>
                <w:webHidden/>
                <w:sz w:val="24"/>
                <w:szCs w:val="24"/>
              </w:rPr>
            </w:r>
            <w:r w:rsidRPr="002740B4">
              <w:rPr>
                <w:noProof/>
                <w:webHidden/>
                <w:sz w:val="24"/>
                <w:szCs w:val="24"/>
              </w:rPr>
              <w:fldChar w:fldCharType="separate"/>
            </w:r>
            <w:r w:rsidRPr="002740B4">
              <w:rPr>
                <w:noProof/>
                <w:webHidden/>
                <w:sz w:val="24"/>
                <w:szCs w:val="24"/>
              </w:rPr>
              <w:t>30</w:t>
            </w:r>
            <w:r w:rsidRPr="002740B4">
              <w:rPr>
                <w:noProof/>
                <w:webHidden/>
                <w:sz w:val="24"/>
                <w:szCs w:val="24"/>
              </w:rPr>
              <w:fldChar w:fldCharType="end"/>
            </w:r>
          </w:hyperlink>
        </w:p>
        <w:p w:rsidRPr="002740B4" w:rsidR="002740B4" w:rsidRDefault="002740B4" w14:paraId="6F412D87" w14:textId="6E35DC1F">
          <w:pPr>
            <w:pStyle w:val="TOC1"/>
            <w:tabs>
              <w:tab w:val="right" w:leader="dot" w:pos="9350"/>
            </w:tabs>
            <w:rPr>
              <w:rFonts w:cstheme="minorBidi"/>
              <w:noProof/>
              <w:kern w:val="2"/>
              <w:sz w:val="24"/>
              <w:szCs w:val="24"/>
              <w14:ligatures w14:val="standardContextual"/>
            </w:rPr>
          </w:pPr>
          <w:hyperlink w:history="1" w:anchor="_Toc228532666">
            <w:r w:rsidRPr="002740B4">
              <w:rPr>
                <w:rStyle w:val="Hyperlink"/>
                <w:noProof/>
                <w:sz w:val="24"/>
                <w:szCs w:val="24"/>
              </w:rPr>
              <w:t>Findings of Fact</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_Toc228532666 \h </w:instrText>
            </w:r>
            <w:r w:rsidRPr="002740B4">
              <w:rPr>
                <w:noProof/>
                <w:webHidden/>
                <w:sz w:val="24"/>
                <w:szCs w:val="24"/>
              </w:rPr>
            </w:r>
            <w:r w:rsidRPr="002740B4">
              <w:rPr>
                <w:noProof/>
                <w:webHidden/>
                <w:sz w:val="24"/>
                <w:szCs w:val="24"/>
              </w:rPr>
              <w:fldChar w:fldCharType="separate"/>
            </w:r>
            <w:r w:rsidRPr="002740B4">
              <w:rPr>
                <w:noProof/>
                <w:webHidden/>
                <w:sz w:val="24"/>
                <w:szCs w:val="24"/>
              </w:rPr>
              <w:t>30</w:t>
            </w:r>
            <w:r w:rsidRPr="002740B4">
              <w:rPr>
                <w:noProof/>
                <w:webHidden/>
                <w:sz w:val="24"/>
                <w:szCs w:val="24"/>
              </w:rPr>
              <w:fldChar w:fldCharType="end"/>
            </w:r>
          </w:hyperlink>
        </w:p>
        <w:p w:rsidRPr="002740B4" w:rsidR="002740B4" w:rsidRDefault="002740B4" w14:paraId="327C9033" w14:textId="7E9E9544">
          <w:pPr>
            <w:pStyle w:val="TOC1"/>
            <w:tabs>
              <w:tab w:val="right" w:leader="dot" w:pos="9350"/>
            </w:tabs>
            <w:rPr>
              <w:rFonts w:cstheme="minorBidi"/>
              <w:noProof/>
              <w:kern w:val="2"/>
              <w:sz w:val="24"/>
              <w:szCs w:val="24"/>
              <w14:ligatures w14:val="standardContextual"/>
            </w:rPr>
          </w:pPr>
          <w:hyperlink w:history="1" w:anchor="_Toc228532667">
            <w:r w:rsidRPr="002740B4">
              <w:rPr>
                <w:rStyle w:val="Hyperlink"/>
                <w:noProof/>
                <w:sz w:val="24"/>
                <w:szCs w:val="24"/>
              </w:rPr>
              <w:t>Conclusions of Law</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_Toc228532667 \h </w:instrText>
            </w:r>
            <w:r w:rsidRPr="002740B4">
              <w:rPr>
                <w:noProof/>
                <w:webHidden/>
                <w:sz w:val="24"/>
                <w:szCs w:val="24"/>
              </w:rPr>
            </w:r>
            <w:r w:rsidRPr="002740B4">
              <w:rPr>
                <w:noProof/>
                <w:webHidden/>
                <w:sz w:val="24"/>
                <w:szCs w:val="24"/>
              </w:rPr>
              <w:fldChar w:fldCharType="separate"/>
            </w:r>
            <w:r w:rsidRPr="002740B4">
              <w:rPr>
                <w:noProof/>
                <w:webHidden/>
                <w:sz w:val="24"/>
                <w:szCs w:val="24"/>
              </w:rPr>
              <w:t>34</w:t>
            </w:r>
            <w:r w:rsidRPr="002740B4">
              <w:rPr>
                <w:noProof/>
                <w:webHidden/>
                <w:sz w:val="24"/>
                <w:szCs w:val="24"/>
              </w:rPr>
              <w:fldChar w:fldCharType="end"/>
            </w:r>
          </w:hyperlink>
        </w:p>
        <w:p w:rsidRPr="002740B4" w:rsidR="002740B4" w:rsidRDefault="002740B4" w14:paraId="6FB4CD9D" w14:textId="0EA752CA">
          <w:pPr>
            <w:pStyle w:val="TOC1"/>
            <w:tabs>
              <w:tab w:val="right" w:leader="dot" w:pos="9350"/>
            </w:tabs>
            <w:rPr>
              <w:rFonts w:cstheme="minorBidi"/>
              <w:noProof/>
              <w:kern w:val="2"/>
              <w:sz w:val="24"/>
              <w:szCs w:val="24"/>
              <w14:ligatures w14:val="standardContextual"/>
            </w:rPr>
          </w:pPr>
          <w:hyperlink w:history="1" w:anchor="_Toc228532668">
            <w:r w:rsidRPr="002740B4">
              <w:rPr>
                <w:rStyle w:val="Hyperlink"/>
                <w:noProof/>
                <w:sz w:val="24"/>
                <w:szCs w:val="24"/>
              </w:rPr>
              <w:t>ORDER</w:t>
            </w:r>
            <w:r w:rsidRPr="002740B4">
              <w:rPr>
                <w:noProof/>
                <w:webHidden/>
                <w:sz w:val="24"/>
                <w:szCs w:val="24"/>
              </w:rPr>
              <w:tab/>
            </w:r>
            <w:r w:rsidRPr="002740B4">
              <w:rPr>
                <w:noProof/>
                <w:webHidden/>
                <w:sz w:val="24"/>
                <w:szCs w:val="24"/>
              </w:rPr>
              <w:fldChar w:fldCharType="begin"/>
            </w:r>
            <w:r w:rsidRPr="002740B4">
              <w:rPr>
                <w:noProof/>
                <w:webHidden/>
                <w:sz w:val="24"/>
                <w:szCs w:val="24"/>
              </w:rPr>
              <w:instrText xml:space="preserve"> PAGEREF _Toc228532668 \h </w:instrText>
            </w:r>
            <w:r w:rsidRPr="002740B4">
              <w:rPr>
                <w:noProof/>
                <w:webHidden/>
                <w:sz w:val="24"/>
                <w:szCs w:val="24"/>
              </w:rPr>
            </w:r>
            <w:r w:rsidRPr="002740B4">
              <w:rPr>
                <w:noProof/>
                <w:webHidden/>
                <w:sz w:val="24"/>
                <w:szCs w:val="24"/>
              </w:rPr>
              <w:fldChar w:fldCharType="separate"/>
            </w:r>
            <w:r w:rsidRPr="002740B4">
              <w:rPr>
                <w:noProof/>
                <w:webHidden/>
                <w:sz w:val="24"/>
                <w:szCs w:val="24"/>
              </w:rPr>
              <w:t>35</w:t>
            </w:r>
            <w:r w:rsidRPr="002740B4">
              <w:rPr>
                <w:noProof/>
                <w:webHidden/>
                <w:sz w:val="24"/>
                <w:szCs w:val="24"/>
              </w:rPr>
              <w:fldChar w:fldCharType="end"/>
            </w:r>
          </w:hyperlink>
        </w:p>
        <w:p w:rsidRPr="00C77718" w:rsidR="005D5DCB" w:rsidP="005D5DCB" w:rsidRDefault="008C7413" w14:paraId="7511D2ED" w14:textId="5E6376B5">
          <w:pPr>
            <w:pStyle w:val="TOC1"/>
            <w:tabs>
              <w:tab w:val="right" w:leader="dot" w:pos="9350"/>
            </w:tabs>
            <w:rPr>
              <w:sz w:val="23"/>
              <w:szCs w:val="23"/>
            </w:rPr>
          </w:pPr>
          <w:r w:rsidRPr="002740B4">
            <w:rPr>
              <w:sz w:val="24"/>
              <w:szCs w:val="24"/>
            </w:rPr>
            <w:fldChar w:fldCharType="end"/>
          </w:r>
          <w:r w:rsidRPr="00C77718" w:rsidR="005D5DCB">
            <w:rPr>
              <w:rFonts w:cs="Arial"/>
              <w:b/>
              <w:sz w:val="23"/>
              <w:szCs w:val="23"/>
            </w:rPr>
            <w:t>Appendix A</w:t>
          </w:r>
          <w:r w:rsidRPr="00C77718" w:rsidR="005D5DCB">
            <w:rPr>
              <w:rFonts w:cs="Arial"/>
              <w:sz w:val="23"/>
              <w:szCs w:val="23"/>
            </w:rPr>
            <w:t xml:space="preserve"> – Pre- and Post Transfer Organizational Charts</w:t>
          </w:r>
        </w:p>
      </w:sdtContent>
    </w:sdt>
    <w:p w:rsidRPr="002740B4" w:rsidR="002740B4" w:rsidP="002740B4" w:rsidRDefault="002740B4" w14:paraId="2DAA0A0B" w14:textId="77777777">
      <w:pPr>
        <w:sectPr w:rsidRPr="002740B4" w:rsidR="002740B4" w:rsidSect="00383151">
          <w:headerReference w:type="default" r:id="rId13"/>
          <w:footerReference w:type="default" r:id="rId14"/>
          <w:pgSz w:w="12240" w:h="15840"/>
          <w:pgMar w:top="1728" w:right="1440" w:bottom="1440" w:left="1440" w:header="720" w:footer="720" w:gutter="0"/>
          <w:pgNumType w:fmt="lowerRoman" w:start="1"/>
          <w:cols w:space="720"/>
          <w:docGrid w:linePitch="360"/>
        </w:sectPr>
      </w:pPr>
      <w:bookmarkStart w:name="_Toc227333428" w:id="5"/>
      <w:bookmarkStart w:name="_Toc8123714" w:id="6"/>
    </w:p>
    <w:p w:rsidR="00A70A93" w:rsidP="00A70A93" w:rsidRDefault="001879F4" w14:paraId="6A5CE836" w14:textId="77777777">
      <w:pPr>
        <w:pStyle w:val="Dummy"/>
        <w:spacing w:after="0"/>
        <w:jc w:val="center"/>
      </w:pPr>
      <w:bookmarkStart w:name="_Toc228532630" w:id="7"/>
      <w:r w:rsidRPr="006F58B0">
        <w:lastRenderedPageBreak/>
        <w:t xml:space="preserve">DECISION </w:t>
      </w:r>
      <w:r w:rsidRPr="001879F4">
        <w:t>APPROVING INDIRECT TRANSFER OF CONTROL</w:t>
      </w:r>
      <w:bookmarkEnd w:id="5"/>
      <w:bookmarkEnd w:id="7"/>
    </w:p>
    <w:p w:rsidR="00A70A93" w:rsidP="00A70A93" w:rsidRDefault="001879F4" w14:paraId="1E3C115C" w14:textId="77777777">
      <w:pPr>
        <w:pStyle w:val="Dummy"/>
        <w:spacing w:after="0"/>
        <w:jc w:val="center"/>
      </w:pPr>
      <w:bookmarkStart w:name="_Toc227333429" w:id="8"/>
      <w:bookmarkStart w:name="_Toc228532631" w:id="9"/>
      <w:r w:rsidRPr="001879F4">
        <w:t>OF SECURUS TECHNOLOGIES, LLC TO SCRS INTERMEDIATE</w:t>
      </w:r>
      <w:bookmarkEnd w:id="8"/>
      <w:bookmarkEnd w:id="9"/>
    </w:p>
    <w:p w:rsidRPr="006F58B0" w:rsidR="001879F4" w:rsidP="00A70A93" w:rsidRDefault="001879F4" w14:paraId="5E977F5C" w14:textId="75035E2D">
      <w:pPr>
        <w:pStyle w:val="Dummy"/>
        <w:spacing w:after="0" w:line="360" w:lineRule="auto"/>
        <w:jc w:val="center"/>
      </w:pPr>
      <w:bookmarkStart w:name="_Toc227333430" w:id="10"/>
      <w:bookmarkStart w:name="_Toc228532632" w:id="11"/>
      <w:r w:rsidRPr="001879F4">
        <w:t>HOLDING CORPORATION</w:t>
      </w:r>
      <w:r w:rsidRPr="00A70A93" w:rsidR="00A70A93">
        <w:rPr>
          <w:rFonts w:ascii="Book Antiqua" w:hAnsi="Book Antiqua" w:cstheme="minorBidi"/>
          <w:b w:val="0"/>
          <w:szCs w:val="22"/>
        </w:rPr>
        <w:t xml:space="preserve"> </w:t>
      </w:r>
      <w:r w:rsidRPr="00A70A93" w:rsidR="00A70A93">
        <w:t>SUBJECT TO CONDITION</w:t>
      </w:r>
      <w:bookmarkEnd w:id="10"/>
      <w:bookmarkEnd w:id="11"/>
    </w:p>
    <w:p w:rsidR="005A148C" w:rsidP="00A70A93" w:rsidRDefault="005A148C" w14:paraId="0EDC3F4C" w14:textId="77777777">
      <w:pPr>
        <w:pStyle w:val="Dummy"/>
        <w:spacing w:after="0" w:line="360" w:lineRule="auto"/>
      </w:pPr>
      <w:bookmarkStart w:name="_Toc228532633" w:id="12"/>
      <w:r>
        <w:t>Summary</w:t>
      </w:r>
      <w:bookmarkEnd w:id="6"/>
      <w:bookmarkEnd w:id="12"/>
    </w:p>
    <w:p w:rsidRPr="00F271E8" w:rsidR="005A148C" w:rsidP="006E6574" w:rsidRDefault="00145BBB" w14:paraId="3274ED0C" w14:textId="23DDC67E">
      <w:pPr>
        <w:pStyle w:val="Standard"/>
      </w:pPr>
      <w:r w:rsidRPr="00145BBB">
        <w:t xml:space="preserve">Pursuant to Public Utilities </w:t>
      </w:r>
      <w:r w:rsidRPr="009465D3">
        <w:t xml:space="preserve">Code Section 854(a), </w:t>
      </w:r>
      <w:r w:rsidRPr="000F1FE8">
        <w:t xml:space="preserve">this decision approves the joint application for transfer of indirect control of </w:t>
      </w:r>
      <w:r w:rsidRPr="000F1FE8" w:rsidR="00753C76">
        <w:t>Securus Technologies, LLC</w:t>
      </w:r>
      <w:r w:rsidRPr="000F1FE8">
        <w:t xml:space="preserve"> (</w:t>
      </w:r>
      <w:r w:rsidRPr="009465D3">
        <w:t>U</w:t>
      </w:r>
      <w:r w:rsidR="00A70A93">
        <w:noBreakHyphen/>
      </w:r>
      <w:r w:rsidRPr="009465D3" w:rsidR="00753C76">
        <w:t>6888-</w:t>
      </w:r>
      <w:r w:rsidRPr="009465D3">
        <w:t xml:space="preserve">C) to </w:t>
      </w:r>
      <w:r w:rsidRPr="009465D3" w:rsidR="0015061E">
        <w:t>SCRS Intermediate Holding Corporation</w:t>
      </w:r>
      <w:r w:rsidRPr="009465D3">
        <w:t>, subject to the terms and conditions set forth in the Ordering Paragraphs</w:t>
      </w:r>
      <w:r w:rsidRPr="00F271E8">
        <w:t>.</w:t>
      </w:r>
    </w:p>
    <w:p w:rsidR="00145BBB" w:rsidP="006E6574" w:rsidRDefault="00145BBB" w14:paraId="4AB6C62B" w14:textId="7D573292">
      <w:pPr>
        <w:pStyle w:val="Standard"/>
      </w:pPr>
      <w:r w:rsidRPr="00F271E8">
        <w:t xml:space="preserve">Application </w:t>
      </w:r>
      <w:r w:rsidRPr="00F271E8" w:rsidR="00F271E8">
        <w:t>25</w:t>
      </w:r>
      <w:r w:rsidRPr="00F271E8">
        <w:t>-</w:t>
      </w:r>
      <w:r w:rsidRPr="00F271E8" w:rsidR="00F271E8">
        <w:t>05</w:t>
      </w:r>
      <w:r w:rsidRPr="00F271E8">
        <w:t>-</w:t>
      </w:r>
      <w:r w:rsidRPr="00F271E8" w:rsidR="00F271E8">
        <w:t>016</w:t>
      </w:r>
      <w:r w:rsidRPr="00F271E8">
        <w:t xml:space="preserve"> is </w:t>
      </w:r>
      <w:r>
        <w:t>closed.</w:t>
      </w:r>
    </w:p>
    <w:p w:rsidR="003704A1" w:rsidP="003C02E9" w:rsidRDefault="005B2103" w14:paraId="60DD2D2C" w14:textId="77777777">
      <w:pPr>
        <w:pStyle w:val="Heading1"/>
        <w:numPr>
          <w:ilvl w:val="0"/>
          <w:numId w:val="1"/>
        </w:numPr>
        <w:spacing w:after="0" w:line="360" w:lineRule="auto"/>
      </w:pPr>
      <w:bookmarkStart w:name="_Toc8123715" w:id="13"/>
      <w:bookmarkStart w:name="_Toc228532634" w:id="14"/>
      <w:r>
        <w:t xml:space="preserve">Factual </w:t>
      </w:r>
      <w:r w:rsidRPr="00121089" w:rsidR="002C7FE9">
        <w:t>Background</w:t>
      </w:r>
      <w:bookmarkEnd w:id="13"/>
      <w:bookmarkEnd w:id="14"/>
    </w:p>
    <w:p w:rsidR="00C05F33" w:rsidP="00FE23D1" w:rsidRDefault="000A20E2" w14:paraId="24680913" w14:textId="60BDFDD5">
      <w:pPr>
        <w:pStyle w:val="Standard"/>
      </w:pPr>
      <w:r>
        <w:t>Platinum Equity Capital Partners IV, L.P. (Transferor</w:t>
      </w:r>
      <w:r w:rsidR="001A3177">
        <w:t xml:space="preserve"> or Platinum Equity</w:t>
      </w:r>
      <w:r>
        <w:t>) and SCRS Intermediate Holding Corporation (Transferee</w:t>
      </w:r>
      <w:r w:rsidR="001A3177">
        <w:t xml:space="preserve"> or </w:t>
      </w:r>
      <w:r w:rsidR="00EB2C0E">
        <w:t>SCRS Intermediate HC</w:t>
      </w:r>
      <w:r>
        <w:t xml:space="preserve">) (collectively, Joint Applicants) </w:t>
      </w:r>
      <w:r w:rsidR="00FE5A47">
        <w:t>request</w:t>
      </w:r>
      <w:r>
        <w:t xml:space="preserve"> approval of the indirect transfer of control of </w:t>
      </w:r>
      <w:r w:rsidR="00FE5A47">
        <w:t xml:space="preserve">regulated entity </w:t>
      </w:r>
      <w:r>
        <w:t xml:space="preserve">Securus Technologies, LLC (U-6888-C) (Securus) pursuant to California Public Utilities </w:t>
      </w:r>
      <w:r w:rsidR="00931E80">
        <w:t xml:space="preserve">(Pub. Util.) </w:t>
      </w:r>
      <w:r>
        <w:t>Code Section 854(a)</w:t>
      </w:r>
      <w:r w:rsidR="00FE5A47">
        <w:t xml:space="preserve">. </w:t>
      </w:r>
      <w:r w:rsidR="00CE55F5">
        <w:t xml:space="preserve"> </w:t>
      </w:r>
      <w:r w:rsidR="006A7916">
        <w:t xml:space="preserve">The Joint Applicants state that </w:t>
      </w:r>
      <w:r w:rsidR="00272663">
        <w:t xml:space="preserve">their application </w:t>
      </w:r>
      <w:r w:rsidR="006A7916">
        <w:t>is filed as part of a</w:t>
      </w:r>
      <w:r w:rsidR="005844A0">
        <w:t xml:space="preserve">n out-of-court restructuring </w:t>
      </w:r>
      <w:r w:rsidR="00BD6141">
        <w:t>transaction</w:t>
      </w:r>
      <w:r w:rsidR="00931E80">
        <w:t>,</w:t>
      </w:r>
      <w:r w:rsidR="00BD6141">
        <w:t xml:space="preserve"> which will </w:t>
      </w:r>
      <w:r w:rsidR="008068DB">
        <w:t xml:space="preserve">significantly reduce </w:t>
      </w:r>
      <w:r w:rsidR="00BD6141">
        <w:t>the debt obligations of Aventiv</w:t>
      </w:r>
      <w:r w:rsidR="00271801">
        <w:t xml:space="preserve"> Technologies, LLC </w:t>
      </w:r>
      <w:r w:rsidR="009C3154">
        <w:t>(Aventiv)</w:t>
      </w:r>
      <w:r w:rsidR="00931E80">
        <w:t>,</w:t>
      </w:r>
      <w:r w:rsidR="009C3154">
        <w:t xml:space="preserve"> </w:t>
      </w:r>
      <w:r w:rsidR="00271801">
        <w:t>Securus’</w:t>
      </w:r>
      <w:r w:rsidR="00931E80">
        <w:t>s</w:t>
      </w:r>
      <w:r w:rsidR="00271801">
        <w:t xml:space="preserve"> parent company. </w:t>
      </w:r>
      <w:r w:rsidR="00CE55F5">
        <w:t xml:space="preserve"> </w:t>
      </w:r>
      <w:r w:rsidR="00C05F33">
        <w:t xml:space="preserve">The Joint Applicants </w:t>
      </w:r>
      <w:r w:rsidR="009038D0">
        <w:t>represent</w:t>
      </w:r>
      <w:r w:rsidR="00C05F33">
        <w:t xml:space="preserve"> that </w:t>
      </w:r>
      <w:r w:rsidR="006735D1">
        <w:t>th</w:t>
      </w:r>
      <w:r w:rsidR="00FE23D1">
        <w:t xml:space="preserve">e </w:t>
      </w:r>
      <w:r w:rsidR="00552475">
        <w:t>t</w:t>
      </w:r>
      <w:r w:rsidR="006735D1">
        <w:t>ransaction</w:t>
      </w:r>
      <w:r w:rsidR="00D4697E">
        <w:t xml:space="preserve"> will allow Securus to continue providing Incarcerated People’s Communications Services (IPCS) without interruption</w:t>
      </w:r>
      <w:r w:rsidR="00931E80">
        <w:t>,</w:t>
      </w:r>
      <w:r w:rsidR="00D4697E">
        <w:t xml:space="preserve"> and</w:t>
      </w:r>
      <w:r w:rsidR="006735D1">
        <w:t xml:space="preserve"> approving the </w:t>
      </w:r>
      <w:r w:rsidR="00931E80">
        <w:t>a</w:t>
      </w:r>
      <w:r w:rsidR="006735D1">
        <w:t>pplication is consistent with the public interest.</w:t>
      </w:r>
    </w:p>
    <w:p w:rsidR="00B856BA" w:rsidP="003C02E9" w:rsidRDefault="008F0DA5" w14:paraId="56C229A6" w14:textId="7A13BC25">
      <w:pPr>
        <w:pStyle w:val="Heading2"/>
        <w:numPr>
          <w:ilvl w:val="1"/>
          <w:numId w:val="1"/>
        </w:numPr>
        <w:spacing w:after="0" w:line="360" w:lineRule="auto"/>
      </w:pPr>
      <w:bookmarkStart w:name="_Toc8123716" w:id="15"/>
      <w:bookmarkStart w:name="_Toc228532635" w:id="16"/>
      <w:r w:rsidRPr="00211E2D">
        <w:t>Parties to the Transaction</w:t>
      </w:r>
      <w:bookmarkEnd w:id="15"/>
      <w:bookmarkEnd w:id="16"/>
    </w:p>
    <w:p w:rsidRPr="00145DB7" w:rsidR="00145DB7" w:rsidP="00145DB7" w:rsidRDefault="0019469F" w14:paraId="02C6A39D" w14:textId="244D551A">
      <w:pPr>
        <w:pStyle w:val="Standard"/>
      </w:pPr>
      <w:r>
        <w:t xml:space="preserve">The </w:t>
      </w:r>
      <w:r w:rsidR="00381669">
        <w:t xml:space="preserve">Joint </w:t>
      </w:r>
      <w:r w:rsidR="00450B69">
        <w:t>Applicants</w:t>
      </w:r>
      <w:r w:rsidR="00907C05">
        <w:t xml:space="preserve"> are</w:t>
      </w:r>
      <w:r w:rsidR="00CD029C">
        <w:t xml:space="preserve"> Platinum Equity and SCRS </w:t>
      </w:r>
      <w:r w:rsidR="00EB2C0E">
        <w:t>Intermediate HC</w:t>
      </w:r>
      <w:r w:rsidR="005B6C9A">
        <w:t xml:space="preserve">. Through the </w:t>
      </w:r>
      <w:r w:rsidR="00552475">
        <w:t>t</w:t>
      </w:r>
      <w:r w:rsidR="005B6C9A">
        <w:t xml:space="preserve">ransaction, indirect control of the </w:t>
      </w:r>
      <w:r w:rsidR="002E2060">
        <w:t>licensee, Securus,</w:t>
      </w:r>
      <w:r w:rsidR="00A5345C">
        <w:t xml:space="preserve"> </w:t>
      </w:r>
      <w:r w:rsidR="005B6C9A">
        <w:t xml:space="preserve">will be transferred to </w:t>
      </w:r>
      <w:r w:rsidR="00552475">
        <w:t>SCRS Intermediate HC</w:t>
      </w:r>
      <w:r w:rsidR="003F4F48">
        <w:t>.</w:t>
      </w:r>
      <w:r w:rsidR="0046073A">
        <w:t xml:space="preserve"> </w:t>
      </w:r>
      <w:r w:rsidR="00CE55F5">
        <w:t xml:space="preserve"> </w:t>
      </w:r>
      <w:r w:rsidR="0046073A">
        <w:t xml:space="preserve">In addition, the </w:t>
      </w:r>
      <w:r w:rsidR="00931E80">
        <w:t>a</w:t>
      </w:r>
      <w:r w:rsidR="0046073A">
        <w:t xml:space="preserve">pplication discusses Aventiv, Securus’ parent company, </w:t>
      </w:r>
      <w:r w:rsidR="007B5B5C">
        <w:t xml:space="preserve">which holds </w:t>
      </w:r>
      <w:r w:rsidR="00ED3EC4">
        <w:t xml:space="preserve">debt that will be </w:t>
      </w:r>
      <w:r w:rsidR="00C403F4">
        <w:t xml:space="preserve">equitized into </w:t>
      </w:r>
      <w:r w:rsidR="00C403F4">
        <w:lastRenderedPageBreak/>
        <w:t xml:space="preserve">voting and </w:t>
      </w:r>
      <w:r w:rsidR="00B82C25">
        <w:t xml:space="preserve">equity interests per the terms of the proposed </w:t>
      </w:r>
      <w:r w:rsidR="00552475">
        <w:t>t</w:t>
      </w:r>
      <w:r w:rsidR="00B82C25">
        <w:t>ransaction.</w:t>
      </w:r>
      <w:r w:rsidR="00185C72">
        <w:t xml:space="preserve"> </w:t>
      </w:r>
      <w:r w:rsidR="00CE55F5">
        <w:t xml:space="preserve"> </w:t>
      </w:r>
      <w:r w:rsidR="00185C72">
        <w:t>We discuss all four of these entities here.</w:t>
      </w:r>
    </w:p>
    <w:p w:rsidR="000B7CEE" w:rsidP="00CE55F5" w:rsidRDefault="009269D8" w14:paraId="690E5311" w14:textId="1EA889AB">
      <w:pPr>
        <w:pStyle w:val="Heading3"/>
        <w:numPr>
          <w:ilvl w:val="2"/>
          <w:numId w:val="1"/>
        </w:numPr>
        <w:spacing w:after="0" w:line="360" w:lineRule="auto"/>
      </w:pPr>
      <w:bookmarkStart w:name="_Toc228532636" w:id="17"/>
      <w:r>
        <w:t>Platinum Equity Capital Partners IV, L.P.</w:t>
      </w:r>
      <w:bookmarkEnd w:id="17"/>
    </w:p>
    <w:p w:rsidRPr="00C0739B" w:rsidR="00C0739B" w:rsidP="008B61A8" w:rsidRDefault="001A3177" w14:paraId="5E4F16C6" w14:textId="1B94F5FA">
      <w:pPr>
        <w:pStyle w:val="Standard"/>
      </w:pPr>
      <w:r>
        <w:t>The Transferor</w:t>
      </w:r>
      <w:r w:rsidR="00BF1B78">
        <w:t>, Platinum Equity</w:t>
      </w:r>
      <w:r w:rsidR="00246ED4">
        <w:t>,</w:t>
      </w:r>
      <w:r w:rsidR="00BF1B78">
        <w:t xml:space="preserve"> </w:t>
      </w:r>
      <w:r w:rsidR="003454DF">
        <w:t xml:space="preserve">a Delaware limited partnership, </w:t>
      </w:r>
      <w:r w:rsidR="00BF1B78">
        <w:t xml:space="preserve">is a private equity investment vehicle that currently </w:t>
      </w:r>
      <w:r w:rsidR="00552475">
        <w:t>holds</w:t>
      </w:r>
      <w:r w:rsidR="00D73F5B">
        <w:t xml:space="preserve"> a </w:t>
      </w:r>
      <w:r w:rsidR="00552475">
        <w:t xml:space="preserve">controlling </w:t>
      </w:r>
      <w:r w:rsidR="00D73F5B">
        <w:t>72.63% interest in Securus</w:t>
      </w:r>
      <w:r w:rsidR="006C5E6B">
        <w:t>.</w:t>
      </w:r>
      <w:r w:rsidR="00ED4414">
        <w:rPr>
          <w:rStyle w:val="FootnoteReference"/>
        </w:rPr>
        <w:footnoteReference w:id="2"/>
      </w:r>
      <w:r w:rsidR="006C5E6B">
        <w:t xml:space="preserve"> </w:t>
      </w:r>
      <w:r w:rsidR="00CE55F5">
        <w:t xml:space="preserve"> </w:t>
      </w:r>
      <w:r w:rsidR="00505BAD">
        <w:t>Platinum Equity</w:t>
      </w:r>
      <w:r w:rsidR="006C5E6B">
        <w:t xml:space="preserve"> holds this controlling interest</w:t>
      </w:r>
      <w:r w:rsidR="00D73F5B">
        <w:t xml:space="preserve"> through its direct ownership of</w:t>
      </w:r>
      <w:r w:rsidR="00E8068B">
        <w:t xml:space="preserve"> SCRS Holding Corporation,</w:t>
      </w:r>
      <w:r w:rsidR="002D5F09">
        <w:t xml:space="preserve"> which owns </w:t>
      </w:r>
      <w:r w:rsidR="00F465C9">
        <w:t>the</w:t>
      </w:r>
      <w:r w:rsidR="008634A4">
        <w:t xml:space="preserve"> </w:t>
      </w:r>
      <w:r w:rsidR="006C5E6B">
        <w:t>Transferee</w:t>
      </w:r>
      <w:r w:rsidR="008634A4">
        <w:t>,</w:t>
      </w:r>
      <w:r w:rsidR="00080767">
        <w:t xml:space="preserve"> SCRS Intermediate HC</w:t>
      </w:r>
      <w:r w:rsidR="00552475">
        <w:t xml:space="preserve">. </w:t>
      </w:r>
      <w:r w:rsidR="003C02E9">
        <w:t xml:space="preserve"> </w:t>
      </w:r>
      <w:r w:rsidR="00552475">
        <w:t>SCRS Intermediate HC</w:t>
      </w:r>
      <w:r w:rsidR="00E747D7">
        <w:t xml:space="preserve"> own</w:t>
      </w:r>
      <w:r w:rsidR="00931E80">
        <w:t>s</w:t>
      </w:r>
      <w:r w:rsidR="00E747D7">
        <w:t xml:space="preserve"> both Securus and its parent company, Aventiv</w:t>
      </w:r>
      <w:r w:rsidR="00ED4414">
        <w:t>.</w:t>
      </w:r>
      <w:r w:rsidR="00ED4414">
        <w:rPr>
          <w:rStyle w:val="FootnoteReference"/>
        </w:rPr>
        <w:footnoteReference w:id="3"/>
      </w:r>
      <w:r w:rsidR="00A52772">
        <w:t xml:space="preserve"> </w:t>
      </w:r>
      <w:r w:rsidR="00CE55F5">
        <w:t xml:space="preserve"> </w:t>
      </w:r>
      <w:r w:rsidR="00B42204">
        <w:t>Platinum Equity is sponsored by Platinum Equity</w:t>
      </w:r>
      <w:r w:rsidR="001A6975">
        <w:t xml:space="preserve">, LLC, a global investment firm that specializes in acquiring and operating companies </w:t>
      </w:r>
      <w:r w:rsidR="002155E9">
        <w:t>across</w:t>
      </w:r>
      <w:r w:rsidR="001A6975">
        <w:t xml:space="preserve"> a broad range of </w:t>
      </w:r>
      <w:r w:rsidR="002155E9">
        <w:t>industries</w:t>
      </w:r>
      <w:r w:rsidR="001A6975">
        <w:t>, including telecommunications.</w:t>
      </w:r>
      <w:r w:rsidR="001A6975">
        <w:rPr>
          <w:rStyle w:val="FootnoteReference"/>
        </w:rPr>
        <w:footnoteReference w:id="4"/>
      </w:r>
      <w:r w:rsidR="007F4557">
        <w:t xml:space="preserve"> </w:t>
      </w:r>
      <w:r w:rsidR="00CE55F5">
        <w:t xml:space="preserve"> </w:t>
      </w:r>
      <w:r w:rsidR="007F4557">
        <w:t xml:space="preserve">Platinum Equity’s registered business address is </w:t>
      </w:r>
      <w:r w:rsidR="008B61A8">
        <w:t>360 North Crescent Drive South Building, Beverly Hills, CA 90210.</w:t>
      </w:r>
      <w:r w:rsidR="00845609">
        <w:rPr>
          <w:rStyle w:val="FootnoteReference"/>
        </w:rPr>
        <w:footnoteReference w:id="5"/>
      </w:r>
    </w:p>
    <w:p w:rsidR="009269D8" w:rsidP="00CE55F5" w:rsidRDefault="00A208E6" w14:paraId="61195D63" w14:textId="473E7FA0">
      <w:pPr>
        <w:pStyle w:val="Heading3"/>
        <w:numPr>
          <w:ilvl w:val="2"/>
          <w:numId w:val="1"/>
        </w:numPr>
        <w:spacing w:after="0" w:line="360" w:lineRule="auto"/>
      </w:pPr>
      <w:bookmarkStart w:name="_Toc228532637" w:id="18"/>
      <w:r>
        <w:t>SCRS Intermediate</w:t>
      </w:r>
      <w:r w:rsidR="00B96335">
        <w:t xml:space="preserve"> Holding Corporation</w:t>
      </w:r>
      <w:bookmarkEnd w:id="18"/>
    </w:p>
    <w:p w:rsidRPr="00C0739B" w:rsidR="00C0739B" w:rsidP="00C0739B" w:rsidRDefault="004A4C6C" w14:paraId="5157BC97" w14:textId="33B51A6A">
      <w:pPr>
        <w:pStyle w:val="Standard"/>
      </w:pPr>
      <w:r>
        <w:t xml:space="preserve">The Transferee, SCRS Intermediate HC, a Delaware </w:t>
      </w:r>
      <w:r w:rsidR="002155E9">
        <w:t>c</w:t>
      </w:r>
      <w:r>
        <w:t>orporation,</w:t>
      </w:r>
      <w:r w:rsidR="00022D83">
        <w:t xml:space="preserve"> is a holding company currently controlled by </w:t>
      </w:r>
      <w:r w:rsidR="0036008D">
        <w:t>SCRS Holding Corporation and ultimately</w:t>
      </w:r>
      <w:r w:rsidR="006F156F">
        <w:t>, the Transferor, Platinum Equity.</w:t>
      </w:r>
      <w:r w:rsidR="00E4028D">
        <w:rPr>
          <w:rStyle w:val="FootnoteReference"/>
        </w:rPr>
        <w:footnoteReference w:id="6"/>
      </w:r>
      <w:r w:rsidR="006F156F">
        <w:t xml:space="preserve"> </w:t>
      </w:r>
      <w:r w:rsidR="00CE55F5">
        <w:t xml:space="preserve"> </w:t>
      </w:r>
      <w:r w:rsidR="006F156F">
        <w:t xml:space="preserve">After the </w:t>
      </w:r>
      <w:r w:rsidR="006371F5">
        <w:t>t</w:t>
      </w:r>
      <w:r w:rsidR="006F156F">
        <w:t xml:space="preserve">ransaction is completed, the Transferee will become the ultimate controlling parent of </w:t>
      </w:r>
      <w:r w:rsidR="003724D1">
        <w:t>the licensee, Securus, and its parent company, Aventiv.</w:t>
      </w:r>
      <w:r w:rsidR="00845609">
        <w:rPr>
          <w:rStyle w:val="FootnoteReference"/>
        </w:rPr>
        <w:footnoteReference w:id="7"/>
      </w:r>
      <w:r w:rsidR="00CE55F5">
        <w:t xml:space="preserve">  </w:t>
      </w:r>
      <w:r w:rsidR="008B61A8">
        <w:t xml:space="preserve">SCRS Intermediate HC’s principal </w:t>
      </w:r>
      <w:r w:rsidR="008B61A8">
        <w:lastRenderedPageBreak/>
        <w:t xml:space="preserve">place of business is </w:t>
      </w:r>
      <w:r w:rsidRPr="00E4028D" w:rsidR="00E4028D">
        <w:t>c/o Platinum Equity</w:t>
      </w:r>
      <w:r w:rsidR="002155E9">
        <w:t>,</w:t>
      </w:r>
      <w:r w:rsidRPr="00E4028D" w:rsidR="00E4028D">
        <w:t xml:space="preserve"> 360 North Crescent Drive South Building</w:t>
      </w:r>
      <w:r w:rsidR="002155E9">
        <w:t>,</w:t>
      </w:r>
      <w:r w:rsidRPr="00E4028D" w:rsidR="00E4028D">
        <w:t xml:space="preserve"> Beverly Hills, CA 90210</w:t>
      </w:r>
      <w:r w:rsidR="00845609">
        <w:t>.</w:t>
      </w:r>
      <w:r w:rsidR="00845609">
        <w:rPr>
          <w:rStyle w:val="FootnoteReference"/>
        </w:rPr>
        <w:footnoteReference w:id="8"/>
      </w:r>
    </w:p>
    <w:p w:rsidR="00B96335" w:rsidP="00CE55F5" w:rsidRDefault="00B96335" w14:paraId="445D0C08" w14:textId="7667FBE4">
      <w:pPr>
        <w:pStyle w:val="Heading3"/>
        <w:numPr>
          <w:ilvl w:val="2"/>
          <w:numId w:val="1"/>
        </w:numPr>
        <w:spacing w:after="0" w:line="360" w:lineRule="auto"/>
      </w:pPr>
      <w:bookmarkStart w:name="_Toc228532638" w:id="19"/>
      <w:r>
        <w:t>Securus</w:t>
      </w:r>
      <w:r w:rsidR="00C618D1">
        <w:t xml:space="preserve"> Technologies, LLC</w:t>
      </w:r>
      <w:bookmarkEnd w:id="19"/>
    </w:p>
    <w:p w:rsidR="00C0739B" w:rsidP="009A1277" w:rsidRDefault="00296224" w14:paraId="15397A38" w14:textId="4D6FB7F3">
      <w:pPr>
        <w:pStyle w:val="Standard"/>
      </w:pPr>
      <w:r>
        <w:t xml:space="preserve">Securus, a Delaware limited liability company, </w:t>
      </w:r>
      <w:r w:rsidR="00BB197E">
        <w:t>has a certificate of public convenience and necessity (CPCN) granted under Decision (D.)</w:t>
      </w:r>
      <w:r w:rsidR="00CE55F5">
        <w:t> </w:t>
      </w:r>
      <w:r w:rsidR="00BB197E">
        <w:t>04-05-049</w:t>
      </w:r>
      <w:r w:rsidR="00C721B1">
        <w:t xml:space="preserve"> to provide resold </w:t>
      </w:r>
      <w:r w:rsidR="009B0FA4">
        <w:t>interexchange</w:t>
      </w:r>
      <w:r w:rsidR="00C721B1">
        <w:t xml:space="preserve"> telecommunications services as a non-dominant interexchange carrier.</w:t>
      </w:r>
      <w:r w:rsidR="008C0E14">
        <w:rPr>
          <w:rStyle w:val="FootnoteReference"/>
        </w:rPr>
        <w:footnoteReference w:id="9"/>
      </w:r>
      <w:r w:rsidR="00080060">
        <w:t xml:space="preserve"> </w:t>
      </w:r>
      <w:r w:rsidR="003C02E9">
        <w:t xml:space="preserve"> </w:t>
      </w:r>
      <w:r w:rsidR="00621264">
        <w:t xml:space="preserve">Securus was granted a CPCN to provide resold interexchange telecommunications services as a non-dominant interexchange carrier, with the corporate identification number U-6888-C, pursuant to D.04-05-049, under its prior name, Evercom Systems, Inc. </w:t>
      </w:r>
      <w:r w:rsidR="00485E98">
        <w:t xml:space="preserve"> </w:t>
      </w:r>
      <w:r w:rsidR="00621264">
        <w:t>Securus notified the Commission of its name change via Advice Letter No. 3, effective October 21, 2010.</w:t>
      </w:r>
      <w:r w:rsidR="006D6E62">
        <w:t xml:space="preserve"> </w:t>
      </w:r>
      <w:r w:rsidR="00CE55F5">
        <w:t xml:space="preserve"> </w:t>
      </w:r>
      <w:r w:rsidR="00080060">
        <w:t xml:space="preserve">Through this authority, </w:t>
      </w:r>
      <w:r w:rsidR="007C707B">
        <w:t>Securus provides prepaid debit cards to incarcerated persons in correctional facilities across California.</w:t>
      </w:r>
      <w:r w:rsidR="00A571C2">
        <w:rPr>
          <w:rStyle w:val="FootnoteReference"/>
        </w:rPr>
        <w:footnoteReference w:id="10"/>
      </w:r>
      <w:r w:rsidR="00917D2D">
        <w:t xml:space="preserve"> </w:t>
      </w:r>
      <w:r w:rsidR="00CE55F5">
        <w:t xml:space="preserve"> </w:t>
      </w:r>
      <w:r w:rsidR="00917D2D">
        <w:t>Securus is a wholly owned subsidiary of Aventiv.</w:t>
      </w:r>
      <w:r w:rsidR="00917D2D">
        <w:rPr>
          <w:rStyle w:val="FootnoteReference"/>
        </w:rPr>
        <w:footnoteReference w:id="11"/>
      </w:r>
      <w:r w:rsidR="005A190A">
        <w:t xml:space="preserve"> </w:t>
      </w:r>
      <w:r w:rsidR="00CE55F5">
        <w:t xml:space="preserve">  </w:t>
      </w:r>
      <w:r w:rsidR="005A190A">
        <w:t xml:space="preserve">Securus is headquartered at </w:t>
      </w:r>
      <w:r w:rsidRPr="005A190A" w:rsidR="005A190A">
        <w:t>5360 Legacy Drive, Suite 300, Plano, TX 75024</w:t>
      </w:r>
      <w:r w:rsidR="005A190A">
        <w:t>.</w:t>
      </w:r>
      <w:r w:rsidR="005A190A">
        <w:rPr>
          <w:rStyle w:val="FootnoteReference"/>
        </w:rPr>
        <w:footnoteReference w:id="12"/>
      </w:r>
      <w:r w:rsidR="00AD07EE">
        <w:t xml:space="preserve"> </w:t>
      </w:r>
    </w:p>
    <w:p w:rsidR="00733399" w:rsidP="003C02E9" w:rsidRDefault="00733399" w14:paraId="0ACD07BD" w14:textId="0C09FF83">
      <w:pPr>
        <w:pStyle w:val="Heading3"/>
        <w:spacing w:after="0" w:line="360" w:lineRule="auto"/>
      </w:pPr>
      <w:bookmarkStart w:name="_Toc228532639" w:id="20"/>
      <w:r>
        <w:t>1.1.4</w:t>
      </w:r>
      <w:r>
        <w:tab/>
        <w:t>Aventiv</w:t>
      </w:r>
      <w:r w:rsidR="00475C77">
        <w:t xml:space="preserve"> Technologies, LLC</w:t>
      </w:r>
      <w:bookmarkEnd w:id="20"/>
    </w:p>
    <w:p w:rsidRPr="00522A19" w:rsidR="00522A19" w:rsidP="00522A19" w:rsidRDefault="009440C5" w14:paraId="156CF3A8" w14:textId="12B01733">
      <w:pPr>
        <w:pStyle w:val="Standard"/>
      </w:pPr>
      <w:r>
        <w:t>Aventiv</w:t>
      </w:r>
      <w:r w:rsidR="008338E7">
        <w:t>, Securus’</w:t>
      </w:r>
      <w:r w:rsidR="006371F5">
        <w:t>s</w:t>
      </w:r>
      <w:r w:rsidR="008338E7">
        <w:t xml:space="preserve"> parent company, provides technology and connectivity solutions for correctional facilities, law enforcement agencies, and incarcerated </w:t>
      </w:r>
      <w:r w:rsidR="008338E7">
        <w:lastRenderedPageBreak/>
        <w:t>people.</w:t>
      </w:r>
      <w:r w:rsidR="008338E7">
        <w:rPr>
          <w:rStyle w:val="FootnoteReference"/>
        </w:rPr>
        <w:footnoteReference w:id="13"/>
      </w:r>
      <w:r w:rsidR="00152CA9">
        <w:t xml:space="preserve"> </w:t>
      </w:r>
      <w:r w:rsidR="008741A2">
        <w:t xml:space="preserve"> </w:t>
      </w:r>
      <w:r w:rsidR="00152CA9">
        <w:t xml:space="preserve">Under the terms of the </w:t>
      </w:r>
      <w:r w:rsidR="006371F5">
        <w:t>t</w:t>
      </w:r>
      <w:r w:rsidR="00152CA9">
        <w:t xml:space="preserve">ransaction, </w:t>
      </w:r>
      <w:r w:rsidR="008E7050">
        <w:t>approximately $1.202 billion of Aventiv’s existing first lien debt and approximately $367 million of Aventiv’s existing second l</w:t>
      </w:r>
      <w:r w:rsidR="00EF3DF0">
        <w:t>ien secured term loans will be equitized into a collective 100% direct voting and equity interest in the Transferee, SCRS Intermediate HC, and a collective 100% indirect voting and equity interest in Aventiv.</w:t>
      </w:r>
      <w:r w:rsidR="00EF3DF0">
        <w:rPr>
          <w:rStyle w:val="FootnoteReference"/>
        </w:rPr>
        <w:footnoteReference w:id="14"/>
      </w:r>
    </w:p>
    <w:p w:rsidR="00B856BA" w:rsidP="008741A2" w:rsidRDefault="00B856BA" w14:paraId="71C4B984" w14:textId="77777777">
      <w:pPr>
        <w:pStyle w:val="Heading2"/>
        <w:numPr>
          <w:ilvl w:val="1"/>
          <w:numId w:val="1"/>
        </w:numPr>
        <w:spacing w:after="0" w:line="360" w:lineRule="auto"/>
      </w:pPr>
      <w:bookmarkStart w:name="_Toc228532640" w:id="21"/>
      <w:bookmarkStart w:name="_Toc8123717" w:id="22"/>
      <w:r>
        <w:t>The Proposed Transaction</w:t>
      </w:r>
      <w:bookmarkEnd w:id="21"/>
    </w:p>
    <w:p w:rsidRPr="00A63944" w:rsidR="00B856BA" w:rsidP="00B856BA" w:rsidRDefault="009E18E1" w14:paraId="230DF298" w14:textId="18A14D14">
      <w:pPr>
        <w:pStyle w:val="Standard"/>
      </w:pPr>
      <w:r w:rsidRPr="00A63944">
        <w:t xml:space="preserve">Under the terms of the proposed transaction, </w:t>
      </w:r>
      <w:r w:rsidRPr="00A63944" w:rsidR="00527583">
        <w:t>SCRS Intermediate HC will become the ultimate controlling parent of Aventiv and thereby the licensee, Securus.</w:t>
      </w:r>
      <w:r w:rsidRPr="00A63944" w:rsidR="00527583">
        <w:rPr>
          <w:rStyle w:val="FootnoteReference"/>
        </w:rPr>
        <w:footnoteReference w:id="15"/>
      </w:r>
      <w:r w:rsidRPr="00A63944" w:rsidR="00527583">
        <w:t xml:space="preserve"> </w:t>
      </w:r>
      <w:r w:rsidR="008741A2">
        <w:t xml:space="preserve"> </w:t>
      </w:r>
      <w:r w:rsidRPr="00A63944" w:rsidR="007E750E">
        <w:t xml:space="preserve">The proposed transaction will cause </w:t>
      </w:r>
      <w:r w:rsidRPr="00A63944" w:rsidR="0045774D">
        <w:t xml:space="preserve">approximately $1.202 billion of Aventiv’s existing first lien debt </w:t>
      </w:r>
      <w:r w:rsidRPr="00A63944" w:rsidR="00B721FA">
        <w:t xml:space="preserve">(held by entities referred to in the application as the First Lien Lenders) and approximately $367 million of Aventiv’s existing second lien </w:t>
      </w:r>
      <w:r w:rsidRPr="00A63944" w:rsidR="00BF1055">
        <w:t xml:space="preserve">secured term loans (held by entities referred to in the application as the Second Lien Lenders) </w:t>
      </w:r>
      <w:r w:rsidRPr="00A63944" w:rsidR="007E750E">
        <w:t xml:space="preserve">to </w:t>
      </w:r>
      <w:r w:rsidRPr="00A63944" w:rsidR="00BF1055">
        <w:t xml:space="preserve">be equitized into </w:t>
      </w:r>
      <w:r w:rsidRPr="00A63944" w:rsidR="006835C8">
        <w:t>voting and equity interests in the Transferee, SCRS Intermediate HC</w:t>
      </w:r>
      <w:r w:rsidRPr="00A63944" w:rsidR="00C51A1D">
        <w:t>.</w:t>
      </w:r>
      <w:r w:rsidRPr="00A63944" w:rsidR="00C51A1D">
        <w:rPr>
          <w:rStyle w:val="FootnoteReference"/>
        </w:rPr>
        <w:footnoteReference w:id="16"/>
      </w:r>
      <w:r w:rsidRPr="00A63944" w:rsidR="007A5417">
        <w:t xml:space="preserve"> </w:t>
      </w:r>
      <w:r w:rsidR="008741A2">
        <w:t xml:space="preserve"> </w:t>
      </w:r>
      <w:r w:rsidRPr="00A63944" w:rsidR="007A5417">
        <w:t xml:space="preserve">Following the proposed transaction, the debt held by the First and Second Lien Lenders will be extinguished, and the First Lien </w:t>
      </w:r>
      <w:r w:rsidR="002155E9">
        <w:t>L</w:t>
      </w:r>
      <w:r w:rsidRPr="00A63944" w:rsidR="007A5417">
        <w:t xml:space="preserve">enders will collectively hold </w:t>
      </w:r>
      <w:r w:rsidRPr="00A63944" w:rsidR="002A258B">
        <w:t>approximately 97.5% direct voting and equity interest in SCRS Intermediate HC</w:t>
      </w:r>
      <w:r w:rsidRPr="00A63944" w:rsidR="009414B6">
        <w:t xml:space="preserve"> and approximately a 97.5% indirect voting and equity interest</w:t>
      </w:r>
      <w:r w:rsidRPr="00A63944" w:rsidR="003545B3">
        <w:t xml:space="preserve"> in Aventiv, and thereby Securus.</w:t>
      </w:r>
      <w:r w:rsidRPr="00A63944" w:rsidR="003545B3">
        <w:rPr>
          <w:rStyle w:val="FootnoteReference"/>
        </w:rPr>
        <w:footnoteReference w:id="17"/>
      </w:r>
      <w:r w:rsidRPr="00A63944" w:rsidR="00E20F9D">
        <w:t xml:space="preserve"> </w:t>
      </w:r>
      <w:r w:rsidR="008741A2">
        <w:t xml:space="preserve"> </w:t>
      </w:r>
      <w:r w:rsidR="006371F5">
        <w:t>T</w:t>
      </w:r>
      <w:r w:rsidRPr="00A63944" w:rsidR="00E20F9D">
        <w:t xml:space="preserve">he Second Lien Lenders will collectively hold an approximate 2.5% direct voting and equity interest in SCRS Intermediate HC and an approximate 2.5% indirect voting and </w:t>
      </w:r>
      <w:r w:rsidRPr="00A63944" w:rsidR="00E20F9D">
        <w:lastRenderedPageBreak/>
        <w:t>equity interest in Aventiv, and thereby Securus.</w:t>
      </w:r>
      <w:r w:rsidRPr="00A63944" w:rsidR="00E20F9D">
        <w:rPr>
          <w:rStyle w:val="FootnoteReference"/>
        </w:rPr>
        <w:footnoteReference w:id="18"/>
      </w:r>
      <w:r w:rsidR="00332987">
        <w:t xml:space="preserve"> </w:t>
      </w:r>
      <w:r w:rsidR="00B50C5B">
        <w:t xml:space="preserve"> </w:t>
      </w:r>
      <w:r w:rsidR="00332987">
        <w:t xml:space="preserve">The </w:t>
      </w:r>
      <w:r w:rsidR="005D235C">
        <w:t>pre- and post-</w:t>
      </w:r>
      <w:r w:rsidR="002461C9">
        <w:t>transfer</w:t>
      </w:r>
      <w:r w:rsidR="005D235C">
        <w:t xml:space="preserve"> organizational charts </w:t>
      </w:r>
      <w:r w:rsidR="002461C9">
        <w:t>for the proposed transaction are included as Appendix A</w:t>
      </w:r>
      <w:r w:rsidR="00B50C5B">
        <w:t xml:space="preserve"> to this decision</w:t>
      </w:r>
      <w:r w:rsidR="002461C9">
        <w:t>.</w:t>
      </w:r>
    </w:p>
    <w:p w:rsidRPr="00A63944" w:rsidR="00E20F9D" w:rsidP="00B856BA" w:rsidRDefault="00E20F9D" w14:paraId="23974905" w14:textId="554ADC18">
      <w:pPr>
        <w:pStyle w:val="Standard"/>
      </w:pPr>
      <w:r w:rsidRPr="00A63944">
        <w:t xml:space="preserve">Collectively, the </w:t>
      </w:r>
      <w:r w:rsidRPr="00A63944" w:rsidR="00520426">
        <w:t>First and Second Lien Lenders will hold 100% of the direct voting and equity interests in the Transferee, SCRS intermediate HC</w:t>
      </w:r>
      <w:r w:rsidRPr="00A63944" w:rsidR="00863C8C">
        <w:t xml:space="preserve">, and 100% indirect voting </w:t>
      </w:r>
      <w:r w:rsidRPr="00A63944" w:rsidR="00380374">
        <w:t xml:space="preserve">and equity interests in </w:t>
      </w:r>
      <w:r w:rsidRPr="00A63944" w:rsidR="00955773">
        <w:t>Aventiv.</w:t>
      </w:r>
      <w:r w:rsidRPr="00A63944" w:rsidR="00955773">
        <w:rPr>
          <w:rStyle w:val="FootnoteReference"/>
        </w:rPr>
        <w:footnoteReference w:id="19"/>
      </w:r>
      <w:r w:rsidRPr="00A63944" w:rsidR="00955773">
        <w:t xml:space="preserve"> </w:t>
      </w:r>
      <w:r w:rsidR="003C02E9">
        <w:t xml:space="preserve"> </w:t>
      </w:r>
      <w:r w:rsidRPr="00A63944" w:rsidR="00955773">
        <w:t xml:space="preserve">No lender is contemplated to hold, directly or indirectly, greater than </w:t>
      </w:r>
      <w:r w:rsidRPr="00A63944" w:rsidR="00AF031C">
        <w:t xml:space="preserve">20% or more of the equity or voting interests in SCRS Intermediate HC or Aventiv, or exercise </w:t>
      </w:r>
      <w:r w:rsidRPr="00643420" w:rsidR="00AF031C">
        <w:rPr>
          <w:i/>
          <w:iCs/>
        </w:rPr>
        <w:t>de facto</w:t>
      </w:r>
      <w:r w:rsidRPr="00A63944" w:rsidR="00AF031C">
        <w:t xml:space="preserve"> control.</w:t>
      </w:r>
      <w:r w:rsidRPr="00A63944" w:rsidR="00AF031C">
        <w:rPr>
          <w:rStyle w:val="FootnoteReference"/>
        </w:rPr>
        <w:footnoteReference w:id="20"/>
      </w:r>
      <w:r w:rsidRPr="00A63944" w:rsidR="004A5983">
        <w:t xml:space="preserve"> </w:t>
      </w:r>
      <w:r w:rsidR="003C02E9">
        <w:t xml:space="preserve"> </w:t>
      </w:r>
      <w:r w:rsidRPr="00A63944" w:rsidR="004A5983">
        <w:t xml:space="preserve">SCRS </w:t>
      </w:r>
      <w:r w:rsidRPr="00A63944" w:rsidR="003D2501">
        <w:t>Intermediate</w:t>
      </w:r>
      <w:r w:rsidRPr="00A63944" w:rsidR="004A5983">
        <w:t xml:space="preserve"> </w:t>
      </w:r>
      <w:r w:rsidR="006371F5">
        <w:t xml:space="preserve">HC </w:t>
      </w:r>
      <w:r w:rsidRPr="00A63944" w:rsidR="004A5983">
        <w:t xml:space="preserve">will have a seven-member board of directors, </w:t>
      </w:r>
      <w:r w:rsidR="002155E9">
        <w:t>initially</w:t>
      </w:r>
      <w:r w:rsidRPr="00A63944" w:rsidR="004A5983">
        <w:t xml:space="preserve"> elected by a majority vote of the common stock</w:t>
      </w:r>
      <w:r w:rsidR="006371F5">
        <w:t xml:space="preserve">holders </w:t>
      </w:r>
      <w:r w:rsidRPr="00A63944" w:rsidR="004A5983">
        <w:t>of SCRS Intermediate HC.</w:t>
      </w:r>
      <w:r w:rsidRPr="00A63944" w:rsidR="003D2501">
        <w:rPr>
          <w:rStyle w:val="FootnoteReference"/>
        </w:rPr>
        <w:footnoteReference w:id="21"/>
      </w:r>
      <w:r w:rsidRPr="00A63944" w:rsidR="004A5983">
        <w:t xml:space="preserve"> Thereafter,</w:t>
      </w:r>
      <w:r w:rsidRPr="00A63944" w:rsidR="003D2501">
        <w:t xml:space="preserve"> all directors shall be elected by a plurality of votes at each annual meeting of stockholders.</w:t>
      </w:r>
      <w:r w:rsidRPr="00A63944" w:rsidR="003D2501">
        <w:rPr>
          <w:rStyle w:val="FootnoteReference"/>
        </w:rPr>
        <w:footnoteReference w:id="22"/>
      </w:r>
    </w:p>
    <w:p w:rsidR="0063491C" w:rsidP="008741A2" w:rsidRDefault="0063491C" w14:paraId="69206B96" w14:textId="77777777">
      <w:pPr>
        <w:pStyle w:val="Heading1"/>
        <w:numPr>
          <w:ilvl w:val="0"/>
          <w:numId w:val="1"/>
        </w:numPr>
        <w:spacing w:after="0" w:line="360" w:lineRule="auto"/>
      </w:pPr>
      <w:bookmarkStart w:name="_Toc228532641" w:id="23"/>
      <w:r>
        <w:t>Procedural Background</w:t>
      </w:r>
      <w:bookmarkEnd w:id="22"/>
      <w:bookmarkEnd w:id="23"/>
    </w:p>
    <w:p w:rsidR="00EE3060" w:rsidP="006E6574" w:rsidRDefault="00102EFD" w14:paraId="1BCC4671" w14:textId="0F605628">
      <w:pPr>
        <w:pStyle w:val="Standard"/>
      </w:pPr>
      <w:r>
        <w:t xml:space="preserve">On May 23, 2025, Joint Applicants filed </w:t>
      </w:r>
      <w:r w:rsidR="00184DD4">
        <w:t>the instant transfer of control application</w:t>
      </w:r>
      <w:r>
        <w:t>.</w:t>
      </w:r>
      <w:r w:rsidR="00B97FFB">
        <w:t xml:space="preserve"> The </w:t>
      </w:r>
      <w:r w:rsidR="002155E9">
        <w:t>a</w:t>
      </w:r>
      <w:r w:rsidR="00B97FFB">
        <w:t xml:space="preserve">pplication included a request for </w:t>
      </w:r>
      <w:r w:rsidR="001E462B">
        <w:t>expedited approval,</w:t>
      </w:r>
      <w:r w:rsidR="00A13CB6">
        <w:rPr>
          <w:rStyle w:val="FootnoteReference"/>
        </w:rPr>
        <w:footnoteReference w:id="23"/>
      </w:r>
      <w:r w:rsidR="001E462B">
        <w:t xml:space="preserve"> but did not </w:t>
      </w:r>
      <w:r w:rsidR="009652FB">
        <w:t xml:space="preserve">include the </w:t>
      </w:r>
      <w:r w:rsidR="00C22B79">
        <w:t xml:space="preserve">attachment demonstrating specific facts </w:t>
      </w:r>
      <w:r w:rsidR="008B4D0A">
        <w:t>that constitute either a threat to public safety or the need to resolve a financial matter expeditiously to avoid ratepayer harm</w:t>
      </w:r>
      <w:r w:rsidR="00B50C5B">
        <w:t>,</w:t>
      </w:r>
      <w:r w:rsidR="008B4D0A">
        <w:t xml:space="preserve"> as required by Rule 2.9 of the Commission’s Rules of </w:t>
      </w:r>
      <w:r w:rsidR="00A13CB6">
        <w:t>Practice and Procedure (Rules).</w:t>
      </w:r>
      <w:r w:rsidR="00882096">
        <w:t xml:space="preserve"> </w:t>
      </w:r>
      <w:r w:rsidR="00B50C5B">
        <w:t xml:space="preserve"> </w:t>
      </w:r>
      <w:r w:rsidR="00FF53A7">
        <w:t xml:space="preserve">Alongside the </w:t>
      </w:r>
      <w:r w:rsidR="002155E9">
        <w:t>a</w:t>
      </w:r>
      <w:r w:rsidR="00FF53A7">
        <w:t xml:space="preserve">pplication, Joint Applicants filed </w:t>
      </w:r>
      <w:r w:rsidR="00FF53A7">
        <w:lastRenderedPageBreak/>
        <w:t xml:space="preserve">a motion to file under seal </w:t>
      </w:r>
      <w:r w:rsidR="00BD64CF">
        <w:t xml:space="preserve">certain information contained within Exhibits D and E to the </w:t>
      </w:r>
      <w:r w:rsidR="002155E9">
        <w:t>a</w:t>
      </w:r>
      <w:r w:rsidR="00BD64CF">
        <w:t>pplication.</w:t>
      </w:r>
    </w:p>
    <w:p w:rsidR="00CC77C5" w:rsidP="006E6574" w:rsidRDefault="00CC77C5" w14:paraId="012E26B7" w14:textId="14EA8081">
      <w:pPr>
        <w:pStyle w:val="Standard"/>
      </w:pPr>
      <w:r>
        <w:t>On June 30, 2025</w:t>
      </w:r>
      <w:r w:rsidR="002155E9">
        <w:t>,</w:t>
      </w:r>
      <w:r>
        <w:t xml:space="preserve"> </w:t>
      </w:r>
      <w:r w:rsidR="00B22328">
        <w:t xml:space="preserve">The Utility Reform Network (TURN) filed a protest to the </w:t>
      </w:r>
      <w:r w:rsidR="002155E9">
        <w:t>a</w:t>
      </w:r>
      <w:r w:rsidR="00843660">
        <w:t xml:space="preserve">pplication. </w:t>
      </w:r>
      <w:r w:rsidR="009974AE">
        <w:t xml:space="preserve"> </w:t>
      </w:r>
      <w:r w:rsidR="00843660">
        <w:t>On July 10, 2025</w:t>
      </w:r>
      <w:r w:rsidR="008A5BA7">
        <w:t>, the Joint Applicants filed a reply to the protest.</w:t>
      </w:r>
    </w:p>
    <w:p w:rsidR="008A5BA7" w:rsidP="006E6574" w:rsidRDefault="008A5BA7" w14:paraId="15C16D20" w14:textId="5E9A7E07">
      <w:pPr>
        <w:pStyle w:val="Standard"/>
      </w:pPr>
      <w:r>
        <w:t xml:space="preserve">On </w:t>
      </w:r>
      <w:r w:rsidR="0070229A">
        <w:t xml:space="preserve">August 5, 2025, the </w:t>
      </w:r>
      <w:r w:rsidR="00522BB6">
        <w:t xml:space="preserve">assigned Administrative Law Judge (ALJ) held a </w:t>
      </w:r>
      <w:r w:rsidR="0070229A">
        <w:t>prehearing conference</w:t>
      </w:r>
      <w:r w:rsidR="00190E71">
        <w:t xml:space="preserve"> (PHC)</w:t>
      </w:r>
      <w:r w:rsidR="0070229A">
        <w:t xml:space="preserve"> </w:t>
      </w:r>
      <w:r w:rsidR="00522BB6">
        <w:t>that</w:t>
      </w:r>
      <w:r w:rsidR="00190E71">
        <w:t xml:space="preserve"> was attended by </w:t>
      </w:r>
      <w:r w:rsidR="002155E9">
        <w:t>the Joint Applicants and TURN</w:t>
      </w:r>
      <w:r w:rsidR="00190E71">
        <w:t xml:space="preserve">. </w:t>
      </w:r>
      <w:r w:rsidR="009974AE">
        <w:t xml:space="preserve"> </w:t>
      </w:r>
      <w:r w:rsidR="00190E71">
        <w:t xml:space="preserve">At the PHC, </w:t>
      </w:r>
      <w:r w:rsidR="009901F1">
        <w:t xml:space="preserve">the Joint Applicants </w:t>
      </w:r>
      <w:r w:rsidR="001060ED">
        <w:t>sought leave</w:t>
      </w:r>
      <w:r w:rsidR="00522BB6">
        <w:t xml:space="preserve"> </w:t>
      </w:r>
      <w:r w:rsidR="009901F1">
        <w:t xml:space="preserve">to provide </w:t>
      </w:r>
      <w:r w:rsidR="00F5722E">
        <w:t xml:space="preserve">a supplemental </w:t>
      </w:r>
      <w:r w:rsidR="009E3308">
        <w:t>request for expedited approval that provided</w:t>
      </w:r>
      <w:r w:rsidR="0028007A">
        <w:t xml:space="preserve"> specific facts pursuant to Rule 2.9, which the ALJ granted. </w:t>
      </w:r>
      <w:r w:rsidR="009974AE">
        <w:t xml:space="preserve"> </w:t>
      </w:r>
      <w:r w:rsidR="0028007A">
        <w:t>At the PHC</w:t>
      </w:r>
      <w:r w:rsidR="002155E9">
        <w:t>,</w:t>
      </w:r>
      <w:r w:rsidR="0028007A">
        <w:t xml:space="preserve"> the ALJ </w:t>
      </w:r>
      <w:r w:rsidR="002155E9">
        <w:t xml:space="preserve">also </w:t>
      </w:r>
      <w:r w:rsidR="0028007A">
        <w:t xml:space="preserve">directed the Joint Applicants to provide </w:t>
      </w:r>
      <w:r w:rsidR="0036490C">
        <w:t xml:space="preserve">the </w:t>
      </w:r>
      <w:r w:rsidR="00522BB6">
        <w:t>names and biographies</w:t>
      </w:r>
      <w:r w:rsidR="00B50C5B">
        <w:t xml:space="preserve"> of the Transferee’s management, SCRS Intermediate HC</w:t>
      </w:r>
      <w:r w:rsidR="0036490C">
        <w:t>.</w:t>
      </w:r>
      <w:r w:rsidR="009151C4">
        <w:t xml:space="preserve"> </w:t>
      </w:r>
      <w:r w:rsidR="009974AE">
        <w:t xml:space="preserve"> </w:t>
      </w:r>
      <w:r w:rsidR="009151C4">
        <w:t xml:space="preserve">On August 15, 2025, the Joint Applicants </w:t>
      </w:r>
      <w:r w:rsidR="006371F5">
        <w:t>filed a response to</w:t>
      </w:r>
      <w:r w:rsidR="009151C4">
        <w:t xml:space="preserve"> the supplemental information </w:t>
      </w:r>
      <w:r w:rsidR="00A17E2B">
        <w:t>requested by the ALJ</w:t>
      </w:r>
      <w:r w:rsidR="006371F5">
        <w:t>,</w:t>
      </w:r>
      <w:r w:rsidR="00A17E2B">
        <w:t xml:space="preserve"> as well as </w:t>
      </w:r>
      <w:r w:rsidR="00146EC1">
        <w:t>a supplemental r</w:t>
      </w:r>
      <w:r w:rsidR="009E3308">
        <w:t>equest</w:t>
      </w:r>
      <w:r w:rsidR="00146EC1">
        <w:t xml:space="preserve"> </w:t>
      </w:r>
      <w:r w:rsidR="00080543">
        <w:t>for</w:t>
      </w:r>
      <w:r w:rsidR="00146EC1">
        <w:t xml:space="preserve"> expedited approval.</w:t>
      </w:r>
      <w:r w:rsidR="00DB6392">
        <w:t xml:space="preserve"> </w:t>
      </w:r>
      <w:r w:rsidR="009974AE">
        <w:t xml:space="preserve"> </w:t>
      </w:r>
      <w:r w:rsidR="002155E9">
        <w:t>T</w:t>
      </w:r>
      <w:r w:rsidR="00DB6392">
        <w:t>he Joint Applicants also filed a motion to file under seal information contained in the Joint Applicants</w:t>
      </w:r>
      <w:r w:rsidR="00363D5D">
        <w:t>’ supplemental request for expedited approval.</w:t>
      </w:r>
    </w:p>
    <w:p w:rsidR="00363D5D" w:rsidP="006E6574" w:rsidRDefault="008E2C46" w14:paraId="67CD9406" w14:textId="16629DDF">
      <w:pPr>
        <w:pStyle w:val="Standard"/>
      </w:pPr>
      <w:r>
        <w:t>On September 24, 2025, th</w:t>
      </w:r>
      <w:r w:rsidR="001E5933">
        <w:t xml:space="preserve">e </w:t>
      </w:r>
      <w:r w:rsidR="002155E9">
        <w:t>a</w:t>
      </w:r>
      <w:r w:rsidR="001E5933">
        <w:t xml:space="preserve">ssigned Commissioner issued the Scoping Memo and Ruling (Scoping Memo) setting forth the issues and schedule for the proceeding. </w:t>
      </w:r>
      <w:r w:rsidR="009974AE">
        <w:t xml:space="preserve"> </w:t>
      </w:r>
      <w:r w:rsidR="00254BFB">
        <w:t xml:space="preserve">In the Scoping Memo, the </w:t>
      </w:r>
      <w:r w:rsidR="002155E9">
        <w:t>a</w:t>
      </w:r>
      <w:r w:rsidR="00254BFB">
        <w:t>ssigned Commissioner found that Joint Applicants failed to demonstrate specific facts supporting an expedited schedule and denied the request.</w:t>
      </w:r>
    </w:p>
    <w:p w:rsidR="00552D6B" w:rsidP="006E6574" w:rsidRDefault="004C7F85" w14:paraId="48FD84F4" w14:textId="47F6D860">
      <w:pPr>
        <w:pStyle w:val="Standard"/>
      </w:pPr>
      <w:r>
        <w:t xml:space="preserve">On October </w:t>
      </w:r>
      <w:r w:rsidR="00B72A7D">
        <w:t xml:space="preserve">8, 2025, the ALJ issued </w:t>
      </w:r>
      <w:r w:rsidR="00C059C7">
        <w:t xml:space="preserve">a ruling requesting that the Joint Applicants provide </w:t>
      </w:r>
      <w:r w:rsidR="0075290E">
        <w:t xml:space="preserve">additional information regarding disclosures </w:t>
      </w:r>
      <w:r w:rsidR="009E6FBC">
        <w:t>pursuant to the verification required by D.13-05-035.</w:t>
      </w:r>
    </w:p>
    <w:p w:rsidR="00CA4883" w:rsidP="006E6574" w:rsidRDefault="00CA4883" w14:paraId="283225B9" w14:textId="28A741D2">
      <w:pPr>
        <w:pStyle w:val="Standard"/>
      </w:pPr>
      <w:r>
        <w:t xml:space="preserve">On October 10, 2025, the </w:t>
      </w:r>
      <w:r w:rsidR="00617C0A">
        <w:t>Joint Applicants and TURN each served opening testimony.</w:t>
      </w:r>
    </w:p>
    <w:p w:rsidR="00552D6B" w:rsidP="006E6574" w:rsidRDefault="00552D6B" w14:paraId="5AA2BEED" w14:textId="55D23681">
      <w:pPr>
        <w:pStyle w:val="Standard"/>
      </w:pPr>
      <w:r>
        <w:lastRenderedPageBreak/>
        <w:t xml:space="preserve">On October 17, 2025, the Joint Applicants filed a motion to strike portions of </w:t>
      </w:r>
      <w:r w:rsidR="00E7539A">
        <w:t>TURN’s</w:t>
      </w:r>
      <w:r w:rsidR="00425264">
        <w:t xml:space="preserve"> opening testimony on the</w:t>
      </w:r>
      <w:r w:rsidR="00AE18A1">
        <w:t xml:space="preserve"> ground</w:t>
      </w:r>
      <w:r w:rsidR="004A64A5">
        <w:t>s</w:t>
      </w:r>
      <w:r w:rsidR="00AE18A1">
        <w:t xml:space="preserve"> that it was out of the scope of the proceeding.</w:t>
      </w:r>
    </w:p>
    <w:p w:rsidR="004C7F85" w:rsidP="006E6574" w:rsidRDefault="00F512A0" w14:paraId="5DB81BBF" w14:textId="0794E6CC">
      <w:pPr>
        <w:pStyle w:val="Standard"/>
      </w:pPr>
      <w:r>
        <w:t xml:space="preserve">On October </w:t>
      </w:r>
      <w:r w:rsidR="00AC5213">
        <w:t>22, 2025</w:t>
      </w:r>
      <w:r w:rsidR="00E7539A">
        <w:t>,</w:t>
      </w:r>
      <w:r w:rsidR="00AC5213">
        <w:t xml:space="preserve"> the Joint Applicants filed a response to the ALJ’s </w:t>
      </w:r>
      <w:r w:rsidR="00552D6B">
        <w:t>October 8, 2025</w:t>
      </w:r>
      <w:r w:rsidR="008741A2">
        <w:t>,</w:t>
      </w:r>
      <w:r w:rsidR="00552D6B">
        <w:t xml:space="preserve"> </w:t>
      </w:r>
      <w:r w:rsidR="00AC5213">
        <w:t>ruling requesting additional information.</w:t>
      </w:r>
    </w:p>
    <w:p w:rsidR="006E0211" w:rsidP="006E6574" w:rsidRDefault="008A6B0B" w14:paraId="33A073AD" w14:textId="2BD92403">
      <w:pPr>
        <w:pStyle w:val="Standard"/>
      </w:pPr>
      <w:r>
        <w:t xml:space="preserve">On October 30, 2025, TURN filed a response to </w:t>
      </w:r>
      <w:r w:rsidR="0090515B">
        <w:t>the Joint Applicant’s motion to strike.</w:t>
      </w:r>
    </w:p>
    <w:p w:rsidR="00091358" w:rsidP="006E6574" w:rsidRDefault="00091358" w14:paraId="0D8FA38E" w14:textId="1AF8F95A">
      <w:pPr>
        <w:pStyle w:val="Standard"/>
      </w:pPr>
      <w:r>
        <w:t xml:space="preserve">On November </w:t>
      </w:r>
      <w:r w:rsidR="0061409F">
        <w:t>7, 2025, Joint Applicants and TURN each served rebuttal testimony.</w:t>
      </w:r>
    </w:p>
    <w:p w:rsidR="00395FAB" w:rsidP="00805924" w:rsidRDefault="000E2EF3" w14:paraId="43CF6AAC" w14:textId="4CA643DD">
      <w:pPr>
        <w:pStyle w:val="Standard"/>
      </w:pPr>
      <w:r>
        <w:t xml:space="preserve">On November 12, </w:t>
      </w:r>
      <w:r w:rsidR="00395FAB">
        <w:t>2025, TURN filed a motion requesting evidentiary hearings.</w:t>
      </w:r>
    </w:p>
    <w:p w:rsidR="009B0C70" w:rsidP="00805924" w:rsidRDefault="009B0C70" w14:paraId="0E91A160" w14:textId="7002075A">
      <w:pPr>
        <w:pStyle w:val="Standard"/>
      </w:pPr>
      <w:r>
        <w:t xml:space="preserve">On November 13, 2025, </w:t>
      </w:r>
      <w:r w:rsidR="00D267CD">
        <w:t>Joint Applicants filed a reply to TURN’s response to Joint Applicants October 17, 2025</w:t>
      </w:r>
      <w:r w:rsidR="008741A2">
        <w:t>,</w:t>
      </w:r>
      <w:r w:rsidR="00030FFB">
        <w:t xml:space="preserve"> motion to strike.</w:t>
      </w:r>
    </w:p>
    <w:p w:rsidR="00493FF0" w:rsidP="006E6574" w:rsidRDefault="00493FF0" w14:paraId="080DCF45" w14:textId="08E5E841">
      <w:pPr>
        <w:pStyle w:val="Standard"/>
      </w:pPr>
      <w:r>
        <w:t xml:space="preserve">On November 19, 2025, </w:t>
      </w:r>
      <w:r w:rsidR="006C1375">
        <w:t>Joint Applicants filed a response to TURN’s motion for evidentiary hearings.</w:t>
      </w:r>
    </w:p>
    <w:p w:rsidR="006C1375" w:rsidP="006E6574" w:rsidRDefault="006C1375" w14:paraId="1AAE17AA" w14:textId="6A687C35">
      <w:pPr>
        <w:pStyle w:val="Standard"/>
      </w:pPr>
      <w:r>
        <w:t xml:space="preserve">On November 21, 2025, </w:t>
      </w:r>
      <w:r w:rsidR="00A867B3">
        <w:t>the ALJ issued a ruling granting TURN’s motion for evidentiary hearings, setting the evidentiary hearing</w:t>
      </w:r>
      <w:r w:rsidR="00D20D1F">
        <w:t xml:space="preserve"> on December 16, 2025</w:t>
      </w:r>
      <w:r w:rsidR="00E7539A">
        <w:t>,</w:t>
      </w:r>
      <w:r w:rsidR="00D20D1F">
        <w:t xml:space="preserve"> from 9:30</w:t>
      </w:r>
      <w:r w:rsidR="00E7539A">
        <w:t xml:space="preserve"> a.m.</w:t>
      </w:r>
      <w:r w:rsidR="00D20D1F">
        <w:t xml:space="preserve"> to 4:30</w:t>
      </w:r>
      <w:r w:rsidR="00E7539A">
        <w:t xml:space="preserve"> p.m.</w:t>
      </w:r>
      <w:r w:rsidR="00D20D1F">
        <w:t>,</w:t>
      </w:r>
      <w:r w:rsidR="00A867B3">
        <w:t xml:space="preserve"> and providing evidentiary hearing instructions.</w:t>
      </w:r>
    </w:p>
    <w:p w:rsidR="00D20D1F" w:rsidP="006E6574" w:rsidRDefault="00BD2074" w14:paraId="08416B48" w14:textId="07C01C15">
      <w:pPr>
        <w:pStyle w:val="Standard"/>
      </w:pPr>
      <w:r>
        <w:t xml:space="preserve">On November </w:t>
      </w:r>
      <w:r w:rsidR="00F060DD">
        <w:t xml:space="preserve">24, 2025, Joint Applicants filed a motion to strike portions of </w:t>
      </w:r>
      <w:r w:rsidR="002D4080">
        <w:t>TURN</w:t>
      </w:r>
      <w:r w:rsidR="00E7539A">
        <w:t>’s rebuttal testimony</w:t>
      </w:r>
      <w:r w:rsidR="00F060DD">
        <w:t>.</w:t>
      </w:r>
      <w:r w:rsidR="00EA287D">
        <w:t xml:space="preserve"> </w:t>
      </w:r>
      <w:r w:rsidR="008741A2">
        <w:t xml:space="preserve"> </w:t>
      </w:r>
      <w:r w:rsidR="00F060DD">
        <w:t>Alongside the motion</w:t>
      </w:r>
      <w:r w:rsidR="00E7539A">
        <w:t>,</w:t>
      </w:r>
      <w:r w:rsidR="00F060DD">
        <w:t xml:space="preserve"> Joint Applicants filed a </w:t>
      </w:r>
      <w:r w:rsidR="000308C2">
        <w:t xml:space="preserve">motion to file under seal confidential information included in </w:t>
      </w:r>
      <w:r w:rsidR="00BE6EE0">
        <w:t xml:space="preserve">their motion to strike portions of </w:t>
      </w:r>
      <w:r w:rsidR="0017124F">
        <w:t>TURN</w:t>
      </w:r>
      <w:r w:rsidR="00BE6EE0">
        <w:t>’s rebuttal testimony.</w:t>
      </w:r>
    </w:p>
    <w:p w:rsidR="00BE6EE0" w:rsidP="006E6574" w:rsidRDefault="00BE6EE0" w14:paraId="7EC44B10" w14:textId="5E1FDF23">
      <w:pPr>
        <w:pStyle w:val="Standard"/>
      </w:pPr>
      <w:r>
        <w:t xml:space="preserve">Also on November 24, 2025, </w:t>
      </w:r>
      <w:r w:rsidR="0017124F">
        <w:t xml:space="preserve">Joint Applicants </w:t>
      </w:r>
      <w:r w:rsidR="009941AF">
        <w:t>filed a response to the assigned ALJ’s N</w:t>
      </w:r>
      <w:r w:rsidR="00D24856">
        <w:t>ovember 12, 2025</w:t>
      </w:r>
      <w:r w:rsidR="008741A2">
        <w:t>,</w:t>
      </w:r>
      <w:r w:rsidR="00D24856">
        <w:t xml:space="preserve"> ruling requiring additional information.</w:t>
      </w:r>
    </w:p>
    <w:p w:rsidR="00020818" w:rsidP="006E6574" w:rsidRDefault="009C2534" w14:paraId="1DBC00C7" w14:textId="3E923017">
      <w:pPr>
        <w:pStyle w:val="Standard"/>
      </w:pPr>
      <w:r>
        <w:t>On December 5, 2025, TURN</w:t>
      </w:r>
      <w:r w:rsidR="009C6DEB">
        <w:t xml:space="preserve"> filed a response to </w:t>
      </w:r>
      <w:r w:rsidR="00E7539A">
        <w:t xml:space="preserve">the </w:t>
      </w:r>
      <w:r w:rsidR="009C6DEB">
        <w:t xml:space="preserve">Joint Applicants’ motion to strike portions of </w:t>
      </w:r>
      <w:r w:rsidR="00B50C5B">
        <w:t>its</w:t>
      </w:r>
      <w:r w:rsidR="009C6DEB">
        <w:t xml:space="preserve"> rebuttal testimony.</w:t>
      </w:r>
    </w:p>
    <w:p w:rsidR="00B90BC6" w:rsidP="006E6574" w:rsidRDefault="00B90BC6" w14:paraId="05E223B5" w14:textId="41D90E0B">
      <w:pPr>
        <w:pStyle w:val="Standard"/>
      </w:pPr>
      <w:r>
        <w:lastRenderedPageBreak/>
        <w:t>On December 11, 2025, the Joint Applicants filed a reply to TURN’s response to Joint Applicants’</w:t>
      </w:r>
      <w:r w:rsidRPr="00B90BC6">
        <w:t xml:space="preserve"> </w:t>
      </w:r>
      <w:r w:rsidR="00B50C5B">
        <w:t xml:space="preserve">November 24, 2025 </w:t>
      </w:r>
      <w:r>
        <w:t>motion to strike.</w:t>
      </w:r>
    </w:p>
    <w:p w:rsidR="007F7C29" w:rsidP="006E6574" w:rsidRDefault="00E7539A" w14:paraId="00DA7EF6" w14:textId="03876AB7">
      <w:pPr>
        <w:pStyle w:val="Standard"/>
      </w:pPr>
      <w:r>
        <w:t>O</w:t>
      </w:r>
      <w:r w:rsidR="003B24B3">
        <w:t>n December 12, 2025, the ALJ deni</w:t>
      </w:r>
      <w:r w:rsidR="0017124F">
        <w:t>ed</w:t>
      </w:r>
      <w:r w:rsidR="003B24B3">
        <w:t xml:space="preserve"> Joint Applicants’ </w:t>
      </w:r>
      <w:r w:rsidR="00A34748">
        <w:t>October 17, 2025</w:t>
      </w:r>
      <w:r w:rsidR="00B50C5B">
        <w:t xml:space="preserve"> and November 24, 2025</w:t>
      </w:r>
      <w:r w:rsidR="00A34748">
        <w:t xml:space="preserve"> motion</w:t>
      </w:r>
      <w:r w:rsidR="0017124F">
        <w:t>s</w:t>
      </w:r>
      <w:r w:rsidR="00A34748">
        <w:t xml:space="preserve"> to strike portions of </w:t>
      </w:r>
      <w:r w:rsidR="0017124F">
        <w:t>TURN’s</w:t>
      </w:r>
      <w:r w:rsidR="00A34748">
        <w:t xml:space="preserve"> opening testimony and</w:t>
      </w:r>
      <w:r w:rsidR="003F6C19">
        <w:t xml:space="preserve"> rebuttal testimony. </w:t>
      </w:r>
      <w:r w:rsidR="00B50C5B">
        <w:t xml:space="preserve"> </w:t>
      </w:r>
      <w:r w:rsidR="003F6C19">
        <w:t xml:space="preserve">The ruling also </w:t>
      </w:r>
      <w:r w:rsidR="002A61DC">
        <w:t xml:space="preserve">granted Joint Applicants’ motion to file under seal confidential information included in their motion to strike portions of </w:t>
      </w:r>
      <w:r w:rsidR="0017124F">
        <w:t>TURN’s</w:t>
      </w:r>
      <w:r w:rsidR="002A61DC">
        <w:t xml:space="preserve"> rebuttal testimony</w:t>
      </w:r>
      <w:r w:rsidR="0055427E">
        <w:t>.</w:t>
      </w:r>
    </w:p>
    <w:p w:rsidR="0055427E" w:rsidP="006E6574" w:rsidRDefault="0055427E" w14:paraId="5EA76887" w14:textId="3FCCFDA5">
      <w:pPr>
        <w:pStyle w:val="Standard"/>
      </w:pPr>
      <w:r>
        <w:t xml:space="preserve">On December </w:t>
      </w:r>
      <w:r w:rsidR="00D87D65">
        <w:t>16, 2025</w:t>
      </w:r>
      <w:r w:rsidR="00E7539A">
        <w:t>,</w:t>
      </w:r>
      <w:r w:rsidR="00D87D65">
        <w:t xml:space="preserve"> the evidentiary hearing was held. </w:t>
      </w:r>
      <w:r w:rsidR="009974AE">
        <w:t xml:space="preserve"> </w:t>
      </w:r>
      <w:r w:rsidR="00D87D65">
        <w:t xml:space="preserve">At the evidentiary hearing, </w:t>
      </w:r>
      <w:r w:rsidR="0017124F">
        <w:t>Joint Applicants and TURN</w:t>
      </w:r>
      <w:r w:rsidR="00D87D65">
        <w:t xml:space="preserve"> </w:t>
      </w:r>
      <w:r w:rsidR="0017124F">
        <w:t>moved</w:t>
      </w:r>
      <w:r w:rsidR="00E1188C">
        <w:t xml:space="preserve"> to admit evidence, which the ALJ granted.</w:t>
      </w:r>
    </w:p>
    <w:p w:rsidR="00E1188C" w:rsidP="006E6574" w:rsidRDefault="00E1188C" w14:paraId="7FF4A92C" w14:textId="390CEC2B">
      <w:pPr>
        <w:pStyle w:val="Standard"/>
      </w:pPr>
      <w:r>
        <w:t xml:space="preserve">On December 22, 2025, </w:t>
      </w:r>
      <w:r w:rsidR="005714B3">
        <w:t xml:space="preserve">TURN filed a motion to de-designate as confidential </w:t>
      </w:r>
      <w:r w:rsidR="00E7539A">
        <w:t xml:space="preserve">the </w:t>
      </w:r>
      <w:r w:rsidR="005714B3">
        <w:t>Joint Applicants’ response to TURN Data Request</w:t>
      </w:r>
      <w:r w:rsidR="00FB6AA9">
        <w:t xml:space="preserve"> 4-4</w:t>
      </w:r>
      <w:r w:rsidR="00E4224E">
        <w:t xml:space="preserve">, which was admitted into the record </w:t>
      </w:r>
      <w:r w:rsidR="00156B6A">
        <w:t>during the evidentiary hearing as exhibit TRN</w:t>
      </w:r>
      <w:r w:rsidR="009974AE">
        <w:noBreakHyphen/>
      </w:r>
      <w:r w:rsidR="00156B6A">
        <w:t>27X</w:t>
      </w:r>
      <w:r w:rsidR="009974AE">
        <w:noBreakHyphen/>
      </w:r>
      <w:r w:rsidR="00156B6A">
        <w:t>C</w:t>
      </w:r>
      <w:r w:rsidR="00FB6AA9">
        <w:t>.</w:t>
      </w:r>
    </w:p>
    <w:p w:rsidR="00F02162" w:rsidP="006E6574" w:rsidRDefault="00AB3EC6" w14:paraId="4D6AF90C" w14:textId="0D7A727F">
      <w:pPr>
        <w:pStyle w:val="Standard"/>
      </w:pPr>
      <w:r>
        <w:t>On December 29, 2025</w:t>
      </w:r>
      <w:r w:rsidR="00A84944">
        <w:t>,</w:t>
      </w:r>
      <w:r>
        <w:t xml:space="preserve"> TURN filed a motion to de-designate</w:t>
      </w:r>
      <w:r w:rsidR="00A84944">
        <w:t xml:space="preserve"> </w:t>
      </w:r>
      <w:r>
        <w:t>portions of the evidentiary hearing transcript</w:t>
      </w:r>
      <w:r w:rsidR="00A84944">
        <w:t xml:space="preserve"> as confidential</w:t>
      </w:r>
      <w:r>
        <w:t>.</w:t>
      </w:r>
    </w:p>
    <w:p w:rsidR="00AB3EC6" w:rsidP="006E6574" w:rsidRDefault="00AB3EC6" w14:paraId="31EF7210" w14:textId="2CD3DDFC">
      <w:pPr>
        <w:pStyle w:val="Standard"/>
      </w:pPr>
      <w:r>
        <w:t>On December 31, 2025</w:t>
      </w:r>
      <w:r w:rsidR="00A84944">
        <w:t>,</w:t>
      </w:r>
      <w:r>
        <w:t xml:space="preserve"> Joint Applicants filed </w:t>
      </w:r>
      <w:r w:rsidR="00AC760C">
        <w:t>responses to TURN’s motion</w:t>
      </w:r>
      <w:r w:rsidR="00A84944">
        <w:t>s</w:t>
      </w:r>
      <w:r w:rsidR="00AC760C">
        <w:t xml:space="preserve"> to de-designate Joint Applicants’ response to TURN Data Request 4-4 and portions of the evidentiary hearing transcript</w:t>
      </w:r>
      <w:r w:rsidR="00A84944">
        <w:t xml:space="preserve"> as confidential</w:t>
      </w:r>
      <w:r w:rsidR="00AC760C">
        <w:t>.</w:t>
      </w:r>
    </w:p>
    <w:p w:rsidR="004D0779" w:rsidP="006E6574" w:rsidRDefault="004D0779" w14:paraId="7130C8C1" w14:textId="362B7C7B">
      <w:pPr>
        <w:pStyle w:val="Standard"/>
      </w:pPr>
      <w:r>
        <w:t>On January 9, 2026</w:t>
      </w:r>
      <w:r w:rsidR="00A84944">
        <w:t>,</w:t>
      </w:r>
      <w:r>
        <w:t xml:space="preserve"> the ALJ </w:t>
      </w:r>
      <w:r w:rsidR="003C7FBB">
        <w:t>grant</w:t>
      </w:r>
      <w:r w:rsidR="00A84944">
        <w:t>ed</w:t>
      </w:r>
      <w:r w:rsidR="003C7FBB">
        <w:t xml:space="preserve"> TURN’s motion</w:t>
      </w:r>
      <w:r w:rsidR="00A84944">
        <w:t>s</w:t>
      </w:r>
      <w:r w:rsidR="003C7FBB">
        <w:t xml:space="preserve"> to de-designate Joint Applicants’ response to TURN Data Request 4-4 and portions of the evidentiary hearing transcript</w:t>
      </w:r>
      <w:r w:rsidR="00A84944">
        <w:t xml:space="preserve"> as confidential</w:t>
      </w:r>
      <w:r w:rsidR="003C7FBB">
        <w:t xml:space="preserve">. </w:t>
      </w:r>
      <w:r w:rsidR="009974AE">
        <w:t xml:space="preserve"> </w:t>
      </w:r>
      <w:r w:rsidR="003C7FBB">
        <w:t xml:space="preserve">The ruling also </w:t>
      </w:r>
      <w:r w:rsidR="002656A6">
        <w:t xml:space="preserve">required </w:t>
      </w:r>
      <w:r w:rsidR="004F7C04">
        <w:t>the court reporter to file a revised evidentiary hearing transcript</w:t>
      </w:r>
      <w:r w:rsidR="00A84944">
        <w:t>,</w:t>
      </w:r>
      <w:r w:rsidR="004F7C04">
        <w:t xml:space="preserve"> removing the redactions from the portions of the transcript that were de-designated as confidential by the ruling.</w:t>
      </w:r>
    </w:p>
    <w:p w:rsidR="00A044BD" w:rsidP="005B1A40" w:rsidRDefault="006F6537" w14:paraId="7D6D2846" w14:textId="5793DA05">
      <w:pPr>
        <w:pStyle w:val="Standard"/>
      </w:pPr>
      <w:r>
        <w:t>On January 13, 202</w:t>
      </w:r>
      <w:r w:rsidR="00096A91">
        <w:t>6</w:t>
      </w:r>
      <w:r>
        <w:t xml:space="preserve">, </w:t>
      </w:r>
      <w:r w:rsidR="001B37FE">
        <w:t>the Joint Applicants emailed the ALJ and the service list</w:t>
      </w:r>
      <w:r w:rsidR="007F4F43">
        <w:t xml:space="preserve"> asking for</w:t>
      </w:r>
      <w:r w:rsidR="00F41010">
        <w:t xml:space="preserve"> </w:t>
      </w:r>
      <w:r w:rsidR="00C64DDC">
        <w:t>suspen</w:t>
      </w:r>
      <w:r w:rsidR="00A84944">
        <w:t>sion of</w:t>
      </w:r>
      <w:r w:rsidR="00C64DDC">
        <w:t xml:space="preserve"> </w:t>
      </w:r>
      <w:r w:rsidR="00B86671">
        <w:t>the January 9, 202</w:t>
      </w:r>
      <w:r w:rsidR="00096A91">
        <w:t>6</w:t>
      </w:r>
      <w:r w:rsidR="009974AE">
        <w:t>,</w:t>
      </w:r>
      <w:r w:rsidR="00B86671">
        <w:t xml:space="preserve"> ruling </w:t>
      </w:r>
      <w:r w:rsidR="00A84944">
        <w:t>to allow</w:t>
      </w:r>
      <w:r w:rsidR="00373690">
        <w:t xml:space="preserve"> Joint Applicants </w:t>
      </w:r>
      <w:r w:rsidR="00A84944">
        <w:lastRenderedPageBreak/>
        <w:t>time to</w:t>
      </w:r>
      <w:r w:rsidR="00373690">
        <w:t xml:space="preserve"> file </w:t>
      </w:r>
      <w:r w:rsidR="00A84944">
        <w:t>a</w:t>
      </w:r>
      <w:r w:rsidR="00373690">
        <w:t xml:space="preserve"> motion for reconsideration.</w:t>
      </w:r>
      <w:r w:rsidR="005B1A40">
        <w:t xml:space="preserve"> </w:t>
      </w:r>
      <w:r w:rsidR="008741A2">
        <w:t xml:space="preserve"> </w:t>
      </w:r>
      <w:r w:rsidR="00A044BD">
        <w:t>On January 14, 202</w:t>
      </w:r>
      <w:r w:rsidR="00096A91">
        <w:t>6</w:t>
      </w:r>
      <w:r w:rsidR="00A044BD">
        <w:t>, the ALJ s</w:t>
      </w:r>
      <w:r w:rsidR="00233B6B">
        <w:t>tay</w:t>
      </w:r>
      <w:r w:rsidR="00A84944">
        <w:t>ed</w:t>
      </w:r>
      <w:r w:rsidR="00A044BD">
        <w:t xml:space="preserve"> the January 9, 202</w:t>
      </w:r>
      <w:r w:rsidR="00096A91">
        <w:t>6</w:t>
      </w:r>
      <w:r w:rsidR="00A84944">
        <w:t>,</w:t>
      </w:r>
      <w:r w:rsidR="00A044BD">
        <w:t xml:space="preserve"> ruling </w:t>
      </w:r>
      <w:r w:rsidR="00233B6B">
        <w:t>until 5:00</w:t>
      </w:r>
      <w:r w:rsidR="00A84944">
        <w:t xml:space="preserve"> p.m.</w:t>
      </w:r>
      <w:r w:rsidR="00233B6B">
        <w:t xml:space="preserve"> on January 16, 202</w:t>
      </w:r>
      <w:r w:rsidR="00096A91">
        <w:t>6</w:t>
      </w:r>
      <w:r w:rsidR="00233B6B">
        <w:t>.</w:t>
      </w:r>
    </w:p>
    <w:p w:rsidR="00096A91" w:rsidP="005B1A40" w:rsidRDefault="00096A91" w14:paraId="4978CE96" w14:textId="78157AC4">
      <w:pPr>
        <w:pStyle w:val="Standard"/>
      </w:pPr>
      <w:r>
        <w:t xml:space="preserve">On January 16, 2026, the Joint Applicants filed a motion </w:t>
      </w:r>
      <w:r w:rsidR="00C407B6">
        <w:t>for reconsideration of the ALJ’s January 9, 2025</w:t>
      </w:r>
      <w:r w:rsidR="000F4363">
        <w:t>,</w:t>
      </w:r>
      <w:r w:rsidR="00C407B6">
        <w:t xml:space="preserve"> ruling.</w:t>
      </w:r>
    </w:p>
    <w:p w:rsidR="00C213C9" w:rsidP="005B1A40" w:rsidRDefault="00C213C9" w14:paraId="01F121F8" w14:textId="14207196">
      <w:pPr>
        <w:pStyle w:val="Standard"/>
      </w:pPr>
      <w:r>
        <w:t>On January 21, 2026</w:t>
      </w:r>
      <w:r w:rsidR="00A84944">
        <w:t>,</w:t>
      </w:r>
      <w:r>
        <w:t xml:space="preserve"> the </w:t>
      </w:r>
      <w:r w:rsidR="00AC7466">
        <w:t>ALJ den</w:t>
      </w:r>
      <w:r w:rsidR="00A84944">
        <w:t>ied</w:t>
      </w:r>
      <w:r w:rsidR="00AC7466">
        <w:t xml:space="preserve"> </w:t>
      </w:r>
      <w:r w:rsidR="00A84944">
        <w:t xml:space="preserve">the </w:t>
      </w:r>
      <w:r w:rsidR="00AC7466">
        <w:t>Joint Applicants’ motion for reconsideration.</w:t>
      </w:r>
    </w:p>
    <w:p w:rsidR="00AC7466" w:rsidP="005B1A40" w:rsidRDefault="00AC7466" w14:paraId="40595106" w14:textId="0A2F76B0">
      <w:pPr>
        <w:pStyle w:val="Standard"/>
      </w:pPr>
      <w:r>
        <w:t>On January 22, 2026</w:t>
      </w:r>
      <w:r w:rsidR="00A84944">
        <w:t>,</w:t>
      </w:r>
      <w:r>
        <w:t xml:space="preserve"> the court reporter filed a</w:t>
      </w:r>
      <w:r w:rsidR="00DE7548">
        <w:t xml:space="preserve"> revised evidentiary hearing transcript removing the redactions from the portions of the transcript that were de-designated as confidential by the ALJ’s January 9, 2026 ruling.</w:t>
      </w:r>
    </w:p>
    <w:p w:rsidR="00DE7548" w:rsidP="005B1A40" w:rsidRDefault="00EE7F3D" w14:paraId="05B3020B" w14:textId="016B45C4">
      <w:pPr>
        <w:pStyle w:val="Standard"/>
      </w:pPr>
      <w:r>
        <w:t>On January 27, 2026</w:t>
      </w:r>
      <w:r w:rsidR="00A84944">
        <w:t>,</w:t>
      </w:r>
      <w:r>
        <w:t xml:space="preserve"> the Joint Applicants and </w:t>
      </w:r>
      <w:r w:rsidR="00DF4A05">
        <w:t>TURN</w:t>
      </w:r>
      <w:r w:rsidR="00D31C71">
        <w:t xml:space="preserve"> each</w:t>
      </w:r>
      <w:r w:rsidR="00DF4A05">
        <w:t xml:space="preserve"> filed </w:t>
      </w:r>
      <w:r w:rsidR="00004DF2">
        <w:t xml:space="preserve">opening briefs. </w:t>
      </w:r>
      <w:r w:rsidR="00B50C5B">
        <w:t xml:space="preserve"> </w:t>
      </w:r>
      <w:r w:rsidR="00004DF2">
        <w:t>Concurrently with the filing of their opening brief, Joint Applicants filed a motion</w:t>
      </w:r>
      <w:r w:rsidR="0029253F">
        <w:t xml:space="preserve"> for leave to file under seal a confidential version of Joint Applicants’ opening brief.</w:t>
      </w:r>
    </w:p>
    <w:p w:rsidR="00146EC1" w:rsidP="00227FC6" w:rsidRDefault="00D31C71" w14:paraId="6F433911" w14:textId="457728D5">
      <w:pPr>
        <w:pStyle w:val="Standard"/>
      </w:pPr>
      <w:r>
        <w:t>On February 10, 2026, the Joint Applicants and TURN each filed reply briefs.</w:t>
      </w:r>
    </w:p>
    <w:p w:rsidRPr="00227FC6" w:rsidR="00DD7F2B" w:rsidP="00227FC6" w:rsidRDefault="00DD7F2B" w14:paraId="00685015" w14:textId="112531FF">
      <w:pPr>
        <w:pStyle w:val="Standard"/>
      </w:pPr>
      <w:r>
        <w:t xml:space="preserve">On April 23, 2026, the Joint Applicants filed </w:t>
      </w:r>
      <w:r w:rsidR="00E947D4">
        <w:t>a notice to update the record</w:t>
      </w:r>
      <w:r w:rsidR="00EA41F5">
        <w:t xml:space="preserve">, stating </w:t>
      </w:r>
      <w:r w:rsidR="00E947D4">
        <w:t>that David Abel, Aventiv</w:t>
      </w:r>
      <w:r w:rsidR="00C369F0">
        <w:t xml:space="preserve">’s Chief Executive Officer, resigned effective April 20, 2026 and that </w:t>
      </w:r>
      <w:r w:rsidR="00E707F5">
        <w:t xml:space="preserve">Kevin Elder, Aventiv’s President, would be assuming the role of </w:t>
      </w:r>
      <w:r w:rsidR="00696DD1">
        <w:t>Interim Chief Executive Officer, in addition to his current role as president.</w:t>
      </w:r>
    </w:p>
    <w:p w:rsidR="00683B2C" w:rsidP="008741A2" w:rsidRDefault="00683B2C" w14:paraId="06B71494" w14:textId="77777777">
      <w:pPr>
        <w:pStyle w:val="Heading1"/>
        <w:numPr>
          <w:ilvl w:val="0"/>
          <w:numId w:val="1"/>
        </w:numPr>
        <w:spacing w:after="0" w:line="360" w:lineRule="auto"/>
      </w:pPr>
      <w:bookmarkStart w:name="_Toc228532642" w:id="24"/>
      <w:r>
        <w:t>Submission Date</w:t>
      </w:r>
      <w:bookmarkEnd w:id="24"/>
    </w:p>
    <w:p w:rsidRPr="00227FC6" w:rsidR="00683B2C" w:rsidP="004723BA" w:rsidRDefault="00683B2C" w14:paraId="389D15BB" w14:textId="40B4D342">
      <w:pPr>
        <w:pStyle w:val="Standard"/>
      </w:pPr>
      <w:r w:rsidRPr="00F4595C">
        <w:t>This matter was submitted</w:t>
      </w:r>
      <w:r w:rsidR="00EE3966">
        <w:t xml:space="preserve"> </w:t>
      </w:r>
      <w:r w:rsidRPr="00227FC6">
        <w:t xml:space="preserve">upon </w:t>
      </w:r>
      <w:r w:rsidRPr="00227FC6" w:rsidR="00227FC6">
        <w:t>filing of the reply briefs</w:t>
      </w:r>
      <w:r w:rsidR="00B9564C">
        <w:t xml:space="preserve"> on February 10, 2026</w:t>
      </w:r>
      <w:r w:rsidRPr="00227FC6">
        <w:t>.</w:t>
      </w:r>
      <w:r w:rsidR="00B46407">
        <w:rPr>
          <w:rStyle w:val="FootnoteReference"/>
        </w:rPr>
        <w:footnoteReference w:id="24"/>
      </w:r>
      <w:r w:rsidR="00B21CB9">
        <w:t xml:space="preserve"> </w:t>
      </w:r>
      <w:r w:rsidR="002425AE">
        <w:t>O</w:t>
      </w:r>
      <w:r w:rsidR="00C62244">
        <w:t>n April 23, 2026</w:t>
      </w:r>
      <w:r w:rsidR="00B9564C">
        <w:t>,</w:t>
      </w:r>
      <w:r w:rsidR="00C62244">
        <w:t xml:space="preserve"> </w:t>
      </w:r>
      <w:r w:rsidR="00EE3966">
        <w:t xml:space="preserve">Joint Applicants filed a notice to update the record </w:t>
      </w:r>
      <w:r w:rsidR="001F3262">
        <w:t xml:space="preserve">stating that David Abel, Aventiv’s Chief Executive Officer, resigned effective </w:t>
      </w:r>
      <w:r w:rsidR="001F3262">
        <w:lastRenderedPageBreak/>
        <w:t>April 20, 2026</w:t>
      </w:r>
      <w:r w:rsidR="002F2F75">
        <w:t>,</w:t>
      </w:r>
      <w:r w:rsidR="001F3262">
        <w:t xml:space="preserve"> and that Kevin Elder, Aventiv’s President, would be assuming the role of Interim Chief Executive Officer, in addition to his current role as </w:t>
      </w:r>
      <w:r w:rsidR="002F2F75">
        <w:t>P</w:t>
      </w:r>
      <w:r w:rsidR="001F3262">
        <w:t>resident.</w:t>
      </w:r>
      <w:r w:rsidR="00396F13">
        <w:t xml:space="preserve"> Kevin Elder’s professional biography was previously provided to the Commission in Exhibit F to the application.</w:t>
      </w:r>
      <w:r w:rsidR="00923ECE">
        <w:t xml:space="preserve"> TURN did not dispute Mr. Elder’s technical qualifications.</w:t>
      </w:r>
      <w:r w:rsidR="00396F13">
        <w:t xml:space="preserve"> </w:t>
      </w:r>
      <w:r w:rsidR="002425AE">
        <w:t xml:space="preserve"> Because this notice does not constitute a materially disputed fact or argument, the submission date remains February 10, 2026.</w:t>
      </w:r>
    </w:p>
    <w:p w:rsidR="00AC2FA5" w:rsidP="008741A2" w:rsidRDefault="0063491C" w14:paraId="7D5787F6" w14:textId="77777777">
      <w:pPr>
        <w:pStyle w:val="Heading1"/>
        <w:numPr>
          <w:ilvl w:val="0"/>
          <w:numId w:val="1"/>
        </w:numPr>
        <w:spacing w:after="0" w:line="360" w:lineRule="auto"/>
      </w:pPr>
      <w:bookmarkStart w:name="_Toc8123718" w:id="25"/>
      <w:bookmarkStart w:name="_Toc228532643" w:id="26"/>
      <w:r>
        <w:t>Jurisdiction</w:t>
      </w:r>
      <w:bookmarkEnd w:id="25"/>
      <w:bookmarkEnd w:id="26"/>
    </w:p>
    <w:p w:rsidRPr="0008636D" w:rsidR="006F42C9" w:rsidP="185B1C2D" w:rsidRDefault="007F4F43" w14:paraId="2207F130" w14:textId="29E5670A">
      <w:pPr>
        <w:rPr>
          <w:rFonts w:eastAsia="Times New Roman" w:cs="Times New Roman"/>
        </w:rPr>
      </w:pPr>
      <w:r>
        <w:rPr>
          <w:rFonts w:eastAsia="Times New Roman" w:cs="Times New Roman"/>
        </w:rPr>
        <w:t>Transferor, Plati</w:t>
      </w:r>
      <w:r w:rsidR="00AA34AE">
        <w:rPr>
          <w:rFonts w:eastAsia="Times New Roman" w:cs="Times New Roman"/>
        </w:rPr>
        <w:t>n</w:t>
      </w:r>
      <w:r>
        <w:rPr>
          <w:rFonts w:eastAsia="Times New Roman" w:cs="Times New Roman"/>
        </w:rPr>
        <w:t>um Equity,</w:t>
      </w:r>
      <w:r w:rsidRPr="0008636D" w:rsidR="00AC2FA5">
        <w:rPr>
          <w:rFonts w:eastAsia="Times New Roman" w:cs="Times New Roman"/>
        </w:rPr>
        <w:t xml:space="preserve"> is a </w:t>
      </w:r>
      <w:r w:rsidRPr="0008636D" w:rsidR="006523E5">
        <w:rPr>
          <w:rFonts w:eastAsia="Times New Roman" w:cs="Times New Roman"/>
        </w:rPr>
        <w:t xml:space="preserve">private equity investment vehicle that </w:t>
      </w:r>
      <w:r w:rsidRPr="0008636D" w:rsidR="00E95148">
        <w:rPr>
          <w:rFonts w:eastAsia="Times New Roman" w:cs="Times New Roman"/>
        </w:rPr>
        <w:t xml:space="preserve">holds a </w:t>
      </w:r>
      <w:r w:rsidRPr="0008636D" w:rsidR="00A6556B">
        <w:rPr>
          <w:rFonts w:eastAsia="Times New Roman" w:cs="Times New Roman"/>
        </w:rPr>
        <w:t>majority in</w:t>
      </w:r>
      <w:r w:rsidRPr="0008636D" w:rsidR="000C26D4">
        <w:rPr>
          <w:rFonts w:eastAsia="Times New Roman" w:cs="Times New Roman"/>
        </w:rPr>
        <w:t xml:space="preserve">direct interest in Securus, </w:t>
      </w:r>
      <w:r w:rsidR="00A84944">
        <w:rPr>
          <w:rFonts w:eastAsia="Times New Roman" w:cs="Times New Roman"/>
        </w:rPr>
        <w:t xml:space="preserve">a </w:t>
      </w:r>
      <w:r w:rsidRPr="0008636D" w:rsidR="00AC2FA5">
        <w:rPr>
          <w:rFonts w:eastAsia="Times New Roman" w:cs="Times New Roman"/>
        </w:rPr>
        <w:t xml:space="preserve">telephone corporation </w:t>
      </w:r>
      <w:r w:rsidR="00A84944">
        <w:rPr>
          <w:rFonts w:eastAsia="Times New Roman" w:cs="Times New Roman"/>
        </w:rPr>
        <w:t xml:space="preserve">with a </w:t>
      </w:r>
      <w:r w:rsidRPr="0008636D" w:rsidR="00AC2FA5">
        <w:rPr>
          <w:rFonts w:eastAsia="Times New Roman" w:cs="Times New Roman"/>
        </w:rPr>
        <w:t xml:space="preserve">CPCN </w:t>
      </w:r>
      <w:r>
        <w:rPr>
          <w:rFonts w:eastAsia="Times New Roman" w:cs="Times New Roman"/>
        </w:rPr>
        <w:t xml:space="preserve">that </w:t>
      </w:r>
      <w:r w:rsidRPr="0008636D" w:rsidR="00AC2FA5">
        <w:rPr>
          <w:rFonts w:eastAsia="Times New Roman" w:cs="Times New Roman"/>
        </w:rPr>
        <w:t>authoriz</w:t>
      </w:r>
      <w:r>
        <w:rPr>
          <w:rFonts w:eastAsia="Times New Roman" w:cs="Times New Roman"/>
        </w:rPr>
        <w:t>es</w:t>
      </w:r>
      <w:r w:rsidRPr="0008636D" w:rsidR="00AC2FA5">
        <w:rPr>
          <w:rFonts w:eastAsia="Times New Roman" w:cs="Times New Roman"/>
        </w:rPr>
        <w:t xml:space="preserve"> it to provide </w:t>
      </w:r>
      <w:r w:rsidRPr="0008636D" w:rsidR="009C7742">
        <w:rPr>
          <w:rFonts w:eastAsia="Times New Roman" w:cs="Times New Roman"/>
        </w:rPr>
        <w:t>resold interexchange services throughout Ca</w:t>
      </w:r>
      <w:r w:rsidRPr="0008636D" w:rsidR="000B4064">
        <w:rPr>
          <w:rFonts w:eastAsia="Times New Roman" w:cs="Times New Roman"/>
        </w:rPr>
        <w:t>lifornia</w:t>
      </w:r>
      <w:r w:rsidRPr="0008636D" w:rsidR="00415D2B">
        <w:rPr>
          <w:rFonts w:eastAsia="Times New Roman" w:cs="Times New Roman"/>
        </w:rPr>
        <w:t>.</w:t>
      </w:r>
      <w:r w:rsidRPr="0008636D" w:rsidR="000B4064">
        <w:rPr>
          <w:rStyle w:val="FootnoteReference"/>
          <w:rFonts w:eastAsia="Times New Roman" w:cs="Times New Roman"/>
        </w:rPr>
        <w:footnoteReference w:id="25"/>
      </w:r>
    </w:p>
    <w:p w:rsidRPr="006F42C9" w:rsidR="00AC2FA5" w:rsidP="006F42C9" w:rsidRDefault="00AC2FA5" w14:paraId="25BC8BFD" w14:textId="69984E88">
      <w:pPr>
        <w:rPr>
          <w:rFonts w:eastAsia="Times New Roman" w:cs="Times New Roman"/>
          <w:szCs w:val="20"/>
        </w:rPr>
      </w:pPr>
      <w:r w:rsidRPr="006F42C9">
        <w:rPr>
          <w:rFonts w:eastAsia="Times New Roman" w:cs="Times New Roman"/>
          <w:szCs w:val="20"/>
        </w:rPr>
        <w:t xml:space="preserve">Pursuant to Pub. Util. Code Section 854, Commission authorization is required for the proposed </w:t>
      </w:r>
      <w:r w:rsidRPr="003A1AC3">
        <w:rPr>
          <w:rFonts w:eastAsia="Times New Roman" w:cs="Times New Roman"/>
          <w:szCs w:val="20"/>
        </w:rPr>
        <w:t xml:space="preserve">transfer of indirect ownership of </w:t>
      </w:r>
      <w:r w:rsidRPr="003A1AC3" w:rsidR="00A80CBD">
        <w:rPr>
          <w:rFonts w:eastAsia="Times New Roman" w:cs="Times New Roman"/>
        </w:rPr>
        <w:t xml:space="preserve">Securus </w:t>
      </w:r>
      <w:r w:rsidRPr="003A1AC3" w:rsidR="004B2A7D">
        <w:rPr>
          <w:rFonts w:eastAsia="Times New Roman" w:cs="Times New Roman"/>
          <w:szCs w:val="20"/>
        </w:rPr>
        <w:t xml:space="preserve">to </w:t>
      </w:r>
      <w:r w:rsidR="00CA50D5">
        <w:t>SCRS Intermediate HC</w:t>
      </w:r>
      <w:r w:rsidRPr="003A1AC3">
        <w:rPr>
          <w:rFonts w:eastAsia="Times New Roman" w:cs="Times New Roman"/>
          <w:szCs w:val="20"/>
        </w:rPr>
        <w:t>.</w:t>
      </w:r>
      <w:r w:rsidRPr="003A1AC3" w:rsidR="006F42C9">
        <w:rPr>
          <w:rFonts w:eastAsia="Times New Roman" w:cs="Times New Roman"/>
          <w:szCs w:val="20"/>
        </w:rPr>
        <w:t xml:space="preserve"> </w:t>
      </w:r>
      <w:r w:rsidR="009974AE">
        <w:rPr>
          <w:rFonts w:eastAsia="Times New Roman" w:cs="Times New Roman"/>
          <w:szCs w:val="20"/>
        </w:rPr>
        <w:t xml:space="preserve"> </w:t>
      </w:r>
      <w:r w:rsidRPr="003A1AC3">
        <w:rPr>
          <w:rFonts w:eastAsia="Calibri" w:cs="Times New Roman"/>
        </w:rPr>
        <w:t xml:space="preserve">After the transfer of </w:t>
      </w:r>
      <w:r w:rsidRPr="003A1AC3" w:rsidR="003A1AC3">
        <w:rPr>
          <w:rFonts w:eastAsia="Times New Roman" w:cs="Times New Roman"/>
          <w:szCs w:val="20"/>
        </w:rPr>
        <w:t xml:space="preserve">Securus </w:t>
      </w:r>
      <w:r w:rsidRPr="003A1AC3" w:rsidR="00BA2501">
        <w:rPr>
          <w:rFonts w:eastAsia="Times New Roman" w:cs="Times New Roman"/>
          <w:szCs w:val="20"/>
        </w:rPr>
        <w:t xml:space="preserve">to </w:t>
      </w:r>
      <w:r w:rsidR="00CA50D5">
        <w:t>SCRS Intermediate HC</w:t>
      </w:r>
      <w:r w:rsidRPr="003A1AC3" w:rsidR="00BA2501">
        <w:rPr>
          <w:rFonts w:eastAsia="Calibri" w:cs="Times New Roman"/>
        </w:rPr>
        <w:t xml:space="preserve"> </w:t>
      </w:r>
      <w:r w:rsidRPr="003A1AC3">
        <w:rPr>
          <w:rFonts w:eastAsia="Calibri" w:cs="Times New Roman"/>
        </w:rPr>
        <w:t xml:space="preserve">is completed, control of the CPCN will effectively transfer to </w:t>
      </w:r>
      <w:r w:rsidR="00CA50D5">
        <w:t>SCRS Intermediate HC</w:t>
      </w:r>
      <w:r w:rsidR="00A84944">
        <w:t>.</w:t>
      </w:r>
      <w:r w:rsidRPr="003A1AC3">
        <w:t xml:space="preserve"> </w:t>
      </w:r>
      <w:r w:rsidR="009974AE">
        <w:t xml:space="preserve"> </w:t>
      </w:r>
      <w:r w:rsidR="00CA50D5">
        <w:t>SCRS Intermediate HC</w:t>
      </w:r>
      <w:r w:rsidRPr="003A1AC3" w:rsidR="00CA50D5">
        <w:t xml:space="preserve"> </w:t>
      </w:r>
      <w:r w:rsidRPr="003A1AC3">
        <w:t xml:space="preserve">agrees to be subject to the Commission’s authority for </w:t>
      </w:r>
      <w:r w:rsidRPr="003A1AC3" w:rsidR="00BA2501">
        <w:rPr>
          <w:rFonts w:eastAsia="Times New Roman" w:cs="Times New Roman"/>
          <w:szCs w:val="20"/>
        </w:rPr>
        <w:t>indirectly</w:t>
      </w:r>
      <w:r w:rsidRPr="003A1AC3">
        <w:t xml:space="preserve"> controlling </w:t>
      </w:r>
      <w:r w:rsidRPr="003A1AC3" w:rsidR="003A1AC3">
        <w:rPr>
          <w:rFonts w:eastAsia="Times New Roman" w:cs="Times New Roman"/>
          <w:szCs w:val="20"/>
        </w:rPr>
        <w:t>Securus</w:t>
      </w:r>
      <w:r w:rsidRPr="003A1AC3">
        <w:rPr>
          <w:rFonts w:eastAsia="Calibri" w:cs="Times New Roman"/>
        </w:rPr>
        <w:t>.</w:t>
      </w:r>
    </w:p>
    <w:p w:rsidR="005A148C" w:rsidP="008741A2" w:rsidRDefault="005939A5" w14:paraId="4D5342AC" w14:textId="77777777">
      <w:pPr>
        <w:pStyle w:val="Heading1"/>
        <w:numPr>
          <w:ilvl w:val="0"/>
          <w:numId w:val="1"/>
        </w:numPr>
        <w:spacing w:after="0" w:line="360" w:lineRule="auto"/>
      </w:pPr>
      <w:bookmarkStart w:name="_Toc8123719" w:id="27"/>
      <w:bookmarkStart w:name="_Toc228532644" w:id="28"/>
      <w:r>
        <w:t xml:space="preserve">Issues Before the </w:t>
      </w:r>
      <w:bookmarkEnd w:id="27"/>
      <w:r w:rsidR="008A08BF">
        <w:t>Commission</w:t>
      </w:r>
      <w:bookmarkEnd w:id="28"/>
    </w:p>
    <w:p w:rsidR="005939A5" w:rsidP="00A44E8D" w:rsidRDefault="00F805B4" w14:paraId="0E31B18E" w14:textId="48E8E017">
      <w:pPr>
        <w:pStyle w:val="Standard"/>
      </w:pPr>
      <w:r>
        <w:t>The issues in this proceeding are as follows:</w:t>
      </w:r>
    </w:p>
    <w:p w:rsidRPr="002B0D30" w:rsidR="004F5D16" w:rsidP="004F5D16" w:rsidRDefault="004F5D16" w14:paraId="21500EB9" w14:textId="77777777">
      <w:pPr>
        <w:pStyle w:val="ListNum"/>
        <w:numPr>
          <w:ilvl w:val="6"/>
          <w:numId w:val="1"/>
        </w:numPr>
        <w:ind w:right="1440"/>
      </w:pPr>
      <w:r w:rsidRPr="002B0D30">
        <w:t>Does the application meet all Commission requirements sufficient to grant authorization for the transfer of control, including compliance with Public Utilities Code Section 854(a) and Rule 3.6?</w:t>
      </w:r>
    </w:p>
    <w:p w:rsidRPr="002B0D30" w:rsidR="004F5D16" w:rsidP="004F5D16" w:rsidRDefault="004F5D16" w14:paraId="1751903F" w14:textId="77777777">
      <w:pPr>
        <w:pStyle w:val="ListNum"/>
        <w:numPr>
          <w:ilvl w:val="6"/>
          <w:numId w:val="1"/>
        </w:numPr>
        <w:ind w:right="1440"/>
      </w:pPr>
      <w:r w:rsidRPr="002B0D30">
        <w:t>Are conditions of approval necessary to protect and promote the public interest?</w:t>
      </w:r>
    </w:p>
    <w:p w:rsidR="00F805B4" w:rsidP="00F939F4" w:rsidRDefault="004F5D16" w14:paraId="281DE4BA" w14:textId="1309B750">
      <w:pPr>
        <w:pStyle w:val="ListNum"/>
        <w:numPr>
          <w:ilvl w:val="6"/>
          <w:numId w:val="1"/>
        </w:numPr>
        <w:ind w:right="1440"/>
      </w:pPr>
      <w:r w:rsidRPr="002B0D30">
        <w:lastRenderedPageBreak/>
        <w:t>Does the proposed transfer align with the Commission’s Environmental and Social Justice Plan?</w:t>
      </w:r>
    </w:p>
    <w:p w:rsidR="00543D64" w:rsidP="008741A2" w:rsidRDefault="00567821" w14:paraId="23754BBC" w14:textId="21FE0662">
      <w:pPr>
        <w:pStyle w:val="Heading1"/>
        <w:numPr>
          <w:ilvl w:val="0"/>
          <w:numId w:val="1"/>
        </w:numPr>
        <w:spacing w:after="0" w:line="360" w:lineRule="auto"/>
      </w:pPr>
      <w:bookmarkStart w:name="_Toc228532645" w:id="29"/>
      <w:r>
        <w:t>Standard of Review</w:t>
      </w:r>
      <w:bookmarkEnd w:id="29"/>
    </w:p>
    <w:p w:rsidRPr="009974AE" w:rsidR="00543D64" w:rsidP="00107052" w:rsidRDefault="002F59F8" w14:paraId="65E73925" w14:textId="6E13AE51">
      <w:pPr>
        <w:pStyle w:val="num2"/>
        <w:rPr>
          <w:rFonts w:ascii="Book Antiqua" w:hAnsi="Book Antiqua"/>
        </w:rPr>
      </w:pPr>
      <w:r>
        <w:tab/>
      </w:r>
      <w:r w:rsidRPr="009974AE" w:rsidR="00543D64">
        <w:rPr>
          <w:rFonts w:ascii="Book Antiqua" w:hAnsi="Book Antiqua"/>
        </w:rPr>
        <w:t xml:space="preserve">Joint Applicants seek approval of the transaction pursuant to Pub Util. </w:t>
      </w:r>
      <w:r w:rsidRPr="009974AE">
        <w:rPr>
          <w:rFonts w:ascii="Book Antiqua" w:hAnsi="Book Antiqua"/>
        </w:rPr>
        <w:t xml:space="preserve">Code </w:t>
      </w:r>
      <w:r w:rsidRPr="009974AE" w:rsidR="00543D64">
        <w:rPr>
          <w:rFonts w:ascii="Book Antiqua" w:hAnsi="Book Antiqua"/>
        </w:rPr>
        <w:t>Section 854(a)</w:t>
      </w:r>
      <w:r w:rsidRPr="009974AE">
        <w:rPr>
          <w:rFonts w:ascii="Book Antiqua" w:hAnsi="Book Antiqua"/>
        </w:rPr>
        <w:t>,</w:t>
      </w:r>
      <w:r w:rsidRPr="009974AE" w:rsidR="00543D64">
        <w:rPr>
          <w:rFonts w:ascii="Book Antiqua" w:hAnsi="Book Antiqua"/>
        </w:rPr>
        <w:t xml:space="preserve"> which requires Commission authorization before a public utility may “merge, acquire, or control either directly or indirectly any public utility organized and doing business in this state.” </w:t>
      </w:r>
      <w:r w:rsidRPr="009974AE" w:rsidR="009974AE">
        <w:rPr>
          <w:rFonts w:ascii="Book Antiqua" w:hAnsi="Book Antiqua"/>
        </w:rPr>
        <w:t xml:space="preserve"> </w:t>
      </w:r>
      <w:r w:rsidRPr="009974AE" w:rsidR="00543D64">
        <w:rPr>
          <w:rFonts w:ascii="Book Antiqua" w:hAnsi="Book Antiqua"/>
        </w:rPr>
        <w:t>The purpose of this and related code sections is to enable the Commission, before any transfer of public utility authority is consummated, to review the proposal and to take such action, as a condition of the transfer, as the public interest may require.</w:t>
      </w:r>
      <w:r w:rsidRPr="009974AE" w:rsidR="00543D64">
        <w:rPr>
          <w:rFonts w:ascii="Book Antiqua" w:hAnsi="Book Antiqua"/>
          <w:vertAlign w:val="superscript"/>
        </w:rPr>
        <w:footnoteReference w:id="26"/>
      </w:r>
    </w:p>
    <w:p w:rsidRPr="00543D64" w:rsidR="005A2364" w:rsidP="008852FF" w:rsidRDefault="00543D64" w14:paraId="54CCB72A" w14:textId="6BEE6E34">
      <w:pPr>
        <w:rPr>
          <w:rFonts w:eastAsia="Times New Roman" w:cs="Times New Roman"/>
        </w:rPr>
      </w:pPr>
      <w:r w:rsidRPr="009974AE">
        <w:rPr>
          <w:rFonts w:eastAsia="Times New Roman" w:cs="Times New Roman"/>
        </w:rPr>
        <w:t xml:space="preserve">The Commission has broad discretion under Pub Util. </w:t>
      </w:r>
      <w:r w:rsidRPr="009974AE" w:rsidR="002F59F8">
        <w:rPr>
          <w:rFonts w:eastAsia="Times New Roman" w:cs="Times New Roman"/>
        </w:rPr>
        <w:t xml:space="preserve">Code </w:t>
      </w:r>
      <w:r w:rsidRPr="009974AE">
        <w:rPr>
          <w:rFonts w:eastAsia="Times New Roman" w:cs="Times New Roman"/>
        </w:rPr>
        <w:t>Section 854</w:t>
      </w:r>
      <w:r w:rsidRPr="5FE663CC">
        <w:rPr>
          <w:rFonts w:eastAsia="Times New Roman" w:cs="Times New Roman"/>
        </w:rPr>
        <w:t xml:space="preserve"> to approve or reject a proposed transaction.  If necessary and appropriate, the Commission</w:t>
      </w:r>
      <w:r w:rsidRPr="5FE663CC">
        <w:rPr>
          <w:rFonts w:ascii="Palatino" w:hAnsi="Palatino" w:eastAsia="Times New Roman" w:cs="Times New Roman"/>
        </w:rPr>
        <w:t xml:space="preserve"> </w:t>
      </w:r>
      <w:r w:rsidRPr="5FE663CC">
        <w:rPr>
          <w:rFonts w:eastAsia="Times New Roman" w:cs="Times New Roman"/>
        </w:rPr>
        <w:t xml:space="preserve">may attach conditions </w:t>
      </w:r>
      <w:r w:rsidR="007F4F43">
        <w:rPr>
          <w:rFonts w:eastAsia="Times New Roman" w:cs="Times New Roman"/>
        </w:rPr>
        <w:t>of</w:t>
      </w:r>
      <w:r w:rsidRPr="5FE663CC">
        <w:rPr>
          <w:rFonts w:eastAsia="Times New Roman" w:cs="Times New Roman"/>
        </w:rPr>
        <w:t xml:space="preserve"> approval </w:t>
      </w:r>
      <w:r w:rsidR="007F4F43">
        <w:rPr>
          <w:rFonts w:eastAsia="Times New Roman" w:cs="Times New Roman"/>
        </w:rPr>
        <w:t>to</w:t>
      </w:r>
      <w:r w:rsidRPr="5FE663CC">
        <w:rPr>
          <w:rFonts w:eastAsia="Times New Roman" w:cs="Times New Roman"/>
        </w:rPr>
        <w:t xml:space="preserve"> a transaction to protect and promote the public interest.</w:t>
      </w:r>
      <w:r>
        <w:rPr>
          <w:rFonts w:eastAsia="Times New Roman" w:cs="Times New Roman"/>
          <w:sz w:val="24"/>
          <w:szCs w:val="24"/>
          <w:vertAlign w:val="superscript"/>
        </w:rPr>
        <w:footnoteReference w:id="27"/>
      </w:r>
    </w:p>
    <w:p w:rsidRPr="00543D64" w:rsidR="0073353F" w:rsidP="008741A2" w:rsidRDefault="434244D7" w14:paraId="6E8F7DD8" w14:textId="25E7C370">
      <w:pPr>
        <w:pStyle w:val="Heading3"/>
        <w:numPr>
          <w:ilvl w:val="0"/>
          <w:numId w:val="1"/>
        </w:numPr>
        <w:spacing w:after="0" w:line="360" w:lineRule="auto"/>
      </w:pPr>
      <w:bookmarkStart w:name="_Toc228532646" w:id="30"/>
      <w:r>
        <w:t>The Public Interest</w:t>
      </w:r>
      <w:bookmarkEnd w:id="30"/>
    </w:p>
    <w:p w:rsidR="009A49B7" w:rsidP="00D40993" w:rsidRDefault="00543D64" w14:paraId="041710AE" w14:textId="3506B7F4">
      <w:pPr>
        <w:pStyle w:val="Standard"/>
        <w:rPr>
          <w:rFonts w:eastAsia="Times New Roman" w:cs="Times New Roman"/>
        </w:rPr>
      </w:pPr>
      <w:r w:rsidRPr="5FE663CC">
        <w:rPr>
          <w:rFonts w:eastAsia="Times New Roman" w:cs="Times New Roman"/>
        </w:rPr>
        <w:t xml:space="preserve">The primary question in a transfer of control proceeding under </w:t>
      </w:r>
      <w:r w:rsidR="00EF0C63">
        <w:rPr>
          <w:rFonts w:eastAsia="Times New Roman" w:cs="Times New Roman"/>
        </w:rPr>
        <w:t>Pub</w:t>
      </w:r>
      <w:r w:rsidR="002F59F8">
        <w:rPr>
          <w:rFonts w:eastAsia="Times New Roman" w:cs="Times New Roman"/>
        </w:rPr>
        <w:t>.</w:t>
      </w:r>
      <w:r w:rsidR="00EF0C63">
        <w:rPr>
          <w:rFonts w:eastAsia="Times New Roman" w:cs="Times New Roman"/>
        </w:rPr>
        <w:t xml:space="preserve"> Util</w:t>
      </w:r>
      <w:r w:rsidR="002F59F8">
        <w:rPr>
          <w:rFonts w:eastAsia="Times New Roman" w:cs="Times New Roman"/>
        </w:rPr>
        <w:t>.</w:t>
      </w:r>
      <w:r w:rsidR="00EF0C63">
        <w:rPr>
          <w:rFonts w:eastAsia="Times New Roman" w:cs="Times New Roman"/>
        </w:rPr>
        <w:t xml:space="preserve"> Code</w:t>
      </w:r>
      <w:r w:rsidRPr="5FE663CC">
        <w:rPr>
          <w:rFonts w:eastAsia="Times New Roman" w:cs="Times New Roman"/>
        </w:rPr>
        <w:t xml:space="preserve"> </w:t>
      </w:r>
      <w:r>
        <w:rPr>
          <w:rFonts w:eastAsia="Times New Roman" w:cs="Times New Roman"/>
        </w:rPr>
        <w:t>Section</w:t>
      </w:r>
      <w:r w:rsidRPr="5FE663CC">
        <w:rPr>
          <w:rFonts w:eastAsia="Times New Roman" w:cs="Times New Roman"/>
        </w:rPr>
        <w:t xml:space="preserve"> 854(a) is whether a transaction will be </w:t>
      </w:r>
      <w:r w:rsidR="005D2D2C">
        <w:rPr>
          <w:rFonts w:eastAsia="Times New Roman" w:cs="Times New Roman"/>
        </w:rPr>
        <w:t>in</w:t>
      </w:r>
      <w:r w:rsidRPr="5FE663CC">
        <w:rPr>
          <w:rFonts w:eastAsia="Times New Roman" w:cs="Times New Roman"/>
        </w:rPr>
        <w:t xml:space="preserve"> the public interest.</w:t>
      </w:r>
    </w:p>
    <w:p w:rsidR="007075E1" w:rsidP="008741A2" w:rsidRDefault="007075E1" w14:paraId="1ACF6F87" w14:textId="7F62581D">
      <w:pPr>
        <w:pStyle w:val="Heading2"/>
        <w:numPr>
          <w:ilvl w:val="1"/>
          <w:numId w:val="1"/>
        </w:numPr>
        <w:spacing w:after="0" w:line="360" w:lineRule="auto"/>
      </w:pPr>
      <w:bookmarkStart w:name="_Toc228532647" w:id="31"/>
      <w:r>
        <w:t>Joint Applicants</w:t>
      </w:r>
      <w:r w:rsidR="007A5DF0">
        <w:t>’</w:t>
      </w:r>
      <w:r>
        <w:t xml:space="preserve"> Contentions</w:t>
      </w:r>
      <w:bookmarkEnd w:id="31"/>
    </w:p>
    <w:p w:rsidR="00EA2DB8" w:rsidP="00E93A39" w:rsidRDefault="001D523A" w14:paraId="0605FDE7" w14:textId="4D48D449">
      <w:pPr>
        <w:pStyle w:val="Standard"/>
        <w:rPr>
          <w:rFonts w:eastAsia="Times New Roman" w:cs="Times New Roman"/>
        </w:rPr>
      </w:pPr>
      <w:r>
        <w:rPr>
          <w:rFonts w:eastAsia="Times New Roman" w:cs="Times New Roman"/>
        </w:rPr>
        <w:t>Joint Applicants</w:t>
      </w:r>
      <w:r w:rsidR="00B05130">
        <w:rPr>
          <w:rFonts w:eastAsia="Times New Roman" w:cs="Times New Roman"/>
        </w:rPr>
        <w:t xml:space="preserve"> argue that th</w:t>
      </w:r>
      <w:r w:rsidR="0027620E">
        <w:rPr>
          <w:rFonts w:eastAsia="Times New Roman" w:cs="Times New Roman"/>
        </w:rPr>
        <w:t xml:space="preserve">e proposed transaction is not adverse to the public interest. </w:t>
      </w:r>
      <w:r w:rsidR="008741A2">
        <w:rPr>
          <w:rFonts w:eastAsia="Times New Roman" w:cs="Times New Roman"/>
        </w:rPr>
        <w:t xml:space="preserve"> </w:t>
      </w:r>
      <w:r w:rsidR="0027620E">
        <w:rPr>
          <w:rFonts w:eastAsia="Times New Roman" w:cs="Times New Roman"/>
        </w:rPr>
        <w:t>Specifically, Joint Applicants</w:t>
      </w:r>
      <w:r>
        <w:rPr>
          <w:rFonts w:eastAsia="Times New Roman" w:cs="Times New Roman"/>
        </w:rPr>
        <w:t xml:space="preserve"> state that </w:t>
      </w:r>
      <w:r w:rsidR="00427CBD">
        <w:rPr>
          <w:rFonts w:eastAsia="Times New Roman" w:cs="Times New Roman"/>
        </w:rPr>
        <w:t xml:space="preserve">the proposed transaction will significantly reduce </w:t>
      </w:r>
      <w:r w:rsidR="00167B0D">
        <w:rPr>
          <w:rFonts w:eastAsia="Times New Roman" w:cs="Times New Roman"/>
        </w:rPr>
        <w:t>the debt obligations of Securus’</w:t>
      </w:r>
      <w:r w:rsidR="007F4F43">
        <w:rPr>
          <w:rFonts w:eastAsia="Times New Roman" w:cs="Times New Roman"/>
        </w:rPr>
        <w:t>s</w:t>
      </w:r>
      <w:r w:rsidR="00167B0D">
        <w:rPr>
          <w:rFonts w:eastAsia="Times New Roman" w:cs="Times New Roman"/>
        </w:rPr>
        <w:t xml:space="preserve"> parent company, Aventiv, and will enable Securus to continue providing </w:t>
      </w:r>
      <w:r w:rsidR="000C5F3D">
        <w:rPr>
          <w:rFonts w:eastAsia="Times New Roman" w:cs="Times New Roman"/>
        </w:rPr>
        <w:t>incarcerated persons communications services.</w:t>
      </w:r>
      <w:r w:rsidR="000C5F3D">
        <w:rPr>
          <w:rStyle w:val="FootnoteReference"/>
          <w:rFonts w:eastAsia="Times New Roman" w:cs="Times New Roman"/>
        </w:rPr>
        <w:footnoteReference w:id="28"/>
      </w:r>
      <w:r w:rsidR="005D2CB7">
        <w:rPr>
          <w:rFonts w:eastAsia="Times New Roman" w:cs="Times New Roman"/>
        </w:rPr>
        <w:t xml:space="preserve"> </w:t>
      </w:r>
      <w:r w:rsidR="008741A2">
        <w:rPr>
          <w:rFonts w:eastAsia="Times New Roman" w:cs="Times New Roman"/>
        </w:rPr>
        <w:t xml:space="preserve"> </w:t>
      </w:r>
      <w:r w:rsidR="00426360">
        <w:rPr>
          <w:rFonts w:eastAsia="Times New Roman" w:cs="Times New Roman"/>
        </w:rPr>
        <w:t xml:space="preserve">Joint Applicants further note that </w:t>
      </w:r>
      <w:r w:rsidR="004638BC">
        <w:rPr>
          <w:rFonts w:eastAsia="Times New Roman" w:cs="Times New Roman"/>
        </w:rPr>
        <w:t xml:space="preserve">reducing Aventiv’s </w:t>
      </w:r>
      <w:r w:rsidR="004638BC">
        <w:rPr>
          <w:rFonts w:eastAsia="Times New Roman" w:cs="Times New Roman"/>
        </w:rPr>
        <w:lastRenderedPageBreak/>
        <w:t xml:space="preserve">debt will have other public interest benefits. Joint Applicants state that deleveraging will </w:t>
      </w:r>
      <w:r w:rsidR="00FF5781">
        <w:rPr>
          <w:rFonts w:eastAsia="Times New Roman" w:cs="Times New Roman"/>
        </w:rPr>
        <w:t xml:space="preserve">allow Securus to better redirect resources </w:t>
      </w:r>
      <w:r w:rsidR="00A34D32">
        <w:rPr>
          <w:rFonts w:eastAsia="Times New Roman" w:cs="Times New Roman"/>
        </w:rPr>
        <w:t xml:space="preserve">to benefit consumers, such as </w:t>
      </w:r>
      <w:r w:rsidR="00AF0375">
        <w:rPr>
          <w:rFonts w:eastAsia="Times New Roman" w:cs="Times New Roman"/>
        </w:rPr>
        <w:t>investing in system upgrades, improved customer support systems</w:t>
      </w:r>
      <w:r w:rsidR="00E95579">
        <w:rPr>
          <w:rFonts w:eastAsia="Times New Roman" w:cs="Times New Roman"/>
        </w:rPr>
        <w:t>,</w:t>
      </w:r>
      <w:r w:rsidR="00AF0375">
        <w:rPr>
          <w:rFonts w:eastAsia="Times New Roman" w:cs="Times New Roman"/>
        </w:rPr>
        <w:t xml:space="preserve"> and </w:t>
      </w:r>
      <w:r w:rsidR="00D407AF">
        <w:rPr>
          <w:rFonts w:eastAsia="Times New Roman" w:cs="Times New Roman"/>
        </w:rPr>
        <w:t>new technologies.</w:t>
      </w:r>
      <w:r w:rsidR="00D407AF">
        <w:rPr>
          <w:rStyle w:val="FootnoteReference"/>
          <w:rFonts w:eastAsia="Times New Roman" w:cs="Times New Roman"/>
        </w:rPr>
        <w:footnoteReference w:id="29"/>
      </w:r>
    </w:p>
    <w:p w:rsidR="0027620E" w:rsidP="00873771" w:rsidRDefault="005D2CB7" w14:paraId="6D26F62D" w14:textId="3D5B58A9">
      <w:pPr>
        <w:pStyle w:val="Standard"/>
        <w:rPr>
          <w:rFonts w:eastAsia="Times New Roman" w:cs="Times New Roman"/>
        </w:rPr>
      </w:pPr>
      <w:r>
        <w:rPr>
          <w:rFonts w:eastAsia="Times New Roman" w:cs="Times New Roman"/>
        </w:rPr>
        <w:t>Joint Applicants further state that the proposed transaction will not result in any changes in service</w:t>
      </w:r>
      <w:r w:rsidR="00EA2DB8">
        <w:rPr>
          <w:rFonts w:eastAsia="Times New Roman" w:cs="Times New Roman"/>
        </w:rPr>
        <w:t xml:space="preserve"> and will </w:t>
      </w:r>
      <w:r w:rsidR="009A0754">
        <w:rPr>
          <w:rFonts w:eastAsia="Times New Roman" w:cs="Times New Roman"/>
        </w:rPr>
        <w:t>be “imperceptible</w:t>
      </w:r>
      <w:r w:rsidR="006459CE">
        <w:rPr>
          <w:rFonts w:eastAsia="Times New Roman" w:cs="Times New Roman"/>
        </w:rPr>
        <w:t>”</w:t>
      </w:r>
      <w:r w:rsidR="009A0754">
        <w:rPr>
          <w:rFonts w:eastAsia="Times New Roman" w:cs="Times New Roman"/>
        </w:rPr>
        <w:t xml:space="preserve"> from the customer perspective</w:t>
      </w:r>
      <w:r>
        <w:rPr>
          <w:rFonts w:eastAsia="Times New Roman" w:cs="Times New Roman"/>
        </w:rPr>
        <w:t>.</w:t>
      </w:r>
      <w:r w:rsidR="00555DE7">
        <w:rPr>
          <w:rStyle w:val="FootnoteReference"/>
          <w:rFonts w:eastAsia="Times New Roman" w:cs="Times New Roman"/>
        </w:rPr>
        <w:footnoteReference w:id="30"/>
      </w:r>
      <w:r w:rsidR="00555DE7">
        <w:rPr>
          <w:rFonts w:eastAsia="Times New Roman" w:cs="Times New Roman"/>
        </w:rPr>
        <w:t xml:space="preserve"> </w:t>
      </w:r>
      <w:r w:rsidR="009974AE">
        <w:rPr>
          <w:rFonts w:eastAsia="Times New Roman" w:cs="Times New Roman"/>
        </w:rPr>
        <w:t xml:space="preserve"> </w:t>
      </w:r>
      <w:r w:rsidR="008709DF">
        <w:rPr>
          <w:rFonts w:eastAsia="Times New Roman" w:cs="Times New Roman"/>
        </w:rPr>
        <w:t xml:space="preserve">Joint Applicants state they do not expect the proposed transaction </w:t>
      </w:r>
      <w:r w:rsidR="002F59F8">
        <w:rPr>
          <w:rFonts w:eastAsia="Times New Roman" w:cs="Times New Roman"/>
        </w:rPr>
        <w:t>to</w:t>
      </w:r>
      <w:r w:rsidR="008709DF">
        <w:rPr>
          <w:rFonts w:eastAsia="Times New Roman" w:cs="Times New Roman"/>
        </w:rPr>
        <w:t xml:space="preserve"> change Securus’</w:t>
      </w:r>
      <w:r w:rsidR="007F4F43">
        <w:rPr>
          <w:rFonts w:eastAsia="Times New Roman" w:cs="Times New Roman"/>
        </w:rPr>
        <w:t>s</w:t>
      </w:r>
      <w:r w:rsidR="008709DF">
        <w:rPr>
          <w:rFonts w:eastAsia="Times New Roman" w:cs="Times New Roman"/>
        </w:rPr>
        <w:t xml:space="preserve"> current rates/price lists, terms and conditions of service, or customer contracts.</w:t>
      </w:r>
      <w:r w:rsidR="00662B00">
        <w:rPr>
          <w:rStyle w:val="FootnoteReference"/>
          <w:rFonts w:eastAsia="Times New Roman" w:cs="Times New Roman"/>
        </w:rPr>
        <w:footnoteReference w:id="31"/>
      </w:r>
      <w:r w:rsidR="0098347C">
        <w:rPr>
          <w:rFonts w:eastAsia="Times New Roman" w:cs="Times New Roman"/>
        </w:rPr>
        <w:t xml:space="preserve"> </w:t>
      </w:r>
      <w:r w:rsidR="009974AE">
        <w:rPr>
          <w:rFonts w:eastAsia="Times New Roman" w:cs="Times New Roman"/>
        </w:rPr>
        <w:t xml:space="preserve"> </w:t>
      </w:r>
      <w:r w:rsidR="0092441E">
        <w:rPr>
          <w:rFonts w:eastAsia="Times New Roman" w:cs="Times New Roman"/>
        </w:rPr>
        <w:t xml:space="preserve">Joint Applicants also </w:t>
      </w:r>
      <w:r w:rsidR="00454FDE">
        <w:rPr>
          <w:rFonts w:eastAsia="Times New Roman" w:cs="Times New Roman"/>
        </w:rPr>
        <w:t>expect that Securus will continue to be managed and operated by primarily the same officers and key personnel.</w:t>
      </w:r>
      <w:r w:rsidR="00454FDE">
        <w:rPr>
          <w:rStyle w:val="FootnoteReference"/>
          <w:rFonts w:eastAsia="Times New Roman" w:cs="Times New Roman"/>
        </w:rPr>
        <w:footnoteReference w:id="32"/>
      </w:r>
    </w:p>
    <w:p w:rsidR="007075E1" w:rsidP="008741A2" w:rsidRDefault="002F59F8" w14:paraId="3D76BBC7" w14:textId="3F1D3710">
      <w:pPr>
        <w:pStyle w:val="Heading2"/>
        <w:numPr>
          <w:ilvl w:val="1"/>
          <w:numId w:val="1"/>
        </w:numPr>
        <w:spacing w:after="0" w:line="360" w:lineRule="auto"/>
      </w:pPr>
      <w:bookmarkStart w:name="_Toc228532648" w:id="32"/>
      <w:r>
        <w:t xml:space="preserve">TURN’s </w:t>
      </w:r>
      <w:r w:rsidR="007A5DF0">
        <w:t>Contentions</w:t>
      </w:r>
      <w:bookmarkEnd w:id="32"/>
    </w:p>
    <w:p w:rsidR="00DE7703" w:rsidP="00DD51D9" w:rsidRDefault="002F59F8" w14:paraId="4F46DDAB" w14:textId="22C9C610">
      <w:pPr>
        <w:pStyle w:val="Standard"/>
        <w:rPr>
          <w:rFonts w:eastAsia="Times New Roman" w:cs="Times New Roman"/>
        </w:rPr>
      </w:pPr>
      <w:r>
        <w:rPr>
          <w:rFonts w:eastAsia="Times New Roman" w:cs="Times New Roman"/>
        </w:rPr>
        <w:t>TURN</w:t>
      </w:r>
      <w:r w:rsidR="003A1155">
        <w:rPr>
          <w:rFonts w:eastAsia="Times New Roman" w:cs="Times New Roman"/>
        </w:rPr>
        <w:t>, in contrast,</w:t>
      </w:r>
      <w:r w:rsidR="008D5F80">
        <w:rPr>
          <w:rFonts w:eastAsia="Times New Roman" w:cs="Times New Roman"/>
        </w:rPr>
        <w:t xml:space="preserve"> argue</w:t>
      </w:r>
      <w:r>
        <w:rPr>
          <w:rFonts w:eastAsia="Times New Roman" w:cs="Times New Roman"/>
        </w:rPr>
        <w:t>s</w:t>
      </w:r>
      <w:r w:rsidR="008D5F80">
        <w:rPr>
          <w:rFonts w:eastAsia="Times New Roman" w:cs="Times New Roman"/>
        </w:rPr>
        <w:t xml:space="preserve"> that Joint Applicants fail to</w:t>
      </w:r>
      <w:r w:rsidR="00C10B95">
        <w:rPr>
          <w:rFonts w:eastAsia="Times New Roman" w:cs="Times New Roman"/>
        </w:rPr>
        <w:t xml:space="preserve"> demonstrate</w:t>
      </w:r>
      <w:r w:rsidR="003A1155">
        <w:rPr>
          <w:rFonts w:eastAsia="Times New Roman" w:cs="Times New Roman"/>
        </w:rPr>
        <w:t xml:space="preserve"> that the proposed transaction is in the public interes</w:t>
      </w:r>
      <w:r w:rsidR="0064650E">
        <w:rPr>
          <w:rFonts w:eastAsia="Times New Roman" w:cs="Times New Roman"/>
        </w:rPr>
        <w:t>t</w:t>
      </w:r>
      <w:r w:rsidR="00A65DC3">
        <w:rPr>
          <w:rFonts w:eastAsia="Times New Roman" w:cs="Times New Roman"/>
        </w:rPr>
        <w:t>.</w:t>
      </w:r>
      <w:r w:rsidR="008D40DF">
        <w:rPr>
          <w:rStyle w:val="FootnoteReference"/>
          <w:rFonts w:eastAsia="Times New Roman" w:cs="Times New Roman"/>
        </w:rPr>
        <w:footnoteReference w:id="33"/>
      </w:r>
      <w:r w:rsidR="00A65DC3">
        <w:rPr>
          <w:rFonts w:eastAsia="Times New Roman" w:cs="Times New Roman"/>
        </w:rPr>
        <w:t xml:space="preserve"> </w:t>
      </w:r>
      <w:r w:rsidR="009974AE">
        <w:rPr>
          <w:rFonts w:eastAsia="Times New Roman" w:cs="Times New Roman"/>
        </w:rPr>
        <w:t xml:space="preserve"> </w:t>
      </w:r>
      <w:r>
        <w:rPr>
          <w:rFonts w:eastAsia="Times New Roman" w:cs="Times New Roman"/>
        </w:rPr>
        <w:t>TURN</w:t>
      </w:r>
      <w:r w:rsidR="001076A1">
        <w:rPr>
          <w:rFonts w:eastAsia="Times New Roman" w:cs="Times New Roman"/>
        </w:rPr>
        <w:t xml:space="preserve"> a</w:t>
      </w:r>
      <w:r>
        <w:rPr>
          <w:rFonts w:eastAsia="Times New Roman" w:cs="Times New Roman"/>
        </w:rPr>
        <w:t>sserts</w:t>
      </w:r>
      <w:r w:rsidR="001076A1">
        <w:rPr>
          <w:rFonts w:eastAsia="Times New Roman" w:cs="Times New Roman"/>
        </w:rPr>
        <w:t xml:space="preserve"> that reducing debt obligations is not enough to </w:t>
      </w:r>
      <w:r w:rsidR="007F4F43">
        <w:rPr>
          <w:rFonts w:eastAsia="Times New Roman" w:cs="Times New Roman"/>
        </w:rPr>
        <w:t>create a public interest in</w:t>
      </w:r>
      <w:r w:rsidR="001076A1">
        <w:rPr>
          <w:rFonts w:eastAsia="Times New Roman" w:cs="Times New Roman"/>
        </w:rPr>
        <w:t xml:space="preserve"> the proposed transaction</w:t>
      </w:r>
      <w:r>
        <w:rPr>
          <w:rFonts w:eastAsia="Times New Roman" w:cs="Times New Roman"/>
        </w:rPr>
        <w:t>.</w:t>
      </w:r>
      <w:r w:rsidR="001076A1">
        <w:rPr>
          <w:rFonts w:eastAsia="Times New Roman" w:cs="Times New Roman"/>
        </w:rPr>
        <w:t xml:space="preserve"> </w:t>
      </w:r>
      <w:r>
        <w:rPr>
          <w:rFonts w:eastAsia="Times New Roman" w:cs="Times New Roman"/>
        </w:rPr>
        <w:t xml:space="preserve"> </w:t>
      </w:r>
      <w:r w:rsidR="007F4F43">
        <w:rPr>
          <w:rFonts w:eastAsia="Times New Roman" w:cs="Times New Roman"/>
        </w:rPr>
        <w:t xml:space="preserve">According to TURN, </w:t>
      </w:r>
      <w:r w:rsidR="00261704">
        <w:rPr>
          <w:rFonts w:eastAsia="Times New Roman" w:cs="Times New Roman"/>
        </w:rPr>
        <w:t xml:space="preserve">merely reducing Aventiv’s debt </w:t>
      </w:r>
      <w:r>
        <w:rPr>
          <w:rFonts w:eastAsia="Times New Roman" w:cs="Times New Roman"/>
        </w:rPr>
        <w:t>is</w:t>
      </w:r>
      <w:r w:rsidR="00261704">
        <w:rPr>
          <w:rFonts w:eastAsia="Times New Roman" w:cs="Times New Roman"/>
        </w:rPr>
        <w:t xml:space="preserve"> </w:t>
      </w:r>
      <w:r>
        <w:rPr>
          <w:rFonts w:eastAsia="Times New Roman" w:cs="Times New Roman"/>
        </w:rPr>
        <w:t>in</w:t>
      </w:r>
      <w:r w:rsidR="00261704">
        <w:rPr>
          <w:rFonts w:eastAsia="Times New Roman" w:cs="Times New Roman"/>
        </w:rPr>
        <w:t xml:space="preserve">sufficient to </w:t>
      </w:r>
      <w:r>
        <w:rPr>
          <w:rFonts w:eastAsia="Times New Roman" w:cs="Times New Roman"/>
        </w:rPr>
        <w:t>make the company</w:t>
      </w:r>
      <w:r w:rsidR="00261704">
        <w:rPr>
          <w:rFonts w:eastAsia="Times New Roman" w:cs="Times New Roman"/>
        </w:rPr>
        <w:t xml:space="preserve"> </w:t>
      </w:r>
      <w:r w:rsidR="00A526A4">
        <w:rPr>
          <w:rFonts w:eastAsia="Times New Roman" w:cs="Times New Roman"/>
        </w:rPr>
        <w:t>viable</w:t>
      </w:r>
      <w:r w:rsidR="00261704">
        <w:rPr>
          <w:rFonts w:eastAsia="Times New Roman" w:cs="Times New Roman"/>
        </w:rPr>
        <w:t xml:space="preserve"> and </w:t>
      </w:r>
      <w:r w:rsidR="00E3150E">
        <w:rPr>
          <w:rFonts w:eastAsia="Times New Roman" w:cs="Times New Roman"/>
        </w:rPr>
        <w:t xml:space="preserve">Securus may have to </w:t>
      </w:r>
      <w:r>
        <w:rPr>
          <w:rFonts w:eastAsia="Times New Roman" w:cs="Times New Roman"/>
        </w:rPr>
        <w:t>address</w:t>
      </w:r>
      <w:r w:rsidR="00E3150E">
        <w:rPr>
          <w:rFonts w:eastAsia="Times New Roman" w:cs="Times New Roman"/>
        </w:rPr>
        <w:t xml:space="preserve"> financial shortfalls by increasing customer rates</w:t>
      </w:r>
      <w:r w:rsidR="001076A1">
        <w:rPr>
          <w:rFonts w:eastAsia="Times New Roman" w:cs="Times New Roman"/>
        </w:rPr>
        <w:t>.</w:t>
      </w:r>
      <w:r w:rsidR="001076A1">
        <w:rPr>
          <w:rStyle w:val="FootnoteReference"/>
          <w:rFonts w:eastAsia="Times New Roman" w:cs="Times New Roman"/>
        </w:rPr>
        <w:footnoteReference w:id="34"/>
      </w:r>
      <w:r w:rsidR="00442447">
        <w:rPr>
          <w:rFonts w:eastAsia="Times New Roman" w:cs="Times New Roman"/>
        </w:rPr>
        <w:t xml:space="preserve"> </w:t>
      </w:r>
      <w:r w:rsidR="009974AE">
        <w:rPr>
          <w:rFonts w:eastAsia="Times New Roman" w:cs="Times New Roman"/>
        </w:rPr>
        <w:t xml:space="preserve"> </w:t>
      </w:r>
      <w:r>
        <w:rPr>
          <w:rFonts w:eastAsia="Times New Roman" w:cs="Times New Roman"/>
        </w:rPr>
        <w:t>TURN</w:t>
      </w:r>
      <w:r w:rsidR="009563CB">
        <w:rPr>
          <w:rFonts w:eastAsia="Times New Roman" w:cs="Times New Roman"/>
        </w:rPr>
        <w:t xml:space="preserve"> also </w:t>
      </w:r>
      <w:r>
        <w:rPr>
          <w:rFonts w:eastAsia="Times New Roman" w:cs="Times New Roman"/>
        </w:rPr>
        <w:t>argues</w:t>
      </w:r>
      <w:r w:rsidR="009563CB">
        <w:rPr>
          <w:rFonts w:eastAsia="Times New Roman" w:cs="Times New Roman"/>
        </w:rPr>
        <w:t xml:space="preserve"> that </w:t>
      </w:r>
      <w:r w:rsidR="008B40FF">
        <w:rPr>
          <w:rFonts w:eastAsia="Times New Roman" w:cs="Times New Roman"/>
        </w:rPr>
        <w:t xml:space="preserve">Securus may </w:t>
      </w:r>
      <w:r w:rsidR="00E60004">
        <w:rPr>
          <w:rFonts w:eastAsia="Times New Roman" w:cs="Times New Roman"/>
        </w:rPr>
        <w:t>exploit</w:t>
      </w:r>
      <w:r w:rsidR="008B40FF">
        <w:rPr>
          <w:rFonts w:eastAsia="Times New Roman" w:cs="Times New Roman"/>
        </w:rPr>
        <w:t xml:space="preserve"> customer data to </w:t>
      </w:r>
      <w:r w:rsidR="00103219">
        <w:rPr>
          <w:rFonts w:eastAsia="Times New Roman" w:cs="Times New Roman"/>
        </w:rPr>
        <w:t>make up for any financial gaps post-transaction.</w:t>
      </w:r>
      <w:r w:rsidR="007B3081">
        <w:rPr>
          <w:rStyle w:val="FootnoteReference"/>
          <w:rFonts w:eastAsia="Times New Roman" w:cs="Times New Roman"/>
        </w:rPr>
        <w:footnoteReference w:id="35"/>
      </w:r>
      <w:r w:rsidR="00183DF8">
        <w:rPr>
          <w:rFonts w:eastAsia="Times New Roman" w:cs="Times New Roman"/>
        </w:rPr>
        <w:t xml:space="preserve"> </w:t>
      </w:r>
      <w:r w:rsidR="009974AE">
        <w:rPr>
          <w:rFonts w:eastAsia="Times New Roman" w:cs="Times New Roman"/>
        </w:rPr>
        <w:t xml:space="preserve"> </w:t>
      </w:r>
      <w:r w:rsidR="00043AD7">
        <w:rPr>
          <w:rFonts w:eastAsia="Times New Roman" w:cs="Times New Roman"/>
        </w:rPr>
        <w:t xml:space="preserve">More </w:t>
      </w:r>
      <w:r w:rsidR="00043AD7">
        <w:rPr>
          <w:rFonts w:eastAsia="Times New Roman" w:cs="Times New Roman"/>
        </w:rPr>
        <w:lastRenderedPageBreak/>
        <w:t xml:space="preserve">generally, </w:t>
      </w:r>
      <w:r>
        <w:rPr>
          <w:rFonts w:eastAsia="Times New Roman" w:cs="Times New Roman"/>
        </w:rPr>
        <w:t>TURN asserts</w:t>
      </w:r>
      <w:r w:rsidR="00043AD7">
        <w:rPr>
          <w:rFonts w:eastAsia="Times New Roman" w:cs="Times New Roman"/>
        </w:rPr>
        <w:t xml:space="preserve"> that </w:t>
      </w:r>
      <w:r w:rsidR="007F4F43">
        <w:rPr>
          <w:rFonts w:eastAsia="Times New Roman" w:cs="Times New Roman"/>
        </w:rPr>
        <w:t>SCRS Intermediate HC</w:t>
      </w:r>
      <w:r w:rsidR="00517B04">
        <w:rPr>
          <w:rFonts w:eastAsia="Times New Roman" w:cs="Times New Roman"/>
        </w:rPr>
        <w:t xml:space="preserve"> may prioritize cost reductions and financial gains over </w:t>
      </w:r>
      <w:r w:rsidR="00FF547A">
        <w:rPr>
          <w:rFonts w:eastAsia="Times New Roman" w:cs="Times New Roman"/>
        </w:rPr>
        <w:t>customer needs.</w:t>
      </w:r>
      <w:r w:rsidR="00D55FE0">
        <w:rPr>
          <w:rStyle w:val="FootnoteReference"/>
          <w:rFonts w:eastAsia="Times New Roman" w:cs="Times New Roman"/>
        </w:rPr>
        <w:footnoteReference w:id="36"/>
      </w:r>
    </w:p>
    <w:p w:rsidR="00C90624" w:rsidP="00E55213" w:rsidRDefault="002F59F8" w14:paraId="0B4CB77D" w14:textId="4340722B">
      <w:pPr>
        <w:pStyle w:val="Standard"/>
        <w:rPr>
          <w:rFonts w:eastAsia="Times New Roman" w:cs="Times New Roman"/>
        </w:rPr>
      </w:pPr>
      <w:r>
        <w:rPr>
          <w:rFonts w:eastAsia="Times New Roman" w:cs="Times New Roman"/>
        </w:rPr>
        <w:t>TURN</w:t>
      </w:r>
      <w:r w:rsidR="00A17975">
        <w:rPr>
          <w:rFonts w:eastAsia="Times New Roman" w:cs="Times New Roman"/>
        </w:rPr>
        <w:t xml:space="preserve"> also argue</w:t>
      </w:r>
      <w:r>
        <w:rPr>
          <w:rFonts w:eastAsia="Times New Roman" w:cs="Times New Roman"/>
        </w:rPr>
        <w:t>s</w:t>
      </w:r>
      <w:r w:rsidR="00A17975">
        <w:rPr>
          <w:rFonts w:eastAsia="Times New Roman" w:cs="Times New Roman"/>
        </w:rPr>
        <w:t xml:space="preserve"> that the proposed transaction </w:t>
      </w:r>
      <w:r w:rsidR="007C18B9">
        <w:rPr>
          <w:rFonts w:eastAsia="Times New Roman" w:cs="Times New Roman"/>
        </w:rPr>
        <w:t xml:space="preserve">will </w:t>
      </w:r>
      <w:r w:rsidR="00E005A9">
        <w:rPr>
          <w:rFonts w:eastAsia="Times New Roman" w:cs="Times New Roman"/>
        </w:rPr>
        <w:t>result in less transparency and uncertai</w:t>
      </w:r>
      <w:r w:rsidR="00C77406">
        <w:rPr>
          <w:rFonts w:eastAsia="Times New Roman" w:cs="Times New Roman"/>
        </w:rPr>
        <w:t>nty</w:t>
      </w:r>
      <w:r w:rsidR="00861292">
        <w:rPr>
          <w:rFonts w:eastAsia="Times New Roman" w:cs="Times New Roman"/>
        </w:rPr>
        <w:t>,</w:t>
      </w:r>
      <w:r w:rsidR="00C77406">
        <w:rPr>
          <w:rFonts w:eastAsia="Times New Roman" w:cs="Times New Roman"/>
        </w:rPr>
        <w:t xml:space="preserve"> as it remains unclear what entities would</w:t>
      </w:r>
      <w:r w:rsidR="00861292">
        <w:rPr>
          <w:rFonts w:eastAsia="Times New Roman" w:cs="Times New Roman"/>
        </w:rPr>
        <w:t>,</w:t>
      </w:r>
      <w:r w:rsidR="00C77406">
        <w:rPr>
          <w:rFonts w:eastAsia="Times New Roman" w:cs="Times New Roman"/>
        </w:rPr>
        <w:t xml:space="preserve"> in the short or long term, assume a controlling interest in </w:t>
      </w:r>
      <w:r w:rsidR="007F4F43">
        <w:rPr>
          <w:rFonts w:eastAsia="Times New Roman" w:cs="Times New Roman"/>
        </w:rPr>
        <w:t>SCRS Intermediate HC</w:t>
      </w:r>
      <w:r w:rsidR="00C77406">
        <w:rPr>
          <w:rFonts w:eastAsia="Times New Roman" w:cs="Times New Roman"/>
        </w:rPr>
        <w:t>.</w:t>
      </w:r>
      <w:r w:rsidR="00C77406">
        <w:rPr>
          <w:rStyle w:val="FootnoteReference"/>
          <w:rFonts w:eastAsia="Times New Roman" w:cs="Times New Roman"/>
        </w:rPr>
        <w:footnoteReference w:id="37"/>
      </w:r>
      <w:r w:rsidR="000D6CD2">
        <w:rPr>
          <w:rFonts w:eastAsia="Times New Roman" w:cs="Times New Roman"/>
        </w:rPr>
        <w:t xml:space="preserve"> They also </w:t>
      </w:r>
      <w:r w:rsidR="00073E7B">
        <w:rPr>
          <w:rFonts w:eastAsia="Times New Roman" w:cs="Times New Roman"/>
        </w:rPr>
        <w:t xml:space="preserve">raise concerns that </w:t>
      </w:r>
      <w:r w:rsidR="00A033B0">
        <w:rPr>
          <w:rFonts w:eastAsia="Times New Roman" w:cs="Times New Roman"/>
        </w:rPr>
        <w:t>the post-restructuring secured debt does not represent the fair value of the company because</w:t>
      </w:r>
      <w:r w:rsidR="000D6CD2">
        <w:rPr>
          <w:rFonts w:eastAsia="Times New Roman" w:cs="Times New Roman"/>
        </w:rPr>
        <w:t xml:space="preserve"> the</w:t>
      </w:r>
      <w:r w:rsidR="009C1D17">
        <w:rPr>
          <w:rFonts w:eastAsia="Times New Roman" w:cs="Times New Roman"/>
        </w:rPr>
        <w:t xml:space="preserve"> private,</w:t>
      </w:r>
      <w:r w:rsidR="000D6CD2">
        <w:rPr>
          <w:rFonts w:eastAsia="Times New Roman" w:cs="Times New Roman"/>
        </w:rPr>
        <w:t xml:space="preserve"> </w:t>
      </w:r>
      <w:r w:rsidR="00194CC0">
        <w:rPr>
          <w:rFonts w:eastAsia="Times New Roman" w:cs="Times New Roman"/>
        </w:rPr>
        <w:t>out-of-court n</w:t>
      </w:r>
      <w:r w:rsidR="009C1D17">
        <w:rPr>
          <w:rFonts w:eastAsia="Times New Roman" w:cs="Times New Roman"/>
        </w:rPr>
        <w:t>ature of the proposed transaction</w:t>
      </w:r>
      <w:r w:rsidR="00E5227A">
        <w:rPr>
          <w:rFonts w:eastAsia="Times New Roman" w:cs="Times New Roman"/>
        </w:rPr>
        <w:t xml:space="preserve"> lacks transparency</w:t>
      </w:r>
      <w:r w:rsidR="00861292">
        <w:rPr>
          <w:rFonts w:eastAsia="Times New Roman" w:cs="Times New Roman"/>
        </w:rPr>
        <w:t>,</w:t>
      </w:r>
      <w:r w:rsidR="00E5227A">
        <w:rPr>
          <w:rFonts w:eastAsia="Times New Roman" w:cs="Times New Roman"/>
        </w:rPr>
        <w:t xml:space="preserve"> </w:t>
      </w:r>
      <w:r w:rsidR="00A033B0">
        <w:rPr>
          <w:rFonts w:eastAsia="Times New Roman" w:cs="Times New Roman"/>
        </w:rPr>
        <w:t>as compared to a bankruptcy filing</w:t>
      </w:r>
      <w:r w:rsidR="00B74E82">
        <w:rPr>
          <w:rFonts w:eastAsia="Times New Roman" w:cs="Times New Roman"/>
        </w:rPr>
        <w:t>.</w:t>
      </w:r>
      <w:r w:rsidR="00B74E82">
        <w:rPr>
          <w:rStyle w:val="FootnoteReference"/>
          <w:rFonts w:eastAsia="Times New Roman" w:cs="Times New Roman"/>
        </w:rPr>
        <w:footnoteReference w:id="38"/>
      </w:r>
    </w:p>
    <w:p w:rsidR="00C90624" w:rsidP="008741A2" w:rsidRDefault="00C90624" w14:paraId="2919B419" w14:textId="79C54479">
      <w:pPr>
        <w:pStyle w:val="Heading2"/>
        <w:spacing w:after="0" w:line="360" w:lineRule="auto"/>
      </w:pPr>
      <w:bookmarkStart w:name="_Toc228532649" w:id="33"/>
      <w:r w:rsidRPr="00F30A4C">
        <w:t>7.3</w:t>
      </w:r>
      <w:r w:rsidRPr="00F30A4C">
        <w:tab/>
        <w:t>Discussion</w:t>
      </w:r>
      <w:bookmarkEnd w:id="33"/>
    </w:p>
    <w:p w:rsidR="0097226D" w:rsidP="0097226D" w:rsidRDefault="00981BC5" w14:paraId="69D5662B" w14:textId="06CF78A5">
      <w:pPr>
        <w:rPr>
          <w:rFonts w:eastAsia="Times New Roman" w:cs="Times New Roman"/>
        </w:rPr>
      </w:pPr>
      <w:r>
        <w:rPr>
          <w:rFonts w:eastAsia="Times New Roman" w:cs="Times New Roman"/>
        </w:rPr>
        <w:t xml:space="preserve">After reviewing the </w:t>
      </w:r>
      <w:r w:rsidR="00704BB9">
        <w:rPr>
          <w:rFonts w:eastAsia="Times New Roman" w:cs="Times New Roman"/>
        </w:rPr>
        <w:t xml:space="preserve">arguments and testimony of </w:t>
      </w:r>
      <w:r w:rsidR="00861292">
        <w:rPr>
          <w:rFonts w:eastAsia="Times New Roman" w:cs="Times New Roman"/>
        </w:rPr>
        <w:t>Joint Applicants and TURN</w:t>
      </w:r>
      <w:r w:rsidR="00704BB9">
        <w:rPr>
          <w:rFonts w:eastAsia="Times New Roman" w:cs="Times New Roman"/>
        </w:rPr>
        <w:t>, we</w:t>
      </w:r>
      <w:r w:rsidR="002E2A88">
        <w:rPr>
          <w:rFonts w:eastAsia="Times New Roman" w:cs="Times New Roman"/>
        </w:rPr>
        <w:t xml:space="preserve"> </w:t>
      </w:r>
      <w:r w:rsidR="006D4C6D">
        <w:rPr>
          <w:rFonts w:eastAsia="Times New Roman" w:cs="Times New Roman"/>
        </w:rPr>
        <w:t xml:space="preserve">do not </w:t>
      </w:r>
      <w:r w:rsidR="00E01355">
        <w:rPr>
          <w:rFonts w:eastAsia="Times New Roman" w:cs="Times New Roman"/>
        </w:rPr>
        <w:t xml:space="preserve">find support in the record for the harms </w:t>
      </w:r>
      <w:r w:rsidR="007F4F43">
        <w:rPr>
          <w:rFonts w:eastAsia="Times New Roman" w:cs="Times New Roman"/>
        </w:rPr>
        <w:t xml:space="preserve">TURN </w:t>
      </w:r>
      <w:r w:rsidR="00861292">
        <w:rPr>
          <w:rFonts w:eastAsia="Times New Roman" w:cs="Times New Roman"/>
        </w:rPr>
        <w:t>allege</w:t>
      </w:r>
      <w:r w:rsidR="007F4F43">
        <w:rPr>
          <w:rFonts w:eastAsia="Times New Roman" w:cs="Times New Roman"/>
        </w:rPr>
        <w:t>s</w:t>
      </w:r>
      <w:r w:rsidR="006D4C6D">
        <w:rPr>
          <w:rFonts w:eastAsia="Times New Roman" w:cs="Times New Roman"/>
        </w:rPr>
        <w:t>.</w:t>
      </w:r>
      <w:r w:rsidR="0097226D">
        <w:rPr>
          <w:rFonts w:eastAsia="Times New Roman" w:cs="Times New Roman"/>
        </w:rPr>
        <w:t xml:space="preserve"> </w:t>
      </w:r>
      <w:r w:rsidR="00BE4159">
        <w:rPr>
          <w:rFonts w:eastAsia="Times New Roman" w:cs="Times New Roman"/>
        </w:rPr>
        <w:t>We are not persuaded that the record demonstrates that the</w:t>
      </w:r>
      <w:r w:rsidR="00E34BE6">
        <w:rPr>
          <w:rFonts w:eastAsia="Times New Roman" w:cs="Times New Roman"/>
        </w:rPr>
        <w:t xml:space="preserve"> proposed transaction will</w:t>
      </w:r>
      <w:r w:rsidR="0097226D">
        <w:rPr>
          <w:rFonts w:eastAsia="Times New Roman" w:cs="Times New Roman"/>
        </w:rPr>
        <w:t xml:space="preserve"> likely </w:t>
      </w:r>
      <w:r w:rsidR="00E34BE6">
        <w:rPr>
          <w:rFonts w:eastAsia="Times New Roman" w:cs="Times New Roman"/>
        </w:rPr>
        <w:t xml:space="preserve">result in increased prices or </w:t>
      </w:r>
      <w:r w:rsidR="00920F33">
        <w:rPr>
          <w:rFonts w:eastAsia="Times New Roman" w:cs="Times New Roman"/>
        </w:rPr>
        <w:t xml:space="preserve">negative </w:t>
      </w:r>
      <w:r w:rsidR="00E34BE6">
        <w:rPr>
          <w:rFonts w:eastAsia="Times New Roman" w:cs="Times New Roman"/>
        </w:rPr>
        <w:t>impacts to the services that Securus provides</w:t>
      </w:r>
      <w:r w:rsidR="007F4F43">
        <w:rPr>
          <w:rFonts w:eastAsia="Times New Roman" w:cs="Times New Roman"/>
        </w:rPr>
        <w:t>.</w:t>
      </w:r>
      <w:r w:rsidR="00E34BE6">
        <w:rPr>
          <w:rFonts w:eastAsia="Times New Roman" w:cs="Times New Roman"/>
        </w:rPr>
        <w:t xml:space="preserve"> </w:t>
      </w:r>
      <w:r w:rsidR="009974AE">
        <w:rPr>
          <w:rFonts w:eastAsia="Times New Roman" w:cs="Times New Roman"/>
        </w:rPr>
        <w:t xml:space="preserve"> </w:t>
      </w:r>
      <w:r w:rsidR="00C235C5">
        <w:rPr>
          <w:rFonts w:eastAsia="Times New Roman" w:cs="Times New Roman"/>
        </w:rPr>
        <w:t>W</w:t>
      </w:r>
      <w:r w:rsidR="0097226D">
        <w:rPr>
          <w:rFonts w:eastAsia="Times New Roman" w:cs="Times New Roman"/>
        </w:rPr>
        <w:t xml:space="preserve">e </w:t>
      </w:r>
      <w:r w:rsidR="00C235C5">
        <w:rPr>
          <w:rFonts w:eastAsia="Times New Roman" w:cs="Times New Roman"/>
        </w:rPr>
        <w:t xml:space="preserve">also do not </w:t>
      </w:r>
      <w:r w:rsidR="0097226D">
        <w:rPr>
          <w:rFonts w:eastAsia="Times New Roman" w:cs="Times New Roman"/>
        </w:rPr>
        <w:t>find support for TURN’s concerns that the proposed transaction will result in cost-cutting measures or harms to Securus’s customers’ privacy, which TURN bases largely on Aventiv’s pre-transaction policies on customer data,</w:t>
      </w:r>
      <w:r w:rsidR="0097226D">
        <w:rPr>
          <w:rStyle w:val="FootnoteReference"/>
          <w:rFonts w:eastAsia="Times New Roman" w:cs="Times New Roman"/>
        </w:rPr>
        <w:footnoteReference w:id="39"/>
      </w:r>
      <w:r w:rsidR="0097226D">
        <w:rPr>
          <w:rFonts w:eastAsia="Times New Roman" w:cs="Times New Roman"/>
        </w:rPr>
        <w:t xml:space="preserve"> and the prior experience of SCRS Intermediate HC’s prospective board of directors.</w:t>
      </w:r>
      <w:r w:rsidR="0097226D">
        <w:rPr>
          <w:rStyle w:val="FootnoteReference"/>
          <w:rFonts w:eastAsia="Times New Roman" w:cs="Times New Roman"/>
        </w:rPr>
        <w:footnoteReference w:id="40"/>
      </w:r>
    </w:p>
    <w:p w:rsidR="00466E0D" w:rsidP="00466E0D" w:rsidRDefault="00AA0CAF" w14:paraId="33AC3BE9" w14:textId="3EF38512">
      <w:pPr>
        <w:rPr>
          <w:rFonts w:eastAsia="Times New Roman" w:cs="Times New Roman"/>
        </w:rPr>
      </w:pPr>
      <w:r>
        <w:rPr>
          <w:rFonts w:eastAsia="Times New Roman" w:cs="Times New Roman"/>
        </w:rPr>
        <w:lastRenderedPageBreak/>
        <w:t>T</w:t>
      </w:r>
      <w:r w:rsidR="00E34BE6">
        <w:rPr>
          <w:rFonts w:eastAsia="Times New Roman" w:cs="Times New Roman"/>
        </w:rPr>
        <w:t>he</w:t>
      </w:r>
      <w:r w:rsidR="00294C5B">
        <w:rPr>
          <w:rFonts w:eastAsia="Times New Roman" w:cs="Times New Roman"/>
        </w:rPr>
        <w:t xml:space="preserve"> </w:t>
      </w:r>
      <w:r w:rsidR="00861292">
        <w:rPr>
          <w:rFonts w:eastAsia="Times New Roman" w:cs="Times New Roman"/>
        </w:rPr>
        <w:t>a</w:t>
      </w:r>
      <w:r w:rsidR="00294C5B">
        <w:rPr>
          <w:rFonts w:eastAsia="Times New Roman" w:cs="Times New Roman"/>
        </w:rPr>
        <w:t xml:space="preserve">pplication </w:t>
      </w:r>
      <w:r w:rsidR="00433586">
        <w:rPr>
          <w:rFonts w:eastAsia="Times New Roman" w:cs="Times New Roman"/>
        </w:rPr>
        <w:t xml:space="preserve">states </w:t>
      </w:r>
      <w:r w:rsidR="00294C5B">
        <w:rPr>
          <w:rFonts w:eastAsia="Times New Roman" w:cs="Times New Roman"/>
        </w:rPr>
        <w:t xml:space="preserve">that the change in ownership will be “seamless” and </w:t>
      </w:r>
      <w:r w:rsidR="0069322B">
        <w:rPr>
          <w:rFonts w:eastAsia="Times New Roman" w:cs="Times New Roman"/>
        </w:rPr>
        <w:t>is not expected to change Securus’</w:t>
      </w:r>
      <w:r w:rsidR="007F4F43">
        <w:rPr>
          <w:rFonts w:eastAsia="Times New Roman" w:cs="Times New Roman"/>
        </w:rPr>
        <w:t>s</w:t>
      </w:r>
      <w:r w:rsidR="0069322B">
        <w:rPr>
          <w:rFonts w:eastAsia="Times New Roman" w:cs="Times New Roman"/>
        </w:rPr>
        <w:t xml:space="preserve"> current prices, terms and conditions of service, or customer contracts.</w:t>
      </w:r>
      <w:r w:rsidR="0069322B">
        <w:rPr>
          <w:rStyle w:val="FootnoteReference"/>
          <w:rFonts w:eastAsia="Times New Roman" w:cs="Times New Roman"/>
        </w:rPr>
        <w:footnoteReference w:id="41"/>
      </w:r>
      <w:r w:rsidR="00A66B4A">
        <w:rPr>
          <w:rFonts w:eastAsia="Times New Roman" w:cs="Times New Roman"/>
        </w:rPr>
        <w:t xml:space="preserve"> </w:t>
      </w:r>
      <w:r w:rsidR="00070170">
        <w:rPr>
          <w:rFonts w:eastAsia="Times New Roman" w:cs="Times New Roman"/>
        </w:rPr>
        <w:t xml:space="preserve"> </w:t>
      </w:r>
      <w:r w:rsidR="00825C4C">
        <w:rPr>
          <w:rFonts w:eastAsia="Times New Roman" w:cs="Times New Roman"/>
        </w:rPr>
        <w:t>Based on this expectation, it appears that the proposed transaction will result in Securus continuing to operate and contribute to California’s telecommunications marketplace</w:t>
      </w:r>
      <w:r w:rsidR="001774E1">
        <w:rPr>
          <w:rFonts w:eastAsia="Times New Roman" w:cs="Times New Roman"/>
        </w:rPr>
        <w:t xml:space="preserve"> and that the transaction will not impact Securus’</w:t>
      </w:r>
      <w:r w:rsidR="00C340BA">
        <w:rPr>
          <w:rFonts w:eastAsia="Times New Roman" w:cs="Times New Roman"/>
        </w:rPr>
        <w:t>s</w:t>
      </w:r>
      <w:r w:rsidR="001774E1">
        <w:rPr>
          <w:rFonts w:eastAsia="Times New Roman" w:cs="Times New Roman"/>
        </w:rPr>
        <w:t xml:space="preserve"> ability to meet its public utility obligations. </w:t>
      </w:r>
      <w:r w:rsidR="00F40D44">
        <w:rPr>
          <w:rFonts w:eastAsia="Times New Roman" w:cs="Times New Roman"/>
        </w:rPr>
        <w:t xml:space="preserve"> </w:t>
      </w:r>
      <w:r w:rsidR="001774E1">
        <w:rPr>
          <w:rFonts w:eastAsia="Times New Roman" w:cs="Times New Roman"/>
        </w:rPr>
        <w:t xml:space="preserve">However, </w:t>
      </w:r>
      <w:r w:rsidR="00CA2AB0">
        <w:rPr>
          <w:rFonts w:eastAsia="Times New Roman" w:cs="Times New Roman"/>
        </w:rPr>
        <w:t>we do acknowledge that th</w:t>
      </w:r>
      <w:r w:rsidR="00A9425A">
        <w:rPr>
          <w:rFonts w:eastAsia="Times New Roman" w:cs="Times New Roman"/>
        </w:rPr>
        <w:t xml:space="preserve">e record on this point is based </w:t>
      </w:r>
      <w:r w:rsidR="00B30895">
        <w:rPr>
          <w:rFonts w:eastAsia="Times New Roman" w:cs="Times New Roman"/>
        </w:rPr>
        <w:t xml:space="preserve">largely </w:t>
      </w:r>
      <w:r w:rsidR="00A9425A">
        <w:rPr>
          <w:rFonts w:eastAsia="Times New Roman" w:cs="Times New Roman"/>
        </w:rPr>
        <w:t>on Securus’</w:t>
      </w:r>
      <w:r w:rsidR="00C340BA">
        <w:rPr>
          <w:rFonts w:eastAsia="Times New Roman" w:cs="Times New Roman"/>
        </w:rPr>
        <w:t>s</w:t>
      </w:r>
      <w:r w:rsidR="00A9425A">
        <w:rPr>
          <w:rFonts w:eastAsia="Times New Roman" w:cs="Times New Roman"/>
        </w:rPr>
        <w:t xml:space="preserve"> expectation</w:t>
      </w:r>
      <w:r w:rsidR="005127B4">
        <w:rPr>
          <w:rFonts w:eastAsia="Times New Roman" w:cs="Times New Roman"/>
        </w:rPr>
        <w:t xml:space="preserve"> that Securus’s current prices, terms and conditions of service</w:t>
      </w:r>
      <w:r w:rsidR="00C340BA">
        <w:rPr>
          <w:rFonts w:eastAsia="Times New Roman" w:cs="Times New Roman"/>
        </w:rPr>
        <w:t>,</w:t>
      </w:r>
      <w:r w:rsidR="005127B4">
        <w:rPr>
          <w:rFonts w:eastAsia="Times New Roman" w:cs="Times New Roman"/>
        </w:rPr>
        <w:t xml:space="preserve"> or customer contracts will remain unchanged due to the proposed transaction</w:t>
      </w:r>
      <w:r w:rsidR="004E1E56">
        <w:rPr>
          <w:rFonts w:eastAsia="Times New Roman" w:cs="Times New Roman"/>
        </w:rPr>
        <w:t xml:space="preserve">. </w:t>
      </w:r>
      <w:r w:rsidR="00070170">
        <w:rPr>
          <w:rFonts w:eastAsia="Times New Roman" w:cs="Times New Roman"/>
        </w:rPr>
        <w:t xml:space="preserve"> </w:t>
      </w:r>
      <w:r w:rsidR="004E1E56">
        <w:rPr>
          <w:rFonts w:eastAsia="Times New Roman" w:cs="Times New Roman"/>
        </w:rPr>
        <w:t>Given this, as well as the concerns that TURN has raised, we find it reasonable</w:t>
      </w:r>
      <w:r w:rsidR="008B2F6E">
        <w:rPr>
          <w:rFonts w:eastAsia="Times New Roman" w:cs="Times New Roman"/>
        </w:rPr>
        <w:t xml:space="preserve"> to impose a condition </w:t>
      </w:r>
      <w:r w:rsidR="00E1031B">
        <w:rPr>
          <w:rFonts w:eastAsia="Times New Roman" w:cs="Times New Roman"/>
        </w:rPr>
        <w:t>that requires Securus to report changes to its terms and conditions of service that occur within two years of the transfer</w:t>
      </w:r>
      <w:r w:rsidR="00893807">
        <w:rPr>
          <w:rFonts w:eastAsia="Times New Roman" w:cs="Times New Roman"/>
        </w:rPr>
        <w:t xml:space="preserve">, which </w:t>
      </w:r>
      <w:r w:rsidR="009156A5">
        <w:rPr>
          <w:rFonts w:eastAsia="Times New Roman" w:cs="Times New Roman"/>
        </w:rPr>
        <w:t>we discuss in more detail</w:t>
      </w:r>
      <w:r w:rsidR="00893807">
        <w:rPr>
          <w:rFonts w:eastAsia="Times New Roman" w:cs="Times New Roman"/>
        </w:rPr>
        <w:t xml:space="preserve"> </w:t>
      </w:r>
      <w:r w:rsidR="006E305E">
        <w:rPr>
          <w:rFonts w:eastAsia="Times New Roman" w:cs="Times New Roman"/>
        </w:rPr>
        <w:t>later in this decision.</w:t>
      </w:r>
      <w:r w:rsidR="00893807">
        <w:rPr>
          <w:rFonts w:eastAsia="Times New Roman" w:cs="Times New Roman"/>
        </w:rPr>
        <w:t xml:space="preserve"> </w:t>
      </w:r>
      <w:r w:rsidR="00070170">
        <w:rPr>
          <w:rFonts w:eastAsia="Times New Roman" w:cs="Times New Roman"/>
        </w:rPr>
        <w:t xml:space="preserve"> </w:t>
      </w:r>
      <w:r w:rsidR="0075187E">
        <w:rPr>
          <w:rFonts w:eastAsia="Times New Roman" w:cs="Times New Roman"/>
        </w:rPr>
        <w:t xml:space="preserve">With this condition, we believe the record supports the </w:t>
      </w:r>
      <w:r w:rsidR="00D216DF">
        <w:rPr>
          <w:rFonts w:eastAsia="Times New Roman" w:cs="Times New Roman"/>
        </w:rPr>
        <w:t>transaction is in the public interest.</w:t>
      </w:r>
    </w:p>
    <w:p w:rsidR="00F40D44" w:rsidP="0067629A" w:rsidRDefault="0067629A" w14:paraId="1109E737" w14:textId="2AA8C1D0">
      <w:pPr>
        <w:pStyle w:val="Standard"/>
        <w:rPr>
          <w:rFonts w:eastAsia="Times New Roman" w:cs="Times New Roman"/>
        </w:rPr>
      </w:pPr>
      <w:r>
        <w:rPr>
          <w:rFonts w:eastAsia="Times New Roman" w:cs="Times New Roman"/>
        </w:rPr>
        <w:t xml:space="preserve">Additionally, we do not find support in the record for TURN’s concerns that the proposed transaction lacks transparency or certainty, which will harm the public interest. </w:t>
      </w:r>
      <w:r w:rsidR="00070170">
        <w:rPr>
          <w:rFonts w:eastAsia="Times New Roman" w:cs="Times New Roman"/>
        </w:rPr>
        <w:t xml:space="preserve"> </w:t>
      </w:r>
      <w:r>
        <w:rPr>
          <w:rFonts w:eastAsia="Times New Roman" w:cs="Times New Roman"/>
        </w:rPr>
        <w:t>While bankruptcy may provide more transparency than the proposed transaction, there is no evidence to support that the current transaction</w:t>
      </w:r>
      <w:r w:rsidR="006E305E">
        <w:rPr>
          <w:rFonts w:eastAsia="Times New Roman" w:cs="Times New Roman"/>
        </w:rPr>
        <w:t xml:space="preserve"> </w:t>
      </w:r>
      <w:r w:rsidR="00C340BA">
        <w:rPr>
          <w:rFonts w:eastAsia="Times New Roman" w:cs="Times New Roman"/>
        </w:rPr>
        <w:t>is insufficient</w:t>
      </w:r>
      <w:r>
        <w:rPr>
          <w:rFonts w:eastAsia="Times New Roman" w:cs="Times New Roman"/>
        </w:rPr>
        <w:t>.</w:t>
      </w:r>
      <w:r w:rsidR="00F93779">
        <w:rPr>
          <w:rFonts w:eastAsia="Times New Roman" w:cs="Times New Roman"/>
        </w:rPr>
        <w:t xml:space="preserve"> </w:t>
      </w:r>
      <w:r w:rsidR="00070170">
        <w:rPr>
          <w:rFonts w:eastAsia="Times New Roman" w:cs="Times New Roman"/>
        </w:rPr>
        <w:t xml:space="preserve"> </w:t>
      </w:r>
      <w:r w:rsidR="00F93779">
        <w:rPr>
          <w:rFonts w:eastAsia="Times New Roman" w:cs="Times New Roman"/>
        </w:rPr>
        <w:t>As discussed more below, the Joint Applicants have provided</w:t>
      </w:r>
      <w:r w:rsidR="002C3420">
        <w:rPr>
          <w:rFonts w:eastAsia="Times New Roman" w:cs="Times New Roman"/>
        </w:rPr>
        <w:t xml:space="preserve"> the required information on the proposed transaction</w:t>
      </w:r>
      <w:r w:rsidR="00EA5C79">
        <w:rPr>
          <w:rFonts w:eastAsia="Times New Roman" w:cs="Times New Roman"/>
        </w:rPr>
        <w:t xml:space="preserve">, the qualifications of the Transferee, and </w:t>
      </w:r>
      <w:r w:rsidR="00E30933">
        <w:rPr>
          <w:rFonts w:eastAsia="Times New Roman" w:cs="Times New Roman"/>
        </w:rPr>
        <w:t xml:space="preserve">disclosures sufficient to grant </w:t>
      </w:r>
      <w:r w:rsidR="004115BD">
        <w:rPr>
          <w:rFonts w:eastAsia="Times New Roman" w:cs="Times New Roman"/>
        </w:rPr>
        <w:t>a transfer of control.</w:t>
      </w:r>
    </w:p>
    <w:p w:rsidR="0067629A" w:rsidP="0067629A" w:rsidRDefault="0067629A" w14:paraId="3741BB74" w14:textId="34A09F3E">
      <w:pPr>
        <w:pStyle w:val="Standard"/>
        <w:rPr>
          <w:rFonts w:eastAsia="Times New Roman" w:cs="Times New Roman"/>
        </w:rPr>
      </w:pPr>
      <w:r>
        <w:rPr>
          <w:rFonts w:eastAsia="Times New Roman" w:cs="Times New Roman"/>
        </w:rPr>
        <w:lastRenderedPageBreak/>
        <w:t xml:space="preserve">Further, we do not agree with TURN that the lack of a controlling entity will harm the public interest. </w:t>
      </w:r>
      <w:r w:rsidR="00070170">
        <w:rPr>
          <w:rFonts w:eastAsia="Times New Roman" w:cs="Times New Roman"/>
        </w:rPr>
        <w:t xml:space="preserve"> </w:t>
      </w:r>
      <w:r>
        <w:rPr>
          <w:rFonts w:eastAsia="Times New Roman" w:cs="Times New Roman"/>
        </w:rPr>
        <w:t xml:space="preserve">As discussed below, Joint Applicants have met the requirements for a transfer of control application by providing disclosures pursuant to </w:t>
      </w:r>
      <w:r>
        <w:t xml:space="preserve">D.13-05-035 </w:t>
      </w:r>
      <w:r>
        <w:rPr>
          <w:rFonts w:eastAsia="Times New Roman" w:cs="Times New Roman"/>
        </w:rPr>
        <w:t>for entities with an ownership of more than 10% in the Transferee.</w:t>
      </w:r>
      <w:r w:rsidR="00111E15">
        <w:rPr>
          <w:rFonts w:eastAsia="Times New Roman" w:cs="Times New Roman"/>
        </w:rPr>
        <w:t xml:space="preserve"> </w:t>
      </w:r>
      <w:r w:rsidR="00070170">
        <w:rPr>
          <w:rFonts w:eastAsia="Times New Roman" w:cs="Times New Roman"/>
        </w:rPr>
        <w:t xml:space="preserve"> </w:t>
      </w:r>
      <w:r w:rsidR="008B4861">
        <w:rPr>
          <w:rFonts w:eastAsia="Times New Roman" w:cs="Times New Roman"/>
        </w:rPr>
        <w:t>Moreover, if an entity wishes to acquire a controlling interest in the Transferee in the future and</w:t>
      </w:r>
      <w:r w:rsidR="00C668AE">
        <w:rPr>
          <w:rFonts w:eastAsia="Times New Roman" w:cs="Times New Roman"/>
        </w:rPr>
        <w:t>/or</w:t>
      </w:r>
      <w:r w:rsidR="008B4861">
        <w:rPr>
          <w:rFonts w:eastAsia="Times New Roman" w:cs="Times New Roman"/>
        </w:rPr>
        <w:t xml:space="preserve"> gains any actual or working control over the day-to-day business of Securus, that entity would need to seek the Commission’s approval for the change in indirect control.</w:t>
      </w:r>
      <w:r w:rsidR="008B4861">
        <w:rPr>
          <w:rStyle w:val="FootnoteReference"/>
          <w:rFonts w:eastAsia="Times New Roman" w:cs="Times New Roman"/>
        </w:rPr>
        <w:footnoteReference w:id="42"/>
      </w:r>
    </w:p>
    <w:p w:rsidRPr="00543D64" w:rsidR="00811B05" w:rsidP="006A68F0" w:rsidRDefault="0061226D" w14:paraId="1A662324" w14:textId="4C5A1F10">
      <w:pPr>
        <w:pStyle w:val="Standard"/>
        <w:rPr>
          <w:rFonts w:eastAsia="Times New Roman" w:cs="Times New Roman"/>
        </w:rPr>
      </w:pPr>
      <w:r>
        <w:rPr>
          <w:rFonts w:eastAsia="Calibri" w:cs="Times New Roman"/>
        </w:rPr>
        <w:t xml:space="preserve">Therefore, </w:t>
      </w:r>
      <w:r w:rsidR="006A68F0">
        <w:rPr>
          <w:rFonts w:eastAsia="Calibri" w:cs="Times New Roman"/>
        </w:rPr>
        <w:t xml:space="preserve">subject to the condition we set forth below, </w:t>
      </w:r>
      <w:r w:rsidR="00923D37">
        <w:rPr>
          <w:rFonts w:eastAsia="Calibri" w:cs="Times New Roman"/>
        </w:rPr>
        <w:t>w</w:t>
      </w:r>
      <w:r w:rsidRPr="66E153E4">
        <w:rPr>
          <w:rFonts w:eastAsia="Calibri" w:cs="Times New Roman"/>
        </w:rPr>
        <w:t xml:space="preserve">e find that the transfer </w:t>
      </w:r>
      <w:r w:rsidRPr="008468B0">
        <w:rPr>
          <w:rFonts w:eastAsia="Calibri" w:cs="Times New Roman"/>
        </w:rPr>
        <w:t xml:space="preserve">of indirect control </w:t>
      </w:r>
      <w:r w:rsidRPr="66E153E4">
        <w:rPr>
          <w:rFonts w:eastAsia="Calibri" w:cs="Times New Roman"/>
        </w:rPr>
        <w:t>of</w:t>
      </w:r>
      <w:r w:rsidR="00305570">
        <w:rPr>
          <w:rFonts w:eastAsia="Calibri" w:cs="Times New Roman"/>
        </w:rPr>
        <w:t xml:space="preserve"> Securus from Transferor Platinum Equity to Transferee SCRS Intermediate HC</w:t>
      </w:r>
      <w:r w:rsidR="00B63F79">
        <w:rPr>
          <w:rFonts w:eastAsia="Calibri" w:cs="Times New Roman"/>
        </w:rPr>
        <w:t>,</w:t>
      </w:r>
      <w:r w:rsidRPr="66E153E4">
        <w:rPr>
          <w:rFonts w:eastAsia="Calibri" w:cs="Times New Roman"/>
        </w:rPr>
        <w:t xml:space="preserve"> </w:t>
      </w:r>
      <w:r w:rsidR="00C37688">
        <w:rPr>
          <w:rFonts w:eastAsia="Calibri" w:cs="Times New Roman"/>
        </w:rPr>
        <w:t xml:space="preserve">is in </w:t>
      </w:r>
      <w:r w:rsidRPr="66E153E4">
        <w:rPr>
          <w:rFonts w:eastAsia="Calibri" w:cs="Times New Roman"/>
        </w:rPr>
        <w:t>the public interest</w:t>
      </w:r>
      <w:r w:rsidR="00305570">
        <w:rPr>
          <w:rFonts w:eastAsia="Calibri" w:cs="Times New Roman"/>
        </w:rPr>
        <w:t>.</w:t>
      </w:r>
    </w:p>
    <w:p w:rsidR="00AA3D17" w:rsidP="00F40D44" w:rsidRDefault="00A136C6" w14:paraId="2E975BF8" w14:textId="62879EC2">
      <w:pPr>
        <w:pStyle w:val="Heading2"/>
        <w:numPr>
          <w:ilvl w:val="0"/>
          <w:numId w:val="1"/>
        </w:numPr>
        <w:spacing w:after="0" w:line="360" w:lineRule="auto"/>
      </w:pPr>
      <w:bookmarkStart w:name="_Toc228532650" w:id="34"/>
      <w:r>
        <w:t xml:space="preserve">Rule </w:t>
      </w:r>
      <w:r w:rsidR="00205B09">
        <w:t>3.6</w:t>
      </w:r>
      <w:bookmarkEnd w:id="34"/>
    </w:p>
    <w:p w:rsidR="00205B09" w:rsidP="00205B09" w:rsidRDefault="008319DA" w14:paraId="12F242C7" w14:textId="2FB09263">
      <w:pPr>
        <w:pStyle w:val="Standard"/>
      </w:pPr>
      <w:r>
        <w:t xml:space="preserve">Rule 3.6 </w:t>
      </w:r>
      <w:r w:rsidR="00395985">
        <w:t xml:space="preserve">sets forth requirements for the contents of applications to </w:t>
      </w:r>
      <w:r w:rsidR="00681720">
        <w:t xml:space="preserve">acquire or control a utility under </w:t>
      </w:r>
      <w:r w:rsidR="00D718DB">
        <w:t>Pub. Util. Code S</w:t>
      </w:r>
      <w:r w:rsidR="00681720">
        <w:t xml:space="preserve">ections 851 through 854. </w:t>
      </w:r>
      <w:r w:rsidR="00C340BA">
        <w:t xml:space="preserve"> </w:t>
      </w:r>
      <w:r w:rsidR="000836BF">
        <w:t xml:space="preserve">Rule 3.6(c) specifies that such </w:t>
      </w:r>
      <w:r w:rsidR="00D718DB">
        <w:t xml:space="preserve">an </w:t>
      </w:r>
      <w:r w:rsidR="000836BF">
        <w:t>application shall contain “detailed reasons upon the part of each applicant for entering into the proposed transaction, and all facts warranting the same.”</w:t>
      </w:r>
    </w:p>
    <w:p w:rsidR="002F4640" w:rsidP="002F4640" w:rsidRDefault="00F47911" w14:paraId="7AD97C8E" w14:textId="5AB05A9F">
      <w:pPr>
        <w:pStyle w:val="Standard"/>
      </w:pPr>
      <w:r>
        <w:t xml:space="preserve">TURN </w:t>
      </w:r>
      <w:r w:rsidR="00792460">
        <w:t xml:space="preserve">contends that the </w:t>
      </w:r>
      <w:r w:rsidR="00D718DB">
        <w:t>a</w:t>
      </w:r>
      <w:r w:rsidR="00D42C1C">
        <w:t>pplication fails to meet the requirements of Rule</w:t>
      </w:r>
      <w:r w:rsidR="00070170">
        <w:t> </w:t>
      </w:r>
      <w:r w:rsidR="00D42C1C">
        <w:t xml:space="preserve">3.6(c) </w:t>
      </w:r>
      <w:r w:rsidR="00B032FE">
        <w:t>for</w:t>
      </w:r>
      <w:r w:rsidR="00867E17">
        <w:t xml:space="preserve"> the same reasons that they allege that the </w:t>
      </w:r>
      <w:r w:rsidR="007D5226">
        <w:t>proposed transaction will not be in the public interest:</w:t>
      </w:r>
      <w:r w:rsidR="00931415">
        <w:t xml:space="preserve"> </w:t>
      </w:r>
      <w:r w:rsidR="00070170">
        <w:t xml:space="preserve"> </w:t>
      </w:r>
      <w:r w:rsidR="0074248C">
        <w:t xml:space="preserve">TURN argues that </w:t>
      </w:r>
      <w:r w:rsidR="007D5226">
        <w:t>the Joint Applicants fail to substantiate that the proposed transaction will result in public interest benefits</w:t>
      </w:r>
      <w:r w:rsidR="00D718DB">
        <w:t xml:space="preserve">, </w:t>
      </w:r>
      <w:r w:rsidR="00D718DB">
        <w:lastRenderedPageBreak/>
        <w:t>will</w:t>
      </w:r>
      <w:r w:rsidR="00EF3D53">
        <w:t xml:space="preserve"> not</w:t>
      </w:r>
      <w:r w:rsidR="001D7610">
        <w:t xml:space="preserve"> </w:t>
      </w:r>
      <w:r w:rsidR="007D5226">
        <w:t>har</w:t>
      </w:r>
      <w:r w:rsidR="00AA7C05">
        <w:t xml:space="preserve">m impacted communities, </w:t>
      </w:r>
      <w:r w:rsidR="00EF3D53">
        <w:t>or</w:t>
      </w:r>
      <w:r w:rsidR="00AA7C05">
        <w:t xml:space="preserve"> will result in no changes to </w:t>
      </w:r>
      <w:r w:rsidR="002F4640">
        <w:t>Securus’</w:t>
      </w:r>
      <w:r w:rsidR="0051010D">
        <w:t>s</w:t>
      </w:r>
      <w:r w:rsidR="002F4640">
        <w:t xml:space="preserve"> users’ services.</w:t>
      </w:r>
      <w:r w:rsidR="002F4640">
        <w:rPr>
          <w:rStyle w:val="FootnoteReference"/>
        </w:rPr>
        <w:footnoteReference w:id="43"/>
      </w:r>
    </w:p>
    <w:p w:rsidRPr="00205B09" w:rsidR="00BA535B" w:rsidP="002F4640" w:rsidRDefault="00BA535B" w14:paraId="062C5679" w14:textId="19939DEE">
      <w:pPr>
        <w:pStyle w:val="Standard"/>
      </w:pPr>
      <w:r>
        <w:t xml:space="preserve">We find that the </w:t>
      </w:r>
      <w:r w:rsidR="00D718DB">
        <w:t>a</w:t>
      </w:r>
      <w:r>
        <w:t xml:space="preserve">pplication meets the requirements of Rule 3.6(c). </w:t>
      </w:r>
      <w:r w:rsidR="00070170">
        <w:t xml:space="preserve"> </w:t>
      </w:r>
      <w:r>
        <w:t xml:space="preserve">The </w:t>
      </w:r>
      <w:r w:rsidR="00D718DB">
        <w:t>a</w:t>
      </w:r>
      <w:r>
        <w:t xml:space="preserve">pplication sets forth </w:t>
      </w:r>
      <w:r w:rsidR="00DD65A7">
        <w:t xml:space="preserve">that </w:t>
      </w:r>
      <w:r w:rsidR="00E66443">
        <w:t xml:space="preserve">the proposed transaction will </w:t>
      </w:r>
      <w:r w:rsidR="00E764D8">
        <w:t>reduce Aventiv’s debt obligations by</w:t>
      </w:r>
      <w:r w:rsidR="005C7BAE">
        <w:t xml:space="preserve"> </w:t>
      </w:r>
      <w:r w:rsidR="00BD77D4">
        <w:t>over a billion dollars and allow Securus to continue providing services without interruption.</w:t>
      </w:r>
      <w:r w:rsidR="00BD77D4">
        <w:rPr>
          <w:rStyle w:val="FootnoteReference"/>
        </w:rPr>
        <w:footnoteReference w:id="44"/>
      </w:r>
      <w:r w:rsidR="000A4708">
        <w:t xml:space="preserve"> </w:t>
      </w:r>
      <w:r w:rsidR="00070170">
        <w:t xml:space="preserve"> </w:t>
      </w:r>
      <w:r w:rsidR="000A4708">
        <w:t xml:space="preserve">Moreover, </w:t>
      </w:r>
      <w:r w:rsidR="00A90868">
        <w:t xml:space="preserve">as discussed </w:t>
      </w:r>
      <w:r w:rsidR="008565AC">
        <w:t>elsewhere in this decision</w:t>
      </w:r>
      <w:r w:rsidR="00A90868">
        <w:t>, the record supports that</w:t>
      </w:r>
      <w:r w:rsidR="00F542A7">
        <w:t>,</w:t>
      </w:r>
      <w:r w:rsidR="008565AC">
        <w:t xml:space="preserve"> with the condition imposed </w:t>
      </w:r>
      <w:r w:rsidR="00F46247">
        <w:t>in</w:t>
      </w:r>
      <w:r w:rsidR="008565AC">
        <w:t xml:space="preserve"> this decision,</w:t>
      </w:r>
      <w:r w:rsidR="00A90868">
        <w:t xml:space="preserve"> the proposed transaction will be in the public interest</w:t>
      </w:r>
      <w:r w:rsidR="00BE4737">
        <w:t>.</w:t>
      </w:r>
    </w:p>
    <w:p w:rsidR="00EA36C6" w:rsidP="00F40D44" w:rsidRDefault="00543D64" w14:paraId="5B5EDA0B" w14:textId="5EC45FAD">
      <w:pPr>
        <w:pStyle w:val="Heading2"/>
        <w:numPr>
          <w:ilvl w:val="0"/>
          <w:numId w:val="1"/>
        </w:numPr>
        <w:spacing w:after="0" w:line="360" w:lineRule="auto"/>
      </w:pPr>
      <w:bookmarkStart w:name="_Toc228532651" w:id="35"/>
      <w:r>
        <w:t>CPCN Criteria</w:t>
      </w:r>
      <w:bookmarkEnd w:id="35"/>
    </w:p>
    <w:p w:rsidRPr="00070170" w:rsidR="00543D64" w:rsidP="00F60151" w:rsidRDefault="00543D64" w14:paraId="60DFBA27" w14:textId="04738A91">
      <w:pPr>
        <w:rPr>
          <w:rFonts w:eastAsia="Times New Roman" w:cs="Times New Roman"/>
        </w:rPr>
      </w:pPr>
      <w:r w:rsidRPr="00070170">
        <w:rPr>
          <w:rFonts w:eastAsia="Times New Roman" w:cs="Times New Roman"/>
        </w:rPr>
        <w:t>When a company that does not possess a CPCN desires to acquire a company that do</w:t>
      </w:r>
      <w:r w:rsidR="00F46247">
        <w:rPr>
          <w:rFonts w:eastAsia="Times New Roman" w:cs="Times New Roman"/>
        </w:rPr>
        <w:t>es</w:t>
      </w:r>
      <w:r w:rsidRPr="00070170">
        <w:rPr>
          <w:rFonts w:eastAsia="Times New Roman" w:cs="Times New Roman"/>
        </w:rPr>
        <w:t>, the Commission appl</w:t>
      </w:r>
      <w:r w:rsidR="00F46247">
        <w:rPr>
          <w:rFonts w:eastAsia="Times New Roman" w:cs="Times New Roman"/>
        </w:rPr>
        <w:t>ies</w:t>
      </w:r>
      <w:r w:rsidRPr="00070170">
        <w:rPr>
          <w:rFonts w:eastAsia="Times New Roman" w:cs="Times New Roman"/>
        </w:rPr>
        <w:t xml:space="preserve"> the same requirements to the acquiring company as would be applied to an applicant seeking the type of CPCN held by the </w:t>
      </w:r>
      <w:r w:rsidR="00F46247">
        <w:rPr>
          <w:rFonts w:eastAsia="Times New Roman" w:cs="Times New Roman"/>
        </w:rPr>
        <w:t xml:space="preserve">acquired </w:t>
      </w:r>
      <w:r w:rsidRPr="00070170">
        <w:rPr>
          <w:rFonts w:eastAsia="Times New Roman" w:cs="Times New Roman"/>
        </w:rPr>
        <w:t xml:space="preserve">company. </w:t>
      </w:r>
      <w:r w:rsidR="00F46247">
        <w:rPr>
          <w:rFonts w:eastAsia="Times New Roman" w:cs="Times New Roman"/>
        </w:rPr>
        <w:t xml:space="preserve"> </w:t>
      </w:r>
      <w:r w:rsidRPr="00070170">
        <w:rPr>
          <w:rFonts w:eastAsia="Times New Roman" w:cs="Times New Roman"/>
        </w:rPr>
        <w:t xml:space="preserve">An applicant </w:t>
      </w:r>
      <w:r w:rsidR="00F46247">
        <w:rPr>
          <w:rFonts w:eastAsia="Times New Roman" w:cs="Times New Roman"/>
        </w:rPr>
        <w:t>that</w:t>
      </w:r>
      <w:r w:rsidRPr="00070170">
        <w:rPr>
          <w:rFonts w:eastAsia="Times New Roman" w:cs="Times New Roman"/>
        </w:rPr>
        <w:t xml:space="preserve"> desires to operate as a provider </w:t>
      </w:r>
      <w:r w:rsidRPr="00070170" w:rsidR="00824112">
        <w:rPr>
          <w:rFonts w:eastAsia="Times New Roman" w:cs="Times New Roman"/>
        </w:rPr>
        <w:t>of resold interexchange services</w:t>
      </w:r>
      <w:r w:rsidRPr="00070170">
        <w:rPr>
          <w:rFonts w:eastAsia="Times New Roman" w:cs="Times New Roman"/>
          <w:i/>
          <w:iCs/>
        </w:rPr>
        <w:t xml:space="preserve"> </w:t>
      </w:r>
      <w:r w:rsidRPr="00070170">
        <w:rPr>
          <w:rFonts w:eastAsia="Times New Roman" w:cs="Times New Roman"/>
        </w:rPr>
        <w:t xml:space="preserve">must demonstrate that it has </w:t>
      </w:r>
      <w:r w:rsidRPr="00070170" w:rsidR="00A17C4C">
        <w:rPr>
          <w:rFonts w:eastAsia="Times New Roman" w:cs="Times New Roman"/>
        </w:rPr>
        <w:t>met the financial, technical qualifications, certification</w:t>
      </w:r>
      <w:r w:rsidRPr="00070170" w:rsidR="0046788B">
        <w:rPr>
          <w:rFonts w:eastAsia="Times New Roman" w:cs="Times New Roman"/>
        </w:rPr>
        <w:t>, and CEQA</w:t>
      </w:r>
      <w:r w:rsidRPr="00070170" w:rsidR="00A17C4C">
        <w:rPr>
          <w:rFonts w:eastAsia="Times New Roman" w:cs="Times New Roman"/>
        </w:rPr>
        <w:t xml:space="preserve"> requirements</w:t>
      </w:r>
      <w:r w:rsidRPr="00070170" w:rsidR="00B439A1">
        <w:rPr>
          <w:rFonts w:eastAsia="Times New Roman" w:cs="Times New Roman"/>
        </w:rPr>
        <w:t xml:space="preserve"> of a CPCN holder, as discussed below</w:t>
      </w:r>
      <w:r w:rsidRPr="00070170" w:rsidR="00A17C4C">
        <w:rPr>
          <w:rFonts w:eastAsia="Times New Roman" w:cs="Times New Roman"/>
        </w:rPr>
        <w:t>.</w:t>
      </w:r>
    </w:p>
    <w:p w:rsidR="00BE0E56" w:rsidP="00F40D44" w:rsidRDefault="00BE0E56" w14:paraId="01F54210" w14:textId="191DF2F3">
      <w:pPr>
        <w:pStyle w:val="Heading3"/>
        <w:numPr>
          <w:ilvl w:val="1"/>
          <w:numId w:val="30"/>
        </w:numPr>
        <w:spacing w:after="0" w:line="360" w:lineRule="auto"/>
      </w:pPr>
      <w:bookmarkStart w:name="_Toc228532652" w:id="36"/>
      <w:r>
        <w:t>Financial Qualifications</w:t>
      </w:r>
      <w:bookmarkEnd w:id="36"/>
    </w:p>
    <w:p w:rsidRPr="00070170" w:rsidR="007B6864" w:rsidP="00784528" w:rsidRDefault="007B6864" w14:paraId="38F415C3" w14:textId="0461DDCB">
      <w:pPr>
        <w:rPr>
          <w:rFonts w:eastAsia="Times New Roman" w:cs="Times New Roman"/>
        </w:rPr>
      </w:pPr>
      <w:r w:rsidRPr="5FE663CC">
        <w:rPr>
          <w:rFonts w:eastAsia="Times New Roman" w:cs="Times New Roman"/>
        </w:rPr>
        <w:t xml:space="preserve">To be granted a CPCN, an applicant for authority to </w:t>
      </w:r>
      <w:r w:rsidR="00824112">
        <w:rPr>
          <w:rFonts w:eastAsia="Times New Roman" w:cs="Times New Roman"/>
        </w:rPr>
        <w:t>provide resold interexchange services</w:t>
      </w:r>
      <w:r w:rsidRPr="00E33D5F" w:rsidR="00A54432">
        <w:rPr>
          <w:rFonts w:eastAsia="Times New Roman" w:cs="Times New Roman"/>
          <w:i/>
          <w:iCs/>
        </w:rPr>
        <w:t xml:space="preserve"> </w:t>
      </w:r>
      <w:r w:rsidRPr="5FE663CC">
        <w:rPr>
          <w:rFonts w:eastAsia="Times New Roman" w:cs="Times New Roman"/>
        </w:rPr>
        <w:t>must demonstrate that it has</w:t>
      </w:r>
      <w:r w:rsidR="00F841D5">
        <w:rPr>
          <w:rFonts w:eastAsia="Times New Roman" w:cs="Times New Roman"/>
        </w:rPr>
        <w:t xml:space="preserve"> a</w:t>
      </w:r>
      <w:r w:rsidRPr="5FE663CC">
        <w:rPr>
          <w:rFonts w:eastAsia="Times New Roman" w:cs="Times New Roman"/>
        </w:rPr>
        <w:t xml:space="preserve"> minimum of </w:t>
      </w:r>
      <w:r w:rsidRPr="00B265FF">
        <w:rPr>
          <w:rFonts w:eastAsia="Times New Roman" w:cs="Times New Roman"/>
        </w:rPr>
        <w:t>$25,000</w:t>
      </w:r>
      <w:r w:rsidRPr="00B265FF" w:rsidR="00B265FF">
        <w:rPr>
          <w:rFonts w:eastAsia="Times New Roman" w:cs="Times New Roman"/>
          <w:b/>
          <w:bCs/>
        </w:rPr>
        <w:t xml:space="preserve"> </w:t>
      </w:r>
      <w:r w:rsidRPr="5FE663CC">
        <w:rPr>
          <w:rFonts w:eastAsia="Times New Roman" w:cs="Times New Roman"/>
        </w:rPr>
        <w:t>cash equivalent, reasonably liquid and readily available to meet the firm’s start-up expenses.</w:t>
      </w:r>
      <w:r w:rsidR="00084E99">
        <w:rPr>
          <w:rStyle w:val="FootnoteReference"/>
          <w:rFonts w:eastAsia="Times New Roman" w:cs="Times New Roman"/>
        </w:rPr>
        <w:footnoteReference w:id="45"/>
      </w:r>
      <w:r w:rsidRPr="5FE663CC">
        <w:rPr>
          <w:rFonts w:eastAsia="Times New Roman" w:cs="Times New Roman"/>
        </w:rPr>
        <w:t xml:space="preserve">  An applicant must also demonstrate that it has </w:t>
      </w:r>
      <w:r w:rsidR="007C734A">
        <w:rPr>
          <w:rFonts w:eastAsia="Times New Roman" w:cs="Times New Roman"/>
        </w:rPr>
        <w:t>$25,000</w:t>
      </w:r>
      <w:r w:rsidRPr="5FE663CC">
        <w:rPr>
          <w:rFonts w:eastAsia="Times New Roman" w:cs="Times New Roman"/>
        </w:rPr>
        <w:t xml:space="preserve"> to cover all deposits required by local exchange carriers and/or interexchange carriers in </w:t>
      </w:r>
      <w:r w:rsidRPr="5FE663CC">
        <w:rPr>
          <w:rFonts w:eastAsia="Times New Roman" w:cs="Times New Roman"/>
        </w:rPr>
        <w:lastRenderedPageBreak/>
        <w:t>order to provide the proposed service.</w:t>
      </w:r>
      <w:r w:rsidR="000465D2">
        <w:rPr>
          <w:rStyle w:val="FootnoteReference"/>
          <w:rFonts w:eastAsia="Times New Roman" w:cs="Times New Roman"/>
        </w:rPr>
        <w:footnoteReference w:id="46"/>
      </w:r>
      <w:r w:rsidRPr="5FE663CC">
        <w:rPr>
          <w:rFonts w:eastAsia="Times New Roman" w:cs="Times New Roman"/>
        </w:rPr>
        <w:t xml:space="preserve"> </w:t>
      </w:r>
      <w:r w:rsidR="00070170">
        <w:rPr>
          <w:rFonts w:eastAsia="Times New Roman" w:cs="Times New Roman"/>
        </w:rPr>
        <w:t xml:space="preserve"> </w:t>
      </w:r>
      <w:r w:rsidR="00F749A7">
        <w:t>SCRS Intermediate HC</w:t>
      </w:r>
      <w:r w:rsidRPr="009F1133">
        <w:rPr>
          <w:b/>
          <w:bCs/>
          <w:color w:val="4472C4" w:themeColor="accent1"/>
        </w:rPr>
        <w:t xml:space="preserve"> </w:t>
      </w:r>
      <w:r w:rsidRPr="5FE663CC">
        <w:rPr>
          <w:rFonts w:eastAsia="Times New Roman" w:cs="Times New Roman"/>
        </w:rPr>
        <w:t>satisf</w:t>
      </w:r>
      <w:r>
        <w:rPr>
          <w:rFonts w:eastAsia="Times New Roman" w:cs="Times New Roman"/>
        </w:rPr>
        <w:t>ies</w:t>
      </w:r>
      <w:r w:rsidRPr="5FE663CC">
        <w:rPr>
          <w:rFonts w:eastAsia="Times New Roman" w:cs="Times New Roman"/>
        </w:rPr>
        <w:t xml:space="preserve"> this requirement </w:t>
      </w:r>
      <w:r w:rsidR="00F46247">
        <w:rPr>
          <w:rFonts w:eastAsia="Times New Roman" w:cs="Times New Roman"/>
        </w:rPr>
        <w:t>by providing</w:t>
      </w:r>
      <w:r w:rsidRPr="5FE663CC">
        <w:rPr>
          <w:rFonts w:eastAsia="Times New Roman" w:cs="Times New Roman"/>
        </w:rPr>
        <w:t xml:space="preserve"> </w:t>
      </w:r>
      <w:r w:rsidR="002C451D">
        <w:rPr>
          <w:rFonts w:eastAsia="Times New Roman" w:cs="Times New Roman"/>
        </w:rPr>
        <w:t xml:space="preserve">an irrevocable guarantee for a period of at least 12 months after the Commission </w:t>
      </w:r>
      <w:r w:rsidR="0051010D">
        <w:rPr>
          <w:rFonts w:eastAsia="Times New Roman" w:cs="Times New Roman"/>
        </w:rPr>
        <w:t>grants control of Securus</w:t>
      </w:r>
      <w:r w:rsidRPr="00C33123" w:rsidR="009E5B41">
        <w:rPr>
          <w:rFonts w:eastAsia="Times New Roman" w:cs="Times New Roman"/>
        </w:rPr>
        <w:t>.</w:t>
      </w:r>
      <w:r w:rsidRPr="00C33123" w:rsidR="009E5B41">
        <w:rPr>
          <w:rStyle w:val="FootnoteReference"/>
          <w:rFonts w:eastAsia="Times New Roman" w:cs="Times New Roman"/>
        </w:rPr>
        <w:footnoteReference w:id="47"/>
      </w:r>
      <w:r w:rsidR="002C451D">
        <w:rPr>
          <w:rFonts w:eastAsia="Times New Roman" w:cs="Times New Roman"/>
        </w:rPr>
        <w:t xml:space="preserve"> </w:t>
      </w:r>
      <w:r w:rsidR="00070170">
        <w:rPr>
          <w:rFonts w:eastAsia="Times New Roman" w:cs="Times New Roman"/>
        </w:rPr>
        <w:t xml:space="preserve"> </w:t>
      </w:r>
      <w:r w:rsidR="002C451D">
        <w:rPr>
          <w:rFonts w:eastAsia="Times New Roman" w:cs="Times New Roman"/>
        </w:rPr>
        <w:t>TURN did not challenge the Joint Applicants’ financial qualifications.</w:t>
      </w:r>
    </w:p>
    <w:p w:rsidR="00BE0E56" w:rsidP="00F40D44" w:rsidRDefault="00BE0E56" w14:paraId="06F3AB4B" w14:textId="20670848">
      <w:pPr>
        <w:pStyle w:val="Heading3"/>
        <w:numPr>
          <w:ilvl w:val="1"/>
          <w:numId w:val="30"/>
        </w:numPr>
        <w:spacing w:after="0" w:line="360" w:lineRule="auto"/>
      </w:pPr>
      <w:bookmarkStart w:name="_Toc228532653" w:id="37"/>
      <w:r>
        <w:t>Technical</w:t>
      </w:r>
      <w:r w:rsidR="001E3602">
        <w:t xml:space="preserve"> </w:t>
      </w:r>
      <w:r>
        <w:t>Qualifications</w:t>
      </w:r>
      <w:bookmarkEnd w:id="37"/>
    </w:p>
    <w:p w:rsidR="00F46247" w:rsidP="185B1C2D" w:rsidRDefault="004E71AA" w14:paraId="6DF21AD9" w14:textId="22197D04">
      <w:pPr>
        <w:pStyle w:val="Standard"/>
        <w:rPr>
          <w:i/>
          <w:iCs/>
        </w:rPr>
      </w:pPr>
      <w:r>
        <w:t xml:space="preserve">An acquiring entity must also make a reasonable showing of technical expertise in telecommunications or a related business. </w:t>
      </w:r>
      <w:r w:rsidR="00070170">
        <w:t xml:space="preserve"> </w:t>
      </w:r>
      <w:r w:rsidR="009606DE">
        <w:t>SCRS Intermediate HC</w:t>
      </w:r>
      <w:r w:rsidRPr="185B1C2D" w:rsidR="00FD0F7F">
        <w:rPr>
          <w:b/>
          <w:bCs/>
        </w:rPr>
        <w:t xml:space="preserve"> </w:t>
      </w:r>
      <w:r w:rsidRPr="0015361D">
        <w:t xml:space="preserve">supplied </w:t>
      </w:r>
      <w:r w:rsidRPr="0015361D" w:rsidR="003F2248">
        <w:t>biographical information o</w:t>
      </w:r>
      <w:r w:rsidRPr="0015361D" w:rsidR="00BC047A">
        <w:t>f its prospective board of directors</w:t>
      </w:r>
      <w:r w:rsidR="00F46247">
        <w:t>.  This information</w:t>
      </w:r>
      <w:r w:rsidR="0048097A">
        <w:t xml:space="preserve"> demonstrates sufficient expertise in telecommunications and relat</w:t>
      </w:r>
      <w:r w:rsidR="004407E2">
        <w:t>ed business</w:t>
      </w:r>
      <w:r w:rsidRPr="0015361D" w:rsidR="00BC047A">
        <w:t>.</w:t>
      </w:r>
      <w:r w:rsidRPr="0015361D" w:rsidR="00BC047A">
        <w:rPr>
          <w:rStyle w:val="FootnoteReference"/>
        </w:rPr>
        <w:footnoteReference w:id="48"/>
      </w:r>
      <w:r w:rsidRPr="0015361D" w:rsidR="00FD0F7F">
        <w:rPr>
          <w:i/>
          <w:iCs/>
        </w:rPr>
        <w:t xml:space="preserve"> </w:t>
      </w:r>
    </w:p>
    <w:p w:rsidRPr="00070170" w:rsidR="004E71AA" w:rsidP="185B1C2D" w:rsidRDefault="002042E1" w14:paraId="4CFF115F" w14:textId="65695E4F">
      <w:pPr>
        <w:pStyle w:val="Standard"/>
      </w:pPr>
      <w:r>
        <w:t xml:space="preserve">TURN </w:t>
      </w:r>
      <w:r w:rsidR="00A04FAA">
        <w:t>states that “the Commission lacks information regarding how the new indirect ownership will have the technical, operational and financial expertise to manage Securus</w:t>
      </w:r>
      <w:r w:rsidR="002C65AE">
        <w:t>.”</w:t>
      </w:r>
      <w:r w:rsidR="002C65AE">
        <w:rPr>
          <w:rStyle w:val="FootnoteReference"/>
        </w:rPr>
        <w:footnoteReference w:id="49"/>
      </w:r>
      <w:r w:rsidR="00070170">
        <w:t xml:space="preserve"> </w:t>
      </w:r>
      <w:r w:rsidR="002C65AE">
        <w:t xml:space="preserve"> However, beyond this statement, TURN provides no evidence </w:t>
      </w:r>
      <w:r w:rsidR="002C451D">
        <w:t>that</w:t>
      </w:r>
      <w:r w:rsidR="00440B5E">
        <w:t xml:space="preserve"> SCRC Intermediate HC’s board of directors lack</w:t>
      </w:r>
      <w:r w:rsidR="00F46247">
        <w:t>s</w:t>
      </w:r>
      <w:r w:rsidR="00440B5E">
        <w:t xml:space="preserve"> the technical expertise to support this </w:t>
      </w:r>
      <w:r w:rsidR="002C451D">
        <w:t>a</w:t>
      </w:r>
      <w:r w:rsidR="00440B5E">
        <w:t>pplication</w:t>
      </w:r>
      <w:r w:rsidRPr="00070170" w:rsidR="00440B5E">
        <w:t>.</w:t>
      </w:r>
    </w:p>
    <w:p w:rsidR="004E71AA" w:rsidP="004E71AA" w:rsidRDefault="0051010D" w14:paraId="704A3B08" w14:textId="10E25F0E">
      <w:pPr>
        <w:pStyle w:val="Standard"/>
      </w:pPr>
      <w:r>
        <w:t>W</w:t>
      </w:r>
      <w:r w:rsidR="00440B5E">
        <w:t xml:space="preserve">e find that </w:t>
      </w:r>
      <w:r>
        <w:t xml:space="preserve">the biographical information </w:t>
      </w:r>
      <w:r w:rsidRPr="00313DB8" w:rsidR="0015361D">
        <w:t>SCRS Intermediate HC</w:t>
      </w:r>
      <w:r w:rsidRPr="00313DB8" w:rsidR="005764E5">
        <w:t xml:space="preserve"> </w:t>
      </w:r>
      <w:r>
        <w:t xml:space="preserve">provided for its prospective board of directors demonstrates </w:t>
      </w:r>
      <w:r w:rsidRPr="00313DB8" w:rsidR="004E71AA">
        <w:t>sufficient technical expertise and training to operate as a telecommunications provider.</w:t>
      </w:r>
    </w:p>
    <w:p w:rsidR="007E3B33" w:rsidP="00F40D44" w:rsidRDefault="003067A4" w14:paraId="6AC793B8" w14:textId="10C9A45C">
      <w:pPr>
        <w:pStyle w:val="Heading3"/>
        <w:numPr>
          <w:ilvl w:val="1"/>
          <w:numId w:val="30"/>
        </w:numPr>
        <w:spacing w:after="0" w:line="360" w:lineRule="auto"/>
      </w:pPr>
      <w:bookmarkStart w:name="_Toc228532654" w:id="38"/>
      <w:r>
        <w:t>Certification</w:t>
      </w:r>
      <w:r w:rsidR="007E3B33">
        <w:t xml:space="preserve"> </w:t>
      </w:r>
      <w:r w:rsidR="009B6C87">
        <w:t>Requirement</w:t>
      </w:r>
      <w:r w:rsidR="007E3B33">
        <w:t>s</w:t>
      </w:r>
      <w:bookmarkEnd w:id="38"/>
    </w:p>
    <w:p w:rsidR="004E71AA" w:rsidP="004E71AA" w:rsidRDefault="002521E6" w14:paraId="057AF6C1" w14:textId="54D4C903">
      <w:pPr>
        <w:pStyle w:val="Standard"/>
      </w:pPr>
      <w:r>
        <w:t>An acquiring entity must</w:t>
      </w:r>
      <w:r w:rsidR="005764E5">
        <w:t xml:space="preserve"> </w:t>
      </w:r>
      <w:r w:rsidR="004E71AA">
        <w:t>attest that no affiliate, officer, director, partner, agent</w:t>
      </w:r>
      <w:r w:rsidR="00EC6C74">
        <w:t>,</w:t>
      </w:r>
      <w:r w:rsidR="004E71AA">
        <w:t xml:space="preserve"> or owner (directly or indirectly) of more than 10</w:t>
      </w:r>
      <w:r w:rsidR="006D6E62">
        <w:t>%</w:t>
      </w:r>
      <w:r w:rsidR="004E71AA">
        <w:t xml:space="preserve"> of </w:t>
      </w:r>
      <w:r w:rsidR="00EC6C74">
        <w:t xml:space="preserve">the </w:t>
      </w:r>
      <w:r w:rsidR="004E71AA">
        <w:t xml:space="preserve">acquiring company, or any person acting in </w:t>
      </w:r>
      <w:r w:rsidR="00EC6C74">
        <w:t xml:space="preserve">a </w:t>
      </w:r>
      <w:r w:rsidR="004E71AA">
        <w:t>management capacity for that company, has:</w:t>
      </w:r>
    </w:p>
    <w:p w:rsidRPr="00070170" w:rsidR="00070170" w:rsidP="00070170" w:rsidRDefault="008776F9" w14:paraId="6F391DBD" w14:textId="42834BF0">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lastRenderedPageBreak/>
        <w:t>held one of these positions with a company that filed for bankruptcy;</w:t>
      </w:r>
    </w:p>
    <w:p w:rsidRPr="00070170" w:rsidR="00070170" w:rsidP="00070170" w:rsidRDefault="008776F9" w14:paraId="22E9B8B6" w14:textId="44AFD8FA">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t>been personally found liable, or held one of these positions with a company that has been found liable, for fraud, dishonesty, failure to disclose, or</w:t>
      </w:r>
      <w:r w:rsidR="005661D5">
        <w:rPr>
          <w:rFonts w:eastAsia="Times New Roman" w:cs="Times New Roman"/>
          <w:szCs w:val="26"/>
        </w:rPr>
        <w:t xml:space="preserve"> </w:t>
      </w:r>
      <w:r w:rsidRPr="00070170">
        <w:rPr>
          <w:rFonts w:eastAsia="Times New Roman" w:cs="Times New Roman"/>
          <w:szCs w:val="26"/>
        </w:rPr>
        <w:t>misrepresentations to consumers or others;</w:t>
      </w:r>
    </w:p>
    <w:p w:rsidRPr="00070170" w:rsidR="00070170" w:rsidP="00070170" w:rsidRDefault="008776F9" w14:paraId="26A30BF8" w14:textId="216018CD">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t>been convicted of a felony;</w:t>
      </w:r>
    </w:p>
    <w:p w:rsidRPr="00070170" w:rsidR="00070170" w:rsidP="00070170" w:rsidRDefault="008776F9" w14:paraId="765C71A8" w14:textId="030A234D">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t xml:space="preserve">been (to </w:t>
      </w:r>
      <w:r w:rsidR="00F46247">
        <w:rPr>
          <w:rFonts w:eastAsia="Times New Roman" w:cs="Times New Roman"/>
          <w:szCs w:val="26"/>
        </w:rPr>
        <w:t>their</w:t>
      </w:r>
      <w:r w:rsidRPr="00070170">
        <w:rPr>
          <w:rFonts w:eastAsia="Times New Roman" w:cs="Times New Roman"/>
          <w:szCs w:val="26"/>
        </w:rPr>
        <w:t xml:space="preserve"> knowledge) the subject of a criminal referral by </w:t>
      </w:r>
      <w:r w:rsidR="00F46247">
        <w:rPr>
          <w:rFonts w:eastAsia="Times New Roman" w:cs="Times New Roman"/>
          <w:szCs w:val="26"/>
        </w:rPr>
        <w:t xml:space="preserve">a </w:t>
      </w:r>
      <w:r w:rsidRPr="00070170">
        <w:rPr>
          <w:rFonts w:eastAsia="Times New Roman" w:cs="Times New Roman"/>
          <w:szCs w:val="26"/>
        </w:rPr>
        <w:t>judge or public agency;</w:t>
      </w:r>
    </w:p>
    <w:p w:rsidRPr="00070170" w:rsidR="00070170" w:rsidP="00070170" w:rsidRDefault="008776F9" w14:paraId="7F65997F" w14:textId="5F7BD51D">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t>had a telecommunications license or operating authority denied, suspended, revoked, or limited in any jurisdiction;</w:t>
      </w:r>
    </w:p>
    <w:p w:rsidRPr="00070170" w:rsidR="00070170" w:rsidP="00070170" w:rsidRDefault="008776F9" w14:paraId="37F5725E" w14:textId="30A94C0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t>personally entered into a settlement, or held one of these positions with a company that has entered into settlement of criminal or civil claims involving violations of [Sections] 17000 </w:t>
      </w:r>
      <w:r w:rsidRPr="00070170">
        <w:rPr>
          <w:rFonts w:eastAsia="Times New Roman" w:cs="Times New Roman"/>
          <w:i/>
          <w:iCs/>
          <w:szCs w:val="26"/>
        </w:rPr>
        <w:t>et seq.,</w:t>
      </w:r>
      <w:r w:rsidR="005661D5">
        <w:rPr>
          <w:rFonts w:eastAsia="Times New Roman" w:cs="Times New Roman"/>
          <w:szCs w:val="26"/>
        </w:rPr>
        <w:t xml:space="preserve"> </w:t>
      </w:r>
      <w:r w:rsidRPr="00070170">
        <w:rPr>
          <w:rFonts w:eastAsia="Times New Roman" w:cs="Times New Roman"/>
          <w:szCs w:val="26"/>
        </w:rPr>
        <w:t>[Sections]</w:t>
      </w:r>
      <w:r w:rsidR="005661D5">
        <w:rPr>
          <w:rFonts w:eastAsia="Times New Roman" w:cs="Times New Roman"/>
          <w:szCs w:val="26"/>
        </w:rPr>
        <w:t xml:space="preserve"> </w:t>
      </w:r>
      <w:r w:rsidRPr="00070170">
        <w:rPr>
          <w:rFonts w:eastAsia="Times New Roman" w:cs="Times New Roman"/>
          <w:szCs w:val="26"/>
        </w:rPr>
        <w:t>17200 </w:t>
      </w:r>
      <w:r w:rsidRPr="00070170">
        <w:rPr>
          <w:rFonts w:eastAsia="Times New Roman" w:cs="Times New Roman"/>
          <w:i/>
          <w:iCs/>
          <w:szCs w:val="26"/>
        </w:rPr>
        <w:t>et seq</w:t>
      </w:r>
      <w:r w:rsidRPr="00070170">
        <w:rPr>
          <w:rFonts w:eastAsia="Times New Roman" w:cs="Times New Roman"/>
          <w:szCs w:val="26"/>
        </w:rPr>
        <w:t xml:space="preserve">., or [Sections] 17500 </w:t>
      </w:r>
      <w:r w:rsidRPr="00070170">
        <w:rPr>
          <w:rFonts w:eastAsia="Times New Roman" w:cs="Times New Roman"/>
          <w:i/>
          <w:iCs/>
          <w:szCs w:val="26"/>
        </w:rPr>
        <w:t>et seq</w:t>
      </w:r>
      <w:r w:rsidRPr="00070170">
        <w:rPr>
          <w:rFonts w:eastAsia="Times New Roman" w:cs="Times New Roman"/>
          <w:szCs w:val="26"/>
        </w:rPr>
        <w:t>. of the California Business &amp; Professions Code, or of any other statute, regulation, or decisional law relating to fraud, dishonesty, failure to disclose, or misrepresentations to consumers or others; or</w:t>
      </w:r>
    </w:p>
    <w:p w:rsidRPr="00070170" w:rsidR="00070170" w:rsidP="00070170" w:rsidRDefault="008776F9" w14:paraId="4CFF3690" w14:textId="19CB4C41">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t>been found to have violated any statute, law, or rule pertaining to public utilities or other regulated industries; or</w:t>
      </w:r>
    </w:p>
    <w:p w:rsidRPr="00070170" w:rsidR="004E71AA" w:rsidP="00070170" w:rsidRDefault="008776F9" w14:paraId="5958F5CC" w14:textId="1E60EB54">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sidRPr="00070170">
        <w:rPr>
          <w:rFonts w:eastAsia="Times New Roman" w:cs="Times New Roman"/>
          <w:szCs w:val="26"/>
        </w:rPr>
        <w:t>entered into any settlement agreements or made any voluntary payments or agreed to any other type of monetary forfeitures in resolution of any action by any regulatory body, agency, or attorney general.</w:t>
      </w:r>
      <w:r w:rsidRPr="005345C2">
        <w:rPr>
          <w:vertAlign w:val="superscript"/>
        </w:rPr>
        <w:footnoteReference w:id="50"/>
      </w:r>
    </w:p>
    <w:p w:rsidR="0031557F" w:rsidP="0031557F" w:rsidRDefault="0031557F" w14:paraId="3DA10839" w14:textId="25BFAAD4">
      <w:pPr>
        <w:autoSpaceDE w:val="0"/>
        <w:autoSpaceDN w:val="0"/>
        <w:adjustRightInd w:val="0"/>
        <w:rPr>
          <w:rFonts w:cs="BookAntiqua"/>
        </w:rPr>
      </w:pPr>
      <w:bookmarkStart w:name="_Hlk146809291" w:id="39"/>
      <w:r w:rsidRPr="4372617A">
        <w:t xml:space="preserve">Also, </w:t>
      </w:r>
      <w:r>
        <w:t xml:space="preserve">the acquiring entity must attest that </w:t>
      </w:r>
      <w:r w:rsidRPr="005676A3">
        <w:t xml:space="preserve">to the best of its knowledge, neither the </w:t>
      </w:r>
      <w:r w:rsidR="00A946D7">
        <w:t>acquiring entity</w:t>
      </w:r>
      <w:r w:rsidRPr="005676A3">
        <w:t>, nor any affiliate, officer, director</w:t>
      </w:r>
      <w:r w:rsidRPr="4372617A">
        <w:t>, partner, nor owner of more than 10</w:t>
      </w:r>
      <w:r w:rsidR="006D6E62">
        <w:t>%</w:t>
      </w:r>
      <w:r w:rsidRPr="4372617A">
        <w:t xml:space="preserve">, or any person acting in such capacity whether or not formally appointed, is being, or has been investigated by the Federal Communications </w:t>
      </w:r>
      <w:r w:rsidRPr="4372617A">
        <w:lastRenderedPageBreak/>
        <w:t>Commission</w:t>
      </w:r>
      <w:r w:rsidR="00F83D28">
        <w:t xml:space="preserve"> (FCC)</w:t>
      </w:r>
      <w:r w:rsidRPr="4372617A">
        <w:t xml:space="preserve"> or any law enforcement or regulatory agency for failure to comply with any law, rule or order.</w:t>
      </w:r>
      <w:r w:rsidRPr="00425E29">
        <w:rPr>
          <w:rStyle w:val="FootnoteReference"/>
          <w:rFonts w:cs="BookAntiqua"/>
          <w:szCs w:val="26"/>
        </w:rPr>
        <w:footnoteReference w:id="51"/>
      </w:r>
      <w:bookmarkEnd w:id="39"/>
    </w:p>
    <w:p w:rsidR="00EC6C74" w:rsidP="0064485D" w:rsidRDefault="006C23DF" w14:paraId="4766E367" w14:textId="6D13D7F1">
      <w:pPr>
        <w:autoSpaceDE w:val="0"/>
        <w:autoSpaceDN w:val="0"/>
        <w:adjustRightInd w:val="0"/>
        <w:rPr>
          <w:rFonts w:cs="BookAntiqua"/>
        </w:rPr>
      </w:pPr>
      <w:r>
        <w:rPr>
          <w:rFonts w:cs="BookAntiqua"/>
        </w:rPr>
        <w:t>During this proceeding, the Joint Applicants</w:t>
      </w:r>
      <w:r w:rsidR="00396363">
        <w:rPr>
          <w:rFonts w:cs="BookAntiqua"/>
        </w:rPr>
        <w:t xml:space="preserve"> disclosed </w:t>
      </w:r>
      <w:r w:rsidR="00A570B4">
        <w:rPr>
          <w:rFonts w:cs="BookAntiqua"/>
        </w:rPr>
        <w:t xml:space="preserve">that Deutsche Bank, </w:t>
      </w:r>
      <w:r w:rsidR="00F46247">
        <w:rPr>
          <w:rFonts w:cs="BookAntiqua"/>
        </w:rPr>
        <w:t>which would hold an approximate 14.5</w:t>
      </w:r>
      <w:r w:rsidR="005E4DEB">
        <w:rPr>
          <w:rFonts w:cs="BookAntiqua"/>
        </w:rPr>
        <w:t>%</w:t>
      </w:r>
      <w:r w:rsidR="00F46247">
        <w:rPr>
          <w:rFonts w:cs="BookAntiqua"/>
        </w:rPr>
        <w:t xml:space="preserve"> equity interest in SCRS Intermediate HC,</w:t>
      </w:r>
      <w:r w:rsidR="00F46247">
        <w:rPr>
          <w:rStyle w:val="FootnoteReference"/>
          <w:rFonts w:cs="BookAntiqua"/>
        </w:rPr>
        <w:footnoteReference w:id="52"/>
      </w:r>
      <w:r w:rsidR="00F46247">
        <w:rPr>
          <w:rFonts w:cs="BookAntiqua"/>
        </w:rPr>
        <w:t xml:space="preserve"> </w:t>
      </w:r>
      <w:r w:rsidR="000F18BA">
        <w:rPr>
          <w:rFonts w:cs="BookAntiqua"/>
        </w:rPr>
        <w:t xml:space="preserve">has been </w:t>
      </w:r>
      <w:r w:rsidR="00FD7E15">
        <w:rPr>
          <w:rFonts w:cs="BookAntiqua"/>
        </w:rPr>
        <w:t>the subject of, or involved with, regulatory actions, investigations, enforcement actions</w:t>
      </w:r>
      <w:r w:rsidR="00EC6C74">
        <w:rPr>
          <w:rFonts w:cs="BookAntiqua"/>
        </w:rPr>
        <w:t>,</w:t>
      </w:r>
      <w:r w:rsidR="00147B24">
        <w:rPr>
          <w:rFonts w:cs="BookAntiqua"/>
        </w:rPr>
        <w:t xml:space="preserve"> and litigation.</w:t>
      </w:r>
      <w:r w:rsidR="00147B24">
        <w:rPr>
          <w:rStyle w:val="FootnoteReference"/>
          <w:rFonts w:cs="BookAntiqua"/>
        </w:rPr>
        <w:footnoteReference w:id="53"/>
      </w:r>
      <w:r w:rsidR="00070170">
        <w:rPr>
          <w:rFonts w:cs="BookAntiqua"/>
        </w:rPr>
        <w:t xml:space="preserve"> </w:t>
      </w:r>
      <w:r w:rsidR="005661D5">
        <w:rPr>
          <w:rFonts w:cs="BookAntiqua"/>
        </w:rPr>
        <w:t xml:space="preserve"> </w:t>
      </w:r>
      <w:r w:rsidR="0092669A">
        <w:rPr>
          <w:rFonts w:cs="BookAntiqua"/>
        </w:rPr>
        <w:t xml:space="preserve">Specifically, Joint Applicants </w:t>
      </w:r>
      <w:r w:rsidR="0048068B">
        <w:rPr>
          <w:rFonts w:cs="BookAntiqua"/>
        </w:rPr>
        <w:t xml:space="preserve">describe 27 disclosures with regard to </w:t>
      </w:r>
      <w:r w:rsidR="00FD272F">
        <w:rPr>
          <w:rFonts w:cs="BookAntiqua"/>
        </w:rPr>
        <w:t>De</w:t>
      </w:r>
      <w:r w:rsidR="003A3898">
        <w:rPr>
          <w:rFonts w:cs="BookAntiqua"/>
        </w:rPr>
        <w:t>utsche Bank</w:t>
      </w:r>
      <w:r w:rsidR="005242D8">
        <w:rPr>
          <w:rFonts w:cs="BookAntiqua"/>
        </w:rPr>
        <w:t xml:space="preserve"> that set forth </w:t>
      </w:r>
      <w:r w:rsidR="00FF13A7">
        <w:rPr>
          <w:rFonts w:cs="BookAntiqua"/>
        </w:rPr>
        <w:t>various settlements, investigations,</w:t>
      </w:r>
      <w:r w:rsidR="00A72112">
        <w:rPr>
          <w:rFonts w:cs="BookAntiqua"/>
        </w:rPr>
        <w:t xml:space="preserve"> or lawsuits</w:t>
      </w:r>
      <w:r w:rsidR="00B630D8">
        <w:rPr>
          <w:rFonts w:cs="BookAntiqua"/>
        </w:rPr>
        <w:t xml:space="preserve"> </w:t>
      </w:r>
      <w:r w:rsidR="00A9211E">
        <w:rPr>
          <w:rFonts w:cs="BookAntiqua"/>
        </w:rPr>
        <w:t>that have taken place in the United States or internationally</w:t>
      </w:r>
      <w:r w:rsidR="00CD5E8C">
        <w:rPr>
          <w:rFonts w:cs="BookAntiqua"/>
        </w:rPr>
        <w:t xml:space="preserve"> from January 1, 2017</w:t>
      </w:r>
      <w:r w:rsidR="00EC6C74">
        <w:rPr>
          <w:rFonts w:cs="BookAntiqua"/>
        </w:rPr>
        <w:t>,</w:t>
      </w:r>
      <w:r w:rsidR="00BF4FB6">
        <w:rPr>
          <w:rFonts w:cs="BookAntiqua"/>
        </w:rPr>
        <w:t xml:space="preserve"> to the present</w:t>
      </w:r>
      <w:r w:rsidR="00A72112">
        <w:rPr>
          <w:rFonts w:cs="BookAntiqua"/>
        </w:rPr>
        <w:t>.</w:t>
      </w:r>
      <w:r w:rsidR="00A72112">
        <w:rPr>
          <w:rStyle w:val="FootnoteReference"/>
          <w:rFonts w:cs="BookAntiqua"/>
        </w:rPr>
        <w:footnoteReference w:id="54"/>
      </w:r>
      <w:r w:rsidR="001D7806">
        <w:rPr>
          <w:rFonts w:cs="BookAntiqua"/>
        </w:rPr>
        <w:t xml:space="preserve"> </w:t>
      </w:r>
      <w:r w:rsidR="005661D5">
        <w:rPr>
          <w:rFonts w:cs="BookAntiqua"/>
        </w:rPr>
        <w:t xml:space="preserve"> </w:t>
      </w:r>
      <w:r w:rsidR="005C1424">
        <w:rPr>
          <w:rFonts w:cs="BookAntiqua"/>
        </w:rPr>
        <w:t>N</w:t>
      </w:r>
      <w:r w:rsidR="0035179F">
        <w:rPr>
          <w:rFonts w:cs="BookAntiqua"/>
        </w:rPr>
        <w:t>one of these disclosures involve</w:t>
      </w:r>
      <w:r w:rsidR="00F46247">
        <w:rPr>
          <w:rFonts w:cs="BookAntiqua"/>
        </w:rPr>
        <w:t>s</w:t>
      </w:r>
      <w:r w:rsidR="0035179F">
        <w:rPr>
          <w:rFonts w:cs="BookAntiqua"/>
        </w:rPr>
        <w:t xml:space="preserve"> </w:t>
      </w:r>
      <w:r w:rsidR="00312F28">
        <w:rPr>
          <w:rFonts w:cs="BookAntiqua"/>
        </w:rPr>
        <w:t>investigations or enforcement by the FCC or the Commission</w:t>
      </w:r>
      <w:r w:rsidR="00223FD2">
        <w:rPr>
          <w:rFonts w:cs="BookAntiqua"/>
        </w:rPr>
        <w:t>.</w:t>
      </w:r>
      <w:r w:rsidR="00EC6C74">
        <w:rPr>
          <w:rFonts w:cs="BookAntiqua"/>
        </w:rPr>
        <w:t xml:space="preserve"> </w:t>
      </w:r>
      <w:r w:rsidR="00680ECE">
        <w:rPr>
          <w:rFonts w:cs="BookAntiqua"/>
        </w:rPr>
        <w:t xml:space="preserve"> </w:t>
      </w:r>
      <w:r w:rsidR="00EC6C74">
        <w:rPr>
          <w:rFonts w:cs="BookAntiqua"/>
        </w:rPr>
        <w:t>TURN did not allege that the Joint Applicants failed to meet the certification requirements because of this disclosure.</w:t>
      </w:r>
    </w:p>
    <w:p w:rsidR="003A4047" w:rsidP="0064485D" w:rsidRDefault="00BF4FB6" w14:paraId="774D1207" w14:textId="3BC39B7F">
      <w:pPr>
        <w:autoSpaceDE w:val="0"/>
        <w:autoSpaceDN w:val="0"/>
        <w:adjustRightInd w:val="0"/>
        <w:rPr>
          <w:rFonts w:cs="BookAntiqua"/>
        </w:rPr>
      </w:pPr>
      <w:r>
        <w:rPr>
          <w:rFonts w:cs="BookAntiqua"/>
        </w:rPr>
        <w:t xml:space="preserve">Given that the record </w:t>
      </w:r>
      <w:r w:rsidR="00EC6C74">
        <w:rPr>
          <w:rFonts w:cs="BookAntiqua"/>
        </w:rPr>
        <w:t>shows</w:t>
      </w:r>
      <w:r>
        <w:rPr>
          <w:rFonts w:cs="BookAntiqua"/>
        </w:rPr>
        <w:t xml:space="preserve"> that Deutsche Bank will have only a minimal role,</w:t>
      </w:r>
      <w:r w:rsidR="00FE104E">
        <w:rPr>
          <w:rFonts w:cs="BookAntiqua"/>
        </w:rPr>
        <w:t xml:space="preserve"> if any,</w:t>
      </w:r>
      <w:r>
        <w:rPr>
          <w:rFonts w:cs="BookAntiqua"/>
        </w:rPr>
        <w:t xml:space="preserve"> in the day-to-day management of Securus,</w:t>
      </w:r>
      <w:r w:rsidR="0084170B">
        <w:rPr>
          <w:rStyle w:val="FootnoteReference"/>
          <w:rFonts w:cs="BookAntiqua"/>
        </w:rPr>
        <w:footnoteReference w:id="55"/>
      </w:r>
      <w:r>
        <w:rPr>
          <w:rFonts w:cs="BookAntiqua"/>
        </w:rPr>
        <w:t xml:space="preserve"> </w:t>
      </w:r>
      <w:r w:rsidR="002035CC">
        <w:rPr>
          <w:rFonts w:cs="BookAntiqua"/>
        </w:rPr>
        <w:t xml:space="preserve">we find that these disclosures do not pose a </w:t>
      </w:r>
      <w:r w:rsidR="006F090E">
        <w:rPr>
          <w:rFonts w:cs="BookAntiqua"/>
        </w:rPr>
        <w:t xml:space="preserve">barrier to this </w:t>
      </w:r>
      <w:r w:rsidR="002B4E56">
        <w:rPr>
          <w:rFonts w:cs="BookAntiqua"/>
        </w:rPr>
        <w:t>instant application.</w:t>
      </w:r>
      <w:r w:rsidR="001D4C79">
        <w:rPr>
          <w:rStyle w:val="FootnoteReference"/>
          <w:rFonts w:cs="BookAntiqua"/>
        </w:rPr>
        <w:footnoteReference w:id="56"/>
      </w:r>
    </w:p>
    <w:p w:rsidR="002135FF" w:rsidP="0064485D" w:rsidRDefault="003A4047" w14:paraId="1AE5FD21" w14:textId="029DBFE7">
      <w:pPr>
        <w:autoSpaceDE w:val="0"/>
        <w:autoSpaceDN w:val="0"/>
        <w:adjustRightInd w:val="0"/>
        <w:rPr>
          <w:rFonts w:cs="BookAntiqua"/>
        </w:rPr>
      </w:pPr>
      <w:r>
        <w:rPr>
          <w:rFonts w:cs="BookAntiqua"/>
        </w:rPr>
        <w:t xml:space="preserve">Additionally, Joint Applicants disclosed that two </w:t>
      </w:r>
      <w:r w:rsidR="00181C51">
        <w:rPr>
          <w:rFonts w:cs="BookAntiqua"/>
        </w:rPr>
        <w:t xml:space="preserve">prospective board members of SCRS Intermediate </w:t>
      </w:r>
      <w:r w:rsidR="0008588A">
        <w:rPr>
          <w:rFonts w:cs="BookAntiqua"/>
        </w:rPr>
        <w:t xml:space="preserve">HC </w:t>
      </w:r>
      <w:r w:rsidR="00B5019D">
        <w:rPr>
          <w:rFonts w:cs="BookAntiqua"/>
        </w:rPr>
        <w:t>have held position</w:t>
      </w:r>
      <w:r w:rsidR="00EC6C74">
        <w:rPr>
          <w:rFonts w:cs="BookAntiqua"/>
        </w:rPr>
        <w:t>s</w:t>
      </w:r>
      <w:r w:rsidR="00B5019D">
        <w:rPr>
          <w:rFonts w:cs="BookAntiqua"/>
        </w:rPr>
        <w:t xml:space="preserve"> </w:t>
      </w:r>
      <w:r w:rsidR="00EC6C74">
        <w:rPr>
          <w:rFonts w:cs="BookAntiqua"/>
        </w:rPr>
        <w:t>at</w:t>
      </w:r>
      <w:r w:rsidR="00B5019D">
        <w:rPr>
          <w:rFonts w:cs="BookAntiqua"/>
        </w:rPr>
        <w:t xml:space="preserve"> a company that filed for bankruptcy. </w:t>
      </w:r>
      <w:r w:rsidR="005661D5">
        <w:rPr>
          <w:rFonts w:cs="BookAntiqua"/>
        </w:rPr>
        <w:t xml:space="preserve"> </w:t>
      </w:r>
      <w:r w:rsidR="00B5019D">
        <w:rPr>
          <w:rFonts w:cs="BookAntiqua"/>
        </w:rPr>
        <w:t>Joint Applicants disclose</w:t>
      </w:r>
      <w:r w:rsidR="00EC6C74">
        <w:rPr>
          <w:rFonts w:cs="BookAntiqua"/>
        </w:rPr>
        <w:t>d</w:t>
      </w:r>
      <w:r w:rsidR="00B5019D">
        <w:rPr>
          <w:rFonts w:cs="BookAntiqua"/>
        </w:rPr>
        <w:t xml:space="preserve"> that Jorge Dominicis </w:t>
      </w:r>
      <w:r w:rsidR="00AB0CAC">
        <w:rPr>
          <w:rFonts w:cs="BookAntiqua"/>
        </w:rPr>
        <w:t>served as Chief Executive Officer and Chair of Wellpath Holdings, Inc.</w:t>
      </w:r>
      <w:r w:rsidR="00E00717">
        <w:rPr>
          <w:rFonts w:cs="BookAntiqua"/>
        </w:rPr>
        <w:t xml:space="preserve"> (Wellpath)</w:t>
      </w:r>
      <w:r w:rsidR="002135FF">
        <w:rPr>
          <w:rFonts w:cs="BookAntiqua"/>
        </w:rPr>
        <w:t>, from</w:t>
      </w:r>
      <w:r w:rsidR="00B96017">
        <w:rPr>
          <w:rFonts w:cs="BookAntiqua"/>
        </w:rPr>
        <w:t xml:space="preserve"> 2018 to </w:t>
      </w:r>
      <w:r w:rsidR="00B96017">
        <w:rPr>
          <w:rFonts w:cs="BookAntiqua"/>
        </w:rPr>
        <w:lastRenderedPageBreak/>
        <w:t>May 2025</w:t>
      </w:r>
      <w:r w:rsidR="00EC6C74">
        <w:rPr>
          <w:rFonts w:cs="BookAntiqua"/>
        </w:rPr>
        <w:t>,</w:t>
      </w:r>
      <w:r w:rsidR="00886910">
        <w:rPr>
          <w:rFonts w:cs="BookAntiqua"/>
        </w:rPr>
        <w:t xml:space="preserve"> and Valerie Montgomery Rice </w:t>
      </w:r>
      <w:r w:rsidR="007F4249">
        <w:rPr>
          <w:rFonts w:cs="BookAntiqua"/>
        </w:rPr>
        <w:t>served as a director of Wellpath and served on its Compliance Committee.</w:t>
      </w:r>
      <w:r w:rsidR="00B96017">
        <w:rPr>
          <w:rStyle w:val="FootnoteReference"/>
          <w:rFonts w:cs="BookAntiqua"/>
        </w:rPr>
        <w:footnoteReference w:id="57"/>
      </w:r>
      <w:r w:rsidR="003E475A">
        <w:rPr>
          <w:rFonts w:cs="BookAntiqua"/>
        </w:rPr>
        <w:t xml:space="preserve"> </w:t>
      </w:r>
      <w:r w:rsidR="005661D5">
        <w:rPr>
          <w:rFonts w:cs="BookAntiqua"/>
        </w:rPr>
        <w:t xml:space="preserve"> </w:t>
      </w:r>
      <w:r w:rsidR="004D2545">
        <w:rPr>
          <w:rFonts w:cs="BookAntiqua"/>
        </w:rPr>
        <w:t>Wellpath filed for Chapter 11 bankruptcy</w:t>
      </w:r>
      <w:r w:rsidR="00235733">
        <w:rPr>
          <w:rFonts w:cs="BookAntiqua"/>
        </w:rPr>
        <w:t xml:space="preserve"> in November 2024</w:t>
      </w:r>
      <w:r w:rsidR="00CF41F8">
        <w:rPr>
          <w:rFonts w:cs="BookAntiqua"/>
        </w:rPr>
        <w:t xml:space="preserve"> and successfully emerged from bankruptcy on May 9, 2025.</w:t>
      </w:r>
      <w:r w:rsidR="00235733">
        <w:rPr>
          <w:rStyle w:val="FootnoteReference"/>
          <w:rFonts w:cs="BookAntiqua"/>
        </w:rPr>
        <w:footnoteReference w:id="58"/>
      </w:r>
      <w:r w:rsidR="00235733">
        <w:rPr>
          <w:rFonts w:cs="BookAntiqua"/>
        </w:rPr>
        <w:t xml:space="preserve"> </w:t>
      </w:r>
      <w:r w:rsidR="005661D5">
        <w:rPr>
          <w:rFonts w:cs="BookAntiqua"/>
        </w:rPr>
        <w:t xml:space="preserve"> </w:t>
      </w:r>
      <w:r w:rsidR="00EC6C74">
        <w:rPr>
          <w:rFonts w:cs="BookAntiqua"/>
        </w:rPr>
        <w:t xml:space="preserve">TURN did not allege that the Joint Applicants failed to meet the certification requirements because of this disclosure. </w:t>
      </w:r>
      <w:r w:rsidR="005661D5">
        <w:rPr>
          <w:rFonts w:cs="BookAntiqua"/>
        </w:rPr>
        <w:t xml:space="preserve"> </w:t>
      </w:r>
      <w:r w:rsidR="004B00BD">
        <w:rPr>
          <w:rFonts w:cs="BookAntiqua"/>
        </w:rPr>
        <w:t xml:space="preserve">We again find that these disclosures </w:t>
      </w:r>
      <w:r w:rsidR="00721C2A">
        <w:rPr>
          <w:rFonts w:cs="BookAntiqua"/>
        </w:rPr>
        <w:t>d</w:t>
      </w:r>
      <w:r w:rsidR="004B00BD">
        <w:rPr>
          <w:rFonts w:cs="BookAntiqua"/>
        </w:rPr>
        <w:t>o not pose a barrier to this application.</w:t>
      </w:r>
      <w:r w:rsidR="00F84802">
        <w:rPr>
          <w:rFonts w:cs="BookAntiqua"/>
        </w:rPr>
        <w:t xml:space="preserve"> </w:t>
      </w:r>
      <w:r w:rsidR="005661D5">
        <w:rPr>
          <w:rFonts w:cs="BookAntiqua"/>
        </w:rPr>
        <w:t xml:space="preserve"> </w:t>
      </w:r>
      <w:r w:rsidR="00F84802">
        <w:rPr>
          <w:rFonts w:cs="BookAntiqua"/>
        </w:rPr>
        <w:t>Joint Applicants demonstrated transparency in disclosing the information about the prospective board members.</w:t>
      </w:r>
    </w:p>
    <w:p w:rsidRPr="0064485D" w:rsidR="004E71AA" w:rsidP="00BE58A9" w:rsidRDefault="00A0380F" w14:paraId="44DA68FA" w14:textId="0832E138">
      <w:pPr>
        <w:autoSpaceDE w:val="0"/>
        <w:autoSpaceDN w:val="0"/>
        <w:adjustRightInd w:val="0"/>
        <w:rPr>
          <w:rFonts w:cs="BookAntiqua"/>
        </w:rPr>
      </w:pPr>
      <w:r w:rsidRPr="00A0380F">
        <w:rPr>
          <w:color w:val="000000" w:themeColor="text1"/>
        </w:rPr>
        <w:t>Therefore,</w:t>
      </w:r>
      <w:r w:rsidR="00BE58A9">
        <w:rPr>
          <w:color w:val="000000" w:themeColor="text1"/>
        </w:rPr>
        <w:t xml:space="preserve"> we find that </w:t>
      </w:r>
      <w:r w:rsidR="00D65EB7">
        <w:rPr>
          <w:rFonts w:cs="BookAntiqua"/>
        </w:rPr>
        <w:t>the disclosures that SCRS Intermediate HC has made</w:t>
      </w:r>
      <w:r w:rsidR="00106CF8">
        <w:rPr>
          <w:rFonts w:cs="BookAntiqua"/>
        </w:rPr>
        <w:t xml:space="preserve"> provide sufficient basis </w:t>
      </w:r>
      <w:r w:rsidR="00D65EB7">
        <w:rPr>
          <w:rFonts w:cs="BookAntiqua"/>
        </w:rPr>
        <w:t>to approve the application.</w:t>
      </w:r>
    </w:p>
    <w:p w:rsidR="003F4498" w:rsidP="00F40D44" w:rsidRDefault="00BE0E56" w14:paraId="09FA1ECF" w14:textId="09A492AB">
      <w:pPr>
        <w:pStyle w:val="Heading2"/>
        <w:numPr>
          <w:ilvl w:val="0"/>
          <w:numId w:val="1"/>
        </w:numPr>
        <w:spacing w:after="0" w:line="360" w:lineRule="auto"/>
      </w:pPr>
      <w:bookmarkStart w:name="_Toc228532655" w:id="40"/>
      <w:r>
        <w:t>CEQ</w:t>
      </w:r>
      <w:bookmarkStart w:name="_Toc8123721" w:id="41"/>
      <w:r w:rsidR="00294715">
        <w:t>A</w:t>
      </w:r>
      <w:bookmarkEnd w:id="40"/>
    </w:p>
    <w:p w:rsidR="00294715" w:rsidP="00294715" w:rsidRDefault="00EC6C74" w14:paraId="5B7C9276" w14:textId="4ABFCA14">
      <w:pPr>
        <w:keepNext/>
        <w:keepLines/>
        <w:rPr>
          <w:rFonts w:eastAsia="Calibri" w:cs="Times New Roman"/>
        </w:rPr>
      </w:pPr>
      <w:r>
        <w:rPr>
          <w:rFonts w:eastAsia="Calibri" w:cs="Times New Roman"/>
        </w:rPr>
        <w:t>When</w:t>
      </w:r>
      <w:r w:rsidR="00294715">
        <w:rPr>
          <w:rFonts w:eastAsia="Calibri" w:cs="Times New Roman"/>
        </w:rPr>
        <w:t xml:space="preserve"> telecommunications providers seek to construct or install facilities, the Commission act</w:t>
      </w:r>
      <w:r>
        <w:rPr>
          <w:rFonts w:eastAsia="Calibri" w:cs="Times New Roman"/>
        </w:rPr>
        <w:t>s</w:t>
      </w:r>
      <w:r w:rsidR="00294715">
        <w:rPr>
          <w:rFonts w:eastAsia="Calibri" w:cs="Times New Roman"/>
        </w:rPr>
        <w:t xml:space="preserve"> as the designated lead agency</w:t>
      </w:r>
      <w:r>
        <w:rPr>
          <w:rFonts w:eastAsia="Calibri" w:cs="Times New Roman"/>
        </w:rPr>
        <w:t xml:space="preserve"> under CEQA</w:t>
      </w:r>
      <w:r w:rsidR="00294715">
        <w:rPr>
          <w:rFonts w:eastAsia="Calibri" w:cs="Times New Roman"/>
        </w:rPr>
        <w:t xml:space="preserve"> to assess the </w:t>
      </w:r>
      <w:r w:rsidR="00B77681">
        <w:rPr>
          <w:rFonts w:eastAsia="Calibri" w:cs="Times New Roman"/>
        </w:rPr>
        <w:t xml:space="preserve">project’s </w:t>
      </w:r>
      <w:r w:rsidR="00294715">
        <w:rPr>
          <w:rFonts w:eastAsia="Calibri" w:cs="Times New Roman"/>
        </w:rPr>
        <w:t>potential environmental impact</w:t>
      </w:r>
      <w:r w:rsidR="00B77681">
        <w:rPr>
          <w:rFonts w:eastAsia="Calibri" w:cs="Times New Roman"/>
        </w:rPr>
        <w:t>s</w:t>
      </w:r>
      <w:r w:rsidR="00294715">
        <w:rPr>
          <w:rFonts w:eastAsia="Calibri" w:cs="Times New Roman"/>
        </w:rPr>
        <w:t xml:space="preserve"> </w:t>
      </w:r>
      <w:r w:rsidR="004D5C77">
        <w:rPr>
          <w:rFonts w:eastAsia="Calibri" w:cs="Times New Roman"/>
        </w:rPr>
        <w:t>and</w:t>
      </w:r>
      <w:r w:rsidR="00B77681">
        <w:rPr>
          <w:rFonts w:eastAsia="Calibri" w:cs="Times New Roman"/>
        </w:rPr>
        <w:t>, to the extent feasible,</w:t>
      </w:r>
      <w:r w:rsidR="004D5C77">
        <w:rPr>
          <w:rFonts w:eastAsia="Calibri" w:cs="Times New Roman"/>
        </w:rPr>
        <w:t xml:space="preserve"> mitigate any significant impacts</w:t>
      </w:r>
      <w:r w:rsidR="00294715">
        <w:rPr>
          <w:rFonts w:eastAsia="Calibri" w:cs="Times New Roman"/>
        </w:rPr>
        <w:t>.</w:t>
      </w:r>
      <w:r w:rsidR="004D5C77">
        <w:rPr>
          <w:rStyle w:val="FootnoteReference"/>
          <w:rFonts w:eastAsia="Calibri" w:cs="Times New Roman"/>
        </w:rPr>
        <w:footnoteReference w:id="59"/>
      </w:r>
    </w:p>
    <w:p w:rsidRPr="00294715" w:rsidR="00294715" w:rsidP="00246D40" w:rsidRDefault="00294715" w14:paraId="550B9999" w14:textId="5B79EA51">
      <w:pPr>
        <w:pStyle w:val="Standard"/>
      </w:pPr>
      <w:r>
        <w:rPr>
          <w:rFonts w:eastAsia="Calibri" w:cs="Times New Roman"/>
        </w:rPr>
        <w:t xml:space="preserve">The </w:t>
      </w:r>
      <w:r w:rsidRPr="00D40873">
        <w:rPr>
          <w:rFonts w:eastAsia="Calibri" w:cs="Times New Roman"/>
        </w:rPr>
        <w:t xml:space="preserve">indirect transfer </w:t>
      </w:r>
      <w:r>
        <w:rPr>
          <w:rFonts w:eastAsia="Calibri" w:cs="Times New Roman"/>
        </w:rPr>
        <w:t xml:space="preserve">of control </w:t>
      </w:r>
      <w:r w:rsidR="00B77681">
        <w:rPr>
          <w:rFonts w:eastAsia="Calibri" w:cs="Times New Roman"/>
        </w:rPr>
        <w:t>at issue in</w:t>
      </w:r>
      <w:r>
        <w:rPr>
          <w:rFonts w:eastAsia="Calibri" w:cs="Times New Roman"/>
        </w:rPr>
        <w:t xml:space="preserve"> this application proposes no new construction and requests no authority for future construction; it is merely a “paper transaction,” with no potential to have any significant impact on the environment.</w:t>
      </w:r>
      <w:r>
        <w:rPr>
          <w:rFonts w:eastAsia="PMingLiU" w:cs="Times New Roman"/>
          <w:sz w:val="24"/>
          <w:szCs w:val="24"/>
          <w:vertAlign w:val="superscript"/>
        </w:rPr>
        <w:footnoteReference w:id="60"/>
      </w:r>
      <w:r>
        <w:rPr>
          <w:rFonts w:eastAsia="Calibri" w:cs="Times New Roman"/>
        </w:rPr>
        <w:t xml:space="preserve">  Accordingly, the application is exempt from CEQA</w:t>
      </w:r>
      <w:r w:rsidR="005131CE">
        <w:rPr>
          <w:rFonts w:eastAsia="Calibri" w:cs="Times New Roman"/>
        </w:rPr>
        <w:t xml:space="preserve"> review</w:t>
      </w:r>
      <w:r>
        <w:rPr>
          <w:rFonts w:eastAsia="Calibri" w:cs="Times New Roman"/>
        </w:rPr>
        <w:t xml:space="preserve">. </w:t>
      </w:r>
      <w:r w:rsidR="005661D5">
        <w:rPr>
          <w:rFonts w:eastAsia="Calibri" w:cs="Times New Roman"/>
        </w:rPr>
        <w:t xml:space="preserve"> </w:t>
      </w:r>
      <w:r w:rsidR="00E801E4">
        <w:rPr>
          <w:rFonts w:eastAsia="Calibri" w:cs="Times New Roman"/>
        </w:rPr>
        <w:t xml:space="preserve">The Transferee, </w:t>
      </w:r>
      <w:r w:rsidRPr="00D40873" w:rsidR="008F0D62">
        <w:rPr>
          <w:rFonts w:eastAsia="Calibri" w:cs="Times New Roman"/>
        </w:rPr>
        <w:t>SCRS Intermediate HC</w:t>
      </w:r>
      <w:r w:rsidRPr="00D40873" w:rsidR="00E801E4">
        <w:rPr>
          <w:rFonts w:eastAsia="Calibri" w:cs="Times New Roman"/>
        </w:rPr>
        <w:t>,</w:t>
      </w:r>
      <w:r w:rsidRPr="00D40873">
        <w:rPr>
          <w:rFonts w:eastAsia="Calibri" w:cs="Times New Roman"/>
        </w:rPr>
        <w:t xml:space="preserve"> must submit a new application should it propose </w:t>
      </w:r>
      <w:r w:rsidRPr="00D40873" w:rsidR="00D40873">
        <w:rPr>
          <w:rFonts w:eastAsia="Calibri" w:cs="Times New Roman"/>
        </w:rPr>
        <w:t xml:space="preserve">the </w:t>
      </w:r>
      <w:r w:rsidRPr="00D40873">
        <w:rPr>
          <w:rFonts w:eastAsia="Calibri" w:cs="Times New Roman"/>
        </w:rPr>
        <w:t>construction of facilities other than those within the</w:t>
      </w:r>
      <w:r w:rsidRPr="00D40873" w:rsidR="00E801E4">
        <w:rPr>
          <w:rFonts w:eastAsia="Calibri" w:cs="Times New Roman"/>
          <w:i/>
          <w:iCs/>
        </w:rPr>
        <w:t xml:space="preserve"> </w:t>
      </w:r>
      <w:r w:rsidRPr="00D40873">
        <w:t>authority</w:t>
      </w:r>
      <w:r w:rsidRPr="00D40873" w:rsidR="00E9253C">
        <w:t xml:space="preserve"> to </w:t>
      </w:r>
      <w:r w:rsidRPr="00D40873" w:rsidR="00E9253C">
        <w:lastRenderedPageBreak/>
        <w:t>resell interexchange services</w:t>
      </w:r>
      <w:r w:rsidRPr="00D40873">
        <w:t xml:space="preserve"> granted to </w:t>
      </w:r>
      <w:r w:rsidRPr="00D40873" w:rsidR="004E6C3E">
        <w:t>Securus</w:t>
      </w:r>
      <w:r w:rsidRPr="00D40873">
        <w:t xml:space="preserve"> as a </w:t>
      </w:r>
      <w:r w:rsidRPr="00D40873" w:rsidR="006E5D94">
        <w:t>nondominant interexchange carrier</w:t>
      </w:r>
      <w:r w:rsidRPr="00D40873">
        <w:t xml:space="preserve"> under its utility identification number U</w:t>
      </w:r>
      <w:r w:rsidR="005661D5">
        <w:noBreakHyphen/>
      </w:r>
      <w:r w:rsidRPr="00D40873" w:rsidR="00D40873">
        <w:t>6888-C</w:t>
      </w:r>
      <w:r>
        <w:t>.</w:t>
      </w:r>
    </w:p>
    <w:p w:rsidR="00372ECF" w:rsidP="00C95981" w:rsidRDefault="00D6057D" w14:paraId="56465B01" w14:textId="0D944284">
      <w:pPr>
        <w:pStyle w:val="Heading2"/>
        <w:numPr>
          <w:ilvl w:val="0"/>
          <w:numId w:val="1"/>
        </w:numPr>
      </w:pPr>
      <w:bookmarkStart w:name="_Toc228532656" w:id="42"/>
      <w:r>
        <w:t xml:space="preserve">Alignment with Commission’s </w:t>
      </w:r>
      <w:r w:rsidR="008A2E34">
        <w:t>Environmental and Social Justice Plan</w:t>
      </w:r>
      <w:bookmarkEnd w:id="42"/>
    </w:p>
    <w:p w:rsidR="00C1055B" w:rsidP="00B32486" w:rsidRDefault="00EB79F9" w14:paraId="1DF2D1E4" w14:textId="68C471CC">
      <w:pPr>
        <w:pStyle w:val="Standard"/>
      </w:pPr>
      <w:r>
        <w:t xml:space="preserve">Joint Applicants contend that </w:t>
      </w:r>
      <w:r w:rsidR="0055442C">
        <w:t>the proposed transaction is consistent with th</w:t>
      </w:r>
      <w:r w:rsidR="00BD1528">
        <w:t xml:space="preserve">e </w:t>
      </w:r>
      <w:r w:rsidR="005131CE">
        <w:t xml:space="preserve">Commission’s </w:t>
      </w:r>
      <w:r w:rsidR="00BD1528">
        <w:t>E</w:t>
      </w:r>
      <w:r w:rsidR="005131CE">
        <w:t xml:space="preserve">nvironmental and </w:t>
      </w:r>
      <w:r w:rsidR="00BD1528">
        <w:t>S</w:t>
      </w:r>
      <w:r w:rsidR="005131CE">
        <w:t xml:space="preserve">ocial </w:t>
      </w:r>
      <w:r w:rsidR="00BD1528">
        <w:t>J</w:t>
      </w:r>
      <w:r w:rsidR="005131CE">
        <w:t>ustice (ESJ) Action</w:t>
      </w:r>
      <w:r w:rsidR="00BD1528">
        <w:t xml:space="preserve"> Plan’s goal of expanding </w:t>
      </w:r>
      <w:r w:rsidR="00901549">
        <w:t xml:space="preserve">access to reliable </w:t>
      </w:r>
      <w:r w:rsidR="00542FBC">
        <w:t>communications services in disadvantaged communities.</w:t>
      </w:r>
      <w:r w:rsidR="00542FBC">
        <w:rPr>
          <w:rStyle w:val="FootnoteReference"/>
        </w:rPr>
        <w:footnoteReference w:id="61"/>
      </w:r>
      <w:r w:rsidR="00C77FC9">
        <w:t xml:space="preserve"> </w:t>
      </w:r>
      <w:r w:rsidR="005661D5">
        <w:t xml:space="preserve"> </w:t>
      </w:r>
      <w:r w:rsidR="00C77FC9">
        <w:t>Joint Applicants elaborate that this transaction will be seamless to Securus’</w:t>
      </w:r>
      <w:r w:rsidR="00F84802">
        <w:t>s</w:t>
      </w:r>
      <w:r w:rsidR="00C77FC9">
        <w:t xml:space="preserve"> users, including those in ESJ communities, and that </w:t>
      </w:r>
      <w:r w:rsidR="00E1078A">
        <w:t>it will not create disproportionate burdens or impacts on ESJ communities.</w:t>
      </w:r>
      <w:r w:rsidR="0020164B">
        <w:rPr>
          <w:rStyle w:val="FootnoteReference"/>
        </w:rPr>
        <w:footnoteReference w:id="62"/>
      </w:r>
      <w:r w:rsidR="004107DC">
        <w:t xml:space="preserve"> </w:t>
      </w:r>
      <w:r w:rsidR="005661D5">
        <w:t xml:space="preserve"> </w:t>
      </w:r>
      <w:r w:rsidR="004107DC">
        <w:t xml:space="preserve">Further, Joint Applicants state that by reducing Aventiv’s debt obligations, the proposed transaction will “improve operational stability and maintain or enhance service quality for incarcerated individuals,” thereby improving </w:t>
      </w:r>
      <w:r w:rsidR="001D6FC9">
        <w:t>reliable access to incarcerated individuals from ESJ communities.</w:t>
      </w:r>
      <w:r w:rsidR="001D6FC9">
        <w:rPr>
          <w:rStyle w:val="FootnoteReference"/>
        </w:rPr>
        <w:footnoteReference w:id="63"/>
      </w:r>
    </w:p>
    <w:p w:rsidR="00C1055B" w:rsidP="00B32486" w:rsidRDefault="005131CE" w14:paraId="0B28D974" w14:textId="0C440EEC">
      <w:pPr>
        <w:pStyle w:val="Standard"/>
      </w:pPr>
      <w:r>
        <w:t xml:space="preserve">TURN </w:t>
      </w:r>
      <w:r w:rsidR="009A0A7F">
        <w:t>argue</w:t>
      </w:r>
      <w:r w:rsidR="00E01C20">
        <w:t>s</w:t>
      </w:r>
      <w:r w:rsidR="009A0A7F">
        <w:t xml:space="preserve"> that </w:t>
      </w:r>
      <w:r w:rsidR="00133D15">
        <w:t xml:space="preserve">the proposed transaction will create impediments to incarcerated individuals in ESJ communities from </w:t>
      </w:r>
      <w:r w:rsidR="0012385C">
        <w:t xml:space="preserve">accessing affordable and reliable communications services, in conflict with </w:t>
      </w:r>
      <w:r>
        <w:t>G</w:t>
      </w:r>
      <w:r w:rsidR="0012385C">
        <w:t>oal 3.4 of the Commission’s ESJ Plan.</w:t>
      </w:r>
      <w:r w:rsidR="0012385C">
        <w:rPr>
          <w:rStyle w:val="FootnoteReference"/>
        </w:rPr>
        <w:footnoteReference w:id="64"/>
      </w:r>
      <w:r w:rsidR="008C41BA">
        <w:t xml:space="preserve"> </w:t>
      </w:r>
      <w:r w:rsidR="005661D5">
        <w:t xml:space="preserve"> </w:t>
      </w:r>
      <w:r w:rsidR="00487DA4">
        <w:t>Spe</w:t>
      </w:r>
      <w:r w:rsidR="008A4F03">
        <w:t xml:space="preserve">cifically, TURN alleges that the </w:t>
      </w:r>
      <w:r w:rsidR="00AE6DC8">
        <w:t xml:space="preserve">proposed transaction may result in price increases or </w:t>
      </w:r>
      <w:r w:rsidR="00535FC1">
        <w:t>service changes that will disproportionately harm ESJ communities.</w:t>
      </w:r>
      <w:r w:rsidR="00535FC1">
        <w:rPr>
          <w:rStyle w:val="FootnoteReference"/>
        </w:rPr>
        <w:footnoteReference w:id="65"/>
      </w:r>
      <w:r w:rsidR="00926BD6">
        <w:t xml:space="preserve"> </w:t>
      </w:r>
      <w:r w:rsidR="005661D5">
        <w:t xml:space="preserve"> </w:t>
      </w:r>
      <w:r w:rsidR="008C41BA">
        <w:t xml:space="preserve">Additionally, TURN argues that </w:t>
      </w:r>
      <w:r w:rsidR="000277BE">
        <w:t>the Joint Applicants fail to support that the proposed transaction will benefit incarcerated persons and</w:t>
      </w:r>
      <w:r w:rsidR="00B77681">
        <w:t>,</w:t>
      </w:r>
      <w:r w:rsidR="000277BE">
        <w:t xml:space="preserve"> </w:t>
      </w:r>
      <w:r w:rsidR="000277BE">
        <w:lastRenderedPageBreak/>
        <w:t>therefore</w:t>
      </w:r>
      <w:r w:rsidR="00B77681">
        <w:t>,</w:t>
      </w:r>
      <w:r w:rsidR="000277BE">
        <w:t xml:space="preserve"> persons in ESJ communities.</w:t>
      </w:r>
      <w:r w:rsidR="000277BE">
        <w:rPr>
          <w:rStyle w:val="FootnoteReference"/>
        </w:rPr>
        <w:footnoteReference w:id="66"/>
      </w:r>
      <w:r w:rsidR="00C31770">
        <w:t xml:space="preserve"> </w:t>
      </w:r>
      <w:r w:rsidR="005661D5">
        <w:t xml:space="preserve"> </w:t>
      </w:r>
      <w:r>
        <w:t xml:space="preserve">TURN </w:t>
      </w:r>
      <w:r w:rsidR="000277BE">
        <w:t>further argue</w:t>
      </w:r>
      <w:r>
        <w:t>s</w:t>
      </w:r>
      <w:r w:rsidR="000277BE">
        <w:t xml:space="preserve"> that in light of the</w:t>
      </w:r>
      <w:r w:rsidR="00C31770">
        <w:t xml:space="preserve">se harms to ESJ communities, the </w:t>
      </w:r>
      <w:r w:rsidR="00326EF1">
        <w:t xml:space="preserve">Commission should adopt the conditions of approval they advocate (discussed in detail below) to </w:t>
      </w:r>
      <w:r w:rsidR="00250FBF">
        <w:t>ensure that Securus’</w:t>
      </w:r>
      <w:r w:rsidR="00F84802">
        <w:t>s</w:t>
      </w:r>
      <w:r w:rsidR="00250FBF">
        <w:t xml:space="preserve"> services are affordable, of high quality, and do not impact users’ privacy interests.</w:t>
      </w:r>
      <w:r w:rsidR="00250FBF">
        <w:rPr>
          <w:rStyle w:val="FootnoteReference"/>
        </w:rPr>
        <w:footnoteReference w:id="67"/>
      </w:r>
    </w:p>
    <w:p w:rsidRPr="00FF5E7B" w:rsidR="00C1055B" w:rsidP="00FF5E7B" w:rsidRDefault="00472828" w14:paraId="6AF2A149" w14:textId="3D9502C4">
      <w:pPr>
        <w:pStyle w:val="Standard"/>
        <w:rPr>
          <w:rFonts w:eastAsia="Times New Roman" w:cs="Times New Roman"/>
        </w:rPr>
      </w:pPr>
      <w:r>
        <w:t xml:space="preserve">We </w:t>
      </w:r>
      <w:r w:rsidR="00FD049A">
        <w:t xml:space="preserve">find that </w:t>
      </w:r>
      <w:r w:rsidR="00D82A40">
        <w:t xml:space="preserve">the proposed transaction is consistent with the Commission’s ESJ Plan. </w:t>
      </w:r>
      <w:r w:rsidR="00F40D44">
        <w:t xml:space="preserve"> </w:t>
      </w:r>
      <w:r w:rsidR="00D82A40">
        <w:t xml:space="preserve">Contrary to </w:t>
      </w:r>
      <w:r w:rsidR="005131CE">
        <w:t>TURN</w:t>
      </w:r>
      <w:r w:rsidR="00D82A40">
        <w:t xml:space="preserve">’s assertions, the record reflects that the </w:t>
      </w:r>
      <w:r w:rsidR="00765D55">
        <w:t xml:space="preserve">proposed transaction will </w:t>
      </w:r>
      <w:r w:rsidR="00356C33">
        <w:rPr>
          <w:rFonts w:eastAsia="Times New Roman" w:cs="Times New Roman"/>
        </w:rPr>
        <w:t>be “seamless” and is not expected to change Securus’</w:t>
      </w:r>
      <w:r w:rsidR="00F84802">
        <w:rPr>
          <w:rFonts w:eastAsia="Times New Roman" w:cs="Times New Roman"/>
        </w:rPr>
        <w:t>s</w:t>
      </w:r>
      <w:r w:rsidR="00356C33">
        <w:rPr>
          <w:rFonts w:eastAsia="Times New Roman" w:cs="Times New Roman"/>
        </w:rPr>
        <w:t xml:space="preserve"> current prices, terms and conditions of service, or customer contracts.</w:t>
      </w:r>
      <w:r w:rsidR="00356C33">
        <w:rPr>
          <w:rStyle w:val="FootnoteReference"/>
          <w:rFonts w:eastAsia="Times New Roman" w:cs="Times New Roman"/>
        </w:rPr>
        <w:footnoteReference w:id="68"/>
      </w:r>
      <w:r w:rsidR="00356C33">
        <w:rPr>
          <w:rFonts w:eastAsia="Times New Roman" w:cs="Times New Roman"/>
        </w:rPr>
        <w:t xml:space="preserve"> </w:t>
      </w:r>
      <w:r w:rsidR="005661D5">
        <w:rPr>
          <w:rFonts w:eastAsia="Times New Roman" w:cs="Times New Roman"/>
        </w:rPr>
        <w:t xml:space="preserve"> </w:t>
      </w:r>
      <w:r w:rsidR="0077234E">
        <w:rPr>
          <w:rFonts w:eastAsia="Times New Roman" w:cs="Times New Roman"/>
        </w:rPr>
        <w:t>Moreover, the</w:t>
      </w:r>
      <w:r w:rsidR="00FF5E7B">
        <w:rPr>
          <w:rFonts w:eastAsia="Times New Roman" w:cs="Times New Roman"/>
        </w:rPr>
        <w:t xml:space="preserve"> record reflects that the</w:t>
      </w:r>
      <w:r w:rsidR="0077234E">
        <w:rPr>
          <w:rFonts w:eastAsia="Times New Roman" w:cs="Times New Roman"/>
        </w:rPr>
        <w:t xml:space="preserve"> reduction </w:t>
      </w:r>
      <w:r w:rsidR="00F51EE5">
        <w:rPr>
          <w:rFonts w:eastAsia="Times New Roman" w:cs="Times New Roman"/>
        </w:rPr>
        <w:t>in the</w:t>
      </w:r>
      <w:r w:rsidR="0077234E">
        <w:rPr>
          <w:rFonts w:eastAsia="Times New Roman" w:cs="Times New Roman"/>
        </w:rPr>
        <w:t xml:space="preserve"> debt obligations of Securus’</w:t>
      </w:r>
      <w:r w:rsidR="00F84802">
        <w:rPr>
          <w:rFonts w:eastAsia="Times New Roman" w:cs="Times New Roman"/>
        </w:rPr>
        <w:t>s</w:t>
      </w:r>
      <w:r w:rsidR="0077234E">
        <w:rPr>
          <w:rFonts w:eastAsia="Times New Roman" w:cs="Times New Roman"/>
        </w:rPr>
        <w:t xml:space="preserve"> parent company, Aventiv,</w:t>
      </w:r>
      <w:r w:rsidR="007011FD">
        <w:rPr>
          <w:rFonts w:eastAsia="Times New Roman" w:cs="Times New Roman"/>
        </w:rPr>
        <w:t xml:space="preserve"> </w:t>
      </w:r>
      <w:r w:rsidR="0077234E">
        <w:rPr>
          <w:rFonts w:eastAsia="Times New Roman" w:cs="Times New Roman"/>
        </w:rPr>
        <w:t>will allow Securus to better redirect resources to benefit consumers, such as investing in system upgrades, improved customer support systems, and new technologies.</w:t>
      </w:r>
      <w:r w:rsidR="0077234E">
        <w:rPr>
          <w:rStyle w:val="FootnoteReference"/>
          <w:rFonts w:eastAsia="Times New Roman" w:cs="Times New Roman"/>
        </w:rPr>
        <w:footnoteReference w:id="69"/>
      </w:r>
      <w:r w:rsidR="0077234E">
        <w:rPr>
          <w:rFonts w:eastAsia="Times New Roman" w:cs="Times New Roman"/>
        </w:rPr>
        <w:t xml:space="preserve"> </w:t>
      </w:r>
      <w:r w:rsidR="005661D5">
        <w:rPr>
          <w:rFonts w:eastAsia="Times New Roman" w:cs="Times New Roman"/>
        </w:rPr>
        <w:t xml:space="preserve"> </w:t>
      </w:r>
      <w:r w:rsidR="005B5D93">
        <w:rPr>
          <w:rFonts w:eastAsia="Times New Roman" w:cs="Times New Roman"/>
        </w:rPr>
        <w:t xml:space="preserve">Given this support in the record, we find that the proposed transaction is consistent with </w:t>
      </w:r>
      <w:r w:rsidR="002731C1">
        <w:rPr>
          <w:rFonts w:eastAsia="Times New Roman" w:cs="Times New Roman"/>
        </w:rPr>
        <w:t>Goal 3.4 of the</w:t>
      </w:r>
      <w:r w:rsidR="007073A2">
        <w:rPr>
          <w:rFonts w:eastAsia="Times New Roman" w:cs="Times New Roman"/>
        </w:rPr>
        <w:t xml:space="preserve"> Commission’s</w:t>
      </w:r>
      <w:r w:rsidR="005B5D93">
        <w:rPr>
          <w:rFonts w:eastAsia="Times New Roman" w:cs="Times New Roman"/>
        </w:rPr>
        <w:t xml:space="preserve"> ESJ Plan</w:t>
      </w:r>
      <w:r w:rsidR="002731C1">
        <w:rPr>
          <w:rFonts w:eastAsia="Times New Roman" w:cs="Times New Roman"/>
        </w:rPr>
        <w:t xml:space="preserve"> </w:t>
      </w:r>
      <w:r w:rsidR="005B5D93">
        <w:rPr>
          <w:rFonts w:eastAsia="Times New Roman" w:cs="Times New Roman"/>
        </w:rPr>
        <w:t xml:space="preserve">to </w:t>
      </w:r>
      <w:r w:rsidR="00316312">
        <w:rPr>
          <w:rFonts w:eastAsia="Times New Roman" w:cs="Times New Roman"/>
        </w:rPr>
        <w:t>improve</w:t>
      </w:r>
      <w:r w:rsidR="005B5D93">
        <w:rPr>
          <w:rFonts w:eastAsia="Times New Roman" w:cs="Times New Roman"/>
        </w:rPr>
        <w:t xml:space="preserve"> </w:t>
      </w:r>
      <w:r w:rsidR="00316312">
        <w:rPr>
          <w:rFonts w:eastAsia="Times New Roman" w:cs="Times New Roman"/>
        </w:rPr>
        <w:t>“</w:t>
      </w:r>
      <w:r w:rsidR="005B5D93">
        <w:t>access to essential communications services at affordable rates</w:t>
      </w:r>
      <w:r w:rsidR="00316312">
        <w:t>.”</w:t>
      </w:r>
      <w:r w:rsidR="00316312">
        <w:rPr>
          <w:rStyle w:val="FootnoteReference"/>
        </w:rPr>
        <w:footnoteReference w:id="70"/>
      </w:r>
    </w:p>
    <w:p w:rsidR="00971E42" w:rsidP="00F40D44" w:rsidRDefault="00971E42" w14:paraId="35E308C5" w14:textId="64B1A18D">
      <w:pPr>
        <w:pStyle w:val="Heading2"/>
        <w:numPr>
          <w:ilvl w:val="0"/>
          <w:numId w:val="1"/>
        </w:numPr>
        <w:spacing w:after="0" w:line="360" w:lineRule="auto"/>
      </w:pPr>
      <w:bookmarkStart w:name="_Toc228532657" w:id="43"/>
      <w:r>
        <w:t>Conditions of Approval</w:t>
      </w:r>
      <w:bookmarkEnd w:id="43"/>
    </w:p>
    <w:p w:rsidR="00971E42" w:rsidP="00681F38" w:rsidRDefault="005131CE" w14:paraId="747F59CA" w14:textId="2690A04F">
      <w:pPr>
        <w:pStyle w:val="Standard"/>
      </w:pPr>
      <w:r>
        <w:t xml:space="preserve">TURN </w:t>
      </w:r>
      <w:r w:rsidR="00253138">
        <w:t>propose</w:t>
      </w:r>
      <w:r w:rsidR="00357411">
        <w:t>s</w:t>
      </w:r>
      <w:r w:rsidR="00253138">
        <w:t xml:space="preserve"> </w:t>
      </w:r>
      <w:r w:rsidR="00710555">
        <w:t xml:space="preserve">numerous conditions of approval that it argues are necessary to protect the public interest. </w:t>
      </w:r>
      <w:r w:rsidR="00B77681">
        <w:t xml:space="preserve"> </w:t>
      </w:r>
      <w:r w:rsidR="00A82651">
        <w:t xml:space="preserve">Joint Applicants </w:t>
      </w:r>
      <w:r w:rsidR="00C44B8E">
        <w:t xml:space="preserve">argue that conditions are </w:t>
      </w:r>
      <w:r>
        <w:t>unnecessary</w:t>
      </w:r>
      <w:r w:rsidR="00C44B8E">
        <w:t xml:space="preserve">. </w:t>
      </w:r>
      <w:r w:rsidR="006E3F5C">
        <w:t xml:space="preserve">We have considered </w:t>
      </w:r>
      <w:r w:rsidR="00161BED">
        <w:t>each of the conditions</w:t>
      </w:r>
      <w:r w:rsidR="00705EFD">
        <w:t xml:space="preserve"> that </w:t>
      </w:r>
      <w:r>
        <w:t>TURN</w:t>
      </w:r>
      <w:r w:rsidR="00705EFD">
        <w:t xml:space="preserve"> propose</w:t>
      </w:r>
      <w:r w:rsidR="007B1604">
        <w:t>s</w:t>
      </w:r>
      <w:r w:rsidR="00801EAE">
        <w:t xml:space="preserve">, and </w:t>
      </w:r>
      <w:r w:rsidR="00705EFD">
        <w:t xml:space="preserve">find no basis </w:t>
      </w:r>
      <w:r w:rsidR="00B85E07">
        <w:t>to conclude that</w:t>
      </w:r>
      <w:r w:rsidR="00DC4953">
        <w:t xml:space="preserve"> many of </w:t>
      </w:r>
      <w:r w:rsidR="00B85E07">
        <w:t xml:space="preserve">the harms </w:t>
      </w:r>
      <w:r w:rsidR="00801EAE">
        <w:t xml:space="preserve">that these </w:t>
      </w:r>
      <w:r w:rsidR="00801EAE">
        <w:lastRenderedPageBreak/>
        <w:t>conditions are designed to prevent will actually occur as a result of this transaction.</w:t>
      </w:r>
      <w:r w:rsidR="00340636">
        <w:rPr>
          <w:rStyle w:val="FootnoteReference"/>
        </w:rPr>
        <w:footnoteReference w:id="71"/>
      </w:r>
      <w:r w:rsidR="00801EAE">
        <w:t xml:space="preserve"> Additionally, we find </w:t>
      </w:r>
      <w:r w:rsidR="00340636">
        <w:t xml:space="preserve">many of the conditions that </w:t>
      </w:r>
      <w:r w:rsidR="0073391D">
        <w:t>TURN</w:t>
      </w:r>
      <w:r w:rsidR="00340636">
        <w:t xml:space="preserve"> propose</w:t>
      </w:r>
      <w:r w:rsidR="0073391D">
        <w:t>s</w:t>
      </w:r>
      <w:r w:rsidR="00367027">
        <w:t xml:space="preserve"> </w:t>
      </w:r>
      <w:r w:rsidR="00681F38">
        <w:t>overlap with existing Commission reporting requirements</w:t>
      </w:r>
      <w:r w:rsidR="00E20842">
        <w:t xml:space="preserve"> </w:t>
      </w:r>
      <w:r w:rsidRPr="00F92A24" w:rsidR="00681F38">
        <w:t xml:space="preserve">or address issues out of the scope of this proceeding. </w:t>
      </w:r>
      <w:r w:rsidR="005661D5">
        <w:t xml:space="preserve"> </w:t>
      </w:r>
      <w:r w:rsidRPr="00F92A24" w:rsidR="009748AD">
        <w:t>However, we do find it rea</w:t>
      </w:r>
      <w:r w:rsidR="009748AD">
        <w:t xml:space="preserve">sonable to </w:t>
      </w:r>
      <w:r w:rsidR="00B77681">
        <w:t>require</w:t>
      </w:r>
      <w:r w:rsidR="00E20842">
        <w:t xml:space="preserve"> </w:t>
      </w:r>
      <w:r w:rsidR="008962F1">
        <w:t xml:space="preserve">Securus </w:t>
      </w:r>
      <w:r w:rsidR="00B77681">
        <w:t xml:space="preserve">to </w:t>
      </w:r>
      <w:r w:rsidR="008962F1">
        <w:t xml:space="preserve">report any changes to its terms and conditions </w:t>
      </w:r>
      <w:r w:rsidR="0087203D">
        <w:t xml:space="preserve">that occur </w:t>
      </w:r>
      <w:r w:rsidR="000255DF">
        <w:t>within two years</w:t>
      </w:r>
      <w:r w:rsidR="0041321F">
        <w:t xml:space="preserve"> following the transfer. </w:t>
      </w:r>
      <w:r w:rsidR="005661D5">
        <w:t xml:space="preserve"> </w:t>
      </w:r>
      <w:r w:rsidR="00C44B8E">
        <w:t xml:space="preserve">We </w:t>
      </w:r>
      <w:r w:rsidR="00681F38">
        <w:t>discuss</w:t>
      </w:r>
      <w:r w:rsidR="003176C6">
        <w:t xml:space="preserve"> each </w:t>
      </w:r>
      <w:r w:rsidR="00B467CC">
        <w:t>proposed condition below.</w:t>
      </w:r>
    </w:p>
    <w:p w:rsidR="00681F38" w:rsidP="00F40D44" w:rsidRDefault="00C94C8C" w14:paraId="055634F7" w14:textId="7C78B897">
      <w:pPr>
        <w:pStyle w:val="Heading3"/>
        <w:tabs>
          <w:tab w:val="left" w:pos="4815"/>
        </w:tabs>
        <w:spacing w:after="0" w:line="360" w:lineRule="auto"/>
      </w:pPr>
      <w:bookmarkStart w:name="_Toc228532658" w:id="44"/>
      <w:r>
        <w:t>12.1</w:t>
      </w:r>
      <w:r>
        <w:tab/>
      </w:r>
      <w:r w:rsidR="00100B9B">
        <w:t xml:space="preserve">Reporting </w:t>
      </w:r>
      <w:r w:rsidR="00E00E8F">
        <w:t>Conditions</w:t>
      </w:r>
      <w:bookmarkEnd w:id="44"/>
    </w:p>
    <w:p w:rsidR="00D16EFB" w:rsidP="00D16EFB" w:rsidRDefault="0073391D" w14:paraId="6E1EA877" w14:textId="3E4E7E27">
      <w:pPr>
        <w:pStyle w:val="Standard"/>
      </w:pPr>
      <w:r>
        <w:t xml:space="preserve">TURN </w:t>
      </w:r>
      <w:r w:rsidR="00D206B2">
        <w:t>propose</w:t>
      </w:r>
      <w:r w:rsidR="007B1604">
        <w:t>s</w:t>
      </w:r>
      <w:r w:rsidR="00D206B2">
        <w:t xml:space="preserve"> that the Commission adopt numerous reporting requirements for this proceeding.</w:t>
      </w:r>
    </w:p>
    <w:p w:rsidR="00F84802" w:rsidP="00D16EFB" w:rsidRDefault="000652DE" w14:paraId="691510BE" w14:textId="18B9AD17">
      <w:pPr>
        <w:pStyle w:val="Standard"/>
      </w:pPr>
      <w:r>
        <w:t xml:space="preserve">First, </w:t>
      </w:r>
      <w:r w:rsidR="0073391D">
        <w:t>TURN</w:t>
      </w:r>
      <w:r>
        <w:t xml:space="preserve"> </w:t>
      </w:r>
      <w:r w:rsidR="0073391D">
        <w:t xml:space="preserve">recommends </w:t>
      </w:r>
      <w:r w:rsidR="006A42CA">
        <w:t xml:space="preserve">that the Commission require </w:t>
      </w:r>
      <w:r w:rsidR="007541DF">
        <w:t xml:space="preserve">ongoing reporting </w:t>
      </w:r>
      <w:r w:rsidR="006A42CA">
        <w:t>of Securus’</w:t>
      </w:r>
      <w:r w:rsidR="00F84802">
        <w:t>s</w:t>
      </w:r>
      <w:r w:rsidR="006A42CA">
        <w:t xml:space="preserve"> post-transaction</w:t>
      </w:r>
      <w:r w:rsidR="007541DF">
        <w:t xml:space="preserve"> ownership.</w:t>
      </w:r>
      <w:r w:rsidR="007541DF">
        <w:rPr>
          <w:rStyle w:val="FootnoteReference"/>
        </w:rPr>
        <w:footnoteReference w:id="72"/>
      </w:r>
      <w:r w:rsidR="007541DF">
        <w:t xml:space="preserve"> </w:t>
      </w:r>
      <w:r w:rsidR="005661D5">
        <w:t xml:space="preserve"> </w:t>
      </w:r>
      <w:r w:rsidR="007541DF">
        <w:t xml:space="preserve">TURN argues that this reporting is necessary to </w:t>
      </w:r>
      <w:r w:rsidR="00142FAD">
        <w:t>fill the “information vacuum” caused by what it characterizes as the untransparent nature of the proposed transaction.</w:t>
      </w:r>
      <w:r w:rsidR="00AD2215">
        <w:rPr>
          <w:rStyle w:val="FootnoteReference"/>
        </w:rPr>
        <w:footnoteReference w:id="73"/>
      </w:r>
    </w:p>
    <w:p w:rsidR="00BF64A3" w:rsidP="00D16EFB" w:rsidRDefault="00142FAD" w14:paraId="37758E90" w14:textId="36A13932">
      <w:pPr>
        <w:pStyle w:val="Standard"/>
      </w:pPr>
      <w:r>
        <w:t>As discussed above, we do</w:t>
      </w:r>
      <w:r w:rsidR="00C70ED2">
        <w:t xml:space="preserve"> not</w:t>
      </w:r>
      <w:r>
        <w:t xml:space="preserve"> </w:t>
      </w:r>
      <w:r w:rsidR="00FA6F1C">
        <w:t xml:space="preserve">find </w:t>
      </w:r>
      <w:r w:rsidR="00206C23">
        <w:t>that the record supports that t</w:t>
      </w:r>
      <w:r w:rsidR="00AD2215">
        <w:t xml:space="preserve">hese harms will occur. </w:t>
      </w:r>
      <w:r w:rsidR="005661D5">
        <w:t xml:space="preserve"> </w:t>
      </w:r>
      <w:r w:rsidR="00AF5A47">
        <w:t xml:space="preserve">As a part of this </w:t>
      </w:r>
      <w:r w:rsidR="00912514">
        <w:t>proceeding</w:t>
      </w:r>
      <w:r w:rsidR="00AF5A47">
        <w:t xml:space="preserve">, </w:t>
      </w:r>
      <w:r w:rsidR="00912514">
        <w:t>the Joint Applicants have disclosed the ownership of the Tran</w:t>
      </w:r>
      <w:r w:rsidR="000076F2">
        <w:t>s</w:t>
      </w:r>
      <w:r w:rsidR="00912514">
        <w:t>feree</w:t>
      </w:r>
      <w:r w:rsidR="00D60C8D">
        <w:t xml:space="preserve"> post-transaction</w:t>
      </w:r>
      <w:r w:rsidR="00912514">
        <w:t>.</w:t>
      </w:r>
      <w:r w:rsidR="004E1665">
        <w:rPr>
          <w:rStyle w:val="FootnoteReference"/>
        </w:rPr>
        <w:footnoteReference w:id="74"/>
      </w:r>
      <w:r w:rsidR="00912514">
        <w:t xml:space="preserve"> </w:t>
      </w:r>
      <w:r w:rsidR="005661D5">
        <w:t xml:space="preserve"> </w:t>
      </w:r>
      <w:r w:rsidR="00912514">
        <w:t xml:space="preserve">In the event that any entity </w:t>
      </w:r>
      <w:r w:rsidR="00432A67">
        <w:t>acquires sufficient cont</w:t>
      </w:r>
      <w:r w:rsidR="00EE228A">
        <w:t>rol of the</w:t>
      </w:r>
      <w:r w:rsidR="00087802">
        <w:t xml:space="preserve"> Transferee, </w:t>
      </w:r>
      <w:r w:rsidR="007C4E8D">
        <w:t xml:space="preserve">and thereby an indirect controlling interest in </w:t>
      </w:r>
      <w:r w:rsidR="007B4A31">
        <w:t>Securus</w:t>
      </w:r>
      <w:r w:rsidR="00912514">
        <w:t>,</w:t>
      </w:r>
      <w:r w:rsidR="007C4E8D">
        <w:t xml:space="preserve"> that entity would need to</w:t>
      </w:r>
      <w:r w:rsidR="007B4A31">
        <w:t xml:space="preserve"> seek Commission approval for that transaction.</w:t>
      </w:r>
      <w:r w:rsidR="00917F22">
        <w:rPr>
          <w:rStyle w:val="FootnoteReference"/>
        </w:rPr>
        <w:footnoteReference w:id="75"/>
      </w:r>
      <w:r w:rsidR="007B4A31">
        <w:t xml:space="preserve"> </w:t>
      </w:r>
      <w:r w:rsidR="005661D5">
        <w:t xml:space="preserve"> </w:t>
      </w:r>
      <w:r w:rsidR="007B4A31">
        <w:t xml:space="preserve">Moreover, current </w:t>
      </w:r>
      <w:r w:rsidR="009937CE">
        <w:t xml:space="preserve">annual affiliate reporting </w:t>
      </w:r>
      <w:r w:rsidR="009937CE">
        <w:lastRenderedPageBreak/>
        <w:t xml:space="preserve">requirements </w:t>
      </w:r>
      <w:r w:rsidR="002A033E">
        <w:t xml:space="preserve">already require disclosure of </w:t>
      </w:r>
      <w:r w:rsidR="004E1665">
        <w:t>the utilities’ controlling corporation</w:t>
      </w:r>
      <w:r w:rsidR="002A033E">
        <w:t>.</w:t>
      </w:r>
      <w:r w:rsidR="00805057">
        <w:rPr>
          <w:rStyle w:val="FootnoteReference"/>
        </w:rPr>
        <w:footnoteReference w:id="76"/>
      </w:r>
      <w:r w:rsidR="00D36DC2">
        <w:t xml:space="preserve"> Given the lack of evidence of harm and these existing Commission requirements, we decline to impose an ownership reporting requirement here.</w:t>
      </w:r>
    </w:p>
    <w:p w:rsidR="0019107A" w:rsidP="0019107A" w:rsidRDefault="00D36DC2" w14:paraId="0C1FF477" w14:textId="68E0E21D">
      <w:pPr>
        <w:pStyle w:val="Standard"/>
        <w:rPr>
          <w:rFonts w:eastAsia="Times New Roman" w:cs="Times New Roman"/>
        </w:rPr>
      </w:pPr>
      <w:r>
        <w:t xml:space="preserve">Additionally, </w:t>
      </w:r>
      <w:r w:rsidR="0073391D">
        <w:t xml:space="preserve">TURN </w:t>
      </w:r>
      <w:r>
        <w:t>ask</w:t>
      </w:r>
      <w:r w:rsidR="00180AA5">
        <w:t>s</w:t>
      </w:r>
      <w:r>
        <w:t xml:space="preserve"> the Commission to </w:t>
      </w:r>
      <w:r w:rsidR="00F0121F">
        <w:t xml:space="preserve">require </w:t>
      </w:r>
      <w:r w:rsidR="007D2C28">
        <w:t>service quality reports</w:t>
      </w:r>
      <w:r w:rsidR="00BC7118">
        <w:t>,</w:t>
      </w:r>
      <w:r w:rsidR="001D2AC8">
        <w:rPr>
          <w:rStyle w:val="FootnoteReference"/>
        </w:rPr>
        <w:footnoteReference w:id="77"/>
      </w:r>
      <w:r w:rsidR="007D2C28">
        <w:t xml:space="preserve"> </w:t>
      </w:r>
      <w:r w:rsidR="001D2AC8">
        <w:t>and reports on changes to Securus’ rates.</w:t>
      </w:r>
      <w:r w:rsidR="00BC7118">
        <w:rPr>
          <w:rStyle w:val="FootnoteReference"/>
        </w:rPr>
        <w:footnoteReference w:id="78"/>
      </w:r>
      <w:r w:rsidR="001D2AC8">
        <w:t xml:space="preserve"> </w:t>
      </w:r>
      <w:r w:rsidR="005661D5">
        <w:t xml:space="preserve"> </w:t>
      </w:r>
      <w:r w:rsidR="00C02E9D">
        <w:t xml:space="preserve">TURN </w:t>
      </w:r>
      <w:r w:rsidR="005C1C82">
        <w:t>argue</w:t>
      </w:r>
      <w:r w:rsidR="00180AA5">
        <w:t>s</w:t>
      </w:r>
      <w:r w:rsidR="005C1C82">
        <w:t xml:space="preserve"> that these reporting requirements are necessary to ensure that the </w:t>
      </w:r>
      <w:r w:rsidR="009E7CAA">
        <w:t>proposed transaction does not result</w:t>
      </w:r>
      <w:r w:rsidR="00FE1EFC">
        <w:t xml:space="preserve"> in</w:t>
      </w:r>
      <w:r w:rsidR="009E7CAA">
        <w:t xml:space="preserve"> harm </w:t>
      </w:r>
      <w:r w:rsidR="00FE1EFC">
        <w:t xml:space="preserve">to </w:t>
      </w:r>
      <w:r w:rsidR="009E7CAA">
        <w:t>Securus’</w:t>
      </w:r>
      <w:r w:rsidR="00F84802">
        <w:t>s</w:t>
      </w:r>
      <w:r w:rsidR="009E7CAA">
        <w:t xml:space="preserve"> users’ rates</w:t>
      </w:r>
      <w:r w:rsidR="00C02E9D">
        <w:t>,</w:t>
      </w:r>
      <w:r w:rsidR="009E7CAA">
        <w:t xml:space="preserve"> service quality</w:t>
      </w:r>
      <w:r w:rsidR="00E34867">
        <w:t>,</w:t>
      </w:r>
      <w:r w:rsidR="009E7CAA">
        <w:t xml:space="preserve"> or </w:t>
      </w:r>
      <w:r w:rsidR="0006763C">
        <w:t>privacy interests.</w:t>
      </w:r>
      <w:r w:rsidR="0006763C">
        <w:rPr>
          <w:rStyle w:val="FootnoteReference"/>
        </w:rPr>
        <w:footnoteReference w:id="79"/>
      </w:r>
      <w:r w:rsidR="0043738F">
        <w:t xml:space="preserve"> </w:t>
      </w:r>
      <w:r w:rsidR="005661D5">
        <w:t xml:space="preserve"> </w:t>
      </w:r>
      <w:r w:rsidR="0043738F">
        <w:t xml:space="preserve">However, as discussed above, we do not find that the record supports that the proposed transaction </w:t>
      </w:r>
      <w:r w:rsidR="0074340E">
        <w:t xml:space="preserve">is likely to </w:t>
      </w:r>
      <w:r w:rsidR="0043738F">
        <w:t xml:space="preserve">result in these harms. </w:t>
      </w:r>
      <w:r w:rsidR="005661D5">
        <w:t xml:space="preserve"> </w:t>
      </w:r>
      <w:r w:rsidR="0043738F">
        <w:t xml:space="preserve">In fact, the record </w:t>
      </w:r>
      <w:r w:rsidR="00E34867">
        <w:t>shows</w:t>
      </w:r>
      <w:r w:rsidR="0043738F">
        <w:t xml:space="preserve"> that </w:t>
      </w:r>
      <w:r w:rsidR="0019107A">
        <w:rPr>
          <w:rFonts w:eastAsia="Times New Roman" w:cs="Times New Roman"/>
        </w:rPr>
        <w:t xml:space="preserve">the proposed transaction </w:t>
      </w:r>
      <w:r w:rsidR="0074340E">
        <w:rPr>
          <w:rFonts w:eastAsia="Times New Roman" w:cs="Times New Roman"/>
        </w:rPr>
        <w:t>is not expected to</w:t>
      </w:r>
      <w:r w:rsidR="0019107A">
        <w:rPr>
          <w:rFonts w:eastAsia="Times New Roman" w:cs="Times New Roman"/>
        </w:rPr>
        <w:t xml:space="preserve"> change Securus’</w:t>
      </w:r>
      <w:r w:rsidR="00F84802">
        <w:rPr>
          <w:rFonts w:eastAsia="Times New Roman" w:cs="Times New Roman"/>
        </w:rPr>
        <w:t>s</w:t>
      </w:r>
      <w:r w:rsidR="0019107A">
        <w:rPr>
          <w:rFonts w:eastAsia="Times New Roman" w:cs="Times New Roman"/>
        </w:rPr>
        <w:t xml:space="preserve"> current rates/price lists</w:t>
      </w:r>
      <w:r w:rsidR="00D955D2">
        <w:rPr>
          <w:rFonts w:eastAsia="Times New Roman" w:cs="Times New Roman"/>
        </w:rPr>
        <w:t xml:space="preserve"> or</w:t>
      </w:r>
      <w:r w:rsidR="0019107A">
        <w:rPr>
          <w:rFonts w:eastAsia="Times New Roman" w:cs="Times New Roman"/>
        </w:rPr>
        <w:t xml:space="preserve"> </w:t>
      </w:r>
      <w:r w:rsidR="00D34EC2">
        <w:rPr>
          <w:rFonts w:eastAsia="Times New Roman" w:cs="Times New Roman"/>
        </w:rPr>
        <w:t>the services it provides its users</w:t>
      </w:r>
      <w:r w:rsidR="0019107A">
        <w:rPr>
          <w:rFonts w:eastAsia="Times New Roman" w:cs="Times New Roman"/>
        </w:rPr>
        <w:t>.</w:t>
      </w:r>
      <w:r w:rsidR="0019107A">
        <w:rPr>
          <w:rStyle w:val="FootnoteReference"/>
          <w:rFonts w:eastAsia="Times New Roman" w:cs="Times New Roman"/>
        </w:rPr>
        <w:footnoteReference w:id="80"/>
      </w:r>
      <w:r w:rsidR="00D43FDE">
        <w:rPr>
          <w:rFonts w:eastAsia="Times New Roman" w:cs="Times New Roman"/>
        </w:rPr>
        <w:t xml:space="preserve"> </w:t>
      </w:r>
      <w:r w:rsidR="005661D5">
        <w:rPr>
          <w:rFonts w:eastAsia="Times New Roman" w:cs="Times New Roman"/>
        </w:rPr>
        <w:t xml:space="preserve"> </w:t>
      </w:r>
      <w:r w:rsidR="00D87DD1">
        <w:rPr>
          <w:rFonts w:eastAsia="Times New Roman" w:cs="Times New Roman"/>
        </w:rPr>
        <w:t xml:space="preserve">As discussed below, </w:t>
      </w:r>
      <w:r w:rsidR="00C02E9D">
        <w:rPr>
          <w:rFonts w:eastAsia="Times New Roman" w:cs="Times New Roman"/>
        </w:rPr>
        <w:t>if</w:t>
      </w:r>
      <w:r w:rsidR="00D34EC2">
        <w:rPr>
          <w:rFonts w:eastAsia="Times New Roman" w:cs="Times New Roman"/>
        </w:rPr>
        <w:t xml:space="preserve"> any changes to Securus’ terms and conditions</w:t>
      </w:r>
      <w:r w:rsidR="0052630E">
        <w:rPr>
          <w:rFonts w:eastAsia="Times New Roman" w:cs="Times New Roman"/>
        </w:rPr>
        <w:t xml:space="preserve"> occur within </w:t>
      </w:r>
      <w:r w:rsidR="00D87DD1">
        <w:rPr>
          <w:rFonts w:eastAsia="Times New Roman" w:cs="Times New Roman"/>
        </w:rPr>
        <w:t>two</w:t>
      </w:r>
      <w:r w:rsidR="0052630E">
        <w:rPr>
          <w:rFonts w:eastAsia="Times New Roman" w:cs="Times New Roman"/>
        </w:rPr>
        <w:t xml:space="preserve"> year</w:t>
      </w:r>
      <w:r w:rsidR="00D87DD1">
        <w:rPr>
          <w:rFonts w:eastAsia="Times New Roman" w:cs="Times New Roman"/>
        </w:rPr>
        <w:t>s</w:t>
      </w:r>
      <w:r w:rsidR="0052630E">
        <w:rPr>
          <w:rFonts w:eastAsia="Times New Roman" w:cs="Times New Roman"/>
        </w:rPr>
        <w:t xml:space="preserve"> of the transfer of control, we will require Securus to report that to the Commission.</w:t>
      </w:r>
      <w:r w:rsidR="00D34EC2">
        <w:rPr>
          <w:rFonts w:eastAsia="Times New Roman" w:cs="Times New Roman"/>
        </w:rPr>
        <w:t xml:space="preserve"> </w:t>
      </w:r>
      <w:r w:rsidR="0019107A">
        <w:rPr>
          <w:rFonts w:eastAsia="Times New Roman" w:cs="Times New Roman"/>
        </w:rPr>
        <w:t xml:space="preserve"> </w:t>
      </w:r>
      <w:r w:rsidR="00D955D2">
        <w:rPr>
          <w:rFonts w:eastAsia="Times New Roman" w:cs="Times New Roman"/>
        </w:rPr>
        <w:t>We therefore decline to impose these conditions of approval.</w:t>
      </w:r>
    </w:p>
    <w:p w:rsidR="00D36DC2" w:rsidP="00D16EFB" w:rsidRDefault="00A863F8" w14:paraId="3BE2C480" w14:textId="6EBC833D">
      <w:pPr>
        <w:pStyle w:val="Standard"/>
      </w:pPr>
      <w:r>
        <w:t>Further</w:t>
      </w:r>
      <w:r w:rsidR="00D955D2">
        <w:t xml:space="preserve">, </w:t>
      </w:r>
      <w:r w:rsidR="00E34867">
        <w:t>TURN</w:t>
      </w:r>
      <w:r w:rsidR="00395E2D">
        <w:t xml:space="preserve"> ask</w:t>
      </w:r>
      <w:r w:rsidR="00E34867">
        <w:t>s</w:t>
      </w:r>
      <w:r w:rsidR="00395E2D">
        <w:t xml:space="preserve"> that </w:t>
      </w:r>
      <w:r w:rsidR="00F319E0">
        <w:t xml:space="preserve">the Commission require </w:t>
      </w:r>
      <w:r w:rsidR="00CA246B">
        <w:t>Se</w:t>
      </w:r>
      <w:r w:rsidR="00842F5C">
        <w:t>curus</w:t>
      </w:r>
      <w:r w:rsidR="00E34867">
        <w:t xml:space="preserve"> to</w:t>
      </w:r>
      <w:r w:rsidR="00842F5C">
        <w:t xml:space="preserve"> </w:t>
      </w:r>
      <w:r w:rsidR="008F2886">
        <w:t>provide annual financial reports</w:t>
      </w:r>
      <w:r w:rsidR="00831352">
        <w:t xml:space="preserve"> </w:t>
      </w:r>
      <w:r w:rsidR="00C02E9D">
        <w:t>for</w:t>
      </w:r>
      <w:r w:rsidR="00831352">
        <w:t xml:space="preserve"> </w:t>
      </w:r>
      <w:r w:rsidR="00903C57">
        <w:t>any</w:t>
      </w:r>
      <w:r w:rsidR="00831352">
        <w:t xml:space="preserve"> services it provides</w:t>
      </w:r>
      <w:r w:rsidR="00B565FC">
        <w:t xml:space="preserve"> that fall </w:t>
      </w:r>
      <w:r>
        <w:t xml:space="preserve">outside </w:t>
      </w:r>
      <w:r w:rsidR="00B565FC">
        <w:t>Securus’</w:t>
      </w:r>
      <w:r w:rsidR="00AD07EE">
        <w:t>s</w:t>
      </w:r>
      <w:r w:rsidR="00B565FC">
        <w:t xml:space="preserve"> current CPCN </w:t>
      </w:r>
      <w:r w:rsidR="00C02E9D">
        <w:t>for</w:t>
      </w:r>
      <w:r w:rsidR="00B23616">
        <w:t xml:space="preserve"> </w:t>
      </w:r>
      <w:r w:rsidR="00AF3FC4">
        <w:t>resold interexchange services.</w:t>
      </w:r>
      <w:r w:rsidR="00B671AC">
        <w:rPr>
          <w:rStyle w:val="FootnoteReference"/>
        </w:rPr>
        <w:footnoteReference w:id="81"/>
      </w:r>
      <w:r w:rsidR="00AF3FC4">
        <w:t xml:space="preserve"> </w:t>
      </w:r>
      <w:r w:rsidR="005661D5">
        <w:t xml:space="preserve"> </w:t>
      </w:r>
      <w:r w:rsidR="00FD294E">
        <w:t xml:space="preserve">CPCN holders </w:t>
      </w:r>
      <w:r w:rsidR="00C02E9D">
        <w:t>such as</w:t>
      </w:r>
      <w:r w:rsidR="00FD294E">
        <w:t xml:space="preserve"> Securus are already required to provide annual financial reporting.</w:t>
      </w:r>
      <w:r w:rsidR="00FD294E">
        <w:rPr>
          <w:rStyle w:val="FootnoteReference"/>
        </w:rPr>
        <w:footnoteReference w:id="82"/>
      </w:r>
      <w:r w:rsidR="00FD294E">
        <w:t xml:space="preserve"> </w:t>
      </w:r>
      <w:r w:rsidR="005661D5">
        <w:t xml:space="preserve"> </w:t>
      </w:r>
      <w:r w:rsidR="00FD1CAE">
        <w:t>Moreover, a</w:t>
      </w:r>
      <w:r w:rsidR="00AF3FC4">
        <w:t xml:space="preserve">s outlined in the Scoping Memo, </w:t>
      </w:r>
      <w:r w:rsidR="00BD0E39">
        <w:t>t</w:t>
      </w:r>
      <w:r w:rsidR="00FD1CAE">
        <w:t>he</w:t>
      </w:r>
      <w:r w:rsidR="00BD0E39">
        <w:t xml:space="preserve"> </w:t>
      </w:r>
      <w:r w:rsidR="00CB0BBE">
        <w:t xml:space="preserve">issue of whether additional services </w:t>
      </w:r>
      <w:r w:rsidR="00CB0BBE">
        <w:lastRenderedPageBreak/>
        <w:t>provided by Securus are regulated by the Commission is outside the scope of this proceeding.</w:t>
      </w:r>
      <w:r w:rsidR="00C03DE9">
        <w:rPr>
          <w:rStyle w:val="FootnoteReference"/>
        </w:rPr>
        <w:footnoteReference w:id="83"/>
      </w:r>
      <w:r w:rsidR="00CB0BBE">
        <w:t xml:space="preserve"> </w:t>
      </w:r>
      <w:r w:rsidR="005661D5">
        <w:t xml:space="preserve"> </w:t>
      </w:r>
      <w:r w:rsidR="00CB0BBE">
        <w:t>Therefore, we decline to impose this condition.</w:t>
      </w:r>
    </w:p>
    <w:p w:rsidR="00F40D44" w:rsidP="00D16EFB" w:rsidRDefault="00587966" w14:paraId="67E9875A" w14:textId="4F0ECD48">
      <w:pPr>
        <w:pStyle w:val="Standard"/>
      </w:pPr>
      <w:r>
        <w:t xml:space="preserve">Finally, TURN requests that </w:t>
      </w:r>
      <w:r w:rsidR="00305465">
        <w:t xml:space="preserve">the Commission </w:t>
      </w:r>
      <w:r w:rsidR="00427313">
        <w:t>require that Securus report any changes to its terms and conditions, specifically its privacy policy</w:t>
      </w:r>
      <w:r w:rsidR="008C1FCB">
        <w:t>.</w:t>
      </w:r>
      <w:r w:rsidR="006703D9">
        <w:rPr>
          <w:rStyle w:val="FootnoteReference"/>
        </w:rPr>
        <w:footnoteReference w:id="84"/>
      </w:r>
      <w:r w:rsidR="006703D9">
        <w:t xml:space="preserve"> </w:t>
      </w:r>
      <w:r w:rsidR="005661D5">
        <w:t xml:space="preserve"> </w:t>
      </w:r>
      <w:r w:rsidR="00A171CF">
        <w:t>TURN argues that this condition</w:t>
      </w:r>
      <w:r w:rsidR="00E2009A">
        <w:t xml:space="preserve"> is needed to ensure that the proposed transfer does not harm Securus’</w:t>
      </w:r>
      <w:r w:rsidR="00C02E9D">
        <w:t>s</w:t>
      </w:r>
      <w:r w:rsidR="00E2009A">
        <w:t xml:space="preserve"> users’ service quality or privacy interests.</w:t>
      </w:r>
      <w:r w:rsidR="007E15A6">
        <w:rPr>
          <w:rStyle w:val="FootnoteReference"/>
        </w:rPr>
        <w:footnoteReference w:id="85"/>
      </w:r>
      <w:r w:rsidR="007E15A6">
        <w:t xml:space="preserve"> </w:t>
      </w:r>
      <w:r w:rsidR="005661D5">
        <w:t xml:space="preserve"> </w:t>
      </w:r>
      <w:r w:rsidR="005C153C">
        <w:t xml:space="preserve">As we have discussed above, we do not find that the record supports that </w:t>
      </w:r>
      <w:r w:rsidR="00AA7B3D">
        <w:t>the proposed transaction will result in</w:t>
      </w:r>
      <w:r w:rsidR="00192D5B">
        <w:t xml:space="preserve"> harmful changes to Securus’</w:t>
      </w:r>
      <w:r w:rsidR="00C02E9D">
        <w:t>s</w:t>
      </w:r>
      <w:r w:rsidR="00192D5B">
        <w:t xml:space="preserve"> terms and conditions</w:t>
      </w:r>
      <w:r w:rsidR="00C02E9D">
        <w:t>.</w:t>
      </w:r>
      <w:r w:rsidR="0044202E">
        <w:t xml:space="preserve"> </w:t>
      </w:r>
      <w:r w:rsidR="00C02E9D">
        <w:t xml:space="preserve"> H</w:t>
      </w:r>
      <w:r w:rsidR="0044202E">
        <w:t xml:space="preserve">owever, this finding is based </w:t>
      </w:r>
      <w:r w:rsidR="00E74259">
        <w:t>in large part on</w:t>
      </w:r>
      <w:r w:rsidR="0044202E">
        <w:t xml:space="preserve"> </w:t>
      </w:r>
      <w:r w:rsidR="00E74259">
        <w:t>the Joint Applicants’</w:t>
      </w:r>
      <w:r w:rsidR="00F40D44">
        <w:t xml:space="preserve"> </w:t>
      </w:r>
      <w:r w:rsidR="00E74259">
        <w:t xml:space="preserve">representations that the proposed transaction is not </w:t>
      </w:r>
      <w:r w:rsidR="00B8055A">
        <w:t>expected</w:t>
      </w:r>
      <w:r w:rsidR="00E74259">
        <w:t xml:space="preserve"> to result in any changes to </w:t>
      </w:r>
      <w:r w:rsidR="00D3281D">
        <w:t>Securus’</w:t>
      </w:r>
      <w:r w:rsidR="00C02E9D">
        <w:t>s</w:t>
      </w:r>
      <w:r w:rsidR="00D3281D">
        <w:t xml:space="preserve"> terms and conditions</w:t>
      </w:r>
      <w:r w:rsidR="00B42907">
        <w:t xml:space="preserve"> or the services it provides</w:t>
      </w:r>
      <w:r w:rsidR="00D3281D">
        <w:t>.</w:t>
      </w:r>
      <w:r w:rsidR="00D3281D">
        <w:rPr>
          <w:rStyle w:val="FootnoteReference"/>
        </w:rPr>
        <w:footnoteReference w:id="86"/>
      </w:r>
    </w:p>
    <w:p w:rsidRPr="00D16EFB" w:rsidR="00587966" w:rsidP="0074688D" w:rsidRDefault="00E0472B" w14:paraId="694ED7D3" w14:textId="741963EA">
      <w:pPr>
        <w:pStyle w:val="FoF"/>
        <w:ind w:firstLine="630"/>
      </w:pPr>
      <w:r>
        <w:t>In light of this, we find it reasonable</w:t>
      </w:r>
      <w:r w:rsidR="00424E35">
        <w:t xml:space="preserve"> and in the public interest</w:t>
      </w:r>
      <w:r>
        <w:t xml:space="preserve"> to impose a </w:t>
      </w:r>
      <w:r w:rsidR="00726E82">
        <w:t xml:space="preserve">condition </w:t>
      </w:r>
      <w:r>
        <w:t xml:space="preserve">that Securus must submit a </w:t>
      </w:r>
      <w:r w:rsidR="0072343E">
        <w:t>T</w:t>
      </w:r>
      <w:r>
        <w:t>ier 1 advice letter</w:t>
      </w:r>
      <w:r w:rsidR="005153FB">
        <w:t>(s)</w:t>
      </w:r>
      <w:r>
        <w:t xml:space="preserve"> </w:t>
      </w:r>
      <w:r w:rsidR="00CA3ACB">
        <w:t xml:space="preserve">informing the Commission </w:t>
      </w:r>
      <w:r w:rsidR="00F60543">
        <w:t>of</w:t>
      </w:r>
      <w:r w:rsidR="00CA3ACB">
        <w:t xml:space="preserve"> any changes to its terms and conditions that occur within </w:t>
      </w:r>
      <w:r w:rsidR="006D6DD6">
        <w:t>two</w:t>
      </w:r>
      <w:r w:rsidR="00CA3ACB">
        <w:t xml:space="preserve"> year</w:t>
      </w:r>
      <w:r w:rsidR="006D6DD6">
        <w:t>s</w:t>
      </w:r>
      <w:r w:rsidR="00CA3ACB">
        <w:t xml:space="preserve"> of the effective date of the transfer of control.</w:t>
      </w:r>
      <w:r w:rsidR="005661D5">
        <w:t xml:space="preserve"> </w:t>
      </w:r>
      <w:r w:rsidR="00CA3ACB">
        <w:t xml:space="preserve"> </w:t>
      </w:r>
      <w:r w:rsidR="008947E3">
        <w:t xml:space="preserve">The </w:t>
      </w:r>
      <w:r w:rsidR="00C02E9D">
        <w:t>a</w:t>
      </w:r>
      <w:r w:rsidR="008947E3">
        <w:t xml:space="preserve">dvice </w:t>
      </w:r>
      <w:r w:rsidR="00C02E9D">
        <w:t>l</w:t>
      </w:r>
      <w:r w:rsidR="008947E3">
        <w:t>etter(s)</w:t>
      </w:r>
      <w:r w:rsidR="00F03C47">
        <w:t xml:space="preserve"> </w:t>
      </w:r>
      <w:r w:rsidR="008947E3">
        <w:t>shall describe any changes to the terms and conditions and provide 1) a clean copy of the previous terms and conditions, 2) a clean copy of the new terms and conditions, and 3) a redline copy of the changes to the terms and conditions.</w:t>
      </w:r>
      <w:r w:rsidR="004F657A">
        <w:t xml:space="preserve"> </w:t>
      </w:r>
      <w:r w:rsidR="00C02E9D">
        <w:t xml:space="preserve"> </w:t>
      </w:r>
      <w:r w:rsidR="004F657A">
        <w:t xml:space="preserve">The </w:t>
      </w:r>
      <w:r w:rsidR="00C02E9D">
        <w:t>a</w:t>
      </w:r>
      <w:r w:rsidR="004F657A">
        <w:t xml:space="preserve">dvice </w:t>
      </w:r>
      <w:r w:rsidR="00C02E9D">
        <w:t>l</w:t>
      </w:r>
      <w:r w:rsidR="004F657A">
        <w:t xml:space="preserve">etter(s) shall be filed </w:t>
      </w:r>
      <w:r w:rsidR="003932FA">
        <w:t>with</w:t>
      </w:r>
      <w:r w:rsidR="00895F7B">
        <w:t xml:space="preserve"> the Communications Division in accordance with General Order 96-B </w:t>
      </w:r>
      <w:r w:rsidR="004F657A">
        <w:t>30 days prior to the effective date of the changes to the terms and conditions.</w:t>
      </w:r>
    </w:p>
    <w:p w:rsidR="00100B9B" w:rsidP="00AD5ED1" w:rsidRDefault="003D1A6E" w14:paraId="3EFE1AC9" w14:textId="7FBC8135">
      <w:pPr>
        <w:pStyle w:val="Heading3"/>
        <w:spacing w:after="0" w:line="360" w:lineRule="auto"/>
      </w:pPr>
      <w:bookmarkStart w:name="_Toc228532659" w:id="45"/>
      <w:r>
        <w:lastRenderedPageBreak/>
        <w:t>12.2</w:t>
      </w:r>
      <w:r>
        <w:tab/>
      </w:r>
      <w:r w:rsidR="00E00E8F">
        <w:t>Affordability Conditions</w:t>
      </w:r>
      <w:bookmarkEnd w:id="45"/>
    </w:p>
    <w:p w:rsidR="0048537F" w:rsidP="00CB0BBE" w:rsidRDefault="009E0831" w14:paraId="4D9213C9" w14:textId="04E5241A">
      <w:pPr>
        <w:pStyle w:val="Standard"/>
      </w:pPr>
      <w:r>
        <w:t>In addition to reporting requirements, TURN proposes two conditions</w:t>
      </w:r>
      <w:r w:rsidR="0048537F">
        <w:t xml:space="preserve"> </w:t>
      </w:r>
      <w:r>
        <w:t>related to affordability:</w:t>
      </w:r>
    </w:p>
    <w:p w:rsidR="0048537F" w:rsidP="0048537F" w:rsidRDefault="00200FB0" w14:paraId="004636CE" w14:textId="6CD999ED">
      <w:pPr>
        <w:pStyle w:val="Standard"/>
        <w:numPr>
          <w:ilvl w:val="0"/>
          <w:numId w:val="33"/>
        </w:numPr>
        <w:spacing w:after="120" w:line="240" w:lineRule="auto"/>
        <w:ind w:left="1080" w:right="1440"/>
      </w:pPr>
      <w:r>
        <w:t xml:space="preserve">a </w:t>
      </w:r>
      <w:r w:rsidR="00757C0D">
        <w:t>rate cap to prohibit Securus from raising its prices,</w:t>
      </w:r>
      <w:r w:rsidR="007842EC">
        <w:rPr>
          <w:rStyle w:val="FootnoteReference"/>
        </w:rPr>
        <w:footnoteReference w:id="87"/>
      </w:r>
      <w:r w:rsidR="00757C0D">
        <w:t xml:space="preserve"> and</w:t>
      </w:r>
    </w:p>
    <w:p w:rsidR="0048537F" w:rsidP="0048537F" w:rsidRDefault="00C03DE9" w14:paraId="574AC768" w14:textId="22CF01B4">
      <w:pPr>
        <w:pStyle w:val="Standard"/>
        <w:numPr>
          <w:ilvl w:val="0"/>
          <w:numId w:val="33"/>
        </w:numPr>
        <w:spacing w:after="120" w:line="240" w:lineRule="auto"/>
        <w:ind w:left="1080" w:right="1440"/>
      </w:pPr>
      <w:r>
        <w:t xml:space="preserve">a </w:t>
      </w:r>
      <w:r w:rsidR="0002449C">
        <w:t>requirement that Securus disclose to its users t</w:t>
      </w:r>
      <w:r w:rsidR="00DA0BD5">
        <w:t>he availability and potential eligibility for federal and state Lifeline</w:t>
      </w:r>
      <w:r w:rsidR="007842EC">
        <w:t xml:space="preserve"> programs.</w:t>
      </w:r>
      <w:r w:rsidR="007842EC">
        <w:rPr>
          <w:rStyle w:val="FootnoteReference"/>
        </w:rPr>
        <w:footnoteReference w:id="88"/>
      </w:r>
    </w:p>
    <w:p w:rsidRPr="00CB0BBE" w:rsidR="00CB0BBE" w:rsidP="00CB0BBE" w:rsidRDefault="001C4ABD" w14:paraId="63B71AF4" w14:textId="7777BF1F">
      <w:pPr>
        <w:pStyle w:val="Standard"/>
      </w:pPr>
      <w:r>
        <w:t xml:space="preserve">As discussed above, </w:t>
      </w:r>
      <w:r w:rsidR="00E34867">
        <w:t>the record does not support a finding</w:t>
      </w:r>
      <w:r w:rsidR="00346380">
        <w:t xml:space="preserve"> that the proposed transaction will increase Securus’</w:t>
      </w:r>
      <w:r w:rsidR="00E34867">
        <w:t>s</w:t>
      </w:r>
      <w:r w:rsidR="00346380">
        <w:t xml:space="preserve"> rates or prices, or any other harms that would justify the imposition of these conditions</w:t>
      </w:r>
      <w:r w:rsidRPr="00DB3187" w:rsidR="00346380">
        <w:t>.</w:t>
      </w:r>
      <w:r w:rsidRPr="00DB3187" w:rsidR="0048537F">
        <w:t xml:space="preserve"> </w:t>
      </w:r>
      <w:r w:rsidRPr="00DB3187" w:rsidR="00346380">
        <w:t xml:space="preserve"> </w:t>
      </w:r>
      <w:r w:rsidRPr="00A75F79" w:rsidR="00EA52F3">
        <w:t xml:space="preserve">Moreover, </w:t>
      </w:r>
      <w:r w:rsidRPr="00A75F79" w:rsidR="0009373C">
        <w:t>the Commission has already imposed rate caps on IPCS providers pursuant to D</w:t>
      </w:r>
      <w:r w:rsidR="00D235DF">
        <w:t>.</w:t>
      </w:r>
      <w:r w:rsidRPr="00A75F79" w:rsidR="00DB313C">
        <w:t>26-04-004</w:t>
      </w:r>
      <w:r w:rsidRPr="00DB3187" w:rsidR="00062D15">
        <w:t>.</w:t>
      </w:r>
      <w:r w:rsidR="00062D15">
        <w:t xml:space="preserve"> </w:t>
      </w:r>
      <w:r w:rsidR="0019244F">
        <w:t>Therefore, w</w:t>
      </w:r>
      <w:r w:rsidR="00346380">
        <w:t xml:space="preserve">e decline to impose </w:t>
      </w:r>
      <w:r w:rsidR="0019244F">
        <w:t>these conditions</w:t>
      </w:r>
      <w:r w:rsidR="00346380">
        <w:t>.</w:t>
      </w:r>
    </w:p>
    <w:p w:rsidRPr="00E00E8F" w:rsidR="00E00E8F" w:rsidP="00AD5ED1" w:rsidRDefault="003D1A6E" w14:paraId="01BB8FE6" w14:textId="0CFAB789">
      <w:pPr>
        <w:pStyle w:val="Heading3"/>
        <w:spacing w:after="0" w:line="360" w:lineRule="auto"/>
      </w:pPr>
      <w:bookmarkStart w:name="_Toc228532660" w:id="46"/>
      <w:r>
        <w:t>12.3</w:t>
      </w:r>
      <w:r>
        <w:tab/>
      </w:r>
      <w:r w:rsidR="00346380">
        <w:t>Privacy-Related</w:t>
      </w:r>
      <w:r w:rsidR="00491118">
        <w:t xml:space="preserve"> </w:t>
      </w:r>
      <w:r w:rsidR="000F7574">
        <w:t>Conditions</w:t>
      </w:r>
      <w:bookmarkEnd w:id="46"/>
    </w:p>
    <w:p w:rsidR="0048537F" w:rsidP="00971E42" w:rsidRDefault="00552475" w14:paraId="540B2749" w14:textId="77777777">
      <w:pPr>
        <w:pStyle w:val="Standard"/>
      </w:pPr>
      <w:r>
        <w:t>TURN</w:t>
      </w:r>
      <w:r w:rsidR="00200FB0">
        <w:t xml:space="preserve"> also propose</w:t>
      </w:r>
      <w:r>
        <w:t>s</w:t>
      </w:r>
      <w:r w:rsidR="00200FB0">
        <w:t xml:space="preserve"> two additional </w:t>
      </w:r>
      <w:r w:rsidR="00AD07EE">
        <w:t>privacy-related</w:t>
      </w:r>
      <w:r w:rsidR="00200FB0">
        <w:t xml:space="preserve"> conditions:</w:t>
      </w:r>
    </w:p>
    <w:p w:rsidR="0048537F" w:rsidP="0048537F" w:rsidRDefault="00A40872" w14:paraId="6A8170BE" w14:textId="23FA0C36">
      <w:pPr>
        <w:pStyle w:val="Standard"/>
        <w:numPr>
          <w:ilvl w:val="0"/>
          <w:numId w:val="35"/>
        </w:numPr>
        <w:spacing w:after="120" w:line="240" w:lineRule="auto"/>
        <w:ind w:left="1080" w:right="1440"/>
      </w:pPr>
      <w:r>
        <w:t xml:space="preserve">a requirement that </w:t>
      </w:r>
      <w:r w:rsidR="00FB23BE">
        <w:t>the Joint Ap</w:t>
      </w:r>
      <w:r w:rsidR="002B0DC3">
        <w:t>plicants provide all Securus users with “a clear mechanism to exercise their rights under the California Consumer Privacy Act (CCPA)</w:t>
      </w:r>
      <w:r w:rsidR="0048537F">
        <w:t>;</w:t>
      </w:r>
      <w:r w:rsidR="00A37647">
        <w:t>”</w:t>
      </w:r>
      <w:r w:rsidR="002B0DC3">
        <w:t xml:space="preserve"> and</w:t>
      </w:r>
    </w:p>
    <w:p w:rsidR="0048537F" w:rsidP="0048537F" w:rsidRDefault="00EE7552" w14:paraId="71E88907" w14:textId="3043C1C3">
      <w:pPr>
        <w:pStyle w:val="Standard"/>
        <w:numPr>
          <w:ilvl w:val="0"/>
          <w:numId w:val="35"/>
        </w:numPr>
        <w:spacing w:after="120" w:line="240" w:lineRule="auto"/>
        <w:ind w:left="1080" w:right="1440"/>
      </w:pPr>
      <w:r>
        <w:t>a categorical prohibition on Securus “from training or otherwise developing its AI</w:t>
      </w:r>
      <w:r w:rsidR="0088778C">
        <w:t xml:space="preserve"> [artificial intelligence]</w:t>
      </w:r>
      <w:r>
        <w:t xml:space="preserve"> tools or products using recordings, data or me</w:t>
      </w:r>
      <w:r w:rsidR="0088778C">
        <w:t>tadata of minors or children and non-incarcerated user</w:t>
      </w:r>
      <w:r w:rsidR="009D2BB1">
        <w:t>s.</w:t>
      </w:r>
      <w:r w:rsidR="00813527">
        <w:t>”</w:t>
      </w:r>
      <w:r w:rsidR="009D2BB1">
        <w:rPr>
          <w:rStyle w:val="FootnoteReference"/>
        </w:rPr>
        <w:footnoteReference w:id="89"/>
      </w:r>
    </w:p>
    <w:p w:rsidRPr="00971E42" w:rsidR="00B467CC" w:rsidP="00971E42" w:rsidRDefault="00180460" w14:paraId="7C459792" w14:textId="68789AC8">
      <w:pPr>
        <w:pStyle w:val="Standard"/>
      </w:pPr>
      <w:r>
        <w:t>As discussed above</w:t>
      </w:r>
      <w:r w:rsidR="009D2BB1">
        <w:t xml:space="preserve">, </w:t>
      </w:r>
      <w:r w:rsidR="00C90561">
        <w:t xml:space="preserve">the record </w:t>
      </w:r>
      <w:r w:rsidR="00C02E9D">
        <w:t xml:space="preserve">does not </w:t>
      </w:r>
      <w:r w:rsidR="00C90561">
        <w:t>support</w:t>
      </w:r>
      <w:r w:rsidR="00722469">
        <w:t xml:space="preserve"> </w:t>
      </w:r>
      <w:r w:rsidR="00C02E9D">
        <w:t xml:space="preserve">a finding </w:t>
      </w:r>
      <w:r w:rsidR="00722469">
        <w:t xml:space="preserve">that the proposed transaction will </w:t>
      </w:r>
      <w:r>
        <w:t xml:space="preserve">result in </w:t>
      </w:r>
      <w:r w:rsidR="00EF36AC">
        <w:t xml:space="preserve">the use of </w:t>
      </w:r>
      <w:r w:rsidR="000D4FF4">
        <w:t>Securus’</w:t>
      </w:r>
      <w:r w:rsidR="00C02E9D">
        <w:t>s</w:t>
      </w:r>
      <w:r w:rsidR="000D4FF4">
        <w:t xml:space="preserve"> users</w:t>
      </w:r>
      <w:r w:rsidR="00C02E9D">
        <w:t>’</w:t>
      </w:r>
      <w:r w:rsidR="000D4FF4">
        <w:t xml:space="preserve"> </w:t>
      </w:r>
      <w:r w:rsidR="00FB1742">
        <w:t xml:space="preserve">data in ways that harm </w:t>
      </w:r>
      <w:r w:rsidR="001B5564">
        <w:t>their privacy interests</w:t>
      </w:r>
      <w:r w:rsidR="00722469">
        <w:t xml:space="preserve">. </w:t>
      </w:r>
      <w:r w:rsidR="0048537F">
        <w:t xml:space="preserve"> </w:t>
      </w:r>
      <w:r w:rsidR="00520574">
        <w:t>We therefore have no basis to impose these conditions.</w:t>
      </w:r>
    </w:p>
    <w:p w:rsidR="00742C02" w:rsidP="00AD5ED1" w:rsidRDefault="00742C02" w14:paraId="39106F87" w14:textId="6E892553">
      <w:pPr>
        <w:pStyle w:val="Heading2"/>
        <w:numPr>
          <w:ilvl w:val="0"/>
          <w:numId w:val="1"/>
        </w:numPr>
        <w:spacing w:after="0" w:line="360" w:lineRule="auto"/>
      </w:pPr>
      <w:bookmarkStart w:name="_Toc228532661" w:id="47"/>
      <w:r>
        <w:lastRenderedPageBreak/>
        <w:t>Conclusion</w:t>
      </w:r>
      <w:bookmarkEnd w:id="47"/>
    </w:p>
    <w:p w:rsidRPr="00395169" w:rsidR="00742C02" w:rsidP="00395169" w:rsidRDefault="00172B6E" w14:paraId="46936BEE" w14:textId="6003E512">
      <w:pPr>
        <w:rPr>
          <w:rFonts w:eastAsia="Calibri" w:cs="Times New Roman"/>
        </w:rPr>
      </w:pPr>
      <w:r>
        <w:rPr>
          <w:rFonts w:eastAsia="Calibri" w:cs="Times New Roman"/>
        </w:rPr>
        <w:t>The</w:t>
      </w:r>
      <w:r w:rsidR="006F6191">
        <w:rPr>
          <w:rFonts w:eastAsia="Calibri" w:cs="Times New Roman"/>
        </w:rPr>
        <w:t xml:space="preserve"> proposed transfer of </w:t>
      </w:r>
      <w:r w:rsidRPr="00FD12A7" w:rsidR="006F6191">
        <w:rPr>
          <w:rFonts w:eastAsia="Calibri" w:cs="Times New Roman"/>
        </w:rPr>
        <w:t xml:space="preserve">control </w:t>
      </w:r>
      <w:r w:rsidRPr="00FD12A7" w:rsidR="00E05DC4">
        <w:rPr>
          <w:rFonts w:eastAsia="Calibri" w:cs="Times New Roman"/>
        </w:rPr>
        <w:t>of</w:t>
      </w:r>
      <w:r w:rsidRPr="00FD12A7" w:rsidR="00AA22AF">
        <w:rPr>
          <w:rFonts w:eastAsia="Calibri" w:cs="Times New Roman"/>
        </w:rPr>
        <w:t xml:space="preserve"> </w:t>
      </w:r>
      <w:r w:rsidRPr="00FD12A7" w:rsidR="002F7E44">
        <w:t>Securus</w:t>
      </w:r>
      <w:r w:rsidRPr="00FD12A7" w:rsidR="006F6191">
        <w:rPr>
          <w:rFonts w:eastAsia="Calibri" w:cs="Times New Roman"/>
        </w:rPr>
        <w:t xml:space="preserve"> to </w:t>
      </w:r>
      <w:r w:rsidRPr="00FD12A7" w:rsidR="00E74110">
        <w:rPr>
          <w:rFonts w:eastAsia="Calibri" w:cs="Times New Roman"/>
        </w:rPr>
        <w:t>SCRS Intermediate HC</w:t>
      </w:r>
      <w:r>
        <w:rPr>
          <w:rFonts w:eastAsia="Calibri" w:cs="Times New Roman"/>
        </w:rPr>
        <w:t xml:space="preserve"> with the condition discussed above</w:t>
      </w:r>
      <w:r w:rsidRPr="00FD12A7" w:rsidR="00A40F82">
        <w:rPr>
          <w:rFonts w:eastAsia="Calibri" w:cs="Times New Roman"/>
        </w:rPr>
        <w:t xml:space="preserve"> </w:t>
      </w:r>
      <w:r w:rsidRPr="00FD12A7" w:rsidR="006F6191">
        <w:rPr>
          <w:rFonts w:eastAsia="Calibri" w:cs="Times New Roman"/>
        </w:rPr>
        <w:t xml:space="preserve">is in the public interest, </w:t>
      </w:r>
      <w:r w:rsidRPr="00FD12A7" w:rsidR="00742C02">
        <w:rPr>
          <w:rFonts w:eastAsia="Calibri" w:cs="Times New Roman"/>
        </w:rPr>
        <w:t>meets the requ</w:t>
      </w:r>
      <w:r w:rsidR="00742C02">
        <w:rPr>
          <w:rFonts w:eastAsia="Calibri" w:cs="Times New Roman"/>
        </w:rPr>
        <w:t xml:space="preserve">irements for the Commission to grant CPCN authority to </w:t>
      </w:r>
      <w:r w:rsidRPr="005446C3" w:rsidR="00742C02">
        <w:rPr>
          <w:rFonts w:eastAsia="Calibri" w:cs="Times New Roman"/>
        </w:rPr>
        <w:t xml:space="preserve">provide </w:t>
      </w:r>
      <w:r w:rsidR="005443D9">
        <w:t xml:space="preserve">resold interexchange telecommunications services </w:t>
      </w:r>
      <w:r w:rsidRPr="00EE435C" w:rsidR="00742C02">
        <w:rPr>
          <w:rFonts w:eastAsia="Calibri" w:cs="Times New Roman"/>
        </w:rPr>
        <w:t>in California</w:t>
      </w:r>
      <w:r w:rsidR="00D95F3B">
        <w:rPr>
          <w:rFonts w:eastAsia="Calibri" w:cs="Times New Roman"/>
        </w:rPr>
        <w:t>, and is exempt from CEQA.</w:t>
      </w:r>
      <w:r w:rsidR="00395169">
        <w:rPr>
          <w:rFonts w:eastAsia="Calibri" w:cs="Times New Roman"/>
        </w:rPr>
        <w:t xml:space="preserve"> </w:t>
      </w:r>
      <w:r w:rsidR="00C02E9D">
        <w:rPr>
          <w:rFonts w:eastAsia="Calibri" w:cs="Times New Roman"/>
        </w:rPr>
        <w:t xml:space="preserve"> </w:t>
      </w:r>
      <w:r w:rsidRPr="005446C3" w:rsidR="00742C02">
        <w:rPr>
          <w:rFonts w:eastAsia="Calibri" w:cs="Times New Roman"/>
        </w:rPr>
        <w:t xml:space="preserve">We therefore grant the </w:t>
      </w:r>
      <w:r w:rsidR="00552475">
        <w:rPr>
          <w:rFonts w:eastAsia="Calibri" w:cs="Times New Roman"/>
        </w:rPr>
        <w:t>a</w:t>
      </w:r>
      <w:r w:rsidRPr="005446C3" w:rsidR="00742C02">
        <w:rPr>
          <w:rFonts w:eastAsia="Calibri" w:cs="Times New Roman"/>
        </w:rPr>
        <w:t>pplication pursuant to Pub. Util. Code Section</w:t>
      </w:r>
      <w:r w:rsidR="0048537F">
        <w:rPr>
          <w:rFonts w:eastAsia="Calibri" w:cs="Times New Roman"/>
        </w:rPr>
        <w:t> </w:t>
      </w:r>
      <w:r w:rsidRPr="005446C3" w:rsidR="00742C02">
        <w:rPr>
          <w:rFonts w:eastAsia="Calibri" w:cs="Times New Roman"/>
        </w:rPr>
        <w:t>854(a)</w:t>
      </w:r>
      <w:r w:rsidR="00BA2E5E">
        <w:rPr>
          <w:rFonts w:eastAsia="Calibri" w:cs="Times New Roman"/>
        </w:rPr>
        <w:t>,</w:t>
      </w:r>
      <w:r>
        <w:rPr>
          <w:rFonts w:eastAsia="Calibri" w:cs="Times New Roman"/>
        </w:rPr>
        <w:t xml:space="preserve"> subject to the condition set forth above and in the ordering paragraphs</w:t>
      </w:r>
      <w:r w:rsidRPr="005446C3" w:rsidR="00742C02">
        <w:rPr>
          <w:rFonts w:eastAsia="Calibri" w:cs="Times New Roman"/>
        </w:rPr>
        <w:t>.</w:t>
      </w:r>
    </w:p>
    <w:p w:rsidR="00603238" w:rsidP="00AD5ED1" w:rsidRDefault="00603238" w14:paraId="20A053CB" w14:textId="652B2DFD">
      <w:pPr>
        <w:pStyle w:val="Heading1"/>
        <w:numPr>
          <w:ilvl w:val="0"/>
          <w:numId w:val="1"/>
        </w:numPr>
        <w:spacing w:after="0" w:line="360" w:lineRule="auto"/>
      </w:pPr>
      <w:bookmarkStart w:name="_Toc228532662" w:id="48"/>
      <w:r>
        <w:t>Summary of Public Comment</w:t>
      </w:r>
      <w:bookmarkEnd w:id="48"/>
    </w:p>
    <w:p w:rsidR="00270046" w:rsidP="185B1C2D" w:rsidRDefault="00603238" w14:paraId="0CA0A5BF" w14:textId="32B62866">
      <w:r>
        <w:t>Rule 1.18 allows any member of the public to submit written comment</w:t>
      </w:r>
      <w:r w:rsidR="00AD07EE">
        <w:t>s</w:t>
      </w:r>
      <w:r>
        <w:t xml:space="preserve"> in any Commission proceeding using the “Public Comment” tab of the online Docket Card for that proceeding on the Commission’s website. </w:t>
      </w:r>
      <w:r w:rsidR="0048537F">
        <w:t xml:space="preserve"> </w:t>
      </w:r>
      <w:r>
        <w:t>Rule 1.18(b)</w:t>
      </w:r>
      <w:r w:rsidR="0048537F">
        <w:t xml:space="preserve"> </w:t>
      </w:r>
      <w:r w:rsidR="0597820E">
        <w:t>of the Commission’s Rules of Practice and Procedure</w:t>
      </w:r>
      <w:r>
        <w:t xml:space="preserve"> requires that relevant written comment</w:t>
      </w:r>
      <w:r w:rsidR="00AD07EE">
        <w:t>s</w:t>
      </w:r>
      <w:r>
        <w:t xml:space="preserve"> submitted in a proceeding be summarized in the final decision issued in that proceeding.</w:t>
      </w:r>
    </w:p>
    <w:p w:rsidRPr="00023157" w:rsidR="00603238" w:rsidP="185B1C2D" w:rsidRDefault="000A414E" w14:paraId="41BB4D6A" w14:textId="20E8637A">
      <w:pPr>
        <w:rPr>
          <w:rFonts w:ascii="Calibri" w:hAnsi="Calibri"/>
          <w:sz w:val="22"/>
        </w:rPr>
      </w:pPr>
      <w:r>
        <w:t>No public comments were received in the “Public Comment” tab of the online Docket Card for this proceeding.</w:t>
      </w:r>
    </w:p>
    <w:p w:rsidR="004A1EAD" w:rsidP="00AD5ED1" w:rsidRDefault="004A1EAD" w14:paraId="10A57A22" w14:textId="3F79463F">
      <w:pPr>
        <w:pStyle w:val="Heading1"/>
        <w:numPr>
          <w:ilvl w:val="0"/>
          <w:numId w:val="1"/>
        </w:numPr>
        <w:spacing w:after="0" w:line="360" w:lineRule="auto"/>
      </w:pPr>
      <w:bookmarkStart w:name="_Toc228532663" w:id="49"/>
      <w:bookmarkStart w:name="_Toc8123723" w:id="50"/>
      <w:bookmarkEnd w:id="41"/>
      <w:r>
        <w:t>Procedural Matters</w:t>
      </w:r>
      <w:bookmarkEnd w:id="49"/>
    </w:p>
    <w:p w:rsidR="00315B77" w:rsidP="004A1EAD" w:rsidRDefault="00B15CF6" w14:paraId="374B362E" w14:textId="68619706">
      <w:pPr>
        <w:pStyle w:val="Standard"/>
      </w:pPr>
      <w:r>
        <w:t xml:space="preserve">In support of the </w:t>
      </w:r>
      <w:r w:rsidR="00AD07EE">
        <w:t>a</w:t>
      </w:r>
      <w:r>
        <w:t>pplication, Joint Applicants provided</w:t>
      </w:r>
      <w:r w:rsidR="00B95A09">
        <w:t xml:space="preserve"> Exhibits D and E containing financial information </w:t>
      </w:r>
      <w:r w:rsidR="00C02E9D">
        <w:t>about</w:t>
      </w:r>
      <w:r w:rsidR="00B95A09">
        <w:t xml:space="preserve"> SCRS Intermediate HC and Securus</w:t>
      </w:r>
      <w:r w:rsidR="00CF70B9">
        <w:t xml:space="preserve">. </w:t>
      </w:r>
      <w:r w:rsidR="0048537F">
        <w:t xml:space="preserve"> </w:t>
      </w:r>
      <w:r w:rsidR="000A0E0A">
        <w:rPr>
          <w:color w:val="000000"/>
        </w:rPr>
        <w:t>These documents are granted confidential treatment for a period of three years without the need to file a motion for confidential treatment.</w:t>
      </w:r>
      <w:r w:rsidR="000A0E0A">
        <w:rPr>
          <w:rStyle w:val="FootnoteReference"/>
          <w:color w:val="000000"/>
        </w:rPr>
        <w:footnoteReference w:id="90"/>
      </w:r>
      <w:r w:rsidR="000A0E0A">
        <w:rPr>
          <w:color w:val="000000"/>
        </w:rPr>
        <w:t xml:space="preserve"> </w:t>
      </w:r>
      <w:r w:rsidR="0048537F">
        <w:rPr>
          <w:color w:val="000000"/>
        </w:rPr>
        <w:t xml:space="preserve"> </w:t>
      </w:r>
      <w:r w:rsidRPr="00EB362F" w:rsidR="00A73492">
        <w:t>During this three</w:t>
      </w:r>
      <w:r w:rsidR="00A73492">
        <w:t>-year</w:t>
      </w:r>
      <w:r w:rsidRPr="00EB362F" w:rsidR="00A73492">
        <w:t xml:space="preserve"> period, this information shall not be publicly disclosed except on further Commission order or </w:t>
      </w:r>
      <w:r w:rsidR="00AD07EE">
        <w:t>ALJ</w:t>
      </w:r>
      <w:r w:rsidRPr="00EB362F" w:rsidR="00A73492">
        <w:t xml:space="preserve"> ruling. </w:t>
      </w:r>
      <w:r w:rsidR="0048537F">
        <w:t xml:space="preserve"> </w:t>
      </w:r>
      <w:r w:rsidRPr="005B7827" w:rsidR="00A73492">
        <w:t xml:space="preserve">If </w:t>
      </w:r>
      <w:r w:rsidR="00A73492">
        <w:t>the Joint Applicants</w:t>
      </w:r>
      <w:r w:rsidRPr="005B7827" w:rsidR="00A73492">
        <w:t xml:space="preserve"> believe that it is necessary for this information to remain under seal for longer than three years, </w:t>
      </w:r>
      <w:r w:rsidR="00A73492">
        <w:t>the Joint Applicants</w:t>
      </w:r>
      <w:r w:rsidRPr="005B7827" w:rsidR="00A73492">
        <w:t xml:space="preserve"> may file a motion showing good cause </w:t>
      </w:r>
      <w:r w:rsidRPr="00EB362F" w:rsidR="00A73492">
        <w:t xml:space="preserve">for extending this </w:t>
      </w:r>
      <w:r w:rsidRPr="00EB362F" w:rsidR="00A73492">
        <w:lastRenderedPageBreak/>
        <w:t>order by no</w:t>
      </w:r>
      <w:r w:rsidR="00A73492">
        <w:t> </w:t>
      </w:r>
      <w:r w:rsidRPr="00EB362F" w:rsidR="00A73492">
        <w:t>later</w:t>
      </w:r>
      <w:r w:rsidR="00A73492">
        <w:t> t</w:t>
      </w:r>
      <w:r w:rsidRPr="00EB362F" w:rsidR="00A73492">
        <w:t>han 30</w:t>
      </w:r>
      <w:r w:rsidR="00A73492">
        <w:t> </w:t>
      </w:r>
      <w:r w:rsidRPr="00EB362F" w:rsidR="00A73492">
        <w:t>days before the expiration of th</w:t>
      </w:r>
      <w:r w:rsidR="00A73492">
        <w:t>e grant of confidentiality</w:t>
      </w:r>
      <w:r w:rsidRPr="00EB362F" w:rsidR="00A73492">
        <w:t>.</w:t>
      </w:r>
    </w:p>
    <w:p w:rsidR="00E751EA" w:rsidP="00E751EA" w:rsidRDefault="00BF6238" w14:paraId="36D7DAC6" w14:textId="65DB3951">
      <w:pPr>
        <w:pStyle w:val="Standard"/>
      </w:pPr>
      <w:r>
        <w:t>On August 15, 2025</w:t>
      </w:r>
      <w:r w:rsidR="0048537F">
        <w:t>,</w:t>
      </w:r>
      <w:r>
        <w:t xml:space="preserve"> and </w:t>
      </w:r>
      <w:r w:rsidR="00521516">
        <w:t>January 27, 2026, Joint Applicants filed motions</w:t>
      </w:r>
      <w:r w:rsidR="00E24DD2">
        <w:t xml:space="preserve"> for leave to file under seal </w:t>
      </w:r>
      <w:r w:rsidR="00A95CC2">
        <w:t xml:space="preserve">confidential </w:t>
      </w:r>
      <w:r w:rsidR="00E24DD2">
        <w:t>portions of their August 15, 2025</w:t>
      </w:r>
      <w:r w:rsidR="0048537F">
        <w:t>,</w:t>
      </w:r>
      <w:r w:rsidR="00E24DD2">
        <w:t xml:space="preserve"> response to </w:t>
      </w:r>
      <w:r w:rsidR="00AD07EE">
        <w:t xml:space="preserve">the </w:t>
      </w:r>
      <w:r w:rsidR="00E24DD2">
        <w:t>ALJ’s request for supplemental information and their reply brief.</w:t>
      </w:r>
      <w:r w:rsidR="00A95CC2">
        <w:t xml:space="preserve"> Both these motions allege that these portions of the filings contain </w:t>
      </w:r>
      <w:r w:rsidR="00CA6EC1">
        <w:t>competitively sen</w:t>
      </w:r>
      <w:r w:rsidR="00E751EA">
        <w:t xml:space="preserve">sitive, non-public information about the Joint Applicants and the proposed transaction. </w:t>
      </w:r>
      <w:r w:rsidR="0048537F">
        <w:t xml:space="preserve"> </w:t>
      </w:r>
      <w:r w:rsidR="00CA2985">
        <w:t xml:space="preserve">The filings were submitted </w:t>
      </w:r>
      <w:r w:rsidR="00871CC6">
        <w:t xml:space="preserve">in accordance </w:t>
      </w:r>
      <w:r w:rsidR="00281F74">
        <w:t>with the requirements of G</w:t>
      </w:r>
      <w:r w:rsidR="00AD07EE">
        <w:t xml:space="preserve">eneral </w:t>
      </w:r>
      <w:r w:rsidR="00281F74">
        <w:t>O</w:t>
      </w:r>
      <w:r w:rsidR="00AD07EE">
        <w:t xml:space="preserve">rder (GO) </w:t>
      </w:r>
      <w:r w:rsidR="00281F74">
        <w:t>66-D</w:t>
      </w:r>
      <w:r w:rsidR="00AD07EE">
        <w:t>,</w:t>
      </w:r>
      <w:r w:rsidR="00426867">
        <w:t xml:space="preserve"> </w:t>
      </w:r>
      <w:r w:rsidR="00AD07EE">
        <w:t>S</w:t>
      </w:r>
      <w:r w:rsidR="00426867">
        <w:t>ection 3.3 (Submissions in Formal Proceedings)</w:t>
      </w:r>
      <w:r w:rsidR="00281F74">
        <w:t xml:space="preserve"> and Rule 11.</w:t>
      </w:r>
      <w:r w:rsidR="00426867">
        <w:t xml:space="preserve"> No objections were filed</w:t>
      </w:r>
      <w:r w:rsidR="00297F7B">
        <w:t xml:space="preserve">. </w:t>
      </w:r>
      <w:r w:rsidR="0048537F">
        <w:t xml:space="preserve"> </w:t>
      </w:r>
      <w:r w:rsidR="00297F7B">
        <w:t xml:space="preserve">After reviewing the confidential information and the motions for leave to file under seal, </w:t>
      </w:r>
      <w:r w:rsidR="0074077D">
        <w:t>we</w:t>
      </w:r>
      <w:r w:rsidR="00297F7B">
        <w:t xml:space="preserve"> find </w:t>
      </w:r>
      <w:r w:rsidR="000D1266">
        <w:t>sufficient</w:t>
      </w:r>
      <w:r w:rsidR="00297F7B">
        <w:t xml:space="preserve"> cause exists to grant</w:t>
      </w:r>
      <w:r w:rsidR="00513A45">
        <w:t xml:space="preserve"> </w:t>
      </w:r>
      <w:r w:rsidR="00871CC6">
        <w:t xml:space="preserve">the </w:t>
      </w:r>
      <w:r w:rsidR="00513A45">
        <w:t>Joint Applicants’ August 15, 2025</w:t>
      </w:r>
      <w:r w:rsidR="0048537F">
        <w:t>,</w:t>
      </w:r>
      <w:r w:rsidR="00513A45">
        <w:t xml:space="preserve"> and January 27, 2026</w:t>
      </w:r>
      <w:r w:rsidR="0048537F">
        <w:t>,</w:t>
      </w:r>
      <w:r w:rsidR="00513A45">
        <w:t xml:space="preserve"> motions for leave to file under seal.</w:t>
      </w:r>
    </w:p>
    <w:p w:rsidR="00513A45" w:rsidP="0000335B" w:rsidRDefault="00826654" w14:paraId="2E4B0540" w14:textId="6FBBA82C">
      <w:pPr>
        <w:pStyle w:val="Standard"/>
      </w:pPr>
      <w:r>
        <w:t>Requests for confidential treatment have been submitted for</w:t>
      </w:r>
      <w:r w:rsidR="00F97218">
        <w:t xml:space="preserve"> exhibits APP</w:t>
      </w:r>
      <w:r w:rsidR="0048537F">
        <w:noBreakHyphen/>
      </w:r>
      <w:r w:rsidR="00F97218">
        <w:t>1, TRN-01C, TRN-15C, TRN-3C,</w:t>
      </w:r>
      <w:r w:rsidR="00DD17D5">
        <w:t xml:space="preserve"> TRN-16C, TRN-17C, TRN-18C, TRN-20C, and TRN-28X-C</w:t>
      </w:r>
      <w:r w:rsidR="00BB0B65">
        <w:t>.</w:t>
      </w:r>
      <w:r w:rsidR="00BB0B65">
        <w:rPr>
          <w:rStyle w:val="FootnoteReference"/>
        </w:rPr>
        <w:footnoteReference w:id="91"/>
      </w:r>
      <w:r w:rsidR="00B20B64">
        <w:t xml:space="preserve"> </w:t>
      </w:r>
      <w:r w:rsidR="0048537F">
        <w:t xml:space="preserve"> </w:t>
      </w:r>
      <w:r w:rsidR="00FE75DC">
        <w:t>The requests are supported by declarations</w:t>
      </w:r>
      <w:r w:rsidR="00A45117">
        <w:t xml:space="preserve"> setting forth the basis for </w:t>
      </w:r>
      <w:r w:rsidR="006B7FD2">
        <w:t>confidentiality</w:t>
      </w:r>
      <w:r w:rsidR="00835E42">
        <w:t xml:space="preserve">, and each </w:t>
      </w:r>
      <w:r w:rsidR="00A45117">
        <w:t xml:space="preserve">document designates the portion of the information that is to be </w:t>
      </w:r>
      <w:r w:rsidR="006B7FD2">
        <w:t>treated as confidential, consistent with the requirements set forth in GO</w:t>
      </w:r>
      <w:r w:rsidR="00AD07EE">
        <w:t xml:space="preserve"> </w:t>
      </w:r>
      <w:r w:rsidR="006B7FD2">
        <w:t>66</w:t>
      </w:r>
      <w:r w:rsidR="00E742E4">
        <w:t>-D</w:t>
      </w:r>
      <w:r w:rsidR="00FE75DC">
        <w:t xml:space="preserve">. </w:t>
      </w:r>
      <w:r w:rsidR="0048537F">
        <w:t xml:space="preserve"> </w:t>
      </w:r>
      <w:r w:rsidR="00E742E4">
        <w:t xml:space="preserve">After reviewing the exhibits, we find that they contain </w:t>
      </w:r>
      <w:r w:rsidR="00D3628D">
        <w:t xml:space="preserve">financial information designated confidential by </w:t>
      </w:r>
      <w:r w:rsidRPr="4372617A" w:rsidR="00D3628D">
        <w:rPr>
          <w:rFonts w:eastAsia="Book Antiqua" w:cs="Book Antiqua"/>
          <w:lang w:val="en-ZW"/>
        </w:rPr>
        <w:t>D.24-11-003</w:t>
      </w:r>
      <w:r w:rsidR="00D3628D">
        <w:rPr>
          <w:rFonts w:eastAsia="Book Antiqua" w:cs="Book Antiqua"/>
          <w:lang w:val="en-ZW"/>
        </w:rPr>
        <w:t xml:space="preserve">, </w:t>
      </w:r>
      <w:r w:rsidR="005844C6">
        <w:rPr>
          <w:rFonts w:eastAsia="Book Antiqua" w:cs="Book Antiqua"/>
          <w:lang w:val="en-ZW"/>
        </w:rPr>
        <w:t xml:space="preserve">or commercially sensitive, non-public information about the </w:t>
      </w:r>
      <w:r w:rsidR="005844C6">
        <w:t xml:space="preserve">proposed transaction or </w:t>
      </w:r>
      <w:r w:rsidR="00FD4123">
        <w:t xml:space="preserve">the Joint Applicants’ business </w:t>
      </w:r>
      <w:r w:rsidR="006E24DB">
        <w:t>operations</w:t>
      </w:r>
      <w:r w:rsidR="00D96307">
        <w:t xml:space="preserve"> and/or strategies</w:t>
      </w:r>
      <w:r w:rsidR="005D6CAC">
        <w:t xml:space="preserve">. </w:t>
      </w:r>
      <w:r w:rsidR="0048537F">
        <w:t xml:space="preserve"> </w:t>
      </w:r>
      <w:r w:rsidR="00AD07EE">
        <w:t>Joint Applicants and TURN also</w:t>
      </w:r>
      <w:r w:rsidR="005D6CAC">
        <w:t xml:space="preserve"> </w:t>
      </w:r>
      <w:r w:rsidR="0059771B">
        <w:t xml:space="preserve">state that the information is subject to the terms of non-disclosure agreements between </w:t>
      </w:r>
      <w:r w:rsidR="008A78E4">
        <w:t xml:space="preserve">the Joint Applicants and TURN, and do not dispute that the </w:t>
      </w:r>
      <w:r w:rsidR="008A78E4">
        <w:lastRenderedPageBreak/>
        <w:t xml:space="preserve">exhibits should be treated confidentially. </w:t>
      </w:r>
      <w:r w:rsidR="0048537F">
        <w:t xml:space="preserve"> </w:t>
      </w:r>
      <w:r w:rsidR="008A78E4">
        <w:t xml:space="preserve">We therefore </w:t>
      </w:r>
      <w:r w:rsidR="001D7B29">
        <w:t>grant the requests for confidential treatment of these exhibits.</w:t>
      </w:r>
    </w:p>
    <w:p w:rsidRPr="008B175A" w:rsidR="004A1EAD" w:rsidP="004A1EAD" w:rsidRDefault="004A1EAD" w14:paraId="5B6A55A8" w14:textId="07CE3BE9">
      <w:pPr>
        <w:pStyle w:val="Standard"/>
      </w:pPr>
      <w:r w:rsidRPr="008B175A">
        <w:t xml:space="preserve">This decision affirms all rulings made by the </w:t>
      </w:r>
      <w:r w:rsidR="00AD07EE">
        <w:t>ALJ</w:t>
      </w:r>
      <w:r w:rsidRPr="008B175A">
        <w:t xml:space="preserve"> and assigned Commissioner in this proceeding. All motions not ruled on are deemed denied.</w:t>
      </w:r>
    </w:p>
    <w:p w:rsidR="005939A5" w:rsidP="00AD5ED1" w:rsidRDefault="005939A5" w14:paraId="1964EACC" w14:textId="3F339258">
      <w:pPr>
        <w:pStyle w:val="Heading1"/>
        <w:numPr>
          <w:ilvl w:val="0"/>
          <w:numId w:val="1"/>
        </w:numPr>
        <w:spacing w:after="0" w:line="360" w:lineRule="auto"/>
      </w:pPr>
      <w:bookmarkStart w:name="_Toc228532664" w:id="51"/>
      <w:r>
        <w:t>Comments on Proposed Decision</w:t>
      </w:r>
      <w:bookmarkEnd w:id="50"/>
      <w:bookmarkEnd w:id="51"/>
    </w:p>
    <w:p w:rsidR="005939A5" w:rsidP="00A777E3" w:rsidRDefault="005C58FA" w14:paraId="4F9042A4" w14:textId="37C34406">
      <w:pPr>
        <w:pStyle w:val="Standard"/>
      </w:pPr>
      <w:r w:rsidRPr="00A777E3">
        <w:t>The proposed decision of ALJ</w:t>
      </w:r>
      <w:r w:rsidR="0024707B">
        <w:t xml:space="preserve"> Shannon Clark </w:t>
      </w:r>
      <w:r>
        <w:t>in this matter was mailed to the parties in accordance with Section 311 of the Pub</w:t>
      </w:r>
      <w:r w:rsidR="00AD07EE">
        <w:t>.</w:t>
      </w:r>
      <w:r>
        <w:t xml:space="preserve"> Util</w:t>
      </w:r>
      <w:r w:rsidR="00AD07EE">
        <w:t>.</w:t>
      </w:r>
      <w:r>
        <w:t xml:space="preserve"> Code and comments were allowed under Rule 14.3 of the Commission’s Rules of Practice and Procedure.  </w:t>
      </w:r>
      <w:r w:rsidR="00A823F9">
        <w:t>TURN</w:t>
      </w:r>
      <w:r>
        <w:t xml:space="preserve"> filed </w:t>
      </w:r>
      <w:r w:rsidR="00A823F9">
        <w:t xml:space="preserve">comments </w:t>
      </w:r>
      <w:r>
        <w:t xml:space="preserve">on </w:t>
      </w:r>
      <w:r w:rsidR="00962FE4">
        <w:t>May 21, 2026</w:t>
      </w:r>
      <w:r>
        <w:t>, and</w:t>
      </w:r>
      <w:r w:rsidR="00962FE4">
        <w:t xml:space="preserve"> Joint Applicants filed</w:t>
      </w:r>
      <w:r>
        <w:t xml:space="preserve"> reply comments on </w:t>
      </w:r>
      <w:r w:rsidR="00C5405F">
        <w:t>May 26, 2026</w:t>
      </w:r>
      <w:r>
        <w:t>.</w:t>
      </w:r>
    </w:p>
    <w:p w:rsidR="00C5405F" w:rsidP="00A777E3" w:rsidRDefault="003F3531" w14:paraId="2BBE9AEA" w14:textId="69D669FA">
      <w:pPr>
        <w:pStyle w:val="Standard"/>
      </w:pPr>
      <w:r>
        <w:t xml:space="preserve">After reviewing the </w:t>
      </w:r>
      <w:r w:rsidR="0002098A">
        <w:t xml:space="preserve">comments provided, we </w:t>
      </w:r>
      <w:r w:rsidR="00FE6D0D">
        <w:t xml:space="preserve">adopt </w:t>
      </w:r>
      <w:r w:rsidR="002F598C">
        <w:t>one</w:t>
      </w:r>
      <w:r w:rsidR="00DE20E2">
        <w:t xml:space="preserve"> substantive</w:t>
      </w:r>
      <w:r w:rsidR="002F598C">
        <w:t xml:space="preserve"> </w:t>
      </w:r>
      <w:r w:rsidR="00FE6D0D">
        <w:t>change to the proposed decisio</w:t>
      </w:r>
      <w:r w:rsidR="00B437A8">
        <w:t>n</w:t>
      </w:r>
      <w:r w:rsidR="002F598C">
        <w:t xml:space="preserve"> to reset the submission date to February 10, 2026 – the day reply briefs were filed. </w:t>
      </w:r>
      <w:r w:rsidR="00524BA1">
        <w:t xml:space="preserve"> We also make corrections to non-substantive typographical errors.  </w:t>
      </w:r>
      <w:r w:rsidR="002F598C">
        <w:t>We decline to adopt all other recommendations</w:t>
      </w:r>
      <w:r w:rsidR="00F100D8">
        <w:t xml:space="preserve"> and discuss </w:t>
      </w:r>
      <w:r w:rsidR="00FF4745">
        <w:t xml:space="preserve">our reasons for </w:t>
      </w:r>
      <w:r w:rsidR="00D1026F">
        <w:t>doing so below</w:t>
      </w:r>
      <w:r w:rsidR="00FF4745">
        <w:t>.</w:t>
      </w:r>
      <w:r w:rsidR="0089302E">
        <w:t xml:space="preserve"> </w:t>
      </w:r>
      <w:r w:rsidR="005C4095">
        <w:t xml:space="preserve"> </w:t>
      </w:r>
      <w:r w:rsidR="0089302E">
        <w:t>Per Rule 14.3(c)</w:t>
      </w:r>
      <w:r w:rsidR="007C1A21">
        <w:t>,</w:t>
      </w:r>
      <w:r w:rsidR="0089302E">
        <w:t xml:space="preserve"> we g</w:t>
      </w:r>
      <w:r w:rsidR="005A7728">
        <w:t>i</w:t>
      </w:r>
      <w:r w:rsidR="0089302E">
        <w:t>ve no weight to comments that fail to focus on factual, legal or technical errors, or merely re</w:t>
      </w:r>
      <w:r w:rsidR="005A7728">
        <w:t>-</w:t>
      </w:r>
      <w:r w:rsidR="0089302E">
        <w:t>argue a party’s position.</w:t>
      </w:r>
    </w:p>
    <w:p w:rsidR="005A7728" w:rsidP="00A777E3" w:rsidRDefault="008B068E" w14:paraId="23941C0D" w14:textId="1DCEA7DB">
      <w:pPr>
        <w:pStyle w:val="Standard"/>
      </w:pPr>
      <w:r>
        <w:t xml:space="preserve">TURN argues that </w:t>
      </w:r>
      <w:r w:rsidR="00136BD4">
        <w:t>the proposed decision errs by “shifting the burden of proof” from the Joint Applicants to TURN.</w:t>
      </w:r>
      <w:r w:rsidR="004D19F4">
        <w:t xml:space="preserve"> </w:t>
      </w:r>
      <w:r w:rsidR="005C4095">
        <w:t xml:space="preserve"> </w:t>
      </w:r>
      <w:r w:rsidR="004D19F4">
        <w:t xml:space="preserve">We find no basis for this claim. </w:t>
      </w:r>
      <w:r w:rsidR="005C4095">
        <w:t xml:space="preserve"> </w:t>
      </w:r>
      <w:r w:rsidR="004D19F4">
        <w:t>The proposed decision finds that the application</w:t>
      </w:r>
      <w:r w:rsidR="0091338E">
        <w:t xml:space="preserve"> and the record demonstrate that the Joint Applicants meet the requirements sufficient for the </w:t>
      </w:r>
      <w:r w:rsidR="00E238CC">
        <w:t>Commission to grant the transfer of control.</w:t>
      </w:r>
      <w:r w:rsidR="0064447D">
        <w:t xml:space="preserve"> </w:t>
      </w:r>
      <w:r w:rsidR="005C4095">
        <w:t xml:space="preserve"> </w:t>
      </w:r>
      <w:r w:rsidR="00692F18">
        <w:t>A</w:t>
      </w:r>
      <w:r w:rsidR="00C72EF0">
        <w:t xml:space="preserve">fter examining the entire record, including the arguments </w:t>
      </w:r>
      <w:r w:rsidR="007C0564">
        <w:t>and evidence submitted by</w:t>
      </w:r>
      <w:r w:rsidR="00C72EF0">
        <w:t xml:space="preserve"> TURN, the proposed decision finds</w:t>
      </w:r>
      <w:r w:rsidR="00D8317E">
        <w:t xml:space="preserve"> that the proposed transfer is in the public interest.</w:t>
      </w:r>
    </w:p>
    <w:p w:rsidR="00001758" w:rsidP="00EA6765" w:rsidRDefault="00D8317E" w14:paraId="4E3DFE6B" w14:textId="4FE135E4">
      <w:pPr>
        <w:pStyle w:val="Standard"/>
      </w:pPr>
      <w:r>
        <w:t xml:space="preserve">TURN also requests several modifications to the condition imposed by </w:t>
      </w:r>
      <w:r w:rsidR="0048299B">
        <w:t xml:space="preserve">the proposed decision. </w:t>
      </w:r>
      <w:r w:rsidR="005C4095">
        <w:t xml:space="preserve"> </w:t>
      </w:r>
      <w:r w:rsidR="0048299B">
        <w:t xml:space="preserve">First, TURN </w:t>
      </w:r>
      <w:r w:rsidR="00590D3C">
        <w:t xml:space="preserve">proposes that the reporting period of the </w:t>
      </w:r>
      <w:r w:rsidR="00590D3C">
        <w:lastRenderedPageBreak/>
        <w:t>condition be extended to five years, rather than two. We decline to adopt this change. The two</w:t>
      </w:r>
      <w:r w:rsidR="00721075">
        <w:t>-</w:t>
      </w:r>
      <w:r w:rsidR="00590D3C">
        <w:t xml:space="preserve">year period </w:t>
      </w:r>
      <w:r w:rsidR="00E014A0">
        <w:t xml:space="preserve">included in the proposed decision </w:t>
      </w:r>
      <w:r w:rsidR="00A1735A">
        <w:t>reflects a period</w:t>
      </w:r>
      <w:r w:rsidR="00E014A0">
        <w:t xml:space="preserve"> immediately following the transfer when changes to Securus’ terms and conditions caused by the transfer could reasonably be expected to occur. </w:t>
      </w:r>
      <w:r w:rsidR="00721075">
        <w:t xml:space="preserve">We find no basis to extend this </w:t>
      </w:r>
      <w:r w:rsidR="00D81024">
        <w:t xml:space="preserve">period further. </w:t>
      </w:r>
      <w:r w:rsidR="005C4095">
        <w:t xml:space="preserve"> </w:t>
      </w:r>
      <w:r w:rsidR="00D81024">
        <w:t xml:space="preserve">Second, TURN proposes that the condition should be modified to require Securus to submit a Tier 2 or Tier 3 </w:t>
      </w:r>
      <w:r w:rsidR="00552802">
        <w:t>a</w:t>
      </w:r>
      <w:r w:rsidR="006C4CA8">
        <w:t xml:space="preserve">dvice </w:t>
      </w:r>
      <w:r w:rsidR="00552802">
        <w:t>l</w:t>
      </w:r>
      <w:r w:rsidR="006C4CA8">
        <w:t>etter.</w:t>
      </w:r>
      <w:r w:rsidR="0012609B">
        <w:t xml:space="preserve"> </w:t>
      </w:r>
      <w:r w:rsidR="005C4095">
        <w:t xml:space="preserve"> </w:t>
      </w:r>
      <w:r w:rsidR="0012609B">
        <w:t xml:space="preserve">TURN argues that </w:t>
      </w:r>
      <w:r w:rsidR="00C05A11">
        <w:t xml:space="preserve">a Tier 2 or 3 </w:t>
      </w:r>
      <w:r w:rsidR="00552802">
        <w:t>a</w:t>
      </w:r>
      <w:r w:rsidR="00C05A11">
        <w:t xml:space="preserve">dvice </w:t>
      </w:r>
      <w:r w:rsidR="00552802">
        <w:t>l</w:t>
      </w:r>
      <w:r w:rsidR="00C05A11">
        <w:t xml:space="preserve">etter is more appropriate because </w:t>
      </w:r>
      <w:r w:rsidR="008728D0">
        <w:t>under</w:t>
      </w:r>
      <w:r w:rsidR="00552802">
        <w:t xml:space="preserve"> Telecommunications</w:t>
      </w:r>
      <w:r w:rsidR="008728D0">
        <w:t xml:space="preserve"> Industry Rule 7.1 of G.O. </w:t>
      </w:r>
      <w:r w:rsidR="005F3086">
        <w:t>96-B</w:t>
      </w:r>
      <w:r w:rsidR="004E1CC6">
        <w:t xml:space="preserve">, matters appropriate for a Tier 1 advice letter include </w:t>
      </w:r>
      <w:r w:rsidR="00CD5A39">
        <w:t>“changes to the text of a tariff that does not affect a rate, charge, term or condition.”</w:t>
      </w:r>
      <w:r w:rsidR="002D0430">
        <w:t xml:space="preserve">  </w:t>
      </w:r>
      <w:r w:rsidR="00F82A15">
        <w:t xml:space="preserve">While we acknowledge this </w:t>
      </w:r>
      <w:r w:rsidR="00BA57D7">
        <w:t xml:space="preserve">general rule for tariffed entities, we find that a Tier 1 </w:t>
      </w:r>
      <w:r w:rsidR="008C1878">
        <w:t>a</w:t>
      </w:r>
      <w:r w:rsidR="00BA57D7">
        <w:t xml:space="preserve">dvice </w:t>
      </w:r>
      <w:r w:rsidR="008C1878">
        <w:t>l</w:t>
      </w:r>
      <w:r w:rsidR="00BA57D7">
        <w:t>etter is more appropriate here, where the scope of the changes to Securus’ terms and conditions are unknown, an</w:t>
      </w:r>
      <w:r w:rsidR="00BB1A25">
        <w:t xml:space="preserve">d </w:t>
      </w:r>
      <w:r w:rsidR="008F7965">
        <w:t xml:space="preserve">changes </w:t>
      </w:r>
      <w:r w:rsidR="00BB1A25">
        <w:t xml:space="preserve">may not take place at all. </w:t>
      </w:r>
    </w:p>
    <w:p w:rsidR="00D81024" w:rsidP="00EA6765" w:rsidRDefault="00BB1A25" w14:paraId="431155E3" w14:textId="547FEA9D">
      <w:pPr>
        <w:pStyle w:val="Standard"/>
      </w:pPr>
      <w:r>
        <w:t xml:space="preserve">Third, TURN </w:t>
      </w:r>
      <w:r w:rsidR="001D10C5">
        <w:t xml:space="preserve">proposes </w:t>
      </w:r>
      <w:r w:rsidR="00DF1F5B">
        <w:t xml:space="preserve">amending the condition to </w:t>
      </w:r>
      <w:r w:rsidR="004C414B">
        <w:t xml:space="preserve">specify that Securus must report </w:t>
      </w:r>
      <w:r w:rsidR="003556EC">
        <w:t>changes to terms and conditions between Securus and its end users, a</w:t>
      </w:r>
      <w:r w:rsidR="00BE2329">
        <w:t>s</w:t>
      </w:r>
      <w:r w:rsidR="003556EC">
        <w:t xml:space="preserve"> well as changes to contract terms between Securus and its institutional customers. We decline</w:t>
      </w:r>
      <w:r w:rsidR="003C00F4">
        <w:t xml:space="preserve"> to</w:t>
      </w:r>
      <w:r w:rsidR="003556EC">
        <w:t xml:space="preserve"> </w:t>
      </w:r>
      <w:r w:rsidR="00442FF2">
        <w:t xml:space="preserve">implement this change. </w:t>
      </w:r>
      <w:r w:rsidR="00131DF2">
        <w:t xml:space="preserve">The purpose of </w:t>
      </w:r>
      <w:r w:rsidR="008B619B">
        <w:t>the condition imposed by the proposed decision is to capture any changes to terms and conditions that would impact end users</w:t>
      </w:r>
      <w:r w:rsidR="00EC3BAC">
        <w:t>, and the current condition as proposed accomplishes this. We do not find any basis to include changes to contract terms Securus has with its institutional customers.</w:t>
      </w:r>
    </w:p>
    <w:p w:rsidR="00EC3BAC" w:rsidP="00EA6765" w:rsidRDefault="00EC3BAC" w14:paraId="3819EAAA" w14:textId="7C560BF7">
      <w:pPr>
        <w:pStyle w:val="Standard"/>
      </w:pPr>
      <w:r>
        <w:t xml:space="preserve">Fourth, TURN proposes amending the </w:t>
      </w:r>
      <w:r w:rsidR="008676E7">
        <w:t xml:space="preserve">proposed decision’s </w:t>
      </w:r>
      <w:r>
        <w:t>condition</w:t>
      </w:r>
      <w:r w:rsidR="002313A0">
        <w:t>, or adding additional conditions</w:t>
      </w:r>
      <w:r w:rsidR="008676E7">
        <w:t>,</w:t>
      </w:r>
      <w:r w:rsidR="002313A0">
        <w:t xml:space="preserve"> to better address their service quality and privacy concerns. We </w:t>
      </w:r>
      <w:r w:rsidR="006321A8">
        <w:t xml:space="preserve">decline to implement these changes. </w:t>
      </w:r>
      <w:r w:rsidR="00F913CF">
        <w:t>The proposed decision</w:t>
      </w:r>
      <w:r w:rsidR="002D4CA0">
        <w:t xml:space="preserve"> did not f</w:t>
      </w:r>
      <w:r w:rsidR="00C20FDC">
        <w:t>ind</w:t>
      </w:r>
      <w:r w:rsidR="002D4CA0">
        <w:t xml:space="preserve"> that the record supported that </w:t>
      </w:r>
      <w:r w:rsidR="00C20FDC">
        <w:t xml:space="preserve">harms to service quality or privacy interests were likely to occur. </w:t>
      </w:r>
      <w:r w:rsidR="001A29A5">
        <w:t>Further</w:t>
      </w:r>
      <w:r w:rsidR="00C20FDC">
        <w:t xml:space="preserve">, to the extent that the proposed transaction results </w:t>
      </w:r>
      <w:r w:rsidR="00C20FDC">
        <w:lastRenderedPageBreak/>
        <w:t xml:space="preserve">in </w:t>
      </w:r>
      <w:r w:rsidR="00D42E05">
        <w:t>changes to Securus’ terms of service or privacy policies</w:t>
      </w:r>
      <w:r w:rsidR="00DF72D0">
        <w:rPr>
          <w:rStyle w:val="FootnoteReference"/>
        </w:rPr>
        <w:footnoteReference w:id="92"/>
      </w:r>
      <w:r w:rsidR="00DF72D0">
        <w:t>, the current condition would already requir</w:t>
      </w:r>
      <w:r w:rsidR="001A29A5">
        <w:t>e</w:t>
      </w:r>
      <w:r w:rsidR="00DF72D0">
        <w:t xml:space="preserve"> reporting of these changes.</w:t>
      </w:r>
    </w:p>
    <w:p w:rsidR="00496DA3" w:rsidP="00EA6765" w:rsidRDefault="006846B5" w14:paraId="417E43D0" w14:textId="3B44C540">
      <w:pPr>
        <w:pStyle w:val="Standard"/>
      </w:pPr>
      <w:r>
        <w:t xml:space="preserve">TURN argues that the proposed decision errs by </w:t>
      </w:r>
      <w:r w:rsidR="009E68FB">
        <w:t xml:space="preserve">admitting </w:t>
      </w:r>
      <w:r w:rsidR="0010522B">
        <w:t xml:space="preserve">the Joint Applicants’ April 23, 2026 “Notice to Update the Record” into the </w:t>
      </w:r>
      <w:r w:rsidR="00A76366">
        <w:t>record</w:t>
      </w:r>
      <w:r w:rsidR="0058143C">
        <w:t xml:space="preserve">, which states that Aventiv’s current CEO, Mr. Abel has resigned and </w:t>
      </w:r>
      <w:r w:rsidR="00413911">
        <w:t>that Mr. Elder, Aventiv’s current president, will assume the role of interim CEO</w:t>
      </w:r>
      <w:r w:rsidR="00A76366">
        <w:t>.</w:t>
      </w:r>
      <w:r w:rsidR="004C1577">
        <w:t xml:space="preserve"> </w:t>
      </w:r>
      <w:r w:rsidR="00A76366">
        <w:t xml:space="preserve"> TURN argues th</w:t>
      </w:r>
      <w:r w:rsidR="00D12CB3">
        <w:t xml:space="preserve">at Rule 13.15 requires that </w:t>
      </w:r>
      <w:r w:rsidR="00681B5E">
        <w:t xml:space="preserve">the </w:t>
      </w:r>
      <w:r w:rsidR="00722F32">
        <w:t xml:space="preserve">Joint Applicants’ file a motion in order for the Commission to reopen the record. </w:t>
      </w:r>
      <w:r w:rsidR="001A72CF">
        <w:t>We correct the proposed decision to note that the update received on April 23, 2026 does not constitute a material change of fact contemplated by Rule 13.15 that necessitates re-opening the record. Mr. Elder’s biographical information was provided in the application and remains unchanged.  We modify the proposed decision to set the submission date</w:t>
      </w:r>
      <w:r w:rsidR="00927427">
        <w:t xml:space="preserve"> to February 10, 2026 – the day reply briefs were filed. </w:t>
      </w:r>
    </w:p>
    <w:p w:rsidR="00F5633B" w:rsidRDefault="0058143C" w14:paraId="1A00247A" w14:textId="59155D8A">
      <w:pPr>
        <w:pStyle w:val="Standard"/>
      </w:pPr>
      <w:r>
        <w:t xml:space="preserve">TURN also disputes </w:t>
      </w:r>
      <w:r w:rsidR="004C1577">
        <w:t>Mr. Elder’s qualifications</w:t>
      </w:r>
      <w:r w:rsidR="001175C0">
        <w:t xml:space="preserve"> to be CEO</w:t>
      </w:r>
      <w:r w:rsidR="001315D2">
        <w:t xml:space="preserve">, though they provide no </w:t>
      </w:r>
      <w:r w:rsidR="00F86DBA">
        <w:t>discussion of</w:t>
      </w:r>
      <w:r w:rsidR="001315D2">
        <w:t xml:space="preserve"> why Mr. Elder is not qualified to be interim CEO. </w:t>
      </w:r>
      <w:r w:rsidR="0050636D">
        <w:t xml:space="preserve">We find no basis to support </w:t>
      </w:r>
      <w:r w:rsidR="00A34437">
        <w:t xml:space="preserve">this </w:t>
      </w:r>
      <w:r w:rsidR="000144BF">
        <w:t>argument</w:t>
      </w:r>
      <w:r w:rsidR="000A2BAD">
        <w:t>.</w:t>
      </w:r>
      <w:r w:rsidR="00B639DB">
        <w:t xml:space="preserve"> TURN </w:t>
      </w:r>
      <w:r w:rsidR="003C4C36">
        <w:t xml:space="preserve">further </w:t>
      </w:r>
      <w:r w:rsidR="00835887">
        <w:t xml:space="preserve">argues that </w:t>
      </w:r>
      <w:r w:rsidR="00295A0C">
        <w:t xml:space="preserve">the proposed decision’s determination of the </w:t>
      </w:r>
      <w:r w:rsidR="00C748A4">
        <w:t xml:space="preserve">technical qualifications of the prospective executives and board of directors is undermined by </w:t>
      </w:r>
      <w:r w:rsidR="000D6941">
        <w:t xml:space="preserve">Mr. Abel’s departure. </w:t>
      </w:r>
      <w:r w:rsidR="00067135">
        <w:t xml:space="preserve"> As a result, </w:t>
      </w:r>
      <w:r w:rsidR="00A34437">
        <w:t>TURN requests that</w:t>
      </w:r>
      <w:r w:rsidR="007749C4">
        <w:t xml:space="preserve"> the Commission strike finding of fact (FOF) 8. FOF 8 states, “</w:t>
      </w:r>
      <w:r w:rsidRPr="007749C4" w:rsidR="007749C4">
        <w:t>Securus is expected to continue to be managed and operated by primarily the same officers and key personnel after the transfer.</w:t>
      </w:r>
      <w:r w:rsidR="007749C4">
        <w:t xml:space="preserve">” </w:t>
      </w:r>
      <w:r w:rsidR="00067135">
        <w:t>We disagree</w:t>
      </w:r>
      <w:r w:rsidR="001D0675">
        <w:t xml:space="preserve"> that th</w:t>
      </w:r>
      <w:r w:rsidR="001937CA">
        <w:t>is update undermines the proposed decision. FOF 8</w:t>
      </w:r>
      <w:r w:rsidR="009B40BB">
        <w:t xml:space="preserve"> remains unchanged by the update that Joint Applicants provided. </w:t>
      </w:r>
      <w:r w:rsidR="0070434B">
        <w:t xml:space="preserve">The </w:t>
      </w:r>
      <w:r w:rsidR="00AA7BB1">
        <w:t xml:space="preserve">record reflects that </w:t>
      </w:r>
      <w:r w:rsidR="004D4CB1">
        <w:t xml:space="preserve">the day-to-day management of Securus </w:t>
      </w:r>
      <w:r w:rsidR="009A2963">
        <w:t xml:space="preserve">will continue to be undertaken by </w:t>
      </w:r>
      <w:r w:rsidR="00817E0A">
        <w:t xml:space="preserve">Aventiv’s </w:t>
      </w:r>
      <w:r w:rsidR="00817E0A">
        <w:lastRenderedPageBreak/>
        <w:t>executive board, of which Mr. Elder is current member.</w:t>
      </w:r>
      <w:r w:rsidR="00115169">
        <w:rPr>
          <w:rStyle w:val="FootnoteReference"/>
        </w:rPr>
        <w:footnoteReference w:id="93"/>
      </w:r>
      <w:r w:rsidR="00817E0A">
        <w:t xml:space="preserve"> </w:t>
      </w:r>
      <w:r w:rsidR="00115169">
        <w:t xml:space="preserve">The </w:t>
      </w:r>
      <w:r w:rsidR="001F214B">
        <w:t xml:space="preserve">board of directors of the transferee will have </w:t>
      </w:r>
      <w:r w:rsidR="00653F43">
        <w:t>no direct involvement with the day-to-day management of Securus.</w:t>
      </w:r>
      <w:r w:rsidR="00653F43">
        <w:rPr>
          <w:rStyle w:val="FootnoteReference"/>
        </w:rPr>
        <w:footnoteReference w:id="94"/>
      </w:r>
      <w:r w:rsidR="0043044E">
        <w:t xml:space="preserve"> We therefore decline to strike FOF 8</w:t>
      </w:r>
      <w:r w:rsidR="002B0CB0">
        <w:t xml:space="preserve"> or make any further changes to the proposed decision.</w:t>
      </w:r>
    </w:p>
    <w:p w:rsidR="005939A5" w:rsidP="0034554C" w:rsidRDefault="005939A5" w14:paraId="4AE12439" w14:textId="6E588C57">
      <w:pPr>
        <w:pStyle w:val="Heading1"/>
        <w:numPr>
          <w:ilvl w:val="0"/>
          <w:numId w:val="1"/>
        </w:numPr>
      </w:pPr>
      <w:bookmarkStart w:name="_Toc8123724" w:id="52"/>
      <w:bookmarkStart w:name="_Toc228532665" w:id="53"/>
      <w:r>
        <w:t>Assignment of Proceeding</w:t>
      </w:r>
      <w:bookmarkEnd w:id="52"/>
      <w:bookmarkEnd w:id="53"/>
    </w:p>
    <w:p w:rsidR="005939A5" w:rsidP="006E6574" w:rsidRDefault="002C7E96" w14:paraId="3A3773AD" w14:textId="62403618">
      <w:pPr>
        <w:pStyle w:val="Standard"/>
      </w:pPr>
      <w:r w:rsidRPr="002C7E96">
        <w:t>Christine Harada</w:t>
      </w:r>
      <w:r w:rsidRPr="002C7E96" w:rsidR="005939A5">
        <w:t xml:space="preserve"> is the assigned Commissioner</w:t>
      </w:r>
      <w:r w:rsidR="00871CC6">
        <w:t>,</w:t>
      </w:r>
      <w:r w:rsidRPr="002C7E96" w:rsidR="005939A5">
        <w:t xml:space="preserve"> and </w:t>
      </w:r>
      <w:r w:rsidRPr="002C7E96" w:rsidR="00005030">
        <w:t>Shannon</w:t>
      </w:r>
      <w:r w:rsidR="00005030">
        <w:t xml:space="preserve"> Clark</w:t>
      </w:r>
      <w:r w:rsidR="005939A5">
        <w:t xml:space="preserve"> is the assigned </w:t>
      </w:r>
      <w:r w:rsidR="00AD07EE">
        <w:t>ALJ</w:t>
      </w:r>
      <w:r w:rsidRPr="00B94DD0" w:rsidR="00005030">
        <w:t xml:space="preserve"> and Presiding Officer</w:t>
      </w:r>
      <w:r w:rsidR="005939A5">
        <w:t xml:space="preserve"> in this proceeding.</w:t>
      </w:r>
    </w:p>
    <w:p w:rsidR="005939A5" w:rsidP="00AD5ED1" w:rsidRDefault="005939A5" w14:paraId="7C5D8CEF" w14:textId="77777777">
      <w:pPr>
        <w:pStyle w:val="Dummy"/>
        <w:spacing w:after="0" w:line="360" w:lineRule="auto"/>
      </w:pPr>
      <w:bookmarkStart w:name="_Toc8123725" w:id="54"/>
      <w:bookmarkStart w:name="_Toc228532666" w:id="55"/>
      <w:r>
        <w:t>Findings of Fact</w:t>
      </w:r>
      <w:bookmarkEnd w:id="54"/>
      <w:bookmarkEnd w:id="55"/>
    </w:p>
    <w:p w:rsidR="00F62B7A" w:rsidP="00AD5ED1" w:rsidRDefault="00880000" w14:paraId="2BF4ABE7" w14:textId="47761AC8">
      <w:pPr>
        <w:pStyle w:val="FoF"/>
        <w:numPr>
          <w:ilvl w:val="0"/>
          <w:numId w:val="39"/>
        </w:numPr>
        <w:ind w:left="0" w:firstLine="360"/>
      </w:pPr>
      <w:r>
        <w:t xml:space="preserve">Securus </w:t>
      </w:r>
      <w:r w:rsidR="0046540E">
        <w:t>was</w:t>
      </w:r>
      <w:r w:rsidR="00F66FDB">
        <w:t xml:space="preserve"> granted a</w:t>
      </w:r>
      <w:r w:rsidR="00196C64">
        <w:t xml:space="preserve"> </w:t>
      </w:r>
      <w:r w:rsidR="001C0441">
        <w:t>CPCN</w:t>
      </w:r>
      <w:r w:rsidR="00196C64">
        <w:t xml:space="preserve"> to provide resold </w:t>
      </w:r>
      <w:r w:rsidR="005443D9">
        <w:t>interexchange</w:t>
      </w:r>
      <w:r w:rsidR="00840CB7">
        <w:t xml:space="preserve"> telecommunications services as a non-dominant inter</w:t>
      </w:r>
      <w:r w:rsidR="001F05EE">
        <w:t>exchange carrier</w:t>
      </w:r>
      <w:r w:rsidR="00196C64">
        <w:t xml:space="preserve"> </w:t>
      </w:r>
      <w:r w:rsidR="000D0C74">
        <w:t xml:space="preserve">with the corporate identification number </w:t>
      </w:r>
      <w:r w:rsidR="00E32EBD">
        <w:t xml:space="preserve">U-6888-C </w:t>
      </w:r>
      <w:r w:rsidR="00196C64">
        <w:t>pursuant to D</w:t>
      </w:r>
      <w:r w:rsidR="00AD07EE">
        <w:t>.</w:t>
      </w:r>
      <w:r w:rsidR="00196C64">
        <w:t>04-05</w:t>
      </w:r>
      <w:r w:rsidR="008121C8">
        <w:t>-049</w:t>
      </w:r>
      <w:r w:rsidR="00686834">
        <w:t xml:space="preserve">, </w:t>
      </w:r>
      <w:r w:rsidR="00EE3DF8">
        <w:t>under its prior name, Evercom Systems, Inc.</w:t>
      </w:r>
    </w:p>
    <w:p w:rsidR="00EE3DF8" w:rsidP="00AD5ED1" w:rsidRDefault="003F3E81" w14:paraId="49406D69" w14:textId="29B1F625">
      <w:pPr>
        <w:pStyle w:val="FoF"/>
        <w:numPr>
          <w:ilvl w:val="0"/>
          <w:numId w:val="39"/>
        </w:numPr>
        <w:ind w:left="0" w:firstLine="360"/>
      </w:pPr>
      <w:r>
        <w:t>Securus notified the Commission of its name change via Advice Letter No.</w:t>
      </w:r>
      <w:r w:rsidR="00473425">
        <w:t> </w:t>
      </w:r>
      <w:r>
        <w:t>3, effective October 21, 2010.</w:t>
      </w:r>
    </w:p>
    <w:p w:rsidR="003F3E81" w:rsidP="00AD5ED1" w:rsidRDefault="006A2B5D" w14:paraId="2C72457D" w14:textId="55E92372">
      <w:pPr>
        <w:pStyle w:val="FoF"/>
        <w:numPr>
          <w:ilvl w:val="0"/>
          <w:numId w:val="39"/>
        </w:numPr>
        <w:ind w:left="0" w:firstLine="360"/>
      </w:pPr>
      <w:r>
        <w:t xml:space="preserve">Platinum Equity, a Delaware limited partnership, is a private equity investment vehicle that </w:t>
      </w:r>
      <w:r w:rsidR="001B1779">
        <w:t>currently holds an approximately 72.63%</w:t>
      </w:r>
      <w:r w:rsidR="00D863C3">
        <w:t xml:space="preserve"> indirect</w:t>
      </w:r>
      <w:r w:rsidR="001B1779">
        <w:t xml:space="preserve"> controlling interest in Securus</w:t>
      </w:r>
      <w:r w:rsidR="00D863C3">
        <w:t>.</w:t>
      </w:r>
    </w:p>
    <w:p w:rsidR="00786E6C" w:rsidP="00AD5ED1" w:rsidRDefault="00786E6C" w14:paraId="685D1026" w14:textId="05269877">
      <w:pPr>
        <w:pStyle w:val="FoF"/>
        <w:numPr>
          <w:ilvl w:val="0"/>
          <w:numId w:val="39"/>
        </w:numPr>
        <w:ind w:left="0" w:firstLine="360"/>
      </w:pPr>
      <w:r>
        <w:t xml:space="preserve">SCRS Intermediate </w:t>
      </w:r>
      <w:r w:rsidR="006D6E62">
        <w:t>HC</w:t>
      </w:r>
      <w:r>
        <w:t xml:space="preserve"> is a holding company currently controlled by SCRS Holding Corporation, and ultimately, Platinum Equity.</w:t>
      </w:r>
    </w:p>
    <w:p w:rsidR="00A259E8" w:rsidP="00AD5ED1" w:rsidRDefault="00A259E8" w14:paraId="288B2BA0" w14:textId="2B43C7B8">
      <w:pPr>
        <w:pStyle w:val="FoF"/>
        <w:numPr>
          <w:ilvl w:val="0"/>
          <w:numId w:val="39"/>
        </w:numPr>
        <w:ind w:left="0" w:firstLine="360"/>
      </w:pPr>
      <w:r>
        <w:t>Aventiv is Securus’</w:t>
      </w:r>
      <w:r w:rsidR="006D6E62">
        <w:t>s</w:t>
      </w:r>
      <w:r>
        <w:t xml:space="preserve"> parent company and provides technology and connectivity solutions for correctional facilities, law enforcement agencies</w:t>
      </w:r>
      <w:r w:rsidR="006D6E62">
        <w:t>,</w:t>
      </w:r>
      <w:r>
        <w:t xml:space="preserve"> and incarcerated people.</w:t>
      </w:r>
    </w:p>
    <w:p w:rsidR="00C8249D" w:rsidP="00AD5ED1" w:rsidRDefault="00C8249D" w14:paraId="6C942E7D" w14:textId="3DC9D576">
      <w:pPr>
        <w:pStyle w:val="FoF"/>
        <w:numPr>
          <w:ilvl w:val="0"/>
          <w:numId w:val="39"/>
        </w:numPr>
        <w:ind w:left="0" w:firstLine="360"/>
      </w:pPr>
      <w:r>
        <w:lastRenderedPageBreak/>
        <w:t xml:space="preserve">In this </w:t>
      </w:r>
      <w:r w:rsidR="006D6E62">
        <w:t>a</w:t>
      </w:r>
      <w:r>
        <w:t>pplication, the Joint Applicants</w:t>
      </w:r>
      <w:r w:rsidR="005D5857">
        <w:t xml:space="preserve"> request authorization to transfer indirect control of </w:t>
      </w:r>
      <w:r w:rsidR="00F66FDB">
        <w:t xml:space="preserve">Securus to SCRS Intermediate </w:t>
      </w:r>
      <w:r w:rsidR="006D6E62">
        <w:t>HC</w:t>
      </w:r>
      <w:r w:rsidR="00833D7C">
        <w:t xml:space="preserve"> pursuant to Pub</w:t>
      </w:r>
      <w:r w:rsidR="006D6E62">
        <w:t>.</w:t>
      </w:r>
      <w:r w:rsidR="00833D7C">
        <w:t xml:space="preserve"> Util</w:t>
      </w:r>
      <w:r w:rsidR="006D6E62">
        <w:t>.</w:t>
      </w:r>
      <w:r w:rsidR="00833D7C">
        <w:t xml:space="preserve"> Code </w:t>
      </w:r>
      <w:r w:rsidR="006D6E62">
        <w:t>S</w:t>
      </w:r>
      <w:r w:rsidR="00833D7C">
        <w:t>ection</w:t>
      </w:r>
      <w:r w:rsidR="00B74EDA">
        <w:t> </w:t>
      </w:r>
      <w:r w:rsidR="00833D7C">
        <w:t>854(a)</w:t>
      </w:r>
      <w:r w:rsidR="00F66FDB">
        <w:t>.</w:t>
      </w:r>
    </w:p>
    <w:p w:rsidR="00A259E8" w:rsidP="00AD5ED1" w:rsidRDefault="00797506" w14:paraId="00E03317" w14:textId="7B6D36A4">
      <w:pPr>
        <w:pStyle w:val="FoF"/>
        <w:numPr>
          <w:ilvl w:val="0"/>
          <w:numId w:val="39"/>
        </w:numPr>
        <w:ind w:left="0" w:firstLine="360"/>
      </w:pPr>
      <w:r>
        <w:t xml:space="preserve">The </w:t>
      </w:r>
      <w:r w:rsidR="00A125CA">
        <w:t>proposed transaction is not expected to result in changes</w:t>
      </w:r>
      <w:r w:rsidR="000052BF">
        <w:t xml:space="preserve"> to Securus</w:t>
      </w:r>
      <w:r w:rsidR="006D6E62">
        <w:t>’s</w:t>
      </w:r>
      <w:r w:rsidR="000052BF">
        <w:t xml:space="preserve"> rates, price lists, terms and conditions of service</w:t>
      </w:r>
      <w:r w:rsidR="006D6E62">
        <w:t>,</w:t>
      </w:r>
      <w:r w:rsidR="000052BF">
        <w:t xml:space="preserve"> or customer contracts.</w:t>
      </w:r>
    </w:p>
    <w:p w:rsidR="00B863E3" w:rsidP="00AD5ED1" w:rsidRDefault="006B350A" w14:paraId="028EEA57" w14:textId="4D7221C7">
      <w:pPr>
        <w:pStyle w:val="FoF"/>
        <w:numPr>
          <w:ilvl w:val="0"/>
          <w:numId w:val="39"/>
        </w:numPr>
        <w:ind w:left="0" w:firstLine="360"/>
      </w:pPr>
      <w:r>
        <w:t>Securus is expected to continue to be managed and operated by primarily the same officers and key personnel after the transfer.</w:t>
      </w:r>
    </w:p>
    <w:p w:rsidR="00CA05AE" w:rsidP="00AD5ED1" w:rsidRDefault="00CA05AE" w14:paraId="4A6AD708" w14:textId="2B3CC0CF">
      <w:pPr>
        <w:pStyle w:val="FoF"/>
        <w:numPr>
          <w:ilvl w:val="0"/>
          <w:numId w:val="39"/>
        </w:numPr>
        <w:ind w:left="0" w:firstLine="360"/>
      </w:pPr>
      <w:r>
        <w:t xml:space="preserve">The </w:t>
      </w:r>
      <w:r w:rsidR="006D6E62">
        <w:t>a</w:t>
      </w:r>
      <w:r>
        <w:t xml:space="preserve">pplication proposes no new construction. </w:t>
      </w:r>
      <w:r w:rsidR="00473425">
        <w:t xml:space="preserve"> </w:t>
      </w:r>
      <w:r>
        <w:t xml:space="preserve">There is no possibility that the proposed transaction will have a significant </w:t>
      </w:r>
      <w:r w:rsidR="00F8488E">
        <w:t>adverse impact on the environment.</w:t>
      </w:r>
    </w:p>
    <w:p w:rsidR="009D7B41" w:rsidP="00AD5ED1" w:rsidRDefault="000B5848" w14:paraId="7CE4978E" w14:textId="7DDE6FE1">
      <w:pPr>
        <w:pStyle w:val="FoF"/>
        <w:numPr>
          <w:ilvl w:val="0"/>
          <w:numId w:val="39"/>
        </w:numPr>
        <w:ind w:left="0" w:firstLine="360"/>
      </w:pPr>
      <w:r>
        <w:t xml:space="preserve">The </w:t>
      </w:r>
      <w:r w:rsidR="00A259E8">
        <w:t>proposed transaction will</w:t>
      </w:r>
      <w:r w:rsidR="00255B49">
        <w:t xml:space="preserve"> significantly</w:t>
      </w:r>
      <w:r w:rsidR="00A259E8">
        <w:t xml:space="preserve"> reduce </w:t>
      </w:r>
      <w:r w:rsidR="00255B49">
        <w:t>the debt obligations of Securus</w:t>
      </w:r>
      <w:r w:rsidR="006D6E62">
        <w:t>’s</w:t>
      </w:r>
      <w:r w:rsidR="00E123A9">
        <w:t xml:space="preserve"> </w:t>
      </w:r>
      <w:r w:rsidR="00255B49">
        <w:t>parent company, Aventiv</w:t>
      </w:r>
      <w:r w:rsidR="006D6E62">
        <w:t>,</w:t>
      </w:r>
      <w:r w:rsidR="00E123A9">
        <w:t xml:space="preserve"> </w:t>
      </w:r>
      <w:r w:rsidR="009D7B41">
        <w:t xml:space="preserve">and will allow </w:t>
      </w:r>
      <w:r w:rsidR="00ED37DD">
        <w:t>Securus to continue providing services to its users without interruption.</w:t>
      </w:r>
    </w:p>
    <w:p w:rsidR="00092E1E" w:rsidP="00AD5ED1" w:rsidRDefault="00092E1E" w14:paraId="6EC7455A" w14:textId="44E69097">
      <w:pPr>
        <w:pStyle w:val="FoF"/>
        <w:numPr>
          <w:ilvl w:val="0"/>
          <w:numId w:val="39"/>
        </w:numPr>
        <w:ind w:left="0" w:firstLine="360"/>
      </w:pPr>
      <w:r>
        <w:t xml:space="preserve">The </w:t>
      </w:r>
      <w:r w:rsidR="006D6E62">
        <w:t>a</w:t>
      </w:r>
      <w:r>
        <w:t xml:space="preserve">pplication includes financial documentation demonstrating that </w:t>
      </w:r>
      <w:r w:rsidR="00E30332">
        <w:t xml:space="preserve">SCRS Intermediate HC </w:t>
      </w:r>
      <w:r w:rsidR="00372782">
        <w:t xml:space="preserve">has </w:t>
      </w:r>
      <w:r w:rsidR="006D6E62">
        <w:t xml:space="preserve">a </w:t>
      </w:r>
      <w:r w:rsidR="00372782">
        <w:t xml:space="preserve">minimum of $25,000 cash equivalent, reasonably liquid and readily available, as well as $25,000 to cover all deposits required in order to provide </w:t>
      </w:r>
      <w:r w:rsidR="0051032F">
        <w:t xml:space="preserve">resold </w:t>
      </w:r>
      <w:r w:rsidR="00372782">
        <w:t>inter</w:t>
      </w:r>
      <w:r w:rsidR="0051032F">
        <w:t>exchange services.</w:t>
      </w:r>
    </w:p>
    <w:p w:rsidR="0051032F" w:rsidP="00AD5ED1" w:rsidRDefault="00F63DD2" w14:paraId="21E42376" w14:textId="7496C083">
      <w:pPr>
        <w:pStyle w:val="FoF"/>
        <w:numPr>
          <w:ilvl w:val="0"/>
          <w:numId w:val="39"/>
        </w:numPr>
        <w:ind w:left="0" w:firstLine="360"/>
      </w:pPr>
      <w:r>
        <w:t xml:space="preserve">SCRS Intermediate </w:t>
      </w:r>
      <w:r w:rsidR="006D6E62">
        <w:t>HC</w:t>
      </w:r>
      <w:r>
        <w:t xml:space="preserve"> supplied </w:t>
      </w:r>
      <w:r w:rsidRPr="0015361D" w:rsidR="006B18A7">
        <w:t>biographical information of its prospective board of directors</w:t>
      </w:r>
      <w:r w:rsidR="006B18A7">
        <w:t xml:space="preserve"> that demonstrates sufficient expertise in telecommunications and related businesses.</w:t>
      </w:r>
    </w:p>
    <w:p w:rsidR="001B20F7" w:rsidP="00AD5ED1" w:rsidRDefault="001421B1" w14:paraId="4BE27BD4" w14:textId="0463025E">
      <w:pPr>
        <w:pStyle w:val="FoF"/>
        <w:numPr>
          <w:ilvl w:val="0"/>
          <w:numId w:val="39"/>
        </w:numPr>
        <w:ind w:left="0" w:firstLine="360"/>
      </w:pPr>
      <w:bookmarkStart w:name="_Hlk183524749" w:id="56"/>
      <w:r>
        <w:t>Deutsche Bank, which holds approximately a 14.5</w:t>
      </w:r>
      <w:r w:rsidR="006D6E62">
        <w:t>%</w:t>
      </w:r>
      <w:r>
        <w:t xml:space="preserve"> equity interest in SCRS Intermediate </w:t>
      </w:r>
      <w:r w:rsidR="006D6E62">
        <w:t>HC</w:t>
      </w:r>
      <w:r>
        <w:t>, has been the subject of, or involved with, regulatory actions, investigations, enforcement actions</w:t>
      </w:r>
      <w:r w:rsidR="006D6E62">
        <w:t>,</w:t>
      </w:r>
      <w:r>
        <w:t xml:space="preserve"> and litigation.</w:t>
      </w:r>
    </w:p>
    <w:p w:rsidR="001421B1" w:rsidP="00AD5ED1" w:rsidRDefault="001421B1" w14:paraId="5BD3183D" w14:textId="085A6204">
      <w:pPr>
        <w:pStyle w:val="FoF"/>
        <w:numPr>
          <w:ilvl w:val="0"/>
          <w:numId w:val="39"/>
        </w:numPr>
        <w:ind w:left="0" w:firstLine="360"/>
      </w:pPr>
      <w:r>
        <w:t xml:space="preserve">Two prospective board members of SCRS Intermediate </w:t>
      </w:r>
      <w:r w:rsidR="006D6E62">
        <w:t>HC</w:t>
      </w:r>
      <w:r>
        <w:t>, Jorge</w:t>
      </w:r>
      <w:r w:rsidR="00473425">
        <w:t> </w:t>
      </w:r>
      <w:r>
        <w:t>Dominicis and Valerie Montgomery Rice, held positions within a company that filed for bankruptcy.</w:t>
      </w:r>
    </w:p>
    <w:p w:rsidR="00473425" w:rsidP="00AD5ED1" w:rsidRDefault="007048B2" w14:paraId="31C6FEC0" w14:textId="77777777">
      <w:pPr>
        <w:pStyle w:val="FoF"/>
        <w:numPr>
          <w:ilvl w:val="0"/>
          <w:numId w:val="39"/>
        </w:numPr>
        <w:ind w:left="0" w:firstLine="360"/>
      </w:pPr>
      <w:r>
        <w:lastRenderedPageBreak/>
        <w:t xml:space="preserve">SCRS Intermediate </w:t>
      </w:r>
      <w:r w:rsidR="006D6E62">
        <w:t>HC</w:t>
      </w:r>
      <w:r>
        <w:t xml:space="preserve"> cannot attest that n</w:t>
      </w:r>
      <w:r w:rsidRPr="00DE0551">
        <w:t xml:space="preserve">o one associated with or employed </w:t>
      </w:r>
      <w:r w:rsidRPr="00275981">
        <w:t xml:space="preserve">by </w:t>
      </w:r>
      <w:r>
        <w:t xml:space="preserve">SCRS Intermediate </w:t>
      </w:r>
      <w:r w:rsidR="006D6E62">
        <w:t>HC</w:t>
      </w:r>
      <w:r>
        <w:t xml:space="preserve"> </w:t>
      </w:r>
      <w:r w:rsidRPr="00275981">
        <w:t>as an affiliate, officer, director, partner, agent, or owner (directly or indirectly) of more than 10</w:t>
      </w:r>
      <w:r w:rsidR="006D6E62">
        <w:t>%</w:t>
      </w:r>
      <w:r w:rsidRPr="00275981">
        <w:t xml:space="preserve"> of </w:t>
      </w:r>
      <w:r>
        <w:t>SCRS Intermediate Holding Corporation</w:t>
      </w:r>
      <w:r w:rsidRPr="00275981">
        <w:t xml:space="preserve">, or anyone acting in a management capacity for </w:t>
      </w:r>
      <w:r>
        <w:t>SCRS Intermediate Holding Corporation</w:t>
      </w:r>
      <w:r w:rsidRPr="00275981">
        <w:t>:</w:t>
      </w:r>
    </w:p>
    <w:p w:rsidR="00473425" w:rsidP="00473425" w:rsidRDefault="007048B2" w14:paraId="5C14B560" w14:textId="38456167">
      <w:pPr>
        <w:pStyle w:val="FoF"/>
        <w:numPr>
          <w:ilvl w:val="1"/>
          <w:numId w:val="37"/>
        </w:numPr>
        <w:spacing w:after="120" w:line="240" w:lineRule="auto"/>
        <w:ind w:left="1080" w:right="1440"/>
        <w:rPr>
          <w:szCs w:val="26"/>
        </w:rPr>
      </w:pPr>
      <w:r w:rsidRPr="00275981">
        <w:rPr>
          <w:szCs w:val="26"/>
        </w:rPr>
        <w:t>held one of these positions with a company that filed for bankruptcy; (b) </w:t>
      </w:r>
      <w:r w:rsidRPr="00DE0551">
        <w:rPr>
          <w:szCs w:val="26"/>
        </w:rPr>
        <w:t>been personally found liable, or held one of these positions with a company that has been found liable, for fraud, dishonesty, failure to disclose, or misrepresentations to consumers or others;</w:t>
      </w:r>
    </w:p>
    <w:p w:rsidR="00473425" w:rsidP="00473425" w:rsidRDefault="007048B2" w14:paraId="750D2949" w14:textId="58B68714">
      <w:pPr>
        <w:pStyle w:val="FoF"/>
        <w:numPr>
          <w:ilvl w:val="1"/>
          <w:numId w:val="37"/>
        </w:numPr>
        <w:spacing w:after="120" w:line="240" w:lineRule="auto"/>
        <w:ind w:left="1080" w:right="1440"/>
        <w:rPr>
          <w:szCs w:val="26"/>
        </w:rPr>
      </w:pPr>
      <w:r w:rsidRPr="00DE0551">
        <w:rPr>
          <w:szCs w:val="26"/>
        </w:rPr>
        <w:t>been convicted of a felony;</w:t>
      </w:r>
    </w:p>
    <w:p w:rsidR="00473425" w:rsidP="00473425" w:rsidRDefault="007048B2" w14:paraId="6DE5BA67" w14:textId="1A23A453">
      <w:pPr>
        <w:pStyle w:val="FoF"/>
        <w:numPr>
          <w:ilvl w:val="1"/>
          <w:numId w:val="37"/>
        </w:numPr>
        <w:spacing w:after="120" w:line="240" w:lineRule="auto"/>
        <w:ind w:left="1080" w:right="1440"/>
        <w:rPr>
          <w:szCs w:val="26"/>
        </w:rPr>
      </w:pPr>
      <w:r w:rsidRPr="00DE0551">
        <w:rPr>
          <w:szCs w:val="26"/>
        </w:rPr>
        <w:t xml:space="preserve">been the subject of a criminal referral by </w:t>
      </w:r>
      <w:r w:rsidR="00871CC6">
        <w:rPr>
          <w:szCs w:val="26"/>
        </w:rPr>
        <w:t xml:space="preserve">a </w:t>
      </w:r>
      <w:r w:rsidRPr="00DE0551">
        <w:rPr>
          <w:szCs w:val="26"/>
        </w:rPr>
        <w:t>judge or public agency;</w:t>
      </w:r>
    </w:p>
    <w:p w:rsidR="00473425" w:rsidP="00473425" w:rsidRDefault="007048B2" w14:paraId="47A7054D" w14:textId="70873D7D">
      <w:pPr>
        <w:pStyle w:val="FoF"/>
        <w:numPr>
          <w:ilvl w:val="1"/>
          <w:numId w:val="37"/>
        </w:numPr>
        <w:spacing w:after="120" w:line="240" w:lineRule="auto"/>
        <w:ind w:left="1080" w:right="1440"/>
        <w:rPr>
          <w:szCs w:val="26"/>
        </w:rPr>
      </w:pPr>
      <w:r w:rsidRPr="00DE0551">
        <w:rPr>
          <w:szCs w:val="26"/>
        </w:rPr>
        <w:t>had a telecommunications license or operating authority denied, suspended, revoked, or limited in any jurisdiction;</w:t>
      </w:r>
    </w:p>
    <w:p w:rsidR="00473425" w:rsidP="00473425" w:rsidRDefault="007048B2" w14:paraId="03552DE8" w14:textId="5AED8CF5">
      <w:pPr>
        <w:pStyle w:val="FoF"/>
        <w:numPr>
          <w:ilvl w:val="1"/>
          <w:numId w:val="37"/>
        </w:numPr>
        <w:spacing w:after="120" w:line="240" w:lineRule="auto"/>
        <w:ind w:left="1080" w:right="1440"/>
        <w:rPr>
          <w:szCs w:val="26"/>
        </w:rPr>
      </w:pPr>
      <w:r w:rsidRPr="00DE0551">
        <w:rPr>
          <w:szCs w:val="26"/>
        </w:rPr>
        <w:t xml:space="preserve">personally entered into a settlement, or held one of these positions with a company that has entered into settlement of criminal or civil claims involving violations of </w:t>
      </w:r>
      <w:r>
        <w:t>Section </w:t>
      </w:r>
      <w:r w:rsidRPr="00DE0551">
        <w:rPr>
          <w:szCs w:val="26"/>
        </w:rPr>
        <w:t>17000</w:t>
      </w:r>
      <w:r>
        <w:rPr>
          <w:szCs w:val="26"/>
        </w:rPr>
        <w:t> </w:t>
      </w:r>
      <w:r w:rsidRPr="001F3BE8">
        <w:rPr>
          <w:i/>
          <w:szCs w:val="26"/>
        </w:rPr>
        <w:t>et</w:t>
      </w:r>
      <w:r>
        <w:rPr>
          <w:i/>
          <w:szCs w:val="26"/>
        </w:rPr>
        <w:t> </w:t>
      </w:r>
      <w:r w:rsidRPr="001F3BE8">
        <w:rPr>
          <w:i/>
          <w:szCs w:val="26"/>
        </w:rPr>
        <w:t>seq</w:t>
      </w:r>
      <w:r w:rsidRPr="00DE0551">
        <w:rPr>
          <w:iCs/>
          <w:szCs w:val="26"/>
        </w:rPr>
        <w:t>.,</w:t>
      </w:r>
      <w:r w:rsidRPr="00DE0551">
        <w:rPr>
          <w:i/>
          <w:iCs/>
          <w:szCs w:val="26"/>
        </w:rPr>
        <w:t xml:space="preserve"> </w:t>
      </w:r>
      <w:r>
        <w:t>Section </w:t>
      </w:r>
      <w:r w:rsidRPr="00DE0551">
        <w:rPr>
          <w:szCs w:val="26"/>
        </w:rPr>
        <w:t>17200</w:t>
      </w:r>
      <w:r>
        <w:rPr>
          <w:szCs w:val="26"/>
        </w:rPr>
        <w:t> </w:t>
      </w:r>
      <w:r w:rsidRPr="001F3BE8">
        <w:rPr>
          <w:i/>
          <w:szCs w:val="26"/>
        </w:rPr>
        <w:t>et</w:t>
      </w:r>
      <w:r>
        <w:rPr>
          <w:i/>
          <w:szCs w:val="26"/>
        </w:rPr>
        <w:t> </w:t>
      </w:r>
      <w:r w:rsidRPr="001F3BE8">
        <w:rPr>
          <w:i/>
          <w:szCs w:val="26"/>
        </w:rPr>
        <w:t>seq.,</w:t>
      </w:r>
      <w:r w:rsidRPr="00DE0551">
        <w:rPr>
          <w:i/>
          <w:iCs/>
          <w:szCs w:val="26"/>
        </w:rPr>
        <w:t xml:space="preserve"> </w:t>
      </w:r>
      <w:r w:rsidRPr="00DE0551">
        <w:rPr>
          <w:szCs w:val="26"/>
        </w:rPr>
        <w:t xml:space="preserve">or </w:t>
      </w:r>
      <w:r>
        <w:t>Section</w:t>
      </w:r>
      <w:r w:rsidR="00473425">
        <w:t xml:space="preserve"> </w:t>
      </w:r>
      <w:r w:rsidRPr="00DE0551">
        <w:rPr>
          <w:szCs w:val="26"/>
        </w:rPr>
        <w:t>17500</w:t>
      </w:r>
      <w:r>
        <w:rPr>
          <w:szCs w:val="26"/>
        </w:rPr>
        <w:t> </w:t>
      </w:r>
      <w:r w:rsidRPr="001F3BE8">
        <w:rPr>
          <w:i/>
          <w:szCs w:val="26"/>
        </w:rPr>
        <w:t>et</w:t>
      </w:r>
      <w:r>
        <w:rPr>
          <w:i/>
          <w:szCs w:val="26"/>
        </w:rPr>
        <w:t> </w:t>
      </w:r>
      <w:r w:rsidRPr="001F3BE8">
        <w:rPr>
          <w:i/>
          <w:szCs w:val="26"/>
        </w:rPr>
        <w:t>seq.</w:t>
      </w:r>
      <w:r w:rsidRPr="00DE0551">
        <w:rPr>
          <w:iCs/>
          <w:szCs w:val="26"/>
        </w:rPr>
        <w:t xml:space="preserve"> </w:t>
      </w:r>
      <w:r w:rsidRPr="00DE0551">
        <w:rPr>
          <w:szCs w:val="26"/>
        </w:rPr>
        <w:t>of the California Business &amp; Professions Code, or of any other statute, regulation, or decisional law relating to fraud, dishonesty, failure to disclose, or misrepresentations to consumers or others;</w:t>
      </w:r>
    </w:p>
    <w:p w:rsidR="00473425" w:rsidP="00473425" w:rsidRDefault="007048B2" w14:paraId="2B4FD0A1" w14:textId="5F85B9B7">
      <w:pPr>
        <w:pStyle w:val="FoF"/>
        <w:numPr>
          <w:ilvl w:val="1"/>
          <w:numId w:val="37"/>
        </w:numPr>
        <w:spacing w:after="120" w:line="240" w:lineRule="auto"/>
        <w:ind w:left="1080" w:right="1440"/>
        <w:rPr>
          <w:szCs w:val="26"/>
        </w:rPr>
      </w:pPr>
      <w:r w:rsidRPr="00DE0551">
        <w:rPr>
          <w:szCs w:val="26"/>
        </w:rPr>
        <w:t>been found to have violated any statute, law, or rule pertaining to public utilities or other regulated industries; or</w:t>
      </w:r>
    </w:p>
    <w:p w:rsidRPr="00DE0551" w:rsidR="007048B2" w:rsidP="00473425" w:rsidRDefault="007048B2" w14:paraId="03659255" w14:textId="283277F3">
      <w:pPr>
        <w:pStyle w:val="FoF"/>
        <w:numPr>
          <w:ilvl w:val="1"/>
          <w:numId w:val="37"/>
        </w:numPr>
        <w:spacing w:after="120" w:line="240" w:lineRule="auto"/>
        <w:ind w:left="1080" w:right="1440"/>
      </w:pPr>
      <w:r w:rsidRPr="00DE0551">
        <w:rPr>
          <w:szCs w:val="26"/>
        </w:rPr>
        <w:t>entered into any settlement agreements or made any voluntary payments or agreed to any other type of monetary forfeitures in resolution of any action by any regulatory body, agency, or attorney general.</w:t>
      </w:r>
    </w:p>
    <w:bookmarkEnd w:id="56"/>
    <w:p w:rsidRPr="00DE0551" w:rsidR="001B20F7" w:rsidP="00AD5ED1" w:rsidRDefault="001B20F7" w14:paraId="6605664B" w14:textId="289E83AD">
      <w:pPr>
        <w:pStyle w:val="FoF"/>
        <w:numPr>
          <w:ilvl w:val="0"/>
          <w:numId w:val="39"/>
        </w:numPr>
        <w:ind w:left="0" w:firstLine="360"/>
      </w:pPr>
      <w:r>
        <w:t xml:space="preserve">SCRS Intermediate </w:t>
      </w:r>
      <w:r w:rsidR="006D6E62">
        <w:t>HC</w:t>
      </w:r>
      <w:r>
        <w:t xml:space="preserve"> </w:t>
      </w:r>
      <w:r w:rsidRPr="00275981">
        <w:t xml:space="preserve">cannot attest that, to the best of </w:t>
      </w:r>
      <w:r>
        <w:t xml:space="preserve">SCRS Intermediate </w:t>
      </w:r>
      <w:r w:rsidR="006D6E62">
        <w:t>HC</w:t>
      </w:r>
      <w:r>
        <w:t xml:space="preserve">’s </w:t>
      </w:r>
      <w:r w:rsidRPr="00275981">
        <w:t xml:space="preserve">knowledge, neither </w:t>
      </w:r>
      <w:r w:rsidRPr="00275981">
        <w:rPr>
          <w:szCs w:val="26"/>
        </w:rPr>
        <w:t>Volcano Vision</w:t>
      </w:r>
      <w:r w:rsidRPr="00275981">
        <w:t>, or any affiliate, officer, director, partner, nor owner of more than 10</w:t>
      </w:r>
      <w:r w:rsidR="006D6E62">
        <w:t>%</w:t>
      </w:r>
      <w:r w:rsidRPr="00275981">
        <w:t xml:space="preserve"> of </w:t>
      </w:r>
      <w:r>
        <w:t xml:space="preserve">SCRS Intermediate </w:t>
      </w:r>
      <w:r w:rsidR="006D6E62">
        <w:t>HC</w:t>
      </w:r>
      <w:r w:rsidRPr="00DE0551">
        <w:t xml:space="preserve">, or any person </w:t>
      </w:r>
      <w:r w:rsidRPr="00DE0551">
        <w:lastRenderedPageBreak/>
        <w:t xml:space="preserve">acting in such capacity whether or not formally appointed, is being, or has been investigated by the </w:t>
      </w:r>
      <w:r>
        <w:t>FCC</w:t>
      </w:r>
      <w:r w:rsidRPr="00DE0551">
        <w:t xml:space="preserve"> or any law enforcement or regulatory agency for failure to comply with any law, rule or order.</w:t>
      </w:r>
    </w:p>
    <w:p w:rsidR="006B18A7" w:rsidP="00AD5ED1" w:rsidRDefault="00FC44A2" w14:paraId="0875641B" w14:textId="21E69E83">
      <w:pPr>
        <w:pStyle w:val="FoF"/>
        <w:numPr>
          <w:ilvl w:val="0"/>
          <w:numId w:val="39"/>
        </w:numPr>
        <w:ind w:left="0" w:firstLine="360"/>
      </w:pPr>
      <w:r>
        <w:t xml:space="preserve">Users of </w:t>
      </w:r>
      <w:r w:rsidR="006D6E62">
        <w:t>IPCS</w:t>
      </w:r>
      <w:r>
        <w:t xml:space="preserve"> overwhelmingly fall within </w:t>
      </w:r>
      <w:r w:rsidR="006D6E62">
        <w:t>ESJ</w:t>
      </w:r>
      <w:r>
        <w:t xml:space="preserve"> communities.</w:t>
      </w:r>
    </w:p>
    <w:p w:rsidR="00757103" w:rsidP="00AD5ED1" w:rsidRDefault="00757103" w14:paraId="705E9C74" w14:textId="0A24A8D9">
      <w:pPr>
        <w:pStyle w:val="FoF"/>
        <w:numPr>
          <w:ilvl w:val="0"/>
          <w:numId w:val="39"/>
        </w:numPr>
        <w:ind w:left="0" w:firstLine="360"/>
      </w:pPr>
      <w:r>
        <w:t xml:space="preserve">The </w:t>
      </w:r>
      <w:r w:rsidRPr="00347351">
        <w:t xml:space="preserve">indirect </w:t>
      </w:r>
      <w:r>
        <w:t>transfer of control of Securus to SCRS Intermediate HC is consistent with the Commission’s ESJ Action Plan.</w:t>
      </w:r>
    </w:p>
    <w:p w:rsidRPr="00393024" w:rsidR="002E3046" w:rsidP="00AD5ED1" w:rsidRDefault="00A94DBF" w14:paraId="0E2C9F5B" w14:textId="57AC7948">
      <w:pPr>
        <w:pStyle w:val="FoF"/>
        <w:numPr>
          <w:ilvl w:val="0"/>
          <w:numId w:val="39"/>
        </w:numPr>
        <w:ind w:left="0" w:firstLine="360"/>
      </w:pPr>
      <w:r w:rsidRPr="00E1050D">
        <w:t>The</w:t>
      </w:r>
      <w:r w:rsidR="004C53EF">
        <w:t xml:space="preserve"> </w:t>
      </w:r>
      <w:r w:rsidRPr="00E1050D">
        <w:t xml:space="preserve">record </w:t>
      </w:r>
      <w:r w:rsidRPr="00E1050D" w:rsidR="00522AF2">
        <w:t>support</w:t>
      </w:r>
      <w:r w:rsidRPr="00E1050D" w:rsidR="00D71316">
        <w:t>s</w:t>
      </w:r>
      <w:r w:rsidRPr="00E1050D" w:rsidR="00522AF2">
        <w:t xml:space="preserve"> that</w:t>
      </w:r>
      <w:r w:rsidR="00871CC6">
        <w:t>,</w:t>
      </w:r>
      <w:r w:rsidRPr="00E1050D" w:rsidR="00522AF2">
        <w:t xml:space="preserve"> </w:t>
      </w:r>
      <w:r w:rsidRPr="00E1050D" w:rsidR="00AB1C03">
        <w:t xml:space="preserve">with the imposition of the </w:t>
      </w:r>
      <w:r w:rsidRPr="00E1050D" w:rsidR="00522AF2">
        <w:t>condition</w:t>
      </w:r>
      <w:r w:rsidRPr="00E1050D" w:rsidR="00AB1C03">
        <w:t xml:space="preserve"> that Securus report any changes to its terms and conditions of service within </w:t>
      </w:r>
      <w:r w:rsidR="004C53EF">
        <w:t>two</w:t>
      </w:r>
      <w:r w:rsidRPr="00E1050D" w:rsidR="00AB1C03">
        <w:t xml:space="preserve"> year</w:t>
      </w:r>
      <w:r w:rsidR="004C53EF">
        <w:t>s</w:t>
      </w:r>
      <w:r w:rsidRPr="00E1050D" w:rsidR="00AB1C03">
        <w:t xml:space="preserve"> of </w:t>
      </w:r>
      <w:r w:rsidRPr="00E1050D" w:rsidR="0067601B">
        <w:t>the effective date of the transfer, the transfer is in</w:t>
      </w:r>
      <w:r w:rsidRPr="00E1050D" w:rsidR="001C0441">
        <w:t xml:space="preserve"> the public interest</w:t>
      </w:r>
      <w:r w:rsidRPr="00393024" w:rsidR="001C0441">
        <w:t>.</w:t>
      </w:r>
    </w:p>
    <w:p w:rsidR="00F477D2" w:rsidP="00AD5ED1" w:rsidRDefault="00CA34A9" w14:paraId="6BF29B06" w14:textId="1A603906">
      <w:pPr>
        <w:pStyle w:val="FoF"/>
        <w:numPr>
          <w:ilvl w:val="0"/>
          <w:numId w:val="39"/>
        </w:numPr>
        <w:ind w:left="0" w:firstLine="360"/>
      </w:pPr>
      <w:r>
        <w:t>T</w:t>
      </w:r>
      <w:r w:rsidR="00B32CA3">
        <w:t xml:space="preserve">he Joint Applicants </w:t>
      </w:r>
      <w:r w:rsidRPr="4372617A" w:rsidR="00B32CA3">
        <w:t>filed documents which have a presumption of confidentiality pursuant to D.24-11-003 and GO 66-D</w:t>
      </w:r>
      <w:r w:rsidR="00523F1E">
        <w:t xml:space="preserve"> in Exhibits D and E to the </w:t>
      </w:r>
      <w:r w:rsidR="006D6E62">
        <w:t>a</w:t>
      </w:r>
      <w:r w:rsidR="00523F1E">
        <w:t>pplication</w:t>
      </w:r>
      <w:r w:rsidR="005677D6">
        <w:t>.</w:t>
      </w:r>
    </w:p>
    <w:p w:rsidR="005677D6" w:rsidP="00AD5ED1" w:rsidRDefault="00037E1A" w14:paraId="7367FB5A" w14:textId="12EE6F4E">
      <w:pPr>
        <w:pStyle w:val="FoF"/>
        <w:numPr>
          <w:ilvl w:val="0"/>
          <w:numId w:val="39"/>
        </w:numPr>
        <w:ind w:left="0" w:firstLine="360"/>
      </w:pPr>
      <w:r>
        <w:t>On August 15, 2025</w:t>
      </w:r>
      <w:r w:rsidR="00473425">
        <w:t>,</w:t>
      </w:r>
      <w:r>
        <w:t xml:space="preserve"> and January 27, 2026, Joint Applicants filed motions for leave to file under seal confidential portions of their August 15, 2025</w:t>
      </w:r>
      <w:r w:rsidR="00473425">
        <w:t>,</w:t>
      </w:r>
      <w:r>
        <w:t xml:space="preserve"> response to ALJ’s request for supplemental information and their reply brief</w:t>
      </w:r>
      <w:r w:rsidR="00F0050A">
        <w:t xml:space="preserve"> that allege that the filings contain competitively sensitive </w:t>
      </w:r>
      <w:r w:rsidR="00D510FF">
        <w:t>information about the proposed transaction and which were submitted consistent with the requirements of GO</w:t>
      </w:r>
      <w:r w:rsidR="006D6E62">
        <w:t xml:space="preserve"> </w:t>
      </w:r>
      <w:r w:rsidR="00D510FF">
        <w:t>66-D</w:t>
      </w:r>
      <w:r w:rsidR="006D6E62">
        <w:t>,</w:t>
      </w:r>
      <w:r w:rsidR="00D510FF">
        <w:t xml:space="preserve"> </w:t>
      </w:r>
      <w:r w:rsidR="006D6E62">
        <w:t>S</w:t>
      </w:r>
      <w:r w:rsidR="00D510FF">
        <w:t>ection 3.3 and Rule 11.</w:t>
      </w:r>
    </w:p>
    <w:p w:rsidRPr="001E2A62" w:rsidR="00D510FF" w:rsidP="00AD5ED1" w:rsidRDefault="00EC4BB3" w14:paraId="084ECC92" w14:textId="51AEE9B1">
      <w:pPr>
        <w:pStyle w:val="FoF"/>
        <w:numPr>
          <w:ilvl w:val="0"/>
          <w:numId w:val="39"/>
        </w:numPr>
        <w:ind w:left="0" w:firstLine="360"/>
      </w:pPr>
      <w:r>
        <w:t>Requests for confidential treatment have been submitted for exhibits APP</w:t>
      </w:r>
      <w:r w:rsidR="00473425">
        <w:noBreakHyphen/>
      </w:r>
      <w:r>
        <w:t>1, TRN-01C, TRN-15C, TRN-3C, TRN-16C, TRN-17C, TRN-18C, TRN-20C, and TRN-28X-C</w:t>
      </w:r>
      <w:r w:rsidR="00083C2F">
        <w:t xml:space="preserve"> and are supported by declarations setting forth the basis for confidentiality, and each document designates the portion of the information that is to be treated as confidential, consistent with the requirements set forth in GO</w:t>
      </w:r>
      <w:r w:rsidR="00473425">
        <w:t> </w:t>
      </w:r>
      <w:r w:rsidR="00083C2F">
        <w:t>66-D.</w:t>
      </w:r>
      <w:r w:rsidR="004D3D93">
        <w:t xml:space="preserve"> </w:t>
      </w:r>
      <w:r w:rsidR="00473425">
        <w:t xml:space="preserve"> </w:t>
      </w:r>
      <w:r w:rsidR="004D3D93">
        <w:t xml:space="preserve">The exhibits contain financial information designated confidential by </w:t>
      </w:r>
      <w:r w:rsidRPr="4372617A" w:rsidR="004D3D93">
        <w:rPr>
          <w:rFonts w:eastAsia="Book Antiqua" w:cs="Book Antiqua"/>
          <w:lang w:val="en-ZW"/>
        </w:rPr>
        <w:t>D.24</w:t>
      </w:r>
      <w:r w:rsidR="00473425">
        <w:rPr>
          <w:rFonts w:eastAsia="Book Antiqua" w:cs="Book Antiqua"/>
          <w:lang w:val="en-ZW"/>
        </w:rPr>
        <w:noBreakHyphen/>
      </w:r>
      <w:r w:rsidRPr="4372617A" w:rsidR="004D3D93">
        <w:rPr>
          <w:rFonts w:eastAsia="Book Antiqua" w:cs="Book Antiqua"/>
          <w:lang w:val="en-ZW"/>
        </w:rPr>
        <w:t>11</w:t>
      </w:r>
      <w:r w:rsidR="00473425">
        <w:rPr>
          <w:rFonts w:eastAsia="Book Antiqua" w:cs="Book Antiqua"/>
          <w:lang w:val="en-ZW"/>
        </w:rPr>
        <w:noBreakHyphen/>
      </w:r>
      <w:r w:rsidRPr="4372617A" w:rsidR="004D3D93">
        <w:rPr>
          <w:rFonts w:eastAsia="Book Antiqua" w:cs="Book Antiqua"/>
          <w:lang w:val="en-ZW"/>
        </w:rPr>
        <w:t>003</w:t>
      </w:r>
      <w:r w:rsidR="006D6E62">
        <w:rPr>
          <w:rFonts w:eastAsia="Book Antiqua" w:cs="Book Antiqua"/>
          <w:lang w:val="en-ZW"/>
        </w:rPr>
        <w:t>;</w:t>
      </w:r>
      <w:r w:rsidR="004D3D93">
        <w:rPr>
          <w:rFonts w:eastAsia="Book Antiqua" w:cs="Book Antiqua"/>
          <w:lang w:val="en-ZW"/>
        </w:rPr>
        <w:t xml:space="preserve"> commercially sensitive, non-public information about the </w:t>
      </w:r>
      <w:r w:rsidR="004D3D93">
        <w:t>proposed transaction</w:t>
      </w:r>
      <w:r w:rsidR="006D6E62">
        <w:t>;</w:t>
      </w:r>
      <w:r w:rsidR="004D3D93">
        <w:t xml:space="preserve"> or the Joint Applicants’ business operations and/or strategies</w:t>
      </w:r>
      <w:r w:rsidR="006D6E62">
        <w:t>,</w:t>
      </w:r>
      <w:r w:rsidR="001D23A3">
        <w:t xml:space="preserve"> which </w:t>
      </w:r>
      <w:r w:rsidR="001D23A3">
        <w:lastRenderedPageBreak/>
        <w:t xml:space="preserve">is the subject of non-disclosure agreements between the Joint Applicants and </w:t>
      </w:r>
      <w:r w:rsidR="006D6E62">
        <w:t>TURN</w:t>
      </w:r>
      <w:r w:rsidR="00583551">
        <w:t>.</w:t>
      </w:r>
    </w:p>
    <w:p w:rsidR="005939A5" w:rsidP="00865B83" w:rsidRDefault="005939A5" w14:paraId="186E61B3" w14:textId="77777777">
      <w:pPr>
        <w:pStyle w:val="Dummy"/>
        <w:spacing w:after="0" w:line="360" w:lineRule="auto"/>
      </w:pPr>
      <w:bookmarkStart w:name="_Toc8123726" w:id="57"/>
      <w:bookmarkStart w:name="_Toc228532667" w:id="58"/>
      <w:r>
        <w:t>Conclusions of Law</w:t>
      </w:r>
      <w:bookmarkEnd w:id="57"/>
      <w:bookmarkEnd w:id="58"/>
    </w:p>
    <w:p w:rsidR="00C80940" w:rsidP="00865B83" w:rsidRDefault="006C6E72" w14:paraId="38F39318" w14:textId="3ADFC4AF">
      <w:pPr>
        <w:pStyle w:val="FoF"/>
        <w:numPr>
          <w:ilvl w:val="0"/>
          <w:numId w:val="25"/>
        </w:numPr>
        <w:ind w:firstLine="360"/>
      </w:pPr>
      <w:r>
        <w:t>The application meets the Commission’s requirements for approval of a transfer of control and t</w:t>
      </w:r>
      <w:r w:rsidR="009831C0">
        <w:t xml:space="preserve">he </w:t>
      </w:r>
      <w:r w:rsidRPr="00347351" w:rsidR="009831C0">
        <w:t xml:space="preserve">indirect </w:t>
      </w:r>
      <w:r w:rsidR="009831C0">
        <w:t xml:space="preserve">transfer of control of </w:t>
      </w:r>
      <w:r w:rsidR="00F76E45">
        <w:t xml:space="preserve">Securus </w:t>
      </w:r>
      <w:r w:rsidR="009831C0">
        <w:t xml:space="preserve">to </w:t>
      </w:r>
      <w:r w:rsidR="00F76E45">
        <w:t xml:space="preserve">SCRS Intermediate </w:t>
      </w:r>
      <w:r w:rsidR="00914B0A">
        <w:t>HC</w:t>
      </w:r>
      <w:r w:rsidR="00F76E45">
        <w:t xml:space="preserve"> </w:t>
      </w:r>
      <w:r w:rsidR="009831C0">
        <w:t xml:space="preserve">should be approved </w:t>
      </w:r>
      <w:r w:rsidRPr="00393024" w:rsidR="009C510B">
        <w:t xml:space="preserve">subject to the condition </w:t>
      </w:r>
      <w:r w:rsidRPr="00F84117" w:rsidR="009C510B">
        <w:t xml:space="preserve">that </w:t>
      </w:r>
      <w:r w:rsidR="00987AA7">
        <w:t>in the event that Securus makes any changes to its terms and conditions of service within two years of the effective date of this transfer,</w:t>
      </w:r>
      <w:r w:rsidR="00342D24">
        <w:t xml:space="preserve"> </w:t>
      </w:r>
      <w:r w:rsidRPr="00F84117" w:rsidR="009C510B">
        <w:t xml:space="preserve">Securus </w:t>
      </w:r>
      <w:r w:rsidR="00342D24">
        <w:t xml:space="preserve">shall </w:t>
      </w:r>
      <w:r w:rsidR="00871CC6">
        <w:t>submit</w:t>
      </w:r>
      <w:r w:rsidR="00D53EA7">
        <w:t xml:space="preserve"> a</w:t>
      </w:r>
      <w:r w:rsidR="00F84117">
        <w:t xml:space="preserve"> </w:t>
      </w:r>
      <w:r w:rsidR="00A75F79">
        <w:t>T</w:t>
      </w:r>
      <w:r w:rsidR="00F84117">
        <w:t xml:space="preserve">ier 1 </w:t>
      </w:r>
      <w:r w:rsidR="00871CC6">
        <w:t>a</w:t>
      </w:r>
      <w:r w:rsidR="00F84117">
        <w:t xml:space="preserve">dvice </w:t>
      </w:r>
      <w:r w:rsidR="00871CC6">
        <w:t>l</w:t>
      </w:r>
      <w:r w:rsidR="00F84117">
        <w:t>etter</w:t>
      </w:r>
      <w:r w:rsidR="00CC7253">
        <w:t>(s)</w:t>
      </w:r>
      <w:r w:rsidR="00342D24">
        <w:t xml:space="preserve"> </w:t>
      </w:r>
      <w:r w:rsidR="00D53EA7">
        <w:t>with the Communications Division</w:t>
      </w:r>
      <w:r w:rsidR="00D27246">
        <w:t xml:space="preserve"> in accordance with General Order 96-B</w:t>
      </w:r>
      <w:r w:rsidR="00D53EA7">
        <w:t xml:space="preserve"> reporting</w:t>
      </w:r>
      <w:r w:rsidR="00F84117">
        <w:t xml:space="preserve"> </w:t>
      </w:r>
      <w:r w:rsidRPr="00F84117" w:rsidR="009C510B">
        <w:t>any changes to its terms and conditions of service</w:t>
      </w:r>
      <w:r w:rsidR="00B56A37">
        <w:t xml:space="preserve"> </w:t>
      </w:r>
      <w:r w:rsidR="005F185B">
        <w:t>30 days prior to the effective date of such changes</w:t>
      </w:r>
      <w:r w:rsidR="009831C0">
        <w:t>.</w:t>
      </w:r>
    </w:p>
    <w:p w:rsidR="00335019" w:rsidP="00865B83" w:rsidRDefault="00EA1552" w14:paraId="1561B09E" w14:textId="108671BE">
      <w:pPr>
        <w:pStyle w:val="FoF"/>
        <w:numPr>
          <w:ilvl w:val="0"/>
          <w:numId w:val="25"/>
        </w:numPr>
        <w:ind w:firstLine="360"/>
      </w:pPr>
      <w:r>
        <w:t xml:space="preserve">SCRS Intermediate </w:t>
      </w:r>
      <w:r w:rsidR="00914B0A">
        <w:t>HC</w:t>
      </w:r>
      <w:r>
        <w:t>’</w:t>
      </w:r>
      <w:r w:rsidRPr="00347351" w:rsidR="00335019">
        <w:t>s</w:t>
      </w:r>
      <w:r w:rsidR="00FA2833">
        <w:t xml:space="preserve"> financial documents</w:t>
      </w:r>
      <w:r w:rsidR="009C50DB">
        <w:t xml:space="preserve"> provided in Exhibits </w:t>
      </w:r>
      <w:r w:rsidR="00FC38B3">
        <w:t xml:space="preserve">D and E to the </w:t>
      </w:r>
      <w:r w:rsidR="0003598E">
        <w:t>a</w:t>
      </w:r>
      <w:r w:rsidR="00FC38B3">
        <w:t>pplication</w:t>
      </w:r>
      <w:r w:rsidR="00FA2833">
        <w:t xml:space="preserve"> </w:t>
      </w:r>
      <w:r w:rsidR="00914B0A">
        <w:t>should be</w:t>
      </w:r>
      <w:r w:rsidR="00FA2833">
        <w:t xml:space="preserve"> given presumptive confidential treatment </w:t>
      </w:r>
      <w:r w:rsidR="00914B0A">
        <w:t>pursuant to</w:t>
      </w:r>
      <w:r w:rsidR="00FA2833">
        <w:t xml:space="preserve"> D.24-1</w:t>
      </w:r>
      <w:r w:rsidR="4C49E367">
        <w:t>1</w:t>
      </w:r>
      <w:r w:rsidR="00FA2833">
        <w:t>-0</w:t>
      </w:r>
      <w:r w:rsidR="337DC331">
        <w:t>03</w:t>
      </w:r>
      <w:r w:rsidR="00FA2833">
        <w:t xml:space="preserve"> for a period of three years</w:t>
      </w:r>
      <w:r w:rsidR="00951765">
        <w:t xml:space="preserve"> without the need for a motion </w:t>
      </w:r>
      <w:r w:rsidR="00914B0A">
        <w:t>to</w:t>
      </w:r>
      <w:r w:rsidR="00951765">
        <w:t xml:space="preserve"> seal the documents</w:t>
      </w:r>
      <w:r w:rsidR="00FA2833">
        <w:t>.</w:t>
      </w:r>
      <w:r w:rsidR="00473425">
        <w:t xml:space="preserve"> </w:t>
      </w:r>
      <w:r w:rsidR="00E97769">
        <w:t xml:space="preserve"> If </w:t>
      </w:r>
      <w:r w:rsidR="00FC38B3">
        <w:t xml:space="preserve">SCRS Intermediate HC </w:t>
      </w:r>
      <w:r w:rsidR="00E97769">
        <w:t xml:space="preserve">believes that it is necessary for this information to remain under seal for longer than three years, </w:t>
      </w:r>
      <w:r w:rsidR="00FC38B3">
        <w:t>SCRS Intermediate HC</w:t>
      </w:r>
      <w:r w:rsidRPr="00347351" w:rsidR="00E97769">
        <w:t xml:space="preserve"> </w:t>
      </w:r>
      <w:r w:rsidR="00E97769">
        <w:t>should file a motion showing good cause for extending this order by no later than 30 days before the expiration of this order.</w:t>
      </w:r>
    </w:p>
    <w:p w:rsidR="00FC38B3" w:rsidP="00865B83" w:rsidRDefault="00914B0A" w14:paraId="44DFD72C" w14:textId="36023D60">
      <w:pPr>
        <w:pStyle w:val="FoF"/>
        <w:numPr>
          <w:ilvl w:val="0"/>
          <w:numId w:val="25"/>
        </w:numPr>
        <w:ind w:firstLine="360"/>
      </w:pPr>
      <w:r>
        <w:t>It is reasonable</w:t>
      </w:r>
      <w:r w:rsidR="00443DC3">
        <w:t xml:space="preserve"> to grant Joint Applicants’ August 15, 2025</w:t>
      </w:r>
      <w:r w:rsidR="00865B83">
        <w:t>,</w:t>
      </w:r>
      <w:r w:rsidR="00443DC3">
        <w:t xml:space="preserve"> and January</w:t>
      </w:r>
      <w:r w:rsidR="00473425">
        <w:t> </w:t>
      </w:r>
      <w:r w:rsidR="00443DC3">
        <w:t>27,</w:t>
      </w:r>
      <w:r w:rsidR="00473425">
        <w:t> </w:t>
      </w:r>
      <w:r w:rsidR="00443DC3">
        <w:t>2025</w:t>
      </w:r>
      <w:r w:rsidR="00473425">
        <w:t>,</w:t>
      </w:r>
      <w:r w:rsidR="00443DC3">
        <w:t xml:space="preserve"> motions for leave to file under seal.</w:t>
      </w:r>
    </w:p>
    <w:p w:rsidR="00A021E9" w:rsidP="00865B83" w:rsidRDefault="00914B0A" w14:paraId="141FD3EC" w14:textId="08BF5A19">
      <w:pPr>
        <w:pStyle w:val="FoF"/>
        <w:numPr>
          <w:ilvl w:val="0"/>
          <w:numId w:val="25"/>
        </w:numPr>
        <w:ind w:firstLine="360"/>
      </w:pPr>
      <w:r>
        <w:t>It is reasonable</w:t>
      </w:r>
      <w:r w:rsidR="00A021E9">
        <w:t xml:space="preserve"> to grant the requests for confidential treatment of exhibits</w:t>
      </w:r>
      <w:r w:rsidR="00457B2F">
        <w:t xml:space="preserve"> APP-1, TRN-01C, TRN-15C, TRN-3C, TRN-16C, TRN-17C, TRN-18C, TRN-20C, and TRN-28X-C.</w:t>
      </w:r>
    </w:p>
    <w:p w:rsidR="009D4DC9" w:rsidP="00865B83" w:rsidRDefault="009D4DC9" w14:paraId="5FC1669A" w14:textId="71530C70">
      <w:pPr>
        <w:pStyle w:val="FoF"/>
        <w:numPr>
          <w:ilvl w:val="0"/>
          <w:numId w:val="25"/>
        </w:numPr>
        <w:ind w:firstLine="360"/>
      </w:pPr>
      <w:r>
        <w:t>A</w:t>
      </w:r>
      <w:r w:rsidRPr="008B175A">
        <w:t>ll rulings made by the A</w:t>
      </w:r>
      <w:r w:rsidR="00914B0A">
        <w:t>LJ</w:t>
      </w:r>
      <w:r w:rsidRPr="008B175A">
        <w:t xml:space="preserve"> and assigned Commissioner in this proceeding</w:t>
      </w:r>
      <w:r>
        <w:t xml:space="preserve"> should be affirmed</w:t>
      </w:r>
      <w:r w:rsidRPr="008B175A">
        <w:t>.</w:t>
      </w:r>
    </w:p>
    <w:p w:rsidR="009D4DC9" w:rsidP="00865B83" w:rsidRDefault="009D4DC9" w14:paraId="198A0D8C" w14:textId="77777777">
      <w:pPr>
        <w:pStyle w:val="FoF"/>
        <w:numPr>
          <w:ilvl w:val="0"/>
          <w:numId w:val="25"/>
        </w:numPr>
        <w:ind w:firstLine="360"/>
      </w:pPr>
      <w:r w:rsidRPr="008B175A">
        <w:t xml:space="preserve">All motions not ruled on </w:t>
      </w:r>
      <w:r>
        <w:t>should be</w:t>
      </w:r>
      <w:r w:rsidRPr="008B175A">
        <w:t xml:space="preserve"> denied.</w:t>
      </w:r>
    </w:p>
    <w:p w:rsidR="00AC0377" w:rsidP="00865B83" w:rsidRDefault="00914B0A" w14:paraId="6036610A" w14:textId="1C76692F">
      <w:pPr>
        <w:pStyle w:val="FoF"/>
        <w:numPr>
          <w:ilvl w:val="0"/>
          <w:numId w:val="25"/>
        </w:numPr>
        <w:ind w:firstLine="360"/>
      </w:pPr>
      <w:r w:rsidRPr="001E2A62">
        <w:lastRenderedPageBreak/>
        <w:t>A</w:t>
      </w:r>
      <w:r>
        <w:t>.</w:t>
      </w:r>
      <w:r w:rsidRPr="001E2A62">
        <w:t xml:space="preserve"> </w:t>
      </w:r>
      <w:r w:rsidR="00457B2F">
        <w:t>25-05-016</w:t>
      </w:r>
      <w:r w:rsidRPr="00347351" w:rsidR="00AC0377">
        <w:t xml:space="preserve"> </w:t>
      </w:r>
      <w:r w:rsidR="00AC0377">
        <w:t>should be</w:t>
      </w:r>
      <w:r w:rsidRPr="001E2A62" w:rsidR="00AC0377">
        <w:t xml:space="preserve"> closed.</w:t>
      </w:r>
    </w:p>
    <w:p w:rsidR="00BB0243" w:rsidP="000A6E05" w:rsidRDefault="005939A5" w14:paraId="2135AAC8" w14:textId="77777777">
      <w:pPr>
        <w:pStyle w:val="Mainex"/>
      </w:pPr>
      <w:bookmarkStart w:name="_Toc228532668" w:id="59"/>
      <w:r>
        <w:t>O</w:t>
      </w:r>
      <w:r w:rsidR="00722850">
        <w:t>RDER</w:t>
      </w:r>
      <w:bookmarkEnd w:id="59"/>
    </w:p>
    <w:p w:rsidR="00BB0243" w:rsidP="000A6E05" w:rsidRDefault="00BB0243" w14:paraId="22E56E95" w14:textId="77777777">
      <w:pPr>
        <w:keepNext/>
      </w:pPr>
      <w:r w:rsidRPr="00BB0243">
        <w:rPr>
          <w:b/>
        </w:rPr>
        <w:t>IT IS ORDERED</w:t>
      </w:r>
      <w:r>
        <w:t xml:space="preserve"> that:</w:t>
      </w:r>
    </w:p>
    <w:p w:rsidR="004D33A0" w:rsidP="00865B83" w:rsidRDefault="00305419" w14:paraId="481EEBA0" w14:textId="77777777">
      <w:pPr>
        <w:pStyle w:val="FoF"/>
        <w:numPr>
          <w:ilvl w:val="0"/>
          <w:numId w:val="38"/>
        </w:numPr>
        <w:ind w:firstLine="360"/>
      </w:pPr>
      <w:r>
        <w:t xml:space="preserve">The indirect transfer of control of </w:t>
      </w:r>
      <w:r w:rsidR="00480206">
        <w:t>Securus Technologies, LLC</w:t>
      </w:r>
      <w:r>
        <w:t xml:space="preserve"> to </w:t>
      </w:r>
      <w:r w:rsidR="00480206">
        <w:t>SCRS Intermediate Holding Corporation</w:t>
      </w:r>
      <w:r w:rsidRPr="00347351">
        <w:t xml:space="preserve"> </w:t>
      </w:r>
      <w:r>
        <w:t>is approved pursuant to Public Utilities Code Section 854(a)</w:t>
      </w:r>
      <w:r w:rsidR="00111CBD">
        <w:t xml:space="preserve">, subject to the </w:t>
      </w:r>
      <w:r w:rsidR="004D33A0">
        <w:t>condition set forth in this decision</w:t>
      </w:r>
      <w:r>
        <w:t>.</w:t>
      </w:r>
    </w:p>
    <w:p w:rsidR="00305419" w:rsidP="00865B83" w:rsidRDefault="00AC1CC1" w14:paraId="56D01F3F" w14:textId="73B891ED">
      <w:pPr>
        <w:pStyle w:val="FoF"/>
        <w:numPr>
          <w:ilvl w:val="0"/>
          <w:numId w:val="38"/>
        </w:numPr>
        <w:ind w:firstLine="360"/>
      </w:pPr>
      <w:r>
        <w:t xml:space="preserve">In the event that </w:t>
      </w:r>
      <w:r w:rsidR="00C2612A">
        <w:t xml:space="preserve">Securus Technologies, LLC’s terms and conditions of service change within </w:t>
      </w:r>
      <w:r w:rsidR="00A03ED5">
        <w:t>two</w:t>
      </w:r>
      <w:r w:rsidR="00C2612A">
        <w:t xml:space="preserve"> year</w:t>
      </w:r>
      <w:r w:rsidR="00A03ED5">
        <w:t>s</w:t>
      </w:r>
      <w:r w:rsidR="00C2612A">
        <w:t xml:space="preserve"> of the effective date of the transfer of control, </w:t>
      </w:r>
      <w:r w:rsidR="004D33A0">
        <w:t xml:space="preserve">Securus Technologies, LLC shall </w:t>
      </w:r>
      <w:r w:rsidR="00871CC6">
        <w:t>submit</w:t>
      </w:r>
      <w:r w:rsidR="00A75F79">
        <w:t xml:space="preserve"> a</w:t>
      </w:r>
      <w:r w:rsidR="0097693C">
        <w:t xml:space="preserve"> </w:t>
      </w:r>
      <w:r w:rsidR="00507E61">
        <w:t>Tier 1</w:t>
      </w:r>
      <w:r w:rsidR="000E583E">
        <w:t xml:space="preserve"> </w:t>
      </w:r>
      <w:r w:rsidR="00871CC6">
        <w:t>a</w:t>
      </w:r>
      <w:r w:rsidR="000E583E">
        <w:t xml:space="preserve">dvice </w:t>
      </w:r>
      <w:r w:rsidR="00871CC6">
        <w:t>l</w:t>
      </w:r>
      <w:r w:rsidR="000E583E">
        <w:t>etter</w:t>
      </w:r>
      <w:r w:rsidR="006E04C6">
        <w:t>(s)</w:t>
      </w:r>
      <w:r w:rsidR="000E583E">
        <w:t xml:space="preserve"> </w:t>
      </w:r>
      <w:r w:rsidR="00871CC6">
        <w:t>to</w:t>
      </w:r>
      <w:r w:rsidR="00084793">
        <w:t xml:space="preserve"> the Communications Division </w:t>
      </w:r>
      <w:r w:rsidR="00871CC6">
        <w:t>in accordance with General Order 96-B.  The Tier 1 advice letter</w:t>
      </w:r>
      <w:r w:rsidR="000F47F0">
        <w:t>(s)</w:t>
      </w:r>
      <w:r w:rsidR="00871CC6">
        <w:t xml:space="preserve"> shall </w:t>
      </w:r>
      <w:r w:rsidR="00CB5D4A">
        <w:t xml:space="preserve">report </w:t>
      </w:r>
      <w:r w:rsidR="00650D35">
        <w:t>any changes to its terms and conditions of service</w:t>
      </w:r>
      <w:r w:rsidR="00E814F5">
        <w:t xml:space="preserve"> </w:t>
      </w:r>
      <w:r w:rsidR="00871CC6">
        <w:t xml:space="preserve">and shall be submitted </w:t>
      </w:r>
      <w:r w:rsidR="00E814F5">
        <w:t xml:space="preserve">30 days prior to </w:t>
      </w:r>
      <w:r w:rsidR="00096195">
        <w:t xml:space="preserve">the </w:t>
      </w:r>
      <w:r w:rsidR="001E4874">
        <w:t>effective date of such changes</w:t>
      </w:r>
      <w:r w:rsidR="00BD257B">
        <w:t>.</w:t>
      </w:r>
      <w:r w:rsidR="00967326">
        <w:t xml:space="preserve"> </w:t>
      </w:r>
      <w:r w:rsidR="00865B83">
        <w:t xml:space="preserve"> </w:t>
      </w:r>
      <w:r w:rsidR="00967326">
        <w:t xml:space="preserve">The </w:t>
      </w:r>
      <w:r w:rsidR="00871CC6">
        <w:t>a</w:t>
      </w:r>
      <w:r w:rsidR="00967326">
        <w:t xml:space="preserve">dvice </w:t>
      </w:r>
      <w:r w:rsidR="00871CC6">
        <w:t>l</w:t>
      </w:r>
      <w:r w:rsidR="00967326">
        <w:t>etter</w:t>
      </w:r>
      <w:r w:rsidR="000F47F0">
        <w:t>(s)</w:t>
      </w:r>
      <w:r w:rsidR="00967326">
        <w:t xml:space="preserve"> shall describe any changes to the terms and conditions and </w:t>
      </w:r>
      <w:r w:rsidR="002E45F4">
        <w:t xml:space="preserve">provide </w:t>
      </w:r>
      <w:r w:rsidR="007231E2">
        <w:t xml:space="preserve">1) a clean copy of the </w:t>
      </w:r>
      <w:r w:rsidR="00BF2D5B">
        <w:t>previous</w:t>
      </w:r>
      <w:r w:rsidR="002A1E5F">
        <w:t xml:space="preserve"> terms and conditions, 2) a clean copy of the new terms and conditions, and 3) </w:t>
      </w:r>
      <w:r w:rsidR="002E45F4">
        <w:t xml:space="preserve">a </w:t>
      </w:r>
      <w:r w:rsidR="00AD1EA8">
        <w:t xml:space="preserve">redline </w:t>
      </w:r>
      <w:r w:rsidR="002A1E5F">
        <w:t>copy of the changes</w:t>
      </w:r>
      <w:r w:rsidR="002E2B3E">
        <w:t xml:space="preserve"> to the terms and conditions</w:t>
      </w:r>
      <w:r w:rsidR="002E45F4">
        <w:t>.</w:t>
      </w:r>
    </w:p>
    <w:p w:rsidR="005938BF" w:rsidP="00865B83" w:rsidRDefault="005938BF" w14:paraId="2A46CD14" w14:textId="38F2065B">
      <w:pPr>
        <w:pStyle w:val="FoF"/>
        <w:numPr>
          <w:ilvl w:val="0"/>
          <w:numId w:val="38"/>
        </w:numPr>
        <w:ind w:firstLine="360"/>
      </w:pPr>
      <w:r>
        <w:t>The proceeding is submitted as of April 23, 2026.</w:t>
      </w:r>
    </w:p>
    <w:p w:rsidR="00672456" w:rsidP="00865B83" w:rsidRDefault="00672456" w14:paraId="094B9AEB" w14:textId="2544993F">
      <w:pPr>
        <w:pStyle w:val="FoF"/>
        <w:numPr>
          <w:ilvl w:val="0"/>
          <w:numId w:val="38"/>
        </w:numPr>
        <w:ind w:firstLine="360"/>
      </w:pPr>
      <w:r>
        <w:t>Exhibit</w:t>
      </w:r>
      <w:r w:rsidR="00145AD5">
        <w:t>s</w:t>
      </w:r>
      <w:r>
        <w:t xml:space="preserve"> </w:t>
      </w:r>
      <w:r w:rsidR="00181083">
        <w:t xml:space="preserve">D and E to the </w:t>
      </w:r>
      <w:r w:rsidR="00914B0A">
        <w:t>a</w:t>
      </w:r>
      <w:r w:rsidR="00181083">
        <w:t>pplication</w:t>
      </w:r>
      <w:r>
        <w:t xml:space="preserve"> </w:t>
      </w:r>
      <w:r w:rsidR="00095C2C">
        <w:t>are</w:t>
      </w:r>
      <w:r>
        <w:t xml:space="preserve"> granted </w:t>
      </w:r>
      <w:r w:rsidR="002025E5">
        <w:t xml:space="preserve">confidential treatment </w:t>
      </w:r>
      <w:r>
        <w:t xml:space="preserve">for a period of three years after the </w:t>
      </w:r>
      <w:r w:rsidR="00321A3F">
        <w:t xml:space="preserve">issuance </w:t>
      </w:r>
      <w:r>
        <w:t>date of this decision</w:t>
      </w:r>
      <w:r w:rsidR="00D27260">
        <w:t xml:space="preserve"> pursuant to D</w:t>
      </w:r>
      <w:r w:rsidR="00914B0A">
        <w:t xml:space="preserve">ecision </w:t>
      </w:r>
      <w:r w:rsidR="00D27260">
        <w:t>24-1</w:t>
      </w:r>
      <w:r w:rsidR="60D1376E">
        <w:t>1</w:t>
      </w:r>
      <w:r w:rsidR="00D27260">
        <w:t>-0</w:t>
      </w:r>
      <w:r w:rsidR="534D4891">
        <w:t>03</w:t>
      </w:r>
      <w:r>
        <w:t xml:space="preserve">. </w:t>
      </w:r>
      <w:r w:rsidR="00473425">
        <w:t xml:space="preserve"> </w:t>
      </w:r>
      <w:r>
        <w:t xml:space="preserve">During this three-year period, this information shall not be publicly disclosed except </w:t>
      </w:r>
      <w:r w:rsidR="00914B0A">
        <w:t>up</w:t>
      </w:r>
      <w:r>
        <w:t xml:space="preserve">on further Commission order or Administrative Law Judge ruling. </w:t>
      </w:r>
      <w:r w:rsidR="00865B83">
        <w:t xml:space="preserve"> </w:t>
      </w:r>
      <w:r>
        <w:t xml:space="preserve">If </w:t>
      </w:r>
      <w:r w:rsidR="00181083">
        <w:t>SCRS Intermediate Holding Corporation</w:t>
      </w:r>
      <w:r w:rsidRPr="00347351">
        <w:t xml:space="preserve"> </w:t>
      </w:r>
      <w:r>
        <w:t xml:space="preserve">believes that it is necessary for this information to remain under seal for longer than three years, </w:t>
      </w:r>
      <w:r w:rsidR="00181083">
        <w:t>SCRS Intermediate Holding Corporation</w:t>
      </w:r>
      <w:r w:rsidRPr="00347351">
        <w:t xml:space="preserve"> </w:t>
      </w:r>
      <w:r>
        <w:t>may file a motion showing good cause for extending this order by no later than 30 days before the expiration of this order.</w:t>
      </w:r>
    </w:p>
    <w:p w:rsidR="006E69C0" w:rsidP="00865B83" w:rsidRDefault="00914B0A" w14:paraId="51B62FB9" w14:textId="567DC37D">
      <w:pPr>
        <w:pStyle w:val="FoF"/>
        <w:numPr>
          <w:ilvl w:val="0"/>
          <w:numId w:val="38"/>
        </w:numPr>
        <w:ind w:firstLine="360"/>
      </w:pPr>
      <w:r>
        <w:lastRenderedPageBreak/>
        <w:t>The August 15, 2025</w:t>
      </w:r>
      <w:r w:rsidR="00865B83">
        <w:t>,</w:t>
      </w:r>
      <w:r>
        <w:t xml:space="preserve"> and January 27, 2025</w:t>
      </w:r>
      <w:r w:rsidR="00865B83">
        <w:t>,</w:t>
      </w:r>
      <w:r>
        <w:t xml:space="preserve"> motions of Platinum Equity Capital Partners, IV, L.P. and SCRS Intermediate Holding Company</w:t>
      </w:r>
      <w:r w:rsidR="006E69C0">
        <w:t xml:space="preserve"> for leave to file under seal are granted</w:t>
      </w:r>
      <w:r w:rsidR="00E61BF6">
        <w:t>.</w:t>
      </w:r>
    </w:p>
    <w:p w:rsidR="006E69C0" w:rsidP="00865B83" w:rsidRDefault="00E61BF6" w14:paraId="5D7F274F" w14:textId="646864A9">
      <w:pPr>
        <w:pStyle w:val="FoF"/>
        <w:numPr>
          <w:ilvl w:val="0"/>
          <w:numId w:val="38"/>
        </w:numPr>
        <w:ind w:firstLine="360"/>
      </w:pPr>
      <w:r>
        <w:t>Exhibits APP-1, TRN-01C, TRN-15C, TRN-3C, TRN-16C, TRN-17C, TRN</w:t>
      </w:r>
      <w:r w:rsidR="00865B83">
        <w:noBreakHyphen/>
      </w:r>
      <w:r>
        <w:t>18C, TRN-20C, and TRN-28X-C are granted confidential treatment and shall not be publicly disclosed except on further Commission order or Administrative Law Judge ruling.</w:t>
      </w:r>
    </w:p>
    <w:p w:rsidR="00D93FA8" w:rsidP="00865B83" w:rsidRDefault="001E2EC8" w14:paraId="3482D37B" w14:textId="77777777">
      <w:pPr>
        <w:pStyle w:val="FoF"/>
        <w:numPr>
          <w:ilvl w:val="0"/>
          <w:numId w:val="38"/>
        </w:numPr>
        <w:ind w:firstLine="360"/>
      </w:pPr>
      <w:r>
        <w:t>A</w:t>
      </w:r>
      <w:r w:rsidRPr="008B175A">
        <w:t>ll rulings made by the Administrative Law Judge and assigned Commissioner in this proceeding</w:t>
      </w:r>
      <w:r w:rsidR="00D93FA8">
        <w:t xml:space="preserve"> are affirmed</w:t>
      </w:r>
      <w:r w:rsidRPr="008B175A">
        <w:t>.</w:t>
      </w:r>
    </w:p>
    <w:p w:rsidR="0090642C" w:rsidP="00865B83" w:rsidRDefault="001E2EC8" w14:paraId="19F7F2AC" w14:textId="77777777">
      <w:pPr>
        <w:pStyle w:val="FoF"/>
        <w:numPr>
          <w:ilvl w:val="0"/>
          <w:numId w:val="38"/>
        </w:numPr>
        <w:ind w:firstLine="360"/>
      </w:pPr>
      <w:r>
        <w:t>All motions not ruled on are denied.</w:t>
      </w:r>
    </w:p>
    <w:p w:rsidR="00F6397D" w:rsidP="00865B83" w:rsidRDefault="00E23CBB" w14:paraId="582573EB" w14:textId="603DB133">
      <w:pPr>
        <w:pStyle w:val="FoF"/>
        <w:numPr>
          <w:ilvl w:val="0"/>
          <w:numId w:val="38"/>
        </w:numPr>
        <w:ind w:firstLine="360"/>
      </w:pPr>
      <w:r w:rsidRPr="001E2A62">
        <w:t xml:space="preserve">Application </w:t>
      </w:r>
      <w:r w:rsidR="00E61BF6">
        <w:t>25-05-016</w:t>
      </w:r>
      <w:r w:rsidRPr="00347351">
        <w:t xml:space="preserve"> </w:t>
      </w:r>
      <w:r w:rsidRPr="001E2A62">
        <w:t>is closed.</w:t>
      </w:r>
    </w:p>
    <w:p w:rsidR="008F0116" w:rsidP="008F0116" w:rsidRDefault="008F0116" w14:paraId="2FDCEA7E" w14:textId="77777777">
      <w:r>
        <w:t>This order is effective today.</w:t>
      </w:r>
    </w:p>
    <w:p w:rsidRPr="00714CF2" w:rsidR="00714CF2" w:rsidP="00816E05" w:rsidRDefault="008F0116" w14:paraId="491CC1BC" w14:textId="3B939DF1">
      <w:r>
        <w:t>Dated</w:t>
      </w:r>
      <w:r w:rsidR="00865B83">
        <w:t> June ___</w:t>
      </w:r>
      <w:r>
        <w:t>,</w:t>
      </w:r>
      <w:r w:rsidR="00865B83">
        <w:t> 2026, </w:t>
      </w:r>
      <w:r>
        <w:t xml:space="preserve">at </w:t>
      </w:r>
      <w:r w:rsidRPr="0074030C" w:rsidR="00383151">
        <w:t>Sacramento</w:t>
      </w:r>
      <w:r w:rsidRPr="0074030C">
        <w:t>,</w:t>
      </w:r>
      <w:r>
        <w:t xml:space="preserve"> California</w:t>
      </w:r>
    </w:p>
    <w:sectPr w:rsidRPr="00714CF2" w:rsidR="00714CF2" w:rsidSect="00383151">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1D77" w14:textId="77777777" w:rsidR="00924BDF" w:rsidRDefault="00924BDF" w:rsidP="0098138E">
      <w:pPr>
        <w:spacing w:line="240" w:lineRule="auto"/>
      </w:pPr>
      <w:r>
        <w:separator/>
      </w:r>
    </w:p>
  </w:endnote>
  <w:endnote w:type="continuationSeparator" w:id="0">
    <w:p w14:paraId="02E2B3C1" w14:textId="77777777" w:rsidR="00924BDF" w:rsidRDefault="00924BDF" w:rsidP="0098138E">
      <w:pPr>
        <w:spacing w:line="240" w:lineRule="auto"/>
      </w:pPr>
      <w:r>
        <w:continuationSeparator/>
      </w:r>
    </w:p>
  </w:endnote>
  <w:endnote w:type="continuationNotice" w:id="1">
    <w:p w14:paraId="535B5F0D" w14:textId="77777777" w:rsidR="00924BDF" w:rsidRDefault="00924B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20000A87" w:usb1="08000000" w:usb2="00000008" w:usb3="00000000" w:csb0="00000197" w:csb1="00000000"/>
  </w:font>
  <w:font w:name="BookAntiqua">
    <w:altName w:val="Cambria"/>
    <w:charset w:val="00"/>
    <w:family w:val="roman"/>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2891" w14:textId="53773E65" w:rsidR="0021375E" w:rsidRDefault="002D5701" w:rsidP="002D5701">
    <w:pPr>
      <w:pStyle w:val="Footer"/>
      <w:ind w:firstLine="0"/>
    </w:pPr>
    <w:r w:rsidRPr="002D5701">
      <w:rPr>
        <w:sz w:val="16"/>
        <w:szCs w:val="16"/>
      </w:rPr>
      <w:t>60</w:t>
    </w:r>
    <w:r w:rsidR="00B8509E">
      <w:rPr>
        <w:sz w:val="16"/>
        <w:szCs w:val="16"/>
      </w:rPr>
      <w:t>8575115</w:t>
    </w:r>
    <w:r>
      <w:tab/>
    </w:r>
    <w:sdt>
      <w:sdtPr>
        <w:id w:val="-1708484290"/>
        <w:docPartObj>
          <w:docPartGallery w:val="Page Numbers (Bottom of Page)"/>
          <w:docPartUnique/>
        </w:docPartObj>
      </w:sdtPr>
      <w:sdtEndPr>
        <w:rPr>
          <w:noProof/>
        </w:rPr>
      </w:sdtEndPr>
      <w:sdtContent>
        <w:r w:rsidR="0021375E">
          <w:fldChar w:fldCharType="begin"/>
        </w:r>
        <w:r w:rsidR="0021375E">
          <w:instrText xml:space="preserve"> PAGE   \* MERGEFORMAT </w:instrText>
        </w:r>
        <w:r w:rsidR="0021375E">
          <w:fldChar w:fldCharType="separate"/>
        </w:r>
        <w:r w:rsidR="0021375E">
          <w:rPr>
            <w:noProof/>
          </w:rPr>
          <w:t>2</w:t>
        </w:r>
        <w:r w:rsidR="0021375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353112"/>
      <w:docPartObj>
        <w:docPartGallery w:val="Page Numbers (Bottom of Page)"/>
        <w:docPartUnique/>
      </w:docPartObj>
    </w:sdtPr>
    <w:sdtEndPr>
      <w:rPr>
        <w:noProof/>
      </w:rPr>
    </w:sdtEndPr>
    <w:sdtContent>
      <w:p w14:paraId="17A0542E" w14:textId="1E30E801" w:rsidR="00E23CBB" w:rsidRDefault="0021375E" w:rsidP="0021375E">
        <w:pPr>
          <w:pStyle w:val="Footer"/>
          <w:jc w:val="center"/>
        </w:pPr>
        <w:r>
          <w:t xml:space="preserve">- </w:t>
        </w:r>
        <w:r w:rsidR="00383151">
          <w:fldChar w:fldCharType="begin"/>
        </w:r>
        <w:r w:rsidR="00383151">
          <w:instrText xml:space="preserve"> PAGE   \* MERGEFORMAT </w:instrText>
        </w:r>
        <w:r w:rsidR="00383151">
          <w:fldChar w:fldCharType="separate"/>
        </w:r>
        <w:r w:rsidR="00383151">
          <w:rPr>
            <w:noProof/>
          </w:rPr>
          <w:t>2</w:t>
        </w:r>
        <w:r w:rsidR="00383151">
          <w:rPr>
            <w:noProof/>
          </w:rPr>
          <w:fldChar w:fldCharType="end"/>
        </w:r>
        <w:r>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B994" w14:textId="77777777" w:rsidR="00924BDF" w:rsidRDefault="00924BDF" w:rsidP="00DF58E7">
      <w:pPr>
        <w:spacing w:line="240" w:lineRule="auto"/>
        <w:ind w:firstLine="0"/>
      </w:pPr>
      <w:r>
        <w:separator/>
      </w:r>
    </w:p>
  </w:footnote>
  <w:footnote w:type="continuationSeparator" w:id="0">
    <w:p w14:paraId="51331C7D" w14:textId="77777777" w:rsidR="00924BDF" w:rsidRDefault="00924BDF" w:rsidP="00DF58E7">
      <w:pPr>
        <w:spacing w:line="240" w:lineRule="auto"/>
        <w:ind w:firstLine="0"/>
      </w:pPr>
      <w:r>
        <w:continuationSeparator/>
      </w:r>
    </w:p>
  </w:footnote>
  <w:footnote w:type="continuationNotice" w:id="1">
    <w:p w14:paraId="09C79FE7" w14:textId="77777777" w:rsidR="00924BDF" w:rsidRPr="00DF58E7" w:rsidRDefault="00924BDF" w:rsidP="00DF58E7">
      <w:pPr>
        <w:spacing w:line="240" w:lineRule="auto"/>
        <w:ind w:firstLine="0"/>
        <w:jc w:val="right"/>
        <w:rPr>
          <w:i/>
          <w:sz w:val="22"/>
        </w:rPr>
      </w:pPr>
      <w:r w:rsidRPr="00DF58E7">
        <w:rPr>
          <w:i/>
          <w:sz w:val="22"/>
        </w:rPr>
        <w:t>Footnote continued on next page.</w:t>
      </w:r>
    </w:p>
  </w:footnote>
  <w:footnote w:id="2">
    <w:p w14:paraId="52790F8D" w14:textId="7FDBD4A0" w:rsidR="00ED4414" w:rsidRDefault="00ED4414">
      <w:pPr>
        <w:pStyle w:val="FootnoteText"/>
      </w:pPr>
      <w:r>
        <w:rPr>
          <w:rStyle w:val="FootnoteReference"/>
        </w:rPr>
        <w:footnoteRef/>
      </w:r>
      <w:r>
        <w:t xml:space="preserve"> Application at 3.</w:t>
      </w:r>
    </w:p>
  </w:footnote>
  <w:footnote w:id="3">
    <w:p w14:paraId="50FB0017" w14:textId="67806E77" w:rsidR="00ED4414" w:rsidRDefault="00ED4414">
      <w:pPr>
        <w:pStyle w:val="FootnoteText"/>
      </w:pPr>
      <w:r>
        <w:rPr>
          <w:rStyle w:val="FootnoteReference"/>
        </w:rPr>
        <w:footnoteRef/>
      </w:r>
      <w:r>
        <w:t xml:space="preserve"> </w:t>
      </w:r>
      <w:r w:rsidR="007F5D6C">
        <w:rPr>
          <w:i/>
          <w:iCs/>
        </w:rPr>
        <w:t xml:space="preserve">Id. </w:t>
      </w:r>
      <w:r w:rsidR="007F5D6C" w:rsidRPr="007F5D6C">
        <w:t>at 3 and Exhibit C.</w:t>
      </w:r>
    </w:p>
  </w:footnote>
  <w:footnote w:id="4">
    <w:p w14:paraId="504F9491" w14:textId="6D3C6D2C" w:rsidR="001A6975" w:rsidRDefault="001A6975">
      <w:pPr>
        <w:pStyle w:val="FootnoteText"/>
      </w:pPr>
      <w:r>
        <w:rPr>
          <w:rStyle w:val="FootnoteReference"/>
        </w:rPr>
        <w:footnoteRef/>
      </w:r>
      <w:r>
        <w:t xml:space="preserve"> </w:t>
      </w:r>
      <w:r w:rsidRPr="001A6975">
        <w:rPr>
          <w:i/>
          <w:iCs/>
        </w:rPr>
        <w:t>Id</w:t>
      </w:r>
      <w:r>
        <w:t>.</w:t>
      </w:r>
      <w:r w:rsidR="007F5D6C">
        <w:t xml:space="preserve"> at 3.</w:t>
      </w:r>
    </w:p>
  </w:footnote>
  <w:footnote w:id="5">
    <w:p w14:paraId="35F00F7A" w14:textId="49FEDEF3" w:rsidR="00845609" w:rsidRDefault="00845609">
      <w:pPr>
        <w:pStyle w:val="FootnoteText"/>
      </w:pPr>
      <w:r>
        <w:rPr>
          <w:rStyle w:val="FootnoteReference"/>
        </w:rPr>
        <w:footnoteRef/>
      </w:r>
      <w:r>
        <w:t xml:space="preserve"> </w:t>
      </w:r>
      <w:r w:rsidRPr="00845609">
        <w:rPr>
          <w:i/>
          <w:iCs/>
        </w:rPr>
        <w:t>Ibid.</w:t>
      </w:r>
    </w:p>
  </w:footnote>
  <w:footnote w:id="6">
    <w:p w14:paraId="24C20707" w14:textId="36F81D15" w:rsidR="00E4028D" w:rsidRDefault="00E4028D">
      <w:pPr>
        <w:pStyle w:val="FootnoteText"/>
      </w:pPr>
      <w:r>
        <w:rPr>
          <w:rStyle w:val="FootnoteReference"/>
        </w:rPr>
        <w:footnoteRef/>
      </w:r>
      <w:r>
        <w:t xml:space="preserve"> </w:t>
      </w:r>
      <w:r w:rsidRPr="00E4028D">
        <w:rPr>
          <w:i/>
          <w:iCs/>
        </w:rPr>
        <w:t>Ibid</w:t>
      </w:r>
      <w:r>
        <w:t>.</w:t>
      </w:r>
    </w:p>
  </w:footnote>
  <w:footnote w:id="7">
    <w:p w14:paraId="33D472C2" w14:textId="53B3E229" w:rsidR="00845609" w:rsidRDefault="00845609" w:rsidP="00CE55F5">
      <w:pPr>
        <w:pStyle w:val="FootnoteText"/>
        <w:spacing w:after="0"/>
      </w:pPr>
      <w:r>
        <w:rPr>
          <w:rStyle w:val="FootnoteReference"/>
        </w:rPr>
        <w:footnoteRef/>
      </w:r>
      <w:r>
        <w:t xml:space="preserve"> </w:t>
      </w:r>
      <w:r w:rsidR="00DB1437" w:rsidRPr="00DB1437">
        <w:rPr>
          <w:i/>
          <w:iCs/>
        </w:rPr>
        <w:t>Id</w:t>
      </w:r>
      <w:r w:rsidR="00DB1437">
        <w:t>.</w:t>
      </w:r>
      <w:r>
        <w:t xml:space="preserve"> at 4.</w:t>
      </w:r>
    </w:p>
  </w:footnote>
  <w:footnote w:id="8">
    <w:p w14:paraId="508BD13A" w14:textId="4B6CA7FA" w:rsidR="00845609" w:rsidRDefault="00845609">
      <w:pPr>
        <w:pStyle w:val="FootnoteText"/>
      </w:pPr>
      <w:r>
        <w:rPr>
          <w:rStyle w:val="FootnoteReference"/>
        </w:rPr>
        <w:footnoteRef/>
      </w:r>
      <w:r>
        <w:t xml:space="preserve"> </w:t>
      </w:r>
      <w:r w:rsidRPr="009162DF">
        <w:rPr>
          <w:i/>
          <w:iCs/>
        </w:rPr>
        <w:t>Ibid</w:t>
      </w:r>
      <w:r w:rsidR="009162DF">
        <w:t>.</w:t>
      </w:r>
    </w:p>
  </w:footnote>
  <w:footnote w:id="9">
    <w:p w14:paraId="3F0E28A5" w14:textId="397C5D91" w:rsidR="008C0E14" w:rsidRDefault="008C0E14">
      <w:pPr>
        <w:pStyle w:val="FootnoteText"/>
      </w:pPr>
      <w:r>
        <w:rPr>
          <w:rStyle w:val="FootnoteReference"/>
        </w:rPr>
        <w:footnoteRef/>
      </w:r>
      <w:r>
        <w:t xml:space="preserve"> </w:t>
      </w:r>
      <w:r w:rsidR="00914B0A">
        <w:rPr>
          <w:i/>
          <w:iCs/>
        </w:rPr>
        <w:t>Id</w:t>
      </w:r>
      <w:r w:rsidR="00914B0A">
        <w:t xml:space="preserve">. </w:t>
      </w:r>
      <w:r w:rsidR="004D366F">
        <w:t>at 4-5.</w:t>
      </w:r>
    </w:p>
  </w:footnote>
  <w:footnote w:id="10">
    <w:p w14:paraId="4A3FB694" w14:textId="110D1535" w:rsidR="00A571C2" w:rsidRDefault="00A571C2">
      <w:pPr>
        <w:pStyle w:val="FootnoteText"/>
      </w:pPr>
      <w:r>
        <w:rPr>
          <w:rStyle w:val="FootnoteReference"/>
        </w:rPr>
        <w:footnoteRef/>
      </w:r>
      <w:r>
        <w:t xml:space="preserve"> </w:t>
      </w:r>
      <w:r w:rsidR="00614647" w:rsidRPr="00614647">
        <w:rPr>
          <w:i/>
          <w:iCs/>
        </w:rPr>
        <w:t>Id</w:t>
      </w:r>
      <w:r w:rsidR="00614647" w:rsidRPr="00614647">
        <w:t>.</w:t>
      </w:r>
      <w:r w:rsidRPr="00614647">
        <w:t xml:space="preserve"> </w:t>
      </w:r>
      <w:r>
        <w:t>at 5</w:t>
      </w:r>
      <w:r w:rsidR="00914B0A">
        <w:t>;</w:t>
      </w:r>
      <w:r>
        <w:t xml:space="preserve"> </w:t>
      </w:r>
      <w:r w:rsidR="00914B0A">
        <w:rPr>
          <w:i/>
          <w:iCs/>
        </w:rPr>
        <w:t>s</w:t>
      </w:r>
      <w:r w:rsidRPr="00917D2D">
        <w:rPr>
          <w:i/>
          <w:iCs/>
        </w:rPr>
        <w:t>ee also</w:t>
      </w:r>
      <w:r>
        <w:t xml:space="preserve"> </w:t>
      </w:r>
      <w:r w:rsidR="00AF0506">
        <w:t>Reporter’s</w:t>
      </w:r>
      <w:r w:rsidR="00041256" w:rsidRPr="00E3378B">
        <w:t xml:space="preserve"> Transcript</w:t>
      </w:r>
      <w:r w:rsidR="00AF0506">
        <w:t xml:space="preserve"> of Prehearing Conference</w:t>
      </w:r>
      <w:r w:rsidR="00174D77">
        <w:t xml:space="preserve"> page 6: lines 15-21</w:t>
      </w:r>
      <w:r w:rsidR="002056CA" w:rsidRPr="00E3378B">
        <w:t>.</w:t>
      </w:r>
      <w:r w:rsidR="002155E9">
        <w:t xml:space="preserve"> In </w:t>
      </w:r>
      <w:r w:rsidR="00914B0A">
        <w:t>their</w:t>
      </w:r>
      <w:r w:rsidR="002155E9">
        <w:t xml:space="preserve"> </w:t>
      </w:r>
      <w:r w:rsidR="00914B0A">
        <w:t>a</w:t>
      </w:r>
      <w:r w:rsidR="002155E9">
        <w:t xml:space="preserve">pplication and at the </w:t>
      </w:r>
      <w:r w:rsidR="00914B0A">
        <w:t>PHC</w:t>
      </w:r>
      <w:r w:rsidR="002155E9">
        <w:t xml:space="preserve">, the Joint Applicants assert that in addition to providing debit card services pursuant to its CPCN, Securus also provides non-interconnected VoIP services. </w:t>
      </w:r>
      <w:r w:rsidR="005D4D89">
        <w:t xml:space="preserve"> </w:t>
      </w:r>
      <w:r w:rsidR="00914B0A">
        <w:t>TURN</w:t>
      </w:r>
      <w:r w:rsidR="002155E9">
        <w:t xml:space="preserve"> dispute</w:t>
      </w:r>
      <w:r w:rsidR="00914B0A">
        <w:t>s</w:t>
      </w:r>
      <w:r w:rsidR="002155E9">
        <w:t xml:space="preserve"> the characterization of these additional services as non-interconnected. </w:t>
      </w:r>
      <w:r w:rsidR="005D4D89">
        <w:t xml:space="preserve"> </w:t>
      </w:r>
      <w:r w:rsidR="002155E9">
        <w:t>As set forth in the Scoping Memo, the issue of whether or not Securus provides other services that are non-interconnected is out of the scope of this proceeding</w:t>
      </w:r>
      <w:r w:rsidR="00EA2BFA">
        <w:t>,</w:t>
      </w:r>
      <w:r w:rsidR="002155E9">
        <w:t xml:space="preserve"> and this decision does not address this issue.</w:t>
      </w:r>
    </w:p>
  </w:footnote>
  <w:footnote w:id="11">
    <w:p w14:paraId="13735088" w14:textId="19B2E39B" w:rsidR="00917D2D" w:rsidRDefault="00917D2D">
      <w:pPr>
        <w:pStyle w:val="FootnoteText"/>
      </w:pPr>
      <w:r>
        <w:rPr>
          <w:rStyle w:val="FootnoteReference"/>
        </w:rPr>
        <w:footnoteRef/>
      </w:r>
      <w:r>
        <w:t xml:space="preserve"> </w:t>
      </w:r>
      <w:r w:rsidR="005A190A">
        <w:t>Application at 5.</w:t>
      </w:r>
    </w:p>
  </w:footnote>
  <w:footnote w:id="12">
    <w:p w14:paraId="7BB3CA6C" w14:textId="12E97BCC" w:rsidR="005A190A" w:rsidRDefault="005A190A" w:rsidP="00CE55F5">
      <w:pPr>
        <w:pStyle w:val="FootnoteText"/>
        <w:spacing w:after="0"/>
      </w:pPr>
      <w:r>
        <w:rPr>
          <w:rStyle w:val="FootnoteReference"/>
        </w:rPr>
        <w:footnoteRef/>
      </w:r>
      <w:r>
        <w:t xml:space="preserve"> </w:t>
      </w:r>
      <w:r w:rsidRPr="005A190A">
        <w:rPr>
          <w:i/>
          <w:iCs/>
        </w:rPr>
        <w:t>Ibid</w:t>
      </w:r>
      <w:r>
        <w:t>.</w:t>
      </w:r>
    </w:p>
  </w:footnote>
  <w:footnote w:id="13">
    <w:p w14:paraId="649F4FE5" w14:textId="06784422" w:rsidR="008338E7" w:rsidRDefault="008338E7">
      <w:pPr>
        <w:pStyle w:val="FootnoteText"/>
      </w:pPr>
      <w:r>
        <w:rPr>
          <w:rStyle w:val="FootnoteReference"/>
        </w:rPr>
        <w:footnoteRef/>
      </w:r>
      <w:r>
        <w:t xml:space="preserve"> </w:t>
      </w:r>
      <w:r w:rsidR="00233419" w:rsidRPr="00233419">
        <w:rPr>
          <w:i/>
          <w:iCs/>
        </w:rPr>
        <w:t>Ibid.</w:t>
      </w:r>
    </w:p>
  </w:footnote>
  <w:footnote w:id="14">
    <w:p w14:paraId="1DFCFE2C" w14:textId="622F6746" w:rsidR="00EF3DF0" w:rsidRDefault="00EF3DF0">
      <w:pPr>
        <w:pStyle w:val="FootnoteText"/>
      </w:pPr>
      <w:r>
        <w:rPr>
          <w:rStyle w:val="FootnoteReference"/>
        </w:rPr>
        <w:footnoteRef/>
      </w:r>
      <w:r>
        <w:t xml:space="preserve"> </w:t>
      </w:r>
      <w:r w:rsidR="00614647" w:rsidRPr="00614647">
        <w:rPr>
          <w:i/>
          <w:iCs/>
        </w:rPr>
        <w:t>Id.</w:t>
      </w:r>
      <w:r w:rsidR="00614647">
        <w:t xml:space="preserve"> at 8. </w:t>
      </w:r>
    </w:p>
  </w:footnote>
  <w:footnote w:id="15">
    <w:p w14:paraId="3FFC0329" w14:textId="77777777" w:rsidR="00527583" w:rsidRDefault="00527583" w:rsidP="00527583">
      <w:pPr>
        <w:pStyle w:val="FootnoteText"/>
      </w:pPr>
      <w:r>
        <w:rPr>
          <w:rStyle w:val="FootnoteReference"/>
        </w:rPr>
        <w:footnoteRef/>
      </w:r>
      <w:r>
        <w:t xml:space="preserve"> </w:t>
      </w:r>
      <w:r w:rsidRPr="00044860">
        <w:rPr>
          <w:i/>
          <w:iCs/>
        </w:rPr>
        <w:t>Id</w:t>
      </w:r>
      <w:r>
        <w:t>. at 4.</w:t>
      </w:r>
    </w:p>
  </w:footnote>
  <w:footnote w:id="16">
    <w:p w14:paraId="229CB8E9" w14:textId="3D729392" w:rsidR="00C51A1D" w:rsidRDefault="00C51A1D" w:rsidP="0021375E">
      <w:pPr>
        <w:pStyle w:val="FootnoteText"/>
      </w:pPr>
      <w:r>
        <w:rPr>
          <w:rStyle w:val="FootnoteReference"/>
        </w:rPr>
        <w:footnoteRef/>
      </w:r>
      <w:r>
        <w:t xml:space="preserve"> </w:t>
      </w:r>
      <w:r w:rsidRPr="00C51A1D">
        <w:rPr>
          <w:i/>
          <w:iCs/>
        </w:rPr>
        <w:t>Id</w:t>
      </w:r>
      <w:r>
        <w:t>. at 8.</w:t>
      </w:r>
    </w:p>
  </w:footnote>
  <w:footnote w:id="17">
    <w:p w14:paraId="6B2AEE28" w14:textId="40EFACE1" w:rsidR="003545B3" w:rsidRDefault="003545B3" w:rsidP="004B2A24">
      <w:pPr>
        <w:pStyle w:val="FootnoteText"/>
        <w:spacing w:after="0"/>
      </w:pPr>
      <w:r>
        <w:rPr>
          <w:rStyle w:val="FootnoteReference"/>
        </w:rPr>
        <w:footnoteRef/>
      </w:r>
      <w:r>
        <w:t xml:space="preserve"> </w:t>
      </w:r>
      <w:r w:rsidR="00E20F9D" w:rsidRPr="00755AA0">
        <w:rPr>
          <w:i/>
          <w:iCs/>
        </w:rPr>
        <w:t>Ibid</w:t>
      </w:r>
      <w:r w:rsidR="00E20F9D">
        <w:t>.</w:t>
      </w:r>
    </w:p>
  </w:footnote>
  <w:footnote w:id="18">
    <w:p w14:paraId="4F230B69" w14:textId="2021B507" w:rsidR="00E20F9D" w:rsidRDefault="00E20F9D">
      <w:pPr>
        <w:pStyle w:val="FootnoteText"/>
      </w:pPr>
      <w:r>
        <w:rPr>
          <w:rStyle w:val="FootnoteReference"/>
        </w:rPr>
        <w:footnoteRef/>
      </w:r>
      <w:r>
        <w:t xml:space="preserve"> </w:t>
      </w:r>
      <w:r w:rsidRPr="00755AA0">
        <w:rPr>
          <w:i/>
          <w:iCs/>
        </w:rPr>
        <w:t>Ibid</w:t>
      </w:r>
      <w:r>
        <w:t>.</w:t>
      </w:r>
    </w:p>
  </w:footnote>
  <w:footnote w:id="19">
    <w:p w14:paraId="3018B9ED" w14:textId="44A0FD63" w:rsidR="00955773" w:rsidRDefault="00955773">
      <w:pPr>
        <w:pStyle w:val="FootnoteText"/>
      </w:pPr>
      <w:r>
        <w:rPr>
          <w:rStyle w:val="FootnoteReference"/>
        </w:rPr>
        <w:footnoteRef/>
      </w:r>
      <w:r>
        <w:t xml:space="preserve"> </w:t>
      </w:r>
      <w:r w:rsidRPr="00755AA0">
        <w:rPr>
          <w:i/>
          <w:iCs/>
        </w:rPr>
        <w:t>Ibid</w:t>
      </w:r>
      <w:r>
        <w:t>.</w:t>
      </w:r>
    </w:p>
  </w:footnote>
  <w:footnote w:id="20">
    <w:p w14:paraId="2D8051CC" w14:textId="59BE064D" w:rsidR="00AF031C" w:rsidRDefault="00AF031C">
      <w:pPr>
        <w:pStyle w:val="FootnoteText"/>
      </w:pPr>
      <w:r>
        <w:rPr>
          <w:rStyle w:val="FootnoteReference"/>
        </w:rPr>
        <w:footnoteRef/>
      </w:r>
      <w:r>
        <w:t xml:space="preserve"> </w:t>
      </w:r>
      <w:r w:rsidRPr="00755AA0">
        <w:rPr>
          <w:i/>
          <w:iCs/>
        </w:rPr>
        <w:t>Ibid</w:t>
      </w:r>
      <w:r>
        <w:t>.</w:t>
      </w:r>
    </w:p>
  </w:footnote>
  <w:footnote w:id="21">
    <w:p w14:paraId="7F94C9D4" w14:textId="55C6A66F" w:rsidR="003D2501" w:rsidRDefault="003D2501">
      <w:pPr>
        <w:pStyle w:val="FootnoteText"/>
      </w:pPr>
      <w:r>
        <w:rPr>
          <w:rStyle w:val="FootnoteReference"/>
        </w:rPr>
        <w:footnoteRef/>
      </w:r>
      <w:r>
        <w:t xml:space="preserve"> </w:t>
      </w:r>
      <w:r w:rsidR="00107660" w:rsidRPr="00755AA0">
        <w:rPr>
          <w:i/>
          <w:iCs/>
        </w:rPr>
        <w:t>Ibid</w:t>
      </w:r>
      <w:r w:rsidR="00EA2BFA">
        <w:t xml:space="preserve">; </w:t>
      </w:r>
      <w:r w:rsidR="00EA2BFA">
        <w:rPr>
          <w:i/>
          <w:iCs/>
        </w:rPr>
        <w:t>s</w:t>
      </w:r>
      <w:r w:rsidR="00107660" w:rsidRPr="00755AA0">
        <w:rPr>
          <w:i/>
          <w:iCs/>
        </w:rPr>
        <w:t>ee also</w:t>
      </w:r>
      <w:r w:rsidR="00107660">
        <w:t xml:space="preserve"> </w:t>
      </w:r>
      <w:r w:rsidR="00755AA0">
        <w:t>Joint Applicant</w:t>
      </w:r>
      <w:r w:rsidR="008B7AE6">
        <w:t>s</w:t>
      </w:r>
      <w:r w:rsidR="00755AA0">
        <w:t>’ Aug</w:t>
      </w:r>
      <w:r w:rsidR="008B7AE6">
        <w:t>.</w:t>
      </w:r>
      <w:r w:rsidR="00755AA0">
        <w:t xml:space="preserve"> 15, 2025 Response </w:t>
      </w:r>
      <w:r w:rsidR="008B7AE6">
        <w:t xml:space="preserve">to ALJ’s Ruling </w:t>
      </w:r>
      <w:r w:rsidR="00755AA0">
        <w:t>at Attachment A.</w:t>
      </w:r>
    </w:p>
  </w:footnote>
  <w:footnote w:id="22">
    <w:p w14:paraId="60219975" w14:textId="7FEFDC5E" w:rsidR="003D2501" w:rsidRDefault="003D2501">
      <w:pPr>
        <w:pStyle w:val="FootnoteText"/>
      </w:pPr>
      <w:r>
        <w:rPr>
          <w:rStyle w:val="FootnoteReference"/>
        </w:rPr>
        <w:footnoteRef/>
      </w:r>
      <w:r>
        <w:t xml:space="preserve"> </w:t>
      </w:r>
      <w:r w:rsidR="00755AA0">
        <w:t>Application at</w:t>
      </w:r>
      <w:r w:rsidR="00A63944">
        <w:t xml:space="preserve"> 8.</w:t>
      </w:r>
    </w:p>
  </w:footnote>
  <w:footnote w:id="23">
    <w:p w14:paraId="1F3A1B58" w14:textId="132E7D4B" w:rsidR="00A13CB6" w:rsidRDefault="00A13CB6" w:rsidP="000F4363">
      <w:pPr>
        <w:pStyle w:val="FootnoteText"/>
        <w:spacing w:after="0"/>
      </w:pPr>
      <w:r>
        <w:rPr>
          <w:rStyle w:val="FootnoteReference"/>
        </w:rPr>
        <w:footnoteRef/>
      </w:r>
      <w:r>
        <w:t xml:space="preserve"> </w:t>
      </w:r>
      <w:r w:rsidR="00C51A1D" w:rsidRPr="00C51A1D">
        <w:rPr>
          <w:i/>
          <w:iCs/>
        </w:rPr>
        <w:t>Id</w:t>
      </w:r>
      <w:r w:rsidR="00C51A1D">
        <w:t>.</w:t>
      </w:r>
      <w:r>
        <w:t xml:space="preserve"> at 2.</w:t>
      </w:r>
    </w:p>
  </w:footnote>
  <w:footnote w:id="24">
    <w:p w14:paraId="3B5A645F" w14:textId="553396D4" w:rsidR="00B46407" w:rsidRDefault="00B46407" w:rsidP="00516B74">
      <w:pPr>
        <w:pStyle w:val="FootnoteText"/>
      </w:pPr>
      <w:r>
        <w:rPr>
          <w:rStyle w:val="FootnoteReference"/>
        </w:rPr>
        <w:footnoteRef/>
      </w:r>
      <w:r>
        <w:t xml:space="preserve"> Scoping Memo at </w:t>
      </w:r>
      <w:r w:rsidR="00A85925">
        <w:t>6.</w:t>
      </w:r>
    </w:p>
  </w:footnote>
  <w:footnote w:id="25">
    <w:p w14:paraId="6671202C" w14:textId="1F81608C" w:rsidR="000B4064" w:rsidRDefault="000B4064" w:rsidP="008741A2">
      <w:pPr>
        <w:pStyle w:val="FootnoteText"/>
        <w:spacing w:after="0"/>
      </w:pPr>
      <w:r>
        <w:rPr>
          <w:rStyle w:val="FootnoteReference"/>
        </w:rPr>
        <w:footnoteRef/>
      </w:r>
      <w:r>
        <w:t xml:space="preserve"> </w:t>
      </w:r>
      <w:r w:rsidRPr="00683FF6">
        <w:rPr>
          <w:i/>
          <w:iCs/>
        </w:rPr>
        <w:t>Id</w:t>
      </w:r>
      <w:r>
        <w:t>. at 5 [citing D.04-05-049].</w:t>
      </w:r>
    </w:p>
  </w:footnote>
  <w:footnote w:id="26">
    <w:p w14:paraId="31CE6B4B" w14:textId="1E8B3BB3" w:rsidR="00543D64" w:rsidRDefault="00543D64" w:rsidP="00A75658">
      <w:pPr>
        <w:pStyle w:val="FootnoteText"/>
        <w:rPr>
          <w:szCs w:val="22"/>
        </w:rPr>
      </w:pPr>
      <w:r>
        <w:rPr>
          <w:rStyle w:val="FootnoteReference"/>
          <w:szCs w:val="22"/>
        </w:rPr>
        <w:footnoteRef/>
      </w:r>
      <w:r>
        <w:rPr>
          <w:szCs w:val="22"/>
        </w:rPr>
        <w:t xml:space="preserve"> </w:t>
      </w:r>
      <w:r>
        <w:rPr>
          <w:i/>
          <w:szCs w:val="22"/>
        </w:rPr>
        <w:t>See</w:t>
      </w:r>
      <w:r>
        <w:rPr>
          <w:szCs w:val="22"/>
        </w:rPr>
        <w:t xml:space="preserve"> </w:t>
      </w:r>
      <w:r w:rsidR="00516B74">
        <w:rPr>
          <w:szCs w:val="22"/>
        </w:rPr>
        <w:t>D.</w:t>
      </w:r>
      <w:r w:rsidR="00EC1802">
        <w:rPr>
          <w:szCs w:val="22"/>
        </w:rPr>
        <w:t>18</w:t>
      </w:r>
      <w:r w:rsidR="005D591F">
        <w:rPr>
          <w:szCs w:val="22"/>
        </w:rPr>
        <w:t>-04-008 at 5.</w:t>
      </w:r>
    </w:p>
  </w:footnote>
  <w:footnote w:id="27">
    <w:p w14:paraId="56F6E29A" w14:textId="77777777" w:rsidR="00543D64" w:rsidRDefault="00543D64" w:rsidP="00543D64">
      <w:pPr>
        <w:pStyle w:val="FootnoteText"/>
      </w:pPr>
      <w:r>
        <w:rPr>
          <w:rStyle w:val="FootnoteReference"/>
        </w:rPr>
        <w:footnoteRef/>
      </w:r>
      <w:r>
        <w:t xml:space="preserve"> </w:t>
      </w:r>
      <w:r>
        <w:rPr>
          <w:i/>
          <w:iCs/>
        </w:rPr>
        <w:t>Ibid.</w:t>
      </w:r>
    </w:p>
  </w:footnote>
  <w:footnote w:id="28">
    <w:p w14:paraId="277A6A6B" w14:textId="45834EE5" w:rsidR="000C5F3D" w:rsidRDefault="000C5F3D" w:rsidP="000F4363">
      <w:pPr>
        <w:pStyle w:val="FootnoteText"/>
        <w:spacing w:after="0"/>
      </w:pPr>
      <w:r>
        <w:rPr>
          <w:rStyle w:val="FootnoteReference"/>
        </w:rPr>
        <w:footnoteRef/>
      </w:r>
      <w:r>
        <w:t xml:space="preserve"> Application at </w:t>
      </w:r>
      <w:r w:rsidR="005D2CB7">
        <w:t>14.</w:t>
      </w:r>
    </w:p>
  </w:footnote>
  <w:footnote w:id="29">
    <w:p w14:paraId="75A2258A" w14:textId="30147D0F" w:rsidR="00D407AF" w:rsidRDefault="00D407AF" w:rsidP="0021375E">
      <w:pPr>
        <w:pStyle w:val="FootnoteText"/>
        <w:spacing w:after="0"/>
      </w:pPr>
      <w:r>
        <w:rPr>
          <w:rStyle w:val="FootnoteReference"/>
        </w:rPr>
        <w:footnoteRef/>
      </w:r>
      <w:r>
        <w:t xml:space="preserve"> Joint Applicants</w:t>
      </w:r>
      <w:r w:rsidR="008B7AE6">
        <w:t>’</w:t>
      </w:r>
      <w:r>
        <w:t xml:space="preserve"> Opening Brief at 12.</w:t>
      </w:r>
    </w:p>
  </w:footnote>
  <w:footnote w:id="30">
    <w:p w14:paraId="3E866D9B" w14:textId="2141A671" w:rsidR="00555DE7" w:rsidRDefault="00555DE7" w:rsidP="00516B74">
      <w:pPr>
        <w:pStyle w:val="FootnoteText"/>
        <w:spacing w:before="120"/>
      </w:pPr>
      <w:r>
        <w:rPr>
          <w:rStyle w:val="FootnoteReference"/>
        </w:rPr>
        <w:footnoteRef/>
      </w:r>
      <w:r>
        <w:t xml:space="preserve"> </w:t>
      </w:r>
      <w:r w:rsidRPr="00555DE7">
        <w:rPr>
          <w:i/>
          <w:iCs/>
        </w:rPr>
        <w:t>I</w:t>
      </w:r>
      <w:r w:rsidR="00D407AF">
        <w:rPr>
          <w:i/>
          <w:iCs/>
        </w:rPr>
        <w:t>d.</w:t>
      </w:r>
      <w:r w:rsidR="009A0754">
        <w:t xml:space="preserve"> at </w:t>
      </w:r>
      <w:r w:rsidR="00884602">
        <w:t>12-13</w:t>
      </w:r>
      <w:r w:rsidR="00D407AF">
        <w:t xml:space="preserve">; </w:t>
      </w:r>
      <w:r w:rsidR="00D407AF" w:rsidRPr="00673D0E">
        <w:rPr>
          <w:i/>
          <w:iCs/>
        </w:rPr>
        <w:t>see also</w:t>
      </w:r>
      <w:r w:rsidR="00D407AF">
        <w:t xml:space="preserve"> Application at 14.</w:t>
      </w:r>
    </w:p>
  </w:footnote>
  <w:footnote w:id="31">
    <w:p w14:paraId="320DA71A" w14:textId="79C2F71C" w:rsidR="00662B00" w:rsidRDefault="00662B00">
      <w:pPr>
        <w:pStyle w:val="FootnoteText"/>
      </w:pPr>
      <w:r>
        <w:rPr>
          <w:rStyle w:val="FootnoteReference"/>
        </w:rPr>
        <w:footnoteRef/>
      </w:r>
      <w:r>
        <w:t xml:space="preserve"> </w:t>
      </w:r>
      <w:r w:rsidR="00884602" w:rsidRPr="00884602">
        <w:t>Application</w:t>
      </w:r>
      <w:r w:rsidRPr="00884602">
        <w:t xml:space="preserve"> at </w:t>
      </w:r>
      <w:r>
        <w:t>13.</w:t>
      </w:r>
    </w:p>
  </w:footnote>
  <w:footnote w:id="32">
    <w:p w14:paraId="4D2FF6EB" w14:textId="740996BC" w:rsidR="00454FDE" w:rsidRDefault="00454FDE">
      <w:pPr>
        <w:pStyle w:val="FootnoteText"/>
      </w:pPr>
      <w:r>
        <w:rPr>
          <w:rStyle w:val="FootnoteReference"/>
        </w:rPr>
        <w:footnoteRef/>
      </w:r>
      <w:r>
        <w:t xml:space="preserve"> </w:t>
      </w:r>
      <w:r w:rsidRPr="00454FDE">
        <w:rPr>
          <w:i/>
          <w:iCs/>
        </w:rPr>
        <w:t>Id</w:t>
      </w:r>
      <w:r>
        <w:t>. at 11.</w:t>
      </w:r>
    </w:p>
  </w:footnote>
  <w:footnote w:id="33">
    <w:p w14:paraId="5E39047B" w14:textId="5A864468" w:rsidR="008D40DF" w:rsidRDefault="008D40DF">
      <w:pPr>
        <w:pStyle w:val="FootnoteText"/>
      </w:pPr>
      <w:r>
        <w:rPr>
          <w:rStyle w:val="FootnoteReference"/>
        </w:rPr>
        <w:footnoteRef/>
      </w:r>
      <w:r>
        <w:t xml:space="preserve"> </w:t>
      </w:r>
      <w:r w:rsidR="00FC465C">
        <w:t>TURN Opening Brief at 16-18.</w:t>
      </w:r>
    </w:p>
  </w:footnote>
  <w:footnote w:id="34">
    <w:p w14:paraId="528830CE" w14:textId="31C02749" w:rsidR="001076A1" w:rsidRDefault="001076A1" w:rsidP="001076A1">
      <w:pPr>
        <w:pStyle w:val="FootnoteText"/>
      </w:pPr>
      <w:r>
        <w:rPr>
          <w:rStyle w:val="FootnoteReference"/>
        </w:rPr>
        <w:footnoteRef/>
      </w:r>
      <w:r>
        <w:t xml:space="preserve"> T</w:t>
      </w:r>
      <w:r w:rsidR="009C7E6E">
        <w:t xml:space="preserve">URN Exhibit </w:t>
      </w:r>
      <w:r>
        <w:t>15 at 5.</w:t>
      </w:r>
    </w:p>
  </w:footnote>
  <w:footnote w:id="35">
    <w:p w14:paraId="25864263" w14:textId="5DD26A09" w:rsidR="007B3081" w:rsidRDefault="007B3081" w:rsidP="000F4363">
      <w:pPr>
        <w:pStyle w:val="FootnoteText"/>
        <w:spacing w:after="0"/>
      </w:pPr>
      <w:r>
        <w:rPr>
          <w:rStyle w:val="FootnoteReference"/>
        </w:rPr>
        <w:footnoteRef/>
      </w:r>
      <w:r>
        <w:t xml:space="preserve"> </w:t>
      </w:r>
      <w:r w:rsidR="00D55FE0">
        <w:t>T</w:t>
      </w:r>
      <w:r w:rsidR="009C7E6E">
        <w:t xml:space="preserve">URN Exhibit </w:t>
      </w:r>
      <w:r w:rsidR="00D55FE0">
        <w:t>1 at 2</w:t>
      </w:r>
      <w:r w:rsidR="004F2BAE">
        <w:t>4-</w:t>
      </w:r>
      <w:r w:rsidR="005D73F5">
        <w:t>27</w:t>
      </w:r>
      <w:r w:rsidR="00D55FE0">
        <w:t>.</w:t>
      </w:r>
    </w:p>
  </w:footnote>
  <w:footnote w:id="36">
    <w:p w14:paraId="0EFE39A9" w14:textId="3261ADF0" w:rsidR="00D55FE0" w:rsidRDefault="00D55FE0">
      <w:pPr>
        <w:pStyle w:val="FootnoteText"/>
      </w:pPr>
      <w:r>
        <w:rPr>
          <w:rStyle w:val="FootnoteReference"/>
        </w:rPr>
        <w:footnoteRef/>
      </w:r>
      <w:r>
        <w:t xml:space="preserve"> </w:t>
      </w:r>
      <w:r w:rsidR="005D73F5" w:rsidRPr="008E6ECE">
        <w:rPr>
          <w:i/>
          <w:iCs/>
        </w:rPr>
        <w:t>Id</w:t>
      </w:r>
      <w:r w:rsidR="005D73F5">
        <w:t xml:space="preserve">. at </w:t>
      </w:r>
      <w:r w:rsidR="008207AF">
        <w:t xml:space="preserve">26; TURN Opening Brief at </w:t>
      </w:r>
      <w:r w:rsidR="008E6ECE">
        <w:t>21.</w:t>
      </w:r>
    </w:p>
  </w:footnote>
  <w:footnote w:id="37">
    <w:p w14:paraId="2B12FC11" w14:textId="213EC5CB" w:rsidR="00C77406" w:rsidRDefault="00C77406" w:rsidP="00516B74">
      <w:pPr>
        <w:pStyle w:val="FootnoteText"/>
      </w:pPr>
      <w:r>
        <w:rPr>
          <w:rStyle w:val="FootnoteReference"/>
        </w:rPr>
        <w:footnoteRef/>
      </w:r>
      <w:r>
        <w:t xml:space="preserve"> </w:t>
      </w:r>
      <w:r w:rsidR="00E55213">
        <w:t>TURN Opening Brief at 23-24</w:t>
      </w:r>
      <w:r w:rsidR="00174AE2">
        <w:t>; T</w:t>
      </w:r>
      <w:r w:rsidR="009C7E6E">
        <w:t xml:space="preserve">URN Exhibit </w:t>
      </w:r>
      <w:r w:rsidR="00174AE2">
        <w:t xml:space="preserve">1 at </w:t>
      </w:r>
      <w:r w:rsidR="002C1A95">
        <w:t>15-16.</w:t>
      </w:r>
    </w:p>
  </w:footnote>
  <w:footnote w:id="38">
    <w:p w14:paraId="75E232F4" w14:textId="20FAF730" w:rsidR="00B74E82" w:rsidRDefault="00B74E82">
      <w:pPr>
        <w:pStyle w:val="FootnoteText"/>
      </w:pPr>
      <w:r>
        <w:rPr>
          <w:rStyle w:val="FootnoteReference"/>
        </w:rPr>
        <w:footnoteRef/>
      </w:r>
      <w:r>
        <w:t xml:space="preserve"> </w:t>
      </w:r>
      <w:r w:rsidR="00C74546">
        <w:t xml:space="preserve">TURN Exhibit </w:t>
      </w:r>
      <w:r>
        <w:t xml:space="preserve">1 at </w:t>
      </w:r>
      <w:r w:rsidR="00220C2F">
        <w:t>12-13.</w:t>
      </w:r>
    </w:p>
  </w:footnote>
  <w:footnote w:id="39">
    <w:p w14:paraId="0E3D489C" w14:textId="77777777" w:rsidR="0097226D" w:rsidRDefault="0097226D" w:rsidP="0097226D">
      <w:pPr>
        <w:pStyle w:val="FootnoteText"/>
      </w:pPr>
      <w:r>
        <w:rPr>
          <w:rStyle w:val="FootnoteReference"/>
        </w:rPr>
        <w:footnoteRef/>
      </w:r>
      <w:r>
        <w:t xml:space="preserve"> TURN Opening Testimony at 25-26.</w:t>
      </w:r>
    </w:p>
  </w:footnote>
  <w:footnote w:id="40">
    <w:p w14:paraId="60174596" w14:textId="4CADD7B6" w:rsidR="0097226D" w:rsidRDefault="0097226D" w:rsidP="000F4363">
      <w:pPr>
        <w:pStyle w:val="FootnoteText"/>
      </w:pPr>
      <w:r>
        <w:rPr>
          <w:rStyle w:val="FootnoteReference"/>
        </w:rPr>
        <w:footnoteRef/>
      </w:r>
      <w:r>
        <w:t xml:space="preserve"> TURN argues that prospective board members Jorge Dominicis and Valerie Montgomery Rice’s prior involvement with Wellpath Holdings, Inc., which was the subject of multiple lawsuits relating to Wellpath’s provision of medical care, will result in Securus using IPCS customers’ medical data for profit or trying to avoid legal accountability for injuries to customers from that use. </w:t>
      </w:r>
      <w:r w:rsidR="00070170">
        <w:t xml:space="preserve"> </w:t>
      </w:r>
      <w:r>
        <w:t xml:space="preserve">(TURN Exhibit 1 at 26 [citing TURN Exhibit 13].) </w:t>
      </w:r>
      <w:r w:rsidR="00C02E9D">
        <w:t xml:space="preserve">TURN </w:t>
      </w:r>
      <w:r>
        <w:t>also argue</w:t>
      </w:r>
      <w:r w:rsidR="00C02E9D">
        <w:t>s</w:t>
      </w:r>
      <w:r>
        <w:t xml:space="preserve"> that board member Tara Prakriya’s work in the field of Artificial Intelligence (AI) will result in Securus using IPCS customers’ personal data in AI projects. </w:t>
      </w:r>
      <w:r w:rsidR="00070170">
        <w:t xml:space="preserve"> </w:t>
      </w:r>
      <w:r>
        <w:t>(</w:t>
      </w:r>
      <w:r w:rsidRPr="00045C1D">
        <w:rPr>
          <w:i/>
          <w:iCs/>
        </w:rPr>
        <w:t>Ibid</w:t>
      </w:r>
      <w:r>
        <w:t xml:space="preserve"> [citing TURN Exhibit</w:t>
      </w:r>
      <w:r w:rsidR="00070170">
        <w:t> </w:t>
      </w:r>
      <w:r>
        <w:t>14].) We do not find evidence in the record to support these conclusions.</w:t>
      </w:r>
    </w:p>
  </w:footnote>
  <w:footnote w:id="41">
    <w:p w14:paraId="30E2ADF3" w14:textId="06A93F99" w:rsidR="0069322B" w:rsidRDefault="0069322B" w:rsidP="000F4363">
      <w:pPr>
        <w:pStyle w:val="FootnoteText"/>
        <w:spacing w:after="0"/>
      </w:pPr>
      <w:r>
        <w:rPr>
          <w:rStyle w:val="FootnoteReference"/>
        </w:rPr>
        <w:footnoteRef/>
      </w:r>
      <w:r>
        <w:t xml:space="preserve"> Application at 13.</w:t>
      </w:r>
    </w:p>
  </w:footnote>
  <w:footnote w:id="42">
    <w:p w14:paraId="188ECF66" w14:textId="77777777" w:rsidR="008B4861" w:rsidRDefault="008B4861" w:rsidP="002A4F19">
      <w:pPr>
        <w:pStyle w:val="FootnoteText"/>
        <w:spacing w:after="0"/>
      </w:pPr>
      <w:r>
        <w:rPr>
          <w:rStyle w:val="FootnoteReference"/>
        </w:rPr>
        <w:footnoteRef/>
      </w:r>
      <w:r>
        <w:t xml:space="preserve"> </w:t>
      </w:r>
      <w:r w:rsidRPr="00673D0E">
        <w:rPr>
          <w:i/>
          <w:iCs/>
        </w:rPr>
        <w:t>See</w:t>
      </w:r>
      <w:r>
        <w:t xml:space="preserve"> D.08-12-021 at 7-13 (finding that when evaluating whether an indirect transfer constitutes a transfer of control, the Commission should look to factors including 1) whether the acquiring entity’s equity interest in the utility or parent will be greater than 50%, 2) whether the acquiring entity has the power to appoint a majority of the members of the board of directors or to direct management of the utility or its parent entity, and 3) whether the acquiring entity has actual or working control of the day-to-day business of the utility).</w:t>
      </w:r>
    </w:p>
  </w:footnote>
  <w:footnote w:id="43">
    <w:p w14:paraId="1A0744D7" w14:textId="4C294461" w:rsidR="002F4640" w:rsidRDefault="002F4640" w:rsidP="00A75658">
      <w:pPr>
        <w:pStyle w:val="FootnoteText"/>
      </w:pPr>
      <w:r>
        <w:rPr>
          <w:rStyle w:val="FootnoteReference"/>
        </w:rPr>
        <w:footnoteRef/>
      </w:r>
      <w:r>
        <w:t xml:space="preserve"> TURN Opening Brief at </w:t>
      </w:r>
      <w:r w:rsidR="00BA535B">
        <w:t>25.</w:t>
      </w:r>
    </w:p>
  </w:footnote>
  <w:footnote w:id="44">
    <w:p w14:paraId="3D883CF6" w14:textId="25B69914" w:rsidR="00BD77D4" w:rsidRDefault="00BD77D4" w:rsidP="0021375E">
      <w:pPr>
        <w:pStyle w:val="FootnoteText"/>
      </w:pPr>
      <w:r>
        <w:rPr>
          <w:rStyle w:val="FootnoteReference"/>
        </w:rPr>
        <w:footnoteRef/>
      </w:r>
      <w:r>
        <w:t xml:space="preserve"> </w:t>
      </w:r>
      <w:r w:rsidRPr="00673D0E">
        <w:rPr>
          <w:i/>
          <w:iCs/>
        </w:rPr>
        <w:t xml:space="preserve">See </w:t>
      </w:r>
      <w:r>
        <w:t>Application at</w:t>
      </w:r>
      <w:r w:rsidR="000A4708">
        <w:t xml:space="preserve"> 2, 7-8.</w:t>
      </w:r>
    </w:p>
  </w:footnote>
  <w:footnote w:id="45">
    <w:p w14:paraId="58601D4A" w14:textId="77777777" w:rsidR="00084E99" w:rsidRPr="007C734A" w:rsidRDefault="00084E99" w:rsidP="002A4F19">
      <w:pPr>
        <w:pStyle w:val="FootnoteText"/>
        <w:spacing w:after="0"/>
        <w:rPr>
          <w:lang w:val="en-ZW"/>
        </w:rPr>
      </w:pPr>
      <w:r>
        <w:rPr>
          <w:rStyle w:val="FootnoteReference"/>
        </w:rPr>
        <w:footnoteRef/>
      </w:r>
      <w:r>
        <w:t xml:space="preserve"> </w:t>
      </w:r>
      <w:r w:rsidRPr="00483130">
        <w:t>D.24-11-003</w:t>
      </w:r>
      <w:r w:rsidR="00420A99">
        <w:t xml:space="preserve"> at</w:t>
      </w:r>
      <w:r w:rsidRPr="00483130">
        <w:t xml:space="preserve"> </w:t>
      </w:r>
      <w:r w:rsidR="0055600F">
        <w:t xml:space="preserve">54-56, </w:t>
      </w:r>
      <w:r w:rsidRPr="00483130">
        <w:t>Appendix F.</w:t>
      </w:r>
    </w:p>
  </w:footnote>
  <w:footnote w:id="46">
    <w:p w14:paraId="7A507692" w14:textId="77777777" w:rsidR="000465D2" w:rsidRDefault="000465D2">
      <w:pPr>
        <w:pStyle w:val="FootnoteText"/>
      </w:pPr>
      <w:r>
        <w:rPr>
          <w:rStyle w:val="FootnoteReference"/>
        </w:rPr>
        <w:footnoteRef/>
      </w:r>
      <w:r>
        <w:t xml:space="preserve"> </w:t>
      </w:r>
      <w:r w:rsidR="00150901" w:rsidRPr="00150901">
        <w:rPr>
          <w:i/>
          <w:iCs/>
        </w:rPr>
        <w:t>Id</w:t>
      </w:r>
      <w:r w:rsidR="00150901">
        <w:t>. at 54</w:t>
      </w:r>
      <w:r w:rsidR="00C33374">
        <w:t>, Appendix F</w:t>
      </w:r>
      <w:r w:rsidR="00150901">
        <w:t>.</w:t>
      </w:r>
    </w:p>
  </w:footnote>
  <w:footnote w:id="47">
    <w:p w14:paraId="524C9642" w14:textId="1CB89C91" w:rsidR="009E5B41" w:rsidRDefault="009E5B41" w:rsidP="00A75658">
      <w:pPr>
        <w:pStyle w:val="FootnoteText"/>
      </w:pPr>
      <w:r>
        <w:rPr>
          <w:rStyle w:val="FootnoteReference"/>
        </w:rPr>
        <w:footnoteRef/>
      </w:r>
      <w:r>
        <w:t xml:space="preserve"> </w:t>
      </w:r>
      <w:r w:rsidR="006E4AC7">
        <w:t xml:space="preserve">Application at </w:t>
      </w:r>
      <w:r w:rsidR="00C33123">
        <w:t>Exhibit D.</w:t>
      </w:r>
    </w:p>
  </w:footnote>
  <w:footnote w:id="48">
    <w:p w14:paraId="2111579E" w14:textId="710C5D2D" w:rsidR="00BC047A" w:rsidRDefault="00BC047A">
      <w:pPr>
        <w:pStyle w:val="FootnoteText"/>
      </w:pPr>
      <w:r>
        <w:rPr>
          <w:rStyle w:val="FootnoteReference"/>
        </w:rPr>
        <w:footnoteRef/>
      </w:r>
      <w:r>
        <w:t xml:space="preserve"> </w:t>
      </w:r>
      <w:r w:rsidR="00D279E0">
        <w:t>Joint Applicant</w:t>
      </w:r>
      <w:r w:rsidR="008B7AE6">
        <w:t>s</w:t>
      </w:r>
      <w:r w:rsidR="00D279E0">
        <w:t>’ Aug</w:t>
      </w:r>
      <w:r w:rsidR="008B7AE6">
        <w:t>.</w:t>
      </w:r>
      <w:r w:rsidR="00D279E0">
        <w:t xml:space="preserve"> 15, 2025 Response </w:t>
      </w:r>
      <w:r w:rsidR="008B7AE6">
        <w:t xml:space="preserve">to ALJ’s Ruling </w:t>
      </w:r>
      <w:r w:rsidR="00D279E0">
        <w:t>at Attachment</w:t>
      </w:r>
      <w:r w:rsidR="0015361D">
        <w:t xml:space="preserve"> A.</w:t>
      </w:r>
    </w:p>
  </w:footnote>
  <w:footnote w:id="49">
    <w:p w14:paraId="0C91F5EF" w14:textId="4E0B58F2" w:rsidR="002C65AE" w:rsidRDefault="002C65AE" w:rsidP="00070170">
      <w:pPr>
        <w:pStyle w:val="FootnoteText"/>
        <w:spacing w:after="0"/>
      </w:pPr>
      <w:r>
        <w:rPr>
          <w:rStyle w:val="FootnoteReference"/>
        </w:rPr>
        <w:footnoteRef/>
      </w:r>
      <w:r>
        <w:t xml:space="preserve"> TURN Opening Brief at 21.</w:t>
      </w:r>
    </w:p>
  </w:footnote>
  <w:footnote w:id="50">
    <w:p w14:paraId="7BE1C54F" w14:textId="10E964C4" w:rsidR="008776F9" w:rsidRDefault="008776F9" w:rsidP="002A4F19">
      <w:pPr>
        <w:pStyle w:val="FootnoteText"/>
        <w:spacing w:after="0"/>
        <w:rPr>
          <w:szCs w:val="22"/>
        </w:rPr>
      </w:pPr>
      <w:r w:rsidRPr="00483130">
        <w:rPr>
          <w:rStyle w:val="FootnoteReference"/>
          <w:szCs w:val="22"/>
        </w:rPr>
        <w:footnoteRef/>
      </w:r>
      <w:r w:rsidRPr="00483130">
        <w:rPr>
          <w:szCs w:val="22"/>
        </w:rPr>
        <w:t xml:space="preserve">  </w:t>
      </w:r>
      <w:r w:rsidR="00983001">
        <w:rPr>
          <w:szCs w:val="22"/>
        </w:rPr>
        <w:t>D.13-05-</w:t>
      </w:r>
      <w:r w:rsidR="00397391">
        <w:rPr>
          <w:szCs w:val="22"/>
        </w:rPr>
        <w:t>035, Ordering Paragraph 14.</w:t>
      </w:r>
    </w:p>
  </w:footnote>
  <w:footnote w:id="51">
    <w:p w14:paraId="65C54533" w14:textId="77777777" w:rsidR="0031557F" w:rsidRDefault="0031557F" w:rsidP="00516B74">
      <w:pPr>
        <w:pStyle w:val="FootnoteText"/>
      </w:pPr>
      <w:r w:rsidRPr="00FF6028">
        <w:rPr>
          <w:rStyle w:val="FootnoteReference"/>
          <w:szCs w:val="22"/>
        </w:rPr>
        <w:footnoteRef/>
      </w:r>
      <w:r w:rsidRPr="00FF6028">
        <w:rPr>
          <w:szCs w:val="22"/>
        </w:rPr>
        <w:t xml:space="preserve">  </w:t>
      </w:r>
      <w:r w:rsidRPr="00FF6028">
        <w:rPr>
          <w:i/>
          <w:szCs w:val="22"/>
        </w:rPr>
        <w:t>I</w:t>
      </w:r>
      <w:r>
        <w:rPr>
          <w:i/>
          <w:szCs w:val="22"/>
        </w:rPr>
        <w:t>bi</w:t>
      </w:r>
      <w:r w:rsidRPr="00FF6028">
        <w:rPr>
          <w:i/>
          <w:szCs w:val="22"/>
        </w:rPr>
        <w:t>d</w:t>
      </w:r>
      <w:r w:rsidRPr="00FF6028">
        <w:rPr>
          <w:szCs w:val="22"/>
        </w:rPr>
        <w:t>.</w:t>
      </w:r>
    </w:p>
  </w:footnote>
  <w:footnote w:id="52">
    <w:p w14:paraId="03F146AD" w14:textId="77777777" w:rsidR="00F46247" w:rsidRDefault="00F46247" w:rsidP="00F46247">
      <w:pPr>
        <w:pStyle w:val="FootnoteText"/>
      </w:pPr>
      <w:r>
        <w:rPr>
          <w:rStyle w:val="FootnoteReference"/>
        </w:rPr>
        <w:footnoteRef/>
      </w:r>
      <w:r>
        <w:t xml:space="preserve"> TURN Exhibit 27X-R.</w:t>
      </w:r>
    </w:p>
  </w:footnote>
  <w:footnote w:id="53">
    <w:p w14:paraId="51481BA5" w14:textId="08B47456" w:rsidR="00147B24" w:rsidRDefault="00147B24">
      <w:pPr>
        <w:pStyle w:val="FootnoteText"/>
      </w:pPr>
      <w:r>
        <w:rPr>
          <w:rStyle w:val="FootnoteReference"/>
        </w:rPr>
        <w:footnoteRef/>
      </w:r>
      <w:r>
        <w:t xml:space="preserve"> Joint Applicants</w:t>
      </w:r>
      <w:r w:rsidR="00691C26">
        <w:t>’</w:t>
      </w:r>
      <w:r>
        <w:t xml:space="preserve"> Nov</w:t>
      </w:r>
      <w:r w:rsidR="008B7AE6">
        <w:t>.</w:t>
      </w:r>
      <w:r>
        <w:t xml:space="preserve"> 24, 2025 </w:t>
      </w:r>
      <w:r w:rsidR="00691C26">
        <w:t>Response to ALJ’s Ruling  at 3.</w:t>
      </w:r>
    </w:p>
  </w:footnote>
  <w:footnote w:id="54">
    <w:p w14:paraId="64FE6562" w14:textId="15D14719" w:rsidR="00A72112" w:rsidRDefault="00A72112">
      <w:pPr>
        <w:pStyle w:val="FootnoteText"/>
      </w:pPr>
      <w:r>
        <w:rPr>
          <w:rStyle w:val="FootnoteReference"/>
        </w:rPr>
        <w:footnoteRef/>
      </w:r>
      <w:r>
        <w:t xml:space="preserve"> </w:t>
      </w:r>
      <w:r w:rsidRPr="004E1E6F">
        <w:rPr>
          <w:i/>
          <w:iCs/>
        </w:rPr>
        <w:t>Id</w:t>
      </w:r>
      <w:r>
        <w:t>. at 3</w:t>
      </w:r>
      <w:r w:rsidR="004E1E6F">
        <w:t>-28.</w:t>
      </w:r>
    </w:p>
  </w:footnote>
  <w:footnote w:id="55">
    <w:p w14:paraId="7B2B0412" w14:textId="47C2B1A8" w:rsidR="0084170B" w:rsidRDefault="0084170B">
      <w:pPr>
        <w:pStyle w:val="FootnoteText"/>
      </w:pPr>
      <w:r>
        <w:rPr>
          <w:rStyle w:val="FootnoteReference"/>
        </w:rPr>
        <w:footnoteRef/>
      </w:r>
      <w:r>
        <w:t xml:space="preserve"> Application at 11; </w:t>
      </w:r>
      <w:r w:rsidR="00801139">
        <w:t xml:space="preserve">Joint Applicants’ </w:t>
      </w:r>
      <w:r w:rsidR="005D4D89">
        <w:t xml:space="preserve">Aug. 15, 2025 </w:t>
      </w:r>
      <w:r w:rsidR="00801139">
        <w:t xml:space="preserve">Response to Assigned ALJ’s Ruling at </w:t>
      </w:r>
      <w:r w:rsidR="003A47BD">
        <w:t>2.</w:t>
      </w:r>
    </w:p>
  </w:footnote>
  <w:footnote w:id="56">
    <w:p w14:paraId="45F58A11" w14:textId="23579941" w:rsidR="001D4C79" w:rsidRDefault="001D4C79" w:rsidP="002A4F19">
      <w:pPr>
        <w:pStyle w:val="FootnoteText"/>
        <w:spacing w:after="0"/>
      </w:pPr>
      <w:r>
        <w:rPr>
          <w:rStyle w:val="FootnoteReference"/>
        </w:rPr>
        <w:footnoteRef/>
      </w:r>
      <w:r>
        <w:t xml:space="preserve"> As noted above, </w:t>
      </w:r>
      <w:r w:rsidR="003B4D9C">
        <w:t>the Commission</w:t>
      </w:r>
      <w:r w:rsidR="000666A9">
        <w:t xml:space="preserve"> </w:t>
      </w:r>
      <w:r w:rsidR="009016FC">
        <w:t>has found that when an acquiring entity gains actual or working control of the day-to-day business of the utility</w:t>
      </w:r>
      <w:r w:rsidR="00977DEF">
        <w:t xml:space="preserve"> it constitutes a transfer of control that requires Commission approval</w:t>
      </w:r>
      <w:r w:rsidR="007155C4">
        <w:t xml:space="preserve">. </w:t>
      </w:r>
      <w:r w:rsidR="00EA2BFA">
        <w:t>(</w:t>
      </w:r>
      <w:r w:rsidR="007155C4" w:rsidRPr="007155C4">
        <w:rPr>
          <w:i/>
          <w:iCs/>
        </w:rPr>
        <w:t>See</w:t>
      </w:r>
      <w:r w:rsidR="007155C4">
        <w:t xml:space="preserve"> D.</w:t>
      </w:r>
      <w:r w:rsidR="00977DEF">
        <w:t>08-12-021</w:t>
      </w:r>
      <w:r w:rsidR="007A6C0F">
        <w:t xml:space="preserve"> at 7-13.)</w:t>
      </w:r>
    </w:p>
  </w:footnote>
  <w:footnote w:id="57">
    <w:p w14:paraId="10980ED2" w14:textId="41581447" w:rsidR="00B96017" w:rsidRDefault="00B96017" w:rsidP="00516B74">
      <w:pPr>
        <w:pStyle w:val="FootnoteText"/>
      </w:pPr>
      <w:r>
        <w:rPr>
          <w:rStyle w:val="FootnoteReference"/>
        </w:rPr>
        <w:footnoteRef/>
      </w:r>
      <w:r>
        <w:t xml:space="preserve"> </w:t>
      </w:r>
      <w:r w:rsidR="0021570A">
        <w:t>Joint Applicants’ Aug</w:t>
      </w:r>
      <w:r w:rsidR="005D4D89">
        <w:t>.</w:t>
      </w:r>
      <w:r w:rsidR="0021570A">
        <w:t xml:space="preserve"> 15, 2025 Response to ALJ’s Ruling  at Attachment B, p. 1.</w:t>
      </w:r>
    </w:p>
  </w:footnote>
  <w:footnote w:id="58">
    <w:p w14:paraId="109EDE49" w14:textId="484F5E98" w:rsidR="00235733" w:rsidRDefault="00235733" w:rsidP="0021375E">
      <w:pPr>
        <w:pStyle w:val="FootnoteText"/>
      </w:pPr>
      <w:r>
        <w:rPr>
          <w:rStyle w:val="FootnoteReference"/>
        </w:rPr>
        <w:footnoteRef/>
      </w:r>
      <w:r>
        <w:t xml:space="preserve"> </w:t>
      </w:r>
      <w:r w:rsidR="00CF41F8" w:rsidRPr="00CF41F8">
        <w:rPr>
          <w:i/>
          <w:iCs/>
        </w:rPr>
        <w:t>Ibid</w:t>
      </w:r>
      <w:r w:rsidR="00CF41F8">
        <w:t>.</w:t>
      </w:r>
    </w:p>
  </w:footnote>
  <w:footnote w:id="59">
    <w:p w14:paraId="316516E8" w14:textId="3BA24B56" w:rsidR="004D5C77" w:rsidRPr="004D5C77" w:rsidRDefault="004D5C77">
      <w:pPr>
        <w:pStyle w:val="FootnoteText"/>
      </w:pPr>
      <w:r>
        <w:rPr>
          <w:rStyle w:val="FootnoteReference"/>
        </w:rPr>
        <w:footnoteRef/>
      </w:r>
      <w:r>
        <w:t xml:space="preserve"> Public Resources Code §§ 21000, </w:t>
      </w:r>
      <w:r>
        <w:rPr>
          <w:i/>
          <w:iCs/>
        </w:rPr>
        <w:t>et seq</w:t>
      </w:r>
      <w:r>
        <w:t>.</w:t>
      </w:r>
    </w:p>
  </w:footnote>
  <w:footnote w:id="60">
    <w:p w14:paraId="0DCDFBC7" w14:textId="65784851" w:rsidR="00294715" w:rsidRDefault="00294715" w:rsidP="002A4F19">
      <w:pPr>
        <w:pStyle w:val="FootnoteText"/>
        <w:spacing w:after="0"/>
      </w:pPr>
      <w:r>
        <w:rPr>
          <w:rStyle w:val="FootnoteReference"/>
        </w:rPr>
        <w:footnoteRef/>
      </w:r>
      <w:r>
        <w:t xml:space="preserve"> </w:t>
      </w:r>
      <w:r w:rsidRPr="00405F9F">
        <w:rPr>
          <w:i/>
          <w:iCs/>
        </w:rPr>
        <w:t>See</w:t>
      </w:r>
      <w:r>
        <w:rPr>
          <w:i/>
          <w:iCs/>
        </w:rPr>
        <w:t xml:space="preserve"> </w:t>
      </w:r>
      <w:r>
        <w:t>Application at</w:t>
      </w:r>
      <w:r w:rsidR="007864A2">
        <w:t xml:space="preserve"> 7-8,</w:t>
      </w:r>
      <w:r>
        <w:t xml:space="preserve"> </w:t>
      </w:r>
      <w:r w:rsidR="00163E35">
        <w:t>9-10</w:t>
      </w:r>
      <w:r w:rsidR="00EA2BFA">
        <w:t>;</w:t>
      </w:r>
      <w:r>
        <w:t xml:space="preserve"> </w:t>
      </w:r>
      <w:r w:rsidR="00EA2BFA">
        <w:rPr>
          <w:i/>
          <w:iCs/>
        </w:rPr>
        <w:t>s</w:t>
      </w:r>
      <w:r w:rsidRPr="00A15763">
        <w:rPr>
          <w:i/>
          <w:iCs/>
        </w:rPr>
        <w:t>ee also</w:t>
      </w:r>
      <w:r w:rsidRPr="00D45AE1">
        <w:t xml:space="preserve"> Cal. Code Regs., </w:t>
      </w:r>
      <w:r w:rsidR="00EA2BFA">
        <w:t>t</w:t>
      </w:r>
      <w:r w:rsidRPr="00D45AE1">
        <w:t>it</w:t>
      </w:r>
      <w:r w:rsidR="00EA2BFA">
        <w:t>.</w:t>
      </w:r>
      <w:r w:rsidRPr="00D45AE1">
        <w:t xml:space="preserve"> 14</w:t>
      </w:r>
      <w:r w:rsidR="00EA2BFA">
        <w:t>,</w:t>
      </w:r>
      <w:r w:rsidRPr="00D45AE1">
        <w:t xml:space="preserve"> § 15061(b)(3)</w:t>
      </w:r>
      <w:r>
        <w:t xml:space="preserve"> </w:t>
      </w:r>
      <w:r w:rsidR="00EA2BFA">
        <w:t>(</w:t>
      </w:r>
      <w:r>
        <w:t>CEQA exemption provisions</w:t>
      </w:r>
      <w:r w:rsidR="00EA2BFA">
        <w:t>)</w:t>
      </w:r>
      <w:r>
        <w:t>.</w:t>
      </w:r>
    </w:p>
  </w:footnote>
  <w:footnote w:id="61">
    <w:p w14:paraId="58D99700" w14:textId="7CF36054" w:rsidR="00542FBC" w:rsidRDefault="00542FBC" w:rsidP="0021375E">
      <w:pPr>
        <w:pStyle w:val="FootnoteText"/>
      </w:pPr>
      <w:r>
        <w:rPr>
          <w:rStyle w:val="FootnoteReference"/>
        </w:rPr>
        <w:footnoteRef/>
      </w:r>
      <w:r>
        <w:t xml:space="preserve"> </w:t>
      </w:r>
      <w:r w:rsidR="00C77FC9">
        <w:t>Joint Applicants</w:t>
      </w:r>
      <w:r w:rsidR="008B7AE6">
        <w:t>’</w:t>
      </w:r>
      <w:r w:rsidR="00C77FC9">
        <w:t xml:space="preserve"> Opening Brief at 16.</w:t>
      </w:r>
    </w:p>
  </w:footnote>
  <w:footnote w:id="62">
    <w:p w14:paraId="47C7E986" w14:textId="2BCBF743" w:rsidR="0020164B" w:rsidRDefault="0020164B">
      <w:pPr>
        <w:pStyle w:val="FootnoteText"/>
      </w:pPr>
      <w:r>
        <w:rPr>
          <w:rStyle w:val="FootnoteReference"/>
        </w:rPr>
        <w:footnoteRef/>
      </w:r>
      <w:r>
        <w:t xml:space="preserve"> </w:t>
      </w:r>
      <w:r w:rsidRPr="004107DC">
        <w:rPr>
          <w:i/>
          <w:iCs/>
        </w:rPr>
        <w:t>Ibid.</w:t>
      </w:r>
      <w:r>
        <w:t xml:space="preserve">; </w:t>
      </w:r>
      <w:r w:rsidRPr="004107DC">
        <w:rPr>
          <w:i/>
          <w:iCs/>
        </w:rPr>
        <w:t>see also</w:t>
      </w:r>
      <w:r>
        <w:t xml:space="preserve"> Application at</w:t>
      </w:r>
      <w:r w:rsidR="004107DC">
        <w:t xml:space="preserve"> 13.</w:t>
      </w:r>
    </w:p>
  </w:footnote>
  <w:footnote w:id="63">
    <w:p w14:paraId="210B822A" w14:textId="526D751D" w:rsidR="001D6FC9" w:rsidRDefault="001D6FC9">
      <w:pPr>
        <w:pStyle w:val="FootnoteText"/>
      </w:pPr>
      <w:r>
        <w:rPr>
          <w:rStyle w:val="FootnoteReference"/>
        </w:rPr>
        <w:footnoteRef/>
      </w:r>
      <w:r>
        <w:t xml:space="preserve"> Joint Applicant</w:t>
      </w:r>
      <w:r w:rsidR="008B7AE6">
        <w:t>s</w:t>
      </w:r>
      <w:r>
        <w:t>’ Opening Brief at 16</w:t>
      </w:r>
      <w:r w:rsidR="00844548">
        <w:t xml:space="preserve"> </w:t>
      </w:r>
      <w:r w:rsidR="00EA2BFA">
        <w:t>(</w:t>
      </w:r>
      <w:r>
        <w:t>citing</w:t>
      </w:r>
      <w:r w:rsidR="00842D8B">
        <w:t xml:space="preserve"> </w:t>
      </w:r>
      <w:r w:rsidR="00664C27">
        <w:t xml:space="preserve">Joint Applicants Exhibit </w:t>
      </w:r>
      <w:r w:rsidR="00844548">
        <w:t>1</w:t>
      </w:r>
      <w:r w:rsidR="00B57D78">
        <w:t xml:space="preserve"> at 8-9</w:t>
      </w:r>
      <w:r w:rsidR="00EA2BFA">
        <w:t>)</w:t>
      </w:r>
      <w:r w:rsidR="00B57D78">
        <w:t>.</w:t>
      </w:r>
    </w:p>
  </w:footnote>
  <w:footnote w:id="64">
    <w:p w14:paraId="679365CB" w14:textId="34F06A53" w:rsidR="0012385C" w:rsidRDefault="0012385C">
      <w:pPr>
        <w:pStyle w:val="FootnoteText"/>
      </w:pPr>
      <w:r>
        <w:rPr>
          <w:rStyle w:val="FootnoteReference"/>
        </w:rPr>
        <w:footnoteRef/>
      </w:r>
      <w:r>
        <w:t xml:space="preserve"> </w:t>
      </w:r>
      <w:r w:rsidR="008C41BA">
        <w:t>TURN’s Opening Brief at 43-44.</w:t>
      </w:r>
    </w:p>
  </w:footnote>
  <w:footnote w:id="65">
    <w:p w14:paraId="2DF95276" w14:textId="2110E1BE" w:rsidR="00535FC1" w:rsidRDefault="00535FC1" w:rsidP="002A4F19">
      <w:pPr>
        <w:pStyle w:val="FootnoteText"/>
        <w:spacing w:after="0"/>
      </w:pPr>
      <w:r>
        <w:rPr>
          <w:rStyle w:val="FootnoteReference"/>
        </w:rPr>
        <w:footnoteRef/>
      </w:r>
      <w:r>
        <w:t xml:space="preserve"> </w:t>
      </w:r>
      <w:r w:rsidRPr="00516B74">
        <w:rPr>
          <w:i/>
          <w:iCs/>
        </w:rPr>
        <w:t>Id</w:t>
      </w:r>
      <w:r>
        <w:t xml:space="preserve">. at </w:t>
      </w:r>
      <w:r w:rsidR="0026608D">
        <w:t>44-45.</w:t>
      </w:r>
    </w:p>
  </w:footnote>
  <w:footnote w:id="66">
    <w:p w14:paraId="38AFCFAE" w14:textId="71086CF3" w:rsidR="000277BE" w:rsidRDefault="000277BE" w:rsidP="00516B74">
      <w:pPr>
        <w:pStyle w:val="FootnoteText"/>
      </w:pPr>
      <w:r>
        <w:rPr>
          <w:rStyle w:val="FootnoteReference"/>
        </w:rPr>
        <w:footnoteRef/>
      </w:r>
      <w:r>
        <w:t xml:space="preserve"> </w:t>
      </w:r>
      <w:r w:rsidRPr="000277BE">
        <w:rPr>
          <w:i/>
          <w:iCs/>
        </w:rPr>
        <w:t>Id</w:t>
      </w:r>
      <w:r>
        <w:t>. at 44.</w:t>
      </w:r>
    </w:p>
  </w:footnote>
  <w:footnote w:id="67">
    <w:p w14:paraId="3E86F458" w14:textId="04C96FC9" w:rsidR="00250FBF" w:rsidRDefault="00250FBF" w:rsidP="0021375E">
      <w:pPr>
        <w:pStyle w:val="FootnoteText"/>
      </w:pPr>
      <w:r>
        <w:rPr>
          <w:rStyle w:val="FootnoteReference"/>
        </w:rPr>
        <w:footnoteRef/>
      </w:r>
      <w:r>
        <w:t xml:space="preserve"> </w:t>
      </w:r>
      <w:r w:rsidR="00A0000F" w:rsidRPr="00A0000F">
        <w:rPr>
          <w:i/>
          <w:iCs/>
        </w:rPr>
        <w:t>Id</w:t>
      </w:r>
      <w:r w:rsidR="00A0000F">
        <w:t>. at 45.</w:t>
      </w:r>
    </w:p>
  </w:footnote>
  <w:footnote w:id="68">
    <w:p w14:paraId="7F43EE58" w14:textId="77777777" w:rsidR="00356C33" w:rsidRDefault="00356C33" w:rsidP="00356C33">
      <w:pPr>
        <w:pStyle w:val="FootnoteText"/>
      </w:pPr>
      <w:r>
        <w:rPr>
          <w:rStyle w:val="FootnoteReference"/>
        </w:rPr>
        <w:footnoteRef/>
      </w:r>
      <w:r>
        <w:t xml:space="preserve"> Application at 13.</w:t>
      </w:r>
    </w:p>
  </w:footnote>
  <w:footnote w:id="69">
    <w:p w14:paraId="536DB7FE" w14:textId="71BBD508" w:rsidR="0077234E" w:rsidRDefault="0077234E" w:rsidP="0077234E">
      <w:pPr>
        <w:pStyle w:val="FootnoteText"/>
      </w:pPr>
      <w:r>
        <w:rPr>
          <w:rStyle w:val="FootnoteReference"/>
        </w:rPr>
        <w:footnoteRef/>
      </w:r>
      <w:r>
        <w:t xml:space="preserve"> Joint Applicants</w:t>
      </w:r>
      <w:r w:rsidR="008B7AE6">
        <w:t>’</w:t>
      </w:r>
      <w:r>
        <w:t xml:space="preserve"> Opening Brief at 12.</w:t>
      </w:r>
    </w:p>
  </w:footnote>
  <w:footnote w:id="70">
    <w:p w14:paraId="07B2ADC4" w14:textId="222E6EA6" w:rsidR="00316312" w:rsidRDefault="00316312" w:rsidP="002A4F19">
      <w:pPr>
        <w:pStyle w:val="FootnoteText"/>
        <w:spacing w:after="0"/>
      </w:pPr>
      <w:r>
        <w:rPr>
          <w:rStyle w:val="FootnoteReference"/>
        </w:rPr>
        <w:footnoteRef/>
      </w:r>
      <w:r>
        <w:t xml:space="preserve"> CPUC Environmental &amp; Social Justice Action Plan at 24.</w:t>
      </w:r>
    </w:p>
  </w:footnote>
  <w:footnote w:id="71">
    <w:p w14:paraId="67A44285" w14:textId="0DA6065E" w:rsidR="00340636" w:rsidRDefault="00340636" w:rsidP="0021375E">
      <w:pPr>
        <w:pStyle w:val="FootnoteText"/>
      </w:pPr>
      <w:r>
        <w:rPr>
          <w:rStyle w:val="FootnoteReference"/>
        </w:rPr>
        <w:footnoteRef/>
      </w:r>
      <w:r>
        <w:t xml:space="preserve"> </w:t>
      </w:r>
      <w:r w:rsidR="00F52DB7">
        <w:t>S</w:t>
      </w:r>
      <w:r w:rsidR="00F52DB7" w:rsidRPr="00F52DB7">
        <w:rPr>
          <w:i/>
          <w:iCs/>
        </w:rPr>
        <w:t>ee, e.g.</w:t>
      </w:r>
      <w:r w:rsidR="00F52DB7" w:rsidRPr="00F52DB7">
        <w:t>, D.05-11-029 at 112 (“[W]e find no basis upon which to conclude that such adverse consequences which these conditions are designed to mitigate would result from this transaction.”) and 113 (finding that proposed conditions cannot be justified if they are neither needed to “prevent serious adverse consequences” or do not represent “reasonable options”)</w:t>
      </w:r>
      <w:r w:rsidR="007D2BEB">
        <w:t>.</w:t>
      </w:r>
    </w:p>
  </w:footnote>
  <w:footnote w:id="72">
    <w:p w14:paraId="4C330492" w14:textId="275A7ACD" w:rsidR="007541DF" w:rsidRDefault="007541DF">
      <w:pPr>
        <w:pStyle w:val="FootnoteText"/>
      </w:pPr>
      <w:r>
        <w:rPr>
          <w:rStyle w:val="FootnoteReference"/>
        </w:rPr>
        <w:footnoteRef/>
      </w:r>
      <w:r>
        <w:t xml:space="preserve"> TURN Opening Brief at 28.</w:t>
      </w:r>
    </w:p>
  </w:footnote>
  <w:footnote w:id="73">
    <w:p w14:paraId="091C6897" w14:textId="560C0DB0" w:rsidR="00AD2215" w:rsidRDefault="00AD2215">
      <w:pPr>
        <w:pStyle w:val="FootnoteText"/>
      </w:pPr>
      <w:r>
        <w:rPr>
          <w:rStyle w:val="FootnoteReference"/>
        </w:rPr>
        <w:footnoteRef/>
      </w:r>
      <w:r>
        <w:t xml:space="preserve"> </w:t>
      </w:r>
      <w:r w:rsidRPr="00E6412E">
        <w:rPr>
          <w:i/>
          <w:iCs/>
        </w:rPr>
        <w:t>Id</w:t>
      </w:r>
      <w:r>
        <w:t xml:space="preserve">. at 29; </w:t>
      </w:r>
      <w:r w:rsidR="00A25A83">
        <w:t xml:space="preserve">TURN Exhibit </w:t>
      </w:r>
      <w:r w:rsidR="00E6412E">
        <w:t>1 at 15-16</w:t>
      </w:r>
    </w:p>
  </w:footnote>
  <w:footnote w:id="74">
    <w:p w14:paraId="011D0E79" w14:textId="70643468" w:rsidR="004E1665" w:rsidRDefault="004E1665">
      <w:pPr>
        <w:pStyle w:val="FootnoteText"/>
      </w:pPr>
      <w:r>
        <w:rPr>
          <w:rStyle w:val="FootnoteReference"/>
        </w:rPr>
        <w:footnoteRef/>
      </w:r>
      <w:r>
        <w:t xml:space="preserve"> </w:t>
      </w:r>
      <w:r w:rsidR="00917F22" w:rsidRPr="00805057">
        <w:rPr>
          <w:i/>
          <w:iCs/>
        </w:rPr>
        <w:t>See</w:t>
      </w:r>
      <w:r w:rsidR="00917F22">
        <w:t xml:space="preserve"> </w:t>
      </w:r>
      <w:r w:rsidR="00A25A83">
        <w:t xml:space="preserve">TURN Exhibit </w:t>
      </w:r>
      <w:r w:rsidR="00917F22">
        <w:t>27X-R.</w:t>
      </w:r>
    </w:p>
  </w:footnote>
  <w:footnote w:id="75">
    <w:p w14:paraId="04230780" w14:textId="4D4979F3" w:rsidR="00917F22" w:rsidRDefault="00917F22" w:rsidP="002A4F19">
      <w:pPr>
        <w:pStyle w:val="FootnoteText"/>
        <w:spacing w:after="0"/>
      </w:pPr>
      <w:r>
        <w:rPr>
          <w:rStyle w:val="FootnoteReference"/>
        </w:rPr>
        <w:footnoteRef/>
      </w:r>
      <w:r>
        <w:t xml:space="preserve"> </w:t>
      </w:r>
      <w:r w:rsidRPr="00805057">
        <w:rPr>
          <w:i/>
          <w:iCs/>
        </w:rPr>
        <w:t>See</w:t>
      </w:r>
      <w:r w:rsidR="00805057">
        <w:t xml:space="preserve"> D.</w:t>
      </w:r>
      <w:r w:rsidR="00EE228A">
        <w:t>08-12-021 at 7-13.</w:t>
      </w:r>
    </w:p>
  </w:footnote>
  <w:footnote w:id="76">
    <w:p w14:paraId="4203C283" w14:textId="7B300C2A" w:rsidR="00805057" w:rsidRDefault="00805057" w:rsidP="0021375E">
      <w:pPr>
        <w:pStyle w:val="FootnoteText"/>
      </w:pPr>
      <w:r>
        <w:rPr>
          <w:rStyle w:val="FootnoteReference"/>
        </w:rPr>
        <w:footnoteRef/>
      </w:r>
      <w:r>
        <w:t xml:space="preserve"> </w:t>
      </w:r>
      <w:r w:rsidR="0073717F" w:rsidRPr="00D36DC2">
        <w:rPr>
          <w:i/>
          <w:iCs/>
        </w:rPr>
        <w:t>See</w:t>
      </w:r>
      <w:r w:rsidR="0073717F">
        <w:t xml:space="preserve"> D.93-02-019 at Appendix A, p. 8</w:t>
      </w:r>
      <w:r w:rsidR="00CD5181">
        <w:t xml:space="preserve"> (requiring utilities to submit corporate organizational chart </w:t>
      </w:r>
      <w:r w:rsidR="000F4FD6">
        <w:t xml:space="preserve">including </w:t>
      </w:r>
      <w:r w:rsidR="00D36DC2">
        <w:t>controlling corporation at top of chart).</w:t>
      </w:r>
    </w:p>
  </w:footnote>
  <w:footnote w:id="77">
    <w:p w14:paraId="37638E40" w14:textId="69B2DDBB" w:rsidR="001D2AC8" w:rsidRDefault="001D2AC8">
      <w:pPr>
        <w:pStyle w:val="FootnoteText"/>
      </w:pPr>
      <w:r>
        <w:rPr>
          <w:rStyle w:val="FootnoteReference"/>
        </w:rPr>
        <w:footnoteRef/>
      </w:r>
      <w:r>
        <w:t xml:space="preserve"> TURN Opening Brief at </w:t>
      </w:r>
      <w:r w:rsidR="00826C79">
        <w:t>32-35.</w:t>
      </w:r>
    </w:p>
  </w:footnote>
  <w:footnote w:id="78">
    <w:p w14:paraId="0211E643" w14:textId="1039B0F4" w:rsidR="00BC7118" w:rsidRDefault="00BC7118">
      <w:pPr>
        <w:pStyle w:val="FootnoteText"/>
      </w:pPr>
      <w:r>
        <w:rPr>
          <w:rStyle w:val="FootnoteReference"/>
        </w:rPr>
        <w:footnoteRef/>
      </w:r>
      <w:r>
        <w:t xml:space="preserve"> </w:t>
      </w:r>
      <w:r w:rsidR="00FD2F42" w:rsidRPr="00FD2F42">
        <w:rPr>
          <w:i/>
          <w:iCs/>
        </w:rPr>
        <w:t>Id</w:t>
      </w:r>
      <w:r w:rsidR="00FD2F42">
        <w:t>. at 40-41.</w:t>
      </w:r>
    </w:p>
  </w:footnote>
  <w:footnote w:id="79">
    <w:p w14:paraId="36296F83" w14:textId="769810F1" w:rsidR="0006763C" w:rsidRDefault="0006763C">
      <w:pPr>
        <w:pStyle w:val="FootnoteText"/>
      </w:pPr>
      <w:r>
        <w:rPr>
          <w:rStyle w:val="FootnoteReference"/>
        </w:rPr>
        <w:footnoteRef/>
      </w:r>
      <w:r>
        <w:t xml:space="preserve"> </w:t>
      </w:r>
      <w:r w:rsidRPr="0043738F">
        <w:rPr>
          <w:i/>
          <w:iCs/>
        </w:rPr>
        <w:t>Id</w:t>
      </w:r>
      <w:r>
        <w:t>. at 32-</w:t>
      </w:r>
      <w:r w:rsidR="0043738F">
        <w:t>41.</w:t>
      </w:r>
    </w:p>
  </w:footnote>
  <w:footnote w:id="80">
    <w:p w14:paraId="256D9025" w14:textId="78041E57" w:rsidR="0019107A" w:rsidRDefault="0019107A" w:rsidP="0019107A">
      <w:pPr>
        <w:pStyle w:val="FootnoteText"/>
      </w:pPr>
      <w:r>
        <w:rPr>
          <w:rStyle w:val="FootnoteReference"/>
        </w:rPr>
        <w:footnoteRef/>
      </w:r>
      <w:r>
        <w:t xml:space="preserve"> </w:t>
      </w:r>
      <w:r w:rsidRPr="00884602">
        <w:t xml:space="preserve">Application at </w:t>
      </w:r>
      <w:r>
        <w:t>13</w:t>
      </w:r>
      <w:r w:rsidR="00D34EC2">
        <w:t>-14</w:t>
      </w:r>
      <w:r>
        <w:t>.</w:t>
      </w:r>
    </w:p>
  </w:footnote>
  <w:footnote w:id="81">
    <w:p w14:paraId="58D4A98B" w14:textId="1BF16969" w:rsidR="00B671AC" w:rsidRDefault="00B671AC" w:rsidP="00516B74">
      <w:pPr>
        <w:pStyle w:val="FootnoteText"/>
      </w:pPr>
      <w:r>
        <w:rPr>
          <w:rStyle w:val="FootnoteReference"/>
        </w:rPr>
        <w:footnoteRef/>
      </w:r>
      <w:r>
        <w:t xml:space="preserve"> TURN Opening Brief at 30-</w:t>
      </w:r>
      <w:r w:rsidR="007D45E6">
        <w:t>32.</w:t>
      </w:r>
    </w:p>
  </w:footnote>
  <w:footnote w:id="82">
    <w:p w14:paraId="3AA8FF7F" w14:textId="095E5340" w:rsidR="00FD294E" w:rsidRDefault="00FD294E" w:rsidP="002A4F19">
      <w:pPr>
        <w:pStyle w:val="FootnoteText"/>
        <w:spacing w:after="0"/>
      </w:pPr>
      <w:r>
        <w:rPr>
          <w:rStyle w:val="FootnoteReference"/>
        </w:rPr>
        <w:footnoteRef/>
      </w:r>
      <w:r>
        <w:t xml:space="preserve"> </w:t>
      </w:r>
      <w:r w:rsidR="00A31591">
        <w:t>GO 104-A.</w:t>
      </w:r>
    </w:p>
  </w:footnote>
  <w:footnote w:id="83">
    <w:p w14:paraId="4E0807B7" w14:textId="12D5BED3" w:rsidR="00C03DE9" w:rsidRDefault="00C03DE9">
      <w:pPr>
        <w:pStyle w:val="FootnoteText"/>
      </w:pPr>
      <w:r>
        <w:rPr>
          <w:rStyle w:val="FootnoteReference"/>
        </w:rPr>
        <w:footnoteRef/>
      </w:r>
      <w:r>
        <w:t xml:space="preserve"> Scoping Memo</w:t>
      </w:r>
      <w:r w:rsidR="00B671AC">
        <w:t xml:space="preserve"> at 3.</w:t>
      </w:r>
    </w:p>
  </w:footnote>
  <w:footnote w:id="84">
    <w:p w14:paraId="23480C5F" w14:textId="36A61620" w:rsidR="006703D9" w:rsidRDefault="006703D9" w:rsidP="006703D9">
      <w:pPr>
        <w:pStyle w:val="FootnoteText"/>
      </w:pPr>
      <w:r>
        <w:rPr>
          <w:rStyle w:val="FootnoteReference"/>
        </w:rPr>
        <w:footnoteRef/>
      </w:r>
      <w:r>
        <w:t xml:space="preserve"> </w:t>
      </w:r>
      <w:r w:rsidR="008C1FCB" w:rsidRPr="009E6251">
        <w:t>TURN Opening Brief</w:t>
      </w:r>
      <w:r>
        <w:t xml:space="preserve"> at 38.</w:t>
      </w:r>
    </w:p>
  </w:footnote>
  <w:footnote w:id="85">
    <w:p w14:paraId="3AA73361" w14:textId="4DDF4DE0" w:rsidR="007E15A6" w:rsidRDefault="007E15A6">
      <w:pPr>
        <w:pStyle w:val="FootnoteText"/>
      </w:pPr>
      <w:r>
        <w:rPr>
          <w:rStyle w:val="FootnoteReference"/>
        </w:rPr>
        <w:footnoteRef/>
      </w:r>
      <w:r>
        <w:t xml:space="preserve"> </w:t>
      </w:r>
      <w:r w:rsidRPr="0043738F">
        <w:rPr>
          <w:i/>
          <w:iCs/>
        </w:rPr>
        <w:t>Id</w:t>
      </w:r>
      <w:r>
        <w:t>. at 32-41.</w:t>
      </w:r>
    </w:p>
  </w:footnote>
  <w:footnote w:id="86">
    <w:p w14:paraId="5A3129E4" w14:textId="53F73FC1" w:rsidR="00D3281D" w:rsidRDefault="00D3281D" w:rsidP="002A4F19">
      <w:pPr>
        <w:pStyle w:val="FootnoteText"/>
        <w:spacing w:after="0"/>
      </w:pPr>
      <w:r>
        <w:rPr>
          <w:rStyle w:val="FootnoteReference"/>
        </w:rPr>
        <w:footnoteRef/>
      </w:r>
      <w:r>
        <w:t xml:space="preserve"> </w:t>
      </w:r>
      <w:r w:rsidR="00D2337F">
        <w:t xml:space="preserve">Application at </w:t>
      </w:r>
      <w:r w:rsidR="00B42907">
        <w:t>13-</w:t>
      </w:r>
      <w:r w:rsidR="00D2337F">
        <w:t>14.</w:t>
      </w:r>
    </w:p>
  </w:footnote>
  <w:footnote w:id="87">
    <w:p w14:paraId="35443707" w14:textId="4693D5F2" w:rsidR="007842EC" w:rsidRDefault="007842EC">
      <w:pPr>
        <w:pStyle w:val="FootnoteText"/>
      </w:pPr>
      <w:r>
        <w:rPr>
          <w:rStyle w:val="FootnoteReference"/>
        </w:rPr>
        <w:footnoteRef/>
      </w:r>
      <w:r>
        <w:t xml:space="preserve"> </w:t>
      </w:r>
      <w:r w:rsidR="001C4ABD">
        <w:t>TURN Opening Brief at 39-41.</w:t>
      </w:r>
    </w:p>
  </w:footnote>
  <w:footnote w:id="88">
    <w:p w14:paraId="3A784E0E" w14:textId="21C2DA4A" w:rsidR="007842EC" w:rsidRDefault="007842EC">
      <w:pPr>
        <w:pStyle w:val="FootnoteText"/>
      </w:pPr>
      <w:r>
        <w:rPr>
          <w:rStyle w:val="FootnoteReference"/>
        </w:rPr>
        <w:footnoteRef/>
      </w:r>
      <w:r>
        <w:t xml:space="preserve"> </w:t>
      </w:r>
      <w:r w:rsidRPr="007842EC">
        <w:rPr>
          <w:i/>
          <w:iCs/>
        </w:rPr>
        <w:t>Id</w:t>
      </w:r>
      <w:r>
        <w:t>. at 41.</w:t>
      </w:r>
    </w:p>
  </w:footnote>
  <w:footnote w:id="89">
    <w:p w14:paraId="10359C27" w14:textId="2EA8495E" w:rsidR="009D2BB1" w:rsidRDefault="009D2BB1" w:rsidP="0048537F">
      <w:pPr>
        <w:pStyle w:val="FootnoteText"/>
        <w:spacing w:after="0"/>
      </w:pPr>
      <w:r>
        <w:rPr>
          <w:rStyle w:val="FootnoteReference"/>
        </w:rPr>
        <w:footnoteRef/>
      </w:r>
      <w:r>
        <w:t xml:space="preserve"> </w:t>
      </w:r>
      <w:r w:rsidRPr="00AD07EE">
        <w:rPr>
          <w:i/>
          <w:iCs/>
        </w:rPr>
        <w:t>I</w:t>
      </w:r>
      <w:r w:rsidR="00AD07EE">
        <w:rPr>
          <w:i/>
          <w:iCs/>
        </w:rPr>
        <w:t xml:space="preserve">d. </w:t>
      </w:r>
      <w:r w:rsidR="00AD07EE">
        <w:t>at 38.</w:t>
      </w:r>
    </w:p>
  </w:footnote>
  <w:footnote w:id="90">
    <w:p w14:paraId="53596337" w14:textId="18249CA6" w:rsidR="000A0E0A" w:rsidRDefault="000A0E0A" w:rsidP="0048537F">
      <w:pPr>
        <w:pStyle w:val="FootnoteText"/>
        <w:spacing w:after="0"/>
      </w:pPr>
      <w:r>
        <w:rPr>
          <w:rStyle w:val="FootnoteReference"/>
        </w:rPr>
        <w:footnoteRef/>
      </w:r>
      <w:r>
        <w:t xml:space="preserve"> </w:t>
      </w:r>
      <w:r w:rsidR="00CD304C" w:rsidRPr="4372617A">
        <w:rPr>
          <w:rFonts w:eastAsia="Book Antiqua" w:cs="Book Antiqua"/>
          <w:lang w:val="en-ZW"/>
        </w:rPr>
        <w:t>D.24-11-003 at 48-54; GO 66-D</w:t>
      </w:r>
      <w:r w:rsidR="00CD304C">
        <w:rPr>
          <w:rFonts w:eastAsia="Book Antiqua" w:cs="Book Antiqua"/>
          <w:lang w:val="en-ZW"/>
        </w:rPr>
        <w:t>.</w:t>
      </w:r>
    </w:p>
  </w:footnote>
  <w:footnote w:id="91">
    <w:p w14:paraId="77F0C20C" w14:textId="3BA7B002" w:rsidR="00BB0B65" w:rsidRDefault="00BB0B65" w:rsidP="0048537F">
      <w:pPr>
        <w:pStyle w:val="FootnoteText"/>
        <w:spacing w:after="0"/>
      </w:pPr>
      <w:r>
        <w:rPr>
          <w:rStyle w:val="FootnoteReference"/>
        </w:rPr>
        <w:footnoteRef/>
      </w:r>
      <w:r>
        <w:t xml:space="preserve"> </w:t>
      </w:r>
      <w:r w:rsidR="000A63CB">
        <w:t xml:space="preserve">TURN Exhibit </w:t>
      </w:r>
      <w:r w:rsidR="002D46F6">
        <w:t>27X-C</w:t>
      </w:r>
      <w:r w:rsidR="00A301D9">
        <w:t xml:space="preserve"> was de-designated as confidential </w:t>
      </w:r>
      <w:r w:rsidR="00943782">
        <w:t xml:space="preserve">and marked and admitted as exhibit TRN-27X-R </w:t>
      </w:r>
      <w:r w:rsidR="00A301D9">
        <w:t xml:space="preserve">pursuant to the assigned ALJ’s </w:t>
      </w:r>
      <w:r w:rsidR="006021D6">
        <w:t>January 9, 2026 ruling</w:t>
      </w:r>
      <w:r w:rsidR="00943782">
        <w:t>.</w:t>
      </w:r>
    </w:p>
  </w:footnote>
  <w:footnote w:id="92">
    <w:p w14:paraId="5D8A126D" w14:textId="0E3FC7FC" w:rsidR="00DF72D0" w:rsidRDefault="00DF72D0">
      <w:pPr>
        <w:pStyle w:val="FootnoteText"/>
      </w:pPr>
      <w:r>
        <w:rPr>
          <w:rStyle w:val="FootnoteReference"/>
        </w:rPr>
        <w:footnoteRef/>
      </w:r>
      <w:r>
        <w:t xml:space="preserve"> We note that the Joint Applicants agreed in their reply to </w:t>
      </w:r>
      <w:r w:rsidR="00BD6FC2">
        <w:t>TURN’s comments that Securus will construe the reporting condition to encompass</w:t>
      </w:r>
      <w:r w:rsidR="00A15449">
        <w:t xml:space="preserve"> changes to Securus’</w:t>
      </w:r>
      <w:r w:rsidR="00BD6FC2">
        <w:t xml:space="preserve"> privacy policies.</w:t>
      </w:r>
    </w:p>
  </w:footnote>
  <w:footnote w:id="93">
    <w:p w14:paraId="1F190560" w14:textId="7051CC69" w:rsidR="00115169" w:rsidRDefault="00115169">
      <w:pPr>
        <w:pStyle w:val="FootnoteText"/>
      </w:pPr>
      <w:r>
        <w:rPr>
          <w:rStyle w:val="FootnoteReference"/>
        </w:rPr>
        <w:footnoteRef/>
      </w:r>
      <w:r>
        <w:t xml:space="preserve"> </w:t>
      </w:r>
      <w:r w:rsidR="001F214B">
        <w:t>Application at 11; Joint Applicants’ Aug. 15, 2025 Response to Assigned ALJ’s Ruling at 2.</w:t>
      </w:r>
    </w:p>
  </w:footnote>
  <w:footnote w:id="94">
    <w:p w14:paraId="53A49816" w14:textId="5110FEF5" w:rsidR="00653F43" w:rsidRDefault="00653F43">
      <w:pPr>
        <w:pStyle w:val="FootnoteText"/>
      </w:pPr>
      <w:r>
        <w:rPr>
          <w:rStyle w:val="FootnoteReference"/>
        </w:rPr>
        <w:footnoteRef/>
      </w:r>
      <w:r>
        <w:t xml:space="preserve"> Joint Applicants’ Aug. 15, 2025 Response to Assigned ALJ’s Ruling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A42" w14:textId="77777777" w:rsidR="00BA200B" w:rsidRPr="00F92385" w:rsidRDefault="00BA200B"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4A5E" w14:textId="7784D4E2" w:rsidR="00030527" w:rsidRDefault="00030527" w:rsidP="00B3087D">
    <w:pPr>
      <w:pStyle w:val="Header"/>
      <w:tabs>
        <w:tab w:val="clear" w:pos="4680"/>
      </w:tabs>
      <w:ind w:firstLine="0"/>
      <w:rPr>
        <w:b/>
      </w:rPr>
    </w:pPr>
    <w:r w:rsidRPr="00030527">
      <w:t>A.25-05-016  ALJ/SCD/abb</w:t>
    </w:r>
    <w:r w:rsidR="00FE2351">
      <w:tab/>
    </w:r>
    <w:r w:rsidR="00FE2351">
      <w:rPr>
        <w:b/>
      </w:rPr>
      <w:t>PROPOSED DECISION</w:t>
    </w:r>
    <w:r w:rsidR="00B8509E">
      <w:rPr>
        <w:b/>
      </w:rPr>
      <w:t xml:space="preserve"> (Rev.1)</w:t>
    </w:r>
  </w:p>
  <w:p w14:paraId="076C034C" w14:textId="77777777" w:rsidR="002D5701" w:rsidRDefault="002D5701" w:rsidP="00B3087D">
    <w:pPr>
      <w:pStyle w:val="Header"/>
      <w:tabs>
        <w:tab w:val="clear" w:pos="4680"/>
      </w:tabs>
      <w:ind w:firstLine="0"/>
      <w:rPr>
        <w:b/>
      </w:rPr>
    </w:pPr>
  </w:p>
  <w:p w14:paraId="536E289D" w14:textId="77777777" w:rsidR="002D5701" w:rsidRPr="002D5701" w:rsidRDefault="002D5701" w:rsidP="00B3087D">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C207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62E9"/>
    <w:multiLevelType w:val="singleLevel"/>
    <w:tmpl w:val="0409001F"/>
    <w:lvl w:ilvl="0">
      <w:start w:val="1"/>
      <w:numFmt w:val="decimal"/>
      <w:lvlText w:val="%1."/>
      <w:legacy w:legacy="1" w:legacySpace="144" w:legacyIndent="0"/>
      <w:lvlJc w:val="left"/>
    </w:lvl>
  </w:abstractNum>
  <w:abstractNum w:abstractNumId="2" w15:restartNumberingAfterBreak="0">
    <w:nsid w:val="11261C0B"/>
    <w:multiLevelType w:val="singleLevel"/>
    <w:tmpl w:val="C1848026"/>
    <w:lvl w:ilvl="0">
      <w:start w:val="1"/>
      <w:numFmt w:val="decimal"/>
      <w:lvlText w:val="%1."/>
      <w:legacy w:legacy="1" w:legacySpace="144" w:legacyIndent="0"/>
      <w:lvlJc w:val="left"/>
      <w:pPr>
        <w:ind w:left="0" w:firstLine="0"/>
      </w:pPr>
      <w:rPr>
        <w:i w:val="0"/>
        <w:iCs/>
        <w:color w:val="auto"/>
      </w:rPr>
    </w:lvl>
  </w:abstractNum>
  <w:abstractNum w:abstractNumId="3" w15:restartNumberingAfterBreak="0">
    <w:nsid w:val="12882C3C"/>
    <w:multiLevelType w:val="hybridMultilevel"/>
    <w:tmpl w:val="42307FE2"/>
    <w:lvl w:ilvl="0" w:tplc="07D8516E">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6B129BD"/>
    <w:multiLevelType w:val="hybridMultilevel"/>
    <w:tmpl w:val="6046F4DC"/>
    <w:lvl w:ilvl="0" w:tplc="041E4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21FB58FE"/>
    <w:multiLevelType w:val="multilevel"/>
    <w:tmpl w:val="3C526EDE"/>
    <w:numStyleLink w:val="Headings"/>
  </w:abstractNum>
  <w:abstractNum w:abstractNumId="11" w15:restartNumberingAfterBreak="0">
    <w:nsid w:val="243663A0"/>
    <w:multiLevelType w:val="multilevel"/>
    <w:tmpl w:val="3C526EDE"/>
    <w:numStyleLink w:val="Headings"/>
  </w:abstractNum>
  <w:abstractNum w:abstractNumId="12" w15:restartNumberingAfterBreak="0">
    <w:nsid w:val="26937DEC"/>
    <w:multiLevelType w:val="hybridMultilevel"/>
    <w:tmpl w:val="4882F5B8"/>
    <w:lvl w:ilvl="0" w:tplc="D666815C">
      <w:start w:val="1"/>
      <w:numFmt w:val="bullet"/>
      <w:lvlText w:val="-"/>
      <w:lvlJc w:val="left"/>
      <w:pPr>
        <w:ind w:left="1080" w:hanging="360"/>
      </w:pPr>
      <w:rPr>
        <w:rFonts w:ascii="Book Antiqua" w:eastAsia="Times New Roman" w:hAnsi="Book Antiqua"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9D4384"/>
    <w:multiLevelType w:val="singleLevel"/>
    <w:tmpl w:val="041E4B1E"/>
    <w:lvl w:ilvl="0">
      <w:start w:val="1"/>
      <w:numFmt w:val="decimal"/>
      <w:lvlText w:val="%1."/>
      <w:lvlJc w:val="left"/>
      <w:pPr>
        <w:ind w:left="0" w:firstLine="540"/>
      </w:pPr>
      <w:rPr>
        <w:rFonts w:hint="default"/>
      </w:rPr>
    </w:lvl>
  </w:abstractNum>
  <w:abstractNum w:abstractNumId="14" w15:restartNumberingAfterBreak="0">
    <w:nsid w:val="2B8124D7"/>
    <w:multiLevelType w:val="multilevel"/>
    <w:tmpl w:val="3C526EDE"/>
    <w:numStyleLink w:val="Headings"/>
  </w:abstractNum>
  <w:abstractNum w:abstractNumId="15"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8E603E4"/>
    <w:multiLevelType w:val="hybridMultilevel"/>
    <w:tmpl w:val="05AE3EDE"/>
    <w:lvl w:ilvl="0" w:tplc="F77AB5C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F215C3"/>
    <w:multiLevelType w:val="multilevel"/>
    <w:tmpl w:val="2744A57E"/>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4A81E2B"/>
    <w:multiLevelType w:val="singleLevel"/>
    <w:tmpl w:val="B6E64A16"/>
    <w:lvl w:ilvl="0">
      <w:start w:val="1"/>
      <w:numFmt w:val="decimal"/>
      <w:lvlText w:val="%1."/>
      <w:lvlJc w:val="left"/>
      <w:pPr>
        <w:ind w:left="0" w:firstLine="540"/>
      </w:pPr>
      <w:rPr>
        <w:rFonts w:hint="default"/>
      </w:rPr>
    </w:lvl>
  </w:abstractNum>
  <w:abstractNum w:abstractNumId="19" w15:restartNumberingAfterBreak="0">
    <w:nsid w:val="46915C7B"/>
    <w:multiLevelType w:val="multilevel"/>
    <w:tmpl w:val="539AAB94"/>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F6776D1"/>
    <w:multiLevelType w:val="hybridMultilevel"/>
    <w:tmpl w:val="0F381A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B33A36"/>
    <w:multiLevelType w:val="hybridMultilevel"/>
    <w:tmpl w:val="B58AFFE6"/>
    <w:lvl w:ilvl="0" w:tplc="E1C628F0">
      <w:start w:val="1"/>
      <w:numFmt w:val="bullet"/>
      <w:lvlText w:val=""/>
      <w:lvlJc w:val="left"/>
      <w:pPr>
        <w:ind w:left="1440" w:hanging="360"/>
      </w:pPr>
      <w:rPr>
        <w:rFonts w:ascii="Symbol" w:hAnsi="Symbol"/>
      </w:rPr>
    </w:lvl>
    <w:lvl w:ilvl="1" w:tplc="FA2AA37A">
      <w:start w:val="1"/>
      <w:numFmt w:val="bullet"/>
      <w:lvlText w:val=""/>
      <w:lvlJc w:val="left"/>
      <w:pPr>
        <w:ind w:left="1440" w:hanging="360"/>
      </w:pPr>
      <w:rPr>
        <w:rFonts w:ascii="Symbol" w:hAnsi="Symbol"/>
      </w:rPr>
    </w:lvl>
    <w:lvl w:ilvl="2" w:tplc="1064445C">
      <w:start w:val="1"/>
      <w:numFmt w:val="bullet"/>
      <w:lvlText w:val=""/>
      <w:lvlJc w:val="left"/>
      <w:pPr>
        <w:ind w:left="1440" w:hanging="360"/>
      </w:pPr>
      <w:rPr>
        <w:rFonts w:ascii="Symbol" w:hAnsi="Symbol"/>
      </w:rPr>
    </w:lvl>
    <w:lvl w:ilvl="3" w:tplc="0B003C6E">
      <w:start w:val="1"/>
      <w:numFmt w:val="bullet"/>
      <w:lvlText w:val=""/>
      <w:lvlJc w:val="left"/>
      <w:pPr>
        <w:ind w:left="1440" w:hanging="360"/>
      </w:pPr>
      <w:rPr>
        <w:rFonts w:ascii="Symbol" w:hAnsi="Symbol"/>
      </w:rPr>
    </w:lvl>
    <w:lvl w:ilvl="4" w:tplc="B5F04DF8">
      <w:start w:val="1"/>
      <w:numFmt w:val="bullet"/>
      <w:lvlText w:val=""/>
      <w:lvlJc w:val="left"/>
      <w:pPr>
        <w:ind w:left="1440" w:hanging="360"/>
      </w:pPr>
      <w:rPr>
        <w:rFonts w:ascii="Symbol" w:hAnsi="Symbol"/>
      </w:rPr>
    </w:lvl>
    <w:lvl w:ilvl="5" w:tplc="B0CC0520">
      <w:start w:val="1"/>
      <w:numFmt w:val="bullet"/>
      <w:lvlText w:val=""/>
      <w:lvlJc w:val="left"/>
      <w:pPr>
        <w:ind w:left="1440" w:hanging="360"/>
      </w:pPr>
      <w:rPr>
        <w:rFonts w:ascii="Symbol" w:hAnsi="Symbol"/>
      </w:rPr>
    </w:lvl>
    <w:lvl w:ilvl="6" w:tplc="D6564916">
      <w:start w:val="1"/>
      <w:numFmt w:val="bullet"/>
      <w:lvlText w:val=""/>
      <w:lvlJc w:val="left"/>
      <w:pPr>
        <w:ind w:left="1440" w:hanging="360"/>
      </w:pPr>
      <w:rPr>
        <w:rFonts w:ascii="Symbol" w:hAnsi="Symbol"/>
      </w:rPr>
    </w:lvl>
    <w:lvl w:ilvl="7" w:tplc="5EE040E6">
      <w:start w:val="1"/>
      <w:numFmt w:val="bullet"/>
      <w:lvlText w:val=""/>
      <w:lvlJc w:val="left"/>
      <w:pPr>
        <w:ind w:left="1440" w:hanging="360"/>
      </w:pPr>
      <w:rPr>
        <w:rFonts w:ascii="Symbol" w:hAnsi="Symbol"/>
      </w:rPr>
    </w:lvl>
    <w:lvl w:ilvl="8" w:tplc="49EE9DE0">
      <w:start w:val="1"/>
      <w:numFmt w:val="bullet"/>
      <w:lvlText w:val=""/>
      <w:lvlJc w:val="left"/>
      <w:pPr>
        <w:ind w:left="1440" w:hanging="360"/>
      </w:pPr>
      <w:rPr>
        <w:rFonts w:ascii="Symbol" w:hAnsi="Symbol"/>
      </w:rPr>
    </w:lvl>
  </w:abstractNum>
  <w:abstractNum w:abstractNumId="22" w15:restartNumberingAfterBreak="0">
    <w:nsid w:val="5A9E2171"/>
    <w:multiLevelType w:val="multilevel"/>
    <w:tmpl w:val="3C526EDE"/>
    <w:numStyleLink w:val="Headings"/>
  </w:abstractNum>
  <w:abstractNum w:abstractNumId="23" w15:restartNumberingAfterBreak="0">
    <w:nsid w:val="5C0F05F6"/>
    <w:multiLevelType w:val="hybridMultilevel"/>
    <w:tmpl w:val="5412A902"/>
    <w:lvl w:ilvl="0" w:tplc="91280F0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351754"/>
    <w:multiLevelType w:val="hybridMultilevel"/>
    <w:tmpl w:val="68FA9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A25780"/>
    <w:multiLevelType w:val="multilevel"/>
    <w:tmpl w:val="3C526EDE"/>
    <w:numStyleLink w:val="Headings"/>
  </w:abstractNum>
  <w:abstractNum w:abstractNumId="2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7853DF"/>
    <w:multiLevelType w:val="hybridMultilevel"/>
    <w:tmpl w:val="6EFE80E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28235EB"/>
    <w:multiLevelType w:val="hybridMultilevel"/>
    <w:tmpl w:val="92D80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9A0AFE"/>
    <w:multiLevelType w:val="multilevel"/>
    <w:tmpl w:val="18F4A5AC"/>
    <w:numStyleLink w:val="FoFCoLOP"/>
  </w:abstractNum>
  <w:abstractNum w:abstractNumId="30" w15:restartNumberingAfterBreak="0">
    <w:nsid w:val="7E096CB1"/>
    <w:multiLevelType w:val="hybridMultilevel"/>
    <w:tmpl w:val="081C9640"/>
    <w:lvl w:ilvl="0" w:tplc="A1D6F8CC">
      <w:start w:val="1"/>
      <w:numFmt w:val="bullet"/>
      <w:lvlText w:val=""/>
      <w:lvlJc w:val="left"/>
      <w:pPr>
        <w:ind w:left="1440" w:hanging="360"/>
      </w:pPr>
      <w:rPr>
        <w:rFonts w:ascii="Symbol" w:hAnsi="Symbol"/>
      </w:rPr>
    </w:lvl>
    <w:lvl w:ilvl="1" w:tplc="30D6D8D8">
      <w:start w:val="1"/>
      <w:numFmt w:val="bullet"/>
      <w:lvlText w:val=""/>
      <w:lvlJc w:val="left"/>
      <w:pPr>
        <w:ind w:left="1440" w:hanging="360"/>
      </w:pPr>
      <w:rPr>
        <w:rFonts w:ascii="Symbol" w:hAnsi="Symbol"/>
      </w:rPr>
    </w:lvl>
    <w:lvl w:ilvl="2" w:tplc="90DA8088">
      <w:start w:val="1"/>
      <w:numFmt w:val="bullet"/>
      <w:lvlText w:val=""/>
      <w:lvlJc w:val="left"/>
      <w:pPr>
        <w:ind w:left="1440" w:hanging="360"/>
      </w:pPr>
      <w:rPr>
        <w:rFonts w:ascii="Symbol" w:hAnsi="Symbol"/>
      </w:rPr>
    </w:lvl>
    <w:lvl w:ilvl="3" w:tplc="5CCEA804">
      <w:start w:val="1"/>
      <w:numFmt w:val="bullet"/>
      <w:lvlText w:val=""/>
      <w:lvlJc w:val="left"/>
      <w:pPr>
        <w:ind w:left="1440" w:hanging="360"/>
      </w:pPr>
      <w:rPr>
        <w:rFonts w:ascii="Symbol" w:hAnsi="Symbol"/>
      </w:rPr>
    </w:lvl>
    <w:lvl w:ilvl="4" w:tplc="39C4A846">
      <w:start w:val="1"/>
      <w:numFmt w:val="bullet"/>
      <w:lvlText w:val=""/>
      <w:lvlJc w:val="left"/>
      <w:pPr>
        <w:ind w:left="1440" w:hanging="360"/>
      </w:pPr>
      <w:rPr>
        <w:rFonts w:ascii="Symbol" w:hAnsi="Symbol"/>
      </w:rPr>
    </w:lvl>
    <w:lvl w:ilvl="5" w:tplc="FF8EAB9C">
      <w:start w:val="1"/>
      <w:numFmt w:val="bullet"/>
      <w:lvlText w:val=""/>
      <w:lvlJc w:val="left"/>
      <w:pPr>
        <w:ind w:left="1440" w:hanging="360"/>
      </w:pPr>
      <w:rPr>
        <w:rFonts w:ascii="Symbol" w:hAnsi="Symbol"/>
      </w:rPr>
    </w:lvl>
    <w:lvl w:ilvl="6" w:tplc="F8A0A516">
      <w:start w:val="1"/>
      <w:numFmt w:val="bullet"/>
      <w:lvlText w:val=""/>
      <w:lvlJc w:val="left"/>
      <w:pPr>
        <w:ind w:left="1440" w:hanging="360"/>
      </w:pPr>
      <w:rPr>
        <w:rFonts w:ascii="Symbol" w:hAnsi="Symbol"/>
      </w:rPr>
    </w:lvl>
    <w:lvl w:ilvl="7" w:tplc="E0F01A2C">
      <w:start w:val="1"/>
      <w:numFmt w:val="bullet"/>
      <w:lvlText w:val=""/>
      <w:lvlJc w:val="left"/>
      <w:pPr>
        <w:ind w:left="1440" w:hanging="360"/>
      </w:pPr>
      <w:rPr>
        <w:rFonts w:ascii="Symbol" w:hAnsi="Symbol"/>
      </w:rPr>
    </w:lvl>
    <w:lvl w:ilvl="8" w:tplc="88EC3390">
      <w:start w:val="1"/>
      <w:numFmt w:val="bullet"/>
      <w:lvlText w:val=""/>
      <w:lvlJc w:val="left"/>
      <w:pPr>
        <w:ind w:left="1440" w:hanging="360"/>
      </w:pPr>
      <w:rPr>
        <w:rFonts w:ascii="Symbol" w:hAnsi="Symbol"/>
      </w:rPr>
    </w:lvl>
  </w:abstractNum>
  <w:abstractNum w:abstractNumId="31" w15:restartNumberingAfterBreak="0">
    <w:nsid w:val="7F4C64DC"/>
    <w:multiLevelType w:val="hybridMultilevel"/>
    <w:tmpl w:val="529CBD4A"/>
    <w:lvl w:ilvl="0" w:tplc="61C897F8">
      <w:start w:val="1"/>
      <w:numFmt w:val="bullet"/>
      <w:lvlText w:val=""/>
      <w:lvlJc w:val="left"/>
      <w:pPr>
        <w:ind w:left="1440" w:hanging="360"/>
      </w:pPr>
      <w:rPr>
        <w:rFonts w:ascii="Symbol" w:hAnsi="Symbol"/>
      </w:rPr>
    </w:lvl>
    <w:lvl w:ilvl="1" w:tplc="8E6C31A8">
      <w:start w:val="1"/>
      <w:numFmt w:val="bullet"/>
      <w:lvlText w:val=""/>
      <w:lvlJc w:val="left"/>
      <w:pPr>
        <w:ind w:left="1440" w:hanging="360"/>
      </w:pPr>
      <w:rPr>
        <w:rFonts w:ascii="Symbol" w:hAnsi="Symbol"/>
      </w:rPr>
    </w:lvl>
    <w:lvl w:ilvl="2" w:tplc="725008D8">
      <w:start w:val="1"/>
      <w:numFmt w:val="bullet"/>
      <w:lvlText w:val=""/>
      <w:lvlJc w:val="left"/>
      <w:pPr>
        <w:ind w:left="1440" w:hanging="360"/>
      </w:pPr>
      <w:rPr>
        <w:rFonts w:ascii="Symbol" w:hAnsi="Symbol"/>
      </w:rPr>
    </w:lvl>
    <w:lvl w:ilvl="3" w:tplc="A58C7BEA">
      <w:start w:val="1"/>
      <w:numFmt w:val="bullet"/>
      <w:lvlText w:val=""/>
      <w:lvlJc w:val="left"/>
      <w:pPr>
        <w:ind w:left="1440" w:hanging="360"/>
      </w:pPr>
      <w:rPr>
        <w:rFonts w:ascii="Symbol" w:hAnsi="Symbol"/>
      </w:rPr>
    </w:lvl>
    <w:lvl w:ilvl="4" w:tplc="2F2C21D8">
      <w:start w:val="1"/>
      <w:numFmt w:val="bullet"/>
      <w:lvlText w:val=""/>
      <w:lvlJc w:val="left"/>
      <w:pPr>
        <w:ind w:left="1440" w:hanging="360"/>
      </w:pPr>
      <w:rPr>
        <w:rFonts w:ascii="Symbol" w:hAnsi="Symbol"/>
      </w:rPr>
    </w:lvl>
    <w:lvl w:ilvl="5" w:tplc="A3B25784">
      <w:start w:val="1"/>
      <w:numFmt w:val="bullet"/>
      <w:lvlText w:val=""/>
      <w:lvlJc w:val="left"/>
      <w:pPr>
        <w:ind w:left="1440" w:hanging="360"/>
      </w:pPr>
      <w:rPr>
        <w:rFonts w:ascii="Symbol" w:hAnsi="Symbol"/>
      </w:rPr>
    </w:lvl>
    <w:lvl w:ilvl="6" w:tplc="B8DC3FF8">
      <w:start w:val="1"/>
      <w:numFmt w:val="bullet"/>
      <w:lvlText w:val=""/>
      <w:lvlJc w:val="left"/>
      <w:pPr>
        <w:ind w:left="1440" w:hanging="360"/>
      </w:pPr>
      <w:rPr>
        <w:rFonts w:ascii="Symbol" w:hAnsi="Symbol"/>
      </w:rPr>
    </w:lvl>
    <w:lvl w:ilvl="7" w:tplc="92648910">
      <w:start w:val="1"/>
      <w:numFmt w:val="bullet"/>
      <w:lvlText w:val=""/>
      <w:lvlJc w:val="left"/>
      <w:pPr>
        <w:ind w:left="1440" w:hanging="360"/>
      </w:pPr>
      <w:rPr>
        <w:rFonts w:ascii="Symbol" w:hAnsi="Symbol"/>
      </w:rPr>
    </w:lvl>
    <w:lvl w:ilvl="8" w:tplc="D2048560">
      <w:start w:val="1"/>
      <w:numFmt w:val="bullet"/>
      <w:lvlText w:val=""/>
      <w:lvlJc w:val="left"/>
      <w:pPr>
        <w:ind w:left="1440" w:hanging="360"/>
      </w:pPr>
      <w:rPr>
        <w:rFonts w:ascii="Symbol" w:hAnsi="Symbol"/>
      </w:rPr>
    </w:lvl>
  </w:abstractNum>
  <w:abstractNum w:abstractNumId="32" w15:restartNumberingAfterBreak="0">
    <w:nsid w:val="7FAA02CF"/>
    <w:multiLevelType w:val="hybridMultilevel"/>
    <w:tmpl w:val="CFAA3A76"/>
    <w:lvl w:ilvl="0" w:tplc="4BDA4D00">
      <w:start w:val="1"/>
      <w:numFmt w:val="bullet"/>
      <w:lvlText w:val=""/>
      <w:lvlJc w:val="left"/>
      <w:pPr>
        <w:ind w:left="1440" w:hanging="360"/>
      </w:pPr>
      <w:rPr>
        <w:rFonts w:ascii="Symbol" w:hAnsi="Symbol"/>
      </w:rPr>
    </w:lvl>
    <w:lvl w:ilvl="1" w:tplc="6BF073C8">
      <w:start w:val="1"/>
      <w:numFmt w:val="bullet"/>
      <w:lvlText w:val=""/>
      <w:lvlJc w:val="left"/>
      <w:pPr>
        <w:ind w:left="1440" w:hanging="360"/>
      </w:pPr>
      <w:rPr>
        <w:rFonts w:ascii="Symbol" w:hAnsi="Symbol"/>
      </w:rPr>
    </w:lvl>
    <w:lvl w:ilvl="2" w:tplc="35C082EA">
      <w:start w:val="1"/>
      <w:numFmt w:val="bullet"/>
      <w:lvlText w:val=""/>
      <w:lvlJc w:val="left"/>
      <w:pPr>
        <w:ind w:left="1440" w:hanging="360"/>
      </w:pPr>
      <w:rPr>
        <w:rFonts w:ascii="Symbol" w:hAnsi="Symbol"/>
      </w:rPr>
    </w:lvl>
    <w:lvl w:ilvl="3" w:tplc="D070D02A">
      <w:start w:val="1"/>
      <w:numFmt w:val="bullet"/>
      <w:lvlText w:val=""/>
      <w:lvlJc w:val="left"/>
      <w:pPr>
        <w:ind w:left="1440" w:hanging="360"/>
      </w:pPr>
      <w:rPr>
        <w:rFonts w:ascii="Symbol" w:hAnsi="Symbol"/>
      </w:rPr>
    </w:lvl>
    <w:lvl w:ilvl="4" w:tplc="986E329A">
      <w:start w:val="1"/>
      <w:numFmt w:val="bullet"/>
      <w:lvlText w:val=""/>
      <w:lvlJc w:val="left"/>
      <w:pPr>
        <w:ind w:left="1440" w:hanging="360"/>
      </w:pPr>
      <w:rPr>
        <w:rFonts w:ascii="Symbol" w:hAnsi="Symbol"/>
      </w:rPr>
    </w:lvl>
    <w:lvl w:ilvl="5" w:tplc="90A81AE8">
      <w:start w:val="1"/>
      <w:numFmt w:val="bullet"/>
      <w:lvlText w:val=""/>
      <w:lvlJc w:val="left"/>
      <w:pPr>
        <w:ind w:left="1440" w:hanging="360"/>
      </w:pPr>
      <w:rPr>
        <w:rFonts w:ascii="Symbol" w:hAnsi="Symbol"/>
      </w:rPr>
    </w:lvl>
    <w:lvl w:ilvl="6" w:tplc="973A2250">
      <w:start w:val="1"/>
      <w:numFmt w:val="bullet"/>
      <w:lvlText w:val=""/>
      <w:lvlJc w:val="left"/>
      <w:pPr>
        <w:ind w:left="1440" w:hanging="360"/>
      </w:pPr>
      <w:rPr>
        <w:rFonts w:ascii="Symbol" w:hAnsi="Symbol"/>
      </w:rPr>
    </w:lvl>
    <w:lvl w:ilvl="7" w:tplc="C4266ABC">
      <w:start w:val="1"/>
      <w:numFmt w:val="bullet"/>
      <w:lvlText w:val=""/>
      <w:lvlJc w:val="left"/>
      <w:pPr>
        <w:ind w:left="1440" w:hanging="360"/>
      </w:pPr>
      <w:rPr>
        <w:rFonts w:ascii="Symbol" w:hAnsi="Symbol"/>
      </w:rPr>
    </w:lvl>
    <w:lvl w:ilvl="8" w:tplc="16FE78B0">
      <w:start w:val="1"/>
      <w:numFmt w:val="bullet"/>
      <w:lvlText w:val=""/>
      <w:lvlJc w:val="left"/>
      <w:pPr>
        <w:ind w:left="1440" w:hanging="360"/>
      </w:pPr>
      <w:rPr>
        <w:rFonts w:ascii="Symbol" w:hAnsi="Symbol"/>
      </w:rPr>
    </w:lvl>
  </w:abstractNum>
  <w:num w:numId="1" w16cid:durableId="1354526949">
    <w:abstractNumId w:val="22"/>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num>
  <w:num w:numId="2" w16cid:durableId="140774137">
    <w:abstractNumId w:val="4"/>
  </w:num>
  <w:num w:numId="3" w16cid:durableId="1898543446">
    <w:abstractNumId w:val="18"/>
  </w:num>
  <w:num w:numId="4" w16cid:durableId="701521005">
    <w:abstractNumId w:val="5"/>
  </w:num>
  <w:num w:numId="5" w16cid:durableId="2017029027">
    <w:abstractNumId w:val="29"/>
  </w:num>
  <w:num w:numId="6" w16cid:durableId="973756952">
    <w:abstractNumId w:val="15"/>
  </w:num>
  <w:num w:numId="7" w16cid:durableId="827667741">
    <w:abstractNumId w:val="9"/>
  </w:num>
  <w:num w:numId="8" w16cid:durableId="1760327020">
    <w:abstractNumId w:val="26"/>
  </w:num>
  <w:num w:numId="9" w16cid:durableId="816924040">
    <w:abstractNumId w:val="0"/>
  </w:num>
  <w:num w:numId="10" w16cid:durableId="1817916489">
    <w:abstractNumId w:val="8"/>
  </w:num>
  <w:num w:numId="11" w16cid:durableId="291985460">
    <w:abstractNumId w:val="10"/>
  </w:num>
  <w:num w:numId="12" w16cid:durableId="467941983">
    <w:abstractNumId w:val="7"/>
  </w:num>
  <w:num w:numId="13" w16cid:durableId="712996464">
    <w:abstractNumId w:val="11"/>
  </w:num>
  <w:num w:numId="14" w16cid:durableId="1303778653">
    <w:abstractNumId w:val="14"/>
  </w:num>
  <w:num w:numId="15" w16cid:durableId="1714382259">
    <w:abstractNumId w:val="25"/>
  </w:num>
  <w:num w:numId="16" w16cid:durableId="548107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5"/>
  </w:num>
  <w:num w:numId="18" w16cid:durableId="1613438326">
    <w:abstractNumId w:val="31"/>
  </w:num>
  <w:num w:numId="19" w16cid:durableId="2049059483">
    <w:abstractNumId w:val="30"/>
  </w:num>
  <w:num w:numId="20" w16cid:durableId="1039624251">
    <w:abstractNumId w:val="32"/>
  </w:num>
  <w:num w:numId="21" w16cid:durableId="319119882">
    <w:abstractNumId w:val="21"/>
  </w:num>
  <w:num w:numId="22" w16cid:durableId="2118788027">
    <w:abstractNumId w:val="12"/>
  </w:num>
  <w:num w:numId="23" w16cid:durableId="1118260905">
    <w:abstractNumId w:val="2"/>
    <w:lvlOverride w:ilvl="0">
      <w:startOverride w:val="1"/>
    </w:lvlOverride>
  </w:num>
  <w:num w:numId="24" w16cid:durableId="469178146">
    <w:abstractNumId w:val="18"/>
  </w:num>
  <w:num w:numId="25" w16cid:durableId="466435135">
    <w:abstractNumId w:val="18"/>
  </w:num>
  <w:num w:numId="26" w16cid:durableId="1710495263">
    <w:abstractNumId w:val="18"/>
  </w:num>
  <w:num w:numId="27" w16cid:durableId="6106920">
    <w:abstractNumId w:val="18"/>
    <w:lvlOverride w:ilvl="0">
      <w:startOverride w:val="1"/>
    </w:lvlOverride>
  </w:num>
  <w:num w:numId="28" w16cid:durableId="1583369059">
    <w:abstractNumId w:val="19"/>
  </w:num>
  <w:num w:numId="29" w16cid:durableId="1558662856">
    <w:abstractNumId w:val="1"/>
  </w:num>
  <w:num w:numId="30" w16cid:durableId="532503529">
    <w:abstractNumId w:val="17"/>
  </w:num>
  <w:num w:numId="31" w16cid:durableId="1999574472">
    <w:abstractNumId w:val="20"/>
  </w:num>
  <w:num w:numId="32" w16cid:durableId="1497648639">
    <w:abstractNumId w:val="3"/>
  </w:num>
  <w:num w:numId="33" w16cid:durableId="1658411433">
    <w:abstractNumId w:val="28"/>
  </w:num>
  <w:num w:numId="34" w16cid:durableId="1279987138">
    <w:abstractNumId w:val="16"/>
  </w:num>
  <w:num w:numId="35" w16cid:durableId="219563184">
    <w:abstractNumId w:val="24"/>
  </w:num>
  <w:num w:numId="36" w16cid:durableId="1230768456">
    <w:abstractNumId w:val="23"/>
  </w:num>
  <w:num w:numId="37" w16cid:durableId="2123498672">
    <w:abstractNumId w:val="27"/>
  </w:num>
  <w:num w:numId="38" w16cid:durableId="1327514178">
    <w:abstractNumId w:val="13"/>
  </w:num>
  <w:num w:numId="39" w16cid:durableId="35515759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E3"/>
    <w:rsid w:val="00000985"/>
    <w:rsid w:val="00000F6A"/>
    <w:rsid w:val="00001758"/>
    <w:rsid w:val="0000335B"/>
    <w:rsid w:val="00004DF2"/>
    <w:rsid w:val="00005030"/>
    <w:rsid w:val="000052BF"/>
    <w:rsid w:val="000076F2"/>
    <w:rsid w:val="00010E95"/>
    <w:rsid w:val="000144BF"/>
    <w:rsid w:val="00014A7E"/>
    <w:rsid w:val="00015683"/>
    <w:rsid w:val="00016B01"/>
    <w:rsid w:val="00016E44"/>
    <w:rsid w:val="00017B9C"/>
    <w:rsid w:val="00020739"/>
    <w:rsid w:val="00020758"/>
    <w:rsid w:val="00020818"/>
    <w:rsid w:val="0002098A"/>
    <w:rsid w:val="0002225D"/>
    <w:rsid w:val="00022D83"/>
    <w:rsid w:val="00023157"/>
    <w:rsid w:val="000243D1"/>
    <w:rsid w:val="0002449C"/>
    <w:rsid w:val="00024658"/>
    <w:rsid w:val="000255DF"/>
    <w:rsid w:val="00025B32"/>
    <w:rsid w:val="000277BE"/>
    <w:rsid w:val="00027E06"/>
    <w:rsid w:val="00030527"/>
    <w:rsid w:val="000308C2"/>
    <w:rsid w:val="00030DF5"/>
    <w:rsid w:val="00030FFB"/>
    <w:rsid w:val="00032836"/>
    <w:rsid w:val="00033990"/>
    <w:rsid w:val="000345FF"/>
    <w:rsid w:val="0003591E"/>
    <w:rsid w:val="0003598E"/>
    <w:rsid w:val="00036CFD"/>
    <w:rsid w:val="000379B3"/>
    <w:rsid w:val="00037E1A"/>
    <w:rsid w:val="00041256"/>
    <w:rsid w:val="00043AD7"/>
    <w:rsid w:val="00044148"/>
    <w:rsid w:val="00044860"/>
    <w:rsid w:val="00045C1D"/>
    <w:rsid w:val="000465D2"/>
    <w:rsid w:val="00054868"/>
    <w:rsid w:val="0005540B"/>
    <w:rsid w:val="000616F5"/>
    <w:rsid w:val="00062D15"/>
    <w:rsid w:val="00064924"/>
    <w:rsid w:val="000652DE"/>
    <w:rsid w:val="000666A9"/>
    <w:rsid w:val="00067135"/>
    <w:rsid w:val="0006763C"/>
    <w:rsid w:val="00070170"/>
    <w:rsid w:val="00070314"/>
    <w:rsid w:val="0007115A"/>
    <w:rsid w:val="00071996"/>
    <w:rsid w:val="00073D83"/>
    <w:rsid w:val="00073E7B"/>
    <w:rsid w:val="00075070"/>
    <w:rsid w:val="00080060"/>
    <w:rsid w:val="00080543"/>
    <w:rsid w:val="00080767"/>
    <w:rsid w:val="00080E5D"/>
    <w:rsid w:val="000836BF"/>
    <w:rsid w:val="00083C2F"/>
    <w:rsid w:val="00083D97"/>
    <w:rsid w:val="00084793"/>
    <w:rsid w:val="00084E99"/>
    <w:rsid w:val="000854FC"/>
    <w:rsid w:val="0008588A"/>
    <w:rsid w:val="0008636D"/>
    <w:rsid w:val="00086C27"/>
    <w:rsid w:val="00087802"/>
    <w:rsid w:val="00091358"/>
    <w:rsid w:val="00092E1E"/>
    <w:rsid w:val="0009373C"/>
    <w:rsid w:val="00095C2C"/>
    <w:rsid w:val="00096195"/>
    <w:rsid w:val="00096A91"/>
    <w:rsid w:val="000973C8"/>
    <w:rsid w:val="00097DA1"/>
    <w:rsid w:val="000A0E0A"/>
    <w:rsid w:val="000A20E2"/>
    <w:rsid w:val="000A2966"/>
    <w:rsid w:val="000A2AA9"/>
    <w:rsid w:val="000A2BAD"/>
    <w:rsid w:val="000A32A3"/>
    <w:rsid w:val="000A414E"/>
    <w:rsid w:val="000A4708"/>
    <w:rsid w:val="000A56F2"/>
    <w:rsid w:val="000A60E1"/>
    <w:rsid w:val="000A63CB"/>
    <w:rsid w:val="000A6E05"/>
    <w:rsid w:val="000A6F70"/>
    <w:rsid w:val="000A71CA"/>
    <w:rsid w:val="000A74AC"/>
    <w:rsid w:val="000B075B"/>
    <w:rsid w:val="000B12FA"/>
    <w:rsid w:val="000B3F8A"/>
    <w:rsid w:val="000B4064"/>
    <w:rsid w:val="000B5848"/>
    <w:rsid w:val="000B7646"/>
    <w:rsid w:val="000B7CEE"/>
    <w:rsid w:val="000C08BF"/>
    <w:rsid w:val="000C26D4"/>
    <w:rsid w:val="000C3595"/>
    <w:rsid w:val="000C3B9A"/>
    <w:rsid w:val="000C4040"/>
    <w:rsid w:val="000C5F3D"/>
    <w:rsid w:val="000C6500"/>
    <w:rsid w:val="000C7669"/>
    <w:rsid w:val="000D0A81"/>
    <w:rsid w:val="000D0C74"/>
    <w:rsid w:val="000D1266"/>
    <w:rsid w:val="000D25A8"/>
    <w:rsid w:val="000D31B4"/>
    <w:rsid w:val="000D4FF4"/>
    <w:rsid w:val="000D6941"/>
    <w:rsid w:val="000D6CD2"/>
    <w:rsid w:val="000E0218"/>
    <w:rsid w:val="000E075D"/>
    <w:rsid w:val="000E270A"/>
    <w:rsid w:val="000E2EF3"/>
    <w:rsid w:val="000E307E"/>
    <w:rsid w:val="000E4C53"/>
    <w:rsid w:val="000E583E"/>
    <w:rsid w:val="000F18BA"/>
    <w:rsid w:val="000F1FE8"/>
    <w:rsid w:val="000F28ED"/>
    <w:rsid w:val="000F4363"/>
    <w:rsid w:val="000F47F0"/>
    <w:rsid w:val="000F48C6"/>
    <w:rsid w:val="000F4FD6"/>
    <w:rsid w:val="000F53F6"/>
    <w:rsid w:val="000F550B"/>
    <w:rsid w:val="000F6A0C"/>
    <w:rsid w:val="000F7574"/>
    <w:rsid w:val="00100B9B"/>
    <w:rsid w:val="00102515"/>
    <w:rsid w:val="00102EFD"/>
    <w:rsid w:val="00103219"/>
    <w:rsid w:val="0010522B"/>
    <w:rsid w:val="001060ED"/>
    <w:rsid w:val="00106CF8"/>
    <w:rsid w:val="00107052"/>
    <w:rsid w:val="00107660"/>
    <w:rsid w:val="001076A1"/>
    <w:rsid w:val="001078CB"/>
    <w:rsid w:val="00107C8A"/>
    <w:rsid w:val="00111CBD"/>
    <w:rsid w:val="00111E15"/>
    <w:rsid w:val="00112500"/>
    <w:rsid w:val="00112F80"/>
    <w:rsid w:val="00115169"/>
    <w:rsid w:val="001175C0"/>
    <w:rsid w:val="00117AC0"/>
    <w:rsid w:val="00120FBE"/>
    <w:rsid w:val="00121089"/>
    <w:rsid w:val="0012259A"/>
    <w:rsid w:val="0012385C"/>
    <w:rsid w:val="001253A3"/>
    <w:rsid w:val="00125DFF"/>
    <w:rsid w:val="0012609B"/>
    <w:rsid w:val="0012637C"/>
    <w:rsid w:val="001277C3"/>
    <w:rsid w:val="001303B0"/>
    <w:rsid w:val="001315D2"/>
    <w:rsid w:val="00131DF2"/>
    <w:rsid w:val="001324A6"/>
    <w:rsid w:val="00133D15"/>
    <w:rsid w:val="00134A80"/>
    <w:rsid w:val="0013593C"/>
    <w:rsid w:val="00136BD4"/>
    <w:rsid w:val="001421B1"/>
    <w:rsid w:val="00142FAD"/>
    <w:rsid w:val="001438F9"/>
    <w:rsid w:val="00144ED7"/>
    <w:rsid w:val="00145AD5"/>
    <w:rsid w:val="00145BBB"/>
    <w:rsid w:val="00145DB7"/>
    <w:rsid w:val="00146EC1"/>
    <w:rsid w:val="001473D4"/>
    <w:rsid w:val="00147B24"/>
    <w:rsid w:val="00150135"/>
    <w:rsid w:val="0015061E"/>
    <w:rsid w:val="00150901"/>
    <w:rsid w:val="00152CA9"/>
    <w:rsid w:val="00152F3A"/>
    <w:rsid w:val="0015361D"/>
    <w:rsid w:val="00153C24"/>
    <w:rsid w:val="00156802"/>
    <w:rsid w:val="00156B6A"/>
    <w:rsid w:val="001609A2"/>
    <w:rsid w:val="00161522"/>
    <w:rsid w:val="00161BED"/>
    <w:rsid w:val="00163E35"/>
    <w:rsid w:val="00167B0D"/>
    <w:rsid w:val="001703A0"/>
    <w:rsid w:val="00170B4C"/>
    <w:rsid w:val="0017124F"/>
    <w:rsid w:val="00172B6E"/>
    <w:rsid w:val="00174AE2"/>
    <w:rsid w:val="00174D77"/>
    <w:rsid w:val="001774E1"/>
    <w:rsid w:val="00180460"/>
    <w:rsid w:val="00180AA5"/>
    <w:rsid w:val="00181083"/>
    <w:rsid w:val="00181C51"/>
    <w:rsid w:val="00182BCD"/>
    <w:rsid w:val="00182D49"/>
    <w:rsid w:val="00183574"/>
    <w:rsid w:val="00183DF8"/>
    <w:rsid w:val="00184A8F"/>
    <w:rsid w:val="00184DD4"/>
    <w:rsid w:val="00185C72"/>
    <w:rsid w:val="00187250"/>
    <w:rsid w:val="001879F4"/>
    <w:rsid w:val="00190E71"/>
    <w:rsid w:val="0019107A"/>
    <w:rsid w:val="001916CA"/>
    <w:rsid w:val="001918BB"/>
    <w:rsid w:val="0019244F"/>
    <w:rsid w:val="00192D5B"/>
    <w:rsid w:val="001937CA"/>
    <w:rsid w:val="00194286"/>
    <w:rsid w:val="0019469F"/>
    <w:rsid w:val="00194CC0"/>
    <w:rsid w:val="00196C64"/>
    <w:rsid w:val="001A1EBA"/>
    <w:rsid w:val="001A29A5"/>
    <w:rsid w:val="001A3177"/>
    <w:rsid w:val="001A4DC8"/>
    <w:rsid w:val="001A5FD3"/>
    <w:rsid w:val="001A6975"/>
    <w:rsid w:val="001A72CF"/>
    <w:rsid w:val="001A7CC7"/>
    <w:rsid w:val="001B1779"/>
    <w:rsid w:val="001B1C42"/>
    <w:rsid w:val="001B20F7"/>
    <w:rsid w:val="001B2EE8"/>
    <w:rsid w:val="001B37FE"/>
    <w:rsid w:val="001B5564"/>
    <w:rsid w:val="001C0441"/>
    <w:rsid w:val="001C2AFE"/>
    <w:rsid w:val="001C3521"/>
    <w:rsid w:val="001C363F"/>
    <w:rsid w:val="001C4ABD"/>
    <w:rsid w:val="001C50CB"/>
    <w:rsid w:val="001C73DB"/>
    <w:rsid w:val="001C74B3"/>
    <w:rsid w:val="001D0675"/>
    <w:rsid w:val="001D10C5"/>
    <w:rsid w:val="001D2206"/>
    <w:rsid w:val="001D23A3"/>
    <w:rsid w:val="001D2AC8"/>
    <w:rsid w:val="001D3492"/>
    <w:rsid w:val="001D3AE7"/>
    <w:rsid w:val="001D4023"/>
    <w:rsid w:val="001D4C79"/>
    <w:rsid w:val="001D523A"/>
    <w:rsid w:val="001D6FC9"/>
    <w:rsid w:val="001D7610"/>
    <w:rsid w:val="001D7806"/>
    <w:rsid w:val="001D7B29"/>
    <w:rsid w:val="001E108E"/>
    <w:rsid w:val="001E2046"/>
    <w:rsid w:val="001E27C9"/>
    <w:rsid w:val="001E2A62"/>
    <w:rsid w:val="001E2EC8"/>
    <w:rsid w:val="001E3602"/>
    <w:rsid w:val="001E4430"/>
    <w:rsid w:val="001E462B"/>
    <w:rsid w:val="001E4826"/>
    <w:rsid w:val="001E4874"/>
    <w:rsid w:val="001E5933"/>
    <w:rsid w:val="001F05EE"/>
    <w:rsid w:val="001F214B"/>
    <w:rsid w:val="001F2819"/>
    <w:rsid w:val="001F3262"/>
    <w:rsid w:val="001F3D78"/>
    <w:rsid w:val="001F4382"/>
    <w:rsid w:val="001F4F07"/>
    <w:rsid w:val="001F6737"/>
    <w:rsid w:val="001F701D"/>
    <w:rsid w:val="001F7115"/>
    <w:rsid w:val="00200FB0"/>
    <w:rsid w:val="0020164B"/>
    <w:rsid w:val="002025E5"/>
    <w:rsid w:val="002035CC"/>
    <w:rsid w:val="002042E1"/>
    <w:rsid w:val="002043EC"/>
    <w:rsid w:val="00204424"/>
    <w:rsid w:val="00205126"/>
    <w:rsid w:val="002056CA"/>
    <w:rsid w:val="00205B09"/>
    <w:rsid w:val="00206C23"/>
    <w:rsid w:val="00211E2D"/>
    <w:rsid w:val="002135FF"/>
    <w:rsid w:val="0021375E"/>
    <w:rsid w:val="002155E9"/>
    <w:rsid w:val="0021564F"/>
    <w:rsid w:val="0021570A"/>
    <w:rsid w:val="002172EF"/>
    <w:rsid w:val="00220C2F"/>
    <w:rsid w:val="0022125C"/>
    <w:rsid w:val="002230D0"/>
    <w:rsid w:val="00223FD2"/>
    <w:rsid w:val="00225D58"/>
    <w:rsid w:val="00226EEE"/>
    <w:rsid w:val="00227FC6"/>
    <w:rsid w:val="002313A0"/>
    <w:rsid w:val="00233419"/>
    <w:rsid w:val="00233B6B"/>
    <w:rsid w:val="00235733"/>
    <w:rsid w:val="002364CD"/>
    <w:rsid w:val="00237BDE"/>
    <w:rsid w:val="0024051C"/>
    <w:rsid w:val="002424A1"/>
    <w:rsid w:val="002425AE"/>
    <w:rsid w:val="00243DC0"/>
    <w:rsid w:val="00244DA6"/>
    <w:rsid w:val="00245DA5"/>
    <w:rsid w:val="002461C9"/>
    <w:rsid w:val="00246D40"/>
    <w:rsid w:val="00246ED4"/>
    <w:rsid w:val="0024707B"/>
    <w:rsid w:val="00247477"/>
    <w:rsid w:val="002501B2"/>
    <w:rsid w:val="00250FBF"/>
    <w:rsid w:val="00251E00"/>
    <w:rsid w:val="002521E6"/>
    <w:rsid w:val="00253138"/>
    <w:rsid w:val="00254BFB"/>
    <w:rsid w:val="00255B49"/>
    <w:rsid w:val="00261704"/>
    <w:rsid w:val="00261D50"/>
    <w:rsid w:val="002624BA"/>
    <w:rsid w:val="002656A6"/>
    <w:rsid w:val="0026608D"/>
    <w:rsid w:val="0026739B"/>
    <w:rsid w:val="00267557"/>
    <w:rsid w:val="00270046"/>
    <w:rsid w:val="00270440"/>
    <w:rsid w:val="0027150C"/>
    <w:rsid w:val="00271801"/>
    <w:rsid w:val="00272114"/>
    <w:rsid w:val="00272663"/>
    <w:rsid w:val="00273040"/>
    <w:rsid w:val="002731C1"/>
    <w:rsid w:val="002740B4"/>
    <w:rsid w:val="00274B7A"/>
    <w:rsid w:val="00274C19"/>
    <w:rsid w:val="00275DC3"/>
    <w:rsid w:val="0027620E"/>
    <w:rsid w:val="00277960"/>
    <w:rsid w:val="0028007A"/>
    <w:rsid w:val="00280346"/>
    <w:rsid w:val="002809FE"/>
    <w:rsid w:val="0028105F"/>
    <w:rsid w:val="00281F74"/>
    <w:rsid w:val="002833BB"/>
    <w:rsid w:val="00284D8D"/>
    <w:rsid w:val="00286DEF"/>
    <w:rsid w:val="00287BC5"/>
    <w:rsid w:val="0029253F"/>
    <w:rsid w:val="002939B1"/>
    <w:rsid w:val="00293DEE"/>
    <w:rsid w:val="00294715"/>
    <w:rsid w:val="00294C5B"/>
    <w:rsid w:val="00295A0C"/>
    <w:rsid w:val="00296180"/>
    <w:rsid w:val="00296224"/>
    <w:rsid w:val="00296F3D"/>
    <w:rsid w:val="00297F7B"/>
    <w:rsid w:val="00297FA4"/>
    <w:rsid w:val="002A033E"/>
    <w:rsid w:val="002A0B5D"/>
    <w:rsid w:val="002A0C1B"/>
    <w:rsid w:val="002A1E5F"/>
    <w:rsid w:val="002A258B"/>
    <w:rsid w:val="002A4F19"/>
    <w:rsid w:val="002A505D"/>
    <w:rsid w:val="002A5BC9"/>
    <w:rsid w:val="002A61DC"/>
    <w:rsid w:val="002A682C"/>
    <w:rsid w:val="002A7919"/>
    <w:rsid w:val="002B0CB0"/>
    <w:rsid w:val="002B0DC3"/>
    <w:rsid w:val="002B154A"/>
    <w:rsid w:val="002B4BB6"/>
    <w:rsid w:val="002B4E56"/>
    <w:rsid w:val="002B5D70"/>
    <w:rsid w:val="002C12B5"/>
    <w:rsid w:val="002C1A95"/>
    <w:rsid w:val="002C3420"/>
    <w:rsid w:val="002C451D"/>
    <w:rsid w:val="002C6151"/>
    <w:rsid w:val="002C65AE"/>
    <w:rsid w:val="002C7E96"/>
    <w:rsid w:val="002C7FE9"/>
    <w:rsid w:val="002D0430"/>
    <w:rsid w:val="002D0A89"/>
    <w:rsid w:val="002D0DC5"/>
    <w:rsid w:val="002D1B90"/>
    <w:rsid w:val="002D4080"/>
    <w:rsid w:val="002D46F4"/>
    <w:rsid w:val="002D46F6"/>
    <w:rsid w:val="002D4CA0"/>
    <w:rsid w:val="002D4EFD"/>
    <w:rsid w:val="002D5701"/>
    <w:rsid w:val="002D5F09"/>
    <w:rsid w:val="002E2021"/>
    <w:rsid w:val="002E2060"/>
    <w:rsid w:val="002E2A88"/>
    <w:rsid w:val="002E2B3E"/>
    <w:rsid w:val="002E3046"/>
    <w:rsid w:val="002E45F4"/>
    <w:rsid w:val="002E5C07"/>
    <w:rsid w:val="002F1E16"/>
    <w:rsid w:val="002F2776"/>
    <w:rsid w:val="002F2F75"/>
    <w:rsid w:val="002F4640"/>
    <w:rsid w:val="002F598C"/>
    <w:rsid w:val="002F59F8"/>
    <w:rsid w:val="002F7E44"/>
    <w:rsid w:val="00300764"/>
    <w:rsid w:val="00302C71"/>
    <w:rsid w:val="00303461"/>
    <w:rsid w:val="0030411A"/>
    <w:rsid w:val="00305419"/>
    <w:rsid w:val="00305465"/>
    <w:rsid w:val="00305570"/>
    <w:rsid w:val="00306381"/>
    <w:rsid w:val="003067A4"/>
    <w:rsid w:val="00306BB3"/>
    <w:rsid w:val="00307D2F"/>
    <w:rsid w:val="00312F28"/>
    <w:rsid w:val="00313DB8"/>
    <w:rsid w:val="0031557F"/>
    <w:rsid w:val="00315A97"/>
    <w:rsid w:val="00315B77"/>
    <w:rsid w:val="00316071"/>
    <w:rsid w:val="00316312"/>
    <w:rsid w:val="0031765A"/>
    <w:rsid w:val="003176C6"/>
    <w:rsid w:val="00317D30"/>
    <w:rsid w:val="00321918"/>
    <w:rsid w:val="00321A3F"/>
    <w:rsid w:val="003256A7"/>
    <w:rsid w:val="00325DC4"/>
    <w:rsid w:val="00326EF1"/>
    <w:rsid w:val="00330884"/>
    <w:rsid w:val="00331152"/>
    <w:rsid w:val="00332987"/>
    <w:rsid w:val="00335019"/>
    <w:rsid w:val="003357DA"/>
    <w:rsid w:val="00340636"/>
    <w:rsid w:val="00342D24"/>
    <w:rsid w:val="00343CF3"/>
    <w:rsid w:val="00343E5C"/>
    <w:rsid w:val="00344FB8"/>
    <w:rsid w:val="003454DF"/>
    <w:rsid w:val="0034554C"/>
    <w:rsid w:val="00345881"/>
    <w:rsid w:val="00346380"/>
    <w:rsid w:val="00346859"/>
    <w:rsid w:val="00346F3B"/>
    <w:rsid w:val="003472A3"/>
    <w:rsid w:val="00347351"/>
    <w:rsid w:val="0035179F"/>
    <w:rsid w:val="003545B3"/>
    <w:rsid w:val="003556EC"/>
    <w:rsid w:val="00356C33"/>
    <w:rsid w:val="00356EB5"/>
    <w:rsid w:val="00357411"/>
    <w:rsid w:val="0036008D"/>
    <w:rsid w:val="0036017B"/>
    <w:rsid w:val="00362755"/>
    <w:rsid w:val="00363D5D"/>
    <w:rsid w:val="0036490C"/>
    <w:rsid w:val="003669E4"/>
    <w:rsid w:val="00367027"/>
    <w:rsid w:val="003704A1"/>
    <w:rsid w:val="003710FE"/>
    <w:rsid w:val="003721B5"/>
    <w:rsid w:val="003724D1"/>
    <w:rsid w:val="00372782"/>
    <w:rsid w:val="00372ECF"/>
    <w:rsid w:val="00373690"/>
    <w:rsid w:val="00373B93"/>
    <w:rsid w:val="00373F33"/>
    <w:rsid w:val="00374A7E"/>
    <w:rsid w:val="003750CC"/>
    <w:rsid w:val="00377230"/>
    <w:rsid w:val="00380374"/>
    <w:rsid w:val="0038089F"/>
    <w:rsid w:val="00380CD1"/>
    <w:rsid w:val="0038158E"/>
    <w:rsid w:val="00381669"/>
    <w:rsid w:val="00381F63"/>
    <w:rsid w:val="00383151"/>
    <w:rsid w:val="00383395"/>
    <w:rsid w:val="00383494"/>
    <w:rsid w:val="003838E0"/>
    <w:rsid w:val="00387075"/>
    <w:rsid w:val="00390FBD"/>
    <w:rsid w:val="003922A8"/>
    <w:rsid w:val="00393024"/>
    <w:rsid w:val="003932FA"/>
    <w:rsid w:val="00393C18"/>
    <w:rsid w:val="00395169"/>
    <w:rsid w:val="00395985"/>
    <w:rsid w:val="00395E2D"/>
    <w:rsid w:val="00395FAB"/>
    <w:rsid w:val="00396363"/>
    <w:rsid w:val="00396E08"/>
    <w:rsid w:val="00396F13"/>
    <w:rsid w:val="00397391"/>
    <w:rsid w:val="003A02CA"/>
    <w:rsid w:val="003A1155"/>
    <w:rsid w:val="003A1AC3"/>
    <w:rsid w:val="003A2E9A"/>
    <w:rsid w:val="003A3367"/>
    <w:rsid w:val="003A3898"/>
    <w:rsid w:val="003A38F0"/>
    <w:rsid w:val="003A4047"/>
    <w:rsid w:val="003A47BD"/>
    <w:rsid w:val="003A660B"/>
    <w:rsid w:val="003A67FA"/>
    <w:rsid w:val="003A74C1"/>
    <w:rsid w:val="003A7DA8"/>
    <w:rsid w:val="003B04A8"/>
    <w:rsid w:val="003B09E4"/>
    <w:rsid w:val="003B1F86"/>
    <w:rsid w:val="003B24B3"/>
    <w:rsid w:val="003B3539"/>
    <w:rsid w:val="003B4422"/>
    <w:rsid w:val="003B4D9C"/>
    <w:rsid w:val="003B5D7B"/>
    <w:rsid w:val="003B5DBF"/>
    <w:rsid w:val="003B7694"/>
    <w:rsid w:val="003B7EAE"/>
    <w:rsid w:val="003C00F4"/>
    <w:rsid w:val="003C02E9"/>
    <w:rsid w:val="003C3408"/>
    <w:rsid w:val="003C3EF7"/>
    <w:rsid w:val="003C49DA"/>
    <w:rsid w:val="003C4C36"/>
    <w:rsid w:val="003C66C1"/>
    <w:rsid w:val="003C6FCA"/>
    <w:rsid w:val="003C7FBB"/>
    <w:rsid w:val="003D1911"/>
    <w:rsid w:val="003D1A6E"/>
    <w:rsid w:val="003D2501"/>
    <w:rsid w:val="003D45F2"/>
    <w:rsid w:val="003D5632"/>
    <w:rsid w:val="003D6C52"/>
    <w:rsid w:val="003E14DD"/>
    <w:rsid w:val="003E27A2"/>
    <w:rsid w:val="003E475A"/>
    <w:rsid w:val="003E79E4"/>
    <w:rsid w:val="003F0274"/>
    <w:rsid w:val="003F069A"/>
    <w:rsid w:val="003F0D7D"/>
    <w:rsid w:val="003F190A"/>
    <w:rsid w:val="003F2248"/>
    <w:rsid w:val="003F2BD2"/>
    <w:rsid w:val="003F2C29"/>
    <w:rsid w:val="003F33FC"/>
    <w:rsid w:val="003F3531"/>
    <w:rsid w:val="003F3E81"/>
    <w:rsid w:val="003F4329"/>
    <w:rsid w:val="003F4498"/>
    <w:rsid w:val="003F46A9"/>
    <w:rsid w:val="003F4F48"/>
    <w:rsid w:val="003F6A59"/>
    <w:rsid w:val="003F6C19"/>
    <w:rsid w:val="00400088"/>
    <w:rsid w:val="004034C3"/>
    <w:rsid w:val="00403977"/>
    <w:rsid w:val="0040532A"/>
    <w:rsid w:val="004107DC"/>
    <w:rsid w:val="004110F4"/>
    <w:rsid w:val="004115BD"/>
    <w:rsid w:val="00412534"/>
    <w:rsid w:val="00412C83"/>
    <w:rsid w:val="004130A6"/>
    <w:rsid w:val="0041321F"/>
    <w:rsid w:val="00413911"/>
    <w:rsid w:val="004153FA"/>
    <w:rsid w:val="004156C5"/>
    <w:rsid w:val="004158FD"/>
    <w:rsid w:val="00415D2B"/>
    <w:rsid w:val="00420A84"/>
    <w:rsid w:val="00420A99"/>
    <w:rsid w:val="004215EF"/>
    <w:rsid w:val="0042445D"/>
    <w:rsid w:val="00424E35"/>
    <w:rsid w:val="00425264"/>
    <w:rsid w:val="00426014"/>
    <w:rsid w:val="00426360"/>
    <w:rsid w:val="00426867"/>
    <w:rsid w:val="00427313"/>
    <w:rsid w:val="00427CBD"/>
    <w:rsid w:val="00427F75"/>
    <w:rsid w:val="0043044E"/>
    <w:rsid w:val="0043141F"/>
    <w:rsid w:val="00432A67"/>
    <w:rsid w:val="00433532"/>
    <w:rsid w:val="00433586"/>
    <w:rsid w:val="00434A21"/>
    <w:rsid w:val="00434CC0"/>
    <w:rsid w:val="0043535E"/>
    <w:rsid w:val="0043738F"/>
    <w:rsid w:val="004407E2"/>
    <w:rsid w:val="00440B5E"/>
    <w:rsid w:val="0044202E"/>
    <w:rsid w:val="00442447"/>
    <w:rsid w:val="00442B15"/>
    <w:rsid w:val="00442FF2"/>
    <w:rsid w:val="00443DC3"/>
    <w:rsid w:val="0044617E"/>
    <w:rsid w:val="00450B69"/>
    <w:rsid w:val="0045104A"/>
    <w:rsid w:val="00451C85"/>
    <w:rsid w:val="00453486"/>
    <w:rsid w:val="00454FDE"/>
    <w:rsid w:val="00456280"/>
    <w:rsid w:val="0045774D"/>
    <w:rsid w:val="00457B2F"/>
    <w:rsid w:val="00457F9A"/>
    <w:rsid w:val="0046049D"/>
    <w:rsid w:val="0046073A"/>
    <w:rsid w:val="0046078B"/>
    <w:rsid w:val="00460B7D"/>
    <w:rsid w:val="004626D7"/>
    <w:rsid w:val="00462BDA"/>
    <w:rsid w:val="00462E4C"/>
    <w:rsid w:val="00462FEC"/>
    <w:rsid w:val="004638BC"/>
    <w:rsid w:val="00463B76"/>
    <w:rsid w:val="004652E3"/>
    <w:rsid w:val="0046540E"/>
    <w:rsid w:val="00466E0D"/>
    <w:rsid w:val="0046788B"/>
    <w:rsid w:val="00471517"/>
    <w:rsid w:val="004723BA"/>
    <w:rsid w:val="00472828"/>
    <w:rsid w:val="00473425"/>
    <w:rsid w:val="00474B56"/>
    <w:rsid w:val="00475C77"/>
    <w:rsid w:val="004768F5"/>
    <w:rsid w:val="00477D78"/>
    <w:rsid w:val="00480206"/>
    <w:rsid w:val="0048068B"/>
    <w:rsid w:val="0048086F"/>
    <w:rsid w:val="0048097A"/>
    <w:rsid w:val="00480CB0"/>
    <w:rsid w:val="00481507"/>
    <w:rsid w:val="0048194C"/>
    <w:rsid w:val="0048299B"/>
    <w:rsid w:val="00483130"/>
    <w:rsid w:val="00483603"/>
    <w:rsid w:val="00485053"/>
    <w:rsid w:val="0048537F"/>
    <w:rsid w:val="00485E98"/>
    <w:rsid w:val="00487DA4"/>
    <w:rsid w:val="00490B4A"/>
    <w:rsid w:val="00491118"/>
    <w:rsid w:val="0049190C"/>
    <w:rsid w:val="00491BD2"/>
    <w:rsid w:val="00493FF0"/>
    <w:rsid w:val="00495FFD"/>
    <w:rsid w:val="00496DA3"/>
    <w:rsid w:val="00497ED6"/>
    <w:rsid w:val="004A175D"/>
    <w:rsid w:val="004A1EAD"/>
    <w:rsid w:val="004A22A6"/>
    <w:rsid w:val="004A4112"/>
    <w:rsid w:val="004A47BE"/>
    <w:rsid w:val="004A4C6C"/>
    <w:rsid w:val="004A5983"/>
    <w:rsid w:val="004A64A5"/>
    <w:rsid w:val="004B006C"/>
    <w:rsid w:val="004B00BD"/>
    <w:rsid w:val="004B28E9"/>
    <w:rsid w:val="004B2952"/>
    <w:rsid w:val="004B2A24"/>
    <w:rsid w:val="004B2A7D"/>
    <w:rsid w:val="004B34EA"/>
    <w:rsid w:val="004B5494"/>
    <w:rsid w:val="004B5EE8"/>
    <w:rsid w:val="004B6CA1"/>
    <w:rsid w:val="004C1577"/>
    <w:rsid w:val="004C164A"/>
    <w:rsid w:val="004C334D"/>
    <w:rsid w:val="004C3AA7"/>
    <w:rsid w:val="004C3F92"/>
    <w:rsid w:val="004C414B"/>
    <w:rsid w:val="004C53EF"/>
    <w:rsid w:val="004C6EAD"/>
    <w:rsid w:val="004C7A2B"/>
    <w:rsid w:val="004C7D3A"/>
    <w:rsid w:val="004C7D9B"/>
    <w:rsid w:val="004C7F85"/>
    <w:rsid w:val="004D0779"/>
    <w:rsid w:val="004D0D17"/>
    <w:rsid w:val="004D1310"/>
    <w:rsid w:val="004D1328"/>
    <w:rsid w:val="004D1664"/>
    <w:rsid w:val="004D19F4"/>
    <w:rsid w:val="004D2545"/>
    <w:rsid w:val="004D33A0"/>
    <w:rsid w:val="004D366F"/>
    <w:rsid w:val="004D3757"/>
    <w:rsid w:val="004D3D93"/>
    <w:rsid w:val="004D4CB1"/>
    <w:rsid w:val="004D4FF7"/>
    <w:rsid w:val="004D5C77"/>
    <w:rsid w:val="004E0DBD"/>
    <w:rsid w:val="004E1665"/>
    <w:rsid w:val="004E16DF"/>
    <w:rsid w:val="004E1CC6"/>
    <w:rsid w:val="004E1E56"/>
    <w:rsid w:val="004E1E6F"/>
    <w:rsid w:val="004E2EB5"/>
    <w:rsid w:val="004E3287"/>
    <w:rsid w:val="004E35E2"/>
    <w:rsid w:val="004E45AC"/>
    <w:rsid w:val="004E6412"/>
    <w:rsid w:val="004E6C3E"/>
    <w:rsid w:val="004E71AA"/>
    <w:rsid w:val="004F137E"/>
    <w:rsid w:val="004F1759"/>
    <w:rsid w:val="004F1AAE"/>
    <w:rsid w:val="004F2BAE"/>
    <w:rsid w:val="004F4CA8"/>
    <w:rsid w:val="004F5504"/>
    <w:rsid w:val="004F56B6"/>
    <w:rsid w:val="004F5D16"/>
    <w:rsid w:val="004F5E46"/>
    <w:rsid w:val="004F6007"/>
    <w:rsid w:val="004F657A"/>
    <w:rsid w:val="004F75F8"/>
    <w:rsid w:val="004F7C04"/>
    <w:rsid w:val="005018A8"/>
    <w:rsid w:val="0050390D"/>
    <w:rsid w:val="00503EA6"/>
    <w:rsid w:val="005046CB"/>
    <w:rsid w:val="00505A39"/>
    <w:rsid w:val="00505BAD"/>
    <w:rsid w:val="005062F9"/>
    <w:rsid w:val="0050636D"/>
    <w:rsid w:val="00507E61"/>
    <w:rsid w:val="0051010D"/>
    <w:rsid w:val="0051032F"/>
    <w:rsid w:val="005127B4"/>
    <w:rsid w:val="005131CE"/>
    <w:rsid w:val="00513A45"/>
    <w:rsid w:val="005153FB"/>
    <w:rsid w:val="00516B74"/>
    <w:rsid w:val="00517B04"/>
    <w:rsid w:val="00520426"/>
    <w:rsid w:val="00520574"/>
    <w:rsid w:val="00521516"/>
    <w:rsid w:val="00521BF4"/>
    <w:rsid w:val="00522A19"/>
    <w:rsid w:val="00522AF2"/>
    <w:rsid w:val="00522BB6"/>
    <w:rsid w:val="00523141"/>
    <w:rsid w:val="00523977"/>
    <w:rsid w:val="00523F1E"/>
    <w:rsid w:val="005240BF"/>
    <w:rsid w:val="005242D8"/>
    <w:rsid w:val="00524BA1"/>
    <w:rsid w:val="00525084"/>
    <w:rsid w:val="005261D7"/>
    <w:rsid w:val="0052630E"/>
    <w:rsid w:val="00527583"/>
    <w:rsid w:val="00527BC9"/>
    <w:rsid w:val="00530B96"/>
    <w:rsid w:val="00530DB2"/>
    <w:rsid w:val="00530EA4"/>
    <w:rsid w:val="00531994"/>
    <w:rsid w:val="0053249A"/>
    <w:rsid w:val="00533E82"/>
    <w:rsid w:val="00534C6E"/>
    <w:rsid w:val="00535FC1"/>
    <w:rsid w:val="00540966"/>
    <w:rsid w:val="00542FBC"/>
    <w:rsid w:val="0054364B"/>
    <w:rsid w:val="00543D64"/>
    <w:rsid w:val="005443D9"/>
    <w:rsid w:val="005446C3"/>
    <w:rsid w:val="00545340"/>
    <w:rsid w:val="00552475"/>
    <w:rsid w:val="00552802"/>
    <w:rsid w:val="00552D6B"/>
    <w:rsid w:val="0055427E"/>
    <w:rsid w:val="0055442C"/>
    <w:rsid w:val="00554B50"/>
    <w:rsid w:val="00555DE7"/>
    <w:rsid w:val="0055600F"/>
    <w:rsid w:val="005621CF"/>
    <w:rsid w:val="005631A2"/>
    <w:rsid w:val="00563ED8"/>
    <w:rsid w:val="005661D5"/>
    <w:rsid w:val="005663B6"/>
    <w:rsid w:val="005677D6"/>
    <w:rsid w:val="00567821"/>
    <w:rsid w:val="00570100"/>
    <w:rsid w:val="005714B3"/>
    <w:rsid w:val="00572FF2"/>
    <w:rsid w:val="00573A31"/>
    <w:rsid w:val="00575767"/>
    <w:rsid w:val="00575CF4"/>
    <w:rsid w:val="005764E5"/>
    <w:rsid w:val="00580004"/>
    <w:rsid w:val="0058143C"/>
    <w:rsid w:val="00583551"/>
    <w:rsid w:val="005844A0"/>
    <w:rsid w:val="005844C6"/>
    <w:rsid w:val="00585390"/>
    <w:rsid w:val="00586481"/>
    <w:rsid w:val="00587966"/>
    <w:rsid w:val="00590C2F"/>
    <w:rsid w:val="00590D3C"/>
    <w:rsid w:val="00592D41"/>
    <w:rsid w:val="0059348C"/>
    <w:rsid w:val="005938BF"/>
    <w:rsid w:val="005939A5"/>
    <w:rsid w:val="00594E83"/>
    <w:rsid w:val="0059771B"/>
    <w:rsid w:val="005A01F9"/>
    <w:rsid w:val="005A0404"/>
    <w:rsid w:val="005A0DA6"/>
    <w:rsid w:val="005A148C"/>
    <w:rsid w:val="005A1817"/>
    <w:rsid w:val="005A190A"/>
    <w:rsid w:val="005A2364"/>
    <w:rsid w:val="005A24D2"/>
    <w:rsid w:val="005A2E20"/>
    <w:rsid w:val="005A40EF"/>
    <w:rsid w:val="005A4B32"/>
    <w:rsid w:val="005A7728"/>
    <w:rsid w:val="005A7D63"/>
    <w:rsid w:val="005B1A40"/>
    <w:rsid w:val="005B2103"/>
    <w:rsid w:val="005B40C6"/>
    <w:rsid w:val="005B5D93"/>
    <w:rsid w:val="005B6C9A"/>
    <w:rsid w:val="005B7A2E"/>
    <w:rsid w:val="005B7E4C"/>
    <w:rsid w:val="005C1424"/>
    <w:rsid w:val="005C153C"/>
    <w:rsid w:val="005C1C82"/>
    <w:rsid w:val="005C1ECD"/>
    <w:rsid w:val="005C4095"/>
    <w:rsid w:val="005C49F5"/>
    <w:rsid w:val="005C517C"/>
    <w:rsid w:val="005C5485"/>
    <w:rsid w:val="005C58FA"/>
    <w:rsid w:val="005C6D2F"/>
    <w:rsid w:val="005C7BAE"/>
    <w:rsid w:val="005D235C"/>
    <w:rsid w:val="005D2C19"/>
    <w:rsid w:val="005D2CB7"/>
    <w:rsid w:val="005D2D2C"/>
    <w:rsid w:val="005D3AB6"/>
    <w:rsid w:val="005D3D9C"/>
    <w:rsid w:val="005D4D89"/>
    <w:rsid w:val="005D5857"/>
    <w:rsid w:val="005D591F"/>
    <w:rsid w:val="005D5DCB"/>
    <w:rsid w:val="005D6CAC"/>
    <w:rsid w:val="005D73F5"/>
    <w:rsid w:val="005D7E1D"/>
    <w:rsid w:val="005E0CC9"/>
    <w:rsid w:val="005E4DEB"/>
    <w:rsid w:val="005E6E4F"/>
    <w:rsid w:val="005F0C37"/>
    <w:rsid w:val="005F185B"/>
    <w:rsid w:val="005F3086"/>
    <w:rsid w:val="005F702E"/>
    <w:rsid w:val="006006CA"/>
    <w:rsid w:val="006021D6"/>
    <w:rsid w:val="00602A62"/>
    <w:rsid w:val="00603238"/>
    <w:rsid w:val="00604352"/>
    <w:rsid w:val="00605515"/>
    <w:rsid w:val="00606C69"/>
    <w:rsid w:val="00607390"/>
    <w:rsid w:val="0061226D"/>
    <w:rsid w:val="006137B2"/>
    <w:rsid w:val="0061409F"/>
    <w:rsid w:val="00614647"/>
    <w:rsid w:val="00614E10"/>
    <w:rsid w:val="006174C5"/>
    <w:rsid w:val="00617C0A"/>
    <w:rsid w:val="00620419"/>
    <w:rsid w:val="00620D68"/>
    <w:rsid w:val="00621264"/>
    <w:rsid w:val="00621312"/>
    <w:rsid w:val="006216D4"/>
    <w:rsid w:val="0062572C"/>
    <w:rsid w:val="00626A37"/>
    <w:rsid w:val="0063176B"/>
    <w:rsid w:val="006321A8"/>
    <w:rsid w:val="00632207"/>
    <w:rsid w:val="00632F9E"/>
    <w:rsid w:val="006339C1"/>
    <w:rsid w:val="0063491C"/>
    <w:rsid w:val="00634D6A"/>
    <w:rsid w:val="006371F5"/>
    <w:rsid w:val="0064082D"/>
    <w:rsid w:val="00640926"/>
    <w:rsid w:val="00641457"/>
    <w:rsid w:val="00641A5C"/>
    <w:rsid w:val="00642294"/>
    <w:rsid w:val="006424DB"/>
    <w:rsid w:val="00643420"/>
    <w:rsid w:val="0064447D"/>
    <w:rsid w:val="0064485D"/>
    <w:rsid w:val="006459CE"/>
    <w:rsid w:val="0064650E"/>
    <w:rsid w:val="00650D35"/>
    <w:rsid w:val="00651C35"/>
    <w:rsid w:val="006523E5"/>
    <w:rsid w:val="00653F43"/>
    <w:rsid w:val="00656500"/>
    <w:rsid w:val="0066176D"/>
    <w:rsid w:val="00661AFE"/>
    <w:rsid w:val="00662B00"/>
    <w:rsid w:val="00664C27"/>
    <w:rsid w:val="006665A4"/>
    <w:rsid w:val="006703D9"/>
    <w:rsid w:val="0067231A"/>
    <w:rsid w:val="00672456"/>
    <w:rsid w:val="006735D1"/>
    <w:rsid w:val="00673D0E"/>
    <w:rsid w:val="00674327"/>
    <w:rsid w:val="0067465A"/>
    <w:rsid w:val="006747B9"/>
    <w:rsid w:val="0067601B"/>
    <w:rsid w:val="0067629A"/>
    <w:rsid w:val="00680ECE"/>
    <w:rsid w:val="00680F19"/>
    <w:rsid w:val="00680FE6"/>
    <w:rsid w:val="00681720"/>
    <w:rsid w:val="00681B5E"/>
    <w:rsid w:val="00681F38"/>
    <w:rsid w:val="006835C8"/>
    <w:rsid w:val="00683B2C"/>
    <w:rsid w:val="00683FF6"/>
    <w:rsid w:val="006846B5"/>
    <w:rsid w:val="00686834"/>
    <w:rsid w:val="00686E37"/>
    <w:rsid w:val="0069093F"/>
    <w:rsid w:val="00691C26"/>
    <w:rsid w:val="00692F18"/>
    <w:rsid w:val="0069322B"/>
    <w:rsid w:val="00693E96"/>
    <w:rsid w:val="00695733"/>
    <w:rsid w:val="00696DD1"/>
    <w:rsid w:val="00697824"/>
    <w:rsid w:val="006A2B5D"/>
    <w:rsid w:val="006A42CA"/>
    <w:rsid w:val="006A68F0"/>
    <w:rsid w:val="006A7916"/>
    <w:rsid w:val="006B1467"/>
    <w:rsid w:val="006B18A7"/>
    <w:rsid w:val="006B20DF"/>
    <w:rsid w:val="006B350A"/>
    <w:rsid w:val="006B627C"/>
    <w:rsid w:val="006B7FD2"/>
    <w:rsid w:val="006C1375"/>
    <w:rsid w:val="006C1713"/>
    <w:rsid w:val="006C1F10"/>
    <w:rsid w:val="006C23DF"/>
    <w:rsid w:val="006C49A6"/>
    <w:rsid w:val="006C4CA8"/>
    <w:rsid w:val="006C5E6B"/>
    <w:rsid w:val="006C6E72"/>
    <w:rsid w:val="006C7E19"/>
    <w:rsid w:val="006D1908"/>
    <w:rsid w:val="006D1DC8"/>
    <w:rsid w:val="006D3792"/>
    <w:rsid w:val="006D43D2"/>
    <w:rsid w:val="006D44ED"/>
    <w:rsid w:val="006D4C6D"/>
    <w:rsid w:val="006D6DD6"/>
    <w:rsid w:val="006D6E62"/>
    <w:rsid w:val="006E0211"/>
    <w:rsid w:val="006E04C6"/>
    <w:rsid w:val="006E18FC"/>
    <w:rsid w:val="006E1DF2"/>
    <w:rsid w:val="006E24DB"/>
    <w:rsid w:val="006E268F"/>
    <w:rsid w:val="006E28B2"/>
    <w:rsid w:val="006E2CBD"/>
    <w:rsid w:val="006E305E"/>
    <w:rsid w:val="006E3F5C"/>
    <w:rsid w:val="006E3FDF"/>
    <w:rsid w:val="006E4AC7"/>
    <w:rsid w:val="006E4EF2"/>
    <w:rsid w:val="006E55FF"/>
    <w:rsid w:val="006E5D94"/>
    <w:rsid w:val="006E5E28"/>
    <w:rsid w:val="006E6574"/>
    <w:rsid w:val="006E69C0"/>
    <w:rsid w:val="006F090E"/>
    <w:rsid w:val="006F0EDC"/>
    <w:rsid w:val="006F156F"/>
    <w:rsid w:val="006F2891"/>
    <w:rsid w:val="006F42C9"/>
    <w:rsid w:val="006F5046"/>
    <w:rsid w:val="006F58B0"/>
    <w:rsid w:val="006F6191"/>
    <w:rsid w:val="006F6537"/>
    <w:rsid w:val="006F6D8E"/>
    <w:rsid w:val="007011FD"/>
    <w:rsid w:val="0070229A"/>
    <w:rsid w:val="00704347"/>
    <w:rsid w:val="0070434B"/>
    <w:rsid w:val="00704612"/>
    <w:rsid w:val="007048B2"/>
    <w:rsid w:val="00704AA4"/>
    <w:rsid w:val="00704B2F"/>
    <w:rsid w:val="00704BB9"/>
    <w:rsid w:val="00705C7F"/>
    <w:rsid w:val="00705EFD"/>
    <w:rsid w:val="007073A2"/>
    <w:rsid w:val="007074D2"/>
    <w:rsid w:val="007075E1"/>
    <w:rsid w:val="00710555"/>
    <w:rsid w:val="00710A96"/>
    <w:rsid w:val="007126E7"/>
    <w:rsid w:val="0071304C"/>
    <w:rsid w:val="00714CF2"/>
    <w:rsid w:val="007155C4"/>
    <w:rsid w:val="007156B9"/>
    <w:rsid w:val="00716303"/>
    <w:rsid w:val="007177B4"/>
    <w:rsid w:val="00720817"/>
    <w:rsid w:val="00721011"/>
    <w:rsid w:val="00721075"/>
    <w:rsid w:val="00721C2A"/>
    <w:rsid w:val="00722469"/>
    <w:rsid w:val="00722850"/>
    <w:rsid w:val="00722F32"/>
    <w:rsid w:val="007231E2"/>
    <w:rsid w:val="0072343E"/>
    <w:rsid w:val="00726E82"/>
    <w:rsid w:val="00732426"/>
    <w:rsid w:val="00733399"/>
    <w:rsid w:val="0073353F"/>
    <w:rsid w:val="0073391D"/>
    <w:rsid w:val="00734091"/>
    <w:rsid w:val="00735A91"/>
    <w:rsid w:val="0073702A"/>
    <w:rsid w:val="0073717F"/>
    <w:rsid w:val="0074030C"/>
    <w:rsid w:val="0074077D"/>
    <w:rsid w:val="0074248C"/>
    <w:rsid w:val="00742C02"/>
    <w:rsid w:val="00742E45"/>
    <w:rsid w:val="0074340E"/>
    <w:rsid w:val="007447AF"/>
    <w:rsid w:val="00745C63"/>
    <w:rsid w:val="00745FE8"/>
    <w:rsid w:val="007462AB"/>
    <w:rsid w:val="0074688D"/>
    <w:rsid w:val="00750816"/>
    <w:rsid w:val="0075187E"/>
    <w:rsid w:val="007525A7"/>
    <w:rsid w:val="0075290E"/>
    <w:rsid w:val="00753B82"/>
    <w:rsid w:val="00753C76"/>
    <w:rsid w:val="007541DF"/>
    <w:rsid w:val="007544AA"/>
    <w:rsid w:val="00755AA0"/>
    <w:rsid w:val="00757103"/>
    <w:rsid w:val="00757C0D"/>
    <w:rsid w:val="00760837"/>
    <w:rsid w:val="00762E89"/>
    <w:rsid w:val="007657C1"/>
    <w:rsid w:val="00765D55"/>
    <w:rsid w:val="00766C5F"/>
    <w:rsid w:val="007701ED"/>
    <w:rsid w:val="007718CA"/>
    <w:rsid w:val="007721AB"/>
    <w:rsid w:val="0077234E"/>
    <w:rsid w:val="00773D26"/>
    <w:rsid w:val="007749C4"/>
    <w:rsid w:val="00775014"/>
    <w:rsid w:val="007751A1"/>
    <w:rsid w:val="00776972"/>
    <w:rsid w:val="0077708F"/>
    <w:rsid w:val="0077755F"/>
    <w:rsid w:val="0078208E"/>
    <w:rsid w:val="0078384B"/>
    <w:rsid w:val="007842EC"/>
    <w:rsid w:val="00784528"/>
    <w:rsid w:val="007848DD"/>
    <w:rsid w:val="007864A2"/>
    <w:rsid w:val="00786E6C"/>
    <w:rsid w:val="00787ECF"/>
    <w:rsid w:val="00792460"/>
    <w:rsid w:val="00793997"/>
    <w:rsid w:val="007961ED"/>
    <w:rsid w:val="00797506"/>
    <w:rsid w:val="007A2803"/>
    <w:rsid w:val="007A406D"/>
    <w:rsid w:val="007A4543"/>
    <w:rsid w:val="007A5385"/>
    <w:rsid w:val="007A5417"/>
    <w:rsid w:val="007A5DF0"/>
    <w:rsid w:val="007A62B0"/>
    <w:rsid w:val="007A6655"/>
    <w:rsid w:val="007A69F2"/>
    <w:rsid w:val="007A6C0F"/>
    <w:rsid w:val="007A71B1"/>
    <w:rsid w:val="007B1604"/>
    <w:rsid w:val="007B2273"/>
    <w:rsid w:val="007B2AEF"/>
    <w:rsid w:val="007B3081"/>
    <w:rsid w:val="007B4446"/>
    <w:rsid w:val="007B47DA"/>
    <w:rsid w:val="007B4A31"/>
    <w:rsid w:val="007B4E8A"/>
    <w:rsid w:val="007B587C"/>
    <w:rsid w:val="007B5B5C"/>
    <w:rsid w:val="007B6864"/>
    <w:rsid w:val="007B6D58"/>
    <w:rsid w:val="007C0564"/>
    <w:rsid w:val="007C18B9"/>
    <w:rsid w:val="007C1A21"/>
    <w:rsid w:val="007C1D79"/>
    <w:rsid w:val="007C2A1F"/>
    <w:rsid w:val="007C4E8D"/>
    <w:rsid w:val="007C5A0C"/>
    <w:rsid w:val="007C707B"/>
    <w:rsid w:val="007C734A"/>
    <w:rsid w:val="007C74A6"/>
    <w:rsid w:val="007D10E3"/>
    <w:rsid w:val="007D1797"/>
    <w:rsid w:val="007D2BEB"/>
    <w:rsid w:val="007D2C28"/>
    <w:rsid w:val="007D3165"/>
    <w:rsid w:val="007D45E6"/>
    <w:rsid w:val="007D5226"/>
    <w:rsid w:val="007E09C2"/>
    <w:rsid w:val="007E0FEE"/>
    <w:rsid w:val="007E15A6"/>
    <w:rsid w:val="007E1D6A"/>
    <w:rsid w:val="007E3B33"/>
    <w:rsid w:val="007E44BD"/>
    <w:rsid w:val="007E5A2A"/>
    <w:rsid w:val="007E750E"/>
    <w:rsid w:val="007E774E"/>
    <w:rsid w:val="007F2017"/>
    <w:rsid w:val="007F4249"/>
    <w:rsid w:val="007F4557"/>
    <w:rsid w:val="007F4F43"/>
    <w:rsid w:val="007F5D6C"/>
    <w:rsid w:val="007F69A9"/>
    <w:rsid w:val="007F6EDA"/>
    <w:rsid w:val="007F7C29"/>
    <w:rsid w:val="00801139"/>
    <w:rsid w:val="00801EAE"/>
    <w:rsid w:val="0080207C"/>
    <w:rsid w:val="0080390E"/>
    <w:rsid w:val="00805057"/>
    <w:rsid w:val="00805924"/>
    <w:rsid w:val="008068DB"/>
    <w:rsid w:val="00810C78"/>
    <w:rsid w:val="00811B05"/>
    <w:rsid w:val="008121C8"/>
    <w:rsid w:val="00812527"/>
    <w:rsid w:val="00812DFA"/>
    <w:rsid w:val="00813527"/>
    <w:rsid w:val="008156C9"/>
    <w:rsid w:val="008158A7"/>
    <w:rsid w:val="008159CF"/>
    <w:rsid w:val="00816039"/>
    <w:rsid w:val="0081693A"/>
    <w:rsid w:val="00816E05"/>
    <w:rsid w:val="00817E0A"/>
    <w:rsid w:val="008207AF"/>
    <w:rsid w:val="0082301C"/>
    <w:rsid w:val="00824112"/>
    <w:rsid w:val="00825802"/>
    <w:rsid w:val="00825C4C"/>
    <w:rsid w:val="00826654"/>
    <w:rsid w:val="00826C79"/>
    <w:rsid w:val="00826F81"/>
    <w:rsid w:val="00831352"/>
    <w:rsid w:val="008319DA"/>
    <w:rsid w:val="00832ECD"/>
    <w:rsid w:val="00833116"/>
    <w:rsid w:val="00833625"/>
    <w:rsid w:val="008338E7"/>
    <w:rsid w:val="008339BB"/>
    <w:rsid w:val="00833D7C"/>
    <w:rsid w:val="0083402C"/>
    <w:rsid w:val="00834EEB"/>
    <w:rsid w:val="00835887"/>
    <w:rsid w:val="00835E42"/>
    <w:rsid w:val="008365AB"/>
    <w:rsid w:val="00840CB7"/>
    <w:rsid w:val="0084170B"/>
    <w:rsid w:val="00842D8B"/>
    <w:rsid w:val="00842F5C"/>
    <w:rsid w:val="00843660"/>
    <w:rsid w:val="00844548"/>
    <w:rsid w:val="00845609"/>
    <w:rsid w:val="008468B0"/>
    <w:rsid w:val="00846CCC"/>
    <w:rsid w:val="00846ECC"/>
    <w:rsid w:val="00851657"/>
    <w:rsid w:val="00854A49"/>
    <w:rsid w:val="008565AC"/>
    <w:rsid w:val="00861292"/>
    <w:rsid w:val="008616FC"/>
    <w:rsid w:val="0086271C"/>
    <w:rsid w:val="008634A4"/>
    <w:rsid w:val="00863C8C"/>
    <w:rsid w:val="0086419A"/>
    <w:rsid w:val="00865B83"/>
    <w:rsid w:val="00865DB2"/>
    <w:rsid w:val="008676E7"/>
    <w:rsid w:val="00867E17"/>
    <w:rsid w:val="0087023B"/>
    <w:rsid w:val="008709DF"/>
    <w:rsid w:val="00871CC6"/>
    <w:rsid w:val="0087203D"/>
    <w:rsid w:val="008724A0"/>
    <w:rsid w:val="008728D0"/>
    <w:rsid w:val="00873771"/>
    <w:rsid w:val="008741A2"/>
    <w:rsid w:val="008742F7"/>
    <w:rsid w:val="0087764A"/>
    <w:rsid w:val="008776F9"/>
    <w:rsid w:val="00877F7E"/>
    <w:rsid w:val="00880000"/>
    <w:rsid w:val="008817A4"/>
    <w:rsid w:val="00882096"/>
    <w:rsid w:val="0088229C"/>
    <w:rsid w:val="00882A29"/>
    <w:rsid w:val="00883D0F"/>
    <w:rsid w:val="00884602"/>
    <w:rsid w:val="008852FF"/>
    <w:rsid w:val="00886910"/>
    <w:rsid w:val="0088778C"/>
    <w:rsid w:val="00892D7A"/>
    <w:rsid w:val="0089302E"/>
    <w:rsid w:val="00893807"/>
    <w:rsid w:val="008947E3"/>
    <w:rsid w:val="00895F7B"/>
    <w:rsid w:val="0089621F"/>
    <w:rsid w:val="008962F1"/>
    <w:rsid w:val="00896D97"/>
    <w:rsid w:val="008A08BF"/>
    <w:rsid w:val="008A179F"/>
    <w:rsid w:val="008A2E34"/>
    <w:rsid w:val="008A4524"/>
    <w:rsid w:val="008A4F03"/>
    <w:rsid w:val="008A5047"/>
    <w:rsid w:val="008A5BA7"/>
    <w:rsid w:val="008A6B0B"/>
    <w:rsid w:val="008A6E01"/>
    <w:rsid w:val="008A78E4"/>
    <w:rsid w:val="008A7A04"/>
    <w:rsid w:val="008B068E"/>
    <w:rsid w:val="008B0864"/>
    <w:rsid w:val="008B175A"/>
    <w:rsid w:val="008B226F"/>
    <w:rsid w:val="008B2864"/>
    <w:rsid w:val="008B2F6E"/>
    <w:rsid w:val="008B40FF"/>
    <w:rsid w:val="008B4861"/>
    <w:rsid w:val="008B4D0A"/>
    <w:rsid w:val="008B5BC5"/>
    <w:rsid w:val="008B619B"/>
    <w:rsid w:val="008B61A8"/>
    <w:rsid w:val="008B6B81"/>
    <w:rsid w:val="008B76E5"/>
    <w:rsid w:val="008B7AE6"/>
    <w:rsid w:val="008C0E0F"/>
    <w:rsid w:val="008C0E14"/>
    <w:rsid w:val="008C1878"/>
    <w:rsid w:val="008C1E1C"/>
    <w:rsid w:val="008C1FCB"/>
    <w:rsid w:val="008C39B3"/>
    <w:rsid w:val="008C3BD0"/>
    <w:rsid w:val="008C3CB7"/>
    <w:rsid w:val="008C41BA"/>
    <w:rsid w:val="008C7413"/>
    <w:rsid w:val="008D0BE8"/>
    <w:rsid w:val="008D1518"/>
    <w:rsid w:val="008D16B7"/>
    <w:rsid w:val="008D16CE"/>
    <w:rsid w:val="008D40DF"/>
    <w:rsid w:val="008D466C"/>
    <w:rsid w:val="008D5F80"/>
    <w:rsid w:val="008D6297"/>
    <w:rsid w:val="008D6F9D"/>
    <w:rsid w:val="008E195E"/>
    <w:rsid w:val="008E2C46"/>
    <w:rsid w:val="008E419E"/>
    <w:rsid w:val="008E5D7C"/>
    <w:rsid w:val="008E6AE6"/>
    <w:rsid w:val="008E6ECE"/>
    <w:rsid w:val="008E7050"/>
    <w:rsid w:val="008E725D"/>
    <w:rsid w:val="008F0116"/>
    <w:rsid w:val="008F0D62"/>
    <w:rsid w:val="008F0DA5"/>
    <w:rsid w:val="008F143D"/>
    <w:rsid w:val="008F2886"/>
    <w:rsid w:val="008F7965"/>
    <w:rsid w:val="00901549"/>
    <w:rsid w:val="009016FC"/>
    <w:rsid w:val="009038D0"/>
    <w:rsid w:val="00903C57"/>
    <w:rsid w:val="00904390"/>
    <w:rsid w:val="0090515B"/>
    <w:rsid w:val="00905DED"/>
    <w:rsid w:val="0090642C"/>
    <w:rsid w:val="0090736E"/>
    <w:rsid w:val="00907C05"/>
    <w:rsid w:val="00907CAC"/>
    <w:rsid w:val="00912514"/>
    <w:rsid w:val="00912EF5"/>
    <w:rsid w:val="0091338E"/>
    <w:rsid w:val="00914B0A"/>
    <w:rsid w:val="009151C4"/>
    <w:rsid w:val="009156A5"/>
    <w:rsid w:val="009162DF"/>
    <w:rsid w:val="00917D2D"/>
    <w:rsid w:val="00917F22"/>
    <w:rsid w:val="00920F33"/>
    <w:rsid w:val="00923D37"/>
    <w:rsid w:val="00923ECE"/>
    <w:rsid w:val="0092441E"/>
    <w:rsid w:val="00924712"/>
    <w:rsid w:val="00924BDF"/>
    <w:rsid w:val="0092669A"/>
    <w:rsid w:val="009269D8"/>
    <w:rsid w:val="00926BD6"/>
    <w:rsid w:val="00927427"/>
    <w:rsid w:val="00927B38"/>
    <w:rsid w:val="00930587"/>
    <w:rsid w:val="00931415"/>
    <w:rsid w:val="00931E80"/>
    <w:rsid w:val="009323DC"/>
    <w:rsid w:val="00932865"/>
    <w:rsid w:val="00933907"/>
    <w:rsid w:val="00940CBE"/>
    <w:rsid w:val="009414B6"/>
    <w:rsid w:val="00943782"/>
    <w:rsid w:val="009440C5"/>
    <w:rsid w:val="0094572F"/>
    <w:rsid w:val="009465D3"/>
    <w:rsid w:val="00947753"/>
    <w:rsid w:val="00947922"/>
    <w:rsid w:val="00951765"/>
    <w:rsid w:val="00953946"/>
    <w:rsid w:val="00955773"/>
    <w:rsid w:val="009563CB"/>
    <w:rsid w:val="00957A3D"/>
    <w:rsid w:val="009606DE"/>
    <w:rsid w:val="0096139C"/>
    <w:rsid w:val="0096231B"/>
    <w:rsid w:val="00962FE4"/>
    <w:rsid w:val="009652FB"/>
    <w:rsid w:val="0096571C"/>
    <w:rsid w:val="00966D46"/>
    <w:rsid w:val="00967326"/>
    <w:rsid w:val="00971E42"/>
    <w:rsid w:val="0097226D"/>
    <w:rsid w:val="0097356C"/>
    <w:rsid w:val="009748AD"/>
    <w:rsid w:val="00974B4C"/>
    <w:rsid w:val="00974E8E"/>
    <w:rsid w:val="0097693C"/>
    <w:rsid w:val="00976991"/>
    <w:rsid w:val="00977DEF"/>
    <w:rsid w:val="00980F0C"/>
    <w:rsid w:val="0098138E"/>
    <w:rsid w:val="00981BC5"/>
    <w:rsid w:val="00981D26"/>
    <w:rsid w:val="0098267C"/>
    <w:rsid w:val="00983001"/>
    <w:rsid w:val="009831C0"/>
    <w:rsid w:val="00983435"/>
    <w:rsid w:val="0098347C"/>
    <w:rsid w:val="00985F06"/>
    <w:rsid w:val="00986323"/>
    <w:rsid w:val="0098644A"/>
    <w:rsid w:val="0098655A"/>
    <w:rsid w:val="00987AA7"/>
    <w:rsid w:val="009901B0"/>
    <w:rsid w:val="009901F1"/>
    <w:rsid w:val="009908D4"/>
    <w:rsid w:val="009937CE"/>
    <w:rsid w:val="009941AF"/>
    <w:rsid w:val="00996510"/>
    <w:rsid w:val="009974AE"/>
    <w:rsid w:val="009A0754"/>
    <w:rsid w:val="009A0856"/>
    <w:rsid w:val="009A0A7F"/>
    <w:rsid w:val="009A1277"/>
    <w:rsid w:val="009A2963"/>
    <w:rsid w:val="009A49B7"/>
    <w:rsid w:val="009A5FA1"/>
    <w:rsid w:val="009A6E36"/>
    <w:rsid w:val="009B0211"/>
    <w:rsid w:val="009B0B42"/>
    <w:rsid w:val="009B0C70"/>
    <w:rsid w:val="009B0FA4"/>
    <w:rsid w:val="009B28C6"/>
    <w:rsid w:val="009B2B50"/>
    <w:rsid w:val="009B39C1"/>
    <w:rsid w:val="009B39DF"/>
    <w:rsid w:val="009B40BB"/>
    <w:rsid w:val="009B6C87"/>
    <w:rsid w:val="009C1433"/>
    <w:rsid w:val="009C1D17"/>
    <w:rsid w:val="009C2534"/>
    <w:rsid w:val="009C3154"/>
    <w:rsid w:val="009C50DB"/>
    <w:rsid w:val="009C510B"/>
    <w:rsid w:val="009C587B"/>
    <w:rsid w:val="009C6DEB"/>
    <w:rsid w:val="009C7742"/>
    <w:rsid w:val="009C78DA"/>
    <w:rsid w:val="009C7E6E"/>
    <w:rsid w:val="009D27D8"/>
    <w:rsid w:val="009D2BB1"/>
    <w:rsid w:val="009D4CC2"/>
    <w:rsid w:val="009D4DC9"/>
    <w:rsid w:val="009D59F7"/>
    <w:rsid w:val="009D7B41"/>
    <w:rsid w:val="009E0831"/>
    <w:rsid w:val="009E18E1"/>
    <w:rsid w:val="009E3308"/>
    <w:rsid w:val="009E3638"/>
    <w:rsid w:val="009E3D53"/>
    <w:rsid w:val="009E4E1D"/>
    <w:rsid w:val="009E5B41"/>
    <w:rsid w:val="009E6052"/>
    <w:rsid w:val="009E6251"/>
    <w:rsid w:val="009E68FB"/>
    <w:rsid w:val="009E6FBC"/>
    <w:rsid w:val="009E7C7F"/>
    <w:rsid w:val="009E7CAA"/>
    <w:rsid w:val="009F1133"/>
    <w:rsid w:val="009F187D"/>
    <w:rsid w:val="009F28B2"/>
    <w:rsid w:val="009F3D58"/>
    <w:rsid w:val="009F5A22"/>
    <w:rsid w:val="00A0000F"/>
    <w:rsid w:val="00A00022"/>
    <w:rsid w:val="00A0025D"/>
    <w:rsid w:val="00A021E9"/>
    <w:rsid w:val="00A0243B"/>
    <w:rsid w:val="00A033B0"/>
    <w:rsid w:val="00A0380F"/>
    <w:rsid w:val="00A03ED5"/>
    <w:rsid w:val="00A044BD"/>
    <w:rsid w:val="00A04FAA"/>
    <w:rsid w:val="00A06357"/>
    <w:rsid w:val="00A0654A"/>
    <w:rsid w:val="00A104E1"/>
    <w:rsid w:val="00A10530"/>
    <w:rsid w:val="00A125CA"/>
    <w:rsid w:val="00A136C6"/>
    <w:rsid w:val="00A13CB6"/>
    <w:rsid w:val="00A1442C"/>
    <w:rsid w:val="00A149ED"/>
    <w:rsid w:val="00A15449"/>
    <w:rsid w:val="00A15E16"/>
    <w:rsid w:val="00A16CEB"/>
    <w:rsid w:val="00A171CF"/>
    <w:rsid w:val="00A1735A"/>
    <w:rsid w:val="00A17975"/>
    <w:rsid w:val="00A17AB9"/>
    <w:rsid w:val="00A17C4C"/>
    <w:rsid w:val="00A17CE0"/>
    <w:rsid w:val="00A17E2B"/>
    <w:rsid w:val="00A208E6"/>
    <w:rsid w:val="00A22641"/>
    <w:rsid w:val="00A23D48"/>
    <w:rsid w:val="00A2579D"/>
    <w:rsid w:val="00A259E8"/>
    <w:rsid w:val="00A25A83"/>
    <w:rsid w:val="00A26CED"/>
    <w:rsid w:val="00A27491"/>
    <w:rsid w:val="00A276F8"/>
    <w:rsid w:val="00A27AE1"/>
    <w:rsid w:val="00A301D9"/>
    <w:rsid w:val="00A304F0"/>
    <w:rsid w:val="00A31591"/>
    <w:rsid w:val="00A34067"/>
    <w:rsid w:val="00A34437"/>
    <w:rsid w:val="00A34748"/>
    <w:rsid w:val="00A34C46"/>
    <w:rsid w:val="00A34D32"/>
    <w:rsid w:val="00A35AEE"/>
    <w:rsid w:val="00A37050"/>
    <w:rsid w:val="00A37647"/>
    <w:rsid w:val="00A40872"/>
    <w:rsid w:val="00A40F82"/>
    <w:rsid w:val="00A411F0"/>
    <w:rsid w:val="00A42306"/>
    <w:rsid w:val="00A42753"/>
    <w:rsid w:val="00A43898"/>
    <w:rsid w:val="00A44E8D"/>
    <w:rsid w:val="00A45117"/>
    <w:rsid w:val="00A46178"/>
    <w:rsid w:val="00A467FD"/>
    <w:rsid w:val="00A46EA8"/>
    <w:rsid w:val="00A47BC3"/>
    <w:rsid w:val="00A526A4"/>
    <w:rsid w:val="00A52772"/>
    <w:rsid w:val="00A52F5E"/>
    <w:rsid w:val="00A5345C"/>
    <w:rsid w:val="00A53DD3"/>
    <w:rsid w:val="00A54432"/>
    <w:rsid w:val="00A55ACD"/>
    <w:rsid w:val="00A55E8B"/>
    <w:rsid w:val="00A56842"/>
    <w:rsid w:val="00A570B4"/>
    <w:rsid w:val="00A570C8"/>
    <w:rsid w:val="00A571C2"/>
    <w:rsid w:val="00A63944"/>
    <w:rsid w:val="00A646A9"/>
    <w:rsid w:val="00A6556B"/>
    <w:rsid w:val="00A65AF4"/>
    <w:rsid w:val="00A65DC3"/>
    <w:rsid w:val="00A66B4A"/>
    <w:rsid w:val="00A6743A"/>
    <w:rsid w:val="00A70A93"/>
    <w:rsid w:val="00A72112"/>
    <w:rsid w:val="00A721AC"/>
    <w:rsid w:val="00A72799"/>
    <w:rsid w:val="00A72A0F"/>
    <w:rsid w:val="00A73492"/>
    <w:rsid w:val="00A74801"/>
    <w:rsid w:val="00A75658"/>
    <w:rsid w:val="00A75F79"/>
    <w:rsid w:val="00A76366"/>
    <w:rsid w:val="00A777E3"/>
    <w:rsid w:val="00A80CBD"/>
    <w:rsid w:val="00A81BEA"/>
    <w:rsid w:val="00A823F9"/>
    <w:rsid w:val="00A82651"/>
    <w:rsid w:val="00A82742"/>
    <w:rsid w:val="00A827AB"/>
    <w:rsid w:val="00A83E73"/>
    <w:rsid w:val="00A84944"/>
    <w:rsid w:val="00A854BB"/>
    <w:rsid w:val="00A85925"/>
    <w:rsid w:val="00A85D27"/>
    <w:rsid w:val="00A86324"/>
    <w:rsid w:val="00A863F8"/>
    <w:rsid w:val="00A867B3"/>
    <w:rsid w:val="00A87175"/>
    <w:rsid w:val="00A90868"/>
    <w:rsid w:val="00A9211E"/>
    <w:rsid w:val="00A9370D"/>
    <w:rsid w:val="00A93771"/>
    <w:rsid w:val="00A9389C"/>
    <w:rsid w:val="00A9425A"/>
    <w:rsid w:val="00A946D7"/>
    <w:rsid w:val="00A94DBF"/>
    <w:rsid w:val="00A95CC2"/>
    <w:rsid w:val="00A96151"/>
    <w:rsid w:val="00AA0CAF"/>
    <w:rsid w:val="00AA22AF"/>
    <w:rsid w:val="00AA29AD"/>
    <w:rsid w:val="00AA34AE"/>
    <w:rsid w:val="00AA3D17"/>
    <w:rsid w:val="00AA4BF0"/>
    <w:rsid w:val="00AA7B3D"/>
    <w:rsid w:val="00AA7BB1"/>
    <w:rsid w:val="00AA7C05"/>
    <w:rsid w:val="00AB0CAC"/>
    <w:rsid w:val="00AB1C03"/>
    <w:rsid w:val="00AB3EC6"/>
    <w:rsid w:val="00AB5A62"/>
    <w:rsid w:val="00AB5C77"/>
    <w:rsid w:val="00AB7875"/>
    <w:rsid w:val="00AC0377"/>
    <w:rsid w:val="00AC12AE"/>
    <w:rsid w:val="00AC1CC1"/>
    <w:rsid w:val="00AC2FA5"/>
    <w:rsid w:val="00AC5213"/>
    <w:rsid w:val="00AC68EE"/>
    <w:rsid w:val="00AC7466"/>
    <w:rsid w:val="00AC760C"/>
    <w:rsid w:val="00AC76F2"/>
    <w:rsid w:val="00AC7AC4"/>
    <w:rsid w:val="00AC7ACC"/>
    <w:rsid w:val="00AD07EE"/>
    <w:rsid w:val="00AD1EA8"/>
    <w:rsid w:val="00AD2215"/>
    <w:rsid w:val="00AD3807"/>
    <w:rsid w:val="00AD5ED1"/>
    <w:rsid w:val="00AE17F8"/>
    <w:rsid w:val="00AE18A1"/>
    <w:rsid w:val="00AE1D7F"/>
    <w:rsid w:val="00AE238B"/>
    <w:rsid w:val="00AE6DC8"/>
    <w:rsid w:val="00AF031C"/>
    <w:rsid w:val="00AF0375"/>
    <w:rsid w:val="00AF0506"/>
    <w:rsid w:val="00AF0521"/>
    <w:rsid w:val="00AF0965"/>
    <w:rsid w:val="00AF2701"/>
    <w:rsid w:val="00AF2B62"/>
    <w:rsid w:val="00AF3F3D"/>
    <w:rsid w:val="00AF3FC4"/>
    <w:rsid w:val="00AF5A47"/>
    <w:rsid w:val="00AF774A"/>
    <w:rsid w:val="00AF7B7D"/>
    <w:rsid w:val="00B00204"/>
    <w:rsid w:val="00B0154E"/>
    <w:rsid w:val="00B01F7E"/>
    <w:rsid w:val="00B0210A"/>
    <w:rsid w:val="00B032FE"/>
    <w:rsid w:val="00B045B0"/>
    <w:rsid w:val="00B04DEA"/>
    <w:rsid w:val="00B05130"/>
    <w:rsid w:val="00B07EDE"/>
    <w:rsid w:val="00B113E5"/>
    <w:rsid w:val="00B12094"/>
    <w:rsid w:val="00B12187"/>
    <w:rsid w:val="00B14509"/>
    <w:rsid w:val="00B15CF6"/>
    <w:rsid w:val="00B160A9"/>
    <w:rsid w:val="00B164D0"/>
    <w:rsid w:val="00B16C2A"/>
    <w:rsid w:val="00B17D3E"/>
    <w:rsid w:val="00B206E5"/>
    <w:rsid w:val="00B20B64"/>
    <w:rsid w:val="00B217CF"/>
    <w:rsid w:val="00B21CB9"/>
    <w:rsid w:val="00B22328"/>
    <w:rsid w:val="00B23616"/>
    <w:rsid w:val="00B2530C"/>
    <w:rsid w:val="00B265FF"/>
    <w:rsid w:val="00B267EC"/>
    <w:rsid w:val="00B27500"/>
    <w:rsid w:val="00B3005B"/>
    <w:rsid w:val="00B3087D"/>
    <w:rsid w:val="00B30895"/>
    <w:rsid w:val="00B31161"/>
    <w:rsid w:val="00B31A7C"/>
    <w:rsid w:val="00B32486"/>
    <w:rsid w:val="00B32B1F"/>
    <w:rsid w:val="00B32CA3"/>
    <w:rsid w:val="00B341CD"/>
    <w:rsid w:val="00B34794"/>
    <w:rsid w:val="00B4131F"/>
    <w:rsid w:val="00B42204"/>
    <w:rsid w:val="00B42907"/>
    <w:rsid w:val="00B4296A"/>
    <w:rsid w:val="00B437A8"/>
    <w:rsid w:val="00B439A1"/>
    <w:rsid w:val="00B46407"/>
    <w:rsid w:val="00B467CC"/>
    <w:rsid w:val="00B47C89"/>
    <w:rsid w:val="00B5019D"/>
    <w:rsid w:val="00B50C5B"/>
    <w:rsid w:val="00B52D4A"/>
    <w:rsid w:val="00B53854"/>
    <w:rsid w:val="00B565FC"/>
    <w:rsid w:val="00B56A37"/>
    <w:rsid w:val="00B574C0"/>
    <w:rsid w:val="00B57D78"/>
    <w:rsid w:val="00B60421"/>
    <w:rsid w:val="00B61F29"/>
    <w:rsid w:val="00B630D8"/>
    <w:rsid w:val="00B639DB"/>
    <w:rsid w:val="00B63AAA"/>
    <w:rsid w:val="00B63EB1"/>
    <w:rsid w:val="00B63F79"/>
    <w:rsid w:val="00B654C7"/>
    <w:rsid w:val="00B671AC"/>
    <w:rsid w:val="00B70B4D"/>
    <w:rsid w:val="00B71291"/>
    <w:rsid w:val="00B712EA"/>
    <w:rsid w:val="00B71503"/>
    <w:rsid w:val="00B721FA"/>
    <w:rsid w:val="00B72A7D"/>
    <w:rsid w:val="00B74E82"/>
    <w:rsid w:val="00B74EDA"/>
    <w:rsid w:val="00B7539F"/>
    <w:rsid w:val="00B75620"/>
    <w:rsid w:val="00B76C67"/>
    <w:rsid w:val="00B77681"/>
    <w:rsid w:val="00B8055A"/>
    <w:rsid w:val="00B81EB6"/>
    <w:rsid w:val="00B82C25"/>
    <w:rsid w:val="00B83367"/>
    <w:rsid w:val="00B8498A"/>
    <w:rsid w:val="00B8509E"/>
    <w:rsid w:val="00B85259"/>
    <w:rsid w:val="00B856BA"/>
    <w:rsid w:val="00B85E07"/>
    <w:rsid w:val="00B863E3"/>
    <w:rsid w:val="00B86671"/>
    <w:rsid w:val="00B86A38"/>
    <w:rsid w:val="00B9002C"/>
    <w:rsid w:val="00B90BC6"/>
    <w:rsid w:val="00B914E6"/>
    <w:rsid w:val="00B93F24"/>
    <w:rsid w:val="00B94968"/>
    <w:rsid w:val="00B94DD0"/>
    <w:rsid w:val="00B9564C"/>
    <w:rsid w:val="00B95A09"/>
    <w:rsid w:val="00B96017"/>
    <w:rsid w:val="00B96335"/>
    <w:rsid w:val="00B966AD"/>
    <w:rsid w:val="00B97FFB"/>
    <w:rsid w:val="00BA145B"/>
    <w:rsid w:val="00BA200B"/>
    <w:rsid w:val="00BA2501"/>
    <w:rsid w:val="00BA299F"/>
    <w:rsid w:val="00BA2E5E"/>
    <w:rsid w:val="00BA3D23"/>
    <w:rsid w:val="00BA535B"/>
    <w:rsid w:val="00BA57D7"/>
    <w:rsid w:val="00BA6166"/>
    <w:rsid w:val="00BA734D"/>
    <w:rsid w:val="00BB012E"/>
    <w:rsid w:val="00BB0243"/>
    <w:rsid w:val="00BB0B65"/>
    <w:rsid w:val="00BB197E"/>
    <w:rsid w:val="00BB1A25"/>
    <w:rsid w:val="00BB2DA3"/>
    <w:rsid w:val="00BB4D88"/>
    <w:rsid w:val="00BB66D9"/>
    <w:rsid w:val="00BB6C15"/>
    <w:rsid w:val="00BC047A"/>
    <w:rsid w:val="00BC36E5"/>
    <w:rsid w:val="00BC37C5"/>
    <w:rsid w:val="00BC3EC5"/>
    <w:rsid w:val="00BC6173"/>
    <w:rsid w:val="00BC6208"/>
    <w:rsid w:val="00BC7118"/>
    <w:rsid w:val="00BD0E39"/>
    <w:rsid w:val="00BD1528"/>
    <w:rsid w:val="00BD2074"/>
    <w:rsid w:val="00BD257B"/>
    <w:rsid w:val="00BD6141"/>
    <w:rsid w:val="00BD64CF"/>
    <w:rsid w:val="00BD6FC2"/>
    <w:rsid w:val="00BD77D4"/>
    <w:rsid w:val="00BE0E56"/>
    <w:rsid w:val="00BE2329"/>
    <w:rsid w:val="00BE4159"/>
    <w:rsid w:val="00BE42CE"/>
    <w:rsid w:val="00BE4737"/>
    <w:rsid w:val="00BE4F63"/>
    <w:rsid w:val="00BE58A9"/>
    <w:rsid w:val="00BE6EE0"/>
    <w:rsid w:val="00BF1055"/>
    <w:rsid w:val="00BF1B78"/>
    <w:rsid w:val="00BF1C72"/>
    <w:rsid w:val="00BF2D5B"/>
    <w:rsid w:val="00BF44AE"/>
    <w:rsid w:val="00BF4FB6"/>
    <w:rsid w:val="00BF6238"/>
    <w:rsid w:val="00BF64A3"/>
    <w:rsid w:val="00BF7938"/>
    <w:rsid w:val="00C01E28"/>
    <w:rsid w:val="00C023D3"/>
    <w:rsid w:val="00C02967"/>
    <w:rsid w:val="00C02E9D"/>
    <w:rsid w:val="00C03DE9"/>
    <w:rsid w:val="00C046AA"/>
    <w:rsid w:val="00C059C7"/>
    <w:rsid w:val="00C05A11"/>
    <w:rsid w:val="00C05A68"/>
    <w:rsid w:val="00C05F33"/>
    <w:rsid w:val="00C0739B"/>
    <w:rsid w:val="00C1055B"/>
    <w:rsid w:val="00C10B5F"/>
    <w:rsid w:val="00C10B95"/>
    <w:rsid w:val="00C11970"/>
    <w:rsid w:val="00C12E61"/>
    <w:rsid w:val="00C13BB4"/>
    <w:rsid w:val="00C14F8C"/>
    <w:rsid w:val="00C16474"/>
    <w:rsid w:val="00C204F8"/>
    <w:rsid w:val="00C206A6"/>
    <w:rsid w:val="00C208A8"/>
    <w:rsid w:val="00C20FDC"/>
    <w:rsid w:val="00C213C9"/>
    <w:rsid w:val="00C2151E"/>
    <w:rsid w:val="00C2289A"/>
    <w:rsid w:val="00C22B79"/>
    <w:rsid w:val="00C235C5"/>
    <w:rsid w:val="00C24112"/>
    <w:rsid w:val="00C24E1D"/>
    <w:rsid w:val="00C2612A"/>
    <w:rsid w:val="00C3100B"/>
    <w:rsid w:val="00C31770"/>
    <w:rsid w:val="00C32DF8"/>
    <w:rsid w:val="00C33123"/>
    <w:rsid w:val="00C33374"/>
    <w:rsid w:val="00C33FD8"/>
    <w:rsid w:val="00C340BA"/>
    <w:rsid w:val="00C3596A"/>
    <w:rsid w:val="00C369F0"/>
    <w:rsid w:val="00C36B83"/>
    <w:rsid w:val="00C36EC9"/>
    <w:rsid w:val="00C37688"/>
    <w:rsid w:val="00C403F4"/>
    <w:rsid w:val="00C407B6"/>
    <w:rsid w:val="00C41898"/>
    <w:rsid w:val="00C44B8E"/>
    <w:rsid w:val="00C44E43"/>
    <w:rsid w:val="00C462C5"/>
    <w:rsid w:val="00C47F8A"/>
    <w:rsid w:val="00C51A1D"/>
    <w:rsid w:val="00C51C70"/>
    <w:rsid w:val="00C533BC"/>
    <w:rsid w:val="00C5405F"/>
    <w:rsid w:val="00C559FC"/>
    <w:rsid w:val="00C6174E"/>
    <w:rsid w:val="00C618D1"/>
    <w:rsid w:val="00C62244"/>
    <w:rsid w:val="00C6371F"/>
    <w:rsid w:val="00C64DDC"/>
    <w:rsid w:val="00C64F0A"/>
    <w:rsid w:val="00C657EB"/>
    <w:rsid w:val="00C668AE"/>
    <w:rsid w:val="00C67070"/>
    <w:rsid w:val="00C70ED2"/>
    <w:rsid w:val="00C71554"/>
    <w:rsid w:val="00C721B1"/>
    <w:rsid w:val="00C72EF0"/>
    <w:rsid w:val="00C7411D"/>
    <w:rsid w:val="00C742E9"/>
    <w:rsid w:val="00C74546"/>
    <w:rsid w:val="00C748A4"/>
    <w:rsid w:val="00C75F39"/>
    <w:rsid w:val="00C77406"/>
    <w:rsid w:val="00C77718"/>
    <w:rsid w:val="00C77FC9"/>
    <w:rsid w:val="00C80940"/>
    <w:rsid w:val="00C8249D"/>
    <w:rsid w:val="00C825AF"/>
    <w:rsid w:val="00C82A4A"/>
    <w:rsid w:val="00C83319"/>
    <w:rsid w:val="00C851E9"/>
    <w:rsid w:val="00C8576A"/>
    <w:rsid w:val="00C878D5"/>
    <w:rsid w:val="00C9033B"/>
    <w:rsid w:val="00C90561"/>
    <w:rsid w:val="00C90624"/>
    <w:rsid w:val="00C913A1"/>
    <w:rsid w:val="00C91724"/>
    <w:rsid w:val="00C923C0"/>
    <w:rsid w:val="00C931E1"/>
    <w:rsid w:val="00C93747"/>
    <w:rsid w:val="00C94C8C"/>
    <w:rsid w:val="00C95981"/>
    <w:rsid w:val="00C95E01"/>
    <w:rsid w:val="00C96FFF"/>
    <w:rsid w:val="00CA05AE"/>
    <w:rsid w:val="00CA0A08"/>
    <w:rsid w:val="00CA1F2C"/>
    <w:rsid w:val="00CA246B"/>
    <w:rsid w:val="00CA2985"/>
    <w:rsid w:val="00CA2AB0"/>
    <w:rsid w:val="00CA34A9"/>
    <w:rsid w:val="00CA3ACB"/>
    <w:rsid w:val="00CA4883"/>
    <w:rsid w:val="00CA50D5"/>
    <w:rsid w:val="00CA6159"/>
    <w:rsid w:val="00CA68BF"/>
    <w:rsid w:val="00CA6EC1"/>
    <w:rsid w:val="00CB0BBE"/>
    <w:rsid w:val="00CB2798"/>
    <w:rsid w:val="00CB2ACF"/>
    <w:rsid w:val="00CB5D4A"/>
    <w:rsid w:val="00CB6F4D"/>
    <w:rsid w:val="00CB7A7E"/>
    <w:rsid w:val="00CC3DDE"/>
    <w:rsid w:val="00CC49A5"/>
    <w:rsid w:val="00CC5833"/>
    <w:rsid w:val="00CC639C"/>
    <w:rsid w:val="00CC6A99"/>
    <w:rsid w:val="00CC7089"/>
    <w:rsid w:val="00CC7253"/>
    <w:rsid w:val="00CC77C5"/>
    <w:rsid w:val="00CD029C"/>
    <w:rsid w:val="00CD304C"/>
    <w:rsid w:val="00CD5181"/>
    <w:rsid w:val="00CD5A39"/>
    <w:rsid w:val="00CD5E8C"/>
    <w:rsid w:val="00CD6087"/>
    <w:rsid w:val="00CD6550"/>
    <w:rsid w:val="00CD6CE6"/>
    <w:rsid w:val="00CD6E69"/>
    <w:rsid w:val="00CD7AA6"/>
    <w:rsid w:val="00CD7FFB"/>
    <w:rsid w:val="00CE27C2"/>
    <w:rsid w:val="00CE3608"/>
    <w:rsid w:val="00CE55F5"/>
    <w:rsid w:val="00CE7A96"/>
    <w:rsid w:val="00CF1AAD"/>
    <w:rsid w:val="00CF3EED"/>
    <w:rsid w:val="00CF41F8"/>
    <w:rsid w:val="00CF6602"/>
    <w:rsid w:val="00CF70B9"/>
    <w:rsid w:val="00D00AA3"/>
    <w:rsid w:val="00D03DA9"/>
    <w:rsid w:val="00D0499B"/>
    <w:rsid w:val="00D04C04"/>
    <w:rsid w:val="00D0504E"/>
    <w:rsid w:val="00D06301"/>
    <w:rsid w:val="00D07856"/>
    <w:rsid w:val="00D07E0C"/>
    <w:rsid w:val="00D07F73"/>
    <w:rsid w:val="00D07FEE"/>
    <w:rsid w:val="00D10247"/>
    <w:rsid w:val="00D1026F"/>
    <w:rsid w:val="00D102E6"/>
    <w:rsid w:val="00D10642"/>
    <w:rsid w:val="00D12234"/>
    <w:rsid w:val="00D12360"/>
    <w:rsid w:val="00D12CB3"/>
    <w:rsid w:val="00D14844"/>
    <w:rsid w:val="00D14C5C"/>
    <w:rsid w:val="00D14E48"/>
    <w:rsid w:val="00D16736"/>
    <w:rsid w:val="00D16EFB"/>
    <w:rsid w:val="00D2041C"/>
    <w:rsid w:val="00D206B2"/>
    <w:rsid w:val="00D20D1F"/>
    <w:rsid w:val="00D216DF"/>
    <w:rsid w:val="00D23132"/>
    <w:rsid w:val="00D2337F"/>
    <w:rsid w:val="00D235DF"/>
    <w:rsid w:val="00D2417F"/>
    <w:rsid w:val="00D24856"/>
    <w:rsid w:val="00D25ADE"/>
    <w:rsid w:val="00D267CD"/>
    <w:rsid w:val="00D27246"/>
    <w:rsid w:val="00D27260"/>
    <w:rsid w:val="00D2737B"/>
    <w:rsid w:val="00D279E0"/>
    <w:rsid w:val="00D30709"/>
    <w:rsid w:val="00D31C71"/>
    <w:rsid w:val="00D3272F"/>
    <w:rsid w:val="00D3281D"/>
    <w:rsid w:val="00D34EC2"/>
    <w:rsid w:val="00D355FF"/>
    <w:rsid w:val="00D3598E"/>
    <w:rsid w:val="00D35DCD"/>
    <w:rsid w:val="00D3628D"/>
    <w:rsid w:val="00D36DC2"/>
    <w:rsid w:val="00D37DEC"/>
    <w:rsid w:val="00D40719"/>
    <w:rsid w:val="00D407AF"/>
    <w:rsid w:val="00D40873"/>
    <w:rsid w:val="00D40993"/>
    <w:rsid w:val="00D414A7"/>
    <w:rsid w:val="00D4171A"/>
    <w:rsid w:val="00D42333"/>
    <w:rsid w:val="00D42C1C"/>
    <w:rsid w:val="00D42E05"/>
    <w:rsid w:val="00D43297"/>
    <w:rsid w:val="00D434BB"/>
    <w:rsid w:val="00D43FDE"/>
    <w:rsid w:val="00D44A86"/>
    <w:rsid w:val="00D44DB6"/>
    <w:rsid w:val="00D4697E"/>
    <w:rsid w:val="00D50119"/>
    <w:rsid w:val="00D50508"/>
    <w:rsid w:val="00D510FF"/>
    <w:rsid w:val="00D51498"/>
    <w:rsid w:val="00D53EA7"/>
    <w:rsid w:val="00D55FE0"/>
    <w:rsid w:val="00D6057D"/>
    <w:rsid w:val="00D60C8D"/>
    <w:rsid w:val="00D60D9A"/>
    <w:rsid w:val="00D63309"/>
    <w:rsid w:val="00D6593A"/>
    <w:rsid w:val="00D65EB7"/>
    <w:rsid w:val="00D71316"/>
    <w:rsid w:val="00D718DB"/>
    <w:rsid w:val="00D7197F"/>
    <w:rsid w:val="00D7398C"/>
    <w:rsid w:val="00D73F5B"/>
    <w:rsid w:val="00D751F0"/>
    <w:rsid w:val="00D81024"/>
    <w:rsid w:val="00D82A40"/>
    <w:rsid w:val="00D82A43"/>
    <w:rsid w:val="00D8317E"/>
    <w:rsid w:val="00D8330E"/>
    <w:rsid w:val="00D8350A"/>
    <w:rsid w:val="00D83F23"/>
    <w:rsid w:val="00D863C3"/>
    <w:rsid w:val="00D87D65"/>
    <w:rsid w:val="00D87DD1"/>
    <w:rsid w:val="00D900F6"/>
    <w:rsid w:val="00D9302F"/>
    <w:rsid w:val="00D93FA8"/>
    <w:rsid w:val="00D94B00"/>
    <w:rsid w:val="00D955D2"/>
    <w:rsid w:val="00D95F3B"/>
    <w:rsid w:val="00D96307"/>
    <w:rsid w:val="00D979BE"/>
    <w:rsid w:val="00D97DAB"/>
    <w:rsid w:val="00DA0BD5"/>
    <w:rsid w:val="00DA4ADF"/>
    <w:rsid w:val="00DA6B86"/>
    <w:rsid w:val="00DA6FFC"/>
    <w:rsid w:val="00DA7B5D"/>
    <w:rsid w:val="00DB1437"/>
    <w:rsid w:val="00DB210D"/>
    <w:rsid w:val="00DB313C"/>
    <w:rsid w:val="00DB3187"/>
    <w:rsid w:val="00DB6392"/>
    <w:rsid w:val="00DC04D3"/>
    <w:rsid w:val="00DC0B48"/>
    <w:rsid w:val="00DC4953"/>
    <w:rsid w:val="00DC5369"/>
    <w:rsid w:val="00DC6254"/>
    <w:rsid w:val="00DC6CCC"/>
    <w:rsid w:val="00DC7204"/>
    <w:rsid w:val="00DD17D5"/>
    <w:rsid w:val="00DD3BE1"/>
    <w:rsid w:val="00DD42AC"/>
    <w:rsid w:val="00DD4927"/>
    <w:rsid w:val="00DD51D9"/>
    <w:rsid w:val="00DD5FFA"/>
    <w:rsid w:val="00DD65A7"/>
    <w:rsid w:val="00DD7677"/>
    <w:rsid w:val="00DD7CFC"/>
    <w:rsid w:val="00DD7F2B"/>
    <w:rsid w:val="00DE1701"/>
    <w:rsid w:val="00DE20E2"/>
    <w:rsid w:val="00DE612A"/>
    <w:rsid w:val="00DE72E1"/>
    <w:rsid w:val="00DE7548"/>
    <w:rsid w:val="00DE7703"/>
    <w:rsid w:val="00DF002A"/>
    <w:rsid w:val="00DF177C"/>
    <w:rsid w:val="00DF198E"/>
    <w:rsid w:val="00DF1F5B"/>
    <w:rsid w:val="00DF32DC"/>
    <w:rsid w:val="00DF3AF1"/>
    <w:rsid w:val="00DF4A05"/>
    <w:rsid w:val="00DF58E7"/>
    <w:rsid w:val="00DF61E1"/>
    <w:rsid w:val="00DF72D0"/>
    <w:rsid w:val="00E005A9"/>
    <w:rsid w:val="00E00717"/>
    <w:rsid w:val="00E00E8F"/>
    <w:rsid w:val="00E01355"/>
    <w:rsid w:val="00E0144E"/>
    <w:rsid w:val="00E014A0"/>
    <w:rsid w:val="00E01C20"/>
    <w:rsid w:val="00E03A9E"/>
    <w:rsid w:val="00E0472B"/>
    <w:rsid w:val="00E057E4"/>
    <w:rsid w:val="00E05DC4"/>
    <w:rsid w:val="00E1031B"/>
    <w:rsid w:val="00E1050D"/>
    <w:rsid w:val="00E1078A"/>
    <w:rsid w:val="00E11876"/>
    <w:rsid w:val="00E1188C"/>
    <w:rsid w:val="00E123A9"/>
    <w:rsid w:val="00E124B7"/>
    <w:rsid w:val="00E125FA"/>
    <w:rsid w:val="00E14C9D"/>
    <w:rsid w:val="00E2009A"/>
    <w:rsid w:val="00E20842"/>
    <w:rsid w:val="00E20F9D"/>
    <w:rsid w:val="00E238CC"/>
    <w:rsid w:val="00E23CBB"/>
    <w:rsid w:val="00E249CE"/>
    <w:rsid w:val="00E24DD2"/>
    <w:rsid w:val="00E26D62"/>
    <w:rsid w:val="00E30332"/>
    <w:rsid w:val="00E30933"/>
    <w:rsid w:val="00E3150E"/>
    <w:rsid w:val="00E31B0B"/>
    <w:rsid w:val="00E32EBD"/>
    <w:rsid w:val="00E3378B"/>
    <w:rsid w:val="00E33D5F"/>
    <w:rsid w:val="00E34867"/>
    <w:rsid w:val="00E34BE6"/>
    <w:rsid w:val="00E37B59"/>
    <w:rsid w:val="00E4028D"/>
    <w:rsid w:val="00E402DE"/>
    <w:rsid w:val="00E41DF5"/>
    <w:rsid w:val="00E42143"/>
    <w:rsid w:val="00E4224E"/>
    <w:rsid w:val="00E43AED"/>
    <w:rsid w:val="00E44723"/>
    <w:rsid w:val="00E4540B"/>
    <w:rsid w:val="00E47157"/>
    <w:rsid w:val="00E47FF5"/>
    <w:rsid w:val="00E50D55"/>
    <w:rsid w:val="00E51C81"/>
    <w:rsid w:val="00E5227A"/>
    <w:rsid w:val="00E53438"/>
    <w:rsid w:val="00E55213"/>
    <w:rsid w:val="00E60004"/>
    <w:rsid w:val="00E60FAF"/>
    <w:rsid w:val="00E6101B"/>
    <w:rsid w:val="00E612F2"/>
    <w:rsid w:val="00E612FF"/>
    <w:rsid w:val="00E61BF6"/>
    <w:rsid w:val="00E6412E"/>
    <w:rsid w:val="00E66443"/>
    <w:rsid w:val="00E705F7"/>
    <w:rsid w:val="00E707F5"/>
    <w:rsid w:val="00E70D44"/>
    <w:rsid w:val="00E725FC"/>
    <w:rsid w:val="00E734FB"/>
    <w:rsid w:val="00E73A4B"/>
    <w:rsid w:val="00E73B18"/>
    <w:rsid w:val="00E74110"/>
    <w:rsid w:val="00E74259"/>
    <w:rsid w:val="00E742E4"/>
    <w:rsid w:val="00E747D7"/>
    <w:rsid w:val="00E74B6B"/>
    <w:rsid w:val="00E751EA"/>
    <w:rsid w:val="00E7539A"/>
    <w:rsid w:val="00E760DA"/>
    <w:rsid w:val="00E7637E"/>
    <w:rsid w:val="00E764D8"/>
    <w:rsid w:val="00E77019"/>
    <w:rsid w:val="00E801E4"/>
    <w:rsid w:val="00E8068B"/>
    <w:rsid w:val="00E814F5"/>
    <w:rsid w:val="00E84154"/>
    <w:rsid w:val="00E87644"/>
    <w:rsid w:val="00E8791E"/>
    <w:rsid w:val="00E907D2"/>
    <w:rsid w:val="00E9253C"/>
    <w:rsid w:val="00E9364D"/>
    <w:rsid w:val="00E93A39"/>
    <w:rsid w:val="00E947D4"/>
    <w:rsid w:val="00E95148"/>
    <w:rsid w:val="00E95579"/>
    <w:rsid w:val="00E97769"/>
    <w:rsid w:val="00E97B7B"/>
    <w:rsid w:val="00EA0F44"/>
    <w:rsid w:val="00EA1552"/>
    <w:rsid w:val="00EA287D"/>
    <w:rsid w:val="00EA2BFA"/>
    <w:rsid w:val="00EA2DB8"/>
    <w:rsid w:val="00EA3040"/>
    <w:rsid w:val="00EA32AA"/>
    <w:rsid w:val="00EA35DA"/>
    <w:rsid w:val="00EA36C6"/>
    <w:rsid w:val="00EA39C0"/>
    <w:rsid w:val="00EA41F5"/>
    <w:rsid w:val="00EA52F3"/>
    <w:rsid w:val="00EA56E1"/>
    <w:rsid w:val="00EA5947"/>
    <w:rsid w:val="00EA5C79"/>
    <w:rsid w:val="00EA6765"/>
    <w:rsid w:val="00EA6C70"/>
    <w:rsid w:val="00EB2C0E"/>
    <w:rsid w:val="00EB39EB"/>
    <w:rsid w:val="00EB3E04"/>
    <w:rsid w:val="00EB3F5A"/>
    <w:rsid w:val="00EB7991"/>
    <w:rsid w:val="00EB79F9"/>
    <w:rsid w:val="00EC0FC9"/>
    <w:rsid w:val="00EC1802"/>
    <w:rsid w:val="00EC30F9"/>
    <w:rsid w:val="00EC3BAC"/>
    <w:rsid w:val="00EC4BB3"/>
    <w:rsid w:val="00EC52C3"/>
    <w:rsid w:val="00EC5A27"/>
    <w:rsid w:val="00EC6C74"/>
    <w:rsid w:val="00ED37DD"/>
    <w:rsid w:val="00ED383F"/>
    <w:rsid w:val="00ED3EC4"/>
    <w:rsid w:val="00ED4414"/>
    <w:rsid w:val="00ED4A8D"/>
    <w:rsid w:val="00ED4AE7"/>
    <w:rsid w:val="00ED5725"/>
    <w:rsid w:val="00ED7031"/>
    <w:rsid w:val="00ED7719"/>
    <w:rsid w:val="00EE0329"/>
    <w:rsid w:val="00EE04A6"/>
    <w:rsid w:val="00EE228A"/>
    <w:rsid w:val="00EE3003"/>
    <w:rsid w:val="00EE3060"/>
    <w:rsid w:val="00EE3966"/>
    <w:rsid w:val="00EE3DF8"/>
    <w:rsid w:val="00EE4315"/>
    <w:rsid w:val="00EE4D0D"/>
    <w:rsid w:val="00EE51A6"/>
    <w:rsid w:val="00EE60F4"/>
    <w:rsid w:val="00EE7552"/>
    <w:rsid w:val="00EE7F3D"/>
    <w:rsid w:val="00EF0B84"/>
    <w:rsid w:val="00EF0C63"/>
    <w:rsid w:val="00EF3431"/>
    <w:rsid w:val="00EF36AC"/>
    <w:rsid w:val="00EF3861"/>
    <w:rsid w:val="00EF3D53"/>
    <w:rsid w:val="00EF3DF0"/>
    <w:rsid w:val="00EF6925"/>
    <w:rsid w:val="00F0050A"/>
    <w:rsid w:val="00F0121F"/>
    <w:rsid w:val="00F02162"/>
    <w:rsid w:val="00F02473"/>
    <w:rsid w:val="00F035F1"/>
    <w:rsid w:val="00F03C47"/>
    <w:rsid w:val="00F04567"/>
    <w:rsid w:val="00F04D8B"/>
    <w:rsid w:val="00F05599"/>
    <w:rsid w:val="00F060DD"/>
    <w:rsid w:val="00F06AB9"/>
    <w:rsid w:val="00F100D8"/>
    <w:rsid w:val="00F12118"/>
    <w:rsid w:val="00F13557"/>
    <w:rsid w:val="00F14523"/>
    <w:rsid w:val="00F23CA7"/>
    <w:rsid w:val="00F26ED3"/>
    <w:rsid w:val="00F271E8"/>
    <w:rsid w:val="00F279A9"/>
    <w:rsid w:val="00F30A4C"/>
    <w:rsid w:val="00F319E0"/>
    <w:rsid w:val="00F328B8"/>
    <w:rsid w:val="00F34314"/>
    <w:rsid w:val="00F34E72"/>
    <w:rsid w:val="00F3515F"/>
    <w:rsid w:val="00F35FA7"/>
    <w:rsid w:val="00F36206"/>
    <w:rsid w:val="00F36952"/>
    <w:rsid w:val="00F3709B"/>
    <w:rsid w:val="00F37D05"/>
    <w:rsid w:val="00F40D44"/>
    <w:rsid w:val="00F41010"/>
    <w:rsid w:val="00F42B8F"/>
    <w:rsid w:val="00F4595C"/>
    <w:rsid w:val="00F45DFB"/>
    <w:rsid w:val="00F46247"/>
    <w:rsid w:val="00F465C9"/>
    <w:rsid w:val="00F477D2"/>
    <w:rsid w:val="00F47911"/>
    <w:rsid w:val="00F506FE"/>
    <w:rsid w:val="00F512A0"/>
    <w:rsid w:val="00F51EE5"/>
    <w:rsid w:val="00F52DB7"/>
    <w:rsid w:val="00F542A7"/>
    <w:rsid w:val="00F5633B"/>
    <w:rsid w:val="00F5722E"/>
    <w:rsid w:val="00F60151"/>
    <w:rsid w:val="00F60543"/>
    <w:rsid w:val="00F6104A"/>
    <w:rsid w:val="00F62B7A"/>
    <w:rsid w:val="00F6397D"/>
    <w:rsid w:val="00F63DD2"/>
    <w:rsid w:val="00F64AA7"/>
    <w:rsid w:val="00F65D47"/>
    <w:rsid w:val="00F66E1A"/>
    <w:rsid w:val="00F66FDB"/>
    <w:rsid w:val="00F7293E"/>
    <w:rsid w:val="00F72C1E"/>
    <w:rsid w:val="00F749A7"/>
    <w:rsid w:val="00F76650"/>
    <w:rsid w:val="00F76E45"/>
    <w:rsid w:val="00F803BD"/>
    <w:rsid w:val="00F805B4"/>
    <w:rsid w:val="00F82A15"/>
    <w:rsid w:val="00F8339B"/>
    <w:rsid w:val="00F83D28"/>
    <w:rsid w:val="00F84117"/>
    <w:rsid w:val="00F841D5"/>
    <w:rsid w:val="00F84205"/>
    <w:rsid w:val="00F84802"/>
    <w:rsid w:val="00F8488E"/>
    <w:rsid w:val="00F86DBA"/>
    <w:rsid w:val="00F913CF"/>
    <w:rsid w:val="00F9187B"/>
    <w:rsid w:val="00F91F30"/>
    <w:rsid w:val="00F92385"/>
    <w:rsid w:val="00F9249F"/>
    <w:rsid w:val="00F92A24"/>
    <w:rsid w:val="00F93779"/>
    <w:rsid w:val="00F939F4"/>
    <w:rsid w:val="00F97218"/>
    <w:rsid w:val="00F97524"/>
    <w:rsid w:val="00FA1B4F"/>
    <w:rsid w:val="00FA2833"/>
    <w:rsid w:val="00FA3AF2"/>
    <w:rsid w:val="00FA4888"/>
    <w:rsid w:val="00FA6F1C"/>
    <w:rsid w:val="00FB0893"/>
    <w:rsid w:val="00FB0E32"/>
    <w:rsid w:val="00FB1742"/>
    <w:rsid w:val="00FB23BE"/>
    <w:rsid w:val="00FB281E"/>
    <w:rsid w:val="00FB3C98"/>
    <w:rsid w:val="00FB6AA9"/>
    <w:rsid w:val="00FC32DC"/>
    <w:rsid w:val="00FC38B3"/>
    <w:rsid w:val="00FC44A2"/>
    <w:rsid w:val="00FC465C"/>
    <w:rsid w:val="00FC47F9"/>
    <w:rsid w:val="00FD049A"/>
    <w:rsid w:val="00FD0A8F"/>
    <w:rsid w:val="00FD0F7F"/>
    <w:rsid w:val="00FD12A7"/>
    <w:rsid w:val="00FD1CAE"/>
    <w:rsid w:val="00FD272F"/>
    <w:rsid w:val="00FD294E"/>
    <w:rsid w:val="00FD2B7B"/>
    <w:rsid w:val="00FD2F42"/>
    <w:rsid w:val="00FD4123"/>
    <w:rsid w:val="00FD576E"/>
    <w:rsid w:val="00FD5F81"/>
    <w:rsid w:val="00FD7E15"/>
    <w:rsid w:val="00FE104E"/>
    <w:rsid w:val="00FE1EFC"/>
    <w:rsid w:val="00FE2351"/>
    <w:rsid w:val="00FE23D1"/>
    <w:rsid w:val="00FE337D"/>
    <w:rsid w:val="00FE3B13"/>
    <w:rsid w:val="00FE5580"/>
    <w:rsid w:val="00FE5A47"/>
    <w:rsid w:val="00FE5E9D"/>
    <w:rsid w:val="00FE6D0D"/>
    <w:rsid w:val="00FE75DC"/>
    <w:rsid w:val="00FF0066"/>
    <w:rsid w:val="00FF110C"/>
    <w:rsid w:val="00FF13A7"/>
    <w:rsid w:val="00FF1682"/>
    <w:rsid w:val="00FF2413"/>
    <w:rsid w:val="00FF4745"/>
    <w:rsid w:val="00FF53A7"/>
    <w:rsid w:val="00FF547A"/>
    <w:rsid w:val="00FF5781"/>
    <w:rsid w:val="00FF5E7B"/>
    <w:rsid w:val="00FF6973"/>
    <w:rsid w:val="00FF70D2"/>
    <w:rsid w:val="00FF723F"/>
    <w:rsid w:val="00FF7271"/>
    <w:rsid w:val="00FF79CC"/>
    <w:rsid w:val="019943A3"/>
    <w:rsid w:val="0597820E"/>
    <w:rsid w:val="0BE23E03"/>
    <w:rsid w:val="0F96A332"/>
    <w:rsid w:val="10297053"/>
    <w:rsid w:val="12D36E80"/>
    <w:rsid w:val="145506E0"/>
    <w:rsid w:val="185B1C2D"/>
    <w:rsid w:val="1BE5CBEF"/>
    <w:rsid w:val="1D6ECC9D"/>
    <w:rsid w:val="29F9D1BC"/>
    <w:rsid w:val="3271B1A2"/>
    <w:rsid w:val="3285DFA5"/>
    <w:rsid w:val="337DC331"/>
    <w:rsid w:val="36B3A480"/>
    <w:rsid w:val="3E85E302"/>
    <w:rsid w:val="434244D7"/>
    <w:rsid w:val="437D63F3"/>
    <w:rsid w:val="4951368F"/>
    <w:rsid w:val="4C49E367"/>
    <w:rsid w:val="4DC72E1C"/>
    <w:rsid w:val="52FAFB14"/>
    <w:rsid w:val="53024876"/>
    <w:rsid w:val="534D4891"/>
    <w:rsid w:val="53E0A238"/>
    <w:rsid w:val="54476448"/>
    <w:rsid w:val="546D3159"/>
    <w:rsid w:val="56A1AA24"/>
    <w:rsid w:val="589C9A70"/>
    <w:rsid w:val="5CFFC6E3"/>
    <w:rsid w:val="60D1376E"/>
    <w:rsid w:val="65CAC021"/>
    <w:rsid w:val="66E153E4"/>
    <w:rsid w:val="69942EA6"/>
    <w:rsid w:val="6B4B8285"/>
    <w:rsid w:val="777176D3"/>
    <w:rsid w:val="7B36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B92E"/>
  <w15:chartTrackingRefBased/>
  <w15:docId w15:val="{901680BE-9EA9-4552-89D3-35FF252CF12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basedOn w:val="DefaultParagraphFont"/>
    <w:uiPriority w:val="99"/>
    <w:unhideWhenUsed/>
    <w:qFormat/>
    <w:rsid w:val="00DF58E7"/>
    <w:rPr>
      <w:vertAlign w:val="superscript"/>
    </w:rPr>
  </w:style>
  <w:style w:type="paragraph" w:customStyle="1" w:styleId="FoF">
    <w:name w:val="FoF"/>
    <w:basedOn w:val="Standard"/>
    <w:uiPriority w:val="6"/>
    <w:qFormat/>
    <w:rsid w:val="001E2A62"/>
    <w:pPr>
      <w:ind w:firstLine="0"/>
    </w:pPr>
  </w:style>
  <w:style w:type="paragraph" w:customStyle="1" w:styleId="CoL">
    <w:name w:val="CoL"/>
    <w:basedOn w:val="Standard"/>
    <w:uiPriority w:val="7"/>
    <w:qFormat/>
    <w:rsid w:val="001E2A62"/>
    <w:pPr>
      <w:ind w:firstLine="540"/>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CommentReference">
    <w:name w:val="annotation reference"/>
    <w:basedOn w:val="DefaultParagraphFont"/>
    <w:semiHidden/>
    <w:unhideWhenUsed/>
    <w:rsid w:val="00AC2FA5"/>
    <w:rPr>
      <w:sz w:val="16"/>
      <w:szCs w:val="16"/>
    </w:rPr>
  </w:style>
  <w:style w:type="paragraph" w:styleId="CommentText">
    <w:name w:val="annotation text"/>
    <w:basedOn w:val="Normal"/>
    <w:link w:val="CommentTextChar"/>
    <w:uiPriority w:val="99"/>
    <w:unhideWhenUsed/>
    <w:rsid w:val="00AC2FA5"/>
    <w:pPr>
      <w:spacing w:line="240" w:lineRule="auto"/>
    </w:pPr>
    <w:rPr>
      <w:sz w:val="20"/>
      <w:szCs w:val="20"/>
    </w:rPr>
  </w:style>
  <w:style w:type="character" w:customStyle="1" w:styleId="CommentTextChar">
    <w:name w:val="Comment Text Char"/>
    <w:basedOn w:val="DefaultParagraphFont"/>
    <w:link w:val="CommentText"/>
    <w:uiPriority w:val="99"/>
    <w:rsid w:val="00AC2FA5"/>
    <w:rPr>
      <w:rFonts w:ascii="Book Antiqua" w:hAnsi="Book Antiqua"/>
      <w:sz w:val="20"/>
      <w:szCs w:val="20"/>
    </w:rPr>
  </w:style>
  <w:style w:type="character" w:styleId="UnresolvedMention">
    <w:name w:val="Unresolved Mention"/>
    <w:basedOn w:val="DefaultParagraphFont"/>
    <w:uiPriority w:val="99"/>
    <w:semiHidden/>
    <w:unhideWhenUsed/>
    <w:rsid w:val="00A74801"/>
    <w:rPr>
      <w:color w:val="605E5C"/>
      <w:shd w:val="clear" w:color="auto" w:fill="E1DFDD"/>
    </w:rPr>
  </w:style>
  <w:style w:type="paragraph" w:styleId="ListParagraph">
    <w:name w:val="List Paragraph"/>
    <w:basedOn w:val="Normal"/>
    <w:uiPriority w:val="34"/>
    <w:rsid w:val="006F42C9"/>
    <w:pPr>
      <w:ind w:left="720"/>
      <w:contextualSpacing/>
    </w:pPr>
  </w:style>
  <w:style w:type="paragraph" w:customStyle="1" w:styleId="num2">
    <w:name w:val="num2"/>
    <w:basedOn w:val="Normal"/>
    <w:rsid w:val="00672456"/>
    <w:pPr>
      <w:tabs>
        <w:tab w:val="left" w:pos="-720"/>
      </w:tabs>
      <w:suppressAutoHyphens/>
      <w:ind w:firstLine="270"/>
    </w:pPr>
    <w:rPr>
      <w:rFonts w:ascii="Palatino" w:eastAsia="Times New Roman" w:hAnsi="Palatino" w:cs="Times New Roman"/>
      <w:szCs w:val="20"/>
    </w:rPr>
  </w:style>
  <w:style w:type="paragraph" w:styleId="CommentSubject">
    <w:name w:val="annotation subject"/>
    <w:basedOn w:val="CommentText"/>
    <w:next w:val="CommentText"/>
    <w:link w:val="CommentSubjectChar"/>
    <w:uiPriority w:val="99"/>
    <w:semiHidden/>
    <w:unhideWhenUsed/>
    <w:rsid w:val="00F14523"/>
    <w:rPr>
      <w:b/>
      <w:bCs/>
    </w:rPr>
  </w:style>
  <w:style w:type="character" w:customStyle="1" w:styleId="CommentSubjectChar">
    <w:name w:val="Comment Subject Char"/>
    <w:basedOn w:val="CommentTextChar"/>
    <w:link w:val="CommentSubject"/>
    <w:uiPriority w:val="99"/>
    <w:semiHidden/>
    <w:rsid w:val="00F14523"/>
    <w:rPr>
      <w:rFonts w:ascii="Book Antiqua" w:hAnsi="Book Antiqua"/>
      <w:b/>
      <w:bCs/>
      <w:sz w:val="20"/>
      <w:szCs w:val="20"/>
    </w:rPr>
  </w:style>
  <w:style w:type="paragraph" w:customStyle="1" w:styleId="num1">
    <w:name w:val="num1"/>
    <w:basedOn w:val="Normal"/>
    <w:link w:val="num1Char"/>
    <w:rsid w:val="007048B2"/>
    <w:pPr>
      <w:tabs>
        <w:tab w:val="left" w:pos="-720"/>
      </w:tabs>
      <w:suppressAutoHyphens/>
      <w:ind w:firstLine="360"/>
    </w:pPr>
    <w:rPr>
      <w:rFonts w:ascii="Palatino" w:eastAsia="Times New Roman" w:hAnsi="Palatino" w:cs="Times New Roman"/>
      <w:szCs w:val="20"/>
    </w:rPr>
  </w:style>
  <w:style w:type="character" w:customStyle="1" w:styleId="num1Char">
    <w:name w:val="num1 Char"/>
    <w:link w:val="num1"/>
    <w:rsid w:val="007048B2"/>
    <w:rPr>
      <w:rFonts w:ascii="Palatino" w:eastAsia="Times New Roman" w:hAnsi="Palatino" w:cs="Times New Roman"/>
      <w:sz w:val="26"/>
      <w:szCs w:val="20"/>
    </w:rPr>
  </w:style>
  <w:style w:type="paragraph" w:styleId="Revision">
    <w:name w:val="Revision"/>
    <w:hidden/>
    <w:uiPriority w:val="99"/>
    <w:semiHidden/>
    <w:rsid w:val="00A72799"/>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237591148">
      <w:bodyDiv w:val="1"/>
      <w:marLeft w:val="0"/>
      <w:marRight w:val="0"/>
      <w:marTop w:val="0"/>
      <w:marBottom w:val="0"/>
      <w:divBdr>
        <w:top w:val="none" w:sz="0" w:space="0" w:color="auto"/>
        <w:left w:val="none" w:sz="0" w:space="0" w:color="auto"/>
        <w:bottom w:val="none" w:sz="0" w:space="0" w:color="auto"/>
        <w:right w:val="none" w:sz="0" w:space="0" w:color="auto"/>
      </w:divBdr>
    </w:div>
    <w:div w:id="365254740">
      <w:bodyDiv w:val="1"/>
      <w:marLeft w:val="0"/>
      <w:marRight w:val="0"/>
      <w:marTop w:val="0"/>
      <w:marBottom w:val="0"/>
      <w:divBdr>
        <w:top w:val="none" w:sz="0" w:space="0" w:color="auto"/>
        <w:left w:val="none" w:sz="0" w:space="0" w:color="auto"/>
        <w:bottom w:val="none" w:sz="0" w:space="0" w:color="auto"/>
        <w:right w:val="none" w:sz="0" w:space="0" w:color="auto"/>
      </w:divBdr>
    </w:div>
    <w:div w:id="798032055">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384714054">
      <w:bodyDiv w:val="1"/>
      <w:marLeft w:val="0"/>
      <w:marRight w:val="0"/>
      <w:marTop w:val="0"/>
      <w:marBottom w:val="0"/>
      <w:divBdr>
        <w:top w:val="none" w:sz="0" w:space="0" w:color="auto"/>
        <w:left w:val="none" w:sz="0" w:space="0" w:color="auto"/>
        <w:bottom w:val="none" w:sz="0" w:space="0" w:color="auto"/>
        <w:right w:val="none" w:sz="0" w:space="0" w:color="auto"/>
      </w:divBdr>
    </w:div>
    <w:div w:id="1404374297">
      <w:bodyDiv w:val="1"/>
      <w:marLeft w:val="0"/>
      <w:marRight w:val="0"/>
      <w:marTop w:val="0"/>
      <w:marBottom w:val="0"/>
      <w:divBdr>
        <w:top w:val="none" w:sz="0" w:space="0" w:color="auto"/>
        <w:left w:val="none" w:sz="0" w:space="0" w:color="auto"/>
        <w:bottom w:val="none" w:sz="0" w:space="0" w:color="auto"/>
        <w:right w:val="none" w:sz="0" w:space="0" w:color="auto"/>
      </w:divBdr>
    </w:div>
    <w:div w:id="1607884599">
      <w:bodyDiv w:val="1"/>
      <w:marLeft w:val="0"/>
      <w:marRight w:val="0"/>
      <w:marTop w:val="0"/>
      <w:marBottom w:val="0"/>
      <w:divBdr>
        <w:top w:val="none" w:sz="0" w:space="0" w:color="auto"/>
        <w:left w:val="none" w:sz="0" w:space="0" w:color="auto"/>
        <w:bottom w:val="none" w:sz="0" w:space="0" w:color="auto"/>
        <w:right w:val="none" w:sz="0" w:space="0" w:color="auto"/>
      </w:divBdr>
    </w:div>
    <w:div w:id="18033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EB0345788E4686025D8D57F1F3D6" ma:contentTypeVersion="11" ma:contentTypeDescription="Create a new document." ma:contentTypeScope="" ma:versionID="5b20ceecaf65a8eabbb009185ec812c6">
  <xsd:schema xmlns:xsd="http://www.w3.org/2001/XMLSchema" xmlns:xs="http://www.w3.org/2001/XMLSchema" xmlns:p="http://schemas.microsoft.com/office/2006/metadata/properties" xmlns:ns2="fd401c2c-9287-43ab-a293-354c814ae0f9" xmlns:ns3="005d1024-2fde-4134-9d52-de97a2b1c5ac" targetNamespace="http://schemas.microsoft.com/office/2006/metadata/properties" ma:root="true" ma:fieldsID="f904c0a13844b1da02fb4313c82a9cdf" ns2:_="" ns3:_="">
    <xsd:import namespace="fd401c2c-9287-43ab-a293-354c814ae0f9"/>
    <xsd:import namespace="005d1024-2fde-4134-9d52-de97a2b1c5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1c2c-9287-43ab-a293-354c814ae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d1024-2fde-4134-9d52-de97a2b1c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b5b1f-8528-4fe2-a0c5-abaabff58d80}" ma:internalName="TaxCatchAll" ma:showField="CatchAllData" ma:web="005d1024-2fde-4134-9d52-de97a2b1c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401c2c-9287-43ab-a293-354c814ae0f9">
      <Terms xmlns="http://schemas.microsoft.com/office/infopath/2007/PartnerControls"/>
    </lcf76f155ced4ddcb4097134ff3c332f>
    <TaxCatchAll xmlns="005d1024-2fde-4134-9d52-de97a2b1c5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EDBAB-D849-4C73-BCCD-93BA68178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1c2c-9287-43ab-a293-354c814ae0f9"/>
    <ds:schemaRef ds:uri="005d1024-2fde-4134-9d52-de97a2b1c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fd401c2c-9287-43ab-a293-354c814ae0f9"/>
    <ds:schemaRef ds:uri="005d1024-2fde-4134-9d52-de97a2b1c5ac"/>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9184</ap:Words>
  <ap:Characters>52352</ap:Characters>
  <ap:Application>Microsoft Office Word</ap:Application>
  <ap:DocSecurity>0</ap:DocSecurity>
  <ap:Lines>436</ap:Lines>
  <ap:Paragraphs>122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61414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2026-06-09T08:01:19Z</dcterms:created>
  <dcterms:modified xsi:type="dcterms:W3CDTF">2026-06-09T08:01:19Z</dcterms:modified>
</cp:coreProperties>
</file>