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C08" w:rsidR="00B60421" w:rsidP="007E0FEE" w:rsidRDefault="00960C08" w14:paraId="236FA5BE" w14:textId="4E937F99">
      <w:pPr>
        <w:tabs>
          <w:tab w:val="center" w:pos="4680"/>
          <w:tab w:val="right" w:pos="9360"/>
        </w:tabs>
        <w:spacing w:line="240" w:lineRule="auto"/>
        <w:ind w:firstLine="0"/>
      </w:pPr>
      <w:r>
        <w:t>ALJ/GK1/nd3</w:t>
      </w:r>
      <w:r w:rsidRPr="00960C08" w:rsidR="007E0FEE">
        <w:tab/>
      </w:r>
      <w:r w:rsidRPr="00960C08" w:rsidR="00DA7B5D">
        <w:rPr>
          <w:rFonts w:cs="Arial"/>
          <w:b/>
          <w:szCs w:val="32"/>
        </w:rPr>
        <w:t>PROPOSED DECISION</w:t>
      </w:r>
      <w:r w:rsidRPr="00960C08" w:rsidR="00DA7B5D">
        <w:tab/>
      </w:r>
      <w:r w:rsidRPr="00960C08" w:rsidR="00DA7B5D">
        <w:rPr>
          <w:b/>
        </w:rPr>
        <w:t>Agenda ID #</w:t>
      </w:r>
      <w:r w:rsidRPr="00A00EF5" w:rsidR="00A00EF5">
        <w:rPr>
          <w:b/>
        </w:rPr>
        <w:t>24217</w:t>
      </w:r>
      <w:r w:rsidR="0079149D">
        <w:rPr>
          <w:b/>
        </w:rPr>
        <w:t xml:space="preserve"> </w:t>
      </w:r>
      <w:r w:rsidRPr="0079149D" w:rsidR="0079149D">
        <w:rPr>
          <w:b/>
        </w:rPr>
        <w:t>(Rev.1)</w:t>
      </w:r>
    </w:p>
    <w:p w:rsidR="00DA7B5D" w:rsidP="00632207" w:rsidRDefault="00960C08" w14:paraId="0D362226" w14:textId="61AFDE8D">
      <w:pPr>
        <w:spacing w:line="240" w:lineRule="auto"/>
        <w:jc w:val="right"/>
        <w:rPr>
          <w:b/>
        </w:rPr>
      </w:pPr>
      <w:r>
        <w:rPr>
          <w:b/>
        </w:rPr>
        <w:t>Ratesetting</w:t>
      </w:r>
    </w:p>
    <w:p w:rsidRPr="00EE4315" w:rsidR="00A97730" w:rsidP="00632207" w:rsidRDefault="00A97730" w14:paraId="47BCCEBF" w14:textId="4CB4FCD1">
      <w:pPr>
        <w:spacing w:line="240" w:lineRule="auto"/>
        <w:jc w:val="right"/>
        <w:rPr>
          <w:b/>
        </w:rPr>
      </w:pPr>
      <w:r>
        <w:rPr>
          <w:b/>
        </w:rPr>
        <w:t>7/2/2026  Item #</w:t>
      </w:r>
      <w:r w:rsidRPr="0017513E" w:rsidR="0017513E">
        <w:rPr>
          <w:b/>
        </w:rPr>
        <w:t>5</w:t>
      </w:r>
    </w:p>
    <w:p w:rsidR="00DA7B5D" w:rsidP="00960C08" w:rsidRDefault="00DA7B5D" w14:paraId="70C8C127" w14:textId="77777777">
      <w:pPr>
        <w:spacing w:line="240" w:lineRule="auto"/>
        <w:ind w:firstLine="0"/>
      </w:pPr>
    </w:p>
    <w:p w:rsidR="00960C08" w:rsidP="00960C08" w:rsidRDefault="00960C08" w14:paraId="6AB986FB" w14:textId="77777777">
      <w:pPr>
        <w:spacing w:line="240" w:lineRule="auto"/>
        <w:ind w:firstLine="0"/>
      </w:pPr>
    </w:p>
    <w:p w:rsidRPr="00EE3060" w:rsidR="00DA7B5D" w:rsidP="00960C08" w:rsidRDefault="00DA7B5D" w14:paraId="60A6DB98" w14:textId="10F7C52E">
      <w:pPr>
        <w:spacing w:line="240" w:lineRule="auto"/>
        <w:ind w:firstLine="0"/>
      </w:pPr>
      <w:r>
        <w:t xml:space="preserve">Decision </w:t>
      </w:r>
      <w:r w:rsidRPr="008C033E" w:rsidR="0035348B">
        <w:rPr>
          <w:b/>
          <w:bCs/>
          <w:u w:val="single"/>
        </w:rPr>
        <w:t xml:space="preserve">PROPOSED DECISION OF ALJ </w:t>
      </w:r>
      <w:r w:rsidR="0035348B">
        <w:rPr>
          <w:b/>
          <w:bCs/>
          <w:u w:val="single"/>
        </w:rPr>
        <w:t>KELLY</w:t>
      </w:r>
      <w:r w:rsidRPr="008C033E" w:rsidR="0035348B">
        <w:rPr>
          <w:b/>
          <w:bCs/>
        </w:rPr>
        <w:t xml:space="preserve"> (</w:t>
      </w:r>
      <w:r w:rsidR="0035348B">
        <w:rPr>
          <w:b/>
          <w:bCs/>
        </w:rPr>
        <w:t xml:space="preserve">Mailed </w:t>
      </w:r>
      <w:r w:rsidR="00A00EF5">
        <w:rPr>
          <w:b/>
          <w:bCs/>
        </w:rPr>
        <w:t>5/15</w:t>
      </w:r>
      <w:r w:rsidR="0035348B">
        <w:rPr>
          <w:b/>
          <w:bCs/>
        </w:rPr>
        <w:t>/2026</w:t>
      </w:r>
      <w:r w:rsidRPr="008C033E" w:rsidR="0035348B">
        <w:rPr>
          <w:b/>
          <w:bCs/>
        </w:rPr>
        <w:t>)</w:t>
      </w:r>
    </w:p>
    <w:p w:rsidR="00DA7B5D" w:rsidP="00960C08" w:rsidRDefault="00DA7B5D" w14:paraId="7C433BBE" w14:textId="77777777">
      <w:pPr>
        <w:spacing w:line="240" w:lineRule="auto"/>
        <w:ind w:firstLine="0"/>
        <w:rPr>
          <w:u w:val="single"/>
        </w:rPr>
      </w:pPr>
    </w:p>
    <w:p w:rsidR="00960C08" w:rsidP="00960C08" w:rsidRDefault="00960C08" w14:paraId="13A5DB46" w14:textId="77777777">
      <w:pPr>
        <w:spacing w:line="240" w:lineRule="auto"/>
        <w:ind w:firstLine="0"/>
        <w:rPr>
          <w:u w:val="single"/>
        </w:rPr>
      </w:pPr>
    </w:p>
    <w:p w:rsidR="00DA7B5D" w:rsidP="00BB0243" w:rsidRDefault="00DA7B5D" w14:paraId="3A57ECF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A29E2BE"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CF5DCB3" w14:textId="77777777">
        <w:trPr>
          <w:jc w:val="center"/>
        </w:trPr>
        <w:tc>
          <w:tcPr>
            <w:tcW w:w="5040" w:type="dxa"/>
            <w:tcBorders>
              <w:top w:val="nil"/>
              <w:left w:val="nil"/>
              <w:bottom w:val="single" w:color="auto" w:sz="4" w:space="0"/>
              <w:right w:val="single" w:color="auto" w:sz="4" w:space="0"/>
            </w:tcBorders>
          </w:tcPr>
          <w:p w:rsidR="00DA7B5D" w:rsidP="00C10B5F" w:rsidRDefault="00E33287" w14:paraId="5FB9DAE3" w14:textId="77777777">
            <w:pPr>
              <w:spacing w:line="240" w:lineRule="auto"/>
              <w:ind w:firstLine="0"/>
              <w:rPr>
                <w:rFonts w:cs="Arial"/>
                <w:szCs w:val="26"/>
              </w:rPr>
            </w:pPr>
            <w:r w:rsidRPr="00E33287">
              <w:rPr>
                <w:rFonts w:cs="Arial"/>
                <w:szCs w:val="26"/>
              </w:rPr>
              <w:t>Application of Suburban Water Systems (U339W) for Authority to Increase Rates Charged for Water Service by $19,763,961 or 19.79% in 2024, by $6,392,906 or 5.49% in 2025, and by $6,387,993 or 5.20% in 2026.</w:t>
            </w:r>
          </w:p>
          <w:p w:rsidRPr="00DA7B5D" w:rsidR="00E33287" w:rsidP="00C10B5F" w:rsidRDefault="00E33287" w14:paraId="13EC8345" w14:textId="6F7F0263">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374884" w14:paraId="7374A549" w14:textId="04F309EF">
            <w:pPr>
              <w:spacing w:line="240" w:lineRule="auto"/>
              <w:ind w:firstLine="0"/>
              <w:jc w:val="center"/>
              <w:rPr>
                <w:rFonts w:cs="Arial"/>
                <w:szCs w:val="26"/>
              </w:rPr>
            </w:pPr>
            <w:r>
              <w:t>Application 23</w:t>
            </w:r>
            <w:r w:rsidR="00EF7FCC">
              <w:noBreakHyphen/>
            </w:r>
            <w:r>
              <w:t>01</w:t>
            </w:r>
            <w:r w:rsidR="00EF7FCC">
              <w:noBreakHyphen/>
            </w:r>
            <w:r>
              <w:t>001</w:t>
            </w:r>
          </w:p>
        </w:tc>
      </w:tr>
    </w:tbl>
    <w:p w:rsidR="00DA7B5D" w:rsidP="008F0116" w:rsidRDefault="00DA7B5D" w14:paraId="5F20B08B" w14:textId="77777777">
      <w:pPr>
        <w:spacing w:line="240" w:lineRule="auto"/>
        <w:ind w:firstLine="0"/>
        <w:rPr>
          <w:rFonts w:ascii="Arial" w:hAnsi="Arial" w:cs="Arial"/>
          <w:sz w:val="24"/>
          <w:szCs w:val="24"/>
        </w:rPr>
      </w:pPr>
    </w:p>
    <w:p w:rsidR="00DA7B5D" w:rsidP="008F0116" w:rsidRDefault="00DA7B5D" w14:paraId="0421A575" w14:textId="77777777">
      <w:pPr>
        <w:spacing w:line="240" w:lineRule="auto"/>
        <w:ind w:firstLine="0"/>
        <w:rPr>
          <w:rFonts w:ascii="Arial" w:hAnsi="Arial" w:cs="Arial"/>
          <w:sz w:val="24"/>
          <w:szCs w:val="24"/>
        </w:rPr>
      </w:pPr>
    </w:p>
    <w:p w:rsidR="0098655A" w:rsidP="00921962" w:rsidRDefault="00E451DE" w14:paraId="2C04E88E" w14:textId="36812AC4">
      <w:pPr>
        <w:pStyle w:val="Main"/>
      </w:pPr>
      <w:bookmarkStart w:name="Title" w:id="0"/>
      <w:r>
        <w:rPr>
          <w:caps w:val="0"/>
        </w:rPr>
        <w:t>DECISION GRANTING PETITION FOR MODIFICATION OF</w:t>
      </w:r>
      <w:r>
        <w:rPr>
          <w:caps w:val="0"/>
        </w:rPr>
        <w:br/>
      </w:r>
      <w:r w:rsidRPr="00524991">
        <w:rPr>
          <w:caps w:val="0"/>
        </w:rPr>
        <w:t>DECISION (D.)</w:t>
      </w:r>
      <w:r>
        <w:rPr>
          <w:caps w:val="0"/>
        </w:rPr>
        <w:t> </w:t>
      </w:r>
      <w:r w:rsidRPr="00524991">
        <w:rPr>
          <w:caps w:val="0"/>
        </w:rPr>
        <w:t>24</w:t>
      </w:r>
      <w:r w:rsidR="00EF7FCC">
        <w:rPr>
          <w:caps w:val="0"/>
        </w:rPr>
        <w:noBreakHyphen/>
      </w:r>
      <w:r w:rsidRPr="00524991">
        <w:rPr>
          <w:caps w:val="0"/>
        </w:rPr>
        <w:t>12</w:t>
      </w:r>
      <w:r w:rsidR="00EF7FCC">
        <w:rPr>
          <w:caps w:val="0"/>
        </w:rPr>
        <w:noBreakHyphen/>
      </w:r>
      <w:r w:rsidRPr="00524991">
        <w:rPr>
          <w:caps w:val="0"/>
        </w:rPr>
        <w:t>030, AS MODIFIED BY D.25</w:t>
      </w:r>
      <w:r w:rsidR="00EF7FCC">
        <w:rPr>
          <w:caps w:val="0"/>
        </w:rPr>
        <w:noBreakHyphen/>
      </w:r>
      <w:r w:rsidRPr="00524991">
        <w:rPr>
          <w:caps w:val="0"/>
        </w:rPr>
        <w:t>07</w:t>
      </w:r>
      <w:r w:rsidR="00EF7FCC">
        <w:rPr>
          <w:caps w:val="0"/>
        </w:rPr>
        <w:noBreakHyphen/>
      </w:r>
      <w:r w:rsidRPr="00524991">
        <w:rPr>
          <w:caps w:val="0"/>
        </w:rPr>
        <w:t>012</w:t>
      </w:r>
      <w:r w:rsidR="009A48B2">
        <w:rPr>
          <w:caps w:val="0"/>
        </w:rPr>
        <w:t>,</w:t>
      </w:r>
      <w:r>
        <w:rPr>
          <w:caps w:val="0"/>
        </w:rPr>
        <w:br/>
      </w:r>
      <w:r w:rsidRPr="00524991">
        <w:rPr>
          <w:caps w:val="0"/>
        </w:rPr>
        <w:t>FILED BY</w:t>
      </w:r>
      <w:r>
        <w:rPr>
          <w:caps w:val="0"/>
        </w:rPr>
        <w:t xml:space="preserve"> THE PUBLIC ADVOCATES OFFICE</w:t>
      </w:r>
      <w:r>
        <w:rPr>
          <w:caps w:val="0"/>
        </w:rPr>
        <w:br/>
        <w:t>AT THE CALIFORNIA PUBLIC UTILITIES COMMISSION</w:t>
      </w:r>
      <w:bookmarkEnd w:id="0"/>
    </w:p>
    <w:p w:rsidRPr="00846B99" w:rsidR="00846B99" w:rsidP="00A943DD" w:rsidRDefault="00846B99" w14:paraId="07DC2390" w14:textId="77777777">
      <w:pPr>
        <w:pStyle w:val="Main"/>
        <w:jc w:val="left"/>
      </w:pPr>
    </w:p>
    <w:p w:rsidR="005A148C" w:rsidP="00BD1F37" w:rsidRDefault="005A148C" w14:paraId="535A5DBC" w14:textId="77777777">
      <w:pPr>
        <w:pStyle w:val="Dummy"/>
      </w:pPr>
      <w:bookmarkStart w:name="_Toc8123714" w:id="1"/>
      <w:bookmarkStart w:name="_Toc227247269" w:id="2"/>
      <w:r>
        <w:t>Summary</w:t>
      </w:r>
      <w:bookmarkEnd w:id="1"/>
      <w:bookmarkEnd w:id="2"/>
    </w:p>
    <w:p w:rsidR="009A48B2" w:rsidP="00E9212E" w:rsidRDefault="005F70DB" w14:paraId="67ED94C9" w14:textId="4DD3CE13">
      <w:pPr>
        <w:pStyle w:val="Standard"/>
      </w:pPr>
      <w:r>
        <w:t xml:space="preserve">This decision </w:t>
      </w:r>
      <w:r w:rsidR="00CD342E">
        <w:t>grants</w:t>
      </w:r>
      <w:r>
        <w:t xml:space="preserve"> the </w:t>
      </w:r>
      <w:r w:rsidR="00100DF4">
        <w:t>P</w:t>
      </w:r>
      <w:r>
        <w:t xml:space="preserve">etition for </w:t>
      </w:r>
      <w:r w:rsidR="00100DF4">
        <w:t>M</w:t>
      </w:r>
      <w:r>
        <w:t xml:space="preserve">odification </w:t>
      </w:r>
      <w:r w:rsidR="001872A2">
        <w:t xml:space="preserve">filed by Public Advocates Office at the California Public Utilities Commission </w:t>
      </w:r>
      <w:r>
        <w:t>of Decision (D.)</w:t>
      </w:r>
      <w:r w:rsidR="007466C9">
        <w:t> </w:t>
      </w:r>
      <w:r>
        <w:t>24</w:t>
      </w:r>
      <w:r w:rsidR="00EF7FCC">
        <w:noBreakHyphen/>
      </w:r>
      <w:r>
        <w:t>12</w:t>
      </w:r>
      <w:r w:rsidR="00EF7FCC">
        <w:noBreakHyphen/>
      </w:r>
      <w:r>
        <w:t xml:space="preserve">030, </w:t>
      </w:r>
      <w:r w:rsidR="00CD342E">
        <w:t>as modified by D.</w:t>
      </w:r>
      <w:r w:rsidR="00447C50">
        <w:t>2</w:t>
      </w:r>
      <w:r w:rsidR="00CD342E">
        <w:t>5</w:t>
      </w:r>
      <w:r w:rsidR="00EF7FCC">
        <w:noBreakHyphen/>
      </w:r>
      <w:r w:rsidR="00CD342E">
        <w:t>07</w:t>
      </w:r>
      <w:r w:rsidR="00EF7FCC">
        <w:noBreakHyphen/>
      </w:r>
      <w:r w:rsidR="00CD342E">
        <w:t>012</w:t>
      </w:r>
      <w:r>
        <w:t>.</w:t>
      </w:r>
    </w:p>
    <w:p w:rsidR="0040343A" w:rsidP="00E9212E" w:rsidRDefault="009A48B2" w14:paraId="6C102C39" w14:textId="62141754">
      <w:pPr>
        <w:pStyle w:val="Standard"/>
      </w:pPr>
      <w:r>
        <w:t>Application 23</w:t>
      </w:r>
      <w:r w:rsidR="00EF7FCC">
        <w:noBreakHyphen/>
      </w:r>
      <w:r>
        <w:t>01</w:t>
      </w:r>
      <w:r w:rsidR="00EF7FCC">
        <w:noBreakHyphen/>
      </w:r>
      <w:r>
        <w:t>001 is closed.</w:t>
      </w:r>
    </w:p>
    <w:p w:rsidR="005A148C" w:rsidP="0009166C" w:rsidRDefault="002C7FE9" w14:paraId="1FABFE20" w14:textId="2EA4319D">
      <w:pPr>
        <w:pStyle w:val="Heading1"/>
      </w:pPr>
      <w:bookmarkStart w:name="_Toc8123715" w:id="3"/>
      <w:bookmarkStart w:name="_Toc227247270" w:id="4"/>
      <w:r w:rsidRPr="00121089">
        <w:t>Background</w:t>
      </w:r>
      <w:bookmarkEnd w:id="3"/>
      <w:bookmarkEnd w:id="4"/>
    </w:p>
    <w:p w:rsidR="0040343A" w:rsidP="005F70DB" w:rsidRDefault="005F70DB" w14:paraId="4079D828" w14:textId="70D77E34">
      <w:pPr>
        <w:pStyle w:val="Standard"/>
      </w:pPr>
      <w:r>
        <w:t xml:space="preserve">On </w:t>
      </w:r>
      <w:r w:rsidR="000F58E8">
        <w:t>January </w:t>
      </w:r>
      <w:r>
        <w:t xml:space="preserve">3, 2023, </w:t>
      </w:r>
      <w:r w:rsidRPr="00E33287" w:rsidR="00044430">
        <w:rPr>
          <w:rFonts w:cs="Arial"/>
          <w:szCs w:val="26"/>
        </w:rPr>
        <w:t xml:space="preserve">Suburban Water Systems </w:t>
      </w:r>
      <w:r w:rsidR="00044430">
        <w:rPr>
          <w:rFonts w:cs="Arial"/>
          <w:szCs w:val="26"/>
        </w:rPr>
        <w:t>(</w:t>
      </w:r>
      <w:r>
        <w:t>Suburban</w:t>
      </w:r>
      <w:r w:rsidR="00044430">
        <w:t>)</w:t>
      </w:r>
      <w:r>
        <w:t xml:space="preserve"> filed its general rate case (GRC) Application (A.) 23</w:t>
      </w:r>
      <w:r w:rsidR="00EF7FCC">
        <w:noBreakHyphen/>
      </w:r>
      <w:r>
        <w:t>01</w:t>
      </w:r>
      <w:r w:rsidR="00EF7FCC">
        <w:noBreakHyphen/>
      </w:r>
      <w:r>
        <w:t>001 (Application) with the California Public Utilities Commission (Commission) requesting rate increases over a three</w:t>
      </w:r>
      <w:r w:rsidR="00EF7FCC">
        <w:noBreakHyphen/>
      </w:r>
      <w:r>
        <w:t xml:space="preserve">year period, beginning on </w:t>
      </w:r>
      <w:r w:rsidR="000F58E8">
        <w:t>January </w:t>
      </w:r>
      <w:r>
        <w:t>1, 2024, and other relief, in accordance with the Rate Case Plan (RCP) prescribed in Decision (D.)</w:t>
      </w:r>
      <w:r w:rsidR="0012189F">
        <w:t> </w:t>
      </w:r>
      <w:r>
        <w:t>07</w:t>
      </w:r>
      <w:r w:rsidR="00EF7FCC">
        <w:noBreakHyphen/>
      </w:r>
      <w:r>
        <w:t>05</w:t>
      </w:r>
      <w:r w:rsidR="00EF7FCC">
        <w:noBreakHyphen/>
      </w:r>
      <w:r>
        <w:t xml:space="preserve">062 and </w:t>
      </w:r>
      <w:r>
        <w:lastRenderedPageBreak/>
        <w:t>D.04</w:t>
      </w:r>
      <w:r w:rsidR="00EF7FCC">
        <w:noBreakHyphen/>
      </w:r>
      <w:r>
        <w:t>06</w:t>
      </w:r>
      <w:r w:rsidR="00EF7FCC">
        <w:noBreakHyphen/>
      </w:r>
      <w:r>
        <w:t>018, and other applicable Commission decisions, resolutions, and standard practices.</w:t>
      </w:r>
    </w:p>
    <w:p w:rsidR="009A48B2" w:rsidP="009A48B2" w:rsidRDefault="009A48B2" w14:paraId="773B170C" w14:textId="4AA7D00E">
      <w:pPr>
        <w:pStyle w:val="Standard"/>
      </w:pPr>
      <w:r>
        <w:t>D.24</w:t>
      </w:r>
      <w:r w:rsidR="00EF7FCC">
        <w:noBreakHyphen/>
      </w:r>
      <w:r>
        <w:t>12</w:t>
      </w:r>
      <w:r w:rsidR="00EF7FCC">
        <w:noBreakHyphen/>
      </w:r>
      <w:r>
        <w:t>030 addressed Suburban’s GRC Application. On January 22, 2025, Suburban filed a Petition for Modification (PFM). D.25</w:t>
      </w:r>
      <w:r w:rsidR="00EF7FCC">
        <w:noBreakHyphen/>
      </w:r>
      <w:r>
        <w:t>07</w:t>
      </w:r>
      <w:r w:rsidR="00EF7FCC">
        <w:noBreakHyphen/>
      </w:r>
      <w:r>
        <w:t>012 denied Suburban’s PFM request and corrected certain errors in the Results of Operations (RO) model.</w:t>
      </w:r>
    </w:p>
    <w:p w:rsidR="009A48B2" w:rsidP="009A48B2" w:rsidRDefault="00C86510" w14:paraId="30F012F5" w14:textId="1EE52FDF">
      <w:pPr>
        <w:pStyle w:val="Standard"/>
      </w:pPr>
      <w:r>
        <w:t xml:space="preserve">The Public Advocates Office at the California Public Utilities Commission (Cal Advocates) had </w:t>
      </w:r>
      <w:r w:rsidR="009A48B2">
        <w:t>requested additional changes to the RO model, but this was denied by D.25</w:t>
      </w:r>
      <w:r w:rsidR="00EF7FCC">
        <w:noBreakHyphen/>
      </w:r>
      <w:r w:rsidR="009A48B2">
        <w:t>07</w:t>
      </w:r>
      <w:r w:rsidR="00EF7FCC">
        <w:noBreakHyphen/>
      </w:r>
      <w:r w:rsidR="009A48B2">
        <w:t>012 because Cal Advocates failed to include the required affidavit with its request. D.25</w:t>
      </w:r>
      <w:r w:rsidR="00EF7FCC">
        <w:noBreakHyphen/>
      </w:r>
      <w:r w:rsidR="009A48B2">
        <w:t>07</w:t>
      </w:r>
      <w:r w:rsidR="00EF7FCC">
        <w:noBreakHyphen/>
      </w:r>
      <w:r w:rsidR="009A48B2">
        <w:t>012 provided Cal Advocates with permission to file a new PFM at a subsequent date. Cal Advocates filed a PFM on September 26, 2025. Suburban filed a response on October 15, 2025. On March 9, 2026, this matter was reassigned from President Alice Reynolds to President John Reynolds. On March 25, 2026, this matter was reassigned from President John Reynolds to Commissioner Christine Harada.</w:t>
      </w:r>
    </w:p>
    <w:p w:rsidR="005A148C" w:rsidP="006F3EC6" w:rsidRDefault="005F70DB" w14:paraId="64973F80" w14:textId="492D41A2">
      <w:pPr>
        <w:pStyle w:val="Heading1"/>
      </w:pPr>
      <w:bookmarkStart w:name="_Toc227247271" w:id="5"/>
      <w:r>
        <w:t>Standard of Review</w:t>
      </w:r>
      <w:bookmarkEnd w:id="5"/>
    </w:p>
    <w:p w:rsidR="005F70DB" w:rsidP="00C81108" w:rsidRDefault="000143EE" w14:paraId="47E32C30" w14:textId="534812CB">
      <w:pPr>
        <w:pStyle w:val="Standard"/>
      </w:pPr>
      <w:r w:rsidRPr="00C9629B">
        <w:t>Pub</w:t>
      </w:r>
      <w:r w:rsidR="00C135F7">
        <w:t>lic</w:t>
      </w:r>
      <w:r w:rsidR="00780343">
        <w:t xml:space="preserve"> </w:t>
      </w:r>
      <w:r w:rsidRPr="00C9629B">
        <w:t>Util</w:t>
      </w:r>
      <w:r w:rsidR="00C135F7">
        <w:t>ities (Pub.</w:t>
      </w:r>
      <w:r w:rsidRPr="00C9629B">
        <w:t> </w:t>
      </w:r>
      <w:r w:rsidR="00C135F7">
        <w:t>Util.)</w:t>
      </w:r>
      <w:r w:rsidRPr="00C9629B" w:rsidR="005F70DB">
        <w:t xml:space="preserve"> Code </w:t>
      </w:r>
      <w:r w:rsidRPr="00C9629B" w:rsidR="00C81108">
        <w:t>Section </w:t>
      </w:r>
      <w:r w:rsidRPr="00C9629B" w:rsidR="005F70DB">
        <w:t xml:space="preserve">1708 gives the Commission authority to </w:t>
      </w:r>
      <w:r w:rsidR="000F58E8">
        <w:t>“</w:t>
      </w:r>
      <w:r w:rsidRPr="00C9629B" w:rsidR="005F70DB">
        <w:t xml:space="preserve">rescind, </w:t>
      </w:r>
      <w:r w:rsidRPr="00361AB4" w:rsidR="005F70DB">
        <w:t>alter, or amend any order or decision made by it.</w:t>
      </w:r>
      <w:r w:rsidR="000F58E8">
        <w:t>”</w:t>
      </w:r>
      <w:r w:rsidR="00E47EB3">
        <w:t xml:space="preserve"> </w:t>
      </w:r>
      <w:r w:rsidR="005F70DB">
        <w:t>M</w:t>
      </w:r>
      <w:r w:rsidRPr="00361AB4" w:rsidR="005F70DB">
        <w:t xml:space="preserve">odifying an existing decision, however, is an extraordinary remedy that must be carefully applied to keep with the principles of res judicata since </w:t>
      </w:r>
      <w:r w:rsidR="000F58E8">
        <w:t>“</w:t>
      </w:r>
      <w:r w:rsidR="00C9629B">
        <w:t>Section </w:t>
      </w:r>
      <w:r w:rsidRPr="00361AB4" w:rsidR="005F70DB">
        <w:t>1708 represents a departure from the standard that settled expectations should be allowed to stand undisturbed.</w:t>
      </w:r>
      <w:r w:rsidR="000F58E8">
        <w:t>”</w:t>
      </w:r>
      <w:r w:rsidRPr="00361AB4" w:rsidR="005F70DB">
        <w:rPr>
          <w:rStyle w:val="FootnoteReference"/>
        </w:rPr>
        <w:footnoteReference w:id="2"/>
      </w:r>
    </w:p>
    <w:p w:rsidR="0040343A" w:rsidP="00C81108" w:rsidRDefault="005F70DB" w14:paraId="0C9A5115" w14:textId="5A4136D9">
      <w:pPr>
        <w:pStyle w:val="Standard"/>
      </w:pPr>
      <w:r>
        <w:lastRenderedPageBreak/>
        <w:t xml:space="preserve">The Commission has consistently held that a </w:t>
      </w:r>
      <w:r w:rsidR="00100DF4">
        <w:t>PFM</w:t>
      </w:r>
      <w:r>
        <w:t xml:space="preserve"> is not a substitute for legal issues that may be raised in an Application for Rehearing.</w:t>
      </w:r>
      <w:r>
        <w:rPr>
          <w:rStyle w:val="FootnoteReference"/>
        </w:rPr>
        <w:footnoteReference w:id="3"/>
      </w:r>
      <w:r w:rsidR="00E47EB3">
        <w:t xml:space="preserve"> </w:t>
      </w:r>
      <w:r>
        <w:t xml:space="preserve">The Commission </w:t>
      </w:r>
      <w:r w:rsidR="000F58E8">
        <w:t>“</w:t>
      </w:r>
      <w:r>
        <w:t>will not consider issues which are simply re</w:t>
      </w:r>
      <w:r w:rsidR="00EF7FCC">
        <w:noBreakHyphen/>
      </w:r>
      <w:r>
        <w:t>litigation of issues that were decided in [the original decision].</w:t>
      </w:r>
      <w:r w:rsidR="000F58E8">
        <w:t>”</w:t>
      </w:r>
      <w:r>
        <w:rPr>
          <w:rStyle w:val="FootnoteReference"/>
        </w:rPr>
        <w:footnoteReference w:id="4"/>
      </w:r>
      <w:r w:rsidR="00E47EB3">
        <w:t xml:space="preserve"> </w:t>
      </w:r>
      <w:r>
        <w:t xml:space="preserve">However, as permitted under </w:t>
      </w:r>
      <w:r w:rsidR="000143EE">
        <w:t>Rule </w:t>
      </w:r>
      <w:r>
        <w:t xml:space="preserve">16.4, allegations of new or changed facts may be raised in a </w:t>
      </w:r>
      <w:r w:rsidR="00100DF4">
        <w:t>PFM</w:t>
      </w:r>
      <w:r>
        <w:t xml:space="preserve"> if properly supported by the appropriate declaration or affidavit.</w:t>
      </w:r>
    </w:p>
    <w:p w:rsidR="005F70DB" w:rsidP="00C81108" w:rsidRDefault="005F70DB" w14:paraId="689B97CC" w14:textId="269C3CCE">
      <w:pPr>
        <w:pStyle w:val="Standard"/>
      </w:pPr>
      <w:r>
        <w:t xml:space="preserve">A </w:t>
      </w:r>
      <w:r w:rsidR="00100DF4">
        <w:t>PFM</w:t>
      </w:r>
      <w:r>
        <w:t xml:space="preserve"> must be filed within one year of the effective date of the decision proposed to be modified, and if past one year, the petition </w:t>
      </w:r>
      <w:r w:rsidR="000F58E8">
        <w:t>“</w:t>
      </w:r>
      <w:r>
        <w:t>must also explain why the petition could not have been presented within one year of the effective date of the decision.</w:t>
      </w:r>
      <w:r w:rsidR="000F58E8">
        <w:t>”</w:t>
      </w:r>
      <w:r>
        <w:rPr>
          <w:rStyle w:val="FootnoteReference"/>
        </w:rPr>
        <w:footnoteReference w:id="5"/>
      </w:r>
      <w:r w:rsidR="00E47EB3">
        <w:t xml:space="preserve"> </w:t>
      </w:r>
      <w:r>
        <w:t>If the Commission determines a late submission is not justified, it may issue a summary denial of the petition on that ground.</w:t>
      </w:r>
      <w:r>
        <w:rPr>
          <w:rStyle w:val="FootnoteReference"/>
        </w:rPr>
        <w:footnoteReference w:id="6"/>
      </w:r>
    </w:p>
    <w:p w:rsidR="005F70DB" w:rsidP="006F3EC6" w:rsidRDefault="005F70DB" w14:paraId="300F2897" w14:textId="77F0AE98">
      <w:pPr>
        <w:pStyle w:val="Heading1"/>
      </w:pPr>
      <w:bookmarkStart w:name="_Toc227247272" w:id="6"/>
      <w:r>
        <w:t>Parties</w:t>
      </w:r>
      <w:r w:rsidR="000F58E8">
        <w:t>’</w:t>
      </w:r>
      <w:r>
        <w:t xml:space="preserve"> Positions</w:t>
      </w:r>
      <w:r w:rsidR="005B5102">
        <w:t xml:space="preserve">, </w:t>
      </w:r>
      <w:r>
        <w:t>Discussion</w:t>
      </w:r>
      <w:r w:rsidR="005B5102">
        <w:t>,</w:t>
      </w:r>
      <w:r w:rsidR="00BC2980">
        <w:br/>
      </w:r>
      <w:r w:rsidR="005B5102">
        <w:t xml:space="preserve">Changes to </w:t>
      </w:r>
      <w:r w:rsidR="003D0304">
        <w:t>Decision </w:t>
      </w:r>
      <w:r w:rsidR="005B5102">
        <w:t>24</w:t>
      </w:r>
      <w:r w:rsidR="00EF7FCC">
        <w:noBreakHyphen/>
      </w:r>
      <w:r w:rsidR="005B5102">
        <w:t>12</w:t>
      </w:r>
      <w:r w:rsidR="00EF7FCC">
        <w:noBreakHyphen/>
      </w:r>
      <w:r w:rsidR="005B5102">
        <w:t>030</w:t>
      </w:r>
      <w:r w:rsidR="00BC2980">
        <w:t>,</w:t>
      </w:r>
      <w:r w:rsidR="00BC2980">
        <w:br/>
      </w:r>
      <w:r w:rsidR="00447C50">
        <w:t xml:space="preserve">as </w:t>
      </w:r>
      <w:r w:rsidR="00510E8B">
        <w:t xml:space="preserve">Modified </w:t>
      </w:r>
      <w:r w:rsidR="00447C50">
        <w:t xml:space="preserve">by </w:t>
      </w:r>
      <w:r w:rsidR="003D0304">
        <w:t>Decision </w:t>
      </w:r>
      <w:r w:rsidR="00447C50">
        <w:t>25</w:t>
      </w:r>
      <w:r w:rsidR="00EF7FCC">
        <w:noBreakHyphen/>
      </w:r>
      <w:r w:rsidR="00447C50">
        <w:t>07</w:t>
      </w:r>
      <w:r w:rsidR="00EF7FCC">
        <w:noBreakHyphen/>
      </w:r>
      <w:r w:rsidR="00447C50">
        <w:t>012</w:t>
      </w:r>
      <w:bookmarkEnd w:id="6"/>
    </w:p>
    <w:p w:rsidR="005F70DB" w:rsidP="006F3EC6" w:rsidRDefault="005F70DB" w14:paraId="5094FFD9" w14:textId="517C395A">
      <w:pPr>
        <w:pStyle w:val="Heading2"/>
      </w:pPr>
      <w:bookmarkStart w:name="_Toc227247273" w:id="7"/>
      <w:r>
        <w:t>Parties</w:t>
      </w:r>
      <w:r w:rsidR="000F58E8">
        <w:t>’</w:t>
      </w:r>
      <w:r>
        <w:t xml:space="preserve"> Positions</w:t>
      </w:r>
      <w:bookmarkEnd w:id="7"/>
    </w:p>
    <w:p w:rsidRPr="00D60196" w:rsidR="00447C50" w:rsidP="00447C50" w:rsidRDefault="008912BB" w14:paraId="13571C2E" w14:textId="086ABC9E">
      <w:r>
        <w:t>Cal Advoc</w:t>
      </w:r>
      <w:r w:rsidRPr="00D60196" w:rsidR="00447C50">
        <w:t>ates contends that D.24</w:t>
      </w:r>
      <w:r w:rsidR="00EF7FCC">
        <w:noBreakHyphen/>
      </w:r>
      <w:r w:rsidRPr="00D60196" w:rsidR="00447C50">
        <w:t>12</w:t>
      </w:r>
      <w:r w:rsidR="00EF7FCC">
        <w:noBreakHyphen/>
      </w:r>
      <w:r w:rsidRPr="00D60196" w:rsidR="00447C50">
        <w:t>030, as modified by D.25</w:t>
      </w:r>
      <w:r w:rsidR="00EF7FCC">
        <w:noBreakHyphen/>
      </w:r>
      <w:r w:rsidRPr="00D60196" w:rsidR="00447C50">
        <w:t>07</w:t>
      </w:r>
      <w:r w:rsidR="00EF7FCC">
        <w:noBreakHyphen/>
      </w:r>
      <w:r w:rsidRPr="00D60196" w:rsidR="00447C50">
        <w:t>012, remains internally inconsistent and legally erroneous because the adopted RO model continues to include approximately $14</w:t>
      </w:r>
      <w:r w:rsidR="00C9629B">
        <w:t> million</w:t>
      </w:r>
      <w:r w:rsidRPr="00D60196" w:rsidR="00447C50">
        <w:t xml:space="preserve"> in capital expenditures that the Commission expressly denied. According to </w:t>
      </w:r>
      <w:r>
        <w:t>Cal Advoc</w:t>
      </w:r>
      <w:r w:rsidRPr="00D60196" w:rsidR="00447C50">
        <w:t>ates, these errors result in overstated revenue requirements and unjust and unreasonable rates.</w:t>
      </w:r>
    </w:p>
    <w:p w:rsidR="0040343A" w:rsidP="00447C50" w:rsidRDefault="008912BB" w14:paraId="0CEB00E1" w14:textId="469146B5">
      <w:r>
        <w:t>Cal Advoc</w:t>
      </w:r>
      <w:r w:rsidRPr="00D60196" w:rsidR="00447C50">
        <w:t>ates explains that although D.25</w:t>
      </w:r>
      <w:r w:rsidR="00EF7FCC">
        <w:noBreakHyphen/>
      </w:r>
      <w:r w:rsidRPr="00D60196" w:rsidR="00447C50">
        <w:t>07</w:t>
      </w:r>
      <w:r w:rsidR="00EF7FCC">
        <w:noBreakHyphen/>
      </w:r>
      <w:r w:rsidRPr="00D60196" w:rsidR="00447C50">
        <w:t>012 corrected certain limited modeling errors, the RO model still reflects numerous disallowed capital projects</w:t>
      </w:r>
      <w:r w:rsidR="00A11534">
        <w:t xml:space="preserve"> — </w:t>
      </w:r>
      <w:r w:rsidRPr="00D60196" w:rsidR="00447C50">
        <w:t xml:space="preserve">including generator projects, pipeline projects, service replacements, </w:t>
      </w:r>
      <w:r w:rsidRPr="00D60196" w:rsidR="00447C50">
        <w:lastRenderedPageBreak/>
        <w:t>meter programs, the Stage Road well projects, and other facilities</w:t>
      </w:r>
      <w:r w:rsidR="00A11534">
        <w:t xml:space="preserve"> — </w:t>
      </w:r>
      <w:r w:rsidRPr="00D60196" w:rsidR="00447C50">
        <w:t>that were explicitly rejected in the findings of fact and ordering paragraphs of D.24</w:t>
      </w:r>
      <w:r w:rsidR="00EF7FCC">
        <w:noBreakHyphen/>
      </w:r>
      <w:r w:rsidRPr="00D60196" w:rsidR="00447C50">
        <w:t>12</w:t>
      </w:r>
      <w:r w:rsidR="00EF7FCC">
        <w:noBreakHyphen/>
      </w:r>
      <w:r w:rsidRPr="00D60196" w:rsidR="00447C50">
        <w:t>030.</w:t>
      </w:r>
    </w:p>
    <w:p w:rsidRPr="00D60196" w:rsidR="00447C50" w:rsidP="00447C50" w:rsidRDefault="008912BB" w14:paraId="3CD616FB" w14:textId="4C82D605">
      <w:r>
        <w:t>Cal Advoc</w:t>
      </w:r>
      <w:r w:rsidRPr="00D60196" w:rsidR="00447C50">
        <w:t>ates maintains that the continued inclusion of these denied projects directly contradicts the Commission</w:t>
      </w:r>
      <w:r w:rsidR="000F58E8">
        <w:t>’</w:t>
      </w:r>
      <w:r w:rsidRPr="00D60196" w:rsidR="00447C50">
        <w:t>s adopted findings and compels ratepayers to fund costs the Commission has already determined are unreasonable.</w:t>
      </w:r>
    </w:p>
    <w:p w:rsidRPr="00D60196" w:rsidR="00447C50" w:rsidP="00447C50" w:rsidRDefault="008912BB" w14:paraId="7C3C7073" w14:textId="5DB82C13">
      <w:r>
        <w:t>Cal Advoc</w:t>
      </w:r>
      <w:r w:rsidRPr="00D60196" w:rsidR="00447C50">
        <w:t>ates further asserts that these modeling errors materially increase customer rates, inflating revenue requirements by more than $3.5</w:t>
      </w:r>
      <w:r w:rsidR="00C9629B">
        <w:t> million</w:t>
      </w:r>
      <w:r w:rsidRPr="00D60196" w:rsidR="00447C50">
        <w:t xml:space="preserve"> over the rate case cycle. To remedy these defects, </w:t>
      </w:r>
      <w:r>
        <w:t>Cal Advoc</w:t>
      </w:r>
      <w:r w:rsidRPr="00D60196" w:rsidR="00447C50">
        <w:t>ates requests that the Commission grant its P</w:t>
      </w:r>
      <w:r w:rsidR="00100DF4">
        <w:t>FM</w:t>
      </w:r>
      <w:r w:rsidRPr="00D60196" w:rsidR="00447C50">
        <w:t xml:space="preserve"> and direct Water Division to remove all denied capital projects from the RO model, adopt corrected revenue requirements of $106,410,358 for Test Year 2024, $105,069,997 for Escalation Year 2025, and $106,543,966 for Attrition Year 2026, and conform all affected findings, ordering paragraphs, and appendices to reflect the corrected amounts.</w:t>
      </w:r>
    </w:p>
    <w:p w:rsidRPr="00253BCD" w:rsidR="00447C50" w:rsidP="00447C50" w:rsidRDefault="008912BB" w14:paraId="35B2E0BE" w14:textId="49595022">
      <w:r>
        <w:t>Cal Advoc</w:t>
      </w:r>
      <w:r w:rsidRPr="00D60196" w:rsidR="00447C50">
        <w:t>ates argues that the requested modifications are narrowly tailored, supported by a sworn declaration, and necessary to ensure that the decision accurately implements the Commission</w:t>
      </w:r>
      <w:r w:rsidR="000F58E8">
        <w:t>’</w:t>
      </w:r>
      <w:r w:rsidRPr="00D60196" w:rsidR="00447C50">
        <w:t>s adopted determinations and results in just and reasonable rates consistent with the record.</w:t>
      </w:r>
    </w:p>
    <w:p w:rsidRPr="00D60196" w:rsidR="00447C50" w:rsidP="00447C50" w:rsidRDefault="00447C50" w14:paraId="2A64A155" w14:textId="5DCCFB56">
      <w:r w:rsidRPr="00D60196">
        <w:t xml:space="preserve">Suburban generally supports </w:t>
      </w:r>
      <w:r w:rsidR="008912BB">
        <w:t>Cal Advoc</w:t>
      </w:r>
      <w:r w:rsidRPr="00D60196">
        <w:t>ates</w:t>
      </w:r>
      <w:r w:rsidR="007F4D2A">
        <w:t>’</w:t>
      </w:r>
      <w:r w:rsidRPr="00D60196">
        <w:t xml:space="preserve"> P</w:t>
      </w:r>
      <w:r w:rsidR="00100DF4">
        <w:t>FM</w:t>
      </w:r>
      <w:r w:rsidRPr="00D60196">
        <w:t xml:space="preserve"> of D.24</w:t>
      </w:r>
      <w:r w:rsidR="00EF7FCC">
        <w:noBreakHyphen/>
      </w:r>
      <w:r w:rsidRPr="00D60196">
        <w:t>12</w:t>
      </w:r>
      <w:r w:rsidR="00EF7FCC">
        <w:noBreakHyphen/>
      </w:r>
      <w:r w:rsidRPr="00D60196">
        <w:t>030, as modified by D.25</w:t>
      </w:r>
      <w:r w:rsidR="00EF7FCC">
        <w:noBreakHyphen/>
      </w:r>
      <w:r w:rsidRPr="00D60196">
        <w:t>07</w:t>
      </w:r>
      <w:r w:rsidR="00EF7FCC">
        <w:noBreakHyphen/>
      </w:r>
      <w:r w:rsidRPr="00D60196">
        <w:t>012, insofar as it seeks to correct remaining inconsistencies between the Commission</w:t>
      </w:r>
      <w:r w:rsidR="000F58E8">
        <w:t>’</w:t>
      </w:r>
      <w:r w:rsidRPr="00D60196">
        <w:t>s adopted findings and the RO model. Suburban agrees that certain capital projects denied by the Commission were inadvertently retained in the RO model and should be removed to ensure internal consistency and accurate implementation of the Commission</w:t>
      </w:r>
      <w:r w:rsidR="000F58E8">
        <w:t>’</w:t>
      </w:r>
      <w:r w:rsidRPr="00D60196">
        <w:t>s determinations.</w:t>
      </w:r>
    </w:p>
    <w:p w:rsidRPr="00D60196" w:rsidR="00447C50" w:rsidP="00447C50" w:rsidRDefault="00447C50" w14:paraId="718DF837" w14:textId="5A4A2EEE">
      <w:r w:rsidRPr="00D60196">
        <w:t>Suburban explains, however, that the P</w:t>
      </w:r>
      <w:r w:rsidR="00100DF4">
        <w:t>FM</w:t>
      </w:r>
      <w:r w:rsidRPr="00D60196">
        <w:t xml:space="preserve"> does not fully account for all related ratemaking corrections necessary to properly implement the proposed </w:t>
      </w:r>
      <w:r w:rsidRPr="00D60196">
        <w:lastRenderedPageBreak/>
        <w:t xml:space="preserve">modifications. Suburban notes that Table 1 of the </w:t>
      </w:r>
      <w:r w:rsidR="00100DF4">
        <w:t xml:space="preserve">PFM </w:t>
      </w:r>
      <w:r w:rsidRPr="00D60196">
        <w:t>omits the Stockwell Pipeline (Fire Flow) project, which was denied by the Commission but is already reflected as removed in the supporting RO model. Suburban asserts that this project should be expressly included in the</w:t>
      </w:r>
      <w:r w:rsidR="00100DF4">
        <w:t xml:space="preserve"> PFM</w:t>
      </w:r>
      <w:r w:rsidR="000F58E8">
        <w:t>’</w:t>
      </w:r>
      <w:r w:rsidRPr="00D60196">
        <w:t>s list of denied projects to avoid confusion and ensure completeness.</w:t>
      </w:r>
    </w:p>
    <w:p w:rsidRPr="00D60196" w:rsidR="00447C50" w:rsidP="00447C50" w:rsidRDefault="00447C50" w14:paraId="6E785AFA" w14:textId="2548496D">
      <w:r w:rsidRPr="00D60196">
        <w:t>Suburban further contends that additional ratemaking adjustments are required to reflect the full consequences of removing certain disallowed projects, including reversals of capitalized labor associated with disallowed parent</w:t>
      </w:r>
      <w:r w:rsidR="00EF7FCC">
        <w:noBreakHyphen/>
      </w:r>
      <w:r w:rsidRPr="00D60196">
        <w:t xml:space="preserve">company information technology budgets, removal of associated benefits tied to disallowed solar projects, and correction of erroneous negative water production values in the Main </w:t>
      </w:r>
      <w:r w:rsidR="00A4693E">
        <w:t>San </w:t>
      </w:r>
      <w:r w:rsidRPr="00D60196">
        <w:t>Gabriel Basin. Suburban states that these adjustments were identified through a meet</w:t>
      </w:r>
      <w:r w:rsidR="00EF7FCC">
        <w:noBreakHyphen/>
      </w:r>
      <w:r w:rsidRPr="00D60196">
        <w:t>and</w:t>
      </w:r>
      <w:r w:rsidR="00EF7FCC">
        <w:noBreakHyphen/>
      </w:r>
      <w:r w:rsidRPr="00D60196">
        <w:t xml:space="preserve">confer process with </w:t>
      </w:r>
      <w:r w:rsidR="008912BB">
        <w:t>Cal Advoc</w:t>
      </w:r>
      <w:r w:rsidRPr="00D60196">
        <w:t>ates and the Commission</w:t>
      </w:r>
      <w:r w:rsidR="000F58E8">
        <w:t>’</w:t>
      </w:r>
      <w:r w:rsidRPr="00D60196">
        <w:t>s Water Division and are jointly supported by the parties.</w:t>
      </w:r>
    </w:p>
    <w:p w:rsidR="005F70DB" w:rsidP="00E9212E" w:rsidRDefault="00447C50" w14:paraId="6E14BBAD" w14:textId="46E64D08">
      <w:pPr>
        <w:pStyle w:val="Standard"/>
      </w:pPr>
      <w:r w:rsidRPr="00D60196">
        <w:t xml:space="preserve">As a result of these additional corrections, Suburban maintains that the revenue requirement figures proposed in the </w:t>
      </w:r>
      <w:r w:rsidR="00100DF4">
        <w:t xml:space="preserve">PFM </w:t>
      </w:r>
      <w:r w:rsidRPr="00D60196">
        <w:t>should be updated. Suburban supports adopting corrected revenue requirements of $106,733,721 for Test Year 2024, $105,423,696 for Attrition Year 2025, and $106,936,118 for Attrition Year 2026, and revising the appendices to D.24</w:t>
      </w:r>
      <w:r w:rsidR="00EF7FCC">
        <w:noBreakHyphen/>
      </w:r>
      <w:r w:rsidRPr="00D60196">
        <w:t>12</w:t>
      </w:r>
      <w:r w:rsidR="00EF7FCC">
        <w:noBreakHyphen/>
      </w:r>
      <w:r w:rsidRPr="00D60196">
        <w:t>030 accordingly. Suburban asserts that these revised amounts accurately reflect the Commission</w:t>
      </w:r>
      <w:r w:rsidR="000F58E8">
        <w:t>’</w:t>
      </w:r>
      <w:r w:rsidRPr="00D60196">
        <w:t xml:space="preserve">s adopted findings, incorporate all necessary ratemaking adjustments, and are the product of consensus among Suburban, </w:t>
      </w:r>
      <w:r w:rsidR="008912BB">
        <w:t>Cal Advoc</w:t>
      </w:r>
      <w:r w:rsidRPr="00D60196">
        <w:t>ates, and Water Division staff.</w:t>
      </w:r>
      <w:r w:rsidR="00806AA1">
        <w:rPr>
          <w:rStyle w:val="FootnoteReference"/>
        </w:rPr>
        <w:footnoteReference w:id="7"/>
      </w:r>
    </w:p>
    <w:p w:rsidR="005B5102" w:rsidP="006F3EC6" w:rsidRDefault="005B5102" w14:paraId="2D88BE50" w14:textId="5FAFF7B0">
      <w:pPr>
        <w:pStyle w:val="Heading2"/>
      </w:pPr>
      <w:bookmarkStart w:name="_Toc227247274" w:id="8"/>
      <w:r>
        <w:lastRenderedPageBreak/>
        <w:t>Discussion</w:t>
      </w:r>
      <w:bookmarkEnd w:id="8"/>
    </w:p>
    <w:p w:rsidR="00252C17" w:rsidP="00B70C1B" w:rsidRDefault="00252C17" w14:paraId="4251D176" w14:textId="2A8E1A35">
      <w:r w:rsidRPr="00D60196">
        <w:t>We reject Suburban</w:t>
      </w:r>
      <w:r w:rsidR="000F58E8">
        <w:t>’</w:t>
      </w:r>
      <w:r w:rsidRPr="003872F2">
        <w:t>s</w:t>
      </w:r>
      <w:r w:rsidRPr="00D60196">
        <w:t xml:space="preserve"> request to modify the relief sought </w:t>
      </w:r>
      <w:r w:rsidR="00806AA1">
        <w:t xml:space="preserve">by </w:t>
      </w:r>
      <w:r w:rsidR="008912BB">
        <w:t>Cal Advoc</w:t>
      </w:r>
      <w:r w:rsidRPr="00D60196">
        <w:t>ates and decline to adopt Suburban</w:t>
      </w:r>
      <w:r w:rsidR="000F58E8">
        <w:t>’</w:t>
      </w:r>
      <w:r w:rsidRPr="00D60196">
        <w:t xml:space="preserve">s proposed revisions to the RO model and revenue requirements. Instead, we adopt </w:t>
      </w:r>
      <w:r w:rsidR="008912BB">
        <w:t>Cal Advoc</w:t>
      </w:r>
      <w:r w:rsidRPr="00D60196">
        <w:t>ates</w:t>
      </w:r>
      <w:r w:rsidR="000F58E8">
        <w:t>’</w:t>
      </w:r>
      <w:r w:rsidRPr="00D60196">
        <w:t xml:space="preserve"> position and grant the P</w:t>
      </w:r>
      <w:r w:rsidR="00100DF4">
        <w:t>FM</w:t>
      </w:r>
      <w:r w:rsidRPr="00D60196">
        <w:t xml:space="preserve"> as requested by </w:t>
      </w:r>
      <w:r w:rsidR="008912BB">
        <w:t>Cal Advoc</w:t>
      </w:r>
      <w:r w:rsidRPr="00D60196">
        <w:t>ates.</w:t>
      </w:r>
    </w:p>
    <w:p w:rsidR="00252C17" w:rsidP="00B70C1B" w:rsidRDefault="00252C17" w14:paraId="391FD632" w14:textId="7E6E30BC">
      <w:r w:rsidRPr="00D60196">
        <w:t xml:space="preserve">Suburban argues that </w:t>
      </w:r>
      <w:r w:rsidR="008912BB">
        <w:t>Cal Advoc</w:t>
      </w:r>
      <w:r w:rsidRPr="00D60196">
        <w:t>ates</w:t>
      </w:r>
      <w:r w:rsidR="000F58E8">
        <w:t>’</w:t>
      </w:r>
      <w:r w:rsidRPr="00D60196">
        <w:t xml:space="preserve"> P</w:t>
      </w:r>
      <w:r w:rsidR="00100DF4">
        <w:t>FM</w:t>
      </w:r>
      <w:r w:rsidRPr="00D60196">
        <w:t xml:space="preserve"> should be expanded to incorporate additional ratemaking adjustments that would increase Suburban</w:t>
      </w:r>
      <w:r w:rsidR="000F58E8">
        <w:t>’</w:t>
      </w:r>
      <w:r w:rsidRPr="00D60196">
        <w:t xml:space="preserve">s authorized revenue requirements beyond those proposed by </w:t>
      </w:r>
      <w:r w:rsidR="008912BB">
        <w:t>Cal Advoc</w:t>
      </w:r>
      <w:r w:rsidRPr="00D60196">
        <w:t xml:space="preserve">ates. We are not persuaded. The purpose of </w:t>
      </w:r>
      <w:r w:rsidR="008912BB">
        <w:t>Cal Advoc</w:t>
      </w:r>
      <w:r w:rsidRPr="00D60196">
        <w:t>ates</w:t>
      </w:r>
      <w:r w:rsidR="000F58E8">
        <w:t>’</w:t>
      </w:r>
      <w:r w:rsidRPr="00D60196">
        <w:t xml:space="preserve"> </w:t>
      </w:r>
      <w:r w:rsidR="00100DF4">
        <w:t xml:space="preserve">PFM </w:t>
      </w:r>
      <w:r w:rsidRPr="00D60196">
        <w:t>is to correct modeling errors that resulted from the continued inclusion of capital projects that the Commission expressly denied in D.24</w:t>
      </w:r>
      <w:r w:rsidR="00EF7FCC">
        <w:noBreakHyphen/>
      </w:r>
      <w:r w:rsidRPr="00D60196">
        <w:t>12</w:t>
      </w:r>
      <w:r w:rsidR="00EF7FCC">
        <w:noBreakHyphen/>
      </w:r>
      <w:r w:rsidRPr="00D60196">
        <w:t xml:space="preserve">030. </w:t>
      </w:r>
      <w:r w:rsidR="008912BB">
        <w:t>Cal Advoc</w:t>
      </w:r>
      <w:r w:rsidRPr="00D60196">
        <w:t>ates</w:t>
      </w:r>
      <w:r w:rsidR="000F58E8">
        <w:t>’</w:t>
      </w:r>
      <w:r w:rsidRPr="00D60196">
        <w:t xml:space="preserve"> requested modifications are narrowly tailored to remove those disallowed projects and to conform the RO model to the Commission</w:t>
      </w:r>
      <w:r w:rsidR="000F58E8">
        <w:t>’</w:t>
      </w:r>
      <w:r w:rsidRPr="00D60196">
        <w:t>s adopted findings and ordering paragraphs.</w:t>
      </w:r>
    </w:p>
    <w:p w:rsidR="00252C17" w:rsidP="00B70C1B" w:rsidRDefault="00252C17" w14:paraId="0FB0DD97" w14:textId="0FBA5AD1">
      <w:r w:rsidRPr="00D60196">
        <w:t>By contrast, Suburban</w:t>
      </w:r>
      <w:r w:rsidR="000F58E8">
        <w:t>’</w:t>
      </w:r>
      <w:r w:rsidRPr="00D60196">
        <w:t>s proposed adjustments would go beyond correcting the identified errors and would effectively introduce new ratemaking changes that were not authorized in D.24</w:t>
      </w:r>
      <w:r w:rsidR="00EF7FCC">
        <w:noBreakHyphen/>
      </w:r>
      <w:r w:rsidRPr="00D60196">
        <w:t>12</w:t>
      </w:r>
      <w:r w:rsidR="00EF7FCC">
        <w:noBreakHyphen/>
      </w:r>
      <w:r w:rsidRPr="00D60196">
        <w:t>030 and are not necessary to resolve the inconsistencies identified in the P</w:t>
      </w:r>
      <w:r w:rsidR="00100DF4">
        <w:t>FM</w:t>
      </w:r>
      <w:r w:rsidRPr="00D60196">
        <w:t>. We decline to expand the scope of this modification proceeding to include additional adjustments that would increase revenue requirements and are not required to implement the Commission</w:t>
      </w:r>
      <w:r w:rsidR="000F58E8">
        <w:t>’</w:t>
      </w:r>
      <w:r w:rsidRPr="00D60196">
        <w:t>s original intent.</w:t>
      </w:r>
    </w:p>
    <w:p w:rsidR="00252C17" w:rsidP="00B70C1B" w:rsidRDefault="00252C17" w14:paraId="159610A6" w14:textId="271A3ED4">
      <w:r w:rsidRPr="00D60196">
        <w:t>We also reject Suburban</w:t>
      </w:r>
      <w:r w:rsidR="000F58E8">
        <w:t>’</w:t>
      </w:r>
      <w:r w:rsidRPr="00D60196">
        <w:t xml:space="preserve">s contention that </w:t>
      </w:r>
      <w:r w:rsidR="008912BB">
        <w:t>Cal Advoc</w:t>
      </w:r>
      <w:r w:rsidRPr="00D60196">
        <w:t>ates</w:t>
      </w:r>
      <w:r w:rsidR="000F58E8">
        <w:t>’</w:t>
      </w:r>
      <w:r w:rsidRPr="00D60196">
        <w:t xml:space="preserve"> </w:t>
      </w:r>
      <w:r w:rsidR="00100DF4">
        <w:t xml:space="preserve">PFM </w:t>
      </w:r>
      <w:r w:rsidRPr="00D60196">
        <w:t xml:space="preserve">is incomplete because it did not expressly list every denied project in its summary tables. The record demonstrates that the RO model supporting </w:t>
      </w:r>
      <w:r w:rsidR="008912BB">
        <w:t>Cal Advoc</w:t>
      </w:r>
      <w:r w:rsidRPr="00D60196">
        <w:t>ates</w:t>
      </w:r>
      <w:r w:rsidR="000F58E8">
        <w:t>’</w:t>
      </w:r>
      <w:r w:rsidRPr="00D60196">
        <w:t xml:space="preserve"> </w:t>
      </w:r>
      <w:r w:rsidR="00100DF4">
        <w:t xml:space="preserve">PFM </w:t>
      </w:r>
      <w:r w:rsidRPr="00D60196">
        <w:t xml:space="preserve">already removes the disallowed projects at issue, and the omission of a project from a summary table does not undermine the substance of the requested </w:t>
      </w:r>
      <w:r w:rsidRPr="00D60196">
        <w:lastRenderedPageBreak/>
        <w:t>relief. The Commission</w:t>
      </w:r>
      <w:r w:rsidR="000F58E8">
        <w:t>’</w:t>
      </w:r>
      <w:r w:rsidRPr="00D60196">
        <w:t>s focus is on ensuring that the adopted RO model accurately reflects the Commission</w:t>
      </w:r>
      <w:r w:rsidR="000F58E8">
        <w:t>’</w:t>
      </w:r>
      <w:r w:rsidRPr="00D60196">
        <w:t>s determinations, not on perfecting descriptive tables where no substantive error remains.</w:t>
      </w:r>
    </w:p>
    <w:p w:rsidRPr="00D60196" w:rsidR="00027715" w:rsidP="00027715" w:rsidRDefault="00027715" w14:paraId="4FC8217F" w14:textId="67434652">
      <w:r w:rsidRPr="00D60196">
        <w:t xml:space="preserve">We agree with </w:t>
      </w:r>
      <w:r w:rsidR="008912BB">
        <w:t>Cal Advoc</w:t>
      </w:r>
      <w:r w:rsidRPr="00D60196">
        <w:t>ates that D.24</w:t>
      </w:r>
      <w:r w:rsidR="00EF7FCC">
        <w:noBreakHyphen/>
      </w:r>
      <w:r w:rsidRPr="00D60196">
        <w:t>12</w:t>
      </w:r>
      <w:r w:rsidR="00EF7FCC">
        <w:noBreakHyphen/>
      </w:r>
      <w:r w:rsidRPr="00D60196">
        <w:t>030, as modified by D.25</w:t>
      </w:r>
      <w:r w:rsidR="00EF7FCC">
        <w:noBreakHyphen/>
      </w:r>
      <w:r w:rsidRPr="00D60196">
        <w:t>07</w:t>
      </w:r>
      <w:r w:rsidR="00EF7FCC">
        <w:noBreakHyphen/>
      </w:r>
      <w:r w:rsidRPr="00D60196">
        <w:t>012, contains remaining inconsistencies between the Commission</w:t>
      </w:r>
      <w:r w:rsidR="000F58E8">
        <w:t>’</w:t>
      </w:r>
      <w:r w:rsidRPr="00D60196">
        <w:t>s adopted findings and the RO model. The record demonstrates that the RO model continues to include capital expenditures for projects that were expressly denied in D.24</w:t>
      </w:r>
      <w:r w:rsidR="00EF7FCC">
        <w:noBreakHyphen/>
      </w:r>
      <w:r w:rsidRPr="00D60196">
        <w:t>12</w:t>
      </w:r>
      <w:r w:rsidR="00EF7FCC">
        <w:noBreakHyphen/>
      </w:r>
      <w:r w:rsidRPr="00D60196">
        <w:t>030, resulting in revenue requirements that do not accurately reflect the Commission</w:t>
      </w:r>
      <w:r w:rsidR="000F58E8">
        <w:t>’</w:t>
      </w:r>
      <w:r w:rsidRPr="00D60196">
        <w:t>s determinations.</w:t>
      </w:r>
    </w:p>
    <w:p w:rsidRPr="00D60196" w:rsidR="00027715" w:rsidP="00027715" w:rsidRDefault="00027715" w14:paraId="4BB9DCCD" w14:textId="6496C109">
      <w:r w:rsidRPr="00D60196">
        <w:t xml:space="preserve">As </w:t>
      </w:r>
      <w:r w:rsidR="008912BB">
        <w:t>Cal Advoc</w:t>
      </w:r>
      <w:r w:rsidRPr="00D60196">
        <w:t>ates correctly observes, multiple findings of fact and ordering paragraphs in D.24</w:t>
      </w:r>
      <w:r w:rsidR="00EF7FCC">
        <w:noBreakHyphen/>
      </w:r>
      <w:r w:rsidRPr="00D60196">
        <w:t>12</w:t>
      </w:r>
      <w:r w:rsidR="00EF7FCC">
        <w:noBreakHyphen/>
      </w:r>
      <w:r w:rsidRPr="00D60196">
        <w:t>030 rejected recovery of specific capital projects, including but not limited to certain generator projects, pipeline projects, service replacements, meter programs, and the Stage Road well projects. The continued inclusion of these denied projects in the RO model is inconsistent with the Commission</w:t>
      </w:r>
      <w:r w:rsidR="000F58E8">
        <w:t>’</w:t>
      </w:r>
      <w:r w:rsidRPr="00D60196">
        <w:t>s adopted findings and leads to overstated revenue requirements and rates that are not just and reasonable.</w:t>
      </w:r>
    </w:p>
    <w:p w:rsidRPr="00D60196" w:rsidR="00027715" w:rsidP="00027715" w:rsidRDefault="00027715" w14:paraId="3458923E" w14:textId="5BB12498">
      <w:r w:rsidRPr="00D60196">
        <w:t xml:space="preserve">We find persuasive the sworn declaration submitted in support of </w:t>
      </w:r>
      <w:r w:rsidR="008912BB">
        <w:t>Cal Advoc</w:t>
      </w:r>
      <w:r w:rsidRPr="00D60196">
        <w:t>ates</w:t>
      </w:r>
      <w:r w:rsidR="000F58E8">
        <w:t>’</w:t>
      </w:r>
      <w:r w:rsidRPr="00D60196">
        <w:t xml:space="preserve"> P</w:t>
      </w:r>
      <w:r w:rsidRPr="00781395">
        <w:t>FM</w:t>
      </w:r>
      <w:r w:rsidRPr="00D60196">
        <w:t>, which identifies the remaining model errors and demonstrates that approximately $14</w:t>
      </w:r>
      <w:r w:rsidR="00C9629B">
        <w:t> million</w:t>
      </w:r>
      <w:r w:rsidRPr="00D60196">
        <w:t xml:space="preserve"> in disallowed capital projects remain embedded in the adopted RO model. We further find that correcting these errors results in revised revenue requirements of $106,410,358 for Test Year 2024, $105,069,997 for Escalation Year 2025, and $106,543,966 for Attrition Year 2026, which are consistent with the Commission</w:t>
      </w:r>
      <w:r w:rsidR="000F58E8">
        <w:t>’</w:t>
      </w:r>
      <w:r w:rsidRPr="00D60196">
        <w:t>s prior findings and the evidentiary record.</w:t>
      </w:r>
    </w:p>
    <w:p w:rsidR="00027715" w:rsidP="00027715" w:rsidRDefault="00027715" w14:paraId="13DAE677" w14:textId="424BBB8A">
      <w:r>
        <w:t>W</w:t>
      </w:r>
      <w:r w:rsidRPr="00D60196">
        <w:t>e conclude that modification of D.24</w:t>
      </w:r>
      <w:r w:rsidR="00EF7FCC">
        <w:noBreakHyphen/>
      </w:r>
      <w:r w:rsidRPr="00D60196">
        <w:t>12</w:t>
      </w:r>
      <w:r w:rsidR="00EF7FCC">
        <w:noBreakHyphen/>
      </w:r>
      <w:r w:rsidRPr="00D60196">
        <w:t>030 is warranted to remove the denied capital projects from the RO model, conform the decision</w:t>
      </w:r>
      <w:r w:rsidR="000F58E8">
        <w:t>’</w:t>
      </w:r>
      <w:r w:rsidRPr="00D60196">
        <w:t xml:space="preserve">s findings, </w:t>
      </w:r>
      <w:r w:rsidRPr="00D60196">
        <w:lastRenderedPageBreak/>
        <w:t>ordering paragraphs, and appendices to the corrected revenue requirements, and ensure internal consistency with the Commission</w:t>
      </w:r>
      <w:r w:rsidR="000F58E8">
        <w:t>’</w:t>
      </w:r>
      <w:r w:rsidRPr="00D60196">
        <w:t>s adopted determinations. These modifications are limited in scope, do not reopen substantive issues previously decided, and are necessary to implement the Commission</w:t>
      </w:r>
      <w:r w:rsidR="000F58E8">
        <w:t>’</w:t>
      </w:r>
      <w:r w:rsidRPr="00D60196">
        <w:t>s intent and ensure just and reasonable rates.</w:t>
      </w:r>
    </w:p>
    <w:p w:rsidR="00252C17" w:rsidP="00B70C1B" w:rsidRDefault="00252C17" w14:paraId="62645AE0" w14:textId="2B5B3CE1">
      <w:r w:rsidRPr="00D60196">
        <w:t xml:space="preserve">Accordingly, we adopt </w:t>
      </w:r>
      <w:r w:rsidR="008912BB">
        <w:t>Cal Advoc</w:t>
      </w:r>
      <w:r w:rsidRPr="00D60196">
        <w:t>ates</w:t>
      </w:r>
      <w:r w:rsidR="000F58E8">
        <w:t>’</w:t>
      </w:r>
      <w:r w:rsidRPr="00D60196">
        <w:t xml:space="preserve"> proposed corrections to the RO model all capital projects denied in D.24</w:t>
      </w:r>
      <w:r w:rsidR="00EF7FCC">
        <w:noBreakHyphen/>
      </w:r>
      <w:r w:rsidRPr="00D60196">
        <w:t>12</w:t>
      </w:r>
      <w:r w:rsidR="00EF7FCC">
        <w:noBreakHyphen/>
      </w:r>
      <w:r w:rsidRPr="00D60196">
        <w:t xml:space="preserve">030 </w:t>
      </w:r>
      <w:r w:rsidR="000406FE">
        <w:t xml:space="preserve">are removed </w:t>
      </w:r>
      <w:r w:rsidRPr="00D60196">
        <w:t xml:space="preserve">from the RO model consistent with </w:t>
      </w:r>
      <w:r w:rsidR="008912BB">
        <w:t>Cal Advoc</w:t>
      </w:r>
      <w:r w:rsidRPr="00D60196">
        <w:t>ates</w:t>
      </w:r>
      <w:r w:rsidR="000F58E8">
        <w:t>’</w:t>
      </w:r>
      <w:r w:rsidR="00100DF4">
        <w:t xml:space="preserve"> PFM</w:t>
      </w:r>
      <w:r w:rsidRPr="00D60196">
        <w:t xml:space="preserve">. We further adopt </w:t>
      </w:r>
      <w:r w:rsidR="008912BB">
        <w:t>Cal Advoc</w:t>
      </w:r>
      <w:r w:rsidRPr="00D60196">
        <w:t>ates</w:t>
      </w:r>
      <w:r w:rsidR="000F58E8">
        <w:t>’</w:t>
      </w:r>
      <w:r w:rsidRPr="00D60196">
        <w:t xml:space="preserve"> proposed revenue requirements of $106,410,358 for Test Year 2024, $105,069,997 for Attrition Year 2025, and $106,543,966 for Attrition Year 2026, and direct that all affected findings, ordering paragraphs, and appendices be revised to reflect these amounts.</w:t>
      </w:r>
    </w:p>
    <w:p w:rsidR="00447C50" w:rsidP="00B70C1B" w:rsidRDefault="00252C17" w14:paraId="2CAE57E9" w14:textId="62DFC312">
      <w:r w:rsidRPr="00D60196">
        <w:t>For these reasons, Suburban</w:t>
      </w:r>
      <w:r w:rsidR="000F58E8">
        <w:t>’</w:t>
      </w:r>
      <w:r w:rsidRPr="00D60196">
        <w:t xml:space="preserve">s requested revisions are denied, and </w:t>
      </w:r>
      <w:r w:rsidR="008912BB">
        <w:t>Cal Advoc</w:t>
      </w:r>
      <w:r w:rsidRPr="00D60196">
        <w:t>ates</w:t>
      </w:r>
      <w:r w:rsidR="000F58E8">
        <w:t>’</w:t>
      </w:r>
      <w:r w:rsidR="00E47EB3">
        <w:t xml:space="preserve"> </w:t>
      </w:r>
      <w:r w:rsidR="00100DF4">
        <w:t xml:space="preserve">PFM </w:t>
      </w:r>
      <w:r w:rsidRPr="00D60196">
        <w:t>is granted as requested.</w:t>
      </w:r>
    </w:p>
    <w:p w:rsidR="005B5102" w:rsidP="006F3EC6" w:rsidRDefault="005B5102" w14:paraId="25B46739" w14:textId="22E8C87C">
      <w:pPr>
        <w:pStyle w:val="Heading2"/>
      </w:pPr>
      <w:bookmarkStart w:name="_Toc227247275" w:id="9"/>
      <w:r>
        <w:t xml:space="preserve">Changes to </w:t>
      </w:r>
      <w:r w:rsidR="003D0304">
        <w:t>Decision </w:t>
      </w:r>
      <w:r>
        <w:t>24</w:t>
      </w:r>
      <w:r w:rsidR="00EF7FCC">
        <w:noBreakHyphen/>
      </w:r>
      <w:r>
        <w:t>12</w:t>
      </w:r>
      <w:r w:rsidR="00EF7FCC">
        <w:noBreakHyphen/>
      </w:r>
      <w:r>
        <w:t>030</w:t>
      </w:r>
      <w:r w:rsidR="00D0431C">
        <w:t>,</w:t>
      </w:r>
      <w:r w:rsidR="00D0431C">
        <w:br/>
      </w:r>
      <w:r w:rsidR="00447C50">
        <w:t xml:space="preserve">as Modified by </w:t>
      </w:r>
      <w:r w:rsidR="003D0304">
        <w:t>Decision </w:t>
      </w:r>
      <w:r w:rsidR="00447C50">
        <w:t>25</w:t>
      </w:r>
      <w:r w:rsidR="00EF7FCC">
        <w:noBreakHyphen/>
      </w:r>
      <w:r w:rsidR="00447C50">
        <w:t>07</w:t>
      </w:r>
      <w:r w:rsidR="00EF7FCC">
        <w:noBreakHyphen/>
      </w:r>
      <w:r w:rsidR="00447C50">
        <w:t>012</w:t>
      </w:r>
      <w:bookmarkEnd w:id="9"/>
    </w:p>
    <w:p w:rsidR="005B5102" w:rsidP="00E9212E" w:rsidRDefault="005B5102" w14:paraId="14E8C73B" w14:textId="439AECDD">
      <w:pPr>
        <w:pStyle w:val="Standard"/>
      </w:pPr>
      <w:r>
        <w:t>We make the following changes to D.24</w:t>
      </w:r>
      <w:r w:rsidR="00EF7FCC">
        <w:noBreakHyphen/>
      </w:r>
      <w:r>
        <w:t>12</w:t>
      </w:r>
      <w:r w:rsidR="00EF7FCC">
        <w:noBreakHyphen/>
      </w:r>
      <w:r>
        <w:t>030</w:t>
      </w:r>
      <w:r w:rsidR="00EB3D12">
        <w:t>, as modified</w:t>
      </w:r>
      <w:r w:rsidR="00252C17">
        <w:t xml:space="preserve"> by D.25</w:t>
      </w:r>
      <w:r w:rsidR="00EF7FCC">
        <w:noBreakHyphen/>
      </w:r>
      <w:r w:rsidR="00252C17">
        <w:t>07</w:t>
      </w:r>
      <w:r w:rsidR="00EF7FCC">
        <w:noBreakHyphen/>
      </w:r>
      <w:r w:rsidR="00252C17">
        <w:t>012</w:t>
      </w:r>
      <w:r>
        <w:t>:</w:t>
      </w:r>
    </w:p>
    <w:p w:rsidR="005B5102" w:rsidP="00120F61" w:rsidRDefault="005B5102" w14:paraId="412FEDE3" w14:textId="70EA71AE">
      <w:pPr>
        <w:pStyle w:val="Standard"/>
        <w:keepNext/>
      </w:pPr>
      <w:r>
        <w:t xml:space="preserve">The chart in the Summary </w:t>
      </w:r>
      <w:r w:rsidR="00C9629B">
        <w:t>Section</w:t>
      </w:r>
      <w:r w:rsidR="00987216">
        <w:t xml:space="preserve"> </w:t>
      </w:r>
      <w:r>
        <w:t>on page</w:t>
      </w:r>
      <w:r w:rsidR="00987216">
        <w:t> </w:t>
      </w:r>
      <w:r>
        <w:t>3 of D.24</w:t>
      </w:r>
      <w:r w:rsidR="00EF7FCC">
        <w:noBreakHyphen/>
      </w:r>
      <w:r>
        <w:t>12</w:t>
      </w:r>
      <w:r w:rsidR="00EF7FCC">
        <w:noBreakHyphen/>
      </w:r>
      <w:r>
        <w:t xml:space="preserve">030 </w:t>
      </w:r>
      <w:r w:rsidR="002B0940">
        <w:t xml:space="preserve">now </w:t>
      </w:r>
      <w:r>
        <w:t>reads as follows: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4A0" w:firstRow="1" w:lastRow="0" w:firstColumn="1" w:lastColumn="0" w:noHBand="0" w:noVBand="1"/>
      </w:tblPr>
      <w:tblGrid>
        <w:gridCol w:w="2969"/>
        <w:gridCol w:w="4743"/>
        <w:gridCol w:w="1648"/>
      </w:tblGrid>
      <w:tr w:rsidRPr="006E0B92" w:rsidR="005B5102" w:rsidTr="00E9212E" w14:paraId="6A1FE6FF" w14:textId="77777777">
        <w:trPr>
          <w:tblHeader/>
        </w:trPr>
        <w:tc>
          <w:tcPr>
            <w:tcW w:w="2595" w:type="dxa"/>
            <w:hideMark/>
          </w:tcPr>
          <w:p w:rsidRPr="006E0B92" w:rsidR="005B5102" w:rsidP="00E9212E" w:rsidRDefault="005B5102" w14:paraId="66C5F3EE" w14:textId="2F20E513">
            <w:pPr>
              <w:pStyle w:val="ALJBodyText"/>
              <w:keepNext/>
              <w:spacing w:line="240" w:lineRule="auto"/>
              <w:ind w:firstLine="0"/>
            </w:pPr>
            <w:r w:rsidRPr="006E0B92">
              <w:rPr>
                <w:b/>
                <w:bCs/>
              </w:rPr>
              <w:t>Rate Year Period</w:t>
            </w:r>
          </w:p>
        </w:tc>
        <w:tc>
          <w:tcPr>
            <w:tcW w:w="4145" w:type="dxa"/>
            <w:hideMark/>
          </w:tcPr>
          <w:p w:rsidRPr="006E0B92" w:rsidR="005B5102" w:rsidP="00E9212E" w:rsidRDefault="005B5102" w14:paraId="532BE2D4" w14:textId="1C00C4E0">
            <w:pPr>
              <w:pStyle w:val="ALJBodyText"/>
              <w:keepNext/>
              <w:spacing w:line="240" w:lineRule="auto"/>
              <w:ind w:firstLine="0"/>
            </w:pPr>
            <w:r w:rsidRPr="006E0B92">
              <w:rPr>
                <w:b/>
                <w:bCs/>
              </w:rPr>
              <w:t>Adopted Revenue Requirements</w:t>
            </w:r>
          </w:p>
        </w:tc>
        <w:tc>
          <w:tcPr>
            <w:tcW w:w="1440" w:type="dxa"/>
            <w:hideMark/>
          </w:tcPr>
          <w:p w:rsidRPr="006E0B92" w:rsidR="005B5102" w:rsidP="00E9212E" w:rsidRDefault="005B5102" w14:paraId="55A9B209" w14:textId="648D76FA">
            <w:pPr>
              <w:pStyle w:val="ALJBodyText"/>
              <w:keepNext/>
              <w:spacing w:line="240" w:lineRule="auto"/>
              <w:ind w:firstLine="0"/>
            </w:pPr>
            <w:r w:rsidRPr="006E0B92">
              <w:rPr>
                <w:b/>
                <w:bCs/>
              </w:rPr>
              <w:t>% Increase</w:t>
            </w:r>
          </w:p>
        </w:tc>
      </w:tr>
      <w:tr w:rsidRPr="006E0B92" w:rsidR="005B5102" w:rsidTr="00E9212E" w14:paraId="52BD2344" w14:textId="77777777">
        <w:tc>
          <w:tcPr>
            <w:tcW w:w="2595" w:type="dxa"/>
            <w:hideMark/>
          </w:tcPr>
          <w:p w:rsidRPr="006E0B92" w:rsidR="005B5102" w:rsidP="00E9212E" w:rsidRDefault="005B5102" w14:paraId="64EDBBC5" w14:textId="0F9396A7">
            <w:pPr>
              <w:pStyle w:val="ALJBodyText"/>
              <w:spacing w:line="240" w:lineRule="auto"/>
              <w:ind w:firstLine="0"/>
            </w:pPr>
            <w:r w:rsidRPr="006E0B92">
              <w:t>Test Year (TY) 2024</w:t>
            </w:r>
          </w:p>
        </w:tc>
        <w:tc>
          <w:tcPr>
            <w:tcW w:w="4145" w:type="dxa"/>
            <w:hideMark/>
          </w:tcPr>
          <w:p w:rsidRPr="006E0B92" w:rsidR="005B5102" w:rsidP="00E9212E" w:rsidRDefault="005B5102" w14:paraId="0F496D6E" w14:textId="3785C7DB">
            <w:pPr>
              <w:pStyle w:val="ALJBodyText"/>
              <w:spacing w:line="240" w:lineRule="auto"/>
              <w:ind w:firstLine="0"/>
            </w:pPr>
            <w:r w:rsidRPr="006E0B92">
              <w:t>$</w:t>
            </w:r>
            <w:r w:rsidR="00B70C1B">
              <w:t>106,410,358</w:t>
            </w:r>
          </w:p>
        </w:tc>
        <w:tc>
          <w:tcPr>
            <w:tcW w:w="1440" w:type="dxa"/>
            <w:hideMark/>
          </w:tcPr>
          <w:p w:rsidRPr="006E0B92" w:rsidR="005B5102" w:rsidP="00E9212E" w:rsidRDefault="005B5102" w14:paraId="0EF7C7EA" w14:textId="2C074688">
            <w:pPr>
              <w:pStyle w:val="ALJBodyText"/>
              <w:spacing w:line="240" w:lineRule="auto"/>
              <w:ind w:firstLine="0"/>
            </w:pPr>
            <w:r w:rsidRPr="006E0B92">
              <w:t>6.</w:t>
            </w:r>
            <w:r w:rsidR="00B70C1B">
              <w:t>55</w:t>
            </w:r>
            <w:r w:rsidRPr="006E0B92">
              <w:t>%</w:t>
            </w:r>
          </w:p>
        </w:tc>
      </w:tr>
      <w:tr w:rsidRPr="006E0B92" w:rsidR="005B5102" w:rsidTr="00E9212E" w14:paraId="6146F058" w14:textId="77777777">
        <w:tc>
          <w:tcPr>
            <w:tcW w:w="2595" w:type="dxa"/>
            <w:hideMark/>
          </w:tcPr>
          <w:p w:rsidRPr="006E0B92" w:rsidR="005B5102" w:rsidP="00E9212E" w:rsidRDefault="005B5102" w14:paraId="3CFEB794" w14:textId="2E299C49">
            <w:pPr>
              <w:pStyle w:val="ALJBodyText"/>
              <w:spacing w:line="240" w:lineRule="auto"/>
              <w:ind w:firstLine="0"/>
            </w:pPr>
            <w:r w:rsidRPr="006E0B92">
              <w:t>Escalation Year 2025</w:t>
            </w:r>
          </w:p>
        </w:tc>
        <w:tc>
          <w:tcPr>
            <w:tcW w:w="4145" w:type="dxa"/>
            <w:hideMark/>
          </w:tcPr>
          <w:p w:rsidRPr="006E0B92" w:rsidR="005B5102" w:rsidP="00E9212E" w:rsidRDefault="005B5102" w14:paraId="12D5745F" w14:textId="0D5D5DEF">
            <w:pPr>
              <w:pStyle w:val="ALJBodyText"/>
              <w:spacing w:line="240" w:lineRule="auto"/>
              <w:ind w:firstLine="0"/>
            </w:pPr>
            <w:r w:rsidRPr="006E0B92">
              <w:t>$10</w:t>
            </w:r>
            <w:r w:rsidR="00B70C1B">
              <w:t>5,069,997</w:t>
            </w:r>
          </w:p>
        </w:tc>
        <w:tc>
          <w:tcPr>
            <w:tcW w:w="1440" w:type="dxa"/>
            <w:hideMark/>
          </w:tcPr>
          <w:p w:rsidRPr="006E0B92" w:rsidR="005B5102" w:rsidP="00E9212E" w:rsidRDefault="00B70C1B" w14:paraId="21DE1E8E" w14:textId="51E96341">
            <w:pPr>
              <w:pStyle w:val="ALJBodyText"/>
              <w:spacing w:line="240" w:lineRule="auto"/>
              <w:ind w:firstLine="0"/>
            </w:pPr>
            <w:r>
              <w:t>1.42</w:t>
            </w:r>
            <w:r w:rsidRPr="006E0B92" w:rsidR="005B5102">
              <w:t>%</w:t>
            </w:r>
          </w:p>
        </w:tc>
      </w:tr>
      <w:tr w:rsidRPr="006E0B92" w:rsidR="005B5102" w:rsidTr="00E9212E" w14:paraId="01EDFBE9" w14:textId="77777777">
        <w:tc>
          <w:tcPr>
            <w:tcW w:w="2595" w:type="dxa"/>
            <w:hideMark/>
          </w:tcPr>
          <w:p w:rsidRPr="006E0B92" w:rsidR="005B5102" w:rsidP="00E9212E" w:rsidRDefault="005B5102" w14:paraId="797F5A19" w14:textId="01918EC2">
            <w:pPr>
              <w:pStyle w:val="ALJBodyText"/>
              <w:spacing w:line="240" w:lineRule="auto"/>
              <w:ind w:firstLine="0"/>
            </w:pPr>
            <w:r w:rsidRPr="006E0B92">
              <w:t>Attrition Year 2026</w:t>
            </w:r>
          </w:p>
        </w:tc>
        <w:tc>
          <w:tcPr>
            <w:tcW w:w="4145" w:type="dxa"/>
            <w:hideMark/>
          </w:tcPr>
          <w:p w:rsidRPr="006E0B92" w:rsidR="005B5102" w:rsidP="00E9212E" w:rsidRDefault="005B5102" w14:paraId="25B07422" w14:textId="481E494C">
            <w:pPr>
              <w:pStyle w:val="ALJBodyText"/>
              <w:spacing w:line="240" w:lineRule="auto"/>
              <w:ind w:firstLine="0"/>
            </w:pPr>
            <w:r w:rsidRPr="006E0B92">
              <w:t>$10</w:t>
            </w:r>
            <w:r w:rsidR="00B70C1B">
              <w:t>6,543,966</w:t>
            </w:r>
          </w:p>
        </w:tc>
        <w:tc>
          <w:tcPr>
            <w:tcW w:w="1440" w:type="dxa"/>
            <w:hideMark/>
          </w:tcPr>
          <w:p w:rsidRPr="006E0B92" w:rsidR="005B5102" w:rsidP="00E9212E" w:rsidRDefault="00B70C1B" w14:paraId="7D640A59" w14:textId="4CEEB184">
            <w:pPr>
              <w:pStyle w:val="ALJBodyText"/>
              <w:spacing w:line="240" w:lineRule="auto"/>
              <w:ind w:firstLine="0"/>
            </w:pPr>
            <w:r>
              <w:t>1.39</w:t>
            </w:r>
            <w:r w:rsidRPr="006E0B92" w:rsidR="005B5102">
              <w:t>%</w:t>
            </w:r>
          </w:p>
        </w:tc>
      </w:tr>
    </w:tbl>
    <w:p w:rsidR="005B5102" w:rsidP="00120F61" w:rsidRDefault="005B5102" w14:paraId="07C17287" w14:textId="3BE08BA0">
      <w:pPr>
        <w:pStyle w:val="StandardTableSub"/>
        <w:keepNext/>
      </w:pPr>
      <w:r>
        <w:lastRenderedPageBreak/>
        <w:t>The following Findings of Fact are modified or added as follows:</w:t>
      </w:r>
    </w:p>
    <w:p w:rsidR="005B5102" w:rsidP="004E5EF0" w:rsidRDefault="005B5102" w14:paraId="23534E68" w14:textId="694BFDE9">
      <w:pPr>
        <w:pStyle w:val="Standard"/>
        <w:keepNext/>
      </w:pPr>
      <w:r>
        <w:t>Finding of Fact</w:t>
      </w:r>
      <w:r w:rsidR="00F60AE8">
        <w:t> </w:t>
      </w:r>
      <w:r w:rsidRPr="00E5580E">
        <w:t>5</w:t>
      </w:r>
      <w:r>
        <w:t xml:space="preserve"> corrected to state:</w:t>
      </w:r>
    </w:p>
    <w:p w:rsidR="005B5102" w:rsidP="004E5EF0" w:rsidRDefault="005B5102" w14:paraId="4DF3A972" w14:textId="20F72A49">
      <w:pPr>
        <w:pStyle w:val="BlockQuote-sub"/>
      </w:pPr>
      <w:r w:rsidRPr="00E5580E">
        <w:t>It is reasonable to adopt a total revenue requirement for Suburban in the amounts of $</w:t>
      </w:r>
      <w:r w:rsidR="005A16BD">
        <w:t>106,410,358</w:t>
      </w:r>
      <w:r w:rsidRPr="00E5580E">
        <w:t xml:space="preserve"> for Test Year 2024, $10</w:t>
      </w:r>
      <w:r w:rsidR="005A16BD">
        <w:t>5,069,997</w:t>
      </w:r>
      <w:r w:rsidR="00305F5A">
        <w:t xml:space="preserve"> </w:t>
      </w:r>
      <w:r w:rsidRPr="00E5580E">
        <w:t>for Escalation Year 2025, and $10</w:t>
      </w:r>
      <w:r w:rsidR="005A16BD">
        <w:t>6,543,966</w:t>
      </w:r>
      <w:r w:rsidR="00305F5A">
        <w:t xml:space="preserve"> </w:t>
      </w:r>
      <w:r w:rsidRPr="00E5580E">
        <w:t>for Attrition Year 2026 which incorporates the undisputed issues and resolution of contested issues in accordance with the findings of this decision.</w:t>
      </w:r>
    </w:p>
    <w:p w:rsidR="005B5102" w:rsidP="004E5EF0" w:rsidRDefault="005B5102" w14:paraId="185692D4" w14:textId="215102AE">
      <w:pPr>
        <w:pStyle w:val="Standard"/>
        <w:keepNext/>
      </w:pPr>
      <w:r>
        <w:t>Finding of Fact</w:t>
      </w:r>
      <w:r w:rsidR="00F60AE8">
        <w:t> </w:t>
      </w:r>
      <w:r>
        <w:t>7 is corrected to state:</w:t>
      </w:r>
    </w:p>
    <w:p w:rsidR="005B5102" w:rsidP="004E5EF0" w:rsidRDefault="005B5102" w14:paraId="4C4B8377" w14:textId="451DE59F">
      <w:pPr>
        <w:pStyle w:val="BlockQuote-sub"/>
      </w:pPr>
      <w:r w:rsidRPr="00E5580E">
        <w:t>Based upon the adopted revenue increases and rate design policies authorized for Suburban for Test Year 2024, the average residential customer bill will increase by $5.</w:t>
      </w:r>
      <w:r w:rsidR="005A16BD">
        <w:t>11</w:t>
      </w:r>
      <w:r w:rsidRPr="00E5580E">
        <w:t xml:space="preserve"> (or 6.</w:t>
      </w:r>
      <w:r w:rsidR="005A16BD">
        <w:t>61</w:t>
      </w:r>
      <w:r w:rsidRPr="00E5580E">
        <w:t>%) per billing period. Annual increase for the same customer will be $</w:t>
      </w:r>
      <w:r w:rsidR="005A16BD">
        <w:t>61.32</w:t>
      </w:r>
      <w:r w:rsidRPr="00E5580E">
        <w:t xml:space="preserve"> (or 6.</w:t>
      </w:r>
      <w:r w:rsidR="005A16BD">
        <w:t>61</w:t>
      </w:r>
      <w:r w:rsidRPr="00E5580E">
        <w:t>%).</w:t>
      </w:r>
    </w:p>
    <w:p w:rsidR="005B5102" w:rsidP="004E5EF0" w:rsidRDefault="005B5102" w14:paraId="680A6861" w14:textId="0485DA00">
      <w:pPr>
        <w:pStyle w:val="Standard"/>
        <w:keepNext/>
      </w:pPr>
      <w:r>
        <w:t>Finding of Fact</w:t>
      </w:r>
      <w:r w:rsidR="006762A8">
        <w:t> </w:t>
      </w:r>
      <w:r>
        <w:t>1</w:t>
      </w:r>
      <w:r w:rsidR="005A16BD">
        <w:t>13</w:t>
      </w:r>
      <w:r>
        <w:t xml:space="preserve"> is </w:t>
      </w:r>
      <w:r w:rsidR="005A16BD">
        <w:t>corrected to</w:t>
      </w:r>
      <w:r>
        <w:t xml:space="preserve"> state:</w:t>
      </w:r>
    </w:p>
    <w:p w:rsidR="005B5102" w:rsidP="004E5EF0" w:rsidRDefault="00BA0613" w14:paraId="535D8942" w14:textId="0E4842B5">
      <w:pPr>
        <w:pStyle w:val="BlockQuote-sub"/>
      </w:pPr>
      <w:r>
        <w:t>A total of $8,689,388 approved in prior GRC cycles and that would have been spent on P</w:t>
      </w:r>
      <w:r w:rsidR="00EF7FCC">
        <w:noBreakHyphen/>
      </w:r>
      <w:r>
        <w:t>2, P</w:t>
      </w:r>
      <w:r w:rsidR="00EF7FCC">
        <w:noBreakHyphen/>
      </w:r>
      <w:r>
        <w:t>5, P</w:t>
      </w:r>
      <w:r w:rsidR="00EF7FCC">
        <w:noBreakHyphen/>
      </w:r>
      <w:r>
        <w:t>8, P</w:t>
      </w:r>
      <w:r w:rsidR="00EF7FCC">
        <w:noBreakHyphen/>
      </w:r>
      <w:r>
        <w:t>9, P</w:t>
      </w:r>
      <w:r w:rsidR="00EF7FCC">
        <w:noBreakHyphen/>
      </w:r>
      <w:r>
        <w:t>10, and P</w:t>
      </w:r>
      <w:r w:rsidR="00EF7FCC">
        <w:noBreakHyphen/>
      </w:r>
      <w:r>
        <w:t>21 were instead spent on other capital projects and was duly incorporated into rate base</w:t>
      </w:r>
      <w:r w:rsidR="005B5102">
        <w:t>.</w:t>
      </w:r>
    </w:p>
    <w:p w:rsidR="005B5102" w:rsidP="00B32292" w:rsidRDefault="005B5102" w14:paraId="46FD4685" w14:textId="77777777">
      <w:pPr>
        <w:pStyle w:val="Standard"/>
      </w:pPr>
      <w:r>
        <w:t>The following changes and additions are made to the Ordering Paragraphs:</w:t>
      </w:r>
    </w:p>
    <w:p w:rsidR="005B5102" w:rsidP="004E5EF0" w:rsidRDefault="005B5102" w14:paraId="463599B7" w14:textId="77777777">
      <w:pPr>
        <w:pStyle w:val="Standard"/>
        <w:keepNext/>
      </w:pPr>
      <w:r>
        <w:t>Ordering Paragraph 1 now reads:</w:t>
      </w:r>
    </w:p>
    <w:p w:rsidR="005B5102" w:rsidP="004E5EF0" w:rsidRDefault="005B5102" w14:paraId="49938835" w14:textId="1B82780A">
      <w:pPr>
        <w:pStyle w:val="BlockQuote-sub"/>
      </w:pPr>
      <w:r w:rsidRPr="00E5580E">
        <w:t>Suburban Water Systems is hereby authorized general rate case revenue requirements of $</w:t>
      </w:r>
      <w:r w:rsidR="00BA0613">
        <w:t>106,410,358</w:t>
      </w:r>
      <w:r w:rsidRPr="00E5580E">
        <w:t xml:space="preserve"> for Test Year 2024, $10</w:t>
      </w:r>
      <w:r w:rsidR="00BA0613">
        <w:t>5,069,997</w:t>
      </w:r>
      <w:r w:rsidR="00305F5A">
        <w:t xml:space="preserve"> </w:t>
      </w:r>
      <w:r w:rsidRPr="00E5580E">
        <w:t>for Escalation Year 2025, and $10</w:t>
      </w:r>
      <w:r w:rsidR="00BA0613">
        <w:t>6,543,966</w:t>
      </w:r>
      <w:r w:rsidR="00305F5A">
        <w:t xml:space="preserve"> </w:t>
      </w:r>
      <w:r w:rsidRPr="00E5580E">
        <w:t>for Attrition Year 2026, consistent with findings of this decision as tabulated in the Summary of Earnings in Appendix C hereto.</w:t>
      </w:r>
    </w:p>
    <w:p w:rsidR="005B5102" w:rsidP="004E5EF0" w:rsidRDefault="005B5102" w14:paraId="0A02FDEE" w14:textId="31D34565">
      <w:pPr>
        <w:pStyle w:val="Standard"/>
      </w:pPr>
      <w:r>
        <w:lastRenderedPageBreak/>
        <w:t>Appendices</w:t>
      </w:r>
      <w:r w:rsidR="00F27096">
        <w:t> </w:t>
      </w:r>
      <w:r>
        <w:t>B</w:t>
      </w:r>
      <w:r w:rsidR="00EF7FCC">
        <w:noBreakHyphen/>
      </w:r>
      <w:r>
        <w:t xml:space="preserve">G are updated </w:t>
      </w:r>
      <w:r w:rsidR="002B0940">
        <w:t>as appropriate</w:t>
      </w:r>
      <w:r>
        <w:t>.</w:t>
      </w:r>
      <w:r w:rsidR="001872A2">
        <w:rPr>
          <w:rStyle w:val="FootnoteReference"/>
        </w:rPr>
        <w:footnoteReference w:id="8"/>
      </w:r>
    </w:p>
    <w:p w:rsidR="004E7C95" w:rsidP="002B4C50" w:rsidRDefault="004E7C95" w14:paraId="0229338D" w14:textId="77777777">
      <w:pPr>
        <w:pStyle w:val="Heading1"/>
      </w:pPr>
      <w:bookmarkStart w:name="_Toc227247276" w:id="10"/>
      <w:bookmarkStart w:name="_Toc8123721" w:id="11"/>
      <w:r>
        <w:t>Comments on Proposed Decision</w:t>
      </w:r>
      <w:bookmarkEnd w:id="10"/>
    </w:p>
    <w:p w:rsidR="004E7C95" w:rsidP="00B32292" w:rsidRDefault="004E7C95" w14:paraId="01AB6C30" w14:textId="5460F91C">
      <w:pPr>
        <w:pStyle w:val="Standard"/>
      </w:pPr>
      <w:r>
        <w:t xml:space="preserve">The proposed decision of </w:t>
      </w:r>
      <w:r w:rsidR="00462298">
        <w:t>ALJ</w:t>
      </w:r>
      <w:r w:rsidR="00780343">
        <w:t> </w:t>
      </w:r>
      <w:r w:rsidR="004B7B98">
        <w:t>G</w:t>
      </w:r>
      <w:r w:rsidR="000143EE">
        <w:t>erald F</w:t>
      </w:r>
      <w:r>
        <w:t xml:space="preserve">. Kelly in this matter was mailed to the parties in accordance with </w:t>
      </w:r>
      <w:r w:rsidR="000143EE">
        <w:t xml:space="preserve">Pub. Util. Code </w:t>
      </w:r>
      <w:r w:rsidR="00C9629B">
        <w:t>Section </w:t>
      </w:r>
      <w:r>
        <w:t xml:space="preserve">311 and comments were allowed under </w:t>
      </w:r>
      <w:r w:rsidR="000143EE">
        <w:t>Rule </w:t>
      </w:r>
      <w:r>
        <w:t>14.3.</w:t>
      </w:r>
      <w:r w:rsidR="00B85C3E">
        <w:t xml:space="preserve"> No comments were received.</w:t>
      </w:r>
    </w:p>
    <w:p w:rsidR="004E7C95" w:rsidP="002B4C50" w:rsidRDefault="004E7C95" w14:paraId="28621740" w14:textId="77777777">
      <w:pPr>
        <w:pStyle w:val="Heading1"/>
      </w:pPr>
      <w:bookmarkStart w:name="_Toc227247277" w:id="12"/>
      <w:r>
        <w:t>Assignment of Proceeding</w:t>
      </w:r>
      <w:bookmarkEnd w:id="12"/>
    </w:p>
    <w:bookmarkEnd w:id="11"/>
    <w:p w:rsidR="005939A5" w:rsidP="00B32292" w:rsidRDefault="00036A49" w14:paraId="2DFC2848" w14:textId="379EA94C">
      <w:pPr>
        <w:pStyle w:val="Standard"/>
      </w:pPr>
      <w:r>
        <w:t>Commissioner Christine Harada</w:t>
      </w:r>
      <w:r w:rsidR="004E7C95">
        <w:t xml:space="preserve"> is the assigned Commissioner and </w:t>
      </w:r>
      <w:r w:rsidR="000143EE">
        <w:t>Gerald F</w:t>
      </w:r>
      <w:r w:rsidR="004E7C95">
        <w:t>. Kelly is the assigned ALJ in this proceeding.</w:t>
      </w:r>
    </w:p>
    <w:p w:rsidR="005939A5" w:rsidP="00BD1F37" w:rsidRDefault="005939A5" w14:paraId="3DA22939" w14:textId="77777777">
      <w:pPr>
        <w:pStyle w:val="Dummy"/>
      </w:pPr>
      <w:bookmarkStart w:name="_Toc8123725" w:id="13"/>
      <w:bookmarkStart w:name="_Toc227247278" w:id="14"/>
      <w:r>
        <w:t>Findings of Fact</w:t>
      </w:r>
      <w:bookmarkEnd w:id="13"/>
      <w:bookmarkEnd w:id="14"/>
    </w:p>
    <w:p w:rsidR="0040343A" w:rsidP="004E7C95" w:rsidRDefault="004E7C95" w14:paraId="035F62C2" w14:textId="7AD04DDA">
      <w:pPr>
        <w:pStyle w:val="FoF"/>
      </w:pPr>
      <w:r w:rsidRPr="005D7F11">
        <w:t xml:space="preserve">On </w:t>
      </w:r>
      <w:r w:rsidR="000F58E8">
        <w:t>January </w:t>
      </w:r>
      <w:r>
        <w:t>3, 2023, Suburban filed A.23</w:t>
      </w:r>
      <w:r w:rsidR="00EF7FCC">
        <w:noBreakHyphen/>
      </w:r>
      <w:r>
        <w:t>01</w:t>
      </w:r>
      <w:r w:rsidR="00EF7FCC">
        <w:noBreakHyphen/>
      </w:r>
      <w:r>
        <w:t>001, its GRC Application.</w:t>
      </w:r>
    </w:p>
    <w:p w:rsidR="004E7C95" w:rsidP="004E7C95" w:rsidRDefault="004E7C95" w14:paraId="2E8698E6" w14:textId="61EF4E10">
      <w:pPr>
        <w:pStyle w:val="FoF"/>
      </w:pPr>
      <w:r>
        <w:t xml:space="preserve">On </w:t>
      </w:r>
      <w:r w:rsidR="000F58E8">
        <w:t>December </w:t>
      </w:r>
      <w:r>
        <w:t>19, 2024, D.24</w:t>
      </w:r>
      <w:r w:rsidR="00EF7FCC">
        <w:noBreakHyphen/>
      </w:r>
      <w:r>
        <w:t>12</w:t>
      </w:r>
      <w:r w:rsidR="00EF7FCC">
        <w:noBreakHyphen/>
      </w:r>
      <w:r>
        <w:t>030 was issued resolving Suburban</w:t>
      </w:r>
      <w:r w:rsidR="000F58E8">
        <w:t>’</w:t>
      </w:r>
      <w:r>
        <w:t>s GRC Application.</w:t>
      </w:r>
    </w:p>
    <w:p w:rsidR="00087747" w:rsidP="004E7C95" w:rsidRDefault="00087747" w14:paraId="0BFBCCBE" w14:textId="059EADBF">
      <w:pPr>
        <w:pStyle w:val="FoF"/>
      </w:pPr>
      <w:r>
        <w:t>On</w:t>
      </w:r>
      <w:r w:rsidR="00E26A5E">
        <w:t xml:space="preserve"> </w:t>
      </w:r>
      <w:r w:rsidR="000F58E8">
        <w:t>January </w:t>
      </w:r>
      <w:r w:rsidR="00E26A5E">
        <w:t xml:space="preserve">22, 2025, </w:t>
      </w:r>
      <w:r>
        <w:t>Suburban filed a P</w:t>
      </w:r>
      <w:r w:rsidR="00100DF4">
        <w:t>FM</w:t>
      </w:r>
      <w:r>
        <w:t xml:space="preserve"> of D.24</w:t>
      </w:r>
      <w:r w:rsidR="00EF7FCC">
        <w:noBreakHyphen/>
      </w:r>
      <w:r>
        <w:t>12</w:t>
      </w:r>
      <w:r w:rsidR="00EF7FCC">
        <w:noBreakHyphen/>
      </w:r>
      <w:r>
        <w:t>030.</w:t>
      </w:r>
    </w:p>
    <w:p w:rsidR="004E7C95" w:rsidP="004E7C95" w:rsidRDefault="004E7C95" w14:paraId="7CA47E00" w14:textId="39FEBC81">
      <w:pPr>
        <w:pStyle w:val="FoF"/>
      </w:pPr>
      <w:r>
        <w:t>D.24</w:t>
      </w:r>
      <w:r w:rsidR="00EF7FCC">
        <w:noBreakHyphen/>
      </w:r>
      <w:r>
        <w:t>12</w:t>
      </w:r>
      <w:r w:rsidR="00EF7FCC">
        <w:noBreakHyphen/>
      </w:r>
      <w:r>
        <w:t>030 contained inadvertent errors which accidentally included the full amount of Suburban</w:t>
      </w:r>
      <w:r w:rsidR="000F58E8">
        <w:t>’</w:t>
      </w:r>
      <w:r>
        <w:t>s pipeline replacement budget.</w:t>
      </w:r>
    </w:p>
    <w:p w:rsidR="004E7C95" w:rsidP="004E7C95" w:rsidRDefault="0081370B" w14:paraId="55AFF37E" w14:textId="08FE0C89">
      <w:pPr>
        <w:pStyle w:val="FoF"/>
      </w:pPr>
      <w:r>
        <w:t>D.24</w:t>
      </w:r>
      <w:r w:rsidR="00EF7FCC">
        <w:noBreakHyphen/>
      </w:r>
      <w:r>
        <w:t>12</w:t>
      </w:r>
      <w:r w:rsidR="00EF7FCC">
        <w:noBreakHyphen/>
      </w:r>
      <w:r>
        <w:t>030 was modified by D.25</w:t>
      </w:r>
      <w:r w:rsidR="00EF7FCC">
        <w:noBreakHyphen/>
      </w:r>
      <w:r>
        <w:t>07</w:t>
      </w:r>
      <w:r w:rsidR="00EF7FCC">
        <w:noBreakHyphen/>
      </w:r>
      <w:r>
        <w:t>012 to remove Suburban</w:t>
      </w:r>
      <w:r w:rsidR="000F58E8">
        <w:t>’</w:t>
      </w:r>
      <w:r>
        <w:t>s pipeline replacement budget.</w:t>
      </w:r>
    </w:p>
    <w:p w:rsidR="0081370B" w:rsidP="004E7C95" w:rsidRDefault="00087747" w14:paraId="7BE2E8AC" w14:textId="4EA17B1B">
      <w:pPr>
        <w:pStyle w:val="FoF"/>
      </w:pPr>
      <w:r>
        <w:t>When responding to Suburban</w:t>
      </w:r>
      <w:r w:rsidR="000F58E8">
        <w:t>’</w:t>
      </w:r>
      <w:r>
        <w:t>s original P</w:t>
      </w:r>
      <w:r w:rsidR="00A374EE">
        <w:t>FM</w:t>
      </w:r>
      <w:r>
        <w:t xml:space="preserve">, </w:t>
      </w:r>
      <w:r w:rsidR="008912BB">
        <w:t>Cal Advoc</w:t>
      </w:r>
      <w:r w:rsidR="0081370B">
        <w:t>ates requested additional changes to D.24</w:t>
      </w:r>
      <w:r w:rsidR="00EF7FCC">
        <w:noBreakHyphen/>
      </w:r>
      <w:r w:rsidR="0081370B">
        <w:t>12</w:t>
      </w:r>
      <w:r w:rsidR="00EF7FCC">
        <w:noBreakHyphen/>
      </w:r>
      <w:r w:rsidR="0081370B">
        <w:t>030 but failed to include the appropriate declaration. The additional changes were denied in D.25</w:t>
      </w:r>
      <w:r w:rsidR="00EF7FCC">
        <w:noBreakHyphen/>
      </w:r>
      <w:r w:rsidR="0081370B">
        <w:t>07</w:t>
      </w:r>
      <w:r w:rsidR="00EF7FCC">
        <w:noBreakHyphen/>
      </w:r>
      <w:r w:rsidR="0081370B">
        <w:t xml:space="preserve">012, but leave was granted for </w:t>
      </w:r>
      <w:r w:rsidR="008912BB">
        <w:t>Cal Advoc</w:t>
      </w:r>
      <w:r w:rsidR="0081370B">
        <w:t>ates to file a subsequent PFM per directives in D.25</w:t>
      </w:r>
      <w:r w:rsidR="00EF7FCC">
        <w:noBreakHyphen/>
      </w:r>
      <w:r w:rsidR="0081370B">
        <w:t>07</w:t>
      </w:r>
      <w:r w:rsidR="00EF7FCC">
        <w:noBreakHyphen/>
      </w:r>
      <w:r w:rsidR="0081370B">
        <w:t>012.</w:t>
      </w:r>
    </w:p>
    <w:p w:rsidR="00C04D93" w:rsidP="004E7C95" w:rsidRDefault="008912BB" w14:paraId="21E3B5EF" w14:textId="561B1E24">
      <w:pPr>
        <w:pStyle w:val="FoF"/>
      </w:pPr>
      <w:r>
        <w:t>Cal Advoc</w:t>
      </w:r>
      <w:r w:rsidR="00C04D93">
        <w:t>ates filed a PFM per the directions set forth in D.25</w:t>
      </w:r>
      <w:r w:rsidR="00EF7FCC">
        <w:noBreakHyphen/>
      </w:r>
      <w:r w:rsidR="00C04D93">
        <w:t>07</w:t>
      </w:r>
      <w:r w:rsidR="00EF7FCC">
        <w:noBreakHyphen/>
      </w:r>
      <w:r w:rsidR="00C04D93">
        <w:t xml:space="preserve">012 on </w:t>
      </w:r>
      <w:r w:rsidR="000F58E8">
        <w:t>September </w:t>
      </w:r>
      <w:r w:rsidR="00C04D93">
        <w:t>26, 2025.</w:t>
      </w:r>
    </w:p>
    <w:p w:rsidR="004E7C95" w:rsidP="007A1ED2" w:rsidRDefault="004E7C95" w14:paraId="5A1D10D9" w14:textId="167255F2">
      <w:pPr>
        <w:pStyle w:val="FoF"/>
        <w:keepNext/>
      </w:pPr>
      <w:r>
        <w:lastRenderedPageBreak/>
        <w:t>Finding of Fact</w:t>
      </w:r>
      <w:r w:rsidR="00CD7130">
        <w:t> </w:t>
      </w:r>
      <w:r w:rsidRPr="00E5580E">
        <w:t>5</w:t>
      </w:r>
      <w:r>
        <w:t xml:space="preserve"> in D.24</w:t>
      </w:r>
      <w:r w:rsidR="00EF7FCC">
        <w:noBreakHyphen/>
      </w:r>
      <w:r>
        <w:t>12</w:t>
      </w:r>
      <w:r w:rsidR="00EF7FCC">
        <w:noBreakHyphen/>
      </w:r>
      <w:r>
        <w:t>020 is corrected to state:</w:t>
      </w:r>
    </w:p>
    <w:p w:rsidR="004E7C95" w:rsidP="00B205C8" w:rsidRDefault="00BA0613" w14:paraId="281C3A23" w14:textId="1C6D3E3F">
      <w:pPr>
        <w:pStyle w:val="BlockQuote0"/>
      </w:pPr>
      <w:r w:rsidRPr="00E5580E">
        <w:t>It is reasonable to adopt a total revenue requirement for Suburban in the amounts of $</w:t>
      </w:r>
      <w:r>
        <w:t>106,410,358</w:t>
      </w:r>
      <w:r w:rsidRPr="00E5580E">
        <w:t xml:space="preserve"> for Test Year 2024, $10</w:t>
      </w:r>
      <w:r>
        <w:t>5,069,997</w:t>
      </w:r>
      <w:r w:rsidR="00305F5A">
        <w:t xml:space="preserve"> </w:t>
      </w:r>
      <w:r w:rsidRPr="00E5580E">
        <w:t>for Escalation Year 2025, and $10</w:t>
      </w:r>
      <w:r>
        <w:t>6,543,966</w:t>
      </w:r>
      <w:r w:rsidR="00305F5A">
        <w:t xml:space="preserve"> </w:t>
      </w:r>
      <w:r w:rsidRPr="00E5580E">
        <w:t>for Attrition Year 2026 which incorporates the undisputed issues and resolution of contested issues in accordance with the findings of this decision.</w:t>
      </w:r>
    </w:p>
    <w:p w:rsidR="004E7C95" w:rsidP="007A1ED2" w:rsidRDefault="00CD7130" w14:paraId="38D37731" w14:textId="41484A9D">
      <w:pPr>
        <w:pStyle w:val="FoF"/>
        <w:keepNext/>
      </w:pPr>
      <w:r>
        <w:t>Finding of Fact </w:t>
      </w:r>
      <w:r w:rsidR="004E7C95">
        <w:t>7</w:t>
      </w:r>
      <w:r w:rsidR="00412004">
        <w:t xml:space="preserve"> in D.24</w:t>
      </w:r>
      <w:r w:rsidR="00BA5618">
        <w:noBreakHyphen/>
      </w:r>
      <w:r w:rsidR="00412004">
        <w:t>12</w:t>
      </w:r>
      <w:r w:rsidR="00BA5618">
        <w:noBreakHyphen/>
      </w:r>
      <w:r w:rsidR="00412004">
        <w:t>020</w:t>
      </w:r>
      <w:r w:rsidR="004E7C95">
        <w:t xml:space="preserve"> is corrected to state:</w:t>
      </w:r>
    </w:p>
    <w:p w:rsidR="0040343A" w:rsidP="00B205C8" w:rsidRDefault="00BA0613" w14:paraId="2C26A651" w14:textId="77777777">
      <w:pPr>
        <w:pStyle w:val="BlockQuote0"/>
      </w:pPr>
      <w:r w:rsidRPr="00E5580E">
        <w:t>Based upon the adopted revenue increases and rate design policies authorized for Suburban for Test Year 2024, the average residential customer bill will increase by $5.</w:t>
      </w:r>
      <w:r>
        <w:t>11</w:t>
      </w:r>
      <w:r w:rsidRPr="00E5580E">
        <w:t xml:space="preserve"> (or 6.</w:t>
      </w:r>
      <w:r>
        <w:t>61</w:t>
      </w:r>
      <w:r w:rsidRPr="00E5580E">
        <w:t>%) per billing period. Annual increase for the same customer will be $</w:t>
      </w:r>
      <w:r>
        <w:t>61.32</w:t>
      </w:r>
      <w:r w:rsidRPr="00E5580E">
        <w:t xml:space="preserve"> (or 6.</w:t>
      </w:r>
      <w:r>
        <w:t>61</w:t>
      </w:r>
      <w:r w:rsidRPr="00E5580E">
        <w:t>%).</w:t>
      </w:r>
    </w:p>
    <w:p w:rsidR="004E7C95" w:rsidP="007A1ED2" w:rsidRDefault="00CD7130" w14:paraId="5B422EBF" w14:textId="637FFD06">
      <w:pPr>
        <w:pStyle w:val="FoF"/>
        <w:keepNext/>
      </w:pPr>
      <w:r>
        <w:t>Finding of Fact </w:t>
      </w:r>
      <w:r w:rsidR="00BA0613">
        <w:t>113</w:t>
      </w:r>
      <w:r w:rsidRPr="00412004" w:rsidR="00412004">
        <w:t xml:space="preserve"> </w:t>
      </w:r>
      <w:r w:rsidR="00412004">
        <w:t>in D.24</w:t>
      </w:r>
      <w:r w:rsidR="00BA5618">
        <w:noBreakHyphen/>
      </w:r>
      <w:r w:rsidR="00412004">
        <w:t>12</w:t>
      </w:r>
      <w:r w:rsidR="00BA5618">
        <w:noBreakHyphen/>
      </w:r>
      <w:r w:rsidR="00412004">
        <w:t>020</w:t>
      </w:r>
      <w:r w:rsidR="00BA0613">
        <w:t xml:space="preserve"> is corrected to state:</w:t>
      </w:r>
    </w:p>
    <w:p w:rsidR="004E7C95" w:rsidP="00B205C8" w:rsidRDefault="00762C2F" w14:paraId="3183C38A" w14:textId="272A44DC">
      <w:pPr>
        <w:pStyle w:val="BlockQuote0"/>
      </w:pPr>
      <w:r>
        <w:t>A total of $8,689,388 approved in prior GRC cycles and that would have been spent on P</w:t>
      </w:r>
      <w:r w:rsidR="00EF7FCC">
        <w:noBreakHyphen/>
      </w:r>
      <w:r>
        <w:t>2, P</w:t>
      </w:r>
      <w:r w:rsidR="00EF7FCC">
        <w:noBreakHyphen/>
      </w:r>
      <w:r>
        <w:t>5, P</w:t>
      </w:r>
      <w:r w:rsidR="00EF7FCC">
        <w:noBreakHyphen/>
      </w:r>
      <w:r>
        <w:t>8, P</w:t>
      </w:r>
      <w:r w:rsidR="00EF7FCC">
        <w:noBreakHyphen/>
      </w:r>
      <w:r>
        <w:t>9, P</w:t>
      </w:r>
      <w:r w:rsidR="00EF7FCC">
        <w:noBreakHyphen/>
      </w:r>
      <w:r>
        <w:t>10, and P</w:t>
      </w:r>
      <w:r w:rsidR="00EF7FCC">
        <w:noBreakHyphen/>
      </w:r>
      <w:r>
        <w:t>21 were instead spent on other capital projects and was duly incorporated into rate base.</w:t>
      </w:r>
    </w:p>
    <w:p w:rsidR="005939A5" w:rsidP="00BD1F37" w:rsidRDefault="005939A5" w14:paraId="238EB23B" w14:textId="77777777">
      <w:pPr>
        <w:pStyle w:val="Dummy"/>
      </w:pPr>
      <w:bookmarkStart w:name="_Toc8123726" w:id="15"/>
      <w:bookmarkStart w:name="_Toc227247279" w:id="16"/>
      <w:r>
        <w:t>Conclusions of Law</w:t>
      </w:r>
      <w:bookmarkEnd w:id="15"/>
      <w:bookmarkEnd w:id="16"/>
    </w:p>
    <w:p w:rsidR="004E7C95" w:rsidP="00BD1F37" w:rsidRDefault="008912BB" w14:paraId="6E6B6BA7" w14:textId="600DC3E9">
      <w:pPr>
        <w:pStyle w:val="CoL"/>
      </w:pPr>
      <w:r>
        <w:t>Cal Advoc</w:t>
      </w:r>
      <w:r w:rsidR="00762C2F">
        <w:t>ates</w:t>
      </w:r>
      <w:r w:rsidR="000F58E8">
        <w:t>’</w:t>
      </w:r>
      <w:r w:rsidR="004E7C95">
        <w:t xml:space="preserve"> </w:t>
      </w:r>
      <w:r w:rsidR="00A374EE">
        <w:t>PFM</w:t>
      </w:r>
      <w:r w:rsidR="004E7C95">
        <w:t xml:space="preserve"> in this instant proceeding is timely</w:t>
      </w:r>
      <w:r w:rsidR="00762C2F">
        <w:t xml:space="preserve"> pursuant to directives set forth in D.25</w:t>
      </w:r>
      <w:r w:rsidR="00EF7FCC">
        <w:noBreakHyphen/>
      </w:r>
      <w:r w:rsidR="00762C2F">
        <w:t>07</w:t>
      </w:r>
      <w:r w:rsidR="00EF7FCC">
        <w:noBreakHyphen/>
      </w:r>
      <w:r w:rsidR="00762C2F">
        <w:t>012</w:t>
      </w:r>
      <w:r w:rsidR="004E7C95">
        <w:t>.</w:t>
      </w:r>
    </w:p>
    <w:p w:rsidR="004E7C95" w:rsidP="00BD1F37" w:rsidRDefault="004E7C95" w14:paraId="2A0DD863" w14:textId="7898D295">
      <w:pPr>
        <w:pStyle w:val="CoL"/>
      </w:pPr>
      <w:r>
        <w:t>Errors in D.24</w:t>
      </w:r>
      <w:r w:rsidR="00EF7FCC">
        <w:noBreakHyphen/>
      </w:r>
      <w:r>
        <w:t>12</w:t>
      </w:r>
      <w:r w:rsidR="00EF7FCC">
        <w:noBreakHyphen/>
      </w:r>
      <w:r>
        <w:t>030</w:t>
      </w:r>
      <w:r w:rsidR="00E95B71">
        <w:t>,</w:t>
      </w:r>
      <w:r w:rsidR="00762C2F">
        <w:t xml:space="preserve"> as amended by D.25</w:t>
      </w:r>
      <w:r w:rsidR="00EF7FCC">
        <w:noBreakHyphen/>
      </w:r>
      <w:r w:rsidR="00762C2F">
        <w:t>07</w:t>
      </w:r>
      <w:r w:rsidR="00EF7FCC">
        <w:noBreakHyphen/>
      </w:r>
      <w:r w:rsidR="00762C2F">
        <w:t>012</w:t>
      </w:r>
      <w:r w:rsidR="00E95B71">
        <w:t>,</w:t>
      </w:r>
      <w:r>
        <w:t xml:space="preserve"> </w:t>
      </w:r>
      <w:r w:rsidR="002B0940">
        <w:t xml:space="preserve">and associated appendices </w:t>
      </w:r>
      <w:r>
        <w:t xml:space="preserve">were </w:t>
      </w:r>
      <w:r w:rsidR="002B0940">
        <w:t>inadvertent</w:t>
      </w:r>
      <w:r>
        <w:t xml:space="preserve"> errors.</w:t>
      </w:r>
    </w:p>
    <w:p w:rsidR="00762C2F" w:rsidP="00BD1F37" w:rsidRDefault="00762C2F" w14:paraId="129B71D8" w14:textId="5EAFE570">
      <w:pPr>
        <w:pStyle w:val="CoL"/>
      </w:pPr>
      <w:r>
        <w:t>The R</w:t>
      </w:r>
      <w:r w:rsidR="00100DF4">
        <w:t>O</w:t>
      </w:r>
      <w:r>
        <w:t xml:space="preserve"> model in D.24</w:t>
      </w:r>
      <w:r w:rsidR="00EF7FCC">
        <w:noBreakHyphen/>
      </w:r>
      <w:r>
        <w:t>12</w:t>
      </w:r>
      <w:r w:rsidR="00EF7FCC">
        <w:noBreakHyphen/>
      </w:r>
      <w:r>
        <w:t>030</w:t>
      </w:r>
      <w:r w:rsidR="00E95B71">
        <w:t>,</w:t>
      </w:r>
      <w:r>
        <w:t xml:space="preserve"> as corrected by D.25</w:t>
      </w:r>
      <w:r w:rsidR="00EF7FCC">
        <w:noBreakHyphen/>
      </w:r>
      <w:r>
        <w:t>07</w:t>
      </w:r>
      <w:r w:rsidR="00EF7FCC">
        <w:noBreakHyphen/>
      </w:r>
      <w:r>
        <w:t>012</w:t>
      </w:r>
      <w:r w:rsidR="00E95B71">
        <w:t>,</w:t>
      </w:r>
      <w:r>
        <w:t xml:space="preserve"> continued to include approximately $14</w:t>
      </w:r>
      <w:r w:rsidR="00C9629B">
        <w:t> million</w:t>
      </w:r>
      <w:r>
        <w:t xml:space="preserve"> in capital additions that the Commission denied in D.24</w:t>
      </w:r>
      <w:r w:rsidR="00EF7FCC">
        <w:noBreakHyphen/>
      </w:r>
      <w:r>
        <w:t>12</w:t>
      </w:r>
      <w:r w:rsidR="00EF7FCC">
        <w:noBreakHyphen/>
      </w:r>
      <w:r>
        <w:t>030.</w:t>
      </w:r>
    </w:p>
    <w:p w:rsidR="004E7C95" w:rsidP="00BD1F37" w:rsidRDefault="00762C2F" w14:paraId="7AC4545A" w14:textId="58A89EB8">
      <w:pPr>
        <w:pStyle w:val="CoL"/>
      </w:pPr>
      <w:r>
        <w:t>The inaccuracy in the R</w:t>
      </w:r>
      <w:r w:rsidR="00100DF4">
        <w:t>O</w:t>
      </w:r>
      <w:r>
        <w:t xml:space="preserve"> model in D.24</w:t>
      </w:r>
      <w:r w:rsidR="00EF7FCC">
        <w:noBreakHyphen/>
      </w:r>
      <w:r>
        <w:t>12</w:t>
      </w:r>
      <w:r w:rsidR="00EF7FCC">
        <w:noBreakHyphen/>
      </w:r>
      <w:r>
        <w:t>020</w:t>
      </w:r>
      <w:r w:rsidR="00E95B71">
        <w:t>,</w:t>
      </w:r>
      <w:r>
        <w:t xml:space="preserve"> as corrected by D.25</w:t>
      </w:r>
      <w:r w:rsidR="00EF7FCC">
        <w:noBreakHyphen/>
      </w:r>
      <w:r>
        <w:t>07</w:t>
      </w:r>
      <w:r w:rsidR="00EF7FCC">
        <w:noBreakHyphen/>
      </w:r>
      <w:r>
        <w:t>012</w:t>
      </w:r>
      <w:r w:rsidR="00E95B71">
        <w:t>,</w:t>
      </w:r>
      <w:r>
        <w:t xml:space="preserve"> results in overstated revenue requirements and unreasonable rates i</w:t>
      </w:r>
      <w:r w:rsidR="00087747">
        <w:t>f</w:t>
      </w:r>
      <w:r>
        <w:t xml:space="preserve"> left uncorrected.</w:t>
      </w:r>
    </w:p>
    <w:p w:rsidR="004E7C95" w:rsidP="00BD1F37" w:rsidRDefault="004E7C95" w14:paraId="657CDC92" w14:textId="7DB9E895">
      <w:pPr>
        <w:pStyle w:val="CoL"/>
      </w:pPr>
      <w:r>
        <w:lastRenderedPageBreak/>
        <w:t>There is good cause to correct the inadvertent errors in D.24</w:t>
      </w:r>
      <w:r w:rsidR="00EF7FCC">
        <w:noBreakHyphen/>
      </w:r>
      <w:r>
        <w:t>12</w:t>
      </w:r>
      <w:r w:rsidR="00EF7FCC">
        <w:noBreakHyphen/>
      </w:r>
      <w:r>
        <w:t>030</w:t>
      </w:r>
      <w:r w:rsidR="00EB3D12">
        <w:t>, as modified</w:t>
      </w:r>
      <w:r w:rsidR="00762C2F">
        <w:t xml:space="preserve"> by D.25</w:t>
      </w:r>
      <w:r w:rsidR="00EF7FCC">
        <w:noBreakHyphen/>
      </w:r>
      <w:r w:rsidR="00762C2F">
        <w:t>07</w:t>
      </w:r>
      <w:r w:rsidR="00EF7FCC">
        <w:noBreakHyphen/>
      </w:r>
      <w:r w:rsidR="00762C2F">
        <w:t>012</w:t>
      </w:r>
      <w:r>
        <w:t>, as set forth in this decision.</w:t>
      </w:r>
    </w:p>
    <w:p w:rsidR="00A374EE" w:rsidP="00BD1F37" w:rsidRDefault="00A374EE" w14:paraId="7DF7EE0A" w14:textId="63F2CE7D">
      <w:pPr>
        <w:pStyle w:val="CoL"/>
      </w:pPr>
      <w:r>
        <w:t>Appendices B</w:t>
      </w:r>
      <w:r w:rsidR="00EF7FCC">
        <w:noBreakHyphen/>
      </w:r>
      <w:r>
        <w:t>G and the R</w:t>
      </w:r>
      <w:r w:rsidR="00100DF4">
        <w:t>O model</w:t>
      </w:r>
      <w:r>
        <w:t xml:space="preserve"> in D.24</w:t>
      </w:r>
      <w:r w:rsidR="00EF7FCC">
        <w:noBreakHyphen/>
      </w:r>
      <w:r>
        <w:t>12</w:t>
      </w:r>
      <w:r w:rsidR="00EF7FCC">
        <w:noBreakHyphen/>
      </w:r>
      <w:r>
        <w:t>030</w:t>
      </w:r>
      <w:r w:rsidR="00EB3D12">
        <w:t>, as modified</w:t>
      </w:r>
      <w:r>
        <w:t xml:space="preserve"> by D.25</w:t>
      </w:r>
      <w:r w:rsidR="00EF7FCC">
        <w:noBreakHyphen/>
      </w:r>
      <w:r>
        <w:t>07</w:t>
      </w:r>
      <w:r w:rsidR="00EF7FCC">
        <w:noBreakHyphen/>
      </w:r>
      <w:r>
        <w:t>012</w:t>
      </w:r>
      <w:r w:rsidR="00E95B71">
        <w:t>,</w:t>
      </w:r>
      <w:r>
        <w:t xml:space="preserve"> continued to include approximately $14</w:t>
      </w:r>
      <w:r w:rsidR="00C9629B">
        <w:t> million</w:t>
      </w:r>
      <w:r>
        <w:t xml:space="preserve"> in capital additions that the Commission denied in D.24</w:t>
      </w:r>
      <w:r w:rsidR="00EF7FCC">
        <w:noBreakHyphen/>
      </w:r>
      <w:r>
        <w:t>12</w:t>
      </w:r>
      <w:r w:rsidR="00EF7FCC">
        <w:noBreakHyphen/>
      </w:r>
      <w:r>
        <w:t>030.</w:t>
      </w:r>
    </w:p>
    <w:p w:rsidR="00FE4216" w:rsidP="00BD1F37" w:rsidRDefault="004E7C95" w14:paraId="14AF7FEC" w14:textId="5B319BF2">
      <w:pPr>
        <w:pStyle w:val="CoL"/>
      </w:pPr>
      <w:r>
        <w:t>Modifications of D.24</w:t>
      </w:r>
      <w:r w:rsidR="00EF7FCC">
        <w:noBreakHyphen/>
      </w:r>
      <w:r>
        <w:t>12</w:t>
      </w:r>
      <w:r w:rsidR="00EF7FCC">
        <w:noBreakHyphen/>
      </w:r>
      <w:r>
        <w:t>030</w:t>
      </w:r>
      <w:r w:rsidR="00EB3D12">
        <w:t>, as modified</w:t>
      </w:r>
      <w:r w:rsidR="00E42600">
        <w:t xml:space="preserve"> by D.25</w:t>
      </w:r>
      <w:r w:rsidR="00EF7FCC">
        <w:noBreakHyphen/>
      </w:r>
      <w:r w:rsidR="00E42600">
        <w:t>07</w:t>
      </w:r>
      <w:r w:rsidR="00EF7FCC">
        <w:noBreakHyphen/>
      </w:r>
      <w:r w:rsidR="00E42600">
        <w:t>012</w:t>
      </w:r>
      <w:r w:rsidR="00E95B71">
        <w:t>,</w:t>
      </w:r>
      <w:r>
        <w:t xml:space="preserve"> to correct the inadvertent mathematical errors </w:t>
      </w:r>
      <w:r w:rsidR="00E42600">
        <w:t>in the R</w:t>
      </w:r>
      <w:r w:rsidR="00A374EE">
        <w:t>O</w:t>
      </w:r>
      <w:r w:rsidR="00E42600">
        <w:t xml:space="preserve"> model </w:t>
      </w:r>
      <w:r w:rsidR="00C135F7">
        <w:t>are</w:t>
      </w:r>
      <w:r>
        <w:t xml:space="preserve"> reasonable</w:t>
      </w:r>
      <w:r w:rsidR="00E42600">
        <w:t xml:space="preserve"> and</w:t>
      </w:r>
      <w:r>
        <w:t xml:space="preserve"> should be granted.</w:t>
      </w:r>
    </w:p>
    <w:p w:rsidR="00BB0243" w:rsidP="000A6E05" w:rsidRDefault="005939A5" w14:paraId="33FA01AF" w14:textId="43CC6E47">
      <w:pPr>
        <w:pStyle w:val="Mainex"/>
      </w:pPr>
      <w:bookmarkStart w:name="_Toc227247280" w:id="17"/>
      <w:r>
        <w:t>O</w:t>
      </w:r>
      <w:r w:rsidR="00722850">
        <w:t>RDER</w:t>
      </w:r>
      <w:bookmarkEnd w:id="17"/>
    </w:p>
    <w:p w:rsidR="0040343A" w:rsidP="00FE4216" w:rsidRDefault="00BB0243" w14:paraId="33C216D8" w14:textId="77777777">
      <w:pPr>
        <w:keepNext/>
      </w:pPr>
      <w:r w:rsidRPr="00BB0243">
        <w:rPr>
          <w:b/>
        </w:rPr>
        <w:t>IT IS ORDERED</w:t>
      </w:r>
      <w:r>
        <w:t xml:space="preserve"> that:</w:t>
      </w:r>
    </w:p>
    <w:p w:rsidR="0040343A" w:rsidP="00A374EE" w:rsidRDefault="00E42600" w14:paraId="5C751E54" w14:textId="3E23A5C8">
      <w:pPr>
        <w:pStyle w:val="OP"/>
      </w:pPr>
      <w:r>
        <w:t xml:space="preserve">The Public Advocates Office </w:t>
      </w:r>
      <w:r w:rsidR="00C04D93">
        <w:t>at the California Public Utilities Commission</w:t>
      </w:r>
      <w:r w:rsidR="000F58E8">
        <w:t>’</w:t>
      </w:r>
      <w:r w:rsidR="00C04D93">
        <w:t xml:space="preserve">s </w:t>
      </w:r>
      <w:r w:rsidR="00FE4216">
        <w:t xml:space="preserve">Petition for Modification of Decision </w:t>
      </w:r>
      <w:r>
        <w:t>(D.)</w:t>
      </w:r>
      <w:r w:rsidR="0045092B">
        <w:t> </w:t>
      </w:r>
      <w:r w:rsidR="00FE4216">
        <w:t>24</w:t>
      </w:r>
      <w:r w:rsidR="00EF7FCC">
        <w:noBreakHyphen/>
      </w:r>
      <w:r w:rsidR="00FE4216">
        <w:t>12</w:t>
      </w:r>
      <w:r w:rsidR="00EF7FCC">
        <w:noBreakHyphen/>
      </w:r>
      <w:r w:rsidR="00FE4216">
        <w:t>030</w:t>
      </w:r>
      <w:r w:rsidR="00EB3D12">
        <w:t>, as modified</w:t>
      </w:r>
      <w:r>
        <w:t xml:space="preserve"> by D.25</w:t>
      </w:r>
      <w:r w:rsidR="00EF7FCC">
        <w:noBreakHyphen/>
      </w:r>
      <w:r>
        <w:t>07</w:t>
      </w:r>
      <w:r w:rsidR="00EF7FCC">
        <w:noBreakHyphen/>
      </w:r>
      <w:r>
        <w:t>012</w:t>
      </w:r>
      <w:r w:rsidR="009A48B2">
        <w:t>,</w:t>
      </w:r>
      <w:r>
        <w:t xml:space="preserve"> is granted</w:t>
      </w:r>
      <w:r w:rsidR="00FE4216">
        <w:t>.</w:t>
      </w:r>
    </w:p>
    <w:p w:rsidR="00DE4616" w:rsidP="001E2A62" w:rsidRDefault="00DE4616" w14:paraId="0A576CA7" w14:textId="0083BD71">
      <w:pPr>
        <w:pStyle w:val="OP"/>
      </w:pPr>
      <w:r>
        <w:t>Appendices</w:t>
      </w:r>
      <w:r w:rsidR="0045092B">
        <w:t> </w:t>
      </w:r>
      <w:r>
        <w:t>B</w:t>
      </w:r>
      <w:r w:rsidR="00EF7FCC">
        <w:noBreakHyphen/>
      </w:r>
      <w:r>
        <w:t xml:space="preserve">G of Decision </w:t>
      </w:r>
      <w:r w:rsidR="0045092B">
        <w:t>(D.) </w:t>
      </w:r>
      <w:r>
        <w:t>24</w:t>
      </w:r>
      <w:r w:rsidR="00EF7FCC">
        <w:noBreakHyphen/>
      </w:r>
      <w:r>
        <w:t>12</w:t>
      </w:r>
      <w:r w:rsidR="00EF7FCC">
        <w:noBreakHyphen/>
      </w:r>
      <w:r>
        <w:t>030</w:t>
      </w:r>
      <w:r w:rsidR="00EB3D12">
        <w:t>, as modified</w:t>
      </w:r>
      <w:r w:rsidR="00E42600">
        <w:t xml:space="preserve"> by D.25</w:t>
      </w:r>
      <w:r w:rsidR="00EF7FCC">
        <w:noBreakHyphen/>
      </w:r>
      <w:r w:rsidR="00E42600">
        <w:t>07</w:t>
      </w:r>
      <w:r w:rsidR="00EF7FCC">
        <w:noBreakHyphen/>
      </w:r>
      <w:r w:rsidR="00E42600">
        <w:t>012</w:t>
      </w:r>
      <w:r w:rsidR="009A48B2">
        <w:t>,</w:t>
      </w:r>
      <w:r>
        <w:t xml:space="preserve"> are</w:t>
      </w:r>
      <w:r w:rsidR="00A374EE">
        <w:t xml:space="preserve"> corrected</w:t>
      </w:r>
      <w:r>
        <w:t xml:space="preserve"> as set forth in updated versions included in this decision.</w:t>
      </w:r>
    </w:p>
    <w:p w:rsidR="00DE4616" w:rsidP="007A1ED2" w:rsidRDefault="00DE4616" w14:paraId="3A7DDD99" w14:textId="40D840AD">
      <w:pPr>
        <w:pStyle w:val="OP"/>
        <w:keepNext/>
        <w:ind w:firstLine="547"/>
      </w:pPr>
      <w:r>
        <w:t>Ordering Paragraph</w:t>
      </w:r>
      <w:r w:rsidR="003B15A2">
        <w:t> </w:t>
      </w:r>
      <w:r>
        <w:t>1 of Decision</w:t>
      </w:r>
      <w:r w:rsidR="003B15A2">
        <w:t> </w:t>
      </w:r>
      <w:r>
        <w:t>24</w:t>
      </w:r>
      <w:r w:rsidR="00EF7FCC">
        <w:noBreakHyphen/>
      </w:r>
      <w:r>
        <w:t>12</w:t>
      </w:r>
      <w:r w:rsidR="00EF7FCC">
        <w:noBreakHyphen/>
      </w:r>
      <w:r>
        <w:t>030 is modified as follows:</w:t>
      </w:r>
    </w:p>
    <w:p w:rsidR="00DE4616" w:rsidP="0045092B" w:rsidRDefault="00DE4616" w14:paraId="4C6EE39E" w14:textId="4E5496A7">
      <w:pPr>
        <w:pStyle w:val="BlockQuote0"/>
      </w:pPr>
      <w:r w:rsidRPr="00E5580E">
        <w:t>Suburban Water Systems is hereby authorized general rate case revenue requirements of $</w:t>
      </w:r>
      <w:r w:rsidR="00087747">
        <w:t>106,410,358</w:t>
      </w:r>
      <w:r w:rsidRPr="00E5580E">
        <w:t xml:space="preserve"> for Test Year 2024, $</w:t>
      </w:r>
      <w:r w:rsidR="00087747">
        <w:t>105,069,997</w:t>
      </w:r>
      <w:r w:rsidR="00305F5A">
        <w:t xml:space="preserve"> </w:t>
      </w:r>
      <w:r w:rsidRPr="00E5580E">
        <w:t>for Escalation Year 2025, and $</w:t>
      </w:r>
      <w:r w:rsidR="00087747">
        <w:t>106,543,966</w:t>
      </w:r>
      <w:r w:rsidR="00305F5A">
        <w:t xml:space="preserve"> </w:t>
      </w:r>
      <w:r w:rsidRPr="00E5580E">
        <w:t>for Attrition Year 2026, consistent with findings of this decision as tabulated in the Summary of Earnings in Appendix</w:t>
      </w:r>
      <w:r w:rsidR="00780343">
        <w:t> </w:t>
      </w:r>
      <w:r w:rsidRPr="00E5580E">
        <w:t>C hereto</w:t>
      </w:r>
      <w:r>
        <w:t>.</w:t>
      </w:r>
    </w:p>
    <w:p w:rsidR="00872BBA" w:rsidP="00B3087D" w:rsidRDefault="00872BBA" w14:paraId="6F5C1883" w14:textId="4F4F94F3">
      <w:pPr>
        <w:pStyle w:val="OP"/>
      </w:pPr>
      <w:r>
        <w:t>All other provisions of Decision (D.)</w:t>
      </w:r>
      <w:r w:rsidR="003B15A2">
        <w:t> </w:t>
      </w:r>
      <w:r>
        <w:t>24</w:t>
      </w:r>
      <w:r w:rsidR="00EF7FCC">
        <w:noBreakHyphen/>
      </w:r>
      <w:r>
        <w:t>12</w:t>
      </w:r>
      <w:r w:rsidR="00EF7FCC">
        <w:noBreakHyphen/>
      </w:r>
      <w:r>
        <w:t>030</w:t>
      </w:r>
      <w:r w:rsidR="003B15A2">
        <w:t>,</w:t>
      </w:r>
      <w:r>
        <w:t xml:space="preserve"> as modified by D.25</w:t>
      </w:r>
      <w:r w:rsidR="00EF7FCC">
        <w:noBreakHyphen/>
      </w:r>
      <w:r>
        <w:t>07</w:t>
      </w:r>
      <w:r w:rsidR="00EF7FCC">
        <w:noBreakHyphen/>
      </w:r>
      <w:r>
        <w:t>012</w:t>
      </w:r>
      <w:r w:rsidR="009A48B2">
        <w:t>,</w:t>
      </w:r>
      <w:r>
        <w:t xml:space="preserve"> remain unchanged.</w:t>
      </w:r>
    </w:p>
    <w:p w:rsidR="00DE4616" w:rsidP="00780343" w:rsidRDefault="00DE4616" w14:paraId="22C6E7EB" w14:textId="57F11BB0">
      <w:pPr>
        <w:pStyle w:val="OP"/>
        <w:ind w:firstLine="547"/>
      </w:pPr>
      <w:r>
        <w:t xml:space="preserve">Suburban Water Systems shall file a </w:t>
      </w:r>
      <w:r w:rsidR="00CB37D9">
        <w:t>Tier 1</w:t>
      </w:r>
      <w:r>
        <w:t xml:space="preserve"> Advice Letter no later than 30 days from the effective date of this order correcting the inadvertent errors and omissions in Decision </w:t>
      </w:r>
      <w:r w:rsidR="003B15A2">
        <w:t>(D.) </w:t>
      </w:r>
      <w:r>
        <w:t>24</w:t>
      </w:r>
      <w:r w:rsidR="00EF7FCC">
        <w:noBreakHyphen/>
      </w:r>
      <w:r>
        <w:t>12</w:t>
      </w:r>
      <w:r w:rsidR="00EF7FCC">
        <w:noBreakHyphen/>
      </w:r>
      <w:r>
        <w:t>030</w:t>
      </w:r>
      <w:r w:rsidR="00EB3D12">
        <w:t>, as modified</w:t>
      </w:r>
      <w:r w:rsidR="00087747">
        <w:t xml:space="preserve"> by D.25</w:t>
      </w:r>
      <w:r w:rsidR="00EF7FCC">
        <w:noBreakHyphen/>
      </w:r>
      <w:r w:rsidR="00087747">
        <w:t>07</w:t>
      </w:r>
      <w:r w:rsidR="00EF7FCC">
        <w:noBreakHyphen/>
      </w:r>
      <w:r w:rsidR="00087747">
        <w:t>012</w:t>
      </w:r>
      <w:r w:rsidR="009A48B2">
        <w:t>,</w:t>
      </w:r>
      <w:r>
        <w:t xml:space="preserve"> to implement necessary retail rate changes to collect the adopted 2024 test year base revenue </w:t>
      </w:r>
      <w:r>
        <w:lastRenderedPageBreak/>
        <w:t>requirement in accordance with the directives of this decision and Commission General</w:t>
      </w:r>
      <w:r w:rsidR="00305F5A">
        <w:t xml:space="preserve"> </w:t>
      </w:r>
      <w:r>
        <w:t>Order 96</w:t>
      </w:r>
      <w:r w:rsidR="00EF7FCC">
        <w:noBreakHyphen/>
      </w:r>
      <w:r>
        <w:t xml:space="preserve">B. Tariff sheets to implement these rate changes shall be attached to the Advice Letter with an effective date of </w:t>
      </w:r>
      <w:r w:rsidR="000F58E8">
        <w:t>January </w:t>
      </w:r>
      <w:r>
        <w:t xml:space="preserve">1, 2024. Any undercollection due to this rate change shall be amortized from </w:t>
      </w:r>
      <w:r w:rsidR="000F58E8">
        <w:t>January </w:t>
      </w:r>
      <w:r>
        <w:t>1, 202</w:t>
      </w:r>
      <w:r w:rsidR="005A09C4">
        <w:t>7</w:t>
      </w:r>
      <w:r>
        <w:t xml:space="preserve">, through </w:t>
      </w:r>
      <w:r w:rsidR="000F58E8">
        <w:t>December </w:t>
      </w:r>
      <w:r>
        <w:t>31, 202</w:t>
      </w:r>
      <w:r w:rsidR="005A09C4">
        <w:t>7</w:t>
      </w:r>
      <w:r>
        <w:t>.</w:t>
      </w:r>
    </w:p>
    <w:p w:rsidR="009A48B2" w:rsidP="000552C7" w:rsidRDefault="009A48B2" w14:paraId="0B3CCBEF" w14:textId="0E6D1D22">
      <w:pPr>
        <w:pStyle w:val="OP"/>
        <w:keepNext/>
        <w:ind w:firstLine="547"/>
      </w:pPr>
      <w:r>
        <w:t>Application 23</w:t>
      </w:r>
      <w:r w:rsidR="00EF7FCC">
        <w:noBreakHyphen/>
      </w:r>
      <w:r>
        <w:t>01</w:t>
      </w:r>
      <w:r w:rsidR="00EF7FCC">
        <w:noBreakHyphen/>
      </w:r>
      <w:r>
        <w:t>001 is closed.</w:t>
      </w:r>
    </w:p>
    <w:p w:rsidR="008F0116" w:rsidP="00103F4F" w:rsidRDefault="008F0116" w14:paraId="0B2ABF39" w14:textId="77777777">
      <w:pPr>
        <w:pStyle w:val="Standard"/>
        <w:keepNext/>
      </w:pPr>
      <w:r>
        <w:t>This order is effective today.</w:t>
      </w:r>
    </w:p>
    <w:p w:rsidR="00DE4616" w:rsidP="00103F4F" w:rsidRDefault="00DE4616" w14:paraId="5F5D8B78" w14:textId="7D96CA4A">
      <w:pPr>
        <w:pStyle w:val="Standard"/>
        <w:keepNext/>
      </w:pPr>
      <w:r>
        <w:t xml:space="preserve">Dated </w:t>
      </w:r>
      <w:r w:rsidR="00103F4F">
        <w:t>____________________</w:t>
      </w:r>
      <w:r>
        <w:t xml:space="preserve">, at </w:t>
      </w:r>
      <w:r w:rsidR="0087273B">
        <w:t>Fort Bragg</w:t>
      </w:r>
      <w:r>
        <w:t>, California.</w:t>
      </w:r>
    </w:p>
    <w:p w:rsidR="00714CF2" w:rsidP="00103F4F" w:rsidRDefault="00714CF2" w14:paraId="01F69D97" w14:textId="0CCC0B41">
      <w:pPr>
        <w:pStyle w:val="Standard"/>
        <w:keepNext/>
      </w:pPr>
    </w:p>
    <w:p w:rsidR="00DE4616" w:rsidP="00103F4F" w:rsidRDefault="00DE4616" w14:paraId="385837CE" w14:textId="77777777">
      <w:pPr>
        <w:pStyle w:val="Standard"/>
        <w:keepNext/>
      </w:pPr>
    </w:p>
    <w:p w:rsidR="00103F4F" w:rsidP="00103F4F" w:rsidRDefault="00103F4F" w14:paraId="5A4E38C5" w14:textId="77777777">
      <w:pPr>
        <w:pStyle w:val="Standard"/>
        <w:keepNext/>
      </w:pPr>
    </w:p>
    <w:p w:rsidR="00302B0A" w:rsidP="00816E05" w:rsidRDefault="00302B0A" w14:paraId="1A627FF6" w14:textId="77777777">
      <w:pPr>
        <w:sectPr w:rsidR="00302B0A" w:rsidSect="004D3496">
          <w:headerReference w:type="default" r:id="rId12"/>
          <w:footerReference w:type="default" r:id="rId13"/>
          <w:headerReference w:type="first" r:id="rId14"/>
          <w:footerReference w:type="first" r:id="rId15"/>
          <w:pgSz w:w="12240" w:h="15840"/>
          <w:pgMar w:top="1728" w:right="1440" w:bottom="1440" w:left="1440" w:header="720" w:footer="720" w:gutter="0"/>
          <w:pgNumType w:start="1"/>
          <w:cols w:space="720"/>
          <w:titlePg/>
          <w:docGrid w:linePitch="360"/>
        </w:sectPr>
      </w:pPr>
    </w:p>
    <w:p w:rsidR="00302B0A" w:rsidP="00302B0A" w:rsidRDefault="00302B0A" w14:paraId="4261FF2C" w14:textId="77777777">
      <w:pPr>
        <w:ind w:firstLine="0"/>
      </w:pPr>
    </w:p>
    <w:p w:rsidR="00302B0A" w:rsidP="00302B0A" w:rsidRDefault="00302B0A" w14:paraId="44871B44" w14:textId="77777777">
      <w:pPr>
        <w:ind w:firstLine="0"/>
      </w:pPr>
    </w:p>
    <w:p w:rsidR="00302B0A" w:rsidP="00302B0A" w:rsidRDefault="00302B0A" w14:paraId="0E2DE935" w14:textId="77777777">
      <w:pPr>
        <w:ind w:firstLine="0"/>
      </w:pPr>
    </w:p>
    <w:p w:rsidR="00302B0A" w:rsidP="00302B0A" w:rsidRDefault="00302B0A" w14:paraId="12584024" w14:textId="77777777">
      <w:pPr>
        <w:ind w:firstLine="0"/>
      </w:pPr>
    </w:p>
    <w:p w:rsidR="00302B0A" w:rsidP="00302B0A" w:rsidRDefault="00302B0A" w14:paraId="5EA16D28" w14:textId="77777777">
      <w:pPr>
        <w:ind w:firstLine="0"/>
      </w:pPr>
    </w:p>
    <w:p w:rsidR="00302B0A" w:rsidP="00302B0A" w:rsidRDefault="00302B0A" w14:paraId="71E58DB1" w14:textId="77777777">
      <w:pPr>
        <w:ind w:firstLine="0"/>
      </w:pPr>
    </w:p>
    <w:p w:rsidR="00302B0A" w:rsidP="00302B0A" w:rsidRDefault="00302B0A" w14:paraId="0E79AA4D" w14:textId="77777777">
      <w:pPr>
        <w:ind w:firstLine="0"/>
      </w:pPr>
    </w:p>
    <w:p w:rsidR="00302B0A" w:rsidP="00302B0A" w:rsidRDefault="00302B0A" w14:paraId="6C870E22" w14:textId="19FF7902">
      <w:pPr>
        <w:ind w:firstLine="0"/>
        <w:jc w:val="center"/>
        <w:rPr>
          <w:b/>
          <w:bCs/>
          <w:sz w:val="50"/>
        </w:rPr>
      </w:pPr>
      <w:r>
        <w:rPr>
          <w:b/>
          <w:bCs/>
          <w:sz w:val="50"/>
        </w:rPr>
        <w:t>APPENDI</w:t>
      </w:r>
      <w:r w:rsidR="00335BAA">
        <w:rPr>
          <w:b/>
          <w:bCs/>
          <w:sz w:val="50"/>
        </w:rPr>
        <w:t>X</w:t>
      </w:r>
      <w:r>
        <w:rPr>
          <w:b/>
          <w:bCs/>
          <w:sz w:val="50"/>
        </w:rPr>
        <w:t xml:space="preserve"> B</w:t>
      </w:r>
      <w:r w:rsidR="00335BAA">
        <w:rPr>
          <w:b/>
          <w:bCs/>
          <w:sz w:val="50"/>
        </w:rPr>
        <w:t xml:space="preserve"> </w:t>
      </w:r>
      <w:r w:rsidR="00EF7FCC">
        <w:rPr>
          <w:b/>
          <w:bCs/>
          <w:sz w:val="50"/>
        </w:rPr>
        <w:noBreakHyphen/>
      </w:r>
      <w:r w:rsidR="00335BAA">
        <w:rPr>
          <w:b/>
          <w:bCs/>
          <w:sz w:val="50"/>
        </w:rPr>
        <w:t xml:space="preserve"> APPENDIX </w:t>
      </w:r>
      <w:r>
        <w:rPr>
          <w:b/>
          <w:bCs/>
          <w:sz w:val="50"/>
        </w:rPr>
        <w:t>G</w:t>
      </w:r>
    </w:p>
    <w:p w:rsidRPr="00714CF2" w:rsidR="00302B0A" w:rsidP="00302B0A" w:rsidRDefault="00302B0A" w14:paraId="705C3CDB" w14:textId="7EE8C1DC"/>
    <w:sectPr w:rsidRPr="00714CF2" w:rsidR="00302B0A" w:rsidSect="00C56683">
      <w:footerReference w:type="default" r:id="rId16"/>
      <w:pgSz w:w="12240" w:h="15840"/>
      <w:pgMar w:top="1728" w:right="1440" w:bottom="1440" w:left="1440" w:header="720" w:footer="720" w:gutter="0"/>
      <w:pgNumType w:start="1"/>
      <w:cols w:space="720"/>
      <w:docGrid w:linePitch="360"/>
    </w:sectPr>
    <w:p>
      <w:r>
        <w:t xml:space="preserve"/>
      </w:r>
    </w:p>
    <w:p>
      <w:r>
        <w:t xml:space="preserve">Attachment 1: </w:t>
      </w:r>
    </w:p>
    <w:p>
      <w:hyperlink w:history="true" r:id="R41d9d9ce5434416b">
        <w:r w:rsidRPr="00CB1292">
          <w:rPr>
            <w:rStyle w:val="Hyperlink"/>
            <w:color w:val="2E74B5" w:themeColor="accent1" w:themeShade="BF"/>
            <w:u w:val="single"/>
          </w:rPr>
          <w:t>A2301001 Kelly PD (Redline Version).pdf</w:t>
        </w:r>
      </w:hyperlink>
    </w:p>
    <w:p>
      <w:r>
        <w:t xml:space="preserve"/>
      </w:r>
    </w:p>
    <w:p>
      <w:r>
        <w:t xml:space="preserve">Attachment 2: </w:t>
      </w:r>
    </w:p>
    <w:p>
      <w:hyperlink w:history="true" r:id="R6af10ed67cdf4684">
        <w:r w:rsidRPr="00CB1292">
          <w:rPr>
            <w:rStyle w:val="Hyperlink"/>
            <w:color w:val="2E74B5" w:themeColor="accent1" w:themeShade="BF"/>
            <w:u w:val="single"/>
          </w:rPr>
          <w:t>A2301001 Appendix B-G.pdf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EF4D" w14:textId="77777777" w:rsidR="00FD5C08" w:rsidRDefault="00FD5C08" w:rsidP="0098138E">
      <w:pPr>
        <w:spacing w:line="240" w:lineRule="auto"/>
      </w:pPr>
      <w:r>
        <w:separator/>
      </w:r>
    </w:p>
  </w:endnote>
  <w:endnote w:type="continuationSeparator" w:id="0">
    <w:p w14:paraId="5AF9D74C" w14:textId="77777777" w:rsidR="00FD5C08" w:rsidRDefault="00FD5C0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554A" w14:textId="6CD18122" w:rsidR="00E23CBB" w:rsidRDefault="00EF7FCC" w:rsidP="00C14C04">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35E2" w14:textId="32E859D4" w:rsidR="004D3496" w:rsidRDefault="00624429" w:rsidP="004D3496">
    <w:pPr>
      <w:tabs>
        <w:tab w:val="center" w:pos="4680"/>
      </w:tabs>
      <w:spacing w:line="240" w:lineRule="auto"/>
      <w:ind w:firstLine="0"/>
      <w:rPr>
        <w:noProof/>
      </w:rPr>
    </w:pPr>
    <w:r w:rsidRPr="00624429">
      <w:rPr>
        <w:sz w:val="16"/>
      </w:rPr>
      <w:t>608645687</w:t>
    </w:r>
    <w:sdt>
      <w:sdtPr>
        <w:rPr>
          <w:sz w:val="16"/>
        </w:rPr>
        <w:id w:val="-1352874971"/>
        <w:docPartObj>
          <w:docPartGallery w:val="Page Numbers (Bottom of Page)"/>
          <w:docPartUnique/>
        </w:docPartObj>
      </w:sdtPr>
      <w:sdtEndPr>
        <w:rPr>
          <w:noProof/>
          <w:sz w:val="26"/>
        </w:rPr>
      </w:sdtEndPr>
      <w:sdtContent>
        <w:r w:rsidR="004D3496">
          <w:rPr>
            <w:rFonts w:ascii="Arial" w:hAnsi="Arial" w:cs="Arial"/>
            <w:sz w:val="16"/>
            <w:szCs w:val="16"/>
          </w:rPr>
          <w:tab/>
        </w:r>
        <w:r w:rsidR="00EF7FCC">
          <w:noBreakHyphen/>
        </w:r>
        <w:r w:rsidR="004D3496">
          <w:t xml:space="preserve"> </w:t>
        </w:r>
        <w:r w:rsidR="004D3496">
          <w:fldChar w:fldCharType="begin"/>
        </w:r>
        <w:r w:rsidR="004D3496">
          <w:instrText xml:space="preserve"> PAGE   \* MERGEFORMAT </w:instrText>
        </w:r>
        <w:r w:rsidR="004D3496">
          <w:fldChar w:fldCharType="separate"/>
        </w:r>
        <w:r w:rsidR="004D3496">
          <w:t>1</w:t>
        </w:r>
        <w:r w:rsidR="004D3496">
          <w:rPr>
            <w:noProof/>
          </w:rPr>
          <w:fldChar w:fldCharType="end"/>
        </w:r>
      </w:sdtContent>
    </w:sdt>
    <w:r w:rsidR="004D3496">
      <w:rPr>
        <w:noProof/>
      </w:rPr>
      <w:t xml:space="preserve"> </w:t>
    </w:r>
    <w:r w:rsidR="00EF7FCC">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D1BF" w14:textId="341C8B70" w:rsidR="006E39C2" w:rsidRPr="006E39C2" w:rsidRDefault="006E39C2" w:rsidP="006E39C2">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1B68" w14:textId="77777777" w:rsidR="00FD5C08" w:rsidRDefault="00FD5C08" w:rsidP="00DF58E7">
      <w:pPr>
        <w:spacing w:line="240" w:lineRule="auto"/>
        <w:ind w:firstLine="0"/>
      </w:pPr>
      <w:r>
        <w:separator/>
      </w:r>
    </w:p>
  </w:footnote>
  <w:footnote w:type="continuationSeparator" w:id="0">
    <w:p w14:paraId="2C424267" w14:textId="77777777" w:rsidR="00FD5C08" w:rsidRDefault="00FD5C08" w:rsidP="00DF58E7">
      <w:pPr>
        <w:spacing w:line="240" w:lineRule="auto"/>
        <w:ind w:firstLine="0"/>
      </w:pPr>
      <w:r>
        <w:continuationSeparator/>
      </w:r>
    </w:p>
  </w:footnote>
  <w:footnote w:type="continuationNotice" w:id="1">
    <w:p w14:paraId="0E5DBEE3" w14:textId="77777777" w:rsidR="00FD5C08" w:rsidRPr="00DF58E7" w:rsidRDefault="00FD5C08" w:rsidP="00DF58E7">
      <w:pPr>
        <w:spacing w:line="240" w:lineRule="auto"/>
        <w:ind w:firstLine="0"/>
        <w:jc w:val="right"/>
        <w:rPr>
          <w:i/>
          <w:sz w:val="22"/>
        </w:rPr>
      </w:pPr>
      <w:r w:rsidRPr="00DF58E7">
        <w:rPr>
          <w:i/>
          <w:sz w:val="22"/>
        </w:rPr>
        <w:t>Footnote continued on next page.</w:t>
      </w:r>
    </w:p>
  </w:footnote>
  <w:footnote w:id="2">
    <w:p w14:paraId="341B655F" w14:textId="41EB6124" w:rsidR="005F70DB" w:rsidRPr="009F3046" w:rsidRDefault="005F70DB" w:rsidP="005F70DB">
      <w:pPr>
        <w:pStyle w:val="FootnoteText"/>
        <w:ind w:left="288" w:hanging="288"/>
        <w:rPr>
          <w:szCs w:val="22"/>
        </w:rPr>
      </w:pPr>
      <w:r w:rsidRPr="009F3046">
        <w:rPr>
          <w:rStyle w:val="FootnoteReference"/>
          <w:szCs w:val="22"/>
        </w:rPr>
        <w:footnoteRef/>
      </w:r>
      <w:r w:rsidR="00E47EB3">
        <w:rPr>
          <w:szCs w:val="22"/>
        </w:rPr>
        <w:t xml:space="preserve"> </w:t>
      </w:r>
      <w:r w:rsidRPr="009F3046">
        <w:rPr>
          <w:szCs w:val="22"/>
        </w:rPr>
        <w:t xml:space="preserve">1980 Cal. PUC LEXIS 785, 24; </w:t>
      </w:r>
      <w:r w:rsidRPr="009F3046">
        <w:rPr>
          <w:rStyle w:val="ssit"/>
          <w:i/>
          <w:szCs w:val="22"/>
        </w:rPr>
        <w:t>see</w:t>
      </w:r>
      <w:r w:rsidRPr="009F3046">
        <w:rPr>
          <w:i/>
          <w:szCs w:val="22"/>
        </w:rPr>
        <w:t xml:space="preserve"> also</w:t>
      </w:r>
      <w:r w:rsidRPr="009F3046">
        <w:rPr>
          <w:szCs w:val="22"/>
        </w:rPr>
        <w:t xml:space="preserve"> 2015 Cal. PUC LEXIS 278, 7.</w:t>
      </w:r>
    </w:p>
  </w:footnote>
  <w:footnote w:id="3">
    <w:p w14:paraId="1A0CB572" w14:textId="0D14BC2F" w:rsidR="005F70DB" w:rsidRPr="009F3046" w:rsidRDefault="005F70DB" w:rsidP="005F70DB">
      <w:pPr>
        <w:pStyle w:val="FootnoteText"/>
        <w:ind w:left="288" w:hanging="288"/>
        <w:rPr>
          <w:szCs w:val="22"/>
        </w:rPr>
      </w:pPr>
      <w:r w:rsidRPr="009F3046">
        <w:rPr>
          <w:rStyle w:val="FootnoteReference"/>
          <w:szCs w:val="22"/>
        </w:rPr>
        <w:footnoteRef/>
      </w:r>
      <w:r w:rsidR="00E47EB3">
        <w:rPr>
          <w:szCs w:val="22"/>
        </w:rPr>
        <w:t xml:space="preserve"> </w:t>
      </w:r>
      <w:r w:rsidRPr="005C362B">
        <w:rPr>
          <w:i/>
          <w:iCs/>
          <w:szCs w:val="22"/>
        </w:rPr>
        <w:t>See</w:t>
      </w:r>
      <w:r w:rsidRPr="009F3046">
        <w:rPr>
          <w:szCs w:val="22"/>
        </w:rPr>
        <w:t xml:space="preserve"> 2011 Cal. PUC LEXIS 483, 4.</w:t>
      </w:r>
    </w:p>
  </w:footnote>
  <w:footnote w:id="4">
    <w:p w14:paraId="74999846" w14:textId="3A0DF872" w:rsidR="005F70DB" w:rsidRPr="009F3046" w:rsidRDefault="005F70DB" w:rsidP="005F70DB">
      <w:pPr>
        <w:pStyle w:val="FootnoteText"/>
        <w:ind w:left="288" w:hanging="288"/>
        <w:rPr>
          <w:szCs w:val="22"/>
        </w:rPr>
      </w:pPr>
      <w:r w:rsidRPr="009F3046">
        <w:rPr>
          <w:rStyle w:val="FootnoteReference"/>
          <w:szCs w:val="22"/>
        </w:rPr>
        <w:footnoteRef/>
      </w:r>
      <w:r w:rsidR="00E47EB3">
        <w:rPr>
          <w:szCs w:val="22"/>
        </w:rPr>
        <w:t xml:space="preserve"> </w:t>
      </w:r>
      <w:r w:rsidRPr="009F3046">
        <w:rPr>
          <w:i/>
          <w:iCs/>
          <w:szCs w:val="22"/>
        </w:rPr>
        <w:t>Id</w:t>
      </w:r>
      <w:r w:rsidRPr="009F3046">
        <w:rPr>
          <w:szCs w:val="22"/>
        </w:rPr>
        <w:t>.</w:t>
      </w:r>
    </w:p>
  </w:footnote>
  <w:footnote w:id="5">
    <w:p w14:paraId="4373A8AB" w14:textId="4FD144B4" w:rsidR="005F70DB" w:rsidRDefault="005F70DB" w:rsidP="005F70DB">
      <w:pPr>
        <w:pStyle w:val="FootnoteText"/>
        <w:ind w:left="288" w:hanging="288"/>
      </w:pPr>
      <w:r>
        <w:rPr>
          <w:rStyle w:val="FootnoteReference"/>
        </w:rPr>
        <w:footnoteRef/>
      </w:r>
      <w:r w:rsidR="00E47EB3">
        <w:t xml:space="preserve"> </w:t>
      </w:r>
      <w:r w:rsidR="000143EE">
        <w:t>Rule </w:t>
      </w:r>
      <w:r>
        <w:t>16.4(d).</w:t>
      </w:r>
    </w:p>
  </w:footnote>
  <w:footnote w:id="6">
    <w:p w14:paraId="471A900C" w14:textId="77777777" w:rsidR="005F70DB" w:rsidRDefault="005F70DB" w:rsidP="005F70DB">
      <w:pPr>
        <w:pStyle w:val="FootnoteText"/>
        <w:ind w:left="288" w:hanging="288"/>
      </w:pPr>
      <w:r>
        <w:rPr>
          <w:rStyle w:val="FootnoteReference"/>
        </w:rPr>
        <w:footnoteRef/>
      </w:r>
      <w:r>
        <w:t xml:space="preserve"> </w:t>
      </w:r>
      <w:r w:rsidRPr="00384165">
        <w:rPr>
          <w:i/>
          <w:iCs/>
        </w:rPr>
        <w:t>Id</w:t>
      </w:r>
      <w:r>
        <w:t>.</w:t>
      </w:r>
    </w:p>
  </w:footnote>
  <w:footnote w:id="7">
    <w:p w14:paraId="50E2D7D7" w14:textId="769C9C2A" w:rsidR="00806AA1" w:rsidRDefault="00806AA1">
      <w:pPr>
        <w:pStyle w:val="FootnoteText"/>
      </w:pPr>
      <w:r>
        <w:rPr>
          <w:rStyle w:val="FootnoteReference"/>
        </w:rPr>
        <w:footnoteRef/>
      </w:r>
      <w:r>
        <w:t xml:space="preserve"> At no point did Cal</w:t>
      </w:r>
      <w:r w:rsidR="00780343">
        <w:t> </w:t>
      </w:r>
      <w:r>
        <w:t xml:space="preserve">Advocates notify the assigned </w:t>
      </w:r>
      <w:r w:rsidR="00780343" w:rsidRPr="00780343">
        <w:t>Administrative Law Judge</w:t>
      </w:r>
      <w:r w:rsidR="00780343">
        <w:t xml:space="preserve"> </w:t>
      </w:r>
      <w:r w:rsidR="00780343" w:rsidRPr="00780343">
        <w:t xml:space="preserve">(ALJ) </w:t>
      </w:r>
      <w:r>
        <w:t>that there was a consensus among the parties. At the request of the assigned ALJ, Water Division staff inquired with Cal</w:t>
      </w:r>
      <w:r w:rsidR="00780343">
        <w:t> </w:t>
      </w:r>
      <w:r>
        <w:t>Advocates concerning this allegation and Cal</w:t>
      </w:r>
      <w:r w:rsidR="00780343">
        <w:t> </w:t>
      </w:r>
      <w:r>
        <w:t>Advocates indicated that they wished to proceed with their PFM as filed.</w:t>
      </w:r>
    </w:p>
  </w:footnote>
  <w:footnote w:id="8">
    <w:p w14:paraId="7E7FAB6B" w14:textId="799D32E5" w:rsidR="001872A2" w:rsidRDefault="001872A2">
      <w:pPr>
        <w:pStyle w:val="FootnoteText"/>
      </w:pPr>
      <w:r>
        <w:rPr>
          <w:rStyle w:val="FootnoteReference"/>
        </w:rPr>
        <w:footnoteRef/>
      </w:r>
      <w:r>
        <w:t xml:space="preserve"> Appendix A as set forth in D.24</w:t>
      </w:r>
      <w:r w:rsidR="00EF7FCC">
        <w:noBreakHyphen/>
      </w:r>
      <w:r>
        <w:t>12</w:t>
      </w:r>
      <w:r w:rsidR="00EF7FCC">
        <w:noBreakHyphen/>
      </w:r>
      <w:r>
        <w:t>030 remains unchanged.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3AA4" w14:textId="6F151820" w:rsidR="001A5594" w:rsidRPr="000D16AD" w:rsidRDefault="001A5594" w:rsidP="000D16AD">
    <w:pPr>
      <w:pStyle w:val="Header"/>
      <w:tabs>
        <w:tab w:val="clear" w:pos="4680"/>
      </w:tabs>
      <w:ind w:firstLine="0"/>
      <w:rPr>
        <w:b/>
      </w:rPr>
    </w:pPr>
    <w:r w:rsidRPr="00F72C5C">
      <w:t>A</w:t>
    </w:r>
    <w:r>
      <w:t>.</w:t>
    </w:r>
    <w:r w:rsidRPr="00F72C5C">
      <w:t>23</w:t>
    </w:r>
    <w:r w:rsidR="00EF7FCC">
      <w:noBreakHyphen/>
    </w:r>
    <w:r w:rsidRPr="00F72C5C">
      <w:t>01</w:t>
    </w:r>
    <w:r w:rsidR="00EF7FCC">
      <w:noBreakHyphen/>
    </w:r>
    <w:r w:rsidRPr="00F72C5C">
      <w:t xml:space="preserve">001 </w:t>
    </w:r>
    <w:r>
      <w:t xml:space="preserve"> ALJ/GK1/nd3</w:t>
    </w:r>
    <w:r>
      <w:tab/>
    </w:r>
    <w:r w:rsidRPr="00F72C5C">
      <w:rPr>
        <w:bCs/>
      </w:rPr>
      <w:t>PROPOSED DECISION</w:t>
    </w:r>
    <w:r w:rsidR="0079149D">
      <w:rPr>
        <w:bCs/>
      </w:rPr>
      <w:t xml:space="preserve"> </w:t>
    </w:r>
    <w:r w:rsidR="0079149D" w:rsidRPr="0079149D">
      <w:rPr>
        <w:bC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90C8" w14:textId="77777777" w:rsidR="006B4EDA" w:rsidRPr="000D16AD" w:rsidRDefault="006B4EDA" w:rsidP="000D16AD">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81C2D"/>
    <w:multiLevelType w:val="multilevel"/>
    <w:tmpl w:val="27427456"/>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640612A"/>
    <w:multiLevelType w:val="hybridMultilevel"/>
    <w:tmpl w:val="21C4E050"/>
    <w:lvl w:ilvl="0" w:tplc="EBEEAD16">
      <w:start w:val="1"/>
      <w:numFmt w:val="decimal"/>
      <w:pStyle w:val="ALJOP"/>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AD23B5"/>
    <w:multiLevelType w:val="multilevel"/>
    <w:tmpl w:val="AE6009A0"/>
    <w:lvl w:ilvl="0">
      <w:start w:val="1"/>
      <w:numFmt w:val="decimal"/>
      <w:pStyle w:val="ALJHeading1"/>
      <w:lvlText w:val="%1."/>
      <w:lvlJc w:val="left"/>
      <w:pPr>
        <w:ind w:left="360" w:hanging="360"/>
      </w:pPr>
    </w:lvl>
    <w:lvl w:ilvl="1">
      <w:start w:val="1"/>
      <w:numFmt w:val="decimal"/>
      <w:pStyle w:val="ALJHeading2"/>
      <w:lvlText w:val="%1.%2."/>
      <w:lvlJc w:val="left"/>
      <w:pPr>
        <w:ind w:left="792" w:hanging="432"/>
      </w:pPr>
    </w:lvl>
    <w:lvl w:ilvl="2">
      <w:start w:val="1"/>
      <w:numFmt w:val="decimal"/>
      <w:pStyle w:val="ALJ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5E484C32"/>
    <w:multiLevelType w:val="multilevel"/>
    <w:tmpl w:val="C768814C"/>
    <w:lvl w:ilvl="0">
      <w:start w:val="3"/>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1A25780"/>
    <w:multiLevelType w:val="multilevel"/>
    <w:tmpl w:val="3F96E92E"/>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9A0AFE"/>
    <w:multiLevelType w:val="multilevel"/>
    <w:tmpl w:val="18F4A5AC"/>
    <w:numStyleLink w:val="FoFCoLOP"/>
  </w:abstractNum>
  <w:num w:numId="1" w16cid:durableId="1354526949">
    <w:abstractNumId w:val="15"/>
  </w:num>
  <w:num w:numId="2" w16cid:durableId="140774137">
    <w:abstractNumId w:val="2"/>
  </w:num>
  <w:num w:numId="3" w16cid:durableId="1898543446">
    <w:abstractNumId w:val="14"/>
  </w:num>
  <w:num w:numId="4" w16cid:durableId="701521005">
    <w:abstractNumId w:val="3"/>
  </w:num>
  <w:num w:numId="5" w16cid:durableId="2017029027">
    <w:abstractNumId w:val="19"/>
  </w:num>
  <w:num w:numId="6" w16cid:durableId="973756952">
    <w:abstractNumId w:val="10"/>
  </w:num>
  <w:num w:numId="7" w16cid:durableId="827667741">
    <w:abstractNumId w:val="6"/>
  </w:num>
  <w:num w:numId="8" w16cid:durableId="1760327020">
    <w:abstractNumId w:val="18"/>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489832940">
    <w:abstractNumId w:val="12"/>
  </w:num>
  <w:num w:numId="19" w16cid:durableId="1895316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600096">
    <w:abstractNumId w:val="16"/>
  </w:num>
  <w:num w:numId="21" w16cid:durableId="916016290">
    <w:abstractNumId w:val="1"/>
  </w:num>
  <w:num w:numId="22" w16cid:durableId="1423992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0539165">
    <w:abstractNumId w:val="11"/>
  </w:num>
  <w:num w:numId="24" w16cid:durableId="141972501">
    <w:abstractNumId w:val="11"/>
    <w:lvlOverride w:ilvl="0">
      <w:startOverride w:val="1"/>
    </w:lvlOverride>
  </w:num>
  <w:num w:numId="25" w16cid:durableId="189138266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91"/>
    <w:rsid w:val="00000F6A"/>
    <w:rsid w:val="000143EE"/>
    <w:rsid w:val="00027715"/>
    <w:rsid w:val="00033F24"/>
    <w:rsid w:val="000358BA"/>
    <w:rsid w:val="00036A49"/>
    <w:rsid w:val="000406FE"/>
    <w:rsid w:val="00044430"/>
    <w:rsid w:val="000522D5"/>
    <w:rsid w:val="000552C7"/>
    <w:rsid w:val="0007115A"/>
    <w:rsid w:val="00076E36"/>
    <w:rsid w:val="000832FD"/>
    <w:rsid w:val="00087747"/>
    <w:rsid w:val="0009166C"/>
    <w:rsid w:val="000973C8"/>
    <w:rsid w:val="000A08A0"/>
    <w:rsid w:val="000A18B8"/>
    <w:rsid w:val="000A2AA9"/>
    <w:rsid w:val="000A2DEF"/>
    <w:rsid w:val="000A56F2"/>
    <w:rsid w:val="000A6E05"/>
    <w:rsid w:val="000B12FA"/>
    <w:rsid w:val="000C08BF"/>
    <w:rsid w:val="000C3B9A"/>
    <w:rsid w:val="000D16AD"/>
    <w:rsid w:val="000D25A8"/>
    <w:rsid w:val="000D4CE1"/>
    <w:rsid w:val="000E270A"/>
    <w:rsid w:val="000E4C53"/>
    <w:rsid w:val="000F48C6"/>
    <w:rsid w:val="000F58E8"/>
    <w:rsid w:val="00100DF4"/>
    <w:rsid w:val="00103F4F"/>
    <w:rsid w:val="00110A8E"/>
    <w:rsid w:val="00120F61"/>
    <w:rsid w:val="00121089"/>
    <w:rsid w:val="0012189F"/>
    <w:rsid w:val="00127A5C"/>
    <w:rsid w:val="001331CB"/>
    <w:rsid w:val="00137FDE"/>
    <w:rsid w:val="0014300A"/>
    <w:rsid w:val="00150C1B"/>
    <w:rsid w:val="00164762"/>
    <w:rsid w:val="001663C7"/>
    <w:rsid w:val="00166BDA"/>
    <w:rsid w:val="0017513E"/>
    <w:rsid w:val="00184A8F"/>
    <w:rsid w:val="001872A2"/>
    <w:rsid w:val="00196804"/>
    <w:rsid w:val="001A17D2"/>
    <w:rsid w:val="001A1ECB"/>
    <w:rsid w:val="001A4A72"/>
    <w:rsid w:val="001A5594"/>
    <w:rsid w:val="001A6F11"/>
    <w:rsid w:val="001B1AB8"/>
    <w:rsid w:val="001B56FD"/>
    <w:rsid w:val="001C363F"/>
    <w:rsid w:val="001D65D6"/>
    <w:rsid w:val="001E2A62"/>
    <w:rsid w:val="001E3D97"/>
    <w:rsid w:val="001F2819"/>
    <w:rsid w:val="00200296"/>
    <w:rsid w:val="00201FAD"/>
    <w:rsid w:val="002043EC"/>
    <w:rsid w:val="00204AD3"/>
    <w:rsid w:val="002063EA"/>
    <w:rsid w:val="00206882"/>
    <w:rsid w:val="00243DC0"/>
    <w:rsid w:val="00247477"/>
    <w:rsid w:val="00252C17"/>
    <w:rsid w:val="00253018"/>
    <w:rsid w:val="00261F92"/>
    <w:rsid w:val="00270440"/>
    <w:rsid w:val="0028212E"/>
    <w:rsid w:val="00284D8D"/>
    <w:rsid w:val="00286CF2"/>
    <w:rsid w:val="00287BC5"/>
    <w:rsid w:val="00293DEE"/>
    <w:rsid w:val="002A0B5D"/>
    <w:rsid w:val="002B0940"/>
    <w:rsid w:val="002B4C50"/>
    <w:rsid w:val="002C7AFF"/>
    <w:rsid w:val="002C7FE9"/>
    <w:rsid w:val="002D0DC5"/>
    <w:rsid w:val="002D4EFD"/>
    <w:rsid w:val="002E00DF"/>
    <w:rsid w:val="002E3E79"/>
    <w:rsid w:val="00302B0A"/>
    <w:rsid w:val="00305F5A"/>
    <w:rsid w:val="00315772"/>
    <w:rsid w:val="00315A97"/>
    <w:rsid w:val="00316071"/>
    <w:rsid w:val="003230DE"/>
    <w:rsid w:val="00331F9C"/>
    <w:rsid w:val="00335BAA"/>
    <w:rsid w:val="00343E5C"/>
    <w:rsid w:val="00344FB8"/>
    <w:rsid w:val="0035348B"/>
    <w:rsid w:val="0036017B"/>
    <w:rsid w:val="00360C4F"/>
    <w:rsid w:val="00362755"/>
    <w:rsid w:val="0036326B"/>
    <w:rsid w:val="00373B93"/>
    <w:rsid w:val="00374884"/>
    <w:rsid w:val="00380CD1"/>
    <w:rsid w:val="003821B2"/>
    <w:rsid w:val="00384A17"/>
    <w:rsid w:val="003A02CA"/>
    <w:rsid w:val="003A38F0"/>
    <w:rsid w:val="003B15A2"/>
    <w:rsid w:val="003D0304"/>
    <w:rsid w:val="003E2103"/>
    <w:rsid w:val="003F069A"/>
    <w:rsid w:val="003F4329"/>
    <w:rsid w:val="0040343A"/>
    <w:rsid w:val="0040444E"/>
    <w:rsid w:val="00412004"/>
    <w:rsid w:val="00412534"/>
    <w:rsid w:val="00412C83"/>
    <w:rsid w:val="004163D1"/>
    <w:rsid w:val="004206C6"/>
    <w:rsid w:val="00420F74"/>
    <w:rsid w:val="00423BF6"/>
    <w:rsid w:val="00426014"/>
    <w:rsid w:val="00430295"/>
    <w:rsid w:val="0044617E"/>
    <w:rsid w:val="00447C50"/>
    <w:rsid w:val="0045092B"/>
    <w:rsid w:val="00451A38"/>
    <w:rsid w:val="0046078B"/>
    <w:rsid w:val="00460B7D"/>
    <w:rsid w:val="00462298"/>
    <w:rsid w:val="00464B89"/>
    <w:rsid w:val="004720FB"/>
    <w:rsid w:val="00476EB1"/>
    <w:rsid w:val="00480CB0"/>
    <w:rsid w:val="00483603"/>
    <w:rsid w:val="0049222F"/>
    <w:rsid w:val="004A1EAD"/>
    <w:rsid w:val="004A47BE"/>
    <w:rsid w:val="004B34EA"/>
    <w:rsid w:val="004B5494"/>
    <w:rsid w:val="004B7B98"/>
    <w:rsid w:val="004C577D"/>
    <w:rsid w:val="004C6276"/>
    <w:rsid w:val="004C7A2B"/>
    <w:rsid w:val="004C7D3A"/>
    <w:rsid w:val="004D3496"/>
    <w:rsid w:val="004E5EF0"/>
    <w:rsid w:val="004E7C95"/>
    <w:rsid w:val="005018A8"/>
    <w:rsid w:val="00505A39"/>
    <w:rsid w:val="00510E8B"/>
    <w:rsid w:val="005240BF"/>
    <w:rsid w:val="00524991"/>
    <w:rsid w:val="00553E76"/>
    <w:rsid w:val="005662B1"/>
    <w:rsid w:val="005824D1"/>
    <w:rsid w:val="00585390"/>
    <w:rsid w:val="00587A2F"/>
    <w:rsid w:val="00590E11"/>
    <w:rsid w:val="005939A5"/>
    <w:rsid w:val="00594857"/>
    <w:rsid w:val="005A09C4"/>
    <w:rsid w:val="005A148C"/>
    <w:rsid w:val="005A16BD"/>
    <w:rsid w:val="005B5042"/>
    <w:rsid w:val="005B5102"/>
    <w:rsid w:val="005C33DD"/>
    <w:rsid w:val="005C58FA"/>
    <w:rsid w:val="005D0067"/>
    <w:rsid w:val="005F6BA3"/>
    <w:rsid w:val="005F70DB"/>
    <w:rsid w:val="005F73D4"/>
    <w:rsid w:val="00603238"/>
    <w:rsid w:val="00624429"/>
    <w:rsid w:val="00632207"/>
    <w:rsid w:val="0063491C"/>
    <w:rsid w:val="00640BD0"/>
    <w:rsid w:val="00641A5C"/>
    <w:rsid w:val="00661AFE"/>
    <w:rsid w:val="006762A8"/>
    <w:rsid w:val="00680F19"/>
    <w:rsid w:val="00683B2C"/>
    <w:rsid w:val="006B3A83"/>
    <w:rsid w:val="006B4EDA"/>
    <w:rsid w:val="006C132B"/>
    <w:rsid w:val="006C1F10"/>
    <w:rsid w:val="006C220B"/>
    <w:rsid w:val="006E39C2"/>
    <w:rsid w:val="006E5E28"/>
    <w:rsid w:val="006E6574"/>
    <w:rsid w:val="006F257C"/>
    <w:rsid w:val="006F3EC6"/>
    <w:rsid w:val="006F699D"/>
    <w:rsid w:val="00700888"/>
    <w:rsid w:val="00705F7B"/>
    <w:rsid w:val="00714CF2"/>
    <w:rsid w:val="007156B9"/>
    <w:rsid w:val="00720817"/>
    <w:rsid w:val="00722850"/>
    <w:rsid w:val="0073353F"/>
    <w:rsid w:val="00735A91"/>
    <w:rsid w:val="00742E45"/>
    <w:rsid w:val="007447AF"/>
    <w:rsid w:val="007466C9"/>
    <w:rsid w:val="00750816"/>
    <w:rsid w:val="00754568"/>
    <w:rsid w:val="00762C2F"/>
    <w:rsid w:val="007657C1"/>
    <w:rsid w:val="0077755F"/>
    <w:rsid w:val="00780343"/>
    <w:rsid w:val="007804B7"/>
    <w:rsid w:val="0079149D"/>
    <w:rsid w:val="00793848"/>
    <w:rsid w:val="00797FE4"/>
    <w:rsid w:val="007A1ED2"/>
    <w:rsid w:val="007A3368"/>
    <w:rsid w:val="007A406D"/>
    <w:rsid w:val="007A62B0"/>
    <w:rsid w:val="007B00AE"/>
    <w:rsid w:val="007B3308"/>
    <w:rsid w:val="007C5A0C"/>
    <w:rsid w:val="007C661C"/>
    <w:rsid w:val="007E0FEE"/>
    <w:rsid w:val="007E3514"/>
    <w:rsid w:val="007F2017"/>
    <w:rsid w:val="007F4D2A"/>
    <w:rsid w:val="007F59B2"/>
    <w:rsid w:val="0080390E"/>
    <w:rsid w:val="00806AA1"/>
    <w:rsid w:val="0081370B"/>
    <w:rsid w:val="008159CF"/>
    <w:rsid w:val="00816E05"/>
    <w:rsid w:val="008339BB"/>
    <w:rsid w:val="00837C6D"/>
    <w:rsid w:val="00837F2A"/>
    <w:rsid w:val="00846B99"/>
    <w:rsid w:val="0086032B"/>
    <w:rsid w:val="0086419A"/>
    <w:rsid w:val="0087023B"/>
    <w:rsid w:val="008715CB"/>
    <w:rsid w:val="0087273B"/>
    <w:rsid w:val="00872BBA"/>
    <w:rsid w:val="008912BB"/>
    <w:rsid w:val="00895A69"/>
    <w:rsid w:val="00897D14"/>
    <w:rsid w:val="008A08BF"/>
    <w:rsid w:val="008A179F"/>
    <w:rsid w:val="008A5176"/>
    <w:rsid w:val="008B0864"/>
    <w:rsid w:val="008B175A"/>
    <w:rsid w:val="008B1B12"/>
    <w:rsid w:val="008B4E78"/>
    <w:rsid w:val="008B72B4"/>
    <w:rsid w:val="008C3CB7"/>
    <w:rsid w:val="008C7413"/>
    <w:rsid w:val="008D16B7"/>
    <w:rsid w:val="008D27B1"/>
    <w:rsid w:val="008E0756"/>
    <w:rsid w:val="008E0ACF"/>
    <w:rsid w:val="008E6AE6"/>
    <w:rsid w:val="008F0116"/>
    <w:rsid w:val="008F143D"/>
    <w:rsid w:val="008F2370"/>
    <w:rsid w:val="008F4EEA"/>
    <w:rsid w:val="009022A0"/>
    <w:rsid w:val="00921962"/>
    <w:rsid w:val="009231EB"/>
    <w:rsid w:val="00923FA9"/>
    <w:rsid w:val="0092598F"/>
    <w:rsid w:val="00932865"/>
    <w:rsid w:val="0093411A"/>
    <w:rsid w:val="00945055"/>
    <w:rsid w:val="0096043A"/>
    <w:rsid w:val="00960C08"/>
    <w:rsid w:val="00971746"/>
    <w:rsid w:val="0098138E"/>
    <w:rsid w:val="0098655A"/>
    <w:rsid w:val="00986DFA"/>
    <w:rsid w:val="00987216"/>
    <w:rsid w:val="00997ED0"/>
    <w:rsid w:val="009A0568"/>
    <w:rsid w:val="009A48B2"/>
    <w:rsid w:val="009A6E36"/>
    <w:rsid w:val="009B314C"/>
    <w:rsid w:val="009B6655"/>
    <w:rsid w:val="009E6052"/>
    <w:rsid w:val="009E7C7F"/>
    <w:rsid w:val="009F5E32"/>
    <w:rsid w:val="00A00EF5"/>
    <w:rsid w:val="00A10093"/>
    <w:rsid w:val="00A11534"/>
    <w:rsid w:val="00A17CE0"/>
    <w:rsid w:val="00A237D5"/>
    <w:rsid w:val="00A23D48"/>
    <w:rsid w:val="00A252FB"/>
    <w:rsid w:val="00A27E12"/>
    <w:rsid w:val="00A33BED"/>
    <w:rsid w:val="00A374EE"/>
    <w:rsid w:val="00A4067A"/>
    <w:rsid w:val="00A42306"/>
    <w:rsid w:val="00A44E8D"/>
    <w:rsid w:val="00A4693E"/>
    <w:rsid w:val="00A46EA8"/>
    <w:rsid w:val="00A55ACD"/>
    <w:rsid w:val="00A70930"/>
    <w:rsid w:val="00A815C3"/>
    <w:rsid w:val="00A85D27"/>
    <w:rsid w:val="00A943DD"/>
    <w:rsid w:val="00A9509E"/>
    <w:rsid w:val="00A97730"/>
    <w:rsid w:val="00A97FFA"/>
    <w:rsid w:val="00AB2572"/>
    <w:rsid w:val="00AB7191"/>
    <w:rsid w:val="00AB7875"/>
    <w:rsid w:val="00AC68EE"/>
    <w:rsid w:val="00AD209C"/>
    <w:rsid w:val="00AE4703"/>
    <w:rsid w:val="00B01F7E"/>
    <w:rsid w:val="00B16C2A"/>
    <w:rsid w:val="00B205C8"/>
    <w:rsid w:val="00B3087D"/>
    <w:rsid w:val="00B32292"/>
    <w:rsid w:val="00B34794"/>
    <w:rsid w:val="00B40938"/>
    <w:rsid w:val="00B54E3F"/>
    <w:rsid w:val="00B60421"/>
    <w:rsid w:val="00B70C1B"/>
    <w:rsid w:val="00B77587"/>
    <w:rsid w:val="00B81EB6"/>
    <w:rsid w:val="00B85C3E"/>
    <w:rsid w:val="00BA0613"/>
    <w:rsid w:val="00BA5618"/>
    <w:rsid w:val="00BB0243"/>
    <w:rsid w:val="00BB5F05"/>
    <w:rsid w:val="00BC18D7"/>
    <w:rsid w:val="00BC2980"/>
    <w:rsid w:val="00BD1F37"/>
    <w:rsid w:val="00BF2CD2"/>
    <w:rsid w:val="00C045A2"/>
    <w:rsid w:val="00C04D93"/>
    <w:rsid w:val="00C053DB"/>
    <w:rsid w:val="00C06433"/>
    <w:rsid w:val="00C10B5F"/>
    <w:rsid w:val="00C135F7"/>
    <w:rsid w:val="00C14C04"/>
    <w:rsid w:val="00C24B01"/>
    <w:rsid w:val="00C51661"/>
    <w:rsid w:val="00C56683"/>
    <w:rsid w:val="00C57ADD"/>
    <w:rsid w:val="00C81108"/>
    <w:rsid w:val="00C86510"/>
    <w:rsid w:val="00C878D5"/>
    <w:rsid w:val="00C9033B"/>
    <w:rsid w:val="00C90EA8"/>
    <w:rsid w:val="00C913A1"/>
    <w:rsid w:val="00C95A97"/>
    <w:rsid w:val="00C9629B"/>
    <w:rsid w:val="00CA5929"/>
    <w:rsid w:val="00CB37D9"/>
    <w:rsid w:val="00CB6D0D"/>
    <w:rsid w:val="00CB6D2C"/>
    <w:rsid w:val="00CC6A99"/>
    <w:rsid w:val="00CD342E"/>
    <w:rsid w:val="00CD7130"/>
    <w:rsid w:val="00CF4E2E"/>
    <w:rsid w:val="00D00AA3"/>
    <w:rsid w:val="00D02880"/>
    <w:rsid w:val="00D0431C"/>
    <w:rsid w:val="00D0504E"/>
    <w:rsid w:val="00D07F73"/>
    <w:rsid w:val="00D14844"/>
    <w:rsid w:val="00D2041C"/>
    <w:rsid w:val="00D25ADE"/>
    <w:rsid w:val="00D30FE6"/>
    <w:rsid w:val="00D42AAF"/>
    <w:rsid w:val="00D43297"/>
    <w:rsid w:val="00D44DB6"/>
    <w:rsid w:val="00D50119"/>
    <w:rsid w:val="00D805C5"/>
    <w:rsid w:val="00D82A43"/>
    <w:rsid w:val="00D977A1"/>
    <w:rsid w:val="00DA7B5D"/>
    <w:rsid w:val="00DB1226"/>
    <w:rsid w:val="00DB33B6"/>
    <w:rsid w:val="00DC12D4"/>
    <w:rsid w:val="00DD199D"/>
    <w:rsid w:val="00DE4616"/>
    <w:rsid w:val="00DF0394"/>
    <w:rsid w:val="00DF58E7"/>
    <w:rsid w:val="00DF6DA1"/>
    <w:rsid w:val="00E11876"/>
    <w:rsid w:val="00E23CBB"/>
    <w:rsid w:val="00E24553"/>
    <w:rsid w:val="00E26A5E"/>
    <w:rsid w:val="00E33287"/>
    <w:rsid w:val="00E33EA1"/>
    <w:rsid w:val="00E3593D"/>
    <w:rsid w:val="00E37B59"/>
    <w:rsid w:val="00E41570"/>
    <w:rsid w:val="00E42600"/>
    <w:rsid w:val="00E451DE"/>
    <w:rsid w:val="00E47EB3"/>
    <w:rsid w:val="00E47FF5"/>
    <w:rsid w:val="00E53438"/>
    <w:rsid w:val="00E669AD"/>
    <w:rsid w:val="00E71CAE"/>
    <w:rsid w:val="00E725FC"/>
    <w:rsid w:val="00E84363"/>
    <w:rsid w:val="00E87059"/>
    <w:rsid w:val="00E9212E"/>
    <w:rsid w:val="00E95B71"/>
    <w:rsid w:val="00EA36C6"/>
    <w:rsid w:val="00EA38F4"/>
    <w:rsid w:val="00EB3D12"/>
    <w:rsid w:val="00EB5F71"/>
    <w:rsid w:val="00EC30F9"/>
    <w:rsid w:val="00ED0EC3"/>
    <w:rsid w:val="00ED484E"/>
    <w:rsid w:val="00ED5725"/>
    <w:rsid w:val="00ED7031"/>
    <w:rsid w:val="00EE3060"/>
    <w:rsid w:val="00EE4315"/>
    <w:rsid w:val="00EF6925"/>
    <w:rsid w:val="00EF7FCC"/>
    <w:rsid w:val="00F12118"/>
    <w:rsid w:val="00F26ED3"/>
    <w:rsid w:val="00F27096"/>
    <w:rsid w:val="00F33DE7"/>
    <w:rsid w:val="00F3638D"/>
    <w:rsid w:val="00F45C36"/>
    <w:rsid w:val="00F54CF8"/>
    <w:rsid w:val="00F56613"/>
    <w:rsid w:val="00F60AE8"/>
    <w:rsid w:val="00F62B7A"/>
    <w:rsid w:val="00F6397D"/>
    <w:rsid w:val="00F7293E"/>
    <w:rsid w:val="00F72C5C"/>
    <w:rsid w:val="00F76650"/>
    <w:rsid w:val="00F8226C"/>
    <w:rsid w:val="00F870BC"/>
    <w:rsid w:val="00F9187B"/>
    <w:rsid w:val="00F92385"/>
    <w:rsid w:val="00F923DE"/>
    <w:rsid w:val="00F976BF"/>
    <w:rsid w:val="00F97C87"/>
    <w:rsid w:val="00FA1B4F"/>
    <w:rsid w:val="00FA643E"/>
    <w:rsid w:val="00FC47F9"/>
    <w:rsid w:val="00FC6317"/>
    <w:rsid w:val="00FD5C08"/>
    <w:rsid w:val="00FE2351"/>
    <w:rsid w:val="00FE337D"/>
    <w:rsid w:val="00FE4216"/>
    <w:rsid w:val="00FE5580"/>
    <w:rsid w:val="00FF110C"/>
    <w:rsid w:val="00FF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9C918"/>
  <w15:chartTrackingRefBased/>
  <w15:docId w15:val="{0DD676F3-7B29-4644-8D88-6AE29493EFA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BD1F37"/>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253018"/>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253018"/>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ALJTitle">
    <w:name w:val="ALJ Title"/>
    <w:basedOn w:val="Normal"/>
    <w:next w:val="Normal"/>
    <w:link w:val="ALJTitleChar"/>
    <w:qFormat/>
    <w:rsid w:val="00374884"/>
    <w:pPr>
      <w:spacing w:after="240" w:line="240" w:lineRule="auto"/>
      <w:ind w:firstLine="0"/>
      <w:jc w:val="center"/>
    </w:pPr>
    <w:rPr>
      <w:rFonts w:ascii="Arial" w:hAnsi="Arial" w:cs="Arial"/>
      <w:b/>
      <w:szCs w:val="20"/>
    </w:rPr>
  </w:style>
  <w:style w:type="character" w:customStyle="1" w:styleId="ALJTitleChar">
    <w:name w:val="ALJ Title Char"/>
    <w:basedOn w:val="DefaultParagraphFont"/>
    <w:link w:val="ALJTitle"/>
    <w:rsid w:val="00374884"/>
    <w:rPr>
      <w:rFonts w:ascii="Arial" w:hAnsi="Arial" w:cs="Arial"/>
      <w:b/>
      <w:sz w:val="26"/>
      <w:szCs w:val="20"/>
    </w:rPr>
  </w:style>
  <w:style w:type="paragraph" w:customStyle="1" w:styleId="ALJBodyText">
    <w:name w:val="ALJ Body Text"/>
    <w:basedOn w:val="Normal"/>
    <w:link w:val="ALJBodyTextChar"/>
    <w:qFormat/>
    <w:rsid w:val="005F70DB"/>
    <w:rPr>
      <w:rFonts w:cs="Times New Roman"/>
      <w:szCs w:val="20"/>
    </w:rPr>
  </w:style>
  <w:style w:type="character" w:customStyle="1" w:styleId="ALJBodyTextChar">
    <w:name w:val="ALJ Body Text Char"/>
    <w:basedOn w:val="DefaultParagraphFont"/>
    <w:link w:val="ALJBodyText"/>
    <w:rsid w:val="005F70DB"/>
    <w:rPr>
      <w:rFonts w:ascii="Book Antiqua" w:hAnsi="Book Antiqua" w:cs="Times New Roman"/>
      <w:sz w:val="26"/>
      <w:szCs w:val="20"/>
    </w:rPr>
  </w:style>
  <w:style w:type="character" w:customStyle="1" w:styleId="ssit">
    <w:name w:val="ss_it"/>
    <w:basedOn w:val="DefaultParagraphFont"/>
    <w:rsid w:val="005F70DB"/>
  </w:style>
  <w:style w:type="paragraph" w:customStyle="1" w:styleId="ALJHeading1">
    <w:name w:val="ALJ Heading 1"/>
    <w:basedOn w:val="ALJBodyText"/>
    <w:next w:val="ALJBodyText"/>
    <w:link w:val="ALJHeading1Char"/>
    <w:qFormat/>
    <w:rsid w:val="005F70DB"/>
    <w:pPr>
      <w:keepNext/>
      <w:numPr>
        <w:numId w:val="18"/>
      </w:numPr>
      <w:spacing w:before="120" w:after="120" w:line="240" w:lineRule="auto"/>
      <w:ind w:right="720"/>
    </w:pPr>
    <w:rPr>
      <w:rFonts w:ascii="Arial" w:hAnsi="Arial" w:cs="Arial"/>
      <w:b/>
    </w:rPr>
  </w:style>
  <w:style w:type="paragraph" w:customStyle="1" w:styleId="ALJHeading2">
    <w:name w:val="ALJ Heading 2"/>
    <w:basedOn w:val="ALJBodyText"/>
    <w:next w:val="ALJBodyText"/>
    <w:link w:val="ALJHeading2Char"/>
    <w:qFormat/>
    <w:rsid w:val="005F70DB"/>
    <w:pPr>
      <w:keepNext/>
      <w:numPr>
        <w:ilvl w:val="1"/>
        <w:numId w:val="18"/>
      </w:numPr>
      <w:tabs>
        <w:tab w:val="left" w:pos="1080"/>
      </w:tabs>
      <w:spacing w:before="120" w:after="120" w:line="240" w:lineRule="auto"/>
    </w:pPr>
    <w:rPr>
      <w:rFonts w:ascii="Arial" w:hAnsi="Arial" w:cs="Arial"/>
      <w:b/>
    </w:rPr>
  </w:style>
  <w:style w:type="character" w:customStyle="1" w:styleId="ALJHeading1Char">
    <w:name w:val="ALJ Heading 1 Char"/>
    <w:basedOn w:val="ALJBodyTextChar"/>
    <w:link w:val="ALJHeading1"/>
    <w:rsid w:val="005F70DB"/>
    <w:rPr>
      <w:rFonts w:ascii="Arial" w:hAnsi="Arial" w:cs="Arial"/>
      <w:b/>
      <w:sz w:val="26"/>
      <w:szCs w:val="20"/>
    </w:rPr>
  </w:style>
  <w:style w:type="paragraph" w:customStyle="1" w:styleId="ALJHeading3">
    <w:name w:val="ALJ Heading 3"/>
    <w:basedOn w:val="ALJBodyText"/>
    <w:next w:val="ALJBodyText"/>
    <w:qFormat/>
    <w:rsid w:val="005F70DB"/>
    <w:pPr>
      <w:keepNext/>
      <w:numPr>
        <w:ilvl w:val="2"/>
        <w:numId w:val="18"/>
      </w:numPr>
      <w:tabs>
        <w:tab w:val="num" w:pos="792"/>
      </w:tabs>
      <w:spacing w:before="120" w:after="120" w:line="240" w:lineRule="auto"/>
      <w:ind w:left="1440" w:hanging="720"/>
    </w:pPr>
    <w:rPr>
      <w:rFonts w:ascii="Arial" w:hAnsi="Arial" w:cs="Arial"/>
      <w:b/>
    </w:rPr>
  </w:style>
  <w:style w:type="character" w:customStyle="1" w:styleId="ALJHeading2Char">
    <w:name w:val="ALJ Heading 2 Char"/>
    <w:basedOn w:val="ALJBodyTextChar"/>
    <w:link w:val="ALJHeading2"/>
    <w:rsid w:val="005F70DB"/>
    <w:rPr>
      <w:rFonts w:ascii="Arial" w:hAnsi="Arial" w:cs="Arial"/>
      <w:b/>
      <w:sz w:val="26"/>
      <w:szCs w:val="20"/>
    </w:rPr>
  </w:style>
  <w:style w:type="paragraph" w:customStyle="1" w:styleId="ALJOP">
    <w:name w:val="ALJ OP"/>
    <w:basedOn w:val="ALJBodyText"/>
    <w:link w:val="ALJOPChar"/>
    <w:qFormat/>
    <w:rsid w:val="004E7C95"/>
    <w:pPr>
      <w:numPr>
        <w:numId w:val="23"/>
      </w:numPr>
      <w:ind w:left="0" w:firstLine="720"/>
    </w:pPr>
  </w:style>
  <w:style w:type="character" w:customStyle="1" w:styleId="ALJOPChar">
    <w:name w:val="ALJ OP Char"/>
    <w:basedOn w:val="ALJBodyTextChar"/>
    <w:link w:val="ALJOP"/>
    <w:rsid w:val="004E7C95"/>
    <w:rPr>
      <w:rFonts w:ascii="Book Antiqua" w:hAnsi="Book Antiqua" w:cs="Times New Roman"/>
      <w:sz w:val="26"/>
      <w:szCs w:val="20"/>
    </w:rPr>
  </w:style>
  <w:style w:type="paragraph" w:styleId="Revision">
    <w:name w:val="Revision"/>
    <w:hidden/>
    <w:uiPriority w:val="99"/>
    <w:semiHidden/>
    <w:rsid w:val="00FF3A3C"/>
    <w:pPr>
      <w:spacing w:after="0" w:line="240" w:lineRule="auto"/>
    </w:pPr>
    <w:rPr>
      <w:rFonts w:ascii="Book Antiqua" w:hAnsi="Book Antiqua"/>
      <w:sz w:val="26"/>
    </w:rPr>
  </w:style>
  <w:style w:type="paragraph" w:styleId="ListParagraph">
    <w:name w:val="List Paragraph"/>
    <w:basedOn w:val="Normal"/>
    <w:uiPriority w:val="34"/>
    <w:rsid w:val="00447C50"/>
    <w:pPr>
      <w:ind w:left="720"/>
      <w:contextualSpacing/>
    </w:pPr>
  </w:style>
  <w:style w:type="paragraph" w:customStyle="1" w:styleId="StandardTableSub">
    <w:name w:val="StandardTableSub"/>
    <w:basedOn w:val="Standard"/>
    <w:rsid w:val="00E9212E"/>
    <w:pPr>
      <w:spacing w:before="120"/>
    </w:pPr>
  </w:style>
  <w:style w:type="paragraph" w:customStyle="1" w:styleId="BlockQuote0">
    <w:name w:val="BlockQuote"/>
    <w:basedOn w:val="Normal"/>
    <w:qFormat/>
    <w:rsid w:val="00B32292"/>
    <w:pPr>
      <w:spacing w:after="120" w:line="240" w:lineRule="auto"/>
      <w:ind w:left="720" w:right="1440" w:firstLine="0"/>
    </w:pPr>
  </w:style>
  <w:style w:type="paragraph" w:customStyle="1" w:styleId="FoF-correction">
    <w:name w:val="FoF-correction"/>
    <w:basedOn w:val="Standard"/>
    <w:rsid w:val="0049222F"/>
    <w:pPr>
      <w:keepNext/>
      <w:ind w:firstLine="0"/>
    </w:pPr>
  </w:style>
  <w:style w:type="paragraph" w:customStyle="1" w:styleId="BlockQuote-sub">
    <w:name w:val="BlockQuote-sub"/>
    <w:basedOn w:val="BlockQuote0"/>
    <w:rsid w:val="004E5EF0"/>
    <w:pPr>
      <w:ind w:left="1440" w:righ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docs.cpuc.ca.gov/PublishedDocs/Published/G000/M609/K607/609607463.pdf" TargetMode="External" Id="R41d9d9ce5434416b" /><Relationship Type="http://schemas.openxmlformats.org/officeDocument/2006/relationships/hyperlink" Target="https://docs.cpuc.ca.gov/PublishedDocs/Published/G000/M609/K599/609599737.pdf" TargetMode="External" Id="R6af10ed67cdf46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EEB0345788E4686025D8D57F1F3D6" ma:contentTypeVersion="11" ma:contentTypeDescription="Create a new document." ma:contentTypeScope="" ma:versionID="5b20ceecaf65a8eabbb009185ec812c6">
  <xsd:schema xmlns:xsd="http://www.w3.org/2001/XMLSchema" xmlns:xs="http://www.w3.org/2001/XMLSchema" xmlns:p="http://schemas.microsoft.com/office/2006/metadata/properties" xmlns:ns2="fd401c2c-9287-43ab-a293-354c814ae0f9" xmlns:ns3="005d1024-2fde-4134-9d52-de97a2b1c5ac" targetNamespace="http://schemas.microsoft.com/office/2006/metadata/properties" ma:root="true" ma:fieldsID="f904c0a13844b1da02fb4313c82a9cdf" ns2:_="" ns3:_="">
    <xsd:import namespace="fd401c2c-9287-43ab-a293-354c814ae0f9"/>
    <xsd:import namespace="005d1024-2fde-4134-9d52-de97a2b1c5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1c2c-9287-43ab-a293-354c814a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d1024-2fde-4134-9d52-de97a2b1c5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b5b1f-8528-4fe2-a0c5-abaabff58d80}" ma:internalName="TaxCatchAll" ma:showField="CatchAllData" ma:web="005d1024-2fde-4134-9d52-de97a2b1c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d401c2c-9287-43ab-a293-354c814ae0f9">
      <Terms xmlns="http://schemas.microsoft.com/office/infopath/2007/PartnerControls"/>
    </lcf76f155ced4ddcb4097134ff3c332f>
    <TaxCatchAll xmlns="005d1024-2fde-4134-9d52-de97a2b1c5ac" xsi:nil="true"/>
  </documentManagement>
</p:properties>
</file>

<file path=customXml/itemProps1.xml><?xml version="1.0" encoding="utf-8"?>
<ds:datastoreItem xmlns:ds="http://schemas.openxmlformats.org/officeDocument/2006/customXml" ds:itemID="{961CEE00-ED62-4462-B2A0-FD2A5AC5A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1c2c-9287-43ab-a293-354c814ae0f9"/>
    <ds:schemaRef ds:uri="005d1024-2fde-4134-9d52-de97a2b1c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5.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fd401c2c-9287-43ab-a293-354c814ae0f9"/>
    <ds:schemaRef ds:uri="005d1024-2fde-4134-9d52-de97a2b1c5ac"/>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2796</ap:Words>
  <ap:Characters>15939</ap:Characters>
  <ap:Application>Microsoft Office Word</ap:Application>
  <ap:DocSecurity>0</ap:DocSecurity>
  <ap:Lines>132</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18698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2026-06-24T15:55:09Z</dcterms:created>
  <dcterms:modified xsi:type="dcterms:W3CDTF">2026-06-24T15:55:09Z</dcterms:modified>
</cp:coreProperties>
</file>