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8F0" w:rsidR="005B113F" w:rsidP="00FD3B90" w:rsidRDefault="00F04B30" w14:paraId="6F6E57ED" w14:textId="6D84529B">
      <w:pPr>
        <w:pStyle w:val="Header"/>
        <w:tabs>
          <w:tab w:val="clear" w:pos="8640"/>
          <w:tab w:val="left" w:pos="7110"/>
          <w:tab w:val="right" w:pos="9180"/>
        </w:tabs>
        <w:rPr>
          <w:rFonts w:ascii="Book Antiqua" w:hAnsi="Book Antiqua"/>
          <w:b/>
          <w:bCs/>
        </w:rPr>
      </w:pPr>
      <w:r w:rsidRPr="001648F0">
        <w:rPr>
          <w:rFonts w:ascii="Book Antiqua" w:hAnsi="Book Antiqua"/>
        </w:rPr>
        <w:t>ALJ</w:t>
      </w:r>
      <w:r w:rsidR="00642538">
        <w:rPr>
          <w:rFonts w:ascii="Book Antiqua" w:hAnsi="Book Antiqua"/>
        </w:rPr>
        <w:t>/</w:t>
      </w:r>
      <w:proofErr w:type="spellStart"/>
      <w:r w:rsidR="00642538">
        <w:rPr>
          <w:rFonts w:ascii="Book Antiqua" w:hAnsi="Book Antiqua"/>
        </w:rPr>
        <w:t>avs</w:t>
      </w:r>
      <w:proofErr w:type="spellEnd"/>
      <w:r w:rsidR="007D4976">
        <w:rPr>
          <w:rFonts w:ascii="Book Antiqua" w:hAnsi="Book Antiqua"/>
        </w:rPr>
        <w:t>/</w:t>
      </w:r>
      <w:proofErr w:type="spellStart"/>
      <w:r w:rsidR="007D4976">
        <w:rPr>
          <w:rFonts w:ascii="Book Antiqua" w:hAnsi="Book Antiqua"/>
        </w:rPr>
        <w:t>asf</w:t>
      </w:r>
      <w:proofErr w:type="spellEnd"/>
      <w:r w:rsidRPr="001648F0">
        <w:rPr>
          <w:rFonts w:ascii="Book Antiqua" w:hAnsi="Book Antiqua"/>
        </w:rPr>
        <w:tab/>
      </w:r>
      <w:r w:rsidRPr="001648F0" w:rsidR="005D2F39">
        <w:rPr>
          <w:rFonts w:ascii="Book Antiqua" w:hAnsi="Book Antiqua"/>
          <w:b/>
        </w:rPr>
        <w:tab/>
      </w:r>
      <w:r w:rsidRPr="001648F0" w:rsidR="00043B8E">
        <w:rPr>
          <w:rFonts w:ascii="Book Antiqua" w:hAnsi="Book Antiqua"/>
          <w:b/>
        </w:rPr>
        <w:t xml:space="preserve"> </w:t>
      </w:r>
      <w:r w:rsidRPr="001648F0" w:rsidR="009B1A5B">
        <w:rPr>
          <w:rFonts w:ascii="Book Antiqua" w:hAnsi="Book Antiqua"/>
          <w:b/>
        </w:rPr>
        <w:tab/>
        <w:t>DRAFT</w:t>
      </w:r>
    </w:p>
    <w:p w:rsidRPr="001648F0" w:rsidR="00043B8E" w:rsidP="00043B8E" w:rsidRDefault="00043B8E" w14:paraId="5230D684" w14:textId="28BAE3E4">
      <w:pPr>
        <w:pStyle w:val="Header"/>
        <w:tabs>
          <w:tab w:val="clear" w:pos="8640"/>
          <w:tab w:val="left" w:pos="7110"/>
          <w:tab w:val="right" w:pos="9360"/>
        </w:tabs>
        <w:jc w:val="center"/>
        <w:rPr>
          <w:rFonts w:ascii="Book Antiqua" w:hAnsi="Book Antiqua"/>
          <w:bCs/>
          <w:u w:val="single"/>
        </w:rPr>
      </w:pPr>
      <w:r w:rsidRPr="001648F0">
        <w:rPr>
          <w:rFonts w:ascii="Book Antiqua" w:hAnsi="Book Antiqua"/>
          <w:bCs/>
        </w:rPr>
        <w:tab/>
      </w:r>
    </w:p>
    <w:p w:rsidRPr="001648F0" w:rsidR="005B113F" w:rsidRDefault="005B113F" w14:paraId="7730182E" w14:textId="77777777">
      <w:pPr>
        <w:pStyle w:val="Title"/>
        <w:rPr>
          <w:rFonts w:ascii="Book Antiqua" w:hAnsi="Book Antiqua"/>
          <w:b w:val="0"/>
        </w:rPr>
      </w:pPr>
    </w:p>
    <w:p w:rsidR="005B113F" w:rsidRDefault="00F04B30" w14:paraId="0B1C8AEF" w14:textId="77777777">
      <w:pPr>
        <w:pStyle w:val="Title"/>
      </w:pPr>
      <w:r>
        <w:t xml:space="preserve">PUBLIC UTILITIES COMMISSION OF THE STATE OF </w:t>
      </w:r>
      <w:smartTag w:uri="urn:schemas-microsoft-com:office:smarttags" w:element="place">
        <w:smartTag w:uri="urn:schemas-microsoft-com:office:smarttags" w:element="State">
          <w:r>
            <w:t>CALIFORNIA</w:t>
          </w:r>
        </w:smartTag>
      </w:smartTag>
    </w:p>
    <w:p w:rsidR="005B113F" w:rsidP="001F718E" w:rsidRDefault="005B113F" w14:paraId="610AADCB" w14:textId="77777777">
      <w:pPr>
        <w:jc w:val="both"/>
      </w:pPr>
    </w:p>
    <w:p w:rsidRPr="009755A5" w:rsidR="005B113F" w:rsidP="001F718E" w:rsidRDefault="00F04B30" w14:paraId="71BA1CB6" w14:textId="10BE0121">
      <w:pPr>
        <w:tabs>
          <w:tab w:val="left" w:pos="3600"/>
        </w:tabs>
        <w:jc w:val="both"/>
        <w:rPr>
          <w:rFonts w:ascii="Book Antiqua" w:hAnsi="Book Antiqua"/>
          <w:szCs w:val="24"/>
        </w:rPr>
      </w:pPr>
      <w:r>
        <w:tab/>
      </w:r>
      <w:r w:rsidRPr="009755A5">
        <w:rPr>
          <w:rFonts w:ascii="Book Antiqua" w:hAnsi="Book Antiqua"/>
          <w:szCs w:val="24"/>
        </w:rPr>
        <w:t>Resolution ALJ 176-</w:t>
      </w:r>
      <w:r w:rsidR="00AC3D70">
        <w:rPr>
          <w:rFonts w:ascii="Book Antiqua" w:hAnsi="Book Antiqua"/>
          <w:szCs w:val="24"/>
        </w:rPr>
        <w:t>35</w:t>
      </w:r>
      <w:r w:rsidR="00E33D4C">
        <w:rPr>
          <w:rFonts w:ascii="Book Antiqua" w:hAnsi="Book Antiqua"/>
          <w:szCs w:val="24"/>
        </w:rPr>
        <w:t>82</w:t>
      </w:r>
    </w:p>
    <w:p w:rsidRPr="009755A5" w:rsidR="005B113F" w:rsidP="001F718E" w:rsidRDefault="00F04B30" w14:paraId="0BEC5567" w14:textId="40EF86A7">
      <w:pPr>
        <w:tabs>
          <w:tab w:val="left" w:pos="3600"/>
        </w:tabs>
        <w:jc w:val="both"/>
        <w:rPr>
          <w:rFonts w:ascii="Book Antiqua" w:hAnsi="Book Antiqua"/>
          <w:szCs w:val="24"/>
        </w:rPr>
      </w:pPr>
      <w:r w:rsidRPr="009755A5">
        <w:rPr>
          <w:rFonts w:ascii="Book Antiqua" w:hAnsi="Book Antiqua"/>
          <w:szCs w:val="24"/>
        </w:rPr>
        <w:tab/>
        <w:t>Administrative Law Judge Division</w:t>
      </w:r>
    </w:p>
    <w:p w:rsidRPr="009755A5" w:rsidR="00BE1D69" w:rsidP="001F718E" w:rsidRDefault="00F04B30" w14:paraId="62AD9F6D" w14:textId="4629B936">
      <w:pPr>
        <w:tabs>
          <w:tab w:val="left" w:pos="3600"/>
        </w:tabs>
        <w:jc w:val="both"/>
        <w:rPr>
          <w:rFonts w:ascii="Book Antiqua" w:hAnsi="Book Antiqua"/>
          <w:szCs w:val="24"/>
        </w:rPr>
      </w:pPr>
      <w:r w:rsidRPr="009755A5">
        <w:rPr>
          <w:rFonts w:ascii="Book Antiqua" w:hAnsi="Book Antiqua"/>
          <w:szCs w:val="24"/>
        </w:rPr>
        <w:tab/>
      </w:r>
      <w:r w:rsidR="00570E05">
        <w:rPr>
          <w:rFonts w:ascii="Book Antiqua" w:hAnsi="Book Antiqua"/>
          <w:szCs w:val="24"/>
        </w:rPr>
        <w:t xml:space="preserve">DATE </w:t>
      </w:r>
    </w:p>
    <w:p w:rsidR="00B878E8" w:rsidRDefault="00B878E8" w14:paraId="0BB60DE9" w14:textId="77777777"/>
    <w:p w:rsidR="005B113F" w:rsidRDefault="00F04B30" w14:paraId="2664356A" w14:textId="77777777">
      <w:pPr>
        <w:jc w:val="center"/>
        <w:rPr>
          <w:rFonts w:ascii="Helvetica" w:hAnsi="Helvetica"/>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rsidR="005B113F" w:rsidRDefault="005B113F" w14:paraId="6D61F866" w14:textId="77777777">
      <w:pPr>
        <w:jc w:val="center"/>
      </w:pPr>
    </w:p>
    <w:p w:rsidR="005B113F" w:rsidRDefault="005D18B9" w14:paraId="6283598A" w14:textId="57E7C089">
      <w:r w:rsidRPr="005D18B9">
        <w:t>RESOLUTION ALJ 176-</w:t>
      </w:r>
      <w:r w:rsidR="00E33D4C">
        <w:t>3582</w:t>
      </w:r>
      <w:r w:rsidRPr="005D18B9">
        <w:t>.  Preliminary determinations of category for proceedings initiated by application pursuant to Rule</w:t>
      </w:r>
      <w:r w:rsidRPr="005D18B9">
        <w:rPr>
          <w:rFonts w:ascii="Times New Roman" w:hAnsi="Times New Roman"/>
        </w:rPr>
        <w:t> </w:t>
      </w:r>
      <w:r w:rsidRPr="005D18B9">
        <w:t>7.1 of the Commission</w:t>
      </w:r>
      <w:r w:rsidRPr="005D18B9">
        <w:rPr>
          <w:rFonts w:ascii="Book Antiqua" w:hAnsi="Book Antiqua" w:cs="Book Antiqua"/>
        </w:rPr>
        <w:t>’</w:t>
      </w:r>
      <w:r w:rsidRPr="005D18B9">
        <w:t>s Rules of Practice and Procedure.</w:t>
      </w:r>
      <w:r w:rsidRPr="005D18B9">
        <w:rPr>
          <w:rFonts w:ascii="Book Antiqua" w:hAnsi="Book Antiqua" w:cs="Book Antiqua"/>
        </w:rPr>
        <w:t> </w:t>
      </w:r>
    </w:p>
    <w:p w:rsidR="005B113F" w:rsidP="005D18B9" w:rsidRDefault="00F04B30" w14:paraId="546B6D01" w14:textId="77777777">
      <w:pPr>
        <w:tabs>
          <w:tab w:val="right" w:pos="8550"/>
        </w:tabs>
        <w:ind w:right="720"/>
      </w:pPr>
      <w:r>
        <w:rPr>
          <w:u w:val="single"/>
        </w:rPr>
        <w:tab/>
      </w:r>
    </w:p>
    <w:p w:rsidR="005B113F" w:rsidRDefault="005B113F" w14:paraId="38419C93" w14:textId="77777777"/>
    <w:p w:rsidR="005B113F" w:rsidRDefault="00A67B65" w14:paraId="48208BBE" w14:textId="152927CA">
      <w:r w:rsidRPr="00A67B65">
        <w:t>Senate Bill (SB) 960 (Leonard, </w:t>
      </w:r>
      <w:proofErr w:type="spellStart"/>
      <w:r w:rsidRPr="00A67B65">
        <w:t>ch.</w:t>
      </w:r>
      <w:proofErr w:type="spellEnd"/>
      <w:r w:rsidRPr="00A67B65">
        <w:t xml:space="preserve"> 96-0856) requires, among other things, that the Commission categorize proceedings for purposes of determining the applicable restrictions on ex </w:t>
      </w:r>
      <w:proofErr w:type="spellStart"/>
      <w:r w:rsidRPr="00A67B65">
        <w:t>parte</w:t>
      </w:r>
      <w:proofErr w:type="spellEnd"/>
      <w:r w:rsidRPr="00A67B65">
        <w:t xml:space="preserve"> communications and other applicable rules.  The rules implementing these requirements are found, for the most part, in Articles 7 and 8 of the Commission’s Rules of Practice and Procedure. </w:t>
      </w:r>
    </w:p>
    <w:p w:rsidR="00A67B65" w:rsidP="0044184E" w:rsidRDefault="00A67B65" w14:paraId="2531D654" w14:textId="77777777">
      <w:pPr>
        <w:rPr>
          <w:rFonts w:ascii="Book Antiqua" w:hAnsi="Book Antiqua"/>
        </w:rPr>
      </w:pPr>
    </w:p>
    <w:p w:rsidRPr="0044184E" w:rsidR="0044184E" w:rsidP="0044184E" w:rsidRDefault="0044184E" w14:paraId="4455E89C" w14:textId="6E5A9C7A">
      <w:pPr>
        <w:rPr>
          <w:rFonts w:ascii="Book Antiqua" w:hAnsi="Book Antiqua"/>
        </w:rPr>
      </w:pPr>
      <w:r w:rsidRPr="0044184E">
        <w:rPr>
          <w:rFonts w:ascii="Book Antiqua" w:hAnsi="Book Antiqua"/>
        </w:rPr>
        <w:t>Rule 7.1 requires the Commission to preliminarily determine, for a proceeding initiated by application, the proceeding’s category.  The Commission has reviewed the initial pleading of the utility applicants and makes the preliminary determinations of category as shown in the attached Preliminary Determination Schedule, consistent with the requirements of Rule</w:t>
      </w:r>
      <w:r w:rsidRPr="0044184E">
        <w:rPr>
          <w:rFonts w:ascii="Times New Roman" w:hAnsi="Times New Roman"/>
        </w:rPr>
        <w:t> </w:t>
      </w:r>
      <w:r w:rsidRPr="0044184E">
        <w:rPr>
          <w:rFonts w:ascii="Book Antiqua" w:hAnsi="Book Antiqua"/>
        </w:rPr>
        <w:t>7.1.</w:t>
      </w:r>
      <w:r w:rsidRPr="0044184E">
        <w:rPr>
          <w:rFonts w:ascii="Book Antiqua" w:hAnsi="Book Antiqua" w:cs="Book Antiqua"/>
        </w:rPr>
        <w:t> </w:t>
      </w:r>
    </w:p>
    <w:p w:rsidRPr="0044184E" w:rsidR="0044184E" w:rsidP="0044184E" w:rsidRDefault="0044184E" w14:paraId="2EC98B34" w14:textId="77777777">
      <w:pPr>
        <w:rPr>
          <w:rFonts w:ascii="Book Antiqua" w:hAnsi="Book Antiqua"/>
        </w:rPr>
      </w:pPr>
      <w:r w:rsidRPr="0044184E">
        <w:rPr>
          <w:rFonts w:ascii="Book Antiqua" w:hAnsi="Book Antiqua"/>
        </w:rPr>
        <w:t> </w:t>
      </w:r>
    </w:p>
    <w:p w:rsidRPr="0044184E" w:rsidR="0044184E" w:rsidP="0044184E" w:rsidRDefault="0044184E" w14:paraId="04EE1E44" w14:textId="77777777">
      <w:pPr>
        <w:rPr>
          <w:rFonts w:ascii="Book Antiqua" w:hAnsi="Book Antiqua"/>
        </w:rPr>
      </w:pPr>
      <w:r w:rsidRPr="0044184E">
        <w:rPr>
          <w:rFonts w:ascii="Book Antiqua" w:hAnsi="Book Antiqua"/>
        </w:rPr>
        <w:t>No public review or comment is required for this resolution pursuant to Rule 14.7. </w:t>
      </w:r>
    </w:p>
    <w:p w:rsidRPr="0044184E" w:rsidR="0044184E" w:rsidP="0044184E" w:rsidRDefault="0044184E" w14:paraId="3E0BB80C" w14:textId="77777777">
      <w:pPr>
        <w:rPr>
          <w:rFonts w:ascii="Book Antiqua" w:hAnsi="Book Antiqua"/>
        </w:rPr>
      </w:pPr>
      <w:r w:rsidRPr="0044184E">
        <w:rPr>
          <w:rFonts w:ascii="Book Antiqua" w:hAnsi="Book Antiqua"/>
        </w:rPr>
        <w:t> </w:t>
      </w:r>
    </w:p>
    <w:p w:rsidRPr="00A14B76" w:rsidR="005B113F" w:rsidRDefault="00F04B30" w14:paraId="7FF86307" w14:textId="77777777">
      <w:pPr>
        <w:rPr>
          <w:rFonts w:ascii="Book Antiqua" w:hAnsi="Book Antiqua"/>
        </w:rPr>
      </w:pPr>
      <w:r w:rsidRPr="00A14B76">
        <w:rPr>
          <w:rFonts w:ascii="Book Antiqua" w:hAnsi="Book Antiqua"/>
          <w:b/>
        </w:rPr>
        <w:t>IT IS ORDERED</w:t>
      </w:r>
      <w:r w:rsidRPr="00A14B76">
        <w:rPr>
          <w:rFonts w:ascii="Book Antiqua" w:hAnsi="Book Antiqua"/>
        </w:rPr>
        <w:t xml:space="preserve"> that:</w:t>
      </w:r>
    </w:p>
    <w:p w:rsidRPr="00A14B76" w:rsidR="005B113F" w:rsidRDefault="005B113F" w14:paraId="76FBF475" w14:textId="77777777">
      <w:pPr>
        <w:rPr>
          <w:rFonts w:ascii="Book Antiqua" w:hAnsi="Book Antiqua"/>
        </w:rPr>
      </w:pPr>
    </w:p>
    <w:p w:rsidRPr="00A14B76" w:rsidR="005B113F" w:rsidRDefault="00F04B30" w14:paraId="3ADE2284" w14:textId="013DE902">
      <w:pPr>
        <w:pStyle w:val="num1"/>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t>The category for each proceeding initiated by application listed in the attached Schedule of Preliminary Determinations are preliminarily determined, as noted.</w:t>
      </w:r>
    </w:p>
    <w:p w:rsidRPr="00A14B76" w:rsidR="005B113F" w:rsidP="005D18B9" w:rsidRDefault="00F04B30" w14:paraId="76DEFF16" w14:textId="77777777">
      <w:pPr>
        <w:pStyle w:val="num1"/>
        <w:keepNext/>
        <w:keepLines/>
        <w:numPr>
          <w:ilvl w:val="0"/>
          <w:numId w:val="2"/>
        </w:numPr>
        <w:tabs>
          <w:tab w:val="left" w:pos="360"/>
        </w:tabs>
        <w:spacing w:after="120" w:line="240" w:lineRule="auto"/>
        <w:rPr>
          <w:rFonts w:ascii="Book Antiqua" w:hAnsi="Book Antiqua"/>
          <w:sz w:val="24"/>
          <w:szCs w:val="24"/>
        </w:rPr>
      </w:pPr>
      <w:r w:rsidRPr="00A14B76">
        <w:rPr>
          <w:rFonts w:ascii="Book Antiqua" w:hAnsi="Book Antiqua"/>
          <w:sz w:val="24"/>
          <w:szCs w:val="24"/>
        </w:rPr>
        <w:lastRenderedPageBreak/>
        <w:t>This resolution is effective today.</w:t>
      </w:r>
    </w:p>
    <w:p w:rsidRPr="00A14B76" w:rsidR="005B113F" w:rsidP="005D18B9" w:rsidRDefault="005B113F" w14:paraId="63ECE6BA" w14:textId="77777777">
      <w:pPr>
        <w:keepNext/>
        <w:keepLines/>
        <w:rPr>
          <w:rFonts w:ascii="Book Antiqua" w:hAnsi="Book Antiqua"/>
        </w:rPr>
      </w:pPr>
    </w:p>
    <w:p w:rsidRPr="0022413E" w:rsidR="0022413E" w:rsidP="005D18B9" w:rsidRDefault="0022413E" w14:paraId="606C0FE9" w14:textId="7D320BE2">
      <w:pPr>
        <w:keepNext/>
        <w:keepLines/>
        <w:autoSpaceDE w:val="0"/>
        <w:autoSpaceDN w:val="0"/>
        <w:adjustRightInd w:val="0"/>
        <w:ind w:left="360"/>
        <w:rPr>
          <w:rFonts w:ascii="Book Antiqua" w:hAnsi="Book Antiqua"/>
        </w:rPr>
      </w:pPr>
      <w:bookmarkStart w:name="_Hlk17215919" w:id="0"/>
      <w:r w:rsidRPr="0022413E">
        <w:rPr>
          <w:rFonts w:ascii="Book Antiqua" w:hAnsi="Book Antiqua"/>
        </w:rPr>
        <w:t xml:space="preserve">The foregoing resolution was duly introduced, passed and adopted at a conference of the Public Utilities Commission of the State of California held on </w:t>
      </w:r>
      <w:r w:rsidR="00655463">
        <w:rPr>
          <w:rFonts w:ascii="Book Antiqua" w:hAnsi="Book Antiqua"/>
        </w:rPr>
        <w:t>DATE</w:t>
      </w:r>
      <w:r w:rsidRPr="0022413E">
        <w:rPr>
          <w:rFonts w:ascii="Book Antiqua" w:hAnsi="Book Antiqua"/>
        </w:rPr>
        <w:t xml:space="preserve"> at </w:t>
      </w:r>
      <w:r w:rsidR="0044184E">
        <w:rPr>
          <w:rFonts w:ascii="Book Antiqua" w:hAnsi="Book Antiqua"/>
        </w:rPr>
        <w:t>Sacramento</w:t>
      </w:r>
      <w:r w:rsidRPr="0022413E">
        <w:rPr>
          <w:rFonts w:ascii="Book Antiqua" w:hAnsi="Book Antiqua"/>
        </w:rPr>
        <w:t>, California; the following Commissioners voting favorably thereon:  </w:t>
      </w:r>
    </w:p>
    <w:p w:rsidRPr="0022413E" w:rsidR="0022413E" w:rsidP="005D18B9" w:rsidRDefault="0022413E" w14:paraId="2CAB4725" w14:textId="77777777">
      <w:pPr>
        <w:keepNext/>
        <w:keepLines/>
        <w:autoSpaceDE w:val="0"/>
        <w:autoSpaceDN w:val="0"/>
        <w:adjustRightInd w:val="0"/>
        <w:ind w:left="4410"/>
        <w:jc w:val="both"/>
        <w:rPr>
          <w:rFonts w:ascii="Book Antiqua" w:hAnsi="Book Antiqua"/>
        </w:rPr>
      </w:pPr>
      <w:r w:rsidRPr="0022413E">
        <w:rPr>
          <w:rFonts w:ascii="Book Antiqua" w:hAnsi="Book Antiqua"/>
        </w:rPr>
        <w:t> </w:t>
      </w:r>
    </w:p>
    <w:p w:rsidRPr="0022413E" w:rsidR="0022413E" w:rsidP="00655463" w:rsidRDefault="0022413E" w14:paraId="293A1C62" w14:textId="09070D1C">
      <w:pPr>
        <w:keepNext/>
        <w:keepLines/>
        <w:autoSpaceDE w:val="0"/>
        <w:autoSpaceDN w:val="0"/>
        <w:adjustRightInd w:val="0"/>
        <w:ind w:left="4410"/>
        <w:jc w:val="both"/>
        <w:rPr>
          <w:rFonts w:ascii="Book Antiqua" w:hAnsi="Book Antiqua"/>
        </w:rPr>
      </w:pPr>
      <w:r w:rsidRPr="0022413E">
        <w:rPr>
          <w:rFonts w:ascii="Book Antiqua" w:hAnsi="Book Antiqua"/>
        </w:rPr>
        <w:t> </w:t>
      </w:r>
    </w:p>
    <w:p w:rsidRPr="0022413E" w:rsidR="0022413E" w:rsidP="005D18B9" w:rsidRDefault="0022413E" w14:paraId="355FAB67" w14:textId="77777777">
      <w:pPr>
        <w:keepNext/>
        <w:keepLines/>
        <w:autoSpaceDE w:val="0"/>
        <w:autoSpaceDN w:val="0"/>
        <w:adjustRightInd w:val="0"/>
        <w:ind w:left="4410"/>
        <w:jc w:val="both"/>
        <w:rPr>
          <w:rFonts w:ascii="Book Antiqua" w:hAnsi="Book Antiqua"/>
        </w:rPr>
      </w:pPr>
      <w:r w:rsidRPr="0022413E">
        <w:rPr>
          <w:rFonts w:ascii="Book Antiqua" w:hAnsi="Book Antiqua"/>
        </w:rPr>
        <w:t> </w:t>
      </w:r>
    </w:p>
    <w:bookmarkEnd w:id="0"/>
    <w:p w:rsidRPr="008C1693" w:rsidR="003417D7" w:rsidP="00655463" w:rsidRDefault="003417D7" w14:paraId="560044A7" w14:textId="31942E2F">
      <w:pPr>
        <w:autoSpaceDE w:val="0"/>
        <w:autoSpaceDN w:val="0"/>
        <w:adjustRightInd w:val="0"/>
        <w:jc w:val="both"/>
        <w:rPr>
          <w:rFonts w:ascii="Book Antiqua" w:hAnsi="Book Antiqua"/>
          <w:sz w:val="26"/>
          <w:szCs w:val="26"/>
        </w:rPr>
      </w:pPr>
    </w:p>
    <w:p w:rsidRPr="008C1693" w:rsidR="003E6E4C" w:rsidP="008C1693" w:rsidRDefault="003E6E4C" w14:paraId="338E8781" w14:textId="77777777">
      <w:pPr>
        <w:spacing w:line="360" w:lineRule="auto"/>
        <w:rPr>
          <w:rFonts w:ascii="Book Antiqua" w:hAnsi="Book Antiqua"/>
        </w:rPr>
      </w:pPr>
    </w:p>
    <w:p w:rsidRPr="00D041B0" w:rsidR="00EB4757" w:rsidP="00D041B0" w:rsidRDefault="00EB4757" w14:paraId="2CF54E3B" w14:textId="77777777">
      <w:pPr>
        <w:sectPr w:rsidRPr="00D041B0" w:rsidR="00EB4757" w:rsidSect="009755A5">
          <w:headerReference w:type="default" r:id="rId7"/>
          <w:footerReference w:type="default" r:id="rId8"/>
          <w:footerReference w:type="first" r:id="rId9"/>
          <w:type w:val="continuous"/>
          <w:pgSz w:w="12240" w:h="15840" w:code="1"/>
          <w:pgMar w:top="1440" w:right="1440" w:bottom="1440" w:left="1440" w:header="720" w:footer="720" w:gutter="0"/>
          <w:cols w:space="720"/>
          <w:titlePg/>
          <w:docGrid w:linePitch="326"/>
        </w:sectPr>
      </w:pPr>
    </w:p>
    <w:tbl>
      <w:tblPr>
        <w:tblW w:w="0" w:type="auto"/>
        <w:tblInd w:w="-245" w:type="dxa"/>
        <w:tblLayout w:type="fixed"/>
        <w:tblCellMar>
          <w:left w:w="115" w:type="dxa"/>
          <w:right w:w="115" w:type="dxa"/>
        </w:tblCellMar>
        <w:tblLook w:val="0000" w:firstRow="0" w:lastRow="0" w:firstColumn="0" w:lastColumn="0" w:noHBand="0" w:noVBand="0"/>
      </w:tblPr>
      <w:tblGrid>
        <w:gridCol w:w="144"/>
        <w:gridCol w:w="4896"/>
        <w:gridCol w:w="1440"/>
        <w:gridCol w:w="1440"/>
        <w:gridCol w:w="1440"/>
      </w:tblGrid>
      <w:tr w:rsidR="00F61127" w:rsidTr="00491B1E" w14:paraId="6CE9523A"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59FD7E76" w14:textId="104A3C68">
            <w:pPr>
              <w:rPr>
                <w:sz w:val="2"/>
                <w:szCs w:val="2"/>
              </w:rPr>
            </w:pPr>
          </w:p>
        </w:tc>
      </w:tr>
      <w:tr w:rsidR="00F61127" w:rsidTr="00491B1E" w14:paraId="493F5760"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4E046159" w14:textId="77777777">
            <w:r w:rsidRPr="00FA76A7">
              <w:rPr>
                <w:b/>
                <w:bCs/>
              </w:rPr>
              <w:t>A26-05-00</w:t>
            </w:r>
            <w:r>
              <w:rPr>
                <w:b/>
                <w:bCs/>
              </w:rPr>
              <w:t>2</w:t>
            </w:r>
            <w:r>
              <w:br/>
              <w:t>San Diego Gas &amp; Electric Company, Southern California Gas Company, Application of Southern California Gas Company (U904G) and San Diego Gas &amp; Electric Company (U902M) for Authorization to Implement Revenue Requirement to Enable SAP Migration Program.</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19176AED"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26DC68A"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86657B4" w14:textId="77777777">
            <w:pPr>
              <w:jc w:val="center"/>
            </w:pPr>
          </w:p>
        </w:tc>
      </w:tr>
      <w:tr w:rsidR="00F61127" w:rsidTr="00491B1E" w14:paraId="30247F8C"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1E07E68D" w14:textId="0AFC097F">
            <w:pPr>
              <w:rPr>
                <w:sz w:val="2"/>
                <w:szCs w:val="2"/>
              </w:rPr>
            </w:pPr>
          </w:p>
        </w:tc>
      </w:tr>
      <w:tr w:rsidR="00F61127" w:rsidTr="00491B1E" w14:paraId="156DE000"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033DECEA" w14:textId="77777777">
            <w:r w:rsidRPr="00FA76A7">
              <w:rPr>
                <w:b/>
                <w:bCs/>
              </w:rPr>
              <w:t>A26-05-003</w:t>
            </w:r>
            <w:r>
              <w:rPr>
                <w:b/>
                <w:bCs/>
              </w:rPr>
              <w:t xml:space="preserve"> </w:t>
            </w:r>
            <w:r>
              <w:br/>
              <w:t>George Brian Hunt, Application of Pacific Coast Shuttles, LLC, dba Future Net, PSC-385784, to Increase fares, and establish a Zone of Rate Freedom (ZORF).</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79B67252"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74C9F29"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182E3E8" w14:textId="77777777">
            <w:pPr>
              <w:jc w:val="center"/>
            </w:pPr>
          </w:p>
        </w:tc>
      </w:tr>
      <w:tr w:rsidR="00F61127" w:rsidTr="00491B1E" w14:paraId="62F8CC3C"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333713A1" w14:textId="77777777">
            <w:pPr>
              <w:rPr>
                <w:sz w:val="2"/>
                <w:szCs w:val="2"/>
              </w:rPr>
            </w:pPr>
          </w:p>
        </w:tc>
      </w:tr>
      <w:tr w:rsidR="00F61127" w:rsidTr="00491B1E" w14:paraId="48D70BA4" w14:textId="77777777">
        <w:trPr>
          <w:gridBefore w:val="1"/>
          <w:wBefore w:w="144" w:type="dxa"/>
        </w:trPr>
        <w:tc>
          <w:tcPr>
            <w:tcW w:w="9216" w:type="dxa"/>
            <w:gridSpan w:val="4"/>
            <w:tcBorders>
              <w:top w:val="nil"/>
              <w:left w:val="nil"/>
              <w:bottom w:val="nil"/>
              <w:right w:val="nil"/>
            </w:tcBorders>
          </w:tcPr>
          <w:p w:rsidR="00F61127" w:rsidP="00491B1E" w:rsidRDefault="00F61127" w14:paraId="7DBFF997" w14:textId="77777777">
            <w:pPr>
              <w:rPr>
                <w:sz w:val="6"/>
                <w:szCs w:val="6"/>
              </w:rPr>
            </w:pPr>
          </w:p>
        </w:tc>
      </w:tr>
      <w:tr w:rsidR="00F61127" w:rsidTr="00491B1E" w14:paraId="1AE6E4AE"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7CE68118" w14:textId="77777777">
            <w:r>
              <w:rPr>
                <w:b/>
                <w:bCs/>
              </w:rPr>
              <w:t xml:space="preserve">A26-05-004 </w:t>
            </w:r>
            <w:r>
              <w:br/>
              <w:t xml:space="preserve">Tom Ross, Application of </w:t>
            </w:r>
            <w:proofErr w:type="spellStart"/>
            <w:r>
              <w:t>Te</w:t>
            </w:r>
            <w:proofErr w:type="spellEnd"/>
            <w:r>
              <w:t xml:space="preserve"> </w:t>
            </w:r>
            <w:proofErr w:type="spellStart"/>
            <w:r>
              <w:t>Conectamos</w:t>
            </w:r>
            <w:proofErr w:type="spellEnd"/>
            <w:r>
              <w:t xml:space="preserve"> dba </w:t>
            </w:r>
            <w:proofErr w:type="spellStart"/>
            <w:r>
              <w:t>Tekwerks</w:t>
            </w:r>
            <w:proofErr w:type="spellEnd"/>
            <w:r>
              <w:t xml:space="preserve"> Internet for Registration as A Telephone Corporation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1F372DA"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389D5DB"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9DE2965" w14:textId="77777777">
            <w:pPr>
              <w:jc w:val="center"/>
            </w:pPr>
          </w:p>
        </w:tc>
      </w:tr>
      <w:tr w:rsidR="00F61127" w:rsidTr="00491B1E" w14:paraId="0A7F0BC7"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6DA2680F" w14:textId="77777777">
            <w:pPr>
              <w:rPr>
                <w:sz w:val="2"/>
                <w:szCs w:val="2"/>
              </w:rPr>
            </w:pPr>
          </w:p>
        </w:tc>
      </w:tr>
      <w:tr w:rsidR="00F61127" w:rsidTr="00491B1E" w14:paraId="1450BD35"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46F37C60" w14:textId="77777777">
            <w:r w:rsidRPr="0061676A">
              <w:rPr>
                <w:b/>
                <w:bCs/>
              </w:rPr>
              <w:t>A26-05-005</w:t>
            </w:r>
            <w:r>
              <w:rPr>
                <w:b/>
                <w:bCs/>
              </w:rPr>
              <w:t xml:space="preserve"> </w:t>
            </w:r>
            <w:r>
              <w:br/>
              <w:t>San Diego Gas &amp; Electric Company, Application of San Diego Gas &amp; Electric Company (U902E) for a Permit to Construct the Suncrest 230kv Loop-In Project.</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5F759BA"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7D39E8CB"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1A4A4BD" w14:textId="77777777">
            <w:pPr>
              <w:jc w:val="center"/>
            </w:pPr>
          </w:p>
        </w:tc>
      </w:tr>
      <w:tr w:rsidR="00F61127" w:rsidTr="00491B1E" w14:paraId="12BFFE30"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787745DC" w14:textId="02050AF5">
            <w:pPr>
              <w:rPr>
                <w:sz w:val="2"/>
                <w:szCs w:val="2"/>
              </w:rPr>
            </w:pPr>
          </w:p>
        </w:tc>
      </w:tr>
      <w:tr w:rsidR="00F61127" w:rsidTr="00491B1E" w14:paraId="4FE696A8"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6A873540" w14:textId="77777777">
            <w:r w:rsidRPr="0061676A">
              <w:rPr>
                <w:b/>
                <w:bCs/>
              </w:rPr>
              <w:t>A26-05-006</w:t>
            </w:r>
            <w:r>
              <w:rPr>
                <w:b/>
                <w:bCs/>
              </w:rPr>
              <w:t xml:space="preserve"> </w:t>
            </w:r>
            <w:r>
              <w:br/>
              <w:t>Southern California Edison Company, Application of Southern California Edison Company (U 338-E) for Approval of its 2027 ERRA Forecast Proceeding Revenue Requirement.</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012D2D5"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D2F1583"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2591E28" w14:textId="77777777">
            <w:pPr>
              <w:jc w:val="center"/>
            </w:pPr>
          </w:p>
        </w:tc>
      </w:tr>
      <w:tr w:rsidR="00F61127" w:rsidTr="00491B1E" w14:paraId="02A5EE6B" w14:textId="77777777">
        <w:trPr>
          <w:gridBefore w:val="1"/>
          <w:wBefore w:w="144" w:type="dxa"/>
        </w:trPr>
        <w:tc>
          <w:tcPr>
            <w:tcW w:w="9216" w:type="dxa"/>
            <w:gridSpan w:val="4"/>
            <w:tcBorders>
              <w:top w:val="nil"/>
              <w:left w:val="nil"/>
              <w:bottom w:val="nil"/>
              <w:right w:val="nil"/>
            </w:tcBorders>
          </w:tcPr>
          <w:p w:rsidR="00F61127" w:rsidP="00491B1E" w:rsidRDefault="00F61127" w14:paraId="5C2E98BA" w14:textId="77777777">
            <w:pPr>
              <w:rPr>
                <w:sz w:val="6"/>
                <w:szCs w:val="6"/>
              </w:rPr>
            </w:pPr>
            <w:r>
              <w:rPr>
                <w:sz w:val="6"/>
                <w:szCs w:val="6"/>
              </w:rPr>
              <w:br/>
            </w:r>
          </w:p>
        </w:tc>
      </w:tr>
      <w:tr w:rsidR="00F61127" w:rsidTr="00491B1E" w14:paraId="5B1A1763"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32B81FFE" w14:textId="77777777">
            <w:r w:rsidRPr="0061676A">
              <w:rPr>
                <w:b/>
                <w:bCs/>
              </w:rPr>
              <w:lastRenderedPageBreak/>
              <w:t>A26-05-007</w:t>
            </w:r>
            <w:r>
              <w:rPr>
                <w:b/>
                <w:bCs/>
              </w:rPr>
              <w:t xml:space="preserve"> </w:t>
            </w:r>
            <w:r>
              <w:br/>
              <w:t xml:space="preserve">Pacific Gas and Electric Company, Application of Pacific Gas and Electric Company for Adoption of Electric Revenue Requirements and Rates Associated with its 2027 Energy Resource Recovery Account (ERRA) and Generation Non-By </w:t>
            </w:r>
            <w:proofErr w:type="gramStart"/>
            <w:r>
              <w:t>passable</w:t>
            </w:r>
            <w:proofErr w:type="gramEnd"/>
            <w:r>
              <w:t xml:space="preserve"> Charges Forecast and Greenhouse Gas Forecast Revenue Return and Reconciliation (U 39 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5CB011B1"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9A3898B"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1E075F5" w14:textId="77777777">
            <w:pPr>
              <w:jc w:val="center"/>
            </w:pPr>
          </w:p>
        </w:tc>
      </w:tr>
      <w:tr w:rsidR="00F61127" w:rsidTr="00491B1E" w14:paraId="04FBA361"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13001393" w14:textId="168206DD">
            <w:pPr>
              <w:rPr>
                <w:sz w:val="2"/>
                <w:szCs w:val="2"/>
              </w:rPr>
            </w:pPr>
          </w:p>
        </w:tc>
      </w:tr>
      <w:tr w:rsidR="00F61127" w:rsidTr="00491B1E" w14:paraId="151D4870"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44B783D3" w14:textId="77777777">
            <w:r w:rsidRPr="0061676A">
              <w:rPr>
                <w:b/>
                <w:bCs/>
              </w:rPr>
              <w:t>A26-05-009</w:t>
            </w:r>
            <w:r>
              <w:rPr>
                <w:b/>
                <w:bCs/>
              </w:rPr>
              <w:t xml:space="preserve"> </w:t>
            </w:r>
            <w:r>
              <w:br/>
              <w:t>San Diego Gas &amp; Electric Company, Application of San Diego Gas &amp; Electric Company (U902E) for Approval of its 2027 Electric Procurement Revenue Requirement Forecasts, 2027 Electric Sales Forecast, and GHG-Related Forecasts.</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F490959"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FF8710D"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915D1C5" w14:textId="77777777">
            <w:pPr>
              <w:jc w:val="center"/>
            </w:pPr>
          </w:p>
        </w:tc>
      </w:tr>
      <w:tr w:rsidR="00F61127" w:rsidTr="00491B1E" w14:paraId="40426653"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1F70AA4F" w14:textId="154E060F">
            <w:pPr>
              <w:rPr>
                <w:sz w:val="2"/>
                <w:szCs w:val="2"/>
              </w:rPr>
            </w:pPr>
          </w:p>
        </w:tc>
      </w:tr>
      <w:tr w:rsidR="00F61127" w:rsidTr="00491B1E" w14:paraId="71ACBD03"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4E5C5EE2" w14:textId="77777777">
            <w:r w:rsidRPr="0061676A">
              <w:rPr>
                <w:b/>
                <w:bCs/>
              </w:rPr>
              <w:t>A26-05-010</w:t>
            </w:r>
            <w:r>
              <w:rPr>
                <w:b/>
                <w:bCs/>
              </w:rPr>
              <w:t xml:space="preserve"> </w:t>
            </w:r>
            <w:r>
              <w:br/>
            </w:r>
            <w:proofErr w:type="spellStart"/>
            <w:r>
              <w:t>Lyina</w:t>
            </w:r>
            <w:proofErr w:type="spellEnd"/>
            <w:r>
              <w:t xml:space="preserve"> LEC LLC, Application of </w:t>
            </w:r>
            <w:proofErr w:type="spellStart"/>
            <w:r>
              <w:t>Lyina</w:t>
            </w:r>
            <w:proofErr w:type="spellEnd"/>
            <w:r>
              <w:t xml:space="preserve"> LEC LLC for Registration as a Telephone Corporation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8B0F10C"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71C373F"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0803638" w14:textId="77777777">
            <w:pPr>
              <w:jc w:val="center"/>
            </w:pPr>
          </w:p>
        </w:tc>
      </w:tr>
      <w:tr w:rsidR="00F61127" w:rsidTr="00491B1E" w14:paraId="6D52ABE8"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34C10E69" w14:textId="77777777">
            <w:pPr>
              <w:rPr>
                <w:sz w:val="2"/>
                <w:szCs w:val="2"/>
              </w:rPr>
            </w:pPr>
          </w:p>
        </w:tc>
      </w:tr>
      <w:tr w:rsidR="00F61127" w:rsidTr="00491B1E" w14:paraId="65604A99"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1799D45A" w14:textId="77777777">
            <w:r w:rsidRPr="0061676A">
              <w:rPr>
                <w:b/>
                <w:bCs/>
              </w:rPr>
              <w:t>A26-05-012</w:t>
            </w:r>
            <w:r>
              <w:rPr>
                <w:b/>
                <w:bCs/>
              </w:rPr>
              <w:t xml:space="preserve"> </w:t>
            </w:r>
            <w:r>
              <w:br/>
              <w:t xml:space="preserve">Race Telecommunications, </w:t>
            </w:r>
            <w:proofErr w:type="gramStart"/>
            <w:r>
              <w:t xml:space="preserve">LLC,   </w:t>
            </w:r>
            <w:proofErr w:type="gramEnd"/>
            <w:r>
              <w:t xml:space="preserve">                                     dba Race, Application of Race Telecommunications, LLC (U-7060-C) for a Full Facilities-Based Certificate of Public Convenience and Necessity Pursuant to Public Utilities Code Section 1001.</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37437EC"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1C920731"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92AADF5" w14:textId="77777777">
            <w:pPr>
              <w:jc w:val="center"/>
            </w:pPr>
          </w:p>
        </w:tc>
      </w:tr>
      <w:tr w:rsidR="00F61127" w:rsidTr="00491B1E" w14:paraId="2C21A310" w14:textId="77777777">
        <w:trPr>
          <w:gridBefore w:val="1"/>
          <w:wBefore w:w="144" w:type="dxa"/>
        </w:trPr>
        <w:tc>
          <w:tcPr>
            <w:tcW w:w="9216" w:type="dxa"/>
            <w:gridSpan w:val="4"/>
            <w:tcBorders>
              <w:top w:val="nil"/>
              <w:left w:val="nil"/>
              <w:bottom w:val="nil"/>
              <w:right w:val="nil"/>
            </w:tcBorders>
          </w:tcPr>
          <w:p w:rsidR="00F61127" w:rsidP="00491B1E" w:rsidRDefault="00F61127" w14:paraId="3A1AAB12" w14:textId="77777777">
            <w:pPr>
              <w:rPr>
                <w:sz w:val="6"/>
                <w:szCs w:val="6"/>
              </w:rPr>
            </w:pPr>
            <w:r>
              <w:rPr>
                <w:sz w:val="6"/>
                <w:szCs w:val="6"/>
              </w:rPr>
              <w:br/>
            </w:r>
          </w:p>
        </w:tc>
      </w:tr>
      <w:tr w:rsidR="00F61127" w:rsidTr="00491B1E" w14:paraId="2AF9D731"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21796844" w14:textId="77777777">
            <w:r w:rsidRPr="0061676A">
              <w:rPr>
                <w:b/>
                <w:bCs/>
              </w:rPr>
              <w:lastRenderedPageBreak/>
              <w:t>A26-05-014</w:t>
            </w:r>
            <w:r>
              <w:rPr>
                <w:b/>
                <w:bCs/>
              </w:rPr>
              <w:t xml:space="preserve"> </w:t>
            </w:r>
            <w:r>
              <w:br/>
            </w:r>
            <w:proofErr w:type="spellStart"/>
            <w:r>
              <w:t>Kauneonga</w:t>
            </w:r>
            <w:proofErr w:type="spellEnd"/>
            <w:r>
              <w:t xml:space="preserve"> LLC, Application of </w:t>
            </w:r>
            <w:proofErr w:type="spellStart"/>
            <w:r>
              <w:t>Kauneonga</w:t>
            </w:r>
            <w:proofErr w:type="spellEnd"/>
            <w:r>
              <w:t xml:space="preserve"> LLC for Registration as a Telephone Corporation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9A1CF2C"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5F9595FC"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8A7DDEF" w14:textId="77777777">
            <w:pPr>
              <w:jc w:val="center"/>
            </w:pPr>
          </w:p>
        </w:tc>
      </w:tr>
      <w:tr w:rsidR="00F61127" w:rsidTr="00491B1E" w14:paraId="0A4A30E7"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4DC14393" w14:textId="6D4B39A6">
            <w:pPr>
              <w:rPr>
                <w:sz w:val="2"/>
                <w:szCs w:val="2"/>
              </w:rPr>
            </w:pPr>
          </w:p>
        </w:tc>
      </w:tr>
      <w:tr w:rsidR="00F61127" w:rsidTr="00491B1E" w14:paraId="265DF193"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5B42C0DE" w14:textId="77777777">
            <w:r w:rsidRPr="0061676A">
              <w:rPr>
                <w:b/>
                <w:bCs/>
              </w:rPr>
              <w:t>A26-05-018</w:t>
            </w:r>
            <w:r>
              <w:rPr>
                <w:b/>
                <w:bCs/>
              </w:rPr>
              <w:t xml:space="preserve"> </w:t>
            </w:r>
            <w:r>
              <w:br/>
              <w:t xml:space="preserve">Southern California Edison Company, Application </w:t>
            </w:r>
            <w:proofErr w:type="gramStart"/>
            <w:r>
              <w:t>Of</w:t>
            </w:r>
            <w:proofErr w:type="gramEnd"/>
            <w:r>
              <w:t xml:space="preserve"> Southern California Edison Company (U338E) Regarding 2026 Risk Assessment Mitigation Phase.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AEDF245"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57410F2"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50BAB927" w14:textId="77777777">
            <w:pPr>
              <w:jc w:val="center"/>
            </w:pPr>
          </w:p>
        </w:tc>
      </w:tr>
      <w:tr w:rsidR="00F61127" w:rsidTr="00491B1E" w14:paraId="6A61BA07"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7D095729" w14:textId="79EF8B17">
            <w:pPr>
              <w:rPr>
                <w:sz w:val="2"/>
                <w:szCs w:val="2"/>
              </w:rPr>
            </w:pPr>
          </w:p>
        </w:tc>
      </w:tr>
      <w:tr w:rsidR="00F61127" w:rsidTr="00491B1E" w14:paraId="31D48B56"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422A7B61" w14:textId="77777777">
            <w:r w:rsidRPr="0061676A">
              <w:rPr>
                <w:b/>
                <w:bCs/>
              </w:rPr>
              <w:t>A26-05-020</w:t>
            </w:r>
            <w:r>
              <w:rPr>
                <w:b/>
                <w:bCs/>
              </w:rPr>
              <w:t xml:space="preserve"> </w:t>
            </w:r>
            <w:r>
              <w:br/>
              <w:t>Wiretap Telecom LLC, Application of Wiretap Telecom LLC for registration as a telephone corporation,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72CC1419"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1A2BF773"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3C0ADB4" w14:textId="77777777">
            <w:pPr>
              <w:jc w:val="center"/>
            </w:pPr>
          </w:p>
        </w:tc>
      </w:tr>
      <w:tr w:rsidR="00F61127" w:rsidTr="00491B1E" w14:paraId="053CC033"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41F23DE1" w14:textId="75B7DFDF">
            <w:pPr>
              <w:rPr>
                <w:sz w:val="2"/>
                <w:szCs w:val="2"/>
              </w:rPr>
            </w:pPr>
          </w:p>
        </w:tc>
      </w:tr>
      <w:tr w:rsidR="00F61127" w:rsidTr="00491B1E" w14:paraId="6A26FA00"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06A627BE" w14:textId="77777777">
            <w:r w:rsidRPr="0061676A">
              <w:rPr>
                <w:b/>
                <w:bCs/>
              </w:rPr>
              <w:t>A26-05-021</w:t>
            </w:r>
            <w:r>
              <w:rPr>
                <w:b/>
                <w:bCs/>
              </w:rPr>
              <w:t xml:space="preserve"> </w:t>
            </w:r>
            <w:r>
              <w:br/>
              <w:t>Communication Service Solutions L.L.C., Application of Communication Service Solutions, L.L.C. for Registration as a Telephone Corporation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F4F54E1"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1177FFB4"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3994633" w14:textId="77777777">
            <w:pPr>
              <w:jc w:val="center"/>
            </w:pPr>
          </w:p>
        </w:tc>
      </w:tr>
      <w:tr w:rsidR="00F61127" w:rsidTr="00491B1E" w14:paraId="0116D0C9"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7451CC48" w14:textId="2A146B38">
            <w:pPr>
              <w:rPr>
                <w:sz w:val="2"/>
                <w:szCs w:val="2"/>
              </w:rPr>
            </w:pPr>
          </w:p>
        </w:tc>
      </w:tr>
      <w:tr w:rsidR="00F61127" w:rsidTr="00491B1E" w14:paraId="1AEDA3C4"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63544E6A" w14:textId="77777777">
            <w:r w:rsidRPr="00D0450C">
              <w:rPr>
                <w:b/>
                <w:bCs/>
              </w:rPr>
              <w:t>A26-05-022</w:t>
            </w:r>
            <w:r>
              <w:rPr>
                <w:b/>
                <w:bCs/>
              </w:rPr>
              <w:t xml:space="preserve"> </w:t>
            </w:r>
            <w:r>
              <w:br/>
              <w:t>SFPP, L.P., In the Matter of the Application of SFPP, L.P. (PLC-9) for Authority to Increase Rates for Transportation of Refined Petroleum Products.</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4511678"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5D7D65B"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44735F3" w14:textId="77777777">
            <w:pPr>
              <w:jc w:val="center"/>
            </w:pPr>
          </w:p>
        </w:tc>
      </w:tr>
    </w:tbl>
    <w:p w:rsidR="00F61127" w:rsidP="00F61127" w:rsidRDefault="00F61127" w14:paraId="29B04CAD" w14:textId="77777777">
      <w:r>
        <w:br w:type="page"/>
      </w:r>
    </w:p>
    <w:tbl>
      <w:tblPr>
        <w:tblW w:w="0" w:type="auto"/>
        <w:tblInd w:w="-245" w:type="dxa"/>
        <w:tblLayout w:type="fixed"/>
        <w:tblCellMar>
          <w:left w:w="115" w:type="dxa"/>
          <w:right w:w="115" w:type="dxa"/>
        </w:tblCellMar>
        <w:tblLook w:val="0000" w:firstRow="0" w:lastRow="0" w:firstColumn="0" w:lastColumn="0" w:noHBand="0" w:noVBand="0"/>
      </w:tblPr>
      <w:tblGrid>
        <w:gridCol w:w="144"/>
        <w:gridCol w:w="4896"/>
        <w:gridCol w:w="1440"/>
        <w:gridCol w:w="1440"/>
        <w:gridCol w:w="1440"/>
      </w:tblGrid>
      <w:tr w:rsidR="00F61127" w:rsidTr="00491B1E" w14:paraId="5176681E"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6B7A64B5" w14:textId="6C620AE6">
            <w:pPr>
              <w:rPr>
                <w:sz w:val="2"/>
                <w:szCs w:val="2"/>
              </w:rPr>
            </w:pPr>
          </w:p>
        </w:tc>
      </w:tr>
      <w:tr w:rsidR="00F61127" w:rsidTr="00491B1E" w14:paraId="2239A6EC"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4685242F" w14:textId="77777777">
            <w:r w:rsidRPr="00D0450C">
              <w:rPr>
                <w:b/>
                <w:bCs/>
              </w:rPr>
              <w:t>A26-05-023</w:t>
            </w:r>
            <w:r>
              <w:rPr>
                <w:b/>
                <w:bCs/>
              </w:rPr>
              <w:t xml:space="preserve"> </w:t>
            </w:r>
            <w:r>
              <w:br/>
              <w:t>The Sonoma County Airport Express, Inc.,                                        dba Groome, In the Matter of the Application of the Sonoma County Airport Express, Inc. PSC-1120 to establish new base tariff rates and to  establish a Zone of Rate Freedom ("ZORF") of Plus 15% or Minus 15%, to that newly established tariff, pursuant to provisions of Pub. Util. Code 454.2, and to modify certain of its services and routes.</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7CC9FE61"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C30D13D"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7D7F0B2" w14:textId="77777777">
            <w:pPr>
              <w:jc w:val="center"/>
            </w:pPr>
          </w:p>
        </w:tc>
      </w:tr>
      <w:tr w:rsidR="00F61127" w:rsidTr="00491B1E" w14:paraId="623469F1"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66EB0BE6" w14:textId="77777777">
            <w:pPr>
              <w:rPr>
                <w:sz w:val="2"/>
                <w:szCs w:val="2"/>
              </w:rPr>
            </w:pPr>
          </w:p>
        </w:tc>
      </w:tr>
      <w:tr w:rsidR="00F61127" w:rsidTr="00491B1E" w14:paraId="6CB1AD9A"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0FD13844" w14:textId="77777777">
            <w:r w:rsidRPr="00D0450C">
              <w:rPr>
                <w:b/>
                <w:bCs/>
              </w:rPr>
              <w:t>A26-05-029</w:t>
            </w:r>
            <w:r>
              <w:rPr>
                <w:b/>
                <w:bCs/>
              </w:rPr>
              <w:t xml:space="preserve"> </w:t>
            </w:r>
            <w:r>
              <w:br/>
            </w:r>
            <w:proofErr w:type="spellStart"/>
            <w:r>
              <w:t>Wirestar</w:t>
            </w:r>
            <w:proofErr w:type="spellEnd"/>
            <w:r>
              <w:t xml:space="preserve">, Inc., Application of </w:t>
            </w:r>
            <w:proofErr w:type="spellStart"/>
            <w:r>
              <w:t>Wirestar</w:t>
            </w:r>
            <w:proofErr w:type="spellEnd"/>
            <w:r>
              <w:t>, Inc. for Registration as a Telephone Corporation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86849E3"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3E78AB8"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4C174FB" w14:textId="77777777">
            <w:pPr>
              <w:jc w:val="center"/>
            </w:pPr>
          </w:p>
        </w:tc>
      </w:tr>
      <w:tr w:rsidR="00F61127" w:rsidTr="00491B1E" w14:paraId="686B479E"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775DE6C7" w14:textId="0849054E">
            <w:pPr>
              <w:rPr>
                <w:sz w:val="2"/>
                <w:szCs w:val="2"/>
              </w:rPr>
            </w:pPr>
          </w:p>
        </w:tc>
      </w:tr>
      <w:tr w:rsidR="00F61127" w:rsidTr="00491B1E" w14:paraId="378274CB"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76A764D1" w14:textId="77777777">
            <w:r w:rsidRPr="00D0450C">
              <w:rPr>
                <w:b/>
                <w:bCs/>
              </w:rPr>
              <w:t>A26-06-001</w:t>
            </w:r>
            <w:r>
              <w:rPr>
                <w:b/>
                <w:bCs/>
              </w:rPr>
              <w:t xml:space="preserve"> </w:t>
            </w:r>
            <w:r>
              <w:br/>
              <w:t>San Diego Gas &amp; Electric Company, Application of San Diego Gas &amp; Electric Company (U902E) for Approval of:  (</w:t>
            </w:r>
            <w:proofErr w:type="spellStart"/>
            <w:r>
              <w:t>i</w:t>
            </w:r>
            <w:proofErr w:type="spellEnd"/>
            <w:r>
              <w:t>) Contract Administration, Least-Cost Dispatch and Power Procurement Activities in 2025, (ii) Costs Related to those Activities Recorded to the Energy Resource Recovery Account, Portfolio Allocation Balancing Account, Transition Cost Balancing Account, Local Generating Balancing Account, and Modified Cost Allocation Mechanism Balancing Account in 2025, and (iii) Costs Recorded in Related Regulatory Accounts in 2025.</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ED39FC3"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7A4BCCD" w14:textId="77777777">
            <w:pPr>
              <w:jc w:val="center"/>
            </w:pPr>
            <w:proofErr w:type="spellStart"/>
            <w:r>
              <w:t>Ratesetting</w:t>
            </w:r>
            <w:proofErr w:type="spellEnd"/>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35EBF0D2" w14:textId="77777777">
            <w:pPr>
              <w:jc w:val="center"/>
            </w:pPr>
          </w:p>
        </w:tc>
      </w:tr>
      <w:tr w:rsidR="00F61127" w:rsidTr="00491B1E" w14:paraId="5408753F" w14:textId="77777777">
        <w:trPr>
          <w:gridBefore w:val="1"/>
          <w:wBefore w:w="144" w:type="dxa"/>
        </w:trPr>
        <w:tc>
          <w:tcPr>
            <w:tcW w:w="9216" w:type="dxa"/>
            <w:gridSpan w:val="4"/>
            <w:tcBorders>
              <w:top w:val="nil"/>
              <w:left w:val="nil"/>
              <w:bottom w:val="nil"/>
              <w:right w:val="nil"/>
            </w:tcBorders>
          </w:tcPr>
          <w:p w:rsidR="00F61127" w:rsidP="00491B1E" w:rsidRDefault="00F61127" w14:paraId="22C754AF" w14:textId="745D3C9A">
            <w:pPr>
              <w:rPr>
                <w:sz w:val="6"/>
                <w:szCs w:val="6"/>
              </w:rPr>
            </w:pPr>
          </w:p>
        </w:tc>
      </w:tr>
      <w:tr w:rsidR="00F61127" w:rsidTr="00491B1E" w14:paraId="5666CCCD"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6386CA27" w14:textId="77777777">
            <w:r w:rsidRPr="00716BBE">
              <w:rPr>
                <w:b/>
                <w:bCs/>
              </w:rPr>
              <w:lastRenderedPageBreak/>
              <w:t>A26-06-002</w:t>
            </w:r>
            <w:r>
              <w:rPr>
                <w:b/>
                <w:bCs/>
              </w:rPr>
              <w:t xml:space="preserve"> </w:t>
            </w:r>
            <w:r>
              <w:br/>
              <w:t>James Scrivano dba as Lucky Bus Services, Application of James Scrivano dba as Lucky Bus Services for Authority to Operate as a Scheduled Individual Fare, Shuttle Service, Passenger Stage Corporation between Metropolitan Bakersfield and the Hard Rock Casino Tejon, and to establish Zone of Rate Freedom.</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450612F5" w14:textId="77777777">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15122436"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7403F1F9" w14:textId="77777777"/>
        </w:tc>
      </w:tr>
      <w:tr w:rsidR="00F61127" w:rsidTr="00491B1E" w14:paraId="607809E8"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40CBAB51" w14:textId="37EAD3C9">
            <w:pPr>
              <w:rPr>
                <w:sz w:val="2"/>
                <w:szCs w:val="2"/>
              </w:rPr>
            </w:pPr>
          </w:p>
        </w:tc>
      </w:tr>
      <w:tr w:rsidR="00F61127" w:rsidTr="00491B1E" w14:paraId="11AA07E2"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7820EE0F" w14:textId="77777777">
            <w:r w:rsidRPr="00716BBE">
              <w:rPr>
                <w:b/>
                <w:bCs/>
              </w:rPr>
              <w:t>A26-06-003</w:t>
            </w:r>
            <w:r>
              <w:rPr>
                <w:b/>
                <w:bCs/>
              </w:rPr>
              <w:t xml:space="preserve"> </w:t>
            </w:r>
            <w:r>
              <w:br/>
              <w:t>American Broadband and Telecommunications Company LLC, Application of American Broadband and Telecommunications Company LLC (U-4457-C) for Appeal Request for Expedited Schedule.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2599B0E" w14:textId="77777777">
            <w:pPr>
              <w:jc w:val="center"/>
            </w:pPr>
            <w:r>
              <w:t xml:space="preserve">Adjudicatory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29E2740" w14:textId="77777777">
            <w:pPr>
              <w:jc w:val="center"/>
            </w:pPr>
            <w:r>
              <w:t>Adjudicatory</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854A0CF" w14:textId="77777777">
            <w:pPr>
              <w:jc w:val="center"/>
            </w:pPr>
          </w:p>
        </w:tc>
      </w:tr>
      <w:tr w:rsidR="00F61127" w:rsidTr="00491B1E" w14:paraId="1E114A89" w14:textId="77777777">
        <w:trPr>
          <w:gridBefore w:val="1"/>
          <w:wBefore w:w="144" w:type="dxa"/>
        </w:trPr>
        <w:tc>
          <w:tcPr>
            <w:tcW w:w="9216" w:type="dxa"/>
            <w:gridSpan w:val="4"/>
            <w:tcBorders>
              <w:top w:val="nil"/>
              <w:left w:val="nil"/>
              <w:bottom w:val="nil"/>
              <w:right w:val="nil"/>
            </w:tcBorders>
          </w:tcPr>
          <w:p w:rsidRPr="00F61127" w:rsidR="00F61127" w:rsidP="00F61127" w:rsidRDefault="00F61127" w14:paraId="3BCC0CBC" w14:textId="0BB8187F">
            <w:pPr>
              <w:rPr>
                <w:sz w:val="2"/>
                <w:szCs w:val="2"/>
              </w:rPr>
            </w:pPr>
          </w:p>
        </w:tc>
      </w:tr>
      <w:tr w:rsidR="00F61127" w:rsidTr="00491B1E" w14:paraId="787E0FD2"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18653321" w14:textId="77777777">
            <w:r w:rsidRPr="00716BBE">
              <w:rPr>
                <w:b/>
                <w:bCs/>
              </w:rPr>
              <w:t>A26-06-004</w:t>
            </w:r>
            <w:r>
              <w:rPr>
                <w:b/>
                <w:bCs/>
              </w:rPr>
              <w:t xml:space="preserve"> </w:t>
            </w:r>
            <w:r>
              <w:br/>
              <w:t>The Sonoma County Airport Express, Inc.,                                        dba Groome, The Sonoma County Airport Express, Inc. PSC-1120 to modify Applicant's existing Certificate of Public Convenience and Necessity (CPCN) to operate scheduled passenger stage corporation service between points in Napa, California, and San Francisco International Airport, with an intermediate stop at Petaluma, California, and to establish a Zone of Rate Freedom.</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7D6725CB" w14:textId="77777777">
            <w:pPr>
              <w:jc w:val="center"/>
            </w:pPr>
            <w:proofErr w:type="spellStart"/>
            <w:r>
              <w:t>Ratesetting</w:t>
            </w:r>
            <w:proofErr w:type="spellEnd"/>
            <w:r>
              <w:t xml:space="preserve">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7921CE69"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20F8811E" w14:textId="77777777">
            <w:pPr>
              <w:jc w:val="center"/>
            </w:pPr>
          </w:p>
        </w:tc>
      </w:tr>
      <w:tr w:rsidR="00F61127" w:rsidTr="00491B1E" w14:paraId="6C9069B0" w14:textId="77777777">
        <w:trPr>
          <w:gridBefore w:val="1"/>
          <w:wBefore w:w="144" w:type="dxa"/>
        </w:trPr>
        <w:tc>
          <w:tcPr>
            <w:tcW w:w="9216" w:type="dxa"/>
            <w:gridSpan w:val="4"/>
            <w:tcBorders>
              <w:top w:val="nil"/>
              <w:left w:val="nil"/>
              <w:bottom w:val="nil"/>
              <w:right w:val="nil"/>
            </w:tcBorders>
          </w:tcPr>
          <w:p w:rsidRPr="00F61127" w:rsidR="00F61127" w:rsidP="00491B1E" w:rsidRDefault="00F61127" w14:paraId="706EFA97" w14:textId="77777777">
            <w:pPr>
              <w:rPr>
                <w:sz w:val="2"/>
                <w:szCs w:val="2"/>
              </w:rPr>
            </w:pPr>
          </w:p>
        </w:tc>
      </w:tr>
      <w:tr w:rsidR="00F61127" w:rsidTr="00491B1E" w14:paraId="1BAD526C" w14:textId="77777777">
        <w:tc>
          <w:tcPr>
            <w:tcW w:w="5040" w:type="dxa"/>
            <w:gridSpan w:val="2"/>
            <w:tcBorders>
              <w:top w:val="single" w:color="auto" w:sz="6" w:space="0"/>
              <w:left w:val="single" w:color="auto" w:sz="6" w:space="0"/>
              <w:bottom w:val="single" w:color="auto" w:sz="6" w:space="0"/>
              <w:right w:val="single" w:color="auto" w:sz="6" w:space="0"/>
            </w:tcBorders>
          </w:tcPr>
          <w:p w:rsidR="00F61127" w:rsidP="00491B1E" w:rsidRDefault="00F61127" w14:paraId="7B33886F" w14:textId="77777777">
            <w:r w:rsidRPr="00716BBE">
              <w:rPr>
                <w:b/>
                <w:bCs/>
              </w:rPr>
              <w:t>A26-06-005</w:t>
            </w:r>
            <w:r>
              <w:rPr>
                <w:b/>
                <w:bCs/>
              </w:rPr>
              <w:t xml:space="preserve"> </w:t>
            </w:r>
            <w:r>
              <w:br/>
              <w:t xml:space="preserve">Bauer's Intelligent Transportation, Inc., Application of Bauer's Intelligent Transportation, Inc. for Authority to Operate </w:t>
            </w:r>
            <w:r>
              <w:lastRenderedPageBreak/>
              <w:t>as Self-Insured Charter-Party Carrier of Passengers pursuant to Public Utilities Commission General Order No. 115-G.</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03060223" w14:textId="77777777">
            <w:pPr>
              <w:jc w:val="center"/>
            </w:pPr>
            <w:r>
              <w:lastRenderedPageBreak/>
              <w:t xml:space="preserve">Adjudicatory </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188CBD47" w14:textId="77777777">
            <w:pPr>
              <w:jc w:val="center"/>
            </w:pPr>
            <w:r>
              <w:t>Not Applicable</w:t>
            </w:r>
          </w:p>
        </w:tc>
        <w:tc>
          <w:tcPr>
            <w:tcW w:w="1440" w:type="dxa"/>
            <w:tcBorders>
              <w:top w:val="single" w:color="auto" w:sz="6" w:space="0"/>
              <w:left w:val="single" w:color="auto" w:sz="6" w:space="0"/>
              <w:bottom w:val="single" w:color="auto" w:sz="6" w:space="0"/>
              <w:right w:val="single" w:color="auto" w:sz="6" w:space="0"/>
            </w:tcBorders>
          </w:tcPr>
          <w:p w:rsidR="00F61127" w:rsidP="00491B1E" w:rsidRDefault="00F61127" w14:paraId="6A4607FD" w14:textId="77777777">
            <w:pPr>
              <w:jc w:val="center"/>
            </w:pPr>
          </w:p>
        </w:tc>
      </w:tr>
    </w:tbl>
    <w:p w:rsidR="00F61127" w:rsidP="00F61127" w:rsidRDefault="00F61127" w14:paraId="633FC715" w14:textId="77777777"/>
    <w:p w:rsidRPr="001648F0" w:rsidR="001648F0" w:rsidP="001648F0" w:rsidRDefault="001648F0" w14:paraId="58AFAE92" w14:textId="0F5DE0CD">
      <w:pPr>
        <w:tabs>
          <w:tab w:val="left" w:pos="3585"/>
        </w:tabs>
      </w:pPr>
    </w:p>
    <w:sectPr w:rsidRPr="001648F0" w:rsidR="001648F0" w:rsidSect="00F61127">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AF15" w14:textId="77777777" w:rsidR="009C7979" w:rsidRDefault="009C7979">
      <w:r>
        <w:separator/>
      </w:r>
    </w:p>
  </w:endnote>
  <w:endnote w:type="continuationSeparator" w:id="0">
    <w:p w14:paraId="35CAE6E6" w14:textId="77777777" w:rsidR="009C7979" w:rsidRDefault="009C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7ADC" w14:textId="170659D5" w:rsidR="00591E1E" w:rsidRPr="00591E1E" w:rsidRDefault="00591E1E" w:rsidP="00591E1E">
    <w:pPr>
      <w:pStyle w:val="Footer"/>
      <w:tabs>
        <w:tab w:val="clear" w:pos="4320"/>
        <w:tab w:val="center" w:pos="4680"/>
      </w:tabs>
      <w:jc w:val="center"/>
      <w:rPr>
        <w:rFonts w:ascii="Book Antiqua" w:hAnsi="Book Antiqua"/>
      </w:rPr>
    </w:pPr>
    <w:r w:rsidRPr="001648F0">
      <w:rPr>
        <w:rFonts w:ascii="Book Antiqua" w:hAnsi="Book Antiqua"/>
      </w:rPr>
      <w:t xml:space="preserve">- </w:t>
    </w:r>
    <w:r w:rsidRPr="001648F0">
      <w:rPr>
        <w:rStyle w:val="PageNumber"/>
        <w:rFonts w:ascii="Book Antiqua" w:hAnsi="Book Antiqua"/>
      </w:rPr>
      <w:fldChar w:fldCharType="begin"/>
    </w:r>
    <w:r w:rsidRPr="001648F0">
      <w:rPr>
        <w:rStyle w:val="PageNumber"/>
        <w:rFonts w:ascii="Book Antiqua" w:hAnsi="Book Antiqua"/>
      </w:rPr>
      <w:instrText xml:space="preserve"> PAGE </w:instrText>
    </w:r>
    <w:r w:rsidRPr="001648F0">
      <w:rPr>
        <w:rStyle w:val="PageNumber"/>
        <w:rFonts w:ascii="Book Antiqua" w:hAnsi="Book Antiqua"/>
      </w:rPr>
      <w:fldChar w:fldCharType="separate"/>
    </w:r>
    <w:r>
      <w:rPr>
        <w:rStyle w:val="PageNumber"/>
        <w:rFonts w:ascii="Book Antiqua" w:hAnsi="Book Antiqua"/>
      </w:rPr>
      <w:t>1</w:t>
    </w:r>
    <w:r w:rsidRPr="001648F0">
      <w:rPr>
        <w:rStyle w:val="PageNumber"/>
        <w:rFonts w:ascii="Book Antiqua" w:hAnsi="Book Antiqua"/>
      </w:rPr>
      <w:fldChar w:fldCharType="end"/>
    </w:r>
    <w:r w:rsidRPr="001648F0">
      <w:rPr>
        <w:rStyle w:val="PageNumbe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FC6C" w14:textId="1F06CBD9" w:rsidR="00591E1E" w:rsidRPr="00591E1E" w:rsidRDefault="006A5E3F" w:rsidP="00642538">
    <w:pPr>
      <w:pStyle w:val="Footer"/>
      <w:tabs>
        <w:tab w:val="clear" w:pos="4320"/>
        <w:tab w:val="center" w:pos="4680"/>
      </w:tabs>
      <w:rPr>
        <w:rFonts w:ascii="Book Antiqua" w:hAnsi="Book Antiqua"/>
      </w:rPr>
    </w:pPr>
    <w:r w:rsidRPr="006A5E3F">
      <w:rPr>
        <w:rFonts w:ascii="Book Antiqua" w:hAnsi="Book Antiqua"/>
        <w:sz w:val="16"/>
        <w:szCs w:val="16"/>
      </w:rPr>
      <w:t>608655249</w:t>
    </w:r>
    <w:r w:rsidR="00642538">
      <w:rPr>
        <w:rFonts w:ascii="Book Antiqua" w:hAnsi="Book Antiqua"/>
      </w:rPr>
      <w:tab/>
    </w:r>
    <w:r w:rsidR="00591E1E" w:rsidRPr="001648F0">
      <w:rPr>
        <w:rFonts w:ascii="Book Antiqua" w:hAnsi="Book Antiqua"/>
      </w:rPr>
      <w:t xml:space="preserve">- </w:t>
    </w:r>
    <w:r w:rsidR="00591E1E" w:rsidRPr="001648F0">
      <w:rPr>
        <w:rStyle w:val="PageNumber"/>
        <w:rFonts w:ascii="Book Antiqua" w:hAnsi="Book Antiqua"/>
      </w:rPr>
      <w:fldChar w:fldCharType="begin"/>
    </w:r>
    <w:r w:rsidR="00591E1E" w:rsidRPr="001648F0">
      <w:rPr>
        <w:rStyle w:val="PageNumber"/>
        <w:rFonts w:ascii="Book Antiqua" w:hAnsi="Book Antiqua"/>
      </w:rPr>
      <w:instrText xml:space="preserve"> PAGE </w:instrText>
    </w:r>
    <w:r w:rsidR="00591E1E" w:rsidRPr="001648F0">
      <w:rPr>
        <w:rStyle w:val="PageNumber"/>
        <w:rFonts w:ascii="Book Antiqua" w:hAnsi="Book Antiqua"/>
      </w:rPr>
      <w:fldChar w:fldCharType="separate"/>
    </w:r>
    <w:r w:rsidR="00591E1E">
      <w:rPr>
        <w:rStyle w:val="PageNumber"/>
        <w:rFonts w:ascii="Book Antiqua" w:hAnsi="Book Antiqua"/>
      </w:rPr>
      <w:t>1</w:t>
    </w:r>
    <w:r w:rsidR="00591E1E" w:rsidRPr="001648F0">
      <w:rPr>
        <w:rStyle w:val="PageNumber"/>
        <w:rFonts w:ascii="Book Antiqua" w:hAnsi="Book Antiqua"/>
      </w:rPr>
      <w:fldChar w:fldCharType="end"/>
    </w:r>
    <w:r w:rsidR="00591E1E" w:rsidRPr="001648F0">
      <w:rPr>
        <w:rStyle w:val="PageNumber"/>
        <w:rFonts w:ascii="Book Antiqua" w:hAnsi="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1" w:type="dxa"/>
      <w:tblLayout w:type="fixed"/>
      <w:tblCellMar>
        <w:left w:w="115" w:type="dxa"/>
        <w:right w:w="115" w:type="dxa"/>
      </w:tblCellMar>
      <w:tblLook w:val="0000" w:firstRow="0" w:lastRow="0" w:firstColumn="0" w:lastColumn="0" w:noHBand="0" w:noVBand="0"/>
    </w:tblPr>
    <w:tblGrid>
      <w:gridCol w:w="9216"/>
    </w:tblGrid>
    <w:tr w:rsidR="00F61127" w14:paraId="03774454" w14:textId="77777777">
      <w:tc>
        <w:tcPr>
          <w:tcW w:w="9216" w:type="dxa"/>
          <w:tcBorders>
            <w:top w:val="nil"/>
            <w:left w:val="nil"/>
            <w:bottom w:val="nil"/>
            <w:right w:val="nil"/>
          </w:tcBorders>
        </w:tcPr>
        <w:p w14:paraId="5CFD7B7D" w14:textId="77777777" w:rsidR="00F61127" w:rsidRDefault="00F61127">
          <w:pPr>
            <w:jc w:val="center"/>
            <w:rPr>
              <w:szCs w:val="24"/>
            </w:rPr>
          </w:pPr>
          <w:r>
            <w:rPr>
              <w:szCs w:val="24"/>
            </w:rPr>
            <w:t xml:space="preserve">- </w:t>
          </w:r>
          <w:r>
            <w:rPr>
              <w:szCs w:val="24"/>
            </w:rPr>
            <w:pgNum/>
          </w:r>
          <w:r>
            <w:rPr>
              <w:szCs w:val="24"/>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93E6" w14:textId="77777777" w:rsidR="009C7979" w:rsidRDefault="009C7979">
      <w:r>
        <w:separator/>
      </w:r>
    </w:p>
  </w:footnote>
  <w:footnote w:type="continuationSeparator" w:id="0">
    <w:p w14:paraId="56215860" w14:textId="77777777" w:rsidR="009C7979" w:rsidRDefault="009C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9E1E" w14:textId="423A229D" w:rsidR="00642538" w:rsidRDefault="00C95FDE" w:rsidP="00FD3B90">
    <w:pPr>
      <w:pStyle w:val="Header"/>
      <w:tabs>
        <w:tab w:val="clear" w:pos="4320"/>
        <w:tab w:val="clear" w:pos="8640"/>
        <w:tab w:val="right" w:pos="9180"/>
      </w:tabs>
      <w:rPr>
        <w:rFonts w:ascii="Book Antiqua" w:hAnsi="Book Antiqua"/>
        <w:b/>
      </w:rPr>
    </w:pPr>
    <w:r w:rsidRPr="00FD3B90">
      <w:rPr>
        <w:rFonts w:ascii="Book Antiqua" w:hAnsi="Book Antiqua"/>
      </w:rPr>
      <w:t>ALJ/</w:t>
    </w:r>
    <w:proofErr w:type="spellStart"/>
    <w:r w:rsidR="00C77084">
      <w:rPr>
        <w:rFonts w:ascii="Book Antiqua" w:hAnsi="Book Antiqua"/>
      </w:rPr>
      <w:t>avs</w:t>
    </w:r>
    <w:proofErr w:type="spellEnd"/>
    <w:r w:rsidR="007D4976">
      <w:rPr>
        <w:rFonts w:ascii="Book Antiqua" w:hAnsi="Book Antiqua"/>
      </w:rPr>
      <w:t>/</w:t>
    </w:r>
    <w:proofErr w:type="spellStart"/>
    <w:r w:rsidR="007D4976">
      <w:rPr>
        <w:rFonts w:ascii="Book Antiqua" w:hAnsi="Book Antiqua"/>
      </w:rPr>
      <w:t>asf</w:t>
    </w:r>
    <w:proofErr w:type="spellEnd"/>
    <w:r w:rsidR="00FD3B90" w:rsidRPr="00FD3B90">
      <w:rPr>
        <w:rFonts w:ascii="Book Antiqua" w:hAnsi="Book Antiqua"/>
      </w:rPr>
      <w:tab/>
    </w:r>
    <w:r w:rsidRPr="00FD3B90">
      <w:rPr>
        <w:rFonts w:ascii="Book Antiqua" w:hAnsi="Book Antiqua"/>
        <w:b/>
      </w:rPr>
      <w:t>DRAFT</w:t>
    </w:r>
  </w:p>
  <w:p w14:paraId="5A833EA5" w14:textId="77777777" w:rsidR="00642538" w:rsidRDefault="00642538" w:rsidP="00FD3B90">
    <w:pPr>
      <w:pStyle w:val="Header"/>
      <w:tabs>
        <w:tab w:val="clear" w:pos="4320"/>
        <w:tab w:val="clear" w:pos="8640"/>
        <w:tab w:val="right" w:pos="9180"/>
      </w:tabs>
      <w:rPr>
        <w:rFonts w:ascii="Book Antiqua" w:hAnsi="Book Antiqua"/>
        <w:b/>
      </w:rPr>
    </w:pPr>
  </w:p>
  <w:p w14:paraId="46AAFA57" w14:textId="77777777" w:rsidR="00642538" w:rsidRPr="00FD3B90" w:rsidRDefault="00642538" w:rsidP="00FD3B90">
    <w:pPr>
      <w:pStyle w:val="Header"/>
      <w:tabs>
        <w:tab w:val="clear" w:pos="4320"/>
        <w:tab w:val="clear" w:pos="8640"/>
        <w:tab w:val="right" w:pos="9180"/>
      </w:tabs>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45" w:type="dxa"/>
      <w:tblLayout w:type="fixed"/>
      <w:tblCellMar>
        <w:left w:w="115" w:type="dxa"/>
        <w:right w:w="115" w:type="dxa"/>
      </w:tblCellMar>
      <w:tblLook w:val="0000" w:firstRow="0" w:lastRow="0" w:firstColumn="0" w:lastColumn="0" w:noHBand="0" w:noVBand="0"/>
    </w:tblPr>
    <w:tblGrid>
      <w:gridCol w:w="5040"/>
      <w:gridCol w:w="1440"/>
      <w:gridCol w:w="1440"/>
      <w:gridCol w:w="1440"/>
    </w:tblGrid>
    <w:tr w:rsidR="00F61127" w14:paraId="64B5AB2B" w14:textId="77777777">
      <w:tc>
        <w:tcPr>
          <w:tcW w:w="9360" w:type="dxa"/>
          <w:gridSpan w:val="4"/>
          <w:tcBorders>
            <w:top w:val="nil"/>
            <w:left w:val="nil"/>
            <w:bottom w:val="nil"/>
            <w:right w:val="nil"/>
          </w:tcBorders>
        </w:tcPr>
        <w:p w14:paraId="20C56645" w14:textId="1C164BBD" w:rsidR="00F61127" w:rsidRDefault="00F61127" w:rsidP="00E9779F">
          <w:pPr>
            <w:rPr>
              <w:b/>
              <w:bCs/>
              <w:sz w:val="30"/>
              <w:szCs w:val="30"/>
            </w:rPr>
          </w:pPr>
          <w:r w:rsidRPr="00155D73">
            <w:rPr>
              <w:szCs w:val="24"/>
            </w:rPr>
            <w:t>ALJ</w:t>
          </w:r>
          <w:r>
            <w:rPr>
              <w:szCs w:val="24"/>
            </w:rPr>
            <w:t>/</w:t>
          </w:r>
          <w:proofErr w:type="spellStart"/>
          <w:r>
            <w:rPr>
              <w:szCs w:val="24"/>
            </w:rPr>
            <w:t>avs</w:t>
          </w:r>
          <w:proofErr w:type="spellEnd"/>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b/>
              <w:bCs/>
              <w:szCs w:val="24"/>
            </w:rPr>
            <w:t>DRAFT</w:t>
          </w:r>
        </w:p>
        <w:p w14:paraId="4FF11F49" w14:textId="574F8E81" w:rsidR="00F61127" w:rsidRDefault="00F61127" w:rsidP="00E9779F">
          <w:r>
            <w:rPr>
              <w:b/>
              <w:bCs/>
              <w:sz w:val="30"/>
              <w:szCs w:val="30"/>
            </w:rPr>
            <w:br/>
          </w:r>
        </w:p>
        <w:p w14:paraId="704A1287" w14:textId="77777777" w:rsidR="00F61127" w:rsidRDefault="00F61127" w:rsidP="00E9779F">
          <w:pPr>
            <w:jc w:val="center"/>
            <w:rPr>
              <w:sz w:val="26"/>
              <w:szCs w:val="26"/>
            </w:rPr>
          </w:pPr>
          <w:r>
            <w:rPr>
              <w:b/>
              <w:bCs/>
              <w:sz w:val="30"/>
              <w:szCs w:val="30"/>
            </w:rPr>
            <w:br/>
            <w:t>PRELIMINARY DETERMINATION</w:t>
          </w:r>
          <w:r>
            <w:rPr>
              <w:b/>
              <w:bCs/>
              <w:sz w:val="30"/>
              <w:szCs w:val="30"/>
            </w:rPr>
            <w:br/>
            <w:t xml:space="preserve">SCHEDULE </w:t>
          </w:r>
          <w:r>
            <w:rPr>
              <w:sz w:val="26"/>
              <w:szCs w:val="26"/>
            </w:rPr>
            <w:br/>
          </w:r>
          <w:r>
            <w:rPr>
              <w:sz w:val="26"/>
              <w:szCs w:val="26"/>
            </w:rPr>
            <w:br/>
            <w:t>Resolution ALJ 176-3582 (06/11/2026)</w:t>
          </w:r>
          <w:r>
            <w:rPr>
              <w:sz w:val="26"/>
              <w:szCs w:val="26"/>
            </w:rPr>
            <w:br/>
          </w:r>
        </w:p>
      </w:tc>
    </w:tr>
    <w:tr w:rsidR="00F61127" w14:paraId="41EDB842" w14:textId="77777777">
      <w:tc>
        <w:tcPr>
          <w:tcW w:w="5040" w:type="dxa"/>
          <w:tcBorders>
            <w:top w:val="single" w:sz="6" w:space="0" w:color="auto"/>
            <w:left w:val="single" w:sz="6" w:space="0" w:color="auto"/>
            <w:bottom w:val="single" w:sz="6" w:space="0" w:color="auto"/>
            <w:right w:val="single" w:sz="6" w:space="0" w:color="auto"/>
          </w:tcBorders>
          <w:shd w:val="pct10" w:color="auto" w:fill="auto"/>
        </w:tcPr>
        <w:p w14:paraId="287480A4" w14:textId="77777777" w:rsidR="00F61127" w:rsidRDefault="00F61127">
          <w:r>
            <w:rPr>
              <w:b/>
              <w:bCs/>
            </w:rPr>
            <w:t xml:space="preserve">NUMBER </w:t>
          </w:r>
          <w:r>
            <w:br/>
          </w:r>
          <w:r>
            <w:rPr>
              <w:b/>
              <w:bCs/>
            </w:rPr>
            <w:t xml:space="preserve">TITLE </w:t>
          </w: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1877DC43" w14:textId="77777777" w:rsidR="00F61127" w:rsidRDefault="00F61127">
          <w:pPr>
            <w:jc w:val="center"/>
          </w:pPr>
          <w:r>
            <w:rPr>
              <w:b/>
              <w:bCs/>
            </w:rPr>
            <w:t xml:space="preserve">PROPOSED CATEGORY </w:t>
          </w: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4949B129" w14:textId="77777777" w:rsidR="00F61127" w:rsidRDefault="00F61127">
          <w:pPr>
            <w:jc w:val="center"/>
          </w:pPr>
          <w:r>
            <w:rPr>
              <w:b/>
              <w:bCs/>
            </w:rPr>
            <w:t xml:space="preserve">PRELIM. CATEGORY </w:t>
          </w: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2B1E3BED" w14:textId="77777777" w:rsidR="00F61127" w:rsidRDefault="00F61127">
          <w:pPr>
            <w:jc w:val="center"/>
          </w:pPr>
          <w:r>
            <w:br/>
          </w:r>
          <w:r>
            <w:rPr>
              <w:b/>
              <w:bCs/>
            </w:rPr>
            <w:t xml:space="preserve">HEARING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DDE"/>
    <w:multiLevelType w:val="hybridMultilevel"/>
    <w:tmpl w:val="F34C57F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D39E3"/>
    <w:multiLevelType w:val="hybridMultilevel"/>
    <w:tmpl w:val="7C1A6AAA"/>
    <w:lvl w:ilvl="0" w:tplc="12F251D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13AFA"/>
    <w:multiLevelType w:val="hybridMultilevel"/>
    <w:tmpl w:val="348E8EFC"/>
    <w:lvl w:ilvl="0" w:tplc="73A4D0A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6230E"/>
    <w:multiLevelType w:val="hybridMultilevel"/>
    <w:tmpl w:val="76D2D728"/>
    <w:lvl w:ilvl="0" w:tplc="2760FF3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487489">
    <w:abstractNumId w:val="1"/>
  </w:num>
  <w:num w:numId="2" w16cid:durableId="281810531">
    <w:abstractNumId w:val="0"/>
  </w:num>
  <w:num w:numId="3" w16cid:durableId="382603836">
    <w:abstractNumId w:val="3"/>
  </w:num>
  <w:num w:numId="4" w16cid:durableId="816385477">
    <w:abstractNumId w:val="4"/>
  </w:num>
  <w:num w:numId="5" w16cid:durableId="5265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B"/>
    <w:rsid w:val="00011B96"/>
    <w:rsid w:val="000150E2"/>
    <w:rsid w:val="000231AF"/>
    <w:rsid w:val="00043B8E"/>
    <w:rsid w:val="00050DF2"/>
    <w:rsid w:val="00062F36"/>
    <w:rsid w:val="000667EB"/>
    <w:rsid w:val="00085B4C"/>
    <w:rsid w:val="000A1E1E"/>
    <w:rsid w:val="000A46C7"/>
    <w:rsid w:val="000B39E3"/>
    <w:rsid w:val="000B55B2"/>
    <w:rsid w:val="000E3F65"/>
    <w:rsid w:val="00126B14"/>
    <w:rsid w:val="001648F0"/>
    <w:rsid w:val="00165C26"/>
    <w:rsid w:val="00191D02"/>
    <w:rsid w:val="001A2BF6"/>
    <w:rsid w:val="001B116D"/>
    <w:rsid w:val="001F718E"/>
    <w:rsid w:val="00201200"/>
    <w:rsid w:val="002074C4"/>
    <w:rsid w:val="002164F0"/>
    <w:rsid w:val="0022413E"/>
    <w:rsid w:val="00243042"/>
    <w:rsid w:val="002558F3"/>
    <w:rsid w:val="00264FBC"/>
    <w:rsid w:val="00266ACB"/>
    <w:rsid w:val="002731E5"/>
    <w:rsid w:val="0029303E"/>
    <w:rsid w:val="00294B11"/>
    <w:rsid w:val="002C2658"/>
    <w:rsid w:val="002C7E5A"/>
    <w:rsid w:val="0030720C"/>
    <w:rsid w:val="003417D7"/>
    <w:rsid w:val="00342E16"/>
    <w:rsid w:val="0034501A"/>
    <w:rsid w:val="00364C10"/>
    <w:rsid w:val="00384A75"/>
    <w:rsid w:val="0039281B"/>
    <w:rsid w:val="00395187"/>
    <w:rsid w:val="0039743F"/>
    <w:rsid w:val="003B6828"/>
    <w:rsid w:val="003C2335"/>
    <w:rsid w:val="003D18FB"/>
    <w:rsid w:val="003E6E4C"/>
    <w:rsid w:val="003F6A7F"/>
    <w:rsid w:val="0040118E"/>
    <w:rsid w:val="00402328"/>
    <w:rsid w:val="00413177"/>
    <w:rsid w:val="00420910"/>
    <w:rsid w:val="0042710E"/>
    <w:rsid w:val="00436CF7"/>
    <w:rsid w:val="0044184E"/>
    <w:rsid w:val="00445431"/>
    <w:rsid w:val="00445D10"/>
    <w:rsid w:val="0045607D"/>
    <w:rsid w:val="004A6B6C"/>
    <w:rsid w:val="004C5C3F"/>
    <w:rsid w:val="004D54D0"/>
    <w:rsid w:val="004E18B3"/>
    <w:rsid w:val="004E5ED1"/>
    <w:rsid w:val="004E7F26"/>
    <w:rsid w:val="004F6AFD"/>
    <w:rsid w:val="005478A5"/>
    <w:rsid w:val="00563A48"/>
    <w:rsid w:val="00570E05"/>
    <w:rsid w:val="00591E1E"/>
    <w:rsid w:val="0059231A"/>
    <w:rsid w:val="00594907"/>
    <w:rsid w:val="005B113F"/>
    <w:rsid w:val="005D18B9"/>
    <w:rsid w:val="005D2F39"/>
    <w:rsid w:val="00604E24"/>
    <w:rsid w:val="0061466C"/>
    <w:rsid w:val="00642538"/>
    <w:rsid w:val="006439D8"/>
    <w:rsid w:val="006468E1"/>
    <w:rsid w:val="00655463"/>
    <w:rsid w:val="006972C8"/>
    <w:rsid w:val="006A5E3F"/>
    <w:rsid w:val="006B0BF8"/>
    <w:rsid w:val="006C3177"/>
    <w:rsid w:val="006D0E48"/>
    <w:rsid w:val="006E4526"/>
    <w:rsid w:val="006F55C2"/>
    <w:rsid w:val="00703E5C"/>
    <w:rsid w:val="00715CD0"/>
    <w:rsid w:val="00736CE1"/>
    <w:rsid w:val="0074719A"/>
    <w:rsid w:val="00774234"/>
    <w:rsid w:val="00786513"/>
    <w:rsid w:val="007A1CE2"/>
    <w:rsid w:val="007A3FE2"/>
    <w:rsid w:val="007A588D"/>
    <w:rsid w:val="007B0604"/>
    <w:rsid w:val="007C3DC4"/>
    <w:rsid w:val="007D2A98"/>
    <w:rsid w:val="007D35A2"/>
    <w:rsid w:val="007D4976"/>
    <w:rsid w:val="007E3378"/>
    <w:rsid w:val="007E52E6"/>
    <w:rsid w:val="008005AF"/>
    <w:rsid w:val="00806579"/>
    <w:rsid w:val="00813EB5"/>
    <w:rsid w:val="00823CF9"/>
    <w:rsid w:val="008402B8"/>
    <w:rsid w:val="00852A3E"/>
    <w:rsid w:val="00861EFB"/>
    <w:rsid w:val="008A44BA"/>
    <w:rsid w:val="008A4E0E"/>
    <w:rsid w:val="008B3D79"/>
    <w:rsid w:val="008B7F1B"/>
    <w:rsid w:val="008C0812"/>
    <w:rsid w:val="008C1693"/>
    <w:rsid w:val="008C3D7A"/>
    <w:rsid w:val="008D5221"/>
    <w:rsid w:val="0097038C"/>
    <w:rsid w:val="009755A5"/>
    <w:rsid w:val="009A257C"/>
    <w:rsid w:val="009A6078"/>
    <w:rsid w:val="009B1A5B"/>
    <w:rsid w:val="009B3969"/>
    <w:rsid w:val="009C7979"/>
    <w:rsid w:val="009D0785"/>
    <w:rsid w:val="009E07EB"/>
    <w:rsid w:val="00A14B76"/>
    <w:rsid w:val="00A45F8C"/>
    <w:rsid w:val="00A60751"/>
    <w:rsid w:val="00A67B65"/>
    <w:rsid w:val="00AA5752"/>
    <w:rsid w:val="00AC3D70"/>
    <w:rsid w:val="00B27713"/>
    <w:rsid w:val="00B465E5"/>
    <w:rsid w:val="00B47A9F"/>
    <w:rsid w:val="00B5250D"/>
    <w:rsid w:val="00B75139"/>
    <w:rsid w:val="00B878E8"/>
    <w:rsid w:val="00BD6E3A"/>
    <w:rsid w:val="00BE1D69"/>
    <w:rsid w:val="00BF529C"/>
    <w:rsid w:val="00C0135F"/>
    <w:rsid w:val="00C10CCA"/>
    <w:rsid w:val="00C257D9"/>
    <w:rsid w:val="00C26D8F"/>
    <w:rsid w:val="00C62EEB"/>
    <w:rsid w:val="00C77084"/>
    <w:rsid w:val="00C85629"/>
    <w:rsid w:val="00C92A44"/>
    <w:rsid w:val="00C95FDE"/>
    <w:rsid w:val="00CA21DB"/>
    <w:rsid w:val="00CD36D9"/>
    <w:rsid w:val="00CD529F"/>
    <w:rsid w:val="00CF4AB3"/>
    <w:rsid w:val="00D041B0"/>
    <w:rsid w:val="00D12A5B"/>
    <w:rsid w:val="00D5495C"/>
    <w:rsid w:val="00D71AC7"/>
    <w:rsid w:val="00DA5721"/>
    <w:rsid w:val="00DA7B95"/>
    <w:rsid w:val="00DC4540"/>
    <w:rsid w:val="00DD4B11"/>
    <w:rsid w:val="00DE5655"/>
    <w:rsid w:val="00DE57DB"/>
    <w:rsid w:val="00DF5183"/>
    <w:rsid w:val="00E04BF9"/>
    <w:rsid w:val="00E33D4C"/>
    <w:rsid w:val="00E94361"/>
    <w:rsid w:val="00E95A8D"/>
    <w:rsid w:val="00EB4757"/>
    <w:rsid w:val="00EC7DE8"/>
    <w:rsid w:val="00ED6639"/>
    <w:rsid w:val="00F036E4"/>
    <w:rsid w:val="00F04B30"/>
    <w:rsid w:val="00F11F1D"/>
    <w:rsid w:val="00F239B3"/>
    <w:rsid w:val="00F61127"/>
    <w:rsid w:val="00F62B1C"/>
    <w:rsid w:val="00F86487"/>
    <w:rsid w:val="00FD3B90"/>
    <w:rsid w:val="00F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3621C76"/>
  <w15:docId w15:val="{214D48A6-91B6-409E-8BDC-6B71033819C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paragraph" w:customStyle="1" w:styleId="num1">
    <w:name w:val="num1"/>
    <w:basedOn w:val="Normal"/>
    <w:pPr>
      <w:tabs>
        <w:tab w:val="left" w:pos="-720"/>
      </w:tabs>
      <w:suppressAutoHyphens/>
      <w:spacing w:line="360" w:lineRule="auto"/>
      <w:ind w:firstLine="360"/>
    </w:pPr>
    <w:rPr>
      <w:sz w:val="26"/>
    </w:rPr>
  </w:style>
  <w:style w:type="character" w:customStyle="1" w:styleId="FooterChar">
    <w:name w:val="Footer Char"/>
    <w:link w:val="Footer"/>
    <w:uiPriority w:val="99"/>
    <w:rsid w:val="003E6E4C"/>
    <w:rPr>
      <w:rFonts w:ascii="Palatino" w:hAnsi="Palatino"/>
      <w:sz w:val="24"/>
    </w:rPr>
  </w:style>
  <w:style w:type="character" w:customStyle="1" w:styleId="standardChar">
    <w:name w:val="standard Char"/>
    <w:link w:val="standard"/>
    <w:locked/>
    <w:rsid w:val="00C95FDE"/>
    <w:rPr>
      <w:rFonts w:ascii="Palatino" w:hAnsi="Palatino"/>
      <w:sz w:val="24"/>
    </w:rPr>
  </w:style>
  <w:style w:type="paragraph" w:styleId="BalloonText">
    <w:name w:val="Balloon Text"/>
    <w:basedOn w:val="Normal"/>
    <w:link w:val="BalloonTextChar"/>
    <w:rsid w:val="00C95FDE"/>
    <w:rPr>
      <w:rFonts w:ascii="Tahoma" w:hAnsi="Tahoma" w:cs="Tahoma"/>
      <w:sz w:val="16"/>
      <w:szCs w:val="16"/>
    </w:rPr>
  </w:style>
  <w:style w:type="character" w:customStyle="1" w:styleId="BalloonTextChar">
    <w:name w:val="Balloon Text Char"/>
    <w:link w:val="BalloonText"/>
    <w:rsid w:val="00C95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8292">
      <w:bodyDiv w:val="1"/>
      <w:marLeft w:val="0"/>
      <w:marRight w:val="0"/>
      <w:marTop w:val="0"/>
      <w:marBottom w:val="0"/>
      <w:divBdr>
        <w:top w:val="none" w:sz="0" w:space="0" w:color="auto"/>
        <w:left w:val="none" w:sz="0" w:space="0" w:color="auto"/>
        <w:bottom w:val="none" w:sz="0" w:space="0" w:color="auto"/>
        <w:right w:val="none" w:sz="0" w:space="0" w:color="auto"/>
      </w:divBdr>
    </w:div>
    <w:div w:id="527639632">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072921991">
      <w:bodyDiv w:val="1"/>
      <w:marLeft w:val="0"/>
      <w:marRight w:val="0"/>
      <w:marTop w:val="0"/>
      <w:marBottom w:val="0"/>
      <w:divBdr>
        <w:top w:val="none" w:sz="0" w:space="0" w:color="auto"/>
        <w:left w:val="none" w:sz="0" w:space="0" w:color="auto"/>
        <w:bottom w:val="none" w:sz="0" w:space="0" w:color="auto"/>
        <w:right w:val="none" w:sz="0" w:space="0" w:color="auto"/>
      </w:divBdr>
    </w:div>
    <w:div w:id="1514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1103</ap:Words>
  <ap:Characters>6288</ap:Characters>
  <ap:Application>Microsoft Office Word</ap:Application>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7377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2007-03-27T17:20:00Z</cp:lastPrinted>
  <dcterms:created xsi:type="dcterms:W3CDTF">2026-06-09T16:27:41Z</dcterms:created>
  <dcterms:modified xsi:type="dcterms:W3CDTF">2026-06-09T16:27:41Z</dcterms:modified>
</cp:coreProperties>
</file>