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A79" w:rsidP="00B71763" w:rsidRDefault="00000000" w14:paraId="3AFCE240" w14:textId="70268664">
      <w:pPr>
        <w:pStyle w:val="BodyText"/>
        <w:tabs>
          <w:tab w:val="left" w:pos="2880"/>
        </w:tabs>
        <w:spacing w:before="102"/>
        <w:ind w:left="0"/>
      </w:pPr>
      <w:r>
        <w:rPr>
          <w:spacing w:val="-2"/>
        </w:rPr>
        <w:t>Decision</w:t>
      </w:r>
      <w:r w:rsidR="00B71763">
        <w:rPr>
          <w:spacing w:val="-2"/>
        </w:rPr>
        <w:t xml:space="preserve"> 26-06-033</w:t>
      </w:r>
      <w:r w:rsidR="00B71763">
        <w:rPr>
          <w:spacing w:val="-2"/>
        </w:rPr>
        <w:tab/>
      </w:r>
      <w:r w:rsidR="00BC571B">
        <w:rPr>
          <w:spacing w:val="-2"/>
        </w:rPr>
        <w:tab/>
      </w:r>
      <w:r w:rsidR="00B71763">
        <w:rPr>
          <w:spacing w:val="-2"/>
        </w:rPr>
        <w:t>June 11, 2026</w:t>
      </w:r>
    </w:p>
    <w:p w:rsidR="00552A79" w:rsidRDefault="00552A79" w14:paraId="12809283" w14:textId="77777777">
      <w:pPr>
        <w:pStyle w:val="BodyText"/>
        <w:spacing w:before="207"/>
        <w:ind w:left="0"/>
        <w:rPr>
          <w:sz w:val="21"/>
        </w:rPr>
      </w:pPr>
    </w:p>
    <w:p w:rsidR="00552A79" w:rsidRDefault="00000000" w14:paraId="69815639" w14:textId="77777777">
      <w:pPr>
        <w:pStyle w:val="BodyText"/>
        <w:ind w:left="1059"/>
        <w:rPr>
          <w:smallCaps/>
          <w:spacing w:val="-2"/>
        </w:rPr>
      </w:pPr>
      <w:r>
        <w:rPr>
          <w:smallCaps/>
        </w:rPr>
        <w:t>Before</w:t>
      </w:r>
      <w:r>
        <w:rPr>
          <w:smallCaps/>
          <w:spacing w:val="-6"/>
        </w:rPr>
        <w:t xml:space="preserve"> </w:t>
      </w:r>
      <w:r>
        <w:rPr>
          <w:smallCaps/>
        </w:rPr>
        <w:t>The</w:t>
      </w:r>
      <w:r>
        <w:rPr>
          <w:smallCaps/>
          <w:spacing w:val="-2"/>
        </w:rPr>
        <w:t xml:space="preserve"> </w:t>
      </w:r>
      <w:r>
        <w:rPr>
          <w:smallCaps/>
        </w:rPr>
        <w:t>Public</w:t>
      </w:r>
      <w:r>
        <w:rPr>
          <w:smallCaps/>
          <w:spacing w:val="-5"/>
        </w:rPr>
        <w:t xml:space="preserve"> </w:t>
      </w:r>
      <w:r>
        <w:rPr>
          <w:smallCaps/>
        </w:rPr>
        <w:t>Utilities</w:t>
      </w:r>
      <w:r>
        <w:rPr>
          <w:smallCaps/>
          <w:spacing w:val="-2"/>
        </w:rPr>
        <w:t xml:space="preserve"> </w:t>
      </w:r>
      <w:r>
        <w:rPr>
          <w:smallCaps/>
        </w:rPr>
        <w:t>Commission</w:t>
      </w:r>
      <w:r>
        <w:rPr>
          <w:smallCaps/>
          <w:spacing w:val="-2"/>
        </w:rPr>
        <w:t xml:space="preserve"> </w:t>
      </w:r>
      <w:r>
        <w:rPr>
          <w:smallCaps/>
        </w:rPr>
        <w:t>Of</w:t>
      </w:r>
      <w:r>
        <w:rPr>
          <w:smallCaps/>
          <w:spacing w:val="-3"/>
        </w:rPr>
        <w:t xml:space="preserve"> </w:t>
      </w:r>
      <w:r>
        <w:rPr>
          <w:smallCaps/>
        </w:rPr>
        <w:t>The</w:t>
      </w:r>
      <w:r>
        <w:rPr>
          <w:smallCaps/>
          <w:spacing w:val="-5"/>
        </w:rPr>
        <w:t xml:space="preserve"> </w:t>
      </w:r>
      <w:r>
        <w:rPr>
          <w:smallCaps/>
        </w:rPr>
        <w:t>State</w:t>
      </w:r>
      <w:r>
        <w:rPr>
          <w:smallCaps/>
          <w:spacing w:val="-2"/>
        </w:rPr>
        <w:t xml:space="preserve"> </w:t>
      </w:r>
      <w:r>
        <w:rPr>
          <w:smallCaps/>
        </w:rPr>
        <w:t>Of</w:t>
      </w:r>
      <w:r>
        <w:rPr>
          <w:smallCaps/>
          <w:spacing w:val="-3"/>
        </w:rPr>
        <w:t xml:space="preserve"> </w:t>
      </w:r>
      <w:r>
        <w:rPr>
          <w:smallCaps/>
          <w:spacing w:val="-2"/>
        </w:rPr>
        <w:t>California</w:t>
      </w:r>
    </w:p>
    <w:p w:rsidR="00AF4D68" w:rsidP="00AF4D68" w:rsidRDefault="00AF4D68" w14:paraId="22B55A79" w14:textId="77777777">
      <w:pPr>
        <w:pStyle w:val="BodyT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40"/>
        <w:gridCol w:w="4675"/>
      </w:tblGrid>
      <w:tr w:rsidR="00AF4D68" w:rsidTr="00AF4D68" w14:paraId="778BC5CF" w14:textId="77777777">
        <w:tc>
          <w:tcPr>
            <w:tcW w:w="4140" w:type="dxa"/>
            <w:tcBorders>
              <w:bottom w:val="single" w:color="auto" w:sz="4" w:space="0"/>
              <w:right w:val="single" w:color="auto" w:sz="4" w:space="0"/>
            </w:tcBorders>
          </w:tcPr>
          <w:p w:rsidR="00AF4D68" w:rsidP="00AF4D68" w:rsidRDefault="00AF4D68" w14:paraId="44A5CE85" w14:textId="5695D40E">
            <w:pPr>
              <w:ind w:left="-108" w:right="378"/>
              <w:rPr>
                <w:sz w:val="26"/>
              </w:rPr>
            </w:pPr>
            <w:r>
              <w:rPr>
                <w:sz w:val="26"/>
              </w:rPr>
              <w:t>Application</w:t>
            </w:r>
            <w:r>
              <w:rPr>
                <w:spacing w:val="-10"/>
                <w:sz w:val="26"/>
              </w:rPr>
              <w:t xml:space="preserve"> </w:t>
            </w:r>
            <w:r>
              <w:rPr>
                <w:sz w:val="26"/>
              </w:rPr>
              <w:t>of</w:t>
            </w:r>
            <w:r>
              <w:rPr>
                <w:spacing w:val="-10"/>
                <w:sz w:val="26"/>
              </w:rPr>
              <w:t xml:space="preserve"> </w:t>
            </w:r>
            <w:r>
              <w:rPr>
                <w:sz w:val="26"/>
              </w:rPr>
              <w:t>VELOCITY COMMUNICATIONS, INC. for Rehearing of Resolution T-17898.</w:t>
            </w:r>
          </w:p>
          <w:p w:rsidR="00AF4D68" w:rsidRDefault="00AF4D68" w14:paraId="04E945B6" w14:textId="77777777">
            <w:pPr>
              <w:pStyle w:val="BodyText"/>
              <w:ind w:left="0"/>
            </w:pPr>
          </w:p>
        </w:tc>
        <w:tc>
          <w:tcPr>
            <w:tcW w:w="4675" w:type="dxa"/>
            <w:tcBorders>
              <w:left w:val="single" w:color="auto" w:sz="4" w:space="0"/>
            </w:tcBorders>
          </w:tcPr>
          <w:p w:rsidR="00AF4D68" w:rsidP="00AF4D68" w:rsidRDefault="00AF4D68" w14:paraId="1E6D0DEE" w14:textId="77777777">
            <w:pPr>
              <w:pStyle w:val="BodyText"/>
              <w:ind w:left="72"/>
              <w:jc w:val="center"/>
            </w:pPr>
          </w:p>
          <w:p w:rsidR="00AF4D68" w:rsidP="00AF4D68" w:rsidRDefault="00AF4D68" w14:paraId="7F784D39" w14:textId="13722E76">
            <w:pPr>
              <w:pStyle w:val="BodyText"/>
              <w:ind w:left="72"/>
              <w:jc w:val="center"/>
            </w:pPr>
            <w:r>
              <w:t>Application</w:t>
            </w:r>
            <w:r>
              <w:rPr>
                <w:spacing w:val="-5"/>
              </w:rPr>
              <w:t xml:space="preserve"> </w:t>
            </w:r>
            <w:r>
              <w:t>26-01-019</w:t>
            </w:r>
          </w:p>
          <w:p w:rsidR="00AF4D68" w:rsidRDefault="00AF4D68" w14:paraId="042416CF" w14:textId="77777777">
            <w:pPr>
              <w:pStyle w:val="BodyText"/>
              <w:ind w:left="0"/>
            </w:pPr>
          </w:p>
        </w:tc>
      </w:tr>
    </w:tbl>
    <w:p w:rsidR="00552A79" w:rsidRDefault="00552A79" w14:paraId="162983E1" w14:textId="77777777">
      <w:pPr>
        <w:pStyle w:val="BodyText"/>
        <w:spacing w:before="16"/>
        <w:ind w:left="0"/>
      </w:pPr>
    </w:p>
    <w:p w:rsidRPr="00AF4D68" w:rsidR="00552A79" w:rsidRDefault="00000000" w14:paraId="51B4F9F9" w14:textId="2445AA6D">
      <w:pPr>
        <w:pStyle w:val="Heading1"/>
        <w:spacing w:before="0"/>
        <w:ind w:left="357" w:firstLine="0"/>
        <w:jc w:val="center"/>
      </w:pPr>
      <w:r w:rsidRPr="00AF4D68">
        <w:t>ORDER</w:t>
      </w:r>
      <w:r w:rsidRPr="00AF4D68">
        <w:rPr>
          <w:spacing w:val="-9"/>
        </w:rPr>
        <w:t xml:space="preserve"> </w:t>
      </w:r>
      <w:r w:rsidRPr="00AF4D68">
        <w:t>DENYING</w:t>
      </w:r>
      <w:r w:rsidRPr="00AF4D68">
        <w:rPr>
          <w:spacing w:val="-6"/>
        </w:rPr>
        <w:t xml:space="preserve"> </w:t>
      </w:r>
      <w:r w:rsidRPr="00AF4D68">
        <w:t>REHEARING</w:t>
      </w:r>
      <w:r w:rsidRPr="00AF4D68">
        <w:rPr>
          <w:spacing w:val="-6"/>
        </w:rPr>
        <w:t xml:space="preserve"> </w:t>
      </w:r>
      <w:r w:rsidRPr="00AF4D68">
        <w:t>OF</w:t>
      </w:r>
      <w:r w:rsidRPr="00AF4D68">
        <w:rPr>
          <w:spacing w:val="-6"/>
        </w:rPr>
        <w:t xml:space="preserve"> </w:t>
      </w:r>
      <w:r w:rsidRPr="00AF4D68">
        <w:t>RESOLUTION</w:t>
      </w:r>
      <w:r w:rsidRPr="00AF4D68">
        <w:rPr>
          <w:spacing w:val="-6"/>
        </w:rPr>
        <w:t xml:space="preserve"> </w:t>
      </w:r>
      <w:r w:rsidRPr="00AF4D68">
        <w:t>T-</w:t>
      </w:r>
      <w:r w:rsidRPr="00AF4D68">
        <w:rPr>
          <w:spacing w:val="-2"/>
        </w:rPr>
        <w:t>178</w:t>
      </w:r>
      <w:r w:rsidRPr="00AF4D68" w:rsidR="004A4956">
        <w:rPr>
          <w:spacing w:val="-2"/>
        </w:rPr>
        <w:t>98</w:t>
      </w:r>
    </w:p>
    <w:p w:rsidR="00552A79" w:rsidRDefault="00552A79" w14:paraId="26E697E1" w14:textId="77777777">
      <w:pPr>
        <w:pStyle w:val="BodyText"/>
        <w:ind w:left="0"/>
        <w:rPr>
          <w:b/>
        </w:rPr>
      </w:pPr>
    </w:p>
    <w:p w:rsidR="00552A79" w:rsidP="001C064E" w:rsidRDefault="00000000" w14:paraId="775D6515" w14:textId="2DFEA9C7">
      <w:pPr>
        <w:pStyle w:val="BodyText"/>
        <w:spacing w:line="360" w:lineRule="auto"/>
        <w:ind w:left="0" w:firstLine="1440"/>
      </w:pPr>
      <w:r>
        <w:t>In this Order, we dispose of the application for rehearing of Resolution (Res.)</w:t>
      </w:r>
      <w:r>
        <w:rPr>
          <w:spacing w:val="-4"/>
        </w:rPr>
        <w:t xml:space="preserve"> </w:t>
      </w:r>
      <w:r>
        <w:t>T-178</w:t>
      </w:r>
      <w:r w:rsidR="004A4956">
        <w:t>98</w:t>
      </w:r>
      <w:r>
        <w:rPr>
          <w:spacing w:val="-4"/>
        </w:rPr>
        <w:t xml:space="preserve"> </w:t>
      </w:r>
      <w:r>
        <w:t>filed</w:t>
      </w:r>
      <w:r>
        <w:rPr>
          <w:spacing w:val="-4"/>
        </w:rPr>
        <w:t xml:space="preserve"> </w:t>
      </w:r>
      <w:r>
        <w:t>by</w:t>
      </w:r>
      <w:r>
        <w:rPr>
          <w:spacing w:val="-4"/>
        </w:rPr>
        <w:t xml:space="preserve"> </w:t>
      </w:r>
      <w:r w:rsidR="004A4956">
        <w:t>Velocity Communications, Inc.</w:t>
      </w:r>
      <w:r>
        <w:rPr>
          <w:spacing w:val="-4"/>
        </w:rPr>
        <w:t xml:space="preserve"> </w:t>
      </w:r>
      <w:r>
        <w:t>(</w:t>
      </w:r>
      <w:r w:rsidR="004A4956">
        <w:t>Velocity</w:t>
      </w:r>
      <w:r>
        <w:t>).</w:t>
      </w:r>
      <w:r>
        <w:rPr>
          <w:spacing w:val="40"/>
        </w:rPr>
        <w:t xml:space="preserve"> </w:t>
      </w:r>
      <w:r>
        <w:t>We</w:t>
      </w:r>
      <w:r>
        <w:rPr>
          <w:spacing w:val="-4"/>
        </w:rPr>
        <w:t xml:space="preserve"> </w:t>
      </w:r>
      <w:r>
        <w:t>have</w:t>
      </w:r>
      <w:r>
        <w:rPr>
          <w:spacing w:val="-4"/>
        </w:rPr>
        <w:t xml:space="preserve"> </w:t>
      </w:r>
      <w:r>
        <w:t>determined that good cause has not been demonstrated to grant rehearing of the Resolution.</w:t>
      </w:r>
    </w:p>
    <w:p w:rsidR="00552A79" w:rsidP="00AF4D68" w:rsidRDefault="00000000" w14:paraId="54FBC85E" w14:textId="77777777">
      <w:pPr>
        <w:pStyle w:val="Heading1"/>
        <w:numPr>
          <w:ilvl w:val="0"/>
          <w:numId w:val="2"/>
        </w:numPr>
        <w:spacing w:line="360" w:lineRule="auto"/>
        <w:ind w:left="720"/>
        <w:rPr>
          <w:u w:val="none"/>
        </w:rPr>
      </w:pPr>
      <w:r>
        <w:rPr>
          <w:spacing w:val="-2"/>
          <w:u w:val="none"/>
        </w:rPr>
        <w:t>BACKGROUND</w:t>
      </w:r>
    </w:p>
    <w:p w:rsidRPr="00853FF6" w:rsidR="00EE7F12" w:rsidP="001C064E" w:rsidRDefault="00EE7F12" w14:paraId="561C4B60" w14:textId="1DC40BBD">
      <w:pPr>
        <w:spacing w:line="360" w:lineRule="auto"/>
        <w:ind w:firstLine="1440"/>
        <w:rPr>
          <w:sz w:val="26"/>
          <w:szCs w:val="26"/>
        </w:rPr>
      </w:pPr>
      <w:r w:rsidRPr="00853FF6">
        <w:rPr>
          <w:sz w:val="26"/>
          <w:szCs w:val="26"/>
        </w:rPr>
        <w:t>On February 23, 2023, the California Public Utilities Commission (Commission) initiated an Order Instituting Rulemaking (OIR), R.23-0</w:t>
      </w:r>
      <w:r>
        <w:rPr>
          <w:sz w:val="26"/>
          <w:szCs w:val="26"/>
        </w:rPr>
        <w:t>2</w:t>
      </w:r>
      <w:r w:rsidRPr="00853FF6">
        <w:rPr>
          <w:sz w:val="26"/>
          <w:szCs w:val="26"/>
        </w:rPr>
        <w:t>-016, to consider rules to determine grant funding, eligibility</w:t>
      </w:r>
      <w:r>
        <w:rPr>
          <w:sz w:val="26"/>
          <w:szCs w:val="26"/>
        </w:rPr>
        <w:t>,</w:t>
      </w:r>
      <w:r w:rsidRPr="00853FF6">
        <w:rPr>
          <w:sz w:val="26"/>
          <w:szCs w:val="26"/>
        </w:rPr>
        <w:t xml:space="preserve"> and compliance for funds distributed to California under the federal Broadband Equity, Access, and Deployment (BEAD) Program, created by the Infrastructure Investment and Jobs Act of 2021</w:t>
      </w:r>
      <w:r>
        <w:rPr>
          <w:sz w:val="26"/>
          <w:szCs w:val="26"/>
        </w:rPr>
        <w:t xml:space="preserve"> (IIJA)</w:t>
      </w:r>
      <w:r w:rsidRPr="00853FF6">
        <w:rPr>
          <w:sz w:val="26"/>
          <w:szCs w:val="26"/>
        </w:rPr>
        <w:t>.</w:t>
      </w:r>
      <w:r w:rsidRPr="00853FF6">
        <w:rPr>
          <w:szCs w:val="26"/>
        </w:rPr>
        <w:t xml:space="preserve"> </w:t>
      </w:r>
      <w:r w:rsidR="001C064E">
        <w:rPr>
          <w:szCs w:val="26"/>
        </w:rPr>
        <w:br/>
      </w:r>
      <w:r w:rsidRPr="00A2143E">
        <w:rPr>
          <w:sz w:val="26"/>
          <w:szCs w:val="26"/>
        </w:rPr>
        <w:t>(</w:t>
      </w:r>
      <w:r w:rsidRPr="00853FF6">
        <w:rPr>
          <w:sz w:val="26"/>
          <w:szCs w:val="26"/>
        </w:rPr>
        <w:t>P.L. 117-58 § 60102(b) (2021).) Among the law’s numerous provisions, the IIJA established the $42.45 billion BEAD Program, administered by the National Telecommunications and Information Administration (NTIA). California is eligible to receive approximately $1.86 billion in BEAD funding, based on the federal government</w:t>
      </w:r>
      <w:r w:rsidR="000552F0">
        <w:rPr>
          <w:sz w:val="26"/>
          <w:szCs w:val="26"/>
        </w:rPr>
        <w:t>’</w:t>
      </w:r>
      <w:r w:rsidRPr="00853FF6">
        <w:rPr>
          <w:sz w:val="26"/>
          <w:szCs w:val="26"/>
        </w:rPr>
        <w:t>s calculation of California</w:t>
      </w:r>
      <w:r w:rsidR="000552F0">
        <w:rPr>
          <w:sz w:val="26"/>
          <w:szCs w:val="26"/>
        </w:rPr>
        <w:t>’</w:t>
      </w:r>
      <w:r w:rsidRPr="00853FF6">
        <w:rPr>
          <w:sz w:val="26"/>
          <w:szCs w:val="26"/>
        </w:rPr>
        <w:t xml:space="preserve">s share of unserved locations nationally. </w:t>
      </w:r>
    </w:p>
    <w:p w:rsidR="00EE7F12" w:rsidP="001C064E" w:rsidRDefault="00EE7F12" w14:paraId="647C3339" w14:textId="22C4B6B2">
      <w:pPr>
        <w:spacing w:line="360" w:lineRule="auto"/>
        <w:ind w:firstLine="1440"/>
        <w:rPr>
          <w:sz w:val="26"/>
          <w:szCs w:val="26"/>
        </w:rPr>
      </w:pPr>
      <w:r w:rsidRPr="00853FF6">
        <w:rPr>
          <w:sz w:val="26"/>
          <w:szCs w:val="26"/>
        </w:rPr>
        <w:t xml:space="preserve">After receiving BEAD funding from the NTIA, a state may award sub-grants competitively to subgrantees to carry out the following broadband deployment activities: </w:t>
      </w:r>
      <w:r w:rsidR="00845EE5">
        <w:rPr>
          <w:sz w:val="26"/>
          <w:szCs w:val="26"/>
        </w:rPr>
        <w:t>(</w:t>
      </w:r>
      <w:r w:rsidRPr="00853FF6">
        <w:rPr>
          <w:sz w:val="26"/>
          <w:szCs w:val="26"/>
        </w:rPr>
        <w:t xml:space="preserve">1) unserved service projects; </w:t>
      </w:r>
      <w:r w:rsidR="00845EE5">
        <w:rPr>
          <w:sz w:val="26"/>
          <w:szCs w:val="26"/>
        </w:rPr>
        <w:t>(</w:t>
      </w:r>
      <w:r w:rsidRPr="00853FF6">
        <w:rPr>
          <w:sz w:val="26"/>
          <w:szCs w:val="26"/>
        </w:rPr>
        <w:t xml:space="preserve">2) underserved service projects; </w:t>
      </w:r>
      <w:r w:rsidR="00845EE5">
        <w:rPr>
          <w:sz w:val="26"/>
          <w:szCs w:val="26"/>
        </w:rPr>
        <w:t>(</w:t>
      </w:r>
      <w:r w:rsidRPr="00853FF6">
        <w:rPr>
          <w:sz w:val="26"/>
          <w:szCs w:val="26"/>
        </w:rPr>
        <w:t>3) projects connecting eligible community anchor institutions</w:t>
      </w:r>
      <w:r>
        <w:rPr>
          <w:sz w:val="26"/>
          <w:szCs w:val="26"/>
        </w:rPr>
        <w:t xml:space="preserve"> (CAI)</w:t>
      </w:r>
      <w:r w:rsidRPr="00853FF6">
        <w:rPr>
          <w:sz w:val="26"/>
          <w:szCs w:val="26"/>
        </w:rPr>
        <w:t xml:space="preserve">; </w:t>
      </w:r>
      <w:r w:rsidR="00845EE5">
        <w:rPr>
          <w:sz w:val="26"/>
          <w:szCs w:val="26"/>
        </w:rPr>
        <w:t>(</w:t>
      </w:r>
      <w:r w:rsidRPr="00853FF6">
        <w:rPr>
          <w:sz w:val="26"/>
          <w:szCs w:val="26"/>
        </w:rPr>
        <w:t xml:space="preserve">4) broadband data collection, mapping, and planning; </w:t>
      </w:r>
      <w:r w:rsidR="00845EE5">
        <w:rPr>
          <w:sz w:val="26"/>
          <w:szCs w:val="26"/>
        </w:rPr>
        <w:t>(</w:t>
      </w:r>
      <w:r w:rsidRPr="00853FF6">
        <w:rPr>
          <w:sz w:val="26"/>
          <w:szCs w:val="26"/>
        </w:rPr>
        <w:t xml:space="preserve">5) installing internet and Wi-Fi infrastructure or providing reduced-cost broadband within a multi-family residential building; </w:t>
      </w:r>
      <w:r w:rsidR="00845EE5">
        <w:rPr>
          <w:sz w:val="26"/>
          <w:szCs w:val="26"/>
        </w:rPr>
        <w:t>(</w:t>
      </w:r>
      <w:r w:rsidRPr="00853FF6">
        <w:rPr>
          <w:sz w:val="26"/>
          <w:szCs w:val="26"/>
        </w:rPr>
        <w:t xml:space="preserve">6) broadband adoption programs; and </w:t>
      </w:r>
      <w:r w:rsidR="00845EE5">
        <w:rPr>
          <w:sz w:val="26"/>
          <w:szCs w:val="26"/>
        </w:rPr>
        <w:t>(</w:t>
      </w:r>
      <w:r w:rsidRPr="00853FF6">
        <w:rPr>
          <w:sz w:val="26"/>
          <w:szCs w:val="26"/>
        </w:rPr>
        <w:t xml:space="preserve">7) other activities determined by NTIA, including administrative </w:t>
      </w:r>
      <w:r w:rsidRPr="00853FF6">
        <w:rPr>
          <w:sz w:val="26"/>
          <w:szCs w:val="26"/>
        </w:rPr>
        <w:lastRenderedPageBreak/>
        <w:t>activities undertaken by the State. (D</w:t>
      </w:r>
      <w:r>
        <w:rPr>
          <w:sz w:val="26"/>
          <w:szCs w:val="26"/>
        </w:rPr>
        <w:t xml:space="preserve">ecision (D.) </w:t>
      </w:r>
      <w:r w:rsidRPr="00853FF6">
        <w:rPr>
          <w:sz w:val="26"/>
          <w:szCs w:val="26"/>
        </w:rPr>
        <w:t>24-09-050, pp. 1-2.)</w:t>
      </w:r>
    </w:p>
    <w:p w:rsidR="00EE7F12" w:rsidP="001C064E" w:rsidRDefault="00EE7F12" w14:paraId="43B92238" w14:textId="4D8E1594">
      <w:pPr>
        <w:spacing w:line="360" w:lineRule="auto"/>
        <w:ind w:firstLine="1440"/>
        <w:rPr>
          <w:sz w:val="26"/>
          <w:szCs w:val="26"/>
        </w:rPr>
      </w:pPr>
      <w:r>
        <w:rPr>
          <w:sz w:val="26"/>
          <w:szCs w:val="26"/>
        </w:rPr>
        <w:t>On May 13, 2022, the NTIA released the Notice of Funding Opportunity (NOFO) describing the requirements for awarding grants in connection with the BEAD Program.</w:t>
      </w:r>
      <w:r w:rsidRPr="00845EE5" w:rsidR="00170531">
        <w:rPr>
          <w:rStyle w:val="FootnoteReference"/>
          <w:b/>
          <w:bCs/>
          <w:sz w:val="26"/>
          <w:szCs w:val="26"/>
          <w:u w:val="single"/>
        </w:rPr>
        <w:footnoteReference w:id="1"/>
      </w:r>
      <w:r w:rsidR="00170531">
        <w:rPr>
          <w:sz w:val="26"/>
          <w:szCs w:val="26"/>
        </w:rPr>
        <w:t xml:space="preserve">  </w:t>
      </w:r>
      <w:r w:rsidRPr="00170531" w:rsidR="00170531">
        <w:rPr>
          <w:sz w:val="26"/>
          <w:szCs w:val="26"/>
        </w:rPr>
        <w:t>Among other requirements, the NOFO direct</w:t>
      </w:r>
      <w:r w:rsidR="00170531">
        <w:rPr>
          <w:sz w:val="26"/>
          <w:szCs w:val="26"/>
        </w:rPr>
        <w:t>s</w:t>
      </w:r>
      <w:r w:rsidRPr="00170531" w:rsidR="00170531">
        <w:rPr>
          <w:sz w:val="26"/>
          <w:szCs w:val="26"/>
        </w:rPr>
        <w:t xml:space="preserve"> states participating as “eligible entities” to submit an </w:t>
      </w:r>
      <w:r w:rsidR="00170531">
        <w:rPr>
          <w:sz w:val="26"/>
          <w:szCs w:val="26"/>
        </w:rPr>
        <w:t>I</w:t>
      </w:r>
      <w:r w:rsidRPr="00170531" w:rsidR="00170531">
        <w:rPr>
          <w:sz w:val="26"/>
          <w:szCs w:val="26"/>
        </w:rPr>
        <w:t xml:space="preserve">nitial </w:t>
      </w:r>
      <w:r w:rsidR="00170531">
        <w:rPr>
          <w:sz w:val="26"/>
          <w:szCs w:val="26"/>
        </w:rPr>
        <w:t>P</w:t>
      </w:r>
      <w:r w:rsidRPr="00170531" w:rsidR="00170531">
        <w:rPr>
          <w:sz w:val="26"/>
          <w:szCs w:val="26"/>
        </w:rPr>
        <w:t xml:space="preserve">roposal and </w:t>
      </w:r>
      <w:r w:rsidR="00170531">
        <w:rPr>
          <w:sz w:val="26"/>
          <w:szCs w:val="26"/>
        </w:rPr>
        <w:t>F</w:t>
      </w:r>
      <w:r w:rsidRPr="00170531" w:rsidR="00170531">
        <w:rPr>
          <w:sz w:val="26"/>
          <w:szCs w:val="26"/>
        </w:rPr>
        <w:t xml:space="preserve">inal </w:t>
      </w:r>
      <w:r w:rsidR="00170531">
        <w:rPr>
          <w:sz w:val="26"/>
          <w:szCs w:val="26"/>
        </w:rPr>
        <w:t>P</w:t>
      </w:r>
      <w:r w:rsidRPr="00170531" w:rsidR="00170531">
        <w:rPr>
          <w:sz w:val="26"/>
          <w:szCs w:val="26"/>
        </w:rPr>
        <w:t>roposal for NTIA review and approval before the NTIA will release BEAD funding. (NOFO</w:t>
      </w:r>
      <w:r w:rsidR="00170531">
        <w:rPr>
          <w:sz w:val="26"/>
          <w:szCs w:val="26"/>
        </w:rPr>
        <w:t>, pp.</w:t>
      </w:r>
      <w:r w:rsidRPr="00170531" w:rsidR="00170531">
        <w:rPr>
          <w:sz w:val="26"/>
          <w:szCs w:val="26"/>
        </w:rPr>
        <w:t xml:space="preserve"> 9-10, 84.) If the NTIA disapproves the </w:t>
      </w:r>
      <w:r w:rsidR="00170531">
        <w:rPr>
          <w:sz w:val="26"/>
          <w:szCs w:val="26"/>
        </w:rPr>
        <w:t>I</w:t>
      </w:r>
      <w:r w:rsidRPr="00170531" w:rsidR="00170531">
        <w:rPr>
          <w:sz w:val="26"/>
          <w:szCs w:val="26"/>
        </w:rPr>
        <w:t xml:space="preserve">nitial or </w:t>
      </w:r>
      <w:r w:rsidR="00170531">
        <w:rPr>
          <w:sz w:val="26"/>
          <w:szCs w:val="26"/>
        </w:rPr>
        <w:t>F</w:t>
      </w:r>
      <w:r w:rsidRPr="00170531" w:rsidR="00170531">
        <w:rPr>
          <w:sz w:val="26"/>
          <w:szCs w:val="26"/>
        </w:rPr>
        <w:t xml:space="preserve">inal </w:t>
      </w:r>
      <w:r w:rsidR="00170531">
        <w:rPr>
          <w:sz w:val="26"/>
          <w:szCs w:val="26"/>
        </w:rPr>
        <w:t>P</w:t>
      </w:r>
      <w:r w:rsidRPr="00170531" w:rsidR="00170531">
        <w:rPr>
          <w:sz w:val="26"/>
          <w:szCs w:val="26"/>
        </w:rPr>
        <w:t xml:space="preserve">roposal, the NTIA will provide the eligible entity with an opportunity to resubmit the </w:t>
      </w:r>
      <w:r w:rsidR="00170531">
        <w:rPr>
          <w:sz w:val="26"/>
          <w:szCs w:val="26"/>
        </w:rPr>
        <w:t>I</w:t>
      </w:r>
      <w:r w:rsidRPr="00170531" w:rsidR="00170531">
        <w:rPr>
          <w:sz w:val="26"/>
          <w:szCs w:val="26"/>
        </w:rPr>
        <w:t xml:space="preserve">nitial or </w:t>
      </w:r>
      <w:r w:rsidR="00170531">
        <w:rPr>
          <w:sz w:val="26"/>
          <w:szCs w:val="26"/>
        </w:rPr>
        <w:t>F</w:t>
      </w:r>
      <w:r w:rsidRPr="00170531" w:rsidR="00170531">
        <w:rPr>
          <w:sz w:val="26"/>
          <w:szCs w:val="26"/>
        </w:rPr>
        <w:t xml:space="preserve">inal </w:t>
      </w:r>
      <w:r w:rsidR="00170531">
        <w:rPr>
          <w:sz w:val="26"/>
          <w:szCs w:val="26"/>
        </w:rPr>
        <w:t>P</w:t>
      </w:r>
      <w:r w:rsidRPr="00170531" w:rsidR="00170531">
        <w:rPr>
          <w:sz w:val="26"/>
          <w:szCs w:val="26"/>
        </w:rPr>
        <w:t>roposal for reconsideration. (</w:t>
      </w:r>
      <w:r w:rsidR="00170531">
        <w:rPr>
          <w:sz w:val="26"/>
          <w:szCs w:val="26"/>
        </w:rPr>
        <w:t>NOFO, p.</w:t>
      </w:r>
      <w:r w:rsidRPr="00170531" w:rsidR="00170531">
        <w:rPr>
          <w:sz w:val="26"/>
          <w:szCs w:val="26"/>
        </w:rPr>
        <w:t xml:space="preserve"> 84.)  </w:t>
      </w:r>
    </w:p>
    <w:p w:rsidRPr="00853FF6" w:rsidR="00EE7F12" w:rsidP="001C064E" w:rsidRDefault="00EE7F12" w14:paraId="52EAC3EF" w14:textId="005F9052">
      <w:pPr>
        <w:spacing w:line="360" w:lineRule="auto"/>
        <w:ind w:firstLine="1440"/>
        <w:rPr>
          <w:sz w:val="26"/>
          <w:szCs w:val="26"/>
        </w:rPr>
      </w:pPr>
      <w:r w:rsidRPr="00853FF6">
        <w:rPr>
          <w:sz w:val="26"/>
          <w:szCs w:val="26"/>
        </w:rPr>
        <w:t>After submission of its Initial Proposal</w:t>
      </w:r>
      <w:r>
        <w:rPr>
          <w:sz w:val="26"/>
          <w:szCs w:val="26"/>
        </w:rPr>
        <w:t xml:space="preserve"> to NTIA</w:t>
      </w:r>
      <w:r w:rsidRPr="00853FF6">
        <w:rPr>
          <w:sz w:val="26"/>
          <w:szCs w:val="26"/>
        </w:rPr>
        <w:t xml:space="preserve"> and before awarding BEAD funds to subgrantees, the </w:t>
      </w:r>
      <w:r>
        <w:rPr>
          <w:sz w:val="26"/>
          <w:szCs w:val="26"/>
        </w:rPr>
        <w:t xml:space="preserve">NOFO requires the </w:t>
      </w:r>
      <w:r w:rsidRPr="00853FF6">
        <w:rPr>
          <w:sz w:val="26"/>
          <w:szCs w:val="26"/>
        </w:rPr>
        <w:t xml:space="preserve">Commission </w:t>
      </w:r>
      <w:r>
        <w:rPr>
          <w:sz w:val="26"/>
          <w:szCs w:val="26"/>
        </w:rPr>
        <w:t xml:space="preserve">to </w:t>
      </w:r>
      <w:r w:rsidRPr="00853FF6">
        <w:rPr>
          <w:sz w:val="26"/>
          <w:szCs w:val="26"/>
        </w:rPr>
        <w:t>conduct the NTIA-approved Challenge Process, whereby a unit of local government, nonprofit organization, or broadband service provider can challenge a</w:t>
      </w:r>
      <w:r w:rsidR="007C6252">
        <w:rPr>
          <w:sz w:val="26"/>
          <w:szCs w:val="26"/>
        </w:rPr>
        <w:t xml:space="preserve"> mapping</w:t>
      </w:r>
      <w:r w:rsidRPr="00853FF6">
        <w:rPr>
          <w:sz w:val="26"/>
          <w:szCs w:val="26"/>
        </w:rPr>
        <w:t xml:space="preserve"> determination </w:t>
      </w:r>
      <w:r w:rsidR="007C6252">
        <w:rPr>
          <w:sz w:val="26"/>
          <w:szCs w:val="26"/>
        </w:rPr>
        <w:t xml:space="preserve">as to </w:t>
      </w:r>
      <w:r w:rsidRPr="00853FF6">
        <w:rPr>
          <w:sz w:val="26"/>
          <w:szCs w:val="26"/>
        </w:rPr>
        <w:t xml:space="preserve">whether a particular location or </w:t>
      </w:r>
      <w:r w:rsidR="00170531">
        <w:rPr>
          <w:sz w:val="26"/>
          <w:szCs w:val="26"/>
        </w:rPr>
        <w:t>CAI</w:t>
      </w:r>
      <w:r w:rsidRPr="00853FF6">
        <w:rPr>
          <w:sz w:val="26"/>
          <w:szCs w:val="26"/>
        </w:rPr>
        <w:t xml:space="preserve"> is eligible for the grant funds, including whether a particular location is unserved</w:t>
      </w:r>
      <w:r w:rsidR="007C6252">
        <w:rPr>
          <w:sz w:val="26"/>
          <w:szCs w:val="26"/>
        </w:rPr>
        <w:t>,</w:t>
      </w:r>
      <w:r w:rsidRPr="00853FF6">
        <w:rPr>
          <w:sz w:val="26"/>
          <w:szCs w:val="26"/>
        </w:rPr>
        <w:t xml:space="preserve"> underserved</w:t>
      </w:r>
      <w:r w:rsidR="007C6252">
        <w:rPr>
          <w:sz w:val="26"/>
          <w:szCs w:val="26"/>
        </w:rPr>
        <w:t>, or served</w:t>
      </w:r>
      <w:r w:rsidRPr="00853FF6">
        <w:rPr>
          <w:sz w:val="26"/>
          <w:szCs w:val="26"/>
        </w:rPr>
        <w:t>.</w:t>
      </w:r>
      <w:r>
        <w:rPr>
          <w:sz w:val="26"/>
          <w:szCs w:val="26"/>
        </w:rPr>
        <w:t xml:space="preserve"> (NOFO, p. 9.)</w:t>
      </w:r>
      <w:r w:rsidRPr="00853FF6">
        <w:rPr>
          <w:sz w:val="26"/>
          <w:szCs w:val="26"/>
        </w:rPr>
        <w:t xml:space="preserve"> The </w:t>
      </w:r>
      <w:r>
        <w:rPr>
          <w:sz w:val="26"/>
          <w:szCs w:val="26"/>
        </w:rPr>
        <w:t>NOFO</w:t>
      </w:r>
      <w:r w:rsidRPr="00853FF6">
        <w:rPr>
          <w:sz w:val="26"/>
          <w:szCs w:val="26"/>
        </w:rPr>
        <w:t xml:space="preserve"> defines reliable broadband service as: “broadband service that the Broadband</w:t>
      </w:r>
      <w:r>
        <w:rPr>
          <w:sz w:val="26"/>
          <w:szCs w:val="26"/>
        </w:rPr>
        <w:t xml:space="preserve"> DATA</w:t>
      </w:r>
      <w:r w:rsidRPr="00853FF6">
        <w:rPr>
          <w:sz w:val="26"/>
          <w:szCs w:val="26"/>
        </w:rPr>
        <w:t xml:space="preserve"> Maps show is accessible to a location via: (i) fiber-optic technology; (ii) Cable Modem/ Hybrid fiber-coaxial technology; (iii) digital subscriber line (DSL) technology; or (iv) terrestrial fixed wireless technology utilizing entirely licensed spectrum or using a hybrid of licensed and unlicensed spectrum.” </w:t>
      </w:r>
      <w:r>
        <w:rPr>
          <w:sz w:val="26"/>
          <w:szCs w:val="26"/>
        </w:rPr>
        <w:t xml:space="preserve">(NOFO, p. 15.) </w:t>
      </w:r>
      <w:r w:rsidR="004A2C84">
        <w:rPr>
          <w:sz w:val="26"/>
          <w:szCs w:val="26"/>
        </w:rPr>
        <w:t xml:space="preserve"> Staff utilized </w:t>
      </w:r>
      <w:r w:rsidRPr="001E742E" w:rsidR="004A2C84">
        <w:rPr>
          <w:sz w:val="26"/>
          <w:szCs w:val="26"/>
        </w:rPr>
        <w:t>Version 4 of the Broadband Serviceable Locations</w:t>
      </w:r>
      <w:r w:rsidR="004A2C84">
        <w:rPr>
          <w:sz w:val="26"/>
          <w:szCs w:val="26"/>
        </w:rPr>
        <w:t xml:space="preserve"> </w:t>
      </w:r>
      <w:r w:rsidRPr="001E742E" w:rsidR="004A2C84">
        <w:rPr>
          <w:sz w:val="26"/>
          <w:szCs w:val="26"/>
        </w:rPr>
        <w:t>Fabric,</w:t>
      </w:r>
      <w:r w:rsidR="004A2C84">
        <w:rPr>
          <w:sz w:val="26"/>
          <w:szCs w:val="26"/>
        </w:rPr>
        <w:t xml:space="preserve"> which was </w:t>
      </w:r>
      <w:r w:rsidRPr="001E742E" w:rsidR="004A2C84">
        <w:rPr>
          <w:sz w:val="26"/>
          <w:szCs w:val="26"/>
        </w:rPr>
        <w:t>released by NTIA on May 14, 2024,</w:t>
      </w:r>
      <w:r w:rsidR="004A2C84">
        <w:rPr>
          <w:sz w:val="26"/>
          <w:szCs w:val="26"/>
        </w:rPr>
        <w:t xml:space="preserve"> </w:t>
      </w:r>
      <w:r w:rsidRPr="001E742E" w:rsidR="004A2C84">
        <w:rPr>
          <w:sz w:val="26"/>
          <w:szCs w:val="26"/>
        </w:rPr>
        <w:t>as the basis for the BEAD Challenge</w:t>
      </w:r>
      <w:r w:rsidR="004A2C84">
        <w:rPr>
          <w:sz w:val="26"/>
          <w:szCs w:val="26"/>
        </w:rPr>
        <w:t xml:space="preserve"> </w:t>
      </w:r>
      <w:r w:rsidRPr="001E742E" w:rsidR="004A2C84">
        <w:rPr>
          <w:sz w:val="26"/>
          <w:szCs w:val="26"/>
        </w:rPr>
        <w:t>Process.</w:t>
      </w:r>
      <w:r w:rsidR="004A2C84">
        <w:rPr>
          <w:sz w:val="26"/>
          <w:szCs w:val="26"/>
        </w:rPr>
        <w:t xml:space="preserve"> </w:t>
      </w:r>
      <w:r w:rsidRPr="001E742E" w:rsidR="004A2C84">
        <w:rPr>
          <w:sz w:val="26"/>
          <w:szCs w:val="26"/>
        </w:rPr>
        <w:t>Th</w:t>
      </w:r>
      <w:r w:rsidR="004A2C84">
        <w:rPr>
          <w:sz w:val="26"/>
          <w:szCs w:val="26"/>
        </w:rPr>
        <w:t>is</w:t>
      </w:r>
      <w:r w:rsidRPr="001E742E" w:rsidR="004A2C84">
        <w:rPr>
          <w:sz w:val="26"/>
          <w:szCs w:val="26"/>
        </w:rPr>
        <w:t xml:space="preserve"> data point was set for the </w:t>
      </w:r>
      <w:r w:rsidR="004A2C84">
        <w:rPr>
          <w:sz w:val="26"/>
          <w:szCs w:val="26"/>
        </w:rPr>
        <w:t>Commission</w:t>
      </w:r>
      <w:r w:rsidRPr="001E742E" w:rsidR="004A2C84">
        <w:rPr>
          <w:sz w:val="26"/>
          <w:szCs w:val="26"/>
        </w:rPr>
        <w:t xml:space="preserve"> and held constant by NTIA.</w:t>
      </w:r>
    </w:p>
    <w:p w:rsidR="00E90939" w:rsidP="00E90939" w:rsidRDefault="00170531" w14:paraId="309818F5" w14:textId="77777777">
      <w:pPr>
        <w:spacing w:line="360" w:lineRule="auto"/>
        <w:ind w:firstLine="720"/>
        <w:rPr>
          <w:sz w:val="26"/>
          <w:szCs w:val="26"/>
        </w:rPr>
      </w:pPr>
      <w:r>
        <w:rPr>
          <w:sz w:val="26"/>
          <w:szCs w:val="26"/>
        </w:rPr>
        <w:t>The Commission held t</w:t>
      </w:r>
      <w:r w:rsidRPr="00853FF6" w:rsidR="00EE7F12">
        <w:rPr>
          <w:sz w:val="26"/>
          <w:szCs w:val="26"/>
        </w:rPr>
        <w:t xml:space="preserve">he initial BEAD Prequalification Application window on March 25 </w:t>
      </w:r>
      <w:r w:rsidR="00EE7F12">
        <w:rPr>
          <w:sz w:val="26"/>
          <w:szCs w:val="26"/>
        </w:rPr>
        <w:t xml:space="preserve">– </w:t>
      </w:r>
      <w:r w:rsidRPr="00853FF6" w:rsidR="00EE7F12">
        <w:rPr>
          <w:sz w:val="26"/>
          <w:szCs w:val="26"/>
        </w:rPr>
        <w:t xml:space="preserve">May 1, 2025, and the initial Project Application window on April 2 – May 9, 2025. </w:t>
      </w:r>
      <w:r w:rsidR="00EE7F12">
        <w:rPr>
          <w:sz w:val="26"/>
          <w:szCs w:val="26"/>
        </w:rPr>
        <w:t xml:space="preserve">Commission </w:t>
      </w:r>
      <w:r w:rsidRPr="00853FF6" w:rsidR="00EE7F12">
        <w:rPr>
          <w:sz w:val="26"/>
          <w:szCs w:val="26"/>
        </w:rPr>
        <w:t>Staff</w:t>
      </w:r>
      <w:r w:rsidR="004A2C84">
        <w:rPr>
          <w:sz w:val="26"/>
          <w:szCs w:val="26"/>
        </w:rPr>
        <w:t>’s</w:t>
      </w:r>
      <w:r w:rsidRPr="00853FF6" w:rsidR="00EE7F12">
        <w:rPr>
          <w:sz w:val="26"/>
          <w:szCs w:val="26"/>
        </w:rPr>
        <w:t xml:space="preserve"> </w:t>
      </w:r>
      <w:r w:rsidR="004A2C84">
        <w:rPr>
          <w:sz w:val="26"/>
          <w:szCs w:val="26"/>
        </w:rPr>
        <w:t xml:space="preserve">evaluation of the subgrantees’ </w:t>
      </w:r>
      <w:r w:rsidRPr="00853FF6" w:rsidR="00EE7F12">
        <w:rPr>
          <w:sz w:val="26"/>
          <w:szCs w:val="26"/>
        </w:rPr>
        <w:t>application</w:t>
      </w:r>
      <w:r w:rsidR="004A2C84">
        <w:rPr>
          <w:sz w:val="26"/>
          <w:szCs w:val="26"/>
        </w:rPr>
        <w:t>s</w:t>
      </w:r>
      <w:r w:rsidRPr="00853FF6" w:rsidR="00EE7F12">
        <w:rPr>
          <w:sz w:val="26"/>
          <w:szCs w:val="26"/>
        </w:rPr>
        <w:t xml:space="preserve"> </w:t>
      </w:r>
      <w:r w:rsidR="007C6252">
        <w:rPr>
          <w:sz w:val="26"/>
          <w:szCs w:val="26"/>
        </w:rPr>
        <w:t xml:space="preserve">was therefore </w:t>
      </w:r>
      <w:r w:rsidR="004A2C84">
        <w:rPr>
          <w:sz w:val="26"/>
          <w:szCs w:val="26"/>
        </w:rPr>
        <w:t xml:space="preserve">already </w:t>
      </w:r>
      <w:r w:rsidR="007C6252">
        <w:rPr>
          <w:sz w:val="26"/>
          <w:szCs w:val="26"/>
        </w:rPr>
        <w:t xml:space="preserve">well underway </w:t>
      </w:r>
      <w:r w:rsidRPr="00853FF6" w:rsidR="00EE7F12">
        <w:rPr>
          <w:sz w:val="26"/>
          <w:szCs w:val="26"/>
        </w:rPr>
        <w:t xml:space="preserve">when </w:t>
      </w:r>
      <w:r w:rsidR="007C6252">
        <w:rPr>
          <w:sz w:val="26"/>
          <w:szCs w:val="26"/>
        </w:rPr>
        <w:t xml:space="preserve">NTIA issued its </w:t>
      </w:r>
      <w:r w:rsidRPr="00853FF6" w:rsidR="00EE7F12">
        <w:rPr>
          <w:sz w:val="26"/>
          <w:szCs w:val="26"/>
        </w:rPr>
        <w:t>Restructuring Policy Notice</w:t>
      </w:r>
      <w:r w:rsidR="00EE7F12">
        <w:rPr>
          <w:sz w:val="26"/>
          <w:szCs w:val="26"/>
        </w:rPr>
        <w:t xml:space="preserve"> (</w:t>
      </w:r>
      <w:r w:rsidRPr="00853FF6" w:rsidR="00EE7F12">
        <w:rPr>
          <w:sz w:val="26"/>
          <w:szCs w:val="26"/>
        </w:rPr>
        <w:t>RPN</w:t>
      </w:r>
      <w:r w:rsidR="00EE7F12">
        <w:rPr>
          <w:sz w:val="26"/>
          <w:szCs w:val="26"/>
        </w:rPr>
        <w:t>)</w:t>
      </w:r>
      <w:r w:rsidRPr="00853FF6" w:rsidR="00EE7F12">
        <w:rPr>
          <w:sz w:val="26"/>
          <w:szCs w:val="26"/>
        </w:rPr>
        <w:t xml:space="preserve"> </w:t>
      </w:r>
      <w:r w:rsidR="00EE7F12">
        <w:rPr>
          <w:sz w:val="26"/>
          <w:szCs w:val="26"/>
        </w:rPr>
        <w:t>on June 6, 2025.</w:t>
      </w:r>
      <w:r w:rsidRPr="00853FF6" w:rsidR="00EE7F12">
        <w:rPr>
          <w:sz w:val="26"/>
          <w:szCs w:val="26"/>
        </w:rPr>
        <w:t xml:space="preserve"> NTIA</w:t>
      </w:r>
      <w:r w:rsidR="007C6252">
        <w:rPr>
          <w:sz w:val="26"/>
          <w:szCs w:val="26"/>
        </w:rPr>
        <w:t>’s RPN</w:t>
      </w:r>
      <w:r w:rsidRPr="00853FF6" w:rsidR="00EE7F12">
        <w:rPr>
          <w:sz w:val="26"/>
          <w:szCs w:val="26"/>
        </w:rPr>
        <w:t xml:space="preserve"> added new requirements, including but not exclusive to, the need </w:t>
      </w:r>
      <w:r w:rsidRPr="00853FF6" w:rsidR="00EE7F12">
        <w:rPr>
          <w:sz w:val="26"/>
          <w:szCs w:val="26"/>
        </w:rPr>
        <w:lastRenderedPageBreak/>
        <w:t>to revise the file containing eligible Broadband Serviceable Locations (BSLs) to account for unlicensed fixed wireless service</w:t>
      </w:r>
      <w:r w:rsidR="00FD5735">
        <w:rPr>
          <w:sz w:val="26"/>
          <w:szCs w:val="26"/>
        </w:rPr>
        <w:t xml:space="preserve"> that could demonstrate they are served</w:t>
      </w:r>
      <w:r w:rsidRPr="00853FF6" w:rsidR="00EE7F12">
        <w:rPr>
          <w:sz w:val="26"/>
          <w:szCs w:val="26"/>
        </w:rPr>
        <w:t xml:space="preserve">, revise the scoring rubric to evaluate applications, open an additional application round incorporating the RPN policy changes to provide the opportunity for all eligible technologies to qualify for Priority status, and submit a Final Proposal by September 4, 2025. </w:t>
      </w:r>
      <w:r w:rsidR="00FD5735">
        <w:rPr>
          <w:sz w:val="26"/>
          <w:szCs w:val="26"/>
        </w:rPr>
        <w:t xml:space="preserve">Staff submitted subsequent waiver requests and </w:t>
      </w:r>
      <w:r w:rsidR="00E90939">
        <w:rPr>
          <w:sz w:val="26"/>
          <w:szCs w:val="26"/>
        </w:rPr>
        <w:t xml:space="preserve">NTIA ultimately extended the </w:t>
      </w:r>
      <w:r w:rsidRPr="00853FF6" w:rsidR="00E90939">
        <w:rPr>
          <w:sz w:val="26"/>
          <w:szCs w:val="26"/>
        </w:rPr>
        <w:t>Final Proposal submission deadline</w:t>
      </w:r>
      <w:r w:rsidR="00E90939">
        <w:rPr>
          <w:sz w:val="26"/>
          <w:szCs w:val="26"/>
        </w:rPr>
        <w:t xml:space="preserve"> </w:t>
      </w:r>
      <w:r w:rsidRPr="00853FF6" w:rsidR="00E90939">
        <w:rPr>
          <w:sz w:val="26"/>
          <w:szCs w:val="26"/>
        </w:rPr>
        <w:t xml:space="preserve">to </w:t>
      </w:r>
      <w:r w:rsidR="00E90939">
        <w:rPr>
          <w:sz w:val="26"/>
          <w:szCs w:val="26"/>
        </w:rPr>
        <w:t>December 19</w:t>
      </w:r>
      <w:r w:rsidRPr="00853FF6" w:rsidR="00E90939">
        <w:rPr>
          <w:sz w:val="26"/>
          <w:szCs w:val="26"/>
        </w:rPr>
        <w:t>, 2025.</w:t>
      </w:r>
      <w:r w:rsidR="00E90939">
        <w:rPr>
          <w:sz w:val="26"/>
          <w:szCs w:val="26"/>
        </w:rPr>
        <w:t xml:space="preserve"> (Res. T-17898, p. 3.)</w:t>
      </w:r>
    </w:p>
    <w:p w:rsidRPr="00853FF6" w:rsidR="00EE7F12" w:rsidP="001C064E" w:rsidRDefault="00EE7F12" w14:paraId="3345565B" w14:textId="56024E76">
      <w:pPr>
        <w:spacing w:line="360" w:lineRule="auto"/>
        <w:ind w:firstLine="1440"/>
        <w:rPr>
          <w:sz w:val="26"/>
          <w:szCs w:val="26"/>
        </w:rPr>
      </w:pPr>
      <w:r w:rsidRPr="00853FF6">
        <w:rPr>
          <w:sz w:val="26"/>
          <w:szCs w:val="26"/>
        </w:rPr>
        <w:t xml:space="preserve">On July 24, 2025, the Commission approved </w:t>
      </w:r>
      <w:r>
        <w:rPr>
          <w:sz w:val="26"/>
          <w:szCs w:val="26"/>
        </w:rPr>
        <w:t>D.</w:t>
      </w:r>
      <w:r w:rsidRPr="00853FF6">
        <w:rPr>
          <w:sz w:val="26"/>
          <w:szCs w:val="26"/>
        </w:rPr>
        <w:t>25-07-040, which modified</w:t>
      </w:r>
      <w:r>
        <w:rPr>
          <w:sz w:val="26"/>
          <w:szCs w:val="26"/>
        </w:rPr>
        <w:t xml:space="preserve"> </w:t>
      </w:r>
      <w:r w:rsidRPr="00853FF6">
        <w:rPr>
          <w:sz w:val="26"/>
          <w:szCs w:val="26"/>
        </w:rPr>
        <w:t>D</w:t>
      </w:r>
      <w:r>
        <w:rPr>
          <w:sz w:val="26"/>
          <w:szCs w:val="26"/>
        </w:rPr>
        <w:t>.</w:t>
      </w:r>
      <w:r w:rsidRPr="00853FF6">
        <w:rPr>
          <w:sz w:val="26"/>
          <w:szCs w:val="26"/>
        </w:rPr>
        <w:t>24-05-029 and D</w:t>
      </w:r>
      <w:r>
        <w:rPr>
          <w:sz w:val="26"/>
          <w:szCs w:val="26"/>
        </w:rPr>
        <w:t>.</w:t>
      </w:r>
      <w:r w:rsidRPr="00853FF6">
        <w:rPr>
          <w:sz w:val="26"/>
          <w:szCs w:val="26"/>
        </w:rPr>
        <w:t>24-09-050, to implement the changes NTIA mandated</w:t>
      </w:r>
      <w:r>
        <w:rPr>
          <w:sz w:val="26"/>
          <w:szCs w:val="26"/>
        </w:rPr>
        <w:t xml:space="preserve"> </w:t>
      </w:r>
      <w:r w:rsidRPr="00853FF6">
        <w:rPr>
          <w:sz w:val="26"/>
          <w:szCs w:val="26"/>
        </w:rPr>
        <w:t xml:space="preserve">in the BEAD RPN. </w:t>
      </w:r>
      <w:r>
        <w:rPr>
          <w:sz w:val="26"/>
          <w:szCs w:val="26"/>
        </w:rPr>
        <w:t>D.</w:t>
      </w:r>
      <w:r w:rsidRPr="00853FF6">
        <w:rPr>
          <w:sz w:val="26"/>
          <w:szCs w:val="26"/>
        </w:rPr>
        <w:t>25-07-040 requires Staff to submit the Final</w:t>
      </w:r>
      <w:r>
        <w:rPr>
          <w:sz w:val="26"/>
          <w:szCs w:val="26"/>
        </w:rPr>
        <w:t xml:space="preserve"> </w:t>
      </w:r>
      <w:r w:rsidRPr="00853FF6">
        <w:rPr>
          <w:sz w:val="26"/>
          <w:szCs w:val="26"/>
        </w:rPr>
        <w:t>Proposal for Commission approval.</w:t>
      </w:r>
      <w:r>
        <w:rPr>
          <w:sz w:val="26"/>
          <w:szCs w:val="26"/>
        </w:rPr>
        <w:t xml:space="preserve"> (Res. T-17898, p. 3.)  </w:t>
      </w:r>
    </w:p>
    <w:p w:rsidR="00EE7F12" w:rsidP="001C064E" w:rsidRDefault="004A2C84" w14:paraId="32816181" w14:textId="1D5FAB05">
      <w:pPr>
        <w:spacing w:line="360" w:lineRule="auto"/>
        <w:ind w:firstLine="1440"/>
        <w:rPr>
          <w:sz w:val="26"/>
          <w:szCs w:val="26"/>
        </w:rPr>
      </w:pPr>
      <w:r>
        <w:rPr>
          <w:sz w:val="26"/>
          <w:szCs w:val="26"/>
        </w:rPr>
        <w:t>As discussed above, the Commission was required to hold a BEAD Challenge Phase prior to making subgrantee awards.</w:t>
      </w:r>
      <w:r w:rsidR="003907E7">
        <w:rPr>
          <w:sz w:val="26"/>
          <w:szCs w:val="26"/>
        </w:rPr>
        <w:t xml:space="preserve"> This process was called BEAD 1.0 which refers to BEAD programmatic design prior to the RPN.</w:t>
      </w:r>
      <w:r>
        <w:rPr>
          <w:sz w:val="26"/>
          <w:szCs w:val="26"/>
        </w:rPr>
        <w:t xml:space="preserve">  </w:t>
      </w:r>
      <w:r w:rsidRPr="00853FF6" w:rsidR="00EE7F12">
        <w:rPr>
          <w:sz w:val="26"/>
          <w:szCs w:val="26"/>
        </w:rPr>
        <w:t>The</w:t>
      </w:r>
      <w:r>
        <w:rPr>
          <w:sz w:val="26"/>
          <w:szCs w:val="26"/>
        </w:rPr>
        <w:t xml:space="preserve"> Commission’s</w:t>
      </w:r>
      <w:r w:rsidRPr="00853FF6" w:rsidR="00EE7F12">
        <w:rPr>
          <w:sz w:val="26"/>
          <w:szCs w:val="26"/>
        </w:rPr>
        <w:t xml:space="preserve"> BEAD Challenge Phase opened on July 8, 2024, at 8:00 a.m. PST and ended on August 6, 2024, at 11:59 p.m. PST. Staff evaluated the evidence provided by the challenging entities and updated its BEAD-eligible location list based on its review. </w:t>
      </w:r>
    </w:p>
    <w:p w:rsidR="00EE7F12" w:rsidP="001C064E" w:rsidRDefault="00EE7F12" w14:paraId="46FB9447" w14:textId="43860783">
      <w:pPr>
        <w:spacing w:line="360" w:lineRule="auto"/>
        <w:ind w:firstLine="1440"/>
        <w:rPr>
          <w:sz w:val="26"/>
          <w:szCs w:val="26"/>
        </w:rPr>
      </w:pPr>
      <w:r>
        <w:rPr>
          <w:sz w:val="26"/>
          <w:szCs w:val="26"/>
        </w:rPr>
        <w:t xml:space="preserve">Velocity Communications, Inc. (Velocity) participated in the BEAD Challenge Phase and submitted evidence alleging that certain areas proposed by Stimulus Technologies of California, LLC (Stimulus) were already adequately served by Velocity. </w:t>
      </w:r>
      <w:r w:rsidRPr="00014457">
        <w:rPr>
          <w:sz w:val="26"/>
          <w:szCs w:val="26"/>
        </w:rPr>
        <w:t xml:space="preserve">One </w:t>
      </w:r>
      <w:r>
        <w:rPr>
          <w:sz w:val="26"/>
          <w:szCs w:val="26"/>
        </w:rPr>
        <w:t xml:space="preserve">of Velocity’s </w:t>
      </w:r>
      <w:r w:rsidRPr="00014457">
        <w:rPr>
          <w:sz w:val="26"/>
          <w:szCs w:val="26"/>
        </w:rPr>
        <w:t>challenge</w:t>
      </w:r>
      <w:r>
        <w:rPr>
          <w:sz w:val="26"/>
          <w:szCs w:val="26"/>
        </w:rPr>
        <w:t>s</w:t>
      </w:r>
      <w:r w:rsidRPr="00014457">
        <w:rPr>
          <w:sz w:val="26"/>
          <w:szCs w:val="26"/>
        </w:rPr>
        <w:t xml:space="preserve"> was accepted, CA-1993</w:t>
      </w:r>
      <w:r>
        <w:rPr>
          <w:sz w:val="26"/>
          <w:szCs w:val="26"/>
        </w:rPr>
        <w:t xml:space="preserve">, in which Velocity provided sufficient evidence showing that </w:t>
      </w:r>
      <w:r w:rsidRPr="00014457">
        <w:rPr>
          <w:sz w:val="26"/>
          <w:szCs w:val="26"/>
        </w:rPr>
        <w:t>242 locations</w:t>
      </w:r>
      <w:r>
        <w:rPr>
          <w:sz w:val="26"/>
          <w:szCs w:val="26"/>
        </w:rPr>
        <w:t xml:space="preserve"> were adequately served</w:t>
      </w:r>
      <w:r w:rsidRPr="00014457">
        <w:rPr>
          <w:sz w:val="26"/>
          <w:szCs w:val="26"/>
        </w:rPr>
        <w:t xml:space="preserve"> using FTTP technology</w:t>
      </w:r>
      <w:r>
        <w:rPr>
          <w:sz w:val="26"/>
          <w:szCs w:val="26"/>
        </w:rPr>
        <w:t xml:space="preserve"> and provided</w:t>
      </w:r>
      <w:r w:rsidR="00E25DC2">
        <w:rPr>
          <w:sz w:val="26"/>
          <w:szCs w:val="26"/>
        </w:rPr>
        <w:t xml:space="preserve"> at least</w:t>
      </w:r>
      <w:r>
        <w:rPr>
          <w:sz w:val="26"/>
          <w:szCs w:val="26"/>
        </w:rPr>
        <w:t xml:space="preserve"> </w:t>
      </w:r>
      <w:r w:rsidRPr="00014457">
        <w:rPr>
          <w:sz w:val="26"/>
          <w:szCs w:val="26"/>
        </w:rPr>
        <w:t xml:space="preserve">100/20 </w:t>
      </w:r>
      <w:r w:rsidR="00534CF8">
        <w:rPr>
          <w:sz w:val="26"/>
          <w:szCs w:val="26"/>
        </w:rPr>
        <w:t>megabits per second (</w:t>
      </w:r>
      <w:r w:rsidRPr="00014457">
        <w:rPr>
          <w:sz w:val="26"/>
          <w:szCs w:val="26"/>
        </w:rPr>
        <w:t>Mbps</w:t>
      </w:r>
      <w:r w:rsidR="00534CF8">
        <w:rPr>
          <w:sz w:val="26"/>
          <w:szCs w:val="26"/>
        </w:rPr>
        <w:t>)</w:t>
      </w:r>
      <w:r w:rsidRPr="00014457">
        <w:rPr>
          <w:sz w:val="26"/>
          <w:szCs w:val="26"/>
        </w:rPr>
        <w:t xml:space="preserve"> service.</w:t>
      </w:r>
      <w:r>
        <w:rPr>
          <w:sz w:val="26"/>
          <w:szCs w:val="26"/>
        </w:rPr>
        <w:t xml:space="preserve"> However, t</w:t>
      </w:r>
      <w:r w:rsidRPr="00014457">
        <w:rPr>
          <w:sz w:val="26"/>
          <w:szCs w:val="26"/>
        </w:rPr>
        <w:t xml:space="preserve">he remaining </w:t>
      </w:r>
      <w:r>
        <w:rPr>
          <w:sz w:val="26"/>
          <w:szCs w:val="26"/>
        </w:rPr>
        <w:t xml:space="preserve">eight </w:t>
      </w:r>
      <w:r w:rsidRPr="00014457">
        <w:rPr>
          <w:sz w:val="26"/>
          <w:szCs w:val="26"/>
        </w:rPr>
        <w:t>existing service challenges, CA-1985 thru CA-1992</w:t>
      </w:r>
      <w:r>
        <w:rPr>
          <w:sz w:val="26"/>
          <w:szCs w:val="26"/>
        </w:rPr>
        <w:t xml:space="preserve"> consisting of </w:t>
      </w:r>
      <w:r w:rsidRPr="00014457">
        <w:rPr>
          <w:sz w:val="26"/>
          <w:szCs w:val="26"/>
        </w:rPr>
        <w:t>1,049 locations</w:t>
      </w:r>
      <w:r>
        <w:rPr>
          <w:sz w:val="26"/>
          <w:szCs w:val="26"/>
        </w:rPr>
        <w:t xml:space="preserve"> which </w:t>
      </w:r>
      <w:r w:rsidRPr="00014457">
        <w:rPr>
          <w:sz w:val="26"/>
          <w:szCs w:val="26"/>
        </w:rPr>
        <w:t>used Licensed by Rule (Code 72) technology,</w:t>
      </w:r>
      <w:r w:rsidR="007C6252">
        <w:rPr>
          <w:sz w:val="26"/>
          <w:szCs w:val="26"/>
        </w:rPr>
        <w:t xml:space="preserve"> </w:t>
      </w:r>
      <w:r>
        <w:rPr>
          <w:sz w:val="26"/>
          <w:szCs w:val="26"/>
        </w:rPr>
        <w:t>were rejected because</w:t>
      </w:r>
      <w:r w:rsidRPr="00014457">
        <w:rPr>
          <w:sz w:val="26"/>
          <w:szCs w:val="26"/>
        </w:rPr>
        <w:t xml:space="preserve"> sufficient evidence was </w:t>
      </w:r>
      <w:r>
        <w:rPr>
          <w:sz w:val="26"/>
          <w:szCs w:val="26"/>
        </w:rPr>
        <w:t>not</w:t>
      </w:r>
      <w:r w:rsidRPr="00014457">
        <w:rPr>
          <w:sz w:val="26"/>
          <w:szCs w:val="26"/>
        </w:rPr>
        <w:t xml:space="preserve"> provided</w:t>
      </w:r>
      <w:r>
        <w:rPr>
          <w:sz w:val="26"/>
          <w:szCs w:val="26"/>
        </w:rPr>
        <w:t>. S</w:t>
      </w:r>
      <w:r w:rsidRPr="00014457">
        <w:rPr>
          <w:sz w:val="26"/>
          <w:szCs w:val="26"/>
        </w:rPr>
        <w:t>pecifically, the</w:t>
      </w:r>
      <w:r w:rsidR="00D96EC4">
        <w:rPr>
          <w:sz w:val="26"/>
          <w:szCs w:val="26"/>
        </w:rPr>
        <w:t xml:space="preserve"> Fixed Wireless Access</w:t>
      </w:r>
      <w:r w:rsidRPr="00014457">
        <w:rPr>
          <w:sz w:val="26"/>
          <w:szCs w:val="26"/>
        </w:rPr>
        <w:t xml:space="preserve"> </w:t>
      </w:r>
      <w:r w:rsidR="00D96EC4">
        <w:rPr>
          <w:sz w:val="26"/>
          <w:szCs w:val="26"/>
        </w:rPr>
        <w:t>(</w:t>
      </w:r>
      <w:r w:rsidRPr="00014457">
        <w:rPr>
          <w:sz w:val="26"/>
          <w:szCs w:val="26"/>
        </w:rPr>
        <w:t>FWA</w:t>
      </w:r>
      <w:r w:rsidR="00D96EC4">
        <w:rPr>
          <w:sz w:val="26"/>
          <w:szCs w:val="26"/>
        </w:rPr>
        <w:t>) technical</w:t>
      </w:r>
      <w:r w:rsidRPr="00014457">
        <w:rPr>
          <w:sz w:val="26"/>
          <w:szCs w:val="26"/>
        </w:rPr>
        <w:t xml:space="preserve"> template was incomplete or empty, even after multiple revision requests were sent by </w:t>
      </w:r>
      <w:r>
        <w:rPr>
          <w:sz w:val="26"/>
          <w:szCs w:val="26"/>
        </w:rPr>
        <w:t>Staff to Velocity</w:t>
      </w:r>
      <w:r w:rsidRPr="00014457">
        <w:rPr>
          <w:sz w:val="26"/>
          <w:szCs w:val="26"/>
        </w:rPr>
        <w:t xml:space="preserve">. </w:t>
      </w:r>
      <w:r>
        <w:rPr>
          <w:sz w:val="26"/>
          <w:szCs w:val="26"/>
        </w:rPr>
        <w:t>Therefore, i</w:t>
      </w:r>
      <w:r w:rsidRPr="00014457">
        <w:rPr>
          <w:sz w:val="26"/>
          <w:szCs w:val="26"/>
        </w:rPr>
        <w:t xml:space="preserve">t was not possible for </w:t>
      </w:r>
      <w:r>
        <w:rPr>
          <w:sz w:val="26"/>
          <w:szCs w:val="26"/>
        </w:rPr>
        <w:t>Staff</w:t>
      </w:r>
      <w:r w:rsidRPr="00014457">
        <w:rPr>
          <w:sz w:val="26"/>
          <w:szCs w:val="26"/>
        </w:rPr>
        <w:t xml:space="preserve"> to evaluate the information </w:t>
      </w:r>
      <w:r>
        <w:rPr>
          <w:sz w:val="26"/>
          <w:szCs w:val="26"/>
        </w:rPr>
        <w:t>Velocity</w:t>
      </w:r>
      <w:r w:rsidRPr="00014457">
        <w:rPr>
          <w:sz w:val="26"/>
          <w:szCs w:val="26"/>
        </w:rPr>
        <w:t xml:space="preserve"> provided in their responses</w:t>
      </w:r>
      <w:r>
        <w:rPr>
          <w:sz w:val="26"/>
          <w:szCs w:val="26"/>
        </w:rPr>
        <w:t xml:space="preserve">. As a result, Staff rejected Velocity’s </w:t>
      </w:r>
      <w:r>
        <w:rPr>
          <w:sz w:val="26"/>
          <w:szCs w:val="26"/>
        </w:rPr>
        <w:lastRenderedPageBreak/>
        <w:t>challenge for these 1049 locations</w:t>
      </w:r>
      <w:r w:rsidRPr="00014457">
        <w:rPr>
          <w:sz w:val="26"/>
          <w:szCs w:val="26"/>
        </w:rPr>
        <w:t>.</w:t>
      </w:r>
    </w:p>
    <w:p w:rsidR="00EE7F12" w:rsidP="001C064E" w:rsidRDefault="00EE7F12" w14:paraId="55C13619" w14:textId="51B0CA29">
      <w:pPr>
        <w:spacing w:line="360" w:lineRule="auto"/>
        <w:ind w:firstLine="1440"/>
        <w:rPr>
          <w:sz w:val="26"/>
          <w:szCs w:val="26"/>
        </w:rPr>
      </w:pPr>
      <w:r w:rsidRPr="00853FF6">
        <w:rPr>
          <w:sz w:val="26"/>
          <w:szCs w:val="26"/>
        </w:rPr>
        <w:t>California’s BEAD Challenge results were submitted in December 2024 to NTIA and approved in January 2025.</w:t>
      </w:r>
      <w:r>
        <w:rPr>
          <w:sz w:val="26"/>
          <w:szCs w:val="26"/>
        </w:rPr>
        <w:t xml:space="preserve"> (Res. T-17898, p. 4.) </w:t>
      </w:r>
      <w:r w:rsidRPr="00853FF6">
        <w:rPr>
          <w:sz w:val="26"/>
          <w:szCs w:val="26"/>
        </w:rPr>
        <w:t xml:space="preserve">Upon NTIA approval of the BEAD </w:t>
      </w:r>
      <w:r w:rsidR="00E25DC2">
        <w:rPr>
          <w:sz w:val="26"/>
          <w:szCs w:val="26"/>
        </w:rPr>
        <w:t>C</w:t>
      </w:r>
      <w:r w:rsidRPr="00853FF6">
        <w:rPr>
          <w:sz w:val="26"/>
          <w:szCs w:val="26"/>
        </w:rPr>
        <w:t xml:space="preserve">hallenge </w:t>
      </w:r>
      <w:r w:rsidR="00E25DC2">
        <w:rPr>
          <w:sz w:val="26"/>
          <w:szCs w:val="26"/>
        </w:rPr>
        <w:t>P</w:t>
      </w:r>
      <w:r w:rsidRPr="00853FF6">
        <w:rPr>
          <w:sz w:val="26"/>
          <w:szCs w:val="26"/>
        </w:rPr>
        <w:t xml:space="preserve">rocess, Staff published </w:t>
      </w:r>
      <w:r>
        <w:rPr>
          <w:sz w:val="26"/>
          <w:szCs w:val="26"/>
        </w:rPr>
        <w:t xml:space="preserve">a </w:t>
      </w:r>
      <w:r w:rsidRPr="00853FF6">
        <w:rPr>
          <w:sz w:val="26"/>
          <w:szCs w:val="26"/>
        </w:rPr>
        <w:t>final map of locations eligible for BEAD funding</w:t>
      </w:r>
      <w:r>
        <w:rPr>
          <w:sz w:val="26"/>
          <w:szCs w:val="26"/>
        </w:rPr>
        <w:t xml:space="preserve"> along with</w:t>
      </w:r>
      <w:r w:rsidRPr="00853FF6">
        <w:rPr>
          <w:sz w:val="26"/>
          <w:szCs w:val="26"/>
        </w:rPr>
        <w:t xml:space="preserve"> additional materials for the public on its BEAD Challenge Process website. </w:t>
      </w:r>
    </w:p>
    <w:p w:rsidRPr="00853FF6" w:rsidR="00EE7F12" w:rsidP="001C064E" w:rsidRDefault="00EE7F12" w14:paraId="29AF350A" w14:textId="14332EC6">
      <w:pPr>
        <w:spacing w:line="360" w:lineRule="auto"/>
        <w:ind w:firstLine="1440"/>
        <w:rPr>
          <w:sz w:val="26"/>
          <w:szCs w:val="26"/>
        </w:rPr>
      </w:pPr>
      <w:r w:rsidRPr="00853FF6">
        <w:rPr>
          <w:sz w:val="26"/>
          <w:szCs w:val="26"/>
        </w:rPr>
        <w:t xml:space="preserve">The BEAD </w:t>
      </w:r>
      <w:r>
        <w:rPr>
          <w:sz w:val="26"/>
          <w:szCs w:val="26"/>
        </w:rPr>
        <w:t>RPN</w:t>
      </w:r>
      <w:r w:rsidRPr="00853FF6">
        <w:rPr>
          <w:sz w:val="26"/>
          <w:szCs w:val="26"/>
        </w:rPr>
        <w:t xml:space="preserve"> required Staff to adjust California’s BEAD-eligible locations for BEAD 2.0</w:t>
      </w:r>
      <w:r>
        <w:rPr>
          <w:sz w:val="26"/>
          <w:szCs w:val="26"/>
        </w:rPr>
        <w:t xml:space="preserve"> (</w:t>
      </w:r>
      <w:r w:rsidRPr="003027A4">
        <w:rPr>
          <w:sz w:val="26"/>
          <w:szCs w:val="26"/>
        </w:rPr>
        <w:t>“BEAD 2.0” refers to the BEAD programmatic design after the changes made by the RPN</w:t>
      </w:r>
      <w:r>
        <w:rPr>
          <w:sz w:val="26"/>
          <w:szCs w:val="26"/>
        </w:rPr>
        <w:t>)</w:t>
      </w:r>
      <w:r w:rsidRPr="00853FF6">
        <w:rPr>
          <w:sz w:val="26"/>
          <w:szCs w:val="26"/>
        </w:rPr>
        <w:t>. Staff accounted for locations that did not require BEAD funding using the reason code process detailed in NTIA’s Final Proposal Guidance, consistent with requirements in the RPN. Staff investigated locations served by unlicensed fixed wireless (Reason Code 5), locations with pending enforceable commitments (Reason Code 4), locations that were removed from Version 6 of the</w:t>
      </w:r>
      <w:r w:rsidR="00534CF8">
        <w:rPr>
          <w:sz w:val="26"/>
          <w:szCs w:val="26"/>
        </w:rPr>
        <w:t xml:space="preserve"> Federal Communications Commission</w:t>
      </w:r>
      <w:r w:rsidRPr="00853FF6">
        <w:rPr>
          <w:sz w:val="26"/>
          <w:szCs w:val="26"/>
        </w:rPr>
        <w:t xml:space="preserve"> </w:t>
      </w:r>
      <w:r w:rsidR="00534CF8">
        <w:rPr>
          <w:sz w:val="26"/>
          <w:szCs w:val="26"/>
        </w:rPr>
        <w:t>(</w:t>
      </w:r>
      <w:r w:rsidRPr="00853FF6">
        <w:rPr>
          <w:sz w:val="26"/>
          <w:szCs w:val="26"/>
        </w:rPr>
        <w:t>FCC</w:t>
      </w:r>
      <w:r w:rsidR="00534CF8">
        <w:rPr>
          <w:sz w:val="26"/>
          <w:szCs w:val="26"/>
        </w:rPr>
        <w:t>)</w:t>
      </w:r>
      <w:r w:rsidRPr="00853FF6">
        <w:rPr>
          <w:sz w:val="26"/>
          <w:szCs w:val="26"/>
        </w:rPr>
        <w:t xml:space="preserve"> </w:t>
      </w:r>
      <w:r w:rsidR="00534CF8">
        <w:rPr>
          <w:sz w:val="26"/>
          <w:szCs w:val="26"/>
        </w:rPr>
        <w:t>F</w:t>
      </w:r>
      <w:r w:rsidRPr="00853FF6">
        <w:rPr>
          <w:sz w:val="26"/>
          <w:szCs w:val="26"/>
        </w:rPr>
        <w:t>abric (Reason Code 3), and CAI designations to update its BEAD-eligible locations list in compliance with the RPN.</w:t>
      </w:r>
      <w:r>
        <w:rPr>
          <w:sz w:val="26"/>
          <w:szCs w:val="26"/>
        </w:rPr>
        <w:t xml:space="preserve"> (Res.</w:t>
      </w:r>
      <w:r w:rsidR="00B71763">
        <w:rPr>
          <w:sz w:val="26"/>
          <w:szCs w:val="26"/>
        </w:rPr>
        <w:t> </w:t>
      </w:r>
      <w:r>
        <w:rPr>
          <w:sz w:val="26"/>
          <w:szCs w:val="26"/>
        </w:rPr>
        <w:t>T-17898, pp. 4-5.)</w:t>
      </w:r>
    </w:p>
    <w:p w:rsidRPr="00853FF6" w:rsidR="00EE7F12" w:rsidP="001C064E" w:rsidRDefault="00EE7F12" w14:paraId="2C60121E" w14:textId="4912DC20">
      <w:pPr>
        <w:spacing w:line="360" w:lineRule="auto"/>
        <w:ind w:firstLine="1440"/>
        <w:rPr>
          <w:sz w:val="26"/>
          <w:szCs w:val="26"/>
        </w:rPr>
      </w:pPr>
      <w:r w:rsidRPr="00853FF6">
        <w:rPr>
          <w:sz w:val="26"/>
          <w:szCs w:val="26"/>
        </w:rPr>
        <w:t>On June 13, 2025, Staff received a list of changes to federal enforceable commitments</w:t>
      </w:r>
      <w:r>
        <w:rPr>
          <w:sz w:val="26"/>
          <w:szCs w:val="26"/>
        </w:rPr>
        <w:t xml:space="preserve"> </w:t>
      </w:r>
      <w:r w:rsidRPr="00853FF6">
        <w:rPr>
          <w:sz w:val="26"/>
          <w:szCs w:val="26"/>
        </w:rPr>
        <w:t>from its NTIA Federal Program Officer. Staff evaluated this list and modified its BEAD-eligible locations list accordingly. Staff compared locations in Version 6 of the FCC Fabric with California’s post-challenge BEAD eligible locations list</w:t>
      </w:r>
      <w:r>
        <w:rPr>
          <w:sz w:val="26"/>
          <w:szCs w:val="26"/>
        </w:rPr>
        <w:t xml:space="preserve"> and removed l</w:t>
      </w:r>
      <w:r w:rsidRPr="00853FF6">
        <w:rPr>
          <w:sz w:val="26"/>
          <w:szCs w:val="26"/>
        </w:rPr>
        <w:t xml:space="preserve">ocations that were removed from Version 6 of the FCC </w:t>
      </w:r>
      <w:r w:rsidR="00534CF8">
        <w:rPr>
          <w:sz w:val="26"/>
          <w:szCs w:val="26"/>
        </w:rPr>
        <w:t>F</w:t>
      </w:r>
      <w:r w:rsidRPr="00853FF6">
        <w:rPr>
          <w:sz w:val="26"/>
          <w:szCs w:val="26"/>
        </w:rPr>
        <w:t>abric for BEAD 2.0</w:t>
      </w:r>
      <w:r>
        <w:rPr>
          <w:sz w:val="26"/>
          <w:szCs w:val="26"/>
        </w:rPr>
        <w:t>,</w:t>
      </w:r>
      <w:r w:rsidRPr="00853FF6">
        <w:rPr>
          <w:sz w:val="26"/>
          <w:szCs w:val="26"/>
        </w:rPr>
        <w:t xml:space="preserve"> consistent with requirements in NTIA’s Final Proposal Guidance</w:t>
      </w:r>
      <w:r w:rsidR="00E25DC2">
        <w:rPr>
          <w:sz w:val="26"/>
          <w:szCs w:val="26"/>
        </w:rPr>
        <w:t xml:space="preserve"> and the RPN</w:t>
      </w:r>
      <w:r w:rsidRPr="00853FF6">
        <w:rPr>
          <w:sz w:val="26"/>
          <w:szCs w:val="26"/>
        </w:rPr>
        <w:t>. Staff removed locations from its approved CAI list that no longer qualified as CAIs under the definition adopted by the RPN.</w:t>
      </w:r>
      <w:r>
        <w:rPr>
          <w:sz w:val="26"/>
          <w:szCs w:val="26"/>
        </w:rPr>
        <w:t xml:space="preserve"> (Res. T-17898, p. 5.)</w:t>
      </w:r>
    </w:p>
    <w:p w:rsidRPr="00853FF6" w:rsidR="00EE7F12" w:rsidP="001C064E" w:rsidRDefault="00EE7F12" w14:paraId="20A9B38D" w14:textId="07E63519">
      <w:pPr>
        <w:spacing w:line="360" w:lineRule="auto"/>
        <w:ind w:firstLine="1440"/>
        <w:rPr>
          <w:sz w:val="26"/>
          <w:szCs w:val="26"/>
        </w:rPr>
      </w:pPr>
      <w:r>
        <w:rPr>
          <w:sz w:val="26"/>
          <w:szCs w:val="26"/>
        </w:rPr>
        <w:t xml:space="preserve">On June 18, 2025, </w:t>
      </w:r>
      <w:r w:rsidRPr="00853FF6">
        <w:rPr>
          <w:sz w:val="26"/>
          <w:szCs w:val="26"/>
        </w:rPr>
        <w:t xml:space="preserve">Staff notified unlicensed fixed wireless providers </w:t>
      </w:r>
      <w:r>
        <w:rPr>
          <w:sz w:val="26"/>
          <w:szCs w:val="26"/>
        </w:rPr>
        <w:t>t</w:t>
      </w:r>
      <w:r w:rsidRPr="00853FF6">
        <w:rPr>
          <w:sz w:val="26"/>
          <w:szCs w:val="26"/>
        </w:rPr>
        <w:t>o indicate their intent to submit evidence that BEAD-eligible locations they serve have access to BEAD-qualified service. Providers were given a seven-day window, consistent with requirements in the RPN, to notify Staff of their intent to submit their evidence</w:t>
      </w:r>
      <w:r>
        <w:rPr>
          <w:sz w:val="26"/>
          <w:szCs w:val="26"/>
        </w:rPr>
        <w:t xml:space="preserve"> and</w:t>
      </w:r>
      <w:r w:rsidRPr="00853FF6">
        <w:rPr>
          <w:sz w:val="26"/>
          <w:szCs w:val="26"/>
        </w:rPr>
        <w:t xml:space="preserve"> were given </w:t>
      </w:r>
      <w:r>
        <w:rPr>
          <w:sz w:val="26"/>
          <w:szCs w:val="26"/>
        </w:rPr>
        <w:t>an evidence template developed by Staff</w:t>
      </w:r>
      <w:r w:rsidR="00534CF8">
        <w:rPr>
          <w:sz w:val="26"/>
          <w:szCs w:val="26"/>
        </w:rPr>
        <w:t xml:space="preserve"> and</w:t>
      </w:r>
      <w:r w:rsidRPr="00853FF6">
        <w:rPr>
          <w:sz w:val="26"/>
          <w:szCs w:val="26"/>
        </w:rPr>
        <w:t xml:space="preserve"> instructions.</w:t>
      </w:r>
      <w:r>
        <w:rPr>
          <w:sz w:val="26"/>
          <w:szCs w:val="26"/>
        </w:rPr>
        <w:t xml:space="preserve"> (Res. T-17898, </w:t>
      </w:r>
      <w:r>
        <w:rPr>
          <w:sz w:val="26"/>
          <w:szCs w:val="26"/>
        </w:rPr>
        <w:lastRenderedPageBreak/>
        <w:t>p.</w:t>
      </w:r>
      <w:r w:rsidR="00B71763">
        <w:rPr>
          <w:sz w:val="26"/>
          <w:szCs w:val="26"/>
        </w:rPr>
        <w:t> </w:t>
      </w:r>
      <w:r>
        <w:rPr>
          <w:sz w:val="26"/>
          <w:szCs w:val="26"/>
        </w:rPr>
        <w:t>5.)</w:t>
      </w:r>
    </w:p>
    <w:p w:rsidRPr="00853FF6" w:rsidR="00EE7F12" w:rsidP="001C064E" w:rsidRDefault="00EE7F12" w14:paraId="2959EB36" w14:textId="77777777">
      <w:pPr>
        <w:spacing w:line="360" w:lineRule="auto"/>
        <w:ind w:firstLine="1440"/>
        <w:rPr>
          <w:sz w:val="26"/>
          <w:szCs w:val="26"/>
        </w:rPr>
      </w:pPr>
      <w:r w:rsidRPr="00853FF6">
        <w:rPr>
          <w:sz w:val="26"/>
          <w:szCs w:val="26"/>
        </w:rPr>
        <w:t xml:space="preserve">On July 19, 2025, the </w:t>
      </w:r>
      <w:r>
        <w:rPr>
          <w:sz w:val="26"/>
          <w:szCs w:val="26"/>
        </w:rPr>
        <w:t>S</w:t>
      </w:r>
      <w:r w:rsidRPr="00853FF6">
        <w:rPr>
          <w:sz w:val="26"/>
          <w:szCs w:val="26"/>
        </w:rPr>
        <w:t xml:space="preserve">tate published the final list of the approved post-Challenge Process location classifications reconciled for BEAD 2.0 on the </w:t>
      </w:r>
      <w:r>
        <w:rPr>
          <w:sz w:val="26"/>
          <w:szCs w:val="26"/>
        </w:rPr>
        <w:t>Commission’s</w:t>
      </w:r>
      <w:r w:rsidRPr="00853FF6">
        <w:rPr>
          <w:sz w:val="26"/>
          <w:szCs w:val="26"/>
        </w:rPr>
        <w:t xml:space="preserve"> website. The locations included in this final list constitute all locations that applicants could apply to serve in the BEAD 2.0 process.</w:t>
      </w:r>
      <w:r>
        <w:rPr>
          <w:sz w:val="26"/>
          <w:szCs w:val="26"/>
        </w:rPr>
        <w:t xml:space="preserve"> (Res. T-17898, p. 5.)</w:t>
      </w:r>
    </w:p>
    <w:p w:rsidR="00EE7F12" w:rsidP="001C064E" w:rsidRDefault="00EE7F12" w14:paraId="3911D2C9" w14:textId="50B901FE">
      <w:pPr>
        <w:spacing w:line="360" w:lineRule="auto"/>
        <w:ind w:firstLine="1440"/>
        <w:rPr>
          <w:sz w:val="26"/>
          <w:szCs w:val="26"/>
        </w:rPr>
      </w:pPr>
      <w:r>
        <w:rPr>
          <w:sz w:val="26"/>
          <w:szCs w:val="26"/>
        </w:rPr>
        <w:t xml:space="preserve">On December 2, 2025, Commission Staff issued draft Resolution T-17898 setting forth the recommended Final BEAD Proposal for submission to NTIA. </w:t>
      </w:r>
      <w:r w:rsidRPr="0099229D">
        <w:rPr>
          <w:sz w:val="26"/>
          <w:szCs w:val="26"/>
        </w:rPr>
        <w:t>Velocity filed comments on Draft Resolution T-17898 on</w:t>
      </w:r>
      <w:r>
        <w:rPr>
          <w:sz w:val="26"/>
          <w:szCs w:val="26"/>
        </w:rPr>
        <w:t xml:space="preserve"> </w:t>
      </w:r>
      <w:r w:rsidRPr="0099229D">
        <w:rPr>
          <w:sz w:val="26"/>
          <w:szCs w:val="26"/>
        </w:rPr>
        <w:t>December 9, 2025.</w:t>
      </w:r>
      <w:r>
        <w:rPr>
          <w:sz w:val="26"/>
          <w:szCs w:val="26"/>
        </w:rPr>
        <w:t xml:space="preserve"> </w:t>
      </w:r>
    </w:p>
    <w:p w:rsidR="00EE7F12" w:rsidP="001C064E" w:rsidRDefault="00EE7F12" w14:paraId="7E03D637" w14:textId="77777777">
      <w:pPr>
        <w:spacing w:line="360" w:lineRule="auto"/>
        <w:ind w:firstLine="1440"/>
        <w:rPr>
          <w:sz w:val="26"/>
          <w:szCs w:val="26"/>
        </w:rPr>
      </w:pPr>
      <w:r w:rsidRPr="00853FF6">
        <w:rPr>
          <w:sz w:val="26"/>
          <w:szCs w:val="26"/>
        </w:rPr>
        <w:t>On December 18, 2025, the Commission adopted Res. T-17898</w:t>
      </w:r>
      <w:r>
        <w:rPr>
          <w:sz w:val="26"/>
          <w:szCs w:val="26"/>
        </w:rPr>
        <w:t>, which approved the Final BEAD Proposal and authorized Staff</w:t>
      </w:r>
      <w:r w:rsidRPr="00853FF6">
        <w:rPr>
          <w:sz w:val="26"/>
          <w:szCs w:val="26"/>
        </w:rPr>
        <w:t xml:space="preserve"> to submit the final proposal to NTIA. The Final Proposal builds on the previously approved Initial Proposal, which was modified in accordance with the BEAD RPN, and includes a list of preliminary awards to applicants selected for BEAD grant funding through the BEAD Subgrantee Selection Process.</w:t>
      </w:r>
      <w:r>
        <w:rPr>
          <w:sz w:val="26"/>
          <w:szCs w:val="26"/>
        </w:rPr>
        <w:t xml:space="preserve">  </w:t>
      </w:r>
    </w:p>
    <w:p w:rsidR="00552A79" w:rsidP="001C064E" w:rsidRDefault="00EE7F12" w14:paraId="044E096F" w14:textId="1BAF6F33">
      <w:pPr>
        <w:pStyle w:val="BodyText"/>
        <w:tabs>
          <w:tab w:val="left" w:pos="720"/>
        </w:tabs>
        <w:spacing w:line="360" w:lineRule="auto"/>
        <w:ind w:left="0" w:firstLine="1440"/>
      </w:pPr>
      <w:r w:rsidRPr="00853FF6">
        <w:t xml:space="preserve">On January 20, 2026, Velocity filed an </w:t>
      </w:r>
      <w:r>
        <w:t>a</w:t>
      </w:r>
      <w:r w:rsidRPr="00853FF6">
        <w:t xml:space="preserve">pplication </w:t>
      </w:r>
      <w:r>
        <w:t>f</w:t>
      </w:r>
      <w:r w:rsidRPr="00853FF6">
        <w:t xml:space="preserve">or </w:t>
      </w:r>
      <w:r>
        <w:t>r</w:t>
      </w:r>
      <w:r w:rsidRPr="00853FF6">
        <w:t xml:space="preserve">ehearing of </w:t>
      </w:r>
      <w:r w:rsidR="00B71763">
        <w:br/>
      </w:r>
      <w:r w:rsidRPr="00853FF6">
        <w:t>Res. T-17898</w:t>
      </w:r>
      <w:r>
        <w:t xml:space="preserve"> (Application 26-01-019)</w:t>
      </w:r>
      <w:r w:rsidRPr="00853FF6">
        <w:t xml:space="preserve">. Velocity seeks rehearing regarding the BEAD funds preliminarily awarded to </w:t>
      </w:r>
      <w:r>
        <w:t xml:space="preserve">Stimulus </w:t>
      </w:r>
      <w:r w:rsidRPr="00853FF6">
        <w:t>(Project ID CM61-BEAD-CA-176-9393) to build wireline broadband facilities in several California communities including Willow Creek, Salyer, Hawkins Bar, Burnt Ranch, Big Bar and Lewiston. (Reh. App., p. 1.) Velocity alleges that Res. T-17898 errs by awarding funds to Stimulus in areas in which Velocity already provides broadband at the required speeds by: (1) discounting Velocity’s broadband service because it is provided via fixed wireless facilities; and (2)</w:t>
      </w:r>
      <w:r w:rsidR="00B71763">
        <w:t> </w:t>
      </w:r>
      <w:r w:rsidRPr="00853FF6">
        <w:t>by relying on outdated broadband data that was compiled before Velocity expanded the geographic scope and capabilities of its broadband services.</w:t>
      </w:r>
    </w:p>
    <w:p w:rsidR="00E555D3" w:rsidP="001C064E" w:rsidRDefault="00E555D3" w14:paraId="248FCBAB" w14:textId="77777777">
      <w:pPr>
        <w:pStyle w:val="Heading1"/>
        <w:numPr>
          <w:ilvl w:val="0"/>
          <w:numId w:val="2"/>
        </w:numPr>
        <w:spacing w:before="79"/>
        <w:ind w:left="720" w:hanging="719"/>
        <w:rPr>
          <w:u w:val="none"/>
        </w:rPr>
      </w:pPr>
      <w:r>
        <w:rPr>
          <w:spacing w:val="-2"/>
          <w:u w:val="none"/>
        </w:rPr>
        <w:t>DISCUSSION</w:t>
      </w:r>
    </w:p>
    <w:p w:rsidR="00E555D3" w:rsidP="001C064E" w:rsidRDefault="00E555D3" w14:paraId="3B852C5F" w14:textId="648E3F65">
      <w:pPr>
        <w:pStyle w:val="Heading2"/>
        <w:numPr>
          <w:ilvl w:val="1"/>
          <w:numId w:val="2"/>
        </w:numPr>
        <w:ind w:left="1440" w:right="1865"/>
      </w:pPr>
      <w:r>
        <w:t>Rehearing</w:t>
      </w:r>
      <w:r>
        <w:rPr>
          <w:spacing w:val="-7"/>
        </w:rPr>
        <w:t xml:space="preserve"> </w:t>
      </w:r>
      <w:r>
        <w:t>is</w:t>
      </w:r>
      <w:r>
        <w:rPr>
          <w:spacing w:val="-7"/>
        </w:rPr>
        <w:t xml:space="preserve"> </w:t>
      </w:r>
      <w:r>
        <w:t>unwarranted</w:t>
      </w:r>
      <w:r>
        <w:rPr>
          <w:spacing w:val="-7"/>
        </w:rPr>
        <w:t xml:space="preserve"> </w:t>
      </w:r>
      <w:r>
        <w:t>because</w:t>
      </w:r>
      <w:r>
        <w:rPr>
          <w:spacing w:val="-7"/>
        </w:rPr>
        <w:t xml:space="preserve"> </w:t>
      </w:r>
      <w:r>
        <w:t>Velocity fail</w:t>
      </w:r>
      <w:r w:rsidR="00BB1929">
        <w:t>s</w:t>
      </w:r>
      <w:r>
        <w:t xml:space="preserve"> to demonstrate legal error.</w:t>
      </w:r>
    </w:p>
    <w:p w:rsidR="00E555D3" w:rsidP="001C064E" w:rsidRDefault="00E555D3" w14:paraId="7F041CC3" w14:textId="0BEF777C">
      <w:pPr>
        <w:pStyle w:val="BodyText"/>
        <w:spacing w:before="150" w:line="360" w:lineRule="auto"/>
        <w:ind w:left="0" w:firstLine="1440"/>
      </w:pPr>
      <w:r>
        <w:t>Pursuant to the Commission’s Rules of Practice and Procedure (Rules) Rule</w:t>
      </w:r>
      <w:r w:rsidR="00B71763">
        <w:t> </w:t>
      </w:r>
      <w:r>
        <w:t xml:space="preserve">16.1(c), the purpose of an application for rehearing is to alert the Commission to a </w:t>
      </w:r>
      <w:r>
        <w:lastRenderedPageBreak/>
        <w:t xml:space="preserve">legal error, so that the Commission may correct it expeditiously. In its </w:t>
      </w:r>
      <w:r w:rsidR="00534CF8">
        <w:t>rehearing application</w:t>
      </w:r>
      <w:r>
        <w:t xml:space="preserve">, </w:t>
      </w:r>
      <w:r w:rsidRPr="00853FF6">
        <w:t xml:space="preserve">Velocity alleges that Res. T-17898 errs by awarding funds to Stimulus in </w:t>
      </w:r>
      <w:r>
        <w:t>the following areas where Velocity already provides broadband at the required speeds</w:t>
      </w:r>
      <w:r w:rsidRPr="00853FF6">
        <w:t xml:space="preserve"> </w:t>
      </w:r>
      <w:r>
        <w:t>(</w:t>
      </w:r>
      <w:r w:rsidRPr="00853FF6">
        <w:t>Willow Creek, Salyer, Hawkins Bar, Burnt Ranch, Big Bar and Lewiston</w:t>
      </w:r>
      <w:r>
        <w:t>)</w:t>
      </w:r>
      <w:r w:rsidRPr="00853FF6">
        <w:t>.</w:t>
      </w:r>
      <w:r>
        <w:t xml:space="preserve"> </w:t>
      </w:r>
      <w:r w:rsidRPr="00853FF6">
        <w:t xml:space="preserve">(Reh. App., p. </w:t>
      </w:r>
      <w:r>
        <w:t>1</w:t>
      </w:r>
      <w:r w:rsidRPr="00853FF6">
        <w:t xml:space="preserve">.) </w:t>
      </w:r>
      <w:r>
        <w:t>Velocity further argues that</w:t>
      </w:r>
      <w:r w:rsidRPr="00853FF6">
        <w:t xml:space="preserve"> awarding public funds to overbuild existing broadband facilities is contrary to the public interest</w:t>
      </w:r>
      <w:r>
        <w:t xml:space="preserve"> </w:t>
      </w:r>
      <w:r w:rsidRPr="00853FF6">
        <w:t xml:space="preserve">and </w:t>
      </w:r>
      <w:r>
        <w:t xml:space="preserve">constitutes </w:t>
      </w:r>
      <w:r w:rsidRPr="00853FF6">
        <w:t>legal error</w:t>
      </w:r>
      <w:r>
        <w:t xml:space="preserve"> such that</w:t>
      </w:r>
      <w:r w:rsidRPr="00853FF6">
        <w:t xml:space="preserve"> the Commission should correct the Resolution by removing the Stimulus award </w:t>
      </w:r>
      <w:r>
        <w:t xml:space="preserve">in these areas </w:t>
      </w:r>
      <w:r w:rsidRPr="00853FF6">
        <w:t xml:space="preserve">and </w:t>
      </w:r>
      <w:r w:rsidR="00F7524F">
        <w:t>notifying</w:t>
      </w:r>
      <w:r w:rsidRPr="00853FF6">
        <w:t xml:space="preserve"> NTIA of this change. (Reh. App., p. 6.) </w:t>
      </w:r>
    </w:p>
    <w:p w:rsidRPr="00EE7F12" w:rsidR="00E555D3" w:rsidP="001C064E" w:rsidRDefault="00E555D3" w14:paraId="5BD06664" w14:textId="77777777">
      <w:pPr>
        <w:spacing w:line="360" w:lineRule="auto"/>
        <w:ind w:firstLine="1440"/>
        <w:rPr>
          <w:sz w:val="26"/>
          <w:szCs w:val="26"/>
        </w:rPr>
      </w:pPr>
      <w:r w:rsidRPr="00EE7F12">
        <w:rPr>
          <w:sz w:val="26"/>
          <w:szCs w:val="26"/>
        </w:rPr>
        <w:t xml:space="preserve">Velocity’s allegation that the award to Stimulus in the aforementioned areas will overbuild existing broadband facilities is unsubstantiated. Staff adhered to the guidelines and requirements set forth in the BEAD RPN and other BEAD Program guidance when making preliminary award determinations. (Res. T-17898, p. 24.)  </w:t>
      </w:r>
    </w:p>
    <w:p w:rsidRPr="00853FF6" w:rsidR="00E555D3" w:rsidP="001C064E" w:rsidRDefault="00E555D3" w14:paraId="64F4E66A" w14:textId="7E48E14C">
      <w:pPr>
        <w:spacing w:line="360" w:lineRule="auto"/>
        <w:ind w:firstLine="1440"/>
        <w:rPr>
          <w:sz w:val="26"/>
          <w:szCs w:val="26"/>
        </w:rPr>
      </w:pPr>
      <w:r w:rsidRPr="00853FF6">
        <w:rPr>
          <w:sz w:val="26"/>
          <w:szCs w:val="26"/>
        </w:rPr>
        <w:t xml:space="preserve">Velocity participated in the BEAD Challenge Process and was afforded the opportunity to challenge the areas that the carriers proposed to offer broadband service. </w:t>
      </w:r>
      <w:r>
        <w:rPr>
          <w:sz w:val="26"/>
          <w:szCs w:val="26"/>
        </w:rPr>
        <w:t xml:space="preserve">Staff accepted Velocity’s challenge, </w:t>
      </w:r>
      <w:r w:rsidRPr="007F4468">
        <w:rPr>
          <w:sz w:val="26"/>
          <w:szCs w:val="26"/>
        </w:rPr>
        <w:t xml:space="preserve">CA-1993, </w:t>
      </w:r>
      <w:r>
        <w:rPr>
          <w:sz w:val="26"/>
          <w:szCs w:val="26"/>
        </w:rPr>
        <w:t xml:space="preserve">as Velocity provided sufficient evidence to demonstrate that </w:t>
      </w:r>
      <w:r w:rsidRPr="007F4468">
        <w:rPr>
          <w:sz w:val="26"/>
          <w:szCs w:val="26"/>
        </w:rPr>
        <w:t>242 locations</w:t>
      </w:r>
      <w:r>
        <w:rPr>
          <w:sz w:val="26"/>
          <w:szCs w:val="26"/>
        </w:rPr>
        <w:t xml:space="preserve"> </w:t>
      </w:r>
      <w:r w:rsidRPr="007F4468">
        <w:rPr>
          <w:sz w:val="26"/>
          <w:szCs w:val="26"/>
        </w:rPr>
        <w:t>using FTTP technology</w:t>
      </w:r>
      <w:r>
        <w:rPr>
          <w:sz w:val="26"/>
          <w:szCs w:val="26"/>
        </w:rPr>
        <w:t xml:space="preserve"> received</w:t>
      </w:r>
      <w:r w:rsidRPr="007F4468">
        <w:rPr>
          <w:sz w:val="26"/>
          <w:szCs w:val="26"/>
        </w:rPr>
        <w:t xml:space="preserve"> </w:t>
      </w:r>
      <w:r w:rsidR="00E90939">
        <w:rPr>
          <w:sz w:val="26"/>
          <w:szCs w:val="26"/>
        </w:rPr>
        <w:t xml:space="preserve">at least </w:t>
      </w:r>
      <w:r w:rsidRPr="007F4468">
        <w:rPr>
          <w:sz w:val="26"/>
          <w:szCs w:val="26"/>
        </w:rPr>
        <w:t>100/20 Mbps service.</w:t>
      </w:r>
      <w:r>
        <w:rPr>
          <w:sz w:val="26"/>
          <w:szCs w:val="26"/>
        </w:rPr>
        <w:t xml:space="preserve"> However, Staff denied Velocity’s </w:t>
      </w:r>
      <w:r w:rsidRPr="007F4468">
        <w:rPr>
          <w:sz w:val="26"/>
          <w:szCs w:val="26"/>
        </w:rPr>
        <w:t xml:space="preserve">remaining </w:t>
      </w:r>
      <w:r>
        <w:rPr>
          <w:sz w:val="26"/>
          <w:szCs w:val="26"/>
        </w:rPr>
        <w:t>eight</w:t>
      </w:r>
      <w:r w:rsidRPr="007F4468">
        <w:rPr>
          <w:sz w:val="26"/>
          <w:szCs w:val="26"/>
        </w:rPr>
        <w:t xml:space="preserve"> service challenges, CA-1985 thr</w:t>
      </w:r>
      <w:r>
        <w:rPr>
          <w:sz w:val="26"/>
          <w:szCs w:val="26"/>
        </w:rPr>
        <w:t>ough</w:t>
      </w:r>
      <w:r w:rsidRPr="007F4468">
        <w:rPr>
          <w:sz w:val="26"/>
          <w:szCs w:val="26"/>
        </w:rPr>
        <w:t xml:space="preserve"> CA-1992</w:t>
      </w:r>
      <w:r>
        <w:rPr>
          <w:sz w:val="26"/>
          <w:szCs w:val="26"/>
        </w:rPr>
        <w:t xml:space="preserve"> consisting of </w:t>
      </w:r>
      <w:r w:rsidRPr="007F4468">
        <w:rPr>
          <w:sz w:val="26"/>
          <w:szCs w:val="26"/>
        </w:rPr>
        <w:t>1,049 locations</w:t>
      </w:r>
      <w:r>
        <w:rPr>
          <w:sz w:val="26"/>
          <w:szCs w:val="26"/>
        </w:rPr>
        <w:t xml:space="preserve"> which</w:t>
      </w:r>
      <w:r w:rsidRPr="007F4468">
        <w:rPr>
          <w:sz w:val="26"/>
          <w:szCs w:val="26"/>
        </w:rPr>
        <w:t xml:space="preserve"> used Licensed by Rule (Code 72) technology, </w:t>
      </w:r>
      <w:r>
        <w:rPr>
          <w:sz w:val="26"/>
          <w:szCs w:val="26"/>
        </w:rPr>
        <w:t>due to insufficient evidence.</w:t>
      </w:r>
      <w:r w:rsidRPr="007F4468">
        <w:rPr>
          <w:sz w:val="26"/>
          <w:szCs w:val="26"/>
        </w:rPr>
        <w:t xml:space="preserve"> </w:t>
      </w:r>
      <w:r>
        <w:rPr>
          <w:sz w:val="26"/>
          <w:szCs w:val="26"/>
        </w:rPr>
        <w:t>Sp</w:t>
      </w:r>
      <w:r w:rsidRPr="007F4468">
        <w:rPr>
          <w:sz w:val="26"/>
          <w:szCs w:val="26"/>
        </w:rPr>
        <w:t xml:space="preserve">ecifically, </w:t>
      </w:r>
      <w:r>
        <w:rPr>
          <w:sz w:val="26"/>
          <w:szCs w:val="26"/>
        </w:rPr>
        <w:t xml:space="preserve">Velocity provided an incomplete or empty </w:t>
      </w:r>
      <w:r w:rsidRPr="007F4468">
        <w:rPr>
          <w:sz w:val="26"/>
          <w:szCs w:val="26"/>
        </w:rPr>
        <w:t>FWA template</w:t>
      </w:r>
      <w:r>
        <w:rPr>
          <w:sz w:val="26"/>
          <w:szCs w:val="26"/>
        </w:rPr>
        <w:t xml:space="preserve">, </w:t>
      </w:r>
      <w:r w:rsidRPr="007F4468">
        <w:rPr>
          <w:sz w:val="26"/>
          <w:szCs w:val="26"/>
        </w:rPr>
        <w:t xml:space="preserve">even after </w:t>
      </w:r>
      <w:r>
        <w:rPr>
          <w:sz w:val="26"/>
          <w:szCs w:val="26"/>
        </w:rPr>
        <w:t xml:space="preserve">Staff sent Velocity </w:t>
      </w:r>
      <w:r w:rsidRPr="007F4468">
        <w:rPr>
          <w:sz w:val="26"/>
          <w:szCs w:val="26"/>
        </w:rPr>
        <w:t xml:space="preserve">multiple revision requests. </w:t>
      </w:r>
      <w:r>
        <w:rPr>
          <w:sz w:val="26"/>
          <w:szCs w:val="26"/>
        </w:rPr>
        <w:t>As a result, Staff did not have sufficient evidence</w:t>
      </w:r>
      <w:r w:rsidRPr="007F4468">
        <w:rPr>
          <w:sz w:val="26"/>
          <w:szCs w:val="26"/>
        </w:rPr>
        <w:t xml:space="preserve"> to evaluate </w:t>
      </w:r>
      <w:r>
        <w:rPr>
          <w:sz w:val="26"/>
          <w:szCs w:val="26"/>
        </w:rPr>
        <w:t>Velocity’s remaining challenges</w:t>
      </w:r>
      <w:r w:rsidR="004A2C84">
        <w:rPr>
          <w:sz w:val="26"/>
          <w:szCs w:val="26"/>
        </w:rPr>
        <w:t xml:space="preserve"> and accordingly </w:t>
      </w:r>
      <w:r w:rsidRPr="007F4468">
        <w:rPr>
          <w:sz w:val="26"/>
          <w:szCs w:val="26"/>
        </w:rPr>
        <w:t>reject</w:t>
      </w:r>
      <w:r>
        <w:rPr>
          <w:sz w:val="26"/>
          <w:szCs w:val="26"/>
        </w:rPr>
        <w:t>ed</w:t>
      </w:r>
      <w:r w:rsidRPr="007F4468">
        <w:rPr>
          <w:sz w:val="26"/>
          <w:szCs w:val="26"/>
        </w:rPr>
        <w:t xml:space="preserve"> </w:t>
      </w:r>
      <w:r>
        <w:rPr>
          <w:sz w:val="26"/>
          <w:szCs w:val="26"/>
        </w:rPr>
        <w:t>Velocity’s remaining eight challenges</w:t>
      </w:r>
      <w:r w:rsidRPr="007F4468">
        <w:rPr>
          <w:sz w:val="26"/>
          <w:szCs w:val="26"/>
        </w:rPr>
        <w:t>.</w:t>
      </w:r>
      <w:r w:rsidRPr="00853FF6">
        <w:rPr>
          <w:sz w:val="26"/>
          <w:szCs w:val="26"/>
        </w:rPr>
        <w:t xml:space="preserve"> </w:t>
      </w:r>
    </w:p>
    <w:p w:rsidRPr="00853FF6" w:rsidR="00E555D3" w:rsidP="001C064E" w:rsidRDefault="00E555D3" w14:paraId="2238536A" w14:textId="01FED0FB">
      <w:pPr>
        <w:spacing w:line="360" w:lineRule="auto"/>
        <w:ind w:firstLine="1440"/>
        <w:rPr>
          <w:sz w:val="26"/>
          <w:szCs w:val="26"/>
        </w:rPr>
      </w:pPr>
      <w:r w:rsidRPr="00853FF6">
        <w:rPr>
          <w:sz w:val="26"/>
          <w:szCs w:val="26"/>
        </w:rPr>
        <w:t xml:space="preserve">Staff </w:t>
      </w:r>
      <w:r w:rsidR="004A2C84">
        <w:rPr>
          <w:sz w:val="26"/>
          <w:szCs w:val="26"/>
        </w:rPr>
        <w:t xml:space="preserve">therefore </w:t>
      </w:r>
      <w:r w:rsidRPr="00853FF6">
        <w:rPr>
          <w:sz w:val="26"/>
          <w:szCs w:val="26"/>
        </w:rPr>
        <w:t xml:space="preserve">reviewed Velocity’s evidence and appropriately excluded the areas that were no longer eligible for BEAD funding. The remaining areas that were included in the Final BEAD Proposal were deemed by Staff as eligible for BEAD funding. </w:t>
      </w:r>
      <w:r>
        <w:rPr>
          <w:sz w:val="26"/>
          <w:szCs w:val="26"/>
        </w:rPr>
        <w:t>(Res. T-17898, pp. 4, 5.)</w:t>
      </w:r>
    </w:p>
    <w:p w:rsidR="00E555D3" w:rsidP="00E90939" w:rsidRDefault="00E555D3" w14:paraId="65E4DA5A" w14:textId="482431EF">
      <w:pPr>
        <w:pStyle w:val="BodyText"/>
        <w:spacing w:line="360" w:lineRule="auto"/>
        <w:ind w:left="0" w:firstLine="1440"/>
      </w:pPr>
      <w:r>
        <w:t>Moreover</w:t>
      </w:r>
      <w:r w:rsidRPr="00853FF6">
        <w:t xml:space="preserve">, the Final BEAD Proposal may still be modified by NTIA prior to the issuance of BEAD funding. Res. T-17898 states that Staff will continue working with NTIA to make any needed adjustments prior to issuing BEAD awards. </w:t>
      </w:r>
      <w:r w:rsidR="00E90939">
        <w:br/>
      </w:r>
      <w:r w:rsidRPr="00853FF6">
        <w:lastRenderedPageBreak/>
        <w:t xml:space="preserve">(Res. T-17898, </w:t>
      </w:r>
      <w:r w:rsidR="00E90939">
        <w:t xml:space="preserve"> </w:t>
      </w:r>
      <w:r w:rsidRPr="00853FF6">
        <w:t xml:space="preserve">p. 24.) Velocity acknowledges in its </w:t>
      </w:r>
      <w:r>
        <w:t>rehearing application</w:t>
      </w:r>
      <w:r w:rsidRPr="00853FF6">
        <w:t xml:space="preserve"> that the Final BEAD Proposal may still be modified by NTIA but argues that the Commission should make the adjustments now to expedite NTIA’s review of the BEAD Final Proposal. (Reh. App</w:t>
      </w:r>
      <w:r w:rsidR="00AB7A84">
        <w:t>.</w:t>
      </w:r>
      <w:r w:rsidRPr="00853FF6">
        <w:t xml:space="preserve">, p. 3.) However, Velocity’s demand that the Commission </w:t>
      </w:r>
      <w:proofErr w:type="gramStart"/>
      <w:r w:rsidRPr="00853FF6">
        <w:t>make adjustments</w:t>
      </w:r>
      <w:proofErr w:type="gramEnd"/>
      <w:r w:rsidRPr="00853FF6">
        <w:t xml:space="preserve"> now are unfounded and its allegations fail to demonstrate legal or factual errors.</w:t>
      </w:r>
    </w:p>
    <w:p w:rsidRPr="00970465" w:rsidR="00E555D3" w:rsidP="0031353C" w:rsidRDefault="00E555D3" w14:paraId="1799AE87" w14:textId="74317C02">
      <w:pPr>
        <w:pStyle w:val="Heading2"/>
        <w:numPr>
          <w:ilvl w:val="1"/>
          <w:numId w:val="2"/>
        </w:numPr>
        <w:spacing w:after="120"/>
        <w:ind w:left="1440" w:right="1440"/>
      </w:pPr>
      <w:r>
        <w:t>The Resolution relied on the dat</w:t>
      </w:r>
      <w:r w:rsidR="00E74193">
        <w:t>a</w:t>
      </w:r>
      <w:r>
        <w:t xml:space="preserve"> point set by NTIA</w:t>
      </w:r>
      <w:r w:rsidRPr="00970465">
        <w:t>.</w:t>
      </w:r>
    </w:p>
    <w:p w:rsidR="00E555D3" w:rsidP="001C064E" w:rsidRDefault="00E555D3" w14:paraId="27D89C02" w14:textId="588B1A7C">
      <w:pPr>
        <w:spacing w:line="360" w:lineRule="auto"/>
        <w:ind w:firstLine="1440"/>
        <w:rPr>
          <w:sz w:val="26"/>
          <w:szCs w:val="26"/>
        </w:rPr>
      </w:pPr>
      <w:r w:rsidRPr="00853FF6">
        <w:rPr>
          <w:sz w:val="26"/>
          <w:szCs w:val="26"/>
        </w:rPr>
        <w:t xml:space="preserve">Velocity alleges that the Commission </w:t>
      </w:r>
      <w:r>
        <w:rPr>
          <w:sz w:val="26"/>
          <w:szCs w:val="26"/>
        </w:rPr>
        <w:t xml:space="preserve">either failed to review the updated FCC and Commission broadband maps entirely or </w:t>
      </w:r>
      <w:r w:rsidRPr="00853FF6">
        <w:rPr>
          <w:sz w:val="26"/>
          <w:szCs w:val="26"/>
        </w:rPr>
        <w:t xml:space="preserve">relied on outdated versions of the broadband maps from 2023 rather than the broadband maps that were updated as of December 31, 2024. (Reh. App., p. 3.) </w:t>
      </w:r>
      <w:r>
        <w:rPr>
          <w:sz w:val="26"/>
          <w:szCs w:val="26"/>
        </w:rPr>
        <w:t>D.24-05-029 requires that t</w:t>
      </w:r>
      <w:r w:rsidRPr="00853FF6">
        <w:rPr>
          <w:sz w:val="26"/>
          <w:szCs w:val="26"/>
        </w:rPr>
        <w:t>he Commission u</w:t>
      </w:r>
      <w:r>
        <w:rPr>
          <w:sz w:val="26"/>
          <w:szCs w:val="26"/>
        </w:rPr>
        <w:t>tilize</w:t>
      </w:r>
      <w:r w:rsidRPr="00853FF6">
        <w:rPr>
          <w:sz w:val="26"/>
          <w:szCs w:val="26"/>
        </w:rPr>
        <w:t xml:space="preserve"> the latest available version of the </w:t>
      </w:r>
      <w:r w:rsidR="00D6355B">
        <w:rPr>
          <w:sz w:val="26"/>
          <w:szCs w:val="26"/>
        </w:rPr>
        <w:t xml:space="preserve">FCC’s </w:t>
      </w:r>
      <w:r w:rsidRPr="00853FF6">
        <w:rPr>
          <w:sz w:val="26"/>
          <w:szCs w:val="26"/>
        </w:rPr>
        <w:t>National Broadband Map to determine where a broadband serviceable location is served, unserved</w:t>
      </w:r>
      <w:r>
        <w:rPr>
          <w:sz w:val="26"/>
          <w:szCs w:val="26"/>
        </w:rPr>
        <w:t>,</w:t>
      </w:r>
      <w:r w:rsidRPr="00853FF6">
        <w:rPr>
          <w:sz w:val="26"/>
          <w:szCs w:val="26"/>
        </w:rPr>
        <w:t xml:space="preserve"> or underserved in compliance with NTIA instructions. (D.24-05-029, p. 65.)</w:t>
      </w:r>
      <w:r w:rsidRPr="00853FF6">
        <w:rPr>
          <w:szCs w:val="26"/>
        </w:rPr>
        <w:t xml:space="preserve"> </w:t>
      </w:r>
      <w:r>
        <w:rPr>
          <w:sz w:val="26"/>
          <w:szCs w:val="26"/>
        </w:rPr>
        <w:t>Staff utilized the most recent broadband maps that were available at the time of the BEAD Challenge Process. As Res. T-17898 states: “</w:t>
      </w:r>
      <w:r w:rsidRPr="004B4C72">
        <w:rPr>
          <w:sz w:val="26"/>
          <w:szCs w:val="26"/>
        </w:rPr>
        <w:t>Version 4 of the Broadband Serviceable Locations</w:t>
      </w:r>
      <w:r>
        <w:rPr>
          <w:sz w:val="26"/>
          <w:szCs w:val="26"/>
        </w:rPr>
        <w:t xml:space="preserve"> </w:t>
      </w:r>
      <w:r w:rsidRPr="004B4C72">
        <w:rPr>
          <w:sz w:val="26"/>
          <w:szCs w:val="26"/>
        </w:rPr>
        <w:t>Fabric, released by NTIA on May 14, 2024, served as the basis for the BEAD Challenge</w:t>
      </w:r>
      <w:r>
        <w:rPr>
          <w:sz w:val="26"/>
          <w:szCs w:val="26"/>
        </w:rPr>
        <w:t xml:space="preserve"> </w:t>
      </w:r>
      <w:r w:rsidRPr="004B4C72">
        <w:rPr>
          <w:sz w:val="26"/>
          <w:szCs w:val="26"/>
        </w:rPr>
        <w:t>Process.</w:t>
      </w:r>
      <w:r>
        <w:rPr>
          <w:sz w:val="26"/>
          <w:szCs w:val="26"/>
        </w:rPr>
        <w:t xml:space="preserve">” (Res. T-17898 at 4.) This was the data point set by and held constant by NTIA. </w:t>
      </w:r>
    </w:p>
    <w:p w:rsidRPr="00853FF6" w:rsidR="00E555D3" w:rsidP="001C064E" w:rsidRDefault="00E555D3" w14:paraId="3BE5C514" w14:textId="77777777">
      <w:pPr>
        <w:spacing w:line="360" w:lineRule="auto"/>
        <w:ind w:firstLine="1440"/>
        <w:rPr>
          <w:sz w:val="26"/>
          <w:szCs w:val="26"/>
        </w:rPr>
      </w:pPr>
      <w:r>
        <w:rPr>
          <w:sz w:val="26"/>
          <w:szCs w:val="26"/>
        </w:rPr>
        <w:t xml:space="preserve">Staff made updates to the broadband maps after the BEAD Challenge Process as stated in </w:t>
      </w:r>
      <w:r w:rsidRPr="00853FF6">
        <w:rPr>
          <w:sz w:val="26"/>
          <w:szCs w:val="26"/>
        </w:rPr>
        <w:t>Res. T-17898:</w:t>
      </w:r>
    </w:p>
    <w:p w:rsidR="00E90939" w:rsidP="00AB236C" w:rsidRDefault="00E555D3" w14:paraId="1F79B403" w14:textId="77777777">
      <w:pPr>
        <w:ind w:left="1080" w:right="1440"/>
        <w:rPr>
          <w:sz w:val="26"/>
          <w:szCs w:val="26"/>
        </w:rPr>
      </w:pPr>
      <w:r w:rsidRPr="00853FF6">
        <w:rPr>
          <w:sz w:val="26"/>
          <w:szCs w:val="26"/>
        </w:rPr>
        <w:t>The BEAD Challenge Phase opened on July 8, 2024, at 8:00 a.m. PST and ended on August 6, 2024, at 11:59 p.m. PST. Staff evaluated the evidence provided by the challenging entities and updated its BEAD-eligible location list based on its review. California’s BEAD Challenge results were submitted in December 2024 to NTIA and approved in January 2025</w:t>
      </w:r>
      <w:r w:rsidR="00206A17">
        <w:rPr>
          <w:sz w:val="26"/>
          <w:szCs w:val="26"/>
        </w:rPr>
        <w:t xml:space="preserve">. </w:t>
      </w:r>
    </w:p>
    <w:p w:rsidR="00E90939" w:rsidP="00AB236C" w:rsidRDefault="00E90939" w14:paraId="40897CA1" w14:textId="77777777">
      <w:pPr>
        <w:ind w:left="1080" w:right="1440"/>
        <w:rPr>
          <w:sz w:val="26"/>
          <w:szCs w:val="26"/>
        </w:rPr>
      </w:pPr>
    </w:p>
    <w:p w:rsidR="009F46B1" w:rsidP="00AB236C" w:rsidRDefault="00E555D3" w14:paraId="7D7F0FD5" w14:textId="1AFB94D5">
      <w:pPr>
        <w:ind w:left="1080" w:right="1440"/>
        <w:rPr>
          <w:sz w:val="26"/>
          <w:szCs w:val="26"/>
        </w:rPr>
      </w:pPr>
      <w:r w:rsidRPr="00853FF6">
        <w:rPr>
          <w:sz w:val="26"/>
          <w:szCs w:val="26"/>
        </w:rPr>
        <w:t>Upon NTIA approval of the BEAD challenge process, Staff published final map of locations eligible for BEAD funding. Staff published additional materials for the public on its BEAD Challenge Process website.</w:t>
      </w:r>
      <w:r>
        <w:rPr>
          <w:sz w:val="26"/>
          <w:szCs w:val="26"/>
        </w:rPr>
        <w:t xml:space="preserve"> </w:t>
      </w:r>
    </w:p>
    <w:p w:rsidR="009F46B1" w:rsidP="009F46B1" w:rsidRDefault="009F46B1" w14:paraId="11B451C6" w14:textId="77777777">
      <w:pPr>
        <w:rPr>
          <w:sz w:val="26"/>
          <w:szCs w:val="26"/>
        </w:rPr>
      </w:pPr>
    </w:p>
    <w:p w:rsidRPr="00853FF6" w:rsidR="00E555D3" w:rsidP="00FB796D" w:rsidRDefault="00E555D3" w14:paraId="78C66DA0" w14:textId="4259FFBA">
      <w:pPr>
        <w:rPr>
          <w:sz w:val="26"/>
          <w:szCs w:val="26"/>
        </w:rPr>
      </w:pPr>
      <w:r w:rsidRPr="00853FF6">
        <w:rPr>
          <w:sz w:val="26"/>
          <w:szCs w:val="26"/>
        </w:rPr>
        <w:t>(Res. T-17898, p. 4.)</w:t>
      </w:r>
    </w:p>
    <w:p w:rsidRPr="00853FF6" w:rsidR="00E555D3" w:rsidP="00E555D3" w:rsidRDefault="00E555D3" w14:paraId="6F687966" w14:textId="77777777">
      <w:pPr>
        <w:rPr>
          <w:sz w:val="26"/>
          <w:szCs w:val="26"/>
        </w:rPr>
      </w:pPr>
    </w:p>
    <w:p w:rsidR="00115479" w:rsidP="001C064E" w:rsidRDefault="00E555D3" w14:paraId="78A49064" w14:textId="77777777">
      <w:pPr>
        <w:spacing w:line="360" w:lineRule="auto"/>
        <w:ind w:firstLine="1440"/>
        <w:rPr>
          <w:sz w:val="26"/>
          <w:szCs w:val="26"/>
        </w:rPr>
      </w:pPr>
      <w:r w:rsidRPr="00853FF6">
        <w:rPr>
          <w:sz w:val="26"/>
          <w:szCs w:val="26"/>
        </w:rPr>
        <w:t xml:space="preserve">As Res. T-17898 demonstrates, </w:t>
      </w:r>
      <w:r>
        <w:rPr>
          <w:sz w:val="26"/>
          <w:szCs w:val="26"/>
        </w:rPr>
        <w:t xml:space="preserve">Staff relied upon the broadband maps </w:t>
      </w:r>
      <w:r>
        <w:rPr>
          <w:sz w:val="26"/>
          <w:szCs w:val="26"/>
        </w:rPr>
        <w:lastRenderedPageBreak/>
        <w:t>approved by NTIA to be utilized during the BEAD Challenge Phase which began prior to December 31, 2024</w:t>
      </w:r>
      <w:r w:rsidRPr="00853FF6">
        <w:rPr>
          <w:sz w:val="26"/>
          <w:szCs w:val="26"/>
        </w:rPr>
        <w:t>.</w:t>
      </w:r>
      <w:r>
        <w:rPr>
          <w:sz w:val="26"/>
          <w:szCs w:val="26"/>
        </w:rPr>
        <w:t xml:space="preserve"> Staff could not have utilized the broadband maps which were updated as of December 31, 2024, during the BEAD Challenge Phase as the BEAD Challenge Phase ended on August 6, 2024. However, carriers were given the opportunity during the BEAD Challenge Phase to demonstrate whether locations identified in the broadband maps as eligible locations were adequately served. </w:t>
      </w:r>
    </w:p>
    <w:p w:rsidRPr="00853FF6" w:rsidR="00E555D3" w:rsidP="001C064E" w:rsidRDefault="00E555D3" w14:paraId="16063C03" w14:textId="780BD2D8">
      <w:pPr>
        <w:spacing w:line="360" w:lineRule="auto"/>
        <w:ind w:firstLine="1440"/>
        <w:rPr>
          <w:sz w:val="26"/>
          <w:szCs w:val="26"/>
        </w:rPr>
      </w:pPr>
      <w:r w:rsidRPr="001D0EE7">
        <w:rPr>
          <w:sz w:val="26"/>
          <w:szCs w:val="26"/>
        </w:rPr>
        <w:t>Velocity participated in the formal BEAD Challenge P</w:t>
      </w:r>
      <w:r>
        <w:rPr>
          <w:sz w:val="26"/>
          <w:szCs w:val="26"/>
        </w:rPr>
        <w:t>hase and successfully demonstrated that 242 locations were adequately served</w:t>
      </w:r>
      <w:r w:rsidRPr="001D0EE7">
        <w:rPr>
          <w:sz w:val="26"/>
          <w:szCs w:val="26"/>
        </w:rPr>
        <w:t>.</w:t>
      </w:r>
      <w:r>
        <w:rPr>
          <w:sz w:val="26"/>
          <w:szCs w:val="26"/>
        </w:rPr>
        <w:t xml:space="preserve"> Therefore, Staff excluded those areas from the BEAD awards.</w:t>
      </w:r>
      <w:r w:rsidRPr="001D0EE7">
        <w:rPr>
          <w:sz w:val="26"/>
          <w:szCs w:val="26"/>
        </w:rPr>
        <w:t xml:space="preserve"> </w:t>
      </w:r>
      <w:r>
        <w:rPr>
          <w:sz w:val="26"/>
          <w:szCs w:val="26"/>
        </w:rPr>
        <w:t>Staff’s denial of Velocity’s remaining eight challenges was not due to Staff’s reliance on the broadband maps but resulted from Velocity’s failure to provide sufficient evidence to demonstrate that the areas Velocity challenged were adequately served, despite numerous requests from Staff.</w:t>
      </w:r>
      <w:r w:rsidRPr="00853FF6">
        <w:rPr>
          <w:sz w:val="26"/>
          <w:szCs w:val="26"/>
        </w:rPr>
        <w:t xml:space="preserve"> </w:t>
      </w:r>
      <w:r>
        <w:rPr>
          <w:sz w:val="26"/>
          <w:szCs w:val="26"/>
        </w:rPr>
        <w:t>Therefore, Velocity’s allegation that the Resolution relied on outdated versions of the broadband maps has no merit.</w:t>
      </w:r>
    </w:p>
    <w:p w:rsidRPr="000F5997" w:rsidR="00E555D3" w:rsidP="001C064E" w:rsidRDefault="00E555D3" w14:paraId="0838FF9B" w14:textId="77777777">
      <w:pPr>
        <w:pStyle w:val="Heading2"/>
        <w:numPr>
          <w:ilvl w:val="1"/>
          <w:numId w:val="2"/>
        </w:numPr>
        <w:spacing w:after="120"/>
        <w:ind w:left="1440" w:right="720"/>
      </w:pPr>
      <w:r>
        <w:t>Resolution T-17898</w:t>
      </w:r>
      <w:r w:rsidRPr="000F5997">
        <w:t xml:space="preserve"> did not discount broadband provided via fixed wireless.</w:t>
      </w:r>
    </w:p>
    <w:p w:rsidR="00022160" w:rsidP="001C064E" w:rsidRDefault="00E555D3" w14:paraId="481AE769" w14:textId="02DE2B7E">
      <w:pPr>
        <w:spacing w:line="360" w:lineRule="auto"/>
        <w:ind w:firstLine="1440"/>
        <w:rPr>
          <w:sz w:val="26"/>
          <w:szCs w:val="26"/>
        </w:rPr>
      </w:pPr>
      <w:r w:rsidRPr="00853FF6">
        <w:rPr>
          <w:sz w:val="26"/>
          <w:szCs w:val="26"/>
        </w:rPr>
        <w:t xml:space="preserve">Velocity further alleges that the </w:t>
      </w:r>
      <w:r w:rsidR="00FA59F7">
        <w:rPr>
          <w:sz w:val="26"/>
          <w:szCs w:val="26"/>
        </w:rPr>
        <w:t>R</w:t>
      </w:r>
      <w:r w:rsidRPr="00853FF6">
        <w:rPr>
          <w:sz w:val="26"/>
          <w:szCs w:val="26"/>
        </w:rPr>
        <w:t>esolution discounts broadband provided via fixed wireless. (Reh. App</w:t>
      </w:r>
      <w:r w:rsidR="00FA59F7">
        <w:rPr>
          <w:sz w:val="26"/>
          <w:szCs w:val="26"/>
        </w:rPr>
        <w:t>.</w:t>
      </w:r>
      <w:r w:rsidRPr="00853FF6">
        <w:rPr>
          <w:sz w:val="26"/>
          <w:szCs w:val="26"/>
        </w:rPr>
        <w:t>, p. 3.) Velocity states that it provides broadband service in Willow Creek, Salyer, Hawkins Bar, Burnt Ranch, Big Bar and Lewiston predominantly via fixed wireless technology. (Reh. App</w:t>
      </w:r>
      <w:r w:rsidR="00022160">
        <w:rPr>
          <w:sz w:val="26"/>
          <w:szCs w:val="26"/>
        </w:rPr>
        <w:t>.</w:t>
      </w:r>
      <w:r w:rsidRPr="00853FF6">
        <w:rPr>
          <w:sz w:val="26"/>
          <w:szCs w:val="26"/>
        </w:rPr>
        <w:t xml:space="preserve">, p. 4.) Velocity further alleges that because Commission </w:t>
      </w:r>
      <w:r w:rsidR="009A5885">
        <w:rPr>
          <w:sz w:val="26"/>
          <w:szCs w:val="26"/>
        </w:rPr>
        <w:t>S</w:t>
      </w:r>
      <w:r w:rsidRPr="00853FF6">
        <w:rPr>
          <w:sz w:val="26"/>
          <w:szCs w:val="26"/>
        </w:rPr>
        <w:t>taff failed to fund fixed wireless projects, it also appears that they disregarded existing fixed wireless networks already providing broadband at required speeds. (Reh. App</w:t>
      </w:r>
      <w:r w:rsidR="00022160">
        <w:rPr>
          <w:sz w:val="26"/>
          <w:szCs w:val="26"/>
        </w:rPr>
        <w:t>.</w:t>
      </w:r>
      <w:r w:rsidRPr="00853FF6">
        <w:rPr>
          <w:sz w:val="26"/>
          <w:szCs w:val="26"/>
        </w:rPr>
        <w:t xml:space="preserve">, p. 5.) </w:t>
      </w:r>
    </w:p>
    <w:p w:rsidRPr="00853FF6" w:rsidR="00E555D3" w:rsidP="001C064E" w:rsidRDefault="00E555D3" w14:paraId="742CC3B6" w14:textId="20373A3F">
      <w:pPr>
        <w:spacing w:line="360" w:lineRule="auto"/>
        <w:ind w:firstLine="1440"/>
        <w:rPr>
          <w:sz w:val="26"/>
          <w:szCs w:val="26"/>
        </w:rPr>
      </w:pPr>
      <w:r w:rsidRPr="00853FF6">
        <w:rPr>
          <w:sz w:val="26"/>
          <w:szCs w:val="26"/>
        </w:rPr>
        <w:t xml:space="preserve">Contrary to Velocity’s allegations, </w:t>
      </w:r>
      <w:r w:rsidR="009A5885">
        <w:rPr>
          <w:sz w:val="26"/>
          <w:szCs w:val="26"/>
        </w:rPr>
        <w:t xml:space="preserve">Commission Staff scored the </w:t>
      </w:r>
      <w:r w:rsidRPr="00853FF6">
        <w:rPr>
          <w:sz w:val="26"/>
          <w:szCs w:val="26"/>
        </w:rPr>
        <w:t>BEAD applications in alignment with the scoring rubric provided in the RPN</w:t>
      </w:r>
      <w:r>
        <w:rPr>
          <w:sz w:val="26"/>
          <w:szCs w:val="26"/>
        </w:rPr>
        <w:t xml:space="preserve"> which requires a technology-neutral approach</w:t>
      </w:r>
      <w:r w:rsidRPr="00853FF6">
        <w:rPr>
          <w:sz w:val="26"/>
          <w:szCs w:val="26"/>
        </w:rPr>
        <w:t>. The review process included the following steps:</w:t>
      </w:r>
    </w:p>
    <w:p w:rsidRPr="00FB1D5E" w:rsidR="00E555D3" w:rsidP="005D09BD" w:rsidRDefault="00E555D3" w14:paraId="745D1047" w14:textId="77777777">
      <w:pPr>
        <w:pStyle w:val="ListParagraph"/>
        <w:widowControl/>
        <w:numPr>
          <w:ilvl w:val="0"/>
          <w:numId w:val="5"/>
        </w:numPr>
        <w:autoSpaceDE/>
        <w:autoSpaceDN/>
        <w:spacing w:before="0" w:after="120"/>
        <w:ind w:left="1080" w:right="1080"/>
        <w:rPr>
          <w:sz w:val="26"/>
          <w:szCs w:val="26"/>
        </w:rPr>
      </w:pPr>
      <w:r w:rsidRPr="00853FF6">
        <w:rPr>
          <w:i/>
          <w:iCs/>
          <w:sz w:val="26"/>
          <w:szCs w:val="26"/>
        </w:rPr>
        <w:t>Sufficiency review</w:t>
      </w:r>
      <w:r w:rsidRPr="00853FF6">
        <w:rPr>
          <w:sz w:val="26"/>
          <w:szCs w:val="26"/>
        </w:rPr>
        <w:t>: Staff evaluated applications for completeness and sufficiency.</w:t>
      </w:r>
      <w:r>
        <w:rPr>
          <w:sz w:val="26"/>
          <w:szCs w:val="26"/>
        </w:rPr>
        <w:t xml:space="preserve"> </w:t>
      </w:r>
      <w:r w:rsidRPr="00FB1D5E">
        <w:rPr>
          <w:sz w:val="26"/>
          <w:szCs w:val="26"/>
        </w:rPr>
        <w:t>Individual components of the application were then reviewed by Staff subject</w:t>
      </w:r>
      <w:r>
        <w:rPr>
          <w:sz w:val="26"/>
          <w:szCs w:val="26"/>
        </w:rPr>
        <w:t xml:space="preserve"> </w:t>
      </w:r>
      <w:r w:rsidRPr="00FB1D5E">
        <w:rPr>
          <w:sz w:val="26"/>
          <w:szCs w:val="26"/>
        </w:rPr>
        <w:t>matter experts.</w:t>
      </w:r>
    </w:p>
    <w:p w:rsidRPr="00FB1D5E" w:rsidR="00E555D3" w:rsidP="005D09BD" w:rsidRDefault="00E555D3" w14:paraId="31467B0A" w14:textId="01C24295">
      <w:pPr>
        <w:pStyle w:val="ListParagraph"/>
        <w:widowControl/>
        <w:numPr>
          <w:ilvl w:val="0"/>
          <w:numId w:val="5"/>
        </w:numPr>
        <w:autoSpaceDE/>
        <w:autoSpaceDN/>
        <w:spacing w:before="0" w:after="120"/>
        <w:ind w:left="1080" w:right="1080"/>
        <w:rPr>
          <w:sz w:val="26"/>
          <w:szCs w:val="26"/>
        </w:rPr>
      </w:pPr>
      <w:r w:rsidRPr="00853FF6">
        <w:rPr>
          <w:i/>
          <w:iCs/>
          <w:sz w:val="26"/>
          <w:szCs w:val="26"/>
        </w:rPr>
        <w:lastRenderedPageBreak/>
        <w:t>Financial review</w:t>
      </w:r>
      <w:r w:rsidRPr="00853FF6">
        <w:rPr>
          <w:sz w:val="26"/>
          <w:szCs w:val="26"/>
        </w:rPr>
        <w:t>: Staff reviewed responses to questions related to the applicant’s</w:t>
      </w:r>
      <w:r>
        <w:rPr>
          <w:sz w:val="26"/>
          <w:szCs w:val="26"/>
        </w:rPr>
        <w:t xml:space="preserve"> </w:t>
      </w:r>
      <w:r w:rsidR="00F61751">
        <w:rPr>
          <w:sz w:val="26"/>
          <w:szCs w:val="26"/>
        </w:rPr>
        <w:t>f</w:t>
      </w:r>
      <w:r w:rsidRPr="00FB1D5E">
        <w:rPr>
          <w:sz w:val="26"/>
          <w:szCs w:val="26"/>
        </w:rPr>
        <w:t>inancial capability and project-specific financial documentation.</w:t>
      </w:r>
    </w:p>
    <w:p w:rsidRPr="00FB796D" w:rsidR="00022160" w:rsidP="005D09BD" w:rsidRDefault="00E555D3" w14:paraId="4A3EC979" w14:textId="14810162">
      <w:pPr>
        <w:pStyle w:val="ListParagraph"/>
        <w:widowControl/>
        <w:numPr>
          <w:ilvl w:val="0"/>
          <w:numId w:val="5"/>
        </w:numPr>
        <w:autoSpaceDE/>
        <w:autoSpaceDN/>
        <w:spacing w:before="0" w:after="120"/>
        <w:ind w:left="1080" w:right="1080"/>
        <w:rPr>
          <w:sz w:val="26"/>
          <w:szCs w:val="26"/>
        </w:rPr>
      </w:pPr>
      <w:r w:rsidRPr="00022160">
        <w:rPr>
          <w:i/>
          <w:iCs/>
          <w:sz w:val="26"/>
          <w:szCs w:val="26"/>
        </w:rPr>
        <w:t>Technical review:</w:t>
      </w:r>
      <w:r w:rsidRPr="00022160">
        <w:rPr>
          <w:sz w:val="26"/>
          <w:szCs w:val="26"/>
        </w:rPr>
        <w:t xml:space="preserve"> Staff reviewed responses to questions related to technical design for technical feasibility and for Priority/Non-Priority determinations. Staff’s technical review followed a uniform, </w:t>
      </w:r>
      <w:r w:rsidRPr="00022160">
        <w:rPr>
          <w:b/>
          <w:bCs/>
          <w:sz w:val="26"/>
          <w:szCs w:val="26"/>
        </w:rPr>
        <w:t>technology-neutral approach</w:t>
      </w:r>
      <w:r w:rsidRPr="00022160">
        <w:rPr>
          <w:sz w:val="26"/>
          <w:szCs w:val="26"/>
        </w:rPr>
        <w:t xml:space="preserve"> consistent with the RPN.</w:t>
      </w:r>
      <w:r w:rsidRPr="00022160">
        <w:rPr>
          <w:szCs w:val="26"/>
        </w:rPr>
        <w:t xml:space="preserve"> </w:t>
      </w:r>
    </w:p>
    <w:p w:rsidR="00022160" w:rsidP="00022160" w:rsidRDefault="00022160" w14:paraId="3C56F95E" w14:textId="77777777">
      <w:pPr>
        <w:widowControl/>
        <w:autoSpaceDE/>
        <w:autoSpaceDN/>
        <w:ind w:right="1080"/>
        <w:rPr>
          <w:sz w:val="26"/>
          <w:szCs w:val="26"/>
        </w:rPr>
      </w:pPr>
    </w:p>
    <w:p w:rsidRPr="00FB796D" w:rsidR="00E555D3" w:rsidP="00FB796D" w:rsidRDefault="00E555D3" w14:paraId="77EB0339" w14:textId="5032A536">
      <w:pPr>
        <w:widowControl/>
        <w:autoSpaceDE/>
        <w:autoSpaceDN/>
        <w:ind w:right="1080"/>
        <w:rPr>
          <w:sz w:val="26"/>
          <w:szCs w:val="26"/>
        </w:rPr>
      </w:pPr>
      <w:r w:rsidRPr="00FB796D">
        <w:rPr>
          <w:sz w:val="26"/>
          <w:szCs w:val="26"/>
        </w:rPr>
        <w:t>(Res. T-17898 at 6</w:t>
      </w:r>
      <w:r w:rsidR="00022160">
        <w:rPr>
          <w:sz w:val="26"/>
          <w:szCs w:val="26"/>
        </w:rPr>
        <w:t xml:space="preserve"> [emphasis added]</w:t>
      </w:r>
      <w:r w:rsidRPr="00FB796D">
        <w:rPr>
          <w:sz w:val="26"/>
          <w:szCs w:val="26"/>
        </w:rPr>
        <w:t>.)</w:t>
      </w:r>
    </w:p>
    <w:p w:rsidRPr="00853FF6" w:rsidR="00E555D3" w:rsidP="00E555D3" w:rsidRDefault="00E555D3" w14:paraId="0DE7A4AF" w14:textId="77777777">
      <w:pPr>
        <w:ind w:left="720"/>
        <w:rPr>
          <w:sz w:val="26"/>
          <w:szCs w:val="26"/>
        </w:rPr>
      </w:pPr>
    </w:p>
    <w:p w:rsidR="00E555D3" w:rsidP="001C064E" w:rsidRDefault="00E555D3" w14:paraId="0AA59489" w14:textId="691D785E">
      <w:pPr>
        <w:pStyle w:val="BodyText"/>
        <w:spacing w:line="360" w:lineRule="auto"/>
        <w:ind w:left="0" w:firstLine="1440"/>
      </w:pPr>
      <w:r>
        <w:t xml:space="preserve">Staff evaluated the proposals across a range of technologies such as fiber, hybrid fiber-coaxial (HFC), licensed and unlicensed fixed wireless, and low-earth-orbit (LEO) satellite systems and reviewed to ensure compliance with statutory and policy criteria.  Staff evaluated the proposals utilizing a technology-neutral approach to ensure that only projects capable of delivering reliable, high-quality, and cost-effective broadband service advanced as Priority Broadband Projects. (Res. T-17898, p. 21.) In addition, to safeguard impartiality and uphold the integrity of the subgrantee selection process, Staff engaged independent and conflict-free reviewers who were technical experts, financial specialists, and analytics reviewers and knowledgeable of the BEAD requirements and followed standardized procedures and quality-control protocols. Their findings were consolidated and presented to Staff for final award determinations. </w:t>
      </w:r>
      <w:r w:rsidR="00674C78">
        <w:br/>
      </w:r>
      <w:r>
        <w:t>(Res. T-17898, p. 21.)</w:t>
      </w:r>
    </w:p>
    <w:p w:rsidR="00E555D3" w:rsidP="001C064E" w:rsidRDefault="00E555D3" w14:paraId="6B4404A7" w14:textId="0BC5CC19">
      <w:pPr>
        <w:pStyle w:val="BodyText"/>
        <w:spacing w:line="360" w:lineRule="auto"/>
        <w:ind w:left="0" w:firstLine="1440"/>
      </w:pPr>
      <w:r>
        <w:t xml:space="preserve">Furthermore, Res. T-17898 did not discount broadband service provided via fixed wireless service. During the </w:t>
      </w:r>
      <w:r w:rsidR="00FD5735">
        <w:t>“</w:t>
      </w:r>
      <w:r>
        <w:t>Benefit of the Bargain</w:t>
      </w:r>
      <w:r w:rsidR="00FD5735">
        <w:t>” (per the RPN, herein referred to as BEAD 2.0)</w:t>
      </w:r>
      <w:r>
        <w:t xml:space="preserve"> application process, 103 Licensed Fixed Wireless (LFW) and 14 Unlicensed Fixed Wireless (ULFW) applications were received. Four of those proposals </w:t>
      </w:r>
      <w:proofErr w:type="gramStart"/>
      <w:r>
        <w:t>were</w:t>
      </w:r>
      <w:proofErr w:type="gramEnd"/>
      <w:r>
        <w:t xml:space="preserve"> hybrid technology applications wherein two wireless technologies were applied to the same plan for a total of 113 applications for consideration. During negotiations, several applications were consolidated for efficiency in agreement with the applicants who submitted them. These negotiations resulted in a total of 86 LFW and 12</w:t>
      </w:r>
      <w:r w:rsidR="00B71763">
        <w:t> </w:t>
      </w:r>
      <w:r>
        <w:t xml:space="preserve">ULFW applications for a combined total of 94 wireless applications to consider (the total was adjusted for the 4 hybrid applications which were included in these numbers). </w:t>
      </w:r>
      <w:r>
        <w:lastRenderedPageBreak/>
        <w:t>Preliminary awards were made to 13 LFW applications and 5 ULFW applications representing a total of 16 fixed wireless preliminary awards (adjusted for 2 of the 4 hybrid technology submittals). A total of 83 preliminary awards were issued. As a result, 19.28% of the preliminary awards were made to a wireless provider application (16/83). Therefore, contrary to Velocity’s allegations, Res. T-17898 gave due consideration to proposals offering broadband via fixed wireless. (</w:t>
      </w:r>
      <w:r w:rsidRPr="000552F0" w:rsidR="0092321C">
        <w:rPr>
          <w:i/>
          <w:iCs/>
        </w:rPr>
        <w:t>See</w:t>
      </w:r>
      <w:r w:rsidR="0092321C">
        <w:t xml:space="preserve"> </w:t>
      </w:r>
      <w:r>
        <w:t>Res. T-17898, Appendix B2</w:t>
      </w:r>
      <w:r w:rsidR="004122A9">
        <w:t xml:space="preserve"> [list of deployment projects]</w:t>
      </w:r>
      <w:r>
        <w:t>.)</w:t>
      </w:r>
    </w:p>
    <w:p w:rsidR="00E555D3" w:rsidP="001C064E" w:rsidRDefault="00E555D3" w14:paraId="2B735D93" w14:textId="34271610">
      <w:pPr>
        <w:pStyle w:val="BodyText"/>
        <w:spacing w:line="360" w:lineRule="auto"/>
        <w:ind w:left="0" w:firstLine="1440"/>
      </w:pPr>
      <w:r>
        <w:t xml:space="preserve">Resolution T-17898 demonstrates that the BEAD awards were recommended on a technologically-neutral basis and did not discount broadband service provided via fixed wireless as awards were made to fixed wireless providers. Therefore, Velocity’s allegation </w:t>
      </w:r>
      <w:r w:rsidR="001958EA">
        <w:t xml:space="preserve">that </w:t>
      </w:r>
      <w:r>
        <w:t>Resolution T-17898 discounts broadband provided via fixed wireless is meritless.</w:t>
      </w:r>
    </w:p>
    <w:p w:rsidR="00E555D3" w:rsidP="005D09BD" w:rsidRDefault="00E555D3" w14:paraId="03D9A141" w14:textId="77777777">
      <w:pPr>
        <w:pStyle w:val="Heading1"/>
        <w:numPr>
          <w:ilvl w:val="0"/>
          <w:numId w:val="2"/>
        </w:numPr>
        <w:ind w:left="720"/>
        <w:rPr>
          <w:u w:val="none"/>
        </w:rPr>
      </w:pPr>
      <w:r>
        <w:rPr>
          <w:spacing w:val="-2"/>
          <w:u w:val="none"/>
        </w:rPr>
        <w:t>CONCLUSION</w:t>
      </w:r>
    </w:p>
    <w:p w:rsidR="00E555D3" w:rsidP="001C064E" w:rsidRDefault="00E555D3" w14:paraId="4F0BEDB7" w14:textId="77777777">
      <w:pPr>
        <w:pStyle w:val="BodyText"/>
        <w:spacing w:before="119" w:line="360" w:lineRule="auto"/>
        <w:ind w:left="0" w:right="117" w:firstLine="1440"/>
      </w:pPr>
      <w:r>
        <w:t>As discussed above, we have determined that good cause has not been demonstrated</w:t>
      </w:r>
      <w:r>
        <w:rPr>
          <w:spacing w:val="-3"/>
        </w:rPr>
        <w:t xml:space="preserve"> </w:t>
      </w:r>
      <w:r>
        <w:t>to</w:t>
      </w:r>
      <w:r>
        <w:rPr>
          <w:spacing w:val="-3"/>
        </w:rPr>
        <w:t xml:space="preserve"> </w:t>
      </w:r>
      <w:r>
        <w:t>grant</w:t>
      </w:r>
      <w:r>
        <w:rPr>
          <w:spacing w:val="-3"/>
        </w:rPr>
        <w:t xml:space="preserve"> </w:t>
      </w:r>
      <w:r>
        <w:t>rehearing.</w:t>
      </w:r>
      <w:r>
        <w:rPr>
          <w:spacing w:val="40"/>
        </w:rPr>
        <w:t xml:space="preserve"> </w:t>
      </w:r>
      <w:r>
        <w:t>As</w:t>
      </w:r>
      <w:r>
        <w:rPr>
          <w:spacing w:val="-3"/>
        </w:rPr>
        <w:t xml:space="preserve"> </w:t>
      </w:r>
      <w:r>
        <w:t>such,</w:t>
      </w:r>
      <w:r>
        <w:rPr>
          <w:spacing w:val="-3"/>
        </w:rPr>
        <w:t xml:space="preserve"> </w:t>
      </w:r>
      <w:r>
        <w:t>rehearing</w:t>
      </w:r>
      <w:r>
        <w:rPr>
          <w:spacing w:val="-3"/>
        </w:rPr>
        <w:t xml:space="preserve"> </w:t>
      </w:r>
      <w:r>
        <w:t>of</w:t>
      </w:r>
      <w:r>
        <w:rPr>
          <w:spacing w:val="-3"/>
        </w:rPr>
        <w:t xml:space="preserve"> </w:t>
      </w:r>
      <w:r>
        <w:t>Res.</w:t>
      </w:r>
      <w:r>
        <w:rPr>
          <w:spacing w:val="-3"/>
        </w:rPr>
        <w:t xml:space="preserve"> </w:t>
      </w:r>
      <w:r>
        <w:t>T-17898</w:t>
      </w:r>
      <w:r>
        <w:rPr>
          <w:spacing w:val="-3"/>
        </w:rPr>
        <w:t xml:space="preserve"> </w:t>
      </w:r>
      <w:r>
        <w:t>should</w:t>
      </w:r>
      <w:r>
        <w:rPr>
          <w:spacing w:val="-4"/>
        </w:rPr>
        <w:t xml:space="preserve"> </w:t>
      </w:r>
      <w:r>
        <w:t>be</w:t>
      </w:r>
      <w:r>
        <w:rPr>
          <w:spacing w:val="-4"/>
        </w:rPr>
        <w:t xml:space="preserve"> </w:t>
      </w:r>
      <w:r>
        <w:t>denied.</w:t>
      </w:r>
    </w:p>
    <w:p w:rsidR="00E555D3" w:rsidP="00E555D3" w:rsidRDefault="00E555D3" w14:paraId="17AB5AAD" w14:textId="77777777">
      <w:pPr>
        <w:pStyle w:val="Heading2"/>
        <w:spacing w:before="1"/>
        <w:rPr>
          <w:b w:val="0"/>
        </w:rPr>
      </w:pPr>
      <w:r>
        <w:t>THEREFORE,</w:t>
      </w:r>
      <w:r>
        <w:rPr>
          <w:spacing w:val="-6"/>
        </w:rPr>
        <w:t xml:space="preserve"> </w:t>
      </w:r>
      <w:r>
        <w:t>IT</w:t>
      </w:r>
      <w:r>
        <w:rPr>
          <w:spacing w:val="-5"/>
        </w:rPr>
        <w:t xml:space="preserve"> </w:t>
      </w:r>
      <w:r>
        <w:t>IS</w:t>
      </w:r>
      <w:r>
        <w:rPr>
          <w:spacing w:val="-5"/>
        </w:rPr>
        <w:t xml:space="preserve"> </w:t>
      </w:r>
      <w:r>
        <w:t>ORDERED</w:t>
      </w:r>
      <w:r>
        <w:rPr>
          <w:spacing w:val="-4"/>
        </w:rPr>
        <w:t xml:space="preserve"> </w:t>
      </w:r>
      <w:r>
        <w:rPr>
          <w:b w:val="0"/>
          <w:spacing w:val="-2"/>
        </w:rPr>
        <w:t>that:</w:t>
      </w:r>
    </w:p>
    <w:p w:rsidR="00C8767A" w:rsidP="00FB796D" w:rsidRDefault="00E555D3" w14:paraId="23C2667B" w14:textId="1C1A35FA">
      <w:pPr>
        <w:pStyle w:val="ListParagraph"/>
        <w:numPr>
          <w:ilvl w:val="0"/>
          <w:numId w:val="1"/>
        </w:numPr>
        <w:tabs>
          <w:tab w:val="left" w:pos="1799"/>
        </w:tabs>
        <w:spacing w:before="149" w:line="360" w:lineRule="auto"/>
        <w:ind w:firstLine="720"/>
        <w:rPr>
          <w:sz w:val="26"/>
        </w:rPr>
      </w:pPr>
      <w:r>
        <w:rPr>
          <w:sz w:val="26"/>
        </w:rPr>
        <w:t>Rehearing</w:t>
      </w:r>
      <w:r>
        <w:rPr>
          <w:spacing w:val="-5"/>
          <w:sz w:val="26"/>
        </w:rPr>
        <w:t xml:space="preserve"> </w:t>
      </w:r>
      <w:r>
        <w:rPr>
          <w:sz w:val="26"/>
        </w:rPr>
        <w:t>of</w:t>
      </w:r>
      <w:r>
        <w:rPr>
          <w:spacing w:val="-5"/>
          <w:sz w:val="26"/>
        </w:rPr>
        <w:t xml:space="preserve"> </w:t>
      </w:r>
      <w:r>
        <w:rPr>
          <w:sz w:val="26"/>
        </w:rPr>
        <w:t>Resolution</w:t>
      </w:r>
      <w:r>
        <w:rPr>
          <w:spacing w:val="-5"/>
          <w:sz w:val="26"/>
        </w:rPr>
        <w:t xml:space="preserve"> </w:t>
      </w:r>
      <w:r>
        <w:rPr>
          <w:sz w:val="26"/>
        </w:rPr>
        <w:t>T-17898</w:t>
      </w:r>
      <w:r>
        <w:rPr>
          <w:spacing w:val="-5"/>
          <w:sz w:val="26"/>
        </w:rPr>
        <w:t xml:space="preserve"> </w:t>
      </w:r>
      <w:r>
        <w:rPr>
          <w:sz w:val="26"/>
        </w:rPr>
        <w:t>is</w:t>
      </w:r>
      <w:r>
        <w:rPr>
          <w:spacing w:val="-5"/>
          <w:sz w:val="26"/>
        </w:rPr>
        <w:t xml:space="preserve"> </w:t>
      </w:r>
      <w:r>
        <w:rPr>
          <w:sz w:val="26"/>
        </w:rPr>
        <w:t>hereby</w:t>
      </w:r>
      <w:r>
        <w:rPr>
          <w:spacing w:val="-5"/>
          <w:sz w:val="26"/>
        </w:rPr>
        <w:t xml:space="preserve"> </w:t>
      </w:r>
      <w:r>
        <w:rPr>
          <w:sz w:val="26"/>
        </w:rPr>
        <w:t>denied</w:t>
      </w:r>
      <w:r>
        <w:rPr>
          <w:spacing w:val="-5"/>
          <w:sz w:val="26"/>
        </w:rPr>
        <w:t xml:space="preserve"> </w:t>
      </w:r>
      <w:r>
        <w:rPr>
          <w:sz w:val="26"/>
        </w:rPr>
        <w:t>because</w:t>
      </w:r>
      <w:r>
        <w:rPr>
          <w:spacing w:val="-5"/>
          <w:sz w:val="26"/>
        </w:rPr>
        <w:t xml:space="preserve"> </w:t>
      </w:r>
      <w:r>
        <w:rPr>
          <w:sz w:val="26"/>
        </w:rPr>
        <w:t>no</w:t>
      </w:r>
      <w:r>
        <w:rPr>
          <w:spacing w:val="-5"/>
          <w:sz w:val="26"/>
        </w:rPr>
        <w:t xml:space="preserve"> </w:t>
      </w:r>
      <w:r>
        <w:rPr>
          <w:sz w:val="26"/>
        </w:rPr>
        <w:t>legal error has been demonstrated.</w:t>
      </w:r>
    </w:p>
    <w:p w:rsidR="00B85567" w:rsidP="00FB796D" w:rsidRDefault="00E555D3" w14:paraId="2F587BBF" w14:textId="77777777">
      <w:pPr>
        <w:pStyle w:val="ListParagraph"/>
        <w:numPr>
          <w:ilvl w:val="0"/>
          <w:numId w:val="1"/>
        </w:numPr>
        <w:tabs>
          <w:tab w:val="left" w:pos="1799"/>
        </w:tabs>
        <w:spacing w:before="0" w:line="360" w:lineRule="auto"/>
        <w:ind w:left="1799"/>
        <w:rPr>
          <w:sz w:val="26"/>
        </w:rPr>
      </w:pPr>
      <w:r>
        <w:rPr>
          <w:sz w:val="26"/>
        </w:rPr>
        <w:t>This</w:t>
      </w:r>
      <w:r>
        <w:rPr>
          <w:spacing w:val="-8"/>
          <w:sz w:val="26"/>
        </w:rPr>
        <w:t xml:space="preserve"> </w:t>
      </w:r>
      <w:r>
        <w:rPr>
          <w:sz w:val="26"/>
        </w:rPr>
        <w:t>proceeding,</w:t>
      </w:r>
      <w:r>
        <w:rPr>
          <w:spacing w:val="-8"/>
          <w:sz w:val="26"/>
        </w:rPr>
        <w:t xml:space="preserve"> </w:t>
      </w:r>
      <w:r>
        <w:rPr>
          <w:sz w:val="26"/>
        </w:rPr>
        <w:t>Application</w:t>
      </w:r>
      <w:r>
        <w:rPr>
          <w:spacing w:val="-8"/>
          <w:sz w:val="26"/>
        </w:rPr>
        <w:t xml:space="preserve"> </w:t>
      </w:r>
      <w:r>
        <w:rPr>
          <w:sz w:val="26"/>
        </w:rPr>
        <w:t>26-01-019,</w:t>
      </w:r>
      <w:r>
        <w:rPr>
          <w:spacing w:val="-8"/>
          <w:sz w:val="26"/>
        </w:rPr>
        <w:t xml:space="preserve"> </w:t>
      </w:r>
      <w:r>
        <w:rPr>
          <w:sz w:val="26"/>
        </w:rPr>
        <w:t>is</w:t>
      </w:r>
      <w:r>
        <w:rPr>
          <w:spacing w:val="-8"/>
          <w:sz w:val="26"/>
        </w:rPr>
        <w:t xml:space="preserve"> </w:t>
      </w:r>
      <w:r>
        <w:rPr>
          <w:sz w:val="26"/>
        </w:rPr>
        <w:t xml:space="preserve">closed. </w:t>
      </w:r>
    </w:p>
    <w:p w:rsidR="00E555D3" w:rsidP="00FB796D" w:rsidRDefault="00E555D3" w14:paraId="73E24908" w14:textId="79620567">
      <w:pPr>
        <w:pStyle w:val="ListParagraph"/>
        <w:tabs>
          <w:tab w:val="left" w:pos="1799"/>
        </w:tabs>
        <w:spacing w:before="0" w:line="360" w:lineRule="auto"/>
        <w:ind w:left="1799" w:right="2632" w:firstLine="0"/>
        <w:rPr>
          <w:sz w:val="26"/>
        </w:rPr>
      </w:pPr>
      <w:r>
        <w:rPr>
          <w:sz w:val="26"/>
        </w:rPr>
        <w:t>This order is effective today.</w:t>
      </w:r>
    </w:p>
    <w:p w:rsidR="00E555D3" w:rsidP="00E555D3" w:rsidRDefault="00E555D3" w14:paraId="4B18BBA1" w14:textId="038FF055">
      <w:pPr>
        <w:pStyle w:val="BodyText"/>
        <w:tabs>
          <w:tab w:val="left" w:pos="4744"/>
        </w:tabs>
        <w:spacing w:line="299" w:lineRule="exact"/>
        <w:ind w:left="1799"/>
      </w:pPr>
      <w:r>
        <w:t xml:space="preserve">Dated </w:t>
      </w:r>
      <w:r w:rsidR="00C8767A">
        <w:t xml:space="preserve">June 11, 2026 </w:t>
      </w:r>
      <w:r>
        <w:t>at</w:t>
      </w:r>
      <w:r>
        <w:rPr>
          <w:spacing w:val="-7"/>
        </w:rPr>
        <w:t xml:space="preserve"> </w:t>
      </w:r>
      <w:r w:rsidR="005D09BD">
        <w:t>Sacramento</w:t>
      </w:r>
      <w:r>
        <w:t>,</w:t>
      </w:r>
      <w:r>
        <w:rPr>
          <w:spacing w:val="-4"/>
        </w:rPr>
        <w:t xml:space="preserve"> </w:t>
      </w:r>
      <w:r>
        <w:rPr>
          <w:spacing w:val="-2"/>
        </w:rPr>
        <w:t>California.</w:t>
      </w:r>
    </w:p>
    <w:p w:rsidR="00552A79" w:rsidP="00272B2E" w:rsidRDefault="00552A79" w14:paraId="4A921B89" w14:textId="350F6356">
      <w:pPr>
        <w:pStyle w:val="Heading1"/>
        <w:tabs>
          <w:tab w:val="left" w:pos="1079"/>
        </w:tabs>
        <w:spacing w:before="79"/>
        <w:ind w:left="0" w:firstLine="0"/>
        <w:rPr>
          <w:b w:val="0"/>
          <w:bCs w:val="0"/>
        </w:rPr>
      </w:pPr>
    </w:p>
    <w:p w:rsidRPr="00FD7623" w:rsidR="00B71763" w:rsidP="00B71763" w:rsidRDefault="00B71763" w14:paraId="4B22DB75" w14:textId="77777777">
      <w:pPr>
        <w:pStyle w:val="standard"/>
        <w:spacing w:line="240" w:lineRule="auto"/>
        <w:ind w:left="5760" w:firstLine="0"/>
        <w:rPr>
          <w:rFonts w:ascii="Times New Roman" w:hAnsi="Times New Roman"/>
          <w:szCs w:val="26"/>
        </w:rPr>
      </w:pPr>
      <w:bookmarkStart w:name="_Hlk61602525" w:id="0"/>
      <w:r w:rsidRPr="00FD7623">
        <w:rPr>
          <w:rFonts w:ascii="Times New Roman" w:hAnsi="Times New Roman"/>
          <w:szCs w:val="26"/>
        </w:rPr>
        <w:t>JOHN J.D. REYNOLDS</w:t>
      </w:r>
    </w:p>
    <w:p w:rsidRPr="002B6448" w:rsidR="00B71763" w:rsidP="00B71763" w:rsidRDefault="00B71763" w14:paraId="1349EF66" w14:textId="77777777">
      <w:pPr>
        <w:pStyle w:val="standard"/>
        <w:spacing w:line="240" w:lineRule="auto"/>
        <w:ind w:left="5760" w:firstLine="1530"/>
        <w:rPr>
          <w:rFonts w:ascii="Times New Roman" w:hAnsi="Times New Roman"/>
          <w:szCs w:val="26"/>
        </w:rPr>
      </w:pPr>
      <w:r w:rsidRPr="002B6448">
        <w:rPr>
          <w:rFonts w:ascii="Times New Roman" w:hAnsi="Times New Roman"/>
          <w:szCs w:val="26"/>
        </w:rPr>
        <w:t>President</w:t>
      </w:r>
    </w:p>
    <w:p w:rsidRPr="002B6448" w:rsidR="00B71763" w:rsidP="00B71763" w:rsidRDefault="00B71763" w14:paraId="1671D202" w14:textId="77777777">
      <w:pPr>
        <w:pStyle w:val="standard"/>
        <w:tabs>
          <w:tab w:val="left" w:pos="8220"/>
        </w:tabs>
        <w:spacing w:line="240" w:lineRule="auto"/>
        <w:ind w:left="5760" w:firstLine="0"/>
        <w:rPr>
          <w:rFonts w:ascii="Times New Roman" w:hAnsi="Times New Roman"/>
          <w:szCs w:val="26"/>
        </w:rPr>
      </w:pPr>
      <w:r w:rsidRPr="002B6448">
        <w:rPr>
          <w:rFonts w:ascii="Times New Roman" w:hAnsi="Times New Roman"/>
          <w:szCs w:val="26"/>
        </w:rPr>
        <w:t>DARCIE L. HOUCK</w:t>
      </w:r>
    </w:p>
    <w:p w:rsidR="00B71763" w:rsidP="00B71763" w:rsidRDefault="00B71763" w14:paraId="279241D0" w14:textId="77777777">
      <w:pPr>
        <w:pStyle w:val="standard"/>
        <w:spacing w:line="240" w:lineRule="auto"/>
        <w:ind w:left="5760" w:firstLine="0"/>
        <w:rPr>
          <w:rFonts w:ascii="Times New Roman" w:hAnsi="Times New Roman"/>
          <w:szCs w:val="26"/>
        </w:rPr>
      </w:pPr>
      <w:r w:rsidRPr="002B6448">
        <w:rPr>
          <w:rFonts w:ascii="Times New Roman" w:hAnsi="Times New Roman"/>
          <w:szCs w:val="26"/>
        </w:rPr>
        <w:t>KAREN DOUGLAS</w:t>
      </w:r>
    </w:p>
    <w:p w:rsidR="00B71763" w:rsidP="00B71763" w:rsidRDefault="00B71763" w14:paraId="30F38D0C" w14:textId="77777777">
      <w:pPr>
        <w:pStyle w:val="standard"/>
        <w:spacing w:line="240" w:lineRule="auto"/>
        <w:ind w:left="5760" w:firstLine="0"/>
        <w:rPr>
          <w:rFonts w:ascii="Times New Roman" w:hAnsi="Times New Roman"/>
          <w:szCs w:val="26"/>
        </w:rPr>
      </w:pPr>
      <w:r>
        <w:rPr>
          <w:rFonts w:ascii="Times New Roman" w:hAnsi="Times New Roman"/>
          <w:szCs w:val="26"/>
        </w:rPr>
        <w:t>MATTHEW BAKER</w:t>
      </w:r>
    </w:p>
    <w:p w:rsidRPr="002B6448" w:rsidR="00B71763" w:rsidP="00B71763" w:rsidRDefault="00B71763" w14:paraId="0A76DFF4" w14:textId="77777777">
      <w:pPr>
        <w:pStyle w:val="standard"/>
        <w:spacing w:line="240" w:lineRule="auto"/>
        <w:ind w:left="5760" w:firstLine="0"/>
        <w:rPr>
          <w:rFonts w:ascii="Times New Roman" w:hAnsi="Times New Roman"/>
          <w:szCs w:val="26"/>
        </w:rPr>
      </w:pPr>
      <w:r>
        <w:rPr>
          <w:rFonts w:ascii="Times New Roman" w:hAnsi="Times New Roman"/>
          <w:szCs w:val="26"/>
        </w:rPr>
        <w:t>CHRISTINE HARADA</w:t>
      </w:r>
    </w:p>
    <w:p w:rsidRPr="00C8767A" w:rsidR="00B71763" w:rsidP="00B71763" w:rsidRDefault="00B71763" w14:paraId="0D7A37E9" w14:textId="77777777">
      <w:pPr>
        <w:pStyle w:val="Footer"/>
        <w:ind w:left="5760" w:firstLine="720"/>
        <w:rPr>
          <w:sz w:val="26"/>
          <w:szCs w:val="26"/>
        </w:rPr>
      </w:pPr>
      <w:r w:rsidRPr="00C8767A">
        <w:rPr>
          <w:sz w:val="26"/>
          <w:szCs w:val="26"/>
        </w:rPr>
        <w:t>Commissioners</w:t>
      </w:r>
      <w:bookmarkEnd w:id="0"/>
    </w:p>
    <w:p w:rsidRPr="00B71763" w:rsidR="00B71763" w:rsidP="00272B2E" w:rsidRDefault="00B71763" w14:paraId="6DC21EC2" w14:textId="77777777">
      <w:pPr>
        <w:pStyle w:val="Heading1"/>
        <w:tabs>
          <w:tab w:val="left" w:pos="1079"/>
        </w:tabs>
        <w:spacing w:before="79"/>
        <w:ind w:left="0" w:firstLine="0"/>
        <w:rPr>
          <w:b w:val="0"/>
          <w:bCs w:val="0"/>
        </w:rPr>
      </w:pPr>
    </w:p>
    <w:sectPr w:rsidRPr="00B71763" w:rsidR="00B71763" w:rsidSect="00BC571B">
      <w:headerReference w:type="default" r:id="rId8"/>
      <w:footerReference w:type="default" r:id="rId9"/>
      <w:headerReference w:type="first" r:id="rId10"/>
      <w:footerReference w:type="first" r:id="rId11"/>
      <w:pgSz w:w="12240" w:h="15840" w:code="1"/>
      <w:pgMar w:top="1440"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137B" w14:textId="77777777" w:rsidR="002B40A7" w:rsidRDefault="002B40A7">
      <w:r>
        <w:separator/>
      </w:r>
    </w:p>
  </w:endnote>
  <w:endnote w:type="continuationSeparator" w:id="0">
    <w:p w14:paraId="55EB72D0" w14:textId="77777777" w:rsidR="002B40A7" w:rsidRDefault="002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688006"/>
      <w:docPartObj>
        <w:docPartGallery w:val="Page Numbers (Bottom of Page)"/>
        <w:docPartUnique/>
      </w:docPartObj>
    </w:sdtPr>
    <w:sdtEndPr>
      <w:rPr>
        <w:noProof/>
      </w:rPr>
    </w:sdtEndPr>
    <w:sdtContent>
      <w:p w14:paraId="14C32E2B" w14:textId="5748CBDD" w:rsidR="00AF4D68" w:rsidRDefault="00AF4D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2A920" w14:textId="49A53A7F" w:rsidR="00552A79" w:rsidRDefault="00552A79">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39701"/>
      <w:docPartObj>
        <w:docPartGallery w:val="Page Numbers (Bottom of Page)"/>
        <w:docPartUnique/>
      </w:docPartObj>
    </w:sdtPr>
    <w:sdtEndPr>
      <w:rPr>
        <w:noProof/>
        <w:sz w:val="24"/>
        <w:szCs w:val="24"/>
      </w:rPr>
    </w:sdtEndPr>
    <w:sdtContent>
      <w:p w14:paraId="50FFA336" w14:textId="1BA0D94A" w:rsidR="0031353C" w:rsidRPr="0031353C" w:rsidRDefault="00427ADC" w:rsidP="00427ADC">
        <w:pPr>
          <w:pStyle w:val="Footer"/>
          <w:rPr>
            <w:sz w:val="24"/>
            <w:szCs w:val="24"/>
          </w:rPr>
        </w:pPr>
        <w:r w:rsidRPr="00427ADC">
          <w:rPr>
            <w:sz w:val="18"/>
            <w:szCs w:val="18"/>
          </w:rPr>
          <w:t>608791086</w:t>
        </w:r>
        <w:r>
          <w:tab/>
        </w:r>
        <w:r w:rsidR="0031353C" w:rsidRPr="0031353C">
          <w:rPr>
            <w:sz w:val="24"/>
            <w:szCs w:val="24"/>
          </w:rPr>
          <w:fldChar w:fldCharType="begin"/>
        </w:r>
        <w:r w:rsidR="0031353C" w:rsidRPr="0031353C">
          <w:rPr>
            <w:sz w:val="24"/>
            <w:szCs w:val="24"/>
          </w:rPr>
          <w:instrText xml:space="preserve"> PAGE   \* MERGEFORMAT </w:instrText>
        </w:r>
        <w:r w:rsidR="0031353C" w:rsidRPr="0031353C">
          <w:rPr>
            <w:sz w:val="24"/>
            <w:szCs w:val="24"/>
          </w:rPr>
          <w:fldChar w:fldCharType="separate"/>
        </w:r>
        <w:r w:rsidR="0031353C" w:rsidRPr="0031353C">
          <w:rPr>
            <w:noProof/>
            <w:sz w:val="24"/>
            <w:szCs w:val="24"/>
          </w:rPr>
          <w:t>2</w:t>
        </w:r>
        <w:r w:rsidR="0031353C" w:rsidRPr="0031353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AD0C" w14:textId="77777777" w:rsidR="002B40A7" w:rsidRDefault="002B40A7">
      <w:r>
        <w:separator/>
      </w:r>
    </w:p>
  </w:footnote>
  <w:footnote w:type="continuationSeparator" w:id="0">
    <w:p w14:paraId="41445290" w14:textId="77777777" w:rsidR="002B40A7" w:rsidRDefault="002B40A7">
      <w:r>
        <w:continuationSeparator/>
      </w:r>
    </w:p>
  </w:footnote>
  <w:footnote w:id="1">
    <w:p w14:paraId="38E06E6C" w14:textId="06221FA3" w:rsidR="00170531" w:rsidRPr="005D09BD" w:rsidRDefault="00170531">
      <w:pPr>
        <w:pStyle w:val="FootnoteText"/>
        <w:rPr>
          <w:sz w:val="22"/>
          <w:szCs w:val="22"/>
        </w:rPr>
      </w:pPr>
      <w:r w:rsidRPr="005D09BD">
        <w:rPr>
          <w:rStyle w:val="FootnoteReference"/>
          <w:b/>
          <w:bCs/>
          <w:sz w:val="22"/>
          <w:szCs w:val="22"/>
          <w:u w:val="single"/>
        </w:rPr>
        <w:footnoteRef/>
      </w:r>
      <w:r w:rsidRPr="005D09BD">
        <w:rPr>
          <w:sz w:val="22"/>
          <w:szCs w:val="22"/>
        </w:rPr>
        <w:t xml:space="preserve"> The BEAD NOFO is available at: </w:t>
      </w:r>
      <w:hyperlink r:id="rId1" w:history="1">
        <w:r w:rsidRPr="005D09BD">
          <w:rPr>
            <w:rStyle w:val="Hyperlink"/>
            <w:sz w:val="22"/>
            <w:szCs w:val="22"/>
          </w:rPr>
          <w:t>https://broadbandusa.ntia.doc.gov/sites/default/files/2022-05/BEAD%20NOFO.pdf</w:t>
        </w:r>
      </w:hyperlink>
      <w:r w:rsidRPr="005D09BD">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52F5" w14:textId="54AB8F1F" w:rsidR="00552A79" w:rsidRPr="00AF4D68" w:rsidRDefault="00AF4D68" w:rsidP="00B71763">
    <w:pPr>
      <w:pStyle w:val="BodyText"/>
      <w:tabs>
        <w:tab w:val="decimal" w:pos="5040"/>
      </w:tabs>
      <w:ind w:left="0"/>
      <w:rPr>
        <w:b/>
        <w:bCs/>
      </w:rPr>
    </w:pPr>
    <w:r>
      <w:t>A.26-01-019</w:t>
    </w:r>
    <w:r>
      <w:tab/>
    </w:r>
    <w:r w:rsidRPr="00AF4D68">
      <w:t>L/</w:t>
    </w:r>
    <w:proofErr w:type="spellStart"/>
    <w:r w:rsidRPr="00AF4D68">
      <w:t>rbg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E474" w14:textId="148A2C02" w:rsidR="00AF4D68" w:rsidRDefault="00AF4D68" w:rsidP="00B71763">
    <w:pPr>
      <w:pStyle w:val="BodyText"/>
      <w:tabs>
        <w:tab w:val="right" w:pos="9270"/>
      </w:tabs>
      <w:ind w:left="0" w:right="-810"/>
      <w:rPr>
        <w:b/>
        <w:bCs/>
      </w:rPr>
    </w:pPr>
    <w:r w:rsidRPr="00AF4D68">
      <w:t>L/</w:t>
    </w:r>
    <w:proofErr w:type="spellStart"/>
    <w:r w:rsidRPr="00AF4D68">
      <w:t>rbg</w:t>
    </w:r>
    <w:proofErr w:type="spellEnd"/>
    <w:r>
      <w:tab/>
    </w:r>
    <w:r w:rsidR="00B71763" w:rsidRPr="00B71763">
      <w:rPr>
        <w:b/>
        <w:bCs/>
      </w:rPr>
      <w:t>Date of Issuance</w:t>
    </w:r>
  </w:p>
  <w:p w14:paraId="44569E00" w14:textId="4F840236" w:rsidR="00B71763" w:rsidRPr="00B71763" w:rsidRDefault="00B71763" w:rsidP="00B71763">
    <w:pPr>
      <w:pStyle w:val="BodyText"/>
      <w:tabs>
        <w:tab w:val="right" w:pos="9270"/>
      </w:tabs>
      <w:ind w:left="0" w:right="-810"/>
      <w:rPr>
        <w:b/>
        <w:bCs/>
      </w:rPr>
    </w:pPr>
    <w:r>
      <w:rPr>
        <w:b/>
        <w:bCs/>
      </w:rPr>
      <w:tab/>
      <w:t>June 12,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57DFA"/>
    <w:multiLevelType w:val="hybridMultilevel"/>
    <w:tmpl w:val="E5A8EF4E"/>
    <w:lvl w:ilvl="0" w:tplc="3620E80E">
      <w:start w:val="1"/>
      <w:numFmt w:val="decimal"/>
      <w:lvlText w:val="%1."/>
      <w:lvlJc w:val="left"/>
      <w:pPr>
        <w:ind w:left="500" w:hanging="360"/>
      </w:pPr>
      <w:rPr>
        <w:rFonts w:ascii="Times New Roman" w:hAnsi="Times New Roman" w:cs="Times New Roman" w:hint="default"/>
        <w:b/>
        <w:bCs/>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4919017D"/>
    <w:multiLevelType w:val="hybridMultilevel"/>
    <w:tmpl w:val="7FA2D3F8"/>
    <w:lvl w:ilvl="0" w:tplc="79D8CEBE">
      <w:start w:val="1"/>
      <w:numFmt w:val="decimal"/>
      <w:lvlText w:val="%1."/>
      <w:lvlJc w:val="left"/>
      <w:pPr>
        <w:ind w:left="359"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1" w:tplc="D7A0B81C">
      <w:numFmt w:val="bullet"/>
      <w:lvlText w:val="•"/>
      <w:lvlJc w:val="left"/>
      <w:pPr>
        <w:ind w:left="1296" w:hanging="720"/>
      </w:pPr>
      <w:rPr>
        <w:rFonts w:hint="default"/>
        <w:lang w:val="en-US" w:eastAsia="en-US" w:bidi="ar-SA"/>
      </w:rPr>
    </w:lvl>
    <w:lvl w:ilvl="2" w:tplc="ABE4E90A">
      <w:numFmt w:val="bullet"/>
      <w:lvlText w:val="•"/>
      <w:lvlJc w:val="left"/>
      <w:pPr>
        <w:ind w:left="2232" w:hanging="720"/>
      </w:pPr>
      <w:rPr>
        <w:rFonts w:hint="default"/>
        <w:lang w:val="en-US" w:eastAsia="en-US" w:bidi="ar-SA"/>
      </w:rPr>
    </w:lvl>
    <w:lvl w:ilvl="3" w:tplc="B3F08F96">
      <w:numFmt w:val="bullet"/>
      <w:lvlText w:val="•"/>
      <w:lvlJc w:val="left"/>
      <w:pPr>
        <w:ind w:left="3168" w:hanging="720"/>
      </w:pPr>
      <w:rPr>
        <w:rFonts w:hint="default"/>
        <w:lang w:val="en-US" w:eastAsia="en-US" w:bidi="ar-SA"/>
      </w:rPr>
    </w:lvl>
    <w:lvl w:ilvl="4" w:tplc="0E985E14">
      <w:numFmt w:val="bullet"/>
      <w:lvlText w:val="•"/>
      <w:lvlJc w:val="left"/>
      <w:pPr>
        <w:ind w:left="4104" w:hanging="720"/>
      </w:pPr>
      <w:rPr>
        <w:rFonts w:hint="default"/>
        <w:lang w:val="en-US" w:eastAsia="en-US" w:bidi="ar-SA"/>
      </w:rPr>
    </w:lvl>
    <w:lvl w:ilvl="5" w:tplc="ADC617D8">
      <w:numFmt w:val="bullet"/>
      <w:lvlText w:val="•"/>
      <w:lvlJc w:val="left"/>
      <w:pPr>
        <w:ind w:left="5040" w:hanging="720"/>
      </w:pPr>
      <w:rPr>
        <w:rFonts w:hint="default"/>
        <w:lang w:val="en-US" w:eastAsia="en-US" w:bidi="ar-SA"/>
      </w:rPr>
    </w:lvl>
    <w:lvl w:ilvl="6" w:tplc="30E2AFDE">
      <w:numFmt w:val="bullet"/>
      <w:lvlText w:val="•"/>
      <w:lvlJc w:val="left"/>
      <w:pPr>
        <w:ind w:left="5976" w:hanging="720"/>
      </w:pPr>
      <w:rPr>
        <w:rFonts w:hint="default"/>
        <w:lang w:val="en-US" w:eastAsia="en-US" w:bidi="ar-SA"/>
      </w:rPr>
    </w:lvl>
    <w:lvl w:ilvl="7" w:tplc="68A2902C">
      <w:numFmt w:val="bullet"/>
      <w:lvlText w:val="•"/>
      <w:lvlJc w:val="left"/>
      <w:pPr>
        <w:ind w:left="6912" w:hanging="720"/>
      </w:pPr>
      <w:rPr>
        <w:rFonts w:hint="default"/>
        <w:lang w:val="en-US" w:eastAsia="en-US" w:bidi="ar-SA"/>
      </w:rPr>
    </w:lvl>
    <w:lvl w:ilvl="8" w:tplc="6E0AE000">
      <w:numFmt w:val="bullet"/>
      <w:lvlText w:val="•"/>
      <w:lvlJc w:val="left"/>
      <w:pPr>
        <w:ind w:left="7848" w:hanging="720"/>
      </w:pPr>
      <w:rPr>
        <w:rFonts w:hint="default"/>
        <w:lang w:val="en-US" w:eastAsia="en-US" w:bidi="ar-SA"/>
      </w:rPr>
    </w:lvl>
  </w:abstractNum>
  <w:abstractNum w:abstractNumId="2" w15:restartNumberingAfterBreak="0">
    <w:nsid w:val="5D850842"/>
    <w:multiLevelType w:val="hybridMultilevel"/>
    <w:tmpl w:val="078A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B05912"/>
    <w:multiLevelType w:val="hybridMultilevel"/>
    <w:tmpl w:val="8FD698EC"/>
    <w:lvl w:ilvl="0" w:tplc="361AFF7C">
      <w:start w:val="1"/>
      <w:numFmt w:val="upperRoman"/>
      <w:lvlText w:val="%1."/>
      <w:lvlJc w:val="left"/>
      <w:pPr>
        <w:ind w:left="1080" w:hanging="720"/>
      </w:pPr>
      <w:rPr>
        <w:rFonts w:ascii="Times New Roman" w:eastAsia="Times New Roman" w:hAnsi="Times New Roman" w:cs="Times New Roman" w:hint="default"/>
        <w:b/>
        <w:bCs/>
        <w:i w:val="0"/>
        <w:iCs w:val="0"/>
        <w:spacing w:val="-1"/>
        <w:w w:val="100"/>
        <w:sz w:val="26"/>
        <w:szCs w:val="26"/>
        <w:lang w:val="en-US" w:eastAsia="en-US" w:bidi="ar-SA"/>
      </w:rPr>
    </w:lvl>
    <w:lvl w:ilvl="1" w:tplc="D1F8A40C">
      <w:start w:val="1"/>
      <w:numFmt w:val="upperLetter"/>
      <w:lvlText w:val="%2."/>
      <w:lvlJc w:val="left"/>
      <w:pPr>
        <w:ind w:left="1800" w:hanging="720"/>
      </w:pPr>
      <w:rPr>
        <w:rFonts w:ascii="Times New Roman" w:eastAsia="Times New Roman" w:hAnsi="Times New Roman" w:cs="Times New Roman" w:hint="default"/>
        <w:b/>
        <w:bCs/>
        <w:i w:val="0"/>
        <w:iCs w:val="0"/>
        <w:spacing w:val="0"/>
        <w:w w:val="100"/>
        <w:sz w:val="26"/>
        <w:szCs w:val="26"/>
        <w:lang w:val="en-US" w:eastAsia="en-US" w:bidi="ar-SA"/>
      </w:rPr>
    </w:lvl>
    <w:lvl w:ilvl="2" w:tplc="1286F5EC">
      <w:numFmt w:val="bullet"/>
      <w:lvlText w:val="•"/>
      <w:lvlJc w:val="left"/>
      <w:pPr>
        <w:ind w:left="2680" w:hanging="720"/>
      </w:pPr>
      <w:rPr>
        <w:rFonts w:hint="default"/>
        <w:lang w:val="en-US" w:eastAsia="en-US" w:bidi="ar-SA"/>
      </w:rPr>
    </w:lvl>
    <w:lvl w:ilvl="3" w:tplc="EFDEA56C">
      <w:numFmt w:val="bullet"/>
      <w:lvlText w:val="•"/>
      <w:lvlJc w:val="left"/>
      <w:pPr>
        <w:ind w:left="3560" w:hanging="720"/>
      </w:pPr>
      <w:rPr>
        <w:rFonts w:hint="default"/>
        <w:lang w:val="en-US" w:eastAsia="en-US" w:bidi="ar-SA"/>
      </w:rPr>
    </w:lvl>
    <w:lvl w:ilvl="4" w:tplc="B3C8A082">
      <w:numFmt w:val="bullet"/>
      <w:lvlText w:val="•"/>
      <w:lvlJc w:val="left"/>
      <w:pPr>
        <w:ind w:left="4440" w:hanging="720"/>
      </w:pPr>
      <w:rPr>
        <w:rFonts w:hint="default"/>
        <w:lang w:val="en-US" w:eastAsia="en-US" w:bidi="ar-SA"/>
      </w:rPr>
    </w:lvl>
    <w:lvl w:ilvl="5" w:tplc="244AA3D8">
      <w:numFmt w:val="bullet"/>
      <w:lvlText w:val="•"/>
      <w:lvlJc w:val="left"/>
      <w:pPr>
        <w:ind w:left="5320" w:hanging="720"/>
      </w:pPr>
      <w:rPr>
        <w:rFonts w:hint="default"/>
        <w:lang w:val="en-US" w:eastAsia="en-US" w:bidi="ar-SA"/>
      </w:rPr>
    </w:lvl>
    <w:lvl w:ilvl="6" w:tplc="1966C77C">
      <w:numFmt w:val="bullet"/>
      <w:lvlText w:val="•"/>
      <w:lvlJc w:val="left"/>
      <w:pPr>
        <w:ind w:left="6200" w:hanging="720"/>
      </w:pPr>
      <w:rPr>
        <w:rFonts w:hint="default"/>
        <w:lang w:val="en-US" w:eastAsia="en-US" w:bidi="ar-SA"/>
      </w:rPr>
    </w:lvl>
    <w:lvl w:ilvl="7" w:tplc="69FC49D0">
      <w:numFmt w:val="bullet"/>
      <w:lvlText w:val="•"/>
      <w:lvlJc w:val="left"/>
      <w:pPr>
        <w:ind w:left="7080" w:hanging="720"/>
      </w:pPr>
      <w:rPr>
        <w:rFonts w:hint="default"/>
        <w:lang w:val="en-US" w:eastAsia="en-US" w:bidi="ar-SA"/>
      </w:rPr>
    </w:lvl>
    <w:lvl w:ilvl="8" w:tplc="1F22BEF8">
      <w:numFmt w:val="bullet"/>
      <w:lvlText w:val="•"/>
      <w:lvlJc w:val="left"/>
      <w:pPr>
        <w:ind w:left="7960" w:hanging="720"/>
      </w:pPr>
      <w:rPr>
        <w:rFonts w:hint="default"/>
        <w:lang w:val="en-US" w:eastAsia="en-US" w:bidi="ar-SA"/>
      </w:rPr>
    </w:lvl>
  </w:abstractNum>
  <w:abstractNum w:abstractNumId="4" w15:restartNumberingAfterBreak="0">
    <w:nsid w:val="7B4551D8"/>
    <w:multiLevelType w:val="hybridMultilevel"/>
    <w:tmpl w:val="C04A6E0E"/>
    <w:lvl w:ilvl="0" w:tplc="9BEAF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0F4990"/>
    <w:multiLevelType w:val="hybridMultilevel"/>
    <w:tmpl w:val="4E8E1816"/>
    <w:lvl w:ilvl="0" w:tplc="660C6974">
      <w:start w:val="2"/>
      <w:numFmt w:val="decimal"/>
      <w:lvlText w:val="%1."/>
      <w:lvlJc w:val="left"/>
      <w:pPr>
        <w:ind w:left="500" w:hanging="360"/>
      </w:pPr>
      <w:rPr>
        <w:rFonts w:hint="default"/>
        <w:b/>
        <w:bCs/>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1535339419">
    <w:abstractNumId w:val="1"/>
  </w:num>
  <w:num w:numId="2" w16cid:durableId="478618574">
    <w:abstractNumId w:val="3"/>
  </w:num>
  <w:num w:numId="3" w16cid:durableId="1452362731">
    <w:abstractNumId w:val="4"/>
  </w:num>
  <w:num w:numId="4" w16cid:durableId="208808165">
    <w:abstractNumId w:val="0"/>
  </w:num>
  <w:num w:numId="5" w16cid:durableId="1931888339">
    <w:abstractNumId w:val="2"/>
  </w:num>
  <w:num w:numId="6" w16cid:durableId="1673601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79"/>
    <w:rsid w:val="000045C4"/>
    <w:rsid w:val="00017609"/>
    <w:rsid w:val="00022160"/>
    <w:rsid w:val="00046FEF"/>
    <w:rsid w:val="000552F0"/>
    <w:rsid w:val="00082E81"/>
    <w:rsid w:val="000F5997"/>
    <w:rsid w:val="00115479"/>
    <w:rsid w:val="00131655"/>
    <w:rsid w:val="00170531"/>
    <w:rsid w:val="001958EA"/>
    <w:rsid w:val="001C064E"/>
    <w:rsid w:val="00206A17"/>
    <w:rsid w:val="002310D0"/>
    <w:rsid w:val="00236C4D"/>
    <w:rsid w:val="002463BE"/>
    <w:rsid w:val="00272B2E"/>
    <w:rsid w:val="00286F79"/>
    <w:rsid w:val="00290F50"/>
    <w:rsid w:val="002B40A7"/>
    <w:rsid w:val="002B5008"/>
    <w:rsid w:val="002F7AA5"/>
    <w:rsid w:val="0031353C"/>
    <w:rsid w:val="0036394D"/>
    <w:rsid w:val="003907E7"/>
    <w:rsid w:val="003C41AA"/>
    <w:rsid w:val="003E6A34"/>
    <w:rsid w:val="004122A9"/>
    <w:rsid w:val="00427ADC"/>
    <w:rsid w:val="004462F4"/>
    <w:rsid w:val="004500C3"/>
    <w:rsid w:val="004826B7"/>
    <w:rsid w:val="004A2C84"/>
    <w:rsid w:val="004A4956"/>
    <w:rsid w:val="004C7971"/>
    <w:rsid w:val="00507789"/>
    <w:rsid w:val="00534A51"/>
    <w:rsid w:val="00534CF8"/>
    <w:rsid w:val="005458B0"/>
    <w:rsid w:val="00552A79"/>
    <w:rsid w:val="005D09BD"/>
    <w:rsid w:val="006434D1"/>
    <w:rsid w:val="00674C78"/>
    <w:rsid w:val="006D3407"/>
    <w:rsid w:val="00702A5C"/>
    <w:rsid w:val="00765182"/>
    <w:rsid w:val="0077245B"/>
    <w:rsid w:val="007C6252"/>
    <w:rsid w:val="007C6B0C"/>
    <w:rsid w:val="007D14FC"/>
    <w:rsid w:val="008046C6"/>
    <w:rsid w:val="0081542A"/>
    <w:rsid w:val="00837228"/>
    <w:rsid w:val="00845EE5"/>
    <w:rsid w:val="00876C75"/>
    <w:rsid w:val="008F71E0"/>
    <w:rsid w:val="00914E80"/>
    <w:rsid w:val="0092321C"/>
    <w:rsid w:val="00930400"/>
    <w:rsid w:val="00970465"/>
    <w:rsid w:val="00977C68"/>
    <w:rsid w:val="00982BF7"/>
    <w:rsid w:val="009A5885"/>
    <w:rsid w:val="009C3DDB"/>
    <w:rsid w:val="009F46B1"/>
    <w:rsid w:val="00AA1B2D"/>
    <w:rsid w:val="00AB236C"/>
    <w:rsid w:val="00AB7A84"/>
    <w:rsid w:val="00AF4D68"/>
    <w:rsid w:val="00B02F90"/>
    <w:rsid w:val="00B71763"/>
    <w:rsid w:val="00B85567"/>
    <w:rsid w:val="00BB1929"/>
    <w:rsid w:val="00BC571B"/>
    <w:rsid w:val="00BE4F86"/>
    <w:rsid w:val="00C153FD"/>
    <w:rsid w:val="00C229B6"/>
    <w:rsid w:val="00C76F92"/>
    <w:rsid w:val="00C86745"/>
    <w:rsid w:val="00C8767A"/>
    <w:rsid w:val="00CE7667"/>
    <w:rsid w:val="00D37A91"/>
    <w:rsid w:val="00D5377E"/>
    <w:rsid w:val="00D6355B"/>
    <w:rsid w:val="00D96EC4"/>
    <w:rsid w:val="00DC1293"/>
    <w:rsid w:val="00DD00B4"/>
    <w:rsid w:val="00E25DC2"/>
    <w:rsid w:val="00E447CF"/>
    <w:rsid w:val="00E50811"/>
    <w:rsid w:val="00E555D3"/>
    <w:rsid w:val="00E74193"/>
    <w:rsid w:val="00E90939"/>
    <w:rsid w:val="00EC4F68"/>
    <w:rsid w:val="00EE7F12"/>
    <w:rsid w:val="00F077A7"/>
    <w:rsid w:val="00F61751"/>
    <w:rsid w:val="00F62795"/>
    <w:rsid w:val="00F7524F"/>
    <w:rsid w:val="00F91307"/>
    <w:rsid w:val="00F9218C"/>
    <w:rsid w:val="00FA1DB3"/>
    <w:rsid w:val="00FA59F7"/>
    <w:rsid w:val="00FB1D5E"/>
    <w:rsid w:val="00FB796D"/>
    <w:rsid w:val="00FD5735"/>
    <w:rsid w:val="00FE2613"/>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66A5C"/>
  <w15:docId w15:val="{1CBDF318-00EE-C145-AAC1-971D4A00E98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0"/>
      <w:ind w:left="1079" w:hanging="720"/>
      <w:outlineLvl w:val="0"/>
    </w:pPr>
    <w:rPr>
      <w:b/>
      <w:bCs/>
      <w:sz w:val="26"/>
      <w:szCs w:val="26"/>
      <w:u w:val="single" w:color="000000"/>
    </w:rPr>
  </w:style>
  <w:style w:type="paragraph" w:styleId="Heading2">
    <w:name w:val="heading 2"/>
    <w:basedOn w:val="Normal"/>
    <w:uiPriority w:val="9"/>
    <w:unhideWhenUsed/>
    <w:qFormat/>
    <w:pPr>
      <w:spacing w:before="120"/>
      <w:ind w:left="1800" w:hanging="7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6"/>
      <w:szCs w:val="26"/>
    </w:rPr>
  </w:style>
  <w:style w:type="paragraph" w:styleId="ListParagraph">
    <w:name w:val="List Paragraph"/>
    <w:basedOn w:val="Normal"/>
    <w:uiPriority w:val="34"/>
    <w:qFormat/>
    <w:pPr>
      <w:spacing w:before="120"/>
      <w:ind w:left="1079" w:hanging="720"/>
    </w:pPr>
  </w:style>
  <w:style w:type="paragraph" w:customStyle="1" w:styleId="TableParagraph">
    <w:name w:val="Table Paragraph"/>
    <w:basedOn w:val="Normal"/>
    <w:uiPriority w:val="1"/>
    <w:qFormat/>
  </w:style>
  <w:style w:type="paragraph" w:styleId="Header">
    <w:name w:val="header"/>
    <w:basedOn w:val="Normal"/>
    <w:link w:val="HeaderChar"/>
    <w:unhideWhenUsed/>
    <w:rsid w:val="004A4956"/>
    <w:pPr>
      <w:tabs>
        <w:tab w:val="center" w:pos="4680"/>
        <w:tab w:val="right" w:pos="9360"/>
      </w:tabs>
    </w:pPr>
  </w:style>
  <w:style w:type="character" w:customStyle="1" w:styleId="HeaderChar">
    <w:name w:val="Header Char"/>
    <w:basedOn w:val="DefaultParagraphFont"/>
    <w:link w:val="Header"/>
    <w:uiPriority w:val="99"/>
    <w:rsid w:val="004A4956"/>
    <w:rPr>
      <w:rFonts w:ascii="Times New Roman" w:eastAsia="Times New Roman" w:hAnsi="Times New Roman" w:cs="Times New Roman"/>
    </w:rPr>
  </w:style>
  <w:style w:type="paragraph" w:styleId="Footer">
    <w:name w:val="footer"/>
    <w:basedOn w:val="Normal"/>
    <w:link w:val="FooterChar"/>
    <w:uiPriority w:val="99"/>
    <w:unhideWhenUsed/>
    <w:rsid w:val="004A4956"/>
    <w:pPr>
      <w:tabs>
        <w:tab w:val="center" w:pos="4680"/>
        <w:tab w:val="right" w:pos="9360"/>
      </w:tabs>
    </w:pPr>
  </w:style>
  <w:style w:type="character" w:customStyle="1" w:styleId="FooterChar">
    <w:name w:val="Footer Char"/>
    <w:basedOn w:val="DefaultParagraphFont"/>
    <w:link w:val="Footer"/>
    <w:uiPriority w:val="99"/>
    <w:rsid w:val="004A4956"/>
    <w:rPr>
      <w:rFonts w:ascii="Times New Roman" w:eastAsia="Times New Roman" w:hAnsi="Times New Roman" w:cs="Times New Roman"/>
    </w:rPr>
  </w:style>
  <w:style w:type="character" w:styleId="CommentReference">
    <w:name w:val="annotation reference"/>
    <w:rsid w:val="00EE7F12"/>
    <w:rPr>
      <w:sz w:val="16"/>
      <w:szCs w:val="16"/>
    </w:rPr>
  </w:style>
  <w:style w:type="paragraph" w:styleId="CommentText">
    <w:name w:val="annotation text"/>
    <w:basedOn w:val="Normal"/>
    <w:link w:val="CommentTextChar"/>
    <w:rsid w:val="00EE7F12"/>
    <w:pPr>
      <w:widowControl/>
      <w:autoSpaceDE/>
      <w:autoSpaceDN/>
    </w:pPr>
    <w:rPr>
      <w:sz w:val="20"/>
      <w:szCs w:val="20"/>
    </w:rPr>
  </w:style>
  <w:style w:type="character" w:customStyle="1" w:styleId="CommentTextChar">
    <w:name w:val="Comment Text Char"/>
    <w:basedOn w:val="DefaultParagraphFont"/>
    <w:link w:val="CommentText"/>
    <w:rsid w:val="00EE7F12"/>
    <w:rPr>
      <w:rFonts w:ascii="Times New Roman" w:eastAsia="Times New Roman" w:hAnsi="Times New Roman" w:cs="Times New Roman"/>
      <w:sz w:val="20"/>
      <w:szCs w:val="20"/>
    </w:rPr>
  </w:style>
  <w:style w:type="paragraph" w:styleId="Revision">
    <w:name w:val="Revision"/>
    <w:hidden/>
    <w:uiPriority w:val="99"/>
    <w:semiHidden/>
    <w:rsid w:val="008046C6"/>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170531"/>
    <w:rPr>
      <w:sz w:val="20"/>
      <w:szCs w:val="20"/>
    </w:rPr>
  </w:style>
  <w:style w:type="character" w:customStyle="1" w:styleId="FootnoteTextChar">
    <w:name w:val="Footnote Text Char"/>
    <w:basedOn w:val="DefaultParagraphFont"/>
    <w:link w:val="FootnoteText"/>
    <w:uiPriority w:val="99"/>
    <w:semiHidden/>
    <w:rsid w:val="0017053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0531"/>
    <w:rPr>
      <w:vertAlign w:val="superscript"/>
    </w:rPr>
  </w:style>
  <w:style w:type="character" w:styleId="Hyperlink">
    <w:name w:val="Hyperlink"/>
    <w:basedOn w:val="DefaultParagraphFont"/>
    <w:uiPriority w:val="99"/>
    <w:unhideWhenUsed/>
    <w:rsid w:val="00170531"/>
    <w:rPr>
      <w:color w:val="0000FF" w:themeColor="hyperlink"/>
      <w:u w:val="single"/>
    </w:rPr>
  </w:style>
  <w:style w:type="character" w:styleId="FollowedHyperlink">
    <w:name w:val="FollowedHyperlink"/>
    <w:basedOn w:val="DefaultParagraphFont"/>
    <w:uiPriority w:val="99"/>
    <w:semiHidden/>
    <w:unhideWhenUsed/>
    <w:rsid w:val="0017053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34CF8"/>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534CF8"/>
    <w:rPr>
      <w:rFonts w:ascii="Times New Roman" w:eastAsia="Times New Roman" w:hAnsi="Times New Roman" w:cs="Times New Roman"/>
      <w:b/>
      <w:bCs/>
      <w:sz w:val="20"/>
      <w:szCs w:val="20"/>
    </w:rPr>
  </w:style>
  <w:style w:type="table" w:styleId="TableGrid">
    <w:name w:val="Table Grid"/>
    <w:basedOn w:val="TableNormal"/>
    <w:uiPriority w:val="39"/>
    <w:rsid w:val="00AF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link w:val="standardChar"/>
    <w:rsid w:val="00B71763"/>
    <w:pPr>
      <w:widowControl/>
      <w:autoSpaceDE/>
      <w:autoSpaceDN/>
      <w:spacing w:line="360" w:lineRule="auto"/>
      <w:ind w:firstLine="720"/>
    </w:pPr>
    <w:rPr>
      <w:rFonts w:ascii="Palatino" w:hAnsi="Palatino"/>
      <w:sz w:val="26"/>
      <w:szCs w:val="20"/>
    </w:rPr>
  </w:style>
  <w:style w:type="character" w:customStyle="1" w:styleId="standardChar">
    <w:name w:val="standard Char"/>
    <w:link w:val="standard"/>
    <w:locked/>
    <w:rsid w:val="00B71763"/>
    <w:rPr>
      <w:rFonts w:ascii="Palatino" w:eastAsia="Times New Roman" w:hAnsi="Palatino"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roadbandusa.ntia.doc.gov/sites/default/files/2022-05/BEAD%20NO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E6B3C-7D77-4E48-A75E-895BB5F2081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3092</ap:Words>
  <ap:Characters>17625</ap:Characters>
  <ap:Application>Microsoft Office Word</ap:Application>
  <ap:DocSecurity>0</ap:DocSecurity>
  <ap:Lines>146</ap:Lines>
  <ap:Paragraphs>41</ap:Paragraphs>
  <ap:ScaleCrop>false</ap:ScaleCrop>
  <ap:HeadingPairs>
    <vt:vector baseType="variant" size="2">
      <vt:variant>
        <vt:lpstr>Title</vt:lpstr>
      </vt:variant>
      <vt:variant>
        <vt:i4>1</vt:i4>
      </vt:variant>
    </vt:vector>
  </ap:HeadingPairs>
  <ap:TitlesOfParts>
    <vt:vector baseType="lpstr" size="1">
      <vt:lpstr>Microsoft Word - Agenda Order Item 52 (ID #23450) Order Denying Rehearing of Resolution T-17850</vt:lpstr>
    </vt:vector>
  </ap:TitlesOfParts>
  <ap:Company/>
  <ap:LinksUpToDate>false</ap:LinksUpToDate>
  <ap:CharactersWithSpaces>20676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2026-06-12T14:21:31Z</dcterms:created>
  <dcterms:modified xsi:type="dcterms:W3CDTF">2026-06-12T14:21:31Z</dcterms:modified>
</cp:coreProperties>
</file>