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845FE" w:rsidR="00863F2F" w:rsidP="00863F2F" w:rsidRDefault="00863F2F" w14:paraId="31B7F8DF" w14:textId="77777777">
      <w:pPr>
        <w:spacing w:line="240" w:lineRule="auto"/>
        <w:ind w:firstLine="0"/>
        <w:rPr>
          <w:rFonts w:eastAsia="Times New Roman" w:cs="Times New Roman"/>
          <w:sz w:val="22"/>
        </w:rPr>
      </w:pPr>
    </w:p>
    <w:p w:rsidR="002A23D7" w:rsidP="00B27F58" w:rsidRDefault="00DC35FD" w14:paraId="7534F64D" w14:textId="59AE08FD">
      <w:pPr>
        <w:tabs>
          <w:tab w:val="center" w:pos="4680"/>
        </w:tabs>
        <w:spacing w:line="240" w:lineRule="auto"/>
        <w:ind w:firstLine="0"/>
      </w:pPr>
      <w:r>
        <w:t>ALJ/</w:t>
      </w:r>
      <w:r w:rsidR="005F1CC2">
        <w:t>MOD-</w:t>
      </w:r>
      <w:r w:rsidR="00E94BE8">
        <w:t>POD-</w:t>
      </w:r>
      <w:r>
        <w:t>MLQ/</w:t>
      </w:r>
      <w:proofErr w:type="spellStart"/>
      <w:r w:rsidR="005F1CC2">
        <w:t>asf</w:t>
      </w:r>
      <w:proofErr w:type="spellEnd"/>
      <w:r w:rsidR="005F1CC2">
        <w:t xml:space="preserve">     </w:t>
      </w:r>
      <w:r w:rsidRPr="005F1CC2" w:rsidR="005F1CC2">
        <w:rPr>
          <w:b/>
          <w:bCs/>
        </w:rPr>
        <w:t xml:space="preserve">  </w:t>
      </w:r>
      <w:r w:rsidR="00864CAB">
        <w:rPr>
          <w:b/>
          <w:bCs/>
        </w:rPr>
        <w:t xml:space="preserve">          </w:t>
      </w:r>
      <w:r w:rsidR="005F1CC2">
        <w:tab/>
        <w:t xml:space="preserve">           </w:t>
      </w:r>
      <w:r w:rsidR="00864CAB">
        <w:tab/>
      </w:r>
      <w:r w:rsidR="00B27F58">
        <w:rPr>
          <w:b/>
          <w:bCs/>
        </w:rPr>
        <w:t>Date of Issuance 6/15/2026</w:t>
      </w:r>
    </w:p>
    <w:p w:rsidRPr="00EE4315" w:rsidR="00B71D85" w:rsidP="00B71D85" w:rsidRDefault="00B71D85" w14:paraId="361A84DC" w14:textId="7D407D5D">
      <w:pPr>
        <w:tabs>
          <w:tab w:val="center" w:pos="4680"/>
          <w:tab w:val="right" w:pos="9360"/>
        </w:tabs>
        <w:spacing w:line="240" w:lineRule="auto"/>
        <w:ind w:firstLine="0"/>
        <w:rPr>
          <w:b/>
        </w:rPr>
      </w:pPr>
      <w:r>
        <w:tab/>
      </w:r>
      <w:r>
        <w:tab/>
      </w:r>
    </w:p>
    <w:p w:rsidR="00B71D85" w:rsidP="00B71D85" w:rsidRDefault="00B71D85" w14:paraId="3267AC23" w14:textId="77777777">
      <w:pPr>
        <w:ind w:firstLine="0"/>
      </w:pPr>
    </w:p>
    <w:p w:rsidRPr="00B27F58" w:rsidR="00B71D85" w:rsidP="005F1CC2" w:rsidRDefault="00B71D85" w14:paraId="4E4387BE" w14:textId="0F643A93">
      <w:pPr>
        <w:spacing w:line="240" w:lineRule="auto"/>
        <w:ind w:left="1080" w:hanging="1080"/>
      </w:pPr>
      <w:r>
        <w:t>Decision</w:t>
      </w:r>
      <w:r w:rsidR="00B27F58">
        <w:rPr>
          <w:b/>
          <w:bCs/>
        </w:rPr>
        <w:t xml:space="preserve"> </w:t>
      </w:r>
      <w:r w:rsidR="00B27F58">
        <w:t>26-06-</w:t>
      </w:r>
      <w:proofErr w:type="gramStart"/>
      <w:r w:rsidR="00B27F58">
        <w:t>010  June</w:t>
      </w:r>
      <w:proofErr w:type="gramEnd"/>
      <w:r w:rsidR="00B27F58">
        <w:t xml:space="preserve"> 11, 2026</w:t>
      </w:r>
    </w:p>
    <w:p w:rsidR="00B71D85" w:rsidP="00B71D85" w:rsidRDefault="00B71D85" w14:paraId="0FBB5360" w14:textId="77777777">
      <w:pPr>
        <w:spacing w:line="240" w:lineRule="auto"/>
        <w:jc w:val="center"/>
        <w:rPr>
          <w:u w:val="single"/>
        </w:rPr>
      </w:pPr>
    </w:p>
    <w:p w:rsidR="00B71D85" w:rsidP="00B71D85" w:rsidRDefault="00B71D85" w14:paraId="207A4B11"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B71D85" w:rsidP="00B71D85" w:rsidRDefault="00B71D85" w14:paraId="0E9E7FB4" w14:textId="77777777">
      <w:pPr>
        <w:spacing w:line="240" w:lineRule="auto"/>
        <w:ind w:firstLine="0"/>
        <w:rPr>
          <w:rFonts w:ascii="Arial" w:hAnsi="Arial" w:cs="Arial"/>
          <w:sz w:val="24"/>
          <w:szCs w:val="24"/>
        </w:rPr>
      </w:pPr>
    </w:p>
    <w:p w:rsidR="00DA7B5D" w:rsidP="008F0116" w:rsidRDefault="00DA7B5D" w14:paraId="2A027D67" w14:textId="77777777">
      <w:pPr>
        <w:spacing w:line="240" w:lineRule="auto"/>
        <w:ind w:firstLine="0"/>
        <w:rPr>
          <w:rFonts w:ascii="Arial" w:hAnsi="Arial" w:cs="Arial"/>
          <w:sz w:val="24"/>
          <w:szCs w:val="24"/>
        </w:rPr>
      </w:pPr>
    </w:p>
    <w:tbl>
      <w:tblPr>
        <w:tblW w:w="0" w:type="auto"/>
        <w:tblLayout w:type="fixed"/>
        <w:tblLook w:val="04A0" w:firstRow="1" w:lastRow="0" w:firstColumn="1" w:lastColumn="0" w:noHBand="0" w:noVBand="1"/>
      </w:tblPr>
      <w:tblGrid>
        <w:gridCol w:w="5490"/>
        <w:gridCol w:w="3755"/>
      </w:tblGrid>
      <w:tr w:rsidRPr="001315A0" w:rsidR="001315A0" w:rsidTr="001315A0" w14:paraId="2CBE3A4A" w14:textId="77777777">
        <w:tc>
          <w:tcPr>
            <w:tcW w:w="5490" w:type="dxa"/>
            <w:tcBorders>
              <w:top w:val="nil"/>
              <w:left w:val="nil"/>
              <w:bottom w:val="single" w:color="auto" w:sz="4" w:space="0"/>
              <w:right w:val="single" w:color="auto" w:sz="6" w:space="0"/>
            </w:tcBorders>
          </w:tcPr>
          <w:p w:rsidRPr="00FC3819" w:rsidR="001315A0" w:rsidP="001315A0" w:rsidRDefault="001315A0" w14:paraId="272F7559" w14:textId="793DCF46">
            <w:pPr>
              <w:spacing w:line="240" w:lineRule="auto"/>
              <w:ind w:firstLine="0"/>
              <w:rPr>
                <w:rFonts w:cs="Arial"/>
                <w:szCs w:val="26"/>
              </w:rPr>
            </w:pPr>
            <w:r w:rsidRPr="00FC3819">
              <w:rPr>
                <w:rFonts w:cs="Arial"/>
                <w:szCs w:val="26"/>
              </w:rPr>
              <w:t xml:space="preserve">Order Instituting Investigation into the Operations, Maintenance, and Practices of Havasu Water Company (WTD-352) for Failure to Comply with the Laws, Rules, and Regulations of this State Governing the Manner in which California Consumers are Provided with Safe and Reliable Water </w:t>
            </w:r>
          </w:p>
          <w:p w:rsidR="001315A0" w:rsidP="001315A0" w:rsidRDefault="001315A0" w14:paraId="1207B706" w14:textId="77777777">
            <w:pPr>
              <w:spacing w:line="240" w:lineRule="auto"/>
              <w:ind w:firstLine="0"/>
              <w:rPr>
                <w:rFonts w:cs="Arial"/>
                <w:szCs w:val="26"/>
              </w:rPr>
            </w:pPr>
            <w:r w:rsidRPr="00FC3819">
              <w:rPr>
                <w:rFonts w:cs="Arial"/>
                <w:szCs w:val="26"/>
              </w:rPr>
              <w:t>Service and Order to Show Cause</w:t>
            </w:r>
            <w:r>
              <w:rPr>
                <w:rFonts w:cs="Arial"/>
                <w:szCs w:val="26"/>
              </w:rPr>
              <w:t xml:space="preserve"> </w:t>
            </w:r>
            <w:r w:rsidRPr="00FC3819">
              <w:rPr>
                <w:rFonts w:cs="Arial"/>
                <w:szCs w:val="26"/>
              </w:rPr>
              <w:t>Why the Commission Should Not Petition the Superior Court for the Appointment of a Receiver.</w:t>
            </w:r>
          </w:p>
          <w:p w:rsidRPr="001315A0" w:rsidR="001315A0" w:rsidP="001315A0" w:rsidRDefault="001315A0" w14:paraId="3EB2182A" w14:textId="43D89FF1">
            <w:pPr>
              <w:spacing w:line="240" w:lineRule="auto"/>
              <w:ind w:firstLine="0"/>
              <w:rPr>
                <w:rFonts w:cs="Arial"/>
                <w:szCs w:val="26"/>
              </w:rPr>
            </w:pPr>
          </w:p>
        </w:tc>
        <w:tc>
          <w:tcPr>
            <w:tcW w:w="3755" w:type="dxa"/>
          </w:tcPr>
          <w:p w:rsidRPr="001315A0" w:rsidR="001315A0" w:rsidP="001315A0" w:rsidRDefault="001315A0" w14:paraId="5155C75E" w14:textId="77777777">
            <w:pPr>
              <w:spacing w:line="240" w:lineRule="auto"/>
              <w:ind w:firstLine="0"/>
              <w:jc w:val="center"/>
              <w:rPr>
                <w:rFonts w:ascii="Palatino" w:hAnsi="Palatino" w:eastAsia="Times New Roman" w:cs="Times New Roman"/>
                <w:szCs w:val="20"/>
              </w:rPr>
            </w:pPr>
          </w:p>
          <w:p w:rsidR="001315A0" w:rsidP="001315A0" w:rsidRDefault="001315A0" w14:paraId="57973B76" w14:textId="77777777">
            <w:pPr>
              <w:spacing w:line="240" w:lineRule="auto"/>
              <w:ind w:firstLine="0"/>
              <w:jc w:val="center"/>
              <w:rPr>
                <w:rFonts w:ascii="Palatino" w:hAnsi="Palatino" w:eastAsia="Times New Roman" w:cs="Times New Roman"/>
                <w:szCs w:val="20"/>
              </w:rPr>
            </w:pPr>
          </w:p>
          <w:p w:rsidR="001315A0" w:rsidP="001315A0" w:rsidRDefault="001315A0" w14:paraId="6E936E3C" w14:textId="77777777">
            <w:pPr>
              <w:spacing w:line="240" w:lineRule="auto"/>
              <w:ind w:firstLine="0"/>
              <w:jc w:val="center"/>
              <w:rPr>
                <w:rFonts w:ascii="Palatino" w:hAnsi="Palatino" w:eastAsia="Times New Roman" w:cs="Times New Roman"/>
                <w:szCs w:val="20"/>
              </w:rPr>
            </w:pPr>
          </w:p>
          <w:p w:rsidR="001315A0" w:rsidP="001315A0" w:rsidRDefault="001315A0" w14:paraId="6ECA175E" w14:textId="77777777">
            <w:pPr>
              <w:spacing w:line="240" w:lineRule="auto"/>
              <w:ind w:firstLine="0"/>
              <w:jc w:val="center"/>
              <w:rPr>
                <w:rFonts w:ascii="Palatino" w:hAnsi="Palatino" w:eastAsia="Times New Roman" w:cs="Times New Roman"/>
                <w:szCs w:val="20"/>
              </w:rPr>
            </w:pPr>
          </w:p>
          <w:p w:rsidR="001315A0" w:rsidP="001315A0" w:rsidRDefault="001315A0" w14:paraId="526EF4EC" w14:textId="77777777">
            <w:pPr>
              <w:spacing w:line="240" w:lineRule="auto"/>
              <w:ind w:firstLine="0"/>
              <w:jc w:val="center"/>
              <w:rPr>
                <w:rFonts w:ascii="Palatino" w:hAnsi="Palatino" w:eastAsia="Times New Roman" w:cs="Times New Roman"/>
                <w:szCs w:val="20"/>
              </w:rPr>
            </w:pPr>
          </w:p>
          <w:p w:rsidR="001315A0" w:rsidP="001315A0" w:rsidRDefault="001315A0" w14:paraId="5257907B" w14:textId="77777777">
            <w:pPr>
              <w:spacing w:line="240" w:lineRule="auto"/>
              <w:ind w:firstLine="0"/>
              <w:jc w:val="center"/>
              <w:rPr>
                <w:rFonts w:ascii="Palatino" w:hAnsi="Palatino" w:eastAsia="Times New Roman" w:cs="Times New Roman"/>
                <w:szCs w:val="20"/>
              </w:rPr>
            </w:pPr>
          </w:p>
          <w:p w:rsidRPr="00D3663E" w:rsidR="001315A0" w:rsidP="001315A0" w:rsidRDefault="001315A0" w14:paraId="62CE3F42" w14:textId="05B6D6B5">
            <w:pPr>
              <w:spacing w:line="240" w:lineRule="auto"/>
              <w:ind w:firstLine="0"/>
              <w:jc w:val="center"/>
              <w:rPr>
                <w:rFonts w:eastAsia="Times New Roman" w:cs="Times New Roman"/>
                <w:szCs w:val="20"/>
              </w:rPr>
            </w:pPr>
            <w:r w:rsidRPr="00D3663E">
              <w:rPr>
                <w:rFonts w:eastAsia="Times New Roman" w:cs="Times New Roman"/>
                <w:szCs w:val="20"/>
              </w:rPr>
              <w:t>Investigation 25-08-007</w:t>
            </w:r>
          </w:p>
          <w:p w:rsidRPr="001315A0" w:rsidR="001315A0" w:rsidP="001315A0" w:rsidRDefault="001315A0" w14:paraId="1D5DA636" w14:textId="77777777">
            <w:pPr>
              <w:spacing w:line="240" w:lineRule="auto"/>
              <w:ind w:firstLine="0"/>
              <w:jc w:val="center"/>
              <w:rPr>
                <w:rFonts w:ascii="Palatino" w:hAnsi="Palatino" w:eastAsia="Times New Roman" w:cs="Times New Roman"/>
                <w:szCs w:val="20"/>
              </w:rPr>
            </w:pPr>
          </w:p>
        </w:tc>
      </w:tr>
      <w:tr w:rsidRPr="001315A0" w:rsidR="001315A0" w:rsidTr="001315A0" w14:paraId="7766E14E" w14:textId="77777777">
        <w:tc>
          <w:tcPr>
            <w:tcW w:w="5490" w:type="dxa"/>
            <w:tcBorders>
              <w:top w:val="single" w:color="auto" w:sz="4" w:space="0"/>
              <w:left w:val="nil"/>
              <w:bottom w:val="single" w:color="auto" w:sz="6" w:space="0"/>
              <w:right w:val="single" w:color="auto" w:sz="6" w:space="0"/>
            </w:tcBorders>
          </w:tcPr>
          <w:p w:rsidRPr="001315A0" w:rsidR="001315A0" w:rsidP="001315A0" w:rsidRDefault="001315A0" w14:paraId="18CEE61A" w14:textId="77777777">
            <w:pPr>
              <w:tabs>
                <w:tab w:val="left" w:pos="4575"/>
              </w:tabs>
              <w:spacing w:line="240" w:lineRule="auto"/>
              <w:ind w:firstLine="0"/>
              <w:rPr>
                <w:rFonts w:eastAsia="Times New Roman" w:cs="Times New Roman"/>
                <w:szCs w:val="20"/>
              </w:rPr>
            </w:pPr>
          </w:p>
          <w:p w:rsidRPr="001315A0" w:rsidR="001315A0" w:rsidP="001315A0" w:rsidRDefault="001315A0" w14:paraId="545E3648" w14:textId="77777777">
            <w:pPr>
              <w:tabs>
                <w:tab w:val="left" w:pos="4575"/>
              </w:tabs>
              <w:spacing w:line="240" w:lineRule="auto"/>
              <w:ind w:firstLine="0"/>
              <w:rPr>
                <w:rFonts w:eastAsia="Times New Roman" w:cs="Times New Roman"/>
                <w:szCs w:val="20"/>
              </w:rPr>
            </w:pPr>
            <w:r w:rsidRPr="001315A0">
              <w:rPr>
                <w:rFonts w:eastAsia="Times New Roman" w:cs="Times New Roman"/>
                <w:szCs w:val="20"/>
              </w:rPr>
              <w:t>And Related Matter.</w:t>
            </w:r>
          </w:p>
          <w:p w:rsidRPr="001315A0" w:rsidR="001315A0" w:rsidP="001315A0" w:rsidRDefault="001315A0" w14:paraId="3D5542E5" w14:textId="77777777">
            <w:pPr>
              <w:tabs>
                <w:tab w:val="left" w:pos="4575"/>
              </w:tabs>
              <w:spacing w:line="240" w:lineRule="auto"/>
              <w:ind w:firstLine="0"/>
              <w:rPr>
                <w:rFonts w:eastAsia="Times New Roman" w:cs="Times New Roman"/>
                <w:szCs w:val="20"/>
              </w:rPr>
            </w:pPr>
          </w:p>
        </w:tc>
        <w:tc>
          <w:tcPr>
            <w:tcW w:w="3755" w:type="dxa"/>
          </w:tcPr>
          <w:p w:rsidRPr="001315A0" w:rsidR="001315A0" w:rsidP="001315A0" w:rsidRDefault="001315A0" w14:paraId="0AF423C3" w14:textId="77777777">
            <w:pPr>
              <w:spacing w:line="240" w:lineRule="auto"/>
              <w:ind w:firstLine="0"/>
              <w:jc w:val="center"/>
              <w:rPr>
                <w:rFonts w:ascii="Palatino" w:hAnsi="Palatino" w:eastAsia="Times New Roman" w:cs="Times New Roman"/>
                <w:szCs w:val="20"/>
              </w:rPr>
            </w:pPr>
          </w:p>
          <w:p w:rsidRPr="00D3663E" w:rsidR="001315A0" w:rsidP="001315A0" w:rsidRDefault="0008381C" w14:paraId="25278004" w14:textId="569C383E">
            <w:pPr>
              <w:spacing w:line="240" w:lineRule="auto"/>
              <w:ind w:firstLine="0"/>
              <w:jc w:val="center"/>
              <w:rPr>
                <w:rFonts w:eastAsia="Times New Roman" w:cs="Times New Roman"/>
                <w:szCs w:val="20"/>
              </w:rPr>
            </w:pPr>
            <w:r w:rsidRPr="00D3663E">
              <w:rPr>
                <w:rFonts w:eastAsia="Times New Roman" w:cs="Times New Roman"/>
                <w:szCs w:val="20"/>
              </w:rPr>
              <w:t>K.25-06-028</w:t>
            </w:r>
          </w:p>
        </w:tc>
      </w:tr>
    </w:tbl>
    <w:p w:rsidRPr="001315A0" w:rsidR="001315A0" w:rsidP="001315A0" w:rsidRDefault="001315A0" w14:paraId="40DE74F5" w14:textId="77777777">
      <w:pPr>
        <w:spacing w:line="240" w:lineRule="auto"/>
        <w:ind w:firstLine="0"/>
        <w:rPr>
          <w:rFonts w:ascii="Palatino" w:hAnsi="Palatino" w:eastAsia="Times New Roman" w:cs="Times New Roman"/>
          <w:szCs w:val="20"/>
        </w:rPr>
      </w:pPr>
    </w:p>
    <w:p w:rsidR="00DA7B5D" w:rsidP="008F0116" w:rsidRDefault="00DA7B5D" w14:paraId="3C919FFA" w14:textId="77777777">
      <w:pPr>
        <w:spacing w:line="240" w:lineRule="auto"/>
        <w:ind w:firstLine="0"/>
        <w:rPr>
          <w:rFonts w:ascii="Arial" w:hAnsi="Arial" w:cs="Arial"/>
          <w:sz w:val="24"/>
          <w:szCs w:val="24"/>
        </w:rPr>
      </w:pPr>
    </w:p>
    <w:p w:rsidRPr="00B71D85" w:rsidR="00B71D85" w:rsidP="001F4C0D" w:rsidRDefault="00564D9B" w14:paraId="39B2FF34" w14:textId="16F6E81D">
      <w:pPr>
        <w:pStyle w:val="Dummy"/>
        <w:jc w:val="center"/>
        <w:sectPr w:rsidRPr="00B71D85" w:rsidR="00B71D85" w:rsidSect="00F050BC">
          <w:headerReference w:type="default"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pPr>
      <w:bookmarkStart w:name="_Toc221259524" w:id="0"/>
      <w:r>
        <w:t xml:space="preserve">MODIFIED </w:t>
      </w:r>
      <w:r w:rsidR="00E94BE8">
        <w:t xml:space="preserve">PRESIDING OFFICER’S </w:t>
      </w:r>
      <w:r w:rsidRPr="006B301A" w:rsidR="00B71D85">
        <w:t>DECISION</w:t>
      </w:r>
      <w:r w:rsidR="008F17AD">
        <w:t xml:space="preserve"> </w:t>
      </w:r>
      <w:r w:rsidR="00FC3819">
        <w:t>RESOLVING ORDER INSTITUTING INVESTIGATION OF HAVASU WATER COMPANY AND ORDER TO SHOW CAUSE</w:t>
      </w:r>
      <w:bookmarkEnd w:id="0"/>
    </w:p>
    <w:p w:rsidRPr="001E2A62" w:rsidR="00D50119" w:rsidP="00F76650" w:rsidRDefault="00D50119" w14:paraId="22F54F60" w14:textId="77777777">
      <w:pPr>
        <w:pStyle w:val="Main"/>
        <w:rPr>
          <w:rFonts w:ascii="Book Antiqua" w:hAnsi="Book Antiqua"/>
        </w:rPr>
      </w:pPr>
      <w:r w:rsidRPr="001E2A62">
        <w:rPr>
          <w:rFonts w:ascii="Book Antiqua" w:hAnsi="Book Antiqua"/>
        </w:rPr>
        <w:lastRenderedPageBreak/>
        <w:t>TABLE OF CONTENTS</w:t>
      </w:r>
    </w:p>
    <w:p w:rsidRPr="00D50119" w:rsidR="00D50119" w:rsidP="007E0FEE" w:rsidRDefault="00D50119" w14:paraId="37F2D56A" w14:textId="77777777">
      <w:pPr>
        <w:tabs>
          <w:tab w:val="right" w:pos="9360"/>
        </w:tabs>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71676B" w:rsidP="003C3964" w:rsidRDefault="008C7413" w14:paraId="4D15BE93" w14:textId="0A78A35A">
          <w:pPr>
            <w:pStyle w:val="TOC1"/>
            <w:tabs>
              <w:tab w:val="right" w:leader="dot" w:pos="9350"/>
            </w:tabs>
            <w:ind w:left="0" w:firstLine="0"/>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21259524">
            <w:r w:rsidRPr="00342BE3" w:rsidR="0071676B">
              <w:rPr>
                <w:rStyle w:val="Hyperlink"/>
                <w:noProof/>
              </w:rPr>
              <w:t>PRESIDING OFFICER’S DECISION RESOLVING ORDER INSTITUTING INVESTIGATION OF HAVASU WATER COMPANY AND ORDER TO SHOW CAUSE</w:t>
            </w:r>
            <w:r w:rsidR="0071676B">
              <w:rPr>
                <w:noProof/>
                <w:webHidden/>
              </w:rPr>
              <w:tab/>
            </w:r>
            <w:r w:rsidR="0071676B">
              <w:rPr>
                <w:noProof/>
                <w:webHidden/>
              </w:rPr>
              <w:fldChar w:fldCharType="begin"/>
            </w:r>
            <w:r w:rsidR="0071676B">
              <w:rPr>
                <w:noProof/>
                <w:webHidden/>
              </w:rPr>
              <w:instrText xml:space="preserve"> PAGEREF _Toc221259524 \h </w:instrText>
            </w:r>
            <w:r w:rsidR="0071676B">
              <w:rPr>
                <w:noProof/>
                <w:webHidden/>
              </w:rPr>
            </w:r>
            <w:r w:rsidR="0071676B">
              <w:rPr>
                <w:noProof/>
                <w:webHidden/>
              </w:rPr>
              <w:fldChar w:fldCharType="separate"/>
            </w:r>
            <w:r w:rsidR="00341C08">
              <w:rPr>
                <w:noProof/>
                <w:webHidden/>
              </w:rPr>
              <w:t>1</w:t>
            </w:r>
            <w:r w:rsidR="0071676B">
              <w:rPr>
                <w:noProof/>
                <w:webHidden/>
              </w:rPr>
              <w:fldChar w:fldCharType="end"/>
            </w:r>
          </w:hyperlink>
        </w:p>
        <w:p w:rsidR="0071676B" w:rsidRDefault="0071676B" w14:paraId="563CF34E" w14:textId="196E37CB">
          <w:pPr>
            <w:pStyle w:val="TOC1"/>
            <w:tabs>
              <w:tab w:val="right" w:leader="dot" w:pos="9350"/>
            </w:tabs>
            <w:rPr>
              <w:rFonts w:asciiTheme="minorHAnsi" w:hAnsiTheme="minorHAnsi" w:cstheme="minorBidi"/>
              <w:noProof/>
              <w:kern w:val="2"/>
              <w:sz w:val="24"/>
              <w:szCs w:val="24"/>
              <w14:ligatures w14:val="standardContextual"/>
            </w:rPr>
          </w:pPr>
          <w:hyperlink w:history="1" w:anchor="_Toc221259525">
            <w:r w:rsidRPr="00342BE3">
              <w:rPr>
                <w:rStyle w:val="Hyperlink"/>
                <w:noProof/>
              </w:rPr>
              <w:t>Summary</w:t>
            </w:r>
            <w:r>
              <w:rPr>
                <w:noProof/>
                <w:webHidden/>
              </w:rPr>
              <w:tab/>
            </w:r>
            <w:r>
              <w:rPr>
                <w:noProof/>
                <w:webHidden/>
              </w:rPr>
              <w:fldChar w:fldCharType="begin"/>
            </w:r>
            <w:r>
              <w:rPr>
                <w:noProof/>
                <w:webHidden/>
              </w:rPr>
              <w:instrText xml:space="preserve"> PAGEREF _Toc221259525 \h </w:instrText>
            </w:r>
            <w:r>
              <w:rPr>
                <w:noProof/>
                <w:webHidden/>
              </w:rPr>
            </w:r>
            <w:r>
              <w:rPr>
                <w:noProof/>
                <w:webHidden/>
              </w:rPr>
              <w:fldChar w:fldCharType="separate"/>
            </w:r>
            <w:r w:rsidR="00341C08">
              <w:rPr>
                <w:noProof/>
                <w:webHidden/>
              </w:rPr>
              <w:t>2</w:t>
            </w:r>
            <w:r>
              <w:rPr>
                <w:noProof/>
                <w:webHidden/>
              </w:rPr>
              <w:fldChar w:fldCharType="end"/>
            </w:r>
          </w:hyperlink>
        </w:p>
        <w:p w:rsidR="0071676B" w:rsidRDefault="0071676B" w14:paraId="7B4ED25F" w14:textId="03B346CB">
          <w:pPr>
            <w:pStyle w:val="TOC1"/>
            <w:tabs>
              <w:tab w:val="right" w:leader="dot" w:pos="9350"/>
            </w:tabs>
            <w:rPr>
              <w:rFonts w:asciiTheme="minorHAnsi" w:hAnsiTheme="minorHAnsi" w:cstheme="minorBidi"/>
              <w:noProof/>
              <w:kern w:val="2"/>
              <w:sz w:val="24"/>
              <w:szCs w:val="24"/>
              <w14:ligatures w14:val="standardContextual"/>
            </w:rPr>
          </w:pPr>
          <w:hyperlink w:history="1" w:anchor="_Toc221259526">
            <w:r w:rsidRPr="00342BE3">
              <w:rPr>
                <w:rStyle w:val="Hyperlink"/>
                <w:noProof/>
              </w:rPr>
              <w:t>1.</w:t>
            </w:r>
            <w:r>
              <w:rPr>
                <w:rFonts w:asciiTheme="minorHAnsi" w:hAnsiTheme="minorHAnsi" w:cstheme="minorBidi"/>
                <w:noProof/>
                <w:kern w:val="2"/>
                <w:sz w:val="24"/>
                <w:szCs w:val="24"/>
                <w14:ligatures w14:val="standardContextual"/>
              </w:rPr>
              <w:tab/>
            </w:r>
            <w:r w:rsidRPr="00342BE3">
              <w:rPr>
                <w:rStyle w:val="Hyperlink"/>
                <w:noProof/>
              </w:rPr>
              <w:t>Background</w:t>
            </w:r>
            <w:r>
              <w:rPr>
                <w:noProof/>
                <w:webHidden/>
              </w:rPr>
              <w:tab/>
            </w:r>
            <w:r>
              <w:rPr>
                <w:noProof/>
                <w:webHidden/>
              </w:rPr>
              <w:fldChar w:fldCharType="begin"/>
            </w:r>
            <w:r>
              <w:rPr>
                <w:noProof/>
                <w:webHidden/>
              </w:rPr>
              <w:instrText xml:space="preserve"> PAGEREF _Toc221259526 \h </w:instrText>
            </w:r>
            <w:r>
              <w:rPr>
                <w:noProof/>
                <w:webHidden/>
              </w:rPr>
            </w:r>
            <w:r>
              <w:rPr>
                <w:noProof/>
                <w:webHidden/>
              </w:rPr>
              <w:fldChar w:fldCharType="separate"/>
            </w:r>
            <w:r w:rsidR="00341C08">
              <w:rPr>
                <w:noProof/>
                <w:webHidden/>
              </w:rPr>
              <w:t>3</w:t>
            </w:r>
            <w:r>
              <w:rPr>
                <w:noProof/>
                <w:webHidden/>
              </w:rPr>
              <w:fldChar w:fldCharType="end"/>
            </w:r>
          </w:hyperlink>
        </w:p>
        <w:p w:rsidR="0071676B" w:rsidRDefault="0071676B" w14:paraId="19E97AF4" w14:textId="63AE5EC8">
          <w:pPr>
            <w:pStyle w:val="TOC2"/>
            <w:tabs>
              <w:tab w:val="right" w:leader="dot" w:pos="9350"/>
            </w:tabs>
            <w:rPr>
              <w:rFonts w:asciiTheme="minorHAnsi" w:hAnsiTheme="minorHAnsi" w:cstheme="minorBidi"/>
              <w:noProof/>
              <w:kern w:val="2"/>
              <w:sz w:val="24"/>
              <w:szCs w:val="24"/>
              <w14:ligatures w14:val="standardContextual"/>
            </w:rPr>
          </w:pPr>
          <w:hyperlink w:history="1" w:anchor="_Toc221259527">
            <w:r w:rsidRPr="00342BE3">
              <w:rPr>
                <w:rStyle w:val="Hyperlink"/>
                <w:noProof/>
              </w:rPr>
              <w:t>1.1.</w:t>
            </w:r>
            <w:r>
              <w:rPr>
                <w:rFonts w:asciiTheme="minorHAnsi" w:hAnsiTheme="minorHAnsi" w:cstheme="minorBidi"/>
                <w:noProof/>
                <w:kern w:val="2"/>
                <w:sz w:val="24"/>
                <w:szCs w:val="24"/>
                <w14:ligatures w14:val="standardContextual"/>
              </w:rPr>
              <w:tab/>
            </w:r>
            <w:r w:rsidRPr="00342BE3">
              <w:rPr>
                <w:rStyle w:val="Hyperlink"/>
                <w:noProof/>
              </w:rPr>
              <w:t>Factual Background</w:t>
            </w:r>
            <w:r>
              <w:rPr>
                <w:noProof/>
                <w:webHidden/>
              </w:rPr>
              <w:tab/>
            </w:r>
            <w:r>
              <w:rPr>
                <w:noProof/>
                <w:webHidden/>
              </w:rPr>
              <w:fldChar w:fldCharType="begin"/>
            </w:r>
            <w:r>
              <w:rPr>
                <w:noProof/>
                <w:webHidden/>
              </w:rPr>
              <w:instrText xml:space="preserve"> PAGEREF _Toc221259527 \h </w:instrText>
            </w:r>
            <w:r>
              <w:rPr>
                <w:noProof/>
                <w:webHidden/>
              </w:rPr>
            </w:r>
            <w:r>
              <w:rPr>
                <w:noProof/>
                <w:webHidden/>
              </w:rPr>
              <w:fldChar w:fldCharType="separate"/>
            </w:r>
            <w:r w:rsidR="00341C08">
              <w:rPr>
                <w:noProof/>
                <w:webHidden/>
              </w:rPr>
              <w:t>3</w:t>
            </w:r>
            <w:r>
              <w:rPr>
                <w:noProof/>
                <w:webHidden/>
              </w:rPr>
              <w:fldChar w:fldCharType="end"/>
            </w:r>
          </w:hyperlink>
        </w:p>
        <w:p w:rsidR="0071676B" w:rsidRDefault="0071676B" w14:paraId="2D1EA09C" w14:textId="41A9A8EC">
          <w:pPr>
            <w:pStyle w:val="TOC2"/>
            <w:tabs>
              <w:tab w:val="right" w:leader="dot" w:pos="9350"/>
            </w:tabs>
            <w:rPr>
              <w:rFonts w:asciiTheme="minorHAnsi" w:hAnsiTheme="minorHAnsi" w:cstheme="minorBidi"/>
              <w:noProof/>
              <w:kern w:val="2"/>
              <w:sz w:val="24"/>
              <w:szCs w:val="24"/>
              <w14:ligatures w14:val="standardContextual"/>
            </w:rPr>
          </w:pPr>
          <w:hyperlink w:history="1" w:anchor="_Toc221259528">
            <w:r w:rsidRPr="00342BE3">
              <w:rPr>
                <w:rStyle w:val="Hyperlink"/>
                <w:noProof/>
              </w:rPr>
              <w:t>1.2.</w:t>
            </w:r>
            <w:r>
              <w:rPr>
                <w:rFonts w:asciiTheme="minorHAnsi" w:hAnsiTheme="minorHAnsi" w:cstheme="minorBidi"/>
                <w:noProof/>
                <w:kern w:val="2"/>
                <w:sz w:val="24"/>
                <w:szCs w:val="24"/>
                <w14:ligatures w14:val="standardContextual"/>
              </w:rPr>
              <w:tab/>
            </w:r>
            <w:r w:rsidRPr="00342BE3">
              <w:rPr>
                <w:rStyle w:val="Hyperlink"/>
                <w:noProof/>
              </w:rPr>
              <w:t>Procedural Background</w:t>
            </w:r>
            <w:r>
              <w:rPr>
                <w:noProof/>
                <w:webHidden/>
              </w:rPr>
              <w:tab/>
            </w:r>
            <w:r>
              <w:rPr>
                <w:noProof/>
                <w:webHidden/>
              </w:rPr>
              <w:fldChar w:fldCharType="begin"/>
            </w:r>
            <w:r>
              <w:rPr>
                <w:noProof/>
                <w:webHidden/>
              </w:rPr>
              <w:instrText xml:space="preserve"> PAGEREF _Toc221259528 \h </w:instrText>
            </w:r>
            <w:r>
              <w:rPr>
                <w:noProof/>
                <w:webHidden/>
              </w:rPr>
            </w:r>
            <w:r>
              <w:rPr>
                <w:noProof/>
                <w:webHidden/>
              </w:rPr>
              <w:fldChar w:fldCharType="separate"/>
            </w:r>
            <w:r w:rsidR="00341C08">
              <w:rPr>
                <w:noProof/>
                <w:webHidden/>
              </w:rPr>
              <w:t>3</w:t>
            </w:r>
            <w:r>
              <w:rPr>
                <w:noProof/>
                <w:webHidden/>
              </w:rPr>
              <w:fldChar w:fldCharType="end"/>
            </w:r>
          </w:hyperlink>
        </w:p>
        <w:p w:rsidR="0071676B" w:rsidRDefault="0071676B" w14:paraId="0B043C78" w14:textId="1A97C20C">
          <w:pPr>
            <w:pStyle w:val="TOC1"/>
            <w:tabs>
              <w:tab w:val="right" w:leader="dot" w:pos="9350"/>
            </w:tabs>
            <w:rPr>
              <w:rFonts w:asciiTheme="minorHAnsi" w:hAnsiTheme="minorHAnsi" w:cstheme="minorBidi"/>
              <w:noProof/>
              <w:kern w:val="2"/>
              <w:sz w:val="24"/>
              <w:szCs w:val="24"/>
              <w14:ligatures w14:val="standardContextual"/>
            </w:rPr>
          </w:pPr>
          <w:hyperlink w:history="1" w:anchor="_Toc221259529">
            <w:r w:rsidRPr="00342BE3">
              <w:rPr>
                <w:rStyle w:val="Hyperlink"/>
                <w:noProof/>
              </w:rPr>
              <w:t>2.</w:t>
            </w:r>
            <w:r>
              <w:rPr>
                <w:rFonts w:asciiTheme="minorHAnsi" w:hAnsiTheme="minorHAnsi" w:cstheme="minorBidi"/>
                <w:noProof/>
                <w:kern w:val="2"/>
                <w:sz w:val="24"/>
                <w:szCs w:val="24"/>
                <w14:ligatures w14:val="standardContextual"/>
              </w:rPr>
              <w:tab/>
            </w:r>
            <w:r w:rsidRPr="00342BE3">
              <w:rPr>
                <w:rStyle w:val="Hyperlink"/>
                <w:noProof/>
              </w:rPr>
              <w:t>Submission Date</w:t>
            </w:r>
            <w:r>
              <w:rPr>
                <w:noProof/>
                <w:webHidden/>
              </w:rPr>
              <w:tab/>
            </w:r>
            <w:r>
              <w:rPr>
                <w:noProof/>
                <w:webHidden/>
              </w:rPr>
              <w:fldChar w:fldCharType="begin"/>
            </w:r>
            <w:r>
              <w:rPr>
                <w:noProof/>
                <w:webHidden/>
              </w:rPr>
              <w:instrText xml:space="preserve"> PAGEREF _Toc221259529 \h </w:instrText>
            </w:r>
            <w:r>
              <w:rPr>
                <w:noProof/>
                <w:webHidden/>
              </w:rPr>
            </w:r>
            <w:r>
              <w:rPr>
                <w:noProof/>
                <w:webHidden/>
              </w:rPr>
              <w:fldChar w:fldCharType="separate"/>
            </w:r>
            <w:r w:rsidR="00341C08">
              <w:rPr>
                <w:noProof/>
                <w:webHidden/>
              </w:rPr>
              <w:t>6</w:t>
            </w:r>
            <w:r>
              <w:rPr>
                <w:noProof/>
                <w:webHidden/>
              </w:rPr>
              <w:fldChar w:fldCharType="end"/>
            </w:r>
          </w:hyperlink>
        </w:p>
        <w:p w:rsidR="0071676B" w:rsidRDefault="0071676B" w14:paraId="3C90791F" w14:textId="31800E62">
          <w:pPr>
            <w:pStyle w:val="TOC1"/>
            <w:tabs>
              <w:tab w:val="right" w:leader="dot" w:pos="9350"/>
            </w:tabs>
            <w:rPr>
              <w:rFonts w:asciiTheme="minorHAnsi" w:hAnsiTheme="minorHAnsi" w:cstheme="minorBidi"/>
              <w:noProof/>
              <w:kern w:val="2"/>
              <w:sz w:val="24"/>
              <w:szCs w:val="24"/>
              <w14:ligatures w14:val="standardContextual"/>
            </w:rPr>
          </w:pPr>
          <w:hyperlink w:history="1" w:anchor="_Toc221259530">
            <w:r w:rsidRPr="00342BE3">
              <w:rPr>
                <w:rStyle w:val="Hyperlink"/>
                <w:noProof/>
              </w:rPr>
              <w:t>3.</w:t>
            </w:r>
            <w:r>
              <w:rPr>
                <w:rFonts w:asciiTheme="minorHAnsi" w:hAnsiTheme="minorHAnsi" w:cstheme="minorBidi"/>
                <w:noProof/>
                <w:kern w:val="2"/>
                <w:sz w:val="24"/>
                <w:szCs w:val="24"/>
                <w14:ligatures w14:val="standardContextual"/>
              </w:rPr>
              <w:tab/>
            </w:r>
            <w:r w:rsidRPr="00342BE3">
              <w:rPr>
                <w:rStyle w:val="Hyperlink"/>
                <w:noProof/>
              </w:rPr>
              <w:t>Jurisdiction</w:t>
            </w:r>
            <w:r>
              <w:rPr>
                <w:noProof/>
                <w:webHidden/>
              </w:rPr>
              <w:tab/>
            </w:r>
            <w:r>
              <w:rPr>
                <w:noProof/>
                <w:webHidden/>
              </w:rPr>
              <w:fldChar w:fldCharType="begin"/>
            </w:r>
            <w:r>
              <w:rPr>
                <w:noProof/>
                <w:webHidden/>
              </w:rPr>
              <w:instrText xml:space="preserve"> PAGEREF _Toc221259530 \h </w:instrText>
            </w:r>
            <w:r>
              <w:rPr>
                <w:noProof/>
                <w:webHidden/>
              </w:rPr>
            </w:r>
            <w:r>
              <w:rPr>
                <w:noProof/>
                <w:webHidden/>
              </w:rPr>
              <w:fldChar w:fldCharType="separate"/>
            </w:r>
            <w:r w:rsidR="00341C08">
              <w:rPr>
                <w:noProof/>
                <w:webHidden/>
              </w:rPr>
              <w:t>6</w:t>
            </w:r>
            <w:r>
              <w:rPr>
                <w:noProof/>
                <w:webHidden/>
              </w:rPr>
              <w:fldChar w:fldCharType="end"/>
            </w:r>
          </w:hyperlink>
        </w:p>
        <w:p w:rsidR="0071676B" w:rsidRDefault="0071676B" w14:paraId="0D837694" w14:textId="225BC06C">
          <w:pPr>
            <w:pStyle w:val="TOC1"/>
            <w:tabs>
              <w:tab w:val="right" w:leader="dot" w:pos="9350"/>
            </w:tabs>
            <w:rPr>
              <w:rFonts w:asciiTheme="minorHAnsi" w:hAnsiTheme="minorHAnsi" w:cstheme="minorBidi"/>
              <w:noProof/>
              <w:kern w:val="2"/>
              <w:sz w:val="24"/>
              <w:szCs w:val="24"/>
              <w14:ligatures w14:val="standardContextual"/>
            </w:rPr>
          </w:pPr>
          <w:hyperlink w:history="1" w:anchor="_Toc221259531">
            <w:r w:rsidRPr="00342BE3">
              <w:rPr>
                <w:rStyle w:val="Hyperlink"/>
                <w:noProof/>
              </w:rPr>
              <w:t>4.</w:t>
            </w:r>
            <w:r>
              <w:rPr>
                <w:rFonts w:asciiTheme="minorHAnsi" w:hAnsiTheme="minorHAnsi" w:cstheme="minorBidi"/>
                <w:noProof/>
                <w:kern w:val="2"/>
                <w:sz w:val="24"/>
                <w:szCs w:val="24"/>
                <w14:ligatures w14:val="standardContextual"/>
              </w:rPr>
              <w:tab/>
            </w:r>
            <w:r w:rsidRPr="00342BE3">
              <w:rPr>
                <w:rStyle w:val="Hyperlink"/>
                <w:noProof/>
              </w:rPr>
              <w:t>Burden of Proof</w:t>
            </w:r>
            <w:r>
              <w:rPr>
                <w:noProof/>
                <w:webHidden/>
              </w:rPr>
              <w:tab/>
            </w:r>
            <w:r>
              <w:rPr>
                <w:noProof/>
                <w:webHidden/>
              </w:rPr>
              <w:fldChar w:fldCharType="begin"/>
            </w:r>
            <w:r>
              <w:rPr>
                <w:noProof/>
                <w:webHidden/>
              </w:rPr>
              <w:instrText xml:space="preserve"> PAGEREF _Toc221259531 \h </w:instrText>
            </w:r>
            <w:r>
              <w:rPr>
                <w:noProof/>
                <w:webHidden/>
              </w:rPr>
            </w:r>
            <w:r>
              <w:rPr>
                <w:noProof/>
                <w:webHidden/>
              </w:rPr>
              <w:fldChar w:fldCharType="separate"/>
            </w:r>
            <w:r w:rsidR="00341C08">
              <w:rPr>
                <w:noProof/>
                <w:webHidden/>
              </w:rPr>
              <w:t>7</w:t>
            </w:r>
            <w:r>
              <w:rPr>
                <w:noProof/>
                <w:webHidden/>
              </w:rPr>
              <w:fldChar w:fldCharType="end"/>
            </w:r>
          </w:hyperlink>
        </w:p>
        <w:p w:rsidR="0071676B" w:rsidRDefault="0071676B" w14:paraId="0768B6DA" w14:textId="067873F6">
          <w:pPr>
            <w:pStyle w:val="TOC1"/>
            <w:tabs>
              <w:tab w:val="right" w:leader="dot" w:pos="9350"/>
            </w:tabs>
            <w:rPr>
              <w:rFonts w:asciiTheme="minorHAnsi" w:hAnsiTheme="minorHAnsi" w:cstheme="minorBidi"/>
              <w:noProof/>
              <w:kern w:val="2"/>
              <w:sz w:val="24"/>
              <w:szCs w:val="24"/>
              <w14:ligatures w14:val="standardContextual"/>
            </w:rPr>
          </w:pPr>
          <w:hyperlink w:history="1" w:anchor="_Toc221259532">
            <w:r w:rsidRPr="00342BE3">
              <w:rPr>
                <w:rStyle w:val="Hyperlink"/>
                <w:noProof/>
              </w:rPr>
              <w:t>5.</w:t>
            </w:r>
            <w:r>
              <w:rPr>
                <w:rFonts w:asciiTheme="minorHAnsi" w:hAnsiTheme="minorHAnsi" w:cstheme="minorBidi"/>
                <w:noProof/>
                <w:kern w:val="2"/>
                <w:sz w:val="24"/>
                <w:szCs w:val="24"/>
                <w14:ligatures w14:val="standardContextual"/>
              </w:rPr>
              <w:tab/>
            </w:r>
            <w:r w:rsidRPr="00342BE3">
              <w:rPr>
                <w:rStyle w:val="Hyperlink"/>
                <w:noProof/>
              </w:rPr>
              <w:t>Parties Positions</w:t>
            </w:r>
            <w:r>
              <w:rPr>
                <w:noProof/>
                <w:webHidden/>
              </w:rPr>
              <w:tab/>
            </w:r>
            <w:r>
              <w:rPr>
                <w:noProof/>
                <w:webHidden/>
              </w:rPr>
              <w:fldChar w:fldCharType="begin"/>
            </w:r>
            <w:r>
              <w:rPr>
                <w:noProof/>
                <w:webHidden/>
              </w:rPr>
              <w:instrText xml:space="preserve"> PAGEREF _Toc221259532 \h </w:instrText>
            </w:r>
            <w:r>
              <w:rPr>
                <w:noProof/>
                <w:webHidden/>
              </w:rPr>
            </w:r>
            <w:r>
              <w:rPr>
                <w:noProof/>
                <w:webHidden/>
              </w:rPr>
              <w:fldChar w:fldCharType="separate"/>
            </w:r>
            <w:r w:rsidR="00341C08">
              <w:rPr>
                <w:noProof/>
                <w:webHidden/>
              </w:rPr>
              <w:t>7</w:t>
            </w:r>
            <w:r>
              <w:rPr>
                <w:noProof/>
                <w:webHidden/>
              </w:rPr>
              <w:fldChar w:fldCharType="end"/>
            </w:r>
          </w:hyperlink>
        </w:p>
        <w:p w:rsidR="0071676B" w:rsidRDefault="0071676B" w14:paraId="573B8DAE" w14:textId="4BBA9409">
          <w:pPr>
            <w:pStyle w:val="TOC2"/>
            <w:tabs>
              <w:tab w:val="right" w:leader="dot" w:pos="9350"/>
            </w:tabs>
            <w:rPr>
              <w:rFonts w:asciiTheme="minorHAnsi" w:hAnsiTheme="minorHAnsi" w:cstheme="minorBidi"/>
              <w:noProof/>
              <w:kern w:val="2"/>
              <w:sz w:val="24"/>
              <w:szCs w:val="24"/>
              <w14:ligatures w14:val="standardContextual"/>
            </w:rPr>
          </w:pPr>
          <w:hyperlink w:history="1" w:anchor="_Toc221259533">
            <w:r w:rsidRPr="00342BE3">
              <w:rPr>
                <w:rStyle w:val="Hyperlink"/>
                <w:noProof/>
              </w:rPr>
              <w:t>5.1.</w:t>
            </w:r>
            <w:r>
              <w:rPr>
                <w:rFonts w:asciiTheme="minorHAnsi" w:hAnsiTheme="minorHAnsi" w:cstheme="minorBidi"/>
                <w:noProof/>
                <w:kern w:val="2"/>
                <w:sz w:val="24"/>
                <w:szCs w:val="24"/>
                <w14:ligatures w14:val="standardContextual"/>
              </w:rPr>
              <w:tab/>
            </w:r>
            <w:r w:rsidRPr="00342BE3">
              <w:rPr>
                <w:rStyle w:val="Hyperlink"/>
                <w:noProof/>
              </w:rPr>
              <w:t>CPED’s Position</w:t>
            </w:r>
            <w:r>
              <w:rPr>
                <w:noProof/>
                <w:webHidden/>
              </w:rPr>
              <w:tab/>
            </w:r>
            <w:r>
              <w:rPr>
                <w:noProof/>
                <w:webHidden/>
              </w:rPr>
              <w:fldChar w:fldCharType="begin"/>
            </w:r>
            <w:r>
              <w:rPr>
                <w:noProof/>
                <w:webHidden/>
              </w:rPr>
              <w:instrText xml:space="preserve"> PAGEREF _Toc221259533 \h </w:instrText>
            </w:r>
            <w:r>
              <w:rPr>
                <w:noProof/>
                <w:webHidden/>
              </w:rPr>
            </w:r>
            <w:r>
              <w:rPr>
                <w:noProof/>
                <w:webHidden/>
              </w:rPr>
              <w:fldChar w:fldCharType="separate"/>
            </w:r>
            <w:r w:rsidR="00341C08">
              <w:rPr>
                <w:noProof/>
                <w:webHidden/>
              </w:rPr>
              <w:t>7</w:t>
            </w:r>
            <w:r>
              <w:rPr>
                <w:noProof/>
                <w:webHidden/>
              </w:rPr>
              <w:fldChar w:fldCharType="end"/>
            </w:r>
          </w:hyperlink>
        </w:p>
        <w:p w:rsidR="0071676B" w:rsidRDefault="0071676B" w14:paraId="22B726CD" w14:textId="54DA17AA">
          <w:pPr>
            <w:pStyle w:val="TOC2"/>
            <w:tabs>
              <w:tab w:val="right" w:leader="dot" w:pos="9350"/>
            </w:tabs>
            <w:rPr>
              <w:rFonts w:asciiTheme="minorHAnsi" w:hAnsiTheme="minorHAnsi" w:cstheme="minorBidi"/>
              <w:noProof/>
              <w:kern w:val="2"/>
              <w:sz w:val="24"/>
              <w:szCs w:val="24"/>
              <w14:ligatures w14:val="standardContextual"/>
            </w:rPr>
          </w:pPr>
          <w:hyperlink w:history="1" w:anchor="_Toc221259534">
            <w:r w:rsidRPr="00342BE3">
              <w:rPr>
                <w:rStyle w:val="Hyperlink"/>
                <w:noProof/>
              </w:rPr>
              <w:t>5.2.</w:t>
            </w:r>
            <w:r>
              <w:rPr>
                <w:rFonts w:asciiTheme="minorHAnsi" w:hAnsiTheme="minorHAnsi" w:cstheme="minorBidi"/>
                <w:noProof/>
                <w:kern w:val="2"/>
                <w:sz w:val="24"/>
                <w:szCs w:val="24"/>
                <w14:ligatures w14:val="standardContextual"/>
              </w:rPr>
              <w:tab/>
            </w:r>
            <w:r w:rsidRPr="00342BE3">
              <w:rPr>
                <w:rStyle w:val="Hyperlink"/>
                <w:noProof/>
              </w:rPr>
              <w:t>Havasu’s Position</w:t>
            </w:r>
            <w:r>
              <w:rPr>
                <w:noProof/>
                <w:webHidden/>
              </w:rPr>
              <w:tab/>
            </w:r>
            <w:r>
              <w:rPr>
                <w:noProof/>
                <w:webHidden/>
              </w:rPr>
              <w:fldChar w:fldCharType="begin"/>
            </w:r>
            <w:r>
              <w:rPr>
                <w:noProof/>
                <w:webHidden/>
              </w:rPr>
              <w:instrText xml:space="preserve"> PAGEREF _Toc221259534 \h </w:instrText>
            </w:r>
            <w:r>
              <w:rPr>
                <w:noProof/>
                <w:webHidden/>
              </w:rPr>
            </w:r>
            <w:r>
              <w:rPr>
                <w:noProof/>
                <w:webHidden/>
              </w:rPr>
              <w:fldChar w:fldCharType="separate"/>
            </w:r>
            <w:r w:rsidR="00341C08">
              <w:rPr>
                <w:noProof/>
                <w:webHidden/>
              </w:rPr>
              <w:t>8</w:t>
            </w:r>
            <w:r>
              <w:rPr>
                <w:noProof/>
                <w:webHidden/>
              </w:rPr>
              <w:fldChar w:fldCharType="end"/>
            </w:r>
          </w:hyperlink>
        </w:p>
        <w:p w:rsidR="0071676B" w:rsidRDefault="0071676B" w14:paraId="67585119" w14:textId="4FA9758C">
          <w:pPr>
            <w:pStyle w:val="TOC1"/>
            <w:tabs>
              <w:tab w:val="right" w:leader="dot" w:pos="9350"/>
            </w:tabs>
            <w:rPr>
              <w:rFonts w:asciiTheme="minorHAnsi" w:hAnsiTheme="minorHAnsi" w:cstheme="minorBidi"/>
              <w:noProof/>
              <w:kern w:val="2"/>
              <w:sz w:val="24"/>
              <w:szCs w:val="24"/>
              <w14:ligatures w14:val="standardContextual"/>
            </w:rPr>
          </w:pPr>
          <w:hyperlink w:history="1" w:anchor="_Toc221259535">
            <w:r w:rsidRPr="00342BE3">
              <w:rPr>
                <w:rStyle w:val="Hyperlink"/>
                <w:noProof/>
              </w:rPr>
              <w:t>6.</w:t>
            </w:r>
            <w:r>
              <w:rPr>
                <w:rFonts w:asciiTheme="minorHAnsi" w:hAnsiTheme="minorHAnsi" w:cstheme="minorBidi"/>
                <w:noProof/>
                <w:kern w:val="2"/>
                <w:sz w:val="24"/>
                <w:szCs w:val="24"/>
                <w14:ligatures w14:val="standardContextual"/>
              </w:rPr>
              <w:tab/>
            </w:r>
            <w:r w:rsidRPr="00342BE3">
              <w:rPr>
                <w:rStyle w:val="Hyperlink"/>
                <w:noProof/>
              </w:rPr>
              <w:t>Issues</w:t>
            </w:r>
            <w:r>
              <w:rPr>
                <w:noProof/>
                <w:webHidden/>
              </w:rPr>
              <w:tab/>
            </w:r>
            <w:r>
              <w:rPr>
                <w:noProof/>
                <w:webHidden/>
              </w:rPr>
              <w:fldChar w:fldCharType="begin"/>
            </w:r>
            <w:r>
              <w:rPr>
                <w:noProof/>
                <w:webHidden/>
              </w:rPr>
              <w:instrText xml:space="preserve"> PAGEREF _Toc221259535 \h </w:instrText>
            </w:r>
            <w:r>
              <w:rPr>
                <w:noProof/>
                <w:webHidden/>
              </w:rPr>
            </w:r>
            <w:r>
              <w:rPr>
                <w:noProof/>
                <w:webHidden/>
              </w:rPr>
              <w:fldChar w:fldCharType="separate"/>
            </w:r>
            <w:r w:rsidR="00341C08">
              <w:rPr>
                <w:noProof/>
                <w:webHidden/>
              </w:rPr>
              <w:t>8</w:t>
            </w:r>
            <w:r>
              <w:rPr>
                <w:noProof/>
                <w:webHidden/>
              </w:rPr>
              <w:fldChar w:fldCharType="end"/>
            </w:r>
          </w:hyperlink>
        </w:p>
        <w:p w:rsidR="0071676B" w:rsidRDefault="0071676B" w14:paraId="422C28FD" w14:textId="2E978D18">
          <w:pPr>
            <w:pStyle w:val="TOC1"/>
            <w:tabs>
              <w:tab w:val="right" w:leader="dot" w:pos="9350"/>
            </w:tabs>
            <w:rPr>
              <w:rFonts w:asciiTheme="minorHAnsi" w:hAnsiTheme="minorHAnsi" w:cstheme="minorBidi"/>
              <w:noProof/>
              <w:kern w:val="2"/>
              <w:sz w:val="24"/>
              <w:szCs w:val="24"/>
              <w14:ligatures w14:val="standardContextual"/>
            </w:rPr>
          </w:pPr>
          <w:hyperlink w:history="1" w:anchor="_Toc221259536">
            <w:r w:rsidRPr="00342BE3">
              <w:rPr>
                <w:rStyle w:val="Hyperlink"/>
                <w:noProof/>
              </w:rPr>
              <w:t>7.</w:t>
            </w:r>
            <w:r>
              <w:rPr>
                <w:rFonts w:asciiTheme="minorHAnsi" w:hAnsiTheme="minorHAnsi" w:cstheme="minorBidi"/>
                <w:noProof/>
                <w:kern w:val="2"/>
                <w:sz w:val="24"/>
                <w:szCs w:val="24"/>
                <w14:ligatures w14:val="standardContextual"/>
              </w:rPr>
              <w:tab/>
            </w:r>
            <w:r w:rsidRPr="00342BE3">
              <w:rPr>
                <w:rStyle w:val="Hyperlink"/>
                <w:noProof/>
              </w:rPr>
              <w:t>Petition for Receivership</w:t>
            </w:r>
            <w:r>
              <w:rPr>
                <w:noProof/>
                <w:webHidden/>
              </w:rPr>
              <w:tab/>
            </w:r>
            <w:r>
              <w:rPr>
                <w:noProof/>
                <w:webHidden/>
              </w:rPr>
              <w:fldChar w:fldCharType="begin"/>
            </w:r>
            <w:r>
              <w:rPr>
                <w:noProof/>
                <w:webHidden/>
              </w:rPr>
              <w:instrText xml:space="preserve"> PAGEREF _Toc221259536 \h </w:instrText>
            </w:r>
            <w:r>
              <w:rPr>
                <w:noProof/>
                <w:webHidden/>
              </w:rPr>
            </w:r>
            <w:r>
              <w:rPr>
                <w:noProof/>
                <w:webHidden/>
              </w:rPr>
              <w:fldChar w:fldCharType="separate"/>
            </w:r>
            <w:r w:rsidR="00341C08">
              <w:rPr>
                <w:noProof/>
                <w:webHidden/>
              </w:rPr>
              <w:t>9</w:t>
            </w:r>
            <w:r>
              <w:rPr>
                <w:noProof/>
                <w:webHidden/>
              </w:rPr>
              <w:fldChar w:fldCharType="end"/>
            </w:r>
          </w:hyperlink>
        </w:p>
        <w:p w:rsidR="0071676B" w:rsidRDefault="0071676B" w14:paraId="332D43E2" w14:textId="37E60A18">
          <w:pPr>
            <w:pStyle w:val="TOC2"/>
            <w:tabs>
              <w:tab w:val="right" w:leader="dot" w:pos="9350"/>
            </w:tabs>
            <w:rPr>
              <w:rFonts w:asciiTheme="minorHAnsi" w:hAnsiTheme="minorHAnsi" w:cstheme="minorBidi"/>
              <w:noProof/>
              <w:kern w:val="2"/>
              <w:sz w:val="24"/>
              <w:szCs w:val="24"/>
              <w14:ligatures w14:val="standardContextual"/>
            </w:rPr>
          </w:pPr>
          <w:hyperlink w:history="1" w:anchor="_Toc221259537">
            <w:r w:rsidRPr="00342BE3">
              <w:rPr>
                <w:rStyle w:val="Hyperlink"/>
                <w:noProof/>
              </w:rPr>
              <w:t>7.1.</w:t>
            </w:r>
            <w:r>
              <w:rPr>
                <w:rFonts w:asciiTheme="minorHAnsi" w:hAnsiTheme="minorHAnsi" w:cstheme="minorBidi"/>
                <w:noProof/>
                <w:kern w:val="2"/>
                <w:sz w:val="24"/>
                <w:szCs w:val="24"/>
                <w14:ligatures w14:val="standardContextual"/>
              </w:rPr>
              <w:tab/>
            </w:r>
            <w:r w:rsidRPr="00342BE3">
              <w:rPr>
                <w:rStyle w:val="Hyperlink"/>
                <w:noProof/>
              </w:rPr>
              <w:t>Federal - United States (U.S.) Environmental Protection Agency (EPA) Safe Drinking Water Act (SDWA)</w:t>
            </w:r>
            <w:r>
              <w:rPr>
                <w:noProof/>
                <w:webHidden/>
              </w:rPr>
              <w:tab/>
            </w:r>
            <w:r>
              <w:rPr>
                <w:noProof/>
                <w:webHidden/>
              </w:rPr>
              <w:fldChar w:fldCharType="begin"/>
            </w:r>
            <w:r>
              <w:rPr>
                <w:noProof/>
                <w:webHidden/>
              </w:rPr>
              <w:instrText xml:space="preserve"> PAGEREF _Toc221259537 \h </w:instrText>
            </w:r>
            <w:r>
              <w:rPr>
                <w:noProof/>
                <w:webHidden/>
              </w:rPr>
            </w:r>
            <w:r>
              <w:rPr>
                <w:noProof/>
                <w:webHidden/>
              </w:rPr>
              <w:fldChar w:fldCharType="separate"/>
            </w:r>
            <w:r w:rsidR="00341C08">
              <w:rPr>
                <w:noProof/>
                <w:webHidden/>
              </w:rPr>
              <w:t>10</w:t>
            </w:r>
            <w:r>
              <w:rPr>
                <w:noProof/>
                <w:webHidden/>
              </w:rPr>
              <w:fldChar w:fldCharType="end"/>
            </w:r>
          </w:hyperlink>
        </w:p>
        <w:p w:rsidR="0071676B" w:rsidRDefault="0071676B" w14:paraId="6A920400" w14:textId="56ED7B97">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1259538">
            <w:r w:rsidRPr="00342BE3">
              <w:rPr>
                <w:rStyle w:val="Hyperlink"/>
                <w:noProof/>
              </w:rPr>
              <w:t>7.1.1.</w:t>
            </w:r>
            <w:r>
              <w:rPr>
                <w:rFonts w:asciiTheme="minorHAnsi" w:hAnsiTheme="minorHAnsi" w:cstheme="minorBidi"/>
                <w:noProof/>
                <w:kern w:val="2"/>
                <w:sz w:val="24"/>
                <w:szCs w:val="24"/>
                <w14:ligatures w14:val="standardContextual"/>
              </w:rPr>
              <w:tab/>
            </w:r>
            <w:r w:rsidRPr="00342BE3">
              <w:rPr>
                <w:rStyle w:val="Hyperlink"/>
                <w:noProof/>
              </w:rPr>
              <w:t>From January 2024 to Present, Havasu Violated GO 103-A (II)(2)(A)(2) When It Failed to Comply with Federal Laws Pertaining to Water Quality and Havasu Has Been Noncompliant and Unresponsive to EPA Oversight</w:t>
            </w:r>
            <w:r>
              <w:rPr>
                <w:noProof/>
                <w:webHidden/>
              </w:rPr>
              <w:tab/>
            </w:r>
            <w:r>
              <w:rPr>
                <w:noProof/>
                <w:webHidden/>
              </w:rPr>
              <w:fldChar w:fldCharType="begin"/>
            </w:r>
            <w:r>
              <w:rPr>
                <w:noProof/>
                <w:webHidden/>
              </w:rPr>
              <w:instrText xml:space="preserve"> PAGEREF _Toc221259538 \h </w:instrText>
            </w:r>
            <w:r>
              <w:rPr>
                <w:noProof/>
                <w:webHidden/>
              </w:rPr>
            </w:r>
            <w:r>
              <w:rPr>
                <w:noProof/>
                <w:webHidden/>
              </w:rPr>
              <w:fldChar w:fldCharType="separate"/>
            </w:r>
            <w:r w:rsidR="00341C08">
              <w:rPr>
                <w:noProof/>
                <w:webHidden/>
              </w:rPr>
              <w:t>11</w:t>
            </w:r>
            <w:r>
              <w:rPr>
                <w:noProof/>
                <w:webHidden/>
              </w:rPr>
              <w:fldChar w:fldCharType="end"/>
            </w:r>
          </w:hyperlink>
        </w:p>
        <w:p w:rsidR="0071676B" w:rsidRDefault="0071676B" w14:paraId="7EB0581A" w14:textId="26CA8E9F">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1259539">
            <w:r w:rsidRPr="00342BE3">
              <w:rPr>
                <w:rStyle w:val="Hyperlink"/>
                <w:noProof/>
              </w:rPr>
              <w:t>7.1.2.</w:t>
            </w:r>
            <w:r>
              <w:rPr>
                <w:rFonts w:asciiTheme="minorHAnsi" w:hAnsiTheme="minorHAnsi" w:cstheme="minorBidi"/>
                <w:noProof/>
                <w:kern w:val="2"/>
                <w:sz w:val="24"/>
                <w:szCs w:val="24"/>
                <w14:ligatures w14:val="standardContextual"/>
              </w:rPr>
              <w:tab/>
            </w:r>
            <w:r w:rsidRPr="00342BE3">
              <w:rPr>
                <w:rStyle w:val="Hyperlink"/>
                <w:noProof/>
              </w:rPr>
              <w:t>From January 2024 to Present, Havasu Violated GO 103-A (II)(2)(A)(1) When It Was Required by the EPA to Issue Boil Water Notices to its Customers Thereby Causing a Public Health and Safety Risk</w:t>
            </w:r>
            <w:r>
              <w:rPr>
                <w:noProof/>
                <w:webHidden/>
              </w:rPr>
              <w:tab/>
            </w:r>
            <w:r>
              <w:rPr>
                <w:noProof/>
                <w:webHidden/>
              </w:rPr>
              <w:fldChar w:fldCharType="begin"/>
            </w:r>
            <w:r>
              <w:rPr>
                <w:noProof/>
                <w:webHidden/>
              </w:rPr>
              <w:instrText xml:space="preserve"> PAGEREF _Toc221259539 \h </w:instrText>
            </w:r>
            <w:r>
              <w:rPr>
                <w:noProof/>
                <w:webHidden/>
              </w:rPr>
            </w:r>
            <w:r>
              <w:rPr>
                <w:noProof/>
                <w:webHidden/>
              </w:rPr>
              <w:fldChar w:fldCharType="separate"/>
            </w:r>
            <w:r w:rsidR="00341C08">
              <w:rPr>
                <w:noProof/>
                <w:webHidden/>
              </w:rPr>
              <w:t>15</w:t>
            </w:r>
            <w:r>
              <w:rPr>
                <w:noProof/>
                <w:webHidden/>
              </w:rPr>
              <w:fldChar w:fldCharType="end"/>
            </w:r>
          </w:hyperlink>
        </w:p>
        <w:p w:rsidR="0071676B" w:rsidRDefault="0071676B" w14:paraId="4E30D10F" w14:textId="1BB74BC4">
          <w:pPr>
            <w:pStyle w:val="TOC2"/>
            <w:tabs>
              <w:tab w:val="right" w:leader="dot" w:pos="9350"/>
            </w:tabs>
            <w:rPr>
              <w:rFonts w:asciiTheme="minorHAnsi" w:hAnsiTheme="minorHAnsi" w:cstheme="minorBidi"/>
              <w:noProof/>
              <w:kern w:val="2"/>
              <w:sz w:val="24"/>
              <w:szCs w:val="24"/>
              <w14:ligatures w14:val="standardContextual"/>
            </w:rPr>
          </w:pPr>
          <w:hyperlink w:history="1" w:anchor="_Toc221259540">
            <w:r w:rsidRPr="00342BE3">
              <w:rPr>
                <w:rStyle w:val="Hyperlink"/>
                <w:noProof/>
              </w:rPr>
              <w:t>7.2.</w:t>
            </w:r>
            <w:r>
              <w:rPr>
                <w:rFonts w:asciiTheme="minorHAnsi" w:hAnsiTheme="minorHAnsi" w:cstheme="minorBidi"/>
                <w:noProof/>
                <w:kern w:val="2"/>
                <w:sz w:val="24"/>
                <w:szCs w:val="24"/>
                <w14:ligatures w14:val="standardContextual"/>
              </w:rPr>
              <w:tab/>
            </w:r>
            <w:r w:rsidRPr="00342BE3">
              <w:rPr>
                <w:rStyle w:val="Hyperlink"/>
                <w:noProof/>
              </w:rPr>
              <w:t>State – California State Water Resources Control Board, Division of Drinking Water</w:t>
            </w:r>
            <w:r>
              <w:rPr>
                <w:noProof/>
                <w:webHidden/>
              </w:rPr>
              <w:tab/>
            </w:r>
            <w:r>
              <w:rPr>
                <w:noProof/>
                <w:webHidden/>
              </w:rPr>
              <w:fldChar w:fldCharType="begin"/>
            </w:r>
            <w:r>
              <w:rPr>
                <w:noProof/>
                <w:webHidden/>
              </w:rPr>
              <w:instrText xml:space="preserve"> PAGEREF _Toc221259540 \h </w:instrText>
            </w:r>
            <w:r>
              <w:rPr>
                <w:noProof/>
                <w:webHidden/>
              </w:rPr>
            </w:r>
            <w:r>
              <w:rPr>
                <w:noProof/>
                <w:webHidden/>
              </w:rPr>
              <w:fldChar w:fldCharType="separate"/>
            </w:r>
            <w:r w:rsidR="00341C08">
              <w:rPr>
                <w:noProof/>
                <w:webHidden/>
              </w:rPr>
              <w:t>16</w:t>
            </w:r>
            <w:r>
              <w:rPr>
                <w:noProof/>
                <w:webHidden/>
              </w:rPr>
              <w:fldChar w:fldCharType="end"/>
            </w:r>
          </w:hyperlink>
        </w:p>
        <w:p w:rsidR="0071676B" w:rsidRDefault="0071676B" w14:paraId="41D110C7" w14:textId="3A54CDC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1259541">
            <w:r w:rsidRPr="00342BE3">
              <w:rPr>
                <w:rStyle w:val="Hyperlink"/>
                <w:noProof/>
              </w:rPr>
              <w:t>7.2.1.</w:t>
            </w:r>
            <w:r>
              <w:rPr>
                <w:rFonts w:asciiTheme="minorHAnsi" w:hAnsiTheme="minorHAnsi" w:cstheme="minorBidi"/>
                <w:noProof/>
                <w:kern w:val="2"/>
                <w:sz w:val="24"/>
                <w:szCs w:val="24"/>
                <w14:ligatures w14:val="standardContextual"/>
              </w:rPr>
              <w:tab/>
            </w:r>
            <w:r w:rsidRPr="00342BE3">
              <w:rPr>
                <w:rStyle w:val="Hyperlink"/>
                <w:noProof/>
              </w:rPr>
              <w:t>From March 2022 to December 2023, Havasu Violated GO 103-A (II)(1)(B) When It Experienced a Systemwide Water Outage and Havasu Has Been Noncompliant and Unresponsive to DDW Oversight</w:t>
            </w:r>
            <w:r>
              <w:rPr>
                <w:noProof/>
                <w:webHidden/>
              </w:rPr>
              <w:tab/>
            </w:r>
            <w:r>
              <w:rPr>
                <w:noProof/>
                <w:webHidden/>
              </w:rPr>
              <w:fldChar w:fldCharType="begin"/>
            </w:r>
            <w:r>
              <w:rPr>
                <w:noProof/>
                <w:webHidden/>
              </w:rPr>
              <w:instrText xml:space="preserve"> PAGEREF _Toc221259541 \h </w:instrText>
            </w:r>
            <w:r>
              <w:rPr>
                <w:noProof/>
                <w:webHidden/>
              </w:rPr>
            </w:r>
            <w:r>
              <w:rPr>
                <w:noProof/>
                <w:webHidden/>
              </w:rPr>
              <w:fldChar w:fldCharType="separate"/>
            </w:r>
            <w:r w:rsidR="00341C08">
              <w:rPr>
                <w:noProof/>
                <w:webHidden/>
              </w:rPr>
              <w:t>17</w:t>
            </w:r>
            <w:r>
              <w:rPr>
                <w:noProof/>
                <w:webHidden/>
              </w:rPr>
              <w:fldChar w:fldCharType="end"/>
            </w:r>
          </w:hyperlink>
        </w:p>
        <w:p w:rsidR="0071676B" w:rsidRDefault="0071676B" w14:paraId="0C7D8474" w14:textId="27FF72B1">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1259542">
            <w:r w:rsidRPr="00342BE3">
              <w:rPr>
                <w:rStyle w:val="Hyperlink"/>
                <w:noProof/>
              </w:rPr>
              <w:t>7.2.2.</w:t>
            </w:r>
            <w:r>
              <w:rPr>
                <w:rFonts w:asciiTheme="minorHAnsi" w:hAnsiTheme="minorHAnsi" w:cstheme="minorBidi"/>
                <w:noProof/>
                <w:kern w:val="2"/>
                <w:sz w:val="24"/>
                <w:szCs w:val="24"/>
                <w14:ligatures w14:val="standardContextual"/>
              </w:rPr>
              <w:tab/>
            </w:r>
            <w:r w:rsidRPr="00342BE3">
              <w:rPr>
                <w:rStyle w:val="Hyperlink"/>
                <w:noProof/>
              </w:rPr>
              <w:t>From March 2022 to December 2023, Havasu Violated GO 103-A (III)(8)(B), (II)(3)(A)(1),  (II)(2)(A)(3) and California Code of Regulations (CCR), Title 22, Section 64413.5 When it Experienced a Systemwide Water Outage and Havasu was Unable or Unwilling to Adequately Serve its Customers</w:t>
            </w:r>
            <w:r>
              <w:rPr>
                <w:noProof/>
                <w:webHidden/>
              </w:rPr>
              <w:tab/>
            </w:r>
            <w:r>
              <w:rPr>
                <w:noProof/>
                <w:webHidden/>
              </w:rPr>
              <w:fldChar w:fldCharType="begin"/>
            </w:r>
            <w:r>
              <w:rPr>
                <w:noProof/>
                <w:webHidden/>
              </w:rPr>
              <w:instrText xml:space="preserve"> PAGEREF _Toc221259542 \h </w:instrText>
            </w:r>
            <w:r>
              <w:rPr>
                <w:noProof/>
                <w:webHidden/>
              </w:rPr>
            </w:r>
            <w:r>
              <w:rPr>
                <w:noProof/>
                <w:webHidden/>
              </w:rPr>
              <w:fldChar w:fldCharType="separate"/>
            </w:r>
            <w:r w:rsidR="00341C08">
              <w:rPr>
                <w:noProof/>
                <w:webHidden/>
              </w:rPr>
              <w:t>19</w:t>
            </w:r>
            <w:r>
              <w:rPr>
                <w:noProof/>
                <w:webHidden/>
              </w:rPr>
              <w:fldChar w:fldCharType="end"/>
            </w:r>
          </w:hyperlink>
        </w:p>
        <w:p w:rsidR="0071676B" w:rsidRDefault="0071676B" w14:paraId="464F07AB" w14:textId="762C4AFB">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21259543">
            <w:r w:rsidRPr="00342BE3">
              <w:rPr>
                <w:rStyle w:val="Hyperlink"/>
                <w:noProof/>
              </w:rPr>
              <w:t>7.2.2.1.</w:t>
            </w:r>
            <w:r>
              <w:rPr>
                <w:rFonts w:asciiTheme="minorHAnsi" w:hAnsiTheme="minorHAnsi" w:eastAsiaTheme="minorEastAsia"/>
                <w:noProof/>
                <w:kern w:val="2"/>
                <w:sz w:val="24"/>
                <w:szCs w:val="24"/>
                <w14:ligatures w14:val="standardContextual"/>
              </w:rPr>
              <w:tab/>
            </w:r>
            <w:r w:rsidRPr="00342BE3">
              <w:rPr>
                <w:rStyle w:val="Hyperlink"/>
                <w:noProof/>
              </w:rPr>
              <w:t>Backup Generators</w:t>
            </w:r>
            <w:r>
              <w:rPr>
                <w:noProof/>
                <w:webHidden/>
              </w:rPr>
              <w:tab/>
            </w:r>
            <w:r>
              <w:rPr>
                <w:noProof/>
                <w:webHidden/>
              </w:rPr>
              <w:fldChar w:fldCharType="begin"/>
            </w:r>
            <w:r>
              <w:rPr>
                <w:noProof/>
                <w:webHidden/>
              </w:rPr>
              <w:instrText xml:space="preserve"> PAGEREF _Toc221259543 \h </w:instrText>
            </w:r>
            <w:r>
              <w:rPr>
                <w:noProof/>
                <w:webHidden/>
              </w:rPr>
            </w:r>
            <w:r>
              <w:rPr>
                <w:noProof/>
                <w:webHidden/>
              </w:rPr>
              <w:fldChar w:fldCharType="separate"/>
            </w:r>
            <w:r w:rsidR="00341C08">
              <w:rPr>
                <w:noProof/>
                <w:webHidden/>
              </w:rPr>
              <w:t>19</w:t>
            </w:r>
            <w:r>
              <w:rPr>
                <w:noProof/>
                <w:webHidden/>
              </w:rPr>
              <w:fldChar w:fldCharType="end"/>
            </w:r>
          </w:hyperlink>
        </w:p>
        <w:p w:rsidR="0071676B" w:rsidRDefault="0071676B" w14:paraId="60E6076E" w14:textId="789F05C7">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21259544">
            <w:r w:rsidRPr="00342BE3">
              <w:rPr>
                <w:rStyle w:val="Hyperlink"/>
                <w:noProof/>
              </w:rPr>
              <w:t>7.2.2.2.</w:t>
            </w:r>
            <w:r>
              <w:rPr>
                <w:rFonts w:asciiTheme="minorHAnsi" w:hAnsiTheme="minorHAnsi" w:eastAsiaTheme="minorEastAsia"/>
                <w:noProof/>
                <w:kern w:val="2"/>
                <w:sz w:val="24"/>
                <w:szCs w:val="24"/>
                <w14:ligatures w14:val="standardContextual"/>
              </w:rPr>
              <w:tab/>
            </w:r>
            <w:r w:rsidRPr="00342BE3">
              <w:rPr>
                <w:rStyle w:val="Hyperlink"/>
                <w:noProof/>
              </w:rPr>
              <w:t>Alternative Source of Water</w:t>
            </w:r>
            <w:r>
              <w:rPr>
                <w:noProof/>
                <w:webHidden/>
              </w:rPr>
              <w:tab/>
            </w:r>
            <w:r>
              <w:rPr>
                <w:noProof/>
                <w:webHidden/>
              </w:rPr>
              <w:fldChar w:fldCharType="begin"/>
            </w:r>
            <w:r>
              <w:rPr>
                <w:noProof/>
                <w:webHidden/>
              </w:rPr>
              <w:instrText xml:space="preserve"> PAGEREF _Toc221259544 \h </w:instrText>
            </w:r>
            <w:r>
              <w:rPr>
                <w:noProof/>
                <w:webHidden/>
              </w:rPr>
            </w:r>
            <w:r>
              <w:rPr>
                <w:noProof/>
                <w:webHidden/>
              </w:rPr>
              <w:fldChar w:fldCharType="separate"/>
            </w:r>
            <w:r w:rsidR="00341C08">
              <w:rPr>
                <w:noProof/>
                <w:webHidden/>
              </w:rPr>
              <w:t>20</w:t>
            </w:r>
            <w:r>
              <w:rPr>
                <w:noProof/>
                <w:webHidden/>
              </w:rPr>
              <w:fldChar w:fldCharType="end"/>
            </w:r>
          </w:hyperlink>
        </w:p>
        <w:p w:rsidR="0071676B" w:rsidRDefault="0071676B" w14:paraId="73B7FEC5" w14:textId="02887B79">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21259545">
            <w:r w:rsidRPr="00342BE3">
              <w:rPr>
                <w:rStyle w:val="Hyperlink"/>
                <w:noProof/>
              </w:rPr>
              <w:t>7.2.2.3.</w:t>
            </w:r>
            <w:r>
              <w:rPr>
                <w:rFonts w:asciiTheme="minorHAnsi" w:hAnsiTheme="minorHAnsi" w:eastAsiaTheme="minorEastAsia"/>
                <w:noProof/>
                <w:kern w:val="2"/>
                <w:sz w:val="24"/>
                <w:szCs w:val="24"/>
                <w14:ligatures w14:val="standardContextual"/>
              </w:rPr>
              <w:tab/>
            </w:r>
            <w:r w:rsidRPr="00342BE3">
              <w:rPr>
                <w:rStyle w:val="Hyperlink"/>
                <w:noProof/>
              </w:rPr>
              <w:t>Providing Notice to the Commission</w:t>
            </w:r>
            <w:r>
              <w:rPr>
                <w:noProof/>
                <w:webHidden/>
              </w:rPr>
              <w:tab/>
            </w:r>
            <w:r>
              <w:rPr>
                <w:noProof/>
                <w:webHidden/>
              </w:rPr>
              <w:fldChar w:fldCharType="begin"/>
            </w:r>
            <w:r>
              <w:rPr>
                <w:noProof/>
                <w:webHidden/>
              </w:rPr>
              <w:instrText xml:space="preserve"> PAGEREF _Toc221259545 \h </w:instrText>
            </w:r>
            <w:r>
              <w:rPr>
                <w:noProof/>
                <w:webHidden/>
              </w:rPr>
            </w:r>
            <w:r>
              <w:rPr>
                <w:noProof/>
                <w:webHidden/>
              </w:rPr>
              <w:fldChar w:fldCharType="separate"/>
            </w:r>
            <w:r w:rsidR="00341C08">
              <w:rPr>
                <w:noProof/>
                <w:webHidden/>
              </w:rPr>
              <w:t>21</w:t>
            </w:r>
            <w:r>
              <w:rPr>
                <w:noProof/>
                <w:webHidden/>
              </w:rPr>
              <w:fldChar w:fldCharType="end"/>
            </w:r>
          </w:hyperlink>
        </w:p>
        <w:p w:rsidR="0071676B" w:rsidRDefault="0071676B" w14:paraId="74B5B669" w14:textId="2C1C6DCF">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21259546">
            <w:r w:rsidRPr="00342BE3">
              <w:rPr>
                <w:rStyle w:val="Hyperlink"/>
                <w:noProof/>
              </w:rPr>
              <w:t>7.2.2.4.</w:t>
            </w:r>
            <w:r>
              <w:rPr>
                <w:rFonts w:asciiTheme="minorHAnsi" w:hAnsiTheme="minorHAnsi" w:eastAsiaTheme="minorEastAsia"/>
                <w:noProof/>
                <w:kern w:val="2"/>
                <w:sz w:val="24"/>
                <w:szCs w:val="24"/>
                <w14:ligatures w14:val="standardContextual"/>
              </w:rPr>
              <w:tab/>
            </w:r>
            <w:r w:rsidRPr="00342BE3">
              <w:rPr>
                <w:rStyle w:val="Hyperlink"/>
                <w:noProof/>
              </w:rPr>
              <w:t>Certified Operators</w:t>
            </w:r>
            <w:r>
              <w:rPr>
                <w:noProof/>
                <w:webHidden/>
              </w:rPr>
              <w:tab/>
            </w:r>
            <w:r>
              <w:rPr>
                <w:noProof/>
                <w:webHidden/>
              </w:rPr>
              <w:fldChar w:fldCharType="begin"/>
            </w:r>
            <w:r>
              <w:rPr>
                <w:noProof/>
                <w:webHidden/>
              </w:rPr>
              <w:instrText xml:space="preserve"> PAGEREF _Toc221259546 \h </w:instrText>
            </w:r>
            <w:r>
              <w:rPr>
                <w:noProof/>
                <w:webHidden/>
              </w:rPr>
            </w:r>
            <w:r>
              <w:rPr>
                <w:noProof/>
                <w:webHidden/>
              </w:rPr>
              <w:fldChar w:fldCharType="separate"/>
            </w:r>
            <w:r w:rsidR="00341C08">
              <w:rPr>
                <w:noProof/>
                <w:webHidden/>
              </w:rPr>
              <w:t>22</w:t>
            </w:r>
            <w:r>
              <w:rPr>
                <w:noProof/>
                <w:webHidden/>
              </w:rPr>
              <w:fldChar w:fldCharType="end"/>
            </w:r>
          </w:hyperlink>
        </w:p>
        <w:p w:rsidR="0071676B" w:rsidRDefault="0071676B" w14:paraId="7A23DB3E" w14:textId="42CB587B">
          <w:pPr>
            <w:pStyle w:val="TOC2"/>
            <w:tabs>
              <w:tab w:val="right" w:leader="dot" w:pos="9350"/>
            </w:tabs>
            <w:rPr>
              <w:rFonts w:asciiTheme="minorHAnsi" w:hAnsiTheme="minorHAnsi" w:cstheme="minorBidi"/>
              <w:noProof/>
              <w:kern w:val="2"/>
              <w:sz w:val="24"/>
              <w:szCs w:val="24"/>
              <w14:ligatures w14:val="standardContextual"/>
            </w:rPr>
          </w:pPr>
          <w:hyperlink w:history="1" w:anchor="_Toc221259547">
            <w:r w:rsidRPr="00342BE3">
              <w:rPr>
                <w:rStyle w:val="Hyperlink"/>
                <w:noProof/>
              </w:rPr>
              <w:t>7.3.</w:t>
            </w:r>
            <w:r>
              <w:rPr>
                <w:rFonts w:asciiTheme="minorHAnsi" w:hAnsiTheme="minorHAnsi" w:cstheme="minorBidi"/>
                <w:noProof/>
                <w:kern w:val="2"/>
                <w:sz w:val="24"/>
                <w:szCs w:val="24"/>
                <w14:ligatures w14:val="standardContextual"/>
              </w:rPr>
              <w:tab/>
            </w:r>
            <w:r w:rsidRPr="00342BE3">
              <w:rPr>
                <w:rStyle w:val="Hyperlink"/>
                <w:noProof/>
              </w:rPr>
              <w:t>State - California Public Utilities Commission, Water Division (WD)</w:t>
            </w:r>
            <w:r>
              <w:rPr>
                <w:noProof/>
                <w:webHidden/>
              </w:rPr>
              <w:tab/>
            </w:r>
            <w:r>
              <w:rPr>
                <w:noProof/>
                <w:webHidden/>
              </w:rPr>
              <w:fldChar w:fldCharType="begin"/>
            </w:r>
            <w:r>
              <w:rPr>
                <w:noProof/>
                <w:webHidden/>
              </w:rPr>
              <w:instrText xml:space="preserve"> PAGEREF _Toc221259547 \h </w:instrText>
            </w:r>
            <w:r>
              <w:rPr>
                <w:noProof/>
                <w:webHidden/>
              </w:rPr>
            </w:r>
            <w:r>
              <w:rPr>
                <w:noProof/>
                <w:webHidden/>
              </w:rPr>
              <w:fldChar w:fldCharType="separate"/>
            </w:r>
            <w:r w:rsidR="00341C08">
              <w:rPr>
                <w:noProof/>
                <w:webHidden/>
              </w:rPr>
              <w:t>24</w:t>
            </w:r>
            <w:r>
              <w:rPr>
                <w:noProof/>
                <w:webHidden/>
              </w:rPr>
              <w:fldChar w:fldCharType="end"/>
            </w:r>
          </w:hyperlink>
        </w:p>
        <w:p w:rsidR="0071676B" w:rsidRDefault="0071676B" w14:paraId="4C9ED887" w14:textId="23BC660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1259548">
            <w:r w:rsidRPr="00342BE3">
              <w:rPr>
                <w:rStyle w:val="Hyperlink"/>
                <w:noProof/>
              </w:rPr>
              <w:t>7.3.1.</w:t>
            </w:r>
            <w:r>
              <w:rPr>
                <w:rFonts w:asciiTheme="minorHAnsi" w:hAnsiTheme="minorHAnsi" w:cstheme="minorBidi"/>
                <w:noProof/>
                <w:kern w:val="2"/>
                <w:sz w:val="24"/>
                <w:szCs w:val="24"/>
                <w14:ligatures w14:val="standardContextual"/>
              </w:rPr>
              <w:tab/>
            </w:r>
            <w:r w:rsidRPr="00342BE3">
              <w:rPr>
                <w:rStyle w:val="Hyperlink"/>
                <w:noProof/>
              </w:rPr>
              <w:t>WD Oversight of Havasu Under Pub. Util. Code § 702 from March 2022 to May 2025 - Havasu Was Non-Compliant and Unresponsive to WD Oversight</w:t>
            </w:r>
            <w:r>
              <w:rPr>
                <w:noProof/>
                <w:webHidden/>
              </w:rPr>
              <w:tab/>
            </w:r>
            <w:r>
              <w:rPr>
                <w:noProof/>
                <w:webHidden/>
              </w:rPr>
              <w:fldChar w:fldCharType="begin"/>
            </w:r>
            <w:r>
              <w:rPr>
                <w:noProof/>
                <w:webHidden/>
              </w:rPr>
              <w:instrText xml:space="preserve"> PAGEREF _Toc221259548 \h </w:instrText>
            </w:r>
            <w:r>
              <w:rPr>
                <w:noProof/>
                <w:webHidden/>
              </w:rPr>
            </w:r>
            <w:r>
              <w:rPr>
                <w:noProof/>
                <w:webHidden/>
              </w:rPr>
              <w:fldChar w:fldCharType="separate"/>
            </w:r>
            <w:r w:rsidR="00341C08">
              <w:rPr>
                <w:noProof/>
                <w:webHidden/>
              </w:rPr>
              <w:t>24</w:t>
            </w:r>
            <w:r>
              <w:rPr>
                <w:noProof/>
                <w:webHidden/>
              </w:rPr>
              <w:fldChar w:fldCharType="end"/>
            </w:r>
          </w:hyperlink>
        </w:p>
        <w:p w:rsidR="0071676B" w:rsidRDefault="0071676B" w14:paraId="04E58864" w14:textId="680EB6B2">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1259549">
            <w:r w:rsidRPr="00342BE3">
              <w:rPr>
                <w:rStyle w:val="Hyperlink"/>
                <w:noProof/>
              </w:rPr>
              <w:t>7.3.2.</w:t>
            </w:r>
            <w:r>
              <w:rPr>
                <w:rFonts w:asciiTheme="minorHAnsi" w:hAnsiTheme="minorHAnsi" w:cstheme="minorBidi"/>
                <w:noProof/>
                <w:kern w:val="2"/>
                <w:sz w:val="24"/>
                <w:szCs w:val="24"/>
                <w14:ligatures w14:val="standardContextual"/>
              </w:rPr>
              <w:tab/>
            </w:r>
            <w:r w:rsidRPr="00342BE3">
              <w:rPr>
                <w:rStyle w:val="Hyperlink"/>
                <w:noProof/>
              </w:rPr>
              <w:t>In October 2024, Havasu Violated Pub. Util. Code § 702 When It Failed to Respond to a Data Request by WD but Havasu Did Not Violate Pub. Util. Code § 702 for Data Requests in September 2025</w:t>
            </w:r>
            <w:r>
              <w:rPr>
                <w:noProof/>
                <w:webHidden/>
              </w:rPr>
              <w:tab/>
            </w:r>
            <w:r>
              <w:rPr>
                <w:noProof/>
                <w:webHidden/>
              </w:rPr>
              <w:fldChar w:fldCharType="begin"/>
            </w:r>
            <w:r>
              <w:rPr>
                <w:noProof/>
                <w:webHidden/>
              </w:rPr>
              <w:instrText xml:space="preserve"> PAGEREF _Toc221259549 \h </w:instrText>
            </w:r>
            <w:r>
              <w:rPr>
                <w:noProof/>
                <w:webHidden/>
              </w:rPr>
            </w:r>
            <w:r>
              <w:rPr>
                <w:noProof/>
                <w:webHidden/>
              </w:rPr>
              <w:fldChar w:fldCharType="separate"/>
            </w:r>
            <w:r w:rsidR="00341C08">
              <w:rPr>
                <w:noProof/>
                <w:webHidden/>
              </w:rPr>
              <w:t>28</w:t>
            </w:r>
            <w:r>
              <w:rPr>
                <w:noProof/>
                <w:webHidden/>
              </w:rPr>
              <w:fldChar w:fldCharType="end"/>
            </w:r>
          </w:hyperlink>
        </w:p>
        <w:p w:rsidR="0071676B" w:rsidRDefault="0071676B" w14:paraId="74AE1388" w14:textId="77B97BD5">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1259550">
            <w:r w:rsidRPr="00342BE3">
              <w:rPr>
                <w:rStyle w:val="Hyperlink"/>
                <w:noProof/>
              </w:rPr>
              <w:t>7.3.3.</w:t>
            </w:r>
            <w:r>
              <w:rPr>
                <w:rFonts w:asciiTheme="minorHAnsi" w:hAnsiTheme="minorHAnsi" w:cstheme="minorBidi"/>
                <w:noProof/>
                <w:kern w:val="2"/>
                <w:sz w:val="24"/>
                <w:szCs w:val="24"/>
                <w14:ligatures w14:val="standardContextual"/>
              </w:rPr>
              <w:tab/>
            </w:r>
            <w:r w:rsidRPr="00342BE3">
              <w:rPr>
                <w:rStyle w:val="Hyperlink"/>
                <w:noProof/>
              </w:rPr>
              <w:t>On April 8, 2024, Havasu Violated Pub. Util. Code § 702 When It Failed to Comply with Commission D.24-03-053</w:t>
            </w:r>
            <w:r>
              <w:rPr>
                <w:noProof/>
                <w:webHidden/>
              </w:rPr>
              <w:tab/>
            </w:r>
            <w:r>
              <w:rPr>
                <w:noProof/>
                <w:webHidden/>
              </w:rPr>
              <w:fldChar w:fldCharType="begin"/>
            </w:r>
            <w:r>
              <w:rPr>
                <w:noProof/>
                <w:webHidden/>
              </w:rPr>
              <w:instrText xml:space="preserve"> PAGEREF _Toc221259550 \h </w:instrText>
            </w:r>
            <w:r>
              <w:rPr>
                <w:noProof/>
                <w:webHidden/>
              </w:rPr>
            </w:r>
            <w:r>
              <w:rPr>
                <w:noProof/>
                <w:webHidden/>
              </w:rPr>
              <w:fldChar w:fldCharType="separate"/>
            </w:r>
            <w:r w:rsidR="00341C08">
              <w:rPr>
                <w:noProof/>
                <w:webHidden/>
              </w:rPr>
              <w:t>30</w:t>
            </w:r>
            <w:r>
              <w:rPr>
                <w:noProof/>
                <w:webHidden/>
              </w:rPr>
              <w:fldChar w:fldCharType="end"/>
            </w:r>
          </w:hyperlink>
        </w:p>
        <w:p w:rsidR="0071676B" w:rsidRDefault="0071676B" w14:paraId="553032E1" w14:textId="573A86C7">
          <w:pPr>
            <w:pStyle w:val="TOC2"/>
            <w:tabs>
              <w:tab w:val="right" w:leader="dot" w:pos="9350"/>
            </w:tabs>
            <w:rPr>
              <w:rFonts w:asciiTheme="minorHAnsi" w:hAnsiTheme="minorHAnsi" w:cstheme="minorBidi"/>
              <w:noProof/>
              <w:kern w:val="2"/>
              <w:sz w:val="24"/>
              <w:szCs w:val="24"/>
              <w14:ligatures w14:val="standardContextual"/>
            </w:rPr>
          </w:pPr>
          <w:hyperlink w:history="1" w:anchor="_Toc221259551">
            <w:r w:rsidRPr="00342BE3">
              <w:rPr>
                <w:rStyle w:val="Hyperlink"/>
                <w:noProof/>
              </w:rPr>
              <w:t>7.4.</w:t>
            </w:r>
            <w:r>
              <w:rPr>
                <w:rFonts w:asciiTheme="minorHAnsi" w:hAnsiTheme="minorHAnsi" w:cstheme="minorBidi"/>
                <w:noProof/>
                <w:kern w:val="2"/>
                <w:sz w:val="24"/>
                <w:szCs w:val="24"/>
                <w14:ligatures w14:val="standardContextual"/>
              </w:rPr>
              <w:tab/>
            </w:r>
            <w:r w:rsidRPr="00342BE3">
              <w:rPr>
                <w:rStyle w:val="Hyperlink"/>
                <w:noProof/>
              </w:rPr>
              <w:t>County – San Bernardino County Department of Public Works (SBCPW)</w:t>
            </w:r>
            <w:r>
              <w:rPr>
                <w:noProof/>
                <w:webHidden/>
              </w:rPr>
              <w:tab/>
            </w:r>
            <w:r>
              <w:rPr>
                <w:noProof/>
                <w:webHidden/>
              </w:rPr>
              <w:fldChar w:fldCharType="begin"/>
            </w:r>
            <w:r>
              <w:rPr>
                <w:noProof/>
                <w:webHidden/>
              </w:rPr>
              <w:instrText xml:space="preserve"> PAGEREF _Toc221259551 \h </w:instrText>
            </w:r>
            <w:r>
              <w:rPr>
                <w:noProof/>
                <w:webHidden/>
              </w:rPr>
            </w:r>
            <w:r>
              <w:rPr>
                <w:noProof/>
                <w:webHidden/>
              </w:rPr>
              <w:fldChar w:fldCharType="separate"/>
            </w:r>
            <w:r w:rsidR="00341C08">
              <w:rPr>
                <w:noProof/>
                <w:webHidden/>
              </w:rPr>
              <w:t>33</w:t>
            </w:r>
            <w:r>
              <w:rPr>
                <w:noProof/>
                <w:webHidden/>
              </w:rPr>
              <w:fldChar w:fldCharType="end"/>
            </w:r>
          </w:hyperlink>
        </w:p>
        <w:p w:rsidR="0071676B" w:rsidRDefault="0071676B" w14:paraId="351CBFED" w14:textId="6262B07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1259552">
            <w:r w:rsidRPr="00342BE3">
              <w:rPr>
                <w:rStyle w:val="Hyperlink"/>
                <w:noProof/>
              </w:rPr>
              <w:t>7.4.1.</w:t>
            </w:r>
            <w:r>
              <w:rPr>
                <w:rFonts w:asciiTheme="minorHAnsi" w:hAnsiTheme="minorHAnsi" w:cstheme="minorBidi"/>
                <w:noProof/>
                <w:kern w:val="2"/>
                <w:sz w:val="24"/>
                <w:szCs w:val="24"/>
                <w14:ligatures w14:val="standardContextual"/>
              </w:rPr>
              <w:tab/>
            </w:r>
            <w:r w:rsidRPr="00342BE3">
              <w:rPr>
                <w:rStyle w:val="Hyperlink"/>
                <w:noProof/>
              </w:rPr>
              <w:t>From January 2021 through February 2023, Havasu Violated GO 103-A (II)(C)(3) When It Failed to Comply with SBCPW Safety Standards and Ordinances - Havasu Was Non-Compliant and Unresponsive to SBCPW thereby Causing a Public Health and Safety Risk</w:t>
            </w:r>
            <w:r>
              <w:rPr>
                <w:noProof/>
                <w:webHidden/>
              </w:rPr>
              <w:tab/>
            </w:r>
            <w:r>
              <w:rPr>
                <w:noProof/>
                <w:webHidden/>
              </w:rPr>
              <w:fldChar w:fldCharType="begin"/>
            </w:r>
            <w:r>
              <w:rPr>
                <w:noProof/>
                <w:webHidden/>
              </w:rPr>
              <w:instrText xml:space="preserve"> PAGEREF _Toc221259552 \h </w:instrText>
            </w:r>
            <w:r>
              <w:rPr>
                <w:noProof/>
                <w:webHidden/>
              </w:rPr>
            </w:r>
            <w:r>
              <w:rPr>
                <w:noProof/>
                <w:webHidden/>
              </w:rPr>
              <w:fldChar w:fldCharType="separate"/>
            </w:r>
            <w:r w:rsidR="00341C08">
              <w:rPr>
                <w:noProof/>
                <w:webHidden/>
              </w:rPr>
              <w:t>33</w:t>
            </w:r>
            <w:r>
              <w:rPr>
                <w:noProof/>
                <w:webHidden/>
              </w:rPr>
              <w:fldChar w:fldCharType="end"/>
            </w:r>
          </w:hyperlink>
        </w:p>
        <w:p w:rsidR="0071676B" w:rsidRDefault="0071676B" w14:paraId="2AFBA6F0" w14:textId="3206FC5E">
          <w:pPr>
            <w:pStyle w:val="TOC2"/>
            <w:tabs>
              <w:tab w:val="right" w:leader="dot" w:pos="9350"/>
            </w:tabs>
            <w:rPr>
              <w:rFonts w:asciiTheme="minorHAnsi" w:hAnsiTheme="minorHAnsi" w:cstheme="minorBidi"/>
              <w:noProof/>
              <w:kern w:val="2"/>
              <w:sz w:val="24"/>
              <w:szCs w:val="24"/>
              <w14:ligatures w14:val="standardContextual"/>
            </w:rPr>
          </w:pPr>
          <w:hyperlink w:history="1" w:anchor="_Toc221259553">
            <w:r w:rsidRPr="00342BE3">
              <w:rPr>
                <w:rStyle w:val="Hyperlink"/>
                <w:noProof/>
              </w:rPr>
              <w:t>7.5.</w:t>
            </w:r>
            <w:r>
              <w:rPr>
                <w:rFonts w:asciiTheme="minorHAnsi" w:hAnsiTheme="minorHAnsi" w:cstheme="minorBidi"/>
                <w:noProof/>
                <w:kern w:val="2"/>
                <w:sz w:val="24"/>
                <w:szCs w:val="24"/>
                <w14:ligatures w14:val="standardContextual"/>
              </w:rPr>
              <w:tab/>
            </w:r>
            <w:r w:rsidRPr="00342BE3">
              <w:rPr>
                <w:rStyle w:val="Hyperlink"/>
                <w:noProof/>
              </w:rPr>
              <w:t>Authorization to Petition for a Receivership for Havasu in Superior Court</w:t>
            </w:r>
            <w:r>
              <w:rPr>
                <w:noProof/>
                <w:webHidden/>
              </w:rPr>
              <w:tab/>
            </w:r>
            <w:r>
              <w:rPr>
                <w:noProof/>
                <w:webHidden/>
              </w:rPr>
              <w:fldChar w:fldCharType="begin"/>
            </w:r>
            <w:r>
              <w:rPr>
                <w:noProof/>
                <w:webHidden/>
              </w:rPr>
              <w:instrText xml:space="preserve"> PAGEREF _Toc221259553 \h </w:instrText>
            </w:r>
            <w:r>
              <w:rPr>
                <w:noProof/>
                <w:webHidden/>
              </w:rPr>
            </w:r>
            <w:r>
              <w:rPr>
                <w:noProof/>
                <w:webHidden/>
              </w:rPr>
              <w:fldChar w:fldCharType="separate"/>
            </w:r>
            <w:r w:rsidR="00341C08">
              <w:rPr>
                <w:noProof/>
                <w:webHidden/>
              </w:rPr>
              <w:t>35</w:t>
            </w:r>
            <w:r>
              <w:rPr>
                <w:noProof/>
                <w:webHidden/>
              </w:rPr>
              <w:fldChar w:fldCharType="end"/>
            </w:r>
          </w:hyperlink>
        </w:p>
        <w:p w:rsidR="0071676B" w:rsidRDefault="0071676B" w14:paraId="134015BD" w14:textId="20D97667">
          <w:pPr>
            <w:pStyle w:val="TOC1"/>
            <w:tabs>
              <w:tab w:val="right" w:leader="dot" w:pos="9350"/>
            </w:tabs>
            <w:rPr>
              <w:rFonts w:asciiTheme="minorHAnsi" w:hAnsiTheme="minorHAnsi" w:cstheme="minorBidi"/>
              <w:noProof/>
              <w:kern w:val="2"/>
              <w:sz w:val="24"/>
              <w:szCs w:val="24"/>
              <w14:ligatures w14:val="standardContextual"/>
            </w:rPr>
          </w:pPr>
          <w:hyperlink w:history="1" w:anchor="_Toc221259554">
            <w:r w:rsidRPr="00342BE3">
              <w:rPr>
                <w:rStyle w:val="Hyperlink"/>
                <w:noProof/>
              </w:rPr>
              <w:t>8.</w:t>
            </w:r>
            <w:r>
              <w:rPr>
                <w:rFonts w:asciiTheme="minorHAnsi" w:hAnsiTheme="minorHAnsi" w:cstheme="minorBidi"/>
                <w:noProof/>
                <w:kern w:val="2"/>
                <w:sz w:val="24"/>
                <w:szCs w:val="24"/>
                <w14:ligatures w14:val="standardContextual"/>
              </w:rPr>
              <w:tab/>
            </w:r>
            <w:r w:rsidRPr="00342BE3">
              <w:rPr>
                <w:rStyle w:val="Hyperlink"/>
                <w:noProof/>
              </w:rPr>
              <w:t>Resolution of K.25-06-028 - From July 2024 to August 2025, Havasu Violated Pub. Util. Code § 2713(a) and GO 103-A (VII)(2)(B) When It Failed to Properly Inspect, Repair and Replace Its Fire Hydrants in Its Service Area Thereby Causing a Public Health and Safety Risk</w:t>
            </w:r>
            <w:r>
              <w:rPr>
                <w:noProof/>
                <w:webHidden/>
              </w:rPr>
              <w:tab/>
            </w:r>
            <w:r>
              <w:rPr>
                <w:noProof/>
                <w:webHidden/>
              </w:rPr>
              <w:fldChar w:fldCharType="begin"/>
            </w:r>
            <w:r>
              <w:rPr>
                <w:noProof/>
                <w:webHidden/>
              </w:rPr>
              <w:instrText xml:space="preserve"> PAGEREF _Toc221259554 \h </w:instrText>
            </w:r>
            <w:r>
              <w:rPr>
                <w:noProof/>
                <w:webHidden/>
              </w:rPr>
            </w:r>
            <w:r>
              <w:rPr>
                <w:noProof/>
                <w:webHidden/>
              </w:rPr>
              <w:fldChar w:fldCharType="separate"/>
            </w:r>
            <w:r w:rsidR="00341C08">
              <w:rPr>
                <w:noProof/>
                <w:webHidden/>
              </w:rPr>
              <w:t>37</w:t>
            </w:r>
            <w:r>
              <w:rPr>
                <w:noProof/>
                <w:webHidden/>
              </w:rPr>
              <w:fldChar w:fldCharType="end"/>
            </w:r>
          </w:hyperlink>
        </w:p>
        <w:p w:rsidR="0071676B" w:rsidRDefault="0071676B" w14:paraId="1C8EB141" w14:textId="0221A9B4">
          <w:pPr>
            <w:pStyle w:val="TOC2"/>
            <w:tabs>
              <w:tab w:val="right" w:leader="dot" w:pos="9350"/>
            </w:tabs>
            <w:rPr>
              <w:rFonts w:asciiTheme="minorHAnsi" w:hAnsiTheme="minorHAnsi" w:cstheme="minorBidi"/>
              <w:noProof/>
              <w:kern w:val="2"/>
              <w:sz w:val="24"/>
              <w:szCs w:val="24"/>
              <w14:ligatures w14:val="standardContextual"/>
            </w:rPr>
          </w:pPr>
          <w:hyperlink w:history="1" w:anchor="_Toc221259555">
            <w:r w:rsidRPr="00342BE3">
              <w:rPr>
                <w:rStyle w:val="Hyperlink"/>
                <w:noProof/>
              </w:rPr>
              <w:t>8.1.</w:t>
            </w:r>
            <w:r>
              <w:rPr>
                <w:rFonts w:asciiTheme="minorHAnsi" w:hAnsiTheme="minorHAnsi" w:cstheme="minorBidi"/>
                <w:noProof/>
                <w:kern w:val="2"/>
                <w:sz w:val="24"/>
                <w:szCs w:val="24"/>
                <w14:ligatures w14:val="standardContextual"/>
              </w:rPr>
              <w:tab/>
            </w:r>
            <w:r w:rsidRPr="00342BE3">
              <w:rPr>
                <w:rStyle w:val="Hyperlink"/>
                <w:noProof/>
              </w:rPr>
              <w:t>Discussion</w:t>
            </w:r>
            <w:r>
              <w:rPr>
                <w:noProof/>
                <w:webHidden/>
              </w:rPr>
              <w:tab/>
            </w:r>
            <w:r>
              <w:rPr>
                <w:noProof/>
                <w:webHidden/>
              </w:rPr>
              <w:fldChar w:fldCharType="begin"/>
            </w:r>
            <w:r>
              <w:rPr>
                <w:noProof/>
                <w:webHidden/>
              </w:rPr>
              <w:instrText xml:space="preserve"> PAGEREF _Toc221259555 \h </w:instrText>
            </w:r>
            <w:r>
              <w:rPr>
                <w:noProof/>
                <w:webHidden/>
              </w:rPr>
            </w:r>
            <w:r>
              <w:rPr>
                <w:noProof/>
                <w:webHidden/>
              </w:rPr>
              <w:fldChar w:fldCharType="separate"/>
            </w:r>
            <w:r w:rsidR="00341C08">
              <w:rPr>
                <w:noProof/>
                <w:webHidden/>
              </w:rPr>
              <w:t>39</w:t>
            </w:r>
            <w:r>
              <w:rPr>
                <w:noProof/>
                <w:webHidden/>
              </w:rPr>
              <w:fldChar w:fldCharType="end"/>
            </w:r>
          </w:hyperlink>
        </w:p>
        <w:p w:rsidR="0071676B" w:rsidRDefault="0071676B" w14:paraId="2932C9EE" w14:textId="5C4AF932">
          <w:pPr>
            <w:pStyle w:val="TOC1"/>
            <w:tabs>
              <w:tab w:val="right" w:leader="dot" w:pos="9350"/>
            </w:tabs>
            <w:rPr>
              <w:rFonts w:asciiTheme="minorHAnsi" w:hAnsiTheme="minorHAnsi" w:cstheme="minorBidi"/>
              <w:noProof/>
              <w:kern w:val="2"/>
              <w:sz w:val="24"/>
              <w:szCs w:val="24"/>
              <w14:ligatures w14:val="standardContextual"/>
            </w:rPr>
          </w:pPr>
          <w:hyperlink w:history="1" w:anchor="_Toc221259556">
            <w:r w:rsidRPr="00342BE3">
              <w:rPr>
                <w:rStyle w:val="Hyperlink"/>
                <w:noProof/>
              </w:rPr>
              <w:t>9.</w:t>
            </w:r>
            <w:r>
              <w:rPr>
                <w:rFonts w:asciiTheme="minorHAnsi" w:hAnsiTheme="minorHAnsi" w:cstheme="minorBidi"/>
                <w:noProof/>
                <w:kern w:val="2"/>
                <w:sz w:val="24"/>
                <w:szCs w:val="24"/>
                <w14:ligatures w14:val="standardContextual"/>
              </w:rPr>
              <w:tab/>
            </w:r>
            <w:r w:rsidRPr="00342BE3">
              <w:rPr>
                <w:rStyle w:val="Hyperlink"/>
                <w:noProof/>
              </w:rPr>
              <w:t>From March 2025 to Present, Havasu Did Not Violate Pub. Util. Code § 454 and Tariffs 12(B) and (C) When It Changed Its Customers’ Water Meters</w:t>
            </w:r>
            <w:r>
              <w:rPr>
                <w:noProof/>
                <w:webHidden/>
              </w:rPr>
              <w:tab/>
            </w:r>
            <w:r>
              <w:rPr>
                <w:noProof/>
                <w:webHidden/>
              </w:rPr>
              <w:fldChar w:fldCharType="begin"/>
            </w:r>
            <w:r>
              <w:rPr>
                <w:noProof/>
                <w:webHidden/>
              </w:rPr>
              <w:instrText xml:space="preserve"> PAGEREF _Toc221259556 \h </w:instrText>
            </w:r>
            <w:r>
              <w:rPr>
                <w:noProof/>
                <w:webHidden/>
              </w:rPr>
            </w:r>
            <w:r>
              <w:rPr>
                <w:noProof/>
                <w:webHidden/>
              </w:rPr>
              <w:fldChar w:fldCharType="separate"/>
            </w:r>
            <w:r w:rsidR="00341C08">
              <w:rPr>
                <w:noProof/>
                <w:webHidden/>
              </w:rPr>
              <w:t>43</w:t>
            </w:r>
            <w:r>
              <w:rPr>
                <w:noProof/>
                <w:webHidden/>
              </w:rPr>
              <w:fldChar w:fldCharType="end"/>
            </w:r>
          </w:hyperlink>
        </w:p>
        <w:p w:rsidR="0071676B" w:rsidRDefault="0071676B" w14:paraId="1C797599" w14:textId="4CD3A106">
          <w:pPr>
            <w:pStyle w:val="TOC1"/>
            <w:tabs>
              <w:tab w:val="right" w:leader="dot" w:pos="9350"/>
            </w:tabs>
            <w:rPr>
              <w:rFonts w:asciiTheme="minorHAnsi" w:hAnsiTheme="minorHAnsi" w:cstheme="minorBidi"/>
              <w:noProof/>
              <w:kern w:val="2"/>
              <w:sz w:val="24"/>
              <w:szCs w:val="24"/>
              <w14:ligatures w14:val="standardContextual"/>
            </w:rPr>
          </w:pPr>
          <w:hyperlink w:history="1" w:anchor="_Toc221259557">
            <w:r w:rsidRPr="00342BE3">
              <w:rPr>
                <w:rStyle w:val="Hyperlink"/>
                <w:noProof/>
              </w:rPr>
              <w:t>10.</w:t>
            </w:r>
            <w:r>
              <w:rPr>
                <w:rFonts w:asciiTheme="minorHAnsi" w:hAnsiTheme="minorHAnsi" w:cstheme="minorBidi"/>
                <w:noProof/>
                <w:kern w:val="2"/>
                <w:sz w:val="24"/>
                <w:szCs w:val="24"/>
                <w14:ligatures w14:val="standardContextual"/>
              </w:rPr>
              <w:tab/>
            </w:r>
            <w:r w:rsidRPr="00342BE3">
              <w:rPr>
                <w:rStyle w:val="Hyperlink"/>
                <w:noProof/>
              </w:rPr>
              <w:t>Violations of Rule 1.1 by Havasu</w:t>
            </w:r>
            <w:r>
              <w:rPr>
                <w:noProof/>
                <w:webHidden/>
              </w:rPr>
              <w:tab/>
            </w:r>
            <w:r>
              <w:rPr>
                <w:noProof/>
                <w:webHidden/>
              </w:rPr>
              <w:fldChar w:fldCharType="begin"/>
            </w:r>
            <w:r>
              <w:rPr>
                <w:noProof/>
                <w:webHidden/>
              </w:rPr>
              <w:instrText xml:space="preserve"> PAGEREF _Toc221259557 \h </w:instrText>
            </w:r>
            <w:r>
              <w:rPr>
                <w:noProof/>
                <w:webHidden/>
              </w:rPr>
            </w:r>
            <w:r>
              <w:rPr>
                <w:noProof/>
                <w:webHidden/>
              </w:rPr>
              <w:fldChar w:fldCharType="separate"/>
            </w:r>
            <w:r w:rsidR="00341C08">
              <w:rPr>
                <w:noProof/>
                <w:webHidden/>
              </w:rPr>
              <w:t>46</w:t>
            </w:r>
            <w:r>
              <w:rPr>
                <w:noProof/>
                <w:webHidden/>
              </w:rPr>
              <w:fldChar w:fldCharType="end"/>
            </w:r>
          </w:hyperlink>
        </w:p>
        <w:p w:rsidR="0071676B" w:rsidRDefault="0071676B" w14:paraId="7AA122A7" w14:textId="17EE1B85">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1259558">
            <w:r w:rsidRPr="00342BE3">
              <w:rPr>
                <w:rStyle w:val="Hyperlink"/>
                <w:noProof/>
              </w:rPr>
              <w:t>10.1.</w:t>
            </w:r>
            <w:r>
              <w:rPr>
                <w:rFonts w:asciiTheme="minorHAnsi" w:hAnsiTheme="minorHAnsi" w:cstheme="minorBidi"/>
                <w:noProof/>
                <w:kern w:val="2"/>
                <w:sz w:val="24"/>
                <w:szCs w:val="24"/>
                <w14:ligatures w14:val="standardContextual"/>
              </w:rPr>
              <w:tab/>
            </w:r>
            <w:r w:rsidRPr="00342BE3">
              <w:rPr>
                <w:rStyle w:val="Hyperlink"/>
                <w:noProof/>
              </w:rPr>
              <w:t>Havasu Correspondence</w:t>
            </w:r>
            <w:r>
              <w:rPr>
                <w:noProof/>
                <w:webHidden/>
              </w:rPr>
              <w:tab/>
            </w:r>
            <w:r>
              <w:rPr>
                <w:noProof/>
                <w:webHidden/>
              </w:rPr>
              <w:fldChar w:fldCharType="begin"/>
            </w:r>
            <w:r>
              <w:rPr>
                <w:noProof/>
                <w:webHidden/>
              </w:rPr>
              <w:instrText xml:space="preserve"> PAGEREF _Toc221259558 \h </w:instrText>
            </w:r>
            <w:r>
              <w:rPr>
                <w:noProof/>
                <w:webHidden/>
              </w:rPr>
            </w:r>
            <w:r>
              <w:rPr>
                <w:noProof/>
                <w:webHidden/>
              </w:rPr>
              <w:fldChar w:fldCharType="separate"/>
            </w:r>
            <w:r w:rsidR="00341C08">
              <w:rPr>
                <w:noProof/>
                <w:webHidden/>
              </w:rPr>
              <w:t>47</w:t>
            </w:r>
            <w:r>
              <w:rPr>
                <w:noProof/>
                <w:webHidden/>
              </w:rPr>
              <w:fldChar w:fldCharType="end"/>
            </w:r>
          </w:hyperlink>
        </w:p>
        <w:p w:rsidR="0071676B" w:rsidRDefault="0071676B" w14:paraId="12BB6A17" w14:textId="37C10AE2">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21259559">
            <w:r w:rsidRPr="00342BE3">
              <w:rPr>
                <w:rStyle w:val="Hyperlink"/>
                <w:noProof/>
              </w:rPr>
              <w:t>10.1.1.</w:t>
            </w:r>
            <w:r>
              <w:rPr>
                <w:rFonts w:asciiTheme="minorHAnsi" w:hAnsiTheme="minorHAnsi" w:cstheme="minorBidi"/>
                <w:noProof/>
                <w:kern w:val="2"/>
                <w:sz w:val="24"/>
                <w:szCs w:val="24"/>
                <w14:ligatures w14:val="standardContextual"/>
              </w:rPr>
              <w:tab/>
            </w:r>
            <w:r w:rsidRPr="00342BE3">
              <w:rPr>
                <w:rStyle w:val="Hyperlink"/>
                <w:noProof/>
              </w:rPr>
              <w:t>May 8, 2025</w:t>
            </w:r>
            <w:r>
              <w:rPr>
                <w:noProof/>
                <w:webHidden/>
              </w:rPr>
              <w:tab/>
            </w:r>
            <w:r>
              <w:rPr>
                <w:noProof/>
                <w:webHidden/>
              </w:rPr>
              <w:fldChar w:fldCharType="begin"/>
            </w:r>
            <w:r>
              <w:rPr>
                <w:noProof/>
                <w:webHidden/>
              </w:rPr>
              <w:instrText xml:space="preserve"> PAGEREF _Toc221259559 \h </w:instrText>
            </w:r>
            <w:r>
              <w:rPr>
                <w:noProof/>
                <w:webHidden/>
              </w:rPr>
            </w:r>
            <w:r>
              <w:rPr>
                <w:noProof/>
                <w:webHidden/>
              </w:rPr>
              <w:fldChar w:fldCharType="separate"/>
            </w:r>
            <w:r w:rsidR="00341C08">
              <w:rPr>
                <w:noProof/>
                <w:webHidden/>
              </w:rPr>
              <w:t>47</w:t>
            </w:r>
            <w:r>
              <w:rPr>
                <w:noProof/>
                <w:webHidden/>
              </w:rPr>
              <w:fldChar w:fldCharType="end"/>
            </w:r>
          </w:hyperlink>
        </w:p>
        <w:p w:rsidR="0071676B" w:rsidRDefault="0071676B" w14:paraId="3AE1ACED" w14:textId="3CE65587">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21259560">
            <w:r w:rsidRPr="00342BE3">
              <w:rPr>
                <w:rStyle w:val="Hyperlink"/>
                <w:noProof/>
              </w:rPr>
              <w:t>10.1.2.</w:t>
            </w:r>
            <w:r>
              <w:rPr>
                <w:rFonts w:asciiTheme="minorHAnsi" w:hAnsiTheme="minorHAnsi" w:cstheme="minorBidi"/>
                <w:noProof/>
                <w:kern w:val="2"/>
                <w:sz w:val="24"/>
                <w:szCs w:val="24"/>
                <w14:ligatures w14:val="standardContextual"/>
              </w:rPr>
              <w:tab/>
            </w:r>
            <w:r w:rsidRPr="00342BE3">
              <w:rPr>
                <w:rStyle w:val="Hyperlink"/>
                <w:noProof/>
              </w:rPr>
              <w:t>May 12, 2025</w:t>
            </w:r>
            <w:r>
              <w:rPr>
                <w:noProof/>
                <w:webHidden/>
              </w:rPr>
              <w:tab/>
            </w:r>
            <w:r>
              <w:rPr>
                <w:noProof/>
                <w:webHidden/>
              </w:rPr>
              <w:fldChar w:fldCharType="begin"/>
            </w:r>
            <w:r>
              <w:rPr>
                <w:noProof/>
                <w:webHidden/>
              </w:rPr>
              <w:instrText xml:space="preserve"> PAGEREF _Toc221259560 \h </w:instrText>
            </w:r>
            <w:r>
              <w:rPr>
                <w:noProof/>
                <w:webHidden/>
              </w:rPr>
            </w:r>
            <w:r>
              <w:rPr>
                <w:noProof/>
                <w:webHidden/>
              </w:rPr>
              <w:fldChar w:fldCharType="separate"/>
            </w:r>
            <w:r w:rsidR="00341C08">
              <w:rPr>
                <w:noProof/>
                <w:webHidden/>
              </w:rPr>
              <w:t>48</w:t>
            </w:r>
            <w:r>
              <w:rPr>
                <w:noProof/>
                <w:webHidden/>
              </w:rPr>
              <w:fldChar w:fldCharType="end"/>
            </w:r>
          </w:hyperlink>
        </w:p>
        <w:p w:rsidR="0071676B" w:rsidRDefault="0071676B" w14:paraId="7EB3DF41" w14:textId="70CBB6C3">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1259561">
            <w:r w:rsidRPr="00342BE3">
              <w:rPr>
                <w:rStyle w:val="Hyperlink"/>
                <w:noProof/>
              </w:rPr>
              <w:t>10.2.</w:t>
            </w:r>
            <w:r>
              <w:rPr>
                <w:rFonts w:asciiTheme="minorHAnsi" w:hAnsiTheme="minorHAnsi" w:cstheme="minorBidi"/>
                <w:noProof/>
                <w:kern w:val="2"/>
                <w:sz w:val="24"/>
                <w:szCs w:val="24"/>
                <w14:ligatures w14:val="standardContextual"/>
              </w:rPr>
              <w:tab/>
            </w:r>
            <w:r w:rsidRPr="00342BE3">
              <w:rPr>
                <w:rStyle w:val="Hyperlink"/>
                <w:noProof/>
              </w:rPr>
              <w:t>Advice Letter dated December 8, 2023</w:t>
            </w:r>
            <w:r>
              <w:rPr>
                <w:noProof/>
                <w:webHidden/>
              </w:rPr>
              <w:tab/>
            </w:r>
            <w:r>
              <w:rPr>
                <w:noProof/>
                <w:webHidden/>
              </w:rPr>
              <w:fldChar w:fldCharType="begin"/>
            </w:r>
            <w:r>
              <w:rPr>
                <w:noProof/>
                <w:webHidden/>
              </w:rPr>
              <w:instrText xml:space="preserve"> PAGEREF _Toc221259561 \h </w:instrText>
            </w:r>
            <w:r>
              <w:rPr>
                <w:noProof/>
                <w:webHidden/>
              </w:rPr>
            </w:r>
            <w:r>
              <w:rPr>
                <w:noProof/>
                <w:webHidden/>
              </w:rPr>
              <w:fldChar w:fldCharType="separate"/>
            </w:r>
            <w:r w:rsidR="00341C08">
              <w:rPr>
                <w:noProof/>
                <w:webHidden/>
              </w:rPr>
              <w:t>50</w:t>
            </w:r>
            <w:r>
              <w:rPr>
                <w:noProof/>
                <w:webHidden/>
              </w:rPr>
              <w:fldChar w:fldCharType="end"/>
            </w:r>
          </w:hyperlink>
        </w:p>
        <w:p w:rsidR="0071676B" w:rsidRDefault="0071676B" w14:paraId="5588B4AD" w14:textId="582AB294">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1259562">
            <w:r w:rsidRPr="00342BE3">
              <w:rPr>
                <w:rStyle w:val="Hyperlink"/>
                <w:noProof/>
              </w:rPr>
              <w:t>10.3.</w:t>
            </w:r>
            <w:r>
              <w:rPr>
                <w:rFonts w:asciiTheme="minorHAnsi" w:hAnsiTheme="minorHAnsi" w:cstheme="minorBidi"/>
                <w:noProof/>
                <w:kern w:val="2"/>
                <w:sz w:val="24"/>
                <w:szCs w:val="24"/>
                <w14:ligatures w14:val="standardContextual"/>
              </w:rPr>
              <w:tab/>
            </w:r>
            <w:r w:rsidRPr="00342BE3">
              <w:rPr>
                <w:rStyle w:val="Hyperlink"/>
                <w:noProof/>
              </w:rPr>
              <w:t>Data Requests</w:t>
            </w:r>
            <w:r>
              <w:rPr>
                <w:noProof/>
                <w:webHidden/>
              </w:rPr>
              <w:tab/>
            </w:r>
            <w:r>
              <w:rPr>
                <w:noProof/>
                <w:webHidden/>
              </w:rPr>
              <w:fldChar w:fldCharType="begin"/>
            </w:r>
            <w:r>
              <w:rPr>
                <w:noProof/>
                <w:webHidden/>
              </w:rPr>
              <w:instrText xml:space="preserve"> PAGEREF _Toc221259562 \h </w:instrText>
            </w:r>
            <w:r>
              <w:rPr>
                <w:noProof/>
                <w:webHidden/>
              </w:rPr>
            </w:r>
            <w:r>
              <w:rPr>
                <w:noProof/>
                <w:webHidden/>
              </w:rPr>
              <w:fldChar w:fldCharType="separate"/>
            </w:r>
            <w:r w:rsidR="00341C08">
              <w:rPr>
                <w:noProof/>
                <w:webHidden/>
              </w:rPr>
              <w:t>52</w:t>
            </w:r>
            <w:r>
              <w:rPr>
                <w:noProof/>
                <w:webHidden/>
              </w:rPr>
              <w:fldChar w:fldCharType="end"/>
            </w:r>
          </w:hyperlink>
        </w:p>
        <w:p w:rsidR="0071676B" w:rsidRDefault="0071676B" w14:paraId="7888389F" w14:textId="5B0EB58B">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1259563">
            <w:r w:rsidRPr="00342BE3">
              <w:rPr>
                <w:rStyle w:val="Hyperlink"/>
                <w:noProof/>
              </w:rPr>
              <w:t>10.4.</w:t>
            </w:r>
            <w:r>
              <w:rPr>
                <w:rFonts w:asciiTheme="minorHAnsi" w:hAnsiTheme="minorHAnsi" w:cstheme="minorBidi"/>
                <w:noProof/>
                <w:kern w:val="2"/>
                <w:sz w:val="24"/>
                <w:szCs w:val="24"/>
                <w14:ligatures w14:val="standardContextual"/>
              </w:rPr>
              <w:tab/>
            </w:r>
            <w:r w:rsidRPr="00342BE3">
              <w:rPr>
                <w:rStyle w:val="Hyperlink"/>
                <w:noProof/>
              </w:rPr>
              <w:t>Failure to Comply with D.24-03-053</w:t>
            </w:r>
            <w:r>
              <w:rPr>
                <w:noProof/>
                <w:webHidden/>
              </w:rPr>
              <w:tab/>
            </w:r>
            <w:r>
              <w:rPr>
                <w:noProof/>
                <w:webHidden/>
              </w:rPr>
              <w:fldChar w:fldCharType="begin"/>
            </w:r>
            <w:r>
              <w:rPr>
                <w:noProof/>
                <w:webHidden/>
              </w:rPr>
              <w:instrText xml:space="preserve"> PAGEREF _Toc221259563 \h </w:instrText>
            </w:r>
            <w:r>
              <w:rPr>
                <w:noProof/>
                <w:webHidden/>
              </w:rPr>
            </w:r>
            <w:r>
              <w:rPr>
                <w:noProof/>
                <w:webHidden/>
              </w:rPr>
              <w:fldChar w:fldCharType="separate"/>
            </w:r>
            <w:r w:rsidR="00341C08">
              <w:rPr>
                <w:noProof/>
                <w:webHidden/>
              </w:rPr>
              <w:t>53</w:t>
            </w:r>
            <w:r>
              <w:rPr>
                <w:noProof/>
                <w:webHidden/>
              </w:rPr>
              <w:fldChar w:fldCharType="end"/>
            </w:r>
          </w:hyperlink>
        </w:p>
        <w:p w:rsidR="0071676B" w:rsidRDefault="0071676B" w14:paraId="1CF11B8F" w14:textId="6C3B99F0">
          <w:pPr>
            <w:pStyle w:val="TOC1"/>
            <w:tabs>
              <w:tab w:val="right" w:leader="dot" w:pos="9350"/>
            </w:tabs>
            <w:rPr>
              <w:rFonts w:asciiTheme="minorHAnsi" w:hAnsiTheme="minorHAnsi" w:cstheme="minorBidi"/>
              <w:noProof/>
              <w:kern w:val="2"/>
              <w:sz w:val="24"/>
              <w:szCs w:val="24"/>
              <w14:ligatures w14:val="standardContextual"/>
            </w:rPr>
          </w:pPr>
          <w:hyperlink w:history="1" w:anchor="_Toc221259564">
            <w:r w:rsidRPr="00342BE3">
              <w:rPr>
                <w:rStyle w:val="Hyperlink"/>
                <w:noProof/>
              </w:rPr>
              <w:t>11.</w:t>
            </w:r>
            <w:r>
              <w:rPr>
                <w:rFonts w:asciiTheme="minorHAnsi" w:hAnsiTheme="minorHAnsi" w:cstheme="minorBidi"/>
                <w:noProof/>
                <w:kern w:val="2"/>
                <w:sz w:val="24"/>
                <w:szCs w:val="24"/>
                <w14:ligatures w14:val="standardContextual"/>
              </w:rPr>
              <w:tab/>
            </w:r>
            <w:r w:rsidRPr="00342BE3">
              <w:rPr>
                <w:rStyle w:val="Hyperlink"/>
                <w:noProof/>
              </w:rPr>
              <w:t>Citation Number W.22-09-001</w:t>
            </w:r>
            <w:r>
              <w:rPr>
                <w:noProof/>
                <w:webHidden/>
              </w:rPr>
              <w:tab/>
            </w:r>
            <w:r>
              <w:rPr>
                <w:noProof/>
                <w:webHidden/>
              </w:rPr>
              <w:fldChar w:fldCharType="begin"/>
            </w:r>
            <w:r>
              <w:rPr>
                <w:noProof/>
                <w:webHidden/>
              </w:rPr>
              <w:instrText xml:space="preserve"> PAGEREF _Toc221259564 \h </w:instrText>
            </w:r>
            <w:r>
              <w:rPr>
                <w:noProof/>
                <w:webHidden/>
              </w:rPr>
            </w:r>
            <w:r>
              <w:rPr>
                <w:noProof/>
                <w:webHidden/>
              </w:rPr>
              <w:fldChar w:fldCharType="separate"/>
            </w:r>
            <w:r w:rsidR="00341C08">
              <w:rPr>
                <w:noProof/>
                <w:webHidden/>
              </w:rPr>
              <w:t>54</w:t>
            </w:r>
            <w:r>
              <w:rPr>
                <w:noProof/>
                <w:webHidden/>
              </w:rPr>
              <w:fldChar w:fldCharType="end"/>
            </w:r>
          </w:hyperlink>
        </w:p>
        <w:p w:rsidR="0071676B" w:rsidRDefault="0071676B" w14:paraId="68BAF0B9" w14:textId="1DE86497">
          <w:pPr>
            <w:pStyle w:val="TOC1"/>
            <w:tabs>
              <w:tab w:val="right" w:leader="dot" w:pos="9350"/>
            </w:tabs>
            <w:rPr>
              <w:rFonts w:asciiTheme="minorHAnsi" w:hAnsiTheme="minorHAnsi" w:cstheme="minorBidi"/>
              <w:noProof/>
              <w:kern w:val="2"/>
              <w:sz w:val="24"/>
              <w:szCs w:val="24"/>
              <w14:ligatures w14:val="standardContextual"/>
            </w:rPr>
          </w:pPr>
          <w:hyperlink w:history="1" w:anchor="_Toc221259565">
            <w:r w:rsidRPr="00342BE3">
              <w:rPr>
                <w:rStyle w:val="Hyperlink"/>
                <w:noProof/>
              </w:rPr>
              <w:t>12.</w:t>
            </w:r>
            <w:r>
              <w:rPr>
                <w:rFonts w:asciiTheme="minorHAnsi" w:hAnsiTheme="minorHAnsi" w:cstheme="minorBidi"/>
                <w:noProof/>
                <w:kern w:val="2"/>
                <w:sz w:val="24"/>
                <w:szCs w:val="24"/>
                <w14:ligatures w14:val="standardContextual"/>
              </w:rPr>
              <w:tab/>
            </w:r>
            <w:r w:rsidRPr="00342BE3">
              <w:rPr>
                <w:rStyle w:val="Hyperlink"/>
                <w:noProof/>
              </w:rPr>
              <w:t>Fines/Penalties</w:t>
            </w:r>
            <w:r>
              <w:rPr>
                <w:noProof/>
                <w:webHidden/>
              </w:rPr>
              <w:tab/>
            </w:r>
            <w:r>
              <w:rPr>
                <w:noProof/>
                <w:webHidden/>
              </w:rPr>
              <w:fldChar w:fldCharType="begin"/>
            </w:r>
            <w:r>
              <w:rPr>
                <w:noProof/>
                <w:webHidden/>
              </w:rPr>
              <w:instrText xml:space="preserve"> PAGEREF _Toc221259565 \h </w:instrText>
            </w:r>
            <w:r>
              <w:rPr>
                <w:noProof/>
                <w:webHidden/>
              </w:rPr>
            </w:r>
            <w:r>
              <w:rPr>
                <w:noProof/>
                <w:webHidden/>
              </w:rPr>
              <w:fldChar w:fldCharType="separate"/>
            </w:r>
            <w:r w:rsidR="00341C08">
              <w:rPr>
                <w:noProof/>
                <w:webHidden/>
              </w:rPr>
              <w:t>56</w:t>
            </w:r>
            <w:r>
              <w:rPr>
                <w:noProof/>
                <w:webHidden/>
              </w:rPr>
              <w:fldChar w:fldCharType="end"/>
            </w:r>
          </w:hyperlink>
        </w:p>
        <w:p w:rsidR="0071676B" w:rsidRDefault="0071676B" w14:paraId="66B1D6C0" w14:textId="08FBC77A">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1259566">
            <w:r w:rsidRPr="00342BE3">
              <w:rPr>
                <w:rStyle w:val="Hyperlink"/>
                <w:noProof/>
              </w:rPr>
              <w:t>12.1.</w:t>
            </w:r>
            <w:r>
              <w:rPr>
                <w:rFonts w:asciiTheme="minorHAnsi" w:hAnsiTheme="minorHAnsi" w:cstheme="minorBidi"/>
                <w:noProof/>
                <w:kern w:val="2"/>
                <w:sz w:val="24"/>
                <w:szCs w:val="24"/>
                <w14:ligatures w14:val="standardContextual"/>
              </w:rPr>
              <w:tab/>
            </w:r>
            <w:r w:rsidRPr="00342BE3">
              <w:rPr>
                <w:rStyle w:val="Hyperlink"/>
                <w:noProof/>
              </w:rPr>
              <w:t>D.24-03-053</w:t>
            </w:r>
            <w:r>
              <w:rPr>
                <w:noProof/>
                <w:webHidden/>
              </w:rPr>
              <w:tab/>
            </w:r>
            <w:r>
              <w:rPr>
                <w:noProof/>
                <w:webHidden/>
              </w:rPr>
              <w:fldChar w:fldCharType="begin"/>
            </w:r>
            <w:r>
              <w:rPr>
                <w:noProof/>
                <w:webHidden/>
              </w:rPr>
              <w:instrText xml:space="preserve"> PAGEREF _Toc221259566 \h </w:instrText>
            </w:r>
            <w:r>
              <w:rPr>
                <w:noProof/>
                <w:webHidden/>
              </w:rPr>
            </w:r>
            <w:r>
              <w:rPr>
                <w:noProof/>
                <w:webHidden/>
              </w:rPr>
              <w:fldChar w:fldCharType="separate"/>
            </w:r>
            <w:r w:rsidR="00341C08">
              <w:rPr>
                <w:noProof/>
                <w:webHidden/>
              </w:rPr>
              <w:t>57</w:t>
            </w:r>
            <w:r>
              <w:rPr>
                <w:noProof/>
                <w:webHidden/>
              </w:rPr>
              <w:fldChar w:fldCharType="end"/>
            </w:r>
          </w:hyperlink>
        </w:p>
        <w:p w:rsidR="0071676B" w:rsidRDefault="0071676B" w14:paraId="4F887305" w14:textId="2668ED71">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1259567">
            <w:r w:rsidRPr="00342BE3">
              <w:rPr>
                <w:rStyle w:val="Hyperlink"/>
                <w:noProof/>
              </w:rPr>
              <w:t>12.2.</w:t>
            </w:r>
            <w:r>
              <w:rPr>
                <w:rFonts w:asciiTheme="minorHAnsi" w:hAnsiTheme="minorHAnsi" w:cstheme="minorBidi"/>
                <w:noProof/>
                <w:kern w:val="2"/>
                <w:sz w:val="24"/>
                <w:szCs w:val="24"/>
                <w14:ligatures w14:val="standardContextual"/>
              </w:rPr>
              <w:tab/>
            </w:r>
            <w:r w:rsidRPr="00342BE3">
              <w:rPr>
                <w:rStyle w:val="Hyperlink"/>
                <w:noProof/>
              </w:rPr>
              <w:t>Citation Number W.22-09-001</w:t>
            </w:r>
            <w:r>
              <w:rPr>
                <w:noProof/>
                <w:webHidden/>
              </w:rPr>
              <w:tab/>
            </w:r>
            <w:r>
              <w:rPr>
                <w:noProof/>
                <w:webHidden/>
              </w:rPr>
              <w:fldChar w:fldCharType="begin"/>
            </w:r>
            <w:r>
              <w:rPr>
                <w:noProof/>
                <w:webHidden/>
              </w:rPr>
              <w:instrText xml:space="preserve"> PAGEREF _Toc221259567 \h </w:instrText>
            </w:r>
            <w:r>
              <w:rPr>
                <w:noProof/>
                <w:webHidden/>
              </w:rPr>
            </w:r>
            <w:r>
              <w:rPr>
                <w:noProof/>
                <w:webHidden/>
              </w:rPr>
              <w:fldChar w:fldCharType="separate"/>
            </w:r>
            <w:r w:rsidR="00341C08">
              <w:rPr>
                <w:noProof/>
                <w:webHidden/>
              </w:rPr>
              <w:t>59</w:t>
            </w:r>
            <w:r>
              <w:rPr>
                <w:noProof/>
                <w:webHidden/>
              </w:rPr>
              <w:fldChar w:fldCharType="end"/>
            </w:r>
          </w:hyperlink>
        </w:p>
        <w:p w:rsidR="0071676B" w:rsidRDefault="0071676B" w14:paraId="40B1568A" w14:textId="0C29BDAA">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1259568">
            <w:r w:rsidRPr="00342BE3">
              <w:rPr>
                <w:rStyle w:val="Hyperlink"/>
                <w:noProof/>
              </w:rPr>
              <w:t>12.3.</w:t>
            </w:r>
            <w:r>
              <w:rPr>
                <w:rFonts w:asciiTheme="minorHAnsi" w:hAnsiTheme="minorHAnsi" w:cstheme="minorBidi"/>
                <w:noProof/>
                <w:kern w:val="2"/>
                <w:sz w:val="24"/>
                <w:szCs w:val="24"/>
                <w14:ligatures w14:val="standardContextual"/>
              </w:rPr>
              <w:tab/>
            </w:r>
            <w:r w:rsidRPr="00342BE3">
              <w:rPr>
                <w:rStyle w:val="Hyperlink"/>
                <w:noProof/>
              </w:rPr>
              <w:t>October 11, 2024 Data Request</w:t>
            </w:r>
            <w:r>
              <w:rPr>
                <w:noProof/>
                <w:webHidden/>
              </w:rPr>
              <w:tab/>
            </w:r>
            <w:r>
              <w:rPr>
                <w:noProof/>
                <w:webHidden/>
              </w:rPr>
              <w:fldChar w:fldCharType="begin"/>
            </w:r>
            <w:r>
              <w:rPr>
                <w:noProof/>
                <w:webHidden/>
              </w:rPr>
              <w:instrText xml:space="preserve"> PAGEREF _Toc221259568 \h </w:instrText>
            </w:r>
            <w:r>
              <w:rPr>
                <w:noProof/>
                <w:webHidden/>
              </w:rPr>
            </w:r>
            <w:r>
              <w:rPr>
                <w:noProof/>
                <w:webHidden/>
              </w:rPr>
              <w:fldChar w:fldCharType="separate"/>
            </w:r>
            <w:r w:rsidR="00341C08">
              <w:rPr>
                <w:noProof/>
                <w:webHidden/>
              </w:rPr>
              <w:t>60</w:t>
            </w:r>
            <w:r>
              <w:rPr>
                <w:noProof/>
                <w:webHidden/>
              </w:rPr>
              <w:fldChar w:fldCharType="end"/>
            </w:r>
          </w:hyperlink>
        </w:p>
        <w:p w:rsidR="0071676B" w:rsidRDefault="0071676B" w14:paraId="6E51D029" w14:textId="6FF0EF40">
          <w:pPr>
            <w:pStyle w:val="TOC1"/>
            <w:tabs>
              <w:tab w:val="right" w:leader="dot" w:pos="9350"/>
            </w:tabs>
            <w:rPr>
              <w:rFonts w:asciiTheme="minorHAnsi" w:hAnsiTheme="minorHAnsi" w:cstheme="minorBidi"/>
              <w:noProof/>
              <w:kern w:val="2"/>
              <w:sz w:val="24"/>
              <w:szCs w:val="24"/>
              <w14:ligatures w14:val="standardContextual"/>
            </w:rPr>
          </w:pPr>
          <w:hyperlink w:history="1" w:anchor="_Toc221259569">
            <w:r w:rsidRPr="00342BE3">
              <w:rPr>
                <w:rStyle w:val="Hyperlink"/>
                <w:noProof/>
              </w:rPr>
              <w:t>13.</w:t>
            </w:r>
            <w:r>
              <w:rPr>
                <w:rFonts w:asciiTheme="minorHAnsi" w:hAnsiTheme="minorHAnsi" w:cstheme="minorBidi"/>
                <w:noProof/>
                <w:kern w:val="2"/>
                <w:sz w:val="24"/>
                <w:szCs w:val="24"/>
                <w14:ligatures w14:val="standardContextual"/>
              </w:rPr>
              <w:tab/>
            </w:r>
            <w:r w:rsidRPr="00342BE3">
              <w:rPr>
                <w:rStyle w:val="Hyperlink"/>
                <w:noProof/>
              </w:rPr>
              <w:t>Category of Proceeding</w:t>
            </w:r>
            <w:r>
              <w:rPr>
                <w:noProof/>
                <w:webHidden/>
              </w:rPr>
              <w:tab/>
            </w:r>
            <w:r>
              <w:rPr>
                <w:noProof/>
                <w:webHidden/>
              </w:rPr>
              <w:fldChar w:fldCharType="begin"/>
            </w:r>
            <w:r>
              <w:rPr>
                <w:noProof/>
                <w:webHidden/>
              </w:rPr>
              <w:instrText xml:space="preserve"> PAGEREF _Toc221259569 \h </w:instrText>
            </w:r>
            <w:r>
              <w:rPr>
                <w:noProof/>
                <w:webHidden/>
              </w:rPr>
            </w:r>
            <w:r>
              <w:rPr>
                <w:noProof/>
                <w:webHidden/>
              </w:rPr>
              <w:fldChar w:fldCharType="separate"/>
            </w:r>
            <w:r w:rsidR="00341C08">
              <w:rPr>
                <w:noProof/>
                <w:webHidden/>
              </w:rPr>
              <w:t>62</w:t>
            </w:r>
            <w:r>
              <w:rPr>
                <w:noProof/>
                <w:webHidden/>
              </w:rPr>
              <w:fldChar w:fldCharType="end"/>
            </w:r>
          </w:hyperlink>
        </w:p>
        <w:p w:rsidR="0071676B" w:rsidRDefault="0071676B" w14:paraId="53ABA18A" w14:textId="45EE7D90">
          <w:pPr>
            <w:pStyle w:val="TOC1"/>
            <w:tabs>
              <w:tab w:val="right" w:leader="dot" w:pos="9350"/>
            </w:tabs>
            <w:rPr>
              <w:rFonts w:asciiTheme="minorHAnsi" w:hAnsiTheme="minorHAnsi" w:cstheme="minorBidi"/>
              <w:noProof/>
              <w:kern w:val="2"/>
              <w:sz w:val="24"/>
              <w:szCs w:val="24"/>
              <w14:ligatures w14:val="standardContextual"/>
            </w:rPr>
          </w:pPr>
          <w:hyperlink w:history="1" w:anchor="_Toc221259570">
            <w:r w:rsidRPr="00342BE3">
              <w:rPr>
                <w:rStyle w:val="Hyperlink"/>
                <w:noProof/>
              </w:rPr>
              <w:t>14.</w:t>
            </w:r>
            <w:r>
              <w:rPr>
                <w:rFonts w:asciiTheme="minorHAnsi" w:hAnsiTheme="minorHAnsi" w:cstheme="minorBidi"/>
                <w:noProof/>
                <w:kern w:val="2"/>
                <w:sz w:val="24"/>
                <w:szCs w:val="24"/>
                <w14:ligatures w14:val="standardContextual"/>
              </w:rPr>
              <w:tab/>
            </w:r>
            <w:r w:rsidRPr="00342BE3">
              <w:rPr>
                <w:rStyle w:val="Hyperlink"/>
                <w:noProof/>
              </w:rPr>
              <w:t>Appeal or Review of Presiding Officer’s Decision</w:t>
            </w:r>
            <w:r>
              <w:rPr>
                <w:noProof/>
                <w:webHidden/>
              </w:rPr>
              <w:tab/>
            </w:r>
            <w:r>
              <w:rPr>
                <w:noProof/>
                <w:webHidden/>
              </w:rPr>
              <w:fldChar w:fldCharType="begin"/>
            </w:r>
            <w:r>
              <w:rPr>
                <w:noProof/>
                <w:webHidden/>
              </w:rPr>
              <w:instrText xml:space="preserve"> PAGEREF _Toc221259570 \h </w:instrText>
            </w:r>
            <w:r>
              <w:rPr>
                <w:noProof/>
                <w:webHidden/>
              </w:rPr>
            </w:r>
            <w:r>
              <w:rPr>
                <w:noProof/>
                <w:webHidden/>
              </w:rPr>
              <w:fldChar w:fldCharType="separate"/>
            </w:r>
            <w:r w:rsidR="00341C08">
              <w:rPr>
                <w:noProof/>
                <w:webHidden/>
              </w:rPr>
              <w:t>62</w:t>
            </w:r>
            <w:r>
              <w:rPr>
                <w:noProof/>
                <w:webHidden/>
              </w:rPr>
              <w:fldChar w:fldCharType="end"/>
            </w:r>
          </w:hyperlink>
        </w:p>
        <w:p w:rsidR="0071676B" w:rsidRDefault="0071676B" w14:paraId="7A6113A8" w14:textId="3FAFD311">
          <w:pPr>
            <w:pStyle w:val="TOC1"/>
            <w:tabs>
              <w:tab w:val="right" w:leader="dot" w:pos="9350"/>
            </w:tabs>
            <w:rPr>
              <w:rFonts w:asciiTheme="minorHAnsi" w:hAnsiTheme="minorHAnsi" w:cstheme="minorBidi"/>
              <w:noProof/>
              <w:kern w:val="2"/>
              <w:sz w:val="24"/>
              <w:szCs w:val="24"/>
              <w14:ligatures w14:val="standardContextual"/>
            </w:rPr>
          </w:pPr>
          <w:hyperlink w:history="1" w:anchor="_Toc221259571">
            <w:r w:rsidRPr="00342BE3">
              <w:rPr>
                <w:rStyle w:val="Hyperlink"/>
                <w:noProof/>
              </w:rPr>
              <w:t>15.</w:t>
            </w:r>
            <w:r>
              <w:rPr>
                <w:rFonts w:asciiTheme="minorHAnsi" w:hAnsiTheme="minorHAnsi" w:cstheme="minorBidi"/>
                <w:noProof/>
                <w:kern w:val="2"/>
                <w:sz w:val="24"/>
                <w:szCs w:val="24"/>
                <w14:ligatures w14:val="standardContextual"/>
              </w:rPr>
              <w:tab/>
            </w:r>
            <w:r w:rsidRPr="00342BE3">
              <w:rPr>
                <w:rStyle w:val="Hyperlink"/>
                <w:noProof/>
              </w:rPr>
              <w:t>Assignment of Proceeding</w:t>
            </w:r>
            <w:r>
              <w:rPr>
                <w:noProof/>
                <w:webHidden/>
              </w:rPr>
              <w:tab/>
            </w:r>
            <w:r>
              <w:rPr>
                <w:noProof/>
                <w:webHidden/>
              </w:rPr>
              <w:fldChar w:fldCharType="begin"/>
            </w:r>
            <w:r>
              <w:rPr>
                <w:noProof/>
                <w:webHidden/>
              </w:rPr>
              <w:instrText xml:space="preserve"> PAGEREF _Toc221259571 \h </w:instrText>
            </w:r>
            <w:r>
              <w:rPr>
                <w:noProof/>
                <w:webHidden/>
              </w:rPr>
            </w:r>
            <w:r>
              <w:rPr>
                <w:noProof/>
                <w:webHidden/>
              </w:rPr>
              <w:fldChar w:fldCharType="separate"/>
            </w:r>
            <w:r w:rsidR="00341C08">
              <w:rPr>
                <w:noProof/>
                <w:webHidden/>
              </w:rPr>
              <w:t>68</w:t>
            </w:r>
            <w:r>
              <w:rPr>
                <w:noProof/>
                <w:webHidden/>
              </w:rPr>
              <w:fldChar w:fldCharType="end"/>
            </w:r>
          </w:hyperlink>
        </w:p>
        <w:p w:rsidR="0071676B" w:rsidRDefault="0071676B" w14:paraId="793BFCC7" w14:textId="33BFF385">
          <w:pPr>
            <w:pStyle w:val="TOC1"/>
            <w:tabs>
              <w:tab w:val="right" w:leader="dot" w:pos="9350"/>
            </w:tabs>
            <w:rPr>
              <w:rFonts w:asciiTheme="minorHAnsi" w:hAnsiTheme="minorHAnsi" w:cstheme="minorBidi"/>
              <w:noProof/>
              <w:kern w:val="2"/>
              <w:sz w:val="24"/>
              <w:szCs w:val="24"/>
              <w14:ligatures w14:val="standardContextual"/>
            </w:rPr>
          </w:pPr>
          <w:hyperlink w:history="1" w:anchor="_Toc221259572">
            <w:r w:rsidRPr="00342BE3">
              <w:rPr>
                <w:rStyle w:val="Hyperlink"/>
                <w:noProof/>
              </w:rPr>
              <w:t>Findings of Fact</w:t>
            </w:r>
            <w:r>
              <w:rPr>
                <w:noProof/>
                <w:webHidden/>
              </w:rPr>
              <w:tab/>
            </w:r>
            <w:r>
              <w:rPr>
                <w:noProof/>
                <w:webHidden/>
              </w:rPr>
              <w:fldChar w:fldCharType="begin"/>
            </w:r>
            <w:r>
              <w:rPr>
                <w:noProof/>
                <w:webHidden/>
              </w:rPr>
              <w:instrText xml:space="preserve"> PAGEREF _Toc221259572 \h </w:instrText>
            </w:r>
            <w:r>
              <w:rPr>
                <w:noProof/>
                <w:webHidden/>
              </w:rPr>
            </w:r>
            <w:r>
              <w:rPr>
                <w:noProof/>
                <w:webHidden/>
              </w:rPr>
              <w:fldChar w:fldCharType="separate"/>
            </w:r>
            <w:r w:rsidR="00341C08">
              <w:rPr>
                <w:noProof/>
                <w:webHidden/>
              </w:rPr>
              <w:t>68</w:t>
            </w:r>
            <w:r>
              <w:rPr>
                <w:noProof/>
                <w:webHidden/>
              </w:rPr>
              <w:fldChar w:fldCharType="end"/>
            </w:r>
          </w:hyperlink>
        </w:p>
        <w:p w:rsidR="0071676B" w:rsidRDefault="0071676B" w14:paraId="0D5D5C1A" w14:textId="759173EE">
          <w:pPr>
            <w:pStyle w:val="TOC1"/>
            <w:tabs>
              <w:tab w:val="right" w:leader="dot" w:pos="9350"/>
            </w:tabs>
            <w:rPr>
              <w:rFonts w:asciiTheme="minorHAnsi" w:hAnsiTheme="minorHAnsi" w:cstheme="minorBidi"/>
              <w:noProof/>
              <w:kern w:val="2"/>
              <w:sz w:val="24"/>
              <w:szCs w:val="24"/>
              <w14:ligatures w14:val="standardContextual"/>
            </w:rPr>
          </w:pPr>
          <w:hyperlink w:history="1" w:anchor="_Toc221259573">
            <w:r w:rsidRPr="00342BE3">
              <w:rPr>
                <w:rStyle w:val="Hyperlink"/>
                <w:noProof/>
              </w:rPr>
              <w:t>Conclusions of Law</w:t>
            </w:r>
            <w:r>
              <w:rPr>
                <w:noProof/>
                <w:webHidden/>
              </w:rPr>
              <w:tab/>
            </w:r>
            <w:r>
              <w:rPr>
                <w:noProof/>
                <w:webHidden/>
              </w:rPr>
              <w:fldChar w:fldCharType="begin"/>
            </w:r>
            <w:r>
              <w:rPr>
                <w:noProof/>
                <w:webHidden/>
              </w:rPr>
              <w:instrText xml:space="preserve"> PAGEREF _Toc221259573 \h </w:instrText>
            </w:r>
            <w:r>
              <w:rPr>
                <w:noProof/>
                <w:webHidden/>
              </w:rPr>
            </w:r>
            <w:r>
              <w:rPr>
                <w:noProof/>
                <w:webHidden/>
              </w:rPr>
              <w:fldChar w:fldCharType="separate"/>
            </w:r>
            <w:r w:rsidR="00341C08">
              <w:rPr>
                <w:noProof/>
                <w:webHidden/>
              </w:rPr>
              <w:t>73</w:t>
            </w:r>
            <w:r>
              <w:rPr>
                <w:noProof/>
                <w:webHidden/>
              </w:rPr>
              <w:fldChar w:fldCharType="end"/>
            </w:r>
          </w:hyperlink>
        </w:p>
        <w:p w:rsidR="0071676B" w:rsidRDefault="0071676B" w14:paraId="51A30405" w14:textId="09A71BC7">
          <w:pPr>
            <w:pStyle w:val="TOC1"/>
            <w:tabs>
              <w:tab w:val="right" w:leader="dot" w:pos="9350"/>
            </w:tabs>
            <w:rPr>
              <w:rFonts w:asciiTheme="minorHAnsi" w:hAnsiTheme="minorHAnsi" w:cstheme="minorBidi"/>
              <w:noProof/>
              <w:kern w:val="2"/>
              <w:sz w:val="24"/>
              <w:szCs w:val="24"/>
              <w14:ligatures w14:val="standardContextual"/>
            </w:rPr>
          </w:pPr>
          <w:hyperlink w:history="1" w:anchor="_Toc221259574">
            <w:r w:rsidRPr="00342BE3">
              <w:rPr>
                <w:rStyle w:val="Hyperlink"/>
                <w:noProof/>
              </w:rPr>
              <w:t>ORDER</w:t>
            </w:r>
            <w:r>
              <w:rPr>
                <w:noProof/>
                <w:webHidden/>
              </w:rPr>
              <w:tab/>
            </w:r>
            <w:r>
              <w:rPr>
                <w:noProof/>
                <w:webHidden/>
              </w:rPr>
              <w:fldChar w:fldCharType="begin"/>
            </w:r>
            <w:r>
              <w:rPr>
                <w:noProof/>
                <w:webHidden/>
              </w:rPr>
              <w:instrText xml:space="preserve"> PAGEREF _Toc221259574 \h </w:instrText>
            </w:r>
            <w:r>
              <w:rPr>
                <w:noProof/>
                <w:webHidden/>
              </w:rPr>
            </w:r>
            <w:r>
              <w:rPr>
                <w:noProof/>
                <w:webHidden/>
              </w:rPr>
              <w:fldChar w:fldCharType="separate"/>
            </w:r>
            <w:r w:rsidR="00341C08">
              <w:rPr>
                <w:noProof/>
                <w:webHidden/>
              </w:rPr>
              <w:t>76</w:t>
            </w:r>
            <w:r>
              <w:rPr>
                <w:noProof/>
                <w:webHidden/>
              </w:rPr>
              <w:fldChar w:fldCharType="end"/>
            </w:r>
          </w:hyperlink>
        </w:p>
        <w:p w:rsidR="00D82A43" w:rsidP="008C7413" w:rsidRDefault="008C7413" w14:paraId="754E237C" w14:textId="75DE24F5">
          <w:pPr>
            <w:pStyle w:val="TOC1"/>
            <w:tabs>
              <w:tab w:val="right" w:leader="dot" w:pos="9350"/>
            </w:tabs>
          </w:pPr>
          <w:r>
            <w:rPr>
              <w:rFonts w:asciiTheme="minorHAnsi" w:hAnsiTheme="minorHAnsi"/>
              <w:sz w:val="22"/>
            </w:rPr>
            <w:fldChar w:fldCharType="end"/>
          </w:r>
        </w:p>
      </w:sdtContent>
    </w:sdt>
    <w:p w:rsidRPr="00D44DB6" w:rsidR="00D44DB6" w:rsidP="00D44DB6" w:rsidRDefault="00D44DB6" w14:paraId="2AD11C39" w14:textId="64C93CF3">
      <w:pPr>
        <w:spacing w:line="240" w:lineRule="auto"/>
        <w:ind w:firstLine="0"/>
        <w:rPr>
          <w:rFonts w:cs="Arial"/>
          <w:i/>
          <w:szCs w:val="26"/>
        </w:rPr>
        <w:sectPr w:rsidRPr="00D44DB6" w:rsidR="00D44DB6" w:rsidSect="00D44DB6">
          <w:headerReference w:type="default" r:id="rId15"/>
          <w:footerReference w:type="default" r:id="rId16"/>
          <w:pgSz w:w="12240" w:h="15840"/>
          <w:pgMar w:top="1728" w:right="1440" w:bottom="1440" w:left="1440" w:header="720" w:footer="720" w:gutter="0"/>
          <w:pgNumType w:fmt="lowerRoman" w:start="1"/>
          <w:cols w:space="720"/>
          <w:docGrid w:linePitch="360"/>
        </w:sectPr>
      </w:pPr>
    </w:p>
    <w:p w:rsidR="005A148C" w:rsidP="005A148C" w:rsidRDefault="005A148C" w14:paraId="7EEB46F2" w14:textId="77777777">
      <w:pPr>
        <w:pStyle w:val="Dummy"/>
      </w:pPr>
      <w:bookmarkStart w:name="_Toc8123714" w:id="1"/>
      <w:bookmarkStart w:name="_Toc221259525" w:id="2"/>
      <w:r>
        <w:lastRenderedPageBreak/>
        <w:t>Summary</w:t>
      </w:r>
      <w:bookmarkEnd w:id="1"/>
      <w:bookmarkEnd w:id="2"/>
    </w:p>
    <w:p w:rsidR="002C7FE9" w:rsidP="00044D00" w:rsidRDefault="00E434FE" w14:paraId="60BEABE6" w14:textId="762C39B5">
      <w:pPr>
        <w:pStyle w:val="Standard"/>
      </w:pPr>
      <w:r>
        <w:t xml:space="preserve">This Decision </w:t>
      </w:r>
      <w:r w:rsidR="00F83B11">
        <w:t xml:space="preserve">grants the </w:t>
      </w:r>
      <w:r w:rsidR="00A943A3">
        <w:t xml:space="preserve">California Public Utilities Commission’s </w:t>
      </w:r>
      <w:r w:rsidR="00F83B11">
        <w:t>Consumer Protection Enforcement Division</w:t>
      </w:r>
      <w:r w:rsidR="00C534D0">
        <w:t>’</w:t>
      </w:r>
      <w:r w:rsidR="00F83B11">
        <w:t xml:space="preserve">s request to petition the </w:t>
      </w:r>
      <w:r w:rsidR="00A943A3">
        <w:t xml:space="preserve">California </w:t>
      </w:r>
      <w:r w:rsidR="00F83B11">
        <w:t>S</w:t>
      </w:r>
      <w:r w:rsidR="002F34B5">
        <w:t>uperior Court for a receivership for Havasu Water Company.  Th</w:t>
      </w:r>
      <w:r w:rsidR="00B24779">
        <w:t xml:space="preserve">is </w:t>
      </w:r>
      <w:r w:rsidR="00056FD7">
        <w:t>d</w:t>
      </w:r>
      <w:r w:rsidR="007952D9">
        <w:t xml:space="preserve">ecision is based on Havasu Water Company’s </w:t>
      </w:r>
      <w:r w:rsidR="00A248C2">
        <w:t>well-documented</w:t>
      </w:r>
      <w:r w:rsidR="007952D9">
        <w:t xml:space="preserve"> history </w:t>
      </w:r>
      <w:r w:rsidR="00962A35">
        <w:t xml:space="preserve">of </w:t>
      </w:r>
      <w:r w:rsidR="00145530">
        <w:t xml:space="preserve">noncompliance and unresponsiveness at the </w:t>
      </w:r>
      <w:r w:rsidR="00962A35">
        <w:t xml:space="preserve">Federal, State and County </w:t>
      </w:r>
      <w:r w:rsidR="00145530">
        <w:t>levels</w:t>
      </w:r>
      <w:r w:rsidR="008A21B0">
        <w:t xml:space="preserve">, together with </w:t>
      </w:r>
      <w:r w:rsidRPr="00A943A3" w:rsidR="00A943A3">
        <w:t xml:space="preserve">mismanagement </w:t>
      </w:r>
      <w:r w:rsidR="00A943A3">
        <w:t>of the company which has resulted in</w:t>
      </w:r>
      <w:r w:rsidR="008A21B0">
        <w:t xml:space="preserve"> health and safety risks</w:t>
      </w:r>
      <w:r w:rsidR="00BA3549">
        <w:t xml:space="preserve"> </w:t>
      </w:r>
      <w:r w:rsidR="00A943A3">
        <w:t xml:space="preserve">to customers and the </w:t>
      </w:r>
      <w:proofErr w:type="gramStart"/>
      <w:r w:rsidR="00A943A3">
        <w:t>general public</w:t>
      </w:r>
      <w:proofErr w:type="gramEnd"/>
      <w:r w:rsidR="00A943A3">
        <w:t>.</w:t>
      </w:r>
    </w:p>
    <w:p w:rsidR="002B2E79" w:rsidP="00044D00" w:rsidRDefault="00BA3549" w14:paraId="069663DA" w14:textId="2894A738">
      <w:pPr>
        <w:pStyle w:val="Standard"/>
      </w:pPr>
      <w:r>
        <w:t xml:space="preserve">This </w:t>
      </w:r>
      <w:r w:rsidR="00F871DC">
        <w:t xml:space="preserve">Decision finds that </w:t>
      </w:r>
      <w:r w:rsidR="003E7622">
        <w:t xml:space="preserve">Havasu Water Company violated Public Utilities Code </w:t>
      </w:r>
      <w:r w:rsidR="00B86F54">
        <w:t xml:space="preserve">§ </w:t>
      </w:r>
      <w:r w:rsidR="0002672E">
        <w:t xml:space="preserve">2713(a) </w:t>
      </w:r>
      <w:r w:rsidR="00B86F54">
        <w:t xml:space="preserve">and General Order 103-A when it failed to </w:t>
      </w:r>
      <w:r w:rsidR="002B2E79">
        <w:t xml:space="preserve">provide all records of its inspection, </w:t>
      </w:r>
      <w:r w:rsidR="001169F2">
        <w:t>repair and replacement</w:t>
      </w:r>
      <w:r w:rsidR="002B2E79">
        <w:t xml:space="preserve"> of all its fire hydrants in its service area</w:t>
      </w:r>
      <w:r w:rsidR="007262D3">
        <w:t xml:space="preserve"> in the last ten years to the California Public </w:t>
      </w:r>
      <w:r w:rsidR="004B0384">
        <w:t>Utilities Commission, Water Division</w:t>
      </w:r>
      <w:r w:rsidR="00A04C33">
        <w:t xml:space="preserve"> (Water Division)</w:t>
      </w:r>
      <w:r w:rsidR="002B2E79">
        <w:t>.</w:t>
      </w:r>
    </w:p>
    <w:p w:rsidR="00684DC9" w:rsidP="00044D00" w:rsidRDefault="00C91760" w14:paraId="196B9F4B" w14:textId="0E3D67D9">
      <w:pPr>
        <w:pStyle w:val="Standard"/>
      </w:pPr>
      <w:r>
        <w:t>This Decision finds that Havasu Water Company violate</w:t>
      </w:r>
      <w:r w:rsidR="00BD393C">
        <w:t>d</w:t>
      </w:r>
      <w:r>
        <w:t xml:space="preserve"> Rule 1.1 when</w:t>
      </w:r>
      <w:r w:rsidR="0010139B">
        <w:t xml:space="preserve"> on: </w:t>
      </w:r>
      <w:r w:rsidR="00F644FC">
        <w:t>1) December 8, 2023</w:t>
      </w:r>
      <w:r w:rsidR="003C17C4">
        <w:t xml:space="preserve">, Havasu </w:t>
      </w:r>
      <w:r w:rsidR="00F644FC">
        <w:t>submitted an Advice Letter with incorrect information</w:t>
      </w:r>
      <w:r w:rsidR="00A04C33">
        <w:t xml:space="preserve"> to Water Division</w:t>
      </w:r>
      <w:r w:rsidR="00F644FC">
        <w:t xml:space="preserve">; </w:t>
      </w:r>
      <w:r w:rsidR="0010139B">
        <w:t>2) October 11, 2024</w:t>
      </w:r>
      <w:r w:rsidR="003C17C4">
        <w:t xml:space="preserve">, Havasu responded to a data request claiming it was awaiting further information from the San Bernardino County </w:t>
      </w:r>
      <w:r w:rsidR="00E7019B">
        <w:t xml:space="preserve">Fire Department </w:t>
      </w:r>
      <w:r w:rsidR="00A51A58">
        <w:t xml:space="preserve">(SBCFD) </w:t>
      </w:r>
      <w:r w:rsidR="00E7019B">
        <w:t xml:space="preserve">when it knew </w:t>
      </w:r>
      <w:r w:rsidR="00AE5EBA">
        <w:t>SBCFD did not have any information to be given</w:t>
      </w:r>
      <w:r w:rsidR="00E7019B">
        <w:t xml:space="preserve">; </w:t>
      </w:r>
      <w:r w:rsidR="00684DC9">
        <w:t xml:space="preserve">and </w:t>
      </w:r>
      <w:r w:rsidR="00E7019B">
        <w:t xml:space="preserve">3) </w:t>
      </w:r>
      <w:r w:rsidR="003E77F5">
        <w:t xml:space="preserve">April 8, 2025, Havasu sent bills to customers requesting late fees when it was ordered </w:t>
      </w:r>
      <w:r w:rsidR="00825051">
        <w:t xml:space="preserve">in D.24-03-053 to remove all late fees from </w:t>
      </w:r>
      <w:r w:rsidR="001D0F23">
        <w:t>customers’ bills from 2021 forward</w:t>
      </w:r>
      <w:r w:rsidR="00684DC9">
        <w:t>.</w:t>
      </w:r>
    </w:p>
    <w:p w:rsidRPr="00A943A3" w:rsidR="00A943A3" w:rsidP="00A943A3" w:rsidRDefault="00A943A3" w14:paraId="79D58F45" w14:textId="77777777">
      <w:pPr>
        <w:pStyle w:val="Standard"/>
      </w:pPr>
      <w:r w:rsidRPr="00A943A3">
        <w:t>This Decision finds that Havasu Water Company did not violate Public Utilities Code § 454 and Tariffs 12(B) and 12(c) when it changed its customers’ water meters from 5/8 x 3/4" to 3/4".</w:t>
      </w:r>
    </w:p>
    <w:p w:rsidR="00A943A3" w:rsidP="00044D00" w:rsidRDefault="00A943A3" w14:paraId="56261BCA" w14:textId="77777777">
      <w:pPr>
        <w:pStyle w:val="Standard"/>
      </w:pPr>
    </w:p>
    <w:p w:rsidR="00D276C6" w:rsidP="00044D00" w:rsidRDefault="00684DC9" w14:paraId="0D4EF6BD" w14:textId="65E921DC">
      <w:pPr>
        <w:pStyle w:val="Standard"/>
      </w:pPr>
      <w:r>
        <w:lastRenderedPageBreak/>
        <w:t xml:space="preserve">This Decision </w:t>
      </w:r>
      <w:r w:rsidR="00E56421">
        <w:t xml:space="preserve">orders Havasu Water Company to pay </w:t>
      </w:r>
      <w:r w:rsidR="00E07BE5">
        <w:t>the penalty</w:t>
      </w:r>
      <w:r w:rsidR="00A943A3">
        <w:t>,</w:t>
      </w:r>
      <w:r w:rsidR="00E07BE5">
        <w:t xml:space="preserve"> </w:t>
      </w:r>
      <w:r w:rsidR="00A943A3">
        <w:t xml:space="preserve">imposed </w:t>
      </w:r>
      <w:r w:rsidR="00E07BE5">
        <w:t>in Citation Number W.22-09-001</w:t>
      </w:r>
      <w:r w:rsidR="00A943A3">
        <w:t>,</w:t>
      </w:r>
      <w:r w:rsidR="00E07BE5">
        <w:t xml:space="preserve"> of $2,000 plus an </w:t>
      </w:r>
      <w:r w:rsidR="002467F3">
        <w:t xml:space="preserve">additional amount of $500 within </w:t>
      </w:r>
      <w:r w:rsidR="003F6FC8">
        <w:t>6</w:t>
      </w:r>
      <w:r w:rsidR="002467F3">
        <w:t>0 days of issuance of this decision.</w:t>
      </w:r>
    </w:p>
    <w:p w:rsidR="006E329F" w:rsidP="00044D00" w:rsidRDefault="006E329F" w14:paraId="1049C6C9" w14:textId="4CC81204">
      <w:pPr>
        <w:pStyle w:val="Standard"/>
      </w:pPr>
      <w:r>
        <w:t xml:space="preserve">This Decision orders Havasu Water Company to pay </w:t>
      </w:r>
      <w:r w:rsidR="00A943A3">
        <w:t>a penalty</w:t>
      </w:r>
      <w:r>
        <w:t xml:space="preserve"> </w:t>
      </w:r>
      <w:r w:rsidR="001550B6">
        <w:t xml:space="preserve">of $500 </w:t>
      </w:r>
      <w:r w:rsidR="00215B5A">
        <w:t xml:space="preserve">for failing to comply with </w:t>
      </w:r>
      <w:r w:rsidR="00A943A3">
        <w:t>Decision (D</w:t>
      </w:r>
      <w:r w:rsidR="00C534D0">
        <w:t>.</w:t>
      </w:r>
      <w:r w:rsidR="00A943A3">
        <w:t>)</w:t>
      </w:r>
      <w:r w:rsidR="00C534D0">
        <w:t xml:space="preserve"> </w:t>
      </w:r>
      <w:r w:rsidR="009719E2">
        <w:t>24-03-053</w:t>
      </w:r>
      <w:r w:rsidR="00CA4DFE">
        <w:t xml:space="preserve"> </w:t>
      </w:r>
      <w:r w:rsidR="00287528">
        <w:t>O</w:t>
      </w:r>
      <w:r w:rsidR="00CA4DFE">
        <w:t>rder</w:t>
      </w:r>
      <w:r w:rsidR="00C534D0">
        <w:t>ing</w:t>
      </w:r>
      <w:r w:rsidR="00CA4DFE">
        <w:t xml:space="preserve"> Paragraph 1</w:t>
      </w:r>
      <w:r w:rsidR="009719E2">
        <w:t xml:space="preserve"> </w:t>
      </w:r>
      <w:r w:rsidR="0004418C">
        <w:t>within 60 days of issuance of this decision.</w:t>
      </w:r>
    </w:p>
    <w:p w:rsidR="00C91760" w:rsidP="00044D00" w:rsidRDefault="00D276C6" w14:paraId="13FF60A1" w14:textId="183479C6">
      <w:pPr>
        <w:pStyle w:val="Standard"/>
      </w:pPr>
      <w:r>
        <w:t xml:space="preserve">This Decision orders Havasu Water Company to pay </w:t>
      </w:r>
      <w:r w:rsidR="00A943A3">
        <w:t>a</w:t>
      </w:r>
      <w:r>
        <w:t xml:space="preserve"> penalty of </w:t>
      </w:r>
      <w:r w:rsidR="00643390">
        <w:t>$</w:t>
      </w:r>
      <w:r w:rsidR="003F6FC8">
        <w:t xml:space="preserve">20,000 </w:t>
      </w:r>
      <w:r w:rsidRPr="001C3009" w:rsidR="001C3009">
        <w:t>for intentionally misleading the Commission with respect to the inspection, repair and maintenance of all Havasu’s fire hydrants in its service area</w:t>
      </w:r>
      <w:r w:rsidR="001C3009">
        <w:t xml:space="preserve"> </w:t>
      </w:r>
      <w:r w:rsidR="00087FA4">
        <w:t>within 60 days of issuance of this decision.</w:t>
      </w:r>
    </w:p>
    <w:p w:rsidR="001B32F6" w:rsidP="00044D00" w:rsidRDefault="001B32F6" w14:paraId="51572559" w14:textId="4646C8FA">
      <w:pPr>
        <w:pStyle w:val="Standard"/>
      </w:pPr>
      <w:r>
        <w:t>This proceeding is closed.</w:t>
      </w:r>
    </w:p>
    <w:p w:rsidRPr="00121089" w:rsidR="005A148C" w:rsidP="00A55ACD" w:rsidRDefault="002C7FE9" w14:paraId="0DD593D7" w14:textId="77777777">
      <w:pPr>
        <w:pStyle w:val="Heading1"/>
        <w:numPr>
          <w:ilvl w:val="0"/>
          <w:numId w:val="1"/>
        </w:numPr>
      </w:pPr>
      <w:bookmarkStart w:name="_Toc8123715" w:id="3"/>
      <w:bookmarkStart w:name="_Toc221259526" w:id="4"/>
      <w:r w:rsidRPr="00121089">
        <w:t>Background</w:t>
      </w:r>
      <w:bookmarkEnd w:id="3"/>
      <w:bookmarkEnd w:id="4"/>
    </w:p>
    <w:p w:rsidR="001E55FE" w:rsidP="00987491" w:rsidRDefault="0063491C" w14:paraId="411C81A5" w14:textId="1E3D761E">
      <w:pPr>
        <w:pStyle w:val="Heading2"/>
      </w:pPr>
      <w:bookmarkStart w:name="_Toc8123716" w:id="5"/>
      <w:bookmarkStart w:name="_Toc221259527" w:id="6"/>
      <w:r>
        <w:t>Factual Background</w:t>
      </w:r>
      <w:bookmarkEnd w:id="5"/>
      <w:bookmarkEnd w:id="6"/>
    </w:p>
    <w:p w:rsidR="001B7F8B" w:rsidP="00161E20" w:rsidRDefault="00987491" w14:paraId="69981151" w14:textId="2ECED62D">
      <w:pPr>
        <w:pStyle w:val="Standard"/>
      </w:pPr>
      <w:r w:rsidRPr="00987491">
        <w:t>Havasu Water Co</w:t>
      </w:r>
      <w:r w:rsidR="006B2C76">
        <w:t>mpany (Havasu)</w:t>
      </w:r>
      <w:r w:rsidRPr="00987491">
        <w:t xml:space="preserve"> </w:t>
      </w:r>
      <w:r w:rsidR="00A75F69">
        <w:t>is a Class D</w:t>
      </w:r>
      <w:r w:rsidR="00A129B4">
        <w:rPr>
          <w:rStyle w:val="FootnoteReference"/>
        </w:rPr>
        <w:footnoteReference w:id="2"/>
      </w:r>
      <w:r w:rsidR="00A75F69">
        <w:t xml:space="preserve"> investor-owned water utility</w:t>
      </w:r>
      <w:r w:rsidR="00A129B4">
        <w:t xml:space="preserve">.  </w:t>
      </w:r>
      <w:r w:rsidRPr="00987491">
        <w:t xml:space="preserve">Havasu </w:t>
      </w:r>
      <w:proofErr w:type="gramStart"/>
      <w:r w:rsidRPr="00987491">
        <w:t>is located in</w:t>
      </w:r>
      <w:proofErr w:type="gramEnd"/>
      <w:r w:rsidRPr="00987491">
        <w:t xml:space="preserve"> </w:t>
      </w:r>
      <w:r w:rsidR="008808AF">
        <w:t>the unincorporated community of Havasu Lake</w:t>
      </w:r>
      <w:r w:rsidRPr="00987491">
        <w:t xml:space="preserve">, San Bernardino County. </w:t>
      </w:r>
      <w:r w:rsidR="0072737D">
        <w:t xml:space="preserve"> </w:t>
      </w:r>
      <w:r w:rsidRPr="00987491">
        <w:t xml:space="preserve">The water supply system serves approximately </w:t>
      </w:r>
      <w:r w:rsidR="00C57163">
        <w:t>226</w:t>
      </w:r>
      <w:r w:rsidRPr="00987491">
        <w:t xml:space="preserve"> year</w:t>
      </w:r>
      <w:r w:rsidR="00C3117E">
        <w:t>-</w:t>
      </w:r>
      <w:r w:rsidRPr="00987491">
        <w:t xml:space="preserve">round residents through metered service. </w:t>
      </w:r>
      <w:r w:rsidR="0072737D">
        <w:t xml:space="preserve"> </w:t>
      </w:r>
      <w:r w:rsidRPr="00987491">
        <w:t xml:space="preserve">There are also </w:t>
      </w:r>
      <w:r w:rsidR="00B00FBD">
        <w:t>approximately 20</w:t>
      </w:r>
      <w:r w:rsidRPr="00987491">
        <w:t xml:space="preserve"> fire hydrants providing fire protection for the community. </w:t>
      </w:r>
    </w:p>
    <w:p w:rsidR="0063491C" w:rsidP="0063491C" w:rsidRDefault="0063491C" w14:paraId="09DD4252" w14:textId="77777777">
      <w:pPr>
        <w:pStyle w:val="Heading2"/>
      </w:pPr>
      <w:bookmarkStart w:name="_Toc8123717" w:id="7"/>
      <w:bookmarkStart w:name="_Toc221259528" w:id="8"/>
      <w:r>
        <w:t>Procedural Background</w:t>
      </w:r>
      <w:bookmarkEnd w:id="7"/>
      <w:bookmarkEnd w:id="8"/>
    </w:p>
    <w:p w:rsidR="008A60E1" w:rsidP="006E6574" w:rsidRDefault="008A60E1" w14:paraId="4D1C7684" w14:textId="365F1C40">
      <w:pPr>
        <w:pStyle w:val="Standard"/>
      </w:pPr>
      <w:r w:rsidRPr="008A60E1">
        <w:t>On August 14, 2025, the California Public Utilities Commission (Commission) initiated Investigation (I.) 25</w:t>
      </w:r>
      <w:r w:rsidRPr="008A60E1">
        <w:rPr>
          <w:rFonts w:ascii="Cambria Math" w:hAnsi="Cambria Math" w:cs="Cambria Math"/>
        </w:rPr>
        <w:t>‑</w:t>
      </w:r>
      <w:r w:rsidRPr="008A60E1">
        <w:t>08</w:t>
      </w:r>
      <w:r w:rsidRPr="008A60E1">
        <w:rPr>
          <w:rFonts w:ascii="Cambria Math" w:hAnsi="Cambria Math" w:cs="Cambria Math"/>
        </w:rPr>
        <w:t>‑</w:t>
      </w:r>
      <w:r w:rsidRPr="008A60E1">
        <w:t>007 (OII) to assess whether Havasu failed to comply with applicable laws, rules, and regulations governing the provision of safe and reliable water service to consumers.</w:t>
      </w:r>
      <w:r>
        <w:t xml:space="preserve">  </w:t>
      </w:r>
      <w:r w:rsidRPr="008A60E1">
        <w:t xml:space="preserve">The Commission also issued an order to show cause directing Havasu to explain why the </w:t>
      </w:r>
      <w:r w:rsidRPr="008A60E1">
        <w:lastRenderedPageBreak/>
        <w:t xml:space="preserve">Commission should not petition </w:t>
      </w:r>
      <w:r w:rsidR="00F778CD">
        <w:t>the</w:t>
      </w:r>
      <w:r w:rsidR="00BF6AB1">
        <w:t xml:space="preserve"> California</w:t>
      </w:r>
      <w:r w:rsidRPr="008A60E1">
        <w:t xml:space="preserve"> Superior Court for the appointment of a receiver to take possession of Havasu</w:t>
      </w:r>
      <w:r w:rsidRPr="008A60E1">
        <w:rPr>
          <w:rFonts w:cs="Book Antiqua"/>
        </w:rPr>
        <w:t>’</w:t>
      </w:r>
      <w:r w:rsidRPr="008A60E1">
        <w:t>s property and operate its system, and why the Commission should not impose penalties for violations, noncompliance with Commission orders and other unlawful or harmful practices affecting customer safety.</w:t>
      </w:r>
    </w:p>
    <w:p w:rsidR="00F323FD" w:rsidP="006E6574" w:rsidRDefault="00F323FD" w14:paraId="55BACDC1" w14:textId="05C863EE">
      <w:pPr>
        <w:pStyle w:val="Standard"/>
      </w:pPr>
      <w:r>
        <w:t>The OII</w:t>
      </w:r>
      <w:r w:rsidR="0068781A">
        <w:t xml:space="preserve"> set for</w:t>
      </w:r>
      <w:r w:rsidR="00DA5E00">
        <w:t>th a preliminary scoping memo pursuant to Rule</w:t>
      </w:r>
      <w:r w:rsidR="00FE3E3C">
        <w:rPr>
          <w:rStyle w:val="FootnoteReference"/>
        </w:rPr>
        <w:footnoteReference w:id="3"/>
      </w:r>
      <w:r w:rsidR="00DA5E00">
        <w:t xml:space="preserve"> 7.1(c) to which Havasu was order</w:t>
      </w:r>
      <w:r w:rsidR="002555BC">
        <w:t>ed</w:t>
      </w:r>
      <w:r w:rsidR="00DA5E00">
        <w:t xml:space="preserve"> to file a response</w:t>
      </w:r>
      <w:r w:rsidR="003A44DB">
        <w:t xml:space="preserve"> by September 15, 2025</w:t>
      </w:r>
      <w:r w:rsidR="00DA5E00">
        <w:t>.</w:t>
      </w:r>
    </w:p>
    <w:p w:rsidR="00DA5E00" w:rsidP="006E6574" w:rsidRDefault="00156F87" w14:paraId="499BB0ED" w14:textId="663791BA">
      <w:pPr>
        <w:pStyle w:val="Standard"/>
      </w:pPr>
      <w:r>
        <w:t>After being granted an extension of tim</w:t>
      </w:r>
      <w:r w:rsidR="00C460A7">
        <w:t xml:space="preserve">e, on </w:t>
      </w:r>
      <w:r w:rsidR="009F464E">
        <w:t>September 24, 2025</w:t>
      </w:r>
      <w:r w:rsidR="00683647">
        <w:t>, Havasu filed its response to the preliminary scoping memo contained in the OII.</w:t>
      </w:r>
    </w:p>
    <w:p w:rsidR="00A71E7D" w:rsidP="006E6574" w:rsidRDefault="00F16DE6" w14:paraId="2D69DB86" w14:textId="40DAFDED">
      <w:pPr>
        <w:pStyle w:val="Standard"/>
      </w:pPr>
      <w:r>
        <w:t xml:space="preserve">On </w:t>
      </w:r>
      <w:r w:rsidR="00F4798A">
        <w:t>September 30, 2025</w:t>
      </w:r>
      <w:r>
        <w:t>, a virtual Pre-</w:t>
      </w:r>
      <w:r w:rsidR="00620221">
        <w:t>Hearing</w:t>
      </w:r>
      <w:r>
        <w:t xml:space="preserve"> Conference (PHC) was held</w:t>
      </w:r>
      <w:r w:rsidR="00631FCB">
        <w:t>.</w:t>
      </w:r>
      <w:r w:rsidR="007B6DFA">
        <w:t xml:space="preserve">  Based on the PHC statements, comments and the preliminary Scoping Memo, </w:t>
      </w:r>
      <w:r w:rsidR="00F239F8">
        <w:t>the Consumer Protection and Enforcement Division (CPED) was ordered to amend the preliminary scoping memo allegations</w:t>
      </w:r>
      <w:r w:rsidR="0035734A">
        <w:t>.</w:t>
      </w:r>
    </w:p>
    <w:p w:rsidR="002C56F3" w:rsidP="002C56F3" w:rsidRDefault="00F7633D" w14:paraId="3FBA2E2B" w14:textId="3700BB87">
      <w:pPr>
        <w:pStyle w:val="Standard"/>
      </w:pPr>
      <w:r>
        <w:t xml:space="preserve">On October 3, 2025, CPED filed its amended allegations to the preliminary </w:t>
      </w:r>
      <w:r w:rsidR="00395F0B">
        <w:t>s</w:t>
      </w:r>
      <w:r>
        <w:t xml:space="preserve">coping </w:t>
      </w:r>
      <w:r w:rsidR="00395F0B">
        <w:t>m</w:t>
      </w:r>
      <w:r>
        <w:t>emo</w:t>
      </w:r>
      <w:r w:rsidR="000332B4">
        <w:t>.</w:t>
      </w:r>
    </w:p>
    <w:p w:rsidR="00DC3771" w:rsidP="002C56F3" w:rsidRDefault="00DC3771" w14:paraId="5944E1BB" w14:textId="41EA9966">
      <w:pPr>
        <w:pStyle w:val="Standard"/>
      </w:pPr>
      <w:r>
        <w:t xml:space="preserve">On October 9, 2025, Havasu filed </w:t>
      </w:r>
      <w:r w:rsidR="005A57B1">
        <w:t>its objection to the revised Scoping Memo and Ruling</w:t>
      </w:r>
      <w:r w:rsidR="00C442ED">
        <w:t xml:space="preserve"> (Havasu Objection to Scoping Memo</w:t>
      </w:r>
      <w:r w:rsidR="009A13A2">
        <w:t xml:space="preserve"> No. 1</w:t>
      </w:r>
      <w:r w:rsidR="00C442ED">
        <w:t>).</w:t>
      </w:r>
    </w:p>
    <w:p w:rsidR="00AD4997" w:rsidP="00AD4997" w:rsidRDefault="00AD4997" w14:paraId="75A689C3" w14:textId="6BA1170A">
      <w:pPr>
        <w:pStyle w:val="Standard"/>
      </w:pPr>
      <w:r>
        <w:t xml:space="preserve">On October 16, 2025, the </w:t>
      </w:r>
      <w:r w:rsidR="009F6EE3">
        <w:t xml:space="preserve">Assigned </w:t>
      </w:r>
      <w:r>
        <w:t>Commissioner served the Scoping Memo and Ruling (Scoping Memo).</w:t>
      </w:r>
    </w:p>
    <w:p w:rsidR="000332B4" w:rsidP="006E6574" w:rsidRDefault="000332B4" w14:paraId="22F67886" w14:textId="042EF161">
      <w:pPr>
        <w:pStyle w:val="Standard"/>
      </w:pPr>
      <w:r>
        <w:t xml:space="preserve">After being granted </w:t>
      </w:r>
      <w:r w:rsidR="002E00C5">
        <w:t>permission for a</w:t>
      </w:r>
      <w:r w:rsidR="000F4415">
        <w:t xml:space="preserve"> late filing, on October 17, 2025, Havasu filed its objection to </w:t>
      </w:r>
      <w:r w:rsidR="00C81561">
        <w:t xml:space="preserve">the amended allegations </w:t>
      </w:r>
      <w:r w:rsidR="00510272">
        <w:t xml:space="preserve">to the preliminary </w:t>
      </w:r>
      <w:r w:rsidR="0022238A">
        <w:t>s</w:t>
      </w:r>
      <w:r w:rsidR="00510272">
        <w:t xml:space="preserve">coping </w:t>
      </w:r>
      <w:r w:rsidR="0022238A">
        <w:t>m</w:t>
      </w:r>
      <w:r w:rsidR="00510272">
        <w:t>emo</w:t>
      </w:r>
      <w:r w:rsidR="002C56F3">
        <w:t xml:space="preserve"> (Havasu </w:t>
      </w:r>
      <w:r w:rsidR="00BD5359">
        <w:t xml:space="preserve">Objection to </w:t>
      </w:r>
      <w:r w:rsidR="009A13A2">
        <w:t>Scoping Memo No. 2</w:t>
      </w:r>
      <w:r w:rsidR="00BD5359">
        <w:t>)</w:t>
      </w:r>
      <w:r w:rsidR="00510272">
        <w:t>.</w:t>
      </w:r>
    </w:p>
    <w:p w:rsidR="001109D3" w:rsidP="006E6574" w:rsidRDefault="001109D3" w14:paraId="7BAD2871" w14:textId="51BFB6A5">
      <w:pPr>
        <w:pStyle w:val="Standard"/>
      </w:pPr>
      <w:r>
        <w:t>On October 17, 2025, CPED filed its motion to enter testimon</w:t>
      </w:r>
      <w:r w:rsidR="00F778CD">
        <w:t>y</w:t>
      </w:r>
      <w:r>
        <w:t xml:space="preserve"> and exhibits into the evidentiary record.</w:t>
      </w:r>
    </w:p>
    <w:p w:rsidR="00510272" w:rsidP="006E6574" w:rsidRDefault="00B82771" w14:paraId="4019E45C" w14:textId="50019670">
      <w:pPr>
        <w:pStyle w:val="Standard"/>
      </w:pPr>
      <w:r>
        <w:lastRenderedPageBreak/>
        <w:t>In addition, on the same date</w:t>
      </w:r>
      <w:r w:rsidR="00510272">
        <w:t>, CPED filed a motion for official notice</w:t>
      </w:r>
      <w:r w:rsidR="00BC5CFB">
        <w:t>.</w:t>
      </w:r>
      <w:r w:rsidR="003A44DB">
        <w:t xml:space="preserve">  CPED requested that the assigned Administrative Law Judge</w:t>
      </w:r>
      <w:r w:rsidR="008C06C0">
        <w:t xml:space="preserve"> </w:t>
      </w:r>
      <w:r w:rsidR="00694E92">
        <w:t xml:space="preserve">(ALJ) </w:t>
      </w:r>
      <w:r w:rsidR="003A44DB">
        <w:t xml:space="preserve">take official notice of the following: </w:t>
      </w:r>
      <w:r w:rsidR="00DF3010">
        <w:t>United States</w:t>
      </w:r>
      <w:r w:rsidR="000406CC">
        <w:t xml:space="preserve"> </w:t>
      </w:r>
      <w:r w:rsidR="00E9405E">
        <w:t>(U</w:t>
      </w:r>
      <w:r w:rsidR="00EB3AC6">
        <w:t>.</w:t>
      </w:r>
      <w:r w:rsidR="00E9405E">
        <w:t>S</w:t>
      </w:r>
      <w:r w:rsidR="00EB3AC6">
        <w:t>.</w:t>
      </w:r>
      <w:r w:rsidR="00E9405E">
        <w:t>)</w:t>
      </w:r>
      <w:r w:rsidR="00EB3AC6">
        <w:t xml:space="preserve"> </w:t>
      </w:r>
      <w:r w:rsidR="003A44DB">
        <w:t>District Court filings in the Chemehuevi Indian Tribe v. Havasu Water Co.; U</w:t>
      </w:r>
      <w:r w:rsidR="003B2735">
        <w:t>.S.</w:t>
      </w:r>
      <w:r w:rsidR="003A44DB">
        <w:t xml:space="preserve"> Environmental Protection Agency Region IX Docket No. PWS-AO-2025-002 enforcement actions and related documents; </w:t>
      </w:r>
      <w:r w:rsidR="00657D34">
        <w:t xml:space="preserve">and </w:t>
      </w:r>
      <w:r w:rsidR="003A44DB">
        <w:t>State Water Resource Control Board, Division of Drinking Water enforcement actions and related documents</w:t>
      </w:r>
      <w:r w:rsidR="00657D34">
        <w:t>.</w:t>
      </w:r>
    </w:p>
    <w:p w:rsidR="00891E75" w:rsidP="00107ECB" w:rsidRDefault="00891E75" w14:paraId="592E1EE8" w14:textId="4792448D">
      <w:pPr>
        <w:pStyle w:val="Standard"/>
      </w:pPr>
      <w:r>
        <w:t xml:space="preserve">Havasu was </w:t>
      </w:r>
      <w:proofErr w:type="gramStart"/>
      <w:r>
        <w:t>provided</w:t>
      </w:r>
      <w:proofErr w:type="gramEnd"/>
      <w:r>
        <w:t xml:space="preserve"> ample </w:t>
      </w:r>
      <w:r w:rsidR="003B59B0">
        <w:t xml:space="preserve">notice and </w:t>
      </w:r>
      <w:r>
        <w:t xml:space="preserve">opportunity to file </w:t>
      </w:r>
      <w:r w:rsidR="003B59B0">
        <w:t xml:space="preserve">direct </w:t>
      </w:r>
      <w:r>
        <w:t>testimon</w:t>
      </w:r>
      <w:r w:rsidR="006B24CF">
        <w:t>y</w:t>
      </w:r>
      <w:r>
        <w:t xml:space="preserve"> and evidence in support of its case but elected not to do so.  As such, the evidentiary record does not contain any testimon</w:t>
      </w:r>
      <w:r w:rsidR="00F778CD">
        <w:t>y</w:t>
      </w:r>
      <w:r>
        <w:t xml:space="preserve"> or evidence from Havasu.</w:t>
      </w:r>
    </w:p>
    <w:p w:rsidR="00BC5CFB" w:rsidP="006E6574" w:rsidRDefault="00BC5CFB" w14:paraId="661F3DC4" w14:textId="748B52FE">
      <w:pPr>
        <w:pStyle w:val="Standard"/>
      </w:pPr>
      <w:r>
        <w:t xml:space="preserve">On October 22, 2025, CPED filed a motion to strike portions of Havasu’s </w:t>
      </w:r>
      <w:r w:rsidR="00F70064">
        <w:t xml:space="preserve">October 17, </w:t>
      </w:r>
      <w:proofErr w:type="gramStart"/>
      <w:r w:rsidR="00F70064">
        <w:t>2025</w:t>
      </w:r>
      <w:proofErr w:type="gramEnd"/>
      <w:r w:rsidR="00F70064">
        <w:t xml:space="preserve"> </w:t>
      </w:r>
      <w:r w:rsidR="009A13A2">
        <w:t>Objection to Scoping Memo No. 2.</w:t>
      </w:r>
    </w:p>
    <w:p w:rsidR="00631FCB" w:rsidP="00AD4997" w:rsidRDefault="00631FCB" w14:paraId="5D058518" w14:textId="00D1A59E">
      <w:pPr>
        <w:pStyle w:val="Standard"/>
      </w:pPr>
      <w:r>
        <w:t xml:space="preserve">On October 27 </w:t>
      </w:r>
      <w:r w:rsidR="00F778CD">
        <w:t xml:space="preserve">and </w:t>
      </w:r>
      <w:r>
        <w:t xml:space="preserve">28, 2025, </w:t>
      </w:r>
      <w:r w:rsidR="00014767">
        <w:t>evidentiary hearings were held.</w:t>
      </w:r>
    </w:p>
    <w:p w:rsidR="00E01892" w:rsidP="00AD4997" w:rsidRDefault="00E01892" w14:paraId="7CEF0E4D" w14:textId="24E2AD68">
      <w:pPr>
        <w:pStyle w:val="Standard"/>
      </w:pPr>
      <w:r>
        <w:t xml:space="preserve">On November 5, 2025, CPED filed </w:t>
      </w:r>
      <w:r w:rsidR="00A73A32">
        <w:t>a motion to admit portions of Exhibit – 03 into evidence under seal.</w:t>
      </w:r>
    </w:p>
    <w:p w:rsidR="00AD4997" w:rsidP="00AD4997" w:rsidRDefault="00433EEC" w14:paraId="73AE43CD" w14:textId="72A19B15">
      <w:pPr>
        <w:pStyle w:val="Standard"/>
      </w:pPr>
      <w:r>
        <w:t xml:space="preserve">On November 18, 2025, </w:t>
      </w:r>
      <w:r w:rsidR="009347EB">
        <w:t>Havasu and CPED filed opening briefs.</w:t>
      </w:r>
    </w:p>
    <w:p w:rsidR="00014767" w:rsidP="00C21613" w:rsidRDefault="009347EB" w14:paraId="5595ECF6" w14:textId="11036347">
      <w:pPr>
        <w:pStyle w:val="Standard"/>
      </w:pPr>
      <w:r>
        <w:t xml:space="preserve">On November 21, 2025, Havasu and CPED filed </w:t>
      </w:r>
      <w:proofErr w:type="gramStart"/>
      <w:r>
        <w:t>reply</w:t>
      </w:r>
      <w:proofErr w:type="gramEnd"/>
      <w:r>
        <w:t xml:space="preserve"> briefs.</w:t>
      </w:r>
    </w:p>
    <w:p w:rsidR="008E420E" w:rsidP="008E420E" w:rsidRDefault="00FA7378" w14:paraId="4AA38D8E" w14:textId="701E4CBC">
      <w:pPr>
        <w:pStyle w:val="Standard"/>
      </w:pPr>
      <w:r>
        <w:t xml:space="preserve">On January 14, 2026, CPED filed a </w:t>
      </w:r>
      <w:r w:rsidR="008E420E">
        <w:t xml:space="preserve">motion to set aside submission of the record and reopen the record.  On the same day, </w:t>
      </w:r>
      <w:r w:rsidR="00CD5753">
        <w:t>CPED filed a motion to request official notice of the U</w:t>
      </w:r>
      <w:r w:rsidR="00EB3AC6">
        <w:t>.S.</w:t>
      </w:r>
      <w:r w:rsidR="00CD5753">
        <w:t xml:space="preserve"> District Court</w:t>
      </w:r>
      <w:r w:rsidR="007E0DE7">
        <w:t xml:space="preserve">’s </w:t>
      </w:r>
      <w:r w:rsidR="00CD5753">
        <w:t>Order of Ejectment</w:t>
      </w:r>
      <w:r w:rsidR="007E0DE7">
        <w:t xml:space="preserve"> dated January 8, 2026</w:t>
      </w:r>
      <w:r w:rsidR="00CD5753">
        <w:t>.</w:t>
      </w:r>
    </w:p>
    <w:p w:rsidR="008F0929" w:rsidP="008E420E" w:rsidRDefault="008F0929" w14:paraId="01DA9DA6" w14:textId="6F0FDC5D">
      <w:pPr>
        <w:pStyle w:val="Standard"/>
      </w:pPr>
      <w:r>
        <w:t xml:space="preserve">On January 20, 2026, the assigned Administrative Law Judge issued a ruling granting CPED’s </w:t>
      </w:r>
      <w:r w:rsidR="007E0DE7">
        <w:t xml:space="preserve">January 14, </w:t>
      </w:r>
      <w:proofErr w:type="gramStart"/>
      <w:r w:rsidR="007E0DE7">
        <w:t>2026</w:t>
      </w:r>
      <w:proofErr w:type="gramEnd"/>
      <w:r w:rsidR="00047F2A">
        <w:t xml:space="preserve"> motions.</w:t>
      </w:r>
    </w:p>
    <w:p w:rsidR="00400F37" w:rsidP="00C21613" w:rsidRDefault="00400F37" w14:paraId="15644D2D" w14:textId="6D35CDB6">
      <w:pPr>
        <w:pStyle w:val="Standard"/>
      </w:pPr>
      <w:r>
        <w:t xml:space="preserve">On February </w:t>
      </w:r>
      <w:r w:rsidR="009156BC">
        <w:t>5</w:t>
      </w:r>
      <w:r>
        <w:t>, 2026, the assigned Administrative Law Judge issued a ruling consolidating K.25-06-028 into this proceeding.</w:t>
      </w:r>
    </w:p>
    <w:p w:rsidR="006D54A1" w:rsidP="00C21613" w:rsidRDefault="006D54A1" w14:paraId="6398DF6B" w14:textId="1BF74FA7">
      <w:pPr>
        <w:pStyle w:val="Standard"/>
      </w:pPr>
      <w:r>
        <w:t>The proceeding is closed.</w:t>
      </w:r>
    </w:p>
    <w:p w:rsidR="00683B2C" w:rsidP="007D4BBB" w:rsidRDefault="00683B2C" w14:paraId="7FB5B72A" w14:textId="77777777">
      <w:pPr>
        <w:pStyle w:val="Heading1"/>
      </w:pPr>
      <w:bookmarkStart w:name="_Toc221259529" w:id="9"/>
      <w:r>
        <w:lastRenderedPageBreak/>
        <w:t>Submission Date</w:t>
      </w:r>
      <w:bookmarkEnd w:id="9"/>
    </w:p>
    <w:p w:rsidR="00683B2C" w:rsidP="001B7F8B" w:rsidRDefault="00683B2C" w14:paraId="7940C003" w14:textId="162AED5A">
      <w:pPr>
        <w:pStyle w:val="Standard"/>
      </w:pPr>
      <w:r w:rsidRPr="00FF0265">
        <w:t xml:space="preserve">This matter was submitted on </w:t>
      </w:r>
      <w:r w:rsidR="00E12494">
        <w:t xml:space="preserve">January 20, 2026, following </w:t>
      </w:r>
      <w:r w:rsidR="00F37489">
        <w:t>the reopening of the record to take official notice of the U</w:t>
      </w:r>
      <w:r w:rsidR="006E5BAA">
        <w:t>.S.</w:t>
      </w:r>
      <w:r w:rsidR="00F37489">
        <w:t xml:space="preserve"> District Court</w:t>
      </w:r>
      <w:r w:rsidR="00D60C17">
        <w:t xml:space="preserve">’s </w:t>
      </w:r>
      <w:r w:rsidR="00F37489">
        <w:t>Order of Ejectment</w:t>
      </w:r>
      <w:r w:rsidR="00D60C17">
        <w:t xml:space="preserve"> dated January 8, 2026</w:t>
      </w:r>
      <w:r w:rsidR="00F37489">
        <w:t>.</w:t>
      </w:r>
    </w:p>
    <w:p w:rsidR="00B349AC" w:rsidP="00B349AC" w:rsidRDefault="00B349AC" w14:paraId="1F396429" w14:textId="1E97E143">
      <w:pPr>
        <w:pStyle w:val="Heading1"/>
      </w:pPr>
      <w:bookmarkStart w:name="_Toc221259530" w:id="10"/>
      <w:r>
        <w:t>Jurisdiction</w:t>
      </w:r>
      <w:bookmarkEnd w:id="10"/>
    </w:p>
    <w:p w:rsidR="00B349AC" w:rsidP="00B349AC" w:rsidRDefault="000E54F3" w14:paraId="58C24B1F" w14:textId="76D12C0F">
      <w:pPr>
        <w:pStyle w:val="Standard"/>
      </w:pPr>
      <w:r>
        <w:t xml:space="preserve">Regulation of water service and water quality </w:t>
      </w:r>
      <w:r w:rsidR="0033550C">
        <w:t xml:space="preserve">falls under the jurisdiction of multiple </w:t>
      </w:r>
      <w:r w:rsidR="00564937">
        <w:t>federal</w:t>
      </w:r>
      <w:r w:rsidR="00776DA5">
        <w:t xml:space="preserve"> and state </w:t>
      </w:r>
      <w:r w:rsidR="0033550C">
        <w:t xml:space="preserve">agencies.  Because of the nature of </w:t>
      </w:r>
      <w:r w:rsidR="00640207">
        <w:t xml:space="preserve">water service and its impact on </w:t>
      </w:r>
      <w:r w:rsidR="00774D01">
        <w:t>reliability, water quality and public health</w:t>
      </w:r>
      <w:r w:rsidR="00117B06">
        <w:t xml:space="preserve"> and safety</w:t>
      </w:r>
      <w:r w:rsidR="00640207">
        <w:t xml:space="preserve">, agencies such as </w:t>
      </w:r>
      <w:r w:rsidRPr="00C82946" w:rsidR="00C82946">
        <w:t>the U.S. Environmental Protection Agency (EPA)</w:t>
      </w:r>
      <w:r w:rsidR="00C82946">
        <w:t>,</w:t>
      </w:r>
      <w:r w:rsidR="00640207">
        <w:t xml:space="preserve"> </w:t>
      </w:r>
      <w:r w:rsidR="003D6158">
        <w:t>California</w:t>
      </w:r>
      <w:r w:rsidR="00A05DA4">
        <w:t xml:space="preserve"> Public Utilities Commission</w:t>
      </w:r>
      <w:r w:rsidR="00B80AEB">
        <w:t>’s</w:t>
      </w:r>
      <w:r w:rsidR="00292DA7">
        <w:t xml:space="preserve"> (Commission)</w:t>
      </w:r>
      <w:r w:rsidR="00A05DA4">
        <w:t xml:space="preserve"> Water Division (WD)</w:t>
      </w:r>
      <w:r w:rsidR="002A4D81">
        <w:t xml:space="preserve"> and</w:t>
      </w:r>
      <w:r w:rsidR="00C82946">
        <w:t xml:space="preserve"> </w:t>
      </w:r>
      <w:r w:rsidR="00B80AEB">
        <w:t xml:space="preserve">the </w:t>
      </w:r>
      <w:r w:rsidR="00C82946">
        <w:t>California State Water Resource Control Board, Division of Drinking Water (DDW)</w:t>
      </w:r>
      <w:r w:rsidR="0061471F">
        <w:t xml:space="preserve">, </w:t>
      </w:r>
      <w:r w:rsidR="00B6688D">
        <w:t>all play a role</w:t>
      </w:r>
      <w:r w:rsidR="000665A9">
        <w:t xml:space="preserve"> in ensuring that </w:t>
      </w:r>
      <w:r w:rsidR="00D57845">
        <w:t xml:space="preserve">water is provided safely to </w:t>
      </w:r>
      <w:r w:rsidR="00167E96">
        <w:t>the public.</w:t>
      </w:r>
    </w:p>
    <w:p w:rsidR="00B6688D" w:rsidP="00B349AC" w:rsidRDefault="002C3F1F" w14:paraId="52CA8B9A" w14:textId="49174704">
      <w:pPr>
        <w:pStyle w:val="Standard"/>
      </w:pPr>
      <w:r>
        <w:t xml:space="preserve">The EPA protects water quality by setting standards and enforcing regulations under the </w:t>
      </w:r>
      <w:r w:rsidR="00B874AE">
        <w:t>Safe Drinking Water Act (</w:t>
      </w:r>
      <w:r>
        <w:t>SDWA</w:t>
      </w:r>
      <w:r w:rsidR="00B874AE">
        <w:t>)</w:t>
      </w:r>
      <w:r>
        <w:t xml:space="preserve"> and Clean Water Act.  </w:t>
      </w:r>
      <w:bookmarkStart w:name="_Hlk220571229" w:id="11"/>
      <w:r w:rsidRPr="00033A27" w:rsidR="00215E42">
        <w:t xml:space="preserve">The WD </w:t>
      </w:r>
      <w:r w:rsidRPr="00033A27" w:rsidR="00FE017C">
        <w:t>regulates California’s investor-owned water utilities ensuring that water utilities deliver clean, safe and reliable water to their customers at reasonable rates.</w:t>
      </w:r>
      <w:r w:rsidR="00D507C9">
        <w:t xml:space="preserve"> </w:t>
      </w:r>
      <w:bookmarkEnd w:id="11"/>
      <w:r w:rsidR="00E771A6">
        <w:t xml:space="preserve"> </w:t>
      </w:r>
      <w:r w:rsidR="008B5116">
        <w:t xml:space="preserve">The </w:t>
      </w:r>
      <w:r w:rsidR="00D507C9">
        <w:t xml:space="preserve">DDW regulates </w:t>
      </w:r>
      <w:r w:rsidR="00B57DDE">
        <w:t xml:space="preserve">California’s </w:t>
      </w:r>
      <w:r w:rsidR="00D507C9">
        <w:t>public water systems to ensure safe drinking water</w:t>
      </w:r>
      <w:r w:rsidR="008B5116">
        <w:t xml:space="preserve"> by enforcing the </w:t>
      </w:r>
      <w:r w:rsidR="004E414D">
        <w:t>SDWA</w:t>
      </w:r>
      <w:r w:rsidR="008B5116">
        <w:t xml:space="preserve">, issuing permits and monitoring water quality.  </w:t>
      </w:r>
    </w:p>
    <w:p w:rsidRPr="00B349AC" w:rsidR="00B57DDE" w:rsidP="004756BF" w:rsidRDefault="00D930C7" w14:paraId="5445A6AF" w14:textId="5F72714A">
      <w:pPr>
        <w:pStyle w:val="Standard"/>
      </w:pPr>
      <w:r>
        <w:t xml:space="preserve">On January </w:t>
      </w:r>
      <w:r w:rsidR="005A04DE">
        <w:t xml:space="preserve">1, 2024, </w:t>
      </w:r>
      <w:r w:rsidR="007E70D6">
        <w:t xml:space="preserve">DDW officially transferred </w:t>
      </w:r>
      <w:r w:rsidR="004216FD">
        <w:t xml:space="preserve">Havasu </w:t>
      </w:r>
      <w:r w:rsidR="007E70D6">
        <w:t xml:space="preserve">SDWA </w:t>
      </w:r>
      <w:r w:rsidR="00871E3F">
        <w:t>jurisdiction</w:t>
      </w:r>
      <w:r w:rsidR="007E70D6">
        <w:t xml:space="preserve"> to the EPA.</w:t>
      </w:r>
      <w:r w:rsidR="007E70D6">
        <w:rPr>
          <w:rStyle w:val="FootnoteReference"/>
        </w:rPr>
        <w:footnoteReference w:id="4"/>
      </w:r>
      <w:r w:rsidR="00374EF5">
        <w:t xml:space="preserve">  This transfer provided the EPA with primary </w:t>
      </w:r>
      <w:r w:rsidR="004216FD">
        <w:t xml:space="preserve">enforcement responsibility of the SDWA </w:t>
      </w:r>
      <w:r w:rsidR="005F7B43">
        <w:t xml:space="preserve">over Havasu.  </w:t>
      </w:r>
      <w:r w:rsidR="007C43E1">
        <w:t>Consequently, effective January 1,</w:t>
      </w:r>
      <w:r w:rsidR="004756BF">
        <w:t xml:space="preserve"> </w:t>
      </w:r>
      <w:r w:rsidR="007C43E1">
        <w:t xml:space="preserve">2024, the WD and </w:t>
      </w:r>
      <w:r w:rsidR="00043720">
        <w:t>the DDW possess jurisdiction to exercise secondary enforcement responsibility under the SDWA with respect to Havasu.</w:t>
      </w:r>
      <w:r w:rsidR="00BE08F3">
        <w:rPr>
          <w:rStyle w:val="FootnoteReference"/>
        </w:rPr>
        <w:footnoteReference w:id="5"/>
      </w:r>
    </w:p>
    <w:p w:rsidR="005A148C" w:rsidP="004756BF" w:rsidRDefault="00B71D85" w14:paraId="441339BC" w14:textId="04795883">
      <w:pPr>
        <w:pStyle w:val="Heading1"/>
      </w:pPr>
      <w:bookmarkStart w:name="_Toc8123718" w:id="12"/>
      <w:bookmarkStart w:name="_Toc221259531" w:id="13"/>
      <w:r>
        <w:lastRenderedPageBreak/>
        <w:t>Burden of Proof</w:t>
      </w:r>
      <w:bookmarkEnd w:id="12"/>
      <w:bookmarkEnd w:id="13"/>
    </w:p>
    <w:p w:rsidR="00B349AC" w:rsidP="004756BF" w:rsidRDefault="00B71D85" w14:paraId="20B383D2" w14:textId="3FED3AEB">
      <w:pPr>
        <w:pStyle w:val="Standard"/>
      </w:pPr>
      <w:r>
        <w:t>The Commission has jurisdiction over the activities of public utilities</w:t>
      </w:r>
      <w:r w:rsidR="00CE31BA">
        <w:t>.</w:t>
      </w:r>
      <w:r>
        <w:rPr>
          <w:rStyle w:val="FootnoteReference"/>
        </w:rPr>
        <w:footnoteReference w:id="6"/>
      </w:r>
      <w:r w:rsidR="00D01B3B">
        <w:t xml:space="preserve"> </w:t>
      </w:r>
      <w:r w:rsidR="004756BF">
        <w:t xml:space="preserve"> </w:t>
      </w:r>
      <w:r w:rsidR="00D4720B">
        <w:t>Havasu</w:t>
      </w:r>
      <w:r w:rsidR="00CE31BA">
        <w:t xml:space="preserve"> </w:t>
      </w:r>
      <w:r w:rsidR="00C21613">
        <w:t xml:space="preserve">is a utility that </w:t>
      </w:r>
      <w:r>
        <w:t>provid</w:t>
      </w:r>
      <w:r w:rsidR="00BF02DA">
        <w:t>es</w:t>
      </w:r>
      <w:r>
        <w:t xml:space="preserve"> </w:t>
      </w:r>
      <w:r w:rsidR="00D4720B">
        <w:t>water service</w:t>
      </w:r>
      <w:r>
        <w:t>.</w:t>
      </w:r>
      <w:r w:rsidR="00835409">
        <w:rPr>
          <w:rStyle w:val="FootnoteReference"/>
        </w:rPr>
        <w:footnoteReference w:id="7"/>
      </w:r>
      <w:r>
        <w:t xml:space="preserve">  </w:t>
      </w:r>
      <w:r w:rsidR="00D01B3B">
        <w:t xml:space="preserve">Therefore, </w:t>
      </w:r>
      <w:r w:rsidR="00E41E9E">
        <w:t xml:space="preserve">Havasu </w:t>
      </w:r>
      <w:r w:rsidR="00CE31BA">
        <w:t>is</w:t>
      </w:r>
      <w:r>
        <w:t xml:space="preserve"> a</w:t>
      </w:r>
      <w:r w:rsidR="00CE31BA">
        <w:t xml:space="preserve"> utility </w:t>
      </w:r>
      <w:r>
        <w:t xml:space="preserve">subject to </w:t>
      </w:r>
      <w:r w:rsidR="0090655E">
        <w:t xml:space="preserve">the Commission’s </w:t>
      </w:r>
      <w:r>
        <w:t>jurisdiction, control and regulation.</w:t>
      </w:r>
      <w:r w:rsidR="00080B52">
        <w:rPr>
          <w:rStyle w:val="FootnoteReference"/>
        </w:rPr>
        <w:footnoteReference w:id="8"/>
      </w:r>
      <w:r>
        <w:t xml:space="preserve"> </w:t>
      </w:r>
    </w:p>
    <w:p w:rsidRPr="0063491C" w:rsidR="0063491C" w:rsidP="004756BF" w:rsidRDefault="00E41E9E" w14:paraId="7F5A2F64" w14:textId="4CCC4450">
      <w:pPr>
        <w:pStyle w:val="Standard"/>
      </w:pPr>
      <w:r>
        <w:t>CPED</w:t>
      </w:r>
      <w:r w:rsidR="001147C7">
        <w:t xml:space="preserve"> </w:t>
      </w:r>
      <w:r w:rsidR="00CE31BA">
        <w:t xml:space="preserve">is a </w:t>
      </w:r>
      <w:r w:rsidR="0022707C">
        <w:t xml:space="preserve">division of the </w:t>
      </w:r>
      <w:r w:rsidR="00363FE1">
        <w:t xml:space="preserve">California Public Utilities Commission which investigates and prosecutes violations </w:t>
      </w:r>
      <w:r w:rsidR="00E45BB9">
        <w:t>of the Public Utilit</w:t>
      </w:r>
      <w:r w:rsidR="00B874AE">
        <w:t>ies</w:t>
      </w:r>
      <w:r w:rsidR="00E45BB9">
        <w:t xml:space="preserve"> Code, </w:t>
      </w:r>
      <w:r w:rsidR="00681BC1">
        <w:t>regulations</w:t>
      </w:r>
      <w:r w:rsidR="00A25867">
        <w:t>, orders</w:t>
      </w:r>
      <w:r w:rsidR="00681BC1">
        <w:t xml:space="preserve"> and statutes.  </w:t>
      </w:r>
      <w:r w:rsidR="004D661A">
        <w:t xml:space="preserve">As this proceeding was initiated </w:t>
      </w:r>
      <w:r w:rsidR="00CE10E6">
        <w:t>on the Commission’s own motion</w:t>
      </w:r>
      <w:r w:rsidR="004D661A">
        <w:t xml:space="preserve">, </w:t>
      </w:r>
      <w:r w:rsidR="0038509C">
        <w:t>CPED</w:t>
      </w:r>
      <w:r w:rsidR="00CE31BA">
        <w:t xml:space="preserve"> </w:t>
      </w:r>
      <w:r w:rsidR="00B71D85">
        <w:t>bears the burden of proof</w:t>
      </w:r>
      <w:r w:rsidR="00FE3E3C">
        <w:t>,</w:t>
      </w:r>
      <w:r w:rsidR="00B71D85">
        <w:t xml:space="preserve"> </w:t>
      </w:r>
      <w:r w:rsidR="008150F8">
        <w:t>which must be met by a preponderance of the evidence.</w:t>
      </w:r>
      <w:r w:rsidR="008150F8">
        <w:rPr>
          <w:rStyle w:val="FootnoteReference"/>
        </w:rPr>
        <w:footnoteReference w:id="9"/>
      </w:r>
      <w:r w:rsidR="008150F8">
        <w:t xml:space="preserve">  </w:t>
      </w:r>
    </w:p>
    <w:p w:rsidR="0011403E" w:rsidP="003C56A4" w:rsidRDefault="0011403E" w14:paraId="1D5B6AA4" w14:textId="77777777">
      <w:pPr>
        <w:pStyle w:val="Heading1"/>
      </w:pPr>
      <w:bookmarkStart w:name="_Toc221259532" w:id="14"/>
      <w:r>
        <w:t>Parties Positions</w:t>
      </w:r>
      <w:bookmarkEnd w:id="14"/>
    </w:p>
    <w:p w:rsidR="00FE049E" w:rsidP="0011403E" w:rsidRDefault="00FE049E" w14:paraId="0291A56C" w14:textId="5615CCB7">
      <w:pPr>
        <w:pStyle w:val="Heading2"/>
      </w:pPr>
      <w:bookmarkStart w:name="_Toc221259533" w:id="15"/>
      <w:r>
        <w:t>CPED’s Position</w:t>
      </w:r>
      <w:bookmarkEnd w:id="15"/>
    </w:p>
    <w:p w:rsidR="00FE049E" w:rsidP="00FE049E" w:rsidRDefault="00D745A7" w14:paraId="30F35D87" w14:textId="39AC5AAF">
      <w:pPr>
        <w:pStyle w:val="Standard"/>
      </w:pPr>
      <w:r>
        <w:t xml:space="preserve">CPED </w:t>
      </w:r>
      <w:r w:rsidR="005C1B7E">
        <w:t xml:space="preserve">contends that </w:t>
      </w:r>
      <w:r w:rsidR="00426B29">
        <w:t>the instant investigation is based on evidence pertaining to Havasu’s failure to fulfill its responsibilities as a Class D water utility</w:t>
      </w:r>
      <w:r w:rsidR="00365DEE">
        <w:t xml:space="preserve"> to furnish, maintain and provide safe and reliable water services and facilities to customers and the public.</w:t>
      </w:r>
      <w:r w:rsidR="00365DEE">
        <w:rPr>
          <w:rStyle w:val="FootnoteReference"/>
        </w:rPr>
        <w:footnoteReference w:id="10"/>
      </w:r>
      <w:r w:rsidR="00606BFD">
        <w:t xml:space="preserve">  </w:t>
      </w:r>
      <w:r w:rsidR="001970E3">
        <w:t xml:space="preserve">According to CPED, Havasu’s alleged improper actions of providing deficient water services and facilities </w:t>
      </w:r>
      <w:r w:rsidR="00BA5945">
        <w:t>to its customers and the public have led to numerous informal and formal complaints filed by Havasu customers</w:t>
      </w:r>
      <w:r w:rsidR="0037319F">
        <w:t xml:space="preserve"> regarding concerns over water quality and service</w:t>
      </w:r>
      <w:r w:rsidR="00EE6E34">
        <w:t>;</w:t>
      </w:r>
      <w:r w:rsidR="0037319F">
        <w:t xml:space="preserve"> </w:t>
      </w:r>
      <w:r w:rsidR="0037319F">
        <w:lastRenderedPageBreak/>
        <w:t>improper water service changes</w:t>
      </w:r>
      <w:r w:rsidR="00EE6E34">
        <w:t xml:space="preserve">; </w:t>
      </w:r>
      <w:r w:rsidR="0037319F">
        <w:t xml:space="preserve">customer disconnections and public </w:t>
      </w:r>
      <w:r w:rsidR="005D1FA4">
        <w:t xml:space="preserve">health and </w:t>
      </w:r>
      <w:r w:rsidR="0037319F">
        <w:t>safety.</w:t>
      </w:r>
      <w:r w:rsidR="0037319F">
        <w:rPr>
          <w:rStyle w:val="FootnoteReference"/>
        </w:rPr>
        <w:footnoteReference w:id="11"/>
      </w:r>
      <w:r w:rsidR="0037319F">
        <w:t xml:space="preserve">  </w:t>
      </w:r>
    </w:p>
    <w:p w:rsidR="00AC766C" w:rsidP="00AC766C" w:rsidRDefault="00AC766C" w14:paraId="00E09134" w14:textId="685E4B29">
      <w:pPr>
        <w:pStyle w:val="Heading2"/>
      </w:pPr>
      <w:bookmarkStart w:name="_Toc221259534" w:id="16"/>
      <w:r>
        <w:t>Havasu’s Position</w:t>
      </w:r>
      <w:bookmarkEnd w:id="16"/>
    </w:p>
    <w:p w:rsidRPr="00AC766C" w:rsidR="00EE71A1" w:rsidP="009238DB" w:rsidRDefault="005D1B09" w14:paraId="55D8389E" w14:textId="760CFFB4">
      <w:pPr>
        <w:pStyle w:val="Standard"/>
      </w:pPr>
      <w:r>
        <w:t xml:space="preserve">Havasu </w:t>
      </w:r>
      <w:r w:rsidR="004A5463">
        <w:t xml:space="preserve">contends that the </w:t>
      </w:r>
      <w:r w:rsidR="0022238A">
        <w:t>p</w:t>
      </w:r>
      <w:r>
        <w:t xml:space="preserve">reliminary </w:t>
      </w:r>
      <w:r w:rsidR="0022238A">
        <w:t>s</w:t>
      </w:r>
      <w:r w:rsidR="004A5463">
        <w:t xml:space="preserve">coping </w:t>
      </w:r>
      <w:r w:rsidR="0022238A">
        <w:t>m</w:t>
      </w:r>
      <w:r w:rsidR="004A5463">
        <w:t>emo is vague</w:t>
      </w:r>
      <w:r w:rsidR="00234FEE">
        <w:t xml:space="preserve"> and confusing.</w:t>
      </w:r>
      <w:r w:rsidR="002F23F5">
        <w:rPr>
          <w:rStyle w:val="FootnoteReference"/>
        </w:rPr>
        <w:footnoteReference w:id="12"/>
      </w:r>
      <w:r w:rsidR="00234FEE">
        <w:t xml:space="preserve">  In addition, Havasu </w:t>
      </w:r>
      <w:r w:rsidR="0073475B">
        <w:t>objects to the OII</w:t>
      </w:r>
      <w:r w:rsidR="003C7C77">
        <w:t xml:space="preserve"> as the epitome of governmental abuse, gross negligence and a complete mockery of justice.</w:t>
      </w:r>
      <w:r w:rsidR="003C7C77">
        <w:rPr>
          <w:rStyle w:val="FootnoteReference"/>
        </w:rPr>
        <w:footnoteReference w:id="13"/>
      </w:r>
      <w:r w:rsidR="003C7C77">
        <w:t xml:space="preserve">  Havasu</w:t>
      </w:r>
      <w:r w:rsidR="00AD3A30">
        <w:t xml:space="preserve"> request</w:t>
      </w:r>
      <w:r w:rsidR="00416DCD">
        <w:t>ed</w:t>
      </w:r>
      <w:r w:rsidR="00AD3A30">
        <w:t xml:space="preserve"> that </w:t>
      </w:r>
      <w:r w:rsidR="00EC3C34">
        <w:t>the ALJ</w:t>
      </w:r>
      <w:r w:rsidR="00956294">
        <w:t xml:space="preserve"> </w:t>
      </w:r>
      <w:r w:rsidR="00EC3C34">
        <w:t>postpone this hearin</w:t>
      </w:r>
      <w:r w:rsidR="00FF2ACE">
        <w:t xml:space="preserve">g until the </w:t>
      </w:r>
      <w:r>
        <w:t>F</w:t>
      </w:r>
      <w:r w:rsidR="00FF2ACE">
        <w:t xml:space="preserve">ederal </w:t>
      </w:r>
      <w:r>
        <w:t>C</w:t>
      </w:r>
      <w:r w:rsidR="00FF2ACE">
        <w:t>ourt resolves the easement issue.</w:t>
      </w:r>
      <w:r w:rsidR="00FF2ACE">
        <w:rPr>
          <w:rStyle w:val="FootnoteReference"/>
        </w:rPr>
        <w:footnoteReference w:id="14"/>
      </w:r>
      <w:r w:rsidR="00FF2ACE">
        <w:t xml:space="preserve">  Havasu req</w:t>
      </w:r>
      <w:r w:rsidR="00FD6B6F">
        <w:t>uested that the</w:t>
      </w:r>
      <w:r w:rsidR="000C3B9F">
        <w:t xml:space="preserve"> </w:t>
      </w:r>
      <w:r w:rsidR="00FD6B6F">
        <w:t>ALJ assign this case to Alternative Dispute Resolution and or modify the proceeding schedule</w:t>
      </w:r>
      <w:r w:rsidR="00B86258">
        <w:t xml:space="preserve"> to allow Havasu more time to prepare a defense.</w:t>
      </w:r>
      <w:r w:rsidR="00B86258">
        <w:rPr>
          <w:rStyle w:val="FootnoteReference"/>
        </w:rPr>
        <w:footnoteReference w:id="15"/>
      </w:r>
      <w:r w:rsidR="00B86258">
        <w:t xml:space="preserve">  Havasu contends that it cannot be afforded </w:t>
      </w:r>
      <w:r w:rsidR="00131C29">
        <w:t>due process in a six-month proceeding schedule.</w:t>
      </w:r>
      <w:r w:rsidR="00131C29">
        <w:rPr>
          <w:rStyle w:val="FootnoteReference"/>
        </w:rPr>
        <w:footnoteReference w:id="16"/>
      </w:r>
      <w:r w:rsidR="00C575B2">
        <w:t xml:space="preserve">  </w:t>
      </w:r>
      <w:r w:rsidR="004306FA">
        <w:t>The issues in this proceeding are set forth below.</w:t>
      </w:r>
    </w:p>
    <w:p w:rsidR="005939A5" w:rsidP="005939A5" w:rsidRDefault="00CD79E3" w14:paraId="76BB8A7F" w14:textId="37CA904D">
      <w:pPr>
        <w:pStyle w:val="Heading1"/>
      </w:pPr>
      <w:bookmarkStart w:name="_Toc221259535" w:id="17"/>
      <w:r>
        <w:t>Issues</w:t>
      </w:r>
      <w:bookmarkEnd w:id="17"/>
    </w:p>
    <w:p w:rsidR="00E54482" w:rsidP="00B74290" w:rsidRDefault="002F3530" w14:paraId="6345CB89" w14:textId="53658BF3">
      <w:pPr>
        <w:pStyle w:val="Standard"/>
        <w:numPr>
          <w:ilvl w:val="0"/>
          <w:numId w:val="32"/>
        </w:numPr>
        <w:spacing w:after="120" w:line="240" w:lineRule="auto"/>
        <w:ind w:right="1440"/>
      </w:pPr>
      <w:r>
        <w:t xml:space="preserve">CPED seeks authority to petition </w:t>
      </w:r>
      <w:r w:rsidR="009D03BB">
        <w:t>for</w:t>
      </w:r>
      <w:r>
        <w:t xml:space="preserve"> receivership </w:t>
      </w:r>
      <w:r w:rsidR="0011403E">
        <w:t xml:space="preserve">in Superior Court </w:t>
      </w:r>
      <w:r>
        <w:t>for Havasu.</w:t>
      </w:r>
      <w:r w:rsidR="00862440">
        <w:t xml:space="preserve">  CPED bases its request on Havasu’s </w:t>
      </w:r>
      <w:r w:rsidR="00555824">
        <w:t>well-</w:t>
      </w:r>
      <w:r w:rsidR="00624554">
        <w:t>documented</w:t>
      </w:r>
      <w:r w:rsidR="00862440">
        <w:t xml:space="preserve"> history of</w:t>
      </w:r>
      <w:r w:rsidR="001C61A5">
        <w:t xml:space="preserve"> noncompliance and unresponsiveness</w:t>
      </w:r>
      <w:r w:rsidR="00F34374">
        <w:t xml:space="preserve"> at the</w:t>
      </w:r>
      <w:r w:rsidR="00862440">
        <w:t xml:space="preserve"> </w:t>
      </w:r>
      <w:r w:rsidR="00B77C00">
        <w:t>Federal, State</w:t>
      </w:r>
      <w:r w:rsidR="00764C78">
        <w:t xml:space="preserve"> and</w:t>
      </w:r>
      <w:r w:rsidR="00B77C00">
        <w:t xml:space="preserve"> County</w:t>
      </w:r>
      <w:r w:rsidR="00764C78">
        <w:t xml:space="preserve"> </w:t>
      </w:r>
      <w:r w:rsidR="00F34374">
        <w:t>level</w:t>
      </w:r>
      <w:r w:rsidR="00DF61DC">
        <w:t xml:space="preserve">s, together with the </w:t>
      </w:r>
      <w:r w:rsidR="000E43A7">
        <w:t xml:space="preserve">public health </w:t>
      </w:r>
      <w:r w:rsidR="006914B9">
        <w:t>and safety risks</w:t>
      </w:r>
      <w:r w:rsidR="002D3831">
        <w:t xml:space="preserve"> </w:t>
      </w:r>
      <w:r w:rsidR="00B77C00">
        <w:t>and mismanagement</w:t>
      </w:r>
      <w:r w:rsidR="00764C78">
        <w:t>.</w:t>
      </w:r>
    </w:p>
    <w:p w:rsidR="0051512F" w:rsidP="00B74290" w:rsidRDefault="00307C9D" w14:paraId="751E90B3" w14:textId="1DB0A28B">
      <w:pPr>
        <w:pStyle w:val="Standard"/>
        <w:numPr>
          <w:ilvl w:val="0"/>
          <w:numId w:val="32"/>
        </w:numPr>
        <w:spacing w:after="120" w:line="240" w:lineRule="auto"/>
        <w:ind w:right="1440"/>
      </w:pPr>
      <w:r>
        <w:t xml:space="preserve">CPED alleges that </w:t>
      </w:r>
      <w:r w:rsidR="00AC28CF">
        <w:t xml:space="preserve">on or about October 11, 2024, </w:t>
      </w:r>
      <w:r>
        <w:t xml:space="preserve">Havasu violated </w:t>
      </w:r>
      <w:r w:rsidRPr="00FE3E3C" w:rsidR="00FE3E3C">
        <w:t>Public Utilities Code (</w:t>
      </w:r>
      <w:r>
        <w:t>Pub. Util. Code</w:t>
      </w:r>
      <w:r w:rsidR="00FE3E3C">
        <w:t>)</w:t>
      </w:r>
      <w:r>
        <w:t xml:space="preserve"> §</w:t>
      </w:r>
      <w:r w:rsidR="00A45E79">
        <w:t xml:space="preserve"> </w:t>
      </w:r>
      <w:r w:rsidR="002B49A2">
        <w:t>2713(a)</w:t>
      </w:r>
      <w:r>
        <w:t xml:space="preserve"> </w:t>
      </w:r>
      <w:r>
        <w:lastRenderedPageBreak/>
        <w:t>and GO 103-A when it failed to</w:t>
      </w:r>
      <w:r w:rsidRPr="00BB6032" w:rsidR="00BB6032">
        <w:t xml:space="preserve"> provide all records of its inspection, </w:t>
      </w:r>
      <w:r w:rsidR="00D23F6C">
        <w:t xml:space="preserve">repair and replacement </w:t>
      </w:r>
      <w:r w:rsidRPr="00BB6032" w:rsidR="00BB6032">
        <w:t>of all its fire hydrants in its service area</w:t>
      </w:r>
      <w:r w:rsidR="001167A0">
        <w:t>.</w:t>
      </w:r>
    </w:p>
    <w:p w:rsidR="00643C1F" w:rsidP="00B74290" w:rsidRDefault="00643C1F" w14:paraId="4B55DD63" w14:textId="1C587D8C">
      <w:pPr>
        <w:pStyle w:val="Standard"/>
        <w:numPr>
          <w:ilvl w:val="0"/>
          <w:numId w:val="32"/>
        </w:numPr>
        <w:spacing w:after="120" w:line="240" w:lineRule="auto"/>
        <w:ind w:right="1440"/>
      </w:pPr>
      <w:r>
        <w:t xml:space="preserve">CPED alleges that </w:t>
      </w:r>
      <w:r w:rsidR="00AC28CF">
        <w:t xml:space="preserve">on </w:t>
      </w:r>
      <w:r w:rsidR="00E026D4">
        <w:t xml:space="preserve">or about March 2025 to present, </w:t>
      </w:r>
      <w:r>
        <w:t>Havasu violated Pub. Util. Code §</w:t>
      </w:r>
      <w:r w:rsidR="00A45E79">
        <w:t xml:space="preserve"> </w:t>
      </w:r>
      <w:r w:rsidR="001167A0">
        <w:t>454</w:t>
      </w:r>
      <w:r>
        <w:t xml:space="preserve"> and </w:t>
      </w:r>
      <w:r w:rsidR="001167A0">
        <w:t>Tariffs 12(b) and 12(c)</w:t>
      </w:r>
      <w:r>
        <w:t xml:space="preserve"> when it changed the water meters of its customers without Commission </w:t>
      </w:r>
      <w:r w:rsidR="001167A0">
        <w:t>a</w:t>
      </w:r>
      <w:r>
        <w:t>pproval.</w:t>
      </w:r>
    </w:p>
    <w:p w:rsidR="00764C78" w:rsidP="00B74290" w:rsidRDefault="00764C78" w14:paraId="727727A6" w14:textId="63CA47F8">
      <w:pPr>
        <w:pStyle w:val="Standard"/>
        <w:numPr>
          <w:ilvl w:val="0"/>
          <w:numId w:val="32"/>
        </w:numPr>
        <w:spacing w:after="120" w:line="240" w:lineRule="auto"/>
        <w:ind w:right="1440"/>
      </w:pPr>
      <w:r>
        <w:t xml:space="preserve">CPED </w:t>
      </w:r>
      <w:r w:rsidR="00A0324C">
        <w:t>alleges that Havasu has violated Rule 1.1</w:t>
      </w:r>
      <w:r w:rsidR="008771D6">
        <w:t xml:space="preserve"> on: 1) May 8</w:t>
      </w:r>
      <w:r w:rsidR="006E3715">
        <w:t xml:space="preserve"> and 12, 2025, </w:t>
      </w:r>
      <w:r w:rsidR="005E3D91">
        <w:t>in correspondences</w:t>
      </w:r>
      <w:r w:rsidR="006E3715">
        <w:t xml:space="preserve"> to the WD; 2)</w:t>
      </w:r>
      <w:r w:rsidR="00D115D5">
        <w:t xml:space="preserve"> December 8, 2023, in an Advice Letter filed to WD; </w:t>
      </w:r>
      <w:r w:rsidR="0022067A">
        <w:t>3) October 11, 2024, when i</w:t>
      </w:r>
      <w:r w:rsidR="00BA6F1A">
        <w:t xml:space="preserve">t failed to provide data pursuant to a data request; </w:t>
      </w:r>
      <w:r w:rsidR="00E07C4B">
        <w:t xml:space="preserve">and </w:t>
      </w:r>
      <w:r w:rsidR="00BA6F1A">
        <w:t xml:space="preserve">4) </w:t>
      </w:r>
      <w:r w:rsidR="00F32BE6">
        <w:t>April 8, 2025, when it failed to abide by an order pursuant to D.24-03-053.</w:t>
      </w:r>
    </w:p>
    <w:p w:rsidR="00DF7F8E" w:rsidP="00B74290" w:rsidRDefault="00DF7F8E" w14:paraId="7DE26995" w14:textId="78094F9E">
      <w:pPr>
        <w:pStyle w:val="Standard"/>
        <w:numPr>
          <w:ilvl w:val="0"/>
          <w:numId w:val="32"/>
        </w:numPr>
        <w:spacing w:after="120" w:line="240" w:lineRule="auto"/>
        <w:ind w:right="1440"/>
      </w:pPr>
      <w:r>
        <w:t>CPED requests that additional penalties be imposed on Havasu for violations</w:t>
      </w:r>
      <w:r w:rsidR="00D359C2">
        <w:t xml:space="preserve"> of the above issues.</w:t>
      </w:r>
    </w:p>
    <w:p w:rsidR="00B40BF0" w:rsidP="004658DB" w:rsidRDefault="004912AC" w14:paraId="7E34FE69" w14:textId="1D405A91">
      <w:pPr>
        <w:pStyle w:val="Heading1"/>
      </w:pPr>
      <w:bookmarkStart w:name="_Toc221259536" w:id="18"/>
      <w:r>
        <w:t>Petition for Receivership</w:t>
      </w:r>
      <w:bookmarkEnd w:id="18"/>
    </w:p>
    <w:p w:rsidRPr="00033A27" w:rsidR="009F5C15" w:rsidP="00180B0C" w:rsidRDefault="004658DB" w14:paraId="28CCB338" w14:textId="2A9CBA21">
      <w:pPr>
        <w:pStyle w:val="Standard"/>
      </w:pPr>
      <w:r w:rsidRPr="00033A27">
        <w:t xml:space="preserve">Whenever the </w:t>
      </w:r>
      <w:r w:rsidRPr="00033A27" w:rsidR="009F5C15">
        <w:t>C</w:t>
      </w:r>
      <w:r w:rsidRPr="00033A27">
        <w:t>ommission determines, after notice and hearing, that any water or sewer system corporation is</w:t>
      </w:r>
      <w:r w:rsidRPr="00033A27" w:rsidR="007B5EE9">
        <w:t xml:space="preserve"> </w:t>
      </w:r>
      <w:r w:rsidRPr="00033A27" w:rsidR="009F5C15">
        <w:t>1) is unresponsive to the rules or orders of the Commission</w:t>
      </w:r>
      <w:r w:rsidRPr="00033A27">
        <w:t xml:space="preserve">, </w:t>
      </w:r>
      <w:r w:rsidRPr="00033A27" w:rsidR="009F5C15">
        <w:t>2) is unable or unwilling to adequately serve its ratepayers</w:t>
      </w:r>
      <w:r w:rsidRPr="00033A27">
        <w:t xml:space="preserve">, or </w:t>
      </w:r>
    </w:p>
    <w:p w:rsidRPr="00033A27" w:rsidR="007B5EE9" w:rsidP="009F5C15" w:rsidRDefault="009F5C15" w14:paraId="731FC262" w14:textId="77777777">
      <w:pPr>
        <w:pStyle w:val="Standard"/>
        <w:ind w:firstLine="0"/>
      </w:pPr>
      <w:r w:rsidRPr="00033A27">
        <w:t xml:space="preserve">3) </w:t>
      </w:r>
      <w:r w:rsidRPr="00033A27" w:rsidR="007B5EE9">
        <w:t>has been actually or effectively abandoned by its owners</w:t>
      </w:r>
      <w:r w:rsidRPr="00033A27" w:rsidR="004658DB">
        <w:t xml:space="preserve">, the </w:t>
      </w:r>
      <w:r w:rsidRPr="00033A27">
        <w:t>C</w:t>
      </w:r>
      <w:r w:rsidRPr="00033A27" w:rsidR="004658DB">
        <w:t xml:space="preserve">ommission may petition the </w:t>
      </w:r>
      <w:r w:rsidRPr="00033A27">
        <w:t>S</w:t>
      </w:r>
      <w:r w:rsidRPr="00033A27" w:rsidR="004658DB">
        <w:t xml:space="preserve">uperior </w:t>
      </w:r>
      <w:r w:rsidRPr="00033A27">
        <w:t>C</w:t>
      </w:r>
      <w:r w:rsidRPr="00033A27" w:rsidR="004658DB">
        <w:t xml:space="preserve">ourt for the </w:t>
      </w:r>
      <w:r w:rsidRPr="00033A27">
        <w:t>c</w:t>
      </w:r>
      <w:r w:rsidRPr="00033A27" w:rsidR="004658DB">
        <w:t xml:space="preserve">ounty within which the corporation has its principal office or place of business for the appointment of a receiver to assume possession of its property and to operate its system upon such terms and conditions as the </w:t>
      </w:r>
      <w:r w:rsidRPr="00033A27">
        <w:t>Superior C</w:t>
      </w:r>
      <w:r w:rsidRPr="00033A27" w:rsidR="004658DB">
        <w:t>ourt shall prescribe.</w:t>
      </w:r>
      <w:r w:rsidRPr="00033A27" w:rsidR="004658DB">
        <w:rPr>
          <w:rStyle w:val="FootnoteReference"/>
        </w:rPr>
        <w:footnoteReference w:id="17"/>
      </w:r>
      <w:r w:rsidRPr="00033A27" w:rsidR="004658DB">
        <w:t xml:space="preserve">  </w:t>
      </w:r>
    </w:p>
    <w:p w:rsidRPr="004658DB" w:rsidR="004658DB" w:rsidP="00180B0C" w:rsidRDefault="004658DB" w14:paraId="447DB2B7" w14:textId="19075B06">
      <w:pPr>
        <w:pStyle w:val="Standard"/>
      </w:pPr>
      <w:r w:rsidRPr="00033A27">
        <w:t xml:space="preserve">CPED </w:t>
      </w:r>
      <w:r w:rsidRPr="00033A27" w:rsidR="007B5EE9">
        <w:t>must prove by a preponderance of the evidence that Havasu meets one or more of these conditions.</w:t>
      </w:r>
      <w:r w:rsidRPr="00033A27">
        <w:t xml:space="preserve">  CPED has pr</w:t>
      </w:r>
      <w:r w:rsidRPr="00033A27" w:rsidR="007B5EE9">
        <w:t>esented</w:t>
      </w:r>
      <w:r w:rsidRPr="00033A27">
        <w:t xml:space="preserve"> evidence that </w:t>
      </w:r>
      <w:r w:rsidRPr="00033A27" w:rsidR="009F5C15">
        <w:t>Havasu has been unresponsive to the rules or orders of the Commission and other agencies</w:t>
      </w:r>
      <w:r w:rsidRPr="00033A27" w:rsidR="007B5EE9">
        <w:t xml:space="preserve"> </w:t>
      </w:r>
      <w:r w:rsidRPr="00033A27" w:rsidR="007B5EE9">
        <w:lastRenderedPageBreak/>
        <w:t>and that Havasu is unable or unwilling to adequately serve its ratepayers</w:t>
      </w:r>
      <w:r w:rsidRPr="00033A27" w:rsidR="009F5C15">
        <w:t xml:space="preserve">.  </w:t>
      </w:r>
      <w:r w:rsidRPr="00033A27" w:rsidR="007B5EE9">
        <w:t>The evidence that CPED has offered is discussed in the following sections.</w:t>
      </w:r>
    </w:p>
    <w:p w:rsidRPr="00FA4937" w:rsidR="00FA4937" w:rsidP="004912AC" w:rsidRDefault="00BD745C" w14:paraId="2E8AF51F" w14:textId="41ABF6EF">
      <w:pPr>
        <w:pStyle w:val="Heading2"/>
      </w:pPr>
      <w:bookmarkStart w:name="_Toc221259537" w:id="19"/>
      <w:bookmarkStart w:name="_Hlk214003520" w:id="20"/>
      <w:r>
        <w:t xml:space="preserve">Federal </w:t>
      </w:r>
      <w:r w:rsidR="006E5BAA">
        <w:t>–</w:t>
      </w:r>
      <w:r>
        <w:t xml:space="preserve"> </w:t>
      </w:r>
      <w:r w:rsidR="006E5BAA">
        <w:t>U</w:t>
      </w:r>
      <w:r w:rsidR="003B2735">
        <w:t>.</w:t>
      </w:r>
      <w:r w:rsidR="006E5BAA">
        <w:t>S</w:t>
      </w:r>
      <w:r w:rsidR="003B2735">
        <w:t>.</w:t>
      </w:r>
      <w:r w:rsidR="006E5BAA">
        <w:t xml:space="preserve"> </w:t>
      </w:r>
      <w:r w:rsidR="00C37322">
        <w:t>Environmental Protection Agency (EPA) Safe Drinking Water Act (SDWA)</w:t>
      </w:r>
      <w:bookmarkEnd w:id="19"/>
    </w:p>
    <w:p w:rsidR="00C37322" w:rsidP="00F439BD" w:rsidRDefault="00F439BD" w14:paraId="26FAF12B" w14:textId="1994D86B">
      <w:pPr>
        <w:pStyle w:val="Standard"/>
      </w:pPr>
      <w:r>
        <w:t xml:space="preserve">The SDWA was originally passed by Congress in 1974 to protect public health </w:t>
      </w:r>
      <w:r w:rsidR="00D5675E">
        <w:t xml:space="preserve">and safety </w:t>
      </w:r>
      <w:r>
        <w:t>by regulating the nation’s public drinking water supply.</w:t>
      </w:r>
      <w:r>
        <w:rPr>
          <w:rStyle w:val="FootnoteReference"/>
        </w:rPr>
        <w:footnoteReference w:id="18"/>
      </w:r>
      <w:r>
        <w:t xml:space="preserve">  The SDWA was amended in 1986 and 1996 and requires many actions to protect drinking water and its sources which includes rivers, lakes, reservoirs, springs and ground water wells.</w:t>
      </w:r>
      <w:r>
        <w:rPr>
          <w:rStyle w:val="FootnoteReference"/>
        </w:rPr>
        <w:footnoteReference w:id="19"/>
      </w:r>
      <w:r>
        <w:t xml:space="preserve">  SDWA authorizes the EPA to set national health-based standards for drinking water to protect against both naturally occurring and </w:t>
      </w:r>
      <w:r w:rsidR="00A41DD0">
        <w:t>man-made</w:t>
      </w:r>
      <w:r>
        <w:t xml:space="preserve"> contaminants that may be found in drinking water.</w:t>
      </w:r>
      <w:r>
        <w:rPr>
          <w:rStyle w:val="FootnoteReference"/>
        </w:rPr>
        <w:footnoteReference w:id="20"/>
      </w:r>
    </w:p>
    <w:p w:rsidR="00C72D3A" w:rsidP="00C72D3A" w:rsidRDefault="00C72D3A" w14:paraId="32BAC87C" w14:textId="7B6E24DD">
      <w:r>
        <w:t>The EPA has primary enforcement responsibility for the SDWA public water system supervision program.</w:t>
      </w:r>
      <w:r>
        <w:rPr>
          <w:rStyle w:val="FootnoteReference"/>
        </w:rPr>
        <w:footnoteReference w:id="21"/>
      </w:r>
      <w:r>
        <w:t xml:space="preserve">  The State </w:t>
      </w:r>
      <w:r w:rsidR="0011332F">
        <w:t>Water Resource Control Board</w:t>
      </w:r>
      <w:r w:rsidR="00915E35">
        <w:t>’s</w:t>
      </w:r>
      <w:r w:rsidR="0011332F">
        <w:t xml:space="preserve"> (SWRCB), Division of Drinking Water (DDW) </w:t>
      </w:r>
      <w:r>
        <w:t>previously asserted primary enforcement responsibility over Havasu.</w:t>
      </w:r>
      <w:r>
        <w:rPr>
          <w:rStyle w:val="FootnoteReference"/>
        </w:rPr>
        <w:footnoteReference w:id="22"/>
      </w:r>
      <w:r>
        <w:t xml:space="preserve">  On January 1, 2024, DDW officially transferred oversight of Havasu to the EPA.</w:t>
      </w:r>
      <w:r>
        <w:rPr>
          <w:rStyle w:val="FootnoteReference"/>
        </w:rPr>
        <w:footnoteReference w:id="23"/>
      </w:r>
    </w:p>
    <w:p w:rsidRPr="009E7C02" w:rsidR="009E7C02" w:rsidP="008B4623" w:rsidRDefault="006A5A38" w14:paraId="187C6DA3" w14:textId="4483222A">
      <w:pPr>
        <w:pStyle w:val="Heading3"/>
      </w:pPr>
      <w:bookmarkStart w:name="_Toc221259538" w:id="21"/>
      <w:r>
        <w:lastRenderedPageBreak/>
        <w:t xml:space="preserve">From January </w:t>
      </w:r>
      <w:r w:rsidR="00583994">
        <w:t xml:space="preserve">2024 </w:t>
      </w:r>
      <w:r w:rsidR="00B64ED6">
        <w:t>t</w:t>
      </w:r>
      <w:r w:rsidR="00583994">
        <w:t xml:space="preserve">o </w:t>
      </w:r>
      <w:r>
        <w:t>Present</w:t>
      </w:r>
      <w:r w:rsidR="00583994">
        <w:t xml:space="preserve">, </w:t>
      </w:r>
      <w:r>
        <w:t xml:space="preserve">Havasu </w:t>
      </w:r>
      <w:r w:rsidR="00583994">
        <w:t xml:space="preserve">Violated </w:t>
      </w:r>
      <w:r w:rsidR="00411EB0">
        <w:t xml:space="preserve">GO </w:t>
      </w:r>
      <w:r w:rsidR="00583994">
        <w:t>103-</w:t>
      </w:r>
      <w:r w:rsidR="00411EB0">
        <w:t>A</w:t>
      </w:r>
      <w:r w:rsidR="00D63BFD">
        <w:t xml:space="preserve"> </w:t>
      </w:r>
      <w:r w:rsidR="00583994">
        <w:t>(</w:t>
      </w:r>
      <w:r w:rsidR="00D63BFD">
        <w:t>II</w:t>
      </w:r>
      <w:r w:rsidR="00583994">
        <w:t>)</w:t>
      </w:r>
      <w:r w:rsidR="002500C6">
        <w:t>(2)</w:t>
      </w:r>
      <w:r w:rsidR="00583994">
        <w:t>(</w:t>
      </w:r>
      <w:r w:rsidR="00D63BFD">
        <w:t>A</w:t>
      </w:r>
      <w:r w:rsidR="00583994">
        <w:t xml:space="preserve">)(2) When It Failed </w:t>
      </w:r>
      <w:r w:rsidR="00B64ED6">
        <w:t>to</w:t>
      </w:r>
      <w:r w:rsidR="00583994">
        <w:t xml:space="preserve"> Comply </w:t>
      </w:r>
      <w:r w:rsidR="00B64ED6">
        <w:t>with</w:t>
      </w:r>
      <w:r w:rsidR="00583994">
        <w:t xml:space="preserve"> Federal Laws Pertaining </w:t>
      </w:r>
      <w:r w:rsidR="00B64ED6">
        <w:t>to</w:t>
      </w:r>
      <w:r w:rsidR="00583994">
        <w:t xml:space="preserve"> Water Quality</w:t>
      </w:r>
      <w:r w:rsidR="00F31438">
        <w:t xml:space="preserve"> and</w:t>
      </w:r>
      <w:r w:rsidR="00583994">
        <w:t xml:space="preserve"> </w:t>
      </w:r>
      <w:r w:rsidR="002F3729">
        <w:t xml:space="preserve">Havasu </w:t>
      </w:r>
      <w:r w:rsidR="000D5CE5">
        <w:t>Has Been</w:t>
      </w:r>
      <w:r w:rsidR="00583994">
        <w:t xml:space="preserve"> Noncompliant </w:t>
      </w:r>
      <w:r w:rsidR="00B64ED6">
        <w:t>a</w:t>
      </w:r>
      <w:r w:rsidR="00583994">
        <w:t xml:space="preserve">nd Unresponsive </w:t>
      </w:r>
      <w:r w:rsidR="00B64ED6">
        <w:t>to</w:t>
      </w:r>
      <w:r w:rsidR="00583994">
        <w:t xml:space="preserve"> </w:t>
      </w:r>
      <w:r w:rsidR="00A67773">
        <w:t>EPA</w:t>
      </w:r>
      <w:r w:rsidR="000D5CE5">
        <w:t xml:space="preserve"> Oversight</w:t>
      </w:r>
      <w:bookmarkEnd w:id="21"/>
    </w:p>
    <w:p w:rsidR="00A41DD0" w:rsidP="00400753" w:rsidRDefault="005577B5" w14:paraId="108F9D49" w14:textId="61736A1D">
      <w:pPr>
        <w:pStyle w:val="Standard"/>
      </w:pPr>
      <w:r>
        <w:t xml:space="preserve">CPED alleges that </w:t>
      </w:r>
      <w:r w:rsidR="00CD2719">
        <w:t xml:space="preserve">from January 2024 to present, </w:t>
      </w:r>
      <w:r>
        <w:t xml:space="preserve">Havasu violated </w:t>
      </w:r>
      <w:r w:rsidR="00CD2719">
        <w:t>various</w:t>
      </w:r>
      <w:r w:rsidR="00400753">
        <w:t xml:space="preserve"> </w:t>
      </w:r>
      <w:r w:rsidR="00CD2719">
        <w:t xml:space="preserve">provisions of </w:t>
      </w:r>
      <w:r w:rsidR="009F1AB7">
        <w:t>GO 103-A</w:t>
      </w:r>
      <w:r w:rsidR="0020345D">
        <w:t xml:space="preserve">.  </w:t>
      </w:r>
      <w:r w:rsidR="00672187">
        <w:t xml:space="preserve">GO 103-A </w:t>
      </w:r>
      <w:r w:rsidR="00E26377">
        <w:t>contains</w:t>
      </w:r>
      <w:r w:rsidR="00672187">
        <w:t xml:space="preserve"> the rules</w:t>
      </w:r>
      <w:r w:rsidR="00A33C0F">
        <w:t xml:space="preserve"> for</w:t>
      </w:r>
      <w:r w:rsidR="00672187">
        <w:t xml:space="preserve"> governing water service</w:t>
      </w:r>
      <w:r w:rsidR="006F1F0E">
        <w:t>, including minimum standards for operation, maintenance, design and construction.</w:t>
      </w:r>
      <w:r w:rsidR="006F1F0E">
        <w:rPr>
          <w:rStyle w:val="FootnoteReference"/>
        </w:rPr>
        <w:footnoteReference w:id="24"/>
      </w:r>
    </w:p>
    <w:p w:rsidR="00024D28" w:rsidP="0018577B" w:rsidRDefault="00012BCF" w14:paraId="638F0194" w14:textId="4BEE2EAB">
      <w:pPr>
        <w:pStyle w:val="Standard"/>
        <w:ind w:left="360" w:firstLine="360"/>
      </w:pPr>
      <w:r>
        <w:t>GO 103</w:t>
      </w:r>
      <w:r w:rsidR="008907DF">
        <w:t>-A (II)(2)(A)(2) states that</w:t>
      </w:r>
      <w:r w:rsidR="00400753">
        <w:t>:</w:t>
      </w:r>
    </w:p>
    <w:p w:rsidR="00400753" w:rsidP="00400753" w:rsidRDefault="00400753" w14:paraId="30C91B53" w14:textId="77777777">
      <w:pPr>
        <w:pStyle w:val="Standard"/>
        <w:spacing w:line="240" w:lineRule="auto"/>
        <w:ind w:left="360" w:firstLine="360"/>
      </w:pPr>
      <w:r>
        <w:t xml:space="preserve">The utility shall comply with applicable state and federal laws </w:t>
      </w:r>
    </w:p>
    <w:p w:rsidR="00400753" w:rsidP="00400753" w:rsidRDefault="00400753" w14:paraId="2E2A03CA" w14:textId="77777777">
      <w:pPr>
        <w:pStyle w:val="Standard"/>
        <w:spacing w:line="240" w:lineRule="auto"/>
        <w:ind w:left="360" w:firstLine="360"/>
      </w:pPr>
      <w:r>
        <w:t xml:space="preserve">pertaining to water quality, and with related regulations of the </w:t>
      </w:r>
    </w:p>
    <w:p w:rsidR="00400753" w:rsidP="00400753" w:rsidRDefault="00400753" w14:paraId="1CE01E8C" w14:textId="77777777">
      <w:pPr>
        <w:pStyle w:val="Standard"/>
        <w:spacing w:line="240" w:lineRule="auto"/>
        <w:ind w:left="360" w:firstLine="360"/>
      </w:pPr>
      <w:r>
        <w:t xml:space="preserve">Department and US EPA and all additional requirements of the </w:t>
      </w:r>
    </w:p>
    <w:p w:rsidR="00F65374" w:rsidP="003372BC" w:rsidRDefault="00400753" w14:paraId="6C512A51" w14:textId="5E5427C4">
      <w:pPr>
        <w:pStyle w:val="Standard"/>
        <w:spacing w:after="120" w:line="240" w:lineRule="auto"/>
        <w:ind w:left="360" w:firstLine="360"/>
      </w:pPr>
      <w:r>
        <w:t>Commission.</w:t>
      </w:r>
      <w:bookmarkEnd w:id="20"/>
    </w:p>
    <w:p w:rsidR="00CA0C3A" w:rsidP="002F3530" w:rsidRDefault="00595A87" w14:paraId="09021C6A" w14:textId="2BAB2CD5">
      <w:pPr>
        <w:pStyle w:val="Standard"/>
      </w:pPr>
      <w:r>
        <w:t>As evidence of Havasu</w:t>
      </w:r>
      <w:r w:rsidR="000D5CE5">
        <w:t>’s</w:t>
      </w:r>
      <w:r>
        <w:t xml:space="preserve"> failure to comply with federal laws</w:t>
      </w:r>
      <w:r w:rsidR="00CA0C3A">
        <w:t xml:space="preserve"> (SDWA)</w:t>
      </w:r>
      <w:r>
        <w:t xml:space="preserve"> pertaining to </w:t>
      </w:r>
      <w:r w:rsidR="00CA0C3A">
        <w:t>w</w:t>
      </w:r>
      <w:r w:rsidR="004820DC">
        <w:t xml:space="preserve">ater quality, CPED </w:t>
      </w:r>
      <w:r w:rsidR="00CA0C3A">
        <w:t xml:space="preserve">offers </w:t>
      </w:r>
      <w:r w:rsidR="00291003">
        <w:t xml:space="preserve">one inspection notice, </w:t>
      </w:r>
      <w:r w:rsidR="00CA0C3A">
        <w:t xml:space="preserve">two </w:t>
      </w:r>
      <w:r w:rsidR="000D5CE5">
        <w:t>eme</w:t>
      </w:r>
      <w:r w:rsidR="00C324CB">
        <w:t xml:space="preserve">rgency </w:t>
      </w:r>
      <w:r w:rsidR="00CA0C3A">
        <w:t>administrative orders</w:t>
      </w:r>
      <w:r w:rsidR="00C324CB">
        <w:t xml:space="preserve"> (EAO) and</w:t>
      </w:r>
      <w:r w:rsidR="00D6381B">
        <w:t xml:space="preserve"> </w:t>
      </w:r>
      <w:r w:rsidR="00291AD8">
        <w:t xml:space="preserve">six </w:t>
      </w:r>
      <w:r w:rsidR="006C23BC">
        <w:t>noncompliance</w:t>
      </w:r>
      <w:r w:rsidR="00CA0C3A">
        <w:t xml:space="preserve"> notices.</w:t>
      </w:r>
      <w:r w:rsidR="00CA0C3A">
        <w:rPr>
          <w:rStyle w:val="FootnoteReference"/>
        </w:rPr>
        <w:footnoteReference w:id="25"/>
      </w:r>
      <w:r w:rsidR="00CA0C3A">
        <w:t xml:space="preserve">  </w:t>
      </w:r>
      <w:r w:rsidR="00112A32">
        <w:t xml:space="preserve">A summary of the </w:t>
      </w:r>
      <w:r w:rsidR="001362D8">
        <w:t xml:space="preserve">inspection </w:t>
      </w:r>
      <w:r w:rsidR="00291003">
        <w:t xml:space="preserve">notice, </w:t>
      </w:r>
      <w:r w:rsidR="001362D8">
        <w:t>two EAOs</w:t>
      </w:r>
      <w:r w:rsidR="00112A32">
        <w:t xml:space="preserve"> and </w:t>
      </w:r>
      <w:r w:rsidR="00291AD8">
        <w:t>six</w:t>
      </w:r>
      <w:r w:rsidR="001362D8">
        <w:t xml:space="preserve"> </w:t>
      </w:r>
      <w:r w:rsidR="006C23BC">
        <w:t>noncompliance</w:t>
      </w:r>
      <w:r w:rsidR="00112A32">
        <w:t xml:space="preserve"> notices are provided below:</w:t>
      </w:r>
    </w:p>
    <w:p w:rsidR="00112A32" w:rsidP="00B74290" w:rsidRDefault="002958E4" w14:paraId="5AE03F38" w14:textId="1E05FB55">
      <w:pPr>
        <w:pStyle w:val="Standard"/>
        <w:numPr>
          <w:ilvl w:val="0"/>
          <w:numId w:val="27"/>
        </w:numPr>
        <w:spacing w:after="120" w:line="240" w:lineRule="auto"/>
        <w:ind w:left="1080" w:right="1440"/>
      </w:pPr>
      <w:r>
        <w:t xml:space="preserve">EPA </w:t>
      </w:r>
      <w:r w:rsidR="001362D8">
        <w:t>Inspection Notice t</w:t>
      </w:r>
      <w:r>
        <w:t>o Havasu</w:t>
      </w:r>
      <w:r w:rsidR="007D218D">
        <w:t xml:space="preserve"> dated January 30, 2024</w:t>
      </w:r>
      <w:r w:rsidR="004B767B">
        <w:t>.</w:t>
      </w:r>
      <w:r w:rsidR="00AF333B">
        <w:rPr>
          <w:rStyle w:val="FootnoteReference"/>
        </w:rPr>
        <w:footnoteReference w:id="26"/>
      </w:r>
      <w:r w:rsidR="004B767B">
        <w:t xml:space="preserve">  </w:t>
      </w:r>
      <w:r w:rsidRPr="00A7701E" w:rsidR="00A7701E">
        <w:t>The EPA inspector identified seven deficiencies which are of significant health risk to the system and the people served by the system during the inspections.</w:t>
      </w:r>
      <w:r w:rsidR="001362D8">
        <w:rPr>
          <w:rStyle w:val="FootnoteReference"/>
        </w:rPr>
        <w:footnoteReference w:id="27"/>
      </w:r>
      <w:r w:rsidRPr="00A7701E" w:rsidR="00A7701E">
        <w:t xml:space="preserve"> </w:t>
      </w:r>
      <w:r w:rsidR="006A6CED">
        <w:t xml:space="preserve"> </w:t>
      </w:r>
      <w:r w:rsidRPr="00A7701E" w:rsidR="00A7701E">
        <w:t>These deficiencies have been deemed significant and are of the greatest health threat.</w:t>
      </w:r>
      <w:r w:rsidR="005608C4">
        <w:rPr>
          <w:rStyle w:val="FootnoteReference"/>
        </w:rPr>
        <w:footnoteReference w:id="28"/>
      </w:r>
      <w:r w:rsidRPr="00A7701E" w:rsidR="00A7701E">
        <w:t xml:space="preserve"> </w:t>
      </w:r>
      <w:r w:rsidR="00A7701E">
        <w:t xml:space="preserve"> </w:t>
      </w:r>
      <w:r w:rsidRPr="00A7701E" w:rsidR="00A7701E">
        <w:t>Under the SDWA’s Long</w:t>
      </w:r>
      <w:r w:rsidR="00A7701E">
        <w:t xml:space="preserve"> </w:t>
      </w:r>
      <w:r w:rsidR="00636AEB">
        <w:t>T</w:t>
      </w:r>
      <w:r w:rsidRPr="00A7701E" w:rsidR="00A7701E">
        <w:t xml:space="preserve">erm 2 Enhanced Surface Water Treatment Rule, significant deficiencies are defined to include defects in design, </w:t>
      </w:r>
      <w:r w:rsidRPr="00A7701E" w:rsidR="00A7701E">
        <w:lastRenderedPageBreak/>
        <w:t>operation, or maintenance, or a failure or malfunction of the sources, treatment, storage or distribution system that EPA determines to be causing, or have potential for causing, the introduction of contamination into the water delivered to consumers.</w:t>
      </w:r>
      <w:r w:rsidR="005608C4">
        <w:rPr>
          <w:rStyle w:val="FootnoteReference"/>
        </w:rPr>
        <w:footnoteReference w:id="29"/>
      </w:r>
      <w:r w:rsidR="0074252C">
        <w:t xml:space="preserve">  The seven deficiencies included: </w:t>
      </w:r>
      <w:r w:rsidR="00FB7908">
        <w:t xml:space="preserve">1) </w:t>
      </w:r>
      <w:r w:rsidR="0074252C">
        <w:t xml:space="preserve">lack of written procedures for treatment </w:t>
      </w:r>
      <w:r w:rsidR="00FB7908">
        <w:t xml:space="preserve">plant operations; 2) overflow screen mesh too coarse; 3) lack of on-site </w:t>
      </w:r>
      <w:r w:rsidR="005101D7">
        <w:t xml:space="preserve">certified operators; 4) unknown point of chlorine injection; 5) backwash pump not secured; </w:t>
      </w:r>
      <w:r w:rsidR="009B1C4F">
        <w:t>6) unsafe storage of polymer; and 7) treatment plant instruments are uncalibrated.</w:t>
      </w:r>
    </w:p>
    <w:p w:rsidR="009B1C4F" w:rsidP="00B74290" w:rsidRDefault="007D218D" w14:paraId="28305159" w14:textId="02B3FDC7">
      <w:pPr>
        <w:pStyle w:val="Standard"/>
        <w:numPr>
          <w:ilvl w:val="0"/>
          <w:numId w:val="27"/>
        </w:numPr>
        <w:spacing w:after="120" w:line="240" w:lineRule="auto"/>
        <w:ind w:left="1080" w:right="1440"/>
      </w:pPr>
      <w:r>
        <w:t xml:space="preserve">EPA </w:t>
      </w:r>
      <w:r w:rsidR="00636AEB">
        <w:t>EAO</w:t>
      </w:r>
      <w:r>
        <w:t xml:space="preserve"> dated May 28, 2024</w:t>
      </w:r>
      <w:r w:rsidR="009304CF">
        <w:t>.</w:t>
      </w:r>
      <w:r w:rsidR="00433A78">
        <w:rPr>
          <w:rStyle w:val="FootnoteReference"/>
        </w:rPr>
        <w:footnoteReference w:id="30"/>
      </w:r>
      <w:r w:rsidR="00D04EF6">
        <w:t xml:space="preserve">  The EPA </w:t>
      </w:r>
      <w:r w:rsidR="005A55D1">
        <w:t>notified Havas</w:t>
      </w:r>
      <w:r w:rsidR="001A4D75">
        <w:t>u</w:t>
      </w:r>
      <w:r w:rsidR="005A55D1">
        <w:t xml:space="preserve"> of </w:t>
      </w:r>
      <w:r w:rsidR="0061194D">
        <w:t xml:space="preserve">six deficiencies that placed the customers of Havasu </w:t>
      </w:r>
      <w:r w:rsidR="007C7D70">
        <w:t>at health risk.</w:t>
      </w:r>
      <w:r w:rsidR="007C7D70">
        <w:rPr>
          <w:rStyle w:val="FootnoteReference"/>
        </w:rPr>
        <w:footnoteReference w:id="31"/>
      </w:r>
      <w:r w:rsidR="007C7D70">
        <w:t xml:space="preserve">  The deficiencies included: 1) </w:t>
      </w:r>
      <w:r w:rsidR="00132232">
        <w:t xml:space="preserve">exceedance of the total trihalomethanes mcl; 2) failure to meet qualified personnel/operator requirements; 3) failure to monitor </w:t>
      </w:r>
      <w:r w:rsidR="004C50D0">
        <w:t xml:space="preserve">as required by the surface water treatment rule; 4) failure to correct significant deficiencies (referring to the seven deficiencies found </w:t>
      </w:r>
      <w:r w:rsidR="008158DB">
        <w:t>in the January 30, 2024, EPA inspection letter)</w:t>
      </w:r>
      <w:r w:rsidR="004C50D0">
        <w:t>; 5</w:t>
      </w:r>
      <w:r w:rsidR="008158DB">
        <w:t>) failure to meet public notification requirements; and 6) failure to submit a consumer confidence report.</w:t>
      </w:r>
      <w:r w:rsidR="008B6E7B">
        <w:rPr>
          <w:rStyle w:val="FootnoteReference"/>
        </w:rPr>
        <w:footnoteReference w:id="32"/>
      </w:r>
      <w:r w:rsidR="003C420D">
        <w:t xml:space="preserve">  The EPA ordered Havasu to comply </w:t>
      </w:r>
      <w:r w:rsidR="008B6E7B">
        <w:t>within 60 days.</w:t>
      </w:r>
      <w:r w:rsidR="00987B24">
        <w:rPr>
          <w:rStyle w:val="FootnoteReference"/>
        </w:rPr>
        <w:footnoteReference w:id="33"/>
      </w:r>
    </w:p>
    <w:p w:rsidR="00A00208" w:rsidP="00B74290" w:rsidRDefault="007C5805" w14:paraId="62ED07B1" w14:textId="4251C65D">
      <w:pPr>
        <w:pStyle w:val="Standard"/>
        <w:numPr>
          <w:ilvl w:val="0"/>
          <w:numId w:val="27"/>
        </w:numPr>
        <w:spacing w:after="120" w:line="240" w:lineRule="auto"/>
        <w:ind w:left="1080" w:right="1440"/>
      </w:pPr>
      <w:r>
        <w:t xml:space="preserve">After </w:t>
      </w:r>
      <w:r w:rsidR="000D36AC">
        <w:t>issuance of</w:t>
      </w:r>
      <w:r>
        <w:t xml:space="preserve"> </w:t>
      </w:r>
      <w:proofErr w:type="gramStart"/>
      <w:r>
        <w:t>the May</w:t>
      </w:r>
      <w:proofErr w:type="gramEnd"/>
      <w:r>
        <w:t xml:space="preserve"> 28, 2024, </w:t>
      </w:r>
      <w:r w:rsidR="000D36AC">
        <w:t>EAO</w:t>
      </w:r>
      <w:r>
        <w:t xml:space="preserve">, the EPA issued </w:t>
      </w:r>
      <w:r w:rsidR="00AA67E9">
        <w:t xml:space="preserve">four </w:t>
      </w:r>
      <w:r w:rsidR="006C23BC">
        <w:t>noncompliance</w:t>
      </w:r>
      <w:r>
        <w:t xml:space="preserve"> notices to Havasu for failure to comply with the </w:t>
      </w:r>
      <w:r w:rsidR="00885E3B">
        <w:t>May 28, 2024</w:t>
      </w:r>
      <w:r w:rsidR="00E94CDA">
        <w:t xml:space="preserve">, </w:t>
      </w:r>
      <w:r w:rsidR="000D36AC">
        <w:t xml:space="preserve">EAO.  The </w:t>
      </w:r>
      <w:r w:rsidR="002D084D">
        <w:t>four</w:t>
      </w:r>
      <w:r w:rsidR="000D36AC">
        <w:t xml:space="preserve"> </w:t>
      </w:r>
      <w:r w:rsidR="006C23BC">
        <w:t>noncompliance</w:t>
      </w:r>
      <w:r w:rsidR="000D36AC">
        <w:t xml:space="preserve"> notices were sent on</w:t>
      </w:r>
      <w:r w:rsidR="00A00208">
        <w:t>:</w:t>
      </w:r>
      <w:r w:rsidR="000D36AC">
        <w:t xml:space="preserve"> </w:t>
      </w:r>
    </w:p>
    <w:p w:rsidR="00A00208" w:rsidP="00B74290" w:rsidRDefault="00FA53FA" w14:paraId="3469CFCD" w14:textId="077ACEB6">
      <w:pPr>
        <w:pStyle w:val="Standard"/>
        <w:numPr>
          <w:ilvl w:val="1"/>
          <w:numId w:val="27"/>
        </w:numPr>
        <w:spacing w:after="120" w:line="240" w:lineRule="auto"/>
        <w:ind w:right="1440"/>
      </w:pPr>
      <w:r>
        <w:t>June 14, 2024;</w:t>
      </w:r>
      <w:r w:rsidR="003B6C50">
        <w:rPr>
          <w:rStyle w:val="FootnoteReference"/>
        </w:rPr>
        <w:footnoteReference w:id="34"/>
      </w:r>
      <w:r>
        <w:t xml:space="preserve"> </w:t>
      </w:r>
    </w:p>
    <w:p w:rsidR="00A00208" w:rsidP="00B74290" w:rsidRDefault="00816FB3" w14:paraId="27C45CA2" w14:textId="7A320057">
      <w:pPr>
        <w:pStyle w:val="Standard"/>
        <w:numPr>
          <w:ilvl w:val="1"/>
          <w:numId w:val="27"/>
        </w:numPr>
        <w:spacing w:after="120" w:line="240" w:lineRule="auto"/>
        <w:ind w:right="1440"/>
      </w:pPr>
      <w:r>
        <w:lastRenderedPageBreak/>
        <w:t>June 28</w:t>
      </w:r>
      <w:r w:rsidR="00D62D24">
        <w:t>, 2024;</w:t>
      </w:r>
      <w:r w:rsidR="00F82296">
        <w:rPr>
          <w:rStyle w:val="FootnoteReference"/>
        </w:rPr>
        <w:footnoteReference w:id="35"/>
      </w:r>
      <w:r w:rsidR="00D62D24">
        <w:t xml:space="preserve"> </w:t>
      </w:r>
    </w:p>
    <w:p w:rsidR="00A00208" w:rsidP="00B74290" w:rsidRDefault="00D62D24" w14:paraId="4C181B07" w14:textId="7D2D036A">
      <w:pPr>
        <w:pStyle w:val="Standard"/>
        <w:numPr>
          <w:ilvl w:val="1"/>
          <w:numId w:val="27"/>
        </w:numPr>
        <w:spacing w:after="120" w:line="240" w:lineRule="auto"/>
        <w:ind w:right="1440"/>
      </w:pPr>
      <w:r>
        <w:t>August 7, 2024;</w:t>
      </w:r>
      <w:r w:rsidR="00555C6B">
        <w:rPr>
          <w:rStyle w:val="FootnoteReference"/>
        </w:rPr>
        <w:footnoteReference w:id="36"/>
      </w:r>
      <w:r>
        <w:t xml:space="preserve"> </w:t>
      </w:r>
    </w:p>
    <w:p w:rsidR="002D084D" w:rsidP="00B74290" w:rsidRDefault="00D62D24" w14:paraId="389D5A3E" w14:textId="42E8FC7C">
      <w:pPr>
        <w:pStyle w:val="Standard"/>
        <w:numPr>
          <w:ilvl w:val="1"/>
          <w:numId w:val="27"/>
        </w:numPr>
        <w:spacing w:after="120" w:line="240" w:lineRule="auto"/>
        <w:ind w:right="1440"/>
      </w:pPr>
      <w:r>
        <w:t>October 22, 2024</w:t>
      </w:r>
      <w:r w:rsidR="00874200">
        <w:t>;</w:t>
      </w:r>
      <w:r w:rsidR="00555C6B">
        <w:rPr>
          <w:rStyle w:val="FootnoteReference"/>
        </w:rPr>
        <w:footnoteReference w:id="37"/>
      </w:r>
    </w:p>
    <w:p w:rsidR="00874200" w:rsidP="00B74290" w:rsidRDefault="00874200" w14:paraId="0D573F11" w14:textId="631D9398">
      <w:pPr>
        <w:pStyle w:val="Standard"/>
        <w:numPr>
          <w:ilvl w:val="1"/>
          <w:numId w:val="27"/>
        </w:numPr>
        <w:spacing w:after="120" w:line="240" w:lineRule="auto"/>
        <w:ind w:right="1440"/>
      </w:pPr>
      <w:r>
        <w:t>February 6, 2025</w:t>
      </w:r>
      <w:r w:rsidR="00D1453F">
        <w:t>;</w:t>
      </w:r>
      <w:r>
        <w:rPr>
          <w:rStyle w:val="FootnoteReference"/>
        </w:rPr>
        <w:footnoteReference w:id="38"/>
      </w:r>
      <w:r w:rsidR="00D1453F">
        <w:t xml:space="preserve"> and</w:t>
      </w:r>
    </w:p>
    <w:p w:rsidR="00D1453F" w:rsidP="00B74290" w:rsidRDefault="00D1453F" w14:paraId="24D7E4B4" w14:textId="1EFFF5CE">
      <w:pPr>
        <w:pStyle w:val="Standard"/>
        <w:numPr>
          <w:ilvl w:val="1"/>
          <w:numId w:val="27"/>
        </w:numPr>
        <w:spacing w:after="120" w:line="240" w:lineRule="auto"/>
        <w:ind w:right="1440"/>
      </w:pPr>
      <w:r>
        <w:t>July 23, 2025</w:t>
      </w:r>
      <w:r w:rsidR="00231280">
        <w:t>.</w:t>
      </w:r>
      <w:r w:rsidR="00231280">
        <w:rPr>
          <w:rStyle w:val="FootnoteReference"/>
        </w:rPr>
        <w:footnoteReference w:id="39"/>
      </w:r>
    </w:p>
    <w:p w:rsidR="00430ECB" w:rsidP="00B74290" w:rsidRDefault="00E94CDA" w14:paraId="28DDDCD9" w14:textId="1E422E07">
      <w:pPr>
        <w:pStyle w:val="Standard"/>
        <w:numPr>
          <w:ilvl w:val="0"/>
          <w:numId w:val="27"/>
        </w:numPr>
        <w:spacing w:after="120" w:line="240" w:lineRule="auto"/>
        <w:ind w:left="1080" w:right="1440"/>
      </w:pPr>
      <w:r>
        <w:t>EAO</w:t>
      </w:r>
      <w:r w:rsidR="00430ECB">
        <w:t xml:space="preserve"> No. 2</w:t>
      </w:r>
      <w:r>
        <w:t xml:space="preserve"> </w:t>
      </w:r>
      <w:r w:rsidR="007D218D">
        <w:t xml:space="preserve">dated </w:t>
      </w:r>
      <w:r w:rsidRPr="007D218D" w:rsidR="007D218D">
        <w:t>November 6, 2024</w:t>
      </w:r>
      <w:r w:rsidR="00430ECB">
        <w:t>.</w:t>
      </w:r>
      <w:r w:rsidR="00C36701">
        <w:rPr>
          <w:rStyle w:val="FootnoteReference"/>
        </w:rPr>
        <w:footnoteReference w:id="40"/>
      </w:r>
      <w:r w:rsidR="00430ECB">
        <w:t xml:space="preserve">  </w:t>
      </w:r>
      <w:r w:rsidR="001A4D75">
        <w:t xml:space="preserve">The EPA notified Havasu of two additional deficiencies that </w:t>
      </w:r>
      <w:r w:rsidRPr="001A4D75" w:rsidR="001A4D75">
        <w:t>placed the customers of Havasu at health risk</w:t>
      </w:r>
      <w:r w:rsidR="001A4D75">
        <w:t>.</w:t>
      </w:r>
      <w:r w:rsidR="001A4D75">
        <w:rPr>
          <w:rStyle w:val="FootnoteReference"/>
        </w:rPr>
        <w:footnoteReference w:id="41"/>
      </w:r>
      <w:r w:rsidR="001A4D75">
        <w:t xml:space="preserve">  The deficiencies included: 1) loss of pressure in drinking water distribution system</w:t>
      </w:r>
      <w:r w:rsidR="00F20FD3">
        <w:t xml:space="preserve"> and 2) use of unqualified personnel to operate the system.</w:t>
      </w:r>
      <w:r w:rsidR="00F20FD3">
        <w:rPr>
          <w:rStyle w:val="FootnoteReference"/>
        </w:rPr>
        <w:footnoteReference w:id="42"/>
      </w:r>
      <w:r w:rsidR="00F20FD3">
        <w:t xml:space="preserve">  The EPA ordered Havasu to comply within 24 hours.</w:t>
      </w:r>
      <w:r w:rsidR="00F20FD3">
        <w:rPr>
          <w:rStyle w:val="FootnoteReference"/>
        </w:rPr>
        <w:footnoteReference w:id="43"/>
      </w:r>
    </w:p>
    <w:p w:rsidR="00F20FD3" w:rsidP="00B74290" w:rsidRDefault="00F20FD3" w14:paraId="2D496DBB" w14:textId="55D4C878">
      <w:pPr>
        <w:pStyle w:val="Standard"/>
        <w:numPr>
          <w:ilvl w:val="0"/>
          <w:numId w:val="27"/>
        </w:numPr>
        <w:spacing w:after="120" w:line="240" w:lineRule="auto"/>
        <w:ind w:left="1080" w:right="1440"/>
      </w:pPr>
      <w:r>
        <w:t xml:space="preserve">After issuance of </w:t>
      </w:r>
      <w:proofErr w:type="gramStart"/>
      <w:r>
        <w:t>the November</w:t>
      </w:r>
      <w:proofErr w:type="gramEnd"/>
      <w:r>
        <w:t xml:space="preserve"> 6, 2024, E</w:t>
      </w:r>
      <w:r w:rsidR="00607E0F">
        <w:t xml:space="preserve">AO No. 2, the EPA issued two additional </w:t>
      </w:r>
      <w:r w:rsidR="006C23BC">
        <w:t>noncompliance</w:t>
      </w:r>
      <w:r w:rsidR="00607E0F">
        <w:t xml:space="preserve"> notices on </w:t>
      </w:r>
      <w:r w:rsidR="00524997">
        <w:t>February 6, 2025</w:t>
      </w:r>
      <w:r w:rsidR="00E669D4">
        <w:rPr>
          <w:rStyle w:val="FootnoteReference"/>
        </w:rPr>
        <w:footnoteReference w:id="44"/>
      </w:r>
      <w:r w:rsidR="00524997">
        <w:t xml:space="preserve"> and July 23, 2025.</w:t>
      </w:r>
      <w:r w:rsidR="00FB5E5E">
        <w:rPr>
          <w:rStyle w:val="FootnoteReference"/>
        </w:rPr>
        <w:footnoteReference w:id="45"/>
      </w:r>
    </w:p>
    <w:p w:rsidR="0034497E" w:rsidP="00630013" w:rsidRDefault="00526B5C" w14:paraId="1BD10802" w14:textId="0919A6C2">
      <w:pPr>
        <w:pStyle w:val="Standard"/>
      </w:pPr>
      <w:r>
        <w:t xml:space="preserve">On </w:t>
      </w:r>
      <w:r w:rsidR="00325127">
        <w:t>December 12, 2025</w:t>
      </w:r>
      <w:r>
        <w:t xml:space="preserve">, the assigned ALJ granted official notice to </w:t>
      </w:r>
      <w:r w:rsidR="00DC5E61">
        <w:t xml:space="preserve">CPED’s Exhibit 1, </w:t>
      </w:r>
      <w:r w:rsidR="00382F20">
        <w:t>Attachment 4 under Rule 13.6 and Evidence Code 452.</w:t>
      </w:r>
      <w:r w:rsidR="00A979E9">
        <w:rPr>
          <w:rStyle w:val="FootnoteReference"/>
        </w:rPr>
        <w:footnoteReference w:id="46"/>
      </w:r>
      <w:r w:rsidR="00382F20">
        <w:t xml:space="preserve">  </w:t>
      </w:r>
      <w:r w:rsidR="00D61489">
        <w:t>Havasu</w:t>
      </w:r>
      <w:r w:rsidR="001A2F25">
        <w:t xml:space="preserve"> </w:t>
      </w:r>
      <w:r w:rsidR="009B068D">
        <w:t xml:space="preserve">asserts that the Commission </w:t>
      </w:r>
      <w:r w:rsidR="001A2F25">
        <w:t xml:space="preserve">does not have jurisdiction over Havasu’s EPA </w:t>
      </w:r>
      <w:r w:rsidR="001A2F25">
        <w:lastRenderedPageBreak/>
        <w:t>violations</w:t>
      </w:r>
      <w:r w:rsidR="009B7DB2">
        <w:t>, we agree.</w:t>
      </w:r>
      <w:r w:rsidR="001A2F25">
        <w:t xml:space="preserve">  Havasu’s EPA violations will </w:t>
      </w:r>
      <w:r w:rsidR="003F46D0">
        <w:t xml:space="preserve">be handled by the EPA.  </w:t>
      </w:r>
      <w:r w:rsidR="00AC03EF">
        <w:t xml:space="preserve">However, Havasu </w:t>
      </w:r>
      <w:r w:rsidR="003F46D0">
        <w:t xml:space="preserve">is incorrect that </w:t>
      </w:r>
      <w:r w:rsidR="0039082F">
        <w:t>the</w:t>
      </w:r>
      <w:r w:rsidR="001906F4">
        <w:t xml:space="preserve"> </w:t>
      </w:r>
      <w:r w:rsidR="003F46D0">
        <w:t>EPA violations are not relevant to this proceeding.</w:t>
      </w:r>
    </w:p>
    <w:p w:rsidRPr="00981569" w:rsidR="00981569" w:rsidP="00981569" w:rsidRDefault="00981569" w14:paraId="3AFB5662" w14:textId="2978F8D2">
      <w:pPr>
        <w:pStyle w:val="Standard"/>
      </w:pPr>
      <w:r w:rsidRPr="00981569">
        <w:t xml:space="preserve">GO 103-A (II)(2)(A)(2) requires Havasu to comply with </w:t>
      </w:r>
      <w:r w:rsidR="008F3D9F">
        <w:t>f</w:t>
      </w:r>
      <w:r w:rsidRPr="00981569">
        <w:t xml:space="preserve">ederal </w:t>
      </w:r>
      <w:r w:rsidR="008F3D9F">
        <w:t>l</w:t>
      </w:r>
      <w:r w:rsidRPr="00981569">
        <w:t xml:space="preserve">aw, including the </w:t>
      </w:r>
      <w:r>
        <w:t xml:space="preserve">EPA’s SDWA. </w:t>
      </w:r>
      <w:r w:rsidRPr="00981569">
        <w:t xml:space="preserve"> Evidence </w:t>
      </w:r>
      <w:r w:rsidR="00AE180A">
        <w:t>offer</w:t>
      </w:r>
      <w:r w:rsidRPr="00981569">
        <w:t>ed by CPED demonstrates that Havasu has been in violation of the SDWA since January 2024.</w:t>
      </w:r>
    </w:p>
    <w:p w:rsidRPr="00981569" w:rsidR="00981569" w:rsidP="00981569" w:rsidRDefault="00981569" w14:paraId="572DC14C" w14:textId="1B5C1D43">
      <w:pPr>
        <w:pStyle w:val="Standard"/>
      </w:pPr>
      <w:r w:rsidRPr="00981569">
        <w:t xml:space="preserve">In January 2024, when the EPA assumed primary enforcement responsibility, </w:t>
      </w:r>
      <w:r w:rsidR="00657D34">
        <w:t>the EPA</w:t>
      </w:r>
      <w:r w:rsidRPr="00981569">
        <w:t xml:space="preserve"> immediately cited </w:t>
      </w:r>
      <w:r w:rsidR="00657D34">
        <w:t xml:space="preserve">Havasu </w:t>
      </w:r>
      <w:r w:rsidRPr="00981569">
        <w:t xml:space="preserve">for seven deficiencies. Subsequently, </w:t>
      </w:r>
      <w:r w:rsidRPr="00981569" w:rsidR="006119BC">
        <w:t>on</w:t>
      </w:r>
      <w:r w:rsidRPr="00981569">
        <w:t xml:space="preserve"> May </w:t>
      </w:r>
      <w:r w:rsidR="006531DE">
        <w:t xml:space="preserve">28, </w:t>
      </w:r>
      <w:r w:rsidRPr="00981569">
        <w:t xml:space="preserve">2024, the EPA issued an </w:t>
      </w:r>
      <w:r>
        <w:t xml:space="preserve">EAO </w:t>
      </w:r>
      <w:r w:rsidRPr="00981569">
        <w:t>due to the public health</w:t>
      </w:r>
      <w:r w:rsidR="00D5675E">
        <w:t xml:space="preserve"> and safety</w:t>
      </w:r>
      <w:r w:rsidRPr="00981569">
        <w:t xml:space="preserve"> risks posed by Havasu’s actions. </w:t>
      </w:r>
      <w:r>
        <w:t xml:space="preserve"> </w:t>
      </w:r>
      <w:r w:rsidR="00241B67">
        <w:t xml:space="preserve">The EPA </w:t>
      </w:r>
      <w:r w:rsidR="00CE3530">
        <w:t xml:space="preserve">subsequently issued </w:t>
      </w:r>
      <w:r w:rsidRPr="00CE3530" w:rsidR="00CE3530">
        <w:t>four separate noncompliance citations for failure to comply with the May 2024, EAO.</w:t>
      </w:r>
      <w:r w:rsidR="00F90431">
        <w:t xml:space="preserve"> </w:t>
      </w:r>
      <w:r w:rsidRPr="00981569">
        <w:t xml:space="preserve">Havasu’s conduct reflects a consistent pattern of </w:t>
      </w:r>
      <w:r w:rsidR="00977F8A">
        <w:t xml:space="preserve">noncompliance and </w:t>
      </w:r>
      <w:r w:rsidRPr="00981569">
        <w:t>unresponsiveness</w:t>
      </w:r>
      <w:r w:rsidR="00F90431">
        <w:t xml:space="preserve"> to EPA directives.</w:t>
      </w:r>
      <w:r w:rsidRPr="00981569">
        <w:t xml:space="preserve"> </w:t>
      </w:r>
    </w:p>
    <w:p w:rsidR="00981569" w:rsidP="000942CA" w:rsidRDefault="00981569" w14:paraId="1849EABF" w14:textId="4478F617">
      <w:pPr>
        <w:pStyle w:val="Standard"/>
      </w:pPr>
      <w:r w:rsidRPr="00981569">
        <w:t xml:space="preserve">In November 2024, the EPA was compelled to issue a second </w:t>
      </w:r>
      <w:r>
        <w:t xml:space="preserve">EAO </w:t>
      </w:r>
      <w:r w:rsidR="009950F4">
        <w:t xml:space="preserve">(EAO </w:t>
      </w:r>
      <w:r w:rsidR="000942CA">
        <w:t>No. 2</w:t>
      </w:r>
      <w:r w:rsidR="009950F4">
        <w:t>)</w:t>
      </w:r>
      <w:r w:rsidR="000942CA">
        <w:t xml:space="preserve"> </w:t>
      </w:r>
      <w:r w:rsidRPr="00981569">
        <w:t xml:space="preserve">after identifying two additional deficiencies. </w:t>
      </w:r>
      <w:r w:rsidR="004938D7">
        <w:t xml:space="preserve"> </w:t>
      </w:r>
      <w:r w:rsidRPr="00981569">
        <w:t>Havasu</w:t>
      </w:r>
      <w:r w:rsidR="000C2D80">
        <w:t xml:space="preserve"> failed to address the </w:t>
      </w:r>
      <w:r w:rsidR="00B74B11">
        <w:t xml:space="preserve">deficiencies in </w:t>
      </w:r>
      <w:r w:rsidR="00645991">
        <w:t>EAO No. 2</w:t>
      </w:r>
      <w:r w:rsidRPr="00981569">
        <w:t xml:space="preserve"> resulting in two further </w:t>
      </w:r>
      <w:r w:rsidR="004938D7">
        <w:t xml:space="preserve">noncompliance </w:t>
      </w:r>
      <w:r w:rsidR="00E675AA">
        <w:t>notices.</w:t>
      </w:r>
    </w:p>
    <w:p w:rsidR="001B4F80" w:rsidP="00225523" w:rsidRDefault="00225523" w14:paraId="00424356" w14:textId="2F38DD05">
      <w:pPr>
        <w:pStyle w:val="Standard"/>
      </w:pPr>
      <w:r w:rsidRPr="00225523">
        <w:t xml:space="preserve">Havasu </w:t>
      </w:r>
      <w:r w:rsidR="00DD4C69">
        <w:t xml:space="preserve">has </w:t>
      </w:r>
      <w:r w:rsidRPr="00225523">
        <w:t xml:space="preserve">failed to </w:t>
      </w:r>
      <w:r w:rsidR="001F4B2C">
        <w:t>offer</w:t>
      </w:r>
      <w:r w:rsidRPr="00225523">
        <w:t xml:space="preserve"> any evidence or testimony in </w:t>
      </w:r>
      <w:r w:rsidR="008E1434">
        <w:t>defense of its position</w:t>
      </w:r>
      <w:r w:rsidR="00FA5505">
        <w:t xml:space="preserve"> that it did not violate the SDWA</w:t>
      </w:r>
      <w:r w:rsidR="004C6721">
        <w:t xml:space="preserve"> or that it had cured </w:t>
      </w:r>
      <w:proofErr w:type="gramStart"/>
      <w:r w:rsidR="004C6721">
        <w:t>a</w:t>
      </w:r>
      <w:r w:rsidR="00C34441">
        <w:t>ll</w:t>
      </w:r>
      <w:r w:rsidR="004C6721">
        <w:t xml:space="preserve"> of</w:t>
      </w:r>
      <w:proofErr w:type="gramEnd"/>
      <w:r w:rsidR="004C6721">
        <w:t xml:space="preserve"> the violations it was cited for by the EPA</w:t>
      </w:r>
      <w:r>
        <w:t xml:space="preserve">.  </w:t>
      </w:r>
      <w:r w:rsidR="00F421F9">
        <w:t xml:space="preserve">As such, it is determined that Havasu violated GO 103-A </w:t>
      </w:r>
      <w:r w:rsidRPr="00F421F9" w:rsidR="00F421F9">
        <w:t>(II)(2)(A)(2)</w:t>
      </w:r>
      <w:r w:rsidR="00AD71B0">
        <w:t xml:space="preserve"> when it failed to comply with the SDWA from January 2024 to present</w:t>
      </w:r>
      <w:r w:rsidR="00EC1B04">
        <w:t xml:space="preserve"> </w:t>
      </w:r>
      <w:r w:rsidR="00E70A7B">
        <w:t xml:space="preserve">while </w:t>
      </w:r>
      <w:r w:rsidR="00EC1B04">
        <w:t xml:space="preserve">incurring two </w:t>
      </w:r>
      <w:r w:rsidR="00E70A7B">
        <w:t xml:space="preserve">emergency </w:t>
      </w:r>
      <w:r w:rsidR="00EC1B04">
        <w:t xml:space="preserve">administrative orders and six </w:t>
      </w:r>
      <w:r w:rsidR="006C23BC">
        <w:t>noncompliance</w:t>
      </w:r>
      <w:r w:rsidR="00EC1B04">
        <w:t xml:space="preserve"> notices.</w:t>
      </w:r>
    </w:p>
    <w:p w:rsidR="00EC1B04" w:rsidP="008B4623" w:rsidRDefault="007A7876" w14:paraId="7229F2BA" w14:textId="2BC1C490">
      <w:pPr>
        <w:pStyle w:val="Heading3"/>
      </w:pPr>
      <w:bookmarkStart w:name="_Toc221259539" w:id="22"/>
      <w:r>
        <w:lastRenderedPageBreak/>
        <w:t xml:space="preserve">From January 2024 to Present, </w:t>
      </w:r>
      <w:r w:rsidR="000F2787">
        <w:t xml:space="preserve">Havasu </w:t>
      </w:r>
      <w:r w:rsidR="00FF4A74">
        <w:t>V</w:t>
      </w:r>
      <w:r w:rsidR="00613C14">
        <w:t>iolated GO 103-A (II)</w:t>
      </w:r>
      <w:r w:rsidR="009D2CD7">
        <w:t>(2)</w:t>
      </w:r>
      <w:r w:rsidR="00613C14">
        <w:t xml:space="preserve">(A)(1) When It Was Required </w:t>
      </w:r>
      <w:r w:rsidR="00811014">
        <w:t xml:space="preserve">by the EPA </w:t>
      </w:r>
      <w:r w:rsidR="00613C14">
        <w:t>to Issue Boil Water Notices</w:t>
      </w:r>
      <w:r w:rsidR="00583994">
        <w:t xml:space="preserve"> </w:t>
      </w:r>
      <w:r w:rsidR="00B64ED6">
        <w:t xml:space="preserve">to its Customers </w:t>
      </w:r>
      <w:r w:rsidR="00583994">
        <w:t>Thereby</w:t>
      </w:r>
      <w:r w:rsidR="00F97D34">
        <w:t xml:space="preserve"> Caus</w:t>
      </w:r>
      <w:r w:rsidR="00583994">
        <w:t>ing</w:t>
      </w:r>
      <w:r w:rsidR="00F97D34">
        <w:t xml:space="preserve"> a Public Health</w:t>
      </w:r>
      <w:r w:rsidR="00D5675E">
        <w:t xml:space="preserve"> and Safety</w:t>
      </w:r>
      <w:r w:rsidR="00F97D34">
        <w:t xml:space="preserve"> Risk</w:t>
      </w:r>
      <w:bookmarkEnd w:id="22"/>
    </w:p>
    <w:p w:rsidR="00F056B2" w:rsidP="00F056B2" w:rsidRDefault="00291003" w14:paraId="682A1BA9" w14:textId="7B968ECA">
      <w:pPr>
        <w:pStyle w:val="Standard"/>
      </w:pPr>
      <w:r>
        <w:t xml:space="preserve">CPED alleges that </w:t>
      </w:r>
      <w:r w:rsidR="003F5C39">
        <w:t xml:space="preserve">from January 2024 to present, </w:t>
      </w:r>
      <w:r>
        <w:t>Havasu violated GO 103-A</w:t>
      </w:r>
      <w:r w:rsidR="005A1C51">
        <w:t xml:space="preserve"> (II)(2)(A)(1) </w:t>
      </w:r>
      <w:r w:rsidR="00E5054C">
        <w:t xml:space="preserve">when it received five boiling water notices (BWN) from the </w:t>
      </w:r>
      <w:r w:rsidR="00214EB9">
        <w:t>EPA.</w:t>
      </w:r>
    </w:p>
    <w:p w:rsidR="00DB7B37" w:rsidP="00F056B2" w:rsidRDefault="00DB7B37" w14:paraId="0CDA0F71" w14:textId="0A8595FD">
      <w:pPr>
        <w:pStyle w:val="Standard"/>
      </w:pPr>
      <w:r>
        <w:t xml:space="preserve">GO 103-A </w:t>
      </w:r>
      <w:r w:rsidRPr="00DB7B37">
        <w:t>(II)(2)(A)(1)</w:t>
      </w:r>
      <w:r>
        <w:t xml:space="preserve"> states that:</w:t>
      </w:r>
    </w:p>
    <w:p w:rsidR="003F5C39" w:rsidP="003F5C39" w:rsidRDefault="003F5C39" w14:paraId="2D8BE637" w14:textId="0864888B">
      <w:pPr>
        <w:pStyle w:val="Standard"/>
        <w:spacing w:line="240" w:lineRule="auto"/>
      </w:pPr>
      <w:r>
        <w:t xml:space="preserve">Any utility serving water for human consumption shall </w:t>
      </w:r>
    </w:p>
    <w:p w:rsidR="003F5C39" w:rsidP="003F5C39" w:rsidRDefault="003F5C39" w14:paraId="6B0B8E5D" w14:textId="77777777">
      <w:pPr>
        <w:pStyle w:val="Standard"/>
        <w:spacing w:line="240" w:lineRule="auto"/>
      </w:pPr>
      <w:r>
        <w:t xml:space="preserve">provide water that is not harmful or dangerous to health and, insofar as </w:t>
      </w:r>
    </w:p>
    <w:p w:rsidR="00630013" w:rsidP="003372BC" w:rsidRDefault="003F5C39" w14:paraId="65443792" w14:textId="5D86623E">
      <w:pPr>
        <w:pStyle w:val="Standard"/>
        <w:spacing w:after="120" w:line="240" w:lineRule="auto"/>
      </w:pPr>
      <w:r>
        <w:t>practicable, free from objectionable odors, taste, color and turbidity.</w:t>
      </w:r>
    </w:p>
    <w:p w:rsidR="000E7A35" w:rsidP="000942CA" w:rsidRDefault="000E7A35" w14:paraId="4493A7B5" w14:textId="22053A71">
      <w:pPr>
        <w:pStyle w:val="Standard"/>
      </w:pPr>
      <w:r w:rsidRPr="000E7A35">
        <w:t>A boiling water notice is ordered by the EPA and issued by Havasu.</w:t>
      </w:r>
      <w:r w:rsidRPr="000E7A35">
        <w:rPr>
          <w:vertAlign w:val="superscript"/>
        </w:rPr>
        <w:footnoteReference w:id="47"/>
      </w:r>
      <w:r w:rsidRPr="000E7A35">
        <w:t xml:space="preserve">  A boil water notice informs the customers that the utility does not recommend that </w:t>
      </w:r>
      <w:r w:rsidR="009F7182">
        <w:t>customer</w:t>
      </w:r>
      <w:r w:rsidR="00F31438">
        <w:t>s</w:t>
      </w:r>
      <w:r w:rsidR="009F7182">
        <w:t xml:space="preserve"> </w:t>
      </w:r>
      <w:r w:rsidRPr="000E7A35">
        <w:t>drink the water without boiling it first and letting it sit for one minute.</w:t>
      </w:r>
      <w:r w:rsidRPr="000E7A35">
        <w:rPr>
          <w:vertAlign w:val="superscript"/>
        </w:rPr>
        <w:footnoteReference w:id="48"/>
      </w:r>
      <w:r w:rsidRPr="000E7A35">
        <w:t xml:space="preserve">  In addition, the boil water notice informs the customers that boiled water should be used </w:t>
      </w:r>
      <w:bookmarkStart w:name="_Hlk220579951" w:id="23"/>
      <w:r w:rsidRPr="000E7A35">
        <w:t>for drinking, making ice, brushing teeth, washing dishes and food preparation</w:t>
      </w:r>
      <w:bookmarkEnd w:id="23"/>
      <w:r w:rsidRPr="000E7A35">
        <w:t>.</w:t>
      </w:r>
      <w:r w:rsidR="00793C1C">
        <w:rPr>
          <w:rStyle w:val="FootnoteReference"/>
        </w:rPr>
        <w:footnoteReference w:id="49"/>
      </w:r>
      <w:r w:rsidRPr="000E7A35">
        <w:t xml:space="preserve">  The boil water notice cautions that inadequately treated water may contain disease-causing organisms such as viruses and parasites which may cause nausea, cramps, diarrhea and associated headaches.</w:t>
      </w:r>
      <w:r w:rsidRPr="000E7A35">
        <w:rPr>
          <w:vertAlign w:val="superscript"/>
        </w:rPr>
        <w:footnoteReference w:id="50"/>
      </w:r>
    </w:p>
    <w:p w:rsidR="0075420E" w:rsidP="00180B0C" w:rsidRDefault="009563EE" w14:paraId="1EF8D7F8" w14:textId="522EBB66">
      <w:pPr>
        <w:pStyle w:val="Standard"/>
        <w:ind w:firstLine="360"/>
      </w:pPr>
      <w:r w:rsidRPr="009563EE">
        <w:t xml:space="preserve">As evidence of Havasu’s violations, CPED offers five </w:t>
      </w:r>
      <w:r w:rsidR="002E3D5E">
        <w:t>BWNs</w:t>
      </w:r>
      <w:r w:rsidR="00F31438">
        <w:t xml:space="preserve"> t</w:t>
      </w:r>
      <w:r w:rsidRPr="009563EE">
        <w:t>he EPA ordered Havasu to issue</w:t>
      </w:r>
      <w:r w:rsidR="00FA275E">
        <w:t xml:space="preserve"> on</w:t>
      </w:r>
      <w:r w:rsidR="00675653">
        <w:t>:</w:t>
      </w:r>
    </w:p>
    <w:p w:rsidR="0075420E" w:rsidP="00B74290" w:rsidRDefault="009563EE" w14:paraId="287682FA" w14:textId="6E2235F2">
      <w:pPr>
        <w:pStyle w:val="Standard"/>
        <w:numPr>
          <w:ilvl w:val="0"/>
          <w:numId w:val="27"/>
        </w:numPr>
        <w:spacing w:after="120" w:line="240" w:lineRule="auto"/>
        <w:ind w:left="1080" w:right="1440"/>
      </w:pPr>
      <w:r w:rsidRPr="009563EE">
        <w:t>February 8, 2024</w:t>
      </w:r>
      <w:r w:rsidR="00852C84">
        <w:t>;</w:t>
      </w:r>
      <w:r w:rsidRPr="006C5B20" w:rsidR="00F5634E">
        <w:rPr>
          <w:vertAlign w:val="superscript"/>
        </w:rPr>
        <w:footnoteReference w:id="51"/>
      </w:r>
    </w:p>
    <w:p w:rsidR="003E2BE7" w:rsidP="005C647A" w:rsidRDefault="003E2BE7" w14:paraId="411379AA" w14:textId="2C1348BA">
      <w:pPr>
        <w:pStyle w:val="Standard"/>
        <w:numPr>
          <w:ilvl w:val="0"/>
          <w:numId w:val="27"/>
        </w:numPr>
        <w:spacing w:after="120" w:line="240" w:lineRule="auto"/>
        <w:ind w:left="1080" w:right="1440"/>
      </w:pPr>
      <w:r w:rsidRPr="009563EE">
        <w:t>Ma</w:t>
      </w:r>
      <w:r>
        <w:t>rch 8</w:t>
      </w:r>
      <w:r w:rsidRPr="009563EE">
        <w:t>, 2024</w:t>
      </w:r>
      <w:r>
        <w:t>;</w:t>
      </w:r>
      <w:r w:rsidRPr="006C5B20">
        <w:rPr>
          <w:vertAlign w:val="superscript"/>
        </w:rPr>
        <w:footnoteReference w:id="52"/>
      </w:r>
    </w:p>
    <w:p w:rsidR="0075420E" w:rsidP="00B74290" w:rsidRDefault="009563EE" w14:paraId="57CC6841" w14:textId="0FAA117B">
      <w:pPr>
        <w:pStyle w:val="Standard"/>
        <w:numPr>
          <w:ilvl w:val="0"/>
          <w:numId w:val="27"/>
        </w:numPr>
        <w:spacing w:after="120" w:line="240" w:lineRule="auto"/>
        <w:ind w:left="1080" w:right="1440"/>
      </w:pPr>
      <w:r w:rsidRPr="009563EE">
        <w:lastRenderedPageBreak/>
        <w:t>March 21, 2024</w:t>
      </w:r>
      <w:r w:rsidR="00852C84">
        <w:t>;</w:t>
      </w:r>
      <w:r w:rsidRPr="006C5B20" w:rsidR="004E69F2">
        <w:rPr>
          <w:vertAlign w:val="superscript"/>
        </w:rPr>
        <w:footnoteReference w:id="53"/>
      </w:r>
    </w:p>
    <w:p w:rsidR="0075420E" w:rsidP="00B74290" w:rsidRDefault="009563EE" w14:paraId="4514EE55" w14:textId="22CF1A2E">
      <w:pPr>
        <w:pStyle w:val="Standard"/>
        <w:numPr>
          <w:ilvl w:val="0"/>
          <w:numId w:val="27"/>
        </w:numPr>
        <w:spacing w:after="120" w:line="240" w:lineRule="auto"/>
        <w:ind w:left="1080" w:right="1440"/>
      </w:pPr>
      <w:r w:rsidRPr="009563EE">
        <w:t>September 2</w:t>
      </w:r>
      <w:r w:rsidR="007771CB">
        <w:t>4</w:t>
      </w:r>
      <w:r w:rsidRPr="009563EE">
        <w:t>, 2024</w:t>
      </w:r>
      <w:r w:rsidR="0075420E">
        <w:t>;</w:t>
      </w:r>
      <w:r w:rsidRPr="006C5B20" w:rsidR="007771CB">
        <w:rPr>
          <w:vertAlign w:val="superscript"/>
        </w:rPr>
        <w:footnoteReference w:id="54"/>
      </w:r>
      <w:r w:rsidR="0075420E">
        <w:t xml:space="preserve"> </w:t>
      </w:r>
      <w:r w:rsidRPr="009563EE">
        <w:t xml:space="preserve">and </w:t>
      </w:r>
    </w:p>
    <w:p w:rsidR="009563EE" w:rsidP="00B74290" w:rsidRDefault="009563EE" w14:paraId="13353339" w14:textId="5037DB96">
      <w:pPr>
        <w:pStyle w:val="Standard"/>
        <w:numPr>
          <w:ilvl w:val="0"/>
          <w:numId w:val="27"/>
        </w:numPr>
        <w:spacing w:after="120" w:line="240" w:lineRule="auto"/>
        <w:ind w:left="1080" w:right="1440"/>
      </w:pPr>
      <w:r w:rsidRPr="009563EE">
        <w:t>November 4, 2024.</w:t>
      </w:r>
      <w:r w:rsidRPr="006C5B20" w:rsidR="0043199D">
        <w:rPr>
          <w:vertAlign w:val="superscript"/>
        </w:rPr>
        <w:footnoteReference w:id="55"/>
      </w:r>
    </w:p>
    <w:p w:rsidR="002313A6" w:rsidP="00E9756D" w:rsidRDefault="004A7088" w14:paraId="71CBA491" w14:textId="325B2017">
      <w:pPr>
        <w:pStyle w:val="Standard"/>
      </w:pPr>
      <w:r w:rsidRPr="00033A27">
        <w:t xml:space="preserve">The evidence </w:t>
      </w:r>
      <w:r w:rsidRPr="00033A27" w:rsidR="00BE395F">
        <w:t>establishes that on five occasions, the EPA determined that Havasu’s water quality was so dire that it ordered Havasu to issue BWNs.</w:t>
      </w:r>
      <w:r w:rsidR="00BE395F">
        <w:t xml:space="preserve">  </w:t>
      </w:r>
      <w:r w:rsidRPr="004A7088">
        <w:t>When the EPA direct</w:t>
      </w:r>
      <w:r>
        <w:t>ed</w:t>
      </w:r>
      <w:r w:rsidRPr="004A7088">
        <w:t xml:space="preserve"> </w:t>
      </w:r>
      <w:r>
        <w:t>Havasu</w:t>
      </w:r>
      <w:r w:rsidRPr="004A7088">
        <w:t xml:space="preserve"> to issue a BWN, it d</w:t>
      </w:r>
      <w:r w:rsidR="00C03EE7">
        <w:t>id</w:t>
      </w:r>
      <w:r w:rsidRPr="004A7088">
        <w:t xml:space="preserve"> so </w:t>
      </w:r>
      <w:r w:rsidR="00B715CD">
        <w:t xml:space="preserve">to </w:t>
      </w:r>
      <w:r w:rsidRPr="004A7088">
        <w:t xml:space="preserve">expressly protect the public from potential </w:t>
      </w:r>
      <w:r>
        <w:t xml:space="preserve">public health </w:t>
      </w:r>
      <w:r w:rsidR="00D5675E">
        <w:t xml:space="preserve">and safety </w:t>
      </w:r>
      <w:r>
        <w:t>risks</w:t>
      </w:r>
      <w:r w:rsidRPr="004A7088">
        <w:t xml:space="preserve">. </w:t>
      </w:r>
      <w:r w:rsidR="00D5675E">
        <w:t xml:space="preserve"> </w:t>
      </w:r>
      <w:r w:rsidR="00DD769F">
        <w:t>Here</w:t>
      </w:r>
      <w:r w:rsidRPr="004A7088">
        <w:t xml:space="preserve">, the EPA required Havasu to issue five BWNs within the span of a single year. </w:t>
      </w:r>
      <w:r w:rsidR="006C5B20">
        <w:t xml:space="preserve"> </w:t>
      </w:r>
      <w:r w:rsidRPr="004A7088">
        <w:t>Th</w:t>
      </w:r>
      <w:r w:rsidR="009F06E7">
        <w:t xml:space="preserve">e number </w:t>
      </w:r>
      <w:r w:rsidR="003E7045">
        <w:t xml:space="preserve">and </w:t>
      </w:r>
      <w:r w:rsidRPr="004A7088">
        <w:t xml:space="preserve">frequency </w:t>
      </w:r>
      <w:r w:rsidR="003E7045">
        <w:t>of the BWN’s</w:t>
      </w:r>
      <w:r w:rsidR="004273B9">
        <w:t xml:space="preserve"> </w:t>
      </w:r>
      <w:r w:rsidR="003E7045">
        <w:t>is a</w:t>
      </w:r>
      <w:r w:rsidRPr="004A7088">
        <w:t xml:space="preserve"> clear indication that the </w:t>
      </w:r>
      <w:proofErr w:type="gramStart"/>
      <w:r w:rsidRPr="004A7088">
        <w:t xml:space="preserve">water </w:t>
      </w:r>
      <w:r w:rsidR="00E9756D">
        <w:t>quality</w:t>
      </w:r>
      <w:proofErr w:type="gramEnd"/>
      <w:r w:rsidR="00E9756D">
        <w:t xml:space="preserve"> </w:t>
      </w:r>
      <w:r w:rsidRPr="004A7088">
        <w:t>supplied by Havasu pose</w:t>
      </w:r>
      <w:r w:rsidR="004273B9">
        <w:t>d</w:t>
      </w:r>
      <w:r w:rsidRPr="004A7088">
        <w:t xml:space="preserve"> a significant risk to the </w:t>
      </w:r>
      <w:r w:rsidR="00E9756D">
        <w:t xml:space="preserve">public </w:t>
      </w:r>
      <w:r w:rsidRPr="004A7088">
        <w:t>health and safety of its customers.</w:t>
      </w:r>
      <w:r w:rsidR="00A03F5C">
        <w:t xml:space="preserve"> </w:t>
      </w:r>
    </w:p>
    <w:p w:rsidR="00A03F5C" w:rsidP="008836AF" w:rsidRDefault="008E1434" w14:paraId="720ECE5C" w14:textId="0A86B536">
      <w:pPr>
        <w:pStyle w:val="Standard"/>
      </w:pPr>
      <w:r w:rsidRPr="00225523">
        <w:t xml:space="preserve">Havasu failed to </w:t>
      </w:r>
      <w:r w:rsidR="001F4B2C">
        <w:t xml:space="preserve">offer </w:t>
      </w:r>
      <w:r w:rsidRPr="00225523">
        <w:t xml:space="preserve">any evidence or testimony in </w:t>
      </w:r>
      <w:r w:rsidRPr="008E1434">
        <w:t>defense of its position</w:t>
      </w:r>
      <w:r w:rsidR="00304520">
        <w:t xml:space="preserve"> that </w:t>
      </w:r>
      <w:r w:rsidR="00B62772">
        <w:t xml:space="preserve">it cured </w:t>
      </w:r>
      <w:proofErr w:type="gramStart"/>
      <w:r w:rsidR="002329D6">
        <w:t>a</w:t>
      </w:r>
      <w:r w:rsidR="00B44C06">
        <w:t>ll</w:t>
      </w:r>
      <w:r w:rsidR="002329D6">
        <w:t xml:space="preserve"> of</w:t>
      </w:r>
      <w:proofErr w:type="gramEnd"/>
      <w:r w:rsidR="002329D6">
        <w:t xml:space="preserve"> the violations it was cited for by the EPA</w:t>
      </w:r>
      <w:r w:rsidRPr="008E1434">
        <w:t xml:space="preserve">.  </w:t>
      </w:r>
      <w:r w:rsidR="00A03F5C">
        <w:t xml:space="preserve">As such, it is determined that Havasu violated GO 103-A </w:t>
      </w:r>
      <w:r w:rsidRPr="00DB7B37" w:rsidR="00A03F5C">
        <w:t>(II)(2)(A)(1)</w:t>
      </w:r>
      <w:r w:rsidR="00676F9B">
        <w:t xml:space="preserve"> when it was ordered by the EPA to issue five BWNs to its customers to protect </w:t>
      </w:r>
      <w:r w:rsidR="00A87CD1">
        <w:t xml:space="preserve">them from the </w:t>
      </w:r>
      <w:r w:rsidR="00E9756D">
        <w:t xml:space="preserve">potential public health </w:t>
      </w:r>
      <w:r w:rsidR="00D5675E">
        <w:t xml:space="preserve">and safety </w:t>
      </w:r>
      <w:r w:rsidR="00E9756D">
        <w:t xml:space="preserve">risks associated </w:t>
      </w:r>
      <w:r w:rsidR="005E6DD1">
        <w:t>with the</w:t>
      </w:r>
      <w:r w:rsidR="00E9756D">
        <w:t xml:space="preserve"> water quality that </w:t>
      </w:r>
      <w:r w:rsidR="005E6DD1">
        <w:t>Havasu provides.</w:t>
      </w:r>
    </w:p>
    <w:p w:rsidR="00A066BD" w:rsidP="00A066BD" w:rsidRDefault="00B31522" w14:paraId="1C2CCF4D" w14:textId="6CEAD1BE">
      <w:pPr>
        <w:pStyle w:val="Heading2"/>
      </w:pPr>
      <w:bookmarkStart w:name="_Toc221259540" w:id="24"/>
      <w:r>
        <w:t xml:space="preserve">State </w:t>
      </w:r>
      <w:r w:rsidR="00014948">
        <w:t>–</w:t>
      </w:r>
      <w:r>
        <w:t xml:space="preserve"> </w:t>
      </w:r>
      <w:r w:rsidR="00014948">
        <w:t>California State Water Resources Control Board, D</w:t>
      </w:r>
      <w:r w:rsidR="00703F26">
        <w:t>ivision of Drinking Water</w:t>
      </w:r>
      <w:bookmarkEnd w:id="24"/>
    </w:p>
    <w:p w:rsidRPr="00703F26" w:rsidR="00703F26" w:rsidP="00703F26" w:rsidRDefault="009356FB" w14:paraId="4157AF06" w14:textId="0AB9571A">
      <w:pPr>
        <w:pStyle w:val="Standard"/>
      </w:pPr>
      <w:r>
        <w:t xml:space="preserve">The </w:t>
      </w:r>
      <w:r w:rsidR="00B43B41">
        <w:t>California State Water Resources Control Board protects water quality and allocates surface water rights.</w:t>
      </w:r>
      <w:r w:rsidR="003943A9">
        <w:rPr>
          <w:rStyle w:val="FootnoteReference"/>
        </w:rPr>
        <w:footnoteReference w:id="56"/>
      </w:r>
      <w:r w:rsidR="00B43B41">
        <w:t xml:space="preserve">  </w:t>
      </w:r>
      <w:r w:rsidR="00B40B23">
        <w:t>In addition, the DDW enforces the SDWA</w:t>
      </w:r>
      <w:r w:rsidR="003943A9">
        <w:t xml:space="preserve"> </w:t>
      </w:r>
      <w:r w:rsidR="003943A9">
        <w:lastRenderedPageBreak/>
        <w:t>by</w:t>
      </w:r>
      <w:r w:rsidR="00B40B23">
        <w:t xml:space="preserve"> issuing permits and monitoring water quality.</w:t>
      </w:r>
      <w:r w:rsidR="003943A9">
        <w:rPr>
          <w:rStyle w:val="FootnoteReference"/>
        </w:rPr>
        <w:footnoteReference w:id="57"/>
      </w:r>
      <w:r w:rsidR="00B40B23">
        <w:t xml:space="preserve">  </w:t>
      </w:r>
      <w:r w:rsidR="00127E2F">
        <w:t>DDW had primary enforcement of the SDWA</w:t>
      </w:r>
      <w:r w:rsidR="0088362D">
        <w:t xml:space="preserve"> over Havasu until January 2024.</w:t>
      </w:r>
      <w:r w:rsidRPr="006C5B20" w:rsidR="00D63D4B">
        <w:rPr>
          <w:rStyle w:val="FootnoteReference"/>
        </w:rPr>
        <w:footnoteReference w:id="58"/>
      </w:r>
    </w:p>
    <w:p w:rsidRPr="00FB2144" w:rsidR="00FB2144" w:rsidP="00180B0C" w:rsidRDefault="001F66DA" w14:paraId="0E81941D" w14:textId="17879D3E">
      <w:pPr>
        <w:pStyle w:val="Heading3"/>
      </w:pPr>
      <w:bookmarkStart w:name="_Toc221259541" w:id="25"/>
      <w:r>
        <w:t xml:space="preserve">From March 2022 to December 2023, </w:t>
      </w:r>
      <w:r w:rsidR="00E42580">
        <w:t xml:space="preserve">Havasu </w:t>
      </w:r>
      <w:r w:rsidR="004D7717">
        <w:t>V</w:t>
      </w:r>
      <w:r w:rsidR="00E42580">
        <w:t>iolated GO 103-A</w:t>
      </w:r>
      <w:r w:rsidR="005678E3">
        <w:t xml:space="preserve"> (II)(1)(</w:t>
      </w:r>
      <w:r w:rsidR="00463EDB">
        <w:t>B</w:t>
      </w:r>
      <w:r w:rsidR="005678E3">
        <w:t xml:space="preserve">) </w:t>
      </w:r>
      <w:r w:rsidR="004D7717">
        <w:t>W</w:t>
      </w:r>
      <w:r w:rsidR="00E355FE">
        <w:t xml:space="preserve">hen </w:t>
      </w:r>
      <w:r w:rsidR="00F31438">
        <w:t>I</w:t>
      </w:r>
      <w:r w:rsidR="00E355FE">
        <w:t>t Experienced a Systemwide Water Outage</w:t>
      </w:r>
      <w:r w:rsidR="00F31438">
        <w:t xml:space="preserve"> and</w:t>
      </w:r>
      <w:r w:rsidR="00077E7B">
        <w:t xml:space="preserve"> Havasu </w:t>
      </w:r>
      <w:r w:rsidR="00133CC9">
        <w:t>Has Been</w:t>
      </w:r>
      <w:r w:rsidR="00077E7B">
        <w:t xml:space="preserve"> </w:t>
      </w:r>
      <w:r w:rsidR="00133CC9">
        <w:t>Nonc</w:t>
      </w:r>
      <w:r w:rsidR="00077E7B">
        <w:t xml:space="preserve">ompliant and </w:t>
      </w:r>
      <w:r w:rsidR="00133CC9">
        <w:t>U</w:t>
      </w:r>
      <w:r w:rsidR="00077E7B">
        <w:t>nresponsive to DDW</w:t>
      </w:r>
      <w:r w:rsidR="00133CC9">
        <w:t xml:space="preserve"> Oversight</w:t>
      </w:r>
      <w:bookmarkEnd w:id="25"/>
    </w:p>
    <w:p w:rsidR="00C07D54" w:rsidP="00C07D54" w:rsidRDefault="00FB2144" w14:paraId="3791401D" w14:textId="55FFA23D">
      <w:pPr>
        <w:pStyle w:val="Standard"/>
      </w:pPr>
      <w:r>
        <w:t>CPED alleges that Havasu violated GO 103</w:t>
      </w:r>
      <w:r w:rsidR="0073366E">
        <w:t>-A</w:t>
      </w:r>
      <w:r w:rsidR="00EE517C">
        <w:t xml:space="preserve"> (II)(1)(</w:t>
      </w:r>
      <w:r w:rsidR="00BE395F">
        <w:t>B)</w:t>
      </w:r>
      <w:r w:rsidR="00A70053">
        <w:t xml:space="preserve"> when it suffered a </w:t>
      </w:r>
      <w:r w:rsidR="006B0825">
        <w:t xml:space="preserve">systemwide </w:t>
      </w:r>
      <w:r w:rsidR="00A70053">
        <w:t xml:space="preserve">water outage from March 21, </w:t>
      </w:r>
      <w:proofErr w:type="gramStart"/>
      <w:r w:rsidR="00A70053">
        <w:t>2022</w:t>
      </w:r>
      <w:proofErr w:type="gramEnd"/>
      <w:r w:rsidR="00A70053">
        <w:t xml:space="preserve"> through March 26, </w:t>
      </w:r>
      <w:proofErr w:type="gramStart"/>
      <w:r w:rsidR="00A70053">
        <w:t>2022</w:t>
      </w:r>
      <w:proofErr w:type="gramEnd"/>
      <w:r w:rsidR="006B0825">
        <w:t xml:space="preserve"> due to a power outage </w:t>
      </w:r>
      <w:r w:rsidR="0097769F">
        <w:t>caused</w:t>
      </w:r>
      <w:r w:rsidR="006B0825">
        <w:t xml:space="preserve"> by Southern California Edison</w:t>
      </w:r>
      <w:r w:rsidR="00FF4A74">
        <w:t xml:space="preserve"> Company</w:t>
      </w:r>
      <w:r w:rsidR="006B0825">
        <w:t>.</w:t>
      </w:r>
      <w:r w:rsidR="00BF671A">
        <w:rPr>
          <w:rStyle w:val="FootnoteReference"/>
        </w:rPr>
        <w:footnoteReference w:id="59"/>
      </w:r>
      <w:r w:rsidR="00BF671A">
        <w:t xml:space="preserve">  </w:t>
      </w:r>
    </w:p>
    <w:p w:rsidR="00AB22EA" w:rsidP="00AB22EA" w:rsidRDefault="009E07BA" w14:paraId="63E62C32" w14:textId="4D4C39FA">
      <w:pPr>
        <w:pStyle w:val="Standard"/>
      </w:pPr>
      <w:r>
        <w:t>GO 103-A (II)(1)(</w:t>
      </w:r>
      <w:r w:rsidR="00B445F7">
        <w:t>B</w:t>
      </w:r>
      <w:r>
        <w:t>) states that:</w:t>
      </w:r>
    </w:p>
    <w:p w:rsidR="00A633D6" w:rsidP="00A633D6" w:rsidRDefault="00A633D6" w14:paraId="15156616" w14:textId="77777777">
      <w:pPr>
        <w:pStyle w:val="Standard"/>
        <w:spacing w:line="240" w:lineRule="auto"/>
      </w:pPr>
      <w:r>
        <w:t xml:space="preserve">Each water utility shall ensure that it complies with the Department’s </w:t>
      </w:r>
    </w:p>
    <w:p w:rsidR="00630013" w:rsidP="00630013" w:rsidRDefault="00A633D6" w14:paraId="0A861CE4" w14:textId="078EB141">
      <w:pPr>
        <w:pStyle w:val="Standard"/>
      </w:pPr>
      <w:r>
        <w:t>permit requirements and all applicable drinking water regulations</w:t>
      </w:r>
      <w:r w:rsidR="00C30E23">
        <w:t>.</w:t>
      </w:r>
    </w:p>
    <w:p w:rsidRPr="00C07D54" w:rsidR="00FD2ED3" w:rsidP="00A633D6" w:rsidRDefault="00FD2ED3" w14:paraId="4943F1D0" w14:textId="02BF91C7">
      <w:pPr>
        <w:pStyle w:val="Standard"/>
      </w:pPr>
      <w:r>
        <w:t xml:space="preserve">As evidence of Havasu </w:t>
      </w:r>
      <w:r w:rsidR="00D63F53">
        <w:t xml:space="preserve">failure to comply </w:t>
      </w:r>
      <w:r w:rsidR="00911492">
        <w:t>with state rules, CPED offers two compliance orders</w:t>
      </w:r>
      <w:r w:rsidR="007A660F">
        <w:t xml:space="preserve"> and </w:t>
      </w:r>
      <w:r w:rsidR="00B523F1">
        <w:t>eight</w:t>
      </w:r>
      <w:r w:rsidR="007A660F">
        <w:t xml:space="preserve"> </w:t>
      </w:r>
      <w:r w:rsidR="00921933">
        <w:t xml:space="preserve">noncompliance </w:t>
      </w:r>
      <w:r w:rsidR="007A660F">
        <w:t xml:space="preserve">citations.  A summary of the compliance orders and </w:t>
      </w:r>
      <w:r w:rsidR="006C23BC">
        <w:t>noncompliance</w:t>
      </w:r>
      <w:r w:rsidR="00824B32">
        <w:t xml:space="preserve"> </w:t>
      </w:r>
      <w:r w:rsidR="007A660F">
        <w:t>citations are provided below:</w:t>
      </w:r>
      <w:r w:rsidR="00D63F53">
        <w:t xml:space="preserve"> </w:t>
      </w:r>
    </w:p>
    <w:p w:rsidR="000B3546" w:rsidP="00EE2346" w:rsidRDefault="000B3546" w14:paraId="075D3938" w14:textId="76B82F7D">
      <w:pPr>
        <w:pStyle w:val="Standard"/>
        <w:numPr>
          <w:ilvl w:val="0"/>
          <w:numId w:val="27"/>
        </w:numPr>
        <w:spacing w:after="120" w:line="240" w:lineRule="auto"/>
        <w:ind w:left="1080" w:right="1440"/>
      </w:pPr>
      <w:r>
        <w:t xml:space="preserve">Compliance Order No. 05-13-22R-001 </w:t>
      </w:r>
      <w:r w:rsidR="00683A7F">
        <w:t xml:space="preserve">(CO) </w:t>
      </w:r>
      <w:r>
        <w:t>dated March 29, 2022.</w:t>
      </w:r>
      <w:r w:rsidR="004413EA">
        <w:rPr>
          <w:rStyle w:val="FootnoteReference"/>
        </w:rPr>
        <w:footnoteReference w:id="60"/>
      </w:r>
      <w:r w:rsidR="007D218D">
        <w:t xml:space="preserve">  </w:t>
      </w:r>
      <w:r>
        <w:t>Required Havasu to take actions immediately on fifteen directives by specific dates regarding water treatment, water supply, obtaining certified operators, installing backup generators, remove or repairing cross connections and providing reports.</w:t>
      </w:r>
      <w:r w:rsidR="006164D8">
        <w:rPr>
          <w:rStyle w:val="FootnoteReference"/>
        </w:rPr>
        <w:footnoteReference w:id="61"/>
      </w:r>
    </w:p>
    <w:p w:rsidR="00683A7F" w:rsidP="00EE2346" w:rsidRDefault="00683A7F" w14:paraId="5A712DE4" w14:textId="7AD9E3CE">
      <w:pPr>
        <w:pStyle w:val="Standard"/>
        <w:numPr>
          <w:ilvl w:val="0"/>
          <w:numId w:val="27"/>
        </w:numPr>
        <w:spacing w:after="120" w:line="240" w:lineRule="auto"/>
        <w:ind w:left="1080" w:right="1440"/>
      </w:pPr>
      <w:r>
        <w:t xml:space="preserve">After issuance of </w:t>
      </w:r>
      <w:proofErr w:type="gramStart"/>
      <w:r>
        <w:t>the Ma</w:t>
      </w:r>
      <w:r w:rsidR="006575D4">
        <w:t>rch</w:t>
      </w:r>
      <w:proofErr w:type="gramEnd"/>
      <w:r>
        <w:t xml:space="preserve"> 29, 2022, CO, DDW issued three </w:t>
      </w:r>
      <w:r w:rsidR="006C23BC">
        <w:t>noncompliance</w:t>
      </w:r>
      <w:r>
        <w:t xml:space="preserve"> </w:t>
      </w:r>
      <w:r w:rsidR="00824B32">
        <w:t>citations</w:t>
      </w:r>
      <w:r>
        <w:t xml:space="preserve"> to Havasu for failure to comply with the CO.  The three </w:t>
      </w:r>
      <w:r w:rsidR="006C23BC">
        <w:t>noncompliance</w:t>
      </w:r>
      <w:r>
        <w:t xml:space="preserve"> </w:t>
      </w:r>
      <w:r w:rsidR="00406104">
        <w:t>citations</w:t>
      </w:r>
      <w:r>
        <w:t xml:space="preserve"> were sent on: </w:t>
      </w:r>
    </w:p>
    <w:p w:rsidR="00683A7F" w:rsidP="00EE2346" w:rsidRDefault="00683A7F" w14:paraId="586B05AF" w14:textId="2BBFE7C1">
      <w:pPr>
        <w:pStyle w:val="Standard"/>
        <w:numPr>
          <w:ilvl w:val="1"/>
          <w:numId w:val="27"/>
        </w:numPr>
        <w:spacing w:after="120" w:line="240" w:lineRule="auto"/>
        <w:ind w:right="1440"/>
      </w:pPr>
      <w:r>
        <w:lastRenderedPageBreak/>
        <w:t>May 6, 2022</w:t>
      </w:r>
      <w:r w:rsidR="008F1753">
        <w:t>;</w:t>
      </w:r>
      <w:r w:rsidR="00972157">
        <w:rPr>
          <w:rStyle w:val="FootnoteReference"/>
        </w:rPr>
        <w:footnoteReference w:id="62"/>
      </w:r>
    </w:p>
    <w:p w:rsidR="008F1753" w:rsidP="00EE2346" w:rsidRDefault="008F1753" w14:paraId="54D1A740" w14:textId="7B3A740F">
      <w:pPr>
        <w:pStyle w:val="Standard"/>
        <w:numPr>
          <w:ilvl w:val="1"/>
          <w:numId w:val="27"/>
        </w:numPr>
        <w:spacing w:after="120" w:line="240" w:lineRule="auto"/>
        <w:ind w:right="1440"/>
      </w:pPr>
      <w:r>
        <w:t>July 28, 2022;</w:t>
      </w:r>
      <w:r w:rsidRPr="006C5B20" w:rsidR="00972157">
        <w:rPr>
          <w:vertAlign w:val="superscript"/>
        </w:rPr>
        <w:footnoteReference w:id="63"/>
      </w:r>
      <w:r>
        <w:t xml:space="preserve"> and</w:t>
      </w:r>
    </w:p>
    <w:p w:rsidR="00683A7F" w:rsidP="00EE2346" w:rsidRDefault="008F1753" w14:paraId="526DD42A" w14:textId="6F9F0EA7">
      <w:pPr>
        <w:pStyle w:val="Standard"/>
        <w:numPr>
          <w:ilvl w:val="1"/>
          <w:numId w:val="27"/>
        </w:numPr>
        <w:spacing w:after="120" w:line="240" w:lineRule="auto"/>
        <w:ind w:right="1440"/>
      </w:pPr>
      <w:r>
        <w:t>August 4, 2022.</w:t>
      </w:r>
      <w:r w:rsidRPr="006C5B20" w:rsidR="00640FF9">
        <w:rPr>
          <w:vertAlign w:val="superscript"/>
        </w:rPr>
        <w:footnoteReference w:id="64"/>
      </w:r>
    </w:p>
    <w:p w:rsidR="000B3546" w:rsidP="00EE2346" w:rsidRDefault="000B3546" w14:paraId="3601C48F" w14:textId="394DE219">
      <w:pPr>
        <w:pStyle w:val="Standard"/>
        <w:numPr>
          <w:ilvl w:val="0"/>
          <w:numId w:val="27"/>
        </w:numPr>
        <w:spacing w:after="120" w:line="240" w:lineRule="auto"/>
        <w:ind w:left="1080" w:right="1440"/>
      </w:pPr>
      <w:r>
        <w:t>Compliance Order No. 05-13-22R-002 dated September 14, 2022</w:t>
      </w:r>
      <w:r w:rsidR="00824B32">
        <w:t xml:space="preserve"> (CO No. 2)</w:t>
      </w:r>
      <w:r>
        <w:t>.</w:t>
      </w:r>
      <w:r w:rsidRPr="00EE2346" w:rsidR="00640FF9">
        <w:footnoteReference w:id="65"/>
      </w:r>
      <w:r w:rsidR="007C1103">
        <w:t xml:space="preserve">  </w:t>
      </w:r>
      <w:r>
        <w:t xml:space="preserve">Required Havasu to </w:t>
      </w:r>
      <w:r w:rsidR="00506FE7">
        <w:t>act</w:t>
      </w:r>
      <w:r>
        <w:t xml:space="preserve"> immediately on four directives by specific dates regarding on-site inspections, providing DDW documentation and complying with previous directives.</w:t>
      </w:r>
      <w:r w:rsidR="00640FF9">
        <w:rPr>
          <w:rStyle w:val="FootnoteReference"/>
        </w:rPr>
        <w:footnoteReference w:id="66"/>
      </w:r>
      <w:r w:rsidR="00960A71">
        <w:t xml:space="preserve">  </w:t>
      </w:r>
    </w:p>
    <w:p w:rsidRPr="008F1753" w:rsidR="008F1753" w:rsidP="00EE2346" w:rsidRDefault="008F1753" w14:paraId="199FB559" w14:textId="140546AE">
      <w:pPr>
        <w:pStyle w:val="Standard"/>
        <w:numPr>
          <w:ilvl w:val="0"/>
          <w:numId w:val="27"/>
        </w:numPr>
        <w:spacing w:after="120" w:line="240" w:lineRule="auto"/>
        <w:ind w:left="1080" w:right="1440"/>
      </w:pPr>
      <w:r w:rsidRPr="008F1753">
        <w:t xml:space="preserve">After issuance of </w:t>
      </w:r>
      <w:proofErr w:type="gramStart"/>
      <w:r w:rsidRPr="008F1753">
        <w:t>the Ma</w:t>
      </w:r>
      <w:r w:rsidR="00BF6F66">
        <w:t>rch</w:t>
      </w:r>
      <w:proofErr w:type="gramEnd"/>
      <w:r w:rsidRPr="008F1753">
        <w:t xml:space="preserve"> 29, 2022, CO</w:t>
      </w:r>
      <w:r w:rsidR="00824B32">
        <w:t xml:space="preserve"> No. 2</w:t>
      </w:r>
      <w:r w:rsidRPr="008F1753">
        <w:t xml:space="preserve">, DDW issued </w:t>
      </w:r>
      <w:r w:rsidR="00B61715">
        <w:t>five</w:t>
      </w:r>
      <w:r w:rsidRPr="008F1753">
        <w:t xml:space="preserve"> </w:t>
      </w:r>
      <w:r w:rsidR="006C23BC">
        <w:t>noncompliance</w:t>
      </w:r>
      <w:r w:rsidRPr="008F1753">
        <w:t xml:space="preserve"> </w:t>
      </w:r>
      <w:r w:rsidR="00824B32">
        <w:t>citations</w:t>
      </w:r>
      <w:r w:rsidRPr="008F1753">
        <w:t xml:space="preserve"> to Havasu for failure to comply with CO</w:t>
      </w:r>
      <w:r w:rsidR="00824B32">
        <w:t xml:space="preserve"> No. 2</w:t>
      </w:r>
      <w:r w:rsidRPr="008F1753">
        <w:t xml:space="preserve">.  The </w:t>
      </w:r>
      <w:r w:rsidR="00A662EA">
        <w:t>f</w:t>
      </w:r>
      <w:r w:rsidR="007711B3">
        <w:t>ive</w:t>
      </w:r>
      <w:r w:rsidRPr="008F1753">
        <w:t xml:space="preserve"> </w:t>
      </w:r>
      <w:r w:rsidR="006C23BC">
        <w:t>noncompliance</w:t>
      </w:r>
      <w:r w:rsidRPr="008F1753">
        <w:t xml:space="preserve"> </w:t>
      </w:r>
      <w:r w:rsidR="00506FE7">
        <w:t>citations</w:t>
      </w:r>
      <w:r w:rsidRPr="008F1753">
        <w:t xml:space="preserve"> were sent on: </w:t>
      </w:r>
    </w:p>
    <w:p w:rsidR="008F1753" w:rsidP="00EE2346" w:rsidRDefault="008F1753" w14:paraId="7102F5E1" w14:textId="1FC2C410">
      <w:pPr>
        <w:pStyle w:val="Standard"/>
        <w:numPr>
          <w:ilvl w:val="1"/>
          <w:numId w:val="27"/>
        </w:numPr>
        <w:spacing w:after="120" w:line="240" w:lineRule="auto"/>
        <w:ind w:right="1440"/>
      </w:pPr>
      <w:r>
        <w:t>February 8, 2023;</w:t>
      </w:r>
      <w:r w:rsidRPr="006C5B20" w:rsidR="00F412F3">
        <w:rPr>
          <w:vertAlign w:val="superscript"/>
        </w:rPr>
        <w:footnoteReference w:id="67"/>
      </w:r>
    </w:p>
    <w:p w:rsidR="008F1753" w:rsidP="00EE2346" w:rsidRDefault="008F1753" w14:paraId="1A169876" w14:textId="72293795">
      <w:pPr>
        <w:pStyle w:val="Standard"/>
        <w:numPr>
          <w:ilvl w:val="1"/>
          <w:numId w:val="27"/>
        </w:numPr>
        <w:spacing w:after="120" w:line="240" w:lineRule="auto"/>
        <w:ind w:right="1440"/>
      </w:pPr>
      <w:r>
        <w:t>June 12, 2023;</w:t>
      </w:r>
      <w:r w:rsidRPr="006C5B20" w:rsidR="00F412F3">
        <w:rPr>
          <w:vertAlign w:val="superscript"/>
        </w:rPr>
        <w:footnoteReference w:id="68"/>
      </w:r>
    </w:p>
    <w:p w:rsidR="008F1753" w:rsidP="00EE2346" w:rsidRDefault="00961010" w14:paraId="1EF698E1" w14:textId="63F1ABFA">
      <w:pPr>
        <w:pStyle w:val="Standard"/>
        <w:numPr>
          <w:ilvl w:val="1"/>
          <w:numId w:val="27"/>
        </w:numPr>
        <w:spacing w:after="120" w:line="240" w:lineRule="auto"/>
        <w:ind w:right="1440"/>
      </w:pPr>
      <w:r>
        <w:t>June 12, 2023 (two notices were sent on this date);</w:t>
      </w:r>
      <w:r w:rsidRPr="006C5B20" w:rsidR="00F412F3">
        <w:rPr>
          <w:vertAlign w:val="superscript"/>
        </w:rPr>
        <w:footnoteReference w:id="69"/>
      </w:r>
      <w:r>
        <w:t xml:space="preserve"> </w:t>
      </w:r>
      <w:r w:rsidR="00A662EA">
        <w:t>and</w:t>
      </w:r>
    </w:p>
    <w:p w:rsidR="00961010" w:rsidP="00EE2346" w:rsidRDefault="00961010" w14:paraId="7F7B929F" w14:textId="20F3353C">
      <w:pPr>
        <w:pStyle w:val="Standard"/>
        <w:numPr>
          <w:ilvl w:val="1"/>
          <w:numId w:val="27"/>
        </w:numPr>
        <w:spacing w:after="120" w:line="240" w:lineRule="auto"/>
        <w:ind w:right="1440"/>
      </w:pPr>
      <w:r>
        <w:t>August 23, 2023</w:t>
      </w:r>
      <w:r w:rsidR="00A662EA">
        <w:t>.</w:t>
      </w:r>
      <w:r w:rsidRPr="006C5B20" w:rsidR="007711B3">
        <w:rPr>
          <w:vertAlign w:val="superscript"/>
        </w:rPr>
        <w:footnoteReference w:id="70"/>
      </w:r>
    </w:p>
    <w:p w:rsidR="000B3546" w:rsidP="00EE2346" w:rsidRDefault="000B3546" w14:paraId="7AC03E50" w14:textId="12BC69B9">
      <w:pPr>
        <w:pStyle w:val="Standard"/>
        <w:numPr>
          <w:ilvl w:val="0"/>
          <w:numId w:val="27"/>
        </w:numPr>
        <w:spacing w:after="120" w:line="240" w:lineRule="auto"/>
        <w:ind w:left="1080" w:right="1440"/>
      </w:pPr>
      <w:r>
        <w:t xml:space="preserve">Citation No. 05-13-23C-005 </w:t>
      </w:r>
      <w:r w:rsidR="00C525F0">
        <w:t>dated December 4, 2023</w:t>
      </w:r>
      <w:r w:rsidR="00FF4A74">
        <w:t>,</w:t>
      </w:r>
      <w:r w:rsidRPr="006C5B20" w:rsidR="007711B3">
        <w:rPr>
          <w:vertAlign w:val="superscript"/>
        </w:rPr>
        <w:footnoteReference w:id="71"/>
      </w:r>
      <w:r w:rsidR="00C525F0">
        <w:t xml:space="preserve"> </w:t>
      </w:r>
      <w:r w:rsidR="00FF4A74">
        <w:t>which r</w:t>
      </w:r>
      <w:r>
        <w:t xml:space="preserve">equired Havasu to submit a preliminary study report for compliance with the </w:t>
      </w:r>
      <w:proofErr w:type="gramStart"/>
      <w:r>
        <w:t>running annual</w:t>
      </w:r>
      <w:proofErr w:type="gramEnd"/>
      <w:r>
        <w:t xml:space="preserve"> average for the total trihalomethanes (TTHM) maximum containment level (MCL) by October 31, 2023.  </w:t>
      </w:r>
    </w:p>
    <w:p w:rsidR="008B3B76" w:rsidP="00636F9F" w:rsidRDefault="008B3B76" w14:paraId="6DC464ED" w14:textId="1C39EDAF">
      <w:pPr>
        <w:pStyle w:val="Standard"/>
      </w:pPr>
      <w:r w:rsidRPr="008B3B76">
        <w:lastRenderedPageBreak/>
        <w:t xml:space="preserve">The </w:t>
      </w:r>
      <w:r>
        <w:t>evidence</w:t>
      </w:r>
      <w:r w:rsidRPr="008B3B76">
        <w:t xml:space="preserve"> establishes that Havasu has failed to comply with the drinking water standards mandated by </w:t>
      </w:r>
      <w:r>
        <w:t>DDW.</w:t>
      </w:r>
      <w:r w:rsidR="0004450B">
        <w:t xml:space="preserve">  </w:t>
      </w:r>
      <w:r w:rsidRPr="008B3B76">
        <w:t xml:space="preserve">From March 2022 through December 2023, </w:t>
      </w:r>
      <w:r w:rsidRPr="008B3B76" w:rsidR="0004450B">
        <w:t>Havasu</w:t>
      </w:r>
      <w:r w:rsidR="00FA6942">
        <w:t xml:space="preserve"> received</w:t>
      </w:r>
      <w:r w:rsidRPr="008B3B76">
        <w:t xml:space="preserve"> two compliance orders and </w:t>
      </w:r>
      <w:r w:rsidR="00B523F1">
        <w:t>eight</w:t>
      </w:r>
      <w:r w:rsidRPr="008B3B76">
        <w:t xml:space="preserve"> </w:t>
      </w:r>
      <w:r w:rsidR="00FA6942">
        <w:t xml:space="preserve">noncompliance </w:t>
      </w:r>
      <w:r w:rsidRPr="008B3B76">
        <w:t xml:space="preserve">citations for violations of DDW regulations. </w:t>
      </w:r>
      <w:r w:rsidR="0004450B">
        <w:t xml:space="preserve"> </w:t>
      </w:r>
      <w:r w:rsidRPr="008B3B76">
        <w:t xml:space="preserve">These </w:t>
      </w:r>
      <w:r w:rsidR="00E01900">
        <w:t xml:space="preserve">citations and </w:t>
      </w:r>
      <w:r w:rsidR="00B16219">
        <w:t>violations</w:t>
      </w:r>
      <w:r w:rsidRPr="008B3B76">
        <w:t xml:space="preserve"> </w:t>
      </w:r>
      <w:r w:rsidR="00B566A0">
        <w:t xml:space="preserve">and Havasu’s failure to </w:t>
      </w:r>
      <w:r w:rsidR="00644126">
        <w:t xml:space="preserve">address and/or correct the issues contained therein </w:t>
      </w:r>
      <w:r w:rsidRPr="008B3B76">
        <w:t>are consistent with Havasu’s longstanding history of noncompliance with DDW</w:t>
      </w:r>
      <w:r w:rsidR="00FA6942">
        <w:t>’s</w:t>
      </w:r>
      <w:r w:rsidRPr="008B3B76">
        <w:t xml:space="preserve"> water quality standards and its repeated failure to respond adequately to compliance directives and noncompliance </w:t>
      </w:r>
      <w:r w:rsidR="00B16219">
        <w:t>notices.</w:t>
      </w:r>
      <w:r w:rsidR="00636F9F">
        <w:t xml:space="preserve">  </w:t>
      </w:r>
      <w:r w:rsidRPr="008B3B76">
        <w:t>Havasu’s continued disregard for regulatory requirements constitutes a</w:t>
      </w:r>
      <w:r w:rsidR="000610D3">
        <w:t xml:space="preserve"> </w:t>
      </w:r>
      <w:r w:rsidRPr="008B3B76">
        <w:t>violation and presents a danger to the</w:t>
      </w:r>
      <w:r w:rsidR="00636F9F">
        <w:t xml:space="preserve"> public</w:t>
      </w:r>
      <w:r w:rsidRPr="008B3B76">
        <w:t xml:space="preserve"> health </w:t>
      </w:r>
      <w:r w:rsidR="00D5675E">
        <w:t xml:space="preserve">and safety </w:t>
      </w:r>
      <w:r w:rsidRPr="008B3B76">
        <w:t>of its customers.</w:t>
      </w:r>
    </w:p>
    <w:p w:rsidR="00B1704E" w:rsidP="006C186D" w:rsidRDefault="008E1434" w14:paraId="79576905" w14:textId="141FDFB5">
      <w:pPr>
        <w:pStyle w:val="Standard"/>
      </w:pPr>
      <w:r w:rsidRPr="00225523">
        <w:t xml:space="preserve">Havasu failed to </w:t>
      </w:r>
      <w:r w:rsidR="000F3CE5">
        <w:t>offer</w:t>
      </w:r>
      <w:r w:rsidRPr="00225523">
        <w:t xml:space="preserve"> any evidence or testimony in </w:t>
      </w:r>
      <w:r w:rsidRPr="008E1434">
        <w:t>defense of its position</w:t>
      </w:r>
      <w:r w:rsidR="004A74C0">
        <w:t xml:space="preserve"> that it </w:t>
      </w:r>
      <w:r w:rsidR="00BF26E6">
        <w:t xml:space="preserve">cured </w:t>
      </w:r>
      <w:proofErr w:type="gramStart"/>
      <w:r w:rsidR="00BF26E6">
        <w:t>a</w:t>
      </w:r>
      <w:r w:rsidR="00100E1E">
        <w:t>ll</w:t>
      </w:r>
      <w:r w:rsidR="00BF26E6">
        <w:t xml:space="preserve"> of</w:t>
      </w:r>
      <w:proofErr w:type="gramEnd"/>
      <w:r w:rsidR="00BF26E6">
        <w:t xml:space="preserve"> the violations </w:t>
      </w:r>
      <w:r w:rsidR="00167927">
        <w:t xml:space="preserve">it was </w:t>
      </w:r>
      <w:r w:rsidR="00BF26E6">
        <w:t xml:space="preserve">cited </w:t>
      </w:r>
      <w:r w:rsidR="00167927">
        <w:t xml:space="preserve">for </w:t>
      </w:r>
      <w:r w:rsidR="00BF26E6">
        <w:t>by DDW</w:t>
      </w:r>
      <w:r w:rsidRPr="008E1434">
        <w:t xml:space="preserve">.  </w:t>
      </w:r>
      <w:r w:rsidR="00B1704E">
        <w:t>As such, it is determined that from March 2022 through December 2023, Havasu violated GO 103-A (II)</w:t>
      </w:r>
      <w:r w:rsidR="00A2193A">
        <w:t>(1)(B) when it continued to place its customers health in jeopardy by violating the DDW’s drinking water standards.</w:t>
      </w:r>
    </w:p>
    <w:p w:rsidRPr="00033A27" w:rsidR="00455B38" w:rsidP="00BE395F" w:rsidRDefault="00220381" w14:paraId="12728784" w14:textId="490638CD">
      <w:pPr>
        <w:pStyle w:val="Heading3"/>
      </w:pPr>
      <w:bookmarkStart w:name="_Toc221259542" w:id="26"/>
      <w:r w:rsidRPr="00033A27">
        <w:t xml:space="preserve">From March 2022 to December 2023, Havasu </w:t>
      </w:r>
      <w:r w:rsidRPr="00033A27" w:rsidR="00FF4A74">
        <w:t>V</w:t>
      </w:r>
      <w:r w:rsidRPr="00033A27">
        <w:t>iolated GO 103-A (III)(8</w:t>
      </w:r>
      <w:r w:rsidRPr="00033A27" w:rsidR="00AD6203">
        <w:t>)(B)</w:t>
      </w:r>
      <w:r w:rsidRPr="00033A27" w:rsidR="000514EC">
        <w:t xml:space="preserve">, (II)(3)(A)(1),  (II)(2)(A)(3) </w:t>
      </w:r>
      <w:r w:rsidRPr="00033A27" w:rsidR="00FC3FDF">
        <w:t xml:space="preserve">and </w:t>
      </w:r>
      <w:r w:rsidRPr="00033A27" w:rsidR="000D39FC">
        <w:t>California Code of Regulations (CCR), Title 22, Section 64413.5</w:t>
      </w:r>
      <w:r w:rsidRPr="00033A27" w:rsidR="00CD0122">
        <w:t xml:space="preserve"> When it Experienced a </w:t>
      </w:r>
      <w:r w:rsidRPr="00033A27" w:rsidR="006C5E72">
        <w:t xml:space="preserve">Systemwide </w:t>
      </w:r>
      <w:r w:rsidRPr="00033A27" w:rsidR="0089705D">
        <w:t>Water</w:t>
      </w:r>
      <w:r w:rsidRPr="00033A27" w:rsidR="006C5E72">
        <w:t xml:space="preserve"> Outage</w:t>
      </w:r>
      <w:r w:rsidRPr="00033A27" w:rsidR="0089705D">
        <w:t xml:space="preserve"> and Havasu </w:t>
      </w:r>
      <w:r w:rsidRPr="00033A27" w:rsidR="00174756">
        <w:t>was Unable or Unwilling to Adequately Serve its Customers</w:t>
      </w:r>
      <w:bookmarkEnd w:id="26"/>
      <w:r w:rsidRPr="00033A27" w:rsidR="006C5E72">
        <w:t xml:space="preserve"> </w:t>
      </w:r>
    </w:p>
    <w:p w:rsidRPr="003372BC" w:rsidR="003C1F07" w:rsidP="003372BC" w:rsidRDefault="003C1F07" w14:paraId="75731D73" w14:textId="704679BF">
      <w:pPr>
        <w:pStyle w:val="Heading4"/>
      </w:pPr>
      <w:bookmarkStart w:name="_Toc221259543" w:id="27"/>
      <w:r w:rsidRPr="003372BC">
        <w:t>Back</w:t>
      </w:r>
      <w:r w:rsidRPr="003372BC" w:rsidR="00293FC0">
        <w:t>up Generators</w:t>
      </w:r>
      <w:bookmarkEnd w:id="27"/>
    </w:p>
    <w:p w:rsidR="00825A29" w:rsidP="000D39FC" w:rsidRDefault="003C1F07" w14:paraId="50813AB4" w14:textId="571609C2">
      <w:pPr>
        <w:pStyle w:val="Standard"/>
      </w:pPr>
      <w:r>
        <w:t xml:space="preserve">CPED alleges that during the period of March 21, </w:t>
      </w:r>
      <w:proofErr w:type="gramStart"/>
      <w:r>
        <w:t>2022</w:t>
      </w:r>
      <w:proofErr w:type="gramEnd"/>
      <w:r>
        <w:t xml:space="preserve"> through March 29, 2022, Havasu violated GO 103A</w:t>
      </w:r>
      <w:r w:rsidR="00220381">
        <w:t xml:space="preserve"> (III)</w:t>
      </w:r>
      <w:r>
        <w:t>(8)(</w:t>
      </w:r>
      <w:r w:rsidR="00AB6F5A">
        <w:t>B</w:t>
      </w:r>
      <w:r w:rsidR="00A166DC">
        <w:t>)</w:t>
      </w:r>
      <w:r>
        <w:t xml:space="preserve"> when its backup generator was inoperable </w:t>
      </w:r>
      <w:r w:rsidR="0038514F">
        <w:t>during a</w:t>
      </w:r>
      <w:r>
        <w:t xml:space="preserve"> power outage.</w:t>
      </w:r>
      <w:r>
        <w:rPr>
          <w:rStyle w:val="FootnoteReference"/>
        </w:rPr>
        <w:footnoteReference w:id="72"/>
      </w:r>
      <w:r>
        <w:t xml:space="preserve">  </w:t>
      </w:r>
    </w:p>
    <w:p w:rsidR="00295E2C" w:rsidP="00295E2C" w:rsidRDefault="00295E2C" w14:paraId="0B21E19A" w14:textId="542A7AD6">
      <w:pPr>
        <w:pStyle w:val="Standard"/>
      </w:pPr>
      <w:r>
        <w:t>GO 103A</w:t>
      </w:r>
      <w:r w:rsidR="001A1A9A">
        <w:t xml:space="preserve"> (III)</w:t>
      </w:r>
      <w:r>
        <w:t>(8)(</w:t>
      </w:r>
      <w:r w:rsidR="004B2914">
        <w:t>B</w:t>
      </w:r>
      <w:r>
        <w:t>) Reliability of Water Facilities states that:</w:t>
      </w:r>
    </w:p>
    <w:p w:rsidR="00630013" w:rsidP="00F83449" w:rsidRDefault="00295E2C" w14:paraId="1C75834B" w14:textId="0493CCAE">
      <w:pPr>
        <w:pStyle w:val="Standard"/>
        <w:spacing w:after="120" w:line="240" w:lineRule="auto"/>
        <w:ind w:left="720" w:firstLine="0"/>
      </w:pPr>
      <w:r w:rsidRPr="0065176C">
        <w:lastRenderedPageBreak/>
        <w:t>All other critical equipment not addressed above shall have adequate redundancy and reliability, including fixed or portable backup power, incorporated as determined by the utility and approved by the Commission to meet the requirements of this General Order.</w:t>
      </w:r>
    </w:p>
    <w:p w:rsidR="00825A29" w:rsidP="00630013" w:rsidRDefault="00825A29" w14:paraId="494B28F0" w14:textId="10D622C0">
      <w:pPr>
        <w:pStyle w:val="Standard"/>
      </w:pPr>
      <w:r>
        <w:t>On March 22, 2022, DDW conducted a sanitary survey of Havasu and found the system in a state of extreme disrepair and observed several potential cross connection hazards.</w:t>
      </w:r>
      <w:r>
        <w:rPr>
          <w:rStyle w:val="FootnoteReference"/>
        </w:rPr>
        <w:footnoteReference w:id="73"/>
      </w:r>
    </w:p>
    <w:p w:rsidR="00825A29" w:rsidP="00825A29" w:rsidRDefault="00825A29" w14:paraId="636E6DB4" w14:textId="700E0C59">
      <w:pPr>
        <w:pStyle w:val="Standard"/>
      </w:pPr>
      <w:r>
        <w:t xml:space="preserve">At the hearing, Havasu claimed that it had a new </w:t>
      </w:r>
      <w:r w:rsidR="00FA0299">
        <w:t>backup</w:t>
      </w:r>
      <w:r>
        <w:t xml:space="preserve"> generator but did not provide any testimon</w:t>
      </w:r>
      <w:r w:rsidR="00B5270E">
        <w:t>y</w:t>
      </w:r>
      <w:r>
        <w:t xml:space="preserve"> or evidence to support this contention.</w:t>
      </w:r>
      <w:r w:rsidR="00300943">
        <w:rPr>
          <w:rStyle w:val="FootnoteReference"/>
        </w:rPr>
        <w:footnoteReference w:id="74"/>
      </w:r>
    </w:p>
    <w:p w:rsidRPr="0010505D" w:rsidR="0010505D" w:rsidP="0010505D" w:rsidRDefault="0010505D" w14:paraId="1FF68B2D" w14:textId="0794ECA4">
      <w:pPr>
        <w:pStyle w:val="Standard"/>
      </w:pPr>
      <w:r w:rsidRPr="0010505D">
        <w:t xml:space="preserve">The evidence establishes that </w:t>
      </w:r>
      <w:r w:rsidR="00737C1E">
        <w:t xml:space="preserve">on March 21, </w:t>
      </w:r>
      <w:proofErr w:type="gramStart"/>
      <w:r w:rsidR="00737C1E">
        <w:t>2022</w:t>
      </w:r>
      <w:proofErr w:type="gramEnd"/>
      <w:r w:rsidR="00737C1E">
        <w:t xml:space="preserve"> through March 29, 2022, </w:t>
      </w:r>
      <w:r w:rsidRPr="0010505D">
        <w:t xml:space="preserve">the water outage experienced by Havasu was exacerbated by the failure of its backup generator to operate properly during the power outage. </w:t>
      </w:r>
      <w:r>
        <w:t xml:space="preserve"> </w:t>
      </w:r>
      <w:r w:rsidRPr="0010505D">
        <w:t xml:space="preserve">Havasu </w:t>
      </w:r>
      <w:proofErr w:type="gramStart"/>
      <w:r w:rsidRPr="0010505D">
        <w:t>bears</w:t>
      </w:r>
      <w:proofErr w:type="gramEnd"/>
      <w:r w:rsidRPr="0010505D">
        <w:t xml:space="preserve"> the responsibility to maintain an adequate, redundant and reliable backup generator to ensure the continuity of water service in the event of a primary power failure.</w:t>
      </w:r>
    </w:p>
    <w:p w:rsidR="0010505D" w:rsidP="00A03E28" w:rsidRDefault="004401C5" w14:paraId="3188FC4B" w14:textId="1C1E762D">
      <w:pPr>
        <w:pStyle w:val="Standard"/>
      </w:pPr>
      <w:r w:rsidRPr="00225523">
        <w:t xml:space="preserve">Havasu failed to </w:t>
      </w:r>
      <w:r w:rsidR="000F3CE5">
        <w:t>offer</w:t>
      </w:r>
      <w:r w:rsidRPr="00225523">
        <w:t xml:space="preserve"> any evidence or testimony in </w:t>
      </w:r>
      <w:r>
        <w:t>defense of its position</w:t>
      </w:r>
      <w:r w:rsidR="00737C1E">
        <w:t xml:space="preserve"> that it installed a new backup generator</w:t>
      </w:r>
      <w:r w:rsidR="0096510B">
        <w:t xml:space="preserve"> at its facility</w:t>
      </w:r>
      <w:r>
        <w:t xml:space="preserve">.  </w:t>
      </w:r>
      <w:r w:rsidR="00C32D40">
        <w:t>As such, it is determined that b</w:t>
      </w:r>
      <w:r w:rsidRPr="0010505D" w:rsidR="0010505D">
        <w:t xml:space="preserve">y failing to provide </w:t>
      </w:r>
      <w:r w:rsidRPr="00EB408F" w:rsidR="00EB408F">
        <w:t xml:space="preserve">adequate, redundant and reliable backup generator </w:t>
      </w:r>
      <w:r w:rsidR="00C4476B">
        <w:t>capacity</w:t>
      </w:r>
      <w:r w:rsidRPr="0010505D" w:rsidR="0010505D">
        <w:t>, Havasu violated Pub</w:t>
      </w:r>
      <w:r w:rsidR="00A03E28">
        <w:t>.</w:t>
      </w:r>
      <w:r w:rsidRPr="0010505D" w:rsidR="0010505D">
        <w:t xml:space="preserve"> Util</w:t>
      </w:r>
      <w:r w:rsidR="00A03E28">
        <w:t>.</w:t>
      </w:r>
      <w:r w:rsidRPr="0010505D" w:rsidR="0010505D">
        <w:t xml:space="preserve"> Code § 451, which requires public utilities to furnish and maintain adequate, efficient, just and reasonable service and </w:t>
      </w:r>
      <w:r w:rsidR="001A182C">
        <w:t>GO</w:t>
      </w:r>
      <w:r w:rsidRPr="0010505D" w:rsidR="0010505D">
        <w:t xml:space="preserve"> 103</w:t>
      </w:r>
      <w:r w:rsidR="00A03E28">
        <w:t>-</w:t>
      </w:r>
      <w:r w:rsidRPr="0010505D" w:rsidR="0010505D">
        <w:t>A</w:t>
      </w:r>
      <w:r w:rsidR="00A03E28">
        <w:t xml:space="preserve"> (I</w:t>
      </w:r>
      <w:r w:rsidR="00AB6F5A">
        <w:t>I</w:t>
      </w:r>
      <w:r w:rsidR="00A03E28">
        <w:t>I)</w:t>
      </w:r>
      <w:r w:rsidRPr="0010505D" w:rsidR="0010505D">
        <w:t>(8)(</w:t>
      </w:r>
      <w:r w:rsidR="004B2914">
        <w:t>B</w:t>
      </w:r>
      <w:r w:rsidRPr="0010505D" w:rsidR="0010505D">
        <w:t>), which mandates the provision of reliable backup facilities.</w:t>
      </w:r>
    </w:p>
    <w:p w:rsidRPr="00825A29" w:rsidR="00825A29" w:rsidP="003372BC" w:rsidRDefault="002408D3" w14:paraId="03EECD93" w14:textId="1CECF7D5">
      <w:pPr>
        <w:pStyle w:val="Heading4"/>
      </w:pPr>
      <w:bookmarkStart w:name="_Toc221259544" w:id="28"/>
      <w:r>
        <w:t>Alternative Source of Water</w:t>
      </w:r>
      <w:bookmarkEnd w:id="28"/>
    </w:p>
    <w:p w:rsidR="00C0762E" w:rsidP="00630013" w:rsidRDefault="00BE41C4" w14:paraId="1EDF4C88" w14:textId="0270E9A8">
      <w:pPr>
        <w:pStyle w:val="Standard"/>
      </w:pPr>
      <w:r>
        <w:t xml:space="preserve">CPED alleges that during the period of March 21, </w:t>
      </w:r>
      <w:proofErr w:type="gramStart"/>
      <w:r>
        <w:t>2022</w:t>
      </w:r>
      <w:proofErr w:type="gramEnd"/>
      <w:r>
        <w:t xml:space="preserve"> through March 29, 2022, Havasu violated GO 103A</w:t>
      </w:r>
      <w:r w:rsidR="00AD6203">
        <w:t xml:space="preserve"> (II)</w:t>
      </w:r>
      <w:r>
        <w:t xml:space="preserve">(3)(A)(1) when it failed to provide </w:t>
      </w:r>
      <w:r w:rsidR="00EC7824">
        <w:t xml:space="preserve">an </w:t>
      </w:r>
      <w:r>
        <w:t xml:space="preserve">alternate source of water to its customers.  </w:t>
      </w:r>
    </w:p>
    <w:p w:rsidR="00C0762E" w:rsidP="00C0762E" w:rsidRDefault="00C0762E" w14:paraId="0F781D21" w14:textId="6EFC0697">
      <w:pPr>
        <w:pStyle w:val="Standard"/>
      </w:pPr>
      <w:r>
        <w:lastRenderedPageBreak/>
        <w:t>GO 103A</w:t>
      </w:r>
      <w:r w:rsidR="001A1A9A">
        <w:t xml:space="preserve"> (II)</w:t>
      </w:r>
      <w:r>
        <w:t>(3)(A)(1) states that:</w:t>
      </w:r>
    </w:p>
    <w:p w:rsidRPr="00FF28D5" w:rsidR="00630013" w:rsidP="004A4E5D" w:rsidRDefault="00C0762E" w14:paraId="4D5BE996" w14:textId="0BDF9BD5">
      <w:pPr>
        <w:pStyle w:val="Standard"/>
        <w:spacing w:after="120" w:line="240" w:lineRule="auto"/>
        <w:ind w:left="720" w:firstLine="0"/>
      </w:pPr>
      <w:r>
        <w:t xml:space="preserve">Each utility shall make all reasonable efforts to prevent interruptions to service and when such interruptions occur, shall reestablish service with the shortest possible delay consistent with the safety of its customers, its employees, and the </w:t>
      </w:r>
      <w:proofErr w:type="gramStart"/>
      <w:r>
        <w:t>general public</w:t>
      </w:r>
      <w:proofErr w:type="gramEnd"/>
      <w:r>
        <w:t>.</w:t>
      </w:r>
    </w:p>
    <w:p w:rsidR="0088760C" w:rsidP="0088760C" w:rsidRDefault="0088760C" w14:paraId="16530723" w14:textId="77777777">
      <w:pPr>
        <w:pStyle w:val="Standard"/>
      </w:pPr>
      <w:r>
        <w:t>According to DDW Compliance Order, Havasu was instructed to obtain an alternate source of water for its customers, whether it be water haulers or bottled water.</w:t>
      </w:r>
      <w:r>
        <w:rPr>
          <w:rStyle w:val="FootnoteReference"/>
        </w:rPr>
        <w:footnoteReference w:id="75"/>
      </w:r>
      <w:r>
        <w:t xml:space="preserve">  Havasu informed the DDW that it did not have the finances to afford hauled water even if reimbursement was an option.</w:t>
      </w:r>
      <w:r>
        <w:rPr>
          <w:rStyle w:val="FootnoteReference"/>
        </w:rPr>
        <w:footnoteReference w:id="76"/>
      </w:r>
      <w:r>
        <w:t xml:space="preserve">  </w:t>
      </w:r>
    </w:p>
    <w:p w:rsidR="0088760C" w:rsidP="009239D6" w:rsidRDefault="0088760C" w14:paraId="2698B5B5" w14:textId="1EBA8FCB">
      <w:pPr>
        <w:pStyle w:val="Standard"/>
      </w:pPr>
      <w:r>
        <w:t>On March 24, 2022, bottled water was provided to Havasu customers by the San Bernardino County Office of Emergency Services.</w:t>
      </w:r>
      <w:r>
        <w:rPr>
          <w:rStyle w:val="FootnoteReference"/>
        </w:rPr>
        <w:footnoteReference w:id="77"/>
      </w:r>
      <w:r>
        <w:t xml:space="preserve">  </w:t>
      </w:r>
    </w:p>
    <w:p w:rsidRPr="00376FFB" w:rsidR="0088760C" w:rsidP="004C6B69" w:rsidRDefault="008E1434" w14:paraId="4B7FAE14" w14:textId="34F6721A">
      <w:pPr>
        <w:pStyle w:val="Standard"/>
      </w:pPr>
      <w:r w:rsidRPr="00225523">
        <w:t xml:space="preserve">Havasu failed to </w:t>
      </w:r>
      <w:r w:rsidR="000F3CE5">
        <w:t>offer</w:t>
      </w:r>
      <w:r w:rsidRPr="00225523">
        <w:t xml:space="preserve"> any evidence or testimony in </w:t>
      </w:r>
      <w:r>
        <w:t>defense of its position</w:t>
      </w:r>
      <w:r w:rsidR="0096510B">
        <w:t xml:space="preserve"> that </w:t>
      </w:r>
      <w:r w:rsidR="001E2762">
        <w:t xml:space="preserve">between March 21, </w:t>
      </w:r>
      <w:proofErr w:type="gramStart"/>
      <w:r w:rsidR="001E2762">
        <w:t>2022</w:t>
      </w:r>
      <w:proofErr w:type="gramEnd"/>
      <w:r w:rsidR="001E2762">
        <w:t xml:space="preserve"> through March 29, 2022, </w:t>
      </w:r>
      <w:r w:rsidR="0096510B">
        <w:t>it provided an alternate source of water to its customers</w:t>
      </w:r>
      <w:r>
        <w:t xml:space="preserve">.  </w:t>
      </w:r>
      <w:r w:rsidR="0088760C">
        <w:t>As such, it is determined that Havasu violated GO 103</w:t>
      </w:r>
      <w:r w:rsidR="004C6B69">
        <w:t>-</w:t>
      </w:r>
      <w:r w:rsidR="0088760C">
        <w:t>A</w:t>
      </w:r>
      <w:r w:rsidR="004C6B69">
        <w:t xml:space="preserve"> (II)</w:t>
      </w:r>
      <w:r w:rsidR="0088760C">
        <w:t xml:space="preserve">(3)(A)(1) when it failed to provide its </w:t>
      </w:r>
      <w:proofErr w:type="gramStart"/>
      <w:r w:rsidR="0088760C">
        <w:t>customers</w:t>
      </w:r>
      <w:proofErr w:type="gramEnd"/>
      <w:r w:rsidR="0088760C">
        <w:t xml:space="preserve"> an alternate source of water during the water outage.</w:t>
      </w:r>
    </w:p>
    <w:p w:rsidR="00455B38" w:rsidP="003372BC" w:rsidRDefault="0088760C" w14:paraId="2E5D5516" w14:textId="7DEAD3DD">
      <w:pPr>
        <w:pStyle w:val="Heading4"/>
      </w:pPr>
      <w:bookmarkStart w:name="_Toc221259545" w:id="29"/>
      <w:r>
        <w:t xml:space="preserve">Providing Notice to </w:t>
      </w:r>
      <w:r w:rsidR="007E5900">
        <w:t>the Commission</w:t>
      </w:r>
      <w:bookmarkEnd w:id="29"/>
    </w:p>
    <w:p w:rsidR="00166B1C" w:rsidP="00166B1C" w:rsidRDefault="00166B1C" w14:paraId="771386A9" w14:textId="2E187782">
      <w:pPr>
        <w:pStyle w:val="Standard"/>
      </w:pPr>
      <w:r>
        <w:t>CPED alleges that Havasu violated GO 103A</w:t>
      </w:r>
      <w:r w:rsidR="00BA4462">
        <w:t xml:space="preserve"> (II)</w:t>
      </w:r>
      <w:r>
        <w:t>(2)(A)(3) when it failed to notify the CPUC when it experience</w:t>
      </w:r>
      <w:r w:rsidR="00443CA5">
        <w:t>d</w:t>
      </w:r>
      <w:r>
        <w:t xml:space="preserve"> a water outage on March 21, </w:t>
      </w:r>
      <w:proofErr w:type="gramStart"/>
      <w:r>
        <w:t>2022</w:t>
      </w:r>
      <w:proofErr w:type="gramEnd"/>
      <w:r>
        <w:t xml:space="preserve"> through </w:t>
      </w:r>
      <w:r w:rsidRPr="00166B1C">
        <w:t>March 2</w:t>
      </w:r>
      <w:r w:rsidR="003E72B0">
        <w:t>9</w:t>
      </w:r>
      <w:r w:rsidRPr="00166B1C">
        <w:t>, 2022.</w:t>
      </w:r>
    </w:p>
    <w:p w:rsidR="00DF6B6C" w:rsidP="00DF6B6C" w:rsidRDefault="00DF6B6C" w14:paraId="32F2F8A9" w14:textId="697EE395">
      <w:pPr>
        <w:pStyle w:val="Standard"/>
      </w:pPr>
      <w:r>
        <w:t>GO 103A</w:t>
      </w:r>
      <w:r w:rsidR="001A1A9A">
        <w:t xml:space="preserve"> (II)</w:t>
      </w:r>
      <w:r>
        <w:t>(2)(A)(3) states that:</w:t>
      </w:r>
    </w:p>
    <w:p w:rsidR="004D6F36" w:rsidP="0085702E" w:rsidRDefault="00DF6B6C" w14:paraId="69544475" w14:textId="53CE3958">
      <w:pPr>
        <w:pStyle w:val="Standard"/>
        <w:spacing w:after="120" w:line="240" w:lineRule="auto"/>
        <w:ind w:left="720" w:firstLine="0"/>
      </w:pPr>
      <w:r w:rsidRPr="001866D2">
        <w:t xml:space="preserve">If the Department or US EPA finds a utility to be out of compliance with the water quality regulations specified in section II.2.A(2), the utility shall promptly notify the Commission, by telephone or e-mail, with confirmation in writing. </w:t>
      </w:r>
      <w:r>
        <w:t xml:space="preserve"> </w:t>
      </w:r>
      <w:r w:rsidRPr="001866D2">
        <w:t xml:space="preserve">Any report submitted to the Department or US </w:t>
      </w:r>
      <w:r w:rsidRPr="001866D2">
        <w:lastRenderedPageBreak/>
        <w:t>EPA in such circumstances shall be submitted concurrently to the Commission.</w:t>
      </w:r>
    </w:p>
    <w:p w:rsidR="004D6F36" w:rsidP="004D6F36" w:rsidRDefault="004D6F36" w14:paraId="38FF3F8A" w14:textId="78EC5392">
      <w:pPr>
        <w:pStyle w:val="Standard"/>
      </w:pPr>
      <w:r>
        <w:t>The evidence establishes that on March 23, 2022, DDW contacted WD by email and notified WD that Havasu was experiencing a water outage.</w:t>
      </w:r>
      <w:r>
        <w:rPr>
          <w:rStyle w:val="FootnoteReference"/>
        </w:rPr>
        <w:footnoteReference w:id="78"/>
      </w:r>
      <w:r>
        <w:t xml:space="preserve">  </w:t>
      </w:r>
      <w:r w:rsidR="003B3904">
        <w:t xml:space="preserve">According to WD, it was never notified of the water outage by </w:t>
      </w:r>
      <w:r w:rsidR="000C4525">
        <w:t>Havasu.</w:t>
      </w:r>
      <w:r w:rsidR="000C4525">
        <w:rPr>
          <w:rStyle w:val="FootnoteReference"/>
        </w:rPr>
        <w:footnoteReference w:id="79"/>
      </w:r>
    </w:p>
    <w:p w:rsidR="007E5900" w:rsidP="008B6CD5" w:rsidRDefault="004D6F36" w14:paraId="7D77E730" w14:textId="7BAD7B02">
      <w:pPr>
        <w:pStyle w:val="Standard"/>
        <w:ind w:firstLine="0"/>
      </w:pPr>
      <w:r>
        <w:t xml:space="preserve">  </w:t>
      </w:r>
      <w:r>
        <w:tab/>
      </w:r>
      <w:r w:rsidRPr="00225523" w:rsidR="008B6CD5">
        <w:t xml:space="preserve">Havasu failed to </w:t>
      </w:r>
      <w:r w:rsidR="000F3CE5">
        <w:t>offer</w:t>
      </w:r>
      <w:r w:rsidRPr="00225523" w:rsidR="008B6CD5">
        <w:t xml:space="preserve"> any evidence or testimony in </w:t>
      </w:r>
      <w:r w:rsidRPr="008B6CD5" w:rsidR="008B6CD5">
        <w:t>defense of its position</w:t>
      </w:r>
      <w:r w:rsidR="0096510B">
        <w:t xml:space="preserve"> that it provided notice </w:t>
      </w:r>
      <w:r w:rsidR="001C3A26">
        <w:t xml:space="preserve">to the Commission of the water outage it experienced on March 21, </w:t>
      </w:r>
      <w:proofErr w:type="gramStart"/>
      <w:r w:rsidR="001C3A26">
        <w:t>2022</w:t>
      </w:r>
      <w:proofErr w:type="gramEnd"/>
      <w:r w:rsidR="001C3A26">
        <w:t xml:space="preserve"> through March 29, 2022</w:t>
      </w:r>
      <w:r w:rsidRPr="008B6CD5" w:rsidR="008B6CD5">
        <w:t xml:space="preserve">.  </w:t>
      </w:r>
      <w:r>
        <w:t>As such, it is determined that Havasu violated GO</w:t>
      </w:r>
      <w:r w:rsidR="00600ADC">
        <w:t xml:space="preserve"> </w:t>
      </w:r>
      <w:r>
        <w:t>103A</w:t>
      </w:r>
      <w:r w:rsidR="00AA14DD">
        <w:t xml:space="preserve"> (II)</w:t>
      </w:r>
      <w:r>
        <w:t>(2)(A)(3) when it failed to notify the W</w:t>
      </w:r>
      <w:r w:rsidR="000C4525">
        <w:t>D</w:t>
      </w:r>
      <w:r>
        <w:t xml:space="preserve"> of the water outage that occurred between March 21, </w:t>
      </w:r>
      <w:proofErr w:type="gramStart"/>
      <w:r>
        <w:t>2022</w:t>
      </w:r>
      <w:proofErr w:type="gramEnd"/>
      <w:r>
        <w:t xml:space="preserve"> through March 2</w:t>
      </w:r>
      <w:r w:rsidR="003E72B0">
        <w:t>9</w:t>
      </w:r>
      <w:r>
        <w:t>, 2022.</w:t>
      </w:r>
    </w:p>
    <w:p w:rsidR="001731B0" w:rsidP="003372BC" w:rsidRDefault="001731B0" w14:paraId="47EC1172" w14:textId="77777777">
      <w:pPr>
        <w:pStyle w:val="Heading4"/>
      </w:pPr>
      <w:bookmarkStart w:name="_Toc221259546" w:id="30"/>
      <w:r>
        <w:t>Certified Operators</w:t>
      </w:r>
      <w:bookmarkEnd w:id="30"/>
    </w:p>
    <w:p w:rsidR="00C32DB9" w:rsidP="006443FA" w:rsidRDefault="0073480F" w14:paraId="3F6166B9" w14:textId="5ADBFC05">
      <w:pPr>
        <w:pStyle w:val="Standard"/>
      </w:pPr>
      <w:r>
        <w:t xml:space="preserve">CPED alleges that from March 21, </w:t>
      </w:r>
      <w:proofErr w:type="gramStart"/>
      <w:r>
        <w:t>2022</w:t>
      </w:r>
      <w:proofErr w:type="gramEnd"/>
      <w:r>
        <w:t xml:space="preserve"> through March 2</w:t>
      </w:r>
      <w:r w:rsidR="003E72B0">
        <w:t>9</w:t>
      </w:r>
      <w:r>
        <w:t xml:space="preserve">, 2022, Havasu </w:t>
      </w:r>
      <w:r w:rsidR="0069178B">
        <w:t xml:space="preserve">violated </w:t>
      </w:r>
      <w:r w:rsidR="00AC225E">
        <w:t xml:space="preserve">California Code of Regulation (CCR), Title 22, section </w:t>
      </w:r>
      <w:r w:rsidR="00FA124D">
        <w:t>64413.5 when it failed to have certified operators at its facility</w:t>
      </w:r>
      <w:r w:rsidR="00C32DB9">
        <w:t>.</w:t>
      </w:r>
      <w:r w:rsidRPr="006443FA" w:rsidR="006443FA">
        <w:rPr>
          <w:rStyle w:val="FootnoteReference"/>
        </w:rPr>
        <w:t xml:space="preserve"> </w:t>
      </w:r>
      <w:r w:rsidR="006443FA">
        <w:rPr>
          <w:rStyle w:val="FootnoteReference"/>
        </w:rPr>
        <w:footnoteReference w:id="80"/>
      </w:r>
    </w:p>
    <w:p w:rsidR="00C32DB9" w:rsidP="001731B0" w:rsidRDefault="00C32DB9" w14:paraId="466D63A0" w14:textId="3460AE7B">
      <w:pPr>
        <w:pStyle w:val="Standard"/>
      </w:pPr>
      <w:r>
        <w:t>CCR</w:t>
      </w:r>
      <w:r w:rsidR="007832D9">
        <w:t>, Title 22, section 64413.5 states that:</w:t>
      </w:r>
    </w:p>
    <w:p w:rsidRPr="007832D9" w:rsidR="007832D9" w:rsidP="00693ABF" w:rsidRDefault="007832D9" w14:paraId="5E1579B9" w14:textId="2DF2FEE3">
      <w:pPr>
        <w:pStyle w:val="Standard"/>
        <w:numPr>
          <w:ilvl w:val="1"/>
          <w:numId w:val="33"/>
        </w:numPr>
        <w:spacing w:after="120" w:line="240" w:lineRule="auto"/>
        <w:ind w:left="1080" w:right="1440"/>
      </w:pPr>
      <w:r w:rsidRPr="007832D9">
        <w:t>Each water supplier shall designate at least one chief operator that meets the requirements specified in section 63765 for each water treatment facility utilized by the water system.</w:t>
      </w:r>
    </w:p>
    <w:p w:rsidRPr="007832D9" w:rsidR="007832D9" w:rsidP="00693ABF" w:rsidRDefault="007832D9" w14:paraId="78EB97DA" w14:textId="5CED16C3">
      <w:pPr>
        <w:pStyle w:val="Standard"/>
        <w:numPr>
          <w:ilvl w:val="1"/>
          <w:numId w:val="33"/>
        </w:numPr>
        <w:spacing w:after="120" w:line="240" w:lineRule="auto"/>
        <w:ind w:left="1080" w:right="1440"/>
      </w:pPr>
      <w:r w:rsidRPr="007832D9">
        <w:t>Each water supplier shall designate at least one shift operator that meets the requirements specified in section 63765 for each water treatment facility utilized by the water system for each operating shift.</w:t>
      </w:r>
    </w:p>
    <w:p w:rsidRPr="007832D9" w:rsidR="007832D9" w:rsidP="00693ABF" w:rsidRDefault="007832D9" w14:paraId="012D8ABF" w14:textId="0E8F1481">
      <w:pPr>
        <w:pStyle w:val="Standard"/>
        <w:numPr>
          <w:ilvl w:val="1"/>
          <w:numId w:val="33"/>
        </w:numPr>
        <w:spacing w:after="120" w:line="240" w:lineRule="auto"/>
        <w:ind w:left="1080" w:right="1440"/>
      </w:pPr>
      <w:r w:rsidRPr="007832D9">
        <w:t xml:space="preserve">Except as provided in (d), a chief operator or shift operator shall </w:t>
      </w:r>
      <w:proofErr w:type="gramStart"/>
      <w:r w:rsidRPr="007832D9">
        <w:t>be on-site at all times</w:t>
      </w:r>
      <w:proofErr w:type="gramEnd"/>
      <w:r w:rsidRPr="007832D9">
        <w:t xml:space="preserve"> that the facility is operating.</w:t>
      </w:r>
    </w:p>
    <w:p w:rsidR="006443FA" w:rsidP="00693ABF" w:rsidRDefault="007832D9" w14:paraId="2EC71DBB" w14:textId="22124E4A">
      <w:pPr>
        <w:pStyle w:val="Standard"/>
        <w:numPr>
          <w:ilvl w:val="1"/>
          <w:numId w:val="33"/>
        </w:numPr>
        <w:spacing w:after="120" w:line="240" w:lineRule="auto"/>
        <w:ind w:left="1080" w:right="1440"/>
      </w:pPr>
      <w:r w:rsidRPr="007832D9">
        <w:lastRenderedPageBreak/>
        <w:t>If the water supplier's operations plan, submitted and approved pursuant to section 64661, demonstrates an equal degree of operational oversight and reliability with either unmanned operation or operation under reduced operator certification requirements, the chief operator or shift operator is not required to be on-site, but shall be able to be contacted within one hour.</w:t>
      </w:r>
    </w:p>
    <w:p w:rsidR="001731B0" w:rsidP="001731B0" w:rsidRDefault="001731B0" w14:paraId="5403B60E" w14:textId="79292EE0">
      <w:pPr>
        <w:pStyle w:val="Standard"/>
      </w:pPr>
      <w:r>
        <w:t>As evidence, CPED cited a DDW Compliance Order which indicated that Louie Richhart, an uncertified operator was running the Havasu system</w:t>
      </w:r>
      <w:r w:rsidR="0010480F">
        <w:t xml:space="preserve"> on March 21, 2025</w:t>
      </w:r>
      <w:r>
        <w:t>.</w:t>
      </w:r>
      <w:r>
        <w:rPr>
          <w:rStyle w:val="FootnoteReference"/>
        </w:rPr>
        <w:footnoteReference w:id="81"/>
      </w:r>
      <w:r>
        <w:t xml:space="preserve">  According to the DDW Compliance Order, Richhart refused to continue to work for Havasu after the water outage.</w:t>
      </w:r>
      <w:r>
        <w:rPr>
          <w:rStyle w:val="FootnoteReference"/>
        </w:rPr>
        <w:footnoteReference w:id="82"/>
      </w:r>
      <w:r>
        <w:t xml:space="preserve">  Havasu’s previous certified operators resigned on December 31, 2021 and March 4, 2022, respectively.</w:t>
      </w:r>
      <w:r>
        <w:rPr>
          <w:rStyle w:val="FootnoteReference"/>
        </w:rPr>
        <w:footnoteReference w:id="83"/>
      </w:r>
      <w:r>
        <w:t xml:space="preserve">  </w:t>
      </w:r>
      <w:r w:rsidR="0010480F">
        <w:t xml:space="preserve">CPED claims that Havasu has been operating without certified </w:t>
      </w:r>
      <w:r w:rsidR="00221780">
        <w:t>operators since March 4, 2022.</w:t>
      </w:r>
      <w:r w:rsidR="00221780">
        <w:rPr>
          <w:rStyle w:val="FootnoteReference"/>
        </w:rPr>
        <w:footnoteReference w:id="84"/>
      </w:r>
    </w:p>
    <w:p w:rsidR="001731B0" w:rsidP="001731B0" w:rsidRDefault="001731B0" w14:paraId="2D6C198B" w14:textId="77777777">
      <w:pPr>
        <w:pStyle w:val="Standard"/>
      </w:pPr>
      <w:r>
        <w:t>According to the DDW, Havasu was cited for failing to demonstrate that it hired certified operators and for failing to submit a corrective action plan and weekly monitoring reports as required.</w:t>
      </w:r>
      <w:r>
        <w:rPr>
          <w:rStyle w:val="FootnoteReference"/>
        </w:rPr>
        <w:footnoteReference w:id="85"/>
      </w:r>
      <w:r>
        <w:t xml:space="preserve">  As a result, Havasu was assessed a penalty of $3,000 which remains unpaid.</w:t>
      </w:r>
      <w:r>
        <w:rPr>
          <w:rStyle w:val="FootnoteReference"/>
        </w:rPr>
        <w:footnoteReference w:id="86"/>
      </w:r>
    </w:p>
    <w:p w:rsidR="00325B39" w:rsidP="00AB2C94" w:rsidRDefault="001731B0" w14:paraId="666B8FBE" w14:textId="3857C6C8">
      <w:pPr>
        <w:pStyle w:val="Standard"/>
      </w:pPr>
      <w:r>
        <w:t xml:space="preserve">The evidence establishes that certified operators are required to run Havasu water system and that during the period of March </w:t>
      </w:r>
      <w:r w:rsidR="00E61BFC">
        <w:t>5</w:t>
      </w:r>
      <w:r>
        <w:t xml:space="preserve">, </w:t>
      </w:r>
      <w:proofErr w:type="gramStart"/>
      <w:r>
        <w:t>2022</w:t>
      </w:r>
      <w:proofErr w:type="gramEnd"/>
      <w:r>
        <w:t xml:space="preserve"> through March </w:t>
      </w:r>
      <w:r w:rsidR="00E61BFC">
        <w:t>2</w:t>
      </w:r>
      <w:r w:rsidR="003E72B0">
        <w:t>9</w:t>
      </w:r>
      <w:r>
        <w:t xml:space="preserve">, 2022, Havasu did not have any certified operators.  </w:t>
      </w:r>
    </w:p>
    <w:p w:rsidR="001731B0" w:rsidP="00AB2C94" w:rsidRDefault="00325B39" w14:paraId="295A5CF8" w14:textId="1682D5E0">
      <w:pPr>
        <w:pStyle w:val="Standard"/>
      </w:pPr>
      <w:r w:rsidRPr="00033A27">
        <w:lastRenderedPageBreak/>
        <w:t xml:space="preserve">Havasu failed to </w:t>
      </w:r>
      <w:r w:rsidRPr="00033A27" w:rsidR="000F3CE5">
        <w:t>offer</w:t>
      </w:r>
      <w:r w:rsidRPr="00033A27">
        <w:t xml:space="preserve"> any evidence or testimony in defense of its position</w:t>
      </w:r>
      <w:r w:rsidRPr="00033A27" w:rsidR="001C3A26">
        <w:t xml:space="preserve"> that it had the </w:t>
      </w:r>
      <w:r w:rsidRPr="00033A27" w:rsidR="00FA7936">
        <w:t xml:space="preserve">required </w:t>
      </w:r>
      <w:r w:rsidRPr="00033A27" w:rsidR="00A56F06">
        <w:t>number</w:t>
      </w:r>
      <w:r w:rsidRPr="00033A27" w:rsidR="00FA7936">
        <w:t xml:space="preserve"> of certified operators at its facility</w:t>
      </w:r>
      <w:r w:rsidRPr="00033A27" w:rsidR="004C6122">
        <w:t xml:space="preserve"> </w:t>
      </w:r>
      <w:r w:rsidRPr="00033A27" w:rsidR="00C3063E">
        <w:t xml:space="preserve">during the period of March </w:t>
      </w:r>
      <w:r w:rsidRPr="00033A27" w:rsidR="005B0BC1">
        <w:t>21</w:t>
      </w:r>
      <w:r w:rsidRPr="00033A27" w:rsidR="00C3063E">
        <w:t xml:space="preserve">, </w:t>
      </w:r>
      <w:proofErr w:type="gramStart"/>
      <w:r w:rsidRPr="00033A27" w:rsidR="00C3063E">
        <w:t>2022</w:t>
      </w:r>
      <w:proofErr w:type="gramEnd"/>
      <w:r w:rsidRPr="00033A27" w:rsidR="00C3063E">
        <w:t xml:space="preserve"> through March 2</w:t>
      </w:r>
      <w:r w:rsidRPr="00033A27" w:rsidR="003E72B0">
        <w:t>9</w:t>
      </w:r>
      <w:r w:rsidRPr="00033A27" w:rsidR="00C3063E">
        <w:t>, 2022.</w:t>
      </w:r>
      <w:r>
        <w:t xml:space="preserve">  </w:t>
      </w:r>
      <w:r w:rsidR="001731B0">
        <w:t xml:space="preserve">As such, it is determined that Havasu violated </w:t>
      </w:r>
      <w:r w:rsidR="00E61BFC">
        <w:t xml:space="preserve">CCR, Title 22, section 64413.5 </w:t>
      </w:r>
      <w:r w:rsidR="001731B0">
        <w:t>when it failed to have the required certified operators at its facility.</w:t>
      </w:r>
    </w:p>
    <w:p w:rsidR="005C497E" w:rsidP="005C497E" w:rsidRDefault="000A2F58" w14:paraId="39DF0A26" w14:textId="66BDF829">
      <w:pPr>
        <w:pStyle w:val="Heading2"/>
      </w:pPr>
      <w:bookmarkStart w:name="_Toc221259547" w:id="31"/>
      <w:r>
        <w:t xml:space="preserve">State - </w:t>
      </w:r>
      <w:r w:rsidR="005C497E">
        <w:t>California Public Utilities Commission, Water Division</w:t>
      </w:r>
      <w:r w:rsidR="008B3BC9">
        <w:t xml:space="preserve"> (WD)</w:t>
      </w:r>
      <w:bookmarkEnd w:id="31"/>
    </w:p>
    <w:p w:rsidRPr="000A2F58" w:rsidR="000A2F58" w:rsidP="00C3063E" w:rsidRDefault="008529FB" w14:paraId="023429C7" w14:textId="5F88132F">
      <w:pPr>
        <w:pStyle w:val="Standard"/>
      </w:pPr>
      <w:r>
        <w:t xml:space="preserve">WD is a division of the Commission.  </w:t>
      </w:r>
      <w:r w:rsidRPr="00033A27" w:rsidR="00C3063E">
        <w:t>The WD regulates California’s investor-owned water utilities ensuring that water utilities deliver clean, safe and reliable water to their customers at reasonable rates.</w:t>
      </w:r>
      <w:r w:rsidRPr="00033A27" w:rsidR="00C3063E">
        <w:rPr>
          <w:rStyle w:val="FootnoteReference"/>
        </w:rPr>
        <w:footnoteReference w:id="87"/>
      </w:r>
      <w:r w:rsidR="00C3063E">
        <w:t xml:space="preserve">  </w:t>
      </w:r>
      <w:r w:rsidR="00E86487">
        <w:t>WD investigates water service quality issues and analyze</w:t>
      </w:r>
      <w:r w:rsidR="00443CA5">
        <w:t>s</w:t>
      </w:r>
      <w:r w:rsidR="00E86487">
        <w:t xml:space="preserve"> and process</w:t>
      </w:r>
      <w:r w:rsidR="00443CA5">
        <w:t>es</w:t>
      </w:r>
      <w:r w:rsidR="00E86487">
        <w:t xml:space="preserve"> utility rate change requests.</w:t>
      </w:r>
      <w:r w:rsidR="00E86487">
        <w:rPr>
          <w:rStyle w:val="FootnoteReference"/>
        </w:rPr>
        <w:footnoteReference w:id="88"/>
      </w:r>
    </w:p>
    <w:p w:rsidRPr="00033A27" w:rsidR="005C0ADD" w:rsidP="00180B0C" w:rsidRDefault="002B6F70" w14:paraId="3DD8AB6C" w14:textId="25DD53E4">
      <w:pPr>
        <w:pStyle w:val="Heading3"/>
      </w:pPr>
      <w:bookmarkStart w:name="_Toc221259548" w:id="32"/>
      <w:r w:rsidRPr="00033A27">
        <w:t xml:space="preserve">WD Oversight of Havasu </w:t>
      </w:r>
      <w:r w:rsidRPr="00033A27" w:rsidR="00802170">
        <w:t>U</w:t>
      </w:r>
      <w:r w:rsidRPr="00033A27">
        <w:t>nder Pub. Util. Code §</w:t>
      </w:r>
      <w:r w:rsidRPr="00033A27" w:rsidR="0061030B">
        <w:t xml:space="preserve"> </w:t>
      </w:r>
      <w:r w:rsidRPr="00033A27" w:rsidR="005C0ADD">
        <w:t xml:space="preserve">702 from March 2022 to </w:t>
      </w:r>
      <w:r w:rsidRPr="00033A27" w:rsidR="006330B3">
        <w:t xml:space="preserve">May </w:t>
      </w:r>
      <w:r w:rsidRPr="00033A27" w:rsidR="005C0ADD">
        <w:t>202</w:t>
      </w:r>
      <w:r w:rsidRPr="00033A27" w:rsidR="00E34BFB">
        <w:t>5</w:t>
      </w:r>
      <w:r w:rsidRPr="00033A27" w:rsidR="00AB2C94">
        <w:t xml:space="preserve"> </w:t>
      </w:r>
      <w:r w:rsidRPr="00033A27" w:rsidR="004E4DA3">
        <w:t>-</w:t>
      </w:r>
      <w:r w:rsidRPr="00033A27" w:rsidR="00AB2C94">
        <w:t xml:space="preserve"> Havasu </w:t>
      </w:r>
      <w:r w:rsidRPr="00033A27" w:rsidR="00802170">
        <w:t>W</w:t>
      </w:r>
      <w:r w:rsidRPr="00033A27" w:rsidR="00AB2C94">
        <w:t>as Non-Compliant and Unresponsive to WD</w:t>
      </w:r>
      <w:r w:rsidRPr="00033A27" w:rsidR="00C61CA5">
        <w:t xml:space="preserve"> </w:t>
      </w:r>
      <w:r w:rsidRPr="00033A27" w:rsidR="004E4DA3">
        <w:t>O</w:t>
      </w:r>
      <w:r w:rsidRPr="00033A27" w:rsidR="00C61CA5">
        <w:t>versight</w:t>
      </w:r>
      <w:bookmarkEnd w:id="32"/>
    </w:p>
    <w:p w:rsidR="00B20D20" w:rsidP="008833A9" w:rsidRDefault="000224D1" w14:paraId="078FE1C4" w14:textId="1D37A4C9">
      <w:pPr>
        <w:pStyle w:val="Standard"/>
      </w:pPr>
      <w:r>
        <w:t xml:space="preserve">CPED alleges that Havasu </w:t>
      </w:r>
      <w:r w:rsidR="0015290B">
        <w:t>violated Pub. Util. Code § 702 when it failed to comply with WD’s notices of violation</w:t>
      </w:r>
      <w:r w:rsidR="0057517C">
        <w:t>s</w:t>
      </w:r>
      <w:r w:rsidR="0015290B">
        <w:t xml:space="preserve"> (NOV)</w:t>
      </w:r>
      <w:r w:rsidR="00941142">
        <w:t>, compliance directives</w:t>
      </w:r>
      <w:r w:rsidR="00FF7380">
        <w:t>,</w:t>
      </w:r>
      <w:r w:rsidR="00941142">
        <w:t xml:space="preserve"> and cease and desist orders.</w:t>
      </w:r>
    </w:p>
    <w:p w:rsidRPr="00192CB2" w:rsidR="00192CB2" w:rsidP="00192CB2" w:rsidRDefault="00192CB2" w14:paraId="5B4C48A3" w14:textId="77777777">
      <w:pPr>
        <w:pStyle w:val="Standard"/>
      </w:pPr>
      <w:r w:rsidRPr="00192CB2">
        <w:t>Pub. Util. Code § 702 states that:</w:t>
      </w:r>
    </w:p>
    <w:p w:rsidR="0057517C" w:rsidP="008B69BF" w:rsidRDefault="00192CB2" w14:paraId="199F1AD5" w14:textId="22CDF440">
      <w:pPr>
        <w:pStyle w:val="Standard"/>
        <w:spacing w:after="120" w:line="240" w:lineRule="auto"/>
        <w:ind w:left="720" w:firstLine="0"/>
      </w:pPr>
      <w:r w:rsidRPr="00192CB2">
        <w:t xml:space="preserve">Every public utility shall obey and comply with every order, decision, direction, or rule made or prescribed by the commission in the matters specified in this part, or any other matter in any way relating to or affecting its business as a public </w:t>
      </w:r>
      <w:r w:rsidRPr="00192CB2" w:rsidR="00FA0299">
        <w:t>utility and</w:t>
      </w:r>
      <w:r w:rsidRPr="00192CB2">
        <w:t xml:space="preserve"> shall do everything necessary or proper to secure compliance therewith by all of its officers, agents, and employees.</w:t>
      </w:r>
    </w:p>
    <w:p w:rsidRPr="000224D1" w:rsidR="00015068" w:rsidP="00192CB2" w:rsidRDefault="00192CB2" w14:paraId="683E6B1F" w14:textId="3F0804A2">
      <w:pPr>
        <w:pStyle w:val="Standard"/>
        <w:ind w:firstLine="0"/>
      </w:pPr>
      <w:r>
        <w:lastRenderedPageBreak/>
        <w:tab/>
        <w:t xml:space="preserve">As evidence of Havasu violation of Pub. Util. Code § 702, CPED </w:t>
      </w:r>
      <w:r w:rsidR="00016FED">
        <w:t xml:space="preserve">offered </w:t>
      </w:r>
      <w:r w:rsidR="000A3B01">
        <w:t>seven</w:t>
      </w:r>
      <w:r w:rsidR="00016FED">
        <w:t xml:space="preserve"> NOVs</w:t>
      </w:r>
      <w:r w:rsidR="00CD3FBD">
        <w:t xml:space="preserve">, </w:t>
      </w:r>
      <w:r w:rsidR="00015068">
        <w:t xml:space="preserve">two </w:t>
      </w:r>
      <w:r w:rsidR="00CD3FBD">
        <w:t xml:space="preserve">citations and </w:t>
      </w:r>
      <w:r w:rsidR="00015068">
        <w:t xml:space="preserve">a </w:t>
      </w:r>
      <w:proofErr w:type="gramStart"/>
      <w:r w:rsidR="00015068">
        <w:t>cease and desist</w:t>
      </w:r>
      <w:proofErr w:type="gramEnd"/>
      <w:r w:rsidR="00015068">
        <w:t xml:space="preserve"> order which are summarized below:</w:t>
      </w:r>
    </w:p>
    <w:p w:rsidR="008D79A5" w:rsidP="008B69BF" w:rsidRDefault="005C0250" w14:paraId="5A0D4433" w14:textId="5D4926EE">
      <w:pPr>
        <w:pStyle w:val="Standard"/>
        <w:numPr>
          <w:ilvl w:val="0"/>
          <w:numId w:val="27"/>
        </w:numPr>
        <w:spacing w:after="120" w:line="240" w:lineRule="auto"/>
        <w:ind w:left="1080" w:right="1440"/>
      </w:pPr>
      <w:r>
        <w:t>WD</w:t>
      </w:r>
      <w:r w:rsidR="00A36DA6">
        <w:t xml:space="preserve"> NOV dated </w:t>
      </w:r>
      <w:r w:rsidR="008D79A5">
        <w:t>April 1, 2022</w:t>
      </w:r>
      <w:r w:rsidR="0049149D">
        <w:t>.</w:t>
      </w:r>
      <w:r w:rsidR="00FA4ACF">
        <w:rPr>
          <w:rStyle w:val="FootnoteReference"/>
        </w:rPr>
        <w:footnoteReference w:id="89"/>
      </w:r>
      <w:r w:rsidR="00D71E7E">
        <w:t xml:space="preserve"> </w:t>
      </w:r>
      <w:r w:rsidR="008D79A5">
        <w:t xml:space="preserve"> </w:t>
      </w:r>
      <w:r>
        <w:t>WD</w:t>
      </w:r>
      <w:r w:rsidR="008D79A5">
        <w:t xml:space="preserve"> ordered Havasu</w:t>
      </w:r>
      <w:r w:rsidR="00D91DB6">
        <w:t xml:space="preserve"> to comply with</w:t>
      </w:r>
      <w:r w:rsidR="008D79A5">
        <w:t xml:space="preserve"> fifteen directives to bring Havasu back into compliance.</w:t>
      </w:r>
      <w:r w:rsidR="008D79A5">
        <w:rPr>
          <w:rStyle w:val="FootnoteReference"/>
        </w:rPr>
        <w:footnoteReference w:id="90"/>
      </w:r>
      <w:r w:rsidR="008D79A5">
        <w:t xml:space="preserve">  The directives included: meeting a minimum of 20 pressure square inch (psi) at all times; providing an alternative water source to customers; obtain certified operators; complying with drinking water standards; providing Do Not Drink Notices; submitting weekly reports; have an operable </w:t>
      </w:r>
      <w:r w:rsidR="00FA0299">
        <w:t>backup</w:t>
      </w:r>
      <w:r w:rsidR="008D79A5">
        <w:t xml:space="preserve"> generator; removing or repairing all cross connections; preparing a corrective action plan; monthly reports and completing a notice of receipt of these directives.</w:t>
      </w:r>
      <w:r w:rsidR="008D79A5">
        <w:rPr>
          <w:rStyle w:val="FootnoteReference"/>
        </w:rPr>
        <w:footnoteReference w:id="91"/>
      </w:r>
      <w:r w:rsidR="008D79A5">
        <w:t xml:space="preserve">  </w:t>
      </w:r>
    </w:p>
    <w:p w:rsidR="008D79A5" w:rsidP="008B69BF" w:rsidRDefault="005C0250" w14:paraId="49FE4E3D" w14:textId="2DE0E95F">
      <w:pPr>
        <w:pStyle w:val="Standard"/>
        <w:numPr>
          <w:ilvl w:val="0"/>
          <w:numId w:val="27"/>
        </w:numPr>
        <w:spacing w:after="120" w:line="240" w:lineRule="auto"/>
        <w:ind w:left="1080" w:right="1440"/>
      </w:pPr>
      <w:r>
        <w:t>WD</w:t>
      </w:r>
      <w:r w:rsidR="00D91DB6">
        <w:t xml:space="preserve"> NOV dated </w:t>
      </w:r>
      <w:r w:rsidR="008D79A5">
        <w:t>July 26, 2022</w:t>
      </w:r>
      <w:r w:rsidR="00550CCC">
        <w:t>.</w:t>
      </w:r>
      <w:r w:rsidR="00550CCC">
        <w:rPr>
          <w:rStyle w:val="FootnoteReference"/>
        </w:rPr>
        <w:footnoteReference w:id="92"/>
      </w:r>
      <w:r w:rsidR="00550CCC">
        <w:t xml:space="preserve"> </w:t>
      </w:r>
      <w:r w:rsidR="008D79A5">
        <w:t xml:space="preserve"> </w:t>
      </w:r>
      <w:r>
        <w:t>WD</w:t>
      </w:r>
      <w:r w:rsidR="008D79A5">
        <w:t xml:space="preserve"> informed Havasu that it did not comply with its April 1, 2022 NOV.</w:t>
      </w:r>
      <w:r w:rsidR="008D79A5">
        <w:rPr>
          <w:rStyle w:val="FootnoteReference"/>
        </w:rPr>
        <w:footnoteReference w:id="93"/>
      </w:r>
      <w:r w:rsidR="008D79A5">
        <w:t xml:space="preserve">  </w:t>
      </w:r>
      <w:r>
        <w:t xml:space="preserve">WD </w:t>
      </w:r>
      <w:r w:rsidR="008D79A5">
        <w:t xml:space="preserve">ordered Havasu </w:t>
      </w:r>
      <w:r w:rsidR="00D91DB6">
        <w:t xml:space="preserve">to comply </w:t>
      </w:r>
      <w:r w:rsidR="008D79A5">
        <w:t>with four directives to bring Havasu back into compliance.</w:t>
      </w:r>
      <w:r w:rsidR="008D79A5">
        <w:rPr>
          <w:rStyle w:val="FootnoteReference"/>
        </w:rPr>
        <w:footnoteReference w:id="94"/>
      </w:r>
      <w:r w:rsidR="008D79A5">
        <w:t xml:space="preserve">  The directives included: submitting a revised and approved correction action plan; repairing the water main leak and resolve all low water pressures in the Havasu distribution system; obtain certified operators; and repair or remove potential cross connection hazards.</w:t>
      </w:r>
      <w:r w:rsidR="008D79A5">
        <w:rPr>
          <w:rStyle w:val="FootnoteReference"/>
        </w:rPr>
        <w:footnoteReference w:id="95"/>
      </w:r>
      <w:r w:rsidR="008D79A5">
        <w:t xml:space="preserve">  </w:t>
      </w:r>
    </w:p>
    <w:p w:rsidR="008D79A5" w:rsidP="008B69BF" w:rsidRDefault="00097CEA" w14:paraId="3C0C61B6" w14:textId="297549F8">
      <w:pPr>
        <w:pStyle w:val="Standard"/>
        <w:numPr>
          <w:ilvl w:val="0"/>
          <w:numId w:val="27"/>
        </w:numPr>
        <w:spacing w:after="120" w:line="240" w:lineRule="auto"/>
        <w:ind w:left="1080" w:right="1440"/>
      </w:pPr>
      <w:r>
        <w:t>WD</w:t>
      </w:r>
      <w:r w:rsidR="00390D60">
        <w:t xml:space="preserve"> </w:t>
      </w:r>
      <w:r w:rsidRPr="00D91DB6" w:rsidR="00D91DB6">
        <w:t>Citation No. W.22-09-001</w:t>
      </w:r>
      <w:r w:rsidR="00D91DB6">
        <w:t xml:space="preserve"> dated </w:t>
      </w:r>
      <w:r w:rsidR="008D79A5">
        <w:t>September 1</w:t>
      </w:r>
      <w:r w:rsidR="005B0179">
        <w:t>6</w:t>
      </w:r>
      <w:r w:rsidR="008D79A5">
        <w:t>, 2022</w:t>
      </w:r>
      <w:r w:rsidR="00DD3D79">
        <w:t>.</w:t>
      </w:r>
      <w:r w:rsidR="00DD3D79">
        <w:rPr>
          <w:rStyle w:val="FootnoteReference"/>
        </w:rPr>
        <w:footnoteReference w:id="96"/>
      </w:r>
      <w:r w:rsidR="00DD3D79">
        <w:t xml:space="preserve"> </w:t>
      </w:r>
      <w:r w:rsidR="008D79A5">
        <w:t xml:space="preserve"> WD issued a citation to Havasu for failing to comply with </w:t>
      </w:r>
      <w:r w:rsidR="008D79A5">
        <w:lastRenderedPageBreak/>
        <w:t xml:space="preserve">the </w:t>
      </w:r>
      <w:r w:rsidR="00D91DB6">
        <w:t xml:space="preserve">DDW’s </w:t>
      </w:r>
      <w:r w:rsidR="008D79A5">
        <w:t xml:space="preserve">July 26, </w:t>
      </w:r>
      <w:proofErr w:type="gramStart"/>
      <w:r w:rsidR="008D79A5">
        <w:t>2022</w:t>
      </w:r>
      <w:proofErr w:type="gramEnd"/>
      <w:r w:rsidR="008D79A5">
        <w:t xml:space="preserve"> NOV.</w:t>
      </w:r>
      <w:r w:rsidRPr="00656126" w:rsidR="008D79A5">
        <w:rPr>
          <w:vertAlign w:val="superscript"/>
        </w:rPr>
        <w:footnoteReference w:id="97"/>
      </w:r>
      <w:r w:rsidR="008D79A5">
        <w:t xml:space="preserve">  Havasu was issued a $2,000.00 penalty.</w:t>
      </w:r>
      <w:r w:rsidRPr="00656126" w:rsidR="008D79A5">
        <w:rPr>
          <w:vertAlign w:val="superscript"/>
        </w:rPr>
        <w:footnoteReference w:id="98"/>
      </w:r>
      <w:r w:rsidR="008D79A5">
        <w:t xml:space="preserve">  </w:t>
      </w:r>
    </w:p>
    <w:p w:rsidR="008D79A5" w:rsidP="008B69BF" w:rsidRDefault="00D91DB6" w14:paraId="420D5E01" w14:textId="1E043A23">
      <w:pPr>
        <w:pStyle w:val="Standard"/>
        <w:numPr>
          <w:ilvl w:val="0"/>
          <w:numId w:val="27"/>
        </w:numPr>
        <w:spacing w:after="120" w:line="240" w:lineRule="auto"/>
        <w:ind w:left="1080" w:right="1440"/>
      </w:pPr>
      <w:r>
        <w:t xml:space="preserve">WD NOV dated </w:t>
      </w:r>
      <w:r w:rsidR="008D79A5">
        <w:t>November 21, 2022</w:t>
      </w:r>
      <w:r w:rsidR="00DD3D79">
        <w:t>.</w:t>
      </w:r>
      <w:r w:rsidRPr="00656126" w:rsidR="00DD3D79">
        <w:rPr>
          <w:vertAlign w:val="superscript"/>
        </w:rPr>
        <w:footnoteReference w:id="99"/>
      </w:r>
      <w:r w:rsidR="00DD3D79">
        <w:t xml:space="preserve"> </w:t>
      </w:r>
      <w:r w:rsidR="008D79A5">
        <w:t xml:space="preserve"> WD issued an NOV directing Havasu to correct its tariffs to comply with tariff rule revisions required by Senate Bill 998 and GO 96-B.</w:t>
      </w:r>
      <w:r w:rsidRPr="00656126" w:rsidR="008D79A5">
        <w:rPr>
          <w:vertAlign w:val="superscript"/>
        </w:rPr>
        <w:footnoteReference w:id="100"/>
      </w:r>
      <w:r w:rsidR="008D79A5">
        <w:t xml:space="preserve">  Havasu was given 10 business days from date of issuance of the NOV to revise their tariffs.</w:t>
      </w:r>
      <w:r w:rsidRPr="00656126" w:rsidR="008D79A5">
        <w:rPr>
          <w:vertAlign w:val="superscript"/>
        </w:rPr>
        <w:footnoteReference w:id="101"/>
      </w:r>
      <w:r w:rsidRPr="00656126" w:rsidR="008D79A5">
        <w:rPr>
          <w:vertAlign w:val="superscript"/>
        </w:rPr>
        <w:t xml:space="preserve">  </w:t>
      </w:r>
    </w:p>
    <w:p w:rsidR="008D79A5" w:rsidP="008B69BF" w:rsidRDefault="00D91DB6" w14:paraId="15DC32DE" w14:textId="13A370E2">
      <w:pPr>
        <w:pStyle w:val="Standard"/>
        <w:numPr>
          <w:ilvl w:val="0"/>
          <w:numId w:val="27"/>
        </w:numPr>
        <w:spacing w:after="120" w:line="240" w:lineRule="auto"/>
        <w:ind w:left="1080" w:right="1440"/>
      </w:pPr>
      <w:r>
        <w:t>WD</w:t>
      </w:r>
      <w:r w:rsidR="00097CEA">
        <w:t xml:space="preserve"> NOV dated</w:t>
      </w:r>
      <w:r>
        <w:t xml:space="preserve"> </w:t>
      </w:r>
      <w:r w:rsidR="00A2370F">
        <w:t>March 7, 2025</w:t>
      </w:r>
      <w:r w:rsidR="0025037E">
        <w:t>.</w:t>
      </w:r>
      <w:r w:rsidRPr="00656126" w:rsidR="0025037E">
        <w:rPr>
          <w:vertAlign w:val="superscript"/>
        </w:rPr>
        <w:footnoteReference w:id="102"/>
      </w:r>
      <w:r w:rsidR="008D79A5">
        <w:t xml:space="preserve"> WD issued an NOV informing Havasu that it was in violation of Pub. Util. Code §451 and GO 103-A for the following reasons: 1) failing to furnish and maintain safe and reliability water service to its customers and the public; 2) failing to comply with the water quality standards of the EPA’s SDWA; 3) failing to have </w:t>
      </w:r>
      <w:r w:rsidR="00443CA5">
        <w:t xml:space="preserve">a </w:t>
      </w:r>
      <w:r w:rsidR="008D79A5">
        <w:t xml:space="preserve">certified operator for its water distribution and treatment systems; 4) failure to notify the Commission of the </w:t>
      </w:r>
      <w:r w:rsidR="00432927">
        <w:t>noncompliance</w:t>
      </w:r>
      <w:r w:rsidR="008D79A5">
        <w:t xml:space="preserve"> identified by the EPA; and 5) failure to comply with the EPA’s public notification requirements.</w:t>
      </w:r>
      <w:r w:rsidR="008D79A5">
        <w:rPr>
          <w:rStyle w:val="FootnoteReference"/>
        </w:rPr>
        <w:footnoteReference w:id="103"/>
      </w:r>
      <w:r w:rsidR="008D79A5">
        <w:t xml:space="preserve">  Havasu was ordered to comply with the following directives: 1) correct all remaining significant deficiencies as specified in SDWA-09-2024-008; and procure a certified operators for its water distribution and treatment systems.</w:t>
      </w:r>
      <w:r w:rsidR="008D79A5">
        <w:rPr>
          <w:rStyle w:val="FootnoteReference"/>
        </w:rPr>
        <w:footnoteReference w:id="104"/>
      </w:r>
      <w:r w:rsidR="008D79A5">
        <w:t xml:space="preserve">  </w:t>
      </w:r>
    </w:p>
    <w:p w:rsidR="008D79A5" w:rsidP="008B69BF" w:rsidRDefault="001F238A" w14:paraId="3B9834B5" w14:textId="7D70AC59">
      <w:pPr>
        <w:pStyle w:val="Standard"/>
        <w:numPr>
          <w:ilvl w:val="0"/>
          <w:numId w:val="27"/>
        </w:numPr>
        <w:spacing w:after="120" w:line="240" w:lineRule="auto"/>
        <w:ind w:left="1080" w:right="1440"/>
      </w:pPr>
      <w:r>
        <w:t>WD</w:t>
      </w:r>
      <w:r w:rsidR="00097CEA">
        <w:t xml:space="preserve"> NOV dated</w:t>
      </w:r>
      <w:r>
        <w:t xml:space="preserve"> </w:t>
      </w:r>
      <w:r w:rsidR="008D79A5">
        <w:t>October 4, 2024</w:t>
      </w:r>
      <w:r w:rsidR="0025037E">
        <w:t>.</w:t>
      </w:r>
      <w:r w:rsidR="0025037E">
        <w:rPr>
          <w:rStyle w:val="FootnoteReference"/>
        </w:rPr>
        <w:footnoteReference w:id="105"/>
      </w:r>
      <w:r w:rsidR="00C40646">
        <w:t xml:space="preserve">  </w:t>
      </w:r>
      <w:r w:rsidR="008D79A5">
        <w:t xml:space="preserve">WD issued an NOV informing Havasu it was in violation of Pub. Util. Code § </w:t>
      </w:r>
      <w:r w:rsidR="008D79A5">
        <w:lastRenderedPageBreak/>
        <w:t>451 and GO 103-A.</w:t>
      </w:r>
      <w:r w:rsidR="008D79A5">
        <w:rPr>
          <w:rStyle w:val="FootnoteReference"/>
        </w:rPr>
        <w:footnoteReference w:id="106"/>
      </w:r>
      <w:r w:rsidR="008D79A5">
        <w:t xml:space="preserve">  In addition, Havasu was ordered to </w:t>
      </w:r>
      <w:r>
        <w:t>comply with the following directives</w:t>
      </w:r>
      <w:r w:rsidR="008D79A5">
        <w:t xml:space="preserve">: 1) inspect all fire hydrants; 2) conduct repairs and replacements as needed to ensure all fire hydrants in </w:t>
      </w:r>
      <w:r w:rsidR="00443CA5">
        <w:t xml:space="preserve">the </w:t>
      </w:r>
      <w:r w:rsidR="008D79A5">
        <w:t xml:space="preserve">Havasu service area </w:t>
      </w:r>
      <w:r w:rsidR="00443CA5">
        <w:t xml:space="preserve">are </w:t>
      </w:r>
      <w:r w:rsidR="008D79A5">
        <w:t>operable; 3) provide to WD a record of all inspections, repairs and replacement performed by Havasu for all fire hydrants in its service area; and provide all documents pertaining to WD October 11, 2024 data request.</w:t>
      </w:r>
      <w:r w:rsidRPr="00656126" w:rsidR="008D79A5">
        <w:rPr>
          <w:vertAlign w:val="superscript"/>
        </w:rPr>
        <w:footnoteReference w:id="107"/>
      </w:r>
      <w:r w:rsidR="008D79A5">
        <w:t xml:space="preserve">  </w:t>
      </w:r>
    </w:p>
    <w:p w:rsidR="008D79A5" w:rsidP="008B69BF" w:rsidRDefault="00097CEA" w14:paraId="592AD739" w14:textId="36BC790E">
      <w:pPr>
        <w:pStyle w:val="Standard"/>
        <w:numPr>
          <w:ilvl w:val="0"/>
          <w:numId w:val="27"/>
        </w:numPr>
        <w:spacing w:after="120" w:line="240" w:lineRule="auto"/>
        <w:ind w:left="1080" w:right="1440"/>
      </w:pPr>
      <w:r>
        <w:t xml:space="preserve">WD NOV dated </w:t>
      </w:r>
      <w:r w:rsidR="008D79A5">
        <w:t>March 7, 2025</w:t>
      </w:r>
      <w:r w:rsidR="00C40646">
        <w:t>.</w:t>
      </w:r>
      <w:r w:rsidRPr="00656126" w:rsidR="00C40646">
        <w:rPr>
          <w:vertAlign w:val="superscript"/>
        </w:rPr>
        <w:footnoteReference w:id="108"/>
      </w:r>
      <w:r w:rsidR="00C40646">
        <w:t xml:space="preserve">  WD</w:t>
      </w:r>
      <w:r w:rsidR="008D79A5">
        <w:t xml:space="preserve"> informed Havasu that it was in violation of Pub. Util. Code § 451 and GO-103-A for failing to maintain fire hydrant service in its service area.</w:t>
      </w:r>
      <w:r w:rsidRPr="00656126" w:rsidR="0025041B">
        <w:rPr>
          <w:vertAlign w:val="superscript"/>
        </w:rPr>
        <w:footnoteReference w:id="109"/>
      </w:r>
      <w:r w:rsidR="008D79A5">
        <w:t xml:space="preserve">  Havasu was directed to comply with the directives from </w:t>
      </w:r>
      <w:proofErr w:type="gramStart"/>
      <w:r w:rsidR="008D79A5">
        <w:t>the October</w:t>
      </w:r>
      <w:proofErr w:type="gramEnd"/>
      <w:r w:rsidR="008D79A5">
        <w:t xml:space="preserve"> 4, </w:t>
      </w:r>
      <w:proofErr w:type="gramStart"/>
      <w:r w:rsidR="008D79A5">
        <w:t>2024</w:t>
      </w:r>
      <w:proofErr w:type="gramEnd"/>
      <w:r w:rsidR="008D79A5">
        <w:t xml:space="preserve"> NOV.</w:t>
      </w:r>
      <w:r w:rsidRPr="00656126" w:rsidR="0025041B">
        <w:rPr>
          <w:vertAlign w:val="superscript"/>
        </w:rPr>
        <w:footnoteReference w:id="110"/>
      </w:r>
    </w:p>
    <w:p w:rsidR="008D79A5" w:rsidP="008B69BF" w:rsidRDefault="00390D60" w14:paraId="5B8F8CE2" w14:textId="76097239">
      <w:pPr>
        <w:pStyle w:val="Standard"/>
        <w:numPr>
          <w:ilvl w:val="0"/>
          <w:numId w:val="27"/>
        </w:numPr>
        <w:spacing w:after="120" w:line="240" w:lineRule="auto"/>
        <w:ind w:left="1080" w:right="1440"/>
      </w:pPr>
      <w:r>
        <w:t xml:space="preserve">WD Cease and Desist Order dated </w:t>
      </w:r>
      <w:r w:rsidR="008D79A5">
        <w:t>May 9, 2025</w:t>
      </w:r>
      <w:r w:rsidR="0025041B">
        <w:t>.</w:t>
      </w:r>
      <w:r w:rsidRPr="00656126" w:rsidR="002510F2">
        <w:rPr>
          <w:vertAlign w:val="superscript"/>
        </w:rPr>
        <w:footnoteReference w:id="111"/>
      </w:r>
      <w:r w:rsidR="0025041B">
        <w:t xml:space="preserve">  WD</w:t>
      </w:r>
      <w:r>
        <w:t xml:space="preserve"> </w:t>
      </w:r>
      <w:r w:rsidR="008D79A5">
        <w:t>ordering Havasu to cease and desist replacement of all 5/8 x 3/4” meters consistent with Resolution (Res.) M-4846 and pursuant to Pub. Util. Code §§ 454 and 701.</w:t>
      </w:r>
      <w:r w:rsidRPr="00656126" w:rsidR="00383EDB">
        <w:rPr>
          <w:vertAlign w:val="superscript"/>
        </w:rPr>
        <w:footnoteReference w:id="112"/>
      </w:r>
    </w:p>
    <w:p w:rsidR="008D79A5" w:rsidP="008B69BF" w:rsidRDefault="002552FD" w14:paraId="2D1C9883" w14:textId="77FA71A9">
      <w:pPr>
        <w:pStyle w:val="Standard"/>
        <w:numPr>
          <w:ilvl w:val="0"/>
          <w:numId w:val="27"/>
        </w:numPr>
        <w:spacing w:after="120" w:line="240" w:lineRule="auto"/>
        <w:ind w:left="1080" w:right="1440"/>
      </w:pPr>
      <w:r>
        <w:t xml:space="preserve">WD </w:t>
      </w:r>
      <w:r w:rsidRPr="002552FD">
        <w:t>Citation No. W.25-05-001</w:t>
      </w:r>
      <w:r>
        <w:t xml:space="preserve"> dated </w:t>
      </w:r>
      <w:r w:rsidR="008D79A5">
        <w:t>May 12, 2025</w:t>
      </w:r>
      <w:r w:rsidR="00383EDB">
        <w:t>.</w:t>
      </w:r>
      <w:r w:rsidR="00383EDB">
        <w:rPr>
          <w:rStyle w:val="FootnoteReference"/>
        </w:rPr>
        <w:footnoteReference w:id="113"/>
      </w:r>
      <w:r w:rsidR="00383EDB">
        <w:t xml:space="preserve">  </w:t>
      </w:r>
      <w:r w:rsidRPr="007E387E" w:rsidR="008D79A5">
        <w:t xml:space="preserve">WD issued a citation to Havasu for failing to comply with the </w:t>
      </w:r>
      <w:r>
        <w:t xml:space="preserve">WD </w:t>
      </w:r>
      <w:r w:rsidR="008D79A5">
        <w:t xml:space="preserve">March 7, </w:t>
      </w:r>
      <w:proofErr w:type="gramStart"/>
      <w:r w:rsidR="008D79A5">
        <w:t>2025</w:t>
      </w:r>
      <w:proofErr w:type="gramEnd"/>
      <w:r w:rsidRPr="007E387E" w:rsidR="008D79A5">
        <w:t xml:space="preserve"> NOV.</w:t>
      </w:r>
      <w:r w:rsidRPr="007E387E" w:rsidR="008D79A5">
        <w:rPr>
          <w:vertAlign w:val="superscript"/>
        </w:rPr>
        <w:footnoteReference w:id="114"/>
      </w:r>
      <w:r w:rsidRPr="007E387E" w:rsidR="008D79A5">
        <w:t xml:space="preserve">  </w:t>
      </w:r>
    </w:p>
    <w:p w:rsidR="008D79A5" w:rsidP="008B69BF" w:rsidRDefault="002552FD" w14:paraId="3D13AE56" w14:textId="73EFA0D2">
      <w:pPr>
        <w:pStyle w:val="Standard"/>
        <w:numPr>
          <w:ilvl w:val="0"/>
          <w:numId w:val="27"/>
        </w:numPr>
        <w:spacing w:after="120" w:line="240" w:lineRule="auto"/>
        <w:ind w:left="1080" w:right="1440"/>
      </w:pPr>
      <w:r>
        <w:t xml:space="preserve">WD NOV dated </w:t>
      </w:r>
      <w:r w:rsidR="008D79A5">
        <w:t>May 14, 2025</w:t>
      </w:r>
      <w:r w:rsidR="00DE32E7">
        <w:t>.  WD</w:t>
      </w:r>
      <w:r w:rsidR="008D79A5">
        <w:t xml:space="preserve"> informing Havasu that it violated Pub. Util. Code § 454 for failing to comply with the May 9, </w:t>
      </w:r>
      <w:proofErr w:type="gramStart"/>
      <w:r w:rsidR="008D79A5">
        <w:t>2025</w:t>
      </w:r>
      <w:proofErr w:type="gramEnd"/>
      <w:r w:rsidR="008D79A5">
        <w:t xml:space="preserve"> Cease and Desist Order.</w:t>
      </w:r>
      <w:r w:rsidR="00A15B03">
        <w:rPr>
          <w:rStyle w:val="FootnoteReference"/>
        </w:rPr>
        <w:footnoteReference w:id="115"/>
      </w:r>
      <w:r w:rsidR="008D79A5">
        <w:t xml:space="preserve">  Havasu was directed to comply with the </w:t>
      </w:r>
      <w:proofErr w:type="gramStart"/>
      <w:r w:rsidR="008D79A5">
        <w:t>Cease and Desist</w:t>
      </w:r>
      <w:proofErr w:type="gramEnd"/>
      <w:r w:rsidR="008D79A5">
        <w:t xml:space="preserve"> Order within </w:t>
      </w:r>
      <w:r w:rsidR="008D79A5">
        <w:lastRenderedPageBreak/>
        <w:t>24 hours of issuance of this NOV or be fined a penalty up to $100,000.</w:t>
      </w:r>
      <w:r w:rsidR="00FF49D3">
        <w:rPr>
          <w:rStyle w:val="FootnoteReference"/>
        </w:rPr>
        <w:footnoteReference w:id="116"/>
      </w:r>
    </w:p>
    <w:p w:rsidRPr="008D3EFF" w:rsidR="008D3EFF" w:rsidP="008D3EFF" w:rsidRDefault="008D3EFF" w14:paraId="135AB4CF" w14:textId="6103EB2D">
      <w:pPr>
        <w:pStyle w:val="Standard"/>
      </w:pPr>
      <w:r w:rsidRPr="008D3EFF">
        <w:t>The</w:t>
      </w:r>
      <w:r w:rsidR="0027315C">
        <w:t xml:space="preserve"> facts</w:t>
      </w:r>
      <w:r w:rsidR="00A32C69">
        <w:t xml:space="preserve"> in</w:t>
      </w:r>
      <w:r w:rsidRPr="008D3EFF">
        <w:t xml:space="preserve"> evidence establish that Havasu has been in continuous violation of </w:t>
      </w:r>
      <w:r>
        <w:t>Pub. Util. Code §</w:t>
      </w:r>
      <w:r w:rsidRPr="008D3EFF">
        <w:t xml:space="preserve"> 702 during the period from March 2022 through </w:t>
      </w:r>
      <w:r w:rsidR="006330B3">
        <w:t>March</w:t>
      </w:r>
      <w:r w:rsidRPr="008D3EFF">
        <w:t xml:space="preserve"> 202</w:t>
      </w:r>
      <w:r w:rsidR="006330B3">
        <w:t>5</w:t>
      </w:r>
      <w:r w:rsidRPr="008D3EFF">
        <w:t xml:space="preserve">. </w:t>
      </w:r>
      <w:r w:rsidR="008D252F">
        <w:t xml:space="preserve"> </w:t>
      </w:r>
      <w:r w:rsidRPr="008D3EFF">
        <w:t xml:space="preserve">Within this timeframe, Havasu has been issued seven </w:t>
      </w:r>
      <w:r w:rsidR="008D252F">
        <w:t>NOVs</w:t>
      </w:r>
      <w:r w:rsidRPr="008D3EFF">
        <w:t xml:space="preserve">, two citations, and a </w:t>
      </w:r>
      <w:proofErr w:type="gramStart"/>
      <w:r w:rsidRPr="008D3EFF">
        <w:t>cease and desist</w:t>
      </w:r>
      <w:proofErr w:type="gramEnd"/>
      <w:r w:rsidRPr="008D3EFF">
        <w:t xml:space="preserve"> order by </w:t>
      </w:r>
      <w:r w:rsidR="008D252F">
        <w:t>WD</w:t>
      </w:r>
      <w:r w:rsidRPr="008D3EFF">
        <w:t>.</w:t>
      </w:r>
    </w:p>
    <w:p w:rsidR="00DB44B6" w:rsidP="00736D96" w:rsidRDefault="008D3EFF" w14:paraId="5A1C88E1" w14:textId="12538B80">
      <w:pPr>
        <w:pStyle w:val="Standard"/>
      </w:pPr>
      <w:r w:rsidRPr="008D3EFF">
        <w:t xml:space="preserve">Havasu’s repeated noncompliance with </w:t>
      </w:r>
      <w:r w:rsidR="00B65B3C">
        <w:t xml:space="preserve">WD’s regulatory authority </w:t>
      </w:r>
      <w:r w:rsidRPr="008D3EFF">
        <w:t xml:space="preserve">constitutes a breach of its legal obligations. </w:t>
      </w:r>
      <w:r w:rsidR="00B65B3C">
        <w:t xml:space="preserve"> </w:t>
      </w:r>
      <w:r w:rsidRPr="008D3EFF">
        <w:t>Moreover, Havasu’s actions present a</w:t>
      </w:r>
      <w:r w:rsidR="00B65B3C">
        <w:t xml:space="preserve"> </w:t>
      </w:r>
      <w:r w:rsidRPr="008D3EFF">
        <w:t xml:space="preserve">threat to the </w:t>
      </w:r>
      <w:r w:rsidR="00B65B3C">
        <w:t xml:space="preserve">public </w:t>
      </w:r>
      <w:r w:rsidRPr="008D3EFF">
        <w:t>health and safety of its customers</w:t>
      </w:r>
      <w:r w:rsidR="00736D96">
        <w:t>.</w:t>
      </w:r>
    </w:p>
    <w:p w:rsidR="002620DF" w:rsidP="005C0250" w:rsidRDefault="005D4AAE" w14:paraId="42C2CD81" w14:textId="2927CDF7">
      <w:pPr>
        <w:pStyle w:val="Standard"/>
        <w:ind w:firstLine="0"/>
      </w:pPr>
      <w:r>
        <w:tab/>
      </w:r>
      <w:r w:rsidRPr="00225523" w:rsidR="00325B39">
        <w:t xml:space="preserve">Havasu failed to </w:t>
      </w:r>
      <w:r w:rsidR="000F3CE5">
        <w:t>offer</w:t>
      </w:r>
      <w:r w:rsidRPr="00225523" w:rsidR="00325B39">
        <w:t xml:space="preserve"> any evidence or testimony in </w:t>
      </w:r>
      <w:r w:rsidR="00325B39">
        <w:t>defense of its position</w:t>
      </w:r>
      <w:r w:rsidR="00A56F06">
        <w:t xml:space="preserve"> that it cured </w:t>
      </w:r>
      <w:proofErr w:type="gramStart"/>
      <w:r w:rsidR="00A56F06">
        <w:t>all of</w:t>
      </w:r>
      <w:proofErr w:type="gramEnd"/>
      <w:r w:rsidR="00A56F06">
        <w:t xml:space="preserve"> the violations</w:t>
      </w:r>
      <w:r w:rsidR="009A5E5E">
        <w:t xml:space="preserve"> cited by WD</w:t>
      </w:r>
      <w:r w:rsidR="00325B39">
        <w:t xml:space="preserve">.  </w:t>
      </w:r>
      <w:r>
        <w:t xml:space="preserve">As such, it is determined that Havasu </w:t>
      </w:r>
      <w:r w:rsidR="00E847DC">
        <w:t>violated Pub. Util. Code § 702 when it failed to comply with the orders, directives and rules</w:t>
      </w:r>
      <w:r w:rsidR="00DF30A2">
        <w:t xml:space="preserve"> of </w:t>
      </w:r>
      <w:r w:rsidR="00736D96">
        <w:t>WD</w:t>
      </w:r>
      <w:r w:rsidR="00DF30A2">
        <w:t xml:space="preserve"> from March 2022 through </w:t>
      </w:r>
      <w:r w:rsidR="008D5C26">
        <w:t>May</w:t>
      </w:r>
      <w:r w:rsidR="00DF30A2">
        <w:t xml:space="preserve"> 202</w:t>
      </w:r>
      <w:r w:rsidR="00E34BFB">
        <w:t>5</w:t>
      </w:r>
    </w:p>
    <w:p w:rsidR="006200FB" w:rsidP="00180B0C" w:rsidRDefault="001E4C83" w14:paraId="3D15BC87" w14:textId="001E0922">
      <w:pPr>
        <w:pStyle w:val="Heading3"/>
      </w:pPr>
      <w:bookmarkStart w:name="_Toc221259549" w:id="33"/>
      <w:r>
        <w:t xml:space="preserve">In October 2024, </w:t>
      </w:r>
      <w:r w:rsidR="006200FB">
        <w:t xml:space="preserve">Havasu </w:t>
      </w:r>
      <w:r w:rsidR="004E4DA3">
        <w:t>V</w:t>
      </w:r>
      <w:r>
        <w:t>iolated Pub. Util. Code § 702 When</w:t>
      </w:r>
      <w:r w:rsidR="00EB3926">
        <w:t xml:space="preserve"> </w:t>
      </w:r>
      <w:r w:rsidR="00FF7380">
        <w:t>I</w:t>
      </w:r>
      <w:r>
        <w:t>t Failed</w:t>
      </w:r>
      <w:r w:rsidR="006200FB">
        <w:t xml:space="preserve"> to Respond to </w:t>
      </w:r>
      <w:r>
        <w:t xml:space="preserve">a </w:t>
      </w:r>
      <w:r w:rsidR="006200FB">
        <w:t>Data Request</w:t>
      </w:r>
      <w:r>
        <w:t xml:space="preserve"> by </w:t>
      </w:r>
      <w:proofErr w:type="gramStart"/>
      <w:r>
        <w:t>WD</w:t>
      </w:r>
      <w:proofErr w:type="gramEnd"/>
      <w:r w:rsidR="004E4DA3">
        <w:t xml:space="preserve"> but</w:t>
      </w:r>
      <w:r w:rsidR="004F4436">
        <w:t xml:space="preserve"> Havasu Did Not Violate Pub. Util. Code § 702</w:t>
      </w:r>
      <w:r w:rsidR="00263C8F">
        <w:t xml:space="preserve"> for Data Requests in September 2025</w:t>
      </w:r>
      <w:bookmarkEnd w:id="33"/>
    </w:p>
    <w:p w:rsidR="003551AD" w:rsidP="003551AD" w:rsidRDefault="003551AD" w14:paraId="196FDBF7" w14:textId="69A60F2E">
      <w:pPr>
        <w:pStyle w:val="Standard"/>
      </w:pPr>
      <w:r>
        <w:t xml:space="preserve">CPED alleges that Havasu violated Pub. Util. Code § 702 when it failed to respond to </w:t>
      </w:r>
      <w:r w:rsidR="007E5134">
        <w:t>t</w:t>
      </w:r>
      <w:r w:rsidR="005F66D3">
        <w:t>wo</w:t>
      </w:r>
      <w:r w:rsidR="007E5134">
        <w:t xml:space="preserve"> data </w:t>
      </w:r>
      <w:proofErr w:type="gramStart"/>
      <w:r w:rsidR="007E5134">
        <w:t>requests</w:t>
      </w:r>
      <w:proofErr w:type="gramEnd"/>
      <w:r w:rsidR="007E5134">
        <w:t xml:space="preserve"> </w:t>
      </w:r>
      <w:r w:rsidR="009335C7">
        <w:t>one from WD and one from</w:t>
      </w:r>
      <w:r w:rsidR="009E3FD3">
        <w:t xml:space="preserve"> </w:t>
      </w:r>
      <w:r w:rsidR="00FB71FB">
        <w:t>CPED</w:t>
      </w:r>
      <w:r>
        <w:t xml:space="preserve">.  </w:t>
      </w:r>
    </w:p>
    <w:p w:rsidR="007C331D" w:rsidP="007C331D" w:rsidRDefault="007C331D" w14:paraId="1B71D76F" w14:textId="77777777">
      <w:pPr>
        <w:pStyle w:val="Standard"/>
      </w:pPr>
      <w:r>
        <w:t>Pub. Util. Code § 702 states that:</w:t>
      </w:r>
    </w:p>
    <w:p w:rsidR="007C331D" w:rsidP="0058627B" w:rsidRDefault="007C331D" w14:paraId="490839DE" w14:textId="505451AF">
      <w:pPr>
        <w:pStyle w:val="Standard"/>
        <w:spacing w:after="120" w:line="240" w:lineRule="auto"/>
        <w:ind w:left="720" w:firstLine="0"/>
      </w:pPr>
      <w:r>
        <w:t xml:space="preserve">Every public utility shall obey and comply with every order, decision, direction, or rule made or prescribed by the commission in the matters specified in this part, or any other matter in any way relating to or affecting its business as a public </w:t>
      </w:r>
      <w:r w:rsidR="00FA0299">
        <w:t>utility and</w:t>
      </w:r>
      <w:r>
        <w:t xml:space="preserve"> shall do everything necessary or proper to secure compliance therewith by all of its officers, agents, and employees.</w:t>
      </w:r>
    </w:p>
    <w:p w:rsidR="00D96718" w:rsidP="00D96718" w:rsidRDefault="00D96718" w14:paraId="4E478305" w14:textId="77777777">
      <w:pPr>
        <w:pStyle w:val="Standard"/>
        <w:ind w:firstLine="0"/>
      </w:pPr>
      <w:r>
        <w:t>As evidence, CPED filed the following data requests:</w:t>
      </w:r>
    </w:p>
    <w:p w:rsidR="00D96718" w:rsidP="0058627B" w:rsidRDefault="00D96718" w14:paraId="287A2C03" w14:textId="5D7D8B21">
      <w:pPr>
        <w:pStyle w:val="Standard"/>
        <w:numPr>
          <w:ilvl w:val="0"/>
          <w:numId w:val="27"/>
        </w:numPr>
        <w:spacing w:after="120" w:line="240" w:lineRule="auto"/>
        <w:ind w:left="1080" w:right="1440"/>
      </w:pPr>
      <w:r>
        <w:lastRenderedPageBreak/>
        <w:t xml:space="preserve">October 11, </w:t>
      </w:r>
      <w:proofErr w:type="gramStart"/>
      <w:r>
        <w:t>2024</w:t>
      </w:r>
      <w:proofErr w:type="gramEnd"/>
      <w:r>
        <w:t xml:space="preserve"> data request</w:t>
      </w:r>
      <w:r w:rsidR="008574A8">
        <w:t>.</w:t>
      </w:r>
      <w:r w:rsidR="008574A8">
        <w:rPr>
          <w:rStyle w:val="FootnoteReference"/>
        </w:rPr>
        <w:footnoteReference w:id="117"/>
      </w:r>
      <w:r w:rsidR="008574A8">
        <w:t xml:space="preserve"> </w:t>
      </w:r>
      <w:r>
        <w:t xml:space="preserve"> </w:t>
      </w:r>
      <w:r w:rsidR="008574A8">
        <w:t>A</w:t>
      </w:r>
      <w:r>
        <w:t>n email from W. Tsai</w:t>
      </w:r>
      <w:r w:rsidR="003670ED">
        <w:t xml:space="preserve"> from WD</w:t>
      </w:r>
      <w:r>
        <w:t xml:space="preserve"> to Havasu.  Tsai references an attached data request.</w:t>
      </w:r>
      <w:r>
        <w:rPr>
          <w:rStyle w:val="FootnoteReference"/>
        </w:rPr>
        <w:footnoteReference w:id="118"/>
      </w:r>
      <w:r>
        <w:t xml:space="preserve">  Havasu acknowledges receipt of the data request and informs W. Tsai that Havasu is awaiting further information from SBCFD and will provide further information upon receipt.</w:t>
      </w:r>
      <w:r>
        <w:rPr>
          <w:rStyle w:val="FootnoteReference"/>
        </w:rPr>
        <w:footnoteReference w:id="119"/>
      </w:r>
    </w:p>
    <w:p w:rsidR="00D96718" w:rsidP="0058627B" w:rsidRDefault="00D96718" w14:paraId="71F736B8" w14:textId="1FB0E475">
      <w:pPr>
        <w:pStyle w:val="Standard"/>
        <w:numPr>
          <w:ilvl w:val="0"/>
          <w:numId w:val="27"/>
        </w:numPr>
        <w:spacing w:after="120" w:line="240" w:lineRule="auto"/>
        <w:ind w:left="1080" w:right="1440"/>
      </w:pPr>
      <w:r>
        <w:t>September 22, 2025 data request</w:t>
      </w:r>
      <w:r w:rsidR="00B729CE">
        <w:t>.</w:t>
      </w:r>
      <w:r w:rsidR="00B729CE">
        <w:rPr>
          <w:rStyle w:val="FootnoteReference"/>
        </w:rPr>
        <w:footnoteReference w:id="120"/>
      </w:r>
      <w:r w:rsidR="00B729CE">
        <w:t xml:space="preserve">  A </w:t>
      </w:r>
      <w:r>
        <w:t xml:space="preserve">letter from </w:t>
      </w:r>
      <w:r w:rsidR="00891BB1">
        <w:t>CPED</w:t>
      </w:r>
      <w:r>
        <w:t xml:space="preserve"> to Havasu.</w:t>
      </w:r>
      <w:r>
        <w:rPr>
          <w:rStyle w:val="FootnoteReference"/>
        </w:rPr>
        <w:footnoteReference w:id="121"/>
      </w:r>
      <w:r>
        <w:t xml:space="preserve">  </w:t>
      </w:r>
      <w:r w:rsidR="00891BB1">
        <w:t>CPED</w:t>
      </w:r>
      <w:r>
        <w:t xml:space="preserve"> requested the following information: 1) Havasu’s most recent </w:t>
      </w:r>
      <w:r w:rsidR="005C28A1">
        <w:t>Uniform Fire Hydrant Safety Agreements  (</w:t>
      </w:r>
      <w:r>
        <w:t>UFHSA</w:t>
      </w:r>
      <w:r w:rsidR="005C28A1">
        <w:t>)</w:t>
      </w:r>
      <w:r>
        <w:t xml:space="preserve"> with SBCFD; 2) all records of maintenance performed by SBCFD on fire hydrants in Havasu’ service area; 3) monthly reports submitted to DDW and EPA; 4) all General Rate Cases (GRC) submitted by Havasu pertaining to compensation of fire hydrant capital expenditures and maintenance costs; 5) All Commission decisions and final orders related to GRCs denying Havasu compensation for fire hydrant  capital expenditures and maintenance costs; 6</w:t>
      </w:r>
      <w:r w:rsidR="005C28A1">
        <w:t>)</w:t>
      </w:r>
      <w:r>
        <w:t xml:space="preserve"> all records of Havasu’s correspondence with SBCFD in the past 10 years regarding fire hydrant maintenance; and 7) all records responsive to WD October 11, 2024 data request.</w:t>
      </w:r>
      <w:r>
        <w:rPr>
          <w:rStyle w:val="FootnoteReference"/>
        </w:rPr>
        <w:footnoteReference w:id="122"/>
      </w:r>
      <w:r>
        <w:t xml:space="preserve">  </w:t>
      </w:r>
    </w:p>
    <w:p w:rsidR="00D96718" w:rsidP="00DB4ADD" w:rsidRDefault="00D96718" w14:paraId="63B856D8" w14:textId="3F8D3F67">
      <w:pPr>
        <w:pStyle w:val="Standard"/>
      </w:pPr>
      <w:r>
        <w:t xml:space="preserve">The evidence establishes that WD </w:t>
      </w:r>
      <w:r w:rsidR="00003593">
        <w:t xml:space="preserve">and CPED </w:t>
      </w:r>
      <w:r>
        <w:t>made t</w:t>
      </w:r>
      <w:r w:rsidR="00A2370F">
        <w:t>wo</w:t>
      </w:r>
      <w:r>
        <w:t xml:space="preserve"> data requests on the following dates: October 11, </w:t>
      </w:r>
      <w:proofErr w:type="gramStart"/>
      <w:r>
        <w:t>2024</w:t>
      </w:r>
      <w:proofErr w:type="gramEnd"/>
      <w:r w:rsidR="00A2370F">
        <w:t xml:space="preserve"> and</w:t>
      </w:r>
      <w:r>
        <w:t xml:space="preserve"> September 22, 2025.  On October 11, 2024, Havasu respond</w:t>
      </w:r>
      <w:r w:rsidR="004E4DA3">
        <w:t>ed</w:t>
      </w:r>
      <w:r>
        <w:t xml:space="preserve"> to WD’s data request.  </w:t>
      </w:r>
      <w:r w:rsidR="0040626F">
        <w:t xml:space="preserve">In the response </w:t>
      </w:r>
      <w:r>
        <w:t>Havasu stated that it was “</w:t>
      </w:r>
      <w:r w:rsidRPr="00FA4D68">
        <w:t>awaiting further information from SBCFD and will provide further information upon receipt</w:t>
      </w:r>
      <w:r>
        <w:t>”</w:t>
      </w:r>
      <w:r w:rsidRPr="00FA4D68">
        <w:t>.</w:t>
      </w:r>
      <w:r>
        <w:rPr>
          <w:rStyle w:val="FootnoteReference"/>
        </w:rPr>
        <w:footnoteReference w:id="123"/>
      </w:r>
      <w:r>
        <w:t xml:space="preserve">  </w:t>
      </w:r>
      <w:r w:rsidR="003670ED">
        <w:t xml:space="preserve">It is determined that </w:t>
      </w:r>
      <w:r>
        <w:t xml:space="preserve">Havasu never provided </w:t>
      </w:r>
      <w:r w:rsidR="003670ED">
        <w:t xml:space="preserve">WD </w:t>
      </w:r>
      <w:r w:rsidR="003670ED">
        <w:lastRenderedPageBreak/>
        <w:t>with the</w:t>
      </w:r>
      <w:r w:rsidR="007003AC">
        <w:t xml:space="preserve"> </w:t>
      </w:r>
      <w:r w:rsidR="003670ED">
        <w:t>information from SBCFD</w:t>
      </w:r>
      <w:r w:rsidR="007003AC">
        <w:t xml:space="preserve">.  This </w:t>
      </w:r>
      <w:r w:rsidR="00560112">
        <w:t xml:space="preserve">is </w:t>
      </w:r>
      <w:proofErr w:type="gramStart"/>
      <w:r w:rsidR="00560112">
        <w:t>based</w:t>
      </w:r>
      <w:r w:rsidR="003670ED">
        <w:t xml:space="preserve"> on the fact that</w:t>
      </w:r>
      <w:proofErr w:type="gramEnd"/>
      <w:r w:rsidR="003670ED">
        <w:t xml:space="preserve"> WD sent </w:t>
      </w:r>
      <w:r w:rsidR="00D25233">
        <w:t>a</w:t>
      </w:r>
      <w:r w:rsidR="003670ED">
        <w:t xml:space="preserve"> data request for the same SBCFD information on September 22, 2025</w:t>
      </w:r>
      <w:r>
        <w:t>.</w:t>
      </w:r>
      <w:r>
        <w:rPr>
          <w:rStyle w:val="FootnoteReference"/>
        </w:rPr>
        <w:footnoteReference w:id="124"/>
      </w:r>
    </w:p>
    <w:p w:rsidR="00D96718" w:rsidP="00DB4ADD" w:rsidRDefault="00325B39" w14:paraId="31E8963A" w14:textId="3CD6FFD7">
      <w:pPr>
        <w:pStyle w:val="Standard"/>
      </w:pPr>
      <w:r w:rsidRPr="00225523">
        <w:t xml:space="preserve">Havasu failed to </w:t>
      </w:r>
      <w:r w:rsidR="000F3CE5">
        <w:t>offer</w:t>
      </w:r>
      <w:r w:rsidRPr="00225523">
        <w:t xml:space="preserve"> any evidence or testimony in </w:t>
      </w:r>
      <w:r>
        <w:t>defense of its position</w:t>
      </w:r>
      <w:r w:rsidR="009A5E5E">
        <w:t xml:space="preserve"> that it </w:t>
      </w:r>
      <w:r w:rsidR="00CD3433">
        <w:t>had contacted SBCFD and was awaiting documentation</w:t>
      </w:r>
      <w:r>
        <w:t xml:space="preserve">.  </w:t>
      </w:r>
      <w:r w:rsidR="00D96718">
        <w:t xml:space="preserve">As such, it is determined that Havasu violated Pub. Util. Code § 702 when it failed to provide WD the data requested in the October 11, </w:t>
      </w:r>
      <w:proofErr w:type="gramStart"/>
      <w:r w:rsidR="00D96718">
        <w:t>2024</w:t>
      </w:r>
      <w:proofErr w:type="gramEnd"/>
      <w:r w:rsidR="00D96718">
        <w:t xml:space="preserve"> data request.</w:t>
      </w:r>
    </w:p>
    <w:p w:rsidR="00720525" w:rsidP="00720525" w:rsidRDefault="00851C04" w14:paraId="0D820BA2" w14:textId="34F9E4F6">
      <w:pPr>
        <w:pStyle w:val="Standard"/>
      </w:pPr>
      <w:r>
        <w:t>As noted</w:t>
      </w:r>
      <w:r w:rsidR="00D457E2">
        <w:t>,</w:t>
      </w:r>
      <w:r>
        <w:t xml:space="preserve"> </w:t>
      </w:r>
      <w:r>
        <w:rPr>
          <w:i/>
          <w:iCs/>
        </w:rPr>
        <w:t>supra,</w:t>
      </w:r>
      <w:r w:rsidR="00D457E2">
        <w:rPr>
          <w:i/>
          <w:iCs/>
        </w:rPr>
        <w:t xml:space="preserve"> </w:t>
      </w:r>
      <w:r w:rsidR="00D457E2">
        <w:t>o</w:t>
      </w:r>
      <w:r w:rsidRPr="00720525" w:rsidR="00720525">
        <w:t xml:space="preserve">n September 22, 2025, </w:t>
      </w:r>
      <w:r w:rsidR="00003593">
        <w:t>CPED</w:t>
      </w:r>
      <w:r w:rsidRPr="00720525" w:rsidR="00720525">
        <w:t xml:space="preserve"> served </w:t>
      </w:r>
      <w:r w:rsidR="00825AD4">
        <w:t>a</w:t>
      </w:r>
      <w:r w:rsidRPr="00720525" w:rsidR="00720525">
        <w:t xml:space="preserve"> data request upon Havasu. </w:t>
      </w:r>
      <w:r w:rsidR="00720525">
        <w:t xml:space="preserve"> </w:t>
      </w:r>
      <w:r w:rsidRPr="00720525" w:rsidR="00720525">
        <w:t>As th</w:t>
      </w:r>
      <w:r w:rsidR="009407EF">
        <w:t>is</w:t>
      </w:r>
      <w:r w:rsidRPr="00720525" w:rsidR="00720525">
        <w:t xml:space="preserve"> data request w</w:t>
      </w:r>
      <w:r w:rsidR="009407EF">
        <w:t>as</w:t>
      </w:r>
      <w:r w:rsidRPr="00720525" w:rsidR="00720525">
        <w:t xml:space="preserve"> issued during this proceeding, </w:t>
      </w:r>
      <w:r w:rsidR="00DF7B49">
        <w:t>it is</w:t>
      </w:r>
      <w:r w:rsidRPr="00720525" w:rsidR="00720525">
        <w:t xml:space="preserve"> </w:t>
      </w:r>
      <w:r w:rsidR="00DB3464">
        <w:t>considered</w:t>
      </w:r>
      <w:r w:rsidRPr="00720525" w:rsidR="00720525">
        <w:t xml:space="preserve"> </w:t>
      </w:r>
      <w:r w:rsidR="00DF7B49">
        <w:t xml:space="preserve">a </w:t>
      </w:r>
      <w:r w:rsidRPr="00720525" w:rsidR="00720525">
        <w:t xml:space="preserve">discovery request. </w:t>
      </w:r>
      <w:r w:rsidR="00DB3464">
        <w:t xml:space="preserve"> </w:t>
      </w:r>
      <w:r w:rsidRPr="00720525" w:rsidR="00720525">
        <w:t xml:space="preserve">Havasu timely objected to the September 22 discovery request. </w:t>
      </w:r>
      <w:r w:rsidR="00DB3464">
        <w:t xml:space="preserve"> </w:t>
      </w:r>
      <w:r w:rsidRPr="00720525" w:rsidR="00720525">
        <w:t xml:space="preserve">Following Havasu’s objections, </w:t>
      </w:r>
      <w:r w:rsidR="009E3C3A">
        <w:t xml:space="preserve">the correct course of </w:t>
      </w:r>
      <w:r w:rsidR="00223270">
        <w:t xml:space="preserve">legal </w:t>
      </w:r>
      <w:r w:rsidR="009E3C3A">
        <w:t xml:space="preserve">action was for </w:t>
      </w:r>
      <w:r w:rsidRPr="00720525" w:rsidR="00720525">
        <w:t xml:space="preserve">CPED to </w:t>
      </w:r>
      <w:r w:rsidR="004A094C">
        <w:t xml:space="preserve">either </w:t>
      </w:r>
      <w:r w:rsidRPr="00720525" w:rsidR="00720525">
        <w:t>file a motion to compel</w:t>
      </w:r>
      <w:r w:rsidR="004A094C">
        <w:t xml:space="preserve"> or request a ruling</w:t>
      </w:r>
      <w:r w:rsidRPr="00720525" w:rsidR="00720525">
        <w:t xml:space="preserve">, thereby permitting the </w:t>
      </w:r>
      <w:r w:rsidR="00E96F46">
        <w:t xml:space="preserve">assigned </w:t>
      </w:r>
      <w:r w:rsidR="000B2696">
        <w:t>ALJ</w:t>
      </w:r>
      <w:r w:rsidRPr="00720525" w:rsidR="00720525">
        <w:t xml:space="preserve"> </w:t>
      </w:r>
      <w:r w:rsidR="00E96F46">
        <w:t xml:space="preserve">an opportunity </w:t>
      </w:r>
      <w:r w:rsidRPr="00720525" w:rsidR="00720525">
        <w:t xml:space="preserve">to issue a ruling on the disputed discovery. </w:t>
      </w:r>
      <w:r w:rsidR="00E96F46">
        <w:t xml:space="preserve"> </w:t>
      </w:r>
      <w:r w:rsidR="00223270">
        <w:t xml:space="preserve">Had Havasu failed to comply with </w:t>
      </w:r>
      <w:r w:rsidR="009E13E9">
        <w:t xml:space="preserve">the assigned ALJ’s order, then a Rule 1.1 violation would have occurred.  Here, CPED failed to follow the correct </w:t>
      </w:r>
      <w:r w:rsidR="00E47647">
        <w:t>administrative</w:t>
      </w:r>
      <w:r w:rsidR="008B3E55">
        <w:t>/legal procedure</w:t>
      </w:r>
      <w:r w:rsidR="004B0281">
        <w:t>.</w:t>
      </w:r>
    </w:p>
    <w:p w:rsidR="007E2353" w:rsidP="005B3681" w:rsidRDefault="00D96718" w14:paraId="5A0025B9" w14:textId="657A3348">
      <w:pPr>
        <w:pStyle w:val="Standard"/>
      </w:pPr>
      <w:r>
        <w:t xml:space="preserve">  As such, Havasu did not violate Pub. Util. Code § 702 when </w:t>
      </w:r>
      <w:r w:rsidR="004B0281">
        <w:t>it</w:t>
      </w:r>
      <w:r>
        <w:t xml:space="preserve"> did not respond to </w:t>
      </w:r>
      <w:r w:rsidR="000E6F0E">
        <w:t>CPED</w:t>
      </w:r>
      <w:r>
        <w:t xml:space="preserve">’s September 22, </w:t>
      </w:r>
      <w:proofErr w:type="gramStart"/>
      <w:r>
        <w:t>2025</w:t>
      </w:r>
      <w:proofErr w:type="gramEnd"/>
      <w:r>
        <w:t xml:space="preserve"> data request because discovery requests that are not complied with must be brought to the attention of the </w:t>
      </w:r>
      <w:r w:rsidR="00E47647">
        <w:t xml:space="preserve">assigned </w:t>
      </w:r>
      <w:r>
        <w:t xml:space="preserve">ALJ through </w:t>
      </w:r>
      <w:r w:rsidR="00136981">
        <w:t xml:space="preserve">either </w:t>
      </w:r>
      <w:r>
        <w:t>a motion to compel</w:t>
      </w:r>
      <w:r w:rsidR="00136981">
        <w:t xml:space="preserve"> or </w:t>
      </w:r>
      <w:r w:rsidR="00027DA3">
        <w:t>request a ruling</w:t>
      </w:r>
      <w:r w:rsidR="001D3173">
        <w:t xml:space="preserve"> </w:t>
      </w:r>
      <w:r w:rsidR="00E05A0E">
        <w:t>that</w:t>
      </w:r>
      <w:r>
        <w:t xml:space="preserve"> was not done here.</w:t>
      </w:r>
    </w:p>
    <w:p w:rsidR="00E741E6" w:rsidP="00180B0C" w:rsidRDefault="00857BD2" w14:paraId="4E3F6569" w14:textId="5E7F9766">
      <w:pPr>
        <w:pStyle w:val="Heading3"/>
      </w:pPr>
      <w:bookmarkStart w:name="_Toc221259550" w:id="34"/>
      <w:r>
        <w:t xml:space="preserve">On April 8, 2024, </w:t>
      </w:r>
      <w:r w:rsidR="00E741E6">
        <w:t xml:space="preserve">Havasu </w:t>
      </w:r>
      <w:r>
        <w:t xml:space="preserve">Violated Pub. Util. Code § 702 When </w:t>
      </w:r>
      <w:r w:rsidR="004E4DA3">
        <w:t>I</w:t>
      </w:r>
      <w:r>
        <w:t xml:space="preserve">t </w:t>
      </w:r>
      <w:r w:rsidR="00E741E6">
        <w:t xml:space="preserve">Failed to Comply with Commission </w:t>
      </w:r>
      <w:r w:rsidR="00DA4C37">
        <w:t>D.24-03-053</w:t>
      </w:r>
      <w:bookmarkEnd w:id="34"/>
    </w:p>
    <w:p w:rsidR="00DA4C37" w:rsidP="00DA4C37" w:rsidRDefault="00CC3975" w14:paraId="6E8B1E7C" w14:textId="78ED2DD3">
      <w:pPr>
        <w:pStyle w:val="Standard"/>
      </w:pPr>
      <w:r>
        <w:t>CPED alleges that Havasu violated Pub. Util. Code § 702 when it failed to comply with D.24-03-053 by rebilling its customers on April 8, 2024.</w:t>
      </w:r>
      <w:r>
        <w:rPr>
          <w:rStyle w:val="FootnoteReference"/>
        </w:rPr>
        <w:footnoteReference w:id="125"/>
      </w:r>
      <w:r>
        <w:t xml:space="preserve">  </w:t>
      </w:r>
    </w:p>
    <w:p w:rsidR="00A81748" w:rsidP="00A81748" w:rsidRDefault="00A81748" w14:paraId="49F629A2" w14:textId="77777777">
      <w:pPr>
        <w:pStyle w:val="Standard"/>
      </w:pPr>
      <w:r>
        <w:lastRenderedPageBreak/>
        <w:t>Pub. Util. Code § 702 states that:</w:t>
      </w:r>
    </w:p>
    <w:p w:rsidR="00796F3A" w:rsidP="00946C7A" w:rsidRDefault="00A81748" w14:paraId="5679884B" w14:textId="40608733">
      <w:pPr>
        <w:pStyle w:val="Standard"/>
        <w:spacing w:after="120" w:line="240" w:lineRule="auto"/>
        <w:ind w:left="720" w:firstLine="0"/>
      </w:pPr>
      <w:r>
        <w:t xml:space="preserve">Every public utility shall obey and comply with every order, decision, direction, or rule made or prescribed by the commission in the matters specified in this part, or any other matter in any way relating to or affecting its business as a public </w:t>
      </w:r>
      <w:r w:rsidR="00FA0299">
        <w:t>utility and</w:t>
      </w:r>
      <w:r>
        <w:t xml:space="preserve"> shall do everything necessary or proper to secure compliance therewith by all of its officers, agents, and employees.</w:t>
      </w:r>
    </w:p>
    <w:p w:rsidR="009C293E" w:rsidP="00796F3A" w:rsidRDefault="009C293E" w14:paraId="51D778A9" w14:textId="6F1C0E6B">
      <w:pPr>
        <w:pStyle w:val="Standard"/>
      </w:pPr>
      <w:r>
        <w:t>D.24-03-053 concern</w:t>
      </w:r>
      <w:r w:rsidR="00423F71">
        <w:t>s</w:t>
      </w:r>
      <w:r>
        <w:t xml:space="preserve"> Gary Chamberlin, Charles Ramsden and Susan Wilson (Complainants) who allege that Havasu erred in calculating their water bills while not providing water and charged them unwarranted penalties and late fees.</w:t>
      </w:r>
      <w:r>
        <w:rPr>
          <w:rStyle w:val="FootnoteReference"/>
        </w:rPr>
        <w:footnoteReference w:id="126"/>
      </w:r>
      <w:r>
        <w:t xml:space="preserve">  In </w:t>
      </w:r>
      <w:bookmarkStart w:name="_Hlk219371245" w:id="35"/>
      <w:r>
        <w:t>D.24-03-053</w:t>
      </w:r>
      <w:bookmarkEnd w:id="35"/>
      <w:r>
        <w:t>, the assigned ALJ ordered Havasu to remove all late fees from Complainants’ bills from 2021 forward.</w:t>
      </w:r>
      <w:r>
        <w:rPr>
          <w:rStyle w:val="FootnoteReference"/>
        </w:rPr>
        <w:footnoteReference w:id="127"/>
      </w:r>
    </w:p>
    <w:p w:rsidRPr="00AF713E" w:rsidR="00D36C99" w:rsidP="00637452" w:rsidRDefault="009C293E" w14:paraId="3584F1A0" w14:textId="004A833D">
      <w:pPr>
        <w:pStyle w:val="Standard"/>
        <w:spacing w:after="120"/>
        <w:ind w:firstLine="0"/>
      </w:pPr>
      <w:r>
        <w:tab/>
        <w:t>On or about April 8, 2024, Havasu issued Gary Chamberlin a bill which included late fees from 2021 forward.</w:t>
      </w:r>
      <w:r>
        <w:rPr>
          <w:rStyle w:val="FootnoteReference"/>
        </w:rPr>
        <w:footnoteReference w:id="128"/>
      </w:r>
      <w:r>
        <w:t xml:space="preserve">  The bill shows the following:</w:t>
      </w:r>
      <w:r>
        <w:rPr>
          <w:rStyle w:val="FootnoteReference"/>
        </w:rPr>
        <w:footnoteReference w:id="129"/>
      </w:r>
    </w:p>
    <w:tbl>
      <w:tblPr>
        <w:tblStyle w:val="TableGrid"/>
        <w:tblW w:w="0" w:type="auto"/>
        <w:tblLook w:val="04A0" w:firstRow="1" w:lastRow="0" w:firstColumn="1" w:lastColumn="0" w:noHBand="0" w:noVBand="1"/>
      </w:tblPr>
      <w:tblGrid>
        <w:gridCol w:w="3116"/>
        <w:gridCol w:w="3117"/>
        <w:gridCol w:w="3117"/>
      </w:tblGrid>
      <w:tr w:rsidR="009C293E" w:rsidTr="0017296F" w14:paraId="45694A98" w14:textId="77777777">
        <w:tc>
          <w:tcPr>
            <w:tcW w:w="3116" w:type="dxa"/>
          </w:tcPr>
          <w:p w:rsidR="009C293E" w:rsidP="0017296F" w:rsidRDefault="009C293E" w14:paraId="7B6C6F2B" w14:textId="77777777">
            <w:pPr>
              <w:pStyle w:val="Standard"/>
              <w:ind w:firstLine="0"/>
            </w:pPr>
            <w:r>
              <w:t>Date</w:t>
            </w:r>
          </w:p>
        </w:tc>
        <w:tc>
          <w:tcPr>
            <w:tcW w:w="3117" w:type="dxa"/>
          </w:tcPr>
          <w:p w:rsidR="009C293E" w:rsidP="0017296F" w:rsidRDefault="009C293E" w14:paraId="09F1B1B9" w14:textId="77777777">
            <w:pPr>
              <w:pStyle w:val="Standard"/>
              <w:ind w:firstLine="0"/>
            </w:pPr>
            <w:r>
              <w:t>Description</w:t>
            </w:r>
          </w:p>
        </w:tc>
        <w:tc>
          <w:tcPr>
            <w:tcW w:w="3117" w:type="dxa"/>
          </w:tcPr>
          <w:p w:rsidR="009C293E" w:rsidP="0017296F" w:rsidRDefault="009C293E" w14:paraId="183BB3B1" w14:textId="77777777">
            <w:pPr>
              <w:pStyle w:val="Standard"/>
              <w:ind w:firstLine="0"/>
            </w:pPr>
            <w:r>
              <w:t>Amount</w:t>
            </w:r>
          </w:p>
        </w:tc>
      </w:tr>
      <w:tr w:rsidR="009C293E" w:rsidTr="0017296F" w14:paraId="2D007781" w14:textId="77777777">
        <w:tc>
          <w:tcPr>
            <w:tcW w:w="3116" w:type="dxa"/>
          </w:tcPr>
          <w:p w:rsidR="009C293E" w:rsidP="0017296F" w:rsidRDefault="009C293E" w14:paraId="735F7305" w14:textId="77777777">
            <w:pPr>
              <w:pStyle w:val="Standard"/>
              <w:ind w:firstLine="0"/>
            </w:pPr>
            <w:r>
              <w:t>3/28/24</w:t>
            </w:r>
          </w:p>
        </w:tc>
        <w:tc>
          <w:tcPr>
            <w:tcW w:w="3117" w:type="dxa"/>
          </w:tcPr>
          <w:p w:rsidR="009C293E" w:rsidP="0017296F" w:rsidRDefault="009C293E" w14:paraId="2FCC83CC" w14:textId="77777777">
            <w:pPr>
              <w:pStyle w:val="Standard"/>
              <w:ind w:firstLine="0"/>
            </w:pPr>
            <w:r>
              <w:t>Previous Balance</w:t>
            </w:r>
          </w:p>
        </w:tc>
        <w:tc>
          <w:tcPr>
            <w:tcW w:w="3117" w:type="dxa"/>
          </w:tcPr>
          <w:p w:rsidR="009C293E" w:rsidP="0017296F" w:rsidRDefault="009C293E" w14:paraId="53E9020C" w14:textId="77777777">
            <w:pPr>
              <w:pStyle w:val="Standard"/>
              <w:ind w:firstLine="0"/>
            </w:pPr>
            <w:r>
              <w:t>$198.70</w:t>
            </w:r>
          </w:p>
        </w:tc>
      </w:tr>
      <w:tr w:rsidR="009C293E" w:rsidTr="0017296F" w14:paraId="799D0117" w14:textId="77777777">
        <w:tc>
          <w:tcPr>
            <w:tcW w:w="3116" w:type="dxa"/>
          </w:tcPr>
          <w:p w:rsidR="009C293E" w:rsidP="0017296F" w:rsidRDefault="009C293E" w14:paraId="05F54DFC" w14:textId="77777777">
            <w:pPr>
              <w:pStyle w:val="Standard"/>
              <w:ind w:firstLine="0"/>
            </w:pPr>
            <w:r>
              <w:t>4/8/24</w:t>
            </w:r>
          </w:p>
        </w:tc>
        <w:tc>
          <w:tcPr>
            <w:tcW w:w="3117" w:type="dxa"/>
          </w:tcPr>
          <w:p w:rsidR="009C293E" w:rsidP="0017296F" w:rsidRDefault="009C293E" w14:paraId="2EBD5FEA" w14:textId="77777777">
            <w:pPr>
              <w:pStyle w:val="Standard"/>
              <w:ind w:firstLine="0"/>
            </w:pPr>
            <w:r>
              <w:t>Late Charge</w:t>
            </w:r>
          </w:p>
        </w:tc>
        <w:tc>
          <w:tcPr>
            <w:tcW w:w="3117" w:type="dxa"/>
          </w:tcPr>
          <w:p w:rsidR="009C293E" w:rsidP="0017296F" w:rsidRDefault="009C293E" w14:paraId="321563A8" w14:textId="77777777">
            <w:pPr>
              <w:pStyle w:val="Standard"/>
              <w:ind w:firstLine="0"/>
            </w:pPr>
            <w:r>
              <w:t>$475.00</w:t>
            </w:r>
          </w:p>
        </w:tc>
      </w:tr>
      <w:tr w:rsidR="009C293E" w:rsidTr="0017296F" w14:paraId="324EE184" w14:textId="77777777">
        <w:tc>
          <w:tcPr>
            <w:tcW w:w="3116" w:type="dxa"/>
          </w:tcPr>
          <w:p w:rsidR="009C293E" w:rsidP="0017296F" w:rsidRDefault="009C293E" w14:paraId="173FC020" w14:textId="77777777">
            <w:pPr>
              <w:pStyle w:val="Standard"/>
              <w:ind w:firstLine="0"/>
            </w:pPr>
            <w:r>
              <w:t>4/8/24</w:t>
            </w:r>
          </w:p>
        </w:tc>
        <w:tc>
          <w:tcPr>
            <w:tcW w:w="3117" w:type="dxa"/>
          </w:tcPr>
          <w:p w:rsidR="009C293E" w:rsidP="0017296F" w:rsidRDefault="009C293E" w14:paraId="03BA4D57" w14:textId="77777777">
            <w:pPr>
              <w:pStyle w:val="Standard"/>
              <w:ind w:firstLine="0"/>
            </w:pPr>
            <w:r>
              <w:t>Previous Balance</w:t>
            </w:r>
          </w:p>
        </w:tc>
        <w:tc>
          <w:tcPr>
            <w:tcW w:w="3117" w:type="dxa"/>
          </w:tcPr>
          <w:p w:rsidR="009C293E" w:rsidP="0017296F" w:rsidRDefault="009C293E" w14:paraId="1D35C18C" w14:textId="77777777">
            <w:pPr>
              <w:pStyle w:val="Standard"/>
              <w:ind w:firstLine="0"/>
            </w:pPr>
            <w:r>
              <w:t>$1,940.02</w:t>
            </w:r>
          </w:p>
        </w:tc>
      </w:tr>
      <w:tr w:rsidR="009C293E" w:rsidTr="0017296F" w14:paraId="3630EF22" w14:textId="77777777">
        <w:tc>
          <w:tcPr>
            <w:tcW w:w="3116" w:type="dxa"/>
          </w:tcPr>
          <w:p w:rsidR="009C293E" w:rsidP="0017296F" w:rsidRDefault="009C293E" w14:paraId="172E4DA3" w14:textId="77777777">
            <w:pPr>
              <w:pStyle w:val="Standard"/>
              <w:ind w:firstLine="0"/>
            </w:pPr>
          </w:p>
        </w:tc>
        <w:tc>
          <w:tcPr>
            <w:tcW w:w="3117" w:type="dxa"/>
          </w:tcPr>
          <w:p w:rsidR="009C293E" w:rsidP="0017296F" w:rsidRDefault="009C293E" w14:paraId="66652108" w14:textId="77777777">
            <w:pPr>
              <w:pStyle w:val="Standard"/>
              <w:ind w:firstLine="0"/>
            </w:pPr>
            <w:r>
              <w:t>Total</w:t>
            </w:r>
          </w:p>
        </w:tc>
        <w:tc>
          <w:tcPr>
            <w:tcW w:w="3117" w:type="dxa"/>
          </w:tcPr>
          <w:p w:rsidR="009C293E" w:rsidP="0017296F" w:rsidRDefault="009C293E" w14:paraId="50B1204C" w14:textId="77777777">
            <w:pPr>
              <w:pStyle w:val="Standard"/>
              <w:ind w:firstLine="0"/>
            </w:pPr>
            <w:r>
              <w:t>$2,613.72</w:t>
            </w:r>
          </w:p>
        </w:tc>
      </w:tr>
    </w:tbl>
    <w:p w:rsidR="009C293E" w:rsidP="009C293E" w:rsidRDefault="009C293E" w14:paraId="0E52B7EE" w14:textId="77777777">
      <w:pPr>
        <w:pStyle w:val="Standard"/>
        <w:ind w:firstLine="0"/>
      </w:pPr>
    </w:p>
    <w:p w:rsidR="009C293E" w:rsidP="009C293E" w:rsidRDefault="009C293E" w14:paraId="1666F15E" w14:textId="4054916A">
      <w:pPr>
        <w:pStyle w:val="Standard"/>
        <w:ind w:firstLine="0"/>
      </w:pPr>
      <w:r>
        <w:tab/>
        <w:t>On June 3, 2024, the assigned ALJ</w:t>
      </w:r>
      <w:r w:rsidR="00C954C3">
        <w:t xml:space="preserve">, </w:t>
      </w:r>
      <w:proofErr w:type="gramStart"/>
      <w:r w:rsidR="00C954C3">
        <w:t>in</w:t>
      </w:r>
      <w:proofErr w:type="gramEnd"/>
      <w:r w:rsidR="00C954C3">
        <w:t xml:space="preserve"> </w:t>
      </w:r>
      <w:r w:rsidR="00B6375D">
        <w:t>C.23-02-009</w:t>
      </w:r>
      <w:r w:rsidR="00B60ECC">
        <w:t>,</w:t>
      </w:r>
      <w:r>
        <w:t xml:space="preserve"> issued a </w:t>
      </w:r>
      <w:proofErr w:type="gramStart"/>
      <w:r>
        <w:t>cease and desist</w:t>
      </w:r>
      <w:proofErr w:type="gramEnd"/>
      <w:r>
        <w:t xml:space="preserve"> ruling/order to show cause as to why Havasu should not be sanctioned for its </w:t>
      </w:r>
      <w:r>
        <w:lastRenderedPageBreak/>
        <w:t>actions towards the Complainants in seeking reimbursement for bill already adjudicated as unearned between March 2022 and March 2023.</w:t>
      </w:r>
      <w:r>
        <w:rPr>
          <w:rStyle w:val="FootnoteReference"/>
        </w:rPr>
        <w:footnoteReference w:id="130"/>
      </w:r>
    </w:p>
    <w:p w:rsidRPr="00A54ACF" w:rsidR="00A54ACF" w:rsidP="00A54ACF" w:rsidRDefault="00A54ACF" w14:paraId="563C6161" w14:textId="170662EF">
      <w:pPr>
        <w:pStyle w:val="Standard"/>
      </w:pPr>
      <w:r w:rsidRPr="00A54ACF">
        <w:t xml:space="preserve">The </w:t>
      </w:r>
      <w:r w:rsidR="00D92682">
        <w:t xml:space="preserve">evidence establishes </w:t>
      </w:r>
      <w:r w:rsidRPr="00A54ACF">
        <w:t xml:space="preserve">that the </w:t>
      </w:r>
      <w:r w:rsidR="00A61B52">
        <w:t>Commission</w:t>
      </w:r>
      <w:r w:rsidR="00D92682">
        <w:t xml:space="preserve"> </w:t>
      </w:r>
      <w:r w:rsidRPr="00A54ACF">
        <w:t xml:space="preserve">in </w:t>
      </w:r>
      <w:r w:rsidRPr="00B6375D" w:rsidR="00B6375D">
        <w:t>C.23-02-009</w:t>
      </w:r>
      <w:r w:rsidR="00C76A8E">
        <w:t xml:space="preserve"> </w:t>
      </w:r>
      <w:r w:rsidRPr="00A54ACF">
        <w:t>ordered Havasu to remove all late fees from the Complainants’ bills from 2021 forward.</w:t>
      </w:r>
      <w:r w:rsidR="00D92682">
        <w:rPr>
          <w:rStyle w:val="FootnoteReference"/>
        </w:rPr>
        <w:footnoteReference w:id="131"/>
      </w:r>
      <w:r w:rsidRPr="00A54ACF">
        <w:t xml:space="preserve"> </w:t>
      </w:r>
      <w:r w:rsidR="00107D11">
        <w:t xml:space="preserve"> </w:t>
      </w:r>
      <w:r w:rsidRPr="00A54ACF">
        <w:t>Havasu itself supported the removal of such late fees during the proceeding.</w:t>
      </w:r>
      <w:r w:rsidR="00D92682">
        <w:rPr>
          <w:rStyle w:val="FootnoteReference"/>
        </w:rPr>
        <w:footnoteReference w:id="132"/>
      </w:r>
    </w:p>
    <w:p w:rsidRPr="00A54ACF" w:rsidR="00A54ACF" w:rsidP="00A54ACF" w:rsidRDefault="00A54ACF" w14:paraId="6570BCD9" w14:textId="2F559025">
      <w:pPr>
        <w:pStyle w:val="Standard"/>
      </w:pPr>
      <w:r w:rsidRPr="00A54ACF">
        <w:t xml:space="preserve">Despite </w:t>
      </w:r>
      <w:r w:rsidRPr="00A54ACF" w:rsidR="00A61B52">
        <w:t>th</w:t>
      </w:r>
      <w:r w:rsidR="00A61B52">
        <w:t>e</w:t>
      </w:r>
      <w:r w:rsidRPr="00A54ACF" w:rsidR="00A61B52">
        <w:t xml:space="preserve"> </w:t>
      </w:r>
      <w:r w:rsidRPr="00A54ACF">
        <w:t xml:space="preserve">clear </w:t>
      </w:r>
      <w:r w:rsidR="0093329A">
        <w:t>order</w:t>
      </w:r>
      <w:r w:rsidR="00A61B52">
        <w:t xml:space="preserve"> set forth in D.24-03-053</w:t>
      </w:r>
      <w:r w:rsidRPr="00A54ACF">
        <w:t xml:space="preserve">, on April 8, 2024, Havasu failed to comply with the </w:t>
      </w:r>
      <w:r w:rsidR="00A61B52">
        <w:t>Commission’s</w:t>
      </w:r>
      <w:r w:rsidRPr="00A54ACF" w:rsidR="00A61B52">
        <w:t xml:space="preserve"> </w:t>
      </w:r>
      <w:r w:rsidRPr="00A54ACF">
        <w:t>order in D.24</w:t>
      </w:r>
      <w:r w:rsidRPr="00A54ACF">
        <w:noBreakHyphen/>
        <w:t>03</w:t>
      </w:r>
      <w:r w:rsidRPr="00A54ACF">
        <w:noBreakHyphen/>
        <w:t>0</w:t>
      </w:r>
      <w:r w:rsidR="00C2730E">
        <w:t>53</w:t>
      </w:r>
      <w:r w:rsidRPr="00A54ACF">
        <w:t xml:space="preserve"> by rebilling the Complainants for late fees </w:t>
      </w:r>
      <w:r w:rsidR="00EC27FB">
        <w:t>from 2021 forward</w:t>
      </w:r>
      <w:r w:rsidRPr="00A54ACF">
        <w:t>.</w:t>
      </w:r>
      <w:r w:rsidR="00A1466C">
        <w:rPr>
          <w:rStyle w:val="FootnoteReference"/>
        </w:rPr>
        <w:footnoteReference w:id="133"/>
      </w:r>
      <w:r w:rsidRPr="00A54ACF">
        <w:t xml:space="preserve"> </w:t>
      </w:r>
      <w:r w:rsidR="007E152D">
        <w:t xml:space="preserve"> </w:t>
      </w:r>
      <w:r w:rsidRPr="00A54ACF">
        <w:t>In its Rehearing Request, Havasu admits that it intentionally rebilled the Complainants for these late fees.</w:t>
      </w:r>
      <w:r w:rsidR="00A1466C">
        <w:rPr>
          <w:rStyle w:val="FootnoteReference"/>
        </w:rPr>
        <w:footnoteReference w:id="134"/>
      </w:r>
      <w:r w:rsidR="00A1466C">
        <w:t xml:space="preserve">  </w:t>
      </w:r>
    </w:p>
    <w:p w:rsidR="009C293E" w:rsidP="00EF0A3B" w:rsidRDefault="001B0359" w14:paraId="064656B4" w14:textId="5734D16B">
      <w:pPr>
        <w:pStyle w:val="Standard"/>
      </w:pPr>
      <w:r>
        <w:t xml:space="preserve">The </w:t>
      </w:r>
      <w:r w:rsidR="00A61B52">
        <w:t xml:space="preserve">Commission’s </w:t>
      </w:r>
      <w:r>
        <w:t>order</w:t>
      </w:r>
      <w:r w:rsidR="00996F7F">
        <w:t xml:space="preserve"> in D.24-03-05</w:t>
      </w:r>
      <w:r w:rsidR="00235726">
        <w:t>3</w:t>
      </w:r>
      <w:r w:rsidR="00996F7F">
        <w:t xml:space="preserve"> represents a final judgement on </w:t>
      </w:r>
      <w:r w:rsidR="009D6E87">
        <w:t xml:space="preserve">all issues related to </w:t>
      </w:r>
      <w:r w:rsidR="0013758B">
        <w:t>C.23-02-009</w:t>
      </w:r>
      <w:r w:rsidR="00996F7F">
        <w:t>.</w:t>
      </w:r>
      <w:r w:rsidR="003041B3">
        <w:rPr>
          <w:rStyle w:val="FootnoteReference"/>
        </w:rPr>
        <w:footnoteReference w:id="135"/>
      </w:r>
      <w:r w:rsidR="00996F7F">
        <w:t xml:space="preserve">  </w:t>
      </w:r>
      <w:r w:rsidRPr="00A54ACF" w:rsidR="00A54ACF">
        <w:t xml:space="preserve">Accordingly, Havasu is not entitled to recover any late fees from the Complainants, and its attempt to do so represents a violation of the </w:t>
      </w:r>
      <w:r w:rsidR="00A61B52">
        <w:t>Commission’s</w:t>
      </w:r>
      <w:r w:rsidRPr="00A54ACF" w:rsidR="00A61B52">
        <w:t xml:space="preserve"> </w:t>
      </w:r>
      <w:r w:rsidRPr="00A54ACF" w:rsidR="00A54ACF">
        <w:t>binding order</w:t>
      </w:r>
      <w:r>
        <w:t xml:space="preserve"> in D.24-03-053.</w:t>
      </w:r>
    </w:p>
    <w:p w:rsidRPr="00DA4C37" w:rsidR="00A81748" w:rsidP="00A81748" w:rsidRDefault="009C293E" w14:paraId="5A905506" w14:textId="5C7856E0">
      <w:pPr>
        <w:pStyle w:val="Standard"/>
        <w:ind w:firstLine="0"/>
      </w:pPr>
      <w:r>
        <w:tab/>
      </w:r>
      <w:r w:rsidRPr="00225523" w:rsidR="00DF67F2">
        <w:t xml:space="preserve">Havasu failed to </w:t>
      </w:r>
      <w:r w:rsidR="000F3CE5">
        <w:t>offer</w:t>
      </w:r>
      <w:r w:rsidRPr="00225523" w:rsidR="00DF67F2">
        <w:t xml:space="preserve"> any evidence or testimony in </w:t>
      </w:r>
      <w:r w:rsidR="00DF67F2">
        <w:t>defense of its position</w:t>
      </w:r>
      <w:r w:rsidR="00EF5C15">
        <w:t xml:space="preserve"> that it complied with the orders </w:t>
      </w:r>
      <w:proofErr w:type="gramStart"/>
      <w:r w:rsidR="00EF5C15">
        <w:t>in</w:t>
      </w:r>
      <w:proofErr w:type="gramEnd"/>
      <w:r w:rsidR="00EF5C15">
        <w:t xml:space="preserve"> D.24-03-053</w:t>
      </w:r>
      <w:r w:rsidR="00DF67F2">
        <w:t xml:space="preserve">.  </w:t>
      </w:r>
      <w:r>
        <w:t>As such, it is determined that Havasu violated Pub. Util. Code §</w:t>
      </w:r>
      <w:r w:rsidR="009958DD">
        <w:t xml:space="preserve"> </w:t>
      </w:r>
      <w:r>
        <w:t xml:space="preserve">702 when it did not comply with D.24-03-053, </w:t>
      </w:r>
      <w:r w:rsidR="0061677B">
        <w:t>O</w:t>
      </w:r>
      <w:r>
        <w:t xml:space="preserve">rdering </w:t>
      </w:r>
      <w:r w:rsidR="0061677B">
        <w:t>P</w:t>
      </w:r>
      <w:r>
        <w:t xml:space="preserve">aragraph 1, which states that </w:t>
      </w:r>
      <w:r w:rsidRPr="007D05C1">
        <w:t xml:space="preserve">Havasu </w:t>
      </w:r>
      <w:r w:rsidR="00EF0A3B">
        <w:t>shall</w:t>
      </w:r>
      <w:r w:rsidRPr="007D05C1">
        <w:t xml:space="preserve"> remove all late fees from the Complainants bills from 2021 forward</w:t>
      </w:r>
      <w:r>
        <w:t xml:space="preserve">.  </w:t>
      </w:r>
    </w:p>
    <w:p w:rsidR="009F5C50" w:rsidP="009F5C50" w:rsidRDefault="009F5C50" w14:paraId="5195049C" w14:textId="09A4C0A7">
      <w:pPr>
        <w:pStyle w:val="Heading2"/>
      </w:pPr>
      <w:bookmarkStart w:name="_Toc221259551" w:id="36"/>
      <w:r>
        <w:lastRenderedPageBreak/>
        <w:t>County – San Bernardino County</w:t>
      </w:r>
      <w:r w:rsidR="00C2730E">
        <w:t xml:space="preserve"> Department of</w:t>
      </w:r>
      <w:r>
        <w:t xml:space="preserve"> </w:t>
      </w:r>
      <w:r w:rsidR="00BE38B9">
        <w:t>Public Works</w:t>
      </w:r>
      <w:r w:rsidR="00E93A9D">
        <w:t xml:space="preserve"> (SBCPW)</w:t>
      </w:r>
      <w:bookmarkEnd w:id="36"/>
    </w:p>
    <w:p w:rsidRPr="00010D84" w:rsidR="00010D84" w:rsidP="00010D84" w:rsidRDefault="00210FE8" w14:paraId="51E757BB" w14:textId="47726D9B">
      <w:pPr>
        <w:pStyle w:val="Standard"/>
      </w:pPr>
      <w:r>
        <w:t>The Operations and Maintenance Division</w:t>
      </w:r>
      <w:r w:rsidR="00490613">
        <w:t xml:space="preserve"> (O&amp;M) </w:t>
      </w:r>
      <w:r>
        <w:t xml:space="preserve">is a division of SBCPW.  The </w:t>
      </w:r>
      <w:r w:rsidR="00490613">
        <w:t>O&amp;M is responsible for maintaining the upkeep of city owned property such as roads</w:t>
      </w:r>
      <w:r w:rsidR="003260A1">
        <w:t>, sidewalks, trees, parkways, medians, maintenance boxes, storm drains, street signs, traffic signals, weed abatement and public parks.</w:t>
      </w:r>
      <w:r w:rsidR="003260A1">
        <w:rPr>
          <w:rStyle w:val="FootnoteReference"/>
        </w:rPr>
        <w:footnoteReference w:id="136"/>
      </w:r>
      <w:r w:rsidR="001A0158">
        <w:t xml:space="preserve">  O&amp;M repairs potholes, remove</w:t>
      </w:r>
      <w:r w:rsidR="00603922">
        <w:t>s</w:t>
      </w:r>
      <w:r w:rsidR="001A0158">
        <w:t xml:space="preserve"> downed trees and </w:t>
      </w:r>
      <w:r w:rsidR="00603922">
        <w:t xml:space="preserve">performs </w:t>
      </w:r>
      <w:r w:rsidR="001A0158">
        <w:t>cleanup after major storms</w:t>
      </w:r>
      <w:r w:rsidR="00D177E7">
        <w:t xml:space="preserve"> and pubic areas where flooding has occurred.</w:t>
      </w:r>
      <w:r w:rsidR="00D177E7">
        <w:rPr>
          <w:rStyle w:val="FootnoteReference"/>
        </w:rPr>
        <w:footnoteReference w:id="137"/>
      </w:r>
      <w:r w:rsidR="00D177E7">
        <w:t xml:space="preserve">  </w:t>
      </w:r>
    </w:p>
    <w:p w:rsidR="009F5C50" w:rsidP="00180B0C" w:rsidRDefault="009F5C50" w14:paraId="7779D08C" w14:textId="1FFAB30D">
      <w:pPr>
        <w:pStyle w:val="Heading3"/>
      </w:pPr>
      <w:bookmarkStart w:name="_Toc221259552" w:id="37"/>
      <w:r>
        <w:t xml:space="preserve">From January 2021 through February 2023, Havasu </w:t>
      </w:r>
      <w:r w:rsidR="004E4DA3">
        <w:t>V</w:t>
      </w:r>
      <w:r>
        <w:t xml:space="preserve">iolated GO 103-A (II)(C)(3) When </w:t>
      </w:r>
      <w:r w:rsidR="004E4DA3">
        <w:t>I</w:t>
      </w:r>
      <w:r>
        <w:t>t Failed to Comply with SBCP</w:t>
      </w:r>
      <w:r w:rsidR="003C6055">
        <w:t xml:space="preserve">W </w:t>
      </w:r>
      <w:r w:rsidR="0047120E">
        <w:t>Safety S</w:t>
      </w:r>
      <w:r w:rsidR="006F273B">
        <w:t>tandards</w:t>
      </w:r>
      <w:r w:rsidR="003C6055">
        <w:t xml:space="preserve"> and </w:t>
      </w:r>
      <w:r w:rsidR="0047120E">
        <w:t>O</w:t>
      </w:r>
      <w:r w:rsidR="003C6055">
        <w:t xml:space="preserve">rdinances </w:t>
      </w:r>
      <w:r w:rsidR="004E4DA3">
        <w:t>-</w:t>
      </w:r>
      <w:r w:rsidR="003C6055">
        <w:t xml:space="preserve"> Havasu </w:t>
      </w:r>
      <w:r w:rsidR="00A61B52">
        <w:t>W</w:t>
      </w:r>
      <w:r w:rsidR="003C6055">
        <w:t>as Non-Compliant and Unresponsive to SBC</w:t>
      </w:r>
      <w:r w:rsidR="00A53ECA">
        <w:t xml:space="preserve">PW thereby Causing a Public Health </w:t>
      </w:r>
      <w:r w:rsidR="00CB1B49">
        <w:t xml:space="preserve">and Safety </w:t>
      </w:r>
      <w:r w:rsidR="00A53ECA">
        <w:t>Risk</w:t>
      </w:r>
      <w:bookmarkEnd w:id="37"/>
    </w:p>
    <w:p w:rsidR="009F5C50" w:rsidP="009F5C50" w:rsidRDefault="009F5C50" w14:paraId="666962CB" w14:textId="3B6FD2A5">
      <w:pPr>
        <w:pStyle w:val="Standard"/>
      </w:pPr>
      <w:r>
        <w:t>CPED alleges that from January 2021 through February 2023, Havasu violated GO 103-A</w:t>
      </w:r>
      <w:r w:rsidR="00A53ECA">
        <w:t xml:space="preserve"> (II)</w:t>
      </w:r>
      <w:r>
        <w:t xml:space="preserve">(C)(3) when on at least ten incidents, Havasu’s repair work in the public right of way </w:t>
      </w:r>
      <w:r w:rsidR="00890FA2">
        <w:t xml:space="preserve">located in San Bernardino County </w:t>
      </w:r>
      <w:r>
        <w:t>was defective or incomplete.</w:t>
      </w:r>
    </w:p>
    <w:p w:rsidR="009F5C50" w:rsidP="009F5C50" w:rsidRDefault="009F5C50" w14:paraId="73FFF742" w14:textId="2507F38E">
      <w:pPr>
        <w:pStyle w:val="Standard"/>
      </w:pPr>
      <w:r>
        <w:t>GO 103-A</w:t>
      </w:r>
      <w:r w:rsidR="00A53ECA">
        <w:t xml:space="preserve"> (II)</w:t>
      </w:r>
      <w:r>
        <w:t>(C)(3) states that:</w:t>
      </w:r>
    </w:p>
    <w:p w:rsidR="00126F16" w:rsidP="00946C7A" w:rsidRDefault="009F5C50" w14:paraId="24A90B92" w14:textId="522F846C">
      <w:pPr>
        <w:pStyle w:val="Standard"/>
        <w:spacing w:after="120" w:line="240" w:lineRule="auto"/>
        <w:ind w:left="720" w:firstLine="0"/>
      </w:pPr>
      <w:r>
        <w:t>All repairs associated with a utility’s water and wastewater system shall include, as a minimum: ground surface shall be repaired to at least its original condition.</w:t>
      </w:r>
    </w:p>
    <w:p w:rsidR="009F5C50" w:rsidP="009F5C50" w:rsidRDefault="009F5C50" w14:paraId="63B48958" w14:textId="3EA4CDF5">
      <w:pPr>
        <w:pStyle w:val="Standard"/>
      </w:pPr>
      <w:r>
        <w:t xml:space="preserve">As evidence, CPED filed </w:t>
      </w:r>
      <w:r w:rsidR="006F273B">
        <w:t>documents from SBCPW which included:</w:t>
      </w:r>
      <w:r>
        <w:t xml:space="preserve"> </w:t>
      </w:r>
      <w:r w:rsidR="0047120E">
        <w:t>n</w:t>
      </w:r>
      <w:r>
        <w:t xml:space="preserve">otice of </w:t>
      </w:r>
      <w:r w:rsidR="0047120E">
        <w:t>u</w:t>
      </w:r>
      <w:r>
        <w:t xml:space="preserve">npermitted </w:t>
      </w:r>
      <w:r w:rsidR="0047120E">
        <w:t>w</w:t>
      </w:r>
      <w:r>
        <w:t>ork</w:t>
      </w:r>
      <w:r w:rsidR="00126F16">
        <w:t>;</w:t>
      </w:r>
      <w:r>
        <w:t xml:space="preserve"> </w:t>
      </w:r>
      <w:r w:rsidR="00126F16">
        <w:t>r</w:t>
      </w:r>
      <w:r>
        <w:t xml:space="preserve">epeated </w:t>
      </w:r>
      <w:r w:rsidR="00126F16">
        <w:t>v</w:t>
      </w:r>
      <w:r>
        <w:t>iolations o</w:t>
      </w:r>
      <w:r w:rsidR="00C2730E">
        <w:t>f</w:t>
      </w:r>
      <w:r>
        <w:t xml:space="preserve"> </w:t>
      </w:r>
      <w:r w:rsidR="00126F16">
        <w:t>o</w:t>
      </w:r>
      <w:r>
        <w:t xml:space="preserve">rdinances, </w:t>
      </w:r>
      <w:r w:rsidR="00126F16">
        <w:t>p</w:t>
      </w:r>
      <w:r>
        <w:t xml:space="preserve">ermitting </w:t>
      </w:r>
      <w:r w:rsidR="00126F16">
        <w:t>r</w:t>
      </w:r>
      <w:r>
        <w:t>equirements</w:t>
      </w:r>
      <w:r w:rsidR="00126F16">
        <w:t xml:space="preserve"> </w:t>
      </w:r>
      <w:r w:rsidR="00126F16">
        <w:lastRenderedPageBreak/>
        <w:t>violations</w:t>
      </w:r>
      <w:r>
        <w:t xml:space="preserve"> and </w:t>
      </w:r>
      <w:r w:rsidR="0047120E">
        <w:t xml:space="preserve">a </w:t>
      </w:r>
      <w:r w:rsidR="00126F16">
        <w:t>f</w:t>
      </w:r>
      <w:r>
        <w:t xml:space="preserve">ranchise </w:t>
      </w:r>
      <w:r w:rsidR="00126F16">
        <w:t>a</w:t>
      </w:r>
      <w:r>
        <w:t xml:space="preserve">greement by </w:t>
      </w:r>
      <w:r w:rsidR="00126F16">
        <w:t>SBC</w:t>
      </w:r>
      <w:r w:rsidR="00C2730E">
        <w:t>PW</w:t>
      </w:r>
      <w:r w:rsidR="006F273B">
        <w:t xml:space="preserve"> (Notice)</w:t>
      </w:r>
      <w:r>
        <w:t>.</w:t>
      </w:r>
      <w:r>
        <w:rPr>
          <w:rStyle w:val="FootnoteReference"/>
        </w:rPr>
        <w:footnoteReference w:id="138"/>
      </w:r>
      <w:r>
        <w:t xml:space="preserve">  In the Notice, </w:t>
      </w:r>
      <w:r w:rsidR="006F273B">
        <w:t>SBC</w:t>
      </w:r>
      <w:r w:rsidR="00C2730E">
        <w:t>PW</w:t>
      </w:r>
      <w:r>
        <w:t xml:space="preserve"> states that </w:t>
      </w:r>
      <w:r w:rsidR="0047120E">
        <w:t>it</w:t>
      </w:r>
      <w:r>
        <w:t xml:space="preserve"> verbally notified Havasu of at least ten incidents where its repair work in the public right of way was defective or incomplete.</w:t>
      </w:r>
      <w:r>
        <w:rPr>
          <w:rStyle w:val="FootnoteReference"/>
        </w:rPr>
        <w:footnoteReference w:id="139"/>
      </w:r>
      <w:r>
        <w:t xml:space="preserve">  According to </w:t>
      </w:r>
      <w:r w:rsidR="006F273B">
        <w:t>SBC</w:t>
      </w:r>
      <w:r w:rsidR="00C2730E">
        <w:t>PW</w:t>
      </w:r>
      <w:r>
        <w:t xml:space="preserve">, Havasu failed to remedy </w:t>
      </w:r>
      <w:r w:rsidR="006F273B">
        <w:t>any of these</w:t>
      </w:r>
      <w:r>
        <w:t xml:space="preserve"> defects.</w:t>
      </w:r>
      <w:r>
        <w:rPr>
          <w:rStyle w:val="FootnoteReference"/>
        </w:rPr>
        <w:footnoteReference w:id="140"/>
      </w:r>
    </w:p>
    <w:p w:rsidR="009F5C50" w:rsidP="009F5C50" w:rsidRDefault="009F5C50" w14:paraId="2005DE8C" w14:textId="5AAB87E0">
      <w:pPr>
        <w:pStyle w:val="Standard"/>
        <w:ind w:firstLine="0"/>
      </w:pPr>
      <w:r>
        <w:tab/>
        <w:t xml:space="preserve">The Notice lists Havasu’s </w:t>
      </w:r>
      <w:r w:rsidR="006F273B">
        <w:t xml:space="preserve">long </w:t>
      </w:r>
      <w:r>
        <w:t>history of violations which includes:</w:t>
      </w:r>
      <w:r>
        <w:rPr>
          <w:rStyle w:val="FootnoteReference"/>
        </w:rPr>
        <w:footnoteReference w:id="141"/>
      </w:r>
    </w:p>
    <w:p w:rsidR="009F5C50" w:rsidP="0027329A" w:rsidRDefault="009F5C50" w14:paraId="1C3751B7" w14:textId="1B5D6057">
      <w:pPr>
        <w:pStyle w:val="Standard"/>
        <w:numPr>
          <w:ilvl w:val="0"/>
          <w:numId w:val="27"/>
        </w:numPr>
        <w:spacing w:after="120" w:line="240" w:lineRule="auto"/>
        <w:ind w:left="1080" w:right="1440"/>
      </w:pPr>
      <w:r>
        <w:t xml:space="preserve">February 2023, </w:t>
      </w:r>
      <w:r w:rsidR="006F273B">
        <w:t>SBC</w:t>
      </w:r>
      <w:r w:rsidR="00C2730E">
        <w:t>PW</w:t>
      </w:r>
      <w:r>
        <w:t xml:space="preserve"> issued a formal notice regarding unpermitted and improper repairs, along with a requirement to apply for necessary permits.  </w:t>
      </w:r>
    </w:p>
    <w:p w:rsidR="009F5C50" w:rsidP="0027329A" w:rsidRDefault="009F5C50" w14:paraId="11469D72" w14:textId="32193E52">
      <w:pPr>
        <w:pStyle w:val="Standard"/>
        <w:numPr>
          <w:ilvl w:val="0"/>
          <w:numId w:val="27"/>
        </w:numPr>
        <w:spacing w:after="120" w:line="240" w:lineRule="auto"/>
        <w:ind w:left="1080" w:right="1440"/>
      </w:pPr>
      <w:r>
        <w:t>February 2024, S</w:t>
      </w:r>
      <w:r w:rsidR="006F273B">
        <w:t>BC</w:t>
      </w:r>
      <w:r w:rsidR="00C2730E">
        <w:t>PW</w:t>
      </w:r>
      <w:r w:rsidR="006F273B">
        <w:t xml:space="preserve"> </w:t>
      </w:r>
      <w:r>
        <w:t xml:space="preserve">notified Havasu about debris from a malfunctioning water tank and additional improper repairs.  </w:t>
      </w:r>
    </w:p>
    <w:p w:rsidR="009F5C50" w:rsidP="0027329A" w:rsidRDefault="009F5C50" w14:paraId="5D12C839" w14:textId="327C28BC">
      <w:pPr>
        <w:pStyle w:val="Standard"/>
        <w:numPr>
          <w:ilvl w:val="0"/>
          <w:numId w:val="27"/>
        </w:numPr>
        <w:spacing w:after="120" w:line="240" w:lineRule="auto"/>
        <w:ind w:left="1080" w:right="1440"/>
      </w:pPr>
      <w:r>
        <w:t>March 2024, after multiple resident complaints about safety risks from Havasu’s open trenches and substandard work, SB</w:t>
      </w:r>
      <w:r w:rsidR="006F273B">
        <w:t xml:space="preserve">C </w:t>
      </w:r>
      <w:r>
        <w:t xml:space="preserve">reminded Havasu that its permit had expired.  </w:t>
      </w:r>
    </w:p>
    <w:p w:rsidR="009F5C50" w:rsidP="0027329A" w:rsidRDefault="009F5C50" w14:paraId="34981A2F" w14:textId="7932A5FF">
      <w:pPr>
        <w:pStyle w:val="Standard"/>
        <w:numPr>
          <w:ilvl w:val="0"/>
          <w:numId w:val="27"/>
        </w:numPr>
        <w:spacing w:after="120" w:line="240" w:lineRule="auto"/>
        <w:ind w:left="1080" w:right="1440"/>
      </w:pPr>
      <w:r>
        <w:t xml:space="preserve">July 2024, due to ongoing safety concerns, </w:t>
      </w:r>
      <w:r w:rsidR="006F273B">
        <w:t>SBC</w:t>
      </w:r>
      <w:r w:rsidR="00C2730E">
        <w:t>PW</w:t>
      </w:r>
      <w:r>
        <w:t xml:space="preserve"> stepped in to fix Havasu’s defective work and invoiced Havasu for costs incurred.  Havasu rejected the invoice and falsely claimed that the </w:t>
      </w:r>
      <w:r w:rsidR="006F273B">
        <w:t>SBC</w:t>
      </w:r>
      <w:r w:rsidR="00C2730E">
        <w:t>PW</w:t>
      </w:r>
      <w:r>
        <w:t xml:space="preserve"> had paved over control valves.</w:t>
      </w:r>
    </w:p>
    <w:p w:rsidR="009F5C50" w:rsidP="0027329A" w:rsidRDefault="009F5C50" w14:paraId="4A3150FE" w14:textId="534B8199">
      <w:pPr>
        <w:pStyle w:val="Standard"/>
        <w:numPr>
          <w:ilvl w:val="0"/>
          <w:numId w:val="27"/>
        </w:numPr>
        <w:spacing w:after="120" w:line="240" w:lineRule="auto"/>
        <w:ind w:left="1080" w:right="1440"/>
      </w:pPr>
      <w:r>
        <w:t xml:space="preserve">August 2024, </w:t>
      </w:r>
      <w:r w:rsidR="006F273B">
        <w:t>SBC</w:t>
      </w:r>
      <w:r w:rsidR="00C2730E">
        <w:t>PW</w:t>
      </w:r>
      <w:r>
        <w:t xml:space="preserve"> informed Havasu that all repairs must meet </w:t>
      </w:r>
      <w:r w:rsidR="006F273B">
        <w:t>SBC</w:t>
      </w:r>
      <w:r>
        <w:t xml:space="preserve"> standards and that Havasu must reapply for a permit.  </w:t>
      </w:r>
    </w:p>
    <w:p w:rsidR="009F5C50" w:rsidP="0047120E" w:rsidRDefault="009F5C50" w14:paraId="60FD0AE5" w14:textId="7C4F13E6">
      <w:pPr>
        <w:pStyle w:val="Standard"/>
      </w:pPr>
      <w:r>
        <w:t xml:space="preserve">Furthermore, </w:t>
      </w:r>
      <w:r w:rsidR="0047120E">
        <w:t>SBC</w:t>
      </w:r>
      <w:r w:rsidR="00C2730E">
        <w:t>PW</w:t>
      </w:r>
      <w:r w:rsidR="0047120E">
        <w:t xml:space="preserve"> </w:t>
      </w:r>
      <w:r>
        <w:t xml:space="preserve">stated, “These are only a few examples of a much longer history of Havasu’s many violations and disregard of </w:t>
      </w:r>
      <w:r w:rsidR="00C2730E">
        <w:t>San Bernadino County</w:t>
      </w:r>
      <w:r>
        <w:t xml:space="preserve"> regulations, permit requirements, notices and safety standards.”</w:t>
      </w:r>
      <w:r>
        <w:rPr>
          <w:rStyle w:val="FootnoteReference"/>
        </w:rPr>
        <w:footnoteReference w:id="142"/>
      </w:r>
    </w:p>
    <w:p w:rsidRPr="00884BD1" w:rsidR="00884BD1" w:rsidP="00884BD1" w:rsidRDefault="00884BD1" w14:paraId="6C329A48" w14:textId="08F80BB9">
      <w:pPr>
        <w:pStyle w:val="Standard"/>
      </w:pPr>
      <w:r w:rsidRPr="00884BD1">
        <w:lastRenderedPageBreak/>
        <w:t xml:space="preserve">Havasu </w:t>
      </w:r>
      <w:r>
        <w:t>has a</w:t>
      </w:r>
      <w:r w:rsidRPr="00884BD1">
        <w:t xml:space="preserve"> duty to restore the ground surface to at least its original condition following any excavation or repair work. </w:t>
      </w:r>
      <w:r>
        <w:t xml:space="preserve"> </w:t>
      </w:r>
      <w:r w:rsidRPr="00884BD1">
        <w:t>The evi</w:t>
      </w:r>
      <w:r>
        <w:t>dence</w:t>
      </w:r>
      <w:r w:rsidRPr="00884BD1">
        <w:t xml:space="preserve"> establishes that</w:t>
      </w:r>
      <w:r>
        <w:t xml:space="preserve"> </w:t>
      </w:r>
      <w:r w:rsidRPr="00884BD1">
        <w:t xml:space="preserve">on </w:t>
      </w:r>
      <w:r w:rsidR="00235726">
        <w:t>four</w:t>
      </w:r>
      <w:r w:rsidRPr="00884BD1">
        <w:t xml:space="preserve"> separate </w:t>
      </w:r>
      <w:r>
        <w:t>incidents</w:t>
      </w:r>
      <w:r w:rsidRPr="00884BD1">
        <w:t>, Havasu’s repair work within the public right</w:t>
      </w:r>
      <w:r w:rsidRPr="00884BD1">
        <w:noBreakHyphen/>
        <w:t>of</w:t>
      </w:r>
      <w:r w:rsidRPr="00884BD1">
        <w:noBreakHyphen/>
        <w:t>way was defective or incomplete.</w:t>
      </w:r>
    </w:p>
    <w:p w:rsidR="009F5C50" w:rsidP="00E22741" w:rsidRDefault="00884BD1" w14:paraId="6B5BFE26" w14:textId="3C5AAAE8">
      <w:pPr>
        <w:pStyle w:val="Standard"/>
      </w:pPr>
      <w:r w:rsidRPr="00884BD1">
        <w:t xml:space="preserve">According to </w:t>
      </w:r>
      <w:r>
        <w:t>SBC</w:t>
      </w:r>
      <w:r w:rsidR="00DD0C8A">
        <w:t>PW</w:t>
      </w:r>
      <w:r>
        <w:t>,</w:t>
      </w:r>
      <w:r w:rsidRPr="00884BD1">
        <w:t xml:space="preserve"> Havasu has failed to remedy any of these ten incidents to date. </w:t>
      </w:r>
      <w:r>
        <w:t xml:space="preserve"> </w:t>
      </w:r>
      <w:r w:rsidRPr="00884BD1">
        <w:t>SBC</w:t>
      </w:r>
      <w:r w:rsidR="00DD0C8A">
        <w:t>PW</w:t>
      </w:r>
      <w:r w:rsidRPr="00884BD1">
        <w:t xml:space="preserve">’s Notice further documents a long history of </w:t>
      </w:r>
      <w:r w:rsidR="00432927">
        <w:t>noncompliance</w:t>
      </w:r>
      <w:r w:rsidRPr="00884BD1">
        <w:t xml:space="preserve"> by Havasu, demonstrating a persistent disregard for its obligations under </w:t>
      </w:r>
      <w:r w:rsidR="00E22741">
        <w:t>SBC</w:t>
      </w:r>
      <w:r w:rsidR="00DD0C8A">
        <w:t>PW</w:t>
      </w:r>
      <w:r w:rsidR="00E22741">
        <w:t xml:space="preserve"> safety standards and ordinances.</w:t>
      </w:r>
    </w:p>
    <w:p w:rsidR="009F5C50" w:rsidP="009F5C50" w:rsidRDefault="009F5C50" w14:paraId="4331F396" w14:textId="3898CEF7">
      <w:pPr>
        <w:pStyle w:val="Standard"/>
        <w:ind w:firstLine="0"/>
      </w:pPr>
      <w:r>
        <w:tab/>
      </w:r>
      <w:r w:rsidRPr="00225523" w:rsidR="009B5168">
        <w:t xml:space="preserve">Havasu failed to </w:t>
      </w:r>
      <w:r w:rsidR="000F3CE5">
        <w:t>offer</w:t>
      </w:r>
      <w:r w:rsidRPr="00225523" w:rsidR="009B5168">
        <w:t xml:space="preserve"> any evidence or testimony in </w:t>
      </w:r>
      <w:r w:rsidR="009B5168">
        <w:t>defense of its position</w:t>
      </w:r>
      <w:r w:rsidR="00E01461">
        <w:t xml:space="preserve"> that it cured </w:t>
      </w:r>
      <w:proofErr w:type="gramStart"/>
      <w:r w:rsidR="00E01461">
        <w:t>all of</w:t>
      </w:r>
      <w:proofErr w:type="gramEnd"/>
      <w:r w:rsidR="00E01461">
        <w:t xml:space="preserve"> the violations cited by SBC</w:t>
      </w:r>
      <w:r w:rsidR="00DD0C8A">
        <w:t>PW</w:t>
      </w:r>
      <w:r w:rsidR="009B5168">
        <w:t xml:space="preserve">.  </w:t>
      </w:r>
      <w:r>
        <w:t>As such, it is determined that Havasu violated GO 103-A</w:t>
      </w:r>
      <w:r w:rsidR="0047120E">
        <w:t xml:space="preserve"> (II)</w:t>
      </w:r>
      <w:r>
        <w:t>(C)(</w:t>
      </w:r>
      <w:r w:rsidR="00741005">
        <w:t>3</w:t>
      </w:r>
      <w:r>
        <w:t>)</w:t>
      </w:r>
      <w:r w:rsidR="00603922">
        <w:t>,</w:t>
      </w:r>
      <w:r>
        <w:t xml:space="preserve"> </w:t>
      </w:r>
      <w:r w:rsidR="00603922">
        <w:t>in</w:t>
      </w:r>
      <w:r>
        <w:t xml:space="preserve"> </w:t>
      </w:r>
      <w:r w:rsidR="00235726">
        <w:t>four</w:t>
      </w:r>
      <w:r>
        <w:t xml:space="preserve"> incidents</w:t>
      </w:r>
      <w:r w:rsidR="00603922">
        <w:t>,</w:t>
      </w:r>
      <w:r w:rsidR="00352500">
        <w:t xml:space="preserve"> </w:t>
      </w:r>
      <w:r w:rsidR="0096334A">
        <w:t xml:space="preserve">where Havasu had to perform excavation or repair work </w:t>
      </w:r>
      <w:r w:rsidR="00352500">
        <w:t>within the public right-of-way</w:t>
      </w:r>
      <w:r>
        <w:t xml:space="preserve">, </w:t>
      </w:r>
      <w:r w:rsidR="00603922">
        <w:t xml:space="preserve">and </w:t>
      </w:r>
      <w:r>
        <w:t xml:space="preserve">failed to repair </w:t>
      </w:r>
      <w:r w:rsidR="00E23B83">
        <w:t xml:space="preserve">the </w:t>
      </w:r>
      <w:r>
        <w:t>ground surface to at least its original condition.</w:t>
      </w:r>
    </w:p>
    <w:p w:rsidR="00B45D83" w:rsidP="00B45D83" w:rsidRDefault="00805644" w14:paraId="6145F780" w14:textId="16528748">
      <w:pPr>
        <w:pStyle w:val="Heading2"/>
      </w:pPr>
      <w:bookmarkStart w:name="_Toc221259553" w:id="38"/>
      <w:r>
        <w:t>Authorization</w:t>
      </w:r>
      <w:r w:rsidR="00B45D83">
        <w:t xml:space="preserve"> to Petition </w:t>
      </w:r>
      <w:r>
        <w:t xml:space="preserve">for </w:t>
      </w:r>
      <w:r w:rsidR="00B45D83">
        <w:t xml:space="preserve">a Receivership for Havasu </w:t>
      </w:r>
      <w:r>
        <w:t>in Superior Court</w:t>
      </w:r>
      <w:bookmarkEnd w:id="38"/>
      <w:r w:rsidR="00B45D83">
        <w:t xml:space="preserve"> </w:t>
      </w:r>
    </w:p>
    <w:p w:rsidR="005B7AB6" w:rsidP="008661BC" w:rsidRDefault="006F44D5" w14:paraId="2B0A190B" w14:textId="1C7373A5">
      <w:pPr>
        <w:pStyle w:val="Standard"/>
      </w:pPr>
      <w:r>
        <w:t xml:space="preserve">The record </w:t>
      </w:r>
      <w:r w:rsidR="00234C98">
        <w:t xml:space="preserve">in this proceeding supports a finding that </w:t>
      </w:r>
      <w:r w:rsidR="008661BC">
        <w:t>Havasu</w:t>
      </w:r>
      <w:r w:rsidRPr="008661BC" w:rsidR="008661BC">
        <w:t xml:space="preserve"> has demonstrated a sustained pattern of Federal, State and County </w:t>
      </w:r>
      <w:r w:rsidR="00432927">
        <w:t>noncompliance</w:t>
      </w:r>
      <w:r w:rsidRPr="008661BC" w:rsidR="008661BC">
        <w:t xml:space="preserve">, coupled with chronic unresponsiveness and mismanagement, </w:t>
      </w:r>
      <w:r w:rsidR="0008584E">
        <w:t>that</w:t>
      </w:r>
      <w:r w:rsidR="00E23B83">
        <w:t xml:space="preserve"> </w:t>
      </w:r>
      <w:r w:rsidRPr="008661BC" w:rsidR="008661BC">
        <w:t xml:space="preserve">presents a compelling case for receivership. </w:t>
      </w:r>
      <w:r w:rsidR="00A00D3A">
        <w:t xml:space="preserve"> </w:t>
      </w:r>
      <w:r w:rsidRPr="008661BC" w:rsidR="008661BC">
        <w:t>The purpose of a receivership is to safeguard the public interest when an entity entrusted with critical infrastructure fails to meet its legal and operational obligations.</w:t>
      </w:r>
    </w:p>
    <w:p w:rsidR="00472D7D" w:rsidP="008661BC" w:rsidRDefault="00472D7D" w14:paraId="77F52A1F" w14:textId="4C29F500">
      <w:pPr>
        <w:pStyle w:val="Standard"/>
      </w:pPr>
      <w:r>
        <w:t>Havasu</w:t>
      </w:r>
      <w:r w:rsidR="004B397F">
        <w:t>’s p</w:t>
      </w:r>
      <w:r w:rsidRPr="004B397F" w:rsidR="004B397F">
        <w:t xml:space="preserve">ersistent violations of Federal, State, and County </w:t>
      </w:r>
      <w:r w:rsidR="004B397F">
        <w:t xml:space="preserve">laws, </w:t>
      </w:r>
      <w:r w:rsidR="00E832E8">
        <w:t xml:space="preserve">regulations, orders, </w:t>
      </w:r>
      <w:r w:rsidR="00032897">
        <w:t xml:space="preserve">directives, </w:t>
      </w:r>
      <w:r w:rsidR="00FE286D">
        <w:t>safety standards and ordinances</w:t>
      </w:r>
      <w:r w:rsidRPr="004B397F" w:rsidR="004B397F">
        <w:t xml:space="preserve"> undermine the integrity of </w:t>
      </w:r>
      <w:r w:rsidR="00FE286D">
        <w:t>Havasu’s</w:t>
      </w:r>
      <w:r w:rsidRPr="004B397F" w:rsidR="004B397F">
        <w:t xml:space="preserve"> operations and erode public trust. </w:t>
      </w:r>
      <w:r w:rsidR="00FE286D">
        <w:t xml:space="preserve"> </w:t>
      </w:r>
      <w:r w:rsidRPr="004B397F" w:rsidR="004B397F">
        <w:t xml:space="preserve">Compliance with these </w:t>
      </w:r>
      <w:r w:rsidR="007D0CEB">
        <w:t xml:space="preserve">laws, regulations, orders, </w:t>
      </w:r>
      <w:r w:rsidR="00C54FC0">
        <w:t xml:space="preserve">directives, </w:t>
      </w:r>
      <w:r w:rsidR="007D0CEB">
        <w:t>safety standards and ordinances</w:t>
      </w:r>
      <w:r w:rsidRPr="004B397F" w:rsidR="004B397F">
        <w:t xml:space="preserve"> </w:t>
      </w:r>
      <w:r w:rsidR="007D0CEB">
        <w:t>are</w:t>
      </w:r>
      <w:r w:rsidRPr="004B397F" w:rsidR="004B397F">
        <w:t xml:space="preserve"> not </w:t>
      </w:r>
      <w:r w:rsidRPr="004B397F" w:rsidR="004B397F">
        <w:lastRenderedPageBreak/>
        <w:t xml:space="preserve">optional; it is a legal mandate designed to protect public health </w:t>
      </w:r>
      <w:r w:rsidR="00CB1B49">
        <w:t xml:space="preserve">and safety </w:t>
      </w:r>
      <w:r w:rsidRPr="004B397F" w:rsidR="004B397F">
        <w:t>and ensure the safe delivery of water.</w:t>
      </w:r>
    </w:p>
    <w:p w:rsidR="007D0CEB" w:rsidP="008661BC" w:rsidRDefault="00C07A32" w14:paraId="6069A063" w14:textId="6BD4465A">
      <w:pPr>
        <w:pStyle w:val="Standard"/>
      </w:pPr>
      <w:r>
        <w:t xml:space="preserve">Havasu has </w:t>
      </w:r>
      <w:r w:rsidRPr="00C07A32">
        <w:t xml:space="preserve">demonstrated </w:t>
      </w:r>
      <w:r>
        <w:t xml:space="preserve">an </w:t>
      </w:r>
      <w:r w:rsidRPr="00C07A32">
        <w:t>unwillingness or inability to respond to regulatory directives</w:t>
      </w:r>
      <w:r>
        <w:t xml:space="preserve">, </w:t>
      </w:r>
      <w:r w:rsidRPr="00C07A32">
        <w:t xml:space="preserve">corrective actions, </w:t>
      </w:r>
      <w:r w:rsidR="009D6881">
        <w:t>and</w:t>
      </w:r>
      <w:r w:rsidRPr="00C07A32">
        <w:t xml:space="preserve"> </w:t>
      </w:r>
      <w:r>
        <w:t>orders</w:t>
      </w:r>
      <w:r w:rsidRPr="00C07A32">
        <w:t xml:space="preserve"> </w:t>
      </w:r>
      <w:proofErr w:type="gramStart"/>
      <w:r w:rsidRPr="00C07A32">
        <w:t>indicates</w:t>
      </w:r>
      <w:proofErr w:type="gramEnd"/>
      <w:r w:rsidRPr="00C07A32">
        <w:t xml:space="preserve"> that </w:t>
      </w:r>
      <w:r w:rsidR="00C05116">
        <w:t>Havasu</w:t>
      </w:r>
      <w:r w:rsidRPr="00C07A32">
        <w:t xml:space="preserve"> lacks the capacity or willingness to self-correct. </w:t>
      </w:r>
      <w:r w:rsidR="00C05116">
        <w:t xml:space="preserve"> </w:t>
      </w:r>
      <w:r w:rsidRPr="00C07A32">
        <w:t>This failure of accountability necessitates external intervention.</w:t>
      </w:r>
    </w:p>
    <w:p w:rsidR="00C05116" w:rsidP="008661BC" w:rsidRDefault="00C05116" w14:paraId="15DC590C" w14:textId="1533E1FC">
      <w:pPr>
        <w:pStyle w:val="Standard"/>
      </w:pPr>
      <w:r>
        <w:t>Havasu’s m</w:t>
      </w:r>
      <w:r w:rsidRPr="00C05116">
        <w:t xml:space="preserve">ismanagement </w:t>
      </w:r>
      <w:r w:rsidR="006F324D">
        <w:t xml:space="preserve">has </w:t>
      </w:r>
      <w:r w:rsidRPr="00C05116">
        <w:t>result</w:t>
      </w:r>
      <w:r w:rsidR="000C6A5F">
        <w:t>ed</w:t>
      </w:r>
      <w:r w:rsidRPr="00C05116">
        <w:t xml:space="preserve"> in unsafe water </w:t>
      </w:r>
      <w:r w:rsidR="000C6A5F">
        <w:t xml:space="preserve">quality and </w:t>
      </w:r>
      <w:r w:rsidRPr="00C05116">
        <w:t xml:space="preserve">infrastructure failures </w:t>
      </w:r>
      <w:r w:rsidR="000C6A5F">
        <w:t xml:space="preserve">that </w:t>
      </w:r>
      <w:r w:rsidRPr="00C05116">
        <w:t xml:space="preserve">directly </w:t>
      </w:r>
      <w:proofErr w:type="gramStart"/>
      <w:r w:rsidRPr="00C05116">
        <w:t>endangers</w:t>
      </w:r>
      <w:proofErr w:type="gramEnd"/>
      <w:r w:rsidRPr="00C05116">
        <w:t xml:space="preserve"> the </w:t>
      </w:r>
      <w:r w:rsidR="000C6A5F">
        <w:t xml:space="preserve">public </w:t>
      </w:r>
      <w:r w:rsidRPr="00C05116">
        <w:t xml:space="preserve">health and safety of </w:t>
      </w:r>
      <w:r w:rsidR="000C6A5F">
        <w:t>its customers</w:t>
      </w:r>
      <w:r w:rsidRPr="00C05116">
        <w:t xml:space="preserve">. </w:t>
      </w:r>
      <w:r w:rsidR="000C6A5F">
        <w:t xml:space="preserve"> </w:t>
      </w:r>
      <w:r w:rsidRPr="00C05116">
        <w:t>When such risks are recurrent and unaddressed, they rise to the level of a public emergency requiring decisive action.</w:t>
      </w:r>
    </w:p>
    <w:p w:rsidR="000C6A5F" w:rsidP="008661BC" w:rsidRDefault="002C64D5" w14:paraId="3DC2BF4A" w14:textId="7D63D25A">
      <w:pPr>
        <w:pStyle w:val="Standard"/>
      </w:pPr>
      <w:r>
        <w:t xml:space="preserve">Seeking a receivership provides </w:t>
      </w:r>
      <w:r w:rsidRPr="002C64D5">
        <w:t>a structured mechanism to restore compliance, stabilize operations and protect public health</w:t>
      </w:r>
      <w:r w:rsidR="00AD2DC8">
        <w:t xml:space="preserve"> and safety</w:t>
      </w:r>
      <w:r w:rsidRPr="002C64D5">
        <w:t xml:space="preserve">. </w:t>
      </w:r>
      <w:r>
        <w:t xml:space="preserve"> </w:t>
      </w:r>
      <w:r w:rsidRPr="002C64D5">
        <w:t xml:space="preserve">By placing </w:t>
      </w:r>
      <w:r>
        <w:t>Havasu</w:t>
      </w:r>
      <w:r w:rsidRPr="002C64D5">
        <w:t xml:space="preserve"> under the control of a neutral and competent receiver, </w:t>
      </w:r>
      <w:r>
        <w:t>Havasu’s customers are</w:t>
      </w:r>
      <w:r w:rsidRPr="002C64D5">
        <w:t xml:space="preserve"> assured that corrective measures will be implemented promptly and effectively, free from the entrenched dysfunction that has characterized </w:t>
      </w:r>
      <w:r>
        <w:t>Havasu’s current</w:t>
      </w:r>
      <w:r w:rsidRPr="002C64D5">
        <w:t xml:space="preserve"> management.</w:t>
      </w:r>
    </w:p>
    <w:p w:rsidR="00B1448D" w:rsidP="00601DBA" w:rsidRDefault="002C64D5" w14:paraId="283785D2" w14:textId="6D5A773F">
      <w:pPr>
        <w:pStyle w:val="Standard"/>
      </w:pPr>
      <w:r>
        <w:t xml:space="preserve">As such, </w:t>
      </w:r>
      <w:r w:rsidR="00601DBA">
        <w:t>it is determined that given Havasu’s long history of regulatory violations, disregard for oversight and mismanagement resulting in significant public health</w:t>
      </w:r>
      <w:r w:rsidR="00AD2DC8">
        <w:t xml:space="preserve"> and safety</w:t>
      </w:r>
      <w:r w:rsidR="00601DBA">
        <w:t xml:space="preserve"> risks, receivership is not merely justified but essential.  </w:t>
      </w:r>
      <w:r w:rsidR="00335175">
        <w:t>It is the only way to ensure safe, reliable water and meet Havasu’s legal and ethical duties.</w:t>
      </w:r>
      <w:r w:rsidR="00374A20">
        <w:t xml:space="preserve">  CPED’s </w:t>
      </w:r>
      <w:r w:rsidR="00F840E5">
        <w:t xml:space="preserve">request to seek </w:t>
      </w:r>
      <w:proofErr w:type="gramStart"/>
      <w:r w:rsidR="00F840E5">
        <w:t>a receivership</w:t>
      </w:r>
      <w:proofErr w:type="gramEnd"/>
      <w:r w:rsidR="00F840E5">
        <w:t xml:space="preserve"> in Superior Court is granted.</w:t>
      </w:r>
    </w:p>
    <w:p w:rsidRPr="00A200E2" w:rsidR="000B6E14" w:rsidP="00180B0C" w:rsidRDefault="003C14E4" w14:paraId="1FA559DD" w14:textId="739B415F">
      <w:pPr>
        <w:pStyle w:val="Heading1"/>
      </w:pPr>
      <w:bookmarkStart w:name="_Toc221259554" w:id="39"/>
      <w:r>
        <w:lastRenderedPageBreak/>
        <w:t xml:space="preserve">Resolution of </w:t>
      </w:r>
      <w:r w:rsidRPr="00A200E2" w:rsidR="000B6E14">
        <w:t>K.25-06-028</w:t>
      </w:r>
      <w:r w:rsidR="000B6E14">
        <w:t xml:space="preserve"> - </w:t>
      </w:r>
      <w:r w:rsidRPr="00ED724B" w:rsidR="000B6E14">
        <w:t xml:space="preserve">From July 2024 to August 2025, Havasu </w:t>
      </w:r>
      <w:r w:rsidR="004E4DA3">
        <w:t>V</w:t>
      </w:r>
      <w:r w:rsidRPr="00ED724B" w:rsidR="000B6E14">
        <w:t xml:space="preserve">iolated Pub. Util. Code § 2713(a) and GO 103-A (VII)(2)(B) When </w:t>
      </w:r>
      <w:r w:rsidR="004E4DA3">
        <w:t>I</w:t>
      </w:r>
      <w:r w:rsidRPr="00ED724B" w:rsidR="000B6E14">
        <w:t>t Failed to Properly Inspect</w:t>
      </w:r>
      <w:r w:rsidR="000B6E14">
        <w:t xml:space="preserve">, Repair and Replace </w:t>
      </w:r>
      <w:r w:rsidR="004E4DA3">
        <w:t>I</w:t>
      </w:r>
      <w:r w:rsidRPr="00ED724B" w:rsidR="000B6E14">
        <w:t xml:space="preserve">ts Fire Hydrants in </w:t>
      </w:r>
      <w:r w:rsidR="004E4DA3">
        <w:t>I</w:t>
      </w:r>
      <w:r w:rsidRPr="00ED724B" w:rsidR="000B6E14">
        <w:t xml:space="preserve">ts Service </w:t>
      </w:r>
      <w:r w:rsidR="000B6E14">
        <w:t>A</w:t>
      </w:r>
      <w:r w:rsidRPr="00ED724B" w:rsidR="000B6E14">
        <w:t xml:space="preserve">rea </w:t>
      </w:r>
      <w:r w:rsidR="000B6E14">
        <w:t>T</w:t>
      </w:r>
      <w:r w:rsidRPr="00ED724B" w:rsidR="000B6E14">
        <w:t xml:space="preserve">hereby </w:t>
      </w:r>
      <w:r w:rsidR="000B6E14">
        <w:t>C</w:t>
      </w:r>
      <w:r w:rsidRPr="00ED724B" w:rsidR="000B6E14">
        <w:t>ausing a Public Health and Safety Risk</w:t>
      </w:r>
      <w:bookmarkEnd w:id="39"/>
    </w:p>
    <w:p w:rsidR="00F10399" w:rsidDel="00806FE6" w:rsidP="004E3568" w:rsidRDefault="009C1D55" w14:paraId="5E17233A" w14:textId="749B47EB">
      <w:pPr>
        <w:pStyle w:val="Standard"/>
      </w:pPr>
      <w:bookmarkStart w:name="_Hlk220922574" w:id="40"/>
      <w:r w:rsidRPr="00FC3C3D">
        <w:t>T</w:t>
      </w:r>
      <w:r w:rsidRPr="00FC3C3D" w:rsidR="00F10399">
        <w:t>he</w:t>
      </w:r>
      <w:r w:rsidRPr="00FC3C3D" w:rsidR="00BA218D">
        <w:t xml:space="preserve"> amended</w:t>
      </w:r>
      <w:r w:rsidRPr="00FC3C3D" w:rsidR="00F10399">
        <w:t xml:space="preserve"> Scoping Memo</w:t>
      </w:r>
      <w:r w:rsidRPr="00FC3C3D" w:rsidR="00BA218D">
        <w:t xml:space="preserve"> in the instant proceeding issued on </w:t>
      </w:r>
      <w:r w:rsidRPr="00FC3C3D" w:rsidR="00C63717">
        <w:t>October 16, 2025</w:t>
      </w:r>
      <w:r w:rsidRPr="00FC3C3D" w:rsidR="00F10399">
        <w:t xml:space="preserve">, </w:t>
      </w:r>
      <w:r w:rsidRPr="00FC3C3D">
        <w:t>under section (2) paragraph 20 states: “Should the Commission consolidate appeal K.25-06-028 and Citation Number W.25-05-001 in the OII/OSC….”</w:t>
      </w:r>
      <w:r w:rsidRPr="00FC3C3D">
        <w:rPr>
          <w:rStyle w:val="FootnoteReference"/>
        </w:rPr>
        <w:footnoteReference w:id="143"/>
      </w:r>
      <w:r w:rsidRPr="00FC3C3D">
        <w:t xml:space="preserve">  </w:t>
      </w:r>
      <w:r w:rsidRPr="00FC3C3D" w:rsidR="00EA6DB6">
        <w:t>T</w:t>
      </w:r>
      <w:r w:rsidRPr="00FC3C3D" w:rsidR="00742A7B">
        <w:t xml:space="preserve">he preliminary scoping memo and ruling </w:t>
      </w:r>
      <w:r w:rsidRPr="00FC3C3D" w:rsidR="00F860BD">
        <w:t xml:space="preserve">issued on </w:t>
      </w:r>
      <w:r w:rsidRPr="00FC3C3D" w:rsidR="00121210">
        <w:t>August 14, 2025</w:t>
      </w:r>
      <w:r w:rsidRPr="00FC3C3D" w:rsidR="00EA6DB6">
        <w:t xml:space="preserve">, under section (VII) </w:t>
      </w:r>
      <w:r w:rsidRPr="00FC3C3D" w:rsidR="00C94517">
        <w:t xml:space="preserve">states that </w:t>
      </w:r>
      <w:r w:rsidRPr="00FC3C3D">
        <w:t xml:space="preserve">appeal K.25-06-028 and Citation Number W.25-01-001 </w:t>
      </w:r>
      <w:r w:rsidRPr="00FC3C3D" w:rsidR="00050A3C">
        <w:t xml:space="preserve">are consolidated </w:t>
      </w:r>
      <w:r w:rsidRPr="00FC3C3D">
        <w:t>into the OII.</w:t>
      </w:r>
      <w:r w:rsidRPr="00FC3C3D">
        <w:rPr>
          <w:rStyle w:val="FootnoteReference"/>
        </w:rPr>
        <w:footnoteReference w:id="144"/>
      </w:r>
      <w:r w:rsidRPr="00FC3C3D">
        <w:t xml:space="preserve">  No protests </w:t>
      </w:r>
      <w:r w:rsidRPr="00FC3C3D" w:rsidR="006B2F35">
        <w:t xml:space="preserve">or objections </w:t>
      </w:r>
      <w:r w:rsidRPr="00FC3C3D">
        <w:t xml:space="preserve">were filed </w:t>
      </w:r>
      <w:r w:rsidRPr="00FC3C3D" w:rsidR="006B2F35">
        <w:t>in response to the</w:t>
      </w:r>
      <w:r w:rsidRPr="00FC3C3D">
        <w:t xml:space="preserve"> preliminary scoping memo.  As such, appeal K.25-06-028 and Citation Number W.25-05-001 ha</w:t>
      </w:r>
      <w:r w:rsidR="00145374">
        <w:t>ve</w:t>
      </w:r>
      <w:r w:rsidRPr="00FC3C3D">
        <w:t xml:space="preserve"> been consolidated into the OII </w:t>
      </w:r>
      <w:r w:rsidRPr="00FC3C3D" w:rsidR="006B2F35">
        <w:t xml:space="preserve">pursuant to </w:t>
      </w:r>
      <w:r w:rsidR="002D53BF">
        <w:t>the assigned Administrative Law Judge</w:t>
      </w:r>
      <w:r w:rsidR="00777EBD">
        <w:t>’ ruling</w:t>
      </w:r>
      <w:r w:rsidRPr="00FC3C3D" w:rsidR="006B2F35">
        <w:t>.</w:t>
      </w:r>
      <w:r w:rsidR="00145374">
        <w:rPr>
          <w:rStyle w:val="FootnoteReference"/>
        </w:rPr>
        <w:footnoteReference w:id="145"/>
      </w:r>
      <w:r w:rsidR="002B56AD">
        <w:t xml:space="preserve">  </w:t>
      </w:r>
      <w:r w:rsidRPr="00FC3C3D" w:rsidR="006B2F35">
        <w:t xml:space="preserve">The issues in K.25-06-028 and Citation Number W.25-05-001 </w:t>
      </w:r>
      <w:r w:rsidRPr="00FC3C3D">
        <w:t>will be resolved in this decision.</w:t>
      </w:r>
      <w:bookmarkEnd w:id="40"/>
    </w:p>
    <w:p w:rsidR="000B6E14" w:rsidP="001D6401" w:rsidRDefault="00186B14" w14:paraId="4772DCD8" w14:textId="7FA1B8D4">
      <w:pPr>
        <w:pStyle w:val="Standard"/>
      </w:pPr>
      <w:r w:rsidRPr="00033A27">
        <w:t>On May 12, 2025, WD issued Citation Number W.25</w:t>
      </w:r>
      <w:r w:rsidRPr="00033A27" w:rsidR="00EB532D">
        <w:t>-05-001</w:t>
      </w:r>
      <w:r w:rsidRPr="00033A27" w:rsidR="000B6E14">
        <w:t xml:space="preserve">, </w:t>
      </w:r>
      <w:r w:rsidRPr="00033A27" w:rsidR="00003E23">
        <w:t xml:space="preserve">stating that </w:t>
      </w:r>
      <w:r w:rsidRPr="00033A27" w:rsidR="000B6E14">
        <w:t>Havasu violated Pub. Util. Code §2713(a) and GO 103-A, (VII)(2)(B) when it failed to properly inspect and maintain its fire hydrants.</w:t>
      </w:r>
      <w:r w:rsidRPr="00D1692E" w:rsidR="000B6E14">
        <w:t xml:space="preserve">  </w:t>
      </w:r>
    </w:p>
    <w:p w:rsidR="000B6E14" w:rsidP="000B6E14" w:rsidRDefault="000B6E14" w14:paraId="1C8F1BEB" w14:textId="77777777">
      <w:pPr>
        <w:pStyle w:val="Standard"/>
      </w:pPr>
      <w:r>
        <w:t>Pub. Util. Code § 2713(a) states that:</w:t>
      </w:r>
    </w:p>
    <w:p w:rsidR="000B6E14" w:rsidP="0027329A" w:rsidRDefault="000B6E14" w14:paraId="53290E25" w14:textId="58F9A85E">
      <w:pPr>
        <w:pStyle w:val="Standard"/>
        <w:spacing w:after="120" w:line="240" w:lineRule="auto"/>
        <w:ind w:left="720" w:firstLine="0"/>
      </w:pPr>
      <w:r w:rsidRPr="00033BD8">
        <w:t>A water corporation shall furnish water for fire protection purposes to the extent of its means and as a condition of a certificate of public convenience and necessity, in case of fire or other great necessity, within the boundaries of the territory served by it for use within such territory.</w:t>
      </w:r>
    </w:p>
    <w:p w:rsidR="000B6E14" w:rsidP="000B6E14" w:rsidRDefault="000B6E14" w14:paraId="6910926E" w14:textId="77777777">
      <w:pPr>
        <w:pStyle w:val="Standard"/>
      </w:pPr>
      <w:r>
        <w:t>GO 103-A (VII)(2)(B) states that:</w:t>
      </w:r>
    </w:p>
    <w:p w:rsidR="000B6E14" w:rsidP="000B6E14" w:rsidRDefault="000B6E14" w14:paraId="3BCE82DE" w14:textId="77777777">
      <w:pPr>
        <w:pStyle w:val="Standard"/>
        <w:spacing w:line="240" w:lineRule="auto"/>
      </w:pPr>
      <w:r>
        <w:t xml:space="preserve">Effective asset management helps achieve or maintain service and other </w:t>
      </w:r>
    </w:p>
    <w:p w:rsidR="000B6E14" w:rsidP="000B6E14" w:rsidRDefault="000B6E14" w14:paraId="7C7F509E" w14:textId="77777777">
      <w:pPr>
        <w:pStyle w:val="Standard"/>
        <w:spacing w:line="240" w:lineRule="auto"/>
      </w:pPr>
      <w:r>
        <w:lastRenderedPageBreak/>
        <w:t xml:space="preserve">business performance requirements, manage risks, and improve </w:t>
      </w:r>
    </w:p>
    <w:p w:rsidR="000B6E14" w:rsidP="000B6E14" w:rsidRDefault="000B6E14" w14:paraId="3B44B2A9" w14:textId="77777777">
      <w:pPr>
        <w:pStyle w:val="Standard"/>
        <w:spacing w:line="240" w:lineRule="auto"/>
      </w:pPr>
      <w:r>
        <w:t xml:space="preserve">efficiency.  To support the asset management system </w:t>
      </w:r>
      <w:proofErr w:type="gramStart"/>
      <w:r>
        <w:t>requirements all</w:t>
      </w:r>
      <w:proofErr w:type="gramEnd"/>
      <w:r>
        <w:t xml:space="preserve"> </w:t>
      </w:r>
    </w:p>
    <w:p w:rsidR="000B6E14" w:rsidP="000B6E14" w:rsidRDefault="000B6E14" w14:paraId="5586E193" w14:textId="77777777">
      <w:pPr>
        <w:pStyle w:val="Standard"/>
        <w:spacing w:line="240" w:lineRule="auto"/>
      </w:pPr>
      <w:r>
        <w:t xml:space="preserve">utilities shall conduct regular reviews of their asset management system, </w:t>
      </w:r>
    </w:p>
    <w:p w:rsidR="000B6E14" w:rsidP="000B6E14" w:rsidRDefault="000B6E14" w14:paraId="3288989F" w14:textId="77777777">
      <w:pPr>
        <w:pStyle w:val="Standard"/>
        <w:spacing w:line="240" w:lineRule="auto"/>
      </w:pPr>
      <w:r>
        <w:t xml:space="preserve">employing either internal or external resources, as appropriate.  Utilities </w:t>
      </w:r>
    </w:p>
    <w:p w:rsidR="000B6E14" w:rsidP="000B6E14" w:rsidRDefault="000B6E14" w14:paraId="3D53EBE5" w14:textId="77777777">
      <w:pPr>
        <w:pStyle w:val="Standard"/>
        <w:spacing w:line="240" w:lineRule="auto"/>
      </w:pPr>
      <w:r>
        <w:t xml:space="preserve">shall report to the Commission on any major plans to retrofit existing </w:t>
      </w:r>
    </w:p>
    <w:p w:rsidR="000B6E14" w:rsidP="000B6E14" w:rsidRDefault="000B6E14" w14:paraId="578D8BC1" w14:textId="77777777">
      <w:pPr>
        <w:pStyle w:val="Standard"/>
        <w:spacing w:line="240" w:lineRule="auto"/>
      </w:pPr>
      <w:r>
        <w:t xml:space="preserve">facilities, use of cathodic protection programs, and other efforts to </w:t>
      </w:r>
    </w:p>
    <w:p w:rsidR="000B6E14" w:rsidP="000B6E14" w:rsidRDefault="000B6E14" w14:paraId="6C37439A" w14:textId="77777777">
      <w:pPr>
        <w:pStyle w:val="Standard"/>
        <w:spacing w:line="240" w:lineRule="auto"/>
      </w:pPr>
      <w:r>
        <w:t xml:space="preserve">minimize deterioration and extend service life.  The Commission may </w:t>
      </w:r>
    </w:p>
    <w:p w:rsidR="000B6E14" w:rsidP="000B6E14" w:rsidRDefault="000B6E14" w14:paraId="1F2958A5" w14:textId="77777777">
      <w:pPr>
        <w:pStyle w:val="Standard"/>
        <w:spacing w:line="240" w:lineRule="auto"/>
      </w:pPr>
      <w:r>
        <w:t xml:space="preserve">determine whether additional third-party review of a utility’s asset </w:t>
      </w:r>
    </w:p>
    <w:p w:rsidR="000B6E14" w:rsidP="0027329A" w:rsidRDefault="000B6E14" w14:paraId="2ADE90B8" w14:textId="7CBD1056">
      <w:pPr>
        <w:pStyle w:val="Standard"/>
        <w:spacing w:after="120" w:line="240" w:lineRule="auto"/>
      </w:pPr>
      <w:r>
        <w:t>management plan, as a recoverable cost, is warranted.</w:t>
      </w:r>
    </w:p>
    <w:p w:rsidR="000B6E14" w:rsidP="000B6E14" w:rsidRDefault="000B6E14" w14:paraId="3762A143" w14:textId="1BF3D601">
      <w:pPr>
        <w:pStyle w:val="Standard"/>
      </w:pPr>
      <w:r>
        <w:t>On Ma</w:t>
      </w:r>
      <w:r w:rsidR="00235726">
        <w:t>rch</w:t>
      </w:r>
      <w:r>
        <w:t xml:space="preserve"> 7, 2025 </w:t>
      </w:r>
      <w:r w:rsidR="00485E70">
        <w:t xml:space="preserve">WD issued a </w:t>
      </w:r>
      <w:r>
        <w:t xml:space="preserve">NOV, </w:t>
      </w:r>
      <w:r w:rsidR="00485E70">
        <w:t>and</w:t>
      </w:r>
      <w:r w:rsidRPr="00520900" w:rsidR="00485E70">
        <w:t xml:space="preserve"> </w:t>
      </w:r>
      <w:r>
        <w:t>ordered</w:t>
      </w:r>
      <w:r w:rsidRPr="00520900">
        <w:t xml:space="preserve"> Havasu to do the following: 1) inspect all fire hydrants in Havasu’s service area</w:t>
      </w:r>
      <w:r>
        <w:t xml:space="preserve">, due date March 18, 2025 </w:t>
      </w:r>
      <w:r w:rsidRPr="00520900">
        <w:t>; 2) conduct repairs and replacements as needed to ensure all fire hydrants in Havasu’s service area are fully operable</w:t>
      </w:r>
      <w:r>
        <w:t>, due date April 1, 2025</w:t>
      </w:r>
      <w:r w:rsidRPr="00520900">
        <w:t>; 3) provide to WD a record of all inspections, repairs and replacements completed by Havasu for all fire hydrants in Havasu service area</w:t>
      </w:r>
      <w:r>
        <w:t>, due date April 1, 2025</w:t>
      </w:r>
      <w:r w:rsidRPr="00520900">
        <w:t>; and 4) provide all request documents and records in WD’s October 11, 2024 data request</w:t>
      </w:r>
      <w:r>
        <w:t>, due date March 18, 2025</w:t>
      </w:r>
      <w:r w:rsidRPr="00520900">
        <w:t>.</w:t>
      </w:r>
      <w:r w:rsidRPr="00520900">
        <w:rPr>
          <w:vertAlign w:val="superscript"/>
        </w:rPr>
        <w:footnoteReference w:id="146"/>
      </w:r>
      <w:r w:rsidRPr="00520900">
        <w:t xml:space="preserve">  </w:t>
      </w:r>
    </w:p>
    <w:p w:rsidR="000B6E14" w:rsidP="000B6E14" w:rsidRDefault="000B6E14" w14:paraId="5DD14694" w14:textId="7B7238A6">
      <w:pPr>
        <w:pStyle w:val="Standard"/>
      </w:pPr>
      <w:r>
        <w:t>On May 12, 2025, WD issued Citation No. W.25-05-001 to Havasu for failing to comply with the Ma</w:t>
      </w:r>
      <w:r w:rsidR="00235726">
        <w:t>rch</w:t>
      </w:r>
      <w:r>
        <w:t xml:space="preserve"> 7, 2025 NOV, which included a $10,000 penalty.</w:t>
      </w:r>
      <w:r>
        <w:rPr>
          <w:rStyle w:val="FootnoteReference"/>
        </w:rPr>
        <w:footnoteReference w:id="147"/>
      </w:r>
      <w:r>
        <w:t xml:space="preserve">  Citation No. W.25-05-001 included a description of the violations; reasons for the violations; appeal sample form, appeal directions and appeal due date and citation payment form.</w:t>
      </w:r>
      <w:r>
        <w:rPr>
          <w:rStyle w:val="FootnoteReference"/>
        </w:rPr>
        <w:footnoteReference w:id="148"/>
      </w:r>
    </w:p>
    <w:p w:rsidR="000B6E14" w:rsidP="000B6E14" w:rsidRDefault="00EC6E6D" w14:paraId="408D814B" w14:textId="10FAE858">
      <w:pPr>
        <w:pStyle w:val="Standard"/>
      </w:pPr>
      <w:r w:rsidRPr="00033A27">
        <w:t>A</w:t>
      </w:r>
      <w:r w:rsidRPr="00033A27" w:rsidR="00F167F7">
        <w:t xml:space="preserve">s evidence of fire hydrant neglect, </w:t>
      </w:r>
      <w:r w:rsidRPr="00033A27" w:rsidR="000B6E14">
        <w:t xml:space="preserve">CPED </w:t>
      </w:r>
      <w:r w:rsidRPr="00033A27" w:rsidR="00F167F7">
        <w:t>offered</w:t>
      </w:r>
      <w:r w:rsidRPr="00033A27" w:rsidR="003E19B7">
        <w:t xml:space="preserve"> an </w:t>
      </w:r>
      <w:r w:rsidRPr="00033A27" w:rsidR="000B6E14">
        <w:t>email from the EPA dated July 2, 2024, which raised concerns by customers about water pressure</w:t>
      </w:r>
      <w:r w:rsidRPr="00033A27" w:rsidR="00BF2080">
        <w:t xml:space="preserve">, </w:t>
      </w:r>
      <w:r w:rsidRPr="00033A27" w:rsidR="000B6E14">
        <w:t>functionality of fire hydrants in the Havasu service territory</w:t>
      </w:r>
      <w:r w:rsidRPr="00033A27" w:rsidR="00BF2080">
        <w:t xml:space="preserve"> and provided </w:t>
      </w:r>
      <w:r w:rsidRPr="00033A27" w:rsidR="00BF2080">
        <w:lastRenderedPageBreak/>
        <w:t xml:space="preserve">pictures of </w:t>
      </w:r>
      <w:r w:rsidRPr="00033A27" w:rsidR="00A4370B">
        <w:t>damaged fire hydrants</w:t>
      </w:r>
      <w:r w:rsidRPr="00033A27" w:rsidR="000B6E14">
        <w:t>.</w:t>
      </w:r>
      <w:r w:rsidRPr="00033A27" w:rsidR="000B6E14">
        <w:rPr>
          <w:rStyle w:val="FootnoteReference"/>
        </w:rPr>
        <w:footnoteReference w:id="149"/>
      </w:r>
      <w:r w:rsidR="000B6E14">
        <w:t xml:space="preserve">  On July 7, 2024, the SBCFD contacted WD to raise similar concerns about fire safety and the ability to combat fires in the area if needed.</w:t>
      </w:r>
      <w:r w:rsidR="000B6E14">
        <w:rPr>
          <w:rStyle w:val="FootnoteReference"/>
        </w:rPr>
        <w:footnoteReference w:id="150"/>
      </w:r>
      <w:r w:rsidR="000B6E14">
        <w:t xml:space="preserve">  </w:t>
      </w:r>
    </w:p>
    <w:p w:rsidR="000B6E14" w:rsidP="000B6E14" w:rsidRDefault="000B6E14" w14:paraId="0FA5F8CF" w14:textId="1C0E2FDE">
      <w:pPr>
        <w:pStyle w:val="Standard"/>
      </w:pPr>
      <w:r w:rsidRPr="00734FC2">
        <w:t xml:space="preserve">On June </w:t>
      </w:r>
      <w:r w:rsidR="000E4B9F">
        <w:t>23</w:t>
      </w:r>
      <w:r w:rsidRPr="00734FC2">
        <w:t>, 2025, Havas</w:t>
      </w:r>
      <w:r>
        <w:t xml:space="preserve">u filed its </w:t>
      </w:r>
      <w:r w:rsidRPr="00734FC2">
        <w:t>appeal to Citation No. W.25-05-001.</w:t>
      </w:r>
      <w:r>
        <w:rPr>
          <w:rStyle w:val="FootnoteReference"/>
        </w:rPr>
        <w:footnoteReference w:id="151"/>
      </w:r>
      <w:r w:rsidRPr="00734FC2">
        <w:t xml:space="preserve">  </w:t>
      </w:r>
      <w:r>
        <w:t xml:space="preserve">In its appeal, Havasu </w:t>
      </w:r>
      <w:r w:rsidR="00CB64AB">
        <w:t>asserts</w:t>
      </w:r>
      <w:r>
        <w:t xml:space="preserve"> the following defenses: 1) Commission failed to provide Havasu with due process notice and opportunity to a hearing before issuance of Citation W.25-05-001; 2) Havasu was not provided an opportunity to respond to the March 12, 2025 citation; and 3) the Commission does not have any evidence that there is anything wrong with the operation of Havasu’s fire hydrants or that Havasu has failed to adequately maintain fire hydrants in its service area.</w:t>
      </w:r>
      <w:r>
        <w:rPr>
          <w:rStyle w:val="FootnoteReference"/>
        </w:rPr>
        <w:footnoteReference w:id="152"/>
      </w:r>
    </w:p>
    <w:p w:rsidR="000B6E14" w:rsidP="000B6E14" w:rsidRDefault="000B6E14" w14:paraId="6D46D984" w14:textId="50DF21B7">
      <w:pPr>
        <w:pStyle w:val="Standard"/>
      </w:pPr>
      <w:r>
        <w:t>On July 29, 2025, CPED filed a Motion to Dismiss Havasu’s Appeal and filed a Motion to Accept Late Filing of its Compliance Filing</w:t>
      </w:r>
      <w:r w:rsidR="003C14E4">
        <w:t xml:space="preserve"> in K.25-06-028</w:t>
      </w:r>
      <w:r>
        <w:t>.</w:t>
      </w:r>
    </w:p>
    <w:p w:rsidR="000B6E14" w:rsidP="000B6E14" w:rsidRDefault="000B6E14" w14:paraId="52137F42" w14:textId="77777777">
      <w:pPr>
        <w:pStyle w:val="Standard"/>
      </w:pPr>
      <w:r>
        <w:t>CPED Motion to Dismiss Havasu’s Appeal is denied and CPED’s Motion for Acceptance of Late Filing of its Compliance Filing is granted.</w:t>
      </w:r>
    </w:p>
    <w:p w:rsidRPr="00D30D99" w:rsidR="000B6E14" w:rsidP="00180B0C" w:rsidRDefault="000B6E14" w14:paraId="5105ECCE" w14:textId="77777777">
      <w:pPr>
        <w:pStyle w:val="Heading2"/>
      </w:pPr>
      <w:bookmarkStart w:name="_Toc221259555" w:id="41"/>
      <w:r w:rsidRPr="00D30D99">
        <w:t>Discussion</w:t>
      </w:r>
      <w:bookmarkEnd w:id="41"/>
    </w:p>
    <w:p w:rsidR="000B6E14" w:rsidP="000B6E14" w:rsidRDefault="000B6E14" w14:paraId="6B5A6EE7" w14:textId="77BA81D2">
      <w:pPr>
        <w:pStyle w:val="Standard"/>
        <w:ind w:firstLine="0"/>
      </w:pPr>
      <w:r>
        <w:tab/>
        <w:t>Havasu contends that it was not provided any notice of any alleged violation of any statute, rule, order or that the Commission was contemplating before issuing a citation.</w:t>
      </w:r>
      <w:r>
        <w:rPr>
          <w:rStyle w:val="FootnoteReference"/>
        </w:rPr>
        <w:footnoteReference w:id="153"/>
      </w:r>
      <w:r>
        <w:t xml:space="preserve">  This is not true, on March 7, 2025, WD issued an NOV ordering Havasu to comply with four directives.</w:t>
      </w:r>
      <w:r>
        <w:rPr>
          <w:rStyle w:val="FootnoteReference"/>
        </w:rPr>
        <w:footnoteReference w:id="154"/>
      </w:r>
      <w:r>
        <w:t xml:space="preserve">  Moreover, it is </w:t>
      </w:r>
      <w:r>
        <w:lastRenderedPageBreak/>
        <w:t xml:space="preserve">determined that Citation No. </w:t>
      </w:r>
      <w:r w:rsidRPr="000729E7">
        <w:t>W.25-05-001</w:t>
      </w:r>
      <w:r>
        <w:t xml:space="preserve"> sufficiently provided Havasu with notice and an opportunity for a hearing.  In addition, Havasu has provided no authority or citation that requires the Commission to give a utility prior notice to a citation.  </w:t>
      </w:r>
      <w:r w:rsidR="006A787E">
        <w:t xml:space="preserve">The citation is the notice of </w:t>
      </w:r>
      <w:proofErr w:type="gramStart"/>
      <w:r w:rsidR="006A787E">
        <w:t>violation</w:t>
      </w:r>
      <w:proofErr w:type="gramEnd"/>
      <w:r w:rsidR="006A787E">
        <w:t xml:space="preserve"> </w:t>
      </w:r>
      <w:r w:rsidR="00286F87">
        <w:t>and the appeal is the opportunity to contest said violation.</w:t>
      </w:r>
    </w:p>
    <w:p w:rsidR="000B6E14" w:rsidP="000B6E14" w:rsidRDefault="000B6E14" w14:paraId="075D8C7B" w14:textId="674F21E6">
      <w:pPr>
        <w:pStyle w:val="Standard"/>
        <w:ind w:firstLine="0"/>
      </w:pPr>
      <w:r>
        <w:tab/>
        <w:t>Havasu contends that it was not provided enough time to respond to the March 7, 2025 NOV before the Ma</w:t>
      </w:r>
      <w:r w:rsidR="00F072CA">
        <w:t>y</w:t>
      </w:r>
      <w:r>
        <w:t xml:space="preserve"> 12, 2025 citation was issued.</w:t>
      </w:r>
      <w:r>
        <w:rPr>
          <w:rStyle w:val="FootnoteReference"/>
        </w:rPr>
        <w:footnoteReference w:id="155"/>
      </w:r>
      <w:r>
        <w:t xml:space="preserve">  The citation’s directives had the following due dates: 1) March 18, 2025; 2) April 1, 2025; 3) April 1, 2025 and 4) March 18, 2025.</w:t>
      </w:r>
      <w:r>
        <w:rPr>
          <w:rStyle w:val="FootnoteReference"/>
        </w:rPr>
        <w:footnoteReference w:id="156"/>
      </w:r>
      <w:r>
        <w:t xml:space="preserve">  </w:t>
      </w:r>
      <w:r w:rsidR="00D60830">
        <w:t xml:space="preserve">WD </w:t>
      </w:r>
      <w:r>
        <w:t xml:space="preserve">does not provide an explanation as to why it issued this citation only 5 days after the March 7, 2025 NOV.  </w:t>
      </w:r>
    </w:p>
    <w:p w:rsidRPr="00C81BFA" w:rsidR="000B6E14" w:rsidP="000B6E14" w:rsidRDefault="000B6E14" w14:paraId="2AE30834" w14:textId="71DBEB87">
      <w:pPr>
        <w:pStyle w:val="Standard"/>
      </w:pPr>
      <w:r w:rsidRPr="00C81BFA">
        <w:t xml:space="preserve">Havasu would possess a persuasive argument had it produced evidence demonstrating compliance with the </w:t>
      </w:r>
      <w:r>
        <w:t>Ma</w:t>
      </w:r>
      <w:r w:rsidR="00235726">
        <w:t>rch</w:t>
      </w:r>
      <w:r>
        <w:t xml:space="preserve"> 7, </w:t>
      </w:r>
      <w:proofErr w:type="gramStart"/>
      <w:r>
        <w:t>2025</w:t>
      </w:r>
      <w:proofErr w:type="gramEnd"/>
      <w:r>
        <w:t xml:space="preserve"> NOV, within the due dates provided above.  </w:t>
      </w:r>
    </w:p>
    <w:p w:rsidR="000B6E14" w:rsidP="000B6E14" w:rsidRDefault="000B6E14" w14:paraId="62BE6B3C" w14:textId="74B2CEA4">
      <w:pPr>
        <w:pStyle w:val="Standard"/>
      </w:pPr>
      <w:r>
        <w:t>To</w:t>
      </w:r>
      <w:r w:rsidRPr="00C81BFA">
        <w:t xml:space="preserve"> date, Havasu has failed to </w:t>
      </w:r>
      <w:r>
        <w:t xml:space="preserve">provide any evidence that it has </w:t>
      </w:r>
      <w:r w:rsidRPr="00C81BFA">
        <w:t>compl</w:t>
      </w:r>
      <w:r>
        <w:t>ied</w:t>
      </w:r>
      <w:r w:rsidRPr="00C81BFA">
        <w:t xml:space="preserve"> with the Ma</w:t>
      </w:r>
      <w:r w:rsidR="00235726">
        <w:t>rch</w:t>
      </w:r>
      <w:r w:rsidRPr="00C81BFA">
        <w:t xml:space="preserve"> 7, </w:t>
      </w:r>
      <w:proofErr w:type="gramStart"/>
      <w:r w:rsidRPr="00C81BFA">
        <w:t>2025</w:t>
      </w:r>
      <w:proofErr w:type="gramEnd"/>
      <w:r w:rsidRPr="00C81BFA">
        <w:t xml:space="preserve"> NOV and with any of the four directives contained therein.</w:t>
      </w:r>
      <w:r>
        <w:t xml:space="preserve">  T</w:t>
      </w:r>
      <w:r w:rsidRPr="00C81BFA">
        <w:t xml:space="preserve">his continuing noncompliance </w:t>
      </w:r>
      <w:r>
        <w:t xml:space="preserve">and unresponsiveness </w:t>
      </w:r>
      <w:proofErr w:type="gramStart"/>
      <w:r w:rsidR="00A53872">
        <w:t>constitutes</w:t>
      </w:r>
      <w:proofErr w:type="gramEnd"/>
      <w:r w:rsidR="00DE26D4">
        <w:t xml:space="preserve"> </w:t>
      </w:r>
      <w:r>
        <w:t>a public health and safety risk to its customers.</w:t>
      </w:r>
    </w:p>
    <w:p w:rsidR="000B6E14" w:rsidP="000B6E14" w:rsidRDefault="000B6E14" w14:paraId="3E24CD6A" w14:textId="2332A45C">
      <w:pPr>
        <w:pStyle w:val="Standard"/>
        <w:ind w:firstLine="0"/>
      </w:pPr>
      <w:r>
        <w:tab/>
        <w:t xml:space="preserve">Havasu contends that the Commission has no evidence that there is anything wrong with the operation of Havasu’s fire hydrants or that Havasu has failed to adequately maintain fire hydrant services </w:t>
      </w:r>
      <w:r w:rsidR="00CD320A">
        <w:t xml:space="preserve">in its </w:t>
      </w:r>
      <w:r>
        <w:t>service area.</w:t>
      </w:r>
      <w:r>
        <w:rPr>
          <w:rStyle w:val="FootnoteReference"/>
        </w:rPr>
        <w:footnoteReference w:id="157"/>
      </w:r>
      <w:r>
        <w:t xml:space="preserve">  </w:t>
      </w:r>
    </w:p>
    <w:p w:rsidRPr="00FA0FC6" w:rsidR="000B6E14" w:rsidP="000B6E14" w:rsidRDefault="000B6E14" w14:paraId="24E93593" w14:textId="600030B2">
      <w:pPr>
        <w:pStyle w:val="Standard"/>
      </w:pPr>
      <w:r w:rsidRPr="00FA0FC6">
        <w:t xml:space="preserve">Havasu’s contention is circular and without merit. </w:t>
      </w:r>
      <w:r>
        <w:t xml:space="preserve"> </w:t>
      </w:r>
      <w:proofErr w:type="gramStart"/>
      <w:r w:rsidRPr="00FA0FC6">
        <w:t xml:space="preserve">The </w:t>
      </w:r>
      <w:r>
        <w:t>Ma</w:t>
      </w:r>
      <w:r w:rsidR="00235726">
        <w:t>rch</w:t>
      </w:r>
      <w:proofErr w:type="gramEnd"/>
      <w:r>
        <w:t xml:space="preserve"> 7, </w:t>
      </w:r>
      <w:proofErr w:type="gramStart"/>
      <w:r>
        <w:t>2025</w:t>
      </w:r>
      <w:proofErr w:type="gramEnd"/>
      <w:r>
        <w:t xml:space="preserve"> NOV </w:t>
      </w:r>
      <w:r w:rsidRPr="00FA0FC6">
        <w:t xml:space="preserve">directs Havasu to provide </w:t>
      </w:r>
      <w:r>
        <w:t xml:space="preserve">WD </w:t>
      </w:r>
      <w:r w:rsidRPr="00FA0FC6">
        <w:t xml:space="preserve">with a complete record of all inspections, repairs, and replacements performed by Havasu on fire hydrants within its </w:t>
      </w:r>
      <w:r w:rsidRPr="00FA0FC6">
        <w:lastRenderedPageBreak/>
        <w:t>service area</w:t>
      </w:r>
      <w:r>
        <w:t xml:space="preserve"> from the last ten years</w:t>
      </w:r>
      <w:r w:rsidRPr="00FA0FC6">
        <w:t>.</w:t>
      </w:r>
      <w:r w:rsidRPr="0001698B">
        <w:rPr>
          <w:rStyle w:val="FootnoteReference"/>
        </w:rPr>
        <w:t xml:space="preserve"> </w:t>
      </w:r>
      <w:r>
        <w:rPr>
          <w:rStyle w:val="FootnoteReference"/>
        </w:rPr>
        <w:footnoteReference w:id="158"/>
      </w:r>
      <w:r>
        <w:t xml:space="preserve"> </w:t>
      </w:r>
      <w:r w:rsidRPr="00FA0FC6">
        <w:t xml:space="preserve"> </w:t>
      </w:r>
      <w:r>
        <w:t xml:space="preserve"> </w:t>
      </w:r>
      <w:r w:rsidRPr="00FA0FC6">
        <w:t>Compliance with this directive is mandatory.</w:t>
      </w:r>
      <w:r>
        <w:rPr>
          <w:rStyle w:val="FootnoteReference"/>
        </w:rPr>
        <w:footnoteReference w:id="159"/>
      </w:r>
    </w:p>
    <w:p w:rsidRPr="00FA0FC6" w:rsidR="000B6E14" w:rsidP="007D2241" w:rsidRDefault="000B6E14" w14:paraId="528C626D" w14:textId="132E738D">
      <w:pPr>
        <w:pStyle w:val="Standard"/>
      </w:pPr>
      <w:r w:rsidRPr="00FA0FC6">
        <w:t>Because Havasu is required to furnish WD with such records, its failure to do so places it at fault</w:t>
      </w:r>
      <w:r w:rsidR="005239D6">
        <w:t xml:space="preserve"> and in violation of Commission directives</w:t>
      </w:r>
      <w:r w:rsidRPr="00FA0FC6">
        <w:t xml:space="preserve">. </w:t>
      </w:r>
      <w:r>
        <w:t xml:space="preserve"> </w:t>
      </w:r>
      <w:r w:rsidRPr="00FA0FC6">
        <w:t xml:space="preserve">The absence of records that could potentially exonerate Havasu underscores its noncompliance. </w:t>
      </w:r>
      <w:r>
        <w:t xml:space="preserve"> </w:t>
      </w:r>
      <w:r w:rsidRPr="00FA0FC6">
        <w:t xml:space="preserve">Havasu’s argument that WD lacks evidence of deficiencies in its fire hydrants is misplaced. </w:t>
      </w:r>
      <w:r>
        <w:t xml:space="preserve"> </w:t>
      </w:r>
      <w:r w:rsidRPr="00FA0FC6">
        <w:t xml:space="preserve">The proper view is that Havasu has failed to </w:t>
      </w:r>
      <w:r w:rsidR="00207C4B">
        <w:t>offer</w:t>
      </w:r>
      <w:r w:rsidRPr="00FA0FC6">
        <w:t xml:space="preserve"> any evidence demonstrating that its fire hydrants have been inspected, repaired or replaced at any time during the past ten years.</w:t>
      </w:r>
      <w:r w:rsidR="00B827E1">
        <w:t xml:space="preserve">  </w:t>
      </w:r>
      <w:r w:rsidRPr="00FA0FC6">
        <w:t xml:space="preserve">Havasu’s position does not rebut </w:t>
      </w:r>
      <w:proofErr w:type="gramStart"/>
      <w:r w:rsidRPr="00FA0FC6">
        <w:t>the</w:t>
      </w:r>
      <w:r>
        <w:t xml:space="preserve"> Ma</w:t>
      </w:r>
      <w:r w:rsidR="0008584E">
        <w:t>rch</w:t>
      </w:r>
      <w:proofErr w:type="gramEnd"/>
      <w:r>
        <w:t xml:space="preserve"> 7, </w:t>
      </w:r>
      <w:proofErr w:type="gramStart"/>
      <w:r>
        <w:t>2025</w:t>
      </w:r>
      <w:proofErr w:type="gramEnd"/>
      <w:r w:rsidRPr="00FA0FC6">
        <w:t xml:space="preserve"> NOV but rather confirms its failure to comply with the Commission’s directive.</w:t>
      </w:r>
    </w:p>
    <w:p w:rsidR="000B6E14" w:rsidP="000B6E14" w:rsidRDefault="000B6E14" w14:paraId="6EA8BEF2" w14:textId="01807257">
      <w:pPr>
        <w:pStyle w:val="Standard"/>
        <w:ind w:firstLine="0"/>
      </w:pPr>
      <w:r>
        <w:tab/>
        <w:t xml:space="preserve">Havasu contends that the fire hydrants are maintained by SBCFD pursuant to the </w:t>
      </w:r>
      <w:r w:rsidRPr="003C14E4" w:rsidR="003C14E4">
        <w:t>Uniform Fire Hydrant Safety Agreements (</w:t>
      </w:r>
      <w:r>
        <w:t>UFHSA</w:t>
      </w:r>
      <w:r w:rsidR="003C14E4">
        <w:t>)</w:t>
      </w:r>
      <w:r>
        <w:t>.</w:t>
      </w:r>
      <w:r>
        <w:rPr>
          <w:rStyle w:val="FootnoteReference"/>
        </w:rPr>
        <w:footnoteReference w:id="160"/>
      </w:r>
      <w:r>
        <w:t xml:space="preserve">  According to Havasu, SBCFD maintains all records of the inspection, repair and maintenance of Havasu fire hydrants and those records will be produced upon receipt from SBCFD.</w:t>
      </w:r>
      <w:r>
        <w:rPr>
          <w:rStyle w:val="FootnoteReference"/>
        </w:rPr>
        <w:footnoteReference w:id="161"/>
      </w:r>
      <w:r>
        <w:t xml:space="preserve">  In addition, Havasu claims that SBCFD has not produced the requested records nor have they sent written notice to Havasu of any need for repair or replacement of any of Havasu’s fire hydrants.</w:t>
      </w:r>
      <w:r>
        <w:rPr>
          <w:rStyle w:val="FootnoteReference"/>
        </w:rPr>
        <w:footnoteReference w:id="162"/>
      </w:r>
      <w:r>
        <w:t xml:space="preserve">  </w:t>
      </w:r>
    </w:p>
    <w:p w:rsidR="000B6E14" w:rsidP="000B6E14" w:rsidRDefault="000B6E14" w14:paraId="5AB23177" w14:textId="77777777">
      <w:pPr>
        <w:pStyle w:val="Standard"/>
      </w:pPr>
      <w:r>
        <w:lastRenderedPageBreak/>
        <w:t>To counter Havasu’s SBCFD claims, CPED filed the Declaration of Tracy Shaw, Assistant Fire Marshal for the SBCFD.</w:t>
      </w:r>
      <w:r>
        <w:rPr>
          <w:rStyle w:val="FootnoteReference"/>
        </w:rPr>
        <w:footnoteReference w:id="163"/>
      </w:r>
      <w:r>
        <w:t xml:space="preserve">  In her declaration, Ms. Shaw states that:</w:t>
      </w:r>
    </w:p>
    <w:p w:rsidR="000B6E14" w:rsidP="00F77CC5" w:rsidRDefault="000B6E14" w14:paraId="56728E24" w14:textId="55A800A2">
      <w:pPr>
        <w:pStyle w:val="Standard"/>
        <w:spacing w:after="120" w:line="240" w:lineRule="auto"/>
        <w:ind w:left="1080" w:firstLine="0"/>
      </w:pPr>
      <w:r>
        <w:t>In the normal course of business, SBCFD does not execute Uniform Fire Hydrant Safety Agreements (UFHSA) with local water utilities.  Testing, maintenance, inspection and repair of the fire hydrants utilized by SBCFD for fire suppression is the responsibility of the local water purveyor.  SBCFD has not executed a UFHSA with Havasu.  SBCFD does not inspect fire hydrants utilized for fire suppression and does not provide a recommendation for a schedule for testing or require submission of records of inspections, maintenance, testing or repair.  SBCFD does not perform maintenance and repair of the fire hydrants that are part of Havasu’s service area and therefore does not have records to provide to CPUC.</w:t>
      </w:r>
    </w:p>
    <w:p w:rsidR="000B6E14" w:rsidP="000B6E14" w:rsidRDefault="000B6E14" w14:paraId="03C3DF43" w14:textId="0258FFE0">
      <w:pPr>
        <w:pStyle w:val="Standard"/>
      </w:pPr>
      <w:r>
        <w:t xml:space="preserve">Based on the Declaration of </w:t>
      </w:r>
      <w:r w:rsidR="003C14E4">
        <w:t>Ms.</w:t>
      </w:r>
      <w:r>
        <w:t xml:space="preserve"> Shaw, it is determined that Havasu does not have a UFHSA with SBCFD and </w:t>
      </w:r>
      <w:r w:rsidR="003C14E4">
        <w:t xml:space="preserve">Havasu </w:t>
      </w:r>
      <w:r>
        <w:t>is responsible for the inspection, repair and replacement of fire hydrants in its service area.</w:t>
      </w:r>
    </w:p>
    <w:p w:rsidR="000B6E14" w:rsidP="000B6E14" w:rsidRDefault="000B6E14" w14:paraId="0C58C6AA" w14:textId="429A9F67">
      <w:pPr>
        <w:pStyle w:val="Standard"/>
        <w:ind w:firstLine="0"/>
      </w:pPr>
      <w:r>
        <w:tab/>
        <w:t xml:space="preserve">The evidence is clear.  Havasu is attempting to delay and mislead the Commission into believing that SBCFD is responsible for inspection, repair and replacement of its fire hydrants when the responsibility </w:t>
      </w:r>
      <w:r w:rsidR="00620A36">
        <w:t>to do</w:t>
      </w:r>
      <w:r w:rsidR="00E70C30">
        <w:t xml:space="preserve"> so squarely</w:t>
      </w:r>
      <w:r>
        <w:t xml:space="preserve"> lies with Havasu.</w:t>
      </w:r>
    </w:p>
    <w:p w:rsidRPr="000B6E14" w:rsidR="000B6E14" w:rsidP="001D6401" w:rsidRDefault="000B6E14" w14:paraId="67E6E328" w14:textId="40BEB6BF">
      <w:pPr>
        <w:pStyle w:val="Standard"/>
      </w:pPr>
      <w:r w:rsidRPr="00225523">
        <w:t xml:space="preserve">Havasu failed to </w:t>
      </w:r>
      <w:r w:rsidR="00335175">
        <w:t>offer</w:t>
      </w:r>
      <w:r w:rsidRPr="00225523">
        <w:t xml:space="preserve"> any evidence or testimony in </w:t>
      </w:r>
      <w:r>
        <w:t>defense of its position</w:t>
      </w:r>
      <w:r w:rsidR="00E105E9">
        <w:t xml:space="preserve"> that</w:t>
      </w:r>
      <w:r w:rsidR="002F6008">
        <w:t xml:space="preserve"> it</w:t>
      </w:r>
      <w:r w:rsidR="00E105E9">
        <w:t xml:space="preserve"> was not in violation of Commission directives</w:t>
      </w:r>
      <w:r>
        <w:t>.  As such, it is determined that Havasu violated Pub. Util. Code § 2713(a) and GO 103-A (VII)</w:t>
      </w:r>
      <w:r w:rsidRPr="003B6357">
        <w:t>(2)</w:t>
      </w:r>
      <w:r>
        <w:t xml:space="preserve">(B) when it failed to </w:t>
      </w:r>
      <w:r w:rsidR="00584E8D">
        <w:t>properly</w:t>
      </w:r>
      <w:r w:rsidR="002172C2">
        <w:t xml:space="preserve"> </w:t>
      </w:r>
      <w:r>
        <w:t>inspect, repair and replace fire hydrants in its service area.</w:t>
      </w:r>
    </w:p>
    <w:p w:rsidR="009F5C50" w:rsidP="00180B0C" w:rsidRDefault="00100E55" w14:paraId="0A6EA3F8" w14:textId="02C26F4A">
      <w:pPr>
        <w:pStyle w:val="Heading1"/>
      </w:pPr>
      <w:bookmarkStart w:name="_Toc221259556" w:id="42"/>
      <w:r>
        <w:lastRenderedPageBreak/>
        <w:t xml:space="preserve">From March 2025 to Present, </w:t>
      </w:r>
      <w:r w:rsidR="002F49DB">
        <w:t xml:space="preserve">Havasu </w:t>
      </w:r>
      <w:r w:rsidR="00575B7B">
        <w:t>D</w:t>
      </w:r>
      <w:r w:rsidR="002F49DB">
        <w:t xml:space="preserve">id </w:t>
      </w:r>
      <w:r w:rsidR="00575B7B">
        <w:t>N</w:t>
      </w:r>
      <w:r w:rsidR="002F49DB">
        <w:t xml:space="preserve">ot </w:t>
      </w:r>
      <w:r w:rsidR="00575B7B">
        <w:t>V</w:t>
      </w:r>
      <w:r w:rsidR="002F49DB">
        <w:t xml:space="preserve">iolate Pub. Util. Code § </w:t>
      </w:r>
      <w:r>
        <w:t xml:space="preserve">454 </w:t>
      </w:r>
      <w:r w:rsidR="002F49DB">
        <w:t>and Tariff</w:t>
      </w:r>
      <w:r w:rsidR="00987149">
        <w:t>s</w:t>
      </w:r>
      <w:r w:rsidR="002F49DB">
        <w:t xml:space="preserve"> 12(B) and</w:t>
      </w:r>
      <w:r w:rsidR="00575B7B">
        <w:t xml:space="preserve"> </w:t>
      </w:r>
      <w:r w:rsidR="002F49DB">
        <w:t xml:space="preserve">(C) </w:t>
      </w:r>
      <w:r w:rsidR="00575B7B">
        <w:t>W</w:t>
      </w:r>
      <w:r w:rsidR="002F49DB">
        <w:t xml:space="preserve">hen </w:t>
      </w:r>
      <w:r w:rsidR="003C14E4">
        <w:t>I</w:t>
      </w:r>
      <w:r w:rsidR="00575B7B">
        <w:t xml:space="preserve">t Changed </w:t>
      </w:r>
      <w:r w:rsidR="003C14E4">
        <w:t>I</w:t>
      </w:r>
      <w:r w:rsidR="00575B7B">
        <w:t>ts Customers’ Water Meters</w:t>
      </w:r>
      <w:bookmarkEnd w:id="42"/>
    </w:p>
    <w:p w:rsidR="004461F5" w:rsidP="008A2019" w:rsidRDefault="008A2019" w14:paraId="2AB0D802" w14:textId="4D8C6132">
      <w:pPr>
        <w:pStyle w:val="Standard"/>
      </w:pPr>
      <w:r>
        <w:t>CPED alleges that on or about March 2025, Havasu violated Pub. Util. Code §</w:t>
      </w:r>
      <w:r w:rsidR="006C3D2F">
        <w:t xml:space="preserve"> </w:t>
      </w:r>
      <w:r>
        <w:t xml:space="preserve">454 when it changed its </w:t>
      </w:r>
      <w:r w:rsidR="00211A8D">
        <w:t xml:space="preserve">water </w:t>
      </w:r>
      <w:r>
        <w:t xml:space="preserve">meter size from 5/8 x 3/4" to </w:t>
      </w:r>
      <w:r w:rsidR="003C14E4">
        <w:t xml:space="preserve">3/4” </w:t>
      </w:r>
      <w:r>
        <w:t>without Commission approval.</w:t>
      </w:r>
      <w:r>
        <w:rPr>
          <w:rStyle w:val="FootnoteReference"/>
        </w:rPr>
        <w:footnoteReference w:id="164"/>
      </w:r>
      <w:r>
        <w:t xml:space="preserve">  </w:t>
      </w:r>
    </w:p>
    <w:p w:rsidR="009D565A" w:rsidP="009D565A" w:rsidRDefault="009D565A" w14:paraId="1FF0AD6B" w14:textId="77777777">
      <w:pPr>
        <w:pStyle w:val="Standard"/>
      </w:pPr>
      <w:r>
        <w:t>Pub. Util. Code § 454 states that:</w:t>
      </w:r>
    </w:p>
    <w:p w:rsidR="00362590" w:rsidP="005D0FE1" w:rsidRDefault="009D565A" w14:paraId="0905AE96" w14:textId="4DEBAC96">
      <w:pPr>
        <w:pStyle w:val="Standard"/>
        <w:spacing w:after="120" w:line="240" w:lineRule="auto"/>
        <w:ind w:left="720" w:firstLine="0"/>
      </w:pPr>
      <w:r>
        <w:t>A</w:t>
      </w:r>
      <w:r w:rsidRPr="000D6DA9">
        <w:t xml:space="preserve"> public utility shall not change any rate or so alter any classification, contract, practice, or rule as to result in any new rate, except upon a showing before the commission and a finding by the commission that the new rate is justified. </w:t>
      </w:r>
    </w:p>
    <w:p w:rsidR="00B52B1E" w:rsidP="005D0FE1" w:rsidRDefault="00362590" w14:paraId="1FFB130B" w14:textId="6548E72F">
      <w:pPr>
        <w:pStyle w:val="Standard"/>
        <w:spacing w:after="120" w:line="240" w:lineRule="auto"/>
        <w:ind w:left="720" w:firstLine="0"/>
      </w:pPr>
      <w:r>
        <w:t xml:space="preserve">Pub. Util. </w:t>
      </w:r>
      <w:r w:rsidR="00B52B1E">
        <w:t>Code § 491 states that:</w:t>
      </w:r>
    </w:p>
    <w:p w:rsidR="00F05E59" w:rsidP="005D0FE1" w:rsidRDefault="00A35E18" w14:paraId="1054A00A" w14:textId="38D9D71B">
      <w:pPr>
        <w:pStyle w:val="Standard"/>
        <w:spacing w:after="120" w:line="240" w:lineRule="auto"/>
        <w:ind w:left="720" w:firstLine="0"/>
      </w:pPr>
      <w:r w:rsidRPr="00A35E18">
        <w:t xml:space="preserve">Unless the commission otherwise orders, no change shall be made by any public utility in any rate or classification, or in any rule or contract relating to or affecting any rate, classification, or service, or in any privilege or facility, except after 30 days’ notice to the commission and to the public. </w:t>
      </w:r>
      <w:proofErr w:type="gramStart"/>
      <w:r w:rsidRPr="00A35E18">
        <w:t>Notice</w:t>
      </w:r>
      <w:proofErr w:type="gramEnd"/>
      <w:r w:rsidRPr="00A35E18">
        <w:t xml:space="preserve"> shall be given by filing with the commission and keeping open for public inspection new schedules stating plainly the changes to be made in the schedule or schedules then in force, and the time when the changes will go into effect.</w:t>
      </w:r>
    </w:p>
    <w:p w:rsidR="00A561F4" w:rsidP="00A561F4" w:rsidRDefault="00A561F4" w14:paraId="1D97B958" w14:textId="66D7D8AD">
      <w:pPr>
        <w:pStyle w:val="Standard"/>
      </w:pPr>
      <w:r>
        <w:t xml:space="preserve">According to CPED, </w:t>
      </w:r>
      <w:r w:rsidR="00D573FA">
        <w:t>Havasu must provide notice to the Commission and seek approval before making changes to the customers’ water meters.</w:t>
      </w:r>
      <w:r w:rsidR="00D573FA">
        <w:rPr>
          <w:rStyle w:val="FootnoteReference"/>
        </w:rPr>
        <w:footnoteReference w:id="165"/>
      </w:r>
      <w:r w:rsidR="00484BB0">
        <w:t xml:space="preserve">  </w:t>
      </w:r>
      <w:r w:rsidR="007215E1">
        <w:t>CPE</w:t>
      </w:r>
      <w:r w:rsidR="00483B6E">
        <w:t>D asserts that by</w:t>
      </w:r>
      <w:r w:rsidR="00484BB0">
        <w:t xml:space="preserve"> not providing notice and seeking approval, </w:t>
      </w:r>
      <w:r>
        <w:t>Havasu’s actions resulted in a rate increase for customers that was not approved by the Commission.</w:t>
      </w:r>
      <w:r>
        <w:rPr>
          <w:rStyle w:val="FootnoteReference"/>
        </w:rPr>
        <w:footnoteReference w:id="166"/>
      </w:r>
      <w:r>
        <w:t xml:space="preserve">  Havasu was ordered to cease billing customers at the higher service charge.</w:t>
      </w:r>
      <w:r>
        <w:rPr>
          <w:rStyle w:val="FootnoteReference"/>
        </w:rPr>
        <w:footnoteReference w:id="167"/>
      </w:r>
      <w:r>
        <w:t xml:space="preserve">  Havasu was informed that it may not bill customers at the </w:t>
      </w:r>
      <w:r>
        <w:lastRenderedPageBreak/>
        <w:t>service charge associated with 3/4" meter size until a Tier 3 Advice Letter justifying the rate increase is approved by the Commission.</w:t>
      </w:r>
      <w:r>
        <w:rPr>
          <w:rStyle w:val="FootnoteReference"/>
        </w:rPr>
        <w:footnoteReference w:id="168"/>
      </w:r>
      <w:r w:rsidR="00874BCB">
        <w:t xml:space="preserve">  On May 6, 2025, </w:t>
      </w:r>
      <w:r w:rsidR="00A32BA9">
        <w:t xml:space="preserve">the WD issued a data request </w:t>
      </w:r>
      <w:r w:rsidR="007C11B1">
        <w:t>to Havasu regarding the water meter replacement.</w:t>
      </w:r>
      <w:r w:rsidR="007C11B1">
        <w:rPr>
          <w:rStyle w:val="FootnoteReference"/>
        </w:rPr>
        <w:footnoteReference w:id="169"/>
      </w:r>
      <w:r w:rsidR="007C11B1">
        <w:t xml:space="preserve">  </w:t>
      </w:r>
      <w:r w:rsidR="00383482">
        <w:t>On May 8, 2025, Havasu objected to WD’s data request.</w:t>
      </w:r>
      <w:r w:rsidR="00383482">
        <w:rPr>
          <w:rStyle w:val="FootnoteReference"/>
        </w:rPr>
        <w:footnoteReference w:id="170"/>
      </w:r>
    </w:p>
    <w:p w:rsidR="00A561F4" w:rsidP="00A561F4" w:rsidRDefault="00A561F4" w14:paraId="60AE2BB3" w14:textId="57349A26">
      <w:pPr>
        <w:pStyle w:val="Standard"/>
        <w:ind w:firstLine="0"/>
      </w:pPr>
      <w:r>
        <w:tab/>
        <w:t xml:space="preserve">In addition, CPED asserts that changing the </w:t>
      </w:r>
      <w:r w:rsidR="00FC11E1">
        <w:t xml:space="preserve">water </w:t>
      </w:r>
      <w:r>
        <w:t>meters also violated Havasu’s Tariff 12(B) and (C) which states:</w:t>
      </w:r>
    </w:p>
    <w:p w:rsidR="00A561F4" w:rsidP="002C306D" w:rsidRDefault="00A561F4" w14:paraId="14CF5DDA" w14:textId="52AAB6F1">
      <w:pPr>
        <w:pStyle w:val="Standard"/>
        <w:tabs>
          <w:tab w:val="left" w:pos="630"/>
        </w:tabs>
        <w:spacing w:after="120" w:line="240" w:lineRule="auto"/>
        <w:ind w:left="720" w:right="1440" w:firstLine="0"/>
      </w:pPr>
      <w:r>
        <w:t>(B) Rates and Optional Rates</w:t>
      </w:r>
    </w:p>
    <w:p w:rsidR="00A561F4" w:rsidP="002C306D" w:rsidRDefault="00A561F4" w14:paraId="0A3F49F1" w14:textId="465EAE9F">
      <w:pPr>
        <w:pStyle w:val="Standard"/>
        <w:tabs>
          <w:tab w:val="left" w:pos="630"/>
        </w:tabs>
        <w:spacing w:after="120" w:line="240" w:lineRule="auto"/>
        <w:ind w:left="720" w:right="1440" w:firstLine="0"/>
      </w:pPr>
      <w:r>
        <w:t>The utility will explain to every applicant for service each rule schedule which is applicable, and of the applicant’s right to elect therefrom the option under which service is desired.</w:t>
      </w:r>
    </w:p>
    <w:p w:rsidR="00A561F4" w:rsidP="002C306D" w:rsidRDefault="00A561F4" w14:paraId="390457AD" w14:textId="77777777">
      <w:pPr>
        <w:pStyle w:val="Standard"/>
        <w:tabs>
          <w:tab w:val="left" w:pos="630"/>
        </w:tabs>
        <w:spacing w:after="120" w:line="240" w:lineRule="auto"/>
        <w:ind w:left="720" w:right="1440" w:firstLine="0"/>
      </w:pPr>
      <w:r>
        <w:t>(C) New or Revised Rates</w:t>
      </w:r>
    </w:p>
    <w:p w:rsidR="00A561F4" w:rsidP="002C306D" w:rsidRDefault="00A561F4" w14:paraId="1A055CF8" w14:textId="3D8F87EF">
      <w:pPr>
        <w:pStyle w:val="Standard"/>
        <w:tabs>
          <w:tab w:val="left" w:pos="630"/>
        </w:tabs>
        <w:spacing w:after="120" w:line="240" w:lineRule="auto"/>
        <w:ind w:left="720" w:right="1440" w:firstLine="0"/>
      </w:pPr>
      <w:r>
        <w:t>Should new or revised rates be established, the utility will duly notify all customers affected.</w:t>
      </w:r>
    </w:p>
    <w:p w:rsidR="00FC11E1" w:rsidP="00A561F4" w:rsidRDefault="00A561F4" w14:paraId="0A763C58" w14:textId="6F7D1A1D">
      <w:pPr>
        <w:pStyle w:val="Standard"/>
        <w:ind w:firstLine="0"/>
      </w:pPr>
      <w:r>
        <w:tab/>
        <w:t xml:space="preserve">In a letter to WD, Havasu argued that Pub. Util. Code § 454 does not authorize the Commission to dictate which sized </w:t>
      </w:r>
      <w:r w:rsidR="001D6FA0">
        <w:t xml:space="preserve">water </w:t>
      </w:r>
      <w:r>
        <w:t xml:space="preserve">meters are to be used by the utility which Havasu contends has always been at </w:t>
      </w:r>
      <w:r w:rsidR="0072721F">
        <w:t>its</w:t>
      </w:r>
      <w:r>
        <w:t xml:space="preserve"> discretion.</w:t>
      </w:r>
      <w:r>
        <w:rPr>
          <w:rStyle w:val="FootnoteReference"/>
        </w:rPr>
        <w:footnoteReference w:id="171"/>
      </w:r>
      <w:r>
        <w:t xml:space="preserve">  Havasu contends that the decision to phase out the servicing of 5/8” </w:t>
      </w:r>
      <w:r w:rsidR="00FC11E1">
        <w:t xml:space="preserve">water </w:t>
      </w:r>
      <w:r>
        <w:t>meters has not increased the rate charged for water usage.</w:t>
      </w:r>
      <w:r>
        <w:rPr>
          <w:rStyle w:val="FootnoteReference"/>
        </w:rPr>
        <w:footnoteReference w:id="172"/>
      </w:r>
      <w:r>
        <w:t xml:space="preserve">  Havasu claim</w:t>
      </w:r>
      <w:r w:rsidR="001D6FA0">
        <w:t>s</w:t>
      </w:r>
      <w:r>
        <w:t xml:space="preserve"> that after conducting a field audit, it determined that providing 3/4” </w:t>
      </w:r>
      <w:r w:rsidR="00FC11E1">
        <w:t xml:space="preserve">water </w:t>
      </w:r>
      <w:r>
        <w:t>meters were more accurate and provided better water pressure for the customer.</w:t>
      </w:r>
      <w:r>
        <w:rPr>
          <w:rStyle w:val="FootnoteReference"/>
        </w:rPr>
        <w:footnoteReference w:id="173"/>
      </w:r>
      <w:r>
        <w:t xml:space="preserve">  In addition, Havasu claim</w:t>
      </w:r>
      <w:r w:rsidR="00FC11E1">
        <w:t>s</w:t>
      </w:r>
      <w:r>
        <w:t xml:space="preserve"> that the San Bernardino </w:t>
      </w:r>
      <w:r w:rsidR="005737AC">
        <w:t xml:space="preserve">County </w:t>
      </w:r>
      <w:r>
        <w:t xml:space="preserve">has not required any </w:t>
      </w:r>
      <w:r>
        <w:lastRenderedPageBreak/>
        <w:t>additional permit for replacing water meters that were originally permitted with the development of the owner’s private property.</w:t>
      </w:r>
      <w:r>
        <w:rPr>
          <w:rStyle w:val="FootnoteReference"/>
        </w:rPr>
        <w:footnoteReference w:id="174"/>
      </w:r>
    </w:p>
    <w:p w:rsidR="007035C2" w:rsidP="00A561F4" w:rsidRDefault="007035C2" w14:paraId="15D9257C" w14:textId="46F978A6">
      <w:pPr>
        <w:pStyle w:val="Standard"/>
        <w:ind w:firstLine="0"/>
      </w:pPr>
      <w:r>
        <w:tab/>
      </w:r>
      <w:r w:rsidR="00CD320A">
        <w:t xml:space="preserve">Since </w:t>
      </w:r>
      <w:r w:rsidR="00964EBC">
        <w:t>Havasu has</w:t>
      </w:r>
      <w:r w:rsidRPr="008A3FFC" w:rsidR="008A3FFC">
        <w:t xml:space="preserve"> less than 10,000 connections, </w:t>
      </w:r>
      <w:r w:rsidR="00CD320A">
        <w:t>its</w:t>
      </w:r>
      <w:r w:rsidRPr="008A3FFC" w:rsidR="00CD320A">
        <w:t xml:space="preserve"> </w:t>
      </w:r>
      <w:r w:rsidRPr="008A3FFC" w:rsidR="008A3FFC">
        <w:t xml:space="preserve">general rate case process is </w:t>
      </w:r>
      <w:r w:rsidR="00964EBC">
        <w:t xml:space="preserve">completed through </w:t>
      </w:r>
      <w:r w:rsidRPr="008A3FFC" w:rsidR="008A3FFC">
        <w:t>a less formal process.</w:t>
      </w:r>
      <w:r w:rsidR="00C7118A">
        <w:rPr>
          <w:rStyle w:val="FootnoteReference"/>
        </w:rPr>
        <w:footnoteReference w:id="175"/>
      </w:r>
      <w:r w:rsidRPr="008A3FFC" w:rsidR="008A3FFC">
        <w:t xml:space="preserve"> </w:t>
      </w:r>
      <w:r w:rsidR="008A3FFC">
        <w:t xml:space="preserve"> </w:t>
      </w:r>
      <w:r w:rsidR="00964EBC">
        <w:t>Havasu</w:t>
      </w:r>
      <w:r w:rsidRPr="008A3FFC" w:rsidR="008A3FFC">
        <w:t xml:space="preserve"> may request a rate increase by filing an advice letter that is reviewed by </w:t>
      </w:r>
      <w:r w:rsidR="00560195">
        <w:t>WD</w:t>
      </w:r>
      <w:r w:rsidRPr="008A3FFC" w:rsidR="008A3FFC">
        <w:t xml:space="preserve"> staff.</w:t>
      </w:r>
      <w:r w:rsidR="00C7118A">
        <w:rPr>
          <w:rStyle w:val="FootnoteReference"/>
        </w:rPr>
        <w:footnoteReference w:id="176"/>
      </w:r>
      <w:r w:rsidRPr="008A3FFC" w:rsidR="008A3FFC">
        <w:t xml:space="preserve"> </w:t>
      </w:r>
      <w:r w:rsidR="00560195">
        <w:t xml:space="preserve"> </w:t>
      </w:r>
      <w:r w:rsidR="00D9111A">
        <w:t>Havasu</w:t>
      </w:r>
      <w:r w:rsidRPr="008A3FFC" w:rsidR="008A3FFC">
        <w:t xml:space="preserve"> is required to provide notice of the advice letter filing to its customers by mail, bill inserts, or email at least 30 days before the proposed rate increase would take effect.</w:t>
      </w:r>
      <w:r w:rsidR="00C7118A">
        <w:rPr>
          <w:rStyle w:val="FootnoteReference"/>
        </w:rPr>
        <w:footnoteReference w:id="177"/>
      </w:r>
    </w:p>
    <w:p w:rsidR="005B37B8" w:rsidP="00A561F4" w:rsidRDefault="00C7118A" w14:paraId="576BCFB1" w14:textId="7EEE74FF">
      <w:pPr>
        <w:pStyle w:val="Standard"/>
        <w:ind w:firstLine="0"/>
      </w:pPr>
      <w:r>
        <w:tab/>
      </w:r>
      <w:r w:rsidRPr="00EC451F" w:rsidR="00EC451F">
        <w:t xml:space="preserve">Anyone can file a protest to dispute the rate increase within 20 days of the notice being sent and if more than 50% of the </w:t>
      </w:r>
      <w:r w:rsidR="00EC451F">
        <w:t>Havasu’s</w:t>
      </w:r>
      <w:r w:rsidRPr="00EC451F" w:rsidR="00EC451F">
        <w:t xml:space="preserve"> customers file a protest, </w:t>
      </w:r>
      <w:r w:rsidR="00EC451F">
        <w:t>WD</w:t>
      </w:r>
      <w:r w:rsidR="00F015A8">
        <w:t xml:space="preserve"> may</w:t>
      </w:r>
      <w:r w:rsidRPr="00EC451F" w:rsidR="00EC451F">
        <w:t xml:space="preserve"> consider rejecting the advice letter and referring the rate request to the Administrative Law Judge Division of the Commission to assign an application number and have the rate request processed as a formal proceeding</w:t>
      </w:r>
      <w:r w:rsidR="00F015A8">
        <w:t>.</w:t>
      </w:r>
      <w:r w:rsidR="00F015A8">
        <w:rPr>
          <w:rStyle w:val="FootnoteReference"/>
        </w:rPr>
        <w:footnoteReference w:id="178"/>
      </w:r>
    </w:p>
    <w:p w:rsidR="00B965C7" w:rsidP="00CB0707" w:rsidRDefault="00F66AFD" w14:paraId="70371D62" w14:textId="0EB74AEE">
      <w:pPr>
        <w:pStyle w:val="Standard"/>
      </w:pPr>
      <w:r>
        <w:t>Here, CPED alleges that Havasu’s action of changing water meter sizes from 5/8 x 3/4" to 3/4" constitutes a rate change.</w:t>
      </w:r>
      <w:r w:rsidR="00131295">
        <w:rPr>
          <w:rStyle w:val="FootnoteReference"/>
        </w:rPr>
        <w:footnoteReference w:id="179"/>
      </w:r>
      <w:r>
        <w:t xml:space="preserve">  </w:t>
      </w:r>
      <w:r w:rsidR="00B965C7">
        <w:t xml:space="preserve">CPED bases this argument on customers’ testimonies that their water bills have </w:t>
      </w:r>
      <w:r w:rsidR="00477FBE">
        <w:t xml:space="preserve">increased from previous months after installation of the </w:t>
      </w:r>
      <w:r w:rsidR="00CB0707">
        <w:t xml:space="preserve">new </w:t>
      </w:r>
      <w:r w:rsidR="00477FBE">
        <w:t>3/4" water meters.</w:t>
      </w:r>
      <w:r w:rsidR="00477FBE">
        <w:rPr>
          <w:rStyle w:val="FootnoteReference"/>
        </w:rPr>
        <w:footnoteReference w:id="180"/>
      </w:r>
      <w:r w:rsidR="00CB0707">
        <w:t xml:space="preserve">  </w:t>
      </w:r>
      <w:r w:rsidR="005B43C1">
        <w:t>CPED concludes</w:t>
      </w:r>
      <w:r w:rsidR="00F23645">
        <w:t xml:space="preserve"> that </w:t>
      </w:r>
      <w:r w:rsidR="00F23645">
        <w:lastRenderedPageBreak/>
        <w:t xml:space="preserve">Havasu’s action of changing the </w:t>
      </w:r>
      <w:r w:rsidRPr="00F23645" w:rsidR="00F23645">
        <w:t>5/8 x 3/4" to 3/4"</w:t>
      </w:r>
      <w:r w:rsidR="00F23645">
        <w:t xml:space="preserve"> water meters have increased </w:t>
      </w:r>
      <w:r w:rsidR="00C84912">
        <w:t>its customers’ water bill and therefore is a change in water rate.</w:t>
      </w:r>
      <w:r w:rsidR="00C84912">
        <w:rPr>
          <w:rStyle w:val="FootnoteReference"/>
        </w:rPr>
        <w:footnoteReference w:id="181"/>
      </w:r>
    </w:p>
    <w:p w:rsidR="00F66AFD" w:rsidP="00477FBE" w:rsidRDefault="00F66AFD" w14:paraId="73781FAA" w14:textId="1CCC15E8">
      <w:pPr>
        <w:pStyle w:val="Standard"/>
      </w:pPr>
      <w:r>
        <w:t xml:space="preserve">However, CPED has failed to provide any evidence or citation supporting the contention that the replacement of water meters equates to an increase in the water rate charged to Havasu’s customers.  While it is possible that the installation of 3/4" meters may result in higher customer bills, such increases may be </w:t>
      </w:r>
      <w:r w:rsidR="00EF62E8">
        <w:t>caused by the</w:t>
      </w:r>
      <w:r>
        <w:t xml:space="preserve"> improved accuracy of the </w:t>
      </w:r>
      <w:r w:rsidR="0039685D">
        <w:t>3/4</w:t>
      </w:r>
      <w:proofErr w:type="gramStart"/>
      <w:r w:rsidR="0039685D">
        <w:t>" water</w:t>
      </w:r>
      <w:proofErr w:type="gramEnd"/>
      <w:r>
        <w:t xml:space="preserve"> meters. </w:t>
      </w:r>
      <w:r w:rsidR="00EF62E8">
        <w:t xml:space="preserve"> </w:t>
      </w:r>
      <w:r>
        <w:t xml:space="preserve">The older </w:t>
      </w:r>
      <w:r w:rsidRPr="00EF62E8" w:rsidR="00EF62E8">
        <w:t xml:space="preserve">5/8 x 3/4" </w:t>
      </w:r>
      <w:r>
        <w:t xml:space="preserve">meters may have underreported actual usage, thereby artificially lowering bills. </w:t>
      </w:r>
      <w:r w:rsidR="009439C1">
        <w:t xml:space="preserve"> </w:t>
      </w:r>
      <w:r>
        <w:t xml:space="preserve">The correction of underreporting </w:t>
      </w:r>
      <w:proofErr w:type="gramStart"/>
      <w:r>
        <w:t>through the use of</w:t>
      </w:r>
      <w:proofErr w:type="gramEnd"/>
      <w:r>
        <w:t xml:space="preserve"> more precise </w:t>
      </w:r>
      <w:r w:rsidR="00477FBE">
        <w:t xml:space="preserve">water </w:t>
      </w:r>
      <w:r>
        <w:t>meters does not</w:t>
      </w:r>
      <w:r w:rsidR="009439C1">
        <w:t xml:space="preserve"> </w:t>
      </w:r>
      <w:r>
        <w:t>constitute a change in the water rate.</w:t>
      </w:r>
    </w:p>
    <w:p w:rsidR="00921668" w:rsidP="008F4225" w:rsidRDefault="002505D7" w14:paraId="7A2ACE8E" w14:textId="78CDF6EE">
      <w:pPr>
        <w:pStyle w:val="Standard"/>
      </w:pPr>
      <w:r>
        <w:t>Furthermore</w:t>
      </w:r>
      <w:r w:rsidR="00F66AFD">
        <w:t xml:space="preserve">, the rate charged by Havasu to its customers remained unchanged. </w:t>
      </w:r>
      <w:r w:rsidR="00477FBE">
        <w:t xml:space="preserve"> </w:t>
      </w:r>
      <w:r w:rsidR="00F66AFD">
        <w:t>The</w:t>
      </w:r>
      <w:r w:rsidR="000A2C31">
        <w:t xml:space="preserve"> </w:t>
      </w:r>
      <w:r w:rsidR="005C60BE">
        <w:t>chang</w:t>
      </w:r>
      <w:r w:rsidR="00CC6B81">
        <w:t>e</w:t>
      </w:r>
      <w:r w:rsidR="005C60BE">
        <w:t xml:space="preserve"> from 5/8 x 3/4" to 3/4" water meters </w:t>
      </w:r>
      <w:r w:rsidR="000A2C31">
        <w:t>changes the amount of water</w:t>
      </w:r>
      <w:r w:rsidR="00C95678">
        <w:t xml:space="preserve"> that may flow through </w:t>
      </w:r>
      <w:r w:rsidR="006F60FD">
        <w:t xml:space="preserve">the water </w:t>
      </w:r>
      <w:proofErr w:type="gramStart"/>
      <w:r w:rsidR="006F60FD">
        <w:t>meter</w:t>
      </w:r>
      <w:proofErr w:type="gramEnd"/>
      <w:r w:rsidR="006F60FD">
        <w:t xml:space="preserve"> </w:t>
      </w:r>
      <w:r w:rsidR="00C95678">
        <w:t>but the amount used is still charged the same rate</w:t>
      </w:r>
      <w:r w:rsidR="006F60FD">
        <w:t>.  CPED has failed to meet its burden on this issue</w:t>
      </w:r>
      <w:r w:rsidR="000D40F4">
        <w:t>.</w:t>
      </w:r>
    </w:p>
    <w:p w:rsidR="00AB1A19" w:rsidP="008F4225" w:rsidRDefault="00E741E6" w14:paraId="0F71D97F" w14:textId="2481FCFA">
      <w:pPr>
        <w:pStyle w:val="Standard"/>
      </w:pPr>
      <w:r>
        <w:t>As such, it is determined that Havasu did not violate Pub. Util. Code § 702 and did not violate Tariff 12 (B)</w:t>
      </w:r>
      <w:r w:rsidR="00921668">
        <w:t xml:space="preserve"> and </w:t>
      </w:r>
      <w:r>
        <w:t>(C) when it changed the meter size of its customers</w:t>
      </w:r>
      <w:r w:rsidR="00921668">
        <w:t xml:space="preserve"> from </w:t>
      </w:r>
      <w:r w:rsidRPr="00921668" w:rsidR="00921668">
        <w:t>5/8 x 3/4" to 3/4"</w:t>
      </w:r>
      <w:r w:rsidR="00842251">
        <w:t>.</w:t>
      </w:r>
    </w:p>
    <w:p w:rsidR="0011403E" w:rsidP="00D66EC1" w:rsidRDefault="00F87847" w14:paraId="4A0613C2" w14:textId="40C06EBF">
      <w:pPr>
        <w:pStyle w:val="Heading1"/>
      </w:pPr>
      <w:bookmarkStart w:name="_Toc221259557" w:id="43"/>
      <w:r>
        <w:t>Violations of Rule 1.1 by Havasu</w:t>
      </w:r>
      <w:bookmarkEnd w:id="43"/>
    </w:p>
    <w:p w:rsidR="00F87847" w:rsidP="00F87847" w:rsidRDefault="009A4377" w14:paraId="1A4962AD" w14:textId="5B50EC96">
      <w:pPr>
        <w:pStyle w:val="Standard"/>
      </w:pPr>
      <w:r>
        <w:t xml:space="preserve">Any </w:t>
      </w:r>
      <w:r w:rsidR="00AE0E06">
        <w:t>p</w:t>
      </w:r>
      <w:r>
        <w:t xml:space="preserve">arty appearing </w:t>
      </w:r>
      <w:r w:rsidR="00CF1EA4">
        <w:t>before the Commission is obligated to comply with Rule 1.1 of the Commission’s Rules of Practice and Procedure</w:t>
      </w:r>
      <w:r w:rsidR="00AE0E06">
        <w:t xml:space="preserve">.  </w:t>
      </w:r>
      <w:r w:rsidR="00D72055">
        <w:t xml:space="preserve">CPED alleges that Havasu has violated Rule 1.1 on numerous occasions and </w:t>
      </w:r>
      <w:r w:rsidR="00E56C53">
        <w:t>request authority to impose penalties.</w:t>
      </w:r>
    </w:p>
    <w:p w:rsidR="00E56C53" w:rsidP="00F87847" w:rsidRDefault="00E56C53" w14:paraId="5A5F1CCA" w14:textId="53937CC8">
      <w:pPr>
        <w:pStyle w:val="Standard"/>
      </w:pPr>
      <w:r>
        <w:t>Rule 1.1</w:t>
      </w:r>
      <w:r w:rsidR="0085677F">
        <w:t xml:space="preserve"> states that:</w:t>
      </w:r>
    </w:p>
    <w:p w:rsidR="0096574A" w:rsidP="00FC674B" w:rsidRDefault="0096574A" w14:paraId="7254B074" w14:textId="49AFBD53">
      <w:pPr>
        <w:pStyle w:val="Standard"/>
        <w:spacing w:after="120" w:line="240" w:lineRule="auto"/>
        <w:ind w:left="720" w:firstLine="0"/>
      </w:pPr>
      <w:r w:rsidRPr="0096574A">
        <w:t xml:space="preserve">Any person who signs a pleading or brief, enters an appearance, offers testimony at a hearing, or transacts business with the Commission, by such </w:t>
      </w:r>
      <w:r w:rsidRPr="0096574A">
        <w:lastRenderedPageBreak/>
        <w:t>act represents that he or she is authorized to do so and agrees to comply with the laws of this State; to maintain the respect due to the Commission, members of the Commission and its Administrative Law Judges; and never to mislead the Commission or its staff by an artifice or false statement of fact or law.</w:t>
      </w:r>
    </w:p>
    <w:p w:rsidR="008953D1" w:rsidP="00883479" w:rsidRDefault="008953D1" w14:paraId="74240249" w14:textId="10870AEA">
      <w:pPr>
        <w:pStyle w:val="Heading2"/>
      </w:pPr>
      <w:bookmarkStart w:name="_Toc221259558" w:id="44"/>
      <w:r>
        <w:t>Havasu Correspondence</w:t>
      </w:r>
      <w:r w:rsidR="0012733E">
        <w:rPr>
          <w:rStyle w:val="FootnoteReference"/>
        </w:rPr>
        <w:footnoteReference w:id="182"/>
      </w:r>
      <w:bookmarkEnd w:id="44"/>
    </w:p>
    <w:p w:rsidR="008953D1" w:rsidP="00180B0C" w:rsidRDefault="008953D1" w14:paraId="44D5D8E9" w14:textId="551E5E96">
      <w:pPr>
        <w:pStyle w:val="Heading3"/>
      </w:pPr>
      <w:bookmarkStart w:name="_Toc221259559" w:id="45"/>
      <w:r>
        <w:t>May 8</w:t>
      </w:r>
      <w:r w:rsidR="0012733E">
        <w:t xml:space="preserve">, </w:t>
      </w:r>
      <w:r>
        <w:t>2025</w:t>
      </w:r>
      <w:bookmarkEnd w:id="45"/>
    </w:p>
    <w:p w:rsidR="006E7CCB" w:rsidP="006E7CCB" w:rsidRDefault="00A31CF9" w14:paraId="5D726E55" w14:textId="2E6DF517">
      <w:pPr>
        <w:pStyle w:val="Standard"/>
      </w:pPr>
      <w:r>
        <w:t xml:space="preserve">CPED alleges that Havasu violated Rule 1.1 when it sent </w:t>
      </w:r>
      <w:r w:rsidR="005976BC">
        <w:t xml:space="preserve">an email </w:t>
      </w:r>
      <w:r w:rsidR="00F12827">
        <w:t>to W. Tsai on May 8, 2025.</w:t>
      </w:r>
      <w:r w:rsidR="00F62232">
        <w:rPr>
          <w:rStyle w:val="FootnoteReference"/>
        </w:rPr>
        <w:footnoteReference w:id="183"/>
      </w:r>
      <w:r w:rsidR="007D4FD1">
        <w:t xml:space="preserve">  </w:t>
      </w:r>
      <w:r w:rsidR="009C5822">
        <w:t>On May 8, 2025, Havasu sent the following email to W. Tsai:</w:t>
      </w:r>
      <w:r w:rsidR="00F62232">
        <w:rPr>
          <w:rStyle w:val="FootnoteReference"/>
        </w:rPr>
        <w:footnoteReference w:id="184"/>
      </w:r>
    </w:p>
    <w:p w:rsidRPr="009C5822" w:rsidR="009C5822" w:rsidP="00FC674B" w:rsidRDefault="009C5822" w14:paraId="14CA1F0E" w14:textId="2514DEC6">
      <w:pPr>
        <w:pStyle w:val="Standard"/>
        <w:spacing w:after="120" w:line="240" w:lineRule="auto"/>
      </w:pPr>
      <w:r w:rsidRPr="009C5822">
        <w:t xml:space="preserve">Dear </w:t>
      </w:r>
      <w:r w:rsidRPr="009C5822" w:rsidR="00FA0299">
        <w:t>Mr.</w:t>
      </w:r>
      <w:r w:rsidRPr="009C5822">
        <w:t xml:space="preserve"> Tsai,</w:t>
      </w:r>
    </w:p>
    <w:p w:rsidRPr="009C5822" w:rsidR="003D3DDA" w:rsidP="00FC674B" w:rsidRDefault="009C5822" w14:paraId="2E81DBEA" w14:textId="3E9995CE">
      <w:pPr>
        <w:pStyle w:val="Standard"/>
        <w:spacing w:after="120" w:line="240" w:lineRule="auto"/>
        <w:ind w:left="720" w:firstLine="0"/>
      </w:pPr>
      <w:r w:rsidRPr="009C5822">
        <w:t>The PUC tariff book gives every water utility the right to post what meters it will serve &amp; have the rates approved by</w:t>
      </w:r>
      <w:r w:rsidR="003D3DDA">
        <w:t xml:space="preserve"> </w:t>
      </w:r>
      <w:r w:rsidRPr="009C5822">
        <w:t>the PUC, which has already been done.</w:t>
      </w:r>
    </w:p>
    <w:p w:rsidRPr="009C5822" w:rsidR="009C5822" w:rsidP="00FC674B" w:rsidRDefault="009C5822" w14:paraId="537ACDA9" w14:textId="77777777">
      <w:pPr>
        <w:pStyle w:val="Standard"/>
        <w:spacing w:after="120" w:line="240" w:lineRule="auto"/>
      </w:pPr>
      <w:r w:rsidRPr="009C5822">
        <w:t>All we’ve said is we’re not going to serve the 5/8” meters anymore.</w:t>
      </w:r>
    </w:p>
    <w:p w:rsidRPr="009C5822" w:rsidR="003D3DDA" w:rsidP="00FC674B" w:rsidRDefault="009C5822" w14:paraId="4AACA87E" w14:textId="1D0AB39F">
      <w:pPr>
        <w:pStyle w:val="Standard"/>
        <w:spacing w:after="120" w:line="240" w:lineRule="auto"/>
        <w:ind w:left="720" w:firstLine="0"/>
      </w:pPr>
      <w:r w:rsidRPr="009C5822">
        <w:t>Again, we’ve contacted both the San Bernardino County Building Dept &amp; our meter suppliers &amp; they’ve informed us</w:t>
      </w:r>
      <w:r w:rsidR="003D3DDA">
        <w:t xml:space="preserve"> </w:t>
      </w:r>
      <w:r w:rsidRPr="009C5822">
        <w:t>that the larger meters are more accurate &amp; don’t cause the problems with water pressure.</w:t>
      </w:r>
    </w:p>
    <w:p w:rsidRPr="009C5822" w:rsidR="003D3DDA" w:rsidP="00FC674B" w:rsidRDefault="009C5822" w14:paraId="1E44415B" w14:textId="5240DA7C">
      <w:pPr>
        <w:pStyle w:val="Standard"/>
        <w:spacing w:after="120" w:line="240" w:lineRule="auto"/>
      </w:pPr>
      <w:r w:rsidRPr="009C5822">
        <w:t>Thank you,</w:t>
      </w:r>
    </w:p>
    <w:p w:rsidRPr="009C5822" w:rsidR="009C5822" w:rsidP="00FC674B" w:rsidRDefault="009C5822" w14:paraId="0EA8E479" w14:textId="77777777">
      <w:pPr>
        <w:pStyle w:val="Standard"/>
        <w:spacing w:after="120" w:line="240" w:lineRule="auto"/>
      </w:pPr>
      <w:r w:rsidRPr="009C5822">
        <w:t>Jennifer Hodges</w:t>
      </w:r>
    </w:p>
    <w:p w:rsidR="003D3DDA" w:rsidP="00FC674B" w:rsidRDefault="009C5822" w14:paraId="03697C2D" w14:textId="75FEFD1B">
      <w:pPr>
        <w:pStyle w:val="Standard"/>
        <w:spacing w:after="240" w:line="240" w:lineRule="auto"/>
      </w:pPr>
      <w:r w:rsidRPr="009C5822">
        <w:t>President</w:t>
      </w:r>
    </w:p>
    <w:p w:rsidR="003D3DDA" w:rsidP="004B1FB5" w:rsidRDefault="003D3DDA" w14:paraId="68ED5BF7" w14:textId="72B6E68D">
      <w:pPr>
        <w:pStyle w:val="Standard"/>
      </w:pPr>
      <w:r>
        <w:t xml:space="preserve">CPED contends that </w:t>
      </w:r>
      <w:r w:rsidR="00EA2D58">
        <w:t xml:space="preserve">Havasu’s May 8, </w:t>
      </w:r>
      <w:proofErr w:type="gramStart"/>
      <w:r w:rsidR="00EA2D58">
        <w:t>2025</w:t>
      </w:r>
      <w:proofErr w:type="gramEnd"/>
      <w:r w:rsidR="00EA2D58">
        <w:t xml:space="preserve"> email provides misleading information to the Commission.</w:t>
      </w:r>
      <w:r w:rsidR="00762A83">
        <w:rPr>
          <w:rStyle w:val="FootnoteReference"/>
        </w:rPr>
        <w:footnoteReference w:id="185"/>
      </w:r>
      <w:r w:rsidR="00EA2D58">
        <w:t xml:space="preserve">  Specifically, Havasu allegedly made false representations </w:t>
      </w:r>
      <w:r w:rsidR="00575228">
        <w:t xml:space="preserve">claiming the “PUC tariff book gives every water utility the right </w:t>
      </w:r>
      <w:r w:rsidR="00575228">
        <w:lastRenderedPageBreak/>
        <w:t xml:space="preserve">to post what meters it will serve and </w:t>
      </w:r>
      <w:r w:rsidR="001A0F80">
        <w:t>have the rates approved by the PUC, which was already done.</w:t>
      </w:r>
      <w:r w:rsidR="004C01F1">
        <w:t>”</w:t>
      </w:r>
      <w:r w:rsidR="00762A83">
        <w:rPr>
          <w:rStyle w:val="FootnoteReference"/>
        </w:rPr>
        <w:footnoteReference w:id="186"/>
      </w:r>
    </w:p>
    <w:p w:rsidRPr="00E8757D" w:rsidR="00E8757D" w:rsidP="00E8757D" w:rsidRDefault="00E8757D" w14:paraId="6C5BFE2F" w14:textId="7954997C">
      <w:pPr>
        <w:pStyle w:val="Standard"/>
      </w:pPr>
      <w:r w:rsidRPr="00E8757D">
        <w:t xml:space="preserve">CPED has failed to provide evidence demonstrating that Havasu’s statements are misleading. </w:t>
      </w:r>
      <w:r>
        <w:t xml:space="preserve"> </w:t>
      </w:r>
      <w:r w:rsidRPr="00E8757D">
        <w:t>Rather, CPED’s justification for its assertion rests on the contention that Havasu did not “</w:t>
      </w:r>
      <w:r w:rsidR="00472BE7">
        <w:t>[P]</w:t>
      </w:r>
      <w:proofErr w:type="spellStart"/>
      <w:r w:rsidRPr="00E8757D">
        <w:t>rovide</w:t>
      </w:r>
      <w:proofErr w:type="spellEnd"/>
      <w:r w:rsidRPr="00E8757D">
        <w:t xml:space="preserve"> any written documentation from the County or required citations to applicable rules, regulations to justify their actions.”</w:t>
      </w:r>
      <w:r w:rsidRPr="00472BE7" w:rsidR="00472BE7">
        <w:rPr>
          <w:rStyle w:val="FootnoteReference"/>
        </w:rPr>
        <w:t xml:space="preserve"> </w:t>
      </w:r>
      <w:r w:rsidR="00472BE7">
        <w:rPr>
          <w:rStyle w:val="FootnoteReference"/>
        </w:rPr>
        <w:footnoteReference w:id="187"/>
      </w:r>
      <w:r w:rsidR="00472BE7">
        <w:t xml:space="preserve"> </w:t>
      </w:r>
      <w:r w:rsidRPr="00E8757D">
        <w:t xml:space="preserve"> This rationale is insufficient. </w:t>
      </w:r>
      <w:r w:rsidR="00472BE7">
        <w:t xml:space="preserve"> </w:t>
      </w:r>
      <w:r w:rsidRPr="00E8757D">
        <w:t>In effect, CPED commits the same error it attributes to Havasu—advancing a claim without evidentiary support.</w:t>
      </w:r>
    </w:p>
    <w:p w:rsidR="002C7BAF" w:rsidP="00E8757D" w:rsidRDefault="00E8757D" w14:paraId="353594DC" w14:textId="77777777">
      <w:pPr>
        <w:pStyle w:val="Standard"/>
      </w:pPr>
      <w:r w:rsidRPr="00E8757D">
        <w:t xml:space="preserve">The distinction, however, is that CPED bears the burden of proof to establish that Havasu’s conduct constitutes a violation of Rule 1.1. </w:t>
      </w:r>
      <w:r w:rsidR="002C7BAF">
        <w:t xml:space="preserve"> </w:t>
      </w:r>
      <w:r w:rsidRPr="00E8757D">
        <w:t xml:space="preserve">CPED has not met this burden. </w:t>
      </w:r>
    </w:p>
    <w:p w:rsidR="00E8757D" w:rsidP="002C7BAF" w:rsidRDefault="002C7BAF" w14:paraId="7F6D76FD" w14:textId="64A17EFC">
      <w:pPr>
        <w:pStyle w:val="Standard"/>
      </w:pPr>
      <w:r>
        <w:t>As such</w:t>
      </w:r>
      <w:r w:rsidRPr="00E8757D" w:rsidR="00E8757D">
        <w:t xml:space="preserve">, it is determined that Havasu’s May 8, </w:t>
      </w:r>
      <w:proofErr w:type="gramStart"/>
      <w:r w:rsidRPr="00E8757D" w:rsidR="00E8757D">
        <w:t>2025</w:t>
      </w:r>
      <w:proofErr w:type="gramEnd"/>
      <w:r w:rsidRPr="00E8757D" w:rsidR="00E8757D">
        <w:t xml:space="preserve"> correspondence with W. Tsai does not violate Rule 1.1.</w:t>
      </w:r>
    </w:p>
    <w:p w:rsidR="00A55BD5" w:rsidP="00180B0C" w:rsidRDefault="00A55BD5" w14:paraId="7C2DDCF5" w14:textId="6A664E8B">
      <w:pPr>
        <w:pStyle w:val="Heading3"/>
      </w:pPr>
      <w:bookmarkStart w:name="_Toc221259560" w:id="46"/>
      <w:r w:rsidRPr="00A55BD5">
        <w:t>May 12, 2025</w:t>
      </w:r>
      <w:bookmarkEnd w:id="46"/>
    </w:p>
    <w:p w:rsidR="005253DD" w:rsidP="004B1FB5" w:rsidRDefault="00231FC7" w14:paraId="735498CC" w14:textId="4CC407B1">
      <w:pPr>
        <w:pStyle w:val="Standard"/>
      </w:pPr>
      <w:r>
        <w:t>CPED alleges that</w:t>
      </w:r>
      <w:r w:rsidR="006336E2">
        <w:t xml:space="preserve"> on May 12, 2025, Havasu violated Rule 1.1 when it sent a letter to WD in response to the </w:t>
      </w:r>
      <w:proofErr w:type="gramStart"/>
      <w:r w:rsidR="0008584E">
        <w:t>c</w:t>
      </w:r>
      <w:r w:rsidR="006336E2">
        <w:t xml:space="preserve">ease and </w:t>
      </w:r>
      <w:r w:rsidR="0008584E">
        <w:t>d</w:t>
      </w:r>
      <w:r w:rsidR="006336E2">
        <w:t>esist</w:t>
      </w:r>
      <w:proofErr w:type="gramEnd"/>
      <w:r w:rsidR="006336E2">
        <w:t xml:space="preserve"> </w:t>
      </w:r>
      <w:r w:rsidR="0008584E">
        <w:t>o</w:t>
      </w:r>
      <w:r w:rsidR="006336E2">
        <w:t>rder.</w:t>
      </w:r>
      <w:r w:rsidR="00403F9A">
        <w:rPr>
          <w:rStyle w:val="FootnoteReference"/>
        </w:rPr>
        <w:footnoteReference w:id="188"/>
      </w:r>
      <w:r w:rsidR="006336E2">
        <w:t xml:space="preserve">  </w:t>
      </w:r>
      <w:r w:rsidR="00906AAA">
        <w:t>CPED alleges that the let</w:t>
      </w:r>
      <w:r w:rsidR="00EF29F8">
        <w:t>ter misleads the Commission by citing an inapplicable rule</w:t>
      </w:r>
      <w:r w:rsidR="00B33E82">
        <w:t>, Tariff Rule</w:t>
      </w:r>
      <w:r w:rsidR="00EF29F8">
        <w:t xml:space="preserve"> </w:t>
      </w:r>
      <w:r w:rsidR="00B46F01">
        <w:t>15(A)(4)</w:t>
      </w:r>
      <w:r w:rsidR="0035110E">
        <w:t xml:space="preserve">.  </w:t>
      </w:r>
    </w:p>
    <w:p w:rsidR="00A55BD5" w:rsidP="004B1FB5" w:rsidRDefault="0035110E" w14:paraId="3B9BCFEE" w14:textId="7C80C6B9">
      <w:pPr>
        <w:pStyle w:val="Standard"/>
      </w:pPr>
      <w:r>
        <w:t>Tariff Rule 15(A)(4) states that:</w:t>
      </w:r>
    </w:p>
    <w:p w:rsidR="0008584E" w:rsidP="00912A31" w:rsidRDefault="005253DD" w14:paraId="06DCD63A" w14:textId="51FCC5AF">
      <w:pPr>
        <w:pStyle w:val="Standard"/>
        <w:spacing w:after="120" w:line="240" w:lineRule="auto"/>
        <w:ind w:left="720" w:firstLine="0"/>
      </w:pPr>
      <w:r>
        <w:t>The size, type, quality of materials and their location shall be specified by the utility; and the actual construction shall be done by the utility or by a construction</w:t>
      </w:r>
      <w:r w:rsidR="00E45A99">
        <w:t xml:space="preserve"> agency acceptable to it.</w:t>
      </w:r>
    </w:p>
    <w:p w:rsidR="00E45A99" w:rsidP="00E45A99" w:rsidRDefault="007F4637" w14:paraId="3C48574B" w14:textId="7CA69FDB">
      <w:pPr>
        <w:pStyle w:val="Standard"/>
        <w:ind w:firstLine="0"/>
      </w:pPr>
      <w:r>
        <w:lastRenderedPageBreak/>
        <w:tab/>
        <w:t xml:space="preserve">CPED contends that Rule 15 applies to main extensions whereas Rule 16 applies to service connections, meters and </w:t>
      </w:r>
      <w:proofErr w:type="gramStart"/>
      <w:r>
        <w:t>customer’s</w:t>
      </w:r>
      <w:proofErr w:type="gramEnd"/>
      <w:r>
        <w:t xml:space="preserve"> facilities.</w:t>
      </w:r>
      <w:r w:rsidR="00972262">
        <w:rPr>
          <w:rStyle w:val="FootnoteReference"/>
        </w:rPr>
        <w:footnoteReference w:id="189"/>
      </w:r>
      <w:r w:rsidR="00972262">
        <w:t xml:space="preserve">  CPED states that the utility’s ability to size mains and distribution lines referenced in Tariff Rule 15(A)(4) does not apply to the installation of meters.</w:t>
      </w:r>
      <w:r w:rsidR="00972262">
        <w:rPr>
          <w:rStyle w:val="FootnoteReference"/>
        </w:rPr>
        <w:footnoteReference w:id="190"/>
      </w:r>
    </w:p>
    <w:p w:rsidRPr="00E54FEE" w:rsidR="00E54FEE" w:rsidP="00E54FEE" w:rsidRDefault="00E54FEE" w14:paraId="3D248E55" w14:textId="23ED1AC4">
      <w:pPr>
        <w:pStyle w:val="Standard"/>
      </w:pPr>
      <w:r w:rsidRPr="00E54FEE">
        <w:t xml:space="preserve">CPED </w:t>
      </w:r>
      <w:r>
        <w:t>is correct that</w:t>
      </w:r>
      <w:r w:rsidRPr="00E54FEE">
        <w:t xml:space="preserve"> that Rule 15 and Rule 16 are distinct, and that Rule 16 governs service connections, meters, and customer facilities. </w:t>
      </w:r>
      <w:r>
        <w:t xml:space="preserve"> </w:t>
      </w:r>
      <w:r w:rsidRPr="00E54FEE">
        <w:t>However, the mere fact that a party advances a different interpretation of a rule does not</w:t>
      </w:r>
      <w:proofErr w:type="gramStart"/>
      <w:r w:rsidRPr="00E54FEE">
        <w:t>, in itself, constitute</w:t>
      </w:r>
      <w:proofErr w:type="gramEnd"/>
      <w:r w:rsidRPr="00E54FEE">
        <w:t xml:space="preserve"> a violation of Rule 1.1.</w:t>
      </w:r>
    </w:p>
    <w:p w:rsidRPr="00E54FEE" w:rsidR="00E54FEE" w:rsidP="00E54FEE" w:rsidRDefault="00E54FEE" w14:paraId="3E753676" w14:textId="7887AA1D">
      <w:pPr>
        <w:pStyle w:val="Standard"/>
      </w:pPr>
      <w:r>
        <w:t>Here</w:t>
      </w:r>
      <w:r w:rsidRPr="00E54FEE">
        <w:t>, Havasu asserts that it is not required to obtain approval for changing its water meters and relies upon Rule 15(A)(4) as authority.</w:t>
      </w:r>
      <w:r>
        <w:rPr>
          <w:rStyle w:val="FootnoteReference"/>
        </w:rPr>
        <w:footnoteReference w:id="191"/>
      </w:r>
      <w:r w:rsidRPr="00E54FEE">
        <w:t xml:space="preserve"> </w:t>
      </w:r>
      <w:r>
        <w:t xml:space="preserve"> </w:t>
      </w:r>
      <w:r w:rsidRPr="00E54FEE">
        <w:t xml:space="preserve">Havasu’s counsel is entitled to </w:t>
      </w:r>
      <w:r w:rsidR="00AC53FB">
        <w:t>“[P]</w:t>
      </w:r>
      <w:proofErr w:type="spellStart"/>
      <w:r w:rsidR="00AC53FB">
        <w:t>ropound</w:t>
      </w:r>
      <w:proofErr w:type="spellEnd"/>
      <w:r w:rsidR="00AC53FB">
        <w:t xml:space="preserve"> a legitimate argument and to protest an erroneous ruling and there is no rule permitting a court to punish an attorney because he is honestly mistaken in his interpretation of the law when he presents his mistaken views to the court in a proper and respectful manner.”</w:t>
      </w:r>
      <w:r w:rsidR="00AC53FB">
        <w:rPr>
          <w:rStyle w:val="FootnoteReference"/>
        </w:rPr>
        <w:footnoteReference w:id="192"/>
      </w:r>
      <w:r w:rsidR="00AC53FB">
        <w:t xml:space="preserve">  </w:t>
      </w:r>
    </w:p>
    <w:p w:rsidR="00972262" w:rsidP="0053503B" w:rsidRDefault="00E54FEE" w14:paraId="7FAFE6B4" w14:textId="096E4E90">
      <w:pPr>
        <w:pStyle w:val="Standard"/>
      </w:pPr>
      <w:r w:rsidRPr="00E54FEE">
        <w:t xml:space="preserve">CPED’s position—that any interpretation of a rule contrary to its own constitutes a violation of Rule 1.1—is legally unsound. </w:t>
      </w:r>
      <w:r w:rsidR="00AC53FB">
        <w:t xml:space="preserve"> </w:t>
      </w:r>
      <w:r w:rsidRPr="00E54FEE">
        <w:t xml:space="preserve">CPED has cited no authority to support this contention. </w:t>
      </w:r>
      <w:r w:rsidR="0053503B">
        <w:t xml:space="preserve"> </w:t>
      </w:r>
    </w:p>
    <w:p w:rsidRPr="006E7CCB" w:rsidR="00424AB1" w:rsidP="00E45A99" w:rsidRDefault="00424AB1" w14:paraId="1A0556F6" w14:textId="52CFD00B">
      <w:pPr>
        <w:pStyle w:val="Standard"/>
        <w:ind w:firstLine="0"/>
      </w:pPr>
      <w:r>
        <w:tab/>
        <w:t xml:space="preserve">As such, it is determined that Havasu has not violated Rule 1.1 with its May 12, </w:t>
      </w:r>
      <w:proofErr w:type="gramStart"/>
      <w:r>
        <w:t>2025</w:t>
      </w:r>
      <w:proofErr w:type="gramEnd"/>
      <w:r>
        <w:t xml:space="preserve"> correspondence to WD.</w:t>
      </w:r>
    </w:p>
    <w:p w:rsidR="00880A3F" w:rsidP="00883479" w:rsidRDefault="00880A3F" w14:paraId="50FCD7D2" w14:textId="77777777">
      <w:pPr>
        <w:pStyle w:val="Heading2"/>
      </w:pPr>
      <w:bookmarkStart w:name="_Toc221259561" w:id="47"/>
      <w:r>
        <w:lastRenderedPageBreak/>
        <w:t>Advice Letter dated December 8, 2023</w:t>
      </w:r>
      <w:bookmarkEnd w:id="47"/>
    </w:p>
    <w:p w:rsidR="00DF5D5D" w:rsidP="00424AB1" w:rsidRDefault="00836748" w14:paraId="2DA254F1" w14:textId="2D80F18E">
      <w:pPr>
        <w:pStyle w:val="Standard"/>
      </w:pPr>
      <w:r>
        <w:t xml:space="preserve">CPED alleges that on </w:t>
      </w:r>
      <w:r w:rsidR="008943A0">
        <w:t xml:space="preserve">December 8, 2023, Havasu violated Rule 1.1 when it filed Advice Letter No. </w:t>
      </w:r>
      <w:r w:rsidR="00EF3D9E">
        <w:t>52-W.</w:t>
      </w:r>
      <w:r w:rsidR="00DF5D5D">
        <w:rPr>
          <w:rStyle w:val="FootnoteReference"/>
        </w:rPr>
        <w:footnoteReference w:id="193"/>
      </w:r>
      <w:r w:rsidR="00EF3D9E">
        <w:t xml:space="preserve">  According to CPED, </w:t>
      </w:r>
      <w:r w:rsidR="00DA091B">
        <w:t xml:space="preserve">the </w:t>
      </w:r>
      <w:r w:rsidR="00873F16">
        <w:t>Advice Letter contained an inaccurate statement and map.</w:t>
      </w:r>
      <w:r w:rsidR="00DF5D5D">
        <w:rPr>
          <w:rStyle w:val="FootnoteReference"/>
        </w:rPr>
        <w:footnoteReference w:id="194"/>
      </w:r>
      <w:r w:rsidR="007718C7">
        <w:t xml:space="preserve">  </w:t>
      </w:r>
    </w:p>
    <w:p w:rsidR="00873F16" w:rsidP="00424AB1" w:rsidRDefault="004C4334" w14:paraId="3E0731A6" w14:textId="6CAA863F">
      <w:pPr>
        <w:pStyle w:val="Standard"/>
      </w:pPr>
      <w:r>
        <w:t>I</w:t>
      </w:r>
      <w:r w:rsidR="005465BF">
        <w:t>n the Advice Letter, Havasu states that, “This map does not add any additional service area not already described in the tariff book, Decisions</w:t>
      </w:r>
      <w:r w:rsidR="00E9561E">
        <w:t xml:space="preserve"> and prior accepted Advice Letters.”</w:t>
      </w:r>
      <w:r w:rsidR="00E9561E">
        <w:rPr>
          <w:rStyle w:val="FootnoteReference"/>
        </w:rPr>
        <w:footnoteReference w:id="195"/>
      </w:r>
      <w:r w:rsidR="00D9534F">
        <w:t xml:space="preserve">  CPED alleges that this statement is inaccurate because </w:t>
      </w:r>
      <w:r>
        <w:t xml:space="preserve">the map included in the Advice Letter </w:t>
      </w:r>
      <w:r w:rsidR="00BA1353">
        <w:t xml:space="preserve">does not delineate the Vista Del Lago </w:t>
      </w:r>
      <w:r w:rsidR="008C0CC8">
        <w:t>community</w:t>
      </w:r>
      <w:r w:rsidR="00BA1353">
        <w:t xml:space="preserve"> served by the Chemehuevi Indian Tribe’s</w:t>
      </w:r>
      <w:r w:rsidR="00CE0157">
        <w:t xml:space="preserve"> (CIT)</w:t>
      </w:r>
      <w:r w:rsidR="00BA1353">
        <w:t xml:space="preserve"> water district.</w:t>
      </w:r>
      <w:r w:rsidR="00BA1353">
        <w:rPr>
          <w:rStyle w:val="FootnoteReference"/>
        </w:rPr>
        <w:footnoteReference w:id="196"/>
      </w:r>
    </w:p>
    <w:p w:rsidR="00AA7C5C" w:rsidP="00424AB1" w:rsidRDefault="006B4AB6" w14:paraId="715AFE0A" w14:textId="4A01DA63">
      <w:pPr>
        <w:pStyle w:val="Standard"/>
      </w:pPr>
      <w:r>
        <w:t xml:space="preserve">A </w:t>
      </w:r>
      <w:r w:rsidR="0093055A">
        <w:t>complaint</w:t>
      </w:r>
      <w:r w:rsidR="00CE0157">
        <w:t xml:space="preserve"> (C.) 05-04-007</w:t>
      </w:r>
      <w:r w:rsidR="0008584E">
        <w:t xml:space="preserve"> </w:t>
      </w:r>
      <w:r w:rsidR="0093055A">
        <w:t>was filed by Havasu Lakeshore Investments (HLI) against Havasu</w:t>
      </w:r>
      <w:r w:rsidR="00DC73A6">
        <w:t>.</w:t>
      </w:r>
      <w:r w:rsidR="00AA7C5C">
        <w:rPr>
          <w:rStyle w:val="FootnoteReference"/>
        </w:rPr>
        <w:footnoteReference w:id="197"/>
      </w:r>
      <w:r w:rsidR="00DC73A6">
        <w:t xml:space="preserve">  </w:t>
      </w:r>
      <w:r w:rsidR="00263E17">
        <w:t>In the complaint, HLI, the developer of a 320-unit vacation mobile home community</w:t>
      </w:r>
      <w:r w:rsidR="003A52F2">
        <w:t xml:space="preserve"> called Vista Del Lago near Lake Havasu in San Bernardino County </w:t>
      </w:r>
      <w:r w:rsidR="004C01F1">
        <w:t>sought</w:t>
      </w:r>
      <w:r w:rsidR="0059539A">
        <w:t xml:space="preserve"> water service from Havasu.</w:t>
      </w:r>
      <w:r w:rsidR="00426BEF">
        <w:rPr>
          <w:rStyle w:val="FootnoteReference"/>
        </w:rPr>
        <w:footnoteReference w:id="198"/>
      </w:r>
      <w:r w:rsidR="0059539A">
        <w:t xml:space="preserve">  </w:t>
      </w:r>
      <w:r w:rsidR="004C01F1">
        <w:t xml:space="preserve">During the pendency of the complaint, </w:t>
      </w:r>
      <w:r w:rsidR="0059539A">
        <w:t xml:space="preserve">HLI found an alternative water source and </w:t>
      </w:r>
      <w:r w:rsidR="004C01F1">
        <w:t>sought dismissal of</w:t>
      </w:r>
      <w:r w:rsidR="00AA7C5C">
        <w:t xml:space="preserve"> its dispute with Havasu.</w:t>
      </w:r>
      <w:r w:rsidR="000C1CF0">
        <w:rPr>
          <w:rStyle w:val="FootnoteReference"/>
        </w:rPr>
        <w:footnoteReference w:id="199"/>
      </w:r>
    </w:p>
    <w:p w:rsidR="000C1CF0" w:rsidP="00DA7A53" w:rsidRDefault="003F02EF" w14:paraId="57794F80" w14:textId="0A49E2DA">
      <w:pPr>
        <w:pStyle w:val="Standard"/>
      </w:pPr>
      <w:r>
        <w:t xml:space="preserve">Per </w:t>
      </w:r>
      <w:r w:rsidR="004C01F1">
        <w:t>D.06-04-007</w:t>
      </w:r>
      <w:r>
        <w:t xml:space="preserve">, HLI established </w:t>
      </w:r>
      <w:r w:rsidR="002F7215">
        <w:t xml:space="preserve">a relationship with an alternative water purveyor and HLI also obtained or </w:t>
      </w:r>
      <w:r w:rsidR="004C01F1">
        <w:t xml:space="preserve">was </w:t>
      </w:r>
      <w:r w:rsidR="002F7215">
        <w:t xml:space="preserve">in the process of obtaining all of the necessary </w:t>
      </w:r>
      <w:r w:rsidR="00F73E76">
        <w:t>approvals for that supply source.</w:t>
      </w:r>
      <w:r w:rsidR="00DA7A53">
        <w:rPr>
          <w:rStyle w:val="FootnoteReference"/>
        </w:rPr>
        <w:footnoteReference w:id="200"/>
      </w:r>
      <w:r w:rsidR="00F73E76">
        <w:t xml:space="preserve">  </w:t>
      </w:r>
      <w:r w:rsidR="004C01F1">
        <w:t xml:space="preserve">As of 2006, </w:t>
      </w:r>
      <w:r w:rsidR="00794BA7">
        <w:t>HLI proceeded</w:t>
      </w:r>
      <w:r w:rsidR="00F73E76">
        <w:t xml:space="preserve"> with </w:t>
      </w:r>
      <w:r w:rsidR="00F73E76">
        <w:lastRenderedPageBreak/>
        <w:t xml:space="preserve">immediate connection of its Vista Del Lago </w:t>
      </w:r>
      <w:r w:rsidR="00DA7A53">
        <w:t>community to the CIT’s water facilities and sewage treatment plant.</w:t>
      </w:r>
      <w:r w:rsidR="00DA7A53">
        <w:rPr>
          <w:rStyle w:val="FootnoteReference"/>
        </w:rPr>
        <w:footnoteReference w:id="201"/>
      </w:r>
    </w:p>
    <w:p w:rsidR="00DA091B" w:rsidP="00424AB1" w:rsidRDefault="006021C7" w14:paraId="70E093B8" w14:textId="724EBE54">
      <w:pPr>
        <w:pStyle w:val="Standard"/>
      </w:pPr>
      <w:r>
        <w:t xml:space="preserve">CPED </w:t>
      </w:r>
      <w:r w:rsidR="00815645">
        <w:t xml:space="preserve">contends that Havasu is intentionally trying to mislead the Commission by adding </w:t>
      </w:r>
      <w:r w:rsidR="00920818">
        <w:t xml:space="preserve">the Vista Del Lago </w:t>
      </w:r>
      <w:r w:rsidR="00DA7A53">
        <w:t>community</w:t>
      </w:r>
      <w:r w:rsidR="00920818">
        <w:t xml:space="preserve"> to its service area when this issue has already been resolved by Commission decision.</w:t>
      </w:r>
      <w:r w:rsidR="00920818">
        <w:rPr>
          <w:rStyle w:val="FootnoteReference"/>
        </w:rPr>
        <w:footnoteReference w:id="202"/>
      </w:r>
      <w:r w:rsidR="00920818">
        <w:t xml:space="preserve">  </w:t>
      </w:r>
      <w:r w:rsidR="000836D4">
        <w:t>CPED stated that it confirmed with the South Coast Section of the SWRCB, DDW that CIT</w:t>
      </w:r>
      <w:r w:rsidR="008C0CC8">
        <w:t xml:space="preserve"> continues to serve the Vista Del Lago community.</w:t>
      </w:r>
      <w:r w:rsidR="00586D02">
        <w:rPr>
          <w:rStyle w:val="FootnoteReference"/>
        </w:rPr>
        <w:footnoteReference w:id="203"/>
      </w:r>
      <w:r w:rsidR="00017A72">
        <w:t xml:space="preserve">  </w:t>
      </w:r>
    </w:p>
    <w:p w:rsidRPr="00CD74CD" w:rsidR="00CD74CD" w:rsidP="00CD74CD" w:rsidRDefault="00CD74CD" w14:paraId="1F7457BB" w14:textId="479F5EE9">
      <w:pPr>
        <w:pStyle w:val="Standard"/>
      </w:pPr>
      <w:r w:rsidRPr="00CD74CD">
        <w:t xml:space="preserve">The evidence establishes that the Vista Del Lago community receives its water service from CIT, as determined in D.06-04-007. </w:t>
      </w:r>
      <w:r>
        <w:t xml:space="preserve"> </w:t>
      </w:r>
      <w:r w:rsidRPr="00CD74CD">
        <w:t xml:space="preserve">Despite this, Havasu included Vista Del Lago </w:t>
      </w:r>
      <w:r>
        <w:t xml:space="preserve">community </w:t>
      </w:r>
      <w:r w:rsidRPr="00CD74CD">
        <w:t xml:space="preserve">within its service area in its Advice Letter. </w:t>
      </w:r>
      <w:r>
        <w:t xml:space="preserve"> </w:t>
      </w:r>
      <w:r w:rsidRPr="00CD74CD">
        <w:t xml:space="preserve">By doing so, Havasu </w:t>
      </w:r>
      <w:r w:rsidR="002B3B56">
        <w:t>offer</w:t>
      </w:r>
      <w:r w:rsidRPr="00CD74CD">
        <w:t xml:space="preserve">ed information that was inconsistent with the Commission’s prior </w:t>
      </w:r>
      <w:r>
        <w:t>decision</w:t>
      </w:r>
      <w:r w:rsidRPr="00CD74CD">
        <w:t>.</w:t>
      </w:r>
    </w:p>
    <w:p w:rsidR="00CD74CD" w:rsidP="004E0B8C" w:rsidRDefault="00CD74CD" w14:paraId="52CB2891" w14:textId="779373C3">
      <w:pPr>
        <w:pStyle w:val="Standard"/>
      </w:pPr>
      <w:r w:rsidRPr="00CD74CD">
        <w:t xml:space="preserve">Although Havasu may not have intended to mislead, Rule 1.1 does not require proof of intent. </w:t>
      </w:r>
      <w:r>
        <w:t xml:space="preserve"> </w:t>
      </w:r>
      <w:r w:rsidRPr="00CD74CD">
        <w:t xml:space="preserve">The </w:t>
      </w:r>
      <w:r>
        <w:t>issue</w:t>
      </w:r>
      <w:r w:rsidRPr="00CD74CD">
        <w:t xml:space="preserve"> is whether the inclusion of Vista Del Lago </w:t>
      </w:r>
      <w:r>
        <w:t xml:space="preserve">community </w:t>
      </w:r>
      <w:r w:rsidRPr="00CD74CD">
        <w:t xml:space="preserve">had the effect of misleading the Commission. </w:t>
      </w:r>
      <w:r>
        <w:t xml:space="preserve"> </w:t>
      </w:r>
      <w:r w:rsidRPr="00CD74CD">
        <w:t xml:space="preserve">Here, </w:t>
      </w:r>
      <w:r>
        <w:t xml:space="preserve">it is determined that the </w:t>
      </w:r>
      <w:r w:rsidRPr="00CD74CD">
        <w:t xml:space="preserve">inclusion created a false impression that </w:t>
      </w:r>
      <w:r>
        <w:t xml:space="preserve">the </w:t>
      </w:r>
      <w:r w:rsidRPr="00CD74CD">
        <w:t>Vista Del Lago</w:t>
      </w:r>
      <w:r>
        <w:t xml:space="preserve"> community rested in Havasu’s service area</w:t>
      </w:r>
      <w:r w:rsidR="00A42310">
        <w:t xml:space="preserve"> and therefore Havasu should be its water service provider</w:t>
      </w:r>
      <w:r w:rsidRPr="00CD74CD">
        <w:t xml:space="preserve">, when in fact CIT is </w:t>
      </w:r>
      <w:r w:rsidR="00A42310">
        <w:t>Vista Del Lago</w:t>
      </w:r>
      <w:r w:rsidR="00A561AD">
        <w:t xml:space="preserve"> community’s </w:t>
      </w:r>
      <w:r w:rsidRPr="00CD74CD">
        <w:t>service provider.</w:t>
      </w:r>
      <w:r w:rsidR="00BF4EF8">
        <w:t xml:space="preserve">  </w:t>
      </w:r>
      <w:r w:rsidRPr="00CD74CD">
        <w:t>This misrepresentation</w:t>
      </w:r>
      <w:r w:rsidR="00A561AD">
        <w:t xml:space="preserve"> </w:t>
      </w:r>
      <w:r w:rsidRPr="00CD74CD">
        <w:t xml:space="preserve">constitutes a </w:t>
      </w:r>
      <w:r w:rsidR="00A561AD">
        <w:t>“</w:t>
      </w:r>
      <w:r w:rsidRPr="00CD74CD">
        <w:t>lack of candor</w:t>
      </w:r>
      <w:r w:rsidR="00513FCD">
        <w:t>, withholding information or failure to correct information</w:t>
      </w:r>
      <w:r w:rsidR="00BF4EF8">
        <w:t>…</w:t>
      </w:r>
      <w:r w:rsidR="00513FCD">
        <w:t>”</w:t>
      </w:r>
      <w:r w:rsidR="00BF4EF8">
        <w:rPr>
          <w:rStyle w:val="FootnoteReference"/>
        </w:rPr>
        <w:footnoteReference w:id="204"/>
      </w:r>
      <w:r w:rsidR="00AD34E6">
        <w:t xml:space="preserve"> </w:t>
      </w:r>
      <w:r w:rsidRPr="00CD74CD">
        <w:t>and falls squarely within the scope of conduct prohibited by Rule 1.1.</w:t>
      </w:r>
      <w:r w:rsidRPr="00513FCD" w:rsidR="00513FCD">
        <w:rPr>
          <w:rStyle w:val="FootnoteReference"/>
        </w:rPr>
        <w:t xml:space="preserve"> </w:t>
      </w:r>
    </w:p>
    <w:p w:rsidRPr="00424AB1" w:rsidR="00424AB1" w:rsidP="00BA608F" w:rsidRDefault="00B03A23" w14:paraId="365BE98E" w14:textId="5C72678D">
      <w:pPr>
        <w:pStyle w:val="Standard"/>
      </w:pPr>
      <w:r w:rsidRPr="00225523">
        <w:lastRenderedPageBreak/>
        <w:t xml:space="preserve">Havasu failed to </w:t>
      </w:r>
      <w:r w:rsidR="002B3B56">
        <w:t>offer</w:t>
      </w:r>
      <w:r w:rsidRPr="00225523">
        <w:t xml:space="preserve"> any evidence or testimony in </w:t>
      </w:r>
      <w:r>
        <w:t>defense of its position</w:t>
      </w:r>
      <w:r w:rsidR="000B2189">
        <w:t xml:space="preserve"> that i</w:t>
      </w:r>
      <w:r w:rsidR="002F6008">
        <w:t>t</w:t>
      </w:r>
      <w:r w:rsidR="000B2189">
        <w:t xml:space="preserve"> had not provided misleading and/or false information to CPED</w:t>
      </w:r>
      <w:r>
        <w:t xml:space="preserve">.  </w:t>
      </w:r>
      <w:r w:rsidR="00EE7437">
        <w:t xml:space="preserve">As such, it is determined that Havasu violated Rule 1.1 when it filed its Advice Letter </w:t>
      </w:r>
      <w:r w:rsidRPr="000914A9" w:rsidR="000914A9">
        <w:t>52-W</w:t>
      </w:r>
      <w:r w:rsidR="000914A9">
        <w:t xml:space="preserve"> with incorrect information.</w:t>
      </w:r>
      <w:r w:rsidR="00B47EA4">
        <w:t xml:space="preserve"> </w:t>
      </w:r>
    </w:p>
    <w:p w:rsidR="00BB0785" w:rsidP="00883479" w:rsidRDefault="00BB0785" w14:paraId="7EDB27D4" w14:textId="77777777">
      <w:pPr>
        <w:pStyle w:val="Heading2"/>
      </w:pPr>
      <w:bookmarkStart w:name="_Toc221259562" w:id="48"/>
      <w:r>
        <w:t>Data Requests</w:t>
      </w:r>
      <w:bookmarkEnd w:id="48"/>
    </w:p>
    <w:p w:rsidR="000914A9" w:rsidP="000914A9" w:rsidRDefault="000914A9" w14:paraId="1F83248D" w14:textId="21E30BC4">
      <w:pPr>
        <w:pStyle w:val="Standard"/>
      </w:pPr>
      <w:r>
        <w:t xml:space="preserve">CPED alleges that Havasu violated Rule 1.1 when it failed to respond to </w:t>
      </w:r>
      <w:r w:rsidR="006604B1">
        <w:t xml:space="preserve">data requests.  </w:t>
      </w:r>
      <w:r w:rsidR="00BB6440">
        <w:t xml:space="preserve">On October </w:t>
      </w:r>
      <w:r w:rsidR="00E53951">
        <w:t xml:space="preserve">11, 2024, </w:t>
      </w:r>
      <w:r w:rsidR="00B76716">
        <w:t>WD sent a data request to Havasu which is summarized below:</w:t>
      </w:r>
    </w:p>
    <w:p w:rsidR="00B76716" w:rsidP="00912A31" w:rsidRDefault="00B76716" w14:paraId="1889142C" w14:textId="77777777">
      <w:pPr>
        <w:pStyle w:val="Standard"/>
        <w:numPr>
          <w:ilvl w:val="0"/>
          <w:numId w:val="27"/>
        </w:numPr>
        <w:spacing w:after="120" w:line="240" w:lineRule="auto"/>
        <w:ind w:left="1080" w:right="1440"/>
      </w:pPr>
      <w:r>
        <w:t xml:space="preserve">October 11, </w:t>
      </w:r>
      <w:proofErr w:type="gramStart"/>
      <w:r>
        <w:t>2024</w:t>
      </w:r>
      <w:proofErr w:type="gramEnd"/>
      <w:r>
        <w:t xml:space="preserve"> data request, an email from W. Tsai to Havasu.  Tsai references an attached data request.</w:t>
      </w:r>
      <w:r>
        <w:rPr>
          <w:rStyle w:val="FootnoteReference"/>
        </w:rPr>
        <w:footnoteReference w:id="205"/>
      </w:r>
      <w:r>
        <w:t xml:space="preserve">  Havasu acknowledges receipt of the data request and informs W. Tsai that Havasu is awaiting further information from SBCFD and will provide further information upon receipt.</w:t>
      </w:r>
      <w:r>
        <w:rPr>
          <w:rStyle w:val="FootnoteReference"/>
        </w:rPr>
        <w:footnoteReference w:id="206"/>
      </w:r>
    </w:p>
    <w:p w:rsidR="00B76716" w:rsidP="00D0046C" w:rsidRDefault="0004724B" w14:paraId="28F6A0F1" w14:textId="2F34135C">
      <w:pPr>
        <w:pStyle w:val="Standard"/>
      </w:pPr>
      <w:r>
        <w:t>As the Commission explained in D.13-12-053, where there has been a “lack of candor, withholding of information or failure to correct information</w:t>
      </w:r>
      <w:r w:rsidR="00D0046C">
        <w:t xml:space="preserve"> or respond fully to data requests,” the Commission can and has found a Rule 1.1 violation.</w:t>
      </w:r>
      <w:r w:rsidR="00D0046C">
        <w:rPr>
          <w:rStyle w:val="FootnoteReference"/>
        </w:rPr>
        <w:footnoteReference w:id="207"/>
      </w:r>
    </w:p>
    <w:p w:rsidR="00206D81" w:rsidP="00D0046C" w:rsidRDefault="00206D81" w14:paraId="7DE8557A" w14:textId="63F5F8FB">
      <w:pPr>
        <w:pStyle w:val="Standard"/>
      </w:pPr>
      <w:r>
        <w:t>Here, Havasu acknowledges receipt of the data request and responds</w:t>
      </w:r>
      <w:r w:rsidR="00DD1A19">
        <w:t xml:space="preserve"> by saying, “</w:t>
      </w:r>
      <w:r w:rsidRPr="00DD1A19" w:rsidR="00DD1A19">
        <w:t>Havasu is awaiting further information from SBCFD and will provide further information upon receipt</w:t>
      </w:r>
      <w:r w:rsidR="00DD1A19">
        <w:t>.”</w:t>
      </w:r>
      <w:r w:rsidR="000C6823">
        <w:rPr>
          <w:rStyle w:val="FootnoteReference"/>
        </w:rPr>
        <w:footnoteReference w:id="208"/>
      </w:r>
      <w:r w:rsidR="000C6823">
        <w:t xml:space="preserve">  </w:t>
      </w:r>
      <w:r w:rsidR="003E6089">
        <w:t>T</w:t>
      </w:r>
      <w:r w:rsidR="003A1903">
        <w:t>he</w:t>
      </w:r>
      <w:r w:rsidR="00164F68">
        <w:t xml:space="preserve"> Declaration of Tracy </w:t>
      </w:r>
      <w:r w:rsidR="00212775">
        <w:t>Shaw</w:t>
      </w:r>
      <w:r w:rsidR="003A1903">
        <w:t xml:space="preserve"> states</w:t>
      </w:r>
      <w:r w:rsidR="00AE6032">
        <w:t>:</w:t>
      </w:r>
      <w:r w:rsidRPr="00471500" w:rsidR="00471500">
        <w:rPr>
          <w:rStyle w:val="FootnoteReference"/>
        </w:rPr>
        <w:t xml:space="preserve"> </w:t>
      </w:r>
      <w:r w:rsidR="00471500">
        <w:rPr>
          <w:rStyle w:val="FootnoteReference"/>
        </w:rPr>
        <w:footnoteReference w:id="209"/>
      </w:r>
    </w:p>
    <w:p w:rsidR="005B44F3" w:rsidP="00B53DE7" w:rsidRDefault="00AE6032" w14:paraId="70943DE7" w14:textId="3A749FB9">
      <w:pPr>
        <w:pStyle w:val="Standard"/>
        <w:spacing w:after="120" w:line="240" w:lineRule="auto"/>
        <w:ind w:left="720" w:firstLine="0"/>
      </w:pPr>
      <w:r>
        <w:t xml:space="preserve">In the normal course of business, SBCFD does not execute Uniform Fire Hydrant Safety Agreements (UFHSA) with local water utilities.  Testing, maintenance, inspection and repair of the fire hydrants utilized by SBCFD </w:t>
      </w:r>
      <w:r>
        <w:lastRenderedPageBreak/>
        <w:t>for fire suppression is the responsibility of the local water purveyor.  SBCFD has not executed a UFHSA with Havasu.  SBCFD does not inspect fire hydrants utilized for fire suppression and does not provide a recommendation for a schedule for testing or require submission of records of inspections, maintenance, testing or repair.  SBCFD does not perform maintenance and repair of the fire hydrants that are part of Havasu’s service area and therefore does not have records to provide to CPUC</w:t>
      </w:r>
      <w:r w:rsidR="00B53DE7">
        <w:t>.</w:t>
      </w:r>
    </w:p>
    <w:p w:rsidR="005B44F3" w:rsidP="005F4109" w:rsidRDefault="005B44F3" w14:paraId="62C37EAA" w14:textId="6E5D9278">
      <w:pPr>
        <w:pStyle w:val="Standard"/>
      </w:pPr>
      <w:r>
        <w:t xml:space="preserve">Based on the above statement from Ms. </w:t>
      </w:r>
      <w:r w:rsidR="00212775">
        <w:t>Shaw</w:t>
      </w:r>
      <w:r>
        <w:t xml:space="preserve">, it is determined that Havasu never had a UFHSA from SBCFD and that </w:t>
      </w:r>
      <w:r w:rsidR="00E630A0">
        <w:t>Havasu statements in the October 11, 2024 data request are an attempt by Havasu to mislead the Commission</w:t>
      </w:r>
      <w:r w:rsidR="00471500">
        <w:t xml:space="preserve"> into believing that </w:t>
      </w:r>
      <w:r w:rsidR="00516FD6">
        <w:t>SBCFD is responsible for the inspection, maintenance, repair and record keeping of Havasu’s fire hydrants in its service area</w:t>
      </w:r>
      <w:r w:rsidR="00E630A0">
        <w:t xml:space="preserve">.  </w:t>
      </w:r>
    </w:p>
    <w:p w:rsidRPr="000914A9" w:rsidR="00E630A0" w:rsidP="0089610A" w:rsidRDefault="00E630A0" w14:paraId="3DF8DC17" w14:textId="6898DE09">
      <w:pPr>
        <w:pStyle w:val="Standard"/>
        <w:ind w:firstLine="0"/>
      </w:pPr>
      <w:r>
        <w:tab/>
      </w:r>
      <w:r w:rsidRPr="00225523" w:rsidR="00B03A23">
        <w:t xml:space="preserve">Havasu failed to </w:t>
      </w:r>
      <w:r w:rsidR="002B3B56">
        <w:t>offer</w:t>
      </w:r>
      <w:r w:rsidRPr="00225523" w:rsidR="00B03A23">
        <w:t xml:space="preserve"> any evidence or testimony in </w:t>
      </w:r>
      <w:r w:rsidR="00B03A23">
        <w:t>defense of its position</w:t>
      </w:r>
      <w:r w:rsidR="0059662D">
        <w:t xml:space="preserve"> that it had a UFHSA with SBCFD</w:t>
      </w:r>
      <w:r w:rsidR="00B03A23">
        <w:t xml:space="preserve">.  </w:t>
      </w:r>
      <w:r>
        <w:t xml:space="preserve">As such, it is determined that Havasu violated Rule 1.1 when on October </w:t>
      </w:r>
      <w:r w:rsidR="00436C01">
        <w:t>2</w:t>
      </w:r>
      <w:r>
        <w:t xml:space="preserve">4, 2024, Havasu claimed that it was waiting for information from SBCFD when there was no information </w:t>
      </w:r>
      <w:r w:rsidR="0089610A">
        <w:t>because SBCFD and Havasu did not have a UFHSA.</w:t>
      </w:r>
    </w:p>
    <w:p w:rsidR="00AF5CD6" w:rsidP="00883479" w:rsidRDefault="006475EE" w14:paraId="534CCE4C" w14:textId="47F8413D">
      <w:pPr>
        <w:pStyle w:val="Heading2"/>
      </w:pPr>
      <w:bookmarkStart w:name="_Toc221259563" w:id="49"/>
      <w:r>
        <w:t>Failure to Comply with D</w:t>
      </w:r>
      <w:r w:rsidR="00BB0785">
        <w:t>.24-03-053</w:t>
      </w:r>
      <w:bookmarkEnd w:id="49"/>
    </w:p>
    <w:p w:rsidR="00781386" w:rsidP="00781386" w:rsidRDefault="00781386" w14:paraId="44E19074" w14:textId="61D474FB">
      <w:pPr>
        <w:pStyle w:val="Standard"/>
      </w:pPr>
      <w:r>
        <w:t xml:space="preserve">CPED </w:t>
      </w:r>
      <w:r w:rsidR="00020271">
        <w:t>contends</w:t>
      </w:r>
      <w:r>
        <w:t xml:space="preserve"> that Havasu violated Rule 1.1 when on </w:t>
      </w:r>
      <w:r w:rsidR="00E2057F">
        <w:t>April 8, 202</w:t>
      </w:r>
      <w:r w:rsidR="00BA08A9">
        <w:t>4</w:t>
      </w:r>
      <w:r>
        <w:t xml:space="preserve">, it sent bills to customers requesting late fees.  In </w:t>
      </w:r>
      <w:bookmarkStart w:name="_Hlk219372858" w:id="50"/>
      <w:r>
        <w:t>D.24-03-053</w:t>
      </w:r>
      <w:bookmarkEnd w:id="50"/>
      <w:r>
        <w:t xml:space="preserve">, the </w:t>
      </w:r>
      <w:r w:rsidR="00815AF1">
        <w:t>Commission</w:t>
      </w:r>
      <w:r w:rsidR="00C52387">
        <w:t xml:space="preserve"> </w:t>
      </w:r>
      <w:r>
        <w:t>ordered Havasu to remove all late fees from Complainants’ bills from 2021 forward.</w:t>
      </w:r>
      <w:r>
        <w:rPr>
          <w:rStyle w:val="FootnoteReference"/>
        </w:rPr>
        <w:footnoteReference w:id="210"/>
      </w:r>
      <w:r w:rsidR="0029094A">
        <w:t xml:space="preserve">  On or about April 8, 2024, Havasu issued Gary Chamberlin a bill which included late fees from 2021 forward.</w:t>
      </w:r>
      <w:r w:rsidR="0029094A">
        <w:rPr>
          <w:rStyle w:val="FootnoteReference"/>
        </w:rPr>
        <w:footnoteReference w:id="211"/>
      </w:r>
      <w:r w:rsidR="0029094A">
        <w:t xml:space="preserve">  </w:t>
      </w:r>
    </w:p>
    <w:p w:rsidR="0029094A" w:rsidP="00781386" w:rsidRDefault="0029094A" w14:paraId="1E813048" w14:textId="482C4C33">
      <w:pPr>
        <w:pStyle w:val="Standard"/>
      </w:pPr>
      <w:r>
        <w:lastRenderedPageBreak/>
        <w:t>The idea to remove all late fees from the Complainants bills from 2021 forward was supported by Havasu.</w:t>
      </w:r>
      <w:r>
        <w:rPr>
          <w:rStyle w:val="FootnoteReference"/>
        </w:rPr>
        <w:footnoteReference w:id="212"/>
      </w:r>
      <w:r>
        <w:t xml:space="preserve">  Havasu admits to intentionally rebilling the Complainants for late fees in its Rehearing Request.</w:t>
      </w:r>
      <w:r>
        <w:rPr>
          <w:rStyle w:val="FootnoteReference"/>
        </w:rPr>
        <w:footnoteReference w:id="213"/>
      </w:r>
      <w:r>
        <w:t xml:space="preserve">  </w:t>
      </w:r>
    </w:p>
    <w:p w:rsidRPr="00F60986" w:rsidR="00F60986" w:rsidP="00F60986" w:rsidRDefault="00F60986" w14:paraId="43AB0C6B" w14:textId="33DBF4C9">
      <w:pPr>
        <w:pStyle w:val="Standard"/>
      </w:pPr>
      <w:r w:rsidRPr="00F60986">
        <w:t xml:space="preserve">The evidence establishes that Havasu </w:t>
      </w:r>
      <w:proofErr w:type="gramStart"/>
      <w:r w:rsidRPr="00F60986">
        <w:t>represented to</w:t>
      </w:r>
      <w:proofErr w:type="gramEnd"/>
      <w:r w:rsidRPr="00F60986">
        <w:t xml:space="preserve"> the</w:t>
      </w:r>
      <w:r w:rsidR="0011427E">
        <w:t xml:space="preserve"> ALJ</w:t>
      </w:r>
      <w:r w:rsidRPr="00F60986">
        <w:t xml:space="preserve"> </w:t>
      </w:r>
      <w:r w:rsidR="00540FB2">
        <w:t xml:space="preserve">assigned to </w:t>
      </w:r>
      <w:r w:rsidR="00815AF1">
        <w:t>C.23-02-009</w:t>
      </w:r>
      <w:r w:rsidR="00235E1C">
        <w:t xml:space="preserve">, </w:t>
      </w:r>
      <w:r w:rsidRPr="00F60986">
        <w:t xml:space="preserve">that it would remove all late fees from Complainants’ bills dating from 2021 forward. </w:t>
      </w:r>
      <w:r w:rsidR="00CD7275">
        <w:t xml:space="preserve"> </w:t>
      </w:r>
      <w:r w:rsidRPr="00F60986">
        <w:t xml:space="preserve">This representation was relied upon by the </w:t>
      </w:r>
      <w:r w:rsidR="00AD3D5B">
        <w:t xml:space="preserve">assigned </w:t>
      </w:r>
      <w:r w:rsidR="00CD7275">
        <w:t>ALJ</w:t>
      </w:r>
      <w:r w:rsidRPr="00F60986">
        <w:t xml:space="preserve"> and formed the basis of </w:t>
      </w:r>
      <w:r w:rsidR="00815AF1">
        <w:t>the Commission decision</w:t>
      </w:r>
      <w:r w:rsidRPr="00F60986">
        <w:t xml:space="preserve"> directing Havasu to remove </w:t>
      </w:r>
      <w:r w:rsidR="00CD7275">
        <w:t xml:space="preserve">all late </w:t>
      </w:r>
      <w:r w:rsidRPr="00F60986">
        <w:t xml:space="preserve">fees. </w:t>
      </w:r>
      <w:r w:rsidR="00CD7275">
        <w:t xml:space="preserve"> </w:t>
      </w:r>
      <w:r w:rsidRPr="00F60986">
        <w:t xml:space="preserve">Havasu’s subsequent reversal of position does not negate its prior agreement or the binding nature of the </w:t>
      </w:r>
      <w:r w:rsidR="00815AF1">
        <w:t>Commission’s</w:t>
      </w:r>
      <w:r w:rsidRPr="00F60986" w:rsidR="00815AF1">
        <w:t xml:space="preserve"> </w:t>
      </w:r>
      <w:r w:rsidRPr="00F60986">
        <w:t>order.</w:t>
      </w:r>
    </w:p>
    <w:p w:rsidR="00F60986" w:rsidP="00B03A23" w:rsidRDefault="00F60986" w14:paraId="0D3B7B77" w14:textId="7DE41E75">
      <w:pPr>
        <w:pStyle w:val="Standard"/>
      </w:pPr>
      <w:r w:rsidRPr="00F60986">
        <w:t xml:space="preserve">By failing to comply with the order, Havasu misled the Commission and engaged in conduct inconsistent with Rule 1.1. </w:t>
      </w:r>
      <w:r w:rsidR="00B14EC0">
        <w:t xml:space="preserve"> </w:t>
      </w:r>
      <w:r w:rsidRPr="00F60986">
        <w:t xml:space="preserve">The proper </w:t>
      </w:r>
      <w:r w:rsidR="00B14EC0">
        <w:t>legal</w:t>
      </w:r>
      <w:r w:rsidRPr="00F60986">
        <w:t xml:space="preserve"> recourse available to Havasu was to file a rehearing request. Havasu was not permitted to unilaterally disregard the </w:t>
      </w:r>
      <w:r w:rsidR="00815AF1">
        <w:t xml:space="preserve">Commission’s </w:t>
      </w:r>
      <w:r w:rsidR="000659CE">
        <w:t>order</w:t>
      </w:r>
      <w:r w:rsidRPr="00F60986">
        <w:t xml:space="preserve"> pending resolution of its rehearing request.</w:t>
      </w:r>
    </w:p>
    <w:p w:rsidRPr="000E4E60" w:rsidR="000E4E60" w:rsidP="00720A32" w:rsidRDefault="00B03A23" w14:paraId="755B5028" w14:textId="13B2EB22">
      <w:pPr>
        <w:pStyle w:val="Standard"/>
      </w:pPr>
      <w:r w:rsidRPr="00225523">
        <w:t xml:space="preserve">Havasu failed to </w:t>
      </w:r>
      <w:r w:rsidR="002D5D32">
        <w:t>offer</w:t>
      </w:r>
      <w:r w:rsidRPr="00225523">
        <w:t xml:space="preserve"> any evidence or testimony in </w:t>
      </w:r>
      <w:r>
        <w:t>defense of its position</w:t>
      </w:r>
      <w:r w:rsidR="00446BA4">
        <w:t xml:space="preserve"> that it had not </w:t>
      </w:r>
      <w:r w:rsidRPr="00446BA4" w:rsidR="00446BA4">
        <w:t>misled the Commission and engaged in conduct inconsistent with Rule 1.1</w:t>
      </w:r>
      <w:r>
        <w:t xml:space="preserve">.  </w:t>
      </w:r>
      <w:r w:rsidR="00887C1F">
        <w:t xml:space="preserve">As such, it is determined that Havasu violated Rule 1.1 when it failed to comply with </w:t>
      </w:r>
      <w:r w:rsidR="00A951CD">
        <w:t>D.24-03-053’s order to remove all late fees from Complainant’s bills from 2021 and forward.</w:t>
      </w:r>
      <w:r w:rsidR="006B4497">
        <w:tab/>
      </w:r>
    </w:p>
    <w:p w:rsidR="00EA2BD2" w:rsidP="00883479" w:rsidRDefault="00AE7B51" w14:paraId="3C96FD6B" w14:textId="3F5ED719">
      <w:pPr>
        <w:pStyle w:val="Heading1"/>
      </w:pPr>
      <w:bookmarkStart w:name="_Toc221259564" w:id="51"/>
      <w:r w:rsidRPr="00AE7B51">
        <w:t>Citation Number W.22-09-001</w:t>
      </w:r>
      <w:bookmarkEnd w:id="51"/>
      <w:r w:rsidRPr="00AE7B51">
        <w:t xml:space="preserve"> </w:t>
      </w:r>
    </w:p>
    <w:p w:rsidR="00594B02" w:rsidP="00DD68AA" w:rsidRDefault="00FE0E15" w14:paraId="3DF75655" w14:textId="735EA4A0">
      <w:pPr>
        <w:pStyle w:val="Standard"/>
      </w:pPr>
      <w:r>
        <w:t>Pursuant to Pub. Util. Code §</w:t>
      </w:r>
      <w:r w:rsidR="00594B02">
        <w:t xml:space="preserve">2107, </w:t>
      </w:r>
      <w:r w:rsidR="00B66EF1">
        <w:t>CPED request</w:t>
      </w:r>
      <w:r w:rsidR="008C2548">
        <w:t>s</w:t>
      </w:r>
      <w:r w:rsidR="00B66EF1">
        <w:t xml:space="preserve"> additional penalties be imposed on Havasu for failing to pay the penalty in Citation No. W.22-09-001</w:t>
      </w:r>
      <w:r w:rsidR="005D4AAF">
        <w:t xml:space="preserve">.  </w:t>
      </w:r>
    </w:p>
    <w:p w:rsidR="00594B02" w:rsidP="00594B02" w:rsidRDefault="00594B02" w14:paraId="2AE42E77" w14:textId="0583CE0E">
      <w:pPr>
        <w:pStyle w:val="Standard"/>
        <w:ind w:firstLine="0"/>
      </w:pPr>
      <w:r>
        <w:tab/>
      </w:r>
      <w:r w:rsidR="00F14837">
        <w:t>Pub. Util. Code § 2107 states that:</w:t>
      </w:r>
    </w:p>
    <w:p w:rsidR="00720A32" w:rsidP="00BD1A46" w:rsidRDefault="00F14837" w14:paraId="30F96A38" w14:textId="1EFB0507">
      <w:pPr>
        <w:pStyle w:val="Standard"/>
        <w:spacing w:after="120" w:line="240" w:lineRule="auto"/>
        <w:ind w:left="720" w:firstLine="0"/>
      </w:pPr>
      <w:r w:rsidRPr="00F14837">
        <w:lastRenderedPageBreak/>
        <w:t>Any public utility that violates or fails to comply with any provision of the Constitution of this state or of this part, or that fails or neglects to comply with any part or provision of any order, decision, decree, rule, direction, demand, or requirement of the commission, in a case in which a penalty has not otherwise been provided, is subject to a penalty of not less than five hundred dollars ($500), nor more than one hundred thousand dollars ($100,000), for each offense.</w:t>
      </w:r>
    </w:p>
    <w:p w:rsidR="00DD68AA" w:rsidP="00F14837" w:rsidRDefault="005D4AAF" w14:paraId="41AE0C28" w14:textId="2F349022">
      <w:pPr>
        <w:pStyle w:val="Standard"/>
      </w:pPr>
      <w:r>
        <w:t>On July 26, 2022, WD issued a NOV to Havasu</w:t>
      </w:r>
      <w:r w:rsidR="0044010D">
        <w:t xml:space="preserve"> </w:t>
      </w:r>
      <w:r w:rsidR="00B752BA">
        <w:t>ordering</w:t>
      </w:r>
      <w:r w:rsidR="002078FE">
        <w:t xml:space="preserve"> Havasu to comply with four directives to bring Havasu back into compliance.</w:t>
      </w:r>
      <w:r w:rsidR="002078FE">
        <w:rPr>
          <w:rStyle w:val="FootnoteReference"/>
        </w:rPr>
        <w:footnoteReference w:id="214"/>
      </w:r>
      <w:r w:rsidR="002078FE">
        <w:t xml:space="preserve">  The directives included: </w:t>
      </w:r>
      <w:r w:rsidR="00CB779C">
        <w:t>1.</w:t>
      </w:r>
      <w:r w:rsidR="001A2234">
        <w:t xml:space="preserve"> </w:t>
      </w:r>
      <w:r w:rsidR="002078FE">
        <w:t xml:space="preserve">submitting a revised and approved correction action plan; </w:t>
      </w:r>
      <w:r w:rsidR="001A2234">
        <w:t xml:space="preserve">2. </w:t>
      </w:r>
      <w:r w:rsidR="002078FE">
        <w:t xml:space="preserve">repairing the water main leak and resolve all low water pressures in the Havasu distribution system; </w:t>
      </w:r>
      <w:r w:rsidR="001A2234">
        <w:t xml:space="preserve">3. </w:t>
      </w:r>
      <w:r w:rsidR="002078FE">
        <w:t xml:space="preserve">obtain certified operators; and </w:t>
      </w:r>
      <w:r w:rsidR="001A2234">
        <w:t xml:space="preserve">4. </w:t>
      </w:r>
      <w:r w:rsidR="002078FE">
        <w:t>repair or remove potential cross connection hazards.</w:t>
      </w:r>
      <w:r w:rsidR="002078FE">
        <w:rPr>
          <w:rStyle w:val="FootnoteReference"/>
        </w:rPr>
        <w:footnoteReference w:id="215"/>
      </w:r>
      <w:r w:rsidR="002078FE">
        <w:t xml:space="preserve">  </w:t>
      </w:r>
    </w:p>
    <w:p w:rsidR="00B86462" w:rsidP="00DD68AA" w:rsidRDefault="00B86462" w14:paraId="3744BD1D" w14:textId="5B5C91A7">
      <w:pPr>
        <w:pStyle w:val="Standard"/>
      </w:pPr>
      <w:r>
        <w:t>On September 14, 2022, WD issued Citation No. W</w:t>
      </w:r>
      <w:r w:rsidR="00AD69AB">
        <w:t>.22-09-001 to Havasu for failure to comply with the required directives</w:t>
      </w:r>
      <w:r w:rsidR="004262AF">
        <w:t xml:space="preserve"> issues </w:t>
      </w:r>
      <w:proofErr w:type="gramStart"/>
      <w:r w:rsidR="004262AF">
        <w:t>in</w:t>
      </w:r>
      <w:proofErr w:type="gramEnd"/>
      <w:r w:rsidR="004262AF">
        <w:t xml:space="preserve"> </w:t>
      </w:r>
      <w:proofErr w:type="gramStart"/>
      <w:r w:rsidR="004262AF">
        <w:t>the July</w:t>
      </w:r>
      <w:proofErr w:type="gramEnd"/>
      <w:r w:rsidR="004262AF">
        <w:t xml:space="preserve"> 26, </w:t>
      </w:r>
      <w:proofErr w:type="gramStart"/>
      <w:r w:rsidR="004262AF">
        <w:t>2022</w:t>
      </w:r>
      <w:proofErr w:type="gramEnd"/>
      <w:r w:rsidR="004262AF">
        <w:t xml:space="preserve"> NOV.</w:t>
      </w:r>
      <w:r w:rsidR="00E16A57">
        <w:rPr>
          <w:rStyle w:val="FootnoteReference"/>
        </w:rPr>
        <w:footnoteReference w:id="216"/>
      </w:r>
      <w:r w:rsidR="004262AF">
        <w:t xml:space="preserve">  The citation included </w:t>
      </w:r>
      <w:r w:rsidR="00020579">
        <w:t xml:space="preserve">a description of the violations; reasons for the violations; </w:t>
      </w:r>
      <w:r w:rsidR="008B3FCB">
        <w:t xml:space="preserve">appeal </w:t>
      </w:r>
      <w:r w:rsidR="004E4602">
        <w:t xml:space="preserve">sample form, appeal </w:t>
      </w:r>
      <w:r w:rsidR="008B3FCB">
        <w:t xml:space="preserve">directions and </w:t>
      </w:r>
      <w:r w:rsidR="004E4602">
        <w:t xml:space="preserve">appeal </w:t>
      </w:r>
      <w:r w:rsidR="008B3FCB">
        <w:t>due date</w:t>
      </w:r>
      <w:r w:rsidR="004E4602">
        <w:t xml:space="preserve"> and </w:t>
      </w:r>
      <w:r w:rsidR="008B3FCB">
        <w:t>citation payment form</w:t>
      </w:r>
      <w:r w:rsidR="004E4602">
        <w:t>.</w:t>
      </w:r>
      <w:r w:rsidR="00E16A57">
        <w:rPr>
          <w:rStyle w:val="FootnoteReference"/>
        </w:rPr>
        <w:footnoteReference w:id="217"/>
      </w:r>
    </w:p>
    <w:p w:rsidR="00371089" w:rsidP="00DD68AA" w:rsidRDefault="00371089" w14:paraId="7871B8A3" w14:textId="13C2B1EE">
      <w:pPr>
        <w:pStyle w:val="Standard"/>
      </w:pPr>
      <w:r>
        <w:t xml:space="preserve">According to CPED, Havasu did not appeal the citation within 30 </w:t>
      </w:r>
      <w:r w:rsidR="00D95C6E">
        <w:t>days and therefore was in default and forfeited its right to appeal the citation.</w:t>
      </w:r>
      <w:r w:rsidR="00D95C6E">
        <w:rPr>
          <w:rStyle w:val="FootnoteReference"/>
        </w:rPr>
        <w:footnoteReference w:id="218"/>
      </w:r>
      <w:r w:rsidR="00ED54B5">
        <w:t xml:space="preserve">  CPED claims that </w:t>
      </w:r>
      <w:r w:rsidR="00170753">
        <w:t>the Commission’s Fiscal Office</w:t>
      </w:r>
      <w:r w:rsidR="00373A24">
        <w:t xml:space="preserve"> sent Havasu multiple notices of outstanding balances and </w:t>
      </w:r>
      <w:r w:rsidR="003E21A6">
        <w:t xml:space="preserve">that </w:t>
      </w:r>
      <w:r w:rsidR="00373A24">
        <w:t xml:space="preserve">Havasu </w:t>
      </w:r>
      <w:proofErr w:type="gramStart"/>
      <w:r w:rsidR="004C38D1">
        <w:t>still has</w:t>
      </w:r>
      <w:proofErr w:type="gramEnd"/>
      <w:r w:rsidR="004C38D1">
        <w:t xml:space="preserve"> yet to pay the citation penalty.</w:t>
      </w:r>
      <w:r w:rsidR="004C38D1">
        <w:rPr>
          <w:rStyle w:val="FootnoteReference"/>
        </w:rPr>
        <w:footnoteReference w:id="219"/>
      </w:r>
    </w:p>
    <w:p w:rsidR="004C38D1" w:rsidP="004D3FD6" w:rsidRDefault="00F14837" w14:paraId="6861DA30" w14:textId="364615A4">
      <w:pPr>
        <w:pStyle w:val="Standard"/>
        <w:ind w:firstLine="0"/>
      </w:pPr>
      <w:r>
        <w:lastRenderedPageBreak/>
        <w:t xml:space="preserve">Havasu did not </w:t>
      </w:r>
      <w:r w:rsidR="00B17477">
        <w:t>provide a defense to this issue</w:t>
      </w:r>
      <w:r w:rsidR="00F92B3A">
        <w:t xml:space="preserve"> or justification for non-payment of the </w:t>
      </w:r>
      <w:r w:rsidR="00A77752">
        <w:t>ciliation</w:t>
      </w:r>
      <w:r w:rsidR="00F92B3A">
        <w:t xml:space="preserve"> penalty</w:t>
      </w:r>
      <w:r w:rsidR="00B17477">
        <w:t>.</w:t>
      </w:r>
    </w:p>
    <w:p w:rsidR="008535B3" w:rsidP="00DD68AA" w:rsidRDefault="00EB6A3C" w14:paraId="0B9D6393" w14:textId="77777777">
      <w:pPr>
        <w:pStyle w:val="Standard"/>
      </w:pPr>
      <w:r>
        <w:t xml:space="preserve">The evidence establishes that Havasu was </w:t>
      </w:r>
      <w:proofErr w:type="gramStart"/>
      <w:r>
        <w:t>provided</w:t>
      </w:r>
      <w:proofErr w:type="gramEnd"/>
      <w:r>
        <w:t xml:space="preserve"> notice</w:t>
      </w:r>
      <w:r w:rsidR="0098112D">
        <w:t xml:space="preserve"> and an opportunity for a hearing </w:t>
      </w:r>
      <w:r w:rsidR="00C85F62">
        <w:t xml:space="preserve">and Havasu chose not to appeal.  </w:t>
      </w:r>
      <w:r w:rsidR="0001150A">
        <w:t>WD</w:t>
      </w:r>
      <w:r w:rsidR="00013ECA">
        <w:t xml:space="preserve"> then issued a penalty in the amount of $2,000 and provided </w:t>
      </w:r>
      <w:proofErr w:type="gramStart"/>
      <w:r w:rsidR="00013ECA">
        <w:t>Havasu</w:t>
      </w:r>
      <w:proofErr w:type="gramEnd"/>
      <w:r w:rsidR="00013ECA">
        <w:t xml:space="preserve"> </w:t>
      </w:r>
      <w:proofErr w:type="gramStart"/>
      <w:r w:rsidR="00013ECA">
        <w:t>a penalty</w:t>
      </w:r>
      <w:proofErr w:type="gramEnd"/>
      <w:r w:rsidR="00013ECA">
        <w:t xml:space="preserve"> due date which Havasu ignored.  </w:t>
      </w:r>
      <w:r w:rsidR="008535B3">
        <w:t xml:space="preserve">The Commission’s Fiscal Office sent multiple notices of outstanding balances and Havasu ignored those notices too.  </w:t>
      </w:r>
    </w:p>
    <w:p w:rsidR="00B17477" w:rsidP="00DD68AA" w:rsidRDefault="00B03A23" w14:paraId="3459A063" w14:textId="685EB046">
      <w:pPr>
        <w:pStyle w:val="Standard"/>
      </w:pPr>
      <w:r w:rsidRPr="00225523">
        <w:t xml:space="preserve">Havasu </w:t>
      </w:r>
      <w:r w:rsidR="00B75004">
        <w:t xml:space="preserve">has </w:t>
      </w:r>
      <w:r w:rsidRPr="00225523">
        <w:t xml:space="preserve">failed to </w:t>
      </w:r>
      <w:r w:rsidR="002D5D32">
        <w:t>offer</w:t>
      </w:r>
      <w:r w:rsidRPr="00225523">
        <w:t xml:space="preserve"> any evidence or testimony </w:t>
      </w:r>
      <w:r w:rsidR="00734467">
        <w:t>as to why it has not paid the $2,000 penalty</w:t>
      </w:r>
      <w:r>
        <w:t xml:space="preserve">.  </w:t>
      </w:r>
      <w:r w:rsidR="00B17477">
        <w:t>As such, it is determined that</w:t>
      </w:r>
      <w:r w:rsidR="00686BBB">
        <w:t xml:space="preserve"> Havasu violated Pub. Util. Code § 2107 when it failed to pay the penalty amount of </w:t>
      </w:r>
      <w:r w:rsidRPr="000D40F4" w:rsidR="00686BBB">
        <w:t>$2,000</w:t>
      </w:r>
      <w:r w:rsidR="00686BBB">
        <w:t xml:space="preserve"> for Citation No. </w:t>
      </w:r>
      <w:r w:rsidRPr="0020496B" w:rsidR="0020496B">
        <w:t>W.22-09-001</w:t>
      </w:r>
      <w:r w:rsidR="0020496B">
        <w:t xml:space="preserve">.  </w:t>
      </w:r>
    </w:p>
    <w:p w:rsidR="00B86462" w:rsidP="000D40F4" w:rsidRDefault="00752421" w14:paraId="21A18D94" w14:textId="0DF4D455">
      <w:pPr>
        <w:pStyle w:val="Heading1"/>
      </w:pPr>
      <w:bookmarkStart w:name="_Toc221259565" w:id="52"/>
      <w:r>
        <w:t>Fines/</w:t>
      </w:r>
      <w:r w:rsidR="000D40F4">
        <w:t>Penalties</w:t>
      </w:r>
      <w:bookmarkEnd w:id="52"/>
    </w:p>
    <w:p w:rsidR="00CA0DA3" w:rsidP="00862D91" w:rsidRDefault="00712462" w14:paraId="52632EA9" w14:textId="64E35827">
      <w:pPr>
        <w:pStyle w:val="Standard"/>
      </w:pPr>
      <w:r>
        <w:t xml:space="preserve">It is fundamental to the Commission’s exercise of its powers and jurisdiction that the </w:t>
      </w:r>
      <w:r w:rsidR="00862D91">
        <w:t xml:space="preserve">agency take reasonable steps to ensure that the utilities comply with </w:t>
      </w:r>
      <w:proofErr w:type="gramStart"/>
      <w:r w:rsidR="00862D91">
        <w:t>its</w:t>
      </w:r>
      <w:proofErr w:type="gramEnd"/>
      <w:r w:rsidR="00862D91">
        <w:t xml:space="preserve"> orders and rules.</w:t>
      </w:r>
    </w:p>
    <w:p w:rsidR="00862D91" w:rsidP="00862D91" w:rsidRDefault="00862D91" w14:paraId="7278E9D2" w14:textId="147A97C9">
      <w:pPr>
        <w:pStyle w:val="Standard"/>
      </w:pPr>
      <w:r>
        <w:t>Pub. Util. Code § 701 states that:</w:t>
      </w:r>
    </w:p>
    <w:p w:rsidR="005D7224" w:rsidP="00FF65E3" w:rsidRDefault="002F1BD0" w14:paraId="6F0DA473" w14:textId="08076F23">
      <w:pPr>
        <w:pStyle w:val="Standard"/>
        <w:spacing w:after="120" w:line="240" w:lineRule="auto"/>
        <w:ind w:left="720" w:firstLine="0"/>
      </w:pPr>
      <w:r w:rsidRPr="002F1BD0">
        <w:t>The commission may supervise and regulate every public utility in the State and may do all things, whether specifically designated in this part or in addition thereto, which are necessary and convenient in the exercise of such power and jurisdiction.</w:t>
      </w:r>
    </w:p>
    <w:p w:rsidR="002F1BD0" w:rsidP="0066034F" w:rsidRDefault="00B65394" w14:paraId="38151ACE" w14:textId="6557CBCE">
      <w:pPr>
        <w:pStyle w:val="Standard"/>
      </w:pPr>
      <w:r>
        <w:t>As part of its enforcement efforts, the Commission has traditionally imposed fines</w:t>
      </w:r>
      <w:r w:rsidR="0066034F">
        <w:t xml:space="preserve"> when faced with persuasive evidence of noncompliance.</w:t>
      </w:r>
      <w:r w:rsidR="004D74AC">
        <w:rPr>
          <w:rStyle w:val="FootnoteReference"/>
        </w:rPr>
        <w:footnoteReference w:id="220"/>
      </w:r>
      <w:r w:rsidR="00FC14C2">
        <w:t xml:space="preserve">  The Commission may impose </w:t>
      </w:r>
      <w:r w:rsidR="00952DA1">
        <w:t>penalties in two ways: 1) where improper affiliate transactions are of one specific type, apply the penalties provided in § 798</w:t>
      </w:r>
      <w:r w:rsidR="00314CC1">
        <w:t xml:space="preserve">; and 2) </w:t>
      </w:r>
      <w:r w:rsidR="00314CC1">
        <w:lastRenderedPageBreak/>
        <w:t>where no other penalty scheme has been established, apply the penalties provided in § 2107.</w:t>
      </w:r>
      <w:r w:rsidR="00365886">
        <w:rPr>
          <w:rStyle w:val="FootnoteReference"/>
        </w:rPr>
        <w:footnoteReference w:id="221"/>
      </w:r>
    </w:p>
    <w:p w:rsidR="00EA2AED" w:rsidP="00EA2AED" w:rsidRDefault="00365886" w14:paraId="06544AD7" w14:textId="240C2530">
      <w:pPr>
        <w:pStyle w:val="Standard"/>
      </w:pPr>
      <w:r>
        <w:t>In establishing the appropriate fine, the</w:t>
      </w:r>
      <w:r w:rsidR="007D2241">
        <w:t xml:space="preserve"> </w:t>
      </w:r>
      <w:r>
        <w:t xml:space="preserve">Commission </w:t>
      </w:r>
      <w:r w:rsidR="00CF319A">
        <w:t>has</w:t>
      </w:r>
      <w:r w:rsidR="003F362D">
        <w:t xml:space="preserve"> </w:t>
      </w:r>
      <w:r>
        <w:t xml:space="preserve">to </w:t>
      </w:r>
      <w:r w:rsidR="00510360">
        <w:t>consider</w:t>
      </w:r>
      <w:r w:rsidR="008830B4">
        <w:t xml:space="preserve"> 1) the severity of the offense; 2) the conduct</w:t>
      </w:r>
      <w:r w:rsidR="00A3419C">
        <w:t xml:space="preserve"> of the utility</w:t>
      </w:r>
      <w:r w:rsidR="0009425D">
        <w:t xml:space="preserve">; 3) the financial resources of the utility; and </w:t>
      </w:r>
      <w:r w:rsidR="004970F6">
        <w:t xml:space="preserve">4) </w:t>
      </w:r>
      <w:r w:rsidR="0009425D">
        <w:t>the totality of the circumstances related to the violation.</w:t>
      </w:r>
      <w:r w:rsidR="00510360">
        <w:rPr>
          <w:rStyle w:val="FootnoteReference"/>
        </w:rPr>
        <w:footnoteReference w:id="222"/>
      </w:r>
      <w:r w:rsidR="00510360">
        <w:t xml:space="preserve">  The resulting fine should also be considered in context of past Commission decisions.</w:t>
      </w:r>
      <w:r w:rsidR="00510360">
        <w:rPr>
          <w:rStyle w:val="FootnoteReference"/>
        </w:rPr>
        <w:footnoteReference w:id="223"/>
      </w:r>
    </w:p>
    <w:p w:rsidR="00D57183" w:rsidP="00D57183" w:rsidRDefault="00D57183" w14:paraId="35857C3A" w14:textId="64EB27DA">
      <w:pPr>
        <w:pStyle w:val="Heading2"/>
      </w:pPr>
      <w:bookmarkStart w:name="_Toc221259566" w:id="53"/>
      <w:r w:rsidRPr="00D57183">
        <w:t>D.24-03-053</w:t>
      </w:r>
      <w:bookmarkEnd w:id="53"/>
    </w:p>
    <w:p w:rsidR="00904111" w:rsidP="002911A3" w:rsidRDefault="00CA05F2" w14:paraId="5D1B9BDD" w14:textId="73D381B0">
      <w:pPr>
        <w:pStyle w:val="Standard"/>
      </w:pPr>
      <w:r>
        <w:t xml:space="preserve">CPED requests that an additional fine/penalty be assessed to Havasu </w:t>
      </w:r>
      <w:r w:rsidR="00904111">
        <w:t xml:space="preserve">for disobeying D.24-03-053.  </w:t>
      </w:r>
      <w:r w:rsidR="00891735">
        <w:t xml:space="preserve">As noted in Section </w:t>
      </w:r>
      <w:r w:rsidR="00A25CFA">
        <w:t>7.</w:t>
      </w:r>
      <w:r w:rsidR="00C62670">
        <w:t>3</w:t>
      </w:r>
      <w:r w:rsidR="00E74740">
        <w:t>.3</w:t>
      </w:r>
      <w:r w:rsidR="00891735">
        <w:t xml:space="preserve"> above,</w:t>
      </w:r>
      <w:r w:rsidR="00A25CFA">
        <w:t xml:space="preserve"> </w:t>
      </w:r>
      <w:r w:rsidRPr="00A25CFA" w:rsidR="00A25CFA">
        <w:t xml:space="preserve">it is determined that Havasu violated Pub. Util. Code § 702 when it did not comply with D.24-03-053, </w:t>
      </w:r>
      <w:r w:rsidR="00184BB2">
        <w:t>O</w:t>
      </w:r>
      <w:r w:rsidRPr="00A25CFA" w:rsidR="00A25CFA">
        <w:t xml:space="preserve">rdering </w:t>
      </w:r>
      <w:r w:rsidR="00184BB2">
        <w:t>P</w:t>
      </w:r>
      <w:r w:rsidRPr="00A25CFA" w:rsidR="00A25CFA">
        <w:t xml:space="preserve">aragraph 1, which states that Havasu shall remove all late fees from the Complainants bills from 2021 forward.  </w:t>
      </w:r>
    </w:p>
    <w:p w:rsidR="002911A3" w:rsidP="002911A3" w:rsidRDefault="004047F8" w14:paraId="3718859B" w14:textId="001932CA">
      <w:pPr>
        <w:pStyle w:val="Standard"/>
      </w:pPr>
      <w:r>
        <w:t xml:space="preserve">First, we look at the severity of the offense.  </w:t>
      </w:r>
      <w:r w:rsidR="00A25CFA">
        <w:t>Pub. Util. Code § 702 states that</w:t>
      </w:r>
      <w:r w:rsidR="00771664">
        <w:t>:</w:t>
      </w:r>
    </w:p>
    <w:p w:rsidR="00771664" w:rsidP="00025335" w:rsidRDefault="00771664" w14:paraId="2EEC3844" w14:textId="4D30844F">
      <w:pPr>
        <w:pStyle w:val="Standard"/>
        <w:spacing w:after="120" w:line="240" w:lineRule="auto"/>
        <w:ind w:left="720" w:firstLine="0"/>
      </w:pPr>
      <w:r w:rsidRPr="00771664">
        <w:t>Every public utility shall obey and comply with every order, decision, direction, or rule made or prescribed by the commission in the matters specified in this part, or any other matter in any way relating to or affecting its business as a public utility and shall do everything necessary or proper to secure compliance therewith by all of its officers, agents, and employees.</w:t>
      </w:r>
    </w:p>
    <w:p w:rsidR="00BA09A3" w:rsidP="009A4534" w:rsidRDefault="00BA09A3" w14:paraId="6B2C5FFB" w14:textId="3360F71F">
      <w:pPr>
        <w:pStyle w:val="Standard"/>
      </w:pPr>
      <w:r>
        <w:t>Here, it has been determined that Havasu violated Pub. Util. Code § 702 when it intentionally disobeyed</w:t>
      </w:r>
      <w:r w:rsidR="008F50F4">
        <w:t xml:space="preserve"> </w:t>
      </w:r>
      <w:r w:rsidR="00184BB2">
        <w:t>O</w:t>
      </w:r>
      <w:r w:rsidR="008F50F4">
        <w:t xml:space="preserve">rdering </w:t>
      </w:r>
      <w:r w:rsidR="00184BB2">
        <w:t>P</w:t>
      </w:r>
      <w:r w:rsidR="008F50F4">
        <w:t xml:space="preserve">aragraph 1 of D.24-03-053.  The California State Constitution provides for the </w:t>
      </w:r>
      <w:r w:rsidR="00A839B2">
        <w:t xml:space="preserve">Commission to regulate public </w:t>
      </w:r>
      <w:r w:rsidR="00A839B2">
        <w:lastRenderedPageBreak/>
        <w:t>utilities.</w:t>
      </w:r>
      <w:r w:rsidR="00E73F91">
        <w:rPr>
          <w:rStyle w:val="FootnoteReference"/>
        </w:rPr>
        <w:footnoteReference w:id="224"/>
      </w:r>
      <w:r w:rsidR="00A839B2">
        <w:t xml:space="preserve">  By disobeying an order from the Commission, Havasu</w:t>
      </w:r>
      <w:r w:rsidR="004D19C9">
        <w:t xml:space="preserve"> has </w:t>
      </w:r>
      <w:r w:rsidR="003E072B">
        <w:t xml:space="preserve">committed a violation </w:t>
      </w:r>
      <w:r w:rsidR="003F39B8">
        <w:t xml:space="preserve">that affects how the Commission regulates utilities.  </w:t>
      </w:r>
      <w:r w:rsidR="00804384">
        <w:t xml:space="preserve">If utilities knew that </w:t>
      </w:r>
      <w:r w:rsidR="008C2548">
        <w:t xml:space="preserve">they </w:t>
      </w:r>
      <w:r w:rsidR="00804384">
        <w:t xml:space="preserve">could disobey </w:t>
      </w:r>
      <w:r w:rsidR="00D14AA0">
        <w:t>Commission decisions and orders, the Commission would lose all regulatory oversight.  As such, it is determined that</w:t>
      </w:r>
      <w:r w:rsidR="00612BB5">
        <w:t xml:space="preserve"> the severity of Havasu’s offense of disobey</w:t>
      </w:r>
      <w:r w:rsidR="008C2548">
        <w:t>ing</w:t>
      </w:r>
      <w:r w:rsidR="00612BB5">
        <w:t xml:space="preserve"> an order is high.</w:t>
      </w:r>
    </w:p>
    <w:p w:rsidR="00612BB5" w:rsidP="00BA09A3" w:rsidRDefault="00612BB5" w14:paraId="67F7049D" w14:textId="43106275">
      <w:pPr>
        <w:pStyle w:val="Standard"/>
        <w:ind w:firstLine="0"/>
      </w:pPr>
      <w:r>
        <w:tab/>
      </w:r>
      <w:r w:rsidR="008E174A">
        <w:t>Second, we look at Havasu’s conduct.  T</w:t>
      </w:r>
      <w:r w:rsidR="00E0763C">
        <w:t>he evidence establishes that Havasu supported the idea of removing all late frees from complainants’ bills from 2021 forward.</w:t>
      </w:r>
      <w:r w:rsidR="00E0763C">
        <w:rPr>
          <w:rStyle w:val="FootnoteReference"/>
        </w:rPr>
        <w:footnoteReference w:id="225"/>
      </w:r>
      <w:r w:rsidR="00E0763C">
        <w:t xml:space="preserve">  </w:t>
      </w:r>
      <w:r w:rsidR="005A4F7A">
        <w:t>The assigned ALJ</w:t>
      </w:r>
      <w:r w:rsidR="00162C9E">
        <w:t xml:space="preserve"> to </w:t>
      </w:r>
      <w:r w:rsidR="004970F6">
        <w:t>C.23-02-009</w:t>
      </w:r>
      <w:r w:rsidR="00C05359">
        <w:t xml:space="preserve"> </w:t>
      </w:r>
      <w:r w:rsidR="005A4F7A">
        <w:t xml:space="preserve">relied upon Havasu’s support in </w:t>
      </w:r>
      <w:r w:rsidR="004970F6">
        <w:t>preparing D.24-03-053</w:t>
      </w:r>
      <w:r w:rsidR="005A4F7A">
        <w:t>.  Havasu</w:t>
      </w:r>
      <w:r w:rsidR="00454B81">
        <w:t xml:space="preserve"> therefore had </w:t>
      </w:r>
      <w:proofErr w:type="gramStart"/>
      <w:r w:rsidR="00454B81">
        <w:t>notice</w:t>
      </w:r>
      <w:proofErr w:type="gramEnd"/>
      <w:r w:rsidR="00454B81">
        <w:t xml:space="preserve"> that the </w:t>
      </w:r>
      <w:r w:rsidR="002700E5">
        <w:t>decision would</w:t>
      </w:r>
      <w:r w:rsidR="00454B81">
        <w:t xml:space="preserve"> include the removal of late fees</w:t>
      </w:r>
      <w:r w:rsidR="002700E5">
        <w:t>,</w:t>
      </w:r>
      <w:r w:rsidR="00454B81">
        <w:t xml:space="preserve"> and </w:t>
      </w:r>
      <w:r w:rsidR="002700E5">
        <w:t xml:space="preserve">Havasu </w:t>
      </w:r>
      <w:r w:rsidR="00454B81">
        <w:t>stayed silent</w:t>
      </w:r>
      <w:r w:rsidR="00616BFD">
        <w:t>.  Havasu’s action of rebilling the complainants’ all late fees from 2021 forward is a blatant act of disrespect</w:t>
      </w:r>
      <w:r w:rsidR="000A6AE2">
        <w:t xml:space="preserve"> to the </w:t>
      </w:r>
      <w:r w:rsidR="002700E5">
        <w:t>Commission</w:t>
      </w:r>
      <w:r w:rsidR="000A6AE2">
        <w:t>.  As such, it is determined that Havasu’s conduct in rebilling the complainants’</w:t>
      </w:r>
      <w:r w:rsidR="00A91AA4">
        <w:t xml:space="preserve"> late fees from 2021 forward was intentional and disrespectful</w:t>
      </w:r>
      <w:r w:rsidR="002700E5">
        <w:t xml:space="preserve"> to the Commission’s regulatory authority</w:t>
      </w:r>
      <w:r w:rsidR="00A91AA4">
        <w:t>.</w:t>
      </w:r>
    </w:p>
    <w:p w:rsidR="00A91AA4" w:rsidP="00BA09A3" w:rsidRDefault="00A91AA4" w14:paraId="4EF0FEF4" w14:textId="2057E9E0">
      <w:pPr>
        <w:pStyle w:val="Standard"/>
        <w:ind w:firstLine="0"/>
      </w:pPr>
      <w:r>
        <w:tab/>
      </w:r>
      <w:r w:rsidR="008E174A">
        <w:t xml:space="preserve">Third, we look at </w:t>
      </w:r>
      <w:r w:rsidR="00B3571D">
        <w:t xml:space="preserve">Havasu’s financial resources.  </w:t>
      </w:r>
      <w:r w:rsidR="00BB57CD">
        <w:t xml:space="preserve">The evidentiary record </w:t>
      </w:r>
      <w:r w:rsidR="008C2548">
        <w:t>establishes</w:t>
      </w:r>
      <w:r w:rsidR="00D832BB">
        <w:t xml:space="preserve"> a history from 2021 to </w:t>
      </w:r>
      <w:proofErr w:type="gramStart"/>
      <w:r w:rsidR="00D832BB">
        <w:t>present of</w:t>
      </w:r>
      <w:proofErr w:type="gramEnd"/>
      <w:r w:rsidR="00D832BB">
        <w:t xml:space="preserve"> Havasu being fined by Federal, State and County agencies and failing to pay those fines.  </w:t>
      </w:r>
      <w:r w:rsidR="007903DC">
        <w:t xml:space="preserve">Based on this evidence, it is determined that Havasu </w:t>
      </w:r>
      <w:r w:rsidR="00822C7A">
        <w:t>has weak financial resources.</w:t>
      </w:r>
    </w:p>
    <w:p w:rsidR="00822C7A" w:rsidP="00BA09A3" w:rsidRDefault="00822C7A" w14:paraId="178AB413" w14:textId="7FEDDC7E">
      <w:pPr>
        <w:pStyle w:val="Standard"/>
        <w:ind w:firstLine="0"/>
      </w:pPr>
      <w:r>
        <w:tab/>
      </w:r>
      <w:r w:rsidR="00B3571D">
        <w:t>Finally, we look at t</w:t>
      </w:r>
      <w:r w:rsidR="00956396">
        <w:t>he totality of the circumstances</w:t>
      </w:r>
      <w:r w:rsidR="00B3571D">
        <w:t>.  The</w:t>
      </w:r>
      <w:r w:rsidR="005A5AD7">
        <w:t xml:space="preserve"> evidence</w:t>
      </w:r>
      <w:r w:rsidR="00956396">
        <w:t xml:space="preserve"> establishes that Havasu had </w:t>
      </w:r>
      <w:proofErr w:type="gramStart"/>
      <w:r w:rsidR="00956396">
        <w:t>notice</w:t>
      </w:r>
      <w:proofErr w:type="gramEnd"/>
      <w:r w:rsidR="00956396">
        <w:t xml:space="preserve"> that </w:t>
      </w:r>
      <w:r w:rsidR="002700E5">
        <w:t>it would be</w:t>
      </w:r>
      <w:r w:rsidR="00956396">
        <w:t xml:space="preserve"> order</w:t>
      </w:r>
      <w:r w:rsidR="002700E5">
        <w:t>ed</w:t>
      </w:r>
      <w:r w:rsidR="00956396">
        <w:t xml:space="preserve"> to not rebill the </w:t>
      </w:r>
      <w:proofErr w:type="gramStart"/>
      <w:r w:rsidR="00956396">
        <w:t>complainants</w:t>
      </w:r>
      <w:proofErr w:type="gramEnd"/>
      <w:r w:rsidR="00956396">
        <w:t xml:space="preserve"> late fees from 2021 forward, </w:t>
      </w:r>
      <w:r w:rsidR="00F00A48">
        <w:t>that Havasu supported this idea and then decided to rebill the complainants all late fees from 2021 forward</w:t>
      </w:r>
      <w:r w:rsidR="009B15CE">
        <w:t xml:space="preserve">, </w:t>
      </w:r>
      <w:r w:rsidR="009B15CE">
        <w:lastRenderedPageBreak/>
        <w:t>regardless</w:t>
      </w:r>
      <w:r w:rsidR="00F00A48">
        <w:t xml:space="preserve">.  </w:t>
      </w:r>
      <w:r w:rsidR="005363BB">
        <w:t>Havasu</w:t>
      </w:r>
      <w:r w:rsidR="002700E5">
        <w:t>’s</w:t>
      </w:r>
      <w:r w:rsidR="005363BB">
        <w:t xml:space="preserve"> act was intentional, disrespectful and deceiving</w:t>
      </w:r>
      <w:r w:rsidR="00800455">
        <w:t xml:space="preserve"> to the Commission’s regulatory authority and process</w:t>
      </w:r>
      <w:r w:rsidR="005363BB">
        <w:t>.</w:t>
      </w:r>
    </w:p>
    <w:p w:rsidRPr="002911A3" w:rsidR="00771664" w:rsidP="000F3719" w:rsidRDefault="005363BB" w14:paraId="5301E97D" w14:textId="6703B336">
      <w:pPr>
        <w:pStyle w:val="Standard"/>
        <w:ind w:firstLine="0"/>
      </w:pPr>
      <w:r>
        <w:tab/>
      </w:r>
      <w:r w:rsidRPr="00225523" w:rsidR="006E052D">
        <w:t xml:space="preserve">Havasu failed to </w:t>
      </w:r>
      <w:r w:rsidR="002D5D32">
        <w:t>offer</w:t>
      </w:r>
      <w:r w:rsidRPr="00225523" w:rsidR="006E052D">
        <w:t xml:space="preserve"> any evidence or testimony in </w:t>
      </w:r>
      <w:r w:rsidR="006E052D">
        <w:t>defense of its position</w:t>
      </w:r>
      <w:r w:rsidR="00D00A76">
        <w:t xml:space="preserve"> </w:t>
      </w:r>
      <w:r w:rsidRPr="00D00A76" w:rsidR="00D00A76">
        <w:t xml:space="preserve">that an additional fine/penalty </w:t>
      </w:r>
      <w:r w:rsidR="00D00A76">
        <w:t xml:space="preserve">should not </w:t>
      </w:r>
      <w:r w:rsidRPr="00D00A76" w:rsidR="00D00A76">
        <w:t>be assessed for disobeying D.24-03-053</w:t>
      </w:r>
      <w:r w:rsidR="006E052D">
        <w:t xml:space="preserve">.  </w:t>
      </w:r>
      <w:r w:rsidR="00EA761E">
        <w:t xml:space="preserve">Pursuant to Pub. Util. Code § 2107, </w:t>
      </w:r>
      <w:r w:rsidR="002F1382">
        <w:t xml:space="preserve">it is determined </w:t>
      </w:r>
      <w:r w:rsidR="00B25440">
        <w:t xml:space="preserve">that </w:t>
      </w:r>
      <w:r w:rsidR="00F21B6C">
        <w:t xml:space="preserve">Havasu’s actions </w:t>
      </w:r>
      <w:r w:rsidR="009B7313">
        <w:t>warrant</w:t>
      </w:r>
      <w:r w:rsidR="00F21B6C">
        <w:t xml:space="preserve"> a penalty of $500.00.</w:t>
      </w:r>
      <w:r w:rsidR="0012154F">
        <w:t xml:space="preserve">  As such, it is ordered that Havasu will </w:t>
      </w:r>
      <w:bookmarkStart w:name="_Hlk217648109" w:id="54"/>
      <w:r w:rsidR="0012154F">
        <w:t xml:space="preserve">pay a penalty for its actions </w:t>
      </w:r>
      <w:proofErr w:type="gramStart"/>
      <w:r w:rsidR="0012154F">
        <w:t>in</w:t>
      </w:r>
      <w:proofErr w:type="gramEnd"/>
      <w:r w:rsidR="0012154F">
        <w:t xml:space="preserve"> D.24-03-053 in the amount of $</w:t>
      </w:r>
      <w:r w:rsidR="007E468E">
        <w:t>5</w:t>
      </w:r>
      <w:r w:rsidR="0012154F">
        <w:t>00</w:t>
      </w:r>
      <w:bookmarkEnd w:id="54"/>
      <w:r w:rsidR="00C70D6C">
        <w:t xml:space="preserve"> </w:t>
      </w:r>
      <w:r w:rsidR="0012154F">
        <w:t xml:space="preserve">within </w:t>
      </w:r>
      <w:r w:rsidR="00C70D6C">
        <w:t>6</w:t>
      </w:r>
      <w:r w:rsidR="0012154F">
        <w:t xml:space="preserve">0 days </w:t>
      </w:r>
      <w:r w:rsidR="000F3719">
        <w:t xml:space="preserve">of </w:t>
      </w:r>
      <w:r w:rsidR="00C70D6C">
        <w:t>issuance</w:t>
      </w:r>
      <w:r w:rsidR="000F3719">
        <w:t xml:space="preserve"> of this decision.</w:t>
      </w:r>
    </w:p>
    <w:p w:rsidR="00A619F4" w:rsidP="00752421" w:rsidRDefault="00752421" w14:paraId="0EE66B30" w14:textId="66430266">
      <w:pPr>
        <w:pStyle w:val="Heading2"/>
      </w:pPr>
      <w:bookmarkStart w:name="_Toc221259567" w:id="55"/>
      <w:r w:rsidRPr="00752421">
        <w:t>Citation Number W.22-09-001</w:t>
      </w:r>
      <w:bookmarkEnd w:id="55"/>
    </w:p>
    <w:p w:rsidR="00752421" w:rsidP="00752421" w:rsidRDefault="00B45990" w14:paraId="0453C321" w14:textId="77172C0C">
      <w:pPr>
        <w:pStyle w:val="Standard"/>
      </w:pPr>
      <w:r>
        <w:t xml:space="preserve">CPED requests </w:t>
      </w:r>
      <w:bookmarkStart w:name="_Hlk219373944" w:id="56"/>
      <w:r>
        <w:t>that the Commission consider additional penalties for Havasu for failure to pay the $2,000 penalty amount</w:t>
      </w:r>
      <w:bookmarkEnd w:id="56"/>
      <w:r>
        <w:t xml:space="preserve">.  </w:t>
      </w:r>
      <w:r w:rsidR="00E179F6">
        <w:t xml:space="preserve">As noted in Section 10 above, it is determined that Havasu violated Pub. Util. Code § 2107 when it failed to pay the penalty amount of </w:t>
      </w:r>
      <w:r w:rsidRPr="000D40F4" w:rsidR="00E179F6">
        <w:t>$2,000</w:t>
      </w:r>
      <w:r w:rsidR="00E179F6">
        <w:t xml:space="preserve"> for Citation No. </w:t>
      </w:r>
      <w:r w:rsidRPr="0020496B" w:rsidR="00E179F6">
        <w:t>W.22-09-001</w:t>
      </w:r>
      <w:r w:rsidR="00E179F6">
        <w:t>.</w:t>
      </w:r>
      <w:r w:rsidR="00EB17F8">
        <w:t xml:space="preserve">  </w:t>
      </w:r>
    </w:p>
    <w:p w:rsidR="001A2D80" w:rsidP="00752421" w:rsidRDefault="0031326E" w14:paraId="08E4E358" w14:textId="04700E7A">
      <w:pPr>
        <w:pStyle w:val="Standard"/>
      </w:pPr>
      <w:r>
        <w:t>As noted</w:t>
      </w:r>
      <w:r w:rsidR="00EF36CD">
        <w:t>,</w:t>
      </w:r>
      <w:r>
        <w:t xml:space="preserve"> </w:t>
      </w:r>
      <w:r>
        <w:rPr>
          <w:i/>
          <w:iCs/>
        </w:rPr>
        <w:t>supra</w:t>
      </w:r>
      <w:r w:rsidR="00EF36CD">
        <w:rPr>
          <w:i/>
          <w:iCs/>
        </w:rPr>
        <w:t xml:space="preserve">, </w:t>
      </w:r>
      <w:r w:rsidR="00EF36CD">
        <w:t xml:space="preserve">there is a </w:t>
      </w:r>
      <w:r w:rsidR="00507812">
        <w:t>four-part</w:t>
      </w:r>
      <w:r w:rsidR="00EF36CD">
        <w:t xml:space="preserve"> test</w:t>
      </w:r>
      <w:r w:rsidR="00780318">
        <w:t>. F</w:t>
      </w:r>
      <w:r w:rsidR="009B15CE">
        <w:t>irst</w:t>
      </w:r>
      <w:r w:rsidR="008C2548">
        <w:t>,</w:t>
      </w:r>
      <w:r w:rsidR="009B15CE">
        <w:t xml:space="preserve"> we look at the severity of the offense.  </w:t>
      </w:r>
      <w:r w:rsidR="00654231">
        <w:t xml:space="preserve">Havasu was fined </w:t>
      </w:r>
      <w:r w:rsidR="0030083E">
        <w:t xml:space="preserve">$2,000 for failing to comply with four directives including: </w:t>
      </w:r>
      <w:r w:rsidR="001150F1">
        <w:t>submitting a revised and approved correction action plan; repairing the water main leak and resolve all low water pressures in the Havasu distribution system; obtain certified operators; and repair or remove potential cross connection hazards.</w:t>
      </w:r>
      <w:r w:rsidR="001150F1">
        <w:rPr>
          <w:rStyle w:val="FootnoteReference"/>
        </w:rPr>
        <w:footnoteReference w:id="226"/>
      </w:r>
      <w:r w:rsidR="001150F1">
        <w:t xml:space="preserve">  The directives were part </w:t>
      </w:r>
      <w:r w:rsidR="00433054">
        <w:t xml:space="preserve">of a July 26, 2022 NOV from WD.  The </w:t>
      </w:r>
      <w:r w:rsidR="008C2548">
        <w:t>directives’</w:t>
      </w:r>
      <w:r w:rsidR="00433054">
        <w:t xml:space="preserve"> goal was to bring Havasu back into compliance so that </w:t>
      </w:r>
      <w:r w:rsidR="007E4E97">
        <w:t>it would not pose a public health and safety risk to its customers.  As such, it is determined that the severity of the offense is high.</w:t>
      </w:r>
    </w:p>
    <w:p w:rsidR="00BA7417" w:rsidP="00752421" w:rsidRDefault="007E4E97" w14:paraId="6C1FB998" w14:textId="25644548">
      <w:pPr>
        <w:pStyle w:val="Standard"/>
      </w:pPr>
      <w:r>
        <w:t>Second</w:t>
      </w:r>
      <w:r w:rsidR="008C2548">
        <w:t>,</w:t>
      </w:r>
      <w:r>
        <w:t xml:space="preserve"> we look at Havasu’s conduct.  </w:t>
      </w:r>
      <w:r w:rsidR="00481C97">
        <w:t xml:space="preserve">Here, we are </w:t>
      </w:r>
      <w:proofErr w:type="gramStart"/>
      <w:r w:rsidR="00481C97">
        <w:t>actually looking</w:t>
      </w:r>
      <w:proofErr w:type="gramEnd"/>
      <w:r w:rsidR="00481C97">
        <w:t xml:space="preserve"> at Havasu’s lack of action.  Havasu was </w:t>
      </w:r>
      <w:proofErr w:type="gramStart"/>
      <w:r w:rsidR="00481C97">
        <w:t>provided</w:t>
      </w:r>
      <w:proofErr w:type="gramEnd"/>
      <w:r w:rsidR="00481C97">
        <w:t xml:space="preserve"> specific deadlines to comply with </w:t>
      </w:r>
      <w:r w:rsidR="00481C97">
        <w:lastRenderedPageBreak/>
        <w:t xml:space="preserve">WD’s directives and elected not to complete them.  In addition, Havasu was </w:t>
      </w:r>
      <w:r w:rsidR="008C306B">
        <w:t>ordered to pay a fine in the amount of $2,000 by a specific date and elected not to pay it.  Havasu’s conduct was intentional</w:t>
      </w:r>
      <w:r w:rsidR="001C024D">
        <w:t xml:space="preserve"> and poses a significant public health and safety risk to its customers.  </w:t>
      </w:r>
    </w:p>
    <w:p w:rsidR="000E270A" w:rsidP="00AC7284" w:rsidRDefault="00AC7284" w14:paraId="3784DF86" w14:textId="75F6AC46">
      <w:pPr>
        <w:pStyle w:val="Standard"/>
      </w:pPr>
      <w:r w:rsidRPr="00AC7284">
        <w:t>Third, we look at Havasu’s financial resources.  The evidentiary record establish</w:t>
      </w:r>
      <w:r w:rsidR="008C2548">
        <w:t>es</w:t>
      </w:r>
      <w:r w:rsidRPr="00AC7284">
        <w:t xml:space="preserve"> a history from 2021 to </w:t>
      </w:r>
      <w:proofErr w:type="gramStart"/>
      <w:r w:rsidRPr="00AC7284">
        <w:t>present of</w:t>
      </w:r>
      <w:proofErr w:type="gramEnd"/>
      <w:r w:rsidRPr="00AC7284">
        <w:t xml:space="preserve"> Havasu being fined by Federal, State and County agencies and failing to pay those fines.  Based on this evidence, it is determined that Havasu has weak financial resources.</w:t>
      </w:r>
    </w:p>
    <w:p w:rsidR="00975B61" w:rsidP="00AC7284" w:rsidRDefault="00E52D81" w14:paraId="33F5110D" w14:textId="77777777">
      <w:pPr>
        <w:pStyle w:val="Standard"/>
      </w:pPr>
      <w:r>
        <w:t xml:space="preserve">Finally, we look at the totality of the circumstances.  Here, Havasu’s failure to comply with </w:t>
      </w:r>
      <w:r w:rsidR="00F02260">
        <w:t xml:space="preserve">WD’s directives have placed </w:t>
      </w:r>
      <w:proofErr w:type="gramStart"/>
      <w:r w:rsidR="00F02260">
        <w:t>the public</w:t>
      </w:r>
      <w:proofErr w:type="gramEnd"/>
      <w:r w:rsidR="00F02260">
        <w:t xml:space="preserve"> health and safety at risk.  </w:t>
      </w:r>
      <w:r w:rsidR="00BA2EDD">
        <w:t xml:space="preserve">Havasu could have complied with the directives and paid </w:t>
      </w:r>
      <w:r w:rsidR="00975B61">
        <w:t>the penalty but elected not to do so.</w:t>
      </w:r>
    </w:p>
    <w:p w:rsidR="00AC7284" w:rsidP="00AC7284" w:rsidRDefault="006E052D" w14:paraId="1D5E29D9" w14:textId="1F36F811">
      <w:pPr>
        <w:pStyle w:val="Standard"/>
      </w:pPr>
      <w:r w:rsidRPr="00225523">
        <w:t xml:space="preserve">Havasu failed to </w:t>
      </w:r>
      <w:r w:rsidR="002D5D32">
        <w:t>offer</w:t>
      </w:r>
      <w:r w:rsidRPr="00225523">
        <w:t xml:space="preserve"> any evidence or testimony in </w:t>
      </w:r>
      <w:r>
        <w:t xml:space="preserve">defense of its </w:t>
      </w:r>
      <w:proofErr w:type="gramStart"/>
      <w:r>
        <w:t>position</w:t>
      </w:r>
      <w:r w:rsidR="001E0B55">
        <w:t xml:space="preserve"> that</w:t>
      </w:r>
      <w:proofErr w:type="gramEnd"/>
      <w:r w:rsidR="001E0B55">
        <w:t xml:space="preserve"> </w:t>
      </w:r>
      <w:r w:rsidRPr="001E0B55" w:rsidR="001E0B55">
        <w:t xml:space="preserve">that the Commission </w:t>
      </w:r>
      <w:r w:rsidR="00EC5610">
        <w:t>should not impose</w:t>
      </w:r>
      <w:r w:rsidRPr="001E0B55" w:rsidR="001E0B55">
        <w:t xml:space="preserve"> additional penalties for</w:t>
      </w:r>
      <w:r w:rsidR="00EC5610">
        <w:t xml:space="preserve"> its</w:t>
      </w:r>
      <w:r w:rsidRPr="001E0B55" w:rsidR="001E0B55">
        <w:t xml:space="preserve"> failure to pay the $2,000 penalty </w:t>
      </w:r>
      <w:r w:rsidRPr="001E0B55" w:rsidR="005B1A80">
        <w:t>amount</w:t>
      </w:r>
      <w:r w:rsidR="005B1A80">
        <w:t>.</w:t>
      </w:r>
      <w:r>
        <w:t xml:space="preserve">  </w:t>
      </w:r>
      <w:r w:rsidR="00975B61">
        <w:t xml:space="preserve">Pursuant to Pub. Util. Code § 2107, </w:t>
      </w:r>
      <w:r w:rsidR="00585F3B">
        <w:t xml:space="preserve">it is determined </w:t>
      </w:r>
      <w:r w:rsidR="00B25440">
        <w:t>that Havasu’s noncompliance and failure to pay the penalty in the amount of $2,000</w:t>
      </w:r>
      <w:r w:rsidR="000225BE">
        <w:t xml:space="preserve"> warrants an additional penalty.  As such, it is ordered that Havasu will pay a</w:t>
      </w:r>
      <w:r w:rsidR="00025575">
        <w:t xml:space="preserve">n additional penalty </w:t>
      </w:r>
      <w:r w:rsidR="00975B61">
        <w:t>in the amount of $</w:t>
      </w:r>
      <w:r w:rsidR="00AB26E7">
        <w:t>5</w:t>
      </w:r>
      <w:r w:rsidR="00975B61">
        <w:t>00 for a total of $</w:t>
      </w:r>
      <w:r w:rsidR="00BE1055">
        <w:t>2,5</w:t>
      </w:r>
      <w:r w:rsidR="00975B61">
        <w:t>00</w:t>
      </w:r>
      <w:r w:rsidR="000C0E63">
        <w:t xml:space="preserve"> </w:t>
      </w:r>
      <w:r w:rsidR="002700E5">
        <w:t xml:space="preserve">associated with this citation </w:t>
      </w:r>
      <w:r w:rsidR="000C0E63">
        <w:t xml:space="preserve">within </w:t>
      </w:r>
      <w:r w:rsidR="00BE1055">
        <w:t>6</w:t>
      </w:r>
      <w:r w:rsidR="000C0E63">
        <w:t xml:space="preserve">0 days of </w:t>
      </w:r>
      <w:r w:rsidR="00417036">
        <w:t>issuance</w:t>
      </w:r>
      <w:r w:rsidR="000C0E63">
        <w:t xml:space="preserve"> of this decision.</w:t>
      </w:r>
    </w:p>
    <w:p w:rsidR="000C0E63" w:rsidP="00782BCD" w:rsidRDefault="006B4286" w14:paraId="757728CB" w14:textId="742F461A">
      <w:pPr>
        <w:pStyle w:val="Heading2"/>
      </w:pPr>
      <w:bookmarkStart w:name="_Toc221259568" w:id="57"/>
      <w:r>
        <w:t xml:space="preserve">October 11, </w:t>
      </w:r>
      <w:proofErr w:type="gramStart"/>
      <w:r>
        <w:t>2024</w:t>
      </w:r>
      <w:proofErr w:type="gramEnd"/>
      <w:r>
        <w:t xml:space="preserve"> Data Request</w:t>
      </w:r>
      <w:bookmarkEnd w:id="57"/>
    </w:p>
    <w:p w:rsidR="00782BCD" w:rsidP="00782BCD" w:rsidRDefault="00B45990" w14:paraId="056D5A2E" w14:textId="294A6A84">
      <w:pPr>
        <w:pStyle w:val="Standard"/>
      </w:pPr>
      <w:r>
        <w:t xml:space="preserve">CPED requests that the Commission consider additional penalties for Havasu for </w:t>
      </w:r>
      <w:r w:rsidR="00A21F2D">
        <w:t xml:space="preserve">failing to comply with the October 11, </w:t>
      </w:r>
      <w:proofErr w:type="gramStart"/>
      <w:r w:rsidR="00A21F2D">
        <w:t>2024</w:t>
      </w:r>
      <w:proofErr w:type="gramEnd"/>
      <w:r w:rsidR="00A21F2D">
        <w:t xml:space="preserve"> data request.</w:t>
      </w:r>
      <w:r w:rsidR="00357222">
        <w:t xml:space="preserve"> </w:t>
      </w:r>
      <w:r w:rsidR="002401D8">
        <w:t xml:space="preserve">  As not</w:t>
      </w:r>
      <w:r w:rsidR="00196EC9">
        <w:t xml:space="preserve">ed in </w:t>
      </w:r>
      <w:r w:rsidR="002700E5">
        <w:t>S</w:t>
      </w:r>
      <w:r w:rsidR="002401D8">
        <w:t>e</w:t>
      </w:r>
      <w:r w:rsidR="00196EC9">
        <w:t>ction</w:t>
      </w:r>
      <w:r w:rsidR="00FC6047">
        <w:t xml:space="preserve"> 10.3</w:t>
      </w:r>
      <w:r w:rsidR="0095321B">
        <w:t xml:space="preserve"> above, </w:t>
      </w:r>
      <w:r w:rsidR="00357222">
        <w:t>it is determined that Havasu violated Rule 1.1 when on October 4, 2024, Havasu claimed that it was waiting for information from SBCFD when there was no information because SBCFD and Havasu did not have a UFHSA.</w:t>
      </w:r>
    </w:p>
    <w:p w:rsidR="0095321B" w:rsidP="00782BCD" w:rsidRDefault="00780318" w14:paraId="1E3A28FA" w14:textId="36241043">
      <w:pPr>
        <w:pStyle w:val="Standard"/>
      </w:pPr>
      <w:r>
        <w:lastRenderedPageBreak/>
        <w:t xml:space="preserve">As noted, </w:t>
      </w:r>
      <w:r>
        <w:rPr>
          <w:i/>
          <w:iCs/>
        </w:rPr>
        <w:t xml:space="preserve">supra, </w:t>
      </w:r>
      <w:r>
        <w:t xml:space="preserve">there is a four-part test.  </w:t>
      </w:r>
      <w:r w:rsidR="0095321B">
        <w:t>First</w:t>
      </w:r>
      <w:r w:rsidR="008C2548">
        <w:t>,</w:t>
      </w:r>
      <w:r w:rsidR="0095321B">
        <w:t xml:space="preserve"> we look at the severity of the offense.  </w:t>
      </w:r>
      <w:r w:rsidR="001A04C9">
        <w:t xml:space="preserve">WD requested that Havasu submit </w:t>
      </w:r>
      <w:r w:rsidR="00051641">
        <w:t xml:space="preserve">all inspection, repair and replacement </w:t>
      </w:r>
      <w:r w:rsidR="00553032">
        <w:t xml:space="preserve">documentation for </w:t>
      </w:r>
      <w:proofErr w:type="gramStart"/>
      <w:r w:rsidR="00553032">
        <w:t>all of</w:t>
      </w:r>
      <w:proofErr w:type="gramEnd"/>
      <w:r w:rsidR="00553032">
        <w:t xml:space="preserve"> its fire hydrants in its service area for the last ten years.  This request was sent by a data request from WD to</w:t>
      </w:r>
      <w:r w:rsidR="005335B9">
        <w:t xml:space="preserve"> Ms. Hodges.  Ms. Hodges </w:t>
      </w:r>
      <w:r w:rsidR="00176908">
        <w:t xml:space="preserve">sent a reply email back to WD stating that </w:t>
      </w:r>
      <w:r w:rsidR="003C1164">
        <w:t>“</w:t>
      </w:r>
      <w:r w:rsidRPr="00DD1A19" w:rsidR="003C1164">
        <w:t>Havasu is awaiting further information from SBCFD and will provide further information upon receipt</w:t>
      </w:r>
      <w:r w:rsidR="003C1164">
        <w:t>.”</w:t>
      </w:r>
      <w:r w:rsidR="003C1164">
        <w:rPr>
          <w:rStyle w:val="FootnoteReference"/>
        </w:rPr>
        <w:footnoteReference w:id="227"/>
      </w:r>
      <w:r w:rsidR="002439E9">
        <w:t xml:space="preserve">  As noted above, this has been determined to be an intentional false statement by Havasu</w:t>
      </w:r>
      <w:r w:rsidR="0011218A">
        <w:t xml:space="preserve"> as Ms.</w:t>
      </w:r>
      <w:r w:rsidR="00FC6047">
        <w:t xml:space="preserve"> Shaw</w:t>
      </w:r>
      <w:r w:rsidR="00180B0C">
        <w:t xml:space="preserve"> o</w:t>
      </w:r>
      <w:r w:rsidR="0011218A">
        <w:t xml:space="preserve">f SBCFD has stated that SBCFD does not have a </w:t>
      </w:r>
      <w:r w:rsidR="001E28F3">
        <w:t>UFCSA with Havasu and does not maintain or have records.  It is determined that</w:t>
      </w:r>
      <w:r w:rsidR="00F406BF">
        <w:t xml:space="preserve"> the severity of Havasu’s </w:t>
      </w:r>
      <w:r w:rsidR="00332FC4">
        <w:t>offense</w:t>
      </w:r>
      <w:r w:rsidR="00D610AB">
        <w:t xml:space="preserve"> </w:t>
      </w:r>
      <w:r w:rsidR="00F406BF">
        <w:t xml:space="preserve">is high as Havasu’s conduct has an </w:t>
      </w:r>
      <w:r w:rsidR="001A5BBA">
        <w:t>immediate</w:t>
      </w:r>
      <w:r w:rsidR="00F406BF">
        <w:t xml:space="preserve"> impact on the public health and safety of </w:t>
      </w:r>
      <w:r w:rsidR="001A5BBA">
        <w:t>all its customers.</w:t>
      </w:r>
    </w:p>
    <w:p w:rsidRPr="00933169" w:rsidR="00933169" w:rsidP="00933169" w:rsidRDefault="00933169" w14:paraId="18668298" w14:textId="7CC91BDE">
      <w:pPr>
        <w:pStyle w:val="Standard"/>
      </w:pPr>
      <w:r>
        <w:t>S</w:t>
      </w:r>
      <w:r w:rsidRPr="00933169">
        <w:t>econd</w:t>
      </w:r>
      <w:r w:rsidR="008C2548">
        <w:t>,</w:t>
      </w:r>
      <w:r w:rsidRPr="00933169">
        <w:t xml:space="preserve"> </w:t>
      </w:r>
      <w:r>
        <w:t xml:space="preserve">we look at </w:t>
      </w:r>
      <w:r w:rsidRPr="00933169">
        <w:t xml:space="preserve">Havasu’s conduct. Havasu has continued to mislead the Commission into believing that an agreement exists between Havasu and SBCFD. </w:t>
      </w:r>
      <w:r w:rsidR="0071379E">
        <w:t xml:space="preserve"> </w:t>
      </w:r>
      <w:r w:rsidRPr="00933169">
        <w:t>The first instance of this misrepresentation is found in the letter submitted by Havasu to WD, wherein Havasu’s attorney asserted that such an agreement was in place.</w:t>
      </w:r>
      <w:r w:rsidR="006F0B97">
        <w:rPr>
          <w:rStyle w:val="FootnoteReference"/>
        </w:rPr>
        <w:footnoteReference w:id="228"/>
      </w:r>
      <w:r w:rsidRPr="00933169">
        <w:t xml:space="preserve"> </w:t>
      </w:r>
      <w:r w:rsidR="0071379E">
        <w:t xml:space="preserve"> </w:t>
      </w:r>
      <w:r w:rsidRPr="00933169">
        <w:t>The second instance is Ms. Hodges’ email to WD reiterating this claim.</w:t>
      </w:r>
      <w:r w:rsidR="007A5983">
        <w:rPr>
          <w:rStyle w:val="FootnoteReference"/>
        </w:rPr>
        <w:footnoteReference w:id="229"/>
      </w:r>
      <w:r w:rsidRPr="00933169">
        <w:t xml:space="preserve"> </w:t>
      </w:r>
      <w:r w:rsidR="0071379E">
        <w:t xml:space="preserve"> </w:t>
      </w:r>
      <w:r w:rsidRPr="00933169">
        <w:t>Finally, during the hearing, Havasu’s attorney repeated the assertion that Havasu maintained an agreement with SBCFD.</w:t>
      </w:r>
      <w:r w:rsidR="00F74023">
        <w:rPr>
          <w:rStyle w:val="FootnoteReference"/>
        </w:rPr>
        <w:footnoteReference w:id="230"/>
      </w:r>
    </w:p>
    <w:p w:rsidRPr="00933169" w:rsidR="00933169" w:rsidP="005B20AB" w:rsidRDefault="00933169" w14:paraId="2FACACE7" w14:textId="68D06C3A">
      <w:pPr>
        <w:pStyle w:val="Standard"/>
        <w:ind w:firstLine="0"/>
      </w:pPr>
      <w:r w:rsidRPr="00933169">
        <w:t xml:space="preserve">When questioned by the assigned ALJ to provide evidence of the alleged agreement, Havasu’s second attorney declined to </w:t>
      </w:r>
      <w:r w:rsidR="00F74023">
        <w:t>offer</w:t>
      </w:r>
      <w:r w:rsidRPr="00933169">
        <w:t xml:space="preserve"> any documentation </w:t>
      </w:r>
      <w:r w:rsidR="005B20AB">
        <w:t xml:space="preserve">to the </w:t>
      </w:r>
      <w:r w:rsidR="005B20AB">
        <w:lastRenderedPageBreak/>
        <w:t>court.</w:t>
      </w:r>
      <w:r w:rsidR="00F74023">
        <w:rPr>
          <w:rStyle w:val="FootnoteReference"/>
        </w:rPr>
        <w:footnoteReference w:id="231"/>
      </w:r>
      <w:r w:rsidR="005B20AB">
        <w:t xml:space="preserve"> </w:t>
      </w:r>
      <w:r w:rsidRPr="00933169">
        <w:t xml:space="preserve"> Based on these repeated and deliberate misrepresentations, it is determined that Havasu’s conduct constitutes the highest level of deception.</w:t>
      </w:r>
    </w:p>
    <w:p w:rsidR="00D610AB" w:rsidP="00D610AB" w:rsidRDefault="00D610AB" w14:paraId="3865DA97" w14:textId="00BF62D3">
      <w:pPr>
        <w:pStyle w:val="Standard"/>
      </w:pPr>
      <w:r w:rsidRPr="00D610AB">
        <w:t xml:space="preserve">Third, we look at Havasu’s financial resources.  The evidentiary record </w:t>
      </w:r>
      <w:r w:rsidRPr="00D610AB" w:rsidR="005B49ED">
        <w:t>establishes</w:t>
      </w:r>
      <w:r w:rsidRPr="00D610AB">
        <w:t xml:space="preserve"> a history from 2021 to </w:t>
      </w:r>
      <w:proofErr w:type="gramStart"/>
      <w:r w:rsidRPr="00D610AB">
        <w:t>present of</w:t>
      </w:r>
      <w:proofErr w:type="gramEnd"/>
      <w:r w:rsidRPr="00D610AB">
        <w:t xml:space="preserve"> Havasu being fined by Federal, State and County agencies and failing to pay those fines.  Based on this evidence, it is determined that Havasu has weak financial resources.</w:t>
      </w:r>
    </w:p>
    <w:p w:rsidR="002B6BE0" w:rsidP="001B4094" w:rsidRDefault="00D610AB" w14:paraId="0A479BCF" w14:textId="77777777">
      <w:pPr>
        <w:pStyle w:val="Standard"/>
      </w:pPr>
      <w:r>
        <w:t xml:space="preserve">Finally, we look at the totality of the circumstances.  </w:t>
      </w:r>
      <w:r w:rsidRPr="003E047C" w:rsidR="003E047C">
        <w:t xml:space="preserve">In an era </w:t>
      </w:r>
      <w:r w:rsidR="003E047C">
        <w:t xml:space="preserve">of </w:t>
      </w:r>
      <w:r w:rsidRPr="003E047C" w:rsidR="003E047C">
        <w:t xml:space="preserve">severe and dangerous wildfires in California, the inspection, repair, and replacement of fire hydrants is essential to </w:t>
      </w:r>
      <w:r w:rsidR="003E047C">
        <w:t>protecting the</w:t>
      </w:r>
      <w:r w:rsidRPr="003E047C" w:rsidR="003E047C">
        <w:t xml:space="preserve"> public.</w:t>
      </w:r>
      <w:r w:rsidR="00F755B5">
        <w:t xml:space="preserve"> </w:t>
      </w:r>
      <w:r w:rsidRPr="003E047C" w:rsidR="003E047C">
        <w:t xml:space="preserve"> Havasu’s ongoing deception and failure to fulfill its responsibilities place lives in jeopardy and expose</w:t>
      </w:r>
      <w:r w:rsidR="001A3F48">
        <w:t>s</w:t>
      </w:r>
      <w:r w:rsidRPr="003E047C" w:rsidR="003E047C">
        <w:t xml:space="preserve"> property to significant risk. </w:t>
      </w:r>
      <w:r w:rsidR="006024E0">
        <w:t xml:space="preserve"> </w:t>
      </w:r>
      <w:r w:rsidRPr="003E047C" w:rsidR="003E047C">
        <w:t xml:space="preserve">There is no </w:t>
      </w:r>
      <w:r w:rsidR="000F0A6F">
        <w:t>excuse</w:t>
      </w:r>
      <w:r w:rsidRPr="003E047C" w:rsidR="003E047C">
        <w:t xml:space="preserve"> for Havasu’s failure to ensure that fire hydrants within its service area are </w:t>
      </w:r>
      <w:r w:rsidR="00920B0E">
        <w:t xml:space="preserve">maintained as it is their sole responsibility and duty to the public.  </w:t>
      </w:r>
    </w:p>
    <w:p w:rsidR="00910D3B" w:rsidP="00FF592C" w:rsidRDefault="006E052D" w14:paraId="05D6C233" w14:textId="3168B0DE">
      <w:pPr>
        <w:pStyle w:val="Standard"/>
      </w:pPr>
      <w:r w:rsidRPr="00225523">
        <w:t xml:space="preserve">Havasu failed to </w:t>
      </w:r>
      <w:r w:rsidR="006F0B97">
        <w:t>offer</w:t>
      </w:r>
      <w:r w:rsidRPr="00225523">
        <w:t xml:space="preserve"> any evidence or testimony in </w:t>
      </w:r>
      <w:r>
        <w:t>defense of its position</w:t>
      </w:r>
      <w:r w:rsidR="00A53F72">
        <w:t xml:space="preserve"> that is should </w:t>
      </w:r>
      <w:r w:rsidR="00ED55D6">
        <w:t xml:space="preserve">be subject to </w:t>
      </w:r>
      <w:r w:rsidRPr="00ED55D6" w:rsidR="00ED55D6">
        <w:t>additional penalties</w:t>
      </w:r>
      <w:r w:rsidR="00ED55D6">
        <w:t xml:space="preserve"> </w:t>
      </w:r>
      <w:r w:rsidRPr="00ED55D6" w:rsidR="00ED55D6">
        <w:t xml:space="preserve">for failing to comply with </w:t>
      </w:r>
      <w:r w:rsidR="00974864">
        <w:t>CPED’s</w:t>
      </w:r>
      <w:r w:rsidRPr="00ED55D6" w:rsidR="00ED55D6">
        <w:t xml:space="preserve"> October 11, </w:t>
      </w:r>
      <w:proofErr w:type="gramStart"/>
      <w:r w:rsidRPr="00ED55D6" w:rsidR="00ED55D6">
        <w:t>2024</w:t>
      </w:r>
      <w:proofErr w:type="gramEnd"/>
      <w:r w:rsidRPr="00ED55D6" w:rsidR="00ED55D6">
        <w:t xml:space="preserve"> data request</w:t>
      </w:r>
      <w:r>
        <w:t xml:space="preserve">.  </w:t>
      </w:r>
      <w:r w:rsidR="002B6BE0">
        <w:t xml:space="preserve">Pursuant to </w:t>
      </w:r>
      <w:r w:rsidR="007B0CBA">
        <w:t xml:space="preserve">Pub. Util. Code § 2107 and due to the seriousness of the offense and </w:t>
      </w:r>
      <w:r w:rsidR="008A76B3">
        <w:t xml:space="preserve">its impact on the public, </w:t>
      </w:r>
      <w:r w:rsidR="00510C17">
        <w:t xml:space="preserve">it is determined that a penalty is warranted in the amount of </w:t>
      </w:r>
      <w:r w:rsidR="008A76B3">
        <w:t>$20,000</w:t>
      </w:r>
      <w:r w:rsidR="000E097B">
        <w:t>, due within 60 days of issuance of this decision</w:t>
      </w:r>
      <w:r w:rsidR="008A76B3">
        <w:t>.</w:t>
      </w:r>
    </w:p>
    <w:p w:rsidR="00996ABA" w:rsidP="00284644" w:rsidRDefault="00D91C39" w14:paraId="56B673A3" w14:textId="70818396">
      <w:pPr>
        <w:pStyle w:val="Heading1"/>
      </w:pPr>
      <w:bookmarkStart w:name="_Toc221259569" w:id="58"/>
      <w:bookmarkStart w:name="_Toc8123723" w:id="59"/>
      <w:r w:rsidRPr="00D91C39">
        <w:t>Category of Proceeding</w:t>
      </w:r>
      <w:bookmarkEnd w:id="58"/>
      <w:r w:rsidRPr="00D91C39">
        <w:t xml:space="preserve"> </w:t>
      </w:r>
    </w:p>
    <w:p w:rsidR="004E40D2" w:rsidP="004E40D2" w:rsidRDefault="00080E83" w14:paraId="4E9561E7" w14:textId="314BEA5D">
      <w:pPr>
        <w:pStyle w:val="Standard"/>
      </w:pPr>
      <w:r>
        <w:t xml:space="preserve">This matter has been categorized as adjudicatory.  </w:t>
      </w:r>
    </w:p>
    <w:p w:rsidR="002F5F41" w:rsidP="00C56B7B" w:rsidRDefault="00C56B7B" w14:paraId="4AEC6A30" w14:textId="63AF4A74">
      <w:pPr>
        <w:pStyle w:val="Heading1"/>
      </w:pPr>
      <w:bookmarkStart w:name="_Toc221259570" w:id="60"/>
      <w:r w:rsidRPr="00C56B7B">
        <w:t>Appeal or Review of Presiding Officer’s Decision</w:t>
      </w:r>
      <w:bookmarkEnd w:id="60"/>
    </w:p>
    <w:p w:rsidR="005E1E67" w:rsidP="005E1E67" w:rsidRDefault="005E1E67" w14:paraId="2D6900F1" w14:textId="4914EB8F">
      <w:pPr>
        <w:pStyle w:val="Standard"/>
      </w:pPr>
    </w:p>
    <w:p w:rsidRPr="005E1E67" w:rsidR="005E1E67" w:rsidP="005E1E67" w:rsidRDefault="005E1E67" w14:paraId="46EC0061" w14:textId="429DA451">
      <w:pPr>
        <w:pStyle w:val="Standard"/>
      </w:pPr>
      <w:r w:rsidRPr="005E1E67">
        <w:lastRenderedPageBreak/>
        <w:t xml:space="preserve">The Presiding Officer’s Decision (POD) in the instant proceeding was mailed on February 13, </w:t>
      </w:r>
      <w:proofErr w:type="gramStart"/>
      <w:r w:rsidRPr="005E1E67">
        <w:t>2026</w:t>
      </w:r>
      <w:proofErr w:type="gramEnd"/>
      <w:r>
        <w:t xml:space="preserve"> </w:t>
      </w:r>
      <w:r w:rsidRPr="005E1E67">
        <w:t>in accordance with Pub. Util. Code § 311.  Pursuant to Rule 14.4, any party may file an appeal of the presiding officer’s decision within thirty (30) days of the date the decision is served</w:t>
      </w:r>
      <w:r>
        <w:t>.</w:t>
      </w:r>
      <w:r w:rsidRPr="005E1E67">
        <w:t xml:space="preserve"> In addition, any Commissioner may request review of the presiding officer’s decision by filing a request for review within thirty (30) days of the date the decision is </w:t>
      </w:r>
      <w:proofErr w:type="gramStart"/>
      <w:r w:rsidRPr="005E1E67">
        <w:t>served</w:t>
      </w:r>
      <w:r>
        <w:t xml:space="preserve"> </w:t>
      </w:r>
      <w:r w:rsidRPr="005E1E67">
        <w:t>.</w:t>
      </w:r>
      <w:proofErr w:type="gramEnd"/>
      <w:r w:rsidRPr="005E1E67">
        <w:t xml:space="preserve"> </w:t>
      </w:r>
      <w:r>
        <w:t xml:space="preserve"> </w:t>
      </w:r>
      <w:r w:rsidRPr="005E1E67">
        <w:t xml:space="preserve">On March 11, 2026, CPED filed an appeal to the POD.  The appeal was timely filed.  </w:t>
      </w:r>
    </w:p>
    <w:p w:rsidR="005E1E67" w:rsidP="005E1E67" w:rsidRDefault="005E1E67" w14:paraId="66D772CF" w14:textId="323C6E35">
      <w:pPr>
        <w:pStyle w:val="Standard"/>
      </w:pPr>
      <w:r w:rsidRPr="005E1E67">
        <w:t>In its appeal, CPED supports the POD and asserts that the POD’s conclusions are supported by the evidentiary record.  CPED identifies several technical or factual errors, which in its view does not alter the POD’s conclusions.  CPED’s states that correcting these errors will allow the POD to more accurately reflect the evidentiary record.  CPED’s appeal has 23 recommendations.  We have reviewed CPED’s appeal and accept the technical and factual errors it has identified.  As such, we will correct these errors in this modification to the POD, except where otherwise noted below.</w:t>
      </w:r>
      <w:r w:rsidR="00B93602">
        <w:t xml:space="preserve">  The changes are as follows:</w:t>
      </w:r>
    </w:p>
    <w:p w:rsidR="00843704" w:rsidP="00843704" w:rsidRDefault="00843704" w14:paraId="2B7D21B3" w14:textId="5EC7C305">
      <w:pPr>
        <w:pStyle w:val="Standard"/>
        <w:numPr>
          <w:ilvl w:val="0"/>
          <w:numId w:val="37"/>
        </w:numPr>
      </w:pPr>
      <w:r>
        <w:t xml:space="preserve">Section 1.2: Procedural Background on page 5.  </w:t>
      </w:r>
      <w:r w:rsidR="00E05B86">
        <w:t xml:space="preserve">We add CPED’s two </w:t>
      </w:r>
      <w:r>
        <w:t>motions filed</w:t>
      </w:r>
      <w:r w:rsidR="00E05B86">
        <w:t xml:space="preserve"> </w:t>
      </w:r>
      <w:r>
        <w:t xml:space="preserve">on January 14, </w:t>
      </w:r>
      <w:proofErr w:type="gramStart"/>
      <w:r>
        <w:t>2026</w:t>
      </w:r>
      <w:proofErr w:type="gramEnd"/>
      <w:r>
        <w:t xml:space="preserve"> </w:t>
      </w:r>
      <w:r w:rsidR="00E05B86">
        <w:t>to the POD</w:t>
      </w:r>
      <w:r>
        <w:t xml:space="preserve">.  </w:t>
      </w:r>
      <w:r w:rsidR="00E05B86">
        <w:t>We add</w:t>
      </w:r>
      <w:r>
        <w:t xml:space="preserve"> ALJ</w:t>
      </w:r>
      <w:r w:rsidR="00E05B86">
        <w:t>’s ruling</w:t>
      </w:r>
      <w:r>
        <w:t xml:space="preserve"> on January 20, </w:t>
      </w:r>
      <w:proofErr w:type="gramStart"/>
      <w:r>
        <w:t>2026</w:t>
      </w:r>
      <w:proofErr w:type="gramEnd"/>
      <w:r>
        <w:t xml:space="preserve"> </w:t>
      </w:r>
      <w:r w:rsidR="00E05B86">
        <w:t>to the POD</w:t>
      </w:r>
      <w:r>
        <w:t>.</w:t>
      </w:r>
    </w:p>
    <w:p w:rsidR="00843704" w:rsidP="00843704" w:rsidRDefault="00843704" w14:paraId="0E54DEB5" w14:textId="38D18690">
      <w:pPr>
        <w:pStyle w:val="Standard"/>
        <w:numPr>
          <w:ilvl w:val="0"/>
          <w:numId w:val="37"/>
        </w:numPr>
      </w:pPr>
      <w:r>
        <w:t xml:space="preserve">Section 2: Submission Date on page </w:t>
      </w:r>
      <w:r w:rsidR="00E05B86">
        <w:t>6</w:t>
      </w:r>
      <w:r>
        <w:t xml:space="preserve">.  </w:t>
      </w:r>
      <w:r w:rsidR="00E05B86">
        <w:t>We change the submission date to January 20, 2026.</w:t>
      </w:r>
    </w:p>
    <w:p w:rsidR="00D943FE" w:rsidP="00843704" w:rsidRDefault="00D943FE" w14:paraId="032A7544" w14:textId="12A05204">
      <w:pPr>
        <w:pStyle w:val="Standard"/>
        <w:numPr>
          <w:ilvl w:val="0"/>
          <w:numId w:val="37"/>
        </w:numPr>
      </w:pPr>
      <w:r>
        <w:t>We corrected the following footnote citations: 20, 22, 23, 29, 44, 50, 55, 69, 81 and 108.</w:t>
      </w:r>
    </w:p>
    <w:p w:rsidR="00D943FE" w:rsidP="00843704" w:rsidRDefault="00D943FE" w14:paraId="3FEC2B54" w14:textId="06E4D7E8">
      <w:pPr>
        <w:pStyle w:val="Standard"/>
        <w:numPr>
          <w:ilvl w:val="0"/>
          <w:numId w:val="37"/>
        </w:numPr>
      </w:pPr>
      <w:r>
        <w:t>Section 7.1.1: Havasu Violated GO 103-A on page 13.  We added two noncompliance notices issued by the EPA for a total of six noncompliance notices with citations.</w:t>
      </w:r>
    </w:p>
    <w:p w:rsidR="00D943FE" w:rsidP="00843704" w:rsidRDefault="00D943FE" w14:paraId="550F10B6" w14:textId="6C88B1A8">
      <w:pPr>
        <w:pStyle w:val="Standard"/>
        <w:numPr>
          <w:ilvl w:val="0"/>
          <w:numId w:val="37"/>
        </w:numPr>
      </w:pPr>
      <w:r>
        <w:lastRenderedPageBreak/>
        <w:t xml:space="preserve">Section 7.1.2: Havasu Violated GO 103-A on page </w:t>
      </w:r>
      <w:r w:rsidR="009F2E86">
        <w:t xml:space="preserve">16.  We changed the third bullet point from May 3, </w:t>
      </w:r>
      <w:proofErr w:type="gramStart"/>
      <w:r w:rsidR="009F2E86">
        <w:t>2024</w:t>
      </w:r>
      <w:proofErr w:type="gramEnd"/>
      <w:r w:rsidR="009F2E86">
        <w:t xml:space="preserve"> to March 8, 2024.</w:t>
      </w:r>
    </w:p>
    <w:p w:rsidR="009F2E86" w:rsidP="00843704" w:rsidRDefault="009F2E86" w14:paraId="30999EB1" w14:textId="70A60028">
      <w:pPr>
        <w:pStyle w:val="Standard"/>
        <w:numPr>
          <w:ilvl w:val="0"/>
          <w:numId w:val="37"/>
        </w:numPr>
      </w:pPr>
      <w:r>
        <w:t>Section 7.2.1: Havasu Violated GO 103-A on page 17 and 18</w:t>
      </w:r>
      <w:proofErr w:type="gramStart"/>
      <w:r>
        <w:t>.  We</w:t>
      </w:r>
      <w:proofErr w:type="gramEnd"/>
      <w:r>
        <w:t xml:space="preserve"> changed the date of May 29, </w:t>
      </w:r>
      <w:proofErr w:type="gramStart"/>
      <w:r>
        <w:t>2022</w:t>
      </w:r>
      <w:proofErr w:type="gramEnd"/>
      <w:r>
        <w:t xml:space="preserve"> to March 29, 2022.</w:t>
      </w:r>
    </w:p>
    <w:p w:rsidR="009F2E86" w:rsidP="00843704" w:rsidRDefault="009F2E86" w14:paraId="1E676F55" w14:textId="528BE99C">
      <w:pPr>
        <w:pStyle w:val="Standard"/>
        <w:numPr>
          <w:ilvl w:val="0"/>
          <w:numId w:val="37"/>
        </w:numPr>
      </w:pPr>
      <w:r>
        <w:t>Section 7.3.1: WD Oversight of Havasu on page 25 and 26</w:t>
      </w:r>
      <w:proofErr w:type="gramStart"/>
      <w:r>
        <w:t>.  We</w:t>
      </w:r>
      <w:proofErr w:type="gramEnd"/>
      <w:r>
        <w:t xml:space="preserve"> changed the date of September 14, </w:t>
      </w:r>
      <w:proofErr w:type="gramStart"/>
      <w:r>
        <w:t>2022</w:t>
      </w:r>
      <w:proofErr w:type="gramEnd"/>
      <w:r>
        <w:t xml:space="preserve"> to September 16, </w:t>
      </w:r>
      <w:proofErr w:type="gramStart"/>
      <w:r>
        <w:t>2022</w:t>
      </w:r>
      <w:proofErr w:type="gramEnd"/>
      <w:r>
        <w:t xml:space="preserve"> and the date from October 4, </w:t>
      </w:r>
      <w:proofErr w:type="gramStart"/>
      <w:r>
        <w:t>2024</w:t>
      </w:r>
      <w:proofErr w:type="gramEnd"/>
      <w:r>
        <w:t xml:space="preserve"> to March 7, 2025.</w:t>
      </w:r>
    </w:p>
    <w:p w:rsidR="00536A2C" w:rsidP="00536A2C" w:rsidRDefault="009F2E86" w14:paraId="19FD61D9" w14:textId="3656A801">
      <w:pPr>
        <w:pStyle w:val="Standard"/>
        <w:numPr>
          <w:ilvl w:val="0"/>
          <w:numId w:val="37"/>
        </w:numPr>
      </w:pPr>
      <w:r>
        <w:t>Section 7.3.2: Havasu Violated Pub. Util. Code § 702</w:t>
      </w:r>
      <w:r w:rsidR="00536A2C">
        <w:t xml:space="preserve"> on page 29</w:t>
      </w:r>
      <w:r>
        <w:t>.  We revised the following sentence from “CPED alleges that Havasu violated Pub. Util. Code § 702 when it failed to respond to three data requests from WD” to “CPED alleges that Havasu violated Pub. Util. Code § 702 when it failed to respond to two data requests one from WD and one from CPED.</w:t>
      </w:r>
      <w:r w:rsidR="00536A2C">
        <w:t xml:space="preserve">”  In the second bullet point, we changed the sentence “A letter from WD to Havasu” to “A letter from CPED to Havasu.”  </w:t>
      </w:r>
    </w:p>
    <w:p w:rsidR="00536A2C" w:rsidP="00536A2C" w:rsidRDefault="00536A2C" w14:paraId="7122F56F" w14:textId="701C8DA6">
      <w:pPr>
        <w:pStyle w:val="Standard"/>
        <w:numPr>
          <w:ilvl w:val="0"/>
          <w:numId w:val="37"/>
        </w:numPr>
      </w:pPr>
      <w:r>
        <w:t xml:space="preserve">We removed references to the September 29, </w:t>
      </w:r>
      <w:proofErr w:type="gramStart"/>
      <w:r>
        <w:t>2025</w:t>
      </w:r>
      <w:proofErr w:type="gramEnd"/>
      <w:r>
        <w:t xml:space="preserve"> email from Havasu to WD on pages 30, 31, 64, 68 and 69.</w:t>
      </w:r>
    </w:p>
    <w:p w:rsidR="00536A2C" w:rsidP="00536A2C" w:rsidRDefault="00536A2C" w14:paraId="3C31B063" w14:textId="58A869F6">
      <w:pPr>
        <w:pStyle w:val="Standard"/>
        <w:numPr>
          <w:ilvl w:val="0"/>
          <w:numId w:val="37"/>
        </w:numPr>
      </w:pPr>
      <w:r>
        <w:t xml:space="preserve">Section 8: Resolution of K.25-06-028 on page 39.  We changed the date from June 11, </w:t>
      </w:r>
      <w:proofErr w:type="gramStart"/>
      <w:r>
        <w:t>2025</w:t>
      </w:r>
      <w:proofErr w:type="gramEnd"/>
      <w:r>
        <w:t xml:space="preserve"> to June 23, 2025.  This change was made to </w:t>
      </w:r>
      <w:proofErr w:type="gramStart"/>
      <w:r>
        <w:t>Finding of</w:t>
      </w:r>
      <w:proofErr w:type="gramEnd"/>
      <w:r>
        <w:t xml:space="preserve"> Fact 31 on page 65 as well.</w:t>
      </w:r>
    </w:p>
    <w:p w:rsidR="00B24AAF" w:rsidP="00536A2C" w:rsidRDefault="00B24AAF" w14:paraId="36190BA6" w14:textId="57EB4145">
      <w:pPr>
        <w:pStyle w:val="Standard"/>
        <w:numPr>
          <w:ilvl w:val="0"/>
          <w:numId w:val="37"/>
        </w:numPr>
      </w:pPr>
      <w:r>
        <w:t xml:space="preserve">Section 8.1: Discussion on page 41.  We changed the date from March 12, </w:t>
      </w:r>
      <w:proofErr w:type="gramStart"/>
      <w:r>
        <w:t>2025</w:t>
      </w:r>
      <w:proofErr w:type="gramEnd"/>
      <w:r>
        <w:t xml:space="preserve"> to May 12, 2025.  This change was made to </w:t>
      </w:r>
      <w:proofErr w:type="gramStart"/>
      <w:r>
        <w:t>Finding of</w:t>
      </w:r>
      <w:proofErr w:type="gramEnd"/>
      <w:r>
        <w:t xml:space="preserve"> Fact 40 on page 65 as well.</w:t>
      </w:r>
    </w:p>
    <w:p w:rsidR="00B24AAF" w:rsidP="00536A2C" w:rsidRDefault="00B24AAF" w14:paraId="74404951" w14:textId="50954034">
      <w:pPr>
        <w:pStyle w:val="Standard"/>
        <w:numPr>
          <w:ilvl w:val="0"/>
          <w:numId w:val="37"/>
        </w:numPr>
      </w:pPr>
      <w:r>
        <w:t xml:space="preserve">Section 10.3: Data Requests on page 53.  We changed the date from October 4, </w:t>
      </w:r>
      <w:proofErr w:type="gramStart"/>
      <w:r>
        <w:t>2024</w:t>
      </w:r>
      <w:proofErr w:type="gramEnd"/>
      <w:r>
        <w:t xml:space="preserve"> to October 24, 2024.</w:t>
      </w:r>
    </w:p>
    <w:p w:rsidR="009F2E86" w:rsidP="00FF592C" w:rsidRDefault="00B24AAF" w14:paraId="1756EA58" w14:textId="2BDA17AB">
      <w:pPr>
        <w:pStyle w:val="Standard"/>
        <w:numPr>
          <w:ilvl w:val="0"/>
          <w:numId w:val="37"/>
        </w:numPr>
      </w:pPr>
      <w:r>
        <w:lastRenderedPageBreak/>
        <w:t xml:space="preserve">Section 10.4 Failure to Comply with D.24-03-053 on page 54.  We change the date from April 8, </w:t>
      </w:r>
      <w:proofErr w:type="gramStart"/>
      <w:r>
        <w:t>2025</w:t>
      </w:r>
      <w:proofErr w:type="gramEnd"/>
      <w:r>
        <w:t xml:space="preserve"> to April 8, 2024.  This change was made to Finding of Fact 57 on page 72.</w:t>
      </w:r>
    </w:p>
    <w:p w:rsidRPr="005E1E67" w:rsidR="005E1E67" w:rsidP="005E1E67" w:rsidRDefault="00B24AAF" w14:paraId="725C6CC7" w14:textId="0601ACE1">
      <w:pPr>
        <w:pStyle w:val="Standard"/>
      </w:pPr>
      <w:r>
        <w:t xml:space="preserve">We deny </w:t>
      </w:r>
      <w:r w:rsidRPr="005E1E67" w:rsidR="005E1E67">
        <w:t xml:space="preserve">CPED’s recommendation No. 19.  </w:t>
      </w:r>
      <w:proofErr w:type="gramStart"/>
      <w:r w:rsidRPr="005E1E67" w:rsidR="005E1E67">
        <w:t>The May</w:t>
      </w:r>
      <w:proofErr w:type="gramEnd"/>
      <w:r w:rsidRPr="005E1E67" w:rsidR="005E1E67">
        <w:t xml:space="preserve"> 6, </w:t>
      </w:r>
      <w:proofErr w:type="gramStart"/>
      <w:r w:rsidRPr="005E1E67" w:rsidR="005E1E67">
        <w:t>2025</w:t>
      </w:r>
      <w:proofErr w:type="gramEnd"/>
      <w:r w:rsidRPr="005E1E67" w:rsidR="005E1E67">
        <w:t xml:space="preserve"> data request concerns Havasu’s replacement of customer’s meters which </w:t>
      </w:r>
      <w:r>
        <w:t>we</w:t>
      </w:r>
      <w:r w:rsidRPr="005E1E67" w:rsidR="005E1E67">
        <w:t xml:space="preserve"> discuss in Section 9.  Havasu timely objected to this data request on May 8, </w:t>
      </w:r>
      <w:proofErr w:type="gramStart"/>
      <w:r w:rsidRPr="005E1E67" w:rsidR="005E1E67">
        <w:t>2025</w:t>
      </w:r>
      <w:proofErr w:type="gramEnd"/>
      <w:r w:rsidRPr="005E1E67" w:rsidR="005E1E67">
        <w:t xml:space="preserve"> and CPED did not file a motion to compel or request an order from the assigned ALJ compelling Havasu to respond.  </w:t>
      </w:r>
      <w:r>
        <w:t>We added a footnote to the</w:t>
      </w:r>
      <w:r w:rsidRPr="005E1E67" w:rsidR="005E1E67">
        <w:t xml:space="preserve"> May 6, </w:t>
      </w:r>
      <w:proofErr w:type="gramStart"/>
      <w:r w:rsidRPr="005E1E67" w:rsidR="005E1E67">
        <w:t>2025</w:t>
      </w:r>
      <w:proofErr w:type="gramEnd"/>
      <w:r w:rsidRPr="005E1E67" w:rsidR="005E1E67">
        <w:t xml:space="preserve"> data request in Section 9 of the POD.</w:t>
      </w:r>
    </w:p>
    <w:p w:rsidRPr="005E1E67" w:rsidR="005E1E67" w:rsidP="005E1E67" w:rsidRDefault="005E1E67" w14:paraId="5EC5F89D" w14:textId="0421D5DC">
      <w:pPr>
        <w:pStyle w:val="Standard"/>
      </w:pPr>
      <w:r w:rsidRPr="005E1E67">
        <w:t>On March 13, 2026, Havasu filed an appeal to the POD.  On March 16, 2026, the Commission notified Havasu by e-mail that its appeal had been rejected because the filing violated Rule 1.14 and had eight deficiencies.</w:t>
      </w:r>
      <w:r w:rsidR="00B24AAF">
        <w:rPr>
          <w:rStyle w:val="FootnoteReference"/>
        </w:rPr>
        <w:footnoteReference w:id="232"/>
      </w:r>
      <w:r w:rsidRPr="005E1E67">
        <w:t xml:space="preserve">  The Commission notified Havasu that it needed to make corrections to its appeal and refile within seven calendar days, or by March 23, 2026.  Havasu refiled its appeal on March 24, 2025.  Havasu’s refiled appeal is untimely.  Nevertheless, we will accept Havasu’s appeal so that we may address its arguments.</w:t>
      </w:r>
    </w:p>
    <w:p w:rsidRPr="005E1E67" w:rsidR="005E1E67" w:rsidP="005E1E67" w:rsidRDefault="005E1E67" w14:paraId="6BDF95A5" w14:textId="77777777">
      <w:pPr>
        <w:pStyle w:val="Standard"/>
      </w:pPr>
      <w:r w:rsidRPr="005E1E67">
        <w:t>Havasu claims that the Commission does not have jurisdiction over Havasu.  Havasu contends that Havasu is located within the boundaries of the Chemehuevi Indian Reservation and that the EPA regulates public water systems within the boundaries of Tribal Reservations in California.  Havasu asserts that on January 1, 2024, the Commission transferred jurisdiction of Havasu to the EPA.</w:t>
      </w:r>
    </w:p>
    <w:p w:rsidRPr="005E1E67" w:rsidR="005E1E67" w:rsidP="005E1E67" w:rsidRDefault="005E1E67" w14:paraId="7B7CC962" w14:textId="77777777">
      <w:pPr>
        <w:pStyle w:val="Standard"/>
      </w:pPr>
      <w:r w:rsidRPr="005E1E67">
        <w:lastRenderedPageBreak/>
        <w:t>On November 2, 2023, the EPA issued a letter to Havasu stating that the EPA would assume regulatory oversight of Havasu under the SDWA from the State Water Resources Control Board, Division of Drinking Water (DDW).</w:t>
      </w:r>
      <w:r w:rsidRPr="005E1E67">
        <w:rPr>
          <w:vertAlign w:val="superscript"/>
        </w:rPr>
        <w:footnoteReference w:id="233"/>
      </w:r>
      <w:r w:rsidRPr="005E1E67">
        <w:t xml:space="preserve">  </w:t>
      </w:r>
    </w:p>
    <w:p w:rsidRPr="005E1E67" w:rsidR="005E1E67" w:rsidP="005E1E67" w:rsidRDefault="005E1E67" w14:paraId="7D46AAE9" w14:textId="77777777">
      <w:pPr>
        <w:pStyle w:val="Standard"/>
      </w:pPr>
      <w:r w:rsidRPr="005E1E67">
        <w:t xml:space="preserve">First, the EPA only assumed regulatory oversight over Havasu’s drinking water quality standards under the SDWA.  The EPA did not and legally cannot assume regulatory oversight over Havasu outside the scope of drinking water quality.  The Commission has jurisdiction over all water utilities operating in California pursuant to PUC §§ 216, 241 and 2701.  </w:t>
      </w:r>
    </w:p>
    <w:p w:rsidRPr="005E1E67" w:rsidR="005E1E67" w:rsidP="005E1E67" w:rsidRDefault="005E1E67" w14:paraId="1B17A5A8" w14:textId="77777777">
      <w:pPr>
        <w:pStyle w:val="Standard"/>
      </w:pPr>
      <w:r w:rsidRPr="005E1E67">
        <w:t>Second, DDW is a separate state agency and is not affiliated with the Commission.  Accordingly, the transfer of SDWA oversight from DDW to the EPA has no bearing on the Commission’s jurisdiction.  As such, Havasu’s contention that the Commission does not have jurisdiction over Havasu is without merit and unsupported by law and therefore is rejected.</w:t>
      </w:r>
    </w:p>
    <w:p w:rsidRPr="005E1E67" w:rsidR="005E1E67" w:rsidP="005E1E67" w:rsidRDefault="005E1E67" w14:paraId="753ADEFE" w14:textId="77777777">
      <w:pPr>
        <w:pStyle w:val="Standard"/>
      </w:pPr>
      <w:r w:rsidRPr="005E1E67">
        <w:t>Havasu contends that the Commission failed to comply with its own precedent in Decision (D.) 85</w:t>
      </w:r>
      <w:r w:rsidRPr="005E1E67">
        <w:rPr>
          <w:rFonts w:ascii="Cambria Math" w:hAnsi="Cambria Math" w:cs="Cambria Math"/>
        </w:rPr>
        <w:t>‑</w:t>
      </w:r>
      <w:r w:rsidRPr="005E1E67">
        <w:t>04</w:t>
      </w:r>
      <w:r w:rsidRPr="005E1E67">
        <w:rPr>
          <w:rFonts w:ascii="Cambria Math" w:hAnsi="Cambria Math" w:cs="Cambria Math"/>
        </w:rPr>
        <w:t>‑</w:t>
      </w:r>
      <w:r w:rsidRPr="005E1E67">
        <w:t>056. Havasu argues that D.85</w:t>
      </w:r>
      <w:r w:rsidRPr="005E1E67">
        <w:rPr>
          <w:rFonts w:ascii="Cambria Math" w:hAnsi="Cambria Math" w:cs="Cambria Math"/>
        </w:rPr>
        <w:t>‑</w:t>
      </w:r>
      <w:r w:rsidRPr="005E1E67">
        <w:t>04</w:t>
      </w:r>
      <w:r w:rsidRPr="005E1E67">
        <w:rPr>
          <w:rFonts w:ascii="Cambria Math" w:hAnsi="Cambria Math" w:cs="Cambria Math"/>
        </w:rPr>
        <w:t>‑</w:t>
      </w:r>
      <w:r w:rsidRPr="005E1E67">
        <w:t>056: 1) authorized an extension of Havasu’s service area to include the Vista Del Lago development, and 2) extended the 1974 easement permitting Havasu to cross the Chemehuevi Indian Tribe’s lands.</w:t>
      </w:r>
    </w:p>
    <w:p w:rsidRPr="005E1E67" w:rsidR="005E1E67" w:rsidP="005E1E67" w:rsidRDefault="005E1E67" w14:paraId="6E89A29E" w14:textId="77777777">
      <w:pPr>
        <w:pStyle w:val="Standard"/>
      </w:pPr>
      <w:r w:rsidRPr="005E1E67">
        <w:t>On April 13, 2006, the Commission issued Decision (D.) 06</w:t>
      </w:r>
      <w:r w:rsidRPr="005E1E67">
        <w:rPr>
          <w:rFonts w:ascii="Cambria Math" w:hAnsi="Cambria Math" w:cs="Cambria Math"/>
        </w:rPr>
        <w:t>‑</w:t>
      </w:r>
      <w:r w:rsidRPr="005E1E67">
        <w:t>04</w:t>
      </w:r>
      <w:r w:rsidRPr="005E1E67">
        <w:rPr>
          <w:rFonts w:ascii="Cambria Math" w:hAnsi="Cambria Math" w:cs="Cambria Math"/>
        </w:rPr>
        <w:t>‑</w:t>
      </w:r>
      <w:r w:rsidRPr="005E1E67">
        <w:t>007, dismissing with prejudice a complaint filed by Havasu Lakeshore Investments against Havasu.  In that decision, the Commission determined that the Chemehuevi Indian Tribe, not Havasu, would provide water service to the Vista Del Lago development.</w:t>
      </w:r>
    </w:p>
    <w:p w:rsidRPr="005E1E67" w:rsidR="005E1E67" w:rsidP="005E1E67" w:rsidRDefault="005E1E67" w14:paraId="31307A6A" w14:textId="77777777">
      <w:pPr>
        <w:pStyle w:val="Standard"/>
      </w:pPr>
      <w:r w:rsidRPr="005E1E67">
        <w:lastRenderedPageBreak/>
        <w:t>On June 20, 2024, the Commission addressed the easement issue in Resolution W</w:t>
      </w:r>
      <w:r w:rsidRPr="005E1E67">
        <w:rPr>
          <w:rFonts w:ascii="Cambria Math" w:hAnsi="Cambria Math" w:cs="Cambria Math"/>
        </w:rPr>
        <w:t>‑</w:t>
      </w:r>
      <w:r w:rsidRPr="005E1E67">
        <w:t>5274 and rejected Havasu</w:t>
      </w:r>
      <w:r w:rsidRPr="005E1E67">
        <w:rPr>
          <w:rFonts w:cs="Book Antiqua"/>
        </w:rPr>
        <w:t>’</w:t>
      </w:r>
      <w:r w:rsidRPr="005E1E67">
        <w:t>s assertion that Decision (D.) 85</w:t>
      </w:r>
      <w:r w:rsidRPr="005E1E67">
        <w:rPr>
          <w:rFonts w:ascii="Cambria Math" w:hAnsi="Cambria Math" w:cs="Cambria Math"/>
        </w:rPr>
        <w:t>‑</w:t>
      </w:r>
      <w:r w:rsidRPr="005E1E67">
        <w:t>04</w:t>
      </w:r>
      <w:r w:rsidRPr="005E1E67">
        <w:rPr>
          <w:rFonts w:ascii="Cambria Math" w:hAnsi="Cambria Math" w:cs="Cambria Math"/>
        </w:rPr>
        <w:t>‑</w:t>
      </w:r>
      <w:r w:rsidRPr="005E1E67">
        <w:t>056 extended its easement within the Chemehuevi Indian Tribe</w:t>
      </w:r>
      <w:r w:rsidRPr="005E1E67">
        <w:rPr>
          <w:rFonts w:cs="Book Antiqua"/>
        </w:rPr>
        <w:t>’</w:t>
      </w:r>
      <w:r w:rsidRPr="005E1E67">
        <w:t>s lands.  Therefore, Havasu’s contention that the Commission did not abide by its own precedent is rejected.</w:t>
      </w:r>
    </w:p>
    <w:p w:rsidRPr="005E1E67" w:rsidR="005E1E67" w:rsidP="005E1E67" w:rsidRDefault="005E1E67" w14:paraId="2BD50774" w14:textId="77777777">
      <w:pPr>
        <w:pStyle w:val="Standard"/>
      </w:pPr>
      <w:r w:rsidRPr="005E1E67">
        <w:t xml:space="preserve">Havasu contends that its due process was violated because it was provided only one day of discovery.  Havasu’s contention is without merit and contrary to the evidentiary record.  </w:t>
      </w:r>
    </w:p>
    <w:p w:rsidRPr="005E1E67" w:rsidR="005E1E67" w:rsidP="005E1E67" w:rsidRDefault="005E1E67" w14:paraId="268BC9E7" w14:textId="77777777">
      <w:pPr>
        <w:pStyle w:val="Standard"/>
      </w:pPr>
      <w:r w:rsidRPr="005E1E67">
        <w:t xml:space="preserve">On August 14, 2025, the Commission served the OII/OSC on Havasu, thereby providing Havasu with notice of the allegations against it.  On September 2, 2025, the assigned ALJ issued a ruling notifying the parties that the PHC was scheduled for September 30, </w:t>
      </w:r>
      <w:proofErr w:type="gramStart"/>
      <w:r w:rsidRPr="005E1E67">
        <w:t>2025</w:t>
      </w:r>
      <w:proofErr w:type="gramEnd"/>
      <w:r w:rsidRPr="005E1E67">
        <w:t xml:space="preserve"> and that exhibits and testimonies were due by Friday, October 10, 2025.  On September 30, 2025 at the PHC, the parties were notified that discovery needed to be completed by October 10, 2025.</w:t>
      </w:r>
      <w:r w:rsidRPr="005E1E67">
        <w:rPr>
          <w:vertAlign w:val="superscript"/>
        </w:rPr>
        <w:footnoteReference w:id="234"/>
      </w:r>
      <w:r w:rsidRPr="005E1E67">
        <w:t xml:space="preserve">  In addition, Havasu was instructed to file objections as soon as possible if CPED refused to provide any discovery.</w:t>
      </w:r>
      <w:r w:rsidRPr="005E1E67">
        <w:rPr>
          <w:vertAlign w:val="superscript"/>
        </w:rPr>
        <w:footnoteReference w:id="235"/>
      </w:r>
      <w:r w:rsidRPr="005E1E67">
        <w:t xml:space="preserve">  Havasu stated that it could not conduct discovery in 10 days.</w:t>
      </w:r>
      <w:r w:rsidRPr="005E1E67">
        <w:rPr>
          <w:vertAlign w:val="superscript"/>
        </w:rPr>
        <w:footnoteReference w:id="236"/>
      </w:r>
      <w:r w:rsidRPr="005E1E67">
        <w:t xml:space="preserve">  On October 1, 2025, the assigned ALJ issued a ruling extending discovery to October 17, 2025, thereby providing Havasu an additional 7 days or 17 days in total to conduct discovery.  Havasu did not file any motions claiming that CPED failed to provide discovery.  Havasu’s contention that it only had one day to conduct discovery is refuted by the evidentiary record and is rejected.</w:t>
      </w:r>
    </w:p>
    <w:p w:rsidRPr="005E1E67" w:rsidR="005E1E67" w:rsidP="005E1E67" w:rsidRDefault="005E1E67" w14:paraId="5BCD77CF" w14:textId="77777777">
      <w:pPr>
        <w:pStyle w:val="Standard"/>
      </w:pPr>
      <w:r w:rsidRPr="005E1E67">
        <w:lastRenderedPageBreak/>
        <w:t xml:space="preserve">Havasu contends that it was not </w:t>
      </w:r>
      <w:proofErr w:type="gramStart"/>
      <w:r w:rsidRPr="005E1E67">
        <w:t>provided</w:t>
      </w:r>
      <w:proofErr w:type="gramEnd"/>
      <w:r w:rsidRPr="005E1E67">
        <w:t xml:space="preserve"> an opportunity to prepare for or respond to any proposed receivership or fines before they were issued.  </w:t>
      </w:r>
    </w:p>
    <w:p w:rsidRPr="005E1E67" w:rsidR="005E1E67" w:rsidP="005E1E67" w:rsidRDefault="005E1E67" w14:paraId="747A38AE" w14:textId="77777777">
      <w:pPr>
        <w:pStyle w:val="Standard"/>
      </w:pPr>
      <w:r w:rsidRPr="005E1E67">
        <w:t xml:space="preserve">On August 14, 2025, the Commission served the OII/OSC on Havasu, thereby providing Havasu with notice of the allegations against it, as well as CPED’s request for authorization to pursue a receivership in Superior Court and for the Commission to impose fines.  In the Scoping Memo, the Commission scheduled the submission of exhibits and testimony for October 17, 2025, and set evidentiary hearings for October 27–31, 2025, thereby providing Havasu ample opportunity to present its defense.  Havasu did not submit any exhibits or testimony by </w:t>
      </w:r>
      <w:proofErr w:type="gramStart"/>
      <w:r w:rsidRPr="005E1E67">
        <w:t>the October</w:t>
      </w:r>
      <w:proofErr w:type="gramEnd"/>
      <w:r w:rsidRPr="005E1E67">
        <w:t xml:space="preserve"> 17, </w:t>
      </w:r>
      <w:proofErr w:type="gramStart"/>
      <w:r w:rsidRPr="005E1E67">
        <w:t>2025</w:t>
      </w:r>
      <w:proofErr w:type="gramEnd"/>
      <w:r w:rsidRPr="005E1E67">
        <w:t xml:space="preserve"> deadline.  At the evidentiary hearing, Havasu rested its case following approximately four hours of cross</w:t>
      </w:r>
      <w:r w:rsidRPr="005E1E67">
        <w:rPr>
          <w:rFonts w:ascii="Cambria Math" w:hAnsi="Cambria Math" w:cs="Cambria Math"/>
        </w:rPr>
        <w:t>‑</w:t>
      </w:r>
      <w:r w:rsidRPr="005E1E67">
        <w:t>examination.  As such, Havasu’s contention that it was not provided opportunity to prepare for the receivership issue and fines is contrary to the evidentiary record and is rejected.</w:t>
      </w:r>
    </w:p>
    <w:p w:rsidRPr="00C56B7B" w:rsidR="005E1E67" w:rsidP="00FF592C" w:rsidRDefault="005E1E67" w14:paraId="0D141673" w14:textId="0951E784">
      <w:pPr>
        <w:pStyle w:val="Standard"/>
      </w:pPr>
      <w:r w:rsidRPr="005E1E67">
        <w:t>Havasu’s remaining arguments in opposition to the POD do not present any new facts or legal authority supporting its position. The arguments raised in the appeal have already been fully reviewed and considered in the POD.  After a careful review of Havasu’s appeal, we find its contentions to be without merit and unsupported by the evidentiary record.  Therefore, Havasu’s appeal is denied.</w:t>
      </w:r>
    </w:p>
    <w:p w:rsidR="005939A5" w:rsidP="005939A5" w:rsidRDefault="00D91C39" w14:paraId="4D39FBE1" w14:textId="77777777">
      <w:pPr>
        <w:pStyle w:val="Heading1"/>
      </w:pPr>
      <w:bookmarkStart w:name="_Toc221259571" w:id="61"/>
      <w:r>
        <w:t>Assignment of Proceeding</w:t>
      </w:r>
      <w:bookmarkEnd w:id="59"/>
      <w:bookmarkEnd w:id="61"/>
    </w:p>
    <w:p w:rsidR="005939A5" w:rsidP="005C58FA" w:rsidRDefault="00D435CE" w14:paraId="4480D362" w14:textId="29DBE4A0">
      <w:pPr>
        <w:pStyle w:val="Standard"/>
      </w:pPr>
      <w:r>
        <w:t xml:space="preserve">Matthew Baker </w:t>
      </w:r>
      <w:r w:rsidRPr="00D91C39" w:rsidR="00D91C39">
        <w:t xml:space="preserve">is the assigned Commissioner and </w:t>
      </w:r>
      <w:r>
        <w:t>Minh LeQuang</w:t>
      </w:r>
      <w:r w:rsidR="00D91C39">
        <w:t xml:space="preserve"> </w:t>
      </w:r>
      <w:r w:rsidRPr="00D91C39" w:rsidR="00D91C39">
        <w:t xml:space="preserve">is the assigned </w:t>
      </w:r>
      <w:r>
        <w:t>Administrative Law Judge</w:t>
      </w:r>
      <w:r w:rsidR="00A6185F">
        <w:t xml:space="preserve"> and Presiding Officer</w:t>
      </w:r>
      <w:r w:rsidRPr="00D91C39" w:rsidR="00D91C39">
        <w:t xml:space="preserve"> in this proceeding</w:t>
      </w:r>
      <w:r w:rsidR="00D91C39">
        <w:t>.</w:t>
      </w:r>
    </w:p>
    <w:p w:rsidR="005939A5" w:rsidP="005939A5" w:rsidRDefault="005939A5" w14:paraId="1D3A3EFB" w14:textId="77777777">
      <w:pPr>
        <w:pStyle w:val="Dummy"/>
      </w:pPr>
      <w:bookmarkStart w:name="_Toc8123725" w:id="62"/>
      <w:bookmarkStart w:name="_Toc221259572" w:id="63"/>
      <w:r>
        <w:t>Findings of Fact</w:t>
      </w:r>
      <w:bookmarkEnd w:id="62"/>
      <w:bookmarkEnd w:id="63"/>
    </w:p>
    <w:p w:rsidRPr="001E2A62" w:rsidR="00F62B7A" w:rsidP="001E2A62" w:rsidRDefault="006247E6" w14:paraId="5E8ED7A2" w14:textId="1C563142">
      <w:pPr>
        <w:pStyle w:val="FoF"/>
      </w:pPr>
      <w:r>
        <w:t xml:space="preserve">Havasu is a Class D water utility located </w:t>
      </w:r>
      <w:r w:rsidR="00977230">
        <w:t>in the unincorporated community of Havasu Lake in San Bernardino County.</w:t>
      </w:r>
    </w:p>
    <w:p w:rsidRPr="001E2A62" w:rsidR="00F62B7A" w:rsidP="001E2A62" w:rsidRDefault="005634BA" w14:paraId="28F34163" w14:textId="64686302">
      <w:pPr>
        <w:pStyle w:val="FoF"/>
      </w:pPr>
      <w:r>
        <w:lastRenderedPageBreak/>
        <w:t>On August 14, 2025, t</w:t>
      </w:r>
      <w:r w:rsidR="00CE7B57">
        <w:t xml:space="preserve">he </w:t>
      </w:r>
      <w:r w:rsidR="004C7658">
        <w:t>p</w:t>
      </w:r>
      <w:r w:rsidR="00CE7B57">
        <w:t xml:space="preserve">reliminary </w:t>
      </w:r>
      <w:r w:rsidR="004C7658">
        <w:t>s</w:t>
      </w:r>
      <w:r w:rsidR="00CE7B57">
        <w:t xml:space="preserve">coping </w:t>
      </w:r>
      <w:r w:rsidR="004C7658">
        <w:t>m</w:t>
      </w:r>
      <w:r w:rsidR="00CE7B57">
        <w:t xml:space="preserve">emo and </w:t>
      </w:r>
      <w:r w:rsidR="004C7658">
        <w:t>r</w:t>
      </w:r>
      <w:r w:rsidR="00CE7B57">
        <w:t xml:space="preserve">uling </w:t>
      </w:r>
      <w:proofErr w:type="gramStart"/>
      <w:r w:rsidR="00CE7B57">
        <w:t>was</w:t>
      </w:r>
      <w:proofErr w:type="gramEnd"/>
      <w:r w:rsidR="00CE7B57">
        <w:t xml:space="preserve"> </w:t>
      </w:r>
      <w:r w:rsidR="000F38A1">
        <w:t>filed.</w:t>
      </w:r>
      <w:r w:rsidR="00CE7B57">
        <w:t xml:space="preserve"> </w:t>
      </w:r>
    </w:p>
    <w:p w:rsidR="00712FD8" w:rsidP="001E2A62" w:rsidRDefault="000F38A1" w14:paraId="4DC9FF51" w14:textId="7C6E763A">
      <w:pPr>
        <w:pStyle w:val="FoF"/>
      </w:pPr>
      <w:r>
        <w:t xml:space="preserve">On September 30, 2025, a Pre-Hearing Conference </w:t>
      </w:r>
      <w:r w:rsidR="003A23DE">
        <w:t>was conducted.</w:t>
      </w:r>
    </w:p>
    <w:p w:rsidR="003A23DE" w:rsidP="001E2A62" w:rsidRDefault="003A23DE" w14:paraId="73598AB6" w14:textId="58414663">
      <w:pPr>
        <w:pStyle w:val="FoF"/>
      </w:pPr>
      <w:r>
        <w:t>On October 16, 2025, the Scoping Memo and Ruling was filed.</w:t>
      </w:r>
    </w:p>
    <w:p w:rsidR="003A23DE" w:rsidP="001E2A62" w:rsidRDefault="005E67BE" w14:paraId="464797D4" w14:textId="1ED4E615">
      <w:pPr>
        <w:pStyle w:val="FoF"/>
      </w:pPr>
      <w:r>
        <w:t xml:space="preserve">From January 2024 to </w:t>
      </w:r>
      <w:r w:rsidR="00863E44">
        <w:t>p</w:t>
      </w:r>
      <w:r>
        <w:t xml:space="preserve">resent, Havasu </w:t>
      </w:r>
      <w:r w:rsidR="002C2D6F">
        <w:t xml:space="preserve">received </w:t>
      </w:r>
      <w:r w:rsidR="002831CD">
        <w:t xml:space="preserve">one inspection notice, two </w:t>
      </w:r>
      <w:r w:rsidR="00BD565A">
        <w:t>emergency</w:t>
      </w:r>
      <w:r w:rsidR="002831CD">
        <w:t xml:space="preserve"> administrative orders and </w:t>
      </w:r>
      <w:r w:rsidR="00CA2A9A">
        <w:t>six</w:t>
      </w:r>
      <w:r w:rsidR="00BD565A">
        <w:t xml:space="preserve"> </w:t>
      </w:r>
      <w:r w:rsidR="00432927">
        <w:t>noncompliance</w:t>
      </w:r>
      <w:r w:rsidR="00BD565A">
        <w:t xml:space="preserve"> notices from the EPA for violations of </w:t>
      </w:r>
      <w:r w:rsidR="00863E44">
        <w:t xml:space="preserve">the </w:t>
      </w:r>
      <w:r w:rsidR="00BD565A">
        <w:t>SDWA.</w:t>
      </w:r>
    </w:p>
    <w:p w:rsidR="00ED301A" w:rsidP="001E2A62" w:rsidRDefault="00ED301A" w14:paraId="76F5F26D" w14:textId="58A660EA">
      <w:pPr>
        <w:pStyle w:val="FoF"/>
      </w:pPr>
      <w:r>
        <w:t xml:space="preserve">From January 2024 to present, Havasu </w:t>
      </w:r>
      <w:r w:rsidR="00A760BB">
        <w:t>was noncompliant</w:t>
      </w:r>
      <w:r w:rsidR="009F7AED">
        <w:t xml:space="preserve"> and unresponsive</w:t>
      </w:r>
      <w:r w:rsidR="00863DF0">
        <w:t xml:space="preserve"> to</w:t>
      </w:r>
      <w:r w:rsidR="00A760BB">
        <w:t xml:space="preserve"> notices and orders from </w:t>
      </w:r>
      <w:r w:rsidR="004773A9">
        <w:t>the EPA.</w:t>
      </w:r>
    </w:p>
    <w:p w:rsidR="007934B3" w:rsidP="001E2A62" w:rsidRDefault="00863E44" w14:paraId="6A116B6E" w14:textId="2E441549">
      <w:pPr>
        <w:pStyle w:val="FoF"/>
      </w:pPr>
      <w:r>
        <w:t>From January 2024 to present, Havasu received five boiling water notices from the EPA for violations of the SDWA.</w:t>
      </w:r>
    </w:p>
    <w:p w:rsidR="004773A9" w:rsidP="001E2A62" w:rsidRDefault="004773A9" w14:paraId="2F4C3FF8" w14:textId="40ACB360">
      <w:pPr>
        <w:pStyle w:val="FoF"/>
      </w:pPr>
      <w:r>
        <w:t>From January 2024 to present, Havasu</w:t>
      </w:r>
      <w:r w:rsidR="00CD0E97">
        <w:t xml:space="preserve">’s water quality </w:t>
      </w:r>
      <w:r w:rsidR="00815088">
        <w:t xml:space="preserve">was </w:t>
      </w:r>
      <w:r w:rsidR="007E443C">
        <w:t>sufficiently dangerous</w:t>
      </w:r>
      <w:r w:rsidR="000E13B4">
        <w:t xml:space="preserve"> that the EPA ordered Havasu to issue BWNs.</w:t>
      </w:r>
    </w:p>
    <w:p w:rsidR="00DA1F8C" w:rsidP="001E2A62" w:rsidRDefault="00DA1F8C" w14:paraId="7B37E7BE" w14:textId="7023CC44">
      <w:pPr>
        <w:pStyle w:val="FoF"/>
      </w:pPr>
      <w:r>
        <w:t xml:space="preserve">From March 2022 to December 2023, Havasu received </w:t>
      </w:r>
      <w:r w:rsidR="00DE1606">
        <w:t xml:space="preserve">two compliance orders and eight </w:t>
      </w:r>
      <w:r w:rsidR="00432927">
        <w:t>noncompliance</w:t>
      </w:r>
      <w:r w:rsidR="00DE1606">
        <w:t xml:space="preserve"> citations from </w:t>
      </w:r>
      <w:proofErr w:type="gramStart"/>
      <w:r w:rsidR="00DE1606">
        <w:t>the DDW</w:t>
      </w:r>
      <w:proofErr w:type="gramEnd"/>
      <w:r w:rsidR="00DE1606">
        <w:t>.</w:t>
      </w:r>
    </w:p>
    <w:p w:rsidR="00ED72F9" w:rsidP="001E2A62" w:rsidRDefault="00ED72F9" w14:paraId="3C8F78D4" w14:textId="170B31C8">
      <w:pPr>
        <w:pStyle w:val="FoF"/>
      </w:pPr>
      <w:r>
        <w:t xml:space="preserve">From March 2022 to December 2023, Havasu was noncompliant </w:t>
      </w:r>
      <w:r w:rsidR="00863DF0">
        <w:t xml:space="preserve">and unresponsive </w:t>
      </w:r>
      <w:r w:rsidR="00BB0DD7">
        <w:t>to orders and citations from the DDW.</w:t>
      </w:r>
    </w:p>
    <w:p w:rsidR="00536AF9" w:rsidP="001E2A62" w:rsidRDefault="00543752" w14:paraId="33F16871" w14:textId="3122E762">
      <w:pPr>
        <w:pStyle w:val="FoF"/>
      </w:pPr>
      <w:r>
        <w:t xml:space="preserve">From March </w:t>
      </w:r>
      <w:r w:rsidR="00DD576F">
        <w:t xml:space="preserve">21, </w:t>
      </w:r>
      <w:proofErr w:type="gramStart"/>
      <w:r>
        <w:t>2022</w:t>
      </w:r>
      <w:proofErr w:type="gramEnd"/>
      <w:r>
        <w:t xml:space="preserve"> to March 2</w:t>
      </w:r>
      <w:r w:rsidR="00DD576F">
        <w:t>9</w:t>
      </w:r>
      <w:r>
        <w:t>, 2022, Havasu did not</w:t>
      </w:r>
      <w:r w:rsidR="0047311C">
        <w:t>:</w:t>
      </w:r>
      <w:r w:rsidR="00297B9E">
        <w:t xml:space="preserve"> </w:t>
      </w:r>
      <w:r w:rsidR="0047311C">
        <w:t xml:space="preserve">1) </w:t>
      </w:r>
      <w:r w:rsidR="00525610">
        <w:t xml:space="preserve">have </w:t>
      </w:r>
      <w:r w:rsidR="00297B9E">
        <w:t>an operable backup generator</w:t>
      </w:r>
      <w:r w:rsidR="0047311C">
        <w:t>;</w:t>
      </w:r>
      <w:r w:rsidR="00297B9E">
        <w:t xml:space="preserve"> </w:t>
      </w:r>
      <w:r w:rsidR="0047311C">
        <w:t xml:space="preserve">2) </w:t>
      </w:r>
      <w:r w:rsidR="00525610">
        <w:t xml:space="preserve">have </w:t>
      </w:r>
      <w:r w:rsidR="00297B9E">
        <w:t>alternative source of water</w:t>
      </w:r>
      <w:r w:rsidR="0047311C">
        <w:t xml:space="preserve">; 3) </w:t>
      </w:r>
      <w:r w:rsidR="004F131E">
        <w:t xml:space="preserve">have certified operators and 4) </w:t>
      </w:r>
      <w:r w:rsidR="00525610">
        <w:t>provide notice to the Commission</w:t>
      </w:r>
      <w:r w:rsidR="00432927">
        <w:t xml:space="preserve"> of the water outage</w:t>
      </w:r>
      <w:r w:rsidR="00536AF9">
        <w:t>.</w:t>
      </w:r>
    </w:p>
    <w:p w:rsidR="00052B78" w:rsidP="001E2A62" w:rsidRDefault="00052B78" w14:paraId="41CAD9DD" w14:textId="23136BFA">
      <w:pPr>
        <w:pStyle w:val="FoF"/>
      </w:pPr>
      <w:r>
        <w:t>From March</w:t>
      </w:r>
      <w:r w:rsidR="00DD576F">
        <w:t xml:space="preserve"> 21,</w:t>
      </w:r>
      <w:r>
        <w:t xml:space="preserve"> </w:t>
      </w:r>
      <w:proofErr w:type="gramStart"/>
      <w:r>
        <w:t>2022</w:t>
      </w:r>
      <w:proofErr w:type="gramEnd"/>
      <w:r>
        <w:t xml:space="preserve"> to March 2</w:t>
      </w:r>
      <w:r w:rsidR="00DD576F">
        <w:t>9</w:t>
      </w:r>
      <w:r>
        <w:t xml:space="preserve">, 2022, Havasu </w:t>
      </w:r>
      <w:r w:rsidR="009F7AED">
        <w:t>was noncompliant</w:t>
      </w:r>
      <w:r w:rsidR="00863DF0">
        <w:t xml:space="preserve"> and unresponsive to </w:t>
      </w:r>
      <w:r w:rsidR="008E0FA0">
        <w:t>directives from WD.</w:t>
      </w:r>
    </w:p>
    <w:p w:rsidR="00FF5804" w:rsidP="001E2A62" w:rsidRDefault="00536AF9" w14:paraId="68AA3432" w14:textId="55C99F99">
      <w:pPr>
        <w:pStyle w:val="FoF"/>
      </w:pPr>
      <w:r>
        <w:t xml:space="preserve">From March 2022 to </w:t>
      </w:r>
      <w:r w:rsidR="0055026E">
        <w:t>May 2025</w:t>
      </w:r>
      <w:r w:rsidR="00FF5804">
        <w:t xml:space="preserve">, Havasu received seven NOVs, two citations and a </w:t>
      </w:r>
      <w:proofErr w:type="gramStart"/>
      <w:r w:rsidR="00FF5804">
        <w:t>cease and desist</w:t>
      </w:r>
      <w:proofErr w:type="gramEnd"/>
      <w:r w:rsidR="00FF5804">
        <w:t xml:space="preserve"> order from WD.</w:t>
      </w:r>
    </w:p>
    <w:p w:rsidR="00A6615C" w:rsidP="001E2A62" w:rsidRDefault="00A6615C" w14:paraId="4FD8AA27" w14:textId="517FB8F0">
      <w:pPr>
        <w:pStyle w:val="FoF"/>
      </w:pPr>
      <w:r>
        <w:t xml:space="preserve">From March 2022 to May 2025, Havasu was noncompliant and unresponsive to </w:t>
      </w:r>
      <w:r w:rsidR="008D287A">
        <w:t>notices, citations and orders from WD.</w:t>
      </w:r>
    </w:p>
    <w:p w:rsidR="005F1434" w:rsidP="001E2A62" w:rsidRDefault="005F1434" w14:paraId="6ECA44B0" w14:textId="77777777">
      <w:pPr>
        <w:pStyle w:val="FoF"/>
      </w:pPr>
      <w:r>
        <w:t>On October 11, 2024, Havasu received a data request from WD.</w:t>
      </w:r>
    </w:p>
    <w:p w:rsidR="00C7560A" w:rsidP="00F26F79" w:rsidRDefault="008D287A" w14:paraId="1C703656" w14:textId="7941334E">
      <w:pPr>
        <w:pStyle w:val="FoF"/>
      </w:pPr>
      <w:r>
        <w:lastRenderedPageBreak/>
        <w:t xml:space="preserve">From October 11, </w:t>
      </w:r>
      <w:proofErr w:type="gramStart"/>
      <w:r>
        <w:t>2024</w:t>
      </w:r>
      <w:proofErr w:type="gramEnd"/>
      <w:r>
        <w:t xml:space="preserve"> to present, Havasu </w:t>
      </w:r>
      <w:r w:rsidR="00A13322">
        <w:t>failed to provide</w:t>
      </w:r>
      <w:r w:rsidR="00C7560A">
        <w:t xml:space="preserve"> WD with the data requested on October 11, 2024.</w:t>
      </w:r>
    </w:p>
    <w:p w:rsidR="000873BE" w:rsidP="001E2A62" w:rsidRDefault="0052199F" w14:paraId="6287D582" w14:textId="262B7A23">
      <w:pPr>
        <w:pStyle w:val="FoF"/>
      </w:pPr>
      <w:r>
        <w:t>On September 22, 2025, Havasu received data requests from WD.</w:t>
      </w:r>
    </w:p>
    <w:p w:rsidR="00F26F79" w:rsidP="001E2A62" w:rsidRDefault="00E56902" w14:paraId="01FD3047" w14:textId="63F6728C">
      <w:pPr>
        <w:pStyle w:val="FoF"/>
      </w:pPr>
      <w:proofErr w:type="gramStart"/>
      <w:r>
        <w:t>The September</w:t>
      </w:r>
      <w:proofErr w:type="gramEnd"/>
      <w:r>
        <w:t xml:space="preserve"> 22, </w:t>
      </w:r>
      <w:proofErr w:type="gramStart"/>
      <w:r>
        <w:t>2025</w:t>
      </w:r>
      <w:proofErr w:type="gramEnd"/>
      <w:r>
        <w:t xml:space="preserve"> data request w</w:t>
      </w:r>
      <w:r w:rsidR="00E05A0E">
        <w:t>a</w:t>
      </w:r>
      <w:r w:rsidR="007566BD">
        <w:t>s</w:t>
      </w:r>
      <w:r>
        <w:t xml:space="preserve"> issued during this proceeding</w:t>
      </w:r>
      <w:r w:rsidR="000A0963">
        <w:t xml:space="preserve"> and considered </w:t>
      </w:r>
      <w:r w:rsidR="007566BD">
        <w:t xml:space="preserve">a </w:t>
      </w:r>
      <w:r w:rsidR="000A0963">
        <w:t>discovery request.</w:t>
      </w:r>
    </w:p>
    <w:p w:rsidR="0052199F" w:rsidP="001E2A62" w:rsidRDefault="00E17A93" w14:paraId="0699FB5F" w14:textId="0A6D99D1">
      <w:pPr>
        <w:pStyle w:val="FoF"/>
      </w:pPr>
      <w:r>
        <w:t xml:space="preserve">Pursuant to D.24-03-053, </w:t>
      </w:r>
      <w:r w:rsidR="00184BB2">
        <w:t>O</w:t>
      </w:r>
      <w:r>
        <w:t xml:space="preserve">rdering </w:t>
      </w:r>
      <w:r w:rsidR="00184BB2">
        <w:t>P</w:t>
      </w:r>
      <w:r>
        <w:t xml:space="preserve">aragraph 1, Havasu was ordered to remove all </w:t>
      </w:r>
      <w:r w:rsidR="00724DA7">
        <w:t>late fees from the Complainants’ bills from 2021 forward.</w:t>
      </w:r>
    </w:p>
    <w:p w:rsidR="006752AB" w:rsidP="001E2A62" w:rsidRDefault="00D66258" w14:paraId="197B32A1" w14:textId="3FCAC3DC">
      <w:pPr>
        <w:pStyle w:val="FoF"/>
      </w:pPr>
      <w:r>
        <w:t>Havasu supported the removal of late fees during the hearing of C.23-02-009</w:t>
      </w:r>
    </w:p>
    <w:p w:rsidR="00945769" w:rsidP="001E2A62" w:rsidRDefault="00945769" w14:paraId="6371A59D" w14:textId="2DB4D03A">
      <w:pPr>
        <w:pStyle w:val="FoF"/>
      </w:pPr>
      <w:r>
        <w:t>Havasu admitted that it intentionally rebilled the Complainants for late fees</w:t>
      </w:r>
      <w:r w:rsidR="00517834">
        <w:t xml:space="preserve"> despite an order directing it to remove late fees</w:t>
      </w:r>
      <w:r>
        <w:t>.</w:t>
      </w:r>
    </w:p>
    <w:p w:rsidR="0008359E" w:rsidP="001E2A62" w:rsidRDefault="0008359E" w14:paraId="6B738C7C" w14:textId="648BBBEA">
      <w:pPr>
        <w:pStyle w:val="FoF"/>
      </w:pPr>
      <w:r>
        <w:t>D.24-03-053 represents a final judgement on all issues related to C.23-02-009.</w:t>
      </w:r>
    </w:p>
    <w:p w:rsidR="00E90A88" w:rsidP="001E2A62" w:rsidRDefault="006207C6" w14:paraId="28396B8D" w14:textId="76C08644">
      <w:pPr>
        <w:pStyle w:val="FoF"/>
      </w:pPr>
      <w:r>
        <w:t xml:space="preserve">From January 2021 to </w:t>
      </w:r>
      <w:r w:rsidR="001863FB">
        <w:t>February 2023</w:t>
      </w:r>
      <w:r w:rsidR="00FA6D2E">
        <w:t xml:space="preserve">, Havasu </w:t>
      </w:r>
      <w:r w:rsidR="000C0C1B">
        <w:t xml:space="preserve">on at least </w:t>
      </w:r>
      <w:r w:rsidR="00DE513E">
        <w:t>four</w:t>
      </w:r>
      <w:r w:rsidR="000C0C1B">
        <w:t xml:space="preserve"> incidents failed to repair work in the public right</w:t>
      </w:r>
      <w:r w:rsidR="00E042CE">
        <w:t>-of-way</w:t>
      </w:r>
      <w:r w:rsidR="00DC129E">
        <w:t>.</w:t>
      </w:r>
    </w:p>
    <w:p w:rsidR="00B20FED" w:rsidP="001E2A62" w:rsidRDefault="00B20FED" w14:paraId="41F88530" w14:textId="05AB2175">
      <w:pPr>
        <w:pStyle w:val="FoF"/>
      </w:pPr>
      <w:r>
        <w:t xml:space="preserve">From January 2021 to present, Havasu has failed to remedy any of </w:t>
      </w:r>
      <w:r w:rsidR="002664BF">
        <w:t>the incidents cited by SBCPW.</w:t>
      </w:r>
    </w:p>
    <w:p w:rsidR="002664BF" w:rsidP="001E2A62" w:rsidRDefault="005C067E" w14:paraId="473C666F" w14:textId="6555FCFD">
      <w:pPr>
        <w:pStyle w:val="FoF"/>
      </w:pPr>
      <w:r>
        <w:t xml:space="preserve">Havasu </w:t>
      </w:r>
      <w:r w:rsidR="00207B2C">
        <w:t xml:space="preserve">has been noncompliant and unresponsive to the </w:t>
      </w:r>
      <w:r w:rsidR="00BE51A4">
        <w:t>EPA’s</w:t>
      </w:r>
      <w:r w:rsidR="00207B2C">
        <w:t xml:space="preserve"> rules</w:t>
      </w:r>
      <w:r w:rsidR="00BE51A4">
        <w:t xml:space="preserve"> and orders.</w:t>
      </w:r>
    </w:p>
    <w:p w:rsidR="00BE51A4" w:rsidP="001E2A62" w:rsidRDefault="00BE51A4" w14:paraId="10EB75B2" w14:textId="2688E077">
      <w:pPr>
        <w:pStyle w:val="FoF"/>
      </w:pPr>
      <w:r>
        <w:t>Havasu has been noncompliant and unresponsive to DDW and WD’s rules and orders.</w:t>
      </w:r>
    </w:p>
    <w:p w:rsidR="00BE51A4" w:rsidP="001E2A62" w:rsidRDefault="00BE51A4" w14:paraId="715A7EF8" w14:textId="7F06F843">
      <w:pPr>
        <w:pStyle w:val="FoF"/>
      </w:pPr>
      <w:r>
        <w:t>Havasu has been noncompliant and unresponsive to SBC</w:t>
      </w:r>
      <w:r w:rsidR="00DC3982">
        <w:t>PW’s rules</w:t>
      </w:r>
      <w:r w:rsidR="005D1381">
        <w:t xml:space="preserve"> and orders.</w:t>
      </w:r>
    </w:p>
    <w:p w:rsidR="003150AD" w:rsidP="001E2A62" w:rsidRDefault="003150AD" w14:paraId="58D27F91" w14:textId="17F61B49">
      <w:pPr>
        <w:pStyle w:val="FoF"/>
      </w:pPr>
      <w:r>
        <w:t>Havasu is unable or unwilling to adequately serve</w:t>
      </w:r>
      <w:r w:rsidR="000D5590">
        <w:t xml:space="preserve"> its customers.</w:t>
      </w:r>
    </w:p>
    <w:p w:rsidR="007D3650" w:rsidP="00503349" w:rsidRDefault="00A54392" w14:paraId="0E56E4E5" w14:textId="15AD6771">
      <w:pPr>
        <w:pStyle w:val="FoF"/>
      </w:pPr>
      <w:r>
        <w:t xml:space="preserve">On March 7, 2025, WD </w:t>
      </w:r>
      <w:r w:rsidR="00945493">
        <w:t>issued a NOV ordering</w:t>
      </w:r>
      <w:r>
        <w:t xml:space="preserve"> Havasu to inspect</w:t>
      </w:r>
      <w:r w:rsidR="00693697">
        <w:t>, repair and replace all fire hydrants in its service area</w:t>
      </w:r>
      <w:r w:rsidR="00945493">
        <w:t xml:space="preserve"> within a specified </w:t>
      </w:r>
      <w:proofErr w:type="gramStart"/>
      <w:r w:rsidR="00945493">
        <w:t>period of time</w:t>
      </w:r>
      <w:proofErr w:type="gramEnd"/>
      <w:r w:rsidR="00693697">
        <w:t>.</w:t>
      </w:r>
    </w:p>
    <w:p w:rsidR="00693697" w:rsidP="00503349" w:rsidRDefault="00693697" w14:paraId="7406B640" w14:textId="00954D63">
      <w:pPr>
        <w:pStyle w:val="FoF"/>
      </w:pPr>
      <w:r>
        <w:lastRenderedPageBreak/>
        <w:t>On Ma</w:t>
      </w:r>
      <w:r w:rsidR="00E9184F">
        <w:t>y</w:t>
      </w:r>
      <w:r>
        <w:t xml:space="preserve"> </w:t>
      </w:r>
      <w:r w:rsidR="00945493">
        <w:t xml:space="preserve">12, 2025, WD issued Citation No. W.25-05-001 to Havasu for failing to comply with </w:t>
      </w:r>
      <w:proofErr w:type="gramStart"/>
      <w:r w:rsidR="00945493">
        <w:t>the March</w:t>
      </w:r>
      <w:proofErr w:type="gramEnd"/>
      <w:r w:rsidR="00945493">
        <w:t xml:space="preserve"> 7, </w:t>
      </w:r>
      <w:proofErr w:type="gramStart"/>
      <w:r w:rsidR="00945493">
        <w:t>2025</w:t>
      </w:r>
      <w:proofErr w:type="gramEnd"/>
      <w:r w:rsidR="00945493">
        <w:t xml:space="preserve"> NOV.</w:t>
      </w:r>
    </w:p>
    <w:p w:rsidR="009B5A48" w:rsidP="00503349" w:rsidRDefault="009B5A48" w14:paraId="5816C6B7" w14:textId="1F554134">
      <w:pPr>
        <w:pStyle w:val="FoF"/>
      </w:pPr>
      <w:r>
        <w:t>On June 11, 2025, Havasu filed an appeal to Citation No. W.25-05-001</w:t>
      </w:r>
      <w:r w:rsidR="00B93532">
        <w:t xml:space="preserve"> which became K.25-06-028</w:t>
      </w:r>
      <w:r>
        <w:t>.</w:t>
      </w:r>
    </w:p>
    <w:p w:rsidR="00677165" w:rsidP="00503349" w:rsidRDefault="00677165" w14:paraId="1EE9DD0C" w14:textId="61D5A2FA">
      <w:pPr>
        <w:pStyle w:val="FoF"/>
      </w:pPr>
      <w:r>
        <w:t>The preliminary scoping memo set forth in I.25-08-007 gave notice to Havasu that the issues raised in K.25-06-028 would be consolidated with this investigation and no party has objected to consolidation.</w:t>
      </w:r>
    </w:p>
    <w:p w:rsidR="004F6DA6" w:rsidP="00503349" w:rsidRDefault="004F6DA6" w14:paraId="3946C0AF" w14:textId="3B221356">
      <w:pPr>
        <w:pStyle w:val="FoF"/>
      </w:pPr>
      <w:proofErr w:type="gramStart"/>
      <w:r>
        <w:t>The March</w:t>
      </w:r>
      <w:proofErr w:type="gramEnd"/>
      <w:r>
        <w:t xml:space="preserve"> 7, </w:t>
      </w:r>
      <w:proofErr w:type="gramStart"/>
      <w:r>
        <w:t>2025</w:t>
      </w:r>
      <w:proofErr w:type="gramEnd"/>
      <w:r>
        <w:t xml:space="preserve"> NOV</w:t>
      </w:r>
      <w:r w:rsidR="000C55D3">
        <w:t xml:space="preserve"> provided Havasu </w:t>
      </w:r>
      <w:r w:rsidR="00517834">
        <w:t xml:space="preserve">sufficient </w:t>
      </w:r>
      <w:r w:rsidR="000C55D3">
        <w:t xml:space="preserve">administrative due process with </w:t>
      </w:r>
      <w:proofErr w:type="gramStart"/>
      <w:r w:rsidR="000C55D3">
        <w:t>a notice</w:t>
      </w:r>
      <w:proofErr w:type="gramEnd"/>
      <w:r w:rsidR="000C55D3">
        <w:t xml:space="preserve"> and hearing.</w:t>
      </w:r>
    </w:p>
    <w:p w:rsidR="000C55D3" w:rsidP="00503349" w:rsidRDefault="002B2E9F" w14:paraId="49EBB7A8" w14:textId="288E1BA8">
      <w:pPr>
        <w:pStyle w:val="FoF"/>
      </w:pPr>
      <w:r>
        <w:t>WD is not required to provide Havasu with prior notice that a citation will be issued.</w:t>
      </w:r>
    </w:p>
    <w:p w:rsidR="002B2E9F" w:rsidP="00503349" w:rsidRDefault="002B2E9F" w14:paraId="025F0975" w14:textId="3FD6634A">
      <w:pPr>
        <w:pStyle w:val="FoF"/>
      </w:pPr>
      <w:r>
        <w:t xml:space="preserve">Havasu </w:t>
      </w:r>
      <w:r w:rsidR="005449D3">
        <w:t xml:space="preserve">has been noncompliant and unresponsive to </w:t>
      </w:r>
      <w:r w:rsidR="00F22887">
        <w:t>the NOV by WD.</w:t>
      </w:r>
    </w:p>
    <w:p w:rsidR="00F22887" w:rsidP="00503349" w:rsidRDefault="00F22887" w14:paraId="460BED26" w14:textId="5BAF948C">
      <w:pPr>
        <w:pStyle w:val="FoF"/>
      </w:pPr>
      <w:r>
        <w:t>Havasu did not provide any documentation to WD regarding the fire hydrants in its service area.</w:t>
      </w:r>
    </w:p>
    <w:p w:rsidR="008E26CE" w:rsidP="00503349" w:rsidRDefault="008E26CE" w14:paraId="2D1C6BAB" w14:textId="288A493E">
      <w:pPr>
        <w:pStyle w:val="FoF"/>
      </w:pPr>
      <w:r>
        <w:t>SBCFD does not execute UFHSA with local water utilities.</w:t>
      </w:r>
    </w:p>
    <w:p w:rsidR="00F22887" w:rsidP="00650DB8" w:rsidRDefault="00F22887" w14:paraId="53998232" w14:textId="4D2F636A">
      <w:pPr>
        <w:pStyle w:val="FoF"/>
      </w:pPr>
      <w:r>
        <w:t>Havasu does not have a UFHSA with SBCFD.</w:t>
      </w:r>
    </w:p>
    <w:p w:rsidR="00DC129E" w:rsidP="001E2A62" w:rsidRDefault="00DC129E" w14:paraId="37774CA6" w14:textId="52EBC3B5">
      <w:pPr>
        <w:pStyle w:val="FoF"/>
      </w:pPr>
      <w:r>
        <w:t xml:space="preserve">From March 2025 to present, Havasu changed </w:t>
      </w:r>
      <w:r w:rsidR="000309F2">
        <w:t>its customers’ water meter</w:t>
      </w:r>
      <w:r w:rsidR="00DE513E">
        <w:t>s</w:t>
      </w:r>
      <w:r w:rsidR="000309F2">
        <w:t xml:space="preserve"> size from </w:t>
      </w:r>
      <w:r w:rsidR="00B87E47">
        <w:t>5/8 x 3/4" to 3/4".</w:t>
      </w:r>
    </w:p>
    <w:p w:rsidR="00650DB8" w:rsidP="001E2A62" w:rsidRDefault="00E256C5" w14:paraId="2BE38D53" w14:textId="30149718">
      <w:pPr>
        <w:pStyle w:val="FoF"/>
      </w:pPr>
      <w:r>
        <w:t>CPED did not provide any authority or citation that supports the contention that a change in customers’ water meters equates to a rate change.</w:t>
      </w:r>
    </w:p>
    <w:p w:rsidR="004E2E2A" w:rsidP="001E2A62" w:rsidRDefault="004E2E2A" w14:paraId="0C960EAD" w14:textId="4EE0A61F">
      <w:pPr>
        <w:pStyle w:val="FoF"/>
      </w:pPr>
      <w:r>
        <w:t>Tariffs 12(B) and (C)</w:t>
      </w:r>
      <w:r w:rsidR="000D1078">
        <w:t xml:space="preserve"> </w:t>
      </w:r>
      <w:r w:rsidR="009B7550">
        <w:t>apply to rate changes by Havasu.</w:t>
      </w:r>
    </w:p>
    <w:p w:rsidR="009B7550" w:rsidP="001E2A62" w:rsidRDefault="009B7550" w14:paraId="2A70048D" w14:textId="29CA7EE4">
      <w:pPr>
        <w:pStyle w:val="FoF"/>
      </w:pPr>
      <w:r>
        <w:t xml:space="preserve">The rate charged by Havasu </w:t>
      </w:r>
      <w:r w:rsidR="009A2DA8">
        <w:t>to its customers remained unchanged</w:t>
      </w:r>
      <w:r w:rsidR="00BB1D7B">
        <w:t xml:space="preserve"> even after the </w:t>
      </w:r>
      <w:r w:rsidR="00C3261F">
        <w:t>customers’ water meters were replaced</w:t>
      </w:r>
      <w:r w:rsidR="00607270">
        <w:t>.</w:t>
      </w:r>
    </w:p>
    <w:p w:rsidR="00B87E47" w:rsidP="001E2A62" w:rsidRDefault="00872296" w14:paraId="781257FC" w14:textId="16CF78E1">
      <w:pPr>
        <w:pStyle w:val="FoF"/>
      </w:pPr>
      <w:r>
        <w:t>On May 8, 2025, Havasu sent an email to W. Tsai of WD</w:t>
      </w:r>
      <w:r w:rsidR="00455207">
        <w:t>.</w:t>
      </w:r>
    </w:p>
    <w:p w:rsidR="00922AD2" w:rsidP="001E2A62" w:rsidRDefault="00922AD2" w14:paraId="3DF62D08" w14:textId="5D1FD7E7">
      <w:pPr>
        <w:pStyle w:val="FoF"/>
      </w:pPr>
      <w:r>
        <w:t xml:space="preserve">CPED failed to provide evidence demonstrating that Havasu’s statements </w:t>
      </w:r>
      <w:r w:rsidR="00517834">
        <w:t xml:space="preserve">in the May 8, </w:t>
      </w:r>
      <w:proofErr w:type="gramStart"/>
      <w:r w:rsidR="00517834">
        <w:t>2025</w:t>
      </w:r>
      <w:proofErr w:type="gramEnd"/>
      <w:r w:rsidR="00517834">
        <w:t xml:space="preserve"> letter </w:t>
      </w:r>
      <w:r>
        <w:t>were misleading.</w:t>
      </w:r>
    </w:p>
    <w:p w:rsidR="00872296" w:rsidP="001E2A62" w:rsidRDefault="00872296" w14:paraId="0E663779" w14:textId="491D8534">
      <w:pPr>
        <w:pStyle w:val="FoF"/>
      </w:pPr>
      <w:r>
        <w:lastRenderedPageBreak/>
        <w:t xml:space="preserve">On May 12, 2025, Havasu sent </w:t>
      </w:r>
      <w:r w:rsidR="00A72F21">
        <w:t>a letter to WD.</w:t>
      </w:r>
    </w:p>
    <w:p w:rsidR="00843F78" w:rsidP="001E2A62" w:rsidRDefault="00843F78" w14:paraId="2EACB537" w14:textId="40F64490">
      <w:pPr>
        <w:pStyle w:val="FoF"/>
      </w:pPr>
      <w:r>
        <w:t xml:space="preserve">CPED failed to </w:t>
      </w:r>
      <w:r w:rsidR="00BD2DCD">
        <w:t>provide authority or citation that supports the contention that an interpretation of a rule that is contrary to its own is a violation of Rule 1.1.</w:t>
      </w:r>
    </w:p>
    <w:p w:rsidR="00A72F21" w:rsidP="001E2A62" w:rsidRDefault="00A72F21" w14:paraId="6F31062F" w14:textId="1ED3A68F">
      <w:pPr>
        <w:pStyle w:val="FoF"/>
      </w:pPr>
      <w:r>
        <w:t>On December 8, 2023, Havasu filed Advice Letter No 52-W.</w:t>
      </w:r>
    </w:p>
    <w:p w:rsidR="00876D73" w:rsidP="00876D73" w:rsidRDefault="00876D73" w14:paraId="69B6F91D" w14:textId="1EFC1122">
      <w:pPr>
        <w:pStyle w:val="FoF"/>
      </w:pPr>
      <w:r>
        <w:t>Havasu Lakeshore Investments filed a complaint with the Commission against Havasu</w:t>
      </w:r>
      <w:r w:rsidR="00517834">
        <w:t xml:space="preserve"> in 2005</w:t>
      </w:r>
      <w:r>
        <w:t>.</w:t>
      </w:r>
    </w:p>
    <w:p w:rsidR="00876D73" w:rsidP="00876D73" w:rsidRDefault="00876D73" w14:paraId="2B7FC07A" w14:textId="254CA8F4">
      <w:pPr>
        <w:pStyle w:val="FoF"/>
      </w:pPr>
      <w:r>
        <w:t>Havasu Lakeshore Investments found an alternative water source and its dispute with Havasu</w:t>
      </w:r>
      <w:r w:rsidR="00517834">
        <w:t xml:space="preserve"> was dismissed in 2006</w:t>
      </w:r>
      <w:r>
        <w:t>.</w:t>
      </w:r>
    </w:p>
    <w:p w:rsidR="00876D73" w:rsidP="00876D73" w:rsidRDefault="00876D73" w14:paraId="5F07D439" w14:textId="77777777">
      <w:pPr>
        <w:pStyle w:val="FoF"/>
      </w:pPr>
      <w:r>
        <w:t>Vista Del Largo community receives its water services from the Chemehuevi Indian Tribe.</w:t>
      </w:r>
    </w:p>
    <w:p w:rsidR="00876D73" w:rsidP="00876D73" w:rsidRDefault="00876D73" w14:paraId="51133A78" w14:textId="349FE465">
      <w:pPr>
        <w:pStyle w:val="FoF"/>
      </w:pPr>
      <w:r>
        <w:t>Havasu added the Vista Del Largo community to its service area in Advice Letter No. 52-W.</w:t>
      </w:r>
    </w:p>
    <w:p w:rsidR="00A72F21" w:rsidP="001E2A62" w:rsidRDefault="00A36115" w14:paraId="58F06593" w14:textId="7B8D180C">
      <w:pPr>
        <w:pStyle w:val="FoF"/>
      </w:pPr>
      <w:r>
        <w:t xml:space="preserve">On October </w:t>
      </w:r>
      <w:r w:rsidR="00AE2AA4">
        <w:t>11, 2024, Havasu received a data request.</w:t>
      </w:r>
    </w:p>
    <w:p w:rsidR="00876D73" w:rsidP="001E2A62" w:rsidRDefault="00876D73" w14:paraId="134FD191" w14:textId="08FA62E6">
      <w:pPr>
        <w:pStyle w:val="FoF"/>
      </w:pPr>
      <w:r>
        <w:t xml:space="preserve">Havasu </w:t>
      </w:r>
      <w:r w:rsidR="006A39FF">
        <w:t xml:space="preserve">acknowledged receipt of the </w:t>
      </w:r>
      <w:r w:rsidR="00517834">
        <w:t xml:space="preserve">October 11, </w:t>
      </w:r>
      <w:proofErr w:type="gramStart"/>
      <w:r w:rsidR="00517834">
        <w:t>2024</w:t>
      </w:r>
      <w:proofErr w:type="gramEnd"/>
      <w:r w:rsidR="00517834">
        <w:t xml:space="preserve"> </w:t>
      </w:r>
      <w:r w:rsidR="006A39FF">
        <w:t xml:space="preserve">data request and informed WD that it is awaiting </w:t>
      </w:r>
      <w:r w:rsidR="0053418C">
        <w:t xml:space="preserve">further information from SBCFD and </w:t>
      </w:r>
      <w:r w:rsidR="00517834">
        <w:t xml:space="preserve">would </w:t>
      </w:r>
      <w:r w:rsidR="0053418C">
        <w:t>provide further information upon receipt.</w:t>
      </w:r>
    </w:p>
    <w:p w:rsidR="00DA40DD" w:rsidP="00DA40DD" w:rsidRDefault="00DA40DD" w14:paraId="59285611" w14:textId="77777777">
      <w:pPr>
        <w:pStyle w:val="FoF"/>
      </w:pPr>
      <w:r>
        <w:t>SBCFD does not execute UFHSA with local water utilities.</w:t>
      </w:r>
    </w:p>
    <w:p w:rsidR="00DA40DD" w:rsidP="00DA40DD" w:rsidRDefault="00DA40DD" w14:paraId="3A417762" w14:textId="7AEAAE28">
      <w:pPr>
        <w:pStyle w:val="FoF"/>
      </w:pPr>
      <w:r>
        <w:t>Havasu does not have a UFHSA with SBCFD.</w:t>
      </w:r>
    </w:p>
    <w:p w:rsidR="007276DD" w:rsidP="007276DD" w:rsidRDefault="00DA40DD" w14:paraId="4AB995EC" w14:textId="1E6019A6">
      <w:pPr>
        <w:pStyle w:val="FoF"/>
      </w:pPr>
      <w:r>
        <w:t>In D.24-03-053, the Commission ordered Havasu to remove all late fees from Complainants’ bills from 2021 forward.</w:t>
      </w:r>
    </w:p>
    <w:p w:rsidR="00AE2AA4" w:rsidP="001E2A62" w:rsidRDefault="00AE2AA4" w14:paraId="337E9A56" w14:textId="7AC69159">
      <w:pPr>
        <w:pStyle w:val="FoF"/>
      </w:pPr>
      <w:r>
        <w:t xml:space="preserve">On </w:t>
      </w:r>
      <w:r w:rsidR="006E775D">
        <w:t>April 8, 202</w:t>
      </w:r>
      <w:r w:rsidR="00F71570">
        <w:t>4</w:t>
      </w:r>
      <w:r w:rsidR="006E775D">
        <w:t>, Havasu sent a bill to Gary Cha</w:t>
      </w:r>
      <w:r w:rsidR="002C7229">
        <w:t>mberlin which included late fees from 2021 forward.</w:t>
      </w:r>
    </w:p>
    <w:p w:rsidR="00D10087" w:rsidP="00C92042" w:rsidRDefault="00C57D68" w14:paraId="5F6AB8BC" w14:textId="77777777">
      <w:pPr>
        <w:pStyle w:val="FoF"/>
      </w:pPr>
      <w:r>
        <w:t xml:space="preserve">On September 14, 2022, </w:t>
      </w:r>
      <w:r w:rsidR="00710FD4">
        <w:t xml:space="preserve">WD issued Citation No. W.22-09-001 to Havasu for failing to comply with </w:t>
      </w:r>
      <w:proofErr w:type="gramStart"/>
      <w:r w:rsidR="00710FD4">
        <w:t>the July</w:t>
      </w:r>
      <w:proofErr w:type="gramEnd"/>
      <w:r w:rsidR="00710FD4">
        <w:t xml:space="preserve"> 26, </w:t>
      </w:r>
      <w:proofErr w:type="gramStart"/>
      <w:r w:rsidR="00710FD4">
        <w:t>2022</w:t>
      </w:r>
      <w:proofErr w:type="gramEnd"/>
      <w:r w:rsidR="00710FD4">
        <w:t xml:space="preserve"> NOV.  </w:t>
      </w:r>
    </w:p>
    <w:p w:rsidRPr="001E2A62" w:rsidR="007934B3" w:rsidP="00C92042" w:rsidRDefault="00551760" w14:paraId="05CB9BE7" w14:textId="08B0C542">
      <w:pPr>
        <w:pStyle w:val="FoF"/>
      </w:pPr>
      <w:r>
        <w:t xml:space="preserve">Citation </w:t>
      </w:r>
      <w:r w:rsidRPr="00517834" w:rsidR="00517834">
        <w:t xml:space="preserve">No. W.22-09-001 </w:t>
      </w:r>
      <w:r>
        <w:t>included a $2,000 penalty that has not been paid to date.</w:t>
      </w:r>
    </w:p>
    <w:p w:rsidR="005939A5" w:rsidP="005939A5" w:rsidRDefault="005939A5" w14:paraId="4AD68789" w14:textId="77777777">
      <w:pPr>
        <w:pStyle w:val="Dummy"/>
      </w:pPr>
      <w:bookmarkStart w:name="_Toc8123726" w:id="64"/>
      <w:bookmarkStart w:name="_Toc221259573" w:id="65"/>
      <w:r>
        <w:lastRenderedPageBreak/>
        <w:t>Conclusions of Law</w:t>
      </w:r>
      <w:bookmarkEnd w:id="64"/>
      <w:bookmarkEnd w:id="65"/>
    </w:p>
    <w:p w:rsidR="00932865" w:rsidP="001530CF" w:rsidRDefault="0084740C" w14:paraId="231A7D78" w14:textId="11567353">
      <w:pPr>
        <w:pStyle w:val="OP"/>
      </w:pPr>
      <w:r>
        <w:t xml:space="preserve">It is reasonable to conclude that </w:t>
      </w:r>
      <w:r w:rsidR="007523EA">
        <w:t>Havasu violated GO 103-A</w:t>
      </w:r>
      <w:r w:rsidR="0019402E">
        <w:t xml:space="preserve"> (II)(2)(A)(2) </w:t>
      </w:r>
      <w:r w:rsidRPr="00B77C13" w:rsidR="00B77C13">
        <w:t xml:space="preserve">when it failed to comply with the </w:t>
      </w:r>
      <w:r w:rsidR="00350475">
        <w:t xml:space="preserve">EPA’s </w:t>
      </w:r>
      <w:r w:rsidRPr="00B77C13" w:rsidR="00B77C13">
        <w:t xml:space="preserve">SDWA from January 2024 to present while incurring two emergency administrative orders and six </w:t>
      </w:r>
      <w:r w:rsidR="00432927">
        <w:t>noncompliance</w:t>
      </w:r>
      <w:r w:rsidRPr="00B77C13" w:rsidR="00B77C13">
        <w:t xml:space="preserve"> notices.</w:t>
      </w:r>
    </w:p>
    <w:p w:rsidRPr="001E2A62" w:rsidR="00136EBE" w:rsidP="001530CF" w:rsidRDefault="00136EBE" w14:paraId="03C9042D" w14:textId="29718925">
      <w:pPr>
        <w:pStyle w:val="OP"/>
      </w:pPr>
      <w:r>
        <w:t>It is reasonable to conclude that Havasu violated GO 103-A</w:t>
      </w:r>
      <w:r w:rsidR="00215C9D">
        <w:t xml:space="preserve"> (II)(2)(A)(1) when it was required by the EPA to issue BWNs to its customers.</w:t>
      </w:r>
    </w:p>
    <w:p w:rsidRPr="001E2A62" w:rsidR="00932865" w:rsidP="001530CF" w:rsidRDefault="00350475" w14:paraId="4A4C313F" w14:textId="0104C66E">
      <w:pPr>
        <w:pStyle w:val="OP"/>
      </w:pPr>
      <w:r>
        <w:t xml:space="preserve">It is reasonable to conclude that Havasu violated </w:t>
      </w:r>
      <w:r w:rsidRPr="00A93A3F" w:rsidR="00A93A3F">
        <w:t>GO 103-A (II)(1)(B) when it continued to place its customers health in jeopardy by violating the DDW’s drinking water standards.</w:t>
      </w:r>
    </w:p>
    <w:p w:rsidR="008F143D" w:rsidP="001530CF" w:rsidRDefault="00A93A3F" w14:paraId="680A10C1" w14:textId="794FF8CA">
      <w:pPr>
        <w:pStyle w:val="OP"/>
      </w:pPr>
      <w:r>
        <w:t xml:space="preserve">It is reasonable to conclude that Havasu </w:t>
      </w:r>
      <w:r w:rsidRPr="00CA5C1C" w:rsidR="00CA5C1C">
        <w:t xml:space="preserve">violated </w:t>
      </w:r>
      <w:r w:rsidR="00CA5C1C">
        <w:t>GO</w:t>
      </w:r>
      <w:r w:rsidRPr="00CA5C1C" w:rsidR="00CA5C1C">
        <w:t xml:space="preserve"> 103-A (</w:t>
      </w:r>
      <w:r w:rsidR="009C72D1">
        <w:t>I</w:t>
      </w:r>
      <w:r w:rsidRPr="00CA5C1C" w:rsidR="00CA5C1C">
        <w:t>II)(8)(</w:t>
      </w:r>
      <w:r w:rsidR="00D10087">
        <w:t>B</w:t>
      </w:r>
      <w:r w:rsidRPr="00CA5C1C" w:rsidR="00CA5C1C">
        <w:t xml:space="preserve">), </w:t>
      </w:r>
      <w:r w:rsidR="00057BF6">
        <w:t xml:space="preserve">when it failed to have an operable backup generator from March 21, </w:t>
      </w:r>
      <w:proofErr w:type="gramStart"/>
      <w:r w:rsidR="00057BF6">
        <w:t>2022</w:t>
      </w:r>
      <w:proofErr w:type="gramEnd"/>
      <w:r w:rsidR="00057BF6">
        <w:t xml:space="preserve"> to March 2</w:t>
      </w:r>
      <w:r w:rsidR="009C72D1">
        <w:t>9</w:t>
      </w:r>
      <w:r w:rsidR="00057BF6">
        <w:t>, 2022.</w:t>
      </w:r>
    </w:p>
    <w:p w:rsidRPr="00E03C03" w:rsidR="00E03C03" w:rsidP="001530CF" w:rsidRDefault="008C615C" w14:paraId="01D61AB6" w14:textId="73C5D1A8">
      <w:pPr>
        <w:pStyle w:val="OP"/>
      </w:pPr>
      <w:r>
        <w:t xml:space="preserve">It is reasonable to conclude that Havasu </w:t>
      </w:r>
      <w:r w:rsidRPr="00E03C03" w:rsidR="00E03C03">
        <w:t xml:space="preserve">violated GO 103-A (II)(3)(A)(1) when it failed to provide its </w:t>
      </w:r>
      <w:proofErr w:type="gramStart"/>
      <w:r w:rsidRPr="00E03C03" w:rsidR="00E03C03">
        <w:t>customers</w:t>
      </w:r>
      <w:proofErr w:type="gramEnd"/>
      <w:r w:rsidRPr="00E03C03" w:rsidR="00E03C03">
        <w:t xml:space="preserve"> an alternate source of water during the </w:t>
      </w:r>
      <w:r w:rsidRPr="00695744" w:rsidR="00695744">
        <w:t xml:space="preserve">March 21, </w:t>
      </w:r>
      <w:proofErr w:type="gramStart"/>
      <w:r w:rsidRPr="00695744" w:rsidR="00695744">
        <w:t>2022</w:t>
      </w:r>
      <w:proofErr w:type="gramEnd"/>
      <w:r w:rsidRPr="00695744" w:rsidR="00695744">
        <w:t xml:space="preserve"> through March 29, </w:t>
      </w:r>
      <w:proofErr w:type="gramStart"/>
      <w:r w:rsidRPr="00695744" w:rsidR="00695744">
        <w:t>2022</w:t>
      </w:r>
      <w:proofErr w:type="gramEnd"/>
      <w:r w:rsidR="00695744">
        <w:t xml:space="preserve"> </w:t>
      </w:r>
      <w:r w:rsidRPr="00E03C03" w:rsidR="00E03C03">
        <w:t>water outage.</w:t>
      </w:r>
    </w:p>
    <w:p w:rsidR="00E93DC3" w:rsidP="001530CF" w:rsidRDefault="00E03C03" w14:paraId="1F720CA1" w14:textId="4F006339">
      <w:pPr>
        <w:pStyle w:val="OP"/>
      </w:pPr>
      <w:r>
        <w:t xml:space="preserve">It is reasonable to conclude that Havasu </w:t>
      </w:r>
      <w:r w:rsidRPr="00E24D10" w:rsidR="00E24D10">
        <w:t>violated GO 103A (II)(2)(A)(3) when it failed to notify the W</w:t>
      </w:r>
      <w:r w:rsidR="005012E0">
        <w:t>D</w:t>
      </w:r>
      <w:r w:rsidRPr="00E24D10" w:rsidR="00E24D10">
        <w:t xml:space="preserve"> of the water outage that occurred between March 21, </w:t>
      </w:r>
      <w:proofErr w:type="gramStart"/>
      <w:r w:rsidRPr="00E24D10" w:rsidR="00E24D10">
        <w:t>2022</w:t>
      </w:r>
      <w:proofErr w:type="gramEnd"/>
      <w:r w:rsidRPr="00E24D10" w:rsidR="00E24D10">
        <w:t xml:space="preserve"> through March 2</w:t>
      </w:r>
      <w:r w:rsidR="00B55CB0">
        <w:t>9</w:t>
      </w:r>
      <w:r w:rsidRPr="00E24D10" w:rsidR="00E24D10">
        <w:t>, 2022.</w:t>
      </w:r>
    </w:p>
    <w:p w:rsidR="00E24D10" w:rsidP="001530CF" w:rsidRDefault="00E24D10" w14:paraId="4016A038" w14:textId="6F55274B">
      <w:pPr>
        <w:pStyle w:val="OP"/>
      </w:pPr>
      <w:r>
        <w:t xml:space="preserve">It is reasonable to conclude that Havasu </w:t>
      </w:r>
      <w:r w:rsidR="001B303F">
        <w:t xml:space="preserve">violated </w:t>
      </w:r>
      <w:r w:rsidRPr="001B303F" w:rsidR="001B303F">
        <w:t>CCR, Title 22, section 64413.5 when it failed to have the required certified operators at its facility</w:t>
      </w:r>
      <w:r w:rsidR="00B55CB0">
        <w:t xml:space="preserve"> between March 21, </w:t>
      </w:r>
      <w:proofErr w:type="gramStart"/>
      <w:r w:rsidR="00B55CB0">
        <w:t>2022</w:t>
      </w:r>
      <w:proofErr w:type="gramEnd"/>
      <w:r w:rsidR="00B55CB0">
        <w:t xml:space="preserve"> through March 29, 2022</w:t>
      </w:r>
      <w:r w:rsidRPr="001B303F" w:rsidR="001B303F">
        <w:t>.</w:t>
      </w:r>
    </w:p>
    <w:p w:rsidR="001B303F" w:rsidP="001530CF" w:rsidRDefault="001B303F" w14:paraId="062E8DFF" w14:textId="47C13923">
      <w:pPr>
        <w:pStyle w:val="OP"/>
      </w:pPr>
      <w:r>
        <w:t xml:space="preserve">It is reasonable to conclude that </w:t>
      </w:r>
      <w:r w:rsidR="0015754C">
        <w:t xml:space="preserve">Havasu </w:t>
      </w:r>
      <w:r w:rsidRPr="0015754C" w:rsidR="0015754C">
        <w:t xml:space="preserve">violated Pub. Util. Code § 702 when it failed to comply with </w:t>
      </w:r>
      <w:r w:rsidR="004E3FCA">
        <w:t>WD’s</w:t>
      </w:r>
      <w:r w:rsidRPr="0015754C" w:rsidR="0015754C">
        <w:t xml:space="preserve"> orders, directives and rules from March 2022 through </w:t>
      </w:r>
      <w:r w:rsidR="004E3FCA">
        <w:t>May 2025</w:t>
      </w:r>
      <w:r w:rsidRPr="0015754C" w:rsidR="0015754C">
        <w:t>.</w:t>
      </w:r>
    </w:p>
    <w:p w:rsidR="0015754C" w:rsidP="001530CF" w:rsidRDefault="0015754C" w14:paraId="3EEC196E" w14:textId="3328F41D">
      <w:pPr>
        <w:pStyle w:val="OP"/>
      </w:pPr>
      <w:r>
        <w:lastRenderedPageBreak/>
        <w:t xml:space="preserve">It is reasonable to conclude that Havasu </w:t>
      </w:r>
      <w:r w:rsidRPr="006C4920" w:rsidR="006C4920">
        <w:t xml:space="preserve">did not violate Pub. Util. Code § 702 when it did not respond to WD’s September </w:t>
      </w:r>
      <w:proofErr w:type="gramStart"/>
      <w:r w:rsidRPr="006C4920" w:rsidR="006C4920">
        <w:t>22 ,</w:t>
      </w:r>
      <w:proofErr w:type="gramEnd"/>
      <w:r w:rsidRPr="006C4920" w:rsidR="006C4920">
        <w:t xml:space="preserve"> 2025 data request because discovery requests that are not complied with must be brought to the attention of the ALJ through a motion to compel which was not done here.</w:t>
      </w:r>
    </w:p>
    <w:p w:rsidR="006C4920" w:rsidP="001530CF" w:rsidRDefault="006C4920" w14:paraId="6080494C" w14:textId="33060E4E">
      <w:pPr>
        <w:pStyle w:val="OP"/>
      </w:pPr>
      <w:r>
        <w:t xml:space="preserve">It is reasonable to conclude that Havasu </w:t>
      </w:r>
      <w:r w:rsidRPr="00A551AE" w:rsidR="00A551AE">
        <w:t xml:space="preserve">violated Pub. Util. Code § 702 when it did not comply with D.24-03-053, </w:t>
      </w:r>
      <w:r w:rsidR="00184BB2">
        <w:t>O</w:t>
      </w:r>
      <w:r w:rsidRPr="00A551AE" w:rsidR="00A551AE">
        <w:t xml:space="preserve">rdering </w:t>
      </w:r>
      <w:r w:rsidR="00184BB2">
        <w:t>P</w:t>
      </w:r>
      <w:r w:rsidRPr="00A551AE" w:rsidR="00A551AE">
        <w:t xml:space="preserve">aragraph 1, which states that Havasu shall remove all late fees from the </w:t>
      </w:r>
      <w:proofErr w:type="gramStart"/>
      <w:r w:rsidRPr="00A551AE" w:rsidR="00A551AE">
        <w:t>Complainants</w:t>
      </w:r>
      <w:proofErr w:type="gramEnd"/>
      <w:r w:rsidRPr="00A551AE" w:rsidR="00A551AE">
        <w:t xml:space="preserve"> bills from 2021 forward.  </w:t>
      </w:r>
    </w:p>
    <w:p w:rsidR="00A551AE" w:rsidP="001530CF" w:rsidRDefault="00A551AE" w14:paraId="27323680" w14:textId="2DD5FDA0">
      <w:pPr>
        <w:pStyle w:val="OP"/>
      </w:pPr>
      <w:r>
        <w:t xml:space="preserve">It is reasonable to conclude that Havasu </w:t>
      </w:r>
      <w:r w:rsidRPr="00345097" w:rsidR="00345097">
        <w:t xml:space="preserve">violated Pub. Util. Code § 2713(a) and GO 103-A (VII)(2)(B) when it failed to </w:t>
      </w:r>
      <w:r w:rsidRPr="00855B8D" w:rsidR="00855B8D">
        <w:t>when it failed to inspect, repair and replace fire hydrants in its service area.</w:t>
      </w:r>
    </w:p>
    <w:p w:rsidR="00345097" w:rsidP="001530CF" w:rsidRDefault="00345097" w14:paraId="3875D035" w14:textId="4922F979">
      <w:pPr>
        <w:pStyle w:val="OP"/>
      </w:pPr>
      <w:r>
        <w:t xml:space="preserve">It is reasonable to conclude that Havasu violated </w:t>
      </w:r>
      <w:r w:rsidRPr="00CA28B8" w:rsidR="00CA28B8">
        <w:t>GO 103-A (II)(C)(</w:t>
      </w:r>
      <w:r w:rsidR="00A264A8">
        <w:t>3</w:t>
      </w:r>
      <w:r w:rsidRPr="00CA28B8" w:rsidR="00CA28B8">
        <w:t xml:space="preserve">) when on </w:t>
      </w:r>
      <w:r w:rsidR="003D16AA">
        <w:t>four</w:t>
      </w:r>
      <w:r w:rsidRPr="00CA28B8" w:rsidR="00CA28B8">
        <w:t xml:space="preserve"> incidents where Havasu had to perform excavation or repair work within the public right-of-way, Havasu failed to repair ground surface to at least its original condition.</w:t>
      </w:r>
    </w:p>
    <w:p w:rsidR="00AE586C" w:rsidP="001530CF" w:rsidRDefault="00AE586C" w14:paraId="164E8929" w14:textId="4366412E">
      <w:pPr>
        <w:pStyle w:val="OP"/>
      </w:pPr>
      <w:r>
        <w:t xml:space="preserve">It is reasonable to conclude that Havasu violated Pub. Util. Code </w:t>
      </w:r>
      <w:r w:rsidR="0072110C">
        <w:t xml:space="preserve">§ 2713(a) and GO 103-A (VII)(2)(B) when it failed to inspect, repair and replace </w:t>
      </w:r>
      <w:proofErr w:type="gramStart"/>
      <w:r w:rsidR="0072110C">
        <w:t>its fire</w:t>
      </w:r>
      <w:proofErr w:type="gramEnd"/>
      <w:r w:rsidR="0072110C">
        <w:t xml:space="preserve"> hydrants in its service area.</w:t>
      </w:r>
    </w:p>
    <w:p w:rsidR="00CA28B8" w:rsidP="001530CF" w:rsidRDefault="00CA28B8" w14:paraId="18D554F5" w14:textId="6B73525C">
      <w:pPr>
        <w:pStyle w:val="OP"/>
      </w:pPr>
      <w:r>
        <w:t xml:space="preserve">It is reasonable to conclude that Havasu </w:t>
      </w:r>
      <w:r w:rsidRPr="004C6C97" w:rsidR="004C6C97">
        <w:t xml:space="preserve">did not violate Pub. Util. Code § 702 and did not violate Tariff 12 (B) and (C) when it changed the </w:t>
      </w:r>
      <w:r w:rsidR="00967130">
        <w:t xml:space="preserve">water </w:t>
      </w:r>
      <w:r w:rsidRPr="004C6C97" w:rsidR="004C6C97">
        <w:t>meter size of its customers from 5/8 x 3/4" to 3/4"</w:t>
      </w:r>
      <w:r w:rsidR="004C6C97">
        <w:t xml:space="preserve"> because changing water size meters is not equivalent to a rate change.</w:t>
      </w:r>
    </w:p>
    <w:p w:rsidR="0021601C" w:rsidP="001530CF" w:rsidRDefault="0021601C" w14:paraId="1636564E" w14:textId="5183C914">
      <w:pPr>
        <w:pStyle w:val="OP"/>
      </w:pPr>
      <w:r>
        <w:t>It is reasonable to conclude that Havasu did not violate Rule 1.1 with it</w:t>
      </w:r>
      <w:r w:rsidR="0070584C">
        <w:t>s</w:t>
      </w:r>
      <w:r>
        <w:t xml:space="preserve"> May 8, </w:t>
      </w:r>
      <w:proofErr w:type="gramStart"/>
      <w:r>
        <w:t>2025</w:t>
      </w:r>
      <w:proofErr w:type="gramEnd"/>
      <w:r>
        <w:t xml:space="preserve"> letter because CPED failed to meet its burden</w:t>
      </w:r>
      <w:r w:rsidR="0070584C">
        <w:t>.</w:t>
      </w:r>
    </w:p>
    <w:p w:rsidR="0070584C" w:rsidP="001530CF" w:rsidRDefault="0070584C" w14:paraId="3BA7CCD1" w14:textId="51E597BE">
      <w:pPr>
        <w:pStyle w:val="OP"/>
      </w:pPr>
      <w:r>
        <w:t xml:space="preserve">It is reasonable to conclude that Havasu did not violate Rule 1.1 with its May 12, </w:t>
      </w:r>
      <w:proofErr w:type="gramStart"/>
      <w:r>
        <w:t>2025</w:t>
      </w:r>
      <w:proofErr w:type="gramEnd"/>
      <w:r>
        <w:t xml:space="preserve"> letter because </w:t>
      </w:r>
      <w:r w:rsidR="00E90B7B">
        <w:t>a party is entitled to interpret the law differently</w:t>
      </w:r>
      <w:r w:rsidR="001D11DF">
        <w:t>.</w:t>
      </w:r>
    </w:p>
    <w:p w:rsidR="001D11DF" w:rsidP="001530CF" w:rsidRDefault="001D11DF" w14:paraId="124946E4" w14:textId="3EA7AC23">
      <w:pPr>
        <w:pStyle w:val="OP"/>
      </w:pPr>
      <w:r>
        <w:lastRenderedPageBreak/>
        <w:t xml:space="preserve">It is reasonable to conclude that Havasu violated Rule 1.1 with its December 8, </w:t>
      </w:r>
      <w:proofErr w:type="gramStart"/>
      <w:r>
        <w:t>2023</w:t>
      </w:r>
      <w:proofErr w:type="gramEnd"/>
      <w:r>
        <w:t xml:space="preserve"> Advice Letter because </w:t>
      </w:r>
      <w:r w:rsidR="00BD0B8B">
        <w:t>it contained incorrect information.</w:t>
      </w:r>
    </w:p>
    <w:p w:rsidR="00BD0B8B" w:rsidP="001530CF" w:rsidRDefault="00BD0B8B" w14:paraId="6E0CA999" w14:textId="7F83D648">
      <w:pPr>
        <w:pStyle w:val="OP"/>
      </w:pPr>
      <w:r>
        <w:t>It is reasonable to conclude that Havasu violated Rule 1.1 when it failed to respond to WD</w:t>
      </w:r>
      <w:r w:rsidR="00C45F88">
        <w:t>’s</w:t>
      </w:r>
      <w:r>
        <w:t xml:space="preserve"> October 11, </w:t>
      </w:r>
      <w:proofErr w:type="gramStart"/>
      <w:r>
        <w:t>2024</w:t>
      </w:r>
      <w:proofErr w:type="gramEnd"/>
      <w:r>
        <w:t xml:space="preserve"> data request.</w:t>
      </w:r>
    </w:p>
    <w:p w:rsidR="00BD0B8B" w:rsidP="001530CF" w:rsidRDefault="009A4C4A" w14:paraId="57B18CD3" w14:textId="6F6E456D">
      <w:pPr>
        <w:pStyle w:val="OP"/>
      </w:pPr>
      <w:r>
        <w:t xml:space="preserve">It is reasonable to conclude that Havasu </w:t>
      </w:r>
      <w:r w:rsidR="00C45F88">
        <w:t xml:space="preserve">did not violate Rule 1.1 when it failed to respond to WD’s September </w:t>
      </w:r>
      <w:proofErr w:type="gramStart"/>
      <w:r w:rsidR="00C45F88">
        <w:t>22 ,</w:t>
      </w:r>
      <w:proofErr w:type="gramEnd"/>
      <w:r w:rsidR="00C45F88">
        <w:t xml:space="preserve"> 2025 data request because CPED did </w:t>
      </w:r>
      <w:r w:rsidR="002749F8">
        <w:t>not file a motion to compel.</w:t>
      </w:r>
    </w:p>
    <w:p w:rsidR="00B85A31" w:rsidP="001530CF" w:rsidRDefault="00B85A31" w14:paraId="6DD9B56E" w14:textId="42C1EB51">
      <w:pPr>
        <w:pStyle w:val="OP"/>
      </w:pPr>
      <w:r>
        <w:t xml:space="preserve">It is reasonable to conclude that Havasu should be fined </w:t>
      </w:r>
      <w:r w:rsidR="00D63CCF">
        <w:t xml:space="preserve">an amount of $500 for failing to </w:t>
      </w:r>
      <w:r w:rsidRPr="00D63CCF" w:rsidR="00D63CCF">
        <w:t xml:space="preserve">comply with D.24-03-053, </w:t>
      </w:r>
      <w:r w:rsidR="00184BB2">
        <w:t>O</w:t>
      </w:r>
      <w:r w:rsidRPr="00D63CCF" w:rsidR="00D63CCF">
        <w:t xml:space="preserve">rdering </w:t>
      </w:r>
      <w:r w:rsidR="00184BB2">
        <w:t>P</w:t>
      </w:r>
      <w:r w:rsidRPr="00D63CCF" w:rsidR="00D63CCF">
        <w:t xml:space="preserve">aragraph 1, which states that Havasu shall remove all late fees from the </w:t>
      </w:r>
      <w:proofErr w:type="gramStart"/>
      <w:r w:rsidRPr="00D63CCF" w:rsidR="00D63CCF">
        <w:t>Complainants</w:t>
      </w:r>
      <w:proofErr w:type="gramEnd"/>
      <w:r w:rsidRPr="00D63CCF" w:rsidR="00D63CCF">
        <w:t xml:space="preserve"> bills from 2021 forward.  </w:t>
      </w:r>
    </w:p>
    <w:p w:rsidR="002749F8" w:rsidP="001530CF" w:rsidRDefault="002749F8" w14:paraId="27DD24AF" w14:textId="2448BB6A">
      <w:pPr>
        <w:pStyle w:val="OP"/>
      </w:pPr>
      <w:r>
        <w:t xml:space="preserve">It is reasonable to conclude that Havasu </w:t>
      </w:r>
      <w:r w:rsidR="008F3120">
        <w:t xml:space="preserve">should be </w:t>
      </w:r>
      <w:r w:rsidR="008607C1">
        <w:t xml:space="preserve">fined an additional amount of </w:t>
      </w:r>
      <w:r w:rsidR="00045F3F">
        <w:t>$500</w:t>
      </w:r>
      <w:r w:rsidR="008607C1">
        <w:t xml:space="preserve"> for failing to pay the penalty for Citation No. W.22-09-001.</w:t>
      </w:r>
    </w:p>
    <w:p w:rsidR="00D63CCF" w:rsidP="001530CF" w:rsidRDefault="00D63CCF" w14:paraId="28FAA454" w14:textId="476F2924">
      <w:pPr>
        <w:pStyle w:val="OP"/>
      </w:pPr>
      <w:r>
        <w:t xml:space="preserve">It is reasonable to conclude that Havasu should be fined an amount of $20,000 for </w:t>
      </w:r>
      <w:r w:rsidR="00125872">
        <w:t>intentionally misleading the Commission with respect to the inspection, repair and maintenance of a</w:t>
      </w:r>
      <w:r w:rsidR="00743829">
        <w:t>ll Havasu’s fire hydrants in its service area.</w:t>
      </w:r>
    </w:p>
    <w:p w:rsidR="001530CF" w:rsidP="001530CF" w:rsidRDefault="001530CF" w14:paraId="1B7C20F7" w14:textId="77777777">
      <w:pPr>
        <w:pStyle w:val="OP"/>
      </w:pPr>
      <w:r>
        <w:t>Havasu’s long history of noncompliance and unresponsiveness to Commission rules and orders and its inability and unwillingness to adequately serve its customers requires external intervention to protect its infrastructure and its customers.</w:t>
      </w:r>
    </w:p>
    <w:p w:rsidR="008E4456" w:rsidP="001530CF" w:rsidRDefault="008E4456" w14:paraId="3D9DFDA8" w14:textId="332AFD9C">
      <w:pPr>
        <w:pStyle w:val="OP"/>
      </w:pPr>
      <w:r>
        <w:t xml:space="preserve">All pending motions which have not yet been expressly ruled upon by the assigned </w:t>
      </w:r>
      <w:r w:rsidR="00F04BCE">
        <w:t>Administrative Law Judge</w:t>
      </w:r>
      <w:r>
        <w:t xml:space="preserve">, should be denied. </w:t>
      </w:r>
    </w:p>
    <w:p w:rsidRPr="001E2A62" w:rsidR="00B60C51" w:rsidP="001530CF" w:rsidRDefault="00F04BCE" w14:paraId="6531B844" w14:textId="3A8B06E2">
      <w:pPr>
        <w:pStyle w:val="OP"/>
      </w:pPr>
      <w:r>
        <w:t xml:space="preserve">I.25-08-007 </w:t>
      </w:r>
      <w:r w:rsidR="00B60C51">
        <w:t>should be</w:t>
      </w:r>
      <w:r w:rsidRPr="001E2A62" w:rsidR="00B60C51">
        <w:t xml:space="preserve"> closed.</w:t>
      </w:r>
    </w:p>
    <w:p w:rsidR="00BB0243" w:rsidP="000A6E05" w:rsidRDefault="005939A5" w14:paraId="3F770815" w14:textId="77777777">
      <w:pPr>
        <w:pStyle w:val="Mainex"/>
      </w:pPr>
      <w:bookmarkStart w:name="_Toc221259574" w:id="66"/>
      <w:r>
        <w:lastRenderedPageBreak/>
        <w:t>O</w:t>
      </w:r>
      <w:r w:rsidR="00722850">
        <w:t>RDER</w:t>
      </w:r>
      <w:bookmarkEnd w:id="66"/>
    </w:p>
    <w:p w:rsidRPr="009C7450" w:rsidR="008E4456" w:rsidP="009C7450" w:rsidRDefault="00BB0243" w14:paraId="0742C667" w14:textId="5C431974">
      <w:pPr>
        <w:keepNext/>
      </w:pPr>
      <w:r w:rsidRPr="00BB0243">
        <w:rPr>
          <w:b/>
        </w:rPr>
        <w:t>IT IS ORDERED</w:t>
      </w:r>
      <w:r>
        <w:t xml:space="preserve"> that:</w:t>
      </w:r>
    </w:p>
    <w:p w:rsidR="0072787A" w:rsidP="00596466" w:rsidRDefault="001530CF" w14:paraId="53048AD3" w14:textId="7C58048E">
      <w:pPr>
        <w:pStyle w:val="OP"/>
        <w:numPr>
          <w:ilvl w:val="0"/>
          <w:numId w:val="35"/>
        </w:numPr>
      </w:pPr>
      <w:r>
        <w:t>T</w:t>
      </w:r>
      <w:r w:rsidRPr="001530CF">
        <w:t xml:space="preserve">he Consumer Protection Enforcement Division’s request to petition </w:t>
      </w:r>
      <w:r>
        <w:t xml:space="preserve">for </w:t>
      </w:r>
      <w:r w:rsidRPr="001530CF">
        <w:t xml:space="preserve">a receivership in California Superior Court for the Havasu Water Company is granted </w:t>
      </w:r>
      <w:r>
        <w:t>because</w:t>
      </w:r>
      <w:r w:rsidR="006559E8">
        <w:t xml:space="preserve"> Havasu Water Company has failed </w:t>
      </w:r>
      <w:r w:rsidRPr="002D1F80" w:rsidR="002D1F80">
        <w:t xml:space="preserve">to comply with the laws, rules and regulations governing the </w:t>
      </w:r>
      <w:proofErr w:type="gramStart"/>
      <w:r w:rsidRPr="002D1F80" w:rsidR="002D1F80">
        <w:t>manner in which</w:t>
      </w:r>
      <w:proofErr w:type="gramEnd"/>
      <w:r w:rsidRPr="002D1F80" w:rsidR="002D1F80">
        <w:t xml:space="preserve"> consumers are provided with safe and reliable water service</w:t>
      </w:r>
      <w:r w:rsidR="00D659DB">
        <w:t xml:space="preserve">.  </w:t>
      </w:r>
    </w:p>
    <w:p w:rsidR="00677165" w:rsidP="006607D8" w:rsidRDefault="00677165" w14:paraId="655108EF" w14:textId="019084C6">
      <w:pPr>
        <w:pStyle w:val="OP"/>
      </w:pPr>
      <w:r>
        <w:t>Citation appeal K.25-06-028 is consolidated with Investigation 25-08-007.</w:t>
      </w:r>
    </w:p>
    <w:p w:rsidR="00F77467" w:rsidP="006607D8" w:rsidRDefault="00CD7145" w14:paraId="05C97CA8" w14:textId="017DDB9C">
      <w:pPr>
        <w:pStyle w:val="OP"/>
      </w:pPr>
      <w:r>
        <w:t>Decision</w:t>
      </w:r>
      <w:r w:rsidR="001C60AB">
        <w:t xml:space="preserve"> 24-03-05</w:t>
      </w:r>
      <w:r w:rsidR="00C614C5">
        <w:t>3</w:t>
      </w:r>
      <w:r w:rsidR="001C60AB">
        <w:t xml:space="preserve"> </w:t>
      </w:r>
      <w:r w:rsidR="003218C1">
        <w:t xml:space="preserve">is </w:t>
      </w:r>
      <w:r w:rsidR="004F4CA7">
        <w:t>affirmed</w:t>
      </w:r>
      <w:r w:rsidR="00900F2A">
        <w:t>.</w:t>
      </w:r>
    </w:p>
    <w:p w:rsidR="00CB3968" w:rsidP="006607D8" w:rsidRDefault="00CB3968" w14:paraId="0D97FE22" w14:textId="73BEC009">
      <w:pPr>
        <w:pStyle w:val="OP"/>
      </w:pPr>
      <w:r>
        <w:t>Citation</w:t>
      </w:r>
      <w:r w:rsidR="00C55F02">
        <w:t xml:space="preserve"> </w:t>
      </w:r>
      <w:r w:rsidR="00D76543">
        <w:t>W</w:t>
      </w:r>
      <w:r w:rsidR="00C55F02">
        <w:t>.25</w:t>
      </w:r>
      <w:r w:rsidR="00D76543">
        <w:t>-05-001</w:t>
      </w:r>
      <w:r w:rsidR="000032BB">
        <w:t xml:space="preserve"> is affirmed</w:t>
      </w:r>
      <w:r w:rsidR="00B93532">
        <w:t xml:space="preserve"> and Havasu Water Company shall pay </w:t>
      </w:r>
      <w:r w:rsidRPr="00B93532" w:rsidR="00B93532">
        <w:t xml:space="preserve">$10,000 by check or money order, payable to the California Public Utilities Commission (Commission) and mailed or delivered to the Commission’s Fiscal Office at 505 Van Ness Avenue, Room 3000, San Francisco, CA 94102, within 60 days from the date that this decision is issued.  Havasu shall write on the face of the check or money order “For deposit to the state General Fund pursuant to </w:t>
      </w:r>
      <w:r w:rsidR="00B93532">
        <w:t xml:space="preserve">Citation W.25-05-001 and Decision </w:t>
      </w:r>
      <w:r w:rsidR="00345141">
        <w:t>26-06-010</w:t>
      </w:r>
      <w:r w:rsidR="000032BB">
        <w:t>.</w:t>
      </w:r>
      <w:r w:rsidR="00B93532">
        <w:t>”</w:t>
      </w:r>
    </w:p>
    <w:p w:rsidR="000F343D" w:rsidP="00033A27" w:rsidRDefault="00906B28" w14:paraId="306CEDFE" w14:textId="531F3010">
      <w:pPr>
        <w:pStyle w:val="OP"/>
      </w:pPr>
      <w:r>
        <w:t xml:space="preserve">Havasu Water Company shall pay </w:t>
      </w:r>
      <w:r w:rsidR="009F1B65">
        <w:t>$2</w:t>
      </w:r>
      <w:r w:rsidR="0072787A">
        <w:t>3</w:t>
      </w:r>
      <w:r w:rsidR="009F1B65">
        <w:t>,000</w:t>
      </w:r>
      <w:r w:rsidR="00C6269D">
        <w:t xml:space="preserve"> </w:t>
      </w:r>
      <w:r w:rsidRPr="00FC3C3D" w:rsidR="00C6269D">
        <w:t>($500 penalty for failing to comply with D.24-03-053</w:t>
      </w:r>
      <w:r w:rsidRPr="00FC3C3D">
        <w:t>,</w:t>
      </w:r>
      <w:r w:rsidRPr="00FC3C3D" w:rsidR="00C6269D">
        <w:t xml:space="preserve"> $500 penalty for failing to pay the penalty for Citation No. W.22-09-001</w:t>
      </w:r>
      <w:r w:rsidRPr="00FC3C3D" w:rsidR="007E39D4">
        <w:t>, $2,000</w:t>
      </w:r>
      <w:r w:rsidRPr="00FC3C3D" w:rsidR="00B4477C">
        <w:t xml:space="preserve"> </w:t>
      </w:r>
      <w:r w:rsidRPr="00FC3C3D" w:rsidR="00527173">
        <w:t>for the initial penalty for Citation No. W.22-09-001</w:t>
      </w:r>
      <w:r w:rsidRPr="00FC3C3D" w:rsidR="00C6269D">
        <w:t xml:space="preserve"> and $20,000 penalty for failing to comply with October 11, 2024 data request)</w:t>
      </w:r>
      <w:r>
        <w:t xml:space="preserve"> by check or money order, </w:t>
      </w:r>
      <w:r w:rsidRPr="00A0069A" w:rsidR="00A0069A">
        <w:t xml:space="preserve">payable to the California Public Utilities Commission (Commission) and mailed or delivered to the Commission’s Fiscal Office at 505 Van Ness Avenue, Room 3000, San Francisco, CA 94102, within </w:t>
      </w:r>
      <w:r w:rsidR="003915D9">
        <w:t>6</w:t>
      </w:r>
      <w:r w:rsidRPr="00A0069A" w:rsidR="00A0069A">
        <w:t xml:space="preserve">0 days from the date that this decision is issued. </w:t>
      </w:r>
      <w:r w:rsidR="008C2122">
        <w:t xml:space="preserve"> Havasu</w:t>
      </w:r>
      <w:r w:rsidRPr="00A0069A" w:rsidR="00A0069A">
        <w:t xml:space="preserve"> shall write on the face of the check or money order “For deposit to the state General Fund pursuant to Decision </w:t>
      </w:r>
      <w:r w:rsidR="00345141">
        <w:t>26-06-010</w:t>
      </w:r>
      <w:r w:rsidRPr="00A0069A" w:rsidR="00A0069A">
        <w:t xml:space="preserve">.” </w:t>
      </w:r>
    </w:p>
    <w:p w:rsidR="008108E4" w:rsidP="008108E4" w:rsidRDefault="008108E4" w14:paraId="5D2EAB1E" w14:textId="058BCDAC">
      <w:pPr>
        <w:pStyle w:val="OP"/>
      </w:pPr>
      <w:r w:rsidRPr="008108E4">
        <w:lastRenderedPageBreak/>
        <w:t xml:space="preserve">All pending motions </w:t>
      </w:r>
      <w:r w:rsidRPr="008E4456" w:rsidR="008E4456">
        <w:t xml:space="preserve">which have not yet been expressly ruled upon by the </w:t>
      </w:r>
      <w:r w:rsidRPr="008108E4">
        <w:t>Administrative Law Judge are denied.</w:t>
      </w:r>
    </w:p>
    <w:p w:rsidR="00B93532" w:rsidP="00B93532" w:rsidRDefault="00B93532" w14:paraId="32E4DE43" w14:textId="77777777">
      <w:pPr>
        <w:pStyle w:val="OP"/>
      </w:pPr>
      <w:bookmarkStart w:name="_Hlk140738463" w:id="67"/>
      <w:r>
        <w:t xml:space="preserve">Citation appeal </w:t>
      </w:r>
      <w:r w:rsidRPr="008E07E4">
        <w:t>K.25-06-028</w:t>
      </w:r>
      <w:r>
        <w:t xml:space="preserve"> is closed.</w:t>
      </w:r>
    </w:p>
    <w:p w:rsidR="00F6397D" w:rsidP="00B3087D" w:rsidRDefault="008C2122" w14:paraId="3013627D" w14:textId="3936C1CE">
      <w:pPr>
        <w:pStyle w:val="OP"/>
      </w:pPr>
      <w:r>
        <w:t>I</w:t>
      </w:r>
      <w:r w:rsidR="006607D8">
        <w:t xml:space="preserve">nvestigation </w:t>
      </w:r>
      <w:r>
        <w:t xml:space="preserve">25-08-007 </w:t>
      </w:r>
      <w:r w:rsidRPr="001E2A62" w:rsidR="00E23CBB">
        <w:t>is closed.</w:t>
      </w:r>
    </w:p>
    <w:bookmarkEnd w:id="67"/>
    <w:p w:rsidR="008F0116" w:rsidP="008F0116" w:rsidRDefault="008F0116" w14:paraId="72B615EC" w14:textId="77777777">
      <w:r>
        <w:t>This order is effective today.</w:t>
      </w:r>
    </w:p>
    <w:p w:rsidR="00714CF2" w:rsidP="00816E05" w:rsidRDefault="008F0116" w14:paraId="4E73E7A2" w14:textId="69EF81B6">
      <w:r>
        <w:t>Date</w:t>
      </w:r>
      <w:r w:rsidR="00B27F58">
        <w:t xml:space="preserve"> June 11, 2026</w:t>
      </w:r>
      <w:r w:rsidR="00225221">
        <w:t>,</w:t>
      </w:r>
      <w:r w:rsidR="00B27F58">
        <w:t xml:space="preserve"> at Sacramento,</w:t>
      </w:r>
      <w:r>
        <w:t xml:space="preserve"> California</w:t>
      </w:r>
      <w:r w:rsidR="00B27F58">
        <w:t>.</w:t>
      </w:r>
    </w:p>
    <w:p w:rsidR="00B27F58" w:rsidP="00816E05" w:rsidRDefault="00B27F58" w14:paraId="63C5C448" w14:textId="77777777"/>
    <w:p w:rsidRPr="00B27F58" w:rsidR="00B27F58" w:rsidP="00B27F58" w:rsidRDefault="00B27F58" w14:paraId="03641380" w14:textId="77777777">
      <w:pPr>
        <w:autoSpaceDE w:val="0"/>
        <w:autoSpaceDN w:val="0"/>
        <w:adjustRightInd w:val="0"/>
        <w:spacing w:line="240" w:lineRule="auto"/>
        <w:ind w:left="3600"/>
        <w:jc w:val="both"/>
        <w:rPr>
          <w:rFonts w:cs="Times New Roman"/>
          <w:szCs w:val="20"/>
        </w:rPr>
      </w:pPr>
      <w:r w:rsidRPr="00B27F58">
        <w:rPr>
          <w:rFonts w:cs="Times New Roman"/>
          <w:szCs w:val="20"/>
        </w:rPr>
        <w:t>JOHN REYNOLDS</w:t>
      </w:r>
    </w:p>
    <w:p w:rsidRPr="00B27F58" w:rsidR="00B27F58" w:rsidP="00B27F58" w:rsidRDefault="00B27F58" w14:paraId="314CBE90" w14:textId="77777777">
      <w:pPr>
        <w:autoSpaceDE w:val="0"/>
        <w:autoSpaceDN w:val="0"/>
        <w:adjustRightInd w:val="0"/>
        <w:spacing w:line="240" w:lineRule="auto"/>
        <w:jc w:val="both"/>
        <w:rPr>
          <w:rFonts w:cs="Times New Roman"/>
          <w:szCs w:val="20"/>
        </w:rPr>
      </w:pPr>
      <w:r w:rsidRPr="00B27F58">
        <w:rPr>
          <w:rFonts w:cs="Times New Roman"/>
          <w:szCs w:val="20"/>
        </w:rPr>
        <w:tab/>
      </w:r>
      <w:r w:rsidRPr="00B27F58">
        <w:rPr>
          <w:rFonts w:cs="Times New Roman"/>
          <w:szCs w:val="20"/>
        </w:rPr>
        <w:tab/>
      </w:r>
      <w:r w:rsidRPr="00B27F58">
        <w:rPr>
          <w:rFonts w:cs="Times New Roman"/>
          <w:szCs w:val="20"/>
        </w:rPr>
        <w:tab/>
      </w:r>
      <w:r w:rsidRPr="00B27F58">
        <w:rPr>
          <w:rFonts w:cs="Times New Roman"/>
          <w:szCs w:val="20"/>
        </w:rPr>
        <w:tab/>
      </w:r>
      <w:r w:rsidRPr="00B27F58">
        <w:rPr>
          <w:rFonts w:cs="Times New Roman"/>
          <w:szCs w:val="20"/>
        </w:rPr>
        <w:tab/>
        <w:t xml:space="preserve">                       President</w:t>
      </w:r>
    </w:p>
    <w:p w:rsidRPr="00B27F58" w:rsidR="00B27F58" w:rsidP="00B27F58" w:rsidRDefault="00B27F58" w14:paraId="68376277" w14:textId="77777777">
      <w:pPr>
        <w:autoSpaceDE w:val="0"/>
        <w:autoSpaceDN w:val="0"/>
        <w:adjustRightInd w:val="0"/>
        <w:spacing w:line="240" w:lineRule="auto"/>
        <w:ind w:left="3600"/>
        <w:jc w:val="both"/>
        <w:rPr>
          <w:rFonts w:cs="Times New Roman"/>
          <w:szCs w:val="20"/>
        </w:rPr>
      </w:pPr>
      <w:r w:rsidRPr="00B27F58">
        <w:rPr>
          <w:rFonts w:cs="Times New Roman"/>
          <w:szCs w:val="20"/>
        </w:rPr>
        <w:t>DARCIE L. HOUCK</w:t>
      </w:r>
    </w:p>
    <w:p w:rsidRPr="00B27F58" w:rsidR="00B27F58" w:rsidP="00B27F58" w:rsidRDefault="00B27F58" w14:paraId="2FC96C5D" w14:textId="77777777">
      <w:pPr>
        <w:autoSpaceDE w:val="0"/>
        <w:autoSpaceDN w:val="0"/>
        <w:adjustRightInd w:val="0"/>
        <w:spacing w:line="240" w:lineRule="auto"/>
        <w:ind w:left="3600"/>
        <w:jc w:val="both"/>
        <w:rPr>
          <w:rFonts w:eastAsia="Times New Roman" w:cs="Calibri"/>
          <w:color w:val="000000"/>
          <w:szCs w:val="26"/>
        </w:rPr>
      </w:pPr>
      <w:r w:rsidRPr="00B27F58">
        <w:rPr>
          <w:rFonts w:eastAsia="Times New Roman" w:cs="Calibri"/>
          <w:color w:val="000000"/>
          <w:szCs w:val="26"/>
        </w:rPr>
        <w:t>KAREN DOUGLAS</w:t>
      </w:r>
    </w:p>
    <w:p w:rsidRPr="00B27F58" w:rsidR="00B27F58" w:rsidP="00B27F58" w:rsidRDefault="00B27F58" w14:paraId="5D4EEC4C" w14:textId="77777777">
      <w:pPr>
        <w:autoSpaceDE w:val="0"/>
        <w:autoSpaceDN w:val="0"/>
        <w:adjustRightInd w:val="0"/>
        <w:spacing w:line="240" w:lineRule="auto"/>
        <w:ind w:left="3600"/>
        <w:jc w:val="both"/>
        <w:rPr>
          <w:rFonts w:eastAsia="Times New Roman" w:cs="Calibri"/>
          <w:color w:val="000000"/>
          <w:szCs w:val="26"/>
        </w:rPr>
      </w:pPr>
      <w:r w:rsidRPr="00B27F58">
        <w:rPr>
          <w:rFonts w:eastAsia="Times New Roman" w:cs="Calibri"/>
          <w:color w:val="000000"/>
          <w:szCs w:val="26"/>
        </w:rPr>
        <w:t>MATTHEW BAKER</w:t>
      </w:r>
    </w:p>
    <w:p w:rsidRPr="00B27F58" w:rsidR="00B27F58" w:rsidP="00B27F58" w:rsidRDefault="00B27F58" w14:paraId="37CC0883" w14:textId="77777777">
      <w:pPr>
        <w:autoSpaceDE w:val="0"/>
        <w:autoSpaceDN w:val="0"/>
        <w:adjustRightInd w:val="0"/>
        <w:spacing w:line="240" w:lineRule="auto"/>
        <w:ind w:left="3600"/>
        <w:jc w:val="both"/>
        <w:rPr>
          <w:rFonts w:cs="Times New Roman"/>
          <w:szCs w:val="20"/>
        </w:rPr>
      </w:pPr>
      <w:r w:rsidRPr="00B27F58">
        <w:rPr>
          <w:rFonts w:cs="Times New Roman"/>
          <w:szCs w:val="20"/>
        </w:rPr>
        <w:t>CHRISTINE HARADA</w:t>
      </w:r>
    </w:p>
    <w:p w:rsidRPr="00B27F58" w:rsidR="00B27F58" w:rsidP="00B27F58" w:rsidRDefault="00B27F58" w14:paraId="296F4875" w14:textId="77777777">
      <w:pPr>
        <w:autoSpaceDE w:val="0"/>
        <w:autoSpaceDN w:val="0"/>
        <w:adjustRightInd w:val="0"/>
        <w:spacing w:line="240" w:lineRule="auto"/>
        <w:ind w:left="4320"/>
        <w:jc w:val="both"/>
        <w:rPr>
          <w:rFonts w:cs="Times New Roman"/>
          <w:szCs w:val="20"/>
        </w:rPr>
      </w:pPr>
      <w:r w:rsidRPr="00B27F58">
        <w:rPr>
          <w:rFonts w:cs="Times New Roman"/>
          <w:szCs w:val="20"/>
        </w:rPr>
        <w:t xml:space="preserve">            Commissioners</w:t>
      </w:r>
    </w:p>
    <w:p w:rsidRPr="00714CF2" w:rsidR="00B27F58" w:rsidP="00816E05" w:rsidRDefault="00B27F58" w14:paraId="2DFDF9C7" w14:textId="77777777"/>
    <w:sectPr w:rsidRPr="00714CF2" w:rsidR="00B27F58" w:rsidSect="00A460ED">
      <w:headerReference w:type="default" r:id="rId17"/>
      <w:footerReference w:type="default" r:id="rId18"/>
      <w:pgSz w:w="12240" w:h="15840"/>
      <w:pgMar w:top="1728"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04269" w14:textId="77777777" w:rsidR="00D023CD" w:rsidRDefault="00D023CD" w:rsidP="0098138E">
      <w:pPr>
        <w:spacing w:line="240" w:lineRule="auto"/>
      </w:pPr>
      <w:r>
        <w:separator/>
      </w:r>
    </w:p>
  </w:endnote>
  <w:endnote w:type="continuationSeparator" w:id="0">
    <w:p w14:paraId="5324F22E" w14:textId="77777777" w:rsidR="00D023CD" w:rsidRDefault="00D023CD"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6B2F4" w14:textId="73445052" w:rsidR="00F92385" w:rsidRDefault="00F92385" w:rsidP="007E0FEE">
    <w:pPr>
      <w:ind w:firstLine="0"/>
      <w:jc w:val="center"/>
    </w:pPr>
    <w:r>
      <w:t>-</w:t>
    </w:r>
    <w:sdt>
      <w:sdtPr>
        <w:id w:val="-14722089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00C3" w14:textId="536146D4" w:rsidR="00632207" w:rsidRDefault="00000000" w:rsidP="007E0FEE">
    <w:pPr>
      <w:tabs>
        <w:tab w:val="center" w:pos="4680"/>
      </w:tabs>
      <w:ind w:firstLine="0"/>
      <w:rPr>
        <w:noProof/>
      </w:rPr>
    </w:pPr>
    <w:sdt>
      <w:sdtPr>
        <w:id w:val="-1352874971"/>
        <w:docPartObj>
          <w:docPartGallery w:val="Page Numbers (Bottom of Page)"/>
          <w:docPartUnique/>
        </w:docPartObj>
      </w:sdtPr>
      <w:sdtEndPr>
        <w:rPr>
          <w:noProof/>
        </w:rPr>
      </w:sdtEndPr>
      <w:sdtContent>
        <w:r w:rsidR="00386CC0" w:rsidRPr="00386CC0">
          <w:rPr>
            <w:rFonts w:cs="Arial"/>
            <w:sz w:val="16"/>
            <w:szCs w:val="16"/>
          </w:rPr>
          <w:t>608875124</w:t>
        </w:r>
        <w:r w:rsidR="00632207">
          <w:rPr>
            <w:rFonts w:ascii="Arial" w:hAnsi="Arial" w:cs="Arial"/>
            <w:sz w:val="16"/>
            <w:szCs w:val="16"/>
          </w:rPr>
          <w:tab/>
        </w:r>
        <w:r w:rsidR="00F92385">
          <w:t>-</w:t>
        </w:r>
        <w:r w:rsidR="00EE4315">
          <w:t xml:space="preserve"> </w:t>
        </w:r>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sdtContent>
    </w:sdt>
    <w:r w:rsidR="00EE4315">
      <w:rPr>
        <w:noProof/>
      </w:rPr>
      <w:t xml:space="preserve"> </w:t>
    </w:r>
    <w:r w:rsidR="00F92385">
      <w:rPr>
        <w:noProof/>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91E97" w14:textId="22FA46F4"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3C35" w14:textId="4B118318"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FEC18" w14:textId="77777777" w:rsidR="00D023CD" w:rsidRDefault="00D023CD" w:rsidP="00DF58E7">
      <w:pPr>
        <w:spacing w:line="240" w:lineRule="auto"/>
        <w:ind w:firstLine="0"/>
      </w:pPr>
      <w:r>
        <w:separator/>
      </w:r>
    </w:p>
  </w:footnote>
  <w:footnote w:type="continuationSeparator" w:id="0">
    <w:p w14:paraId="737A01FA" w14:textId="77777777" w:rsidR="00D023CD" w:rsidRDefault="00D023CD" w:rsidP="00DF58E7">
      <w:pPr>
        <w:spacing w:line="240" w:lineRule="auto"/>
        <w:ind w:firstLine="0"/>
      </w:pPr>
      <w:r>
        <w:continuationSeparator/>
      </w:r>
    </w:p>
  </w:footnote>
  <w:footnote w:type="continuationNotice" w:id="1">
    <w:p w14:paraId="75A066FE" w14:textId="77777777" w:rsidR="00D023CD" w:rsidRPr="00DF58E7" w:rsidRDefault="00D023CD"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0EFBF0EA" w14:textId="0E60FDE0" w:rsidR="00A129B4" w:rsidRDefault="00A129B4">
      <w:pPr>
        <w:pStyle w:val="FootnoteText"/>
      </w:pPr>
      <w:r>
        <w:rPr>
          <w:rStyle w:val="FootnoteReference"/>
        </w:rPr>
        <w:footnoteRef/>
      </w:r>
      <w:r>
        <w:t xml:space="preserve"> </w:t>
      </w:r>
      <w:r>
        <w:rPr>
          <w:sz w:val="20"/>
        </w:rPr>
        <w:t xml:space="preserve">As defined by </w:t>
      </w:r>
      <w:r w:rsidR="009D03BB">
        <w:rPr>
          <w:sz w:val="20"/>
        </w:rPr>
        <w:t>General Order (</w:t>
      </w:r>
      <w:r>
        <w:rPr>
          <w:sz w:val="20"/>
        </w:rPr>
        <w:t>GO</w:t>
      </w:r>
      <w:r w:rsidR="009D03BB">
        <w:rPr>
          <w:sz w:val="20"/>
        </w:rPr>
        <w:t>)</w:t>
      </w:r>
      <w:r>
        <w:rPr>
          <w:sz w:val="20"/>
        </w:rPr>
        <w:t xml:space="preserve"> 96-B Water Industry Rules Section 1.2, Class D investor-owned water utilities are those with less than 500 service connections. </w:t>
      </w:r>
      <w:r>
        <w:t xml:space="preserve"> </w:t>
      </w:r>
    </w:p>
  </w:footnote>
  <w:footnote w:id="3">
    <w:p w14:paraId="73AE44AD" w14:textId="0752B485" w:rsidR="00FE3E3C" w:rsidRDefault="00FE3E3C">
      <w:pPr>
        <w:pStyle w:val="FootnoteText"/>
      </w:pPr>
      <w:r>
        <w:rPr>
          <w:rStyle w:val="FootnoteReference"/>
        </w:rPr>
        <w:footnoteRef/>
      </w:r>
      <w:r>
        <w:t xml:space="preserve"> All references to Rule or Rules are to the Commission’s Rules of Practice and Procedure unless otherwise specified.</w:t>
      </w:r>
    </w:p>
  </w:footnote>
  <w:footnote w:id="4">
    <w:p w14:paraId="618FF10E" w14:textId="3457E5FF" w:rsidR="007E70D6" w:rsidRDefault="007E70D6">
      <w:pPr>
        <w:pStyle w:val="FootnoteText"/>
      </w:pPr>
      <w:r>
        <w:rPr>
          <w:rStyle w:val="FootnoteReference"/>
        </w:rPr>
        <w:footnoteRef/>
      </w:r>
      <w:r>
        <w:t xml:space="preserve"> </w:t>
      </w:r>
      <w:r w:rsidR="00824025">
        <w:t xml:space="preserve">Exhibit 1, Attachment </w:t>
      </w:r>
      <w:r w:rsidR="00B37EE3">
        <w:t xml:space="preserve">4, Document 1 </w:t>
      </w:r>
      <w:r w:rsidR="00824025">
        <w:t xml:space="preserve">at </w:t>
      </w:r>
      <w:r w:rsidR="00B37EE3">
        <w:t>2-3</w:t>
      </w:r>
      <w:r w:rsidR="00824025">
        <w:t>.</w:t>
      </w:r>
    </w:p>
  </w:footnote>
  <w:footnote w:id="5">
    <w:p w14:paraId="70FC9821" w14:textId="50D0291F" w:rsidR="00BE08F3" w:rsidRDefault="00BE08F3">
      <w:pPr>
        <w:pStyle w:val="FootnoteText"/>
      </w:pPr>
      <w:r>
        <w:rPr>
          <w:rStyle w:val="FootnoteReference"/>
        </w:rPr>
        <w:footnoteRef/>
      </w:r>
      <w:r>
        <w:t xml:space="preserve"> Id.</w:t>
      </w:r>
    </w:p>
  </w:footnote>
  <w:footnote w:id="6">
    <w:p w14:paraId="6FD8C2BF" w14:textId="77777777" w:rsidR="00B71D85" w:rsidRPr="003C3442" w:rsidRDefault="00B71D85" w:rsidP="00B71D85">
      <w:pPr>
        <w:pStyle w:val="FootnoteText"/>
        <w:rPr>
          <w:szCs w:val="22"/>
        </w:rPr>
      </w:pPr>
      <w:r w:rsidRPr="003C3442">
        <w:rPr>
          <w:rStyle w:val="FootnoteReference"/>
          <w:szCs w:val="22"/>
        </w:rPr>
        <w:footnoteRef/>
      </w:r>
      <w:r w:rsidRPr="003C3442">
        <w:rPr>
          <w:szCs w:val="22"/>
        </w:rPr>
        <w:t xml:space="preserve"> Pub. Util. Code § 216(a).</w:t>
      </w:r>
    </w:p>
  </w:footnote>
  <w:footnote w:id="7">
    <w:p w14:paraId="12FD62B9" w14:textId="471C5B02" w:rsidR="00835409" w:rsidRDefault="00835409">
      <w:pPr>
        <w:pStyle w:val="FootnoteText"/>
      </w:pPr>
      <w:r>
        <w:rPr>
          <w:rStyle w:val="FootnoteReference"/>
        </w:rPr>
        <w:footnoteRef/>
      </w:r>
      <w:r>
        <w:t xml:space="preserve"> </w:t>
      </w:r>
      <w:r w:rsidR="008F43AB">
        <w:t xml:space="preserve">Decision (D.) </w:t>
      </w:r>
      <w:r w:rsidR="00053AD5">
        <w:t>68790 at 1-2.  Havasu Water Company was</w:t>
      </w:r>
      <w:r w:rsidR="009C74EE">
        <w:t xml:space="preserve"> granted a certificate of public convenience and necessity</w:t>
      </w:r>
      <w:r w:rsidR="00080B52">
        <w:t xml:space="preserve"> in 1962 by the Commission.</w:t>
      </w:r>
    </w:p>
  </w:footnote>
  <w:footnote w:id="8">
    <w:p w14:paraId="0CFCC1F8" w14:textId="79512125" w:rsidR="00080B52" w:rsidRDefault="00080B52">
      <w:pPr>
        <w:pStyle w:val="FootnoteText"/>
      </w:pPr>
      <w:r>
        <w:rPr>
          <w:rStyle w:val="FootnoteReference"/>
        </w:rPr>
        <w:footnoteRef/>
      </w:r>
      <w:r>
        <w:t xml:space="preserve"> Id.</w:t>
      </w:r>
    </w:p>
  </w:footnote>
  <w:footnote w:id="9">
    <w:p w14:paraId="35E43034" w14:textId="669D5D9D" w:rsidR="008150F8" w:rsidRDefault="008150F8" w:rsidP="00ED1272">
      <w:pPr>
        <w:pStyle w:val="Default"/>
      </w:pPr>
      <w:r>
        <w:rPr>
          <w:rStyle w:val="FootnoteReference"/>
        </w:rPr>
        <w:footnoteRef/>
      </w:r>
      <w:r>
        <w:t xml:space="preserve"> </w:t>
      </w:r>
      <w:r w:rsidR="00ED1272" w:rsidRPr="00B37EE3">
        <w:rPr>
          <w:sz w:val="22"/>
          <w:szCs w:val="22"/>
        </w:rPr>
        <w:t xml:space="preserve">See </w:t>
      </w:r>
      <w:r w:rsidR="00ED1272">
        <w:rPr>
          <w:sz w:val="22"/>
          <w:szCs w:val="22"/>
        </w:rPr>
        <w:t>D.57597</w:t>
      </w:r>
      <w:r w:rsidR="006A6CED">
        <w:rPr>
          <w:sz w:val="22"/>
          <w:szCs w:val="22"/>
        </w:rPr>
        <w:t xml:space="preserve"> at </w:t>
      </w:r>
      <w:r w:rsidR="00ED1272">
        <w:rPr>
          <w:sz w:val="22"/>
          <w:szCs w:val="22"/>
        </w:rPr>
        <w:t>8</w:t>
      </w:r>
      <w:r w:rsidR="006A6CED">
        <w:rPr>
          <w:sz w:val="22"/>
          <w:szCs w:val="22"/>
        </w:rPr>
        <w:t xml:space="preserve">.  </w:t>
      </w:r>
      <w:r w:rsidR="003E7A42">
        <w:rPr>
          <w:sz w:val="22"/>
          <w:szCs w:val="22"/>
        </w:rPr>
        <w:t>“</w:t>
      </w:r>
      <w:r w:rsidR="00ED1272">
        <w:rPr>
          <w:sz w:val="22"/>
          <w:szCs w:val="22"/>
        </w:rPr>
        <w:t xml:space="preserve">Proceedings instituted on the Commission’s own motion such as this case, are basically disciplinary in nature because the penalties that might </w:t>
      </w:r>
      <w:r w:rsidR="006A6CED">
        <w:rPr>
          <w:sz w:val="22"/>
          <w:szCs w:val="22"/>
        </w:rPr>
        <w:t xml:space="preserve">flow </w:t>
      </w:r>
      <w:r w:rsidR="00ED1272">
        <w:rPr>
          <w:sz w:val="22"/>
          <w:szCs w:val="22"/>
        </w:rPr>
        <w:t>from the Commission’s decision may result in suspension or revocation of operative rights granted by the State.</w:t>
      </w:r>
      <w:r w:rsidR="00B37EE3">
        <w:rPr>
          <w:sz w:val="22"/>
          <w:szCs w:val="22"/>
        </w:rPr>
        <w:t xml:space="preserve">  </w:t>
      </w:r>
      <w:r w:rsidR="00ED1272">
        <w:rPr>
          <w:sz w:val="22"/>
          <w:szCs w:val="22"/>
        </w:rPr>
        <w:t>The burden of proof is upon the staff to prove the charges made.</w:t>
      </w:r>
      <w:r w:rsidR="003E7A42">
        <w:rPr>
          <w:sz w:val="22"/>
          <w:szCs w:val="22"/>
        </w:rPr>
        <w:t>”</w:t>
      </w:r>
      <w:r w:rsidR="006A6CED">
        <w:rPr>
          <w:sz w:val="22"/>
          <w:szCs w:val="22"/>
        </w:rPr>
        <w:t xml:space="preserve">  </w:t>
      </w:r>
      <w:r w:rsidR="00ED1272">
        <w:rPr>
          <w:sz w:val="22"/>
          <w:szCs w:val="22"/>
        </w:rPr>
        <w:t>Evidence Code §115</w:t>
      </w:r>
      <w:r w:rsidR="006A6CED">
        <w:rPr>
          <w:sz w:val="22"/>
          <w:szCs w:val="22"/>
        </w:rPr>
        <w:t xml:space="preserve">.  </w:t>
      </w:r>
      <w:r w:rsidR="003E7A42">
        <w:rPr>
          <w:sz w:val="22"/>
          <w:szCs w:val="22"/>
        </w:rPr>
        <w:t>“</w:t>
      </w:r>
      <w:r w:rsidR="00ED1272">
        <w:rPr>
          <w:sz w:val="22"/>
          <w:szCs w:val="22"/>
        </w:rPr>
        <w:t>Except as otherwise provided by law, the burden of proof requires proof by a preponderance of the evidence.</w:t>
      </w:r>
      <w:r w:rsidR="003E7A42">
        <w:rPr>
          <w:sz w:val="22"/>
          <w:szCs w:val="22"/>
        </w:rPr>
        <w:t>”</w:t>
      </w:r>
    </w:p>
  </w:footnote>
  <w:footnote w:id="10">
    <w:p w14:paraId="24F1592F" w14:textId="11583BF4" w:rsidR="00365DEE" w:rsidRDefault="00365DEE">
      <w:pPr>
        <w:pStyle w:val="FootnoteText"/>
      </w:pPr>
      <w:r>
        <w:rPr>
          <w:rStyle w:val="FootnoteReference"/>
        </w:rPr>
        <w:footnoteRef/>
      </w:r>
      <w:r>
        <w:t xml:space="preserve"> </w:t>
      </w:r>
      <w:r w:rsidR="00361CEA">
        <w:t>Preliminary Scoping Memo at 1.</w:t>
      </w:r>
    </w:p>
  </w:footnote>
  <w:footnote w:id="11">
    <w:p w14:paraId="7218FC0C" w14:textId="04D27BEB" w:rsidR="0037319F" w:rsidRDefault="0037319F">
      <w:pPr>
        <w:pStyle w:val="FootnoteText"/>
      </w:pPr>
      <w:r>
        <w:rPr>
          <w:rStyle w:val="FootnoteReference"/>
        </w:rPr>
        <w:footnoteRef/>
      </w:r>
      <w:r>
        <w:t xml:space="preserve"> Id.</w:t>
      </w:r>
    </w:p>
  </w:footnote>
  <w:footnote w:id="12">
    <w:p w14:paraId="35782371" w14:textId="10358C7C" w:rsidR="002F23F5" w:rsidRDefault="002F23F5">
      <w:pPr>
        <w:pStyle w:val="FootnoteText"/>
      </w:pPr>
      <w:r>
        <w:rPr>
          <w:rStyle w:val="FootnoteReference"/>
        </w:rPr>
        <w:footnoteRef/>
      </w:r>
      <w:r>
        <w:t xml:space="preserve"> Havasu</w:t>
      </w:r>
      <w:r w:rsidR="00685D4D">
        <w:t xml:space="preserve"> Response dated October 9, 2025</w:t>
      </w:r>
      <w:r>
        <w:t xml:space="preserve"> at 1.</w:t>
      </w:r>
    </w:p>
  </w:footnote>
  <w:footnote w:id="13">
    <w:p w14:paraId="29C66373" w14:textId="355731EA" w:rsidR="003C7C77" w:rsidRDefault="003C7C77">
      <w:pPr>
        <w:pStyle w:val="FootnoteText"/>
      </w:pPr>
      <w:r>
        <w:rPr>
          <w:rStyle w:val="FootnoteReference"/>
        </w:rPr>
        <w:footnoteRef/>
      </w:r>
      <w:r>
        <w:t xml:space="preserve"> </w:t>
      </w:r>
      <w:r w:rsidR="00294A06">
        <w:t>Id. at 2.</w:t>
      </w:r>
    </w:p>
  </w:footnote>
  <w:footnote w:id="14">
    <w:p w14:paraId="2DDCBFDC" w14:textId="5A8AB952" w:rsidR="00FF2ACE" w:rsidRDefault="00FF2ACE">
      <w:pPr>
        <w:pStyle w:val="FootnoteText"/>
      </w:pPr>
      <w:r>
        <w:rPr>
          <w:rStyle w:val="FootnoteReference"/>
        </w:rPr>
        <w:footnoteRef/>
      </w:r>
      <w:r>
        <w:t xml:space="preserve"> Id.</w:t>
      </w:r>
      <w:r w:rsidR="005D1B09">
        <w:t xml:space="preserve">  Havasu is </w:t>
      </w:r>
      <w:r w:rsidR="00437C5F">
        <w:t xml:space="preserve">referring to </w:t>
      </w:r>
      <w:r w:rsidR="0010720A" w:rsidRPr="0010720A">
        <w:rPr>
          <w:i/>
          <w:iCs/>
        </w:rPr>
        <w:t>Chemehuevi Indian Tribe v. Havasu Water Co. et al.</w:t>
      </w:r>
      <w:r w:rsidR="0010720A">
        <w:t>, No. EDCV 20-471-GW-KKx.</w:t>
      </w:r>
      <w:r w:rsidR="00657D34">
        <w:t xml:space="preserve">  Here, </w:t>
      </w:r>
      <w:r w:rsidR="001671AF">
        <w:t xml:space="preserve">in Federal Court, </w:t>
      </w:r>
      <w:r w:rsidR="00657D34">
        <w:t>Havasu is disputing that an easement for a supply line across Chemehuevi Indian Tribe (CIT) expired in 2006.  A Federal Court ruled that Havasu is trespassing on CIT tribal lands because the easement terms have not bee</w:t>
      </w:r>
      <w:r w:rsidR="00EF51EB">
        <w:t>n</w:t>
      </w:r>
      <w:r w:rsidR="00657D34">
        <w:t xml:space="preserve"> re-negotiated</w:t>
      </w:r>
      <w:r w:rsidR="00C34441">
        <w:t xml:space="preserve"> and granted CIT’s motion for ejectment</w:t>
      </w:r>
      <w:r w:rsidR="00DB354A">
        <w:t xml:space="preserve"> of Havasu’s infrastructure on CIT’s </w:t>
      </w:r>
      <w:r w:rsidR="00A46901">
        <w:t>land</w:t>
      </w:r>
      <w:r w:rsidR="00C34441">
        <w:t>.</w:t>
      </w:r>
    </w:p>
  </w:footnote>
  <w:footnote w:id="15">
    <w:p w14:paraId="1A3D3CBE" w14:textId="21ECFC74" w:rsidR="00B86258" w:rsidRDefault="00B86258">
      <w:pPr>
        <w:pStyle w:val="FootnoteText"/>
      </w:pPr>
      <w:r>
        <w:rPr>
          <w:rStyle w:val="FootnoteReference"/>
        </w:rPr>
        <w:footnoteRef/>
      </w:r>
      <w:r>
        <w:t xml:space="preserve"> </w:t>
      </w:r>
      <w:r w:rsidR="00302CBA">
        <w:t xml:space="preserve">Havasu </w:t>
      </w:r>
      <w:r w:rsidR="00685D4D">
        <w:t>Response dated October 17, 2025</w:t>
      </w:r>
      <w:r w:rsidR="00302CBA">
        <w:t xml:space="preserve"> at 4. </w:t>
      </w:r>
    </w:p>
  </w:footnote>
  <w:footnote w:id="16">
    <w:p w14:paraId="6A5038B2" w14:textId="13C51EAA" w:rsidR="00131C29" w:rsidRDefault="00131C29">
      <w:pPr>
        <w:pStyle w:val="FootnoteText"/>
      </w:pPr>
      <w:r>
        <w:rPr>
          <w:rStyle w:val="FootnoteReference"/>
        </w:rPr>
        <w:footnoteRef/>
      </w:r>
      <w:r>
        <w:t xml:space="preserve"> Id</w:t>
      </w:r>
      <w:r w:rsidR="00302CBA">
        <w:t xml:space="preserve"> at 4-5.</w:t>
      </w:r>
    </w:p>
  </w:footnote>
  <w:footnote w:id="17">
    <w:p w14:paraId="7F92DA91" w14:textId="096988C1" w:rsidR="004658DB" w:rsidRDefault="004658DB">
      <w:pPr>
        <w:pStyle w:val="FootnoteText"/>
      </w:pPr>
      <w:r>
        <w:rPr>
          <w:rStyle w:val="FootnoteReference"/>
        </w:rPr>
        <w:footnoteRef/>
      </w:r>
      <w:r>
        <w:t xml:space="preserve"> Pub. Util. Code </w:t>
      </w:r>
      <w:r w:rsidR="00323371">
        <w:t xml:space="preserve">§ </w:t>
      </w:r>
      <w:r>
        <w:t>1826.</w:t>
      </w:r>
    </w:p>
  </w:footnote>
  <w:footnote w:id="18">
    <w:p w14:paraId="7C9AC8A0" w14:textId="3FF4418E" w:rsidR="00F439BD" w:rsidRDefault="00F439BD" w:rsidP="00F439BD">
      <w:pPr>
        <w:pStyle w:val="FootnoteText"/>
      </w:pPr>
      <w:r>
        <w:rPr>
          <w:rStyle w:val="FootnoteReference"/>
        </w:rPr>
        <w:footnoteRef/>
      </w:r>
      <w:r>
        <w:t xml:space="preserve"> </w:t>
      </w:r>
      <w:r w:rsidR="00685D4D">
        <w:t xml:space="preserve">The EPA’s website is currently located at: </w:t>
      </w:r>
      <w:hyperlink r:id="rId1" w:history="1">
        <w:r w:rsidRPr="00685D4D">
          <w:rPr>
            <w:rStyle w:val="Hyperlink"/>
          </w:rPr>
          <w:t>https://www.epa.gov/sdwa/overview-safe-drinking-water-act</w:t>
        </w:r>
      </w:hyperlink>
    </w:p>
  </w:footnote>
  <w:footnote w:id="19">
    <w:p w14:paraId="590FA5C6" w14:textId="77777777" w:rsidR="00F439BD" w:rsidRDefault="00F439BD" w:rsidP="00F439BD">
      <w:pPr>
        <w:pStyle w:val="FootnoteText"/>
      </w:pPr>
      <w:r>
        <w:rPr>
          <w:rStyle w:val="FootnoteReference"/>
        </w:rPr>
        <w:footnoteRef/>
      </w:r>
      <w:r>
        <w:t xml:space="preserve"> Id.</w:t>
      </w:r>
    </w:p>
  </w:footnote>
  <w:footnote w:id="20">
    <w:p w14:paraId="48577C50" w14:textId="77777777" w:rsidR="00F439BD" w:rsidRDefault="00F439BD" w:rsidP="00F439BD">
      <w:pPr>
        <w:pStyle w:val="FootnoteText"/>
      </w:pPr>
      <w:r>
        <w:rPr>
          <w:rStyle w:val="FootnoteReference"/>
        </w:rPr>
        <w:footnoteRef/>
      </w:r>
      <w:r>
        <w:t xml:space="preserve"> Id.</w:t>
      </w:r>
    </w:p>
  </w:footnote>
  <w:footnote w:id="21">
    <w:p w14:paraId="42AA1E9B" w14:textId="4BA7A297" w:rsidR="00C72D3A" w:rsidRDefault="00C72D3A" w:rsidP="00C72D3A">
      <w:pPr>
        <w:pStyle w:val="FootnoteText"/>
      </w:pPr>
      <w:r>
        <w:rPr>
          <w:rStyle w:val="FootnoteReference"/>
        </w:rPr>
        <w:footnoteRef/>
      </w:r>
      <w:r>
        <w:t xml:space="preserve"> Exhibit 2, Attachment 1</w:t>
      </w:r>
      <w:r w:rsidR="00B839F9">
        <w:t>6</w:t>
      </w:r>
      <w:r>
        <w:t xml:space="preserve"> at 1.</w:t>
      </w:r>
    </w:p>
  </w:footnote>
  <w:footnote w:id="22">
    <w:p w14:paraId="1364E6D2" w14:textId="77777777" w:rsidR="00C72D3A" w:rsidRDefault="00C72D3A" w:rsidP="00C72D3A">
      <w:pPr>
        <w:pStyle w:val="FootnoteText"/>
      </w:pPr>
      <w:r>
        <w:rPr>
          <w:rStyle w:val="FootnoteReference"/>
        </w:rPr>
        <w:footnoteRef/>
      </w:r>
      <w:r>
        <w:t xml:space="preserve"> Id.</w:t>
      </w:r>
    </w:p>
  </w:footnote>
  <w:footnote w:id="23">
    <w:p w14:paraId="20F7B6D8" w14:textId="79156733" w:rsidR="00C72D3A" w:rsidRDefault="00C72D3A" w:rsidP="00C72D3A">
      <w:pPr>
        <w:pStyle w:val="FootnoteText"/>
      </w:pPr>
      <w:r>
        <w:rPr>
          <w:rStyle w:val="FootnoteReference"/>
        </w:rPr>
        <w:footnoteRef/>
      </w:r>
      <w:r>
        <w:t xml:space="preserve"> </w:t>
      </w:r>
      <w:r w:rsidR="00B839F9">
        <w:t>Exhibit 2, Staff Report at 10.</w:t>
      </w:r>
    </w:p>
  </w:footnote>
  <w:footnote w:id="24">
    <w:p w14:paraId="7F5F04AB" w14:textId="45250264" w:rsidR="006F1F0E" w:rsidRDefault="006F1F0E">
      <w:pPr>
        <w:pStyle w:val="FootnoteText"/>
      </w:pPr>
      <w:r>
        <w:rPr>
          <w:rStyle w:val="FootnoteReference"/>
        </w:rPr>
        <w:footnoteRef/>
      </w:r>
      <w:r>
        <w:t xml:space="preserve"> GO 103-A </w:t>
      </w:r>
      <w:r w:rsidR="0018577B">
        <w:t>effective September 10, 20</w:t>
      </w:r>
      <w:r w:rsidR="00652C1E">
        <w:t>0</w:t>
      </w:r>
      <w:r w:rsidR="0018577B">
        <w:t>9 at 1.</w:t>
      </w:r>
    </w:p>
  </w:footnote>
  <w:footnote w:id="25">
    <w:p w14:paraId="3ADB11A1" w14:textId="6E385F4C" w:rsidR="00CA0C3A" w:rsidRDefault="00CA0C3A" w:rsidP="00CA0C3A">
      <w:pPr>
        <w:pStyle w:val="FootnoteText"/>
      </w:pPr>
      <w:r>
        <w:rPr>
          <w:rStyle w:val="FootnoteReference"/>
        </w:rPr>
        <w:footnoteRef/>
      </w:r>
      <w:r>
        <w:t xml:space="preserve"> Exhibit </w:t>
      </w:r>
      <w:r w:rsidR="00FF56E1">
        <w:t>1</w:t>
      </w:r>
      <w:r>
        <w:t>, Attachment 4</w:t>
      </w:r>
      <w:r w:rsidR="005608C4">
        <w:t xml:space="preserve"> at 1</w:t>
      </w:r>
      <w:r w:rsidR="00C052DD">
        <w:t>, CPED offer</w:t>
      </w:r>
      <w:r w:rsidR="007423C3">
        <w:t>ed</w:t>
      </w:r>
      <w:r w:rsidR="00C052DD">
        <w:t xml:space="preserve"> 30 documents from the EPA</w:t>
      </w:r>
      <w:r w:rsidR="005608C4">
        <w:t xml:space="preserve"> that are numbered.</w:t>
      </w:r>
    </w:p>
  </w:footnote>
  <w:footnote w:id="26">
    <w:p w14:paraId="56F02291" w14:textId="331D3508" w:rsidR="00AF333B" w:rsidRDefault="00AF333B">
      <w:pPr>
        <w:pStyle w:val="FootnoteText"/>
      </w:pPr>
      <w:r>
        <w:rPr>
          <w:rStyle w:val="FootnoteReference"/>
        </w:rPr>
        <w:footnoteRef/>
      </w:r>
      <w:r>
        <w:t xml:space="preserve"> Exhibit 1, Attachment </w:t>
      </w:r>
      <w:r w:rsidR="006E0239">
        <w:t xml:space="preserve">4, </w:t>
      </w:r>
      <w:r w:rsidR="00B944AF">
        <w:t>at page 169.</w:t>
      </w:r>
    </w:p>
  </w:footnote>
  <w:footnote w:id="27">
    <w:p w14:paraId="4118D639" w14:textId="5C1FBA49" w:rsidR="001362D8" w:rsidRDefault="001362D8">
      <w:pPr>
        <w:pStyle w:val="FootnoteText"/>
      </w:pPr>
      <w:r>
        <w:rPr>
          <w:rStyle w:val="FootnoteReference"/>
        </w:rPr>
        <w:footnoteRef/>
      </w:r>
      <w:r>
        <w:t xml:space="preserve"> Id.</w:t>
      </w:r>
    </w:p>
  </w:footnote>
  <w:footnote w:id="28">
    <w:p w14:paraId="09766AAB" w14:textId="03078CE3" w:rsidR="005608C4" w:rsidRDefault="005608C4">
      <w:pPr>
        <w:pStyle w:val="FootnoteText"/>
      </w:pPr>
      <w:r>
        <w:rPr>
          <w:rStyle w:val="FootnoteReference"/>
        </w:rPr>
        <w:footnoteRef/>
      </w:r>
      <w:r>
        <w:t xml:space="preserve"> Id.</w:t>
      </w:r>
    </w:p>
  </w:footnote>
  <w:footnote w:id="29">
    <w:p w14:paraId="666E50FB" w14:textId="388EC1CD" w:rsidR="005608C4" w:rsidRDefault="005608C4">
      <w:pPr>
        <w:pStyle w:val="FootnoteText"/>
      </w:pPr>
      <w:r>
        <w:rPr>
          <w:rStyle w:val="FootnoteReference"/>
        </w:rPr>
        <w:footnoteRef/>
      </w:r>
      <w:r>
        <w:t xml:space="preserve"> Id.</w:t>
      </w:r>
    </w:p>
  </w:footnote>
  <w:footnote w:id="30">
    <w:p w14:paraId="09A118D8" w14:textId="0FD8816E" w:rsidR="00433A78" w:rsidRDefault="00433A78">
      <w:pPr>
        <w:pStyle w:val="FootnoteText"/>
      </w:pPr>
      <w:r>
        <w:rPr>
          <w:rStyle w:val="FootnoteReference"/>
        </w:rPr>
        <w:footnoteRef/>
      </w:r>
      <w:r>
        <w:t xml:space="preserve"> Exhibit 1, Attachment 4, Document 1 at </w:t>
      </w:r>
      <w:r w:rsidR="00D04EF6">
        <w:t>1.</w:t>
      </w:r>
    </w:p>
  </w:footnote>
  <w:footnote w:id="31">
    <w:p w14:paraId="48C1166A" w14:textId="746259C1" w:rsidR="007C7D70" w:rsidRDefault="007C7D70">
      <w:pPr>
        <w:pStyle w:val="FootnoteText"/>
      </w:pPr>
      <w:r>
        <w:rPr>
          <w:rStyle w:val="FootnoteReference"/>
        </w:rPr>
        <w:footnoteRef/>
      </w:r>
      <w:r>
        <w:t xml:space="preserve"> Id. at 4.</w:t>
      </w:r>
    </w:p>
  </w:footnote>
  <w:footnote w:id="32">
    <w:p w14:paraId="18A8B219" w14:textId="1A731312" w:rsidR="008B6E7B" w:rsidRDefault="008B6E7B">
      <w:pPr>
        <w:pStyle w:val="FootnoteText"/>
      </w:pPr>
      <w:r>
        <w:rPr>
          <w:rStyle w:val="FootnoteReference"/>
        </w:rPr>
        <w:footnoteRef/>
      </w:r>
      <w:r>
        <w:t xml:space="preserve"> Id. at 4–15.</w:t>
      </w:r>
    </w:p>
  </w:footnote>
  <w:footnote w:id="33">
    <w:p w14:paraId="301D3CE3" w14:textId="4A7679D2" w:rsidR="00987B24" w:rsidRDefault="00987B24">
      <w:pPr>
        <w:pStyle w:val="FootnoteText"/>
      </w:pPr>
      <w:r>
        <w:rPr>
          <w:rStyle w:val="FootnoteReference"/>
        </w:rPr>
        <w:footnoteRef/>
      </w:r>
      <w:r>
        <w:t xml:space="preserve"> Id. at 16.</w:t>
      </w:r>
    </w:p>
  </w:footnote>
  <w:footnote w:id="34">
    <w:p w14:paraId="0D58DB6F" w14:textId="4291CEA6" w:rsidR="003B6C50" w:rsidRDefault="003B6C50">
      <w:pPr>
        <w:pStyle w:val="FootnoteText"/>
      </w:pPr>
      <w:r>
        <w:rPr>
          <w:rStyle w:val="FootnoteReference"/>
        </w:rPr>
        <w:footnoteRef/>
      </w:r>
      <w:r>
        <w:t xml:space="preserve"> </w:t>
      </w:r>
      <w:r w:rsidR="0015167E">
        <w:t xml:space="preserve">Exhibit 1, Attachment 4 at 99.  </w:t>
      </w:r>
      <w:r w:rsidR="007423C3">
        <w:t>This attachment is not listed but is found on page 99 of Attachment 4</w:t>
      </w:r>
    </w:p>
  </w:footnote>
  <w:footnote w:id="35">
    <w:p w14:paraId="6B43F247" w14:textId="01BF43E2" w:rsidR="00F82296" w:rsidRDefault="00F82296">
      <w:pPr>
        <w:pStyle w:val="FootnoteText"/>
      </w:pPr>
      <w:r>
        <w:rPr>
          <w:rStyle w:val="FootnoteReference"/>
        </w:rPr>
        <w:footnoteRef/>
      </w:r>
      <w:r>
        <w:t xml:space="preserve"> Exhibit 1, Attachment 4, Document 5 at 1.</w:t>
      </w:r>
    </w:p>
  </w:footnote>
  <w:footnote w:id="36">
    <w:p w14:paraId="4610CED9" w14:textId="010571C0" w:rsidR="00555C6B" w:rsidRDefault="00555C6B">
      <w:pPr>
        <w:pStyle w:val="FootnoteText"/>
      </w:pPr>
      <w:r>
        <w:rPr>
          <w:rStyle w:val="FootnoteReference"/>
        </w:rPr>
        <w:footnoteRef/>
      </w:r>
      <w:r>
        <w:t xml:space="preserve"> Exhibit 1, Attachment 4, Document 7 at 1.</w:t>
      </w:r>
    </w:p>
  </w:footnote>
  <w:footnote w:id="37">
    <w:p w14:paraId="442DB575" w14:textId="24424B09" w:rsidR="00555C6B" w:rsidRDefault="00555C6B">
      <w:pPr>
        <w:pStyle w:val="FootnoteText"/>
      </w:pPr>
      <w:r>
        <w:rPr>
          <w:rStyle w:val="FootnoteReference"/>
        </w:rPr>
        <w:footnoteRef/>
      </w:r>
      <w:r>
        <w:t xml:space="preserve"> Exhibit 1, Attachment 4, Document</w:t>
      </w:r>
      <w:r w:rsidR="00E669D4">
        <w:t xml:space="preserve"> 6 at 1.</w:t>
      </w:r>
    </w:p>
  </w:footnote>
  <w:footnote w:id="38">
    <w:p w14:paraId="6F591A67" w14:textId="32569B32" w:rsidR="00874200" w:rsidRDefault="00874200">
      <w:pPr>
        <w:pStyle w:val="FootnoteText"/>
      </w:pPr>
      <w:r>
        <w:rPr>
          <w:rStyle w:val="FootnoteReference"/>
        </w:rPr>
        <w:footnoteRef/>
      </w:r>
      <w:r>
        <w:t xml:space="preserve"> </w:t>
      </w:r>
      <w:r w:rsidR="00D1453F">
        <w:t>Exhibit 1, Attachment 4, Document 13 at 1.</w:t>
      </w:r>
    </w:p>
  </w:footnote>
  <w:footnote w:id="39">
    <w:p w14:paraId="5C85B361" w14:textId="3EEA10D2" w:rsidR="00231280" w:rsidRDefault="00231280">
      <w:pPr>
        <w:pStyle w:val="FootnoteText"/>
      </w:pPr>
      <w:r>
        <w:rPr>
          <w:rStyle w:val="FootnoteReference"/>
        </w:rPr>
        <w:footnoteRef/>
      </w:r>
      <w:r>
        <w:t xml:space="preserve"> Exhibit 1, Attachment 4, Document 12 at 1.</w:t>
      </w:r>
    </w:p>
  </w:footnote>
  <w:footnote w:id="40">
    <w:p w14:paraId="6BEC7D6F" w14:textId="1D87B389" w:rsidR="00C36701" w:rsidRDefault="00C36701">
      <w:pPr>
        <w:pStyle w:val="FootnoteText"/>
      </w:pPr>
      <w:r>
        <w:rPr>
          <w:rStyle w:val="FootnoteReference"/>
        </w:rPr>
        <w:footnoteRef/>
      </w:r>
      <w:r>
        <w:t xml:space="preserve"> </w:t>
      </w:r>
      <w:r w:rsidR="00EB55FA">
        <w:t xml:space="preserve">Exhibit </w:t>
      </w:r>
      <w:r w:rsidR="00E14114">
        <w:t>1</w:t>
      </w:r>
      <w:r w:rsidR="00EB55FA">
        <w:t xml:space="preserve">, Attachment </w:t>
      </w:r>
      <w:r w:rsidR="004A4327">
        <w:t>4, Document 1 at 1.</w:t>
      </w:r>
    </w:p>
  </w:footnote>
  <w:footnote w:id="41">
    <w:p w14:paraId="2796FAD3" w14:textId="0FEB8264" w:rsidR="001A4D75" w:rsidRDefault="001A4D75">
      <w:pPr>
        <w:pStyle w:val="FootnoteText"/>
      </w:pPr>
      <w:r>
        <w:rPr>
          <w:rStyle w:val="FootnoteReference"/>
        </w:rPr>
        <w:footnoteRef/>
      </w:r>
      <w:r>
        <w:t xml:space="preserve"> </w:t>
      </w:r>
      <w:r w:rsidR="00665A76">
        <w:t>Id. at</w:t>
      </w:r>
      <w:r>
        <w:t xml:space="preserve"> 4</w:t>
      </w:r>
      <w:r w:rsidR="009103EA">
        <w:t>-5.</w:t>
      </w:r>
    </w:p>
  </w:footnote>
  <w:footnote w:id="42">
    <w:p w14:paraId="502BAD9C" w14:textId="5111DF78" w:rsidR="00F20FD3" w:rsidRDefault="00F20FD3">
      <w:pPr>
        <w:pStyle w:val="FootnoteText"/>
      </w:pPr>
      <w:r>
        <w:rPr>
          <w:rStyle w:val="FootnoteReference"/>
        </w:rPr>
        <w:footnoteRef/>
      </w:r>
      <w:r>
        <w:t xml:space="preserve"> Id. </w:t>
      </w:r>
    </w:p>
  </w:footnote>
  <w:footnote w:id="43">
    <w:p w14:paraId="208F24C7" w14:textId="4D70CD0D" w:rsidR="00F20FD3" w:rsidRDefault="00F20FD3">
      <w:pPr>
        <w:pStyle w:val="FootnoteText"/>
      </w:pPr>
      <w:r>
        <w:rPr>
          <w:rStyle w:val="FootnoteReference"/>
        </w:rPr>
        <w:footnoteRef/>
      </w:r>
      <w:r>
        <w:t xml:space="preserve"> Id. at 5.</w:t>
      </w:r>
    </w:p>
  </w:footnote>
  <w:footnote w:id="44">
    <w:p w14:paraId="651B5D2D" w14:textId="17954DC2" w:rsidR="00E669D4" w:rsidRDefault="00E669D4">
      <w:pPr>
        <w:pStyle w:val="FootnoteText"/>
      </w:pPr>
      <w:r>
        <w:rPr>
          <w:rStyle w:val="FootnoteReference"/>
        </w:rPr>
        <w:footnoteRef/>
      </w:r>
      <w:r>
        <w:t xml:space="preserve"> Exhibit 1, Attachment 4, Document </w:t>
      </w:r>
      <w:r w:rsidR="00FB5E5E">
        <w:t>13 at 1.</w:t>
      </w:r>
    </w:p>
  </w:footnote>
  <w:footnote w:id="45">
    <w:p w14:paraId="5F1B77E3" w14:textId="0288480E" w:rsidR="00FB5E5E" w:rsidRDefault="00FB5E5E">
      <w:pPr>
        <w:pStyle w:val="FootnoteText"/>
      </w:pPr>
      <w:r>
        <w:rPr>
          <w:rStyle w:val="FootnoteReference"/>
        </w:rPr>
        <w:footnoteRef/>
      </w:r>
      <w:r>
        <w:t xml:space="preserve"> Exhibit 1, Attachment 4, Document </w:t>
      </w:r>
      <w:r w:rsidR="00231280">
        <w:t>26</w:t>
      </w:r>
      <w:r>
        <w:t xml:space="preserve"> at 1.</w:t>
      </w:r>
    </w:p>
  </w:footnote>
  <w:footnote w:id="46">
    <w:p w14:paraId="5E2D9865" w14:textId="57106B6C" w:rsidR="00A979E9" w:rsidRDefault="00A979E9">
      <w:pPr>
        <w:pStyle w:val="FootnoteText"/>
      </w:pPr>
      <w:r w:rsidRPr="00FA1256">
        <w:rPr>
          <w:rStyle w:val="FootnoteReference"/>
        </w:rPr>
        <w:footnoteRef/>
      </w:r>
      <w:r w:rsidRPr="00FA1256">
        <w:t xml:space="preserve"> </w:t>
      </w:r>
      <w:r w:rsidR="007517F7" w:rsidRPr="00033A27">
        <w:t>Exhibit 1, Attachment 4 refer</w:t>
      </w:r>
      <w:r w:rsidR="00E951BF" w:rsidRPr="00033A27">
        <w:t>s</w:t>
      </w:r>
      <w:r w:rsidR="007517F7" w:rsidRPr="00033A27">
        <w:t xml:space="preserve"> to the </w:t>
      </w:r>
      <w:r w:rsidR="0072538C" w:rsidRPr="00033A27">
        <w:t>U.S. EPA letters, EAOs and noncompliance notices that were sent to Havasu from 2023 to 2025.</w:t>
      </w:r>
    </w:p>
  </w:footnote>
  <w:footnote w:id="47">
    <w:p w14:paraId="6F95959B" w14:textId="77777777" w:rsidR="000E7A35" w:rsidRDefault="000E7A35" w:rsidP="000E7A35">
      <w:pPr>
        <w:pStyle w:val="FootnoteText"/>
      </w:pPr>
      <w:r>
        <w:rPr>
          <w:rStyle w:val="FootnoteReference"/>
        </w:rPr>
        <w:footnoteRef/>
      </w:r>
      <w:r>
        <w:t xml:space="preserve"> Exhibit 1, Attachment 26 at 1.</w:t>
      </w:r>
    </w:p>
  </w:footnote>
  <w:footnote w:id="48">
    <w:p w14:paraId="589946C1" w14:textId="77777777" w:rsidR="000E7A35" w:rsidRDefault="000E7A35" w:rsidP="000E7A35">
      <w:pPr>
        <w:pStyle w:val="FootnoteText"/>
      </w:pPr>
      <w:r>
        <w:rPr>
          <w:rStyle w:val="FootnoteReference"/>
        </w:rPr>
        <w:footnoteRef/>
      </w:r>
      <w:r>
        <w:t xml:space="preserve"> Id.</w:t>
      </w:r>
    </w:p>
  </w:footnote>
  <w:footnote w:id="49">
    <w:p w14:paraId="52808726" w14:textId="244E91FE" w:rsidR="00793C1C" w:rsidRDefault="00793C1C">
      <w:pPr>
        <w:pStyle w:val="FootnoteText"/>
      </w:pPr>
      <w:r>
        <w:rPr>
          <w:rStyle w:val="FootnoteReference"/>
        </w:rPr>
        <w:footnoteRef/>
      </w:r>
      <w:r>
        <w:t xml:space="preserve"> Id.</w:t>
      </w:r>
    </w:p>
  </w:footnote>
  <w:footnote w:id="50">
    <w:p w14:paraId="0B3C463D" w14:textId="77777777" w:rsidR="000E7A35" w:rsidRDefault="000E7A35" w:rsidP="000E7A35">
      <w:pPr>
        <w:pStyle w:val="FootnoteText"/>
      </w:pPr>
      <w:r>
        <w:rPr>
          <w:rStyle w:val="FootnoteReference"/>
        </w:rPr>
        <w:footnoteRef/>
      </w:r>
      <w:r>
        <w:t xml:space="preserve"> Id.</w:t>
      </w:r>
    </w:p>
  </w:footnote>
  <w:footnote w:id="51">
    <w:p w14:paraId="16980612" w14:textId="4140F3E3" w:rsidR="00F5634E" w:rsidRDefault="00F5634E">
      <w:pPr>
        <w:pStyle w:val="FootnoteText"/>
      </w:pPr>
      <w:r>
        <w:rPr>
          <w:rStyle w:val="FootnoteReference"/>
        </w:rPr>
        <w:footnoteRef/>
      </w:r>
      <w:r>
        <w:t xml:space="preserve"> Exhibit 1, Attachment 4, Document </w:t>
      </w:r>
      <w:r w:rsidR="004E69F2">
        <w:t>2</w:t>
      </w:r>
      <w:r w:rsidR="003E5EBE">
        <w:t>2</w:t>
      </w:r>
      <w:r w:rsidR="004E69F2">
        <w:t xml:space="preserve"> at 1.</w:t>
      </w:r>
    </w:p>
  </w:footnote>
  <w:footnote w:id="52">
    <w:p w14:paraId="4EB66302" w14:textId="77777777" w:rsidR="003E2BE7" w:rsidRDefault="003E2BE7" w:rsidP="003E2BE7">
      <w:pPr>
        <w:pStyle w:val="FootnoteText"/>
      </w:pPr>
      <w:r>
        <w:rPr>
          <w:rStyle w:val="FootnoteReference"/>
        </w:rPr>
        <w:footnoteRef/>
      </w:r>
      <w:r>
        <w:t xml:space="preserve"> Exhibit 1, Attachment 4, Document 21 at 1.</w:t>
      </w:r>
    </w:p>
  </w:footnote>
  <w:footnote w:id="53">
    <w:p w14:paraId="4392FFAE" w14:textId="2689AF14" w:rsidR="004E69F2" w:rsidRDefault="004E69F2">
      <w:pPr>
        <w:pStyle w:val="FootnoteText"/>
      </w:pPr>
      <w:r>
        <w:rPr>
          <w:rStyle w:val="FootnoteReference"/>
        </w:rPr>
        <w:footnoteRef/>
      </w:r>
      <w:r>
        <w:t xml:space="preserve"> Exhibit 1, Attachment 4, Document </w:t>
      </w:r>
      <w:r w:rsidR="00DD5316">
        <w:t>18 at 1.</w:t>
      </w:r>
    </w:p>
  </w:footnote>
  <w:footnote w:id="54">
    <w:p w14:paraId="3E68F7D3" w14:textId="12EE04B9" w:rsidR="007771CB" w:rsidRDefault="007771CB">
      <w:pPr>
        <w:pStyle w:val="FootnoteText"/>
      </w:pPr>
      <w:r>
        <w:rPr>
          <w:rStyle w:val="FootnoteReference"/>
        </w:rPr>
        <w:footnoteRef/>
      </w:r>
      <w:r>
        <w:t xml:space="preserve"> Exhibit 1, Attachment 4, </w:t>
      </w:r>
      <w:r w:rsidR="0043199D">
        <w:t>Document 29 at 1.</w:t>
      </w:r>
    </w:p>
  </w:footnote>
  <w:footnote w:id="55">
    <w:p w14:paraId="09EFF40B" w14:textId="73D92B26" w:rsidR="0043199D" w:rsidRDefault="0043199D">
      <w:pPr>
        <w:pStyle w:val="FootnoteText"/>
      </w:pPr>
      <w:r>
        <w:rPr>
          <w:rStyle w:val="FootnoteReference"/>
        </w:rPr>
        <w:footnoteRef/>
      </w:r>
      <w:r>
        <w:t xml:space="preserve"> Exhibit 1, Attachment 4, Document </w:t>
      </w:r>
      <w:r w:rsidR="003E5EBE">
        <w:t>1</w:t>
      </w:r>
      <w:r>
        <w:t>6 at 1.</w:t>
      </w:r>
    </w:p>
  </w:footnote>
  <w:footnote w:id="56">
    <w:p w14:paraId="78DE986C" w14:textId="17B4E6CA" w:rsidR="003943A9" w:rsidRDefault="003943A9">
      <w:pPr>
        <w:pStyle w:val="FootnoteText"/>
      </w:pPr>
      <w:r>
        <w:rPr>
          <w:rStyle w:val="FootnoteReference"/>
        </w:rPr>
        <w:footnoteRef/>
      </w:r>
      <w:r>
        <w:t xml:space="preserve"> </w:t>
      </w:r>
      <w:r w:rsidR="007423C3">
        <w:t xml:space="preserve">The State Water Resources Control Board’s website is located at: </w:t>
      </w:r>
      <w:hyperlink r:id="rId2" w:history="1">
        <w:r w:rsidRPr="007423C3">
          <w:rPr>
            <w:rStyle w:val="Hyperlink"/>
          </w:rPr>
          <w:t>https://www.waterboards.ca.gov/about_us/</w:t>
        </w:r>
      </w:hyperlink>
    </w:p>
  </w:footnote>
  <w:footnote w:id="57">
    <w:p w14:paraId="17976B63" w14:textId="34A0A004" w:rsidR="003943A9" w:rsidRDefault="003943A9">
      <w:pPr>
        <w:pStyle w:val="FootnoteText"/>
      </w:pPr>
      <w:r>
        <w:rPr>
          <w:rStyle w:val="FootnoteReference"/>
        </w:rPr>
        <w:footnoteRef/>
      </w:r>
      <w:r>
        <w:t xml:space="preserve"> Id.</w:t>
      </w:r>
    </w:p>
  </w:footnote>
  <w:footnote w:id="58">
    <w:p w14:paraId="034F28B0" w14:textId="3416B7CC" w:rsidR="00D63D4B" w:rsidRDefault="00D63D4B">
      <w:pPr>
        <w:pStyle w:val="FootnoteText"/>
      </w:pPr>
      <w:r>
        <w:rPr>
          <w:rStyle w:val="FootnoteReference"/>
        </w:rPr>
        <w:footnoteRef/>
      </w:r>
      <w:r>
        <w:t xml:space="preserve"> </w:t>
      </w:r>
      <w:r w:rsidRPr="00D63D4B">
        <w:t>Exhibit 2, Attachment 14 at 1.</w:t>
      </w:r>
    </w:p>
  </w:footnote>
  <w:footnote w:id="59">
    <w:p w14:paraId="5F7D171F" w14:textId="2A81C431" w:rsidR="00BF671A" w:rsidRDefault="00BF671A">
      <w:pPr>
        <w:pStyle w:val="FootnoteText"/>
      </w:pPr>
      <w:r>
        <w:rPr>
          <w:rStyle w:val="FootnoteReference"/>
        </w:rPr>
        <w:footnoteRef/>
      </w:r>
      <w:r>
        <w:t xml:space="preserve"> </w:t>
      </w:r>
      <w:r w:rsidRPr="00BF671A">
        <w:t>Exhibit 2, Attachment 6 at 7-8.</w:t>
      </w:r>
    </w:p>
  </w:footnote>
  <w:footnote w:id="60">
    <w:p w14:paraId="2AE5DF27" w14:textId="020B3AE7" w:rsidR="004413EA" w:rsidRDefault="004413EA">
      <w:pPr>
        <w:pStyle w:val="FootnoteText"/>
      </w:pPr>
      <w:r>
        <w:rPr>
          <w:rStyle w:val="FootnoteReference"/>
        </w:rPr>
        <w:footnoteRef/>
      </w:r>
      <w:r>
        <w:t xml:space="preserve"> </w:t>
      </w:r>
      <w:r w:rsidR="00CC0EC2">
        <w:t>Exhibit 2, Attachment 6.</w:t>
      </w:r>
    </w:p>
  </w:footnote>
  <w:footnote w:id="61">
    <w:p w14:paraId="1302D85B" w14:textId="780CCDAA" w:rsidR="006164D8" w:rsidRDefault="006164D8">
      <w:pPr>
        <w:pStyle w:val="FootnoteText"/>
      </w:pPr>
      <w:r>
        <w:rPr>
          <w:rStyle w:val="FootnoteReference"/>
        </w:rPr>
        <w:footnoteRef/>
      </w:r>
      <w:r>
        <w:t xml:space="preserve"> Id at 11-13.</w:t>
      </w:r>
    </w:p>
  </w:footnote>
  <w:footnote w:id="62">
    <w:p w14:paraId="7C2AADF4" w14:textId="6297F90E" w:rsidR="00972157" w:rsidRDefault="00972157">
      <w:pPr>
        <w:pStyle w:val="FootnoteText"/>
      </w:pPr>
      <w:r>
        <w:rPr>
          <w:rStyle w:val="FootnoteReference"/>
        </w:rPr>
        <w:footnoteRef/>
      </w:r>
      <w:r>
        <w:t xml:space="preserve"> Exhibit 2, Attachment 7.</w:t>
      </w:r>
    </w:p>
  </w:footnote>
  <w:footnote w:id="63">
    <w:p w14:paraId="0C836BD2" w14:textId="7AEDE7E9" w:rsidR="00972157" w:rsidRDefault="00972157">
      <w:pPr>
        <w:pStyle w:val="FootnoteText"/>
      </w:pPr>
      <w:r>
        <w:rPr>
          <w:rStyle w:val="FootnoteReference"/>
        </w:rPr>
        <w:footnoteRef/>
      </w:r>
      <w:r>
        <w:t xml:space="preserve"> Exhibit 2, Attachment 8.</w:t>
      </w:r>
    </w:p>
  </w:footnote>
  <w:footnote w:id="64">
    <w:p w14:paraId="44020DBC" w14:textId="1B90AB21" w:rsidR="00640FF9" w:rsidRDefault="00640FF9">
      <w:pPr>
        <w:pStyle w:val="FootnoteText"/>
      </w:pPr>
      <w:r>
        <w:rPr>
          <w:rStyle w:val="FootnoteReference"/>
        </w:rPr>
        <w:footnoteRef/>
      </w:r>
      <w:r>
        <w:t xml:space="preserve"> Exhibit 2, Attachment 9.</w:t>
      </w:r>
    </w:p>
  </w:footnote>
  <w:footnote w:id="65">
    <w:p w14:paraId="16EC1A21" w14:textId="7F983424" w:rsidR="00640FF9" w:rsidRDefault="00640FF9">
      <w:pPr>
        <w:pStyle w:val="FootnoteText"/>
      </w:pPr>
      <w:r>
        <w:rPr>
          <w:rStyle w:val="FootnoteReference"/>
        </w:rPr>
        <w:footnoteRef/>
      </w:r>
      <w:r>
        <w:t xml:space="preserve"> Exhibit 2, Attachment 10</w:t>
      </w:r>
    </w:p>
  </w:footnote>
  <w:footnote w:id="66">
    <w:p w14:paraId="0635CF0F" w14:textId="7AC4A38D" w:rsidR="00640FF9" w:rsidRDefault="00640FF9">
      <w:pPr>
        <w:pStyle w:val="FootnoteText"/>
      </w:pPr>
      <w:r>
        <w:rPr>
          <w:rStyle w:val="FootnoteReference"/>
        </w:rPr>
        <w:footnoteRef/>
      </w:r>
      <w:r>
        <w:t xml:space="preserve"> Id. at </w:t>
      </w:r>
      <w:r w:rsidR="00960A71">
        <w:t>6-7.</w:t>
      </w:r>
    </w:p>
  </w:footnote>
  <w:footnote w:id="67">
    <w:p w14:paraId="0DE86139" w14:textId="7E7BE5BB" w:rsidR="00F412F3" w:rsidRDefault="00F412F3">
      <w:pPr>
        <w:pStyle w:val="FootnoteText"/>
      </w:pPr>
      <w:r>
        <w:rPr>
          <w:rStyle w:val="FootnoteReference"/>
        </w:rPr>
        <w:footnoteRef/>
      </w:r>
      <w:r>
        <w:t xml:space="preserve"> Exhibit 2, Attachment 11.</w:t>
      </w:r>
    </w:p>
  </w:footnote>
  <w:footnote w:id="68">
    <w:p w14:paraId="32464AB0" w14:textId="3CAA14ED" w:rsidR="00F412F3" w:rsidRDefault="00F412F3">
      <w:pPr>
        <w:pStyle w:val="FootnoteText"/>
      </w:pPr>
      <w:r>
        <w:rPr>
          <w:rStyle w:val="FootnoteReference"/>
        </w:rPr>
        <w:footnoteRef/>
      </w:r>
      <w:r>
        <w:t xml:space="preserve"> Exhibit 2, Attachment 12.</w:t>
      </w:r>
    </w:p>
  </w:footnote>
  <w:footnote w:id="69">
    <w:p w14:paraId="495F7488" w14:textId="6D593FEC" w:rsidR="00F412F3" w:rsidRDefault="00F412F3">
      <w:pPr>
        <w:pStyle w:val="FootnoteText"/>
      </w:pPr>
      <w:r>
        <w:rPr>
          <w:rStyle w:val="FootnoteReference"/>
        </w:rPr>
        <w:footnoteRef/>
      </w:r>
      <w:r>
        <w:t xml:space="preserve"> </w:t>
      </w:r>
      <w:r w:rsidR="00B61715">
        <w:t xml:space="preserve">Exhibit 2, </w:t>
      </w:r>
      <w:r w:rsidR="00BF6F66">
        <w:t>Staff Report at 5.</w:t>
      </w:r>
    </w:p>
  </w:footnote>
  <w:footnote w:id="70">
    <w:p w14:paraId="2D4E05D5" w14:textId="7B940BFA" w:rsidR="007711B3" w:rsidRDefault="007711B3">
      <w:pPr>
        <w:pStyle w:val="FootnoteText"/>
      </w:pPr>
      <w:r>
        <w:rPr>
          <w:rStyle w:val="FootnoteReference"/>
        </w:rPr>
        <w:footnoteRef/>
      </w:r>
      <w:r>
        <w:t xml:space="preserve"> Exhibit 2, Attachment 14.</w:t>
      </w:r>
    </w:p>
  </w:footnote>
  <w:footnote w:id="71">
    <w:p w14:paraId="001590A0" w14:textId="06B2FE8F" w:rsidR="007711B3" w:rsidRDefault="007711B3">
      <w:pPr>
        <w:pStyle w:val="FootnoteText"/>
      </w:pPr>
      <w:r>
        <w:rPr>
          <w:rStyle w:val="FootnoteReference"/>
        </w:rPr>
        <w:footnoteRef/>
      </w:r>
      <w:r>
        <w:t xml:space="preserve"> Exhibit 2, Attachment 15.</w:t>
      </w:r>
    </w:p>
  </w:footnote>
  <w:footnote w:id="72">
    <w:p w14:paraId="120727B0" w14:textId="23A7EAFD" w:rsidR="003C1F07" w:rsidRDefault="003C1F07" w:rsidP="003C1F07">
      <w:pPr>
        <w:pStyle w:val="FootnoteText"/>
      </w:pPr>
      <w:r>
        <w:rPr>
          <w:rStyle w:val="FootnoteReference"/>
        </w:rPr>
        <w:footnoteRef/>
      </w:r>
      <w:r>
        <w:t xml:space="preserve"> Exhibit 2, </w:t>
      </w:r>
      <w:r w:rsidR="00477A00">
        <w:t>Staff Report</w:t>
      </w:r>
      <w:r>
        <w:t xml:space="preserve"> at 5.</w:t>
      </w:r>
    </w:p>
  </w:footnote>
  <w:footnote w:id="73">
    <w:p w14:paraId="5255C831" w14:textId="77777777" w:rsidR="00825A29" w:rsidRDefault="00825A29" w:rsidP="00825A29">
      <w:pPr>
        <w:pStyle w:val="FootnoteText"/>
      </w:pPr>
      <w:r>
        <w:rPr>
          <w:rStyle w:val="FootnoteReference"/>
        </w:rPr>
        <w:footnoteRef/>
      </w:r>
      <w:r>
        <w:t xml:space="preserve"> Id.</w:t>
      </w:r>
    </w:p>
  </w:footnote>
  <w:footnote w:id="74">
    <w:p w14:paraId="25F1E93A" w14:textId="53BE0F9D" w:rsidR="00300943" w:rsidRDefault="00300943">
      <w:pPr>
        <w:pStyle w:val="FootnoteText"/>
      </w:pPr>
      <w:r>
        <w:rPr>
          <w:rStyle w:val="FootnoteReference"/>
        </w:rPr>
        <w:footnoteRef/>
      </w:r>
      <w:r>
        <w:t xml:space="preserve"> </w:t>
      </w:r>
      <w:r w:rsidR="007423C3">
        <w:t>Reporter’s Transcript (RT)</w:t>
      </w:r>
      <w:r w:rsidR="00211F5E">
        <w:t xml:space="preserve"> at </w:t>
      </w:r>
      <w:r w:rsidR="00B37EE3">
        <w:t>75.</w:t>
      </w:r>
    </w:p>
  </w:footnote>
  <w:footnote w:id="75">
    <w:p w14:paraId="7C46207C" w14:textId="77777777" w:rsidR="0088760C" w:rsidRDefault="0088760C" w:rsidP="0088760C">
      <w:pPr>
        <w:pStyle w:val="FootnoteText"/>
      </w:pPr>
      <w:r>
        <w:rPr>
          <w:rStyle w:val="FootnoteReference"/>
        </w:rPr>
        <w:footnoteRef/>
      </w:r>
      <w:r>
        <w:t xml:space="preserve"> Exhibit 2, Attachment 6 at 9.</w:t>
      </w:r>
    </w:p>
  </w:footnote>
  <w:footnote w:id="76">
    <w:p w14:paraId="2959327B" w14:textId="77777777" w:rsidR="0088760C" w:rsidRDefault="0088760C" w:rsidP="0088760C">
      <w:pPr>
        <w:pStyle w:val="FootnoteText"/>
      </w:pPr>
      <w:r>
        <w:rPr>
          <w:rStyle w:val="FootnoteReference"/>
        </w:rPr>
        <w:footnoteRef/>
      </w:r>
      <w:r>
        <w:t xml:space="preserve"> Id.</w:t>
      </w:r>
    </w:p>
  </w:footnote>
  <w:footnote w:id="77">
    <w:p w14:paraId="5DF24EDB" w14:textId="42BAD609" w:rsidR="0088760C" w:rsidRDefault="0088760C" w:rsidP="0088760C">
      <w:pPr>
        <w:pStyle w:val="FootnoteText"/>
      </w:pPr>
      <w:r>
        <w:rPr>
          <w:rStyle w:val="FootnoteReference"/>
        </w:rPr>
        <w:footnoteRef/>
      </w:r>
      <w:r>
        <w:t xml:space="preserve"> </w:t>
      </w:r>
      <w:r w:rsidR="007423C3">
        <w:t>Id.</w:t>
      </w:r>
    </w:p>
  </w:footnote>
  <w:footnote w:id="78">
    <w:p w14:paraId="549B1D06" w14:textId="4B78993D" w:rsidR="004D6F36" w:rsidRDefault="004D6F36" w:rsidP="004D6F36">
      <w:pPr>
        <w:pStyle w:val="FootnoteText"/>
      </w:pPr>
      <w:r>
        <w:rPr>
          <w:rStyle w:val="FootnoteReference"/>
        </w:rPr>
        <w:footnoteRef/>
      </w:r>
      <w:r>
        <w:t xml:space="preserve"> Exhibit 2, Attachment 22</w:t>
      </w:r>
      <w:r w:rsidR="007423C3">
        <w:t xml:space="preserve"> </w:t>
      </w:r>
      <w:r>
        <w:t>at 1.</w:t>
      </w:r>
    </w:p>
  </w:footnote>
  <w:footnote w:id="79">
    <w:p w14:paraId="1D4EEF11" w14:textId="3EADF924" w:rsidR="000C4525" w:rsidRDefault="000C4525">
      <w:pPr>
        <w:pStyle w:val="FootnoteText"/>
      </w:pPr>
      <w:r>
        <w:rPr>
          <w:rStyle w:val="FootnoteReference"/>
        </w:rPr>
        <w:footnoteRef/>
      </w:r>
      <w:r>
        <w:t xml:space="preserve"> Id.</w:t>
      </w:r>
    </w:p>
  </w:footnote>
  <w:footnote w:id="80">
    <w:p w14:paraId="3B7D3D53" w14:textId="77777777" w:rsidR="006443FA" w:rsidRDefault="006443FA" w:rsidP="006443FA">
      <w:pPr>
        <w:pStyle w:val="FootnoteText"/>
      </w:pPr>
      <w:r>
        <w:rPr>
          <w:rStyle w:val="FootnoteReference"/>
        </w:rPr>
        <w:footnoteRef/>
      </w:r>
      <w:r>
        <w:t xml:space="preserve"> Exhibit 2, Attachment 6 at 8.</w:t>
      </w:r>
    </w:p>
  </w:footnote>
  <w:footnote w:id="81">
    <w:p w14:paraId="5A94913A" w14:textId="13F628F6" w:rsidR="001731B0" w:rsidRDefault="001731B0" w:rsidP="001731B0">
      <w:pPr>
        <w:pStyle w:val="FootnoteText"/>
      </w:pPr>
      <w:r>
        <w:rPr>
          <w:rStyle w:val="FootnoteReference"/>
        </w:rPr>
        <w:footnoteRef/>
      </w:r>
      <w:r w:rsidR="006E5044">
        <w:t xml:space="preserve"> Exhibit 2</w:t>
      </w:r>
      <w:r w:rsidR="00AC403A">
        <w:t>, Staff Report at 5, 17.</w:t>
      </w:r>
    </w:p>
  </w:footnote>
  <w:footnote w:id="82">
    <w:p w14:paraId="109441F4" w14:textId="77777777" w:rsidR="001731B0" w:rsidRDefault="001731B0" w:rsidP="001731B0">
      <w:pPr>
        <w:pStyle w:val="FootnoteText"/>
      </w:pPr>
      <w:r>
        <w:rPr>
          <w:rStyle w:val="FootnoteReference"/>
        </w:rPr>
        <w:footnoteRef/>
      </w:r>
      <w:r>
        <w:t xml:space="preserve"> Id.</w:t>
      </w:r>
    </w:p>
  </w:footnote>
  <w:footnote w:id="83">
    <w:p w14:paraId="22B2E5FD" w14:textId="77777777" w:rsidR="001731B0" w:rsidRDefault="001731B0" w:rsidP="001731B0">
      <w:pPr>
        <w:pStyle w:val="FootnoteText"/>
      </w:pPr>
      <w:r>
        <w:rPr>
          <w:rStyle w:val="FootnoteReference"/>
        </w:rPr>
        <w:footnoteRef/>
      </w:r>
      <w:r>
        <w:t xml:space="preserve"> Id.</w:t>
      </w:r>
    </w:p>
  </w:footnote>
  <w:footnote w:id="84">
    <w:p w14:paraId="3BF83A17" w14:textId="101B951B" w:rsidR="00221780" w:rsidRDefault="00221780">
      <w:pPr>
        <w:pStyle w:val="FootnoteText"/>
      </w:pPr>
      <w:r>
        <w:rPr>
          <w:rStyle w:val="FootnoteReference"/>
        </w:rPr>
        <w:footnoteRef/>
      </w:r>
      <w:r>
        <w:t xml:space="preserve"> Id.</w:t>
      </w:r>
    </w:p>
  </w:footnote>
  <w:footnote w:id="85">
    <w:p w14:paraId="442DE52A" w14:textId="77777777" w:rsidR="001731B0" w:rsidRDefault="001731B0" w:rsidP="001731B0">
      <w:pPr>
        <w:pStyle w:val="FootnoteText"/>
      </w:pPr>
      <w:r>
        <w:rPr>
          <w:rStyle w:val="FootnoteReference"/>
        </w:rPr>
        <w:footnoteRef/>
      </w:r>
      <w:r>
        <w:t xml:space="preserve"> Exhibit 2, Staff Report at 7.</w:t>
      </w:r>
    </w:p>
  </w:footnote>
  <w:footnote w:id="86">
    <w:p w14:paraId="2FBD5653" w14:textId="77777777" w:rsidR="001731B0" w:rsidRDefault="001731B0" w:rsidP="001731B0">
      <w:pPr>
        <w:pStyle w:val="FootnoteText"/>
      </w:pPr>
      <w:r>
        <w:rPr>
          <w:rStyle w:val="FootnoteReference"/>
        </w:rPr>
        <w:footnoteRef/>
      </w:r>
      <w:r>
        <w:t xml:space="preserve"> Id.</w:t>
      </w:r>
    </w:p>
  </w:footnote>
  <w:footnote w:id="87">
    <w:p w14:paraId="4C504073" w14:textId="7A74AD2A" w:rsidR="00C3063E" w:rsidRDefault="00C3063E">
      <w:pPr>
        <w:pStyle w:val="FootnoteText"/>
      </w:pPr>
      <w:r>
        <w:rPr>
          <w:rStyle w:val="FootnoteReference"/>
        </w:rPr>
        <w:footnoteRef/>
      </w:r>
      <w:r>
        <w:t xml:space="preserve"> The CPUC’s website discussing Water Division is located at :</w:t>
      </w:r>
      <w:r w:rsidR="00E34BFB">
        <w:t xml:space="preserve"> </w:t>
      </w:r>
      <w:hyperlink r:id="rId3" w:history="1">
        <w:r w:rsidR="00E34BFB" w:rsidRPr="00E34BFB">
          <w:rPr>
            <w:rStyle w:val="Hyperlink"/>
          </w:rPr>
          <w:t>https://www.cpuc.ca.gov/about-cpuc/divisions/water-division</w:t>
        </w:r>
      </w:hyperlink>
    </w:p>
  </w:footnote>
  <w:footnote w:id="88">
    <w:p w14:paraId="7A9C5E7C" w14:textId="0BA8307D" w:rsidR="00E86487" w:rsidRDefault="00E86487">
      <w:pPr>
        <w:pStyle w:val="FootnoteText"/>
      </w:pPr>
      <w:r>
        <w:rPr>
          <w:rStyle w:val="FootnoteReference"/>
        </w:rPr>
        <w:footnoteRef/>
      </w:r>
      <w:r>
        <w:t xml:space="preserve"> </w:t>
      </w:r>
      <w:r w:rsidR="003670ED">
        <w:t xml:space="preserve">The Water Division’s website is located at: </w:t>
      </w:r>
      <w:hyperlink r:id="rId4" w:history="1">
        <w:r w:rsidR="0049149D" w:rsidRPr="003670ED">
          <w:rPr>
            <w:rStyle w:val="Hyperlink"/>
          </w:rPr>
          <w:t>https://www.cpuc.ca.gov/industries-and-topics/water</w:t>
        </w:r>
      </w:hyperlink>
    </w:p>
  </w:footnote>
  <w:footnote w:id="89">
    <w:p w14:paraId="71D59CCB" w14:textId="0544FD0F" w:rsidR="00FA4ACF" w:rsidRDefault="00FA4ACF">
      <w:pPr>
        <w:pStyle w:val="FootnoteText"/>
      </w:pPr>
      <w:r>
        <w:rPr>
          <w:rStyle w:val="FootnoteReference"/>
        </w:rPr>
        <w:footnoteRef/>
      </w:r>
      <w:r>
        <w:t xml:space="preserve"> Exhibit 2, Attachment 21</w:t>
      </w:r>
      <w:r w:rsidR="009060DB">
        <w:t>.</w:t>
      </w:r>
    </w:p>
  </w:footnote>
  <w:footnote w:id="90">
    <w:p w14:paraId="3713DD6E" w14:textId="277119A5" w:rsidR="008D79A5" w:rsidRDefault="008D79A5" w:rsidP="008D79A5">
      <w:pPr>
        <w:pStyle w:val="FootnoteText"/>
      </w:pPr>
      <w:r>
        <w:rPr>
          <w:rStyle w:val="FootnoteReference"/>
        </w:rPr>
        <w:footnoteRef/>
      </w:r>
      <w:r>
        <w:t xml:space="preserve"> </w:t>
      </w:r>
      <w:r w:rsidR="009060DB">
        <w:t>Id.</w:t>
      </w:r>
      <w:r>
        <w:t xml:space="preserve"> at 1-3.</w:t>
      </w:r>
    </w:p>
  </w:footnote>
  <w:footnote w:id="91">
    <w:p w14:paraId="102283AE" w14:textId="77777777" w:rsidR="008D79A5" w:rsidRDefault="008D79A5" w:rsidP="008D79A5">
      <w:pPr>
        <w:pStyle w:val="FootnoteText"/>
      </w:pPr>
      <w:r>
        <w:rPr>
          <w:rStyle w:val="FootnoteReference"/>
        </w:rPr>
        <w:footnoteRef/>
      </w:r>
      <w:r>
        <w:t xml:space="preserve"> Id.</w:t>
      </w:r>
    </w:p>
  </w:footnote>
  <w:footnote w:id="92">
    <w:p w14:paraId="0CEF88FA" w14:textId="15179FD2" w:rsidR="00550CCC" w:rsidRDefault="00550CCC">
      <w:pPr>
        <w:pStyle w:val="FootnoteText"/>
      </w:pPr>
      <w:r>
        <w:rPr>
          <w:rStyle w:val="FootnoteReference"/>
        </w:rPr>
        <w:footnoteRef/>
      </w:r>
      <w:r>
        <w:t xml:space="preserve"> Exhibit 2, Attachment </w:t>
      </w:r>
      <w:r w:rsidR="000A19AE">
        <w:t>24.</w:t>
      </w:r>
    </w:p>
  </w:footnote>
  <w:footnote w:id="93">
    <w:p w14:paraId="1CA1D86A" w14:textId="0FBD4A51" w:rsidR="008D79A5" w:rsidRDefault="008D79A5" w:rsidP="008D79A5">
      <w:pPr>
        <w:pStyle w:val="FootnoteText"/>
      </w:pPr>
      <w:r>
        <w:rPr>
          <w:rStyle w:val="FootnoteReference"/>
        </w:rPr>
        <w:footnoteRef/>
      </w:r>
      <w:r>
        <w:t xml:space="preserve"> </w:t>
      </w:r>
      <w:r w:rsidR="000A19AE">
        <w:t>Id.</w:t>
      </w:r>
      <w:r>
        <w:t xml:space="preserve"> at 4.</w:t>
      </w:r>
    </w:p>
  </w:footnote>
  <w:footnote w:id="94">
    <w:p w14:paraId="07F81435" w14:textId="77777777" w:rsidR="008D79A5" w:rsidRDefault="008D79A5" w:rsidP="008D79A5">
      <w:pPr>
        <w:pStyle w:val="FootnoteText"/>
      </w:pPr>
      <w:r>
        <w:rPr>
          <w:rStyle w:val="FootnoteReference"/>
        </w:rPr>
        <w:footnoteRef/>
      </w:r>
      <w:r>
        <w:t xml:space="preserve"> Id.</w:t>
      </w:r>
    </w:p>
  </w:footnote>
  <w:footnote w:id="95">
    <w:p w14:paraId="532BE37C" w14:textId="77777777" w:rsidR="008D79A5" w:rsidRDefault="008D79A5" w:rsidP="008D79A5">
      <w:pPr>
        <w:pStyle w:val="FootnoteText"/>
      </w:pPr>
      <w:r>
        <w:rPr>
          <w:rStyle w:val="FootnoteReference"/>
        </w:rPr>
        <w:footnoteRef/>
      </w:r>
      <w:r>
        <w:t xml:space="preserve"> Id.</w:t>
      </w:r>
    </w:p>
  </w:footnote>
  <w:footnote w:id="96">
    <w:p w14:paraId="5D1D3650" w14:textId="389F4B3F" w:rsidR="00DD3D79" w:rsidRDefault="00DD3D79">
      <w:pPr>
        <w:pStyle w:val="FootnoteText"/>
      </w:pPr>
      <w:r>
        <w:rPr>
          <w:rStyle w:val="FootnoteReference"/>
        </w:rPr>
        <w:footnoteRef/>
      </w:r>
      <w:r>
        <w:t xml:space="preserve"> Exhibit 2, Attachment 25.</w:t>
      </w:r>
    </w:p>
  </w:footnote>
  <w:footnote w:id="97">
    <w:p w14:paraId="3164625A" w14:textId="1C19DD67" w:rsidR="008D79A5" w:rsidRDefault="008D79A5" w:rsidP="008D79A5">
      <w:pPr>
        <w:pStyle w:val="FootnoteText"/>
      </w:pPr>
      <w:r>
        <w:rPr>
          <w:rStyle w:val="FootnoteReference"/>
        </w:rPr>
        <w:footnoteRef/>
      </w:r>
      <w:r>
        <w:t xml:space="preserve"> </w:t>
      </w:r>
      <w:r w:rsidR="00DD3D79">
        <w:t>Id.</w:t>
      </w:r>
      <w:r>
        <w:t xml:space="preserve"> at 1.</w:t>
      </w:r>
    </w:p>
  </w:footnote>
  <w:footnote w:id="98">
    <w:p w14:paraId="731DF10E" w14:textId="77777777" w:rsidR="008D79A5" w:rsidRDefault="008D79A5" w:rsidP="008D79A5">
      <w:pPr>
        <w:pStyle w:val="FootnoteText"/>
      </w:pPr>
      <w:r>
        <w:rPr>
          <w:rStyle w:val="FootnoteReference"/>
        </w:rPr>
        <w:footnoteRef/>
      </w:r>
      <w:r>
        <w:t xml:space="preserve"> Id.</w:t>
      </w:r>
    </w:p>
  </w:footnote>
  <w:footnote w:id="99">
    <w:p w14:paraId="67CF7376" w14:textId="6635E237" w:rsidR="00DD3D79" w:rsidRDefault="00DD3D79">
      <w:pPr>
        <w:pStyle w:val="FootnoteText"/>
      </w:pPr>
      <w:r>
        <w:rPr>
          <w:rStyle w:val="FootnoteReference"/>
        </w:rPr>
        <w:footnoteRef/>
      </w:r>
      <w:r>
        <w:t xml:space="preserve"> </w:t>
      </w:r>
      <w:r w:rsidR="0025037E">
        <w:t>Exhibit 2, Attachment 27.</w:t>
      </w:r>
    </w:p>
  </w:footnote>
  <w:footnote w:id="100">
    <w:p w14:paraId="5EB5A889" w14:textId="78914B96" w:rsidR="008D79A5" w:rsidRDefault="008D79A5" w:rsidP="008D79A5">
      <w:pPr>
        <w:pStyle w:val="FootnoteText"/>
      </w:pPr>
      <w:r>
        <w:rPr>
          <w:rStyle w:val="FootnoteReference"/>
        </w:rPr>
        <w:footnoteRef/>
      </w:r>
      <w:r>
        <w:t xml:space="preserve"> </w:t>
      </w:r>
      <w:r w:rsidR="0025037E">
        <w:t>Id.</w:t>
      </w:r>
      <w:r>
        <w:t xml:space="preserve"> at 1.</w:t>
      </w:r>
    </w:p>
  </w:footnote>
  <w:footnote w:id="101">
    <w:p w14:paraId="7A0F72BF" w14:textId="77777777" w:rsidR="008D79A5" w:rsidRDefault="008D79A5" w:rsidP="008D79A5">
      <w:pPr>
        <w:pStyle w:val="FootnoteText"/>
      </w:pPr>
      <w:r>
        <w:rPr>
          <w:rStyle w:val="FootnoteReference"/>
        </w:rPr>
        <w:footnoteRef/>
      </w:r>
      <w:r>
        <w:t xml:space="preserve"> Id.</w:t>
      </w:r>
    </w:p>
  </w:footnote>
  <w:footnote w:id="102">
    <w:p w14:paraId="4193273B" w14:textId="6B3E2D52" w:rsidR="0025037E" w:rsidRDefault="0025037E">
      <w:pPr>
        <w:pStyle w:val="FootnoteText"/>
      </w:pPr>
      <w:r>
        <w:rPr>
          <w:rStyle w:val="FootnoteReference"/>
        </w:rPr>
        <w:footnoteRef/>
      </w:r>
      <w:r>
        <w:t xml:space="preserve"> Exhibit 2, Attachment 29.</w:t>
      </w:r>
    </w:p>
  </w:footnote>
  <w:footnote w:id="103">
    <w:p w14:paraId="3DB20791" w14:textId="4B362546" w:rsidR="008D79A5" w:rsidRDefault="008D79A5" w:rsidP="008D79A5">
      <w:pPr>
        <w:pStyle w:val="FootnoteText"/>
      </w:pPr>
      <w:r>
        <w:rPr>
          <w:rStyle w:val="FootnoteReference"/>
        </w:rPr>
        <w:footnoteRef/>
      </w:r>
      <w:r>
        <w:t xml:space="preserve"> </w:t>
      </w:r>
      <w:r w:rsidR="0025037E">
        <w:t>Id.</w:t>
      </w:r>
      <w:r>
        <w:t xml:space="preserve"> at 1.</w:t>
      </w:r>
    </w:p>
  </w:footnote>
  <w:footnote w:id="104">
    <w:p w14:paraId="71D91B04" w14:textId="77777777" w:rsidR="008D79A5" w:rsidRDefault="008D79A5" w:rsidP="008D79A5">
      <w:pPr>
        <w:pStyle w:val="FootnoteText"/>
      </w:pPr>
      <w:r>
        <w:rPr>
          <w:rStyle w:val="FootnoteReference"/>
        </w:rPr>
        <w:footnoteRef/>
      </w:r>
      <w:r>
        <w:t xml:space="preserve"> Id at 3.</w:t>
      </w:r>
    </w:p>
  </w:footnote>
  <w:footnote w:id="105">
    <w:p w14:paraId="012DCF0F" w14:textId="555E9FAD" w:rsidR="0025037E" w:rsidRDefault="0025037E">
      <w:pPr>
        <w:pStyle w:val="FootnoteText"/>
      </w:pPr>
      <w:r>
        <w:rPr>
          <w:rStyle w:val="FootnoteReference"/>
        </w:rPr>
        <w:footnoteRef/>
      </w:r>
      <w:r>
        <w:t xml:space="preserve"> Exhibit 2, Attachment 34.</w:t>
      </w:r>
    </w:p>
  </w:footnote>
  <w:footnote w:id="106">
    <w:p w14:paraId="30EE6463" w14:textId="2381752C" w:rsidR="008D79A5" w:rsidRDefault="008D79A5" w:rsidP="008D79A5">
      <w:pPr>
        <w:pStyle w:val="FootnoteText"/>
      </w:pPr>
      <w:r>
        <w:rPr>
          <w:rStyle w:val="FootnoteReference"/>
        </w:rPr>
        <w:footnoteRef/>
      </w:r>
      <w:r>
        <w:t xml:space="preserve"> </w:t>
      </w:r>
      <w:r w:rsidR="0025037E">
        <w:t>Id.</w:t>
      </w:r>
      <w:r>
        <w:t xml:space="preserve"> at 3.</w:t>
      </w:r>
    </w:p>
  </w:footnote>
  <w:footnote w:id="107">
    <w:p w14:paraId="448DEE39" w14:textId="77777777" w:rsidR="008D79A5" w:rsidRDefault="008D79A5" w:rsidP="008D79A5">
      <w:pPr>
        <w:pStyle w:val="FootnoteText"/>
      </w:pPr>
      <w:r>
        <w:rPr>
          <w:rStyle w:val="FootnoteReference"/>
        </w:rPr>
        <w:footnoteRef/>
      </w:r>
      <w:r>
        <w:t xml:space="preserve"> Id.</w:t>
      </w:r>
    </w:p>
  </w:footnote>
  <w:footnote w:id="108">
    <w:p w14:paraId="10B8BF59" w14:textId="658E3251" w:rsidR="00C40646" w:rsidRDefault="00C40646">
      <w:pPr>
        <w:pStyle w:val="FootnoteText"/>
      </w:pPr>
      <w:r>
        <w:rPr>
          <w:rStyle w:val="FootnoteReference"/>
        </w:rPr>
        <w:footnoteRef/>
      </w:r>
      <w:r>
        <w:t xml:space="preserve"> </w:t>
      </w:r>
      <w:r w:rsidR="0025041B">
        <w:t xml:space="preserve">Exhibit 2, Attachment </w:t>
      </w:r>
      <w:r w:rsidR="00A2370F">
        <w:t>41</w:t>
      </w:r>
      <w:r w:rsidR="0025041B">
        <w:t>.</w:t>
      </w:r>
    </w:p>
  </w:footnote>
  <w:footnote w:id="109">
    <w:p w14:paraId="22FD1D26" w14:textId="0B86356E" w:rsidR="0025041B" w:rsidRDefault="0025041B">
      <w:pPr>
        <w:pStyle w:val="FootnoteText"/>
      </w:pPr>
      <w:r>
        <w:rPr>
          <w:rStyle w:val="FootnoteReference"/>
        </w:rPr>
        <w:footnoteRef/>
      </w:r>
      <w:r>
        <w:t xml:space="preserve"> Id.</w:t>
      </w:r>
    </w:p>
  </w:footnote>
  <w:footnote w:id="110">
    <w:p w14:paraId="777CDB7C" w14:textId="141754F3" w:rsidR="0025041B" w:rsidRDefault="0025041B">
      <w:pPr>
        <w:pStyle w:val="FootnoteText"/>
      </w:pPr>
      <w:r>
        <w:rPr>
          <w:rStyle w:val="FootnoteReference"/>
        </w:rPr>
        <w:footnoteRef/>
      </w:r>
      <w:r>
        <w:t xml:space="preserve"> Id.</w:t>
      </w:r>
    </w:p>
  </w:footnote>
  <w:footnote w:id="111">
    <w:p w14:paraId="54BFA633" w14:textId="45334A3E" w:rsidR="002510F2" w:rsidRDefault="002510F2">
      <w:pPr>
        <w:pStyle w:val="FootnoteText"/>
      </w:pPr>
      <w:r>
        <w:rPr>
          <w:rStyle w:val="FootnoteReference"/>
        </w:rPr>
        <w:footnoteRef/>
      </w:r>
      <w:r>
        <w:t xml:space="preserve"> </w:t>
      </w:r>
      <w:r w:rsidR="00383EDB">
        <w:t>Exhibit 2, Attachment 25.</w:t>
      </w:r>
    </w:p>
  </w:footnote>
  <w:footnote w:id="112">
    <w:p w14:paraId="636FDC08" w14:textId="653CDF24" w:rsidR="00383EDB" w:rsidRDefault="00383EDB">
      <w:pPr>
        <w:pStyle w:val="FootnoteText"/>
      </w:pPr>
      <w:r>
        <w:rPr>
          <w:rStyle w:val="FootnoteReference"/>
        </w:rPr>
        <w:footnoteRef/>
      </w:r>
      <w:r>
        <w:t xml:space="preserve"> Id.</w:t>
      </w:r>
    </w:p>
  </w:footnote>
  <w:footnote w:id="113">
    <w:p w14:paraId="5DE75C1A" w14:textId="54338F74" w:rsidR="00383EDB" w:rsidRDefault="00383EDB">
      <w:pPr>
        <w:pStyle w:val="FootnoteText"/>
      </w:pPr>
      <w:r>
        <w:rPr>
          <w:rStyle w:val="FootnoteReference"/>
        </w:rPr>
        <w:footnoteRef/>
      </w:r>
      <w:r>
        <w:t xml:space="preserve"> </w:t>
      </w:r>
      <w:r w:rsidR="00A15B03">
        <w:t>Exhibit 2, Attachment 35.</w:t>
      </w:r>
    </w:p>
  </w:footnote>
  <w:footnote w:id="114">
    <w:p w14:paraId="13F8ECC2" w14:textId="09C56D94" w:rsidR="008D79A5" w:rsidRDefault="008D79A5" w:rsidP="008D79A5">
      <w:pPr>
        <w:pStyle w:val="FootnoteText"/>
      </w:pPr>
      <w:r>
        <w:rPr>
          <w:rStyle w:val="FootnoteReference"/>
        </w:rPr>
        <w:footnoteRef/>
      </w:r>
      <w:r>
        <w:t xml:space="preserve"> </w:t>
      </w:r>
      <w:r w:rsidR="00383EDB">
        <w:t>Id.</w:t>
      </w:r>
      <w:r>
        <w:t xml:space="preserve"> at 1.</w:t>
      </w:r>
    </w:p>
  </w:footnote>
  <w:footnote w:id="115">
    <w:p w14:paraId="50D89B07" w14:textId="5C383900" w:rsidR="00A15B03" w:rsidRDefault="00A15B03">
      <w:pPr>
        <w:pStyle w:val="FootnoteText"/>
      </w:pPr>
      <w:r>
        <w:rPr>
          <w:rStyle w:val="FootnoteReference"/>
        </w:rPr>
        <w:footnoteRef/>
      </w:r>
      <w:r>
        <w:t xml:space="preserve"> Exhibit 2, Attachment </w:t>
      </w:r>
      <w:r w:rsidR="00FF49D3">
        <w:t>45.</w:t>
      </w:r>
    </w:p>
  </w:footnote>
  <w:footnote w:id="116">
    <w:p w14:paraId="4AF980BD" w14:textId="4DFD1800" w:rsidR="00FF49D3" w:rsidRDefault="00FF49D3">
      <w:pPr>
        <w:pStyle w:val="FootnoteText"/>
      </w:pPr>
      <w:r>
        <w:rPr>
          <w:rStyle w:val="FootnoteReference"/>
        </w:rPr>
        <w:footnoteRef/>
      </w:r>
      <w:r>
        <w:t xml:space="preserve"> Id. at 1.</w:t>
      </w:r>
    </w:p>
  </w:footnote>
  <w:footnote w:id="117">
    <w:p w14:paraId="010621E2" w14:textId="2CE8A5AC" w:rsidR="008574A8" w:rsidRDefault="008574A8">
      <w:pPr>
        <w:pStyle w:val="FootnoteText"/>
      </w:pPr>
      <w:r>
        <w:rPr>
          <w:rStyle w:val="FootnoteReference"/>
        </w:rPr>
        <w:footnoteRef/>
      </w:r>
      <w:r>
        <w:t xml:space="preserve"> Exhibit 2, Attachment </w:t>
      </w:r>
      <w:r w:rsidR="00B729CE">
        <w:t>32.</w:t>
      </w:r>
    </w:p>
  </w:footnote>
  <w:footnote w:id="118">
    <w:p w14:paraId="75CEF952" w14:textId="6F9EBAA0" w:rsidR="00D96718" w:rsidRDefault="00D96718" w:rsidP="00D96718">
      <w:pPr>
        <w:pStyle w:val="FootnoteText"/>
      </w:pPr>
      <w:r>
        <w:rPr>
          <w:rStyle w:val="FootnoteReference"/>
        </w:rPr>
        <w:footnoteRef/>
      </w:r>
      <w:r>
        <w:t xml:space="preserve"> </w:t>
      </w:r>
      <w:r w:rsidR="00B729CE">
        <w:t>Id.</w:t>
      </w:r>
      <w:r>
        <w:t xml:space="preserve"> at 1.</w:t>
      </w:r>
    </w:p>
  </w:footnote>
  <w:footnote w:id="119">
    <w:p w14:paraId="203FB986" w14:textId="77777777" w:rsidR="00D96718" w:rsidRDefault="00D96718" w:rsidP="00D96718">
      <w:pPr>
        <w:pStyle w:val="FootnoteText"/>
      </w:pPr>
      <w:r>
        <w:rPr>
          <w:rStyle w:val="FootnoteReference"/>
        </w:rPr>
        <w:footnoteRef/>
      </w:r>
      <w:r>
        <w:t xml:space="preserve"> Id.</w:t>
      </w:r>
    </w:p>
  </w:footnote>
  <w:footnote w:id="120">
    <w:p w14:paraId="3318E0E4" w14:textId="5F1E2AF0" w:rsidR="00B729CE" w:rsidRDefault="00B729CE">
      <w:pPr>
        <w:pStyle w:val="FootnoteText"/>
      </w:pPr>
      <w:r>
        <w:rPr>
          <w:rStyle w:val="FootnoteReference"/>
        </w:rPr>
        <w:footnoteRef/>
      </w:r>
      <w:r>
        <w:t xml:space="preserve"> </w:t>
      </w:r>
      <w:r w:rsidR="003026C2">
        <w:t>Exhibit 1, Attachment 1.</w:t>
      </w:r>
    </w:p>
  </w:footnote>
  <w:footnote w:id="121">
    <w:p w14:paraId="47BD1189" w14:textId="1EA9A279" w:rsidR="00D96718" w:rsidRDefault="00D96718" w:rsidP="00D96718">
      <w:pPr>
        <w:pStyle w:val="FootnoteText"/>
      </w:pPr>
      <w:r>
        <w:rPr>
          <w:rStyle w:val="FootnoteReference"/>
        </w:rPr>
        <w:footnoteRef/>
      </w:r>
      <w:r>
        <w:t xml:space="preserve"> </w:t>
      </w:r>
      <w:r w:rsidR="003026C2">
        <w:t xml:space="preserve">Id. </w:t>
      </w:r>
      <w:r>
        <w:t>at 1.</w:t>
      </w:r>
    </w:p>
  </w:footnote>
  <w:footnote w:id="122">
    <w:p w14:paraId="3B569607" w14:textId="77777777" w:rsidR="00D96718" w:rsidRDefault="00D96718" w:rsidP="00D96718">
      <w:pPr>
        <w:pStyle w:val="FootnoteText"/>
      </w:pPr>
      <w:r>
        <w:rPr>
          <w:rStyle w:val="FootnoteReference"/>
        </w:rPr>
        <w:footnoteRef/>
      </w:r>
      <w:r>
        <w:t xml:space="preserve"> Id. at 4.</w:t>
      </w:r>
    </w:p>
  </w:footnote>
  <w:footnote w:id="123">
    <w:p w14:paraId="3712C9AA" w14:textId="77777777" w:rsidR="00D96718" w:rsidRDefault="00D96718" w:rsidP="00D96718">
      <w:pPr>
        <w:pStyle w:val="FootnoteText"/>
      </w:pPr>
      <w:r>
        <w:rPr>
          <w:rStyle w:val="FootnoteReference"/>
        </w:rPr>
        <w:footnoteRef/>
      </w:r>
      <w:r>
        <w:t xml:space="preserve"> </w:t>
      </w:r>
      <w:r w:rsidRPr="003B0BB2">
        <w:t>Exhibit 2, Attachment 33 at 1.</w:t>
      </w:r>
    </w:p>
  </w:footnote>
  <w:footnote w:id="124">
    <w:p w14:paraId="66CF4B08" w14:textId="77777777" w:rsidR="00D96718" w:rsidRDefault="00D96718" w:rsidP="00D96718">
      <w:pPr>
        <w:pStyle w:val="FootnoteText"/>
      </w:pPr>
      <w:r>
        <w:rPr>
          <w:rStyle w:val="FootnoteReference"/>
        </w:rPr>
        <w:footnoteRef/>
      </w:r>
      <w:r>
        <w:t xml:space="preserve"> Exhibit 1, Attachments 1 and 6 at 1.</w:t>
      </w:r>
    </w:p>
  </w:footnote>
  <w:footnote w:id="125">
    <w:p w14:paraId="3E03FB14" w14:textId="1875B682" w:rsidR="00CC3975" w:rsidRDefault="00CC3975" w:rsidP="00CC3975">
      <w:pPr>
        <w:pStyle w:val="FootnoteText"/>
      </w:pPr>
      <w:r>
        <w:rPr>
          <w:rStyle w:val="FootnoteReference"/>
        </w:rPr>
        <w:footnoteRef/>
      </w:r>
      <w:r>
        <w:t xml:space="preserve"> Exhibit 2, </w:t>
      </w:r>
      <w:r w:rsidR="00477A00">
        <w:t>Staff Report</w:t>
      </w:r>
      <w:r>
        <w:t xml:space="preserve"> at 30.</w:t>
      </w:r>
    </w:p>
  </w:footnote>
  <w:footnote w:id="126">
    <w:p w14:paraId="60A91A63" w14:textId="77777777" w:rsidR="009C293E" w:rsidRDefault="009C293E" w:rsidP="009C293E">
      <w:pPr>
        <w:pStyle w:val="FootnoteText"/>
      </w:pPr>
      <w:r>
        <w:rPr>
          <w:rStyle w:val="FootnoteReference"/>
        </w:rPr>
        <w:footnoteRef/>
      </w:r>
      <w:r>
        <w:t xml:space="preserve"> D.24-03-053 at 1.</w:t>
      </w:r>
    </w:p>
  </w:footnote>
  <w:footnote w:id="127">
    <w:p w14:paraId="52663CED" w14:textId="3303CE71" w:rsidR="009C293E" w:rsidRDefault="009C293E" w:rsidP="009C293E">
      <w:pPr>
        <w:pStyle w:val="FootnoteText"/>
      </w:pPr>
      <w:r>
        <w:rPr>
          <w:rStyle w:val="FootnoteReference"/>
        </w:rPr>
        <w:footnoteRef/>
      </w:r>
      <w:r>
        <w:t xml:space="preserve"> Id. at 14.  </w:t>
      </w:r>
      <w:r w:rsidR="003670ED">
        <w:t>“</w:t>
      </w:r>
      <w:r>
        <w:t>On its own volition, Havasu decided to remove all late fees associated with the Complainants submitted payments to CPUC impounds</w:t>
      </w:r>
      <w:r w:rsidR="003670ED">
        <w:t>.”</w:t>
      </w:r>
    </w:p>
  </w:footnote>
  <w:footnote w:id="128">
    <w:p w14:paraId="373C3EB1" w14:textId="77777777" w:rsidR="009C293E" w:rsidRDefault="009C293E" w:rsidP="009C293E">
      <w:pPr>
        <w:pStyle w:val="FootnoteText"/>
      </w:pPr>
      <w:r>
        <w:rPr>
          <w:rStyle w:val="FootnoteReference"/>
        </w:rPr>
        <w:footnoteRef/>
      </w:r>
      <w:r>
        <w:t xml:space="preserve"> C.23-02-009, Rehearing Request, Exhibit 1 at 1.</w:t>
      </w:r>
    </w:p>
  </w:footnote>
  <w:footnote w:id="129">
    <w:p w14:paraId="1D3DEA0A" w14:textId="77777777" w:rsidR="009C293E" w:rsidRDefault="009C293E" w:rsidP="009C293E">
      <w:pPr>
        <w:pStyle w:val="FootnoteText"/>
      </w:pPr>
      <w:r>
        <w:rPr>
          <w:rStyle w:val="FootnoteReference"/>
        </w:rPr>
        <w:footnoteRef/>
      </w:r>
      <w:r>
        <w:t xml:space="preserve"> Id. at 1.</w:t>
      </w:r>
    </w:p>
  </w:footnote>
  <w:footnote w:id="130">
    <w:p w14:paraId="6B483E06" w14:textId="77777777" w:rsidR="009C293E" w:rsidRDefault="009C293E" w:rsidP="009C293E">
      <w:pPr>
        <w:pStyle w:val="FootnoteText"/>
      </w:pPr>
      <w:r>
        <w:rPr>
          <w:rStyle w:val="FootnoteReference"/>
        </w:rPr>
        <w:footnoteRef/>
      </w:r>
      <w:r>
        <w:t xml:space="preserve"> C.23-02-009, Cease and Desist Ruling at 6 – 7.</w:t>
      </w:r>
    </w:p>
  </w:footnote>
  <w:footnote w:id="131">
    <w:p w14:paraId="2962D44B" w14:textId="77777777" w:rsidR="00D92682" w:rsidRDefault="00D92682" w:rsidP="00D92682">
      <w:pPr>
        <w:pStyle w:val="FootnoteText"/>
      </w:pPr>
      <w:r>
        <w:rPr>
          <w:rStyle w:val="FootnoteReference"/>
        </w:rPr>
        <w:footnoteRef/>
      </w:r>
      <w:r>
        <w:t xml:space="preserve"> D.24-03-053 at 14.</w:t>
      </w:r>
    </w:p>
  </w:footnote>
  <w:footnote w:id="132">
    <w:p w14:paraId="4955078B" w14:textId="77777777" w:rsidR="00D92682" w:rsidRDefault="00D92682" w:rsidP="00D92682">
      <w:pPr>
        <w:pStyle w:val="FootnoteText"/>
      </w:pPr>
      <w:r>
        <w:rPr>
          <w:rStyle w:val="FootnoteReference"/>
        </w:rPr>
        <w:footnoteRef/>
      </w:r>
      <w:r>
        <w:t xml:space="preserve"> Id. at 10.</w:t>
      </w:r>
    </w:p>
  </w:footnote>
  <w:footnote w:id="133">
    <w:p w14:paraId="20AD927C" w14:textId="3415D249" w:rsidR="00A1466C" w:rsidRDefault="00A1466C">
      <w:pPr>
        <w:pStyle w:val="FootnoteText"/>
      </w:pPr>
      <w:r>
        <w:rPr>
          <w:rStyle w:val="FootnoteReference"/>
        </w:rPr>
        <w:footnoteRef/>
      </w:r>
      <w:r>
        <w:t xml:space="preserve"> </w:t>
      </w:r>
      <w:r w:rsidR="008D469F" w:rsidRPr="008D469F">
        <w:t>C.23-02-009, Rehearing Request, Exhibit 1 at 1.</w:t>
      </w:r>
    </w:p>
  </w:footnote>
  <w:footnote w:id="134">
    <w:p w14:paraId="7A3674C0" w14:textId="77777777" w:rsidR="00A1466C" w:rsidRDefault="00A1466C" w:rsidP="00A1466C">
      <w:pPr>
        <w:pStyle w:val="FootnoteText"/>
      </w:pPr>
      <w:r>
        <w:rPr>
          <w:rStyle w:val="FootnoteReference"/>
        </w:rPr>
        <w:footnoteRef/>
      </w:r>
      <w:r>
        <w:t xml:space="preserve"> C.23-02-009, Rehearing Request at 2.</w:t>
      </w:r>
    </w:p>
  </w:footnote>
  <w:footnote w:id="135">
    <w:p w14:paraId="326EDD0C" w14:textId="77777777" w:rsidR="003041B3" w:rsidRDefault="003041B3" w:rsidP="003041B3">
      <w:pPr>
        <w:pStyle w:val="FootnoteText"/>
      </w:pPr>
      <w:r>
        <w:rPr>
          <w:rStyle w:val="FootnoteReference"/>
        </w:rPr>
        <w:footnoteRef/>
      </w:r>
      <w:r>
        <w:t xml:space="preserve"> C.23-02-009, Cease and Desist Ruling at 6.</w:t>
      </w:r>
    </w:p>
  </w:footnote>
  <w:footnote w:id="136">
    <w:p w14:paraId="6DDD5292" w14:textId="38CF967D" w:rsidR="003260A1" w:rsidRDefault="003260A1">
      <w:pPr>
        <w:pStyle w:val="FootnoteText"/>
      </w:pPr>
      <w:r>
        <w:rPr>
          <w:rStyle w:val="FootnoteReference"/>
        </w:rPr>
        <w:footnoteRef/>
      </w:r>
      <w:r>
        <w:t xml:space="preserve"> </w:t>
      </w:r>
      <w:r w:rsidR="00235726">
        <w:t xml:space="preserve">San Bernardino County Public Works webpage is located at: </w:t>
      </w:r>
      <w:hyperlink r:id="rId5" w:history="1">
        <w:r w:rsidR="001A0158" w:rsidRPr="00235726">
          <w:rPr>
            <w:rStyle w:val="Hyperlink"/>
          </w:rPr>
          <w:t>https://www.sanbernardino.gov/614/PublicWorks#:~:text=Our%20O%26M%20team%20is%20responsible,weed%20abatement%2C%20and%20public%20parks.</w:t>
        </w:r>
      </w:hyperlink>
    </w:p>
  </w:footnote>
  <w:footnote w:id="137">
    <w:p w14:paraId="1C1D6E77" w14:textId="2C54734F" w:rsidR="00D177E7" w:rsidRDefault="00D177E7">
      <w:pPr>
        <w:pStyle w:val="FootnoteText"/>
      </w:pPr>
      <w:r>
        <w:rPr>
          <w:rStyle w:val="FootnoteReference"/>
        </w:rPr>
        <w:footnoteRef/>
      </w:r>
      <w:r>
        <w:t xml:space="preserve"> Id.</w:t>
      </w:r>
    </w:p>
  </w:footnote>
  <w:footnote w:id="138">
    <w:p w14:paraId="6E5A9E07" w14:textId="71C1E80D" w:rsidR="009F5C50" w:rsidRDefault="009F5C50" w:rsidP="009F5C50">
      <w:pPr>
        <w:pStyle w:val="FootnoteText"/>
      </w:pPr>
      <w:r>
        <w:rPr>
          <w:rStyle w:val="FootnoteReference"/>
        </w:rPr>
        <w:footnoteRef/>
      </w:r>
      <w:r>
        <w:t xml:space="preserve"> Exhibit 2, Attachment 65</w:t>
      </w:r>
      <w:r w:rsidR="00235726">
        <w:t xml:space="preserve"> </w:t>
      </w:r>
      <w:r>
        <w:t>at 2.</w:t>
      </w:r>
    </w:p>
  </w:footnote>
  <w:footnote w:id="139">
    <w:p w14:paraId="256D58E6" w14:textId="77777777" w:rsidR="009F5C50" w:rsidRDefault="009F5C50" w:rsidP="009F5C50">
      <w:pPr>
        <w:pStyle w:val="FootnoteText"/>
      </w:pPr>
      <w:r>
        <w:rPr>
          <w:rStyle w:val="FootnoteReference"/>
        </w:rPr>
        <w:footnoteRef/>
      </w:r>
      <w:r>
        <w:t xml:space="preserve"> Id.</w:t>
      </w:r>
    </w:p>
  </w:footnote>
  <w:footnote w:id="140">
    <w:p w14:paraId="6EF827D3" w14:textId="77777777" w:rsidR="009F5C50" w:rsidRDefault="009F5C50" w:rsidP="009F5C50">
      <w:pPr>
        <w:pStyle w:val="FootnoteText"/>
      </w:pPr>
      <w:r>
        <w:rPr>
          <w:rStyle w:val="FootnoteReference"/>
        </w:rPr>
        <w:footnoteRef/>
      </w:r>
      <w:r>
        <w:t xml:space="preserve"> Id.</w:t>
      </w:r>
    </w:p>
  </w:footnote>
  <w:footnote w:id="141">
    <w:p w14:paraId="411CB34D" w14:textId="77777777" w:rsidR="009F5C50" w:rsidRDefault="009F5C50" w:rsidP="009F5C50">
      <w:pPr>
        <w:pStyle w:val="FootnoteText"/>
      </w:pPr>
      <w:r>
        <w:rPr>
          <w:rStyle w:val="FootnoteReference"/>
        </w:rPr>
        <w:footnoteRef/>
      </w:r>
      <w:r>
        <w:t xml:space="preserve"> Id.</w:t>
      </w:r>
    </w:p>
  </w:footnote>
  <w:footnote w:id="142">
    <w:p w14:paraId="05176F50" w14:textId="77777777" w:rsidR="009F5C50" w:rsidRDefault="009F5C50" w:rsidP="009F5C50">
      <w:pPr>
        <w:pStyle w:val="FootnoteText"/>
      </w:pPr>
      <w:r>
        <w:rPr>
          <w:rStyle w:val="FootnoteReference"/>
        </w:rPr>
        <w:footnoteRef/>
      </w:r>
      <w:r>
        <w:t xml:space="preserve"> Id.</w:t>
      </w:r>
    </w:p>
  </w:footnote>
  <w:footnote w:id="143">
    <w:p w14:paraId="40746F68" w14:textId="4B4F250D" w:rsidR="009C1D55" w:rsidRDefault="009C1D55">
      <w:pPr>
        <w:pStyle w:val="FootnoteText"/>
      </w:pPr>
      <w:r>
        <w:rPr>
          <w:rStyle w:val="FootnoteReference"/>
        </w:rPr>
        <w:footnoteRef/>
      </w:r>
      <w:r>
        <w:t xml:space="preserve"> Scoping memo and ruling at 6.</w:t>
      </w:r>
    </w:p>
  </w:footnote>
  <w:footnote w:id="144">
    <w:p w14:paraId="3E2C4937" w14:textId="5FCC0419" w:rsidR="009C1D55" w:rsidRDefault="009C1D55">
      <w:pPr>
        <w:pStyle w:val="FootnoteText"/>
      </w:pPr>
      <w:r>
        <w:rPr>
          <w:rStyle w:val="FootnoteReference"/>
        </w:rPr>
        <w:footnoteRef/>
      </w:r>
      <w:r>
        <w:t xml:space="preserve"> Preliminary scoping memo at 22.</w:t>
      </w:r>
    </w:p>
  </w:footnote>
  <w:footnote w:id="145">
    <w:p w14:paraId="042301FA" w14:textId="59D5CB3A" w:rsidR="00145374" w:rsidRDefault="00145374">
      <w:pPr>
        <w:pStyle w:val="FootnoteText"/>
      </w:pPr>
      <w:r>
        <w:rPr>
          <w:rStyle w:val="FootnoteReference"/>
        </w:rPr>
        <w:footnoteRef/>
      </w:r>
      <w:r>
        <w:t xml:space="preserve"> </w:t>
      </w:r>
      <w:r w:rsidR="00D20E68">
        <w:t>ALJ</w:t>
      </w:r>
      <w:r>
        <w:t xml:space="preserve"> Ruling </w:t>
      </w:r>
      <w:r w:rsidR="00C935D6">
        <w:t>Consolidating K.25-06-028 issued on</w:t>
      </w:r>
      <w:r>
        <w:t xml:space="preserve"> February </w:t>
      </w:r>
      <w:r w:rsidR="009156BC">
        <w:t>5</w:t>
      </w:r>
      <w:r>
        <w:t>, 2026</w:t>
      </w:r>
      <w:r w:rsidR="006F1AEB">
        <w:t xml:space="preserve"> at 1.</w:t>
      </w:r>
    </w:p>
  </w:footnote>
  <w:footnote w:id="146">
    <w:p w14:paraId="18418172" w14:textId="556402BD" w:rsidR="000B6E14" w:rsidRDefault="000B6E14" w:rsidP="000B6E14">
      <w:pPr>
        <w:pStyle w:val="FootnoteText"/>
      </w:pPr>
      <w:r>
        <w:rPr>
          <w:rStyle w:val="FootnoteReference"/>
        </w:rPr>
        <w:footnoteRef/>
      </w:r>
      <w:r>
        <w:t xml:space="preserve"> Exhibit 2, Attachment 34</w:t>
      </w:r>
      <w:r w:rsidR="0008584E">
        <w:t xml:space="preserve"> </w:t>
      </w:r>
      <w:r>
        <w:t>at 2.</w:t>
      </w:r>
    </w:p>
  </w:footnote>
  <w:footnote w:id="147">
    <w:p w14:paraId="240FB780" w14:textId="5370A22E" w:rsidR="000B6E14" w:rsidRDefault="000B6E14" w:rsidP="000B6E14">
      <w:pPr>
        <w:pStyle w:val="FootnoteText"/>
      </w:pPr>
      <w:r>
        <w:rPr>
          <w:rStyle w:val="FootnoteReference"/>
        </w:rPr>
        <w:footnoteRef/>
      </w:r>
      <w:r>
        <w:t xml:space="preserve"> Exhibit 2, Attachment 35</w:t>
      </w:r>
      <w:r w:rsidR="0008584E">
        <w:t xml:space="preserve"> </w:t>
      </w:r>
      <w:r>
        <w:t>at 2.</w:t>
      </w:r>
    </w:p>
  </w:footnote>
  <w:footnote w:id="148">
    <w:p w14:paraId="09FF6F1D" w14:textId="67BC936F" w:rsidR="000B6E14" w:rsidRDefault="000B6E14" w:rsidP="000B6E14">
      <w:pPr>
        <w:pStyle w:val="FootnoteText"/>
      </w:pPr>
      <w:r>
        <w:rPr>
          <w:rStyle w:val="FootnoteReference"/>
        </w:rPr>
        <w:footnoteRef/>
      </w:r>
      <w:r>
        <w:t xml:space="preserve"> Exhibit 2, Attachment 35</w:t>
      </w:r>
      <w:r w:rsidR="0008584E">
        <w:t xml:space="preserve"> </w:t>
      </w:r>
      <w:r>
        <w:t>at 1-16.</w:t>
      </w:r>
    </w:p>
  </w:footnote>
  <w:footnote w:id="149">
    <w:p w14:paraId="27565532" w14:textId="7F7300AE" w:rsidR="000B6E14" w:rsidRDefault="000B6E14" w:rsidP="000B6E14">
      <w:pPr>
        <w:pStyle w:val="FootnoteText"/>
      </w:pPr>
      <w:r>
        <w:rPr>
          <w:rStyle w:val="FootnoteReference"/>
        </w:rPr>
        <w:footnoteRef/>
      </w:r>
      <w:r>
        <w:t xml:space="preserve"> Exhibit 2, Attachment 30</w:t>
      </w:r>
      <w:r w:rsidR="0008584E">
        <w:t xml:space="preserve"> </w:t>
      </w:r>
      <w:r>
        <w:t>at 1.</w:t>
      </w:r>
    </w:p>
  </w:footnote>
  <w:footnote w:id="150">
    <w:p w14:paraId="360F38B4" w14:textId="192795EA" w:rsidR="000B6E14" w:rsidRDefault="000B6E14" w:rsidP="000B6E14">
      <w:pPr>
        <w:pStyle w:val="FootnoteText"/>
      </w:pPr>
      <w:r>
        <w:rPr>
          <w:rStyle w:val="FootnoteReference"/>
        </w:rPr>
        <w:footnoteRef/>
      </w:r>
      <w:r>
        <w:t xml:space="preserve"> Exhibit 2, Attachment 31</w:t>
      </w:r>
      <w:r w:rsidR="0008584E">
        <w:t xml:space="preserve"> </w:t>
      </w:r>
      <w:r>
        <w:t>at 1.</w:t>
      </w:r>
    </w:p>
  </w:footnote>
  <w:footnote w:id="151">
    <w:p w14:paraId="00FF2D8E" w14:textId="47C490BC" w:rsidR="000B6E14" w:rsidRDefault="000B6E14" w:rsidP="000B6E14">
      <w:pPr>
        <w:pStyle w:val="FootnoteText"/>
      </w:pPr>
      <w:r>
        <w:rPr>
          <w:rStyle w:val="FootnoteReference"/>
        </w:rPr>
        <w:footnoteRef/>
      </w:r>
      <w:r>
        <w:t xml:space="preserve"> Exhibit 2, Attachment 36</w:t>
      </w:r>
      <w:r w:rsidR="0008584E">
        <w:t xml:space="preserve"> </w:t>
      </w:r>
      <w:r>
        <w:t>at 1.</w:t>
      </w:r>
    </w:p>
  </w:footnote>
  <w:footnote w:id="152">
    <w:p w14:paraId="58836418" w14:textId="77777777" w:rsidR="000B6E14" w:rsidRDefault="000B6E14" w:rsidP="000B6E14">
      <w:pPr>
        <w:pStyle w:val="FootnoteText"/>
      </w:pPr>
      <w:r>
        <w:rPr>
          <w:rStyle w:val="FootnoteReference"/>
        </w:rPr>
        <w:footnoteRef/>
      </w:r>
      <w:r>
        <w:t xml:space="preserve"> Id. at 3 – 11.</w:t>
      </w:r>
    </w:p>
  </w:footnote>
  <w:footnote w:id="153">
    <w:p w14:paraId="43A3DFCF" w14:textId="77777777" w:rsidR="000B6E14" w:rsidRDefault="000B6E14" w:rsidP="000B6E14">
      <w:pPr>
        <w:pStyle w:val="FootnoteText"/>
      </w:pPr>
      <w:r>
        <w:rPr>
          <w:rStyle w:val="FootnoteReference"/>
        </w:rPr>
        <w:footnoteRef/>
      </w:r>
      <w:r>
        <w:t xml:space="preserve"> Id. at 3.</w:t>
      </w:r>
    </w:p>
  </w:footnote>
  <w:footnote w:id="154">
    <w:p w14:paraId="00CDED82" w14:textId="3E7088EA" w:rsidR="000B6E14" w:rsidRDefault="000B6E14" w:rsidP="000B6E14">
      <w:pPr>
        <w:pStyle w:val="FootnoteText"/>
      </w:pPr>
      <w:r>
        <w:rPr>
          <w:rStyle w:val="FootnoteReference"/>
        </w:rPr>
        <w:footnoteRef/>
      </w:r>
      <w:r>
        <w:t xml:space="preserve"> Exhibit 2, Attachment 34</w:t>
      </w:r>
      <w:r w:rsidR="0008584E">
        <w:t xml:space="preserve"> </w:t>
      </w:r>
      <w:r>
        <w:t>at 2.</w:t>
      </w:r>
    </w:p>
  </w:footnote>
  <w:footnote w:id="155">
    <w:p w14:paraId="771D3784" w14:textId="77777777" w:rsidR="000B6E14" w:rsidRDefault="000B6E14" w:rsidP="000B6E14">
      <w:pPr>
        <w:pStyle w:val="FootnoteText"/>
      </w:pPr>
      <w:r>
        <w:rPr>
          <w:rStyle w:val="FootnoteReference"/>
        </w:rPr>
        <w:footnoteRef/>
      </w:r>
      <w:r>
        <w:t xml:space="preserve"> Id. at 3.</w:t>
      </w:r>
    </w:p>
  </w:footnote>
  <w:footnote w:id="156">
    <w:p w14:paraId="36E7B200" w14:textId="2DC8EE65" w:rsidR="000B6E14" w:rsidRDefault="000B6E14" w:rsidP="000B6E14">
      <w:pPr>
        <w:pStyle w:val="FootnoteText"/>
      </w:pPr>
      <w:r>
        <w:rPr>
          <w:rStyle w:val="FootnoteReference"/>
        </w:rPr>
        <w:footnoteRef/>
      </w:r>
      <w:r>
        <w:t xml:space="preserve"> Exhibit 2, Attachment 34</w:t>
      </w:r>
      <w:r w:rsidR="0008584E">
        <w:t xml:space="preserve"> </w:t>
      </w:r>
      <w:r>
        <w:t>at 2.</w:t>
      </w:r>
    </w:p>
  </w:footnote>
  <w:footnote w:id="157">
    <w:p w14:paraId="71A4705B" w14:textId="47063D30" w:rsidR="000B6E14" w:rsidRDefault="000B6E14" w:rsidP="000B6E14">
      <w:pPr>
        <w:pStyle w:val="FootnoteText"/>
      </w:pPr>
      <w:r>
        <w:rPr>
          <w:rStyle w:val="FootnoteReference"/>
        </w:rPr>
        <w:footnoteRef/>
      </w:r>
      <w:r>
        <w:t xml:space="preserve"> Exhibit 2, Attachment 36</w:t>
      </w:r>
      <w:r w:rsidR="0008584E">
        <w:t xml:space="preserve"> </w:t>
      </w:r>
      <w:r>
        <w:t>at 2.</w:t>
      </w:r>
    </w:p>
  </w:footnote>
  <w:footnote w:id="158">
    <w:p w14:paraId="4C774267" w14:textId="79A418B8" w:rsidR="000B6E14" w:rsidRDefault="000B6E14" w:rsidP="000B6E14">
      <w:pPr>
        <w:pStyle w:val="FootnoteText"/>
      </w:pPr>
      <w:r>
        <w:rPr>
          <w:rStyle w:val="FootnoteReference"/>
        </w:rPr>
        <w:footnoteRef/>
      </w:r>
      <w:r>
        <w:t xml:space="preserve"> Exhibit 2, Attachment 34</w:t>
      </w:r>
      <w:r w:rsidR="0008584E">
        <w:t xml:space="preserve"> </w:t>
      </w:r>
      <w:r>
        <w:t>at 2.</w:t>
      </w:r>
    </w:p>
  </w:footnote>
  <w:footnote w:id="159">
    <w:p w14:paraId="163B4043" w14:textId="77777777" w:rsidR="000B6E14" w:rsidRDefault="000B6E14" w:rsidP="000B6E14">
      <w:pPr>
        <w:pStyle w:val="FootnoteText"/>
      </w:pPr>
      <w:r>
        <w:rPr>
          <w:rStyle w:val="FootnoteReference"/>
        </w:rPr>
        <w:footnoteRef/>
      </w:r>
      <w:r>
        <w:t xml:space="preserve"> Pub. Util. Code § 702.</w:t>
      </w:r>
    </w:p>
  </w:footnote>
  <w:footnote w:id="160">
    <w:p w14:paraId="7A1D11D1" w14:textId="7748D0F8" w:rsidR="000B6E14" w:rsidRDefault="000B6E14" w:rsidP="000B6E14">
      <w:pPr>
        <w:pStyle w:val="FootnoteText"/>
      </w:pPr>
      <w:r>
        <w:rPr>
          <w:rStyle w:val="FootnoteReference"/>
        </w:rPr>
        <w:footnoteRef/>
      </w:r>
      <w:r>
        <w:t xml:space="preserve"> Exhibit 2, Attachment 36</w:t>
      </w:r>
      <w:r w:rsidR="0008584E">
        <w:t xml:space="preserve"> </w:t>
      </w:r>
      <w:r>
        <w:t>at 2-8.</w:t>
      </w:r>
    </w:p>
  </w:footnote>
  <w:footnote w:id="161">
    <w:p w14:paraId="48418A11" w14:textId="77777777" w:rsidR="000B6E14" w:rsidRDefault="000B6E14" w:rsidP="000B6E14">
      <w:pPr>
        <w:pStyle w:val="FootnoteText"/>
      </w:pPr>
      <w:r>
        <w:rPr>
          <w:rStyle w:val="FootnoteReference"/>
        </w:rPr>
        <w:footnoteRef/>
      </w:r>
      <w:r>
        <w:t xml:space="preserve"> Id.</w:t>
      </w:r>
    </w:p>
  </w:footnote>
  <w:footnote w:id="162">
    <w:p w14:paraId="155A93DB" w14:textId="77777777" w:rsidR="000B6E14" w:rsidRDefault="000B6E14" w:rsidP="000B6E14">
      <w:pPr>
        <w:pStyle w:val="FootnoteText"/>
      </w:pPr>
      <w:r>
        <w:rPr>
          <w:rStyle w:val="FootnoteReference"/>
        </w:rPr>
        <w:footnoteRef/>
      </w:r>
      <w:r>
        <w:t xml:space="preserve"> Id.</w:t>
      </w:r>
    </w:p>
  </w:footnote>
  <w:footnote w:id="163">
    <w:p w14:paraId="4EE6FEB1" w14:textId="04A2B63F" w:rsidR="000B6E14" w:rsidRDefault="000B6E14" w:rsidP="000B6E14">
      <w:pPr>
        <w:pStyle w:val="FootnoteText"/>
      </w:pPr>
      <w:r>
        <w:rPr>
          <w:rStyle w:val="FootnoteReference"/>
        </w:rPr>
        <w:footnoteRef/>
      </w:r>
      <w:r>
        <w:t xml:space="preserve"> Exhibit 1, Attachment 5</w:t>
      </w:r>
      <w:r w:rsidR="0008584E">
        <w:t xml:space="preserve"> </w:t>
      </w:r>
      <w:r>
        <w:t>at 1.</w:t>
      </w:r>
    </w:p>
  </w:footnote>
  <w:footnote w:id="164">
    <w:p w14:paraId="04595B09" w14:textId="0B433DA9" w:rsidR="008A2019" w:rsidRDefault="008A2019" w:rsidP="008A2019">
      <w:pPr>
        <w:pStyle w:val="FootnoteText"/>
      </w:pPr>
      <w:r>
        <w:rPr>
          <w:rStyle w:val="FootnoteReference"/>
        </w:rPr>
        <w:footnoteRef/>
      </w:r>
      <w:r>
        <w:t xml:space="preserve"> Exhibit 2, Attachment 41</w:t>
      </w:r>
      <w:r w:rsidR="0008584E">
        <w:t xml:space="preserve"> </w:t>
      </w:r>
      <w:r>
        <w:t>at 1.</w:t>
      </w:r>
    </w:p>
  </w:footnote>
  <w:footnote w:id="165">
    <w:p w14:paraId="7E38E2C4" w14:textId="59CE0CA1" w:rsidR="00D573FA" w:rsidRDefault="00D573FA">
      <w:pPr>
        <w:pStyle w:val="FootnoteText"/>
      </w:pPr>
      <w:r>
        <w:rPr>
          <w:rStyle w:val="FootnoteReference"/>
        </w:rPr>
        <w:footnoteRef/>
      </w:r>
      <w:r>
        <w:t xml:space="preserve"> </w:t>
      </w:r>
      <w:r w:rsidR="00484BB0">
        <w:t>Id.</w:t>
      </w:r>
    </w:p>
  </w:footnote>
  <w:footnote w:id="166">
    <w:p w14:paraId="69B0BD66" w14:textId="77777777" w:rsidR="00A561F4" w:rsidRDefault="00A561F4" w:rsidP="00A561F4">
      <w:pPr>
        <w:pStyle w:val="FootnoteText"/>
      </w:pPr>
      <w:r>
        <w:rPr>
          <w:rStyle w:val="FootnoteReference"/>
        </w:rPr>
        <w:footnoteRef/>
      </w:r>
      <w:r>
        <w:t xml:space="preserve"> Id.</w:t>
      </w:r>
    </w:p>
  </w:footnote>
  <w:footnote w:id="167">
    <w:p w14:paraId="3C5EE751" w14:textId="77777777" w:rsidR="00A561F4" w:rsidRDefault="00A561F4" w:rsidP="00A561F4">
      <w:pPr>
        <w:pStyle w:val="FootnoteText"/>
      </w:pPr>
      <w:r>
        <w:rPr>
          <w:rStyle w:val="FootnoteReference"/>
        </w:rPr>
        <w:footnoteRef/>
      </w:r>
      <w:r>
        <w:t xml:space="preserve"> Id.</w:t>
      </w:r>
    </w:p>
  </w:footnote>
  <w:footnote w:id="168">
    <w:p w14:paraId="1FDCF288" w14:textId="77777777" w:rsidR="00A561F4" w:rsidRDefault="00A561F4" w:rsidP="00A561F4">
      <w:pPr>
        <w:pStyle w:val="FootnoteText"/>
      </w:pPr>
      <w:r>
        <w:rPr>
          <w:rStyle w:val="FootnoteReference"/>
        </w:rPr>
        <w:footnoteRef/>
      </w:r>
      <w:r>
        <w:t xml:space="preserve"> Id.</w:t>
      </w:r>
    </w:p>
  </w:footnote>
  <w:footnote w:id="169">
    <w:p w14:paraId="475DAFF7" w14:textId="0E3CFD76" w:rsidR="007C11B1" w:rsidRDefault="007C11B1">
      <w:pPr>
        <w:pStyle w:val="FootnoteText"/>
      </w:pPr>
      <w:r>
        <w:rPr>
          <w:rStyle w:val="FootnoteReference"/>
        </w:rPr>
        <w:footnoteRef/>
      </w:r>
      <w:r>
        <w:t xml:space="preserve"> Exhibit 2, Attachment 74 at. 1.</w:t>
      </w:r>
    </w:p>
  </w:footnote>
  <w:footnote w:id="170">
    <w:p w14:paraId="01A04463" w14:textId="30EF9365" w:rsidR="00383482" w:rsidRDefault="00383482">
      <w:pPr>
        <w:pStyle w:val="FootnoteText"/>
      </w:pPr>
      <w:r>
        <w:rPr>
          <w:rStyle w:val="FootnoteReference"/>
        </w:rPr>
        <w:footnoteRef/>
      </w:r>
      <w:r>
        <w:t xml:space="preserve"> </w:t>
      </w:r>
      <w:r w:rsidR="0096554F">
        <w:t>Exhibit 2, Attachment 75 at 1.</w:t>
      </w:r>
    </w:p>
  </w:footnote>
  <w:footnote w:id="171">
    <w:p w14:paraId="7A5118A7" w14:textId="5B4FDE84" w:rsidR="00A561F4" w:rsidRDefault="00A561F4" w:rsidP="00A561F4">
      <w:pPr>
        <w:pStyle w:val="FootnoteText"/>
      </w:pPr>
      <w:r>
        <w:rPr>
          <w:rStyle w:val="FootnoteReference"/>
        </w:rPr>
        <w:footnoteRef/>
      </w:r>
      <w:r>
        <w:t xml:space="preserve"> Exhibit 2, Attachment 42</w:t>
      </w:r>
      <w:r w:rsidR="0008584E">
        <w:t xml:space="preserve"> </w:t>
      </w:r>
      <w:r>
        <w:t xml:space="preserve">at 1.  </w:t>
      </w:r>
    </w:p>
  </w:footnote>
  <w:footnote w:id="172">
    <w:p w14:paraId="142BC94A" w14:textId="77777777" w:rsidR="00A561F4" w:rsidRDefault="00A561F4" w:rsidP="00A561F4">
      <w:pPr>
        <w:pStyle w:val="FootnoteText"/>
      </w:pPr>
      <w:r>
        <w:rPr>
          <w:rStyle w:val="FootnoteReference"/>
        </w:rPr>
        <w:footnoteRef/>
      </w:r>
      <w:r>
        <w:t xml:space="preserve"> Id.</w:t>
      </w:r>
    </w:p>
  </w:footnote>
  <w:footnote w:id="173">
    <w:p w14:paraId="6ED5D0DB" w14:textId="77777777" w:rsidR="00A561F4" w:rsidRDefault="00A561F4" w:rsidP="00A561F4">
      <w:pPr>
        <w:pStyle w:val="FootnoteText"/>
      </w:pPr>
      <w:r>
        <w:rPr>
          <w:rStyle w:val="FootnoteReference"/>
        </w:rPr>
        <w:footnoteRef/>
      </w:r>
      <w:r>
        <w:t xml:space="preserve"> Id.</w:t>
      </w:r>
    </w:p>
  </w:footnote>
  <w:footnote w:id="174">
    <w:p w14:paraId="1BBA4B82" w14:textId="77777777" w:rsidR="00A561F4" w:rsidRDefault="00A561F4" w:rsidP="00A561F4">
      <w:pPr>
        <w:pStyle w:val="FootnoteText"/>
      </w:pPr>
      <w:r>
        <w:rPr>
          <w:rStyle w:val="FootnoteReference"/>
        </w:rPr>
        <w:footnoteRef/>
      </w:r>
      <w:r>
        <w:t xml:space="preserve"> Id.</w:t>
      </w:r>
    </w:p>
  </w:footnote>
  <w:footnote w:id="175">
    <w:p w14:paraId="7B25D5C4" w14:textId="455C9A88" w:rsidR="00C7118A" w:rsidRDefault="00C7118A">
      <w:pPr>
        <w:pStyle w:val="FootnoteText"/>
      </w:pPr>
      <w:r>
        <w:rPr>
          <w:rStyle w:val="FootnoteReference"/>
        </w:rPr>
        <w:footnoteRef/>
      </w:r>
      <w:r>
        <w:t xml:space="preserve"> </w:t>
      </w:r>
      <w:r w:rsidR="0008584E">
        <w:t xml:space="preserve">The Water Division’s website is located at: </w:t>
      </w:r>
      <w:hyperlink r:id="rId6" w:history="1">
        <w:r w:rsidRPr="0008584E">
          <w:rPr>
            <w:rStyle w:val="Hyperlink"/>
          </w:rPr>
          <w:t>https://www.cpuc.ca.gov/about-cpuc/divisions/water-division/water-rates-and-general-rate-case-proceedings-section/general-rate-case-process</w:t>
        </w:r>
      </w:hyperlink>
    </w:p>
  </w:footnote>
  <w:footnote w:id="176">
    <w:p w14:paraId="2F87FD49" w14:textId="4655B65A" w:rsidR="00C7118A" w:rsidRDefault="00C7118A">
      <w:pPr>
        <w:pStyle w:val="FootnoteText"/>
      </w:pPr>
      <w:r>
        <w:rPr>
          <w:rStyle w:val="FootnoteReference"/>
        </w:rPr>
        <w:footnoteRef/>
      </w:r>
      <w:r>
        <w:t xml:space="preserve"> Id</w:t>
      </w:r>
    </w:p>
  </w:footnote>
  <w:footnote w:id="177">
    <w:p w14:paraId="278AD8A8" w14:textId="5B137F6A" w:rsidR="00C7118A" w:rsidRDefault="00C7118A">
      <w:pPr>
        <w:pStyle w:val="FootnoteText"/>
      </w:pPr>
      <w:r>
        <w:rPr>
          <w:rStyle w:val="FootnoteReference"/>
        </w:rPr>
        <w:footnoteRef/>
      </w:r>
      <w:r>
        <w:t xml:space="preserve"> Id.</w:t>
      </w:r>
    </w:p>
  </w:footnote>
  <w:footnote w:id="178">
    <w:p w14:paraId="7F643032" w14:textId="69C012A2" w:rsidR="00F015A8" w:rsidRDefault="00F015A8">
      <w:pPr>
        <w:pStyle w:val="FootnoteText"/>
      </w:pPr>
      <w:r>
        <w:rPr>
          <w:rStyle w:val="FootnoteReference"/>
        </w:rPr>
        <w:footnoteRef/>
      </w:r>
      <w:r>
        <w:t xml:space="preserve"> Id.</w:t>
      </w:r>
    </w:p>
  </w:footnote>
  <w:footnote w:id="179">
    <w:p w14:paraId="28C25212" w14:textId="00A3D8F6" w:rsidR="00131295" w:rsidRDefault="00131295">
      <w:pPr>
        <w:pStyle w:val="FootnoteText"/>
      </w:pPr>
      <w:r>
        <w:rPr>
          <w:rStyle w:val="FootnoteReference"/>
        </w:rPr>
        <w:footnoteRef/>
      </w:r>
      <w:r>
        <w:t xml:space="preserve"> </w:t>
      </w:r>
      <w:r w:rsidR="00091754">
        <w:t>Exhibit 2, Staff Report at 23.</w:t>
      </w:r>
    </w:p>
  </w:footnote>
  <w:footnote w:id="180">
    <w:p w14:paraId="2BAE3DCD" w14:textId="3F991995" w:rsidR="00477FBE" w:rsidRDefault="00477FBE">
      <w:pPr>
        <w:pStyle w:val="FootnoteText"/>
      </w:pPr>
      <w:r>
        <w:rPr>
          <w:rStyle w:val="FootnoteReference"/>
        </w:rPr>
        <w:footnoteRef/>
      </w:r>
      <w:r>
        <w:t xml:space="preserve"> </w:t>
      </w:r>
      <w:r w:rsidR="00091754">
        <w:t>Id. at 23-24.</w:t>
      </w:r>
    </w:p>
  </w:footnote>
  <w:footnote w:id="181">
    <w:p w14:paraId="5221513D" w14:textId="0663A9F3" w:rsidR="00C84912" w:rsidRDefault="00C84912">
      <w:pPr>
        <w:pStyle w:val="FootnoteText"/>
      </w:pPr>
      <w:r>
        <w:rPr>
          <w:rStyle w:val="FootnoteReference"/>
        </w:rPr>
        <w:footnoteRef/>
      </w:r>
      <w:r>
        <w:t xml:space="preserve"> Id.</w:t>
      </w:r>
    </w:p>
  </w:footnote>
  <w:footnote w:id="182">
    <w:p w14:paraId="1A903EEE" w14:textId="272A4936" w:rsidR="0012733E" w:rsidRDefault="0012733E">
      <w:pPr>
        <w:pStyle w:val="FootnoteText"/>
      </w:pPr>
      <w:r>
        <w:rPr>
          <w:rStyle w:val="FootnoteReference"/>
        </w:rPr>
        <w:footnoteRef/>
      </w:r>
      <w:r>
        <w:t xml:space="preserve"> </w:t>
      </w:r>
      <w:r w:rsidR="008C5B42">
        <w:t>In Exhibit 1</w:t>
      </w:r>
      <w:r w:rsidR="00EA44FF">
        <w:t xml:space="preserve"> at 2, W. Tsai states that the correct dates for correspondences are May 8 and 12, 2025</w:t>
      </w:r>
      <w:r w:rsidR="00A55BD5">
        <w:t xml:space="preserve"> and not May 6, 2025.</w:t>
      </w:r>
    </w:p>
  </w:footnote>
  <w:footnote w:id="183">
    <w:p w14:paraId="6E17336B" w14:textId="059B35DC" w:rsidR="00F62232" w:rsidRDefault="00F62232">
      <w:pPr>
        <w:pStyle w:val="FootnoteText"/>
      </w:pPr>
      <w:r>
        <w:rPr>
          <w:rStyle w:val="FootnoteReference"/>
        </w:rPr>
        <w:footnoteRef/>
      </w:r>
      <w:r>
        <w:t xml:space="preserve"> Exhibit 2, Attachment 39 at. 1.</w:t>
      </w:r>
    </w:p>
  </w:footnote>
  <w:footnote w:id="184">
    <w:p w14:paraId="4B6047B9" w14:textId="6307101F" w:rsidR="00F62232" w:rsidRDefault="00F62232">
      <w:pPr>
        <w:pStyle w:val="FootnoteText"/>
      </w:pPr>
      <w:r>
        <w:rPr>
          <w:rStyle w:val="FootnoteReference"/>
        </w:rPr>
        <w:footnoteRef/>
      </w:r>
      <w:r>
        <w:t xml:space="preserve"> Id.</w:t>
      </w:r>
    </w:p>
  </w:footnote>
  <w:footnote w:id="185">
    <w:p w14:paraId="04FCFB10" w14:textId="40E9BF1B" w:rsidR="00762A83" w:rsidRDefault="00762A83">
      <w:pPr>
        <w:pStyle w:val="FootnoteText"/>
      </w:pPr>
      <w:r>
        <w:rPr>
          <w:rStyle w:val="FootnoteReference"/>
        </w:rPr>
        <w:footnoteRef/>
      </w:r>
      <w:r>
        <w:t xml:space="preserve"> Exhibit 1 at 12.</w:t>
      </w:r>
    </w:p>
  </w:footnote>
  <w:footnote w:id="186">
    <w:p w14:paraId="7C861D56" w14:textId="1A9CCCA5" w:rsidR="00762A83" w:rsidRDefault="00762A83">
      <w:pPr>
        <w:pStyle w:val="FootnoteText"/>
      </w:pPr>
      <w:r>
        <w:rPr>
          <w:rStyle w:val="FootnoteReference"/>
        </w:rPr>
        <w:footnoteRef/>
      </w:r>
      <w:r>
        <w:t xml:space="preserve"> Id.</w:t>
      </w:r>
    </w:p>
  </w:footnote>
  <w:footnote w:id="187">
    <w:p w14:paraId="57DF6D53" w14:textId="77777777" w:rsidR="00472BE7" w:rsidRDefault="00472BE7" w:rsidP="00472BE7">
      <w:pPr>
        <w:pStyle w:val="FootnoteText"/>
      </w:pPr>
      <w:r>
        <w:rPr>
          <w:rStyle w:val="FootnoteReference"/>
        </w:rPr>
        <w:footnoteRef/>
      </w:r>
      <w:r>
        <w:t xml:space="preserve"> Exhibit 2, Staff Report at 24.</w:t>
      </w:r>
    </w:p>
  </w:footnote>
  <w:footnote w:id="188">
    <w:p w14:paraId="3D5243FF" w14:textId="585CD729" w:rsidR="00403F9A" w:rsidRDefault="00403F9A">
      <w:pPr>
        <w:pStyle w:val="FootnoteText"/>
      </w:pPr>
      <w:r>
        <w:rPr>
          <w:rStyle w:val="FootnoteReference"/>
        </w:rPr>
        <w:footnoteRef/>
      </w:r>
      <w:r>
        <w:t xml:space="preserve"> Exhibit 2, Attachment 42</w:t>
      </w:r>
      <w:r w:rsidR="00906AAA">
        <w:t xml:space="preserve"> at 1.</w:t>
      </w:r>
    </w:p>
  </w:footnote>
  <w:footnote w:id="189">
    <w:p w14:paraId="635C52AE" w14:textId="1627FB7B" w:rsidR="00972262" w:rsidRDefault="00972262">
      <w:pPr>
        <w:pStyle w:val="FootnoteText"/>
      </w:pPr>
      <w:r>
        <w:rPr>
          <w:rStyle w:val="FootnoteReference"/>
        </w:rPr>
        <w:footnoteRef/>
      </w:r>
      <w:r>
        <w:t xml:space="preserve"> Exhibit 2, </w:t>
      </w:r>
      <w:r w:rsidR="00477A00">
        <w:t>Staff Report</w:t>
      </w:r>
      <w:r>
        <w:t xml:space="preserve"> at 26.</w:t>
      </w:r>
    </w:p>
  </w:footnote>
  <w:footnote w:id="190">
    <w:p w14:paraId="1F4F881A" w14:textId="2C916515" w:rsidR="00972262" w:rsidRDefault="00972262">
      <w:pPr>
        <w:pStyle w:val="FootnoteText"/>
      </w:pPr>
      <w:r>
        <w:rPr>
          <w:rStyle w:val="FootnoteReference"/>
        </w:rPr>
        <w:footnoteRef/>
      </w:r>
      <w:r>
        <w:t xml:space="preserve"> Id.</w:t>
      </w:r>
    </w:p>
  </w:footnote>
  <w:footnote w:id="191">
    <w:p w14:paraId="549BC368" w14:textId="24B2CE46" w:rsidR="00E54FEE" w:rsidRDefault="00E54FEE">
      <w:pPr>
        <w:pStyle w:val="FootnoteText"/>
      </w:pPr>
      <w:r>
        <w:rPr>
          <w:rStyle w:val="FootnoteReference"/>
        </w:rPr>
        <w:footnoteRef/>
      </w:r>
      <w:r>
        <w:t xml:space="preserve"> </w:t>
      </w:r>
      <w:r w:rsidR="00E469B8">
        <w:t xml:space="preserve">The ALJ found that in Section 9 that Havasu did not </w:t>
      </w:r>
      <w:r w:rsidR="008226CD">
        <w:t xml:space="preserve">violate Pub. Util. Code § </w:t>
      </w:r>
      <w:r w:rsidR="0008584E">
        <w:t>702</w:t>
      </w:r>
      <w:r w:rsidR="008226CD">
        <w:t xml:space="preserve"> and Tariff 12(</w:t>
      </w:r>
      <w:r w:rsidR="0008584E">
        <w:t>B</w:t>
      </w:r>
      <w:r w:rsidR="008226CD">
        <w:t>) and (</w:t>
      </w:r>
      <w:r w:rsidR="0008584E">
        <w:t>C</w:t>
      </w:r>
      <w:r w:rsidR="008226CD">
        <w:t>) when it changed</w:t>
      </w:r>
      <w:r w:rsidR="00F14010">
        <w:t xml:space="preserve"> water meters for its customers from 5/8 x 3/4" to 3/4"</w:t>
      </w:r>
      <w:r w:rsidR="00290B6D">
        <w:t>.</w:t>
      </w:r>
    </w:p>
  </w:footnote>
  <w:footnote w:id="192">
    <w:p w14:paraId="079600E4" w14:textId="77777777" w:rsidR="00AC53FB" w:rsidRDefault="00AC53FB" w:rsidP="00AC53FB">
      <w:pPr>
        <w:pStyle w:val="FootnoteText"/>
      </w:pPr>
      <w:r>
        <w:rPr>
          <w:rStyle w:val="FootnoteReference"/>
        </w:rPr>
        <w:footnoteRef/>
      </w:r>
      <w:r>
        <w:t xml:space="preserve"> </w:t>
      </w:r>
      <w:r>
        <w:rPr>
          <w:i/>
          <w:iCs/>
          <w:szCs w:val="22"/>
        </w:rPr>
        <w:t xml:space="preserve">Chula v. Superior Court </w:t>
      </w:r>
      <w:r>
        <w:rPr>
          <w:szCs w:val="22"/>
        </w:rPr>
        <w:t xml:space="preserve">(1952) 109 Cal.App.2d 24, 40. </w:t>
      </w:r>
      <w:r>
        <w:t xml:space="preserve"> </w:t>
      </w:r>
    </w:p>
  </w:footnote>
  <w:footnote w:id="193">
    <w:p w14:paraId="37CA4750" w14:textId="106E999B" w:rsidR="00DF5D5D" w:rsidRDefault="00DF5D5D">
      <w:pPr>
        <w:pStyle w:val="FootnoteText"/>
      </w:pPr>
      <w:r>
        <w:rPr>
          <w:rStyle w:val="FootnoteReference"/>
        </w:rPr>
        <w:footnoteRef/>
      </w:r>
      <w:r>
        <w:t xml:space="preserve"> Exhibit 2, Attachment 70 at 1.</w:t>
      </w:r>
    </w:p>
  </w:footnote>
  <w:footnote w:id="194">
    <w:p w14:paraId="015F28A0" w14:textId="0A03C75B" w:rsidR="00DF5D5D" w:rsidRDefault="00DF5D5D">
      <w:pPr>
        <w:pStyle w:val="FootnoteText"/>
      </w:pPr>
      <w:r>
        <w:rPr>
          <w:rStyle w:val="FootnoteReference"/>
        </w:rPr>
        <w:footnoteRef/>
      </w:r>
      <w:r>
        <w:t xml:space="preserve"> Exhibit 2, Attachment 71 at. 1.</w:t>
      </w:r>
    </w:p>
  </w:footnote>
  <w:footnote w:id="195">
    <w:p w14:paraId="3F3FC94F" w14:textId="6A0F6C5A" w:rsidR="00E9561E" w:rsidRDefault="00E9561E">
      <w:pPr>
        <w:pStyle w:val="FootnoteText"/>
      </w:pPr>
      <w:r>
        <w:rPr>
          <w:rStyle w:val="FootnoteReference"/>
        </w:rPr>
        <w:footnoteRef/>
      </w:r>
      <w:r>
        <w:t xml:space="preserve"> </w:t>
      </w:r>
      <w:r w:rsidR="00D9534F">
        <w:t>Exhibit 2, Attachment 70 at 2.</w:t>
      </w:r>
    </w:p>
  </w:footnote>
  <w:footnote w:id="196">
    <w:p w14:paraId="177F884B" w14:textId="7E5D7EFA" w:rsidR="00BA1353" w:rsidRDefault="00BA1353">
      <w:pPr>
        <w:pStyle w:val="FootnoteText"/>
      </w:pPr>
      <w:r>
        <w:rPr>
          <w:rStyle w:val="FootnoteReference"/>
        </w:rPr>
        <w:footnoteRef/>
      </w:r>
      <w:r>
        <w:t xml:space="preserve"> Id.</w:t>
      </w:r>
    </w:p>
  </w:footnote>
  <w:footnote w:id="197">
    <w:p w14:paraId="3222E94A" w14:textId="6E48868E" w:rsidR="00AA7C5C" w:rsidRDefault="00AA7C5C">
      <w:pPr>
        <w:pStyle w:val="FootnoteText"/>
      </w:pPr>
      <w:r>
        <w:rPr>
          <w:rStyle w:val="FootnoteReference"/>
        </w:rPr>
        <w:footnoteRef/>
      </w:r>
      <w:r>
        <w:t xml:space="preserve"> </w:t>
      </w:r>
      <w:r w:rsidR="00426BEF">
        <w:t xml:space="preserve">Complaint </w:t>
      </w:r>
      <w:r w:rsidR="00BF4EF8">
        <w:t>C.</w:t>
      </w:r>
      <w:r w:rsidR="00426BEF">
        <w:t>05-04-007</w:t>
      </w:r>
    </w:p>
  </w:footnote>
  <w:footnote w:id="198">
    <w:p w14:paraId="70AFA500" w14:textId="584E50BB" w:rsidR="00426BEF" w:rsidRDefault="00426BEF">
      <w:pPr>
        <w:pStyle w:val="FootnoteText"/>
      </w:pPr>
      <w:r>
        <w:rPr>
          <w:rStyle w:val="FootnoteReference"/>
        </w:rPr>
        <w:footnoteRef/>
      </w:r>
      <w:r>
        <w:t xml:space="preserve"> D.</w:t>
      </w:r>
      <w:r w:rsidR="000C1CF0">
        <w:t>06-04-007 at 1.</w:t>
      </w:r>
    </w:p>
  </w:footnote>
  <w:footnote w:id="199">
    <w:p w14:paraId="617F0708" w14:textId="0F9BDE04" w:rsidR="000C1CF0" w:rsidRDefault="000C1CF0">
      <w:pPr>
        <w:pStyle w:val="FootnoteText"/>
      </w:pPr>
      <w:r>
        <w:rPr>
          <w:rStyle w:val="FootnoteReference"/>
        </w:rPr>
        <w:footnoteRef/>
      </w:r>
      <w:r>
        <w:t xml:space="preserve"> Id.</w:t>
      </w:r>
    </w:p>
  </w:footnote>
  <w:footnote w:id="200">
    <w:p w14:paraId="79353DB2" w14:textId="52EECB11" w:rsidR="00DA7A53" w:rsidRDefault="00DA7A53">
      <w:pPr>
        <w:pStyle w:val="FootnoteText"/>
      </w:pPr>
      <w:r>
        <w:rPr>
          <w:rStyle w:val="FootnoteReference"/>
        </w:rPr>
        <w:footnoteRef/>
      </w:r>
      <w:r>
        <w:t xml:space="preserve"> Id. at 2.</w:t>
      </w:r>
    </w:p>
  </w:footnote>
  <w:footnote w:id="201">
    <w:p w14:paraId="196A8201" w14:textId="7501A4D9" w:rsidR="00DA7A53" w:rsidRDefault="00DA7A53">
      <w:pPr>
        <w:pStyle w:val="FootnoteText"/>
      </w:pPr>
      <w:r>
        <w:rPr>
          <w:rStyle w:val="FootnoteReference"/>
        </w:rPr>
        <w:footnoteRef/>
      </w:r>
      <w:r>
        <w:t xml:space="preserve"> Id. at 2.</w:t>
      </w:r>
    </w:p>
  </w:footnote>
  <w:footnote w:id="202">
    <w:p w14:paraId="3702A746" w14:textId="71834243" w:rsidR="00920818" w:rsidRDefault="00920818">
      <w:pPr>
        <w:pStyle w:val="FootnoteText"/>
      </w:pPr>
      <w:r>
        <w:rPr>
          <w:rStyle w:val="FootnoteReference"/>
        </w:rPr>
        <w:footnoteRef/>
      </w:r>
      <w:r>
        <w:t xml:space="preserve"> Exhibit 2, Attachment 71 at 1.</w:t>
      </w:r>
    </w:p>
  </w:footnote>
  <w:footnote w:id="203">
    <w:p w14:paraId="2978D0FA" w14:textId="0CF47281" w:rsidR="00586D02" w:rsidRDefault="00586D02">
      <w:pPr>
        <w:pStyle w:val="FootnoteText"/>
      </w:pPr>
      <w:r>
        <w:rPr>
          <w:rStyle w:val="FootnoteReference"/>
        </w:rPr>
        <w:footnoteRef/>
      </w:r>
      <w:r>
        <w:t xml:space="preserve"> Id</w:t>
      </w:r>
      <w:r w:rsidR="00017A72">
        <w:t xml:space="preserve"> at 2.</w:t>
      </w:r>
    </w:p>
  </w:footnote>
  <w:footnote w:id="204">
    <w:p w14:paraId="6ECCF540" w14:textId="64A57503" w:rsidR="00BF4EF8" w:rsidRDefault="00BF4EF8">
      <w:pPr>
        <w:pStyle w:val="FootnoteText"/>
      </w:pPr>
      <w:r>
        <w:rPr>
          <w:rStyle w:val="FootnoteReference"/>
        </w:rPr>
        <w:footnoteRef/>
      </w:r>
      <w:r>
        <w:t xml:space="preserve"> D24-08-026 at 25.</w:t>
      </w:r>
    </w:p>
  </w:footnote>
  <w:footnote w:id="205">
    <w:p w14:paraId="5DD78E8F" w14:textId="77777777" w:rsidR="00B76716" w:rsidRDefault="00B76716" w:rsidP="00B76716">
      <w:pPr>
        <w:pStyle w:val="FootnoteText"/>
      </w:pPr>
      <w:r>
        <w:rPr>
          <w:rStyle w:val="FootnoteReference"/>
        </w:rPr>
        <w:footnoteRef/>
      </w:r>
      <w:r>
        <w:t xml:space="preserve"> Exhibit 2, Attachment 33 at 1.</w:t>
      </w:r>
    </w:p>
  </w:footnote>
  <w:footnote w:id="206">
    <w:p w14:paraId="3184F518" w14:textId="77777777" w:rsidR="00B76716" w:rsidRDefault="00B76716" w:rsidP="00B76716">
      <w:pPr>
        <w:pStyle w:val="FootnoteText"/>
      </w:pPr>
      <w:r>
        <w:rPr>
          <w:rStyle w:val="FootnoteReference"/>
        </w:rPr>
        <w:footnoteRef/>
      </w:r>
      <w:r>
        <w:t xml:space="preserve"> Id.</w:t>
      </w:r>
    </w:p>
  </w:footnote>
  <w:footnote w:id="207">
    <w:p w14:paraId="7BD78011" w14:textId="4405E7F7" w:rsidR="00D0046C" w:rsidRDefault="00D0046C">
      <w:pPr>
        <w:pStyle w:val="FootnoteText"/>
      </w:pPr>
      <w:r>
        <w:rPr>
          <w:rStyle w:val="FootnoteReference"/>
        </w:rPr>
        <w:footnoteRef/>
      </w:r>
      <w:r>
        <w:t xml:space="preserve"> </w:t>
      </w:r>
      <w:r w:rsidR="00206D81">
        <w:t>D.13-12-053 at 25.</w:t>
      </w:r>
    </w:p>
  </w:footnote>
  <w:footnote w:id="208">
    <w:p w14:paraId="65264D60" w14:textId="7EB13D9B" w:rsidR="000C6823" w:rsidRDefault="000C6823">
      <w:pPr>
        <w:pStyle w:val="FootnoteText"/>
      </w:pPr>
      <w:r>
        <w:rPr>
          <w:rStyle w:val="FootnoteReference"/>
        </w:rPr>
        <w:footnoteRef/>
      </w:r>
      <w:r>
        <w:t xml:space="preserve"> </w:t>
      </w:r>
      <w:r w:rsidRPr="000C6823">
        <w:t>Exhibit 2, Attachment 33 at 1.</w:t>
      </w:r>
    </w:p>
  </w:footnote>
  <w:footnote w:id="209">
    <w:p w14:paraId="7F945BF2" w14:textId="3A6C1667" w:rsidR="00471500" w:rsidRDefault="00471500" w:rsidP="00471500">
      <w:pPr>
        <w:pStyle w:val="FootnoteText"/>
      </w:pPr>
      <w:r>
        <w:rPr>
          <w:rStyle w:val="FootnoteReference"/>
        </w:rPr>
        <w:footnoteRef/>
      </w:r>
      <w:r>
        <w:t xml:space="preserve"> Exhibit 1, Attachment 5</w:t>
      </w:r>
      <w:r w:rsidR="00BF4EF8">
        <w:t xml:space="preserve"> </w:t>
      </w:r>
      <w:r>
        <w:t>at 1.</w:t>
      </w:r>
    </w:p>
  </w:footnote>
  <w:footnote w:id="210">
    <w:p w14:paraId="3DD9D3A2" w14:textId="419688FC" w:rsidR="00781386" w:rsidRDefault="00781386" w:rsidP="00781386">
      <w:pPr>
        <w:pStyle w:val="FootnoteText"/>
      </w:pPr>
      <w:r>
        <w:rPr>
          <w:rStyle w:val="FootnoteReference"/>
        </w:rPr>
        <w:footnoteRef/>
      </w:r>
      <w:r>
        <w:t xml:space="preserve"> Id. at 14.  </w:t>
      </w:r>
      <w:r w:rsidR="00BF4EF8">
        <w:t>“</w:t>
      </w:r>
      <w:r>
        <w:t>On its own volition, Havasu decided to remove all late fees associated with the Complainants submitted payments to CPUC impounds</w:t>
      </w:r>
      <w:r w:rsidR="00BF4EF8">
        <w:t>.”</w:t>
      </w:r>
    </w:p>
  </w:footnote>
  <w:footnote w:id="211">
    <w:p w14:paraId="3778B40E" w14:textId="77777777" w:rsidR="0029094A" w:rsidRDefault="0029094A" w:rsidP="0029094A">
      <w:pPr>
        <w:pStyle w:val="FootnoteText"/>
      </w:pPr>
      <w:r>
        <w:rPr>
          <w:rStyle w:val="FootnoteReference"/>
        </w:rPr>
        <w:footnoteRef/>
      </w:r>
      <w:r>
        <w:t xml:space="preserve"> C.23-02-009, Rehearing Request, Exhibit 1 at 1.</w:t>
      </w:r>
    </w:p>
  </w:footnote>
  <w:footnote w:id="212">
    <w:p w14:paraId="202B8689" w14:textId="77777777" w:rsidR="0029094A" w:rsidRDefault="0029094A" w:rsidP="0029094A">
      <w:pPr>
        <w:pStyle w:val="FootnoteText"/>
      </w:pPr>
      <w:r>
        <w:rPr>
          <w:rStyle w:val="FootnoteReference"/>
        </w:rPr>
        <w:footnoteRef/>
      </w:r>
      <w:r>
        <w:t xml:space="preserve"> Id. at 10.</w:t>
      </w:r>
    </w:p>
  </w:footnote>
  <w:footnote w:id="213">
    <w:p w14:paraId="40D50BA3" w14:textId="77777777" w:rsidR="0029094A" w:rsidRDefault="0029094A" w:rsidP="0029094A">
      <w:pPr>
        <w:pStyle w:val="FootnoteText"/>
      </w:pPr>
      <w:r>
        <w:rPr>
          <w:rStyle w:val="FootnoteReference"/>
        </w:rPr>
        <w:footnoteRef/>
      </w:r>
      <w:r>
        <w:t xml:space="preserve"> C.23-02-009, Rehearing Request at 2.</w:t>
      </w:r>
    </w:p>
  </w:footnote>
  <w:footnote w:id="214">
    <w:p w14:paraId="70289A63" w14:textId="77777777" w:rsidR="002078FE" w:rsidRDefault="002078FE" w:rsidP="002078FE">
      <w:pPr>
        <w:pStyle w:val="FootnoteText"/>
      </w:pPr>
      <w:r>
        <w:rPr>
          <w:rStyle w:val="FootnoteReference"/>
        </w:rPr>
        <w:footnoteRef/>
      </w:r>
      <w:r>
        <w:t xml:space="preserve"> Id.</w:t>
      </w:r>
    </w:p>
  </w:footnote>
  <w:footnote w:id="215">
    <w:p w14:paraId="60B7C432" w14:textId="77777777" w:rsidR="002078FE" w:rsidRDefault="002078FE" w:rsidP="002078FE">
      <w:pPr>
        <w:pStyle w:val="FootnoteText"/>
      </w:pPr>
      <w:r>
        <w:rPr>
          <w:rStyle w:val="FootnoteReference"/>
        </w:rPr>
        <w:footnoteRef/>
      </w:r>
      <w:r>
        <w:t xml:space="preserve"> Id.</w:t>
      </w:r>
    </w:p>
  </w:footnote>
  <w:footnote w:id="216">
    <w:p w14:paraId="5D9D9CE8" w14:textId="025AF571" w:rsidR="00E16A57" w:rsidRDefault="00E16A57">
      <w:pPr>
        <w:pStyle w:val="FootnoteText"/>
      </w:pPr>
      <w:r>
        <w:rPr>
          <w:rStyle w:val="FootnoteReference"/>
        </w:rPr>
        <w:footnoteRef/>
      </w:r>
      <w:r>
        <w:t xml:space="preserve"> Exhibit 2, Attachment 25</w:t>
      </w:r>
      <w:r w:rsidR="00BF4EF8">
        <w:t xml:space="preserve"> </w:t>
      </w:r>
      <w:r>
        <w:t>at 1.</w:t>
      </w:r>
    </w:p>
  </w:footnote>
  <w:footnote w:id="217">
    <w:p w14:paraId="094CA5A3" w14:textId="2775959F" w:rsidR="00E16A57" w:rsidRDefault="00E16A57">
      <w:pPr>
        <w:pStyle w:val="FootnoteText"/>
      </w:pPr>
      <w:r>
        <w:rPr>
          <w:rStyle w:val="FootnoteReference"/>
        </w:rPr>
        <w:footnoteRef/>
      </w:r>
      <w:r>
        <w:t xml:space="preserve"> Id at 1–16.</w:t>
      </w:r>
    </w:p>
  </w:footnote>
  <w:footnote w:id="218">
    <w:p w14:paraId="124FBDAE" w14:textId="45A54699" w:rsidR="00D95C6E" w:rsidRDefault="00D95C6E">
      <w:pPr>
        <w:pStyle w:val="FootnoteText"/>
      </w:pPr>
      <w:r>
        <w:rPr>
          <w:rStyle w:val="FootnoteReference"/>
        </w:rPr>
        <w:footnoteRef/>
      </w:r>
      <w:r>
        <w:t xml:space="preserve"> Exhibit 2, </w:t>
      </w:r>
      <w:r w:rsidR="00477A00">
        <w:t>Staff Report</w:t>
      </w:r>
      <w:r>
        <w:t xml:space="preserve"> at 19.</w:t>
      </w:r>
    </w:p>
  </w:footnote>
  <w:footnote w:id="219">
    <w:p w14:paraId="10B26D16" w14:textId="7458B03F" w:rsidR="004C38D1" w:rsidRDefault="004C38D1">
      <w:pPr>
        <w:pStyle w:val="FootnoteText"/>
      </w:pPr>
      <w:r>
        <w:rPr>
          <w:rStyle w:val="FootnoteReference"/>
        </w:rPr>
        <w:footnoteRef/>
      </w:r>
      <w:r>
        <w:t xml:space="preserve"> Id.</w:t>
      </w:r>
    </w:p>
  </w:footnote>
  <w:footnote w:id="220">
    <w:p w14:paraId="77E9F49B" w14:textId="3530A376" w:rsidR="004D74AC" w:rsidRDefault="004D74AC">
      <w:pPr>
        <w:pStyle w:val="FootnoteText"/>
      </w:pPr>
      <w:r>
        <w:rPr>
          <w:rStyle w:val="FootnoteReference"/>
        </w:rPr>
        <w:footnoteRef/>
      </w:r>
      <w:r>
        <w:t xml:space="preserve"> D.</w:t>
      </w:r>
      <w:r w:rsidR="006D0C79">
        <w:t>98-12-075 at 7.</w:t>
      </w:r>
    </w:p>
  </w:footnote>
  <w:footnote w:id="221">
    <w:p w14:paraId="74329738" w14:textId="580623FA" w:rsidR="00365886" w:rsidRDefault="00365886">
      <w:pPr>
        <w:pStyle w:val="FootnoteText"/>
      </w:pPr>
      <w:r>
        <w:rPr>
          <w:rStyle w:val="FootnoteReference"/>
        </w:rPr>
        <w:footnoteRef/>
      </w:r>
      <w:r>
        <w:t xml:space="preserve"> Id.</w:t>
      </w:r>
    </w:p>
  </w:footnote>
  <w:footnote w:id="222">
    <w:p w14:paraId="6277454F" w14:textId="3548AB27" w:rsidR="00510360" w:rsidRDefault="00510360">
      <w:pPr>
        <w:pStyle w:val="FootnoteText"/>
      </w:pPr>
      <w:r>
        <w:rPr>
          <w:rStyle w:val="FootnoteReference"/>
        </w:rPr>
        <w:footnoteRef/>
      </w:r>
      <w:r>
        <w:t xml:space="preserve"> Id. at 8.</w:t>
      </w:r>
    </w:p>
  </w:footnote>
  <w:footnote w:id="223">
    <w:p w14:paraId="477D17D0" w14:textId="3845029D" w:rsidR="00510360" w:rsidRDefault="00510360">
      <w:pPr>
        <w:pStyle w:val="FootnoteText"/>
      </w:pPr>
      <w:r>
        <w:rPr>
          <w:rStyle w:val="FootnoteReference"/>
        </w:rPr>
        <w:footnoteRef/>
      </w:r>
      <w:r>
        <w:t xml:space="preserve"> Id.</w:t>
      </w:r>
    </w:p>
  </w:footnote>
  <w:footnote w:id="224">
    <w:p w14:paraId="1627934D" w14:textId="4925D6C3" w:rsidR="00E73F91" w:rsidRDefault="00E73F91">
      <w:pPr>
        <w:pStyle w:val="FootnoteText"/>
      </w:pPr>
      <w:r>
        <w:rPr>
          <w:rStyle w:val="FootnoteReference"/>
        </w:rPr>
        <w:footnoteRef/>
      </w:r>
      <w:r>
        <w:t xml:space="preserve"> Pub. Util. Act of 1912.</w:t>
      </w:r>
    </w:p>
  </w:footnote>
  <w:footnote w:id="225">
    <w:p w14:paraId="297C8AE8" w14:textId="025A920A" w:rsidR="00E0763C" w:rsidRDefault="00E0763C">
      <w:pPr>
        <w:pStyle w:val="FootnoteText"/>
      </w:pPr>
      <w:r>
        <w:rPr>
          <w:rStyle w:val="FootnoteReference"/>
        </w:rPr>
        <w:footnoteRef/>
      </w:r>
      <w:r>
        <w:t xml:space="preserve"> </w:t>
      </w:r>
    </w:p>
  </w:footnote>
  <w:footnote w:id="226">
    <w:p w14:paraId="0647CAC5" w14:textId="77777777" w:rsidR="001150F1" w:rsidRDefault="001150F1" w:rsidP="001150F1">
      <w:pPr>
        <w:pStyle w:val="FootnoteText"/>
      </w:pPr>
      <w:r>
        <w:rPr>
          <w:rStyle w:val="FootnoteReference"/>
        </w:rPr>
        <w:footnoteRef/>
      </w:r>
      <w:r>
        <w:t xml:space="preserve"> Id.</w:t>
      </w:r>
    </w:p>
  </w:footnote>
  <w:footnote w:id="227">
    <w:p w14:paraId="6C6481C9" w14:textId="77777777" w:rsidR="003C1164" w:rsidRDefault="003C1164" w:rsidP="003C1164">
      <w:pPr>
        <w:pStyle w:val="FootnoteText"/>
      </w:pPr>
      <w:r>
        <w:rPr>
          <w:rStyle w:val="FootnoteReference"/>
        </w:rPr>
        <w:footnoteRef/>
      </w:r>
      <w:r>
        <w:t xml:space="preserve"> </w:t>
      </w:r>
      <w:r w:rsidRPr="000C6823">
        <w:t>Exhibit 2, Attachment 33 at 1.</w:t>
      </w:r>
    </w:p>
  </w:footnote>
  <w:footnote w:id="228">
    <w:p w14:paraId="1F58D370" w14:textId="3C968FFA" w:rsidR="006F0B97" w:rsidRDefault="006F0B97">
      <w:pPr>
        <w:pStyle w:val="FootnoteText"/>
      </w:pPr>
      <w:r>
        <w:rPr>
          <w:rStyle w:val="FootnoteReference"/>
        </w:rPr>
        <w:footnoteRef/>
      </w:r>
      <w:r>
        <w:t xml:space="preserve"> </w:t>
      </w:r>
      <w:r w:rsidR="007A5983" w:rsidRPr="007A5983">
        <w:t>Exhibit 2, Attachment 36 at 2-8.</w:t>
      </w:r>
    </w:p>
  </w:footnote>
  <w:footnote w:id="229">
    <w:p w14:paraId="123E1247" w14:textId="61DD5ACC" w:rsidR="007A5983" w:rsidRDefault="007A5983">
      <w:pPr>
        <w:pStyle w:val="FootnoteText"/>
      </w:pPr>
      <w:r>
        <w:rPr>
          <w:rStyle w:val="FootnoteReference"/>
        </w:rPr>
        <w:footnoteRef/>
      </w:r>
      <w:r>
        <w:t xml:space="preserve"> </w:t>
      </w:r>
      <w:r w:rsidR="00445CAC" w:rsidRPr="00445CAC">
        <w:t>Exhibit 2, Attachment 33 at 1.</w:t>
      </w:r>
    </w:p>
  </w:footnote>
  <w:footnote w:id="230">
    <w:p w14:paraId="425173BE" w14:textId="3EFCD98E" w:rsidR="00F74023" w:rsidRDefault="00F74023">
      <w:pPr>
        <w:pStyle w:val="FootnoteText"/>
      </w:pPr>
      <w:r>
        <w:rPr>
          <w:rStyle w:val="FootnoteReference"/>
        </w:rPr>
        <w:footnoteRef/>
      </w:r>
      <w:r>
        <w:t xml:space="preserve"> RT at 75.</w:t>
      </w:r>
    </w:p>
  </w:footnote>
  <w:footnote w:id="231">
    <w:p w14:paraId="0F3E641C" w14:textId="4C616A48" w:rsidR="00F74023" w:rsidRDefault="00F74023">
      <w:pPr>
        <w:pStyle w:val="FootnoteText"/>
      </w:pPr>
      <w:r>
        <w:rPr>
          <w:rStyle w:val="FootnoteReference"/>
        </w:rPr>
        <w:footnoteRef/>
      </w:r>
      <w:r>
        <w:t xml:space="preserve"> Id.</w:t>
      </w:r>
    </w:p>
  </w:footnote>
  <w:footnote w:id="232">
    <w:p w14:paraId="211603A2" w14:textId="5C95274C" w:rsidR="00B24AAF" w:rsidRDefault="00B24AAF">
      <w:pPr>
        <w:pStyle w:val="FootnoteText"/>
      </w:pPr>
      <w:r>
        <w:rPr>
          <w:rStyle w:val="FootnoteReference"/>
        </w:rPr>
        <w:footnoteRef/>
      </w:r>
      <w:r>
        <w:t xml:space="preserve"> </w:t>
      </w:r>
      <w:r w:rsidR="00FF592C">
        <w:t xml:space="preserve">Email from </w:t>
      </w:r>
      <w:hyperlink r:id="rId7" w:history="1">
        <w:r w:rsidR="00FF592C" w:rsidRPr="00622A02">
          <w:rPr>
            <w:rStyle w:val="Hyperlink"/>
          </w:rPr>
          <w:t>CPUCElectronicFiling@cpuc.ca.gov</w:t>
        </w:r>
      </w:hyperlink>
      <w:r w:rsidR="00FF592C">
        <w:t xml:space="preserve"> to </w:t>
      </w:r>
      <w:hyperlink r:id="rId8" w:history="1">
        <w:r w:rsidR="00FF592C" w:rsidRPr="00622A02">
          <w:rPr>
            <w:rStyle w:val="Hyperlink"/>
          </w:rPr>
          <w:t>ravi@ganjalaw420.com</w:t>
        </w:r>
      </w:hyperlink>
      <w:r w:rsidR="00FF592C">
        <w:t xml:space="preserve"> (March 16, 2026, at 3:21 PM) (on file with author).</w:t>
      </w:r>
    </w:p>
  </w:footnote>
  <w:footnote w:id="233">
    <w:p w14:paraId="13FC16AD" w14:textId="77777777" w:rsidR="005E1E67" w:rsidRDefault="005E1E67" w:rsidP="005E1E67">
      <w:pPr>
        <w:pStyle w:val="FootnoteText"/>
      </w:pPr>
      <w:r>
        <w:rPr>
          <w:rStyle w:val="FootnoteReference"/>
        </w:rPr>
        <w:footnoteRef/>
      </w:r>
      <w:r>
        <w:t xml:space="preserve"> Exhibit 2, Attachment 16 at 1.</w:t>
      </w:r>
    </w:p>
  </w:footnote>
  <w:footnote w:id="234">
    <w:p w14:paraId="48FE9D33" w14:textId="77777777" w:rsidR="005E1E67" w:rsidRDefault="005E1E67" w:rsidP="005E1E67">
      <w:pPr>
        <w:pStyle w:val="FootnoteText"/>
      </w:pPr>
      <w:r>
        <w:rPr>
          <w:rStyle w:val="FootnoteReference"/>
        </w:rPr>
        <w:footnoteRef/>
      </w:r>
      <w:r>
        <w:t xml:space="preserve"> Reporter’s Transcript for PHC at 38.</w:t>
      </w:r>
    </w:p>
  </w:footnote>
  <w:footnote w:id="235">
    <w:p w14:paraId="6AE189C3" w14:textId="77777777" w:rsidR="005E1E67" w:rsidRDefault="005E1E67" w:rsidP="005E1E67">
      <w:pPr>
        <w:pStyle w:val="FootnoteText"/>
      </w:pPr>
      <w:r>
        <w:rPr>
          <w:rStyle w:val="FootnoteReference"/>
        </w:rPr>
        <w:footnoteRef/>
      </w:r>
      <w:r>
        <w:t xml:space="preserve"> Id.</w:t>
      </w:r>
    </w:p>
  </w:footnote>
  <w:footnote w:id="236">
    <w:p w14:paraId="696EEEAE" w14:textId="77777777" w:rsidR="005E1E67" w:rsidRDefault="005E1E67" w:rsidP="005E1E67">
      <w:pPr>
        <w:pStyle w:val="FootnoteText"/>
      </w:pPr>
      <w:r>
        <w:rPr>
          <w:rStyle w:val="FootnoteReference"/>
        </w:rPr>
        <w:footnoteRef/>
      </w:r>
      <w:r>
        <w:t xml:space="preserve"> 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2C9D6" w14:textId="77777777" w:rsidR="00F92385" w:rsidRDefault="00F92385" w:rsidP="007E0FEE">
    <w:pPr>
      <w:pStyle w:val="Header"/>
      <w:tabs>
        <w:tab w:val="clear" w:pos="4680"/>
      </w:tabs>
      <w:ind w:firstLine="0"/>
      <w:jc w:val="center"/>
      <w:rPr>
        <w:b/>
      </w:rPr>
    </w:pPr>
    <w:r w:rsidRPr="00F92385">
      <w:rPr>
        <w:i/>
        <w:color w:val="FF0000"/>
        <w:sz w:val="20"/>
        <w:szCs w:val="20"/>
      </w:rPr>
      <w:t xml:space="preserve">Internal Review Draft; Subject to </w:t>
    </w:r>
    <w:r w:rsidRPr="00F92385">
      <w:rPr>
        <w:b/>
        <w:i/>
        <w:color w:val="FF0000"/>
        <w:sz w:val="20"/>
        <w:szCs w:val="20"/>
      </w:rPr>
      <w:t>ALJ Division Review</w:t>
    </w:r>
    <w:r w:rsidRPr="00F92385">
      <w:rPr>
        <w:i/>
        <w:color w:val="FF0000"/>
        <w:sz w:val="20"/>
        <w:szCs w:val="20"/>
      </w:rPr>
      <w:t xml:space="preserve"> /</w:t>
    </w:r>
    <w:r w:rsidRPr="00585390">
      <w:rPr>
        <w:color w:val="FF0000"/>
        <w:sz w:val="20"/>
        <w:szCs w:val="20"/>
      </w:rPr>
      <w:t xml:space="preserve"> </w:t>
    </w:r>
    <w:r w:rsidRPr="00F92385">
      <w:rPr>
        <w:b/>
        <w:color w:val="FF0000"/>
        <w:sz w:val="20"/>
        <w:szCs w:val="20"/>
      </w:rPr>
      <w:t>CONFIDENTIA</w:t>
    </w:r>
    <w:r w:rsidRPr="008F0116">
      <w:rPr>
        <w:b/>
        <w:color w:val="FF0000"/>
        <w:sz w:val="20"/>
        <w:szCs w:val="20"/>
      </w:rPr>
      <w:t>L;</w:t>
    </w:r>
    <w:r w:rsidRPr="008F0116">
      <w:rPr>
        <w:color w:val="FF0000"/>
        <w:sz w:val="20"/>
        <w:szCs w:val="20"/>
      </w:rPr>
      <w:t xml:space="preserve"> </w:t>
    </w:r>
    <w:r w:rsidRPr="008F0116">
      <w:rPr>
        <w:i/>
        <w:color w:val="FF0000"/>
        <w:sz w:val="20"/>
        <w:szCs w:val="20"/>
      </w:rPr>
      <w:t>Deliberative Process Privilege</w:t>
    </w:r>
    <w:r w:rsidRPr="008F0116">
      <w:br/>
    </w:r>
    <w:r>
      <w:t>X.XX-XX-</w:t>
    </w:r>
    <w:proofErr w:type="gramStart"/>
    <w:r>
      <w:t>XXX  ^</w:t>
    </w:r>
    <w:proofErr w:type="gramEnd"/>
    <w:r>
      <w:t>^^/^^^/^^^</w:t>
    </w:r>
    <w:r w:rsidR="007E0FEE">
      <w:tab/>
    </w:r>
    <w:r>
      <w:rPr>
        <w:b/>
      </w:rPr>
      <w:t>PROPOSED DECISION</w:t>
    </w:r>
  </w:p>
  <w:p w14:paraId="70D5EC75" w14:textId="77777777" w:rsidR="00F92385" w:rsidRPr="00585390" w:rsidRDefault="00F92385" w:rsidP="00F92385">
    <w:pPr>
      <w:pStyle w:val="Header"/>
      <w:ind w:firstLine="0"/>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30B4B" w14:textId="582D9224" w:rsidR="00F92385" w:rsidRPr="00EE6A2B" w:rsidRDefault="00F92385" w:rsidP="00F92385">
    <w:pPr>
      <w:pStyle w:val="Header"/>
      <w:ind w:firstLine="0"/>
      <w:rPr>
        <w:b/>
        <w:i/>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370C3" w14:textId="7FC39F7E" w:rsidR="00225221" w:rsidRDefault="00225221" w:rsidP="00225221">
    <w:pPr>
      <w:tabs>
        <w:tab w:val="center" w:pos="4680"/>
        <w:tab w:val="right" w:pos="9360"/>
      </w:tabs>
      <w:spacing w:line="240" w:lineRule="auto"/>
      <w:ind w:firstLine="0"/>
    </w:pPr>
    <w:r>
      <w:t xml:space="preserve">I.25-08-007 </w:t>
    </w:r>
    <w:r w:rsidR="00DC2D4F">
      <w:rPr>
        <w:i/>
        <w:iCs/>
      </w:rPr>
      <w:t>et al.</w:t>
    </w:r>
    <w:r w:rsidR="00DC2D4F">
      <w:t xml:space="preserve"> </w:t>
    </w:r>
    <w:r>
      <w:t>ALJ/</w:t>
    </w:r>
    <w:r w:rsidR="005F1CC2">
      <w:t>MOD-</w:t>
    </w:r>
    <w:r>
      <w:t>POD-MLQ/</w:t>
    </w:r>
    <w:proofErr w:type="spellStart"/>
    <w:r w:rsidR="005F1CC2">
      <w:t>asf</w:t>
    </w:r>
    <w:proofErr w:type="spellEnd"/>
    <w:r w:rsidR="005F1CC2">
      <w:tab/>
    </w:r>
    <w:r w:rsidR="005F1CC2" w:rsidRPr="005F1CC2">
      <w:rPr>
        <w:b/>
        <w:bCs/>
      </w:rPr>
      <w:t xml:space="preserve"> </w:t>
    </w:r>
  </w:p>
  <w:p w14:paraId="145A55CE" w14:textId="286A8816" w:rsidR="00B3087D" w:rsidRPr="00225221" w:rsidRDefault="00B3087D" w:rsidP="002252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73D5" w14:textId="33934DBA" w:rsidR="00DC2D4F" w:rsidRDefault="00DC2D4F" w:rsidP="00DC2D4F">
    <w:pPr>
      <w:tabs>
        <w:tab w:val="center" w:pos="4680"/>
        <w:tab w:val="right" w:pos="9360"/>
      </w:tabs>
      <w:spacing w:line="240" w:lineRule="auto"/>
      <w:ind w:firstLine="0"/>
    </w:pPr>
    <w:r>
      <w:t xml:space="preserve">I.25-08-007 </w:t>
    </w:r>
    <w:r>
      <w:rPr>
        <w:i/>
        <w:iCs/>
      </w:rPr>
      <w:t>et al.</w:t>
    </w:r>
    <w:r>
      <w:t xml:space="preserve"> ALJ/POD-MLQ</w:t>
    </w:r>
    <w:r w:rsidR="00B27F58">
      <w:t>/</w:t>
    </w:r>
    <w:proofErr w:type="spellStart"/>
    <w:r w:rsidR="00B27F58">
      <w:t>asf</w:t>
    </w:r>
    <w:proofErr w:type="spellEnd"/>
    <w:r>
      <w:tab/>
    </w:r>
    <w:r w:rsidR="005F1CC2">
      <w:tab/>
    </w:r>
    <w:r w:rsidR="005F1CC2" w:rsidRPr="005F1CC2">
      <w:rPr>
        <w:b/>
        <w:bCs/>
      </w:rPr>
      <w:t xml:space="preserve"> </w:t>
    </w:r>
  </w:p>
  <w:p w14:paraId="70E83E51" w14:textId="50D74BFF" w:rsidR="00FE2351" w:rsidRPr="00225221" w:rsidRDefault="00FE2351" w:rsidP="002252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20A65"/>
    <w:multiLevelType w:val="hybridMultilevel"/>
    <w:tmpl w:val="0EBC90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6C1C14"/>
    <w:multiLevelType w:val="multilevel"/>
    <w:tmpl w:val="A8461BFA"/>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4A41DDE"/>
    <w:multiLevelType w:val="hybridMultilevel"/>
    <w:tmpl w:val="2A66F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056CB"/>
    <w:multiLevelType w:val="multilevel"/>
    <w:tmpl w:val="A8461BFA"/>
    <w:numStyleLink w:val="FoFCoLOP"/>
  </w:abstractNum>
  <w:abstractNum w:abstractNumId="5" w15:restartNumberingAfterBreak="0">
    <w:nsid w:val="184A02B7"/>
    <w:multiLevelType w:val="hybridMultilevel"/>
    <w:tmpl w:val="D0DE6C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70038F"/>
    <w:multiLevelType w:val="multilevel"/>
    <w:tmpl w:val="3C526EDE"/>
    <w:numStyleLink w:val="Headings"/>
  </w:abstractNum>
  <w:abstractNum w:abstractNumId="8" w15:restartNumberingAfterBreak="0">
    <w:nsid w:val="1E2242C9"/>
    <w:multiLevelType w:val="multilevel"/>
    <w:tmpl w:val="3C526EDE"/>
    <w:numStyleLink w:val="Headings"/>
  </w:abstractNum>
  <w:abstractNum w:abstractNumId="9" w15:restartNumberingAfterBreak="0">
    <w:nsid w:val="21FB58FE"/>
    <w:multiLevelType w:val="multilevel"/>
    <w:tmpl w:val="3C526EDE"/>
    <w:numStyleLink w:val="Headings"/>
  </w:abstractNum>
  <w:abstractNum w:abstractNumId="10" w15:restartNumberingAfterBreak="0">
    <w:nsid w:val="243663A0"/>
    <w:multiLevelType w:val="multilevel"/>
    <w:tmpl w:val="3C526EDE"/>
    <w:numStyleLink w:val="Headings"/>
  </w:abstractNum>
  <w:abstractNum w:abstractNumId="11" w15:restartNumberingAfterBreak="0">
    <w:nsid w:val="2A792714"/>
    <w:multiLevelType w:val="hybridMultilevel"/>
    <w:tmpl w:val="A44C9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124D7"/>
    <w:multiLevelType w:val="multilevel"/>
    <w:tmpl w:val="3C526EDE"/>
    <w:numStyleLink w:val="Headings"/>
  </w:abstractNum>
  <w:abstractNum w:abstractNumId="13" w15:restartNumberingAfterBreak="0">
    <w:nsid w:val="2F1C0970"/>
    <w:multiLevelType w:val="hybridMultilevel"/>
    <w:tmpl w:val="6E8A12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3070C9"/>
    <w:multiLevelType w:val="hybridMultilevel"/>
    <w:tmpl w:val="25CC64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6" w15:restartNumberingAfterBreak="0">
    <w:nsid w:val="38182ED5"/>
    <w:multiLevelType w:val="hybridMultilevel"/>
    <w:tmpl w:val="D0F85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874E71"/>
    <w:multiLevelType w:val="hybridMultilevel"/>
    <w:tmpl w:val="20AA9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16C144F"/>
    <w:multiLevelType w:val="hybridMultilevel"/>
    <w:tmpl w:val="A89E6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AC5D6D"/>
    <w:multiLevelType w:val="hybridMultilevel"/>
    <w:tmpl w:val="BE647C4E"/>
    <w:lvl w:ilvl="0" w:tplc="0409000F">
      <w:start w:val="1"/>
      <w:numFmt w:val="decimal"/>
      <w:lvlText w:val="%1."/>
      <w:lvlJc w:val="left"/>
      <w:pPr>
        <w:ind w:left="1080" w:hanging="360"/>
      </w:pPr>
      <w:rPr>
        <w:rFonts w:hint="default"/>
      </w:rPr>
    </w:lvl>
    <w:lvl w:ilvl="1" w:tplc="1FC053A8">
      <w:start w:val="1"/>
      <w:numFmt w:val="lowerLetter"/>
      <w:lvlText w:val="(%2)"/>
      <w:lvlJc w:val="left"/>
      <w:pPr>
        <w:ind w:left="1812" w:hanging="372"/>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F437E8B"/>
    <w:multiLevelType w:val="hybridMultilevel"/>
    <w:tmpl w:val="8B8E57E2"/>
    <w:lvl w:ilvl="0" w:tplc="5E94AC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15329C"/>
    <w:multiLevelType w:val="hybridMultilevel"/>
    <w:tmpl w:val="99889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D042D7"/>
    <w:multiLevelType w:val="multilevel"/>
    <w:tmpl w:val="A8461BFA"/>
    <w:numStyleLink w:val="FoFCoLOP"/>
  </w:abstractNum>
  <w:abstractNum w:abstractNumId="23" w15:restartNumberingAfterBreak="0">
    <w:nsid w:val="5A9E2171"/>
    <w:multiLevelType w:val="multilevel"/>
    <w:tmpl w:val="3C526EDE"/>
    <w:numStyleLink w:val="Headings"/>
  </w:abstractNum>
  <w:abstractNum w:abstractNumId="24" w15:restartNumberingAfterBreak="0">
    <w:nsid w:val="5D83428A"/>
    <w:multiLevelType w:val="hybridMultilevel"/>
    <w:tmpl w:val="D56E9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B95B99"/>
    <w:multiLevelType w:val="hybridMultilevel"/>
    <w:tmpl w:val="9D94E7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1A25780"/>
    <w:multiLevelType w:val="multilevel"/>
    <w:tmpl w:val="3C526EDE"/>
    <w:numStyleLink w:val="Headings"/>
  </w:abstractNum>
  <w:abstractNum w:abstractNumId="27" w15:restartNumberingAfterBreak="0">
    <w:nsid w:val="662F7014"/>
    <w:multiLevelType w:val="multilevel"/>
    <w:tmpl w:val="1B12CB2A"/>
    <w:lvl w:ilvl="0">
      <w:start w:val="1"/>
      <w:numFmt w:val="bullet"/>
      <w:lvlText w:val=""/>
      <w:lvlJc w:val="left"/>
      <w:pPr>
        <w:ind w:left="0" w:firstLine="540"/>
      </w:pPr>
      <w:rPr>
        <w:rFonts w:ascii="Symbol" w:hAnsi="Symbol"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8" w15:restartNumberingAfterBreak="0">
    <w:nsid w:val="6A9811CB"/>
    <w:multiLevelType w:val="hybridMultilevel"/>
    <w:tmpl w:val="9928F97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BDD3BFF"/>
    <w:multiLevelType w:val="hybridMultilevel"/>
    <w:tmpl w:val="A78067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345653F"/>
    <w:multiLevelType w:val="hybridMultilevel"/>
    <w:tmpl w:val="D2905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9A0AFE"/>
    <w:multiLevelType w:val="multilevel"/>
    <w:tmpl w:val="A8461BFA"/>
    <w:numStyleLink w:val="FoFCoLOP"/>
  </w:abstractNum>
  <w:num w:numId="1" w16cid:durableId="1354526949">
    <w:abstractNumId w:val="23"/>
  </w:num>
  <w:num w:numId="2" w16cid:durableId="140774137">
    <w:abstractNumId w:val="2"/>
  </w:num>
  <w:num w:numId="3" w16cid:durableId="1898543446">
    <w:abstractNumId w:val="22"/>
  </w:num>
  <w:num w:numId="4" w16cid:durableId="701521005">
    <w:abstractNumId w:val="4"/>
  </w:num>
  <w:num w:numId="5" w16cid:durableId="2017029027">
    <w:abstractNumId w:val="32"/>
  </w:num>
  <w:num w:numId="6" w16cid:durableId="973756952">
    <w:abstractNumId w:val="15"/>
  </w:num>
  <w:num w:numId="7" w16cid:durableId="827667741">
    <w:abstractNumId w:val="8"/>
  </w:num>
  <w:num w:numId="8" w16cid:durableId="1760327020">
    <w:abstractNumId w:val="30"/>
  </w:num>
  <w:num w:numId="9" w16cid:durableId="816924040">
    <w:abstractNumId w:val="0"/>
  </w:num>
  <w:num w:numId="10" w16cid:durableId="1817916489">
    <w:abstractNumId w:val="7"/>
  </w:num>
  <w:num w:numId="11" w16cid:durableId="291985460">
    <w:abstractNumId w:val="9"/>
  </w:num>
  <w:num w:numId="12" w16cid:durableId="467941983">
    <w:abstractNumId w:val="6"/>
  </w:num>
  <w:num w:numId="13" w16cid:durableId="712996464">
    <w:abstractNumId w:val="10"/>
  </w:num>
  <w:num w:numId="14" w16cid:durableId="1303778653">
    <w:abstractNumId w:val="12"/>
  </w:num>
  <w:num w:numId="15" w16cid:durableId="1714382259">
    <w:abstractNumId w:val="26"/>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6" w16cid:durableId="5481076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26"/>
  </w:num>
  <w:num w:numId="18" w16cid:durableId="132916443">
    <w:abstractNumId w:val="5"/>
  </w:num>
  <w:num w:numId="19" w16cid:durableId="213541397">
    <w:abstractNumId w:val="27"/>
  </w:num>
  <w:num w:numId="20" w16cid:durableId="672799972">
    <w:abstractNumId w:val="3"/>
  </w:num>
  <w:num w:numId="21" w16cid:durableId="1508013701">
    <w:abstractNumId w:val="13"/>
  </w:num>
  <w:num w:numId="22" w16cid:durableId="834879073">
    <w:abstractNumId w:val="21"/>
  </w:num>
  <w:num w:numId="23" w16cid:durableId="987706046">
    <w:abstractNumId w:val="28"/>
  </w:num>
  <w:num w:numId="24" w16cid:durableId="1967269354">
    <w:abstractNumId w:val="18"/>
  </w:num>
  <w:num w:numId="25" w16cid:durableId="796218888">
    <w:abstractNumId w:val="11"/>
  </w:num>
  <w:num w:numId="26" w16cid:durableId="1230462363">
    <w:abstractNumId w:val="25"/>
  </w:num>
  <w:num w:numId="27" w16cid:durableId="925844740">
    <w:abstractNumId w:val="24"/>
  </w:num>
  <w:num w:numId="28" w16cid:durableId="575938514">
    <w:abstractNumId w:val="31"/>
  </w:num>
  <w:num w:numId="29" w16cid:durableId="656804741">
    <w:abstractNumId w:val="20"/>
  </w:num>
  <w:num w:numId="30" w16cid:durableId="739905944">
    <w:abstractNumId w:val="17"/>
  </w:num>
  <w:num w:numId="31" w16cid:durableId="337462631">
    <w:abstractNumId w:val="26"/>
    <w:lvlOverride w:ilvl="0">
      <w:startOverride w:val="1"/>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startOverride w:va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startOverride w:val="1"/>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startOverride w:val="1"/>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startOverride w:val="1"/>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startOverride w:val="1"/>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startOverride w:val="1"/>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startOverride w:val="1"/>
      <w:lvl w:ilvl="7">
        <w:start w:val="1"/>
        <w:numFmt w:val="lowerLetter"/>
        <w:pStyle w:val="ListAlpha"/>
        <w:lvlText w:val="%8."/>
        <w:lvlJc w:val="left"/>
        <w:pPr>
          <w:ind w:left="1080" w:hanging="360"/>
        </w:pPr>
        <w:rPr>
          <w:rFonts w:ascii="Book Antiqua" w:hAnsi="Book Antiqua" w:hint="default"/>
          <w:sz w:val="26"/>
        </w:rPr>
      </w:lvl>
    </w:lvlOverride>
    <w:lvlOverride w:ilvl="8">
      <w:startOverride w:val="1"/>
      <w:lvl w:ilvl="8">
        <w:start w:val="1"/>
        <w:numFmt w:val="none"/>
        <w:lvlText w:val=""/>
        <w:lvlJc w:val="left"/>
        <w:pPr>
          <w:ind w:left="3240" w:hanging="360"/>
        </w:pPr>
        <w:rPr>
          <w:rFonts w:hint="default"/>
        </w:rPr>
      </w:lvl>
    </w:lvlOverride>
  </w:num>
  <w:num w:numId="32" w16cid:durableId="1930235205">
    <w:abstractNumId w:val="19"/>
  </w:num>
  <w:num w:numId="33" w16cid:durableId="1469046">
    <w:abstractNumId w:val="29"/>
  </w:num>
  <w:num w:numId="34" w16cid:durableId="1447894532">
    <w:abstractNumId w:val="14"/>
  </w:num>
  <w:num w:numId="35" w16cid:durableId="10716608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19246541">
    <w:abstractNumId w:val="1"/>
  </w:num>
  <w:num w:numId="37" w16cid:durableId="1655450260">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AC5"/>
    <w:rsid w:val="00000B45"/>
    <w:rsid w:val="00000F6A"/>
    <w:rsid w:val="0000147B"/>
    <w:rsid w:val="000015FC"/>
    <w:rsid w:val="0000217C"/>
    <w:rsid w:val="000023F8"/>
    <w:rsid w:val="00002A78"/>
    <w:rsid w:val="000032BB"/>
    <w:rsid w:val="00003593"/>
    <w:rsid w:val="0000399E"/>
    <w:rsid w:val="00003B85"/>
    <w:rsid w:val="00003E23"/>
    <w:rsid w:val="00004503"/>
    <w:rsid w:val="0001047B"/>
    <w:rsid w:val="000104BE"/>
    <w:rsid w:val="00010D84"/>
    <w:rsid w:val="0001150A"/>
    <w:rsid w:val="00011A1F"/>
    <w:rsid w:val="00011DC3"/>
    <w:rsid w:val="00012BCF"/>
    <w:rsid w:val="00013BD1"/>
    <w:rsid w:val="00013ECA"/>
    <w:rsid w:val="00014767"/>
    <w:rsid w:val="00014948"/>
    <w:rsid w:val="00014E20"/>
    <w:rsid w:val="00015068"/>
    <w:rsid w:val="0001698B"/>
    <w:rsid w:val="00016FED"/>
    <w:rsid w:val="00017772"/>
    <w:rsid w:val="00017A72"/>
    <w:rsid w:val="00017AE1"/>
    <w:rsid w:val="00020271"/>
    <w:rsid w:val="00020579"/>
    <w:rsid w:val="000224D1"/>
    <w:rsid w:val="000225BE"/>
    <w:rsid w:val="00023829"/>
    <w:rsid w:val="00023900"/>
    <w:rsid w:val="00024181"/>
    <w:rsid w:val="00024D28"/>
    <w:rsid w:val="0002503D"/>
    <w:rsid w:val="00025335"/>
    <w:rsid w:val="00025575"/>
    <w:rsid w:val="0002672E"/>
    <w:rsid w:val="00026C1B"/>
    <w:rsid w:val="00027196"/>
    <w:rsid w:val="000271F6"/>
    <w:rsid w:val="00027816"/>
    <w:rsid w:val="00027DA3"/>
    <w:rsid w:val="000309F2"/>
    <w:rsid w:val="000310B4"/>
    <w:rsid w:val="000311FB"/>
    <w:rsid w:val="00031687"/>
    <w:rsid w:val="000325B1"/>
    <w:rsid w:val="00032897"/>
    <w:rsid w:val="00032FE9"/>
    <w:rsid w:val="000332B4"/>
    <w:rsid w:val="00033755"/>
    <w:rsid w:val="00033A27"/>
    <w:rsid w:val="00033BD8"/>
    <w:rsid w:val="00034475"/>
    <w:rsid w:val="00034493"/>
    <w:rsid w:val="00034A1F"/>
    <w:rsid w:val="00034B18"/>
    <w:rsid w:val="00040382"/>
    <w:rsid w:val="000406CC"/>
    <w:rsid w:val="00043720"/>
    <w:rsid w:val="0004403E"/>
    <w:rsid w:val="0004418C"/>
    <w:rsid w:val="000444E7"/>
    <w:rsid w:val="0004450B"/>
    <w:rsid w:val="00044D00"/>
    <w:rsid w:val="00045F3F"/>
    <w:rsid w:val="0004724B"/>
    <w:rsid w:val="000478E9"/>
    <w:rsid w:val="00047F2A"/>
    <w:rsid w:val="0005023D"/>
    <w:rsid w:val="00050A3C"/>
    <w:rsid w:val="000514EC"/>
    <w:rsid w:val="00051641"/>
    <w:rsid w:val="00052B78"/>
    <w:rsid w:val="00053AD5"/>
    <w:rsid w:val="00056C3D"/>
    <w:rsid w:val="00056FD7"/>
    <w:rsid w:val="000579D8"/>
    <w:rsid w:val="00057BF6"/>
    <w:rsid w:val="000610D3"/>
    <w:rsid w:val="0006260F"/>
    <w:rsid w:val="000634AD"/>
    <w:rsid w:val="000659CE"/>
    <w:rsid w:val="00065CAC"/>
    <w:rsid w:val="000665A9"/>
    <w:rsid w:val="00067ACE"/>
    <w:rsid w:val="00067ED4"/>
    <w:rsid w:val="0007115A"/>
    <w:rsid w:val="00071981"/>
    <w:rsid w:val="00071C48"/>
    <w:rsid w:val="000729E7"/>
    <w:rsid w:val="00072C10"/>
    <w:rsid w:val="00077E7B"/>
    <w:rsid w:val="00080B52"/>
    <w:rsid w:val="00080BBA"/>
    <w:rsid w:val="00080E83"/>
    <w:rsid w:val="0008359E"/>
    <w:rsid w:val="0008366F"/>
    <w:rsid w:val="000836D4"/>
    <w:rsid w:val="0008381C"/>
    <w:rsid w:val="000838A0"/>
    <w:rsid w:val="00084995"/>
    <w:rsid w:val="0008572F"/>
    <w:rsid w:val="0008584E"/>
    <w:rsid w:val="00086079"/>
    <w:rsid w:val="000861EF"/>
    <w:rsid w:val="0008644C"/>
    <w:rsid w:val="000868B7"/>
    <w:rsid w:val="000873BE"/>
    <w:rsid w:val="000873CE"/>
    <w:rsid w:val="00087FA4"/>
    <w:rsid w:val="0009037F"/>
    <w:rsid w:val="000906B1"/>
    <w:rsid w:val="000914A9"/>
    <w:rsid w:val="00091754"/>
    <w:rsid w:val="0009425D"/>
    <w:rsid w:val="000942CA"/>
    <w:rsid w:val="0009432C"/>
    <w:rsid w:val="00095EF9"/>
    <w:rsid w:val="00096780"/>
    <w:rsid w:val="000973C8"/>
    <w:rsid w:val="00097CEA"/>
    <w:rsid w:val="000A0291"/>
    <w:rsid w:val="000A05FB"/>
    <w:rsid w:val="000A0963"/>
    <w:rsid w:val="000A0F13"/>
    <w:rsid w:val="000A19AE"/>
    <w:rsid w:val="000A20BD"/>
    <w:rsid w:val="000A2935"/>
    <w:rsid w:val="000A2AA9"/>
    <w:rsid w:val="000A2C31"/>
    <w:rsid w:val="000A2DF4"/>
    <w:rsid w:val="000A2F58"/>
    <w:rsid w:val="000A3169"/>
    <w:rsid w:val="000A3B01"/>
    <w:rsid w:val="000A4C99"/>
    <w:rsid w:val="000A4D56"/>
    <w:rsid w:val="000A4FD7"/>
    <w:rsid w:val="000A56F2"/>
    <w:rsid w:val="000A6AE2"/>
    <w:rsid w:val="000A6E05"/>
    <w:rsid w:val="000B0358"/>
    <w:rsid w:val="000B039A"/>
    <w:rsid w:val="000B12FA"/>
    <w:rsid w:val="000B2189"/>
    <w:rsid w:val="000B242C"/>
    <w:rsid w:val="000B2696"/>
    <w:rsid w:val="000B3546"/>
    <w:rsid w:val="000B3618"/>
    <w:rsid w:val="000B5591"/>
    <w:rsid w:val="000B6E14"/>
    <w:rsid w:val="000B7D7C"/>
    <w:rsid w:val="000B7F7F"/>
    <w:rsid w:val="000C08BF"/>
    <w:rsid w:val="000C0C1B"/>
    <w:rsid w:val="000C0E63"/>
    <w:rsid w:val="000C153E"/>
    <w:rsid w:val="000C1CF0"/>
    <w:rsid w:val="000C2D80"/>
    <w:rsid w:val="000C3B9A"/>
    <w:rsid w:val="000C3B9F"/>
    <w:rsid w:val="000C4525"/>
    <w:rsid w:val="000C4D91"/>
    <w:rsid w:val="000C514F"/>
    <w:rsid w:val="000C55D3"/>
    <w:rsid w:val="000C6823"/>
    <w:rsid w:val="000C6A5F"/>
    <w:rsid w:val="000C7B84"/>
    <w:rsid w:val="000D0F89"/>
    <w:rsid w:val="000D1078"/>
    <w:rsid w:val="000D151C"/>
    <w:rsid w:val="000D15BF"/>
    <w:rsid w:val="000D166C"/>
    <w:rsid w:val="000D1756"/>
    <w:rsid w:val="000D1C9B"/>
    <w:rsid w:val="000D212E"/>
    <w:rsid w:val="000D25A8"/>
    <w:rsid w:val="000D2BB8"/>
    <w:rsid w:val="000D36AC"/>
    <w:rsid w:val="000D39FC"/>
    <w:rsid w:val="000D40F4"/>
    <w:rsid w:val="000D5590"/>
    <w:rsid w:val="000D5BDC"/>
    <w:rsid w:val="000D5CE5"/>
    <w:rsid w:val="000D5E2D"/>
    <w:rsid w:val="000D6C8A"/>
    <w:rsid w:val="000D6DA9"/>
    <w:rsid w:val="000D7D70"/>
    <w:rsid w:val="000E097B"/>
    <w:rsid w:val="000E13B4"/>
    <w:rsid w:val="000E270A"/>
    <w:rsid w:val="000E2EE2"/>
    <w:rsid w:val="000E351C"/>
    <w:rsid w:val="000E43A7"/>
    <w:rsid w:val="000E4B9F"/>
    <w:rsid w:val="000E4C53"/>
    <w:rsid w:val="000E4E60"/>
    <w:rsid w:val="000E5284"/>
    <w:rsid w:val="000E54F3"/>
    <w:rsid w:val="000E5C83"/>
    <w:rsid w:val="000E5F49"/>
    <w:rsid w:val="000E6F0E"/>
    <w:rsid w:val="000E74C7"/>
    <w:rsid w:val="000E7A35"/>
    <w:rsid w:val="000F08DC"/>
    <w:rsid w:val="000F0A6F"/>
    <w:rsid w:val="000F1618"/>
    <w:rsid w:val="000F20CB"/>
    <w:rsid w:val="000F2147"/>
    <w:rsid w:val="000F2787"/>
    <w:rsid w:val="000F343D"/>
    <w:rsid w:val="000F3719"/>
    <w:rsid w:val="000F38A1"/>
    <w:rsid w:val="000F3CE5"/>
    <w:rsid w:val="000F3EF5"/>
    <w:rsid w:val="000F4415"/>
    <w:rsid w:val="000F48C6"/>
    <w:rsid w:val="000F4B36"/>
    <w:rsid w:val="000F5D15"/>
    <w:rsid w:val="000F650C"/>
    <w:rsid w:val="000F658A"/>
    <w:rsid w:val="000F672B"/>
    <w:rsid w:val="001001DA"/>
    <w:rsid w:val="00100E1E"/>
    <w:rsid w:val="00100E55"/>
    <w:rsid w:val="0010139B"/>
    <w:rsid w:val="00101905"/>
    <w:rsid w:val="00101B3C"/>
    <w:rsid w:val="0010480F"/>
    <w:rsid w:val="0010505D"/>
    <w:rsid w:val="0010517C"/>
    <w:rsid w:val="0010720A"/>
    <w:rsid w:val="00107D0D"/>
    <w:rsid w:val="00107D11"/>
    <w:rsid w:val="00107ECB"/>
    <w:rsid w:val="001109D3"/>
    <w:rsid w:val="00110AF4"/>
    <w:rsid w:val="00110FE0"/>
    <w:rsid w:val="00111FA7"/>
    <w:rsid w:val="0011218A"/>
    <w:rsid w:val="001122CB"/>
    <w:rsid w:val="00112A32"/>
    <w:rsid w:val="0011332F"/>
    <w:rsid w:val="00113D2C"/>
    <w:rsid w:val="0011403E"/>
    <w:rsid w:val="0011427E"/>
    <w:rsid w:val="001147C7"/>
    <w:rsid w:val="001150F1"/>
    <w:rsid w:val="00115BB0"/>
    <w:rsid w:val="001167A0"/>
    <w:rsid w:val="001169F2"/>
    <w:rsid w:val="00117B06"/>
    <w:rsid w:val="00121089"/>
    <w:rsid w:val="00121210"/>
    <w:rsid w:val="0012154F"/>
    <w:rsid w:val="0012160B"/>
    <w:rsid w:val="00121941"/>
    <w:rsid w:val="0012514D"/>
    <w:rsid w:val="00125872"/>
    <w:rsid w:val="00125A21"/>
    <w:rsid w:val="001264D8"/>
    <w:rsid w:val="00126F16"/>
    <w:rsid w:val="00127281"/>
    <w:rsid w:val="0012733E"/>
    <w:rsid w:val="00127E2F"/>
    <w:rsid w:val="0013040E"/>
    <w:rsid w:val="0013050E"/>
    <w:rsid w:val="00131295"/>
    <w:rsid w:val="001315A0"/>
    <w:rsid w:val="0013190F"/>
    <w:rsid w:val="00131C29"/>
    <w:rsid w:val="00131C9A"/>
    <w:rsid w:val="00132232"/>
    <w:rsid w:val="00132D50"/>
    <w:rsid w:val="00133904"/>
    <w:rsid w:val="00133CC9"/>
    <w:rsid w:val="00134C7A"/>
    <w:rsid w:val="00134C8E"/>
    <w:rsid w:val="00134EC1"/>
    <w:rsid w:val="0013548A"/>
    <w:rsid w:val="001362D8"/>
    <w:rsid w:val="00136981"/>
    <w:rsid w:val="00136EBE"/>
    <w:rsid w:val="0013758B"/>
    <w:rsid w:val="0013782E"/>
    <w:rsid w:val="00137925"/>
    <w:rsid w:val="00137B12"/>
    <w:rsid w:val="00140014"/>
    <w:rsid w:val="0014088C"/>
    <w:rsid w:val="0014125B"/>
    <w:rsid w:val="00142BC2"/>
    <w:rsid w:val="00142E32"/>
    <w:rsid w:val="0014319E"/>
    <w:rsid w:val="0014319F"/>
    <w:rsid w:val="00145374"/>
    <w:rsid w:val="00145530"/>
    <w:rsid w:val="00145C74"/>
    <w:rsid w:val="00147539"/>
    <w:rsid w:val="00151468"/>
    <w:rsid w:val="00151643"/>
    <w:rsid w:val="0015167E"/>
    <w:rsid w:val="0015290B"/>
    <w:rsid w:val="001530CF"/>
    <w:rsid w:val="001530DC"/>
    <w:rsid w:val="001550B6"/>
    <w:rsid w:val="00155A53"/>
    <w:rsid w:val="00156569"/>
    <w:rsid w:val="00156B39"/>
    <w:rsid w:val="00156F87"/>
    <w:rsid w:val="0015754C"/>
    <w:rsid w:val="001607E1"/>
    <w:rsid w:val="00161E20"/>
    <w:rsid w:val="00162C9E"/>
    <w:rsid w:val="0016311B"/>
    <w:rsid w:val="0016432D"/>
    <w:rsid w:val="00164F68"/>
    <w:rsid w:val="00165070"/>
    <w:rsid w:val="0016519A"/>
    <w:rsid w:val="0016521A"/>
    <w:rsid w:val="001668A5"/>
    <w:rsid w:val="00166B1C"/>
    <w:rsid w:val="0016701E"/>
    <w:rsid w:val="001671AF"/>
    <w:rsid w:val="00167927"/>
    <w:rsid w:val="00167E96"/>
    <w:rsid w:val="00170240"/>
    <w:rsid w:val="00170753"/>
    <w:rsid w:val="001711CB"/>
    <w:rsid w:val="0017161D"/>
    <w:rsid w:val="001716C1"/>
    <w:rsid w:val="001720CF"/>
    <w:rsid w:val="00172184"/>
    <w:rsid w:val="00172220"/>
    <w:rsid w:val="00172776"/>
    <w:rsid w:val="00173089"/>
    <w:rsid w:val="00173163"/>
    <w:rsid w:val="001731B0"/>
    <w:rsid w:val="001731BB"/>
    <w:rsid w:val="00174756"/>
    <w:rsid w:val="0017592C"/>
    <w:rsid w:val="00176908"/>
    <w:rsid w:val="00177503"/>
    <w:rsid w:val="00177F79"/>
    <w:rsid w:val="00180AC0"/>
    <w:rsid w:val="00180B0C"/>
    <w:rsid w:val="00181B55"/>
    <w:rsid w:val="00183FDD"/>
    <w:rsid w:val="0018401D"/>
    <w:rsid w:val="00184548"/>
    <w:rsid w:val="001847F6"/>
    <w:rsid w:val="00184A10"/>
    <w:rsid w:val="00184A8F"/>
    <w:rsid w:val="00184BB2"/>
    <w:rsid w:val="001854F7"/>
    <w:rsid w:val="0018577B"/>
    <w:rsid w:val="001863FB"/>
    <w:rsid w:val="001866D2"/>
    <w:rsid w:val="00186B14"/>
    <w:rsid w:val="00186D15"/>
    <w:rsid w:val="00186E37"/>
    <w:rsid w:val="00187E64"/>
    <w:rsid w:val="001906F4"/>
    <w:rsid w:val="00191293"/>
    <w:rsid w:val="00192CB2"/>
    <w:rsid w:val="00193036"/>
    <w:rsid w:val="001934C4"/>
    <w:rsid w:val="001939F9"/>
    <w:rsid w:val="0019402E"/>
    <w:rsid w:val="00194939"/>
    <w:rsid w:val="00194D82"/>
    <w:rsid w:val="00195185"/>
    <w:rsid w:val="00195E20"/>
    <w:rsid w:val="00196014"/>
    <w:rsid w:val="00196EC9"/>
    <w:rsid w:val="001970E3"/>
    <w:rsid w:val="001A0158"/>
    <w:rsid w:val="001A04C9"/>
    <w:rsid w:val="001A0AE0"/>
    <w:rsid w:val="001A0F80"/>
    <w:rsid w:val="001A182C"/>
    <w:rsid w:val="001A1A9A"/>
    <w:rsid w:val="001A2234"/>
    <w:rsid w:val="001A29B4"/>
    <w:rsid w:val="001A2A99"/>
    <w:rsid w:val="001A2D80"/>
    <w:rsid w:val="001A2F25"/>
    <w:rsid w:val="001A2F77"/>
    <w:rsid w:val="001A31D0"/>
    <w:rsid w:val="001A3A72"/>
    <w:rsid w:val="001A3C67"/>
    <w:rsid w:val="001A3F48"/>
    <w:rsid w:val="001A4D75"/>
    <w:rsid w:val="001A5BBA"/>
    <w:rsid w:val="001A693F"/>
    <w:rsid w:val="001A6BE6"/>
    <w:rsid w:val="001A7002"/>
    <w:rsid w:val="001B0359"/>
    <w:rsid w:val="001B0B89"/>
    <w:rsid w:val="001B12F4"/>
    <w:rsid w:val="001B303F"/>
    <w:rsid w:val="001B3040"/>
    <w:rsid w:val="001B32F6"/>
    <w:rsid w:val="001B4094"/>
    <w:rsid w:val="001B4F80"/>
    <w:rsid w:val="001B7F8B"/>
    <w:rsid w:val="001C0038"/>
    <w:rsid w:val="001C024D"/>
    <w:rsid w:val="001C1259"/>
    <w:rsid w:val="001C21A4"/>
    <w:rsid w:val="001C3009"/>
    <w:rsid w:val="001C363F"/>
    <w:rsid w:val="001C3A26"/>
    <w:rsid w:val="001C3F4B"/>
    <w:rsid w:val="001C4391"/>
    <w:rsid w:val="001C60AB"/>
    <w:rsid w:val="001C61A5"/>
    <w:rsid w:val="001D014B"/>
    <w:rsid w:val="001D0F23"/>
    <w:rsid w:val="001D1103"/>
    <w:rsid w:val="001D11DF"/>
    <w:rsid w:val="001D3173"/>
    <w:rsid w:val="001D61EC"/>
    <w:rsid w:val="001D61F8"/>
    <w:rsid w:val="001D6401"/>
    <w:rsid w:val="001D64C8"/>
    <w:rsid w:val="001D6BDE"/>
    <w:rsid w:val="001D6D2A"/>
    <w:rsid w:val="001D6FA0"/>
    <w:rsid w:val="001D736E"/>
    <w:rsid w:val="001E07CF"/>
    <w:rsid w:val="001E0B55"/>
    <w:rsid w:val="001E1B07"/>
    <w:rsid w:val="001E2762"/>
    <w:rsid w:val="001E28F3"/>
    <w:rsid w:val="001E2A62"/>
    <w:rsid w:val="001E2C18"/>
    <w:rsid w:val="001E389F"/>
    <w:rsid w:val="001E4076"/>
    <w:rsid w:val="001E49FB"/>
    <w:rsid w:val="001E4C83"/>
    <w:rsid w:val="001E55EA"/>
    <w:rsid w:val="001E55FE"/>
    <w:rsid w:val="001E6D82"/>
    <w:rsid w:val="001E7107"/>
    <w:rsid w:val="001F091F"/>
    <w:rsid w:val="001F1F84"/>
    <w:rsid w:val="001F238A"/>
    <w:rsid w:val="001F26AD"/>
    <w:rsid w:val="001F2819"/>
    <w:rsid w:val="001F328C"/>
    <w:rsid w:val="001F4592"/>
    <w:rsid w:val="001F4B2C"/>
    <w:rsid w:val="001F4C0D"/>
    <w:rsid w:val="001F50D3"/>
    <w:rsid w:val="001F66DA"/>
    <w:rsid w:val="001F770D"/>
    <w:rsid w:val="00200F62"/>
    <w:rsid w:val="00201CEB"/>
    <w:rsid w:val="0020345D"/>
    <w:rsid w:val="002043EC"/>
    <w:rsid w:val="002044B1"/>
    <w:rsid w:val="0020496B"/>
    <w:rsid w:val="00205087"/>
    <w:rsid w:val="00206D81"/>
    <w:rsid w:val="00206E6E"/>
    <w:rsid w:val="002078FE"/>
    <w:rsid w:val="00207B2C"/>
    <w:rsid w:val="00207C4B"/>
    <w:rsid w:val="00207C4C"/>
    <w:rsid w:val="00210FE8"/>
    <w:rsid w:val="00211A8D"/>
    <w:rsid w:val="00211F5E"/>
    <w:rsid w:val="002124EA"/>
    <w:rsid w:val="00212775"/>
    <w:rsid w:val="0021457E"/>
    <w:rsid w:val="00214EB9"/>
    <w:rsid w:val="00215B5A"/>
    <w:rsid w:val="00215C9D"/>
    <w:rsid w:val="00215E42"/>
    <w:rsid w:val="0021601C"/>
    <w:rsid w:val="002172C2"/>
    <w:rsid w:val="00220381"/>
    <w:rsid w:val="0022067A"/>
    <w:rsid w:val="002212AA"/>
    <w:rsid w:val="002214EB"/>
    <w:rsid w:val="00221780"/>
    <w:rsid w:val="00221D1B"/>
    <w:rsid w:val="00222233"/>
    <w:rsid w:val="0022238A"/>
    <w:rsid w:val="00223270"/>
    <w:rsid w:val="00224147"/>
    <w:rsid w:val="002243A1"/>
    <w:rsid w:val="0022452E"/>
    <w:rsid w:val="00224DA8"/>
    <w:rsid w:val="00225221"/>
    <w:rsid w:val="00225523"/>
    <w:rsid w:val="002261F8"/>
    <w:rsid w:val="00226C1C"/>
    <w:rsid w:val="0022707C"/>
    <w:rsid w:val="002301FC"/>
    <w:rsid w:val="00230EDF"/>
    <w:rsid w:val="00231280"/>
    <w:rsid w:val="002313A6"/>
    <w:rsid w:val="00231AD7"/>
    <w:rsid w:val="00231FC7"/>
    <w:rsid w:val="002329D6"/>
    <w:rsid w:val="0023397A"/>
    <w:rsid w:val="00234C98"/>
    <w:rsid w:val="00234FEE"/>
    <w:rsid w:val="00235726"/>
    <w:rsid w:val="00235E1C"/>
    <w:rsid w:val="002361F8"/>
    <w:rsid w:val="00236B69"/>
    <w:rsid w:val="00237291"/>
    <w:rsid w:val="002401D8"/>
    <w:rsid w:val="002408D3"/>
    <w:rsid w:val="00241B67"/>
    <w:rsid w:val="00242076"/>
    <w:rsid w:val="002439E9"/>
    <w:rsid w:val="00243BF5"/>
    <w:rsid w:val="00243DC0"/>
    <w:rsid w:val="00244347"/>
    <w:rsid w:val="002454A2"/>
    <w:rsid w:val="002456EB"/>
    <w:rsid w:val="002457A8"/>
    <w:rsid w:val="002467F3"/>
    <w:rsid w:val="00247042"/>
    <w:rsid w:val="002470A0"/>
    <w:rsid w:val="00247477"/>
    <w:rsid w:val="00247811"/>
    <w:rsid w:val="002500C6"/>
    <w:rsid w:val="0025037E"/>
    <w:rsid w:val="0025041B"/>
    <w:rsid w:val="002505D7"/>
    <w:rsid w:val="00250EE6"/>
    <w:rsid w:val="002510F2"/>
    <w:rsid w:val="00251D88"/>
    <w:rsid w:val="00252DE8"/>
    <w:rsid w:val="00253F14"/>
    <w:rsid w:val="002540E3"/>
    <w:rsid w:val="00254949"/>
    <w:rsid w:val="002552FD"/>
    <w:rsid w:val="002555BC"/>
    <w:rsid w:val="00255CD4"/>
    <w:rsid w:val="002600DE"/>
    <w:rsid w:val="0026018D"/>
    <w:rsid w:val="002606AF"/>
    <w:rsid w:val="00260963"/>
    <w:rsid w:val="002620DF"/>
    <w:rsid w:val="002621E1"/>
    <w:rsid w:val="00263C8F"/>
    <w:rsid w:val="00263E17"/>
    <w:rsid w:val="002651C2"/>
    <w:rsid w:val="002658BF"/>
    <w:rsid w:val="00265BDF"/>
    <w:rsid w:val="002664BF"/>
    <w:rsid w:val="00267365"/>
    <w:rsid w:val="002700E5"/>
    <w:rsid w:val="00270440"/>
    <w:rsid w:val="00271189"/>
    <w:rsid w:val="002726FF"/>
    <w:rsid w:val="0027315C"/>
    <w:rsid w:val="0027329A"/>
    <w:rsid w:val="002739D9"/>
    <w:rsid w:val="002749F8"/>
    <w:rsid w:val="00275CB0"/>
    <w:rsid w:val="00276FD4"/>
    <w:rsid w:val="0027751F"/>
    <w:rsid w:val="002777DE"/>
    <w:rsid w:val="00277A21"/>
    <w:rsid w:val="00277AEE"/>
    <w:rsid w:val="00277EA1"/>
    <w:rsid w:val="00277FF3"/>
    <w:rsid w:val="00280CC3"/>
    <w:rsid w:val="002815F6"/>
    <w:rsid w:val="002820AE"/>
    <w:rsid w:val="00282CB0"/>
    <w:rsid w:val="002831CD"/>
    <w:rsid w:val="00284D8D"/>
    <w:rsid w:val="00286EFC"/>
    <w:rsid w:val="00286F87"/>
    <w:rsid w:val="00287528"/>
    <w:rsid w:val="00287BC5"/>
    <w:rsid w:val="0029094A"/>
    <w:rsid w:val="00290B6D"/>
    <w:rsid w:val="00290C08"/>
    <w:rsid w:val="00290CBE"/>
    <w:rsid w:val="00291003"/>
    <w:rsid w:val="002911A3"/>
    <w:rsid w:val="0029145D"/>
    <w:rsid w:val="00291AD8"/>
    <w:rsid w:val="002927FB"/>
    <w:rsid w:val="00292DA7"/>
    <w:rsid w:val="00293515"/>
    <w:rsid w:val="00293DEE"/>
    <w:rsid w:val="00293FC0"/>
    <w:rsid w:val="0029402E"/>
    <w:rsid w:val="002948B4"/>
    <w:rsid w:val="00294A06"/>
    <w:rsid w:val="00294F58"/>
    <w:rsid w:val="002958E4"/>
    <w:rsid w:val="00295E2C"/>
    <w:rsid w:val="0029780D"/>
    <w:rsid w:val="00297B9E"/>
    <w:rsid w:val="002A02B7"/>
    <w:rsid w:val="002A0788"/>
    <w:rsid w:val="002A0B5D"/>
    <w:rsid w:val="002A23D7"/>
    <w:rsid w:val="002A4D81"/>
    <w:rsid w:val="002A5738"/>
    <w:rsid w:val="002A61C0"/>
    <w:rsid w:val="002A7760"/>
    <w:rsid w:val="002A7AC5"/>
    <w:rsid w:val="002B1808"/>
    <w:rsid w:val="002B1B39"/>
    <w:rsid w:val="002B1B5F"/>
    <w:rsid w:val="002B1FB0"/>
    <w:rsid w:val="002B2B92"/>
    <w:rsid w:val="002B2E79"/>
    <w:rsid w:val="002B2E9E"/>
    <w:rsid w:val="002B2E9F"/>
    <w:rsid w:val="002B3AF0"/>
    <w:rsid w:val="002B3B56"/>
    <w:rsid w:val="002B49A2"/>
    <w:rsid w:val="002B4B30"/>
    <w:rsid w:val="002B56AD"/>
    <w:rsid w:val="002B5A24"/>
    <w:rsid w:val="002B6BE0"/>
    <w:rsid w:val="002B6F63"/>
    <w:rsid w:val="002B6F70"/>
    <w:rsid w:val="002B70FD"/>
    <w:rsid w:val="002B7FD2"/>
    <w:rsid w:val="002C0109"/>
    <w:rsid w:val="002C04A1"/>
    <w:rsid w:val="002C04D3"/>
    <w:rsid w:val="002C0F79"/>
    <w:rsid w:val="002C2602"/>
    <w:rsid w:val="002C26E5"/>
    <w:rsid w:val="002C2D6F"/>
    <w:rsid w:val="002C306D"/>
    <w:rsid w:val="002C3F1F"/>
    <w:rsid w:val="002C4419"/>
    <w:rsid w:val="002C4C38"/>
    <w:rsid w:val="002C4CB3"/>
    <w:rsid w:val="002C56F3"/>
    <w:rsid w:val="002C64D5"/>
    <w:rsid w:val="002C7088"/>
    <w:rsid w:val="002C7229"/>
    <w:rsid w:val="002C7BAF"/>
    <w:rsid w:val="002C7EB9"/>
    <w:rsid w:val="002C7FE9"/>
    <w:rsid w:val="002D084D"/>
    <w:rsid w:val="002D0DC5"/>
    <w:rsid w:val="002D1F80"/>
    <w:rsid w:val="002D33E1"/>
    <w:rsid w:val="002D3831"/>
    <w:rsid w:val="002D463A"/>
    <w:rsid w:val="002D4EFD"/>
    <w:rsid w:val="002D53BF"/>
    <w:rsid w:val="002D5D32"/>
    <w:rsid w:val="002D7B8A"/>
    <w:rsid w:val="002E00C5"/>
    <w:rsid w:val="002E0A54"/>
    <w:rsid w:val="002E3D5E"/>
    <w:rsid w:val="002E4107"/>
    <w:rsid w:val="002E61F9"/>
    <w:rsid w:val="002E6373"/>
    <w:rsid w:val="002E712A"/>
    <w:rsid w:val="002E7266"/>
    <w:rsid w:val="002E7CB0"/>
    <w:rsid w:val="002F0B05"/>
    <w:rsid w:val="002F0B7D"/>
    <w:rsid w:val="002F1382"/>
    <w:rsid w:val="002F19F8"/>
    <w:rsid w:val="002F1BD0"/>
    <w:rsid w:val="002F2356"/>
    <w:rsid w:val="002F23F5"/>
    <w:rsid w:val="002F32FE"/>
    <w:rsid w:val="002F34B5"/>
    <w:rsid w:val="002F3530"/>
    <w:rsid w:val="002F3729"/>
    <w:rsid w:val="002F49DB"/>
    <w:rsid w:val="002F542C"/>
    <w:rsid w:val="002F5BB1"/>
    <w:rsid w:val="002F5F41"/>
    <w:rsid w:val="002F6008"/>
    <w:rsid w:val="002F6147"/>
    <w:rsid w:val="002F6DE6"/>
    <w:rsid w:val="002F7215"/>
    <w:rsid w:val="0030083E"/>
    <w:rsid w:val="00300943"/>
    <w:rsid w:val="00301890"/>
    <w:rsid w:val="00301BED"/>
    <w:rsid w:val="003026C2"/>
    <w:rsid w:val="00302CBA"/>
    <w:rsid w:val="00302E9C"/>
    <w:rsid w:val="00303A94"/>
    <w:rsid w:val="00303CD8"/>
    <w:rsid w:val="00303DDF"/>
    <w:rsid w:val="003041B3"/>
    <w:rsid w:val="00304520"/>
    <w:rsid w:val="00304B76"/>
    <w:rsid w:val="003068F9"/>
    <w:rsid w:val="00307785"/>
    <w:rsid w:val="00307C9D"/>
    <w:rsid w:val="00311ED2"/>
    <w:rsid w:val="0031326E"/>
    <w:rsid w:val="003132F6"/>
    <w:rsid w:val="00314CC1"/>
    <w:rsid w:val="00314EC0"/>
    <w:rsid w:val="003150AD"/>
    <w:rsid w:val="00315A97"/>
    <w:rsid w:val="00316071"/>
    <w:rsid w:val="0031694F"/>
    <w:rsid w:val="00316DF6"/>
    <w:rsid w:val="003176D0"/>
    <w:rsid w:val="003218C1"/>
    <w:rsid w:val="003220B4"/>
    <w:rsid w:val="0032279E"/>
    <w:rsid w:val="0032297F"/>
    <w:rsid w:val="00323212"/>
    <w:rsid w:val="00323371"/>
    <w:rsid w:val="00325127"/>
    <w:rsid w:val="00325B39"/>
    <w:rsid w:val="003260A1"/>
    <w:rsid w:val="00326C81"/>
    <w:rsid w:val="00330906"/>
    <w:rsid w:val="003329E5"/>
    <w:rsid w:val="00332FC4"/>
    <w:rsid w:val="003338B8"/>
    <w:rsid w:val="00333D37"/>
    <w:rsid w:val="003341C0"/>
    <w:rsid w:val="00334D43"/>
    <w:rsid w:val="00334F1D"/>
    <w:rsid w:val="00335175"/>
    <w:rsid w:val="0033550C"/>
    <w:rsid w:val="003360BA"/>
    <w:rsid w:val="003372BC"/>
    <w:rsid w:val="003377A6"/>
    <w:rsid w:val="00337E57"/>
    <w:rsid w:val="00340378"/>
    <w:rsid w:val="003411FD"/>
    <w:rsid w:val="00341C08"/>
    <w:rsid w:val="00343E5C"/>
    <w:rsid w:val="0034497E"/>
    <w:rsid w:val="00344FB8"/>
    <w:rsid w:val="00345097"/>
    <w:rsid w:val="00345141"/>
    <w:rsid w:val="003459C3"/>
    <w:rsid w:val="00345CFB"/>
    <w:rsid w:val="00346D12"/>
    <w:rsid w:val="00347751"/>
    <w:rsid w:val="00350475"/>
    <w:rsid w:val="0035110E"/>
    <w:rsid w:val="003517FF"/>
    <w:rsid w:val="00352500"/>
    <w:rsid w:val="003526C9"/>
    <w:rsid w:val="00352A10"/>
    <w:rsid w:val="003551AD"/>
    <w:rsid w:val="003552B7"/>
    <w:rsid w:val="0035666B"/>
    <w:rsid w:val="00357222"/>
    <w:rsid w:val="0035734A"/>
    <w:rsid w:val="0036017B"/>
    <w:rsid w:val="00361669"/>
    <w:rsid w:val="00361CEA"/>
    <w:rsid w:val="00362590"/>
    <w:rsid w:val="0036269C"/>
    <w:rsid w:val="00362755"/>
    <w:rsid w:val="00362D96"/>
    <w:rsid w:val="00363FE1"/>
    <w:rsid w:val="00364107"/>
    <w:rsid w:val="00364E6C"/>
    <w:rsid w:val="0036508C"/>
    <w:rsid w:val="00365886"/>
    <w:rsid w:val="003658D5"/>
    <w:rsid w:val="00365AC2"/>
    <w:rsid w:val="00365DEE"/>
    <w:rsid w:val="00366329"/>
    <w:rsid w:val="00366B64"/>
    <w:rsid w:val="00366CAC"/>
    <w:rsid w:val="003670ED"/>
    <w:rsid w:val="00367422"/>
    <w:rsid w:val="00367AAC"/>
    <w:rsid w:val="00367FE7"/>
    <w:rsid w:val="00370135"/>
    <w:rsid w:val="003703BA"/>
    <w:rsid w:val="00370E94"/>
    <w:rsid w:val="00371089"/>
    <w:rsid w:val="00372759"/>
    <w:rsid w:val="00372E6B"/>
    <w:rsid w:val="0037319F"/>
    <w:rsid w:val="0037357B"/>
    <w:rsid w:val="0037393C"/>
    <w:rsid w:val="003739AE"/>
    <w:rsid w:val="00373A24"/>
    <w:rsid w:val="00373B93"/>
    <w:rsid w:val="00373E33"/>
    <w:rsid w:val="003742D6"/>
    <w:rsid w:val="00374A20"/>
    <w:rsid w:val="00374EF5"/>
    <w:rsid w:val="0037628E"/>
    <w:rsid w:val="00376FFB"/>
    <w:rsid w:val="003771F3"/>
    <w:rsid w:val="003774C3"/>
    <w:rsid w:val="00380145"/>
    <w:rsid w:val="00380CD1"/>
    <w:rsid w:val="00381FAF"/>
    <w:rsid w:val="00382F20"/>
    <w:rsid w:val="00383482"/>
    <w:rsid w:val="00383EDB"/>
    <w:rsid w:val="0038509C"/>
    <w:rsid w:val="00385120"/>
    <w:rsid w:val="0038514F"/>
    <w:rsid w:val="00386227"/>
    <w:rsid w:val="00386503"/>
    <w:rsid w:val="00386CC0"/>
    <w:rsid w:val="00387288"/>
    <w:rsid w:val="0038756B"/>
    <w:rsid w:val="0039082F"/>
    <w:rsid w:val="00390B15"/>
    <w:rsid w:val="00390D60"/>
    <w:rsid w:val="003915D9"/>
    <w:rsid w:val="003926A1"/>
    <w:rsid w:val="00392FBC"/>
    <w:rsid w:val="003943A9"/>
    <w:rsid w:val="00394689"/>
    <w:rsid w:val="003946D3"/>
    <w:rsid w:val="00395614"/>
    <w:rsid w:val="00395818"/>
    <w:rsid w:val="00395F0B"/>
    <w:rsid w:val="0039685D"/>
    <w:rsid w:val="00397BE7"/>
    <w:rsid w:val="003A02CA"/>
    <w:rsid w:val="003A0FD7"/>
    <w:rsid w:val="003A1903"/>
    <w:rsid w:val="003A23DE"/>
    <w:rsid w:val="003A313D"/>
    <w:rsid w:val="003A38F0"/>
    <w:rsid w:val="003A44DB"/>
    <w:rsid w:val="003A4DCB"/>
    <w:rsid w:val="003A5159"/>
    <w:rsid w:val="003A52F2"/>
    <w:rsid w:val="003A6587"/>
    <w:rsid w:val="003A6D14"/>
    <w:rsid w:val="003A7095"/>
    <w:rsid w:val="003A70E6"/>
    <w:rsid w:val="003A7458"/>
    <w:rsid w:val="003A782C"/>
    <w:rsid w:val="003B0891"/>
    <w:rsid w:val="003B09E6"/>
    <w:rsid w:val="003B0BB2"/>
    <w:rsid w:val="003B0F57"/>
    <w:rsid w:val="003B1243"/>
    <w:rsid w:val="003B14A1"/>
    <w:rsid w:val="003B25D5"/>
    <w:rsid w:val="003B2735"/>
    <w:rsid w:val="003B2FBD"/>
    <w:rsid w:val="003B3904"/>
    <w:rsid w:val="003B4DCA"/>
    <w:rsid w:val="003B59B0"/>
    <w:rsid w:val="003B5A9E"/>
    <w:rsid w:val="003B5B22"/>
    <w:rsid w:val="003B6357"/>
    <w:rsid w:val="003B6C50"/>
    <w:rsid w:val="003B78E5"/>
    <w:rsid w:val="003B7D6F"/>
    <w:rsid w:val="003C1164"/>
    <w:rsid w:val="003C14E4"/>
    <w:rsid w:val="003C17C4"/>
    <w:rsid w:val="003C1A30"/>
    <w:rsid w:val="003C1F07"/>
    <w:rsid w:val="003C3964"/>
    <w:rsid w:val="003C3E9E"/>
    <w:rsid w:val="003C420D"/>
    <w:rsid w:val="003C44E7"/>
    <w:rsid w:val="003C4824"/>
    <w:rsid w:val="003C56A4"/>
    <w:rsid w:val="003C5DAF"/>
    <w:rsid w:val="003C6055"/>
    <w:rsid w:val="003C7980"/>
    <w:rsid w:val="003C7A6A"/>
    <w:rsid w:val="003C7C77"/>
    <w:rsid w:val="003D0E0E"/>
    <w:rsid w:val="003D16AA"/>
    <w:rsid w:val="003D24D6"/>
    <w:rsid w:val="003D2BF0"/>
    <w:rsid w:val="003D3DDA"/>
    <w:rsid w:val="003D425B"/>
    <w:rsid w:val="003D4F7B"/>
    <w:rsid w:val="003D6085"/>
    <w:rsid w:val="003D6158"/>
    <w:rsid w:val="003D6D9A"/>
    <w:rsid w:val="003D715B"/>
    <w:rsid w:val="003D7626"/>
    <w:rsid w:val="003E047C"/>
    <w:rsid w:val="003E072B"/>
    <w:rsid w:val="003E19B7"/>
    <w:rsid w:val="003E21A6"/>
    <w:rsid w:val="003E244C"/>
    <w:rsid w:val="003E2BE7"/>
    <w:rsid w:val="003E370C"/>
    <w:rsid w:val="003E37D1"/>
    <w:rsid w:val="003E3920"/>
    <w:rsid w:val="003E4891"/>
    <w:rsid w:val="003E5EBE"/>
    <w:rsid w:val="003E6089"/>
    <w:rsid w:val="003E7045"/>
    <w:rsid w:val="003E72B0"/>
    <w:rsid w:val="003E735A"/>
    <w:rsid w:val="003E7622"/>
    <w:rsid w:val="003E77F5"/>
    <w:rsid w:val="003E7A42"/>
    <w:rsid w:val="003F02EF"/>
    <w:rsid w:val="003F069A"/>
    <w:rsid w:val="003F1D6C"/>
    <w:rsid w:val="003F1F04"/>
    <w:rsid w:val="003F362D"/>
    <w:rsid w:val="003F39A6"/>
    <w:rsid w:val="003F39B8"/>
    <w:rsid w:val="003F4329"/>
    <w:rsid w:val="003F46D0"/>
    <w:rsid w:val="003F5C39"/>
    <w:rsid w:val="003F6C34"/>
    <w:rsid w:val="003F6FC8"/>
    <w:rsid w:val="003F7600"/>
    <w:rsid w:val="003F7660"/>
    <w:rsid w:val="00400528"/>
    <w:rsid w:val="00400753"/>
    <w:rsid w:val="00400EDC"/>
    <w:rsid w:val="00400F37"/>
    <w:rsid w:val="00403F9A"/>
    <w:rsid w:val="00404460"/>
    <w:rsid w:val="004047F8"/>
    <w:rsid w:val="00406104"/>
    <w:rsid w:val="0040626F"/>
    <w:rsid w:val="0041189A"/>
    <w:rsid w:val="0041189B"/>
    <w:rsid w:val="00411EB0"/>
    <w:rsid w:val="00412074"/>
    <w:rsid w:val="00412534"/>
    <w:rsid w:val="00412AC2"/>
    <w:rsid w:val="00412C83"/>
    <w:rsid w:val="00413E84"/>
    <w:rsid w:val="00413FC8"/>
    <w:rsid w:val="00414D5A"/>
    <w:rsid w:val="00416DCD"/>
    <w:rsid w:val="00417036"/>
    <w:rsid w:val="0041768E"/>
    <w:rsid w:val="0042057E"/>
    <w:rsid w:val="004216FD"/>
    <w:rsid w:val="004222F4"/>
    <w:rsid w:val="00422F44"/>
    <w:rsid w:val="00423608"/>
    <w:rsid w:val="004236B8"/>
    <w:rsid w:val="00423772"/>
    <w:rsid w:val="00423F71"/>
    <w:rsid w:val="00424371"/>
    <w:rsid w:val="00424AB1"/>
    <w:rsid w:val="00425ACE"/>
    <w:rsid w:val="00426014"/>
    <w:rsid w:val="004262AF"/>
    <w:rsid w:val="004263D8"/>
    <w:rsid w:val="00426B29"/>
    <w:rsid w:val="00426BEF"/>
    <w:rsid w:val="00426DBE"/>
    <w:rsid w:val="004273B9"/>
    <w:rsid w:val="004306FA"/>
    <w:rsid w:val="00430ECB"/>
    <w:rsid w:val="004316E3"/>
    <w:rsid w:val="00431822"/>
    <w:rsid w:val="0043199D"/>
    <w:rsid w:val="00432561"/>
    <w:rsid w:val="00432927"/>
    <w:rsid w:val="00433054"/>
    <w:rsid w:val="0043340A"/>
    <w:rsid w:val="00433A78"/>
    <w:rsid w:val="00433EEC"/>
    <w:rsid w:val="004343FF"/>
    <w:rsid w:val="00434584"/>
    <w:rsid w:val="00435754"/>
    <w:rsid w:val="0043589D"/>
    <w:rsid w:val="00435B75"/>
    <w:rsid w:val="0043611C"/>
    <w:rsid w:val="004361E2"/>
    <w:rsid w:val="00436C01"/>
    <w:rsid w:val="00436D6A"/>
    <w:rsid w:val="0043731C"/>
    <w:rsid w:val="004379A2"/>
    <w:rsid w:val="00437A95"/>
    <w:rsid w:val="00437C5F"/>
    <w:rsid w:val="004400AA"/>
    <w:rsid w:val="0044010D"/>
    <w:rsid w:val="00440180"/>
    <w:rsid w:val="004401C5"/>
    <w:rsid w:val="004413EA"/>
    <w:rsid w:val="0044389D"/>
    <w:rsid w:val="00443CA5"/>
    <w:rsid w:val="00443D51"/>
    <w:rsid w:val="00445CAC"/>
    <w:rsid w:val="00446169"/>
    <w:rsid w:val="0044617E"/>
    <w:rsid w:val="004461F5"/>
    <w:rsid w:val="00446BA4"/>
    <w:rsid w:val="00447605"/>
    <w:rsid w:val="00447CDF"/>
    <w:rsid w:val="0045090B"/>
    <w:rsid w:val="00451EFC"/>
    <w:rsid w:val="004538BB"/>
    <w:rsid w:val="00453AD6"/>
    <w:rsid w:val="00454B81"/>
    <w:rsid w:val="00454C5B"/>
    <w:rsid w:val="00455207"/>
    <w:rsid w:val="0045578F"/>
    <w:rsid w:val="00455B38"/>
    <w:rsid w:val="00456F3D"/>
    <w:rsid w:val="00457861"/>
    <w:rsid w:val="00460B7D"/>
    <w:rsid w:val="00460C31"/>
    <w:rsid w:val="00460D36"/>
    <w:rsid w:val="00462A74"/>
    <w:rsid w:val="00463B78"/>
    <w:rsid w:val="00463EDB"/>
    <w:rsid w:val="00463F97"/>
    <w:rsid w:val="00463FF2"/>
    <w:rsid w:val="004642A7"/>
    <w:rsid w:val="004649B0"/>
    <w:rsid w:val="004657EC"/>
    <w:rsid w:val="004658DB"/>
    <w:rsid w:val="0046595A"/>
    <w:rsid w:val="00467EBB"/>
    <w:rsid w:val="00470DC6"/>
    <w:rsid w:val="0047111D"/>
    <w:rsid w:val="0047120E"/>
    <w:rsid w:val="00471500"/>
    <w:rsid w:val="004718A0"/>
    <w:rsid w:val="00471A27"/>
    <w:rsid w:val="00472BE7"/>
    <w:rsid w:val="00472D7D"/>
    <w:rsid w:val="0047311C"/>
    <w:rsid w:val="004732D8"/>
    <w:rsid w:val="00473DB2"/>
    <w:rsid w:val="00473DE3"/>
    <w:rsid w:val="00474B3A"/>
    <w:rsid w:val="00474C4B"/>
    <w:rsid w:val="004756BF"/>
    <w:rsid w:val="004773A9"/>
    <w:rsid w:val="00477A00"/>
    <w:rsid w:val="00477FBE"/>
    <w:rsid w:val="00480CB0"/>
    <w:rsid w:val="00480E44"/>
    <w:rsid w:val="004811CD"/>
    <w:rsid w:val="0048137C"/>
    <w:rsid w:val="00481C97"/>
    <w:rsid w:val="004820DC"/>
    <w:rsid w:val="00482552"/>
    <w:rsid w:val="00483603"/>
    <w:rsid w:val="00483B6E"/>
    <w:rsid w:val="00484499"/>
    <w:rsid w:val="00484BB0"/>
    <w:rsid w:val="00484F89"/>
    <w:rsid w:val="00485D4B"/>
    <w:rsid w:val="00485E70"/>
    <w:rsid w:val="004861C2"/>
    <w:rsid w:val="00486FBA"/>
    <w:rsid w:val="00487329"/>
    <w:rsid w:val="00487DD4"/>
    <w:rsid w:val="00490613"/>
    <w:rsid w:val="004912AC"/>
    <w:rsid w:val="0049149D"/>
    <w:rsid w:val="00491A75"/>
    <w:rsid w:val="00492A14"/>
    <w:rsid w:val="00492CA2"/>
    <w:rsid w:val="00492DC8"/>
    <w:rsid w:val="004938D7"/>
    <w:rsid w:val="00494D1A"/>
    <w:rsid w:val="00496C3A"/>
    <w:rsid w:val="00496E0D"/>
    <w:rsid w:val="004970F6"/>
    <w:rsid w:val="004A094C"/>
    <w:rsid w:val="004A2047"/>
    <w:rsid w:val="004A4327"/>
    <w:rsid w:val="004A47BE"/>
    <w:rsid w:val="004A4E5D"/>
    <w:rsid w:val="004A5463"/>
    <w:rsid w:val="004A6905"/>
    <w:rsid w:val="004A7088"/>
    <w:rsid w:val="004A74C0"/>
    <w:rsid w:val="004B0281"/>
    <w:rsid w:val="004B02EC"/>
    <w:rsid w:val="004B0384"/>
    <w:rsid w:val="004B1050"/>
    <w:rsid w:val="004B1FB5"/>
    <w:rsid w:val="004B272F"/>
    <w:rsid w:val="004B2914"/>
    <w:rsid w:val="004B2A04"/>
    <w:rsid w:val="004B3128"/>
    <w:rsid w:val="004B34EA"/>
    <w:rsid w:val="004B3763"/>
    <w:rsid w:val="004B397F"/>
    <w:rsid w:val="004B5494"/>
    <w:rsid w:val="004B59FF"/>
    <w:rsid w:val="004B5E5B"/>
    <w:rsid w:val="004B767B"/>
    <w:rsid w:val="004C01F1"/>
    <w:rsid w:val="004C042F"/>
    <w:rsid w:val="004C0E9F"/>
    <w:rsid w:val="004C1CC2"/>
    <w:rsid w:val="004C3481"/>
    <w:rsid w:val="004C3519"/>
    <w:rsid w:val="004C38D1"/>
    <w:rsid w:val="004C3D8D"/>
    <w:rsid w:val="004C4334"/>
    <w:rsid w:val="004C50D0"/>
    <w:rsid w:val="004C6122"/>
    <w:rsid w:val="004C6721"/>
    <w:rsid w:val="004C6B69"/>
    <w:rsid w:val="004C6C97"/>
    <w:rsid w:val="004C7658"/>
    <w:rsid w:val="004C7A2B"/>
    <w:rsid w:val="004C7D3A"/>
    <w:rsid w:val="004C7F32"/>
    <w:rsid w:val="004D0A8F"/>
    <w:rsid w:val="004D141B"/>
    <w:rsid w:val="004D19C9"/>
    <w:rsid w:val="004D3FD6"/>
    <w:rsid w:val="004D4564"/>
    <w:rsid w:val="004D4A5A"/>
    <w:rsid w:val="004D4B3E"/>
    <w:rsid w:val="004D661A"/>
    <w:rsid w:val="004D6B24"/>
    <w:rsid w:val="004D6F36"/>
    <w:rsid w:val="004D74AC"/>
    <w:rsid w:val="004D7717"/>
    <w:rsid w:val="004D78B7"/>
    <w:rsid w:val="004D7DE5"/>
    <w:rsid w:val="004D7E96"/>
    <w:rsid w:val="004E04C1"/>
    <w:rsid w:val="004E0810"/>
    <w:rsid w:val="004E0B8C"/>
    <w:rsid w:val="004E2E2A"/>
    <w:rsid w:val="004E3568"/>
    <w:rsid w:val="004E3FCA"/>
    <w:rsid w:val="004E40D2"/>
    <w:rsid w:val="004E414D"/>
    <w:rsid w:val="004E4602"/>
    <w:rsid w:val="004E4DA3"/>
    <w:rsid w:val="004E5A6F"/>
    <w:rsid w:val="004E69F2"/>
    <w:rsid w:val="004F1089"/>
    <w:rsid w:val="004F131E"/>
    <w:rsid w:val="004F1AB0"/>
    <w:rsid w:val="004F1BF7"/>
    <w:rsid w:val="004F203B"/>
    <w:rsid w:val="004F4436"/>
    <w:rsid w:val="004F4CA7"/>
    <w:rsid w:val="004F6DA6"/>
    <w:rsid w:val="0050091F"/>
    <w:rsid w:val="005009C8"/>
    <w:rsid w:val="005012E0"/>
    <w:rsid w:val="005017D7"/>
    <w:rsid w:val="005018A8"/>
    <w:rsid w:val="005025B7"/>
    <w:rsid w:val="00503349"/>
    <w:rsid w:val="00505A39"/>
    <w:rsid w:val="005061C9"/>
    <w:rsid w:val="00506FE7"/>
    <w:rsid w:val="00507812"/>
    <w:rsid w:val="005101D7"/>
    <w:rsid w:val="00510272"/>
    <w:rsid w:val="00510360"/>
    <w:rsid w:val="00510C17"/>
    <w:rsid w:val="005115D5"/>
    <w:rsid w:val="00511BBB"/>
    <w:rsid w:val="00511D8A"/>
    <w:rsid w:val="00512181"/>
    <w:rsid w:val="0051240E"/>
    <w:rsid w:val="00513E3A"/>
    <w:rsid w:val="00513FCD"/>
    <w:rsid w:val="005141B9"/>
    <w:rsid w:val="00514F3C"/>
    <w:rsid w:val="0051512F"/>
    <w:rsid w:val="0051540F"/>
    <w:rsid w:val="00516FD6"/>
    <w:rsid w:val="005171F2"/>
    <w:rsid w:val="00517834"/>
    <w:rsid w:val="00520900"/>
    <w:rsid w:val="0052090A"/>
    <w:rsid w:val="00520E31"/>
    <w:rsid w:val="0052199F"/>
    <w:rsid w:val="00521EC1"/>
    <w:rsid w:val="005239D6"/>
    <w:rsid w:val="005240BF"/>
    <w:rsid w:val="0052440C"/>
    <w:rsid w:val="0052452A"/>
    <w:rsid w:val="00524816"/>
    <w:rsid w:val="00524997"/>
    <w:rsid w:val="00525103"/>
    <w:rsid w:val="005253DD"/>
    <w:rsid w:val="00525610"/>
    <w:rsid w:val="00526B5C"/>
    <w:rsid w:val="00527173"/>
    <w:rsid w:val="00530DEB"/>
    <w:rsid w:val="005335B9"/>
    <w:rsid w:val="00533C29"/>
    <w:rsid w:val="0053418C"/>
    <w:rsid w:val="00534CC3"/>
    <w:rsid w:val="0053503B"/>
    <w:rsid w:val="00535D8C"/>
    <w:rsid w:val="005363BB"/>
    <w:rsid w:val="00536407"/>
    <w:rsid w:val="00536579"/>
    <w:rsid w:val="00536815"/>
    <w:rsid w:val="00536A2C"/>
    <w:rsid w:val="00536AF9"/>
    <w:rsid w:val="00540FB2"/>
    <w:rsid w:val="00542735"/>
    <w:rsid w:val="00543752"/>
    <w:rsid w:val="00544025"/>
    <w:rsid w:val="005440DC"/>
    <w:rsid w:val="0054414E"/>
    <w:rsid w:val="0054497A"/>
    <w:rsid w:val="005449D3"/>
    <w:rsid w:val="00544AA8"/>
    <w:rsid w:val="00545372"/>
    <w:rsid w:val="005460A0"/>
    <w:rsid w:val="005464D5"/>
    <w:rsid w:val="005465BF"/>
    <w:rsid w:val="005473BA"/>
    <w:rsid w:val="00547989"/>
    <w:rsid w:val="0055026E"/>
    <w:rsid w:val="005503AC"/>
    <w:rsid w:val="00550CCC"/>
    <w:rsid w:val="00551760"/>
    <w:rsid w:val="00551810"/>
    <w:rsid w:val="0055192C"/>
    <w:rsid w:val="00551EF0"/>
    <w:rsid w:val="00553032"/>
    <w:rsid w:val="00553255"/>
    <w:rsid w:val="00555824"/>
    <w:rsid w:val="00555C6B"/>
    <w:rsid w:val="005577B5"/>
    <w:rsid w:val="00560112"/>
    <w:rsid w:val="00560195"/>
    <w:rsid w:val="005608C4"/>
    <w:rsid w:val="005608FF"/>
    <w:rsid w:val="00560E6A"/>
    <w:rsid w:val="00561AB7"/>
    <w:rsid w:val="00561D8C"/>
    <w:rsid w:val="0056253E"/>
    <w:rsid w:val="005634BA"/>
    <w:rsid w:val="00564937"/>
    <w:rsid w:val="00564D9B"/>
    <w:rsid w:val="00565111"/>
    <w:rsid w:val="0056625B"/>
    <w:rsid w:val="005678E3"/>
    <w:rsid w:val="00567FBB"/>
    <w:rsid w:val="00570BFD"/>
    <w:rsid w:val="005711CF"/>
    <w:rsid w:val="005737AC"/>
    <w:rsid w:val="00574250"/>
    <w:rsid w:val="005744C2"/>
    <w:rsid w:val="00574D5C"/>
    <w:rsid w:val="0057517C"/>
    <w:rsid w:val="00575228"/>
    <w:rsid w:val="0057529F"/>
    <w:rsid w:val="005758F0"/>
    <w:rsid w:val="00575B7B"/>
    <w:rsid w:val="00576128"/>
    <w:rsid w:val="00576229"/>
    <w:rsid w:val="005769AF"/>
    <w:rsid w:val="00577B50"/>
    <w:rsid w:val="00577D1B"/>
    <w:rsid w:val="00582562"/>
    <w:rsid w:val="005826DD"/>
    <w:rsid w:val="00583994"/>
    <w:rsid w:val="00583B92"/>
    <w:rsid w:val="00584E8D"/>
    <w:rsid w:val="00585390"/>
    <w:rsid w:val="00585634"/>
    <w:rsid w:val="00585F3B"/>
    <w:rsid w:val="0058627B"/>
    <w:rsid w:val="0058693F"/>
    <w:rsid w:val="00586D02"/>
    <w:rsid w:val="00586D4F"/>
    <w:rsid w:val="00586D82"/>
    <w:rsid w:val="00591CCF"/>
    <w:rsid w:val="0059218E"/>
    <w:rsid w:val="005930AC"/>
    <w:rsid w:val="00593118"/>
    <w:rsid w:val="005939A5"/>
    <w:rsid w:val="005945AB"/>
    <w:rsid w:val="00594B02"/>
    <w:rsid w:val="0059539A"/>
    <w:rsid w:val="0059549B"/>
    <w:rsid w:val="00595A87"/>
    <w:rsid w:val="00596466"/>
    <w:rsid w:val="0059662D"/>
    <w:rsid w:val="005976BC"/>
    <w:rsid w:val="005A04DE"/>
    <w:rsid w:val="005A1325"/>
    <w:rsid w:val="005A148C"/>
    <w:rsid w:val="005A1C51"/>
    <w:rsid w:val="005A2239"/>
    <w:rsid w:val="005A27F0"/>
    <w:rsid w:val="005A2931"/>
    <w:rsid w:val="005A3325"/>
    <w:rsid w:val="005A4266"/>
    <w:rsid w:val="005A4F7A"/>
    <w:rsid w:val="005A55D1"/>
    <w:rsid w:val="005A57B1"/>
    <w:rsid w:val="005A5AD7"/>
    <w:rsid w:val="005A7465"/>
    <w:rsid w:val="005A7A0B"/>
    <w:rsid w:val="005A7A49"/>
    <w:rsid w:val="005A7AA3"/>
    <w:rsid w:val="005B0179"/>
    <w:rsid w:val="005B0BC1"/>
    <w:rsid w:val="005B0E0D"/>
    <w:rsid w:val="005B1A80"/>
    <w:rsid w:val="005B20AB"/>
    <w:rsid w:val="005B3681"/>
    <w:rsid w:val="005B37B8"/>
    <w:rsid w:val="005B3FF3"/>
    <w:rsid w:val="005B4334"/>
    <w:rsid w:val="005B43C1"/>
    <w:rsid w:val="005B44F3"/>
    <w:rsid w:val="005B473F"/>
    <w:rsid w:val="005B49ED"/>
    <w:rsid w:val="005B5F01"/>
    <w:rsid w:val="005B71C3"/>
    <w:rsid w:val="005B7234"/>
    <w:rsid w:val="005B7AB6"/>
    <w:rsid w:val="005C0250"/>
    <w:rsid w:val="005C067E"/>
    <w:rsid w:val="005C0ADD"/>
    <w:rsid w:val="005C1B7E"/>
    <w:rsid w:val="005C1E28"/>
    <w:rsid w:val="005C28A1"/>
    <w:rsid w:val="005C2C4B"/>
    <w:rsid w:val="005C3252"/>
    <w:rsid w:val="005C497E"/>
    <w:rsid w:val="005C4983"/>
    <w:rsid w:val="005C58FA"/>
    <w:rsid w:val="005C5E68"/>
    <w:rsid w:val="005C60BE"/>
    <w:rsid w:val="005C63DC"/>
    <w:rsid w:val="005C647A"/>
    <w:rsid w:val="005C6683"/>
    <w:rsid w:val="005C6B13"/>
    <w:rsid w:val="005C7A3B"/>
    <w:rsid w:val="005D03F9"/>
    <w:rsid w:val="005D05C8"/>
    <w:rsid w:val="005D0FE1"/>
    <w:rsid w:val="005D1381"/>
    <w:rsid w:val="005D1B09"/>
    <w:rsid w:val="005D1FA4"/>
    <w:rsid w:val="005D4AAE"/>
    <w:rsid w:val="005D4AAF"/>
    <w:rsid w:val="005D4CBC"/>
    <w:rsid w:val="005D7224"/>
    <w:rsid w:val="005D7AE8"/>
    <w:rsid w:val="005E0403"/>
    <w:rsid w:val="005E043A"/>
    <w:rsid w:val="005E1E67"/>
    <w:rsid w:val="005E2D1C"/>
    <w:rsid w:val="005E37F3"/>
    <w:rsid w:val="005E3D91"/>
    <w:rsid w:val="005E472A"/>
    <w:rsid w:val="005E4773"/>
    <w:rsid w:val="005E585D"/>
    <w:rsid w:val="005E67BE"/>
    <w:rsid w:val="005E6DD1"/>
    <w:rsid w:val="005F03E2"/>
    <w:rsid w:val="005F1196"/>
    <w:rsid w:val="005F1434"/>
    <w:rsid w:val="005F1AA3"/>
    <w:rsid w:val="005F1CC2"/>
    <w:rsid w:val="005F4109"/>
    <w:rsid w:val="005F66D3"/>
    <w:rsid w:val="005F6917"/>
    <w:rsid w:val="005F7B43"/>
    <w:rsid w:val="00600ADC"/>
    <w:rsid w:val="0060131A"/>
    <w:rsid w:val="00601DBA"/>
    <w:rsid w:val="006021C7"/>
    <w:rsid w:val="006024E0"/>
    <w:rsid w:val="0060314D"/>
    <w:rsid w:val="00603238"/>
    <w:rsid w:val="00603922"/>
    <w:rsid w:val="00605FA0"/>
    <w:rsid w:val="00606134"/>
    <w:rsid w:val="00606BFD"/>
    <w:rsid w:val="006070FB"/>
    <w:rsid w:val="00607270"/>
    <w:rsid w:val="006079F8"/>
    <w:rsid w:val="00607E0F"/>
    <w:rsid w:val="0061030B"/>
    <w:rsid w:val="0061194D"/>
    <w:rsid w:val="006119BC"/>
    <w:rsid w:val="00612166"/>
    <w:rsid w:val="006121E7"/>
    <w:rsid w:val="00612BB5"/>
    <w:rsid w:val="00613C14"/>
    <w:rsid w:val="0061471F"/>
    <w:rsid w:val="0061558E"/>
    <w:rsid w:val="00615B5D"/>
    <w:rsid w:val="006164D8"/>
    <w:rsid w:val="0061677B"/>
    <w:rsid w:val="00616953"/>
    <w:rsid w:val="00616BFD"/>
    <w:rsid w:val="0061774B"/>
    <w:rsid w:val="006200FB"/>
    <w:rsid w:val="00620221"/>
    <w:rsid w:val="006207C6"/>
    <w:rsid w:val="00620A36"/>
    <w:rsid w:val="00621188"/>
    <w:rsid w:val="00623053"/>
    <w:rsid w:val="0062339F"/>
    <w:rsid w:val="00624554"/>
    <w:rsid w:val="006247E6"/>
    <w:rsid w:val="00624E1F"/>
    <w:rsid w:val="00626A71"/>
    <w:rsid w:val="00627624"/>
    <w:rsid w:val="00630013"/>
    <w:rsid w:val="00630689"/>
    <w:rsid w:val="00631FCB"/>
    <w:rsid w:val="00632207"/>
    <w:rsid w:val="0063297B"/>
    <w:rsid w:val="006330B3"/>
    <w:rsid w:val="006336E2"/>
    <w:rsid w:val="006340CC"/>
    <w:rsid w:val="00634654"/>
    <w:rsid w:val="006348FC"/>
    <w:rsid w:val="0063491C"/>
    <w:rsid w:val="00636AEB"/>
    <w:rsid w:val="00636D8E"/>
    <w:rsid w:val="00636F9F"/>
    <w:rsid w:val="00637452"/>
    <w:rsid w:val="00637CB9"/>
    <w:rsid w:val="00640207"/>
    <w:rsid w:val="00640FF9"/>
    <w:rsid w:val="00641063"/>
    <w:rsid w:val="00641A5C"/>
    <w:rsid w:val="00642EBC"/>
    <w:rsid w:val="00643043"/>
    <w:rsid w:val="00643390"/>
    <w:rsid w:val="006439BA"/>
    <w:rsid w:val="00643C1F"/>
    <w:rsid w:val="00644126"/>
    <w:rsid w:val="0064419F"/>
    <w:rsid w:val="006443FA"/>
    <w:rsid w:val="00644F96"/>
    <w:rsid w:val="0064545B"/>
    <w:rsid w:val="00645991"/>
    <w:rsid w:val="00646B75"/>
    <w:rsid w:val="0064704A"/>
    <w:rsid w:val="0064744E"/>
    <w:rsid w:val="006475EE"/>
    <w:rsid w:val="0065095C"/>
    <w:rsid w:val="00650DB8"/>
    <w:rsid w:val="006511BC"/>
    <w:rsid w:val="0065176C"/>
    <w:rsid w:val="00651D1C"/>
    <w:rsid w:val="00652C1E"/>
    <w:rsid w:val="006531DE"/>
    <w:rsid w:val="00654231"/>
    <w:rsid w:val="00654D26"/>
    <w:rsid w:val="006559E8"/>
    <w:rsid w:val="00656126"/>
    <w:rsid w:val="0065636E"/>
    <w:rsid w:val="00656E62"/>
    <w:rsid w:val="00656F07"/>
    <w:rsid w:val="006570C2"/>
    <w:rsid w:val="006575D4"/>
    <w:rsid w:val="00657D34"/>
    <w:rsid w:val="0066034F"/>
    <w:rsid w:val="006604B1"/>
    <w:rsid w:val="006604C8"/>
    <w:rsid w:val="006607D8"/>
    <w:rsid w:val="006613A8"/>
    <w:rsid w:val="00661790"/>
    <w:rsid w:val="006617C9"/>
    <w:rsid w:val="006619BA"/>
    <w:rsid w:val="00661AFE"/>
    <w:rsid w:val="006626C2"/>
    <w:rsid w:val="00662957"/>
    <w:rsid w:val="00663D3B"/>
    <w:rsid w:val="00665A76"/>
    <w:rsid w:val="00665C02"/>
    <w:rsid w:val="00670D75"/>
    <w:rsid w:val="00671872"/>
    <w:rsid w:val="00671DF5"/>
    <w:rsid w:val="00672187"/>
    <w:rsid w:val="00673416"/>
    <w:rsid w:val="006737CB"/>
    <w:rsid w:val="0067441A"/>
    <w:rsid w:val="006752AB"/>
    <w:rsid w:val="0067551B"/>
    <w:rsid w:val="00675653"/>
    <w:rsid w:val="00675970"/>
    <w:rsid w:val="00675CD7"/>
    <w:rsid w:val="00676151"/>
    <w:rsid w:val="00676F9B"/>
    <w:rsid w:val="00677165"/>
    <w:rsid w:val="00680F19"/>
    <w:rsid w:val="00681B29"/>
    <w:rsid w:val="00681BC1"/>
    <w:rsid w:val="00682A52"/>
    <w:rsid w:val="00683647"/>
    <w:rsid w:val="00683A7F"/>
    <w:rsid w:val="00683B2C"/>
    <w:rsid w:val="006848EC"/>
    <w:rsid w:val="00684CDE"/>
    <w:rsid w:val="00684DC9"/>
    <w:rsid w:val="00685D4D"/>
    <w:rsid w:val="006862D6"/>
    <w:rsid w:val="0068684D"/>
    <w:rsid w:val="00686BBB"/>
    <w:rsid w:val="0068781A"/>
    <w:rsid w:val="006909DC"/>
    <w:rsid w:val="006914B9"/>
    <w:rsid w:val="0069178B"/>
    <w:rsid w:val="00691DF1"/>
    <w:rsid w:val="00693697"/>
    <w:rsid w:val="00693ABF"/>
    <w:rsid w:val="00694951"/>
    <w:rsid w:val="00694E92"/>
    <w:rsid w:val="006954C9"/>
    <w:rsid w:val="00695744"/>
    <w:rsid w:val="00695A17"/>
    <w:rsid w:val="0069613E"/>
    <w:rsid w:val="006968F1"/>
    <w:rsid w:val="006976CA"/>
    <w:rsid w:val="006A0C63"/>
    <w:rsid w:val="006A2A69"/>
    <w:rsid w:val="006A39FF"/>
    <w:rsid w:val="006A4A63"/>
    <w:rsid w:val="006A58EA"/>
    <w:rsid w:val="006A5A38"/>
    <w:rsid w:val="006A6CED"/>
    <w:rsid w:val="006A787E"/>
    <w:rsid w:val="006B0825"/>
    <w:rsid w:val="006B1D5E"/>
    <w:rsid w:val="006B24CF"/>
    <w:rsid w:val="006B2C76"/>
    <w:rsid w:val="006B2D5E"/>
    <w:rsid w:val="006B2F35"/>
    <w:rsid w:val="006B3675"/>
    <w:rsid w:val="006B3924"/>
    <w:rsid w:val="006B3CF7"/>
    <w:rsid w:val="006B4286"/>
    <w:rsid w:val="006B4497"/>
    <w:rsid w:val="006B4AAF"/>
    <w:rsid w:val="006B4AB6"/>
    <w:rsid w:val="006B4BC4"/>
    <w:rsid w:val="006B5BDD"/>
    <w:rsid w:val="006B5F5E"/>
    <w:rsid w:val="006B6B9C"/>
    <w:rsid w:val="006B7E2C"/>
    <w:rsid w:val="006B7E97"/>
    <w:rsid w:val="006C0936"/>
    <w:rsid w:val="006C0A63"/>
    <w:rsid w:val="006C186D"/>
    <w:rsid w:val="006C1F10"/>
    <w:rsid w:val="006C23BC"/>
    <w:rsid w:val="006C25B5"/>
    <w:rsid w:val="006C339C"/>
    <w:rsid w:val="006C3D2F"/>
    <w:rsid w:val="006C4920"/>
    <w:rsid w:val="006C4D2F"/>
    <w:rsid w:val="006C557B"/>
    <w:rsid w:val="006C5B20"/>
    <w:rsid w:val="006C5E72"/>
    <w:rsid w:val="006D0438"/>
    <w:rsid w:val="006D0C79"/>
    <w:rsid w:val="006D1AF5"/>
    <w:rsid w:val="006D296E"/>
    <w:rsid w:val="006D2D87"/>
    <w:rsid w:val="006D34D4"/>
    <w:rsid w:val="006D4270"/>
    <w:rsid w:val="006D4B6B"/>
    <w:rsid w:val="006D513E"/>
    <w:rsid w:val="006D54A1"/>
    <w:rsid w:val="006D5660"/>
    <w:rsid w:val="006D6E56"/>
    <w:rsid w:val="006E0239"/>
    <w:rsid w:val="006E052D"/>
    <w:rsid w:val="006E0CD9"/>
    <w:rsid w:val="006E0F97"/>
    <w:rsid w:val="006E1D3F"/>
    <w:rsid w:val="006E2DC1"/>
    <w:rsid w:val="006E31E3"/>
    <w:rsid w:val="006E329F"/>
    <w:rsid w:val="006E3715"/>
    <w:rsid w:val="006E447A"/>
    <w:rsid w:val="006E4491"/>
    <w:rsid w:val="006E4649"/>
    <w:rsid w:val="006E5044"/>
    <w:rsid w:val="006E53F3"/>
    <w:rsid w:val="006E55FC"/>
    <w:rsid w:val="006E5BAA"/>
    <w:rsid w:val="006E5E28"/>
    <w:rsid w:val="006E6574"/>
    <w:rsid w:val="006E6E47"/>
    <w:rsid w:val="006E775D"/>
    <w:rsid w:val="006E7CCB"/>
    <w:rsid w:val="006F0104"/>
    <w:rsid w:val="006F0B97"/>
    <w:rsid w:val="006F1AEB"/>
    <w:rsid w:val="006F1C47"/>
    <w:rsid w:val="006F1F0E"/>
    <w:rsid w:val="006F273B"/>
    <w:rsid w:val="006F2EEC"/>
    <w:rsid w:val="006F324D"/>
    <w:rsid w:val="006F44D5"/>
    <w:rsid w:val="006F514F"/>
    <w:rsid w:val="006F5381"/>
    <w:rsid w:val="006F60FD"/>
    <w:rsid w:val="006F6FF7"/>
    <w:rsid w:val="007003AC"/>
    <w:rsid w:val="00700834"/>
    <w:rsid w:val="00700E02"/>
    <w:rsid w:val="007015B0"/>
    <w:rsid w:val="00701679"/>
    <w:rsid w:val="007023D9"/>
    <w:rsid w:val="007035C2"/>
    <w:rsid w:val="0070368A"/>
    <w:rsid w:val="00703F26"/>
    <w:rsid w:val="00704291"/>
    <w:rsid w:val="00704845"/>
    <w:rsid w:val="0070584C"/>
    <w:rsid w:val="00706B71"/>
    <w:rsid w:val="00706CF9"/>
    <w:rsid w:val="00710FD4"/>
    <w:rsid w:val="00711838"/>
    <w:rsid w:val="00711EBD"/>
    <w:rsid w:val="00712462"/>
    <w:rsid w:val="00712FD8"/>
    <w:rsid w:val="0071379E"/>
    <w:rsid w:val="00714CF2"/>
    <w:rsid w:val="007156B9"/>
    <w:rsid w:val="0071574F"/>
    <w:rsid w:val="00715AB0"/>
    <w:rsid w:val="0071676B"/>
    <w:rsid w:val="007168AB"/>
    <w:rsid w:val="00720525"/>
    <w:rsid w:val="00720817"/>
    <w:rsid w:val="00720A32"/>
    <w:rsid w:val="00720E5E"/>
    <w:rsid w:val="0072110C"/>
    <w:rsid w:val="007215E1"/>
    <w:rsid w:val="00721D82"/>
    <w:rsid w:val="00721F70"/>
    <w:rsid w:val="0072231F"/>
    <w:rsid w:val="00722850"/>
    <w:rsid w:val="007239D1"/>
    <w:rsid w:val="00724DA7"/>
    <w:rsid w:val="00724EBE"/>
    <w:rsid w:val="0072538C"/>
    <w:rsid w:val="00725BFD"/>
    <w:rsid w:val="00725C0C"/>
    <w:rsid w:val="007262D3"/>
    <w:rsid w:val="00726587"/>
    <w:rsid w:val="00726861"/>
    <w:rsid w:val="0072721F"/>
    <w:rsid w:val="0072737D"/>
    <w:rsid w:val="00727603"/>
    <w:rsid w:val="007276DD"/>
    <w:rsid w:val="0072787A"/>
    <w:rsid w:val="00731486"/>
    <w:rsid w:val="0073353F"/>
    <w:rsid w:val="0073366E"/>
    <w:rsid w:val="00733A7B"/>
    <w:rsid w:val="007340AA"/>
    <w:rsid w:val="00734467"/>
    <w:rsid w:val="0073475B"/>
    <w:rsid w:val="0073480F"/>
    <w:rsid w:val="00734F04"/>
    <w:rsid w:val="00734FC2"/>
    <w:rsid w:val="00735A91"/>
    <w:rsid w:val="00736D96"/>
    <w:rsid w:val="00736DA2"/>
    <w:rsid w:val="00737258"/>
    <w:rsid w:val="00737283"/>
    <w:rsid w:val="00737C1E"/>
    <w:rsid w:val="00737E4C"/>
    <w:rsid w:val="00741005"/>
    <w:rsid w:val="00741C50"/>
    <w:rsid w:val="007423C3"/>
    <w:rsid w:val="0074252C"/>
    <w:rsid w:val="00742A7B"/>
    <w:rsid w:val="00742E45"/>
    <w:rsid w:val="00743829"/>
    <w:rsid w:val="00744281"/>
    <w:rsid w:val="007447AF"/>
    <w:rsid w:val="007457DF"/>
    <w:rsid w:val="00745BD3"/>
    <w:rsid w:val="00746E0C"/>
    <w:rsid w:val="0074718B"/>
    <w:rsid w:val="00747430"/>
    <w:rsid w:val="00750816"/>
    <w:rsid w:val="007517F7"/>
    <w:rsid w:val="00751D69"/>
    <w:rsid w:val="00752072"/>
    <w:rsid w:val="007523EA"/>
    <w:rsid w:val="00752421"/>
    <w:rsid w:val="0075379F"/>
    <w:rsid w:val="0075420E"/>
    <w:rsid w:val="0075519D"/>
    <w:rsid w:val="00755E7A"/>
    <w:rsid w:val="00755ED6"/>
    <w:rsid w:val="007562A3"/>
    <w:rsid w:val="007566BD"/>
    <w:rsid w:val="00756C08"/>
    <w:rsid w:val="00756DD5"/>
    <w:rsid w:val="00756FBD"/>
    <w:rsid w:val="007574D2"/>
    <w:rsid w:val="007579DA"/>
    <w:rsid w:val="007579E8"/>
    <w:rsid w:val="00760561"/>
    <w:rsid w:val="007605BC"/>
    <w:rsid w:val="00760636"/>
    <w:rsid w:val="00762A83"/>
    <w:rsid w:val="0076316C"/>
    <w:rsid w:val="00764C31"/>
    <w:rsid w:val="00764C78"/>
    <w:rsid w:val="00765085"/>
    <w:rsid w:val="007657C1"/>
    <w:rsid w:val="00765E92"/>
    <w:rsid w:val="0076695A"/>
    <w:rsid w:val="00767347"/>
    <w:rsid w:val="0077004C"/>
    <w:rsid w:val="00770A3A"/>
    <w:rsid w:val="007711B3"/>
    <w:rsid w:val="00771325"/>
    <w:rsid w:val="0077139B"/>
    <w:rsid w:val="00771664"/>
    <w:rsid w:val="0077172E"/>
    <w:rsid w:val="007718C7"/>
    <w:rsid w:val="00771B38"/>
    <w:rsid w:val="00773915"/>
    <w:rsid w:val="00774809"/>
    <w:rsid w:val="00774D01"/>
    <w:rsid w:val="007758AE"/>
    <w:rsid w:val="0077613E"/>
    <w:rsid w:val="00776386"/>
    <w:rsid w:val="007763A6"/>
    <w:rsid w:val="00776DA5"/>
    <w:rsid w:val="007771AF"/>
    <w:rsid w:val="007771CB"/>
    <w:rsid w:val="0077755F"/>
    <w:rsid w:val="00777EBD"/>
    <w:rsid w:val="00780318"/>
    <w:rsid w:val="007804B7"/>
    <w:rsid w:val="00780B24"/>
    <w:rsid w:val="00781386"/>
    <w:rsid w:val="00782BCD"/>
    <w:rsid w:val="007832D9"/>
    <w:rsid w:val="007843FB"/>
    <w:rsid w:val="00787CE3"/>
    <w:rsid w:val="00787D75"/>
    <w:rsid w:val="007903DC"/>
    <w:rsid w:val="00790D87"/>
    <w:rsid w:val="00791B94"/>
    <w:rsid w:val="00792AD7"/>
    <w:rsid w:val="00792CE9"/>
    <w:rsid w:val="007934B3"/>
    <w:rsid w:val="00793C1C"/>
    <w:rsid w:val="00794BA7"/>
    <w:rsid w:val="007952D9"/>
    <w:rsid w:val="00796364"/>
    <w:rsid w:val="00796F3A"/>
    <w:rsid w:val="007974FC"/>
    <w:rsid w:val="00797973"/>
    <w:rsid w:val="00797E43"/>
    <w:rsid w:val="007A0771"/>
    <w:rsid w:val="007A1F20"/>
    <w:rsid w:val="007A38B3"/>
    <w:rsid w:val="007A406D"/>
    <w:rsid w:val="007A4193"/>
    <w:rsid w:val="007A4758"/>
    <w:rsid w:val="007A4BAD"/>
    <w:rsid w:val="007A512F"/>
    <w:rsid w:val="007A5945"/>
    <w:rsid w:val="007A5983"/>
    <w:rsid w:val="007A62B0"/>
    <w:rsid w:val="007A660F"/>
    <w:rsid w:val="007A6D86"/>
    <w:rsid w:val="007A7876"/>
    <w:rsid w:val="007B0CBA"/>
    <w:rsid w:val="007B1A27"/>
    <w:rsid w:val="007B38A2"/>
    <w:rsid w:val="007B3981"/>
    <w:rsid w:val="007B4D44"/>
    <w:rsid w:val="007B5ED3"/>
    <w:rsid w:val="007B5EE9"/>
    <w:rsid w:val="007B6C6D"/>
    <w:rsid w:val="007B6DFA"/>
    <w:rsid w:val="007B7A3D"/>
    <w:rsid w:val="007B7CC6"/>
    <w:rsid w:val="007C09CF"/>
    <w:rsid w:val="007C0C84"/>
    <w:rsid w:val="007C1026"/>
    <w:rsid w:val="007C1103"/>
    <w:rsid w:val="007C11B1"/>
    <w:rsid w:val="007C1B74"/>
    <w:rsid w:val="007C2F25"/>
    <w:rsid w:val="007C331D"/>
    <w:rsid w:val="007C3937"/>
    <w:rsid w:val="007C43E1"/>
    <w:rsid w:val="007C517B"/>
    <w:rsid w:val="007C5805"/>
    <w:rsid w:val="007C5A0C"/>
    <w:rsid w:val="007C608F"/>
    <w:rsid w:val="007C6FED"/>
    <w:rsid w:val="007C711E"/>
    <w:rsid w:val="007C7D70"/>
    <w:rsid w:val="007D05C1"/>
    <w:rsid w:val="007D08BE"/>
    <w:rsid w:val="007D0CEB"/>
    <w:rsid w:val="007D218D"/>
    <w:rsid w:val="007D2241"/>
    <w:rsid w:val="007D2A98"/>
    <w:rsid w:val="007D2F11"/>
    <w:rsid w:val="007D3083"/>
    <w:rsid w:val="007D35A9"/>
    <w:rsid w:val="007D35EB"/>
    <w:rsid w:val="007D3650"/>
    <w:rsid w:val="007D4BBB"/>
    <w:rsid w:val="007D4EEC"/>
    <w:rsid w:val="007D4FD1"/>
    <w:rsid w:val="007D6296"/>
    <w:rsid w:val="007D634B"/>
    <w:rsid w:val="007D74AC"/>
    <w:rsid w:val="007D7862"/>
    <w:rsid w:val="007D7AC5"/>
    <w:rsid w:val="007D7C66"/>
    <w:rsid w:val="007E0DE7"/>
    <w:rsid w:val="007E0FEE"/>
    <w:rsid w:val="007E152D"/>
    <w:rsid w:val="007E2353"/>
    <w:rsid w:val="007E387E"/>
    <w:rsid w:val="007E39D4"/>
    <w:rsid w:val="007E4202"/>
    <w:rsid w:val="007E443C"/>
    <w:rsid w:val="007E468E"/>
    <w:rsid w:val="007E4910"/>
    <w:rsid w:val="007E4BF3"/>
    <w:rsid w:val="007E4E97"/>
    <w:rsid w:val="007E5134"/>
    <w:rsid w:val="007E5900"/>
    <w:rsid w:val="007E60EC"/>
    <w:rsid w:val="007E66C0"/>
    <w:rsid w:val="007E70D6"/>
    <w:rsid w:val="007E7A99"/>
    <w:rsid w:val="007F00A5"/>
    <w:rsid w:val="007F0E69"/>
    <w:rsid w:val="007F2017"/>
    <w:rsid w:val="007F39B7"/>
    <w:rsid w:val="007F42E2"/>
    <w:rsid w:val="007F4637"/>
    <w:rsid w:val="007F4849"/>
    <w:rsid w:val="007F5870"/>
    <w:rsid w:val="007F7B8C"/>
    <w:rsid w:val="00800455"/>
    <w:rsid w:val="00801F35"/>
    <w:rsid w:val="00802170"/>
    <w:rsid w:val="008022C3"/>
    <w:rsid w:val="0080390E"/>
    <w:rsid w:val="00804384"/>
    <w:rsid w:val="008049FD"/>
    <w:rsid w:val="00804D5A"/>
    <w:rsid w:val="0080536D"/>
    <w:rsid w:val="00805644"/>
    <w:rsid w:val="00806FE6"/>
    <w:rsid w:val="008102C3"/>
    <w:rsid w:val="008108E4"/>
    <w:rsid w:val="00810A9C"/>
    <w:rsid w:val="00811014"/>
    <w:rsid w:val="008113DB"/>
    <w:rsid w:val="00811635"/>
    <w:rsid w:val="00811CC6"/>
    <w:rsid w:val="00812A03"/>
    <w:rsid w:val="00815088"/>
    <w:rsid w:val="008150F8"/>
    <w:rsid w:val="00815645"/>
    <w:rsid w:val="008158DB"/>
    <w:rsid w:val="008159CF"/>
    <w:rsid w:val="00815AF1"/>
    <w:rsid w:val="00816753"/>
    <w:rsid w:val="00816E05"/>
    <w:rsid w:val="00816FB3"/>
    <w:rsid w:val="0081723E"/>
    <w:rsid w:val="008174EC"/>
    <w:rsid w:val="008201A8"/>
    <w:rsid w:val="0082053F"/>
    <w:rsid w:val="00820B9D"/>
    <w:rsid w:val="008210D0"/>
    <w:rsid w:val="00821A43"/>
    <w:rsid w:val="008226CD"/>
    <w:rsid w:val="00822C7A"/>
    <w:rsid w:val="00822CBD"/>
    <w:rsid w:val="008234C3"/>
    <w:rsid w:val="00823E58"/>
    <w:rsid w:val="00824025"/>
    <w:rsid w:val="00824B32"/>
    <w:rsid w:val="00825051"/>
    <w:rsid w:val="0082580C"/>
    <w:rsid w:val="00825A29"/>
    <w:rsid w:val="00825AD4"/>
    <w:rsid w:val="00826513"/>
    <w:rsid w:val="008321DA"/>
    <w:rsid w:val="008339BB"/>
    <w:rsid w:val="00833D65"/>
    <w:rsid w:val="008343E3"/>
    <w:rsid w:val="00835409"/>
    <w:rsid w:val="00836748"/>
    <w:rsid w:val="00836897"/>
    <w:rsid w:val="00837276"/>
    <w:rsid w:val="00837A93"/>
    <w:rsid w:val="00841B51"/>
    <w:rsid w:val="00842251"/>
    <w:rsid w:val="00842B26"/>
    <w:rsid w:val="00842C37"/>
    <w:rsid w:val="00843704"/>
    <w:rsid w:val="00843F78"/>
    <w:rsid w:val="00844BE4"/>
    <w:rsid w:val="00844FE9"/>
    <w:rsid w:val="0084505F"/>
    <w:rsid w:val="00846363"/>
    <w:rsid w:val="008465F1"/>
    <w:rsid w:val="008472A6"/>
    <w:rsid w:val="0084740C"/>
    <w:rsid w:val="008509BA"/>
    <w:rsid w:val="00850CB2"/>
    <w:rsid w:val="008510F2"/>
    <w:rsid w:val="00851C04"/>
    <w:rsid w:val="00851CF3"/>
    <w:rsid w:val="008525A8"/>
    <w:rsid w:val="008526DD"/>
    <w:rsid w:val="00852955"/>
    <w:rsid w:val="008529FB"/>
    <w:rsid w:val="00852C84"/>
    <w:rsid w:val="008535B3"/>
    <w:rsid w:val="00853BB7"/>
    <w:rsid w:val="00853FA3"/>
    <w:rsid w:val="008544FB"/>
    <w:rsid w:val="00854CF6"/>
    <w:rsid w:val="00855B8D"/>
    <w:rsid w:val="00856157"/>
    <w:rsid w:val="0085677F"/>
    <w:rsid w:val="0085702E"/>
    <w:rsid w:val="008574A8"/>
    <w:rsid w:val="00857BD2"/>
    <w:rsid w:val="008607C1"/>
    <w:rsid w:val="0086080F"/>
    <w:rsid w:val="00860897"/>
    <w:rsid w:val="00861693"/>
    <w:rsid w:val="00861711"/>
    <w:rsid w:val="00861A66"/>
    <w:rsid w:val="00862440"/>
    <w:rsid w:val="00862B62"/>
    <w:rsid w:val="00862D91"/>
    <w:rsid w:val="00862E3E"/>
    <w:rsid w:val="00863DF0"/>
    <w:rsid w:val="00863E44"/>
    <w:rsid w:val="00863F2F"/>
    <w:rsid w:val="0086419A"/>
    <w:rsid w:val="00864CAB"/>
    <w:rsid w:val="00866027"/>
    <w:rsid w:val="00866065"/>
    <w:rsid w:val="008661BC"/>
    <w:rsid w:val="0086727D"/>
    <w:rsid w:val="00867CC4"/>
    <w:rsid w:val="0087023B"/>
    <w:rsid w:val="008707BB"/>
    <w:rsid w:val="008707D5"/>
    <w:rsid w:val="00870EF0"/>
    <w:rsid w:val="00871720"/>
    <w:rsid w:val="00871E3F"/>
    <w:rsid w:val="00872296"/>
    <w:rsid w:val="00872D58"/>
    <w:rsid w:val="00873F16"/>
    <w:rsid w:val="00874200"/>
    <w:rsid w:val="00874699"/>
    <w:rsid w:val="00874BCB"/>
    <w:rsid w:val="00875316"/>
    <w:rsid w:val="0087531F"/>
    <w:rsid w:val="00876D73"/>
    <w:rsid w:val="008771D6"/>
    <w:rsid w:val="008808AF"/>
    <w:rsid w:val="00880A3F"/>
    <w:rsid w:val="00882C1F"/>
    <w:rsid w:val="00882E35"/>
    <w:rsid w:val="008830B4"/>
    <w:rsid w:val="008833A9"/>
    <w:rsid w:val="00883479"/>
    <w:rsid w:val="0088359F"/>
    <w:rsid w:val="0088362D"/>
    <w:rsid w:val="008836AF"/>
    <w:rsid w:val="00884700"/>
    <w:rsid w:val="00884BD1"/>
    <w:rsid w:val="00885E3B"/>
    <w:rsid w:val="00885F0C"/>
    <w:rsid w:val="0088760C"/>
    <w:rsid w:val="00887C1F"/>
    <w:rsid w:val="00887EC9"/>
    <w:rsid w:val="00890327"/>
    <w:rsid w:val="008907DF"/>
    <w:rsid w:val="00890B6F"/>
    <w:rsid w:val="00890FA2"/>
    <w:rsid w:val="00891735"/>
    <w:rsid w:val="00891AF9"/>
    <w:rsid w:val="00891BB1"/>
    <w:rsid w:val="00891E75"/>
    <w:rsid w:val="00892440"/>
    <w:rsid w:val="0089283E"/>
    <w:rsid w:val="008943A0"/>
    <w:rsid w:val="00894CAA"/>
    <w:rsid w:val="008953D1"/>
    <w:rsid w:val="0089581B"/>
    <w:rsid w:val="0089610A"/>
    <w:rsid w:val="00896EC2"/>
    <w:rsid w:val="0089705D"/>
    <w:rsid w:val="00897293"/>
    <w:rsid w:val="008975FC"/>
    <w:rsid w:val="00897712"/>
    <w:rsid w:val="008A08BF"/>
    <w:rsid w:val="008A0DF9"/>
    <w:rsid w:val="008A179F"/>
    <w:rsid w:val="008A2019"/>
    <w:rsid w:val="008A21B0"/>
    <w:rsid w:val="008A26C3"/>
    <w:rsid w:val="008A2DB7"/>
    <w:rsid w:val="008A3FFC"/>
    <w:rsid w:val="008A410D"/>
    <w:rsid w:val="008A51D7"/>
    <w:rsid w:val="008A60E1"/>
    <w:rsid w:val="008A7595"/>
    <w:rsid w:val="008A76B3"/>
    <w:rsid w:val="008B0209"/>
    <w:rsid w:val="008B0864"/>
    <w:rsid w:val="008B138E"/>
    <w:rsid w:val="008B1A32"/>
    <w:rsid w:val="008B2E6A"/>
    <w:rsid w:val="008B3B76"/>
    <w:rsid w:val="008B3BC9"/>
    <w:rsid w:val="008B3E55"/>
    <w:rsid w:val="008B3FCB"/>
    <w:rsid w:val="008B4623"/>
    <w:rsid w:val="008B5116"/>
    <w:rsid w:val="008B69BF"/>
    <w:rsid w:val="008B6CD5"/>
    <w:rsid w:val="008B6E7B"/>
    <w:rsid w:val="008C038E"/>
    <w:rsid w:val="008C04C7"/>
    <w:rsid w:val="008C0651"/>
    <w:rsid w:val="008C06C0"/>
    <w:rsid w:val="008C0CC8"/>
    <w:rsid w:val="008C1F71"/>
    <w:rsid w:val="008C2122"/>
    <w:rsid w:val="008C2126"/>
    <w:rsid w:val="008C2548"/>
    <w:rsid w:val="008C2774"/>
    <w:rsid w:val="008C306B"/>
    <w:rsid w:val="008C36C6"/>
    <w:rsid w:val="008C3836"/>
    <w:rsid w:val="008C3CB7"/>
    <w:rsid w:val="008C4006"/>
    <w:rsid w:val="008C449A"/>
    <w:rsid w:val="008C4CE7"/>
    <w:rsid w:val="008C5B42"/>
    <w:rsid w:val="008C615C"/>
    <w:rsid w:val="008C696B"/>
    <w:rsid w:val="008C6E07"/>
    <w:rsid w:val="008C6EAC"/>
    <w:rsid w:val="008C7413"/>
    <w:rsid w:val="008C7932"/>
    <w:rsid w:val="008D1054"/>
    <w:rsid w:val="008D16B7"/>
    <w:rsid w:val="008D252F"/>
    <w:rsid w:val="008D287A"/>
    <w:rsid w:val="008D3294"/>
    <w:rsid w:val="008D3C34"/>
    <w:rsid w:val="008D3EFF"/>
    <w:rsid w:val="008D469F"/>
    <w:rsid w:val="008D5C26"/>
    <w:rsid w:val="008D5EAC"/>
    <w:rsid w:val="008D79A5"/>
    <w:rsid w:val="008D7D0B"/>
    <w:rsid w:val="008E07E4"/>
    <w:rsid w:val="008E0FA0"/>
    <w:rsid w:val="008E1434"/>
    <w:rsid w:val="008E174A"/>
    <w:rsid w:val="008E197A"/>
    <w:rsid w:val="008E26CE"/>
    <w:rsid w:val="008E2873"/>
    <w:rsid w:val="008E2D00"/>
    <w:rsid w:val="008E3C0E"/>
    <w:rsid w:val="008E420E"/>
    <w:rsid w:val="008E4456"/>
    <w:rsid w:val="008E5AC8"/>
    <w:rsid w:val="008E6AE6"/>
    <w:rsid w:val="008E6E87"/>
    <w:rsid w:val="008F0116"/>
    <w:rsid w:val="008F0929"/>
    <w:rsid w:val="008F1194"/>
    <w:rsid w:val="008F143D"/>
    <w:rsid w:val="008F1753"/>
    <w:rsid w:val="008F17AD"/>
    <w:rsid w:val="008F2143"/>
    <w:rsid w:val="008F3120"/>
    <w:rsid w:val="008F3D9F"/>
    <w:rsid w:val="008F4225"/>
    <w:rsid w:val="008F43AB"/>
    <w:rsid w:val="008F50F4"/>
    <w:rsid w:val="008F5EB5"/>
    <w:rsid w:val="008F66D3"/>
    <w:rsid w:val="00900F2A"/>
    <w:rsid w:val="0090357A"/>
    <w:rsid w:val="00903C42"/>
    <w:rsid w:val="00903D20"/>
    <w:rsid w:val="00904111"/>
    <w:rsid w:val="00904557"/>
    <w:rsid w:val="00905EC7"/>
    <w:rsid w:val="009060DB"/>
    <w:rsid w:val="0090655E"/>
    <w:rsid w:val="00906AAA"/>
    <w:rsid w:val="00906B28"/>
    <w:rsid w:val="00906C10"/>
    <w:rsid w:val="00907C04"/>
    <w:rsid w:val="009103EA"/>
    <w:rsid w:val="00910D3B"/>
    <w:rsid w:val="00911492"/>
    <w:rsid w:val="00911E9B"/>
    <w:rsid w:val="009124D6"/>
    <w:rsid w:val="00912A31"/>
    <w:rsid w:val="00912F3D"/>
    <w:rsid w:val="00913D7B"/>
    <w:rsid w:val="00914FAF"/>
    <w:rsid w:val="009156BC"/>
    <w:rsid w:val="00915E35"/>
    <w:rsid w:val="00916B09"/>
    <w:rsid w:val="009204B1"/>
    <w:rsid w:val="00920571"/>
    <w:rsid w:val="00920818"/>
    <w:rsid w:val="00920B0E"/>
    <w:rsid w:val="00920DB2"/>
    <w:rsid w:val="00921668"/>
    <w:rsid w:val="00921933"/>
    <w:rsid w:val="0092193B"/>
    <w:rsid w:val="00922AD2"/>
    <w:rsid w:val="009238DB"/>
    <w:rsid w:val="009239D6"/>
    <w:rsid w:val="00924660"/>
    <w:rsid w:val="009254C4"/>
    <w:rsid w:val="00925A57"/>
    <w:rsid w:val="00925CC6"/>
    <w:rsid w:val="009271DF"/>
    <w:rsid w:val="009273BE"/>
    <w:rsid w:val="009276E9"/>
    <w:rsid w:val="00927B95"/>
    <w:rsid w:val="0093032B"/>
    <w:rsid w:val="009304CF"/>
    <w:rsid w:val="0093055A"/>
    <w:rsid w:val="00930689"/>
    <w:rsid w:val="00930E97"/>
    <w:rsid w:val="00931157"/>
    <w:rsid w:val="00931DA4"/>
    <w:rsid w:val="009321A5"/>
    <w:rsid w:val="00932865"/>
    <w:rsid w:val="00932D96"/>
    <w:rsid w:val="00933169"/>
    <w:rsid w:val="0093329A"/>
    <w:rsid w:val="009335C7"/>
    <w:rsid w:val="0093373B"/>
    <w:rsid w:val="009347EB"/>
    <w:rsid w:val="00934E9B"/>
    <w:rsid w:val="00934FB3"/>
    <w:rsid w:val="0093533B"/>
    <w:rsid w:val="009356FB"/>
    <w:rsid w:val="009362D1"/>
    <w:rsid w:val="00936698"/>
    <w:rsid w:val="009407EF"/>
    <w:rsid w:val="00941142"/>
    <w:rsid w:val="00941DE3"/>
    <w:rsid w:val="00942344"/>
    <w:rsid w:val="009439C1"/>
    <w:rsid w:val="00943DF6"/>
    <w:rsid w:val="00943EF6"/>
    <w:rsid w:val="00945493"/>
    <w:rsid w:val="00945769"/>
    <w:rsid w:val="00945952"/>
    <w:rsid w:val="00946749"/>
    <w:rsid w:val="00946C7A"/>
    <w:rsid w:val="009505B0"/>
    <w:rsid w:val="00950BA4"/>
    <w:rsid w:val="00951344"/>
    <w:rsid w:val="0095137C"/>
    <w:rsid w:val="00952DA1"/>
    <w:rsid w:val="00952EBA"/>
    <w:rsid w:val="0095321B"/>
    <w:rsid w:val="00953314"/>
    <w:rsid w:val="009536DD"/>
    <w:rsid w:val="00953C20"/>
    <w:rsid w:val="00956294"/>
    <w:rsid w:val="00956396"/>
    <w:rsid w:val="009563EE"/>
    <w:rsid w:val="009567B1"/>
    <w:rsid w:val="00956C62"/>
    <w:rsid w:val="00957E92"/>
    <w:rsid w:val="00960A71"/>
    <w:rsid w:val="00961010"/>
    <w:rsid w:val="009616CE"/>
    <w:rsid w:val="00962A35"/>
    <w:rsid w:val="00963078"/>
    <w:rsid w:val="0096334A"/>
    <w:rsid w:val="009640A3"/>
    <w:rsid w:val="0096455D"/>
    <w:rsid w:val="00964C47"/>
    <w:rsid w:val="00964EBC"/>
    <w:rsid w:val="0096510B"/>
    <w:rsid w:val="0096554F"/>
    <w:rsid w:val="0096574A"/>
    <w:rsid w:val="00966641"/>
    <w:rsid w:val="00967130"/>
    <w:rsid w:val="00967F0B"/>
    <w:rsid w:val="009719E2"/>
    <w:rsid w:val="00972157"/>
    <w:rsid w:val="00972262"/>
    <w:rsid w:val="009725D3"/>
    <w:rsid w:val="00974864"/>
    <w:rsid w:val="0097494E"/>
    <w:rsid w:val="00974AAB"/>
    <w:rsid w:val="00975176"/>
    <w:rsid w:val="00975295"/>
    <w:rsid w:val="00975B61"/>
    <w:rsid w:val="00975B91"/>
    <w:rsid w:val="009770F8"/>
    <w:rsid w:val="00977230"/>
    <w:rsid w:val="0097769F"/>
    <w:rsid w:val="00977F8A"/>
    <w:rsid w:val="0098112D"/>
    <w:rsid w:val="0098138E"/>
    <w:rsid w:val="00981569"/>
    <w:rsid w:val="009847FF"/>
    <w:rsid w:val="0098495F"/>
    <w:rsid w:val="0098619B"/>
    <w:rsid w:val="009864CF"/>
    <w:rsid w:val="0098655A"/>
    <w:rsid w:val="00987149"/>
    <w:rsid w:val="00987491"/>
    <w:rsid w:val="0098792F"/>
    <w:rsid w:val="00987B24"/>
    <w:rsid w:val="00991009"/>
    <w:rsid w:val="009916AE"/>
    <w:rsid w:val="00993835"/>
    <w:rsid w:val="00994903"/>
    <w:rsid w:val="009950F4"/>
    <w:rsid w:val="009958DD"/>
    <w:rsid w:val="00996515"/>
    <w:rsid w:val="00996ABA"/>
    <w:rsid w:val="00996DBF"/>
    <w:rsid w:val="00996F7F"/>
    <w:rsid w:val="009A1118"/>
    <w:rsid w:val="009A13A2"/>
    <w:rsid w:val="009A22E2"/>
    <w:rsid w:val="009A2AD2"/>
    <w:rsid w:val="009A2DA8"/>
    <w:rsid w:val="009A2F01"/>
    <w:rsid w:val="009A40A2"/>
    <w:rsid w:val="009A4377"/>
    <w:rsid w:val="009A43FE"/>
    <w:rsid w:val="009A4534"/>
    <w:rsid w:val="009A4ACB"/>
    <w:rsid w:val="009A4C4A"/>
    <w:rsid w:val="009A5326"/>
    <w:rsid w:val="009A5E5E"/>
    <w:rsid w:val="009A6E36"/>
    <w:rsid w:val="009A731A"/>
    <w:rsid w:val="009B0173"/>
    <w:rsid w:val="009B068D"/>
    <w:rsid w:val="009B0F1C"/>
    <w:rsid w:val="009B15CE"/>
    <w:rsid w:val="009B1C4F"/>
    <w:rsid w:val="009B219C"/>
    <w:rsid w:val="009B2491"/>
    <w:rsid w:val="009B354B"/>
    <w:rsid w:val="009B49F6"/>
    <w:rsid w:val="009B4B30"/>
    <w:rsid w:val="009B5168"/>
    <w:rsid w:val="009B5800"/>
    <w:rsid w:val="009B5A48"/>
    <w:rsid w:val="009B5F36"/>
    <w:rsid w:val="009B6BBC"/>
    <w:rsid w:val="009B6E6C"/>
    <w:rsid w:val="009B71D2"/>
    <w:rsid w:val="009B7313"/>
    <w:rsid w:val="009B7550"/>
    <w:rsid w:val="009B7DB2"/>
    <w:rsid w:val="009B7DBB"/>
    <w:rsid w:val="009C00FF"/>
    <w:rsid w:val="009C0226"/>
    <w:rsid w:val="009C0E76"/>
    <w:rsid w:val="009C12AF"/>
    <w:rsid w:val="009C1D55"/>
    <w:rsid w:val="009C23C0"/>
    <w:rsid w:val="009C293E"/>
    <w:rsid w:val="009C2C7D"/>
    <w:rsid w:val="009C2E11"/>
    <w:rsid w:val="009C388A"/>
    <w:rsid w:val="009C5822"/>
    <w:rsid w:val="009C5BE1"/>
    <w:rsid w:val="009C64F6"/>
    <w:rsid w:val="009C6E27"/>
    <w:rsid w:val="009C70F5"/>
    <w:rsid w:val="009C72D1"/>
    <w:rsid w:val="009C7450"/>
    <w:rsid w:val="009C74EE"/>
    <w:rsid w:val="009D03BB"/>
    <w:rsid w:val="009D134B"/>
    <w:rsid w:val="009D17F8"/>
    <w:rsid w:val="009D24BD"/>
    <w:rsid w:val="009D2B28"/>
    <w:rsid w:val="009D2CD7"/>
    <w:rsid w:val="009D565A"/>
    <w:rsid w:val="009D56B4"/>
    <w:rsid w:val="009D6881"/>
    <w:rsid w:val="009D6E87"/>
    <w:rsid w:val="009D7C0E"/>
    <w:rsid w:val="009D7D5E"/>
    <w:rsid w:val="009E03D3"/>
    <w:rsid w:val="009E0420"/>
    <w:rsid w:val="009E0482"/>
    <w:rsid w:val="009E07BA"/>
    <w:rsid w:val="009E13E9"/>
    <w:rsid w:val="009E2CAC"/>
    <w:rsid w:val="009E3542"/>
    <w:rsid w:val="009E3C3A"/>
    <w:rsid w:val="009E3FD3"/>
    <w:rsid w:val="009E5389"/>
    <w:rsid w:val="009E6052"/>
    <w:rsid w:val="009E728A"/>
    <w:rsid w:val="009E7C02"/>
    <w:rsid w:val="009E7C7F"/>
    <w:rsid w:val="009F06E7"/>
    <w:rsid w:val="009F1474"/>
    <w:rsid w:val="009F1AB7"/>
    <w:rsid w:val="009F1B65"/>
    <w:rsid w:val="009F2AA1"/>
    <w:rsid w:val="009F2E86"/>
    <w:rsid w:val="009F464E"/>
    <w:rsid w:val="009F47E2"/>
    <w:rsid w:val="009F5933"/>
    <w:rsid w:val="009F5C15"/>
    <w:rsid w:val="009F5C50"/>
    <w:rsid w:val="009F6226"/>
    <w:rsid w:val="009F6EE3"/>
    <w:rsid w:val="009F6F97"/>
    <w:rsid w:val="009F6FC4"/>
    <w:rsid w:val="009F7182"/>
    <w:rsid w:val="009F7AED"/>
    <w:rsid w:val="00A00208"/>
    <w:rsid w:val="00A00495"/>
    <w:rsid w:val="00A0069A"/>
    <w:rsid w:val="00A00803"/>
    <w:rsid w:val="00A00D3A"/>
    <w:rsid w:val="00A01506"/>
    <w:rsid w:val="00A01E01"/>
    <w:rsid w:val="00A02213"/>
    <w:rsid w:val="00A02FDC"/>
    <w:rsid w:val="00A0324C"/>
    <w:rsid w:val="00A03E28"/>
    <w:rsid w:val="00A03F5C"/>
    <w:rsid w:val="00A04418"/>
    <w:rsid w:val="00A04962"/>
    <w:rsid w:val="00A04C33"/>
    <w:rsid w:val="00A04F35"/>
    <w:rsid w:val="00A05DA4"/>
    <w:rsid w:val="00A063BE"/>
    <w:rsid w:val="00A0653C"/>
    <w:rsid w:val="00A066BD"/>
    <w:rsid w:val="00A076AD"/>
    <w:rsid w:val="00A10EEA"/>
    <w:rsid w:val="00A11EFC"/>
    <w:rsid w:val="00A1283F"/>
    <w:rsid w:val="00A129B4"/>
    <w:rsid w:val="00A13322"/>
    <w:rsid w:val="00A13659"/>
    <w:rsid w:val="00A141AA"/>
    <w:rsid w:val="00A143E0"/>
    <w:rsid w:val="00A1466C"/>
    <w:rsid w:val="00A1496C"/>
    <w:rsid w:val="00A153E7"/>
    <w:rsid w:val="00A15B03"/>
    <w:rsid w:val="00A15F8C"/>
    <w:rsid w:val="00A15FA2"/>
    <w:rsid w:val="00A166DC"/>
    <w:rsid w:val="00A168A7"/>
    <w:rsid w:val="00A178BE"/>
    <w:rsid w:val="00A17CE0"/>
    <w:rsid w:val="00A200E2"/>
    <w:rsid w:val="00A2193A"/>
    <w:rsid w:val="00A21D3F"/>
    <w:rsid w:val="00A21F2D"/>
    <w:rsid w:val="00A22207"/>
    <w:rsid w:val="00A2370F"/>
    <w:rsid w:val="00A23D48"/>
    <w:rsid w:val="00A248C2"/>
    <w:rsid w:val="00A25867"/>
    <w:rsid w:val="00A25AE3"/>
    <w:rsid w:val="00A25CFA"/>
    <w:rsid w:val="00A264A8"/>
    <w:rsid w:val="00A26597"/>
    <w:rsid w:val="00A267F8"/>
    <w:rsid w:val="00A27B05"/>
    <w:rsid w:val="00A27EEB"/>
    <w:rsid w:val="00A309BA"/>
    <w:rsid w:val="00A31CF9"/>
    <w:rsid w:val="00A32BA9"/>
    <w:rsid w:val="00A32C69"/>
    <w:rsid w:val="00A33C0F"/>
    <w:rsid w:val="00A3419C"/>
    <w:rsid w:val="00A35066"/>
    <w:rsid w:val="00A35E18"/>
    <w:rsid w:val="00A36115"/>
    <w:rsid w:val="00A36CC5"/>
    <w:rsid w:val="00A36DA6"/>
    <w:rsid w:val="00A40F8D"/>
    <w:rsid w:val="00A415F0"/>
    <w:rsid w:val="00A417E8"/>
    <w:rsid w:val="00A41A60"/>
    <w:rsid w:val="00A41DD0"/>
    <w:rsid w:val="00A41F4A"/>
    <w:rsid w:val="00A4207E"/>
    <w:rsid w:val="00A42306"/>
    <w:rsid w:val="00A42310"/>
    <w:rsid w:val="00A4353F"/>
    <w:rsid w:val="00A4364F"/>
    <w:rsid w:val="00A4370B"/>
    <w:rsid w:val="00A43AAE"/>
    <w:rsid w:val="00A448D7"/>
    <w:rsid w:val="00A44918"/>
    <w:rsid w:val="00A44E8D"/>
    <w:rsid w:val="00A45BF0"/>
    <w:rsid w:val="00A45E79"/>
    <w:rsid w:val="00A4608F"/>
    <w:rsid w:val="00A460ED"/>
    <w:rsid w:val="00A46610"/>
    <w:rsid w:val="00A46901"/>
    <w:rsid w:val="00A46EA8"/>
    <w:rsid w:val="00A47AEC"/>
    <w:rsid w:val="00A501D6"/>
    <w:rsid w:val="00A50B84"/>
    <w:rsid w:val="00A51034"/>
    <w:rsid w:val="00A51A58"/>
    <w:rsid w:val="00A51E41"/>
    <w:rsid w:val="00A53872"/>
    <w:rsid w:val="00A53ECA"/>
    <w:rsid w:val="00A53F72"/>
    <w:rsid w:val="00A53FED"/>
    <w:rsid w:val="00A540E7"/>
    <w:rsid w:val="00A54392"/>
    <w:rsid w:val="00A549DC"/>
    <w:rsid w:val="00A54ACF"/>
    <w:rsid w:val="00A551AE"/>
    <w:rsid w:val="00A55ACD"/>
    <w:rsid w:val="00A55BD5"/>
    <w:rsid w:val="00A561AD"/>
    <w:rsid w:val="00A561F4"/>
    <w:rsid w:val="00A56F06"/>
    <w:rsid w:val="00A603FB"/>
    <w:rsid w:val="00A60AE2"/>
    <w:rsid w:val="00A60C8E"/>
    <w:rsid w:val="00A6185F"/>
    <w:rsid w:val="00A619F4"/>
    <w:rsid w:val="00A61B52"/>
    <w:rsid w:val="00A61C3B"/>
    <w:rsid w:val="00A61F32"/>
    <w:rsid w:val="00A62039"/>
    <w:rsid w:val="00A62186"/>
    <w:rsid w:val="00A633D6"/>
    <w:rsid w:val="00A64943"/>
    <w:rsid w:val="00A65532"/>
    <w:rsid w:val="00A6615C"/>
    <w:rsid w:val="00A662EA"/>
    <w:rsid w:val="00A667D5"/>
    <w:rsid w:val="00A66BC3"/>
    <w:rsid w:val="00A66C5F"/>
    <w:rsid w:val="00A67773"/>
    <w:rsid w:val="00A70053"/>
    <w:rsid w:val="00A700E5"/>
    <w:rsid w:val="00A70AB7"/>
    <w:rsid w:val="00A710C0"/>
    <w:rsid w:val="00A71E7D"/>
    <w:rsid w:val="00A72A36"/>
    <w:rsid w:val="00A72F21"/>
    <w:rsid w:val="00A73133"/>
    <w:rsid w:val="00A73A32"/>
    <w:rsid w:val="00A747D1"/>
    <w:rsid w:val="00A74FE8"/>
    <w:rsid w:val="00A75119"/>
    <w:rsid w:val="00A75133"/>
    <w:rsid w:val="00A75448"/>
    <w:rsid w:val="00A75F69"/>
    <w:rsid w:val="00A760BB"/>
    <w:rsid w:val="00A763E0"/>
    <w:rsid w:val="00A7701E"/>
    <w:rsid w:val="00A77752"/>
    <w:rsid w:val="00A77FE8"/>
    <w:rsid w:val="00A800B3"/>
    <w:rsid w:val="00A81748"/>
    <w:rsid w:val="00A81B3D"/>
    <w:rsid w:val="00A839B2"/>
    <w:rsid w:val="00A839CA"/>
    <w:rsid w:val="00A8562E"/>
    <w:rsid w:val="00A85D27"/>
    <w:rsid w:val="00A861FC"/>
    <w:rsid w:val="00A864AF"/>
    <w:rsid w:val="00A87CD1"/>
    <w:rsid w:val="00A91AA4"/>
    <w:rsid w:val="00A92536"/>
    <w:rsid w:val="00A93A3F"/>
    <w:rsid w:val="00A93DF4"/>
    <w:rsid w:val="00A943A3"/>
    <w:rsid w:val="00A951CD"/>
    <w:rsid w:val="00A97342"/>
    <w:rsid w:val="00A974C0"/>
    <w:rsid w:val="00A979E9"/>
    <w:rsid w:val="00AA0406"/>
    <w:rsid w:val="00AA06F2"/>
    <w:rsid w:val="00AA075F"/>
    <w:rsid w:val="00AA0BD0"/>
    <w:rsid w:val="00AA14DD"/>
    <w:rsid w:val="00AA1E1E"/>
    <w:rsid w:val="00AA2CB7"/>
    <w:rsid w:val="00AA3A54"/>
    <w:rsid w:val="00AA4369"/>
    <w:rsid w:val="00AA44FF"/>
    <w:rsid w:val="00AA515C"/>
    <w:rsid w:val="00AA54BE"/>
    <w:rsid w:val="00AA56B3"/>
    <w:rsid w:val="00AA5D9B"/>
    <w:rsid w:val="00AA64D2"/>
    <w:rsid w:val="00AA67E9"/>
    <w:rsid w:val="00AA7AA7"/>
    <w:rsid w:val="00AA7C5C"/>
    <w:rsid w:val="00AB0738"/>
    <w:rsid w:val="00AB1061"/>
    <w:rsid w:val="00AB1A19"/>
    <w:rsid w:val="00AB1F09"/>
    <w:rsid w:val="00AB22EA"/>
    <w:rsid w:val="00AB2461"/>
    <w:rsid w:val="00AB26E7"/>
    <w:rsid w:val="00AB2AF6"/>
    <w:rsid w:val="00AB2C94"/>
    <w:rsid w:val="00AB3162"/>
    <w:rsid w:val="00AB32B8"/>
    <w:rsid w:val="00AB364B"/>
    <w:rsid w:val="00AB3D86"/>
    <w:rsid w:val="00AB53FB"/>
    <w:rsid w:val="00AB5AB6"/>
    <w:rsid w:val="00AB6F5A"/>
    <w:rsid w:val="00AB758C"/>
    <w:rsid w:val="00AB782C"/>
    <w:rsid w:val="00AB7875"/>
    <w:rsid w:val="00AC03EF"/>
    <w:rsid w:val="00AC04CC"/>
    <w:rsid w:val="00AC0E99"/>
    <w:rsid w:val="00AC2211"/>
    <w:rsid w:val="00AC225E"/>
    <w:rsid w:val="00AC28CF"/>
    <w:rsid w:val="00AC403A"/>
    <w:rsid w:val="00AC4B34"/>
    <w:rsid w:val="00AC5138"/>
    <w:rsid w:val="00AC5257"/>
    <w:rsid w:val="00AC53FB"/>
    <w:rsid w:val="00AC68EE"/>
    <w:rsid w:val="00AC6FE0"/>
    <w:rsid w:val="00AC7284"/>
    <w:rsid w:val="00AC766C"/>
    <w:rsid w:val="00AD00F4"/>
    <w:rsid w:val="00AD04EF"/>
    <w:rsid w:val="00AD0A51"/>
    <w:rsid w:val="00AD1087"/>
    <w:rsid w:val="00AD2DC8"/>
    <w:rsid w:val="00AD34E6"/>
    <w:rsid w:val="00AD362A"/>
    <w:rsid w:val="00AD3A30"/>
    <w:rsid w:val="00AD3C22"/>
    <w:rsid w:val="00AD3D5B"/>
    <w:rsid w:val="00AD4660"/>
    <w:rsid w:val="00AD4997"/>
    <w:rsid w:val="00AD5A87"/>
    <w:rsid w:val="00AD6203"/>
    <w:rsid w:val="00AD6842"/>
    <w:rsid w:val="00AD69AB"/>
    <w:rsid w:val="00AD71B0"/>
    <w:rsid w:val="00AE0E06"/>
    <w:rsid w:val="00AE180A"/>
    <w:rsid w:val="00AE1C69"/>
    <w:rsid w:val="00AE2AA4"/>
    <w:rsid w:val="00AE2BED"/>
    <w:rsid w:val="00AE586C"/>
    <w:rsid w:val="00AE5EBA"/>
    <w:rsid w:val="00AE5F13"/>
    <w:rsid w:val="00AE6032"/>
    <w:rsid w:val="00AE6A04"/>
    <w:rsid w:val="00AE7B51"/>
    <w:rsid w:val="00AE7FD6"/>
    <w:rsid w:val="00AF1309"/>
    <w:rsid w:val="00AF333B"/>
    <w:rsid w:val="00AF4546"/>
    <w:rsid w:val="00AF4AA1"/>
    <w:rsid w:val="00AF5190"/>
    <w:rsid w:val="00AF5CBE"/>
    <w:rsid w:val="00AF5CD6"/>
    <w:rsid w:val="00AF713E"/>
    <w:rsid w:val="00AF7284"/>
    <w:rsid w:val="00B0014F"/>
    <w:rsid w:val="00B00FBD"/>
    <w:rsid w:val="00B01274"/>
    <w:rsid w:val="00B01E62"/>
    <w:rsid w:val="00B01F7E"/>
    <w:rsid w:val="00B0248B"/>
    <w:rsid w:val="00B0386B"/>
    <w:rsid w:val="00B03A23"/>
    <w:rsid w:val="00B04595"/>
    <w:rsid w:val="00B052F1"/>
    <w:rsid w:val="00B10A0F"/>
    <w:rsid w:val="00B11DD0"/>
    <w:rsid w:val="00B12A56"/>
    <w:rsid w:val="00B13BC4"/>
    <w:rsid w:val="00B1448D"/>
    <w:rsid w:val="00B14EC0"/>
    <w:rsid w:val="00B1523B"/>
    <w:rsid w:val="00B1544A"/>
    <w:rsid w:val="00B16219"/>
    <w:rsid w:val="00B16C2A"/>
    <w:rsid w:val="00B1704E"/>
    <w:rsid w:val="00B1741E"/>
    <w:rsid w:val="00B17477"/>
    <w:rsid w:val="00B20D20"/>
    <w:rsid w:val="00B20DE7"/>
    <w:rsid w:val="00B20FED"/>
    <w:rsid w:val="00B2189C"/>
    <w:rsid w:val="00B22A2C"/>
    <w:rsid w:val="00B22F62"/>
    <w:rsid w:val="00B22FF8"/>
    <w:rsid w:val="00B23A82"/>
    <w:rsid w:val="00B24779"/>
    <w:rsid w:val="00B24A58"/>
    <w:rsid w:val="00B24AAF"/>
    <w:rsid w:val="00B24E6D"/>
    <w:rsid w:val="00B25440"/>
    <w:rsid w:val="00B261D7"/>
    <w:rsid w:val="00B27F58"/>
    <w:rsid w:val="00B307E7"/>
    <w:rsid w:val="00B3087D"/>
    <w:rsid w:val="00B30D9A"/>
    <w:rsid w:val="00B31522"/>
    <w:rsid w:val="00B33C81"/>
    <w:rsid w:val="00B33E82"/>
    <w:rsid w:val="00B34309"/>
    <w:rsid w:val="00B34794"/>
    <w:rsid w:val="00B349AC"/>
    <w:rsid w:val="00B3571D"/>
    <w:rsid w:val="00B36287"/>
    <w:rsid w:val="00B369C0"/>
    <w:rsid w:val="00B379E3"/>
    <w:rsid w:val="00B37EE3"/>
    <w:rsid w:val="00B401C2"/>
    <w:rsid w:val="00B40B23"/>
    <w:rsid w:val="00B40BF0"/>
    <w:rsid w:val="00B42021"/>
    <w:rsid w:val="00B42276"/>
    <w:rsid w:val="00B434DF"/>
    <w:rsid w:val="00B43B41"/>
    <w:rsid w:val="00B43E8E"/>
    <w:rsid w:val="00B445F7"/>
    <w:rsid w:val="00B4477C"/>
    <w:rsid w:val="00B44C06"/>
    <w:rsid w:val="00B45990"/>
    <w:rsid w:val="00B45D83"/>
    <w:rsid w:val="00B45DF0"/>
    <w:rsid w:val="00B46F01"/>
    <w:rsid w:val="00B46F1C"/>
    <w:rsid w:val="00B46F5C"/>
    <w:rsid w:val="00B479E2"/>
    <w:rsid w:val="00B47EA4"/>
    <w:rsid w:val="00B50243"/>
    <w:rsid w:val="00B523F1"/>
    <w:rsid w:val="00B5270E"/>
    <w:rsid w:val="00B52897"/>
    <w:rsid w:val="00B52B1E"/>
    <w:rsid w:val="00B52C68"/>
    <w:rsid w:val="00B53397"/>
    <w:rsid w:val="00B53DE7"/>
    <w:rsid w:val="00B54067"/>
    <w:rsid w:val="00B55CB0"/>
    <w:rsid w:val="00B566A0"/>
    <w:rsid w:val="00B5689D"/>
    <w:rsid w:val="00B56B1B"/>
    <w:rsid w:val="00B5777B"/>
    <w:rsid w:val="00B57D91"/>
    <w:rsid w:val="00B57DDE"/>
    <w:rsid w:val="00B57EA7"/>
    <w:rsid w:val="00B60421"/>
    <w:rsid w:val="00B60C51"/>
    <w:rsid w:val="00B60ECC"/>
    <w:rsid w:val="00B61715"/>
    <w:rsid w:val="00B61885"/>
    <w:rsid w:val="00B620C5"/>
    <w:rsid w:val="00B62772"/>
    <w:rsid w:val="00B62A48"/>
    <w:rsid w:val="00B6375D"/>
    <w:rsid w:val="00B64ED6"/>
    <w:rsid w:val="00B65394"/>
    <w:rsid w:val="00B65B3C"/>
    <w:rsid w:val="00B6688D"/>
    <w:rsid w:val="00B66A97"/>
    <w:rsid w:val="00B66EF1"/>
    <w:rsid w:val="00B70686"/>
    <w:rsid w:val="00B70B7D"/>
    <w:rsid w:val="00B715CD"/>
    <w:rsid w:val="00B71D85"/>
    <w:rsid w:val="00B71ED7"/>
    <w:rsid w:val="00B729CE"/>
    <w:rsid w:val="00B72AC4"/>
    <w:rsid w:val="00B7300D"/>
    <w:rsid w:val="00B738BB"/>
    <w:rsid w:val="00B74290"/>
    <w:rsid w:val="00B74B11"/>
    <w:rsid w:val="00B75004"/>
    <w:rsid w:val="00B75161"/>
    <w:rsid w:val="00B752BA"/>
    <w:rsid w:val="00B76716"/>
    <w:rsid w:val="00B767C3"/>
    <w:rsid w:val="00B77C00"/>
    <w:rsid w:val="00B77C13"/>
    <w:rsid w:val="00B77EA2"/>
    <w:rsid w:val="00B80AEB"/>
    <w:rsid w:val="00B80F6A"/>
    <w:rsid w:val="00B81EB6"/>
    <w:rsid w:val="00B82771"/>
    <w:rsid w:val="00B827E1"/>
    <w:rsid w:val="00B8392B"/>
    <w:rsid w:val="00B839F9"/>
    <w:rsid w:val="00B84330"/>
    <w:rsid w:val="00B84A28"/>
    <w:rsid w:val="00B8557A"/>
    <w:rsid w:val="00B85A31"/>
    <w:rsid w:val="00B86258"/>
    <w:rsid w:val="00B86462"/>
    <w:rsid w:val="00B86A84"/>
    <w:rsid w:val="00B86F54"/>
    <w:rsid w:val="00B86FEC"/>
    <w:rsid w:val="00B87309"/>
    <w:rsid w:val="00B874AE"/>
    <w:rsid w:val="00B8764B"/>
    <w:rsid w:val="00B87E47"/>
    <w:rsid w:val="00B9180C"/>
    <w:rsid w:val="00B928EF"/>
    <w:rsid w:val="00B9309D"/>
    <w:rsid w:val="00B93494"/>
    <w:rsid w:val="00B93532"/>
    <w:rsid w:val="00B93602"/>
    <w:rsid w:val="00B944AF"/>
    <w:rsid w:val="00B96428"/>
    <w:rsid w:val="00B965C7"/>
    <w:rsid w:val="00BA08A9"/>
    <w:rsid w:val="00BA09A3"/>
    <w:rsid w:val="00BA1353"/>
    <w:rsid w:val="00BA1732"/>
    <w:rsid w:val="00BA218D"/>
    <w:rsid w:val="00BA22BB"/>
    <w:rsid w:val="00BA27EE"/>
    <w:rsid w:val="00BA2EDD"/>
    <w:rsid w:val="00BA3549"/>
    <w:rsid w:val="00BA4462"/>
    <w:rsid w:val="00BA5945"/>
    <w:rsid w:val="00BA608F"/>
    <w:rsid w:val="00BA6F1A"/>
    <w:rsid w:val="00BA7417"/>
    <w:rsid w:val="00BB0243"/>
    <w:rsid w:val="00BB02FE"/>
    <w:rsid w:val="00BB0785"/>
    <w:rsid w:val="00BB0AEF"/>
    <w:rsid w:val="00BB0DD7"/>
    <w:rsid w:val="00BB1359"/>
    <w:rsid w:val="00BB1D7B"/>
    <w:rsid w:val="00BB2756"/>
    <w:rsid w:val="00BB3871"/>
    <w:rsid w:val="00BB57CD"/>
    <w:rsid w:val="00BB6032"/>
    <w:rsid w:val="00BB6440"/>
    <w:rsid w:val="00BB6DF3"/>
    <w:rsid w:val="00BC0338"/>
    <w:rsid w:val="00BC0CA5"/>
    <w:rsid w:val="00BC2E0C"/>
    <w:rsid w:val="00BC5CFB"/>
    <w:rsid w:val="00BC603D"/>
    <w:rsid w:val="00BC60B5"/>
    <w:rsid w:val="00BC6433"/>
    <w:rsid w:val="00BC6C9E"/>
    <w:rsid w:val="00BC6FFE"/>
    <w:rsid w:val="00BD09F5"/>
    <w:rsid w:val="00BD0B8B"/>
    <w:rsid w:val="00BD0B93"/>
    <w:rsid w:val="00BD1A46"/>
    <w:rsid w:val="00BD1CC4"/>
    <w:rsid w:val="00BD2DCD"/>
    <w:rsid w:val="00BD30CA"/>
    <w:rsid w:val="00BD37DD"/>
    <w:rsid w:val="00BD3816"/>
    <w:rsid w:val="00BD393C"/>
    <w:rsid w:val="00BD3CD7"/>
    <w:rsid w:val="00BD4CD0"/>
    <w:rsid w:val="00BD5359"/>
    <w:rsid w:val="00BD565A"/>
    <w:rsid w:val="00BD6831"/>
    <w:rsid w:val="00BD6A12"/>
    <w:rsid w:val="00BD6CF0"/>
    <w:rsid w:val="00BD6E6D"/>
    <w:rsid w:val="00BD6F70"/>
    <w:rsid w:val="00BD745C"/>
    <w:rsid w:val="00BE0685"/>
    <w:rsid w:val="00BE08F3"/>
    <w:rsid w:val="00BE1055"/>
    <w:rsid w:val="00BE32D5"/>
    <w:rsid w:val="00BE3590"/>
    <w:rsid w:val="00BE38B9"/>
    <w:rsid w:val="00BE3927"/>
    <w:rsid w:val="00BE395F"/>
    <w:rsid w:val="00BE3E80"/>
    <w:rsid w:val="00BE41C4"/>
    <w:rsid w:val="00BE4887"/>
    <w:rsid w:val="00BE4B4E"/>
    <w:rsid w:val="00BE51A4"/>
    <w:rsid w:val="00BE65BB"/>
    <w:rsid w:val="00BF02DA"/>
    <w:rsid w:val="00BF09A0"/>
    <w:rsid w:val="00BF2080"/>
    <w:rsid w:val="00BF26E6"/>
    <w:rsid w:val="00BF288F"/>
    <w:rsid w:val="00BF4661"/>
    <w:rsid w:val="00BF4BAB"/>
    <w:rsid w:val="00BF4CF4"/>
    <w:rsid w:val="00BF4EF8"/>
    <w:rsid w:val="00BF5570"/>
    <w:rsid w:val="00BF5B62"/>
    <w:rsid w:val="00BF671A"/>
    <w:rsid w:val="00BF680C"/>
    <w:rsid w:val="00BF6AB1"/>
    <w:rsid w:val="00BF6F66"/>
    <w:rsid w:val="00BF759D"/>
    <w:rsid w:val="00C00C3E"/>
    <w:rsid w:val="00C01BD5"/>
    <w:rsid w:val="00C0297E"/>
    <w:rsid w:val="00C0313D"/>
    <w:rsid w:val="00C03EE7"/>
    <w:rsid w:val="00C05116"/>
    <w:rsid w:val="00C052DD"/>
    <w:rsid w:val="00C05359"/>
    <w:rsid w:val="00C063EF"/>
    <w:rsid w:val="00C06969"/>
    <w:rsid w:val="00C06A2D"/>
    <w:rsid w:val="00C0762E"/>
    <w:rsid w:val="00C07A32"/>
    <w:rsid w:val="00C07D54"/>
    <w:rsid w:val="00C10B5F"/>
    <w:rsid w:val="00C131A2"/>
    <w:rsid w:val="00C13E83"/>
    <w:rsid w:val="00C1469D"/>
    <w:rsid w:val="00C14AED"/>
    <w:rsid w:val="00C14D86"/>
    <w:rsid w:val="00C15D61"/>
    <w:rsid w:val="00C1703B"/>
    <w:rsid w:val="00C1775D"/>
    <w:rsid w:val="00C20B70"/>
    <w:rsid w:val="00C20CCD"/>
    <w:rsid w:val="00C21613"/>
    <w:rsid w:val="00C2175B"/>
    <w:rsid w:val="00C22BA9"/>
    <w:rsid w:val="00C24E72"/>
    <w:rsid w:val="00C26015"/>
    <w:rsid w:val="00C26F89"/>
    <w:rsid w:val="00C2730E"/>
    <w:rsid w:val="00C3063E"/>
    <w:rsid w:val="00C3080E"/>
    <w:rsid w:val="00C30E23"/>
    <w:rsid w:val="00C3117E"/>
    <w:rsid w:val="00C3246A"/>
    <w:rsid w:val="00C324CB"/>
    <w:rsid w:val="00C32618"/>
    <w:rsid w:val="00C3261F"/>
    <w:rsid w:val="00C32D40"/>
    <w:rsid w:val="00C32DB9"/>
    <w:rsid w:val="00C33716"/>
    <w:rsid w:val="00C33ADE"/>
    <w:rsid w:val="00C34441"/>
    <w:rsid w:val="00C35349"/>
    <w:rsid w:val="00C36701"/>
    <w:rsid w:val="00C372FB"/>
    <w:rsid w:val="00C37322"/>
    <w:rsid w:val="00C373E0"/>
    <w:rsid w:val="00C37452"/>
    <w:rsid w:val="00C37E0A"/>
    <w:rsid w:val="00C37E79"/>
    <w:rsid w:val="00C40646"/>
    <w:rsid w:val="00C41A71"/>
    <w:rsid w:val="00C41CE1"/>
    <w:rsid w:val="00C41F90"/>
    <w:rsid w:val="00C420A6"/>
    <w:rsid w:val="00C4232A"/>
    <w:rsid w:val="00C43BDC"/>
    <w:rsid w:val="00C442ED"/>
    <w:rsid w:val="00C4476B"/>
    <w:rsid w:val="00C451E5"/>
    <w:rsid w:val="00C45514"/>
    <w:rsid w:val="00C45F88"/>
    <w:rsid w:val="00C460A7"/>
    <w:rsid w:val="00C51F59"/>
    <w:rsid w:val="00C51F70"/>
    <w:rsid w:val="00C52052"/>
    <w:rsid w:val="00C52387"/>
    <w:rsid w:val="00C525F0"/>
    <w:rsid w:val="00C52973"/>
    <w:rsid w:val="00C52BC4"/>
    <w:rsid w:val="00C534D0"/>
    <w:rsid w:val="00C5371B"/>
    <w:rsid w:val="00C54316"/>
    <w:rsid w:val="00C54FC0"/>
    <w:rsid w:val="00C55100"/>
    <w:rsid w:val="00C55F02"/>
    <w:rsid w:val="00C56701"/>
    <w:rsid w:val="00C56B7B"/>
    <w:rsid w:val="00C56D82"/>
    <w:rsid w:val="00C56F6E"/>
    <w:rsid w:val="00C57163"/>
    <w:rsid w:val="00C575B2"/>
    <w:rsid w:val="00C57D68"/>
    <w:rsid w:val="00C6022D"/>
    <w:rsid w:val="00C605F6"/>
    <w:rsid w:val="00C6100C"/>
    <w:rsid w:val="00C6106A"/>
    <w:rsid w:val="00C614C5"/>
    <w:rsid w:val="00C61CA5"/>
    <w:rsid w:val="00C62670"/>
    <w:rsid w:val="00C6269D"/>
    <w:rsid w:val="00C62BAD"/>
    <w:rsid w:val="00C62E40"/>
    <w:rsid w:val="00C6325A"/>
    <w:rsid w:val="00C63717"/>
    <w:rsid w:val="00C642FE"/>
    <w:rsid w:val="00C70629"/>
    <w:rsid w:val="00C709D0"/>
    <w:rsid w:val="00C70D6C"/>
    <w:rsid w:val="00C7118A"/>
    <w:rsid w:val="00C72D3A"/>
    <w:rsid w:val="00C73D0B"/>
    <w:rsid w:val="00C7560A"/>
    <w:rsid w:val="00C75F5E"/>
    <w:rsid w:val="00C76A8E"/>
    <w:rsid w:val="00C77314"/>
    <w:rsid w:val="00C77DE8"/>
    <w:rsid w:val="00C77E2F"/>
    <w:rsid w:val="00C80678"/>
    <w:rsid w:val="00C80BBC"/>
    <w:rsid w:val="00C81513"/>
    <w:rsid w:val="00C81561"/>
    <w:rsid w:val="00C81BFA"/>
    <w:rsid w:val="00C82946"/>
    <w:rsid w:val="00C8448B"/>
    <w:rsid w:val="00C84518"/>
    <w:rsid w:val="00C84912"/>
    <w:rsid w:val="00C85615"/>
    <w:rsid w:val="00C85F62"/>
    <w:rsid w:val="00C86CED"/>
    <w:rsid w:val="00C878D5"/>
    <w:rsid w:val="00C87F7F"/>
    <w:rsid w:val="00C9033B"/>
    <w:rsid w:val="00C906D7"/>
    <w:rsid w:val="00C913A1"/>
    <w:rsid w:val="00C91760"/>
    <w:rsid w:val="00C92003"/>
    <w:rsid w:val="00C92042"/>
    <w:rsid w:val="00C935D6"/>
    <w:rsid w:val="00C94517"/>
    <w:rsid w:val="00C946CC"/>
    <w:rsid w:val="00C94C3A"/>
    <w:rsid w:val="00C954C3"/>
    <w:rsid w:val="00C95678"/>
    <w:rsid w:val="00C95D6E"/>
    <w:rsid w:val="00CA05F2"/>
    <w:rsid w:val="00CA06E2"/>
    <w:rsid w:val="00CA0AEB"/>
    <w:rsid w:val="00CA0C3A"/>
    <w:rsid w:val="00CA0DA3"/>
    <w:rsid w:val="00CA0F43"/>
    <w:rsid w:val="00CA28B8"/>
    <w:rsid w:val="00CA2A9A"/>
    <w:rsid w:val="00CA3123"/>
    <w:rsid w:val="00CA42B3"/>
    <w:rsid w:val="00CA4DFE"/>
    <w:rsid w:val="00CA5C1C"/>
    <w:rsid w:val="00CA5E8B"/>
    <w:rsid w:val="00CA7898"/>
    <w:rsid w:val="00CA7E4F"/>
    <w:rsid w:val="00CB0707"/>
    <w:rsid w:val="00CB0879"/>
    <w:rsid w:val="00CB1B49"/>
    <w:rsid w:val="00CB3758"/>
    <w:rsid w:val="00CB3968"/>
    <w:rsid w:val="00CB41A5"/>
    <w:rsid w:val="00CB498A"/>
    <w:rsid w:val="00CB57DA"/>
    <w:rsid w:val="00CB5820"/>
    <w:rsid w:val="00CB64AB"/>
    <w:rsid w:val="00CB6546"/>
    <w:rsid w:val="00CB6B00"/>
    <w:rsid w:val="00CB7285"/>
    <w:rsid w:val="00CB74AF"/>
    <w:rsid w:val="00CB779C"/>
    <w:rsid w:val="00CB79EA"/>
    <w:rsid w:val="00CC0B58"/>
    <w:rsid w:val="00CC0EC2"/>
    <w:rsid w:val="00CC0F82"/>
    <w:rsid w:val="00CC28E2"/>
    <w:rsid w:val="00CC2ECE"/>
    <w:rsid w:val="00CC3975"/>
    <w:rsid w:val="00CC3BA1"/>
    <w:rsid w:val="00CC47D2"/>
    <w:rsid w:val="00CC6979"/>
    <w:rsid w:val="00CC6A99"/>
    <w:rsid w:val="00CC6B81"/>
    <w:rsid w:val="00CC6EB4"/>
    <w:rsid w:val="00CD0122"/>
    <w:rsid w:val="00CD098C"/>
    <w:rsid w:val="00CD0DCC"/>
    <w:rsid w:val="00CD0E97"/>
    <w:rsid w:val="00CD1BAF"/>
    <w:rsid w:val="00CD2719"/>
    <w:rsid w:val="00CD2AB3"/>
    <w:rsid w:val="00CD320A"/>
    <w:rsid w:val="00CD3433"/>
    <w:rsid w:val="00CD3FBD"/>
    <w:rsid w:val="00CD5753"/>
    <w:rsid w:val="00CD6A9B"/>
    <w:rsid w:val="00CD7038"/>
    <w:rsid w:val="00CD7145"/>
    <w:rsid w:val="00CD7275"/>
    <w:rsid w:val="00CD74CD"/>
    <w:rsid w:val="00CD79E3"/>
    <w:rsid w:val="00CE0157"/>
    <w:rsid w:val="00CE070D"/>
    <w:rsid w:val="00CE0BBB"/>
    <w:rsid w:val="00CE10E6"/>
    <w:rsid w:val="00CE12E5"/>
    <w:rsid w:val="00CE17EB"/>
    <w:rsid w:val="00CE3071"/>
    <w:rsid w:val="00CE31BA"/>
    <w:rsid w:val="00CE3530"/>
    <w:rsid w:val="00CE456E"/>
    <w:rsid w:val="00CE717A"/>
    <w:rsid w:val="00CE7B57"/>
    <w:rsid w:val="00CF1EA4"/>
    <w:rsid w:val="00CF27F2"/>
    <w:rsid w:val="00CF2B75"/>
    <w:rsid w:val="00CF319A"/>
    <w:rsid w:val="00CF3B8B"/>
    <w:rsid w:val="00CF3F2B"/>
    <w:rsid w:val="00CF4D5E"/>
    <w:rsid w:val="00CF6650"/>
    <w:rsid w:val="00D0046C"/>
    <w:rsid w:val="00D00A76"/>
    <w:rsid w:val="00D00AA3"/>
    <w:rsid w:val="00D01B3B"/>
    <w:rsid w:val="00D023CD"/>
    <w:rsid w:val="00D044DD"/>
    <w:rsid w:val="00D04729"/>
    <w:rsid w:val="00D04EF6"/>
    <w:rsid w:val="00D0504E"/>
    <w:rsid w:val="00D06659"/>
    <w:rsid w:val="00D06920"/>
    <w:rsid w:val="00D07F73"/>
    <w:rsid w:val="00D10087"/>
    <w:rsid w:val="00D111FB"/>
    <w:rsid w:val="00D115D5"/>
    <w:rsid w:val="00D119EF"/>
    <w:rsid w:val="00D12355"/>
    <w:rsid w:val="00D1421F"/>
    <w:rsid w:val="00D14349"/>
    <w:rsid w:val="00D1453F"/>
    <w:rsid w:val="00D14844"/>
    <w:rsid w:val="00D14AA0"/>
    <w:rsid w:val="00D1561D"/>
    <w:rsid w:val="00D163D8"/>
    <w:rsid w:val="00D1692E"/>
    <w:rsid w:val="00D177E7"/>
    <w:rsid w:val="00D2041C"/>
    <w:rsid w:val="00D20E68"/>
    <w:rsid w:val="00D2199C"/>
    <w:rsid w:val="00D23F6C"/>
    <w:rsid w:val="00D23FDD"/>
    <w:rsid w:val="00D248B2"/>
    <w:rsid w:val="00D24C97"/>
    <w:rsid w:val="00D24E62"/>
    <w:rsid w:val="00D25233"/>
    <w:rsid w:val="00D25351"/>
    <w:rsid w:val="00D25415"/>
    <w:rsid w:val="00D25ADE"/>
    <w:rsid w:val="00D2680F"/>
    <w:rsid w:val="00D26A71"/>
    <w:rsid w:val="00D276C6"/>
    <w:rsid w:val="00D27C63"/>
    <w:rsid w:val="00D301AD"/>
    <w:rsid w:val="00D301B1"/>
    <w:rsid w:val="00D30612"/>
    <w:rsid w:val="00D30CBF"/>
    <w:rsid w:val="00D30D99"/>
    <w:rsid w:val="00D3286C"/>
    <w:rsid w:val="00D32CA2"/>
    <w:rsid w:val="00D34BDB"/>
    <w:rsid w:val="00D359C2"/>
    <w:rsid w:val="00D3663E"/>
    <w:rsid w:val="00D368B3"/>
    <w:rsid w:val="00D36C99"/>
    <w:rsid w:val="00D3712C"/>
    <w:rsid w:val="00D378BD"/>
    <w:rsid w:val="00D40B3E"/>
    <w:rsid w:val="00D40BA0"/>
    <w:rsid w:val="00D41B2B"/>
    <w:rsid w:val="00D41FE0"/>
    <w:rsid w:val="00D428B4"/>
    <w:rsid w:val="00D42CEF"/>
    <w:rsid w:val="00D43183"/>
    <w:rsid w:val="00D43297"/>
    <w:rsid w:val="00D433B0"/>
    <w:rsid w:val="00D435CE"/>
    <w:rsid w:val="00D44D14"/>
    <w:rsid w:val="00D44DB6"/>
    <w:rsid w:val="00D457E2"/>
    <w:rsid w:val="00D46BC1"/>
    <w:rsid w:val="00D4720B"/>
    <w:rsid w:val="00D476C1"/>
    <w:rsid w:val="00D47B11"/>
    <w:rsid w:val="00D50119"/>
    <w:rsid w:val="00D507C9"/>
    <w:rsid w:val="00D5219F"/>
    <w:rsid w:val="00D525E7"/>
    <w:rsid w:val="00D52E85"/>
    <w:rsid w:val="00D533CB"/>
    <w:rsid w:val="00D54E98"/>
    <w:rsid w:val="00D55422"/>
    <w:rsid w:val="00D55DDF"/>
    <w:rsid w:val="00D5675E"/>
    <w:rsid w:val="00D57183"/>
    <w:rsid w:val="00D573FA"/>
    <w:rsid w:val="00D57845"/>
    <w:rsid w:val="00D60830"/>
    <w:rsid w:val="00D60C17"/>
    <w:rsid w:val="00D610AB"/>
    <w:rsid w:val="00D61489"/>
    <w:rsid w:val="00D62D24"/>
    <w:rsid w:val="00D6381B"/>
    <w:rsid w:val="00D63924"/>
    <w:rsid w:val="00D63B76"/>
    <w:rsid w:val="00D63BFD"/>
    <w:rsid w:val="00D63CCF"/>
    <w:rsid w:val="00D63D4B"/>
    <w:rsid w:val="00D63F53"/>
    <w:rsid w:val="00D65682"/>
    <w:rsid w:val="00D659DB"/>
    <w:rsid w:val="00D66247"/>
    <w:rsid w:val="00D66258"/>
    <w:rsid w:val="00D663D6"/>
    <w:rsid w:val="00D66EC1"/>
    <w:rsid w:val="00D6788A"/>
    <w:rsid w:val="00D67E2E"/>
    <w:rsid w:val="00D70F7C"/>
    <w:rsid w:val="00D71E7E"/>
    <w:rsid w:val="00D72055"/>
    <w:rsid w:val="00D730C1"/>
    <w:rsid w:val="00D733F8"/>
    <w:rsid w:val="00D7411D"/>
    <w:rsid w:val="00D743D0"/>
    <w:rsid w:val="00D745A7"/>
    <w:rsid w:val="00D752BC"/>
    <w:rsid w:val="00D76543"/>
    <w:rsid w:val="00D774C3"/>
    <w:rsid w:val="00D7758B"/>
    <w:rsid w:val="00D7797B"/>
    <w:rsid w:val="00D77BCC"/>
    <w:rsid w:val="00D8044A"/>
    <w:rsid w:val="00D80649"/>
    <w:rsid w:val="00D810EB"/>
    <w:rsid w:val="00D81C5C"/>
    <w:rsid w:val="00D82A43"/>
    <w:rsid w:val="00D82D0A"/>
    <w:rsid w:val="00D832BB"/>
    <w:rsid w:val="00D843FF"/>
    <w:rsid w:val="00D844B9"/>
    <w:rsid w:val="00D84F4A"/>
    <w:rsid w:val="00D853D8"/>
    <w:rsid w:val="00D86F09"/>
    <w:rsid w:val="00D86F45"/>
    <w:rsid w:val="00D9111A"/>
    <w:rsid w:val="00D91768"/>
    <w:rsid w:val="00D91C39"/>
    <w:rsid w:val="00D91D2B"/>
    <w:rsid w:val="00D91DB6"/>
    <w:rsid w:val="00D92682"/>
    <w:rsid w:val="00D930C7"/>
    <w:rsid w:val="00D931D9"/>
    <w:rsid w:val="00D93DCA"/>
    <w:rsid w:val="00D943FE"/>
    <w:rsid w:val="00D94C0C"/>
    <w:rsid w:val="00D95143"/>
    <w:rsid w:val="00D9534F"/>
    <w:rsid w:val="00D9572F"/>
    <w:rsid w:val="00D95790"/>
    <w:rsid w:val="00D958A9"/>
    <w:rsid w:val="00D95C6E"/>
    <w:rsid w:val="00D96718"/>
    <w:rsid w:val="00D96EFC"/>
    <w:rsid w:val="00D97A47"/>
    <w:rsid w:val="00DA091B"/>
    <w:rsid w:val="00DA10C8"/>
    <w:rsid w:val="00DA1107"/>
    <w:rsid w:val="00DA1F8C"/>
    <w:rsid w:val="00DA38C4"/>
    <w:rsid w:val="00DA3C5A"/>
    <w:rsid w:val="00DA40DD"/>
    <w:rsid w:val="00DA4C37"/>
    <w:rsid w:val="00DA5309"/>
    <w:rsid w:val="00DA5E00"/>
    <w:rsid w:val="00DA600F"/>
    <w:rsid w:val="00DA6BAF"/>
    <w:rsid w:val="00DA731A"/>
    <w:rsid w:val="00DA7460"/>
    <w:rsid w:val="00DA7A53"/>
    <w:rsid w:val="00DA7B5D"/>
    <w:rsid w:val="00DA7F19"/>
    <w:rsid w:val="00DB3464"/>
    <w:rsid w:val="00DB354A"/>
    <w:rsid w:val="00DB44B6"/>
    <w:rsid w:val="00DB4ADD"/>
    <w:rsid w:val="00DB4EAC"/>
    <w:rsid w:val="00DB5193"/>
    <w:rsid w:val="00DB549E"/>
    <w:rsid w:val="00DB6072"/>
    <w:rsid w:val="00DB68CA"/>
    <w:rsid w:val="00DB7756"/>
    <w:rsid w:val="00DB7B37"/>
    <w:rsid w:val="00DB7F1C"/>
    <w:rsid w:val="00DC0440"/>
    <w:rsid w:val="00DC129E"/>
    <w:rsid w:val="00DC2D4F"/>
    <w:rsid w:val="00DC35FD"/>
    <w:rsid w:val="00DC3721"/>
    <w:rsid w:val="00DC3771"/>
    <w:rsid w:val="00DC3982"/>
    <w:rsid w:val="00DC41EA"/>
    <w:rsid w:val="00DC43BD"/>
    <w:rsid w:val="00DC51F8"/>
    <w:rsid w:val="00DC5717"/>
    <w:rsid w:val="00DC5CF0"/>
    <w:rsid w:val="00DC5E61"/>
    <w:rsid w:val="00DC6061"/>
    <w:rsid w:val="00DC662B"/>
    <w:rsid w:val="00DC73A6"/>
    <w:rsid w:val="00DC7455"/>
    <w:rsid w:val="00DC796C"/>
    <w:rsid w:val="00DC7D42"/>
    <w:rsid w:val="00DC7EC7"/>
    <w:rsid w:val="00DD0C8A"/>
    <w:rsid w:val="00DD1314"/>
    <w:rsid w:val="00DD1A19"/>
    <w:rsid w:val="00DD1BE0"/>
    <w:rsid w:val="00DD27D0"/>
    <w:rsid w:val="00DD2874"/>
    <w:rsid w:val="00DD2D1E"/>
    <w:rsid w:val="00DD3D79"/>
    <w:rsid w:val="00DD41BB"/>
    <w:rsid w:val="00DD4C69"/>
    <w:rsid w:val="00DD5316"/>
    <w:rsid w:val="00DD576F"/>
    <w:rsid w:val="00DD68AA"/>
    <w:rsid w:val="00DD769F"/>
    <w:rsid w:val="00DE0A20"/>
    <w:rsid w:val="00DE1606"/>
    <w:rsid w:val="00DE26D4"/>
    <w:rsid w:val="00DE32E7"/>
    <w:rsid w:val="00DE3BC9"/>
    <w:rsid w:val="00DE513E"/>
    <w:rsid w:val="00DE58AA"/>
    <w:rsid w:val="00DE6CD1"/>
    <w:rsid w:val="00DE6DC5"/>
    <w:rsid w:val="00DF1922"/>
    <w:rsid w:val="00DF3010"/>
    <w:rsid w:val="00DF30A2"/>
    <w:rsid w:val="00DF3E9A"/>
    <w:rsid w:val="00DF559C"/>
    <w:rsid w:val="00DF58E7"/>
    <w:rsid w:val="00DF5D5D"/>
    <w:rsid w:val="00DF5E73"/>
    <w:rsid w:val="00DF61DC"/>
    <w:rsid w:val="00DF6743"/>
    <w:rsid w:val="00DF67F2"/>
    <w:rsid w:val="00DF6819"/>
    <w:rsid w:val="00DF6902"/>
    <w:rsid w:val="00DF6B6C"/>
    <w:rsid w:val="00DF6F42"/>
    <w:rsid w:val="00DF7B49"/>
    <w:rsid w:val="00DF7F8E"/>
    <w:rsid w:val="00E002A9"/>
    <w:rsid w:val="00E013A7"/>
    <w:rsid w:val="00E01461"/>
    <w:rsid w:val="00E01892"/>
    <w:rsid w:val="00E01900"/>
    <w:rsid w:val="00E01E88"/>
    <w:rsid w:val="00E02652"/>
    <w:rsid w:val="00E026D4"/>
    <w:rsid w:val="00E028A0"/>
    <w:rsid w:val="00E0324B"/>
    <w:rsid w:val="00E0357E"/>
    <w:rsid w:val="00E03C03"/>
    <w:rsid w:val="00E042CE"/>
    <w:rsid w:val="00E0441D"/>
    <w:rsid w:val="00E05491"/>
    <w:rsid w:val="00E05A0E"/>
    <w:rsid w:val="00E05B86"/>
    <w:rsid w:val="00E0763C"/>
    <w:rsid w:val="00E07A22"/>
    <w:rsid w:val="00E07A32"/>
    <w:rsid w:val="00E07BE5"/>
    <w:rsid w:val="00E07C4B"/>
    <w:rsid w:val="00E105E9"/>
    <w:rsid w:val="00E110A8"/>
    <w:rsid w:val="00E11876"/>
    <w:rsid w:val="00E12494"/>
    <w:rsid w:val="00E128CC"/>
    <w:rsid w:val="00E14114"/>
    <w:rsid w:val="00E14238"/>
    <w:rsid w:val="00E16640"/>
    <w:rsid w:val="00E16A57"/>
    <w:rsid w:val="00E16CA3"/>
    <w:rsid w:val="00E179F6"/>
    <w:rsid w:val="00E17A93"/>
    <w:rsid w:val="00E17B55"/>
    <w:rsid w:val="00E20279"/>
    <w:rsid w:val="00E2044D"/>
    <w:rsid w:val="00E2057F"/>
    <w:rsid w:val="00E2105B"/>
    <w:rsid w:val="00E2156C"/>
    <w:rsid w:val="00E21B5A"/>
    <w:rsid w:val="00E226F3"/>
    <w:rsid w:val="00E22741"/>
    <w:rsid w:val="00E22EAC"/>
    <w:rsid w:val="00E23429"/>
    <w:rsid w:val="00E2358A"/>
    <w:rsid w:val="00E23B83"/>
    <w:rsid w:val="00E23CBB"/>
    <w:rsid w:val="00E24D10"/>
    <w:rsid w:val="00E24DDD"/>
    <w:rsid w:val="00E24FEC"/>
    <w:rsid w:val="00E254E2"/>
    <w:rsid w:val="00E256C5"/>
    <w:rsid w:val="00E26377"/>
    <w:rsid w:val="00E26DDA"/>
    <w:rsid w:val="00E27704"/>
    <w:rsid w:val="00E27810"/>
    <w:rsid w:val="00E33C5B"/>
    <w:rsid w:val="00E34BFB"/>
    <w:rsid w:val="00E355FE"/>
    <w:rsid w:val="00E37A58"/>
    <w:rsid w:val="00E37B59"/>
    <w:rsid w:val="00E37BDB"/>
    <w:rsid w:val="00E41637"/>
    <w:rsid w:val="00E41CBC"/>
    <w:rsid w:val="00E41E9E"/>
    <w:rsid w:val="00E41EBD"/>
    <w:rsid w:val="00E42580"/>
    <w:rsid w:val="00E43068"/>
    <w:rsid w:val="00E434FE"/>
    <w:rsid w:val="00E4540E"/>
    <w:rsid w:val="00E45A99"/>
    <w:rsid w:val="00E45BB9"/>
    <w:rsid w:val="00E45F0F"/>
    <w:rsid w:val="00E469B8"/>
    <w:rsid w:val="00E47647"/>
    <w:rsid w:val="00E47C29"/>
    <w:rsid w:val="00E47FF5"/>
    <w:rsid w:val="00E5054C"/>
    <w:rsid w:val="00E5197F"/>
    <w:rsid w:val="00E52CB3"/>
    <w:rsid w:val="00E52D81"/>
    <w:rsid w:val="00E53050"/>
    <w:rsid w:val="00E53438"/>
    <w:rsid w:val="00E53951"/>
    <w:rsid w:val="00E54482"/>
    <w:rsid w:val="00E54FEE"/>
    <w:rsid w:val="00E56298"/>
    <w:rsid w:val="00E56421"/>
    <w:rsid w:val="00E566C8"/>
    <w:rsid w:val="00E56902"/>
    <w:rsid w:val="00E56C53"/>
    <w:rsid w:val="00E56F55"/>
    <w:rsid w:val="00E57D9E"/>
    <w:rsid w:val="00E600D0"/>
    <w:rsid w:val="00E60381"/>
    <w:rsid w:val="00E61BFC"/>
    <w:rsid w:val="00E62955"/>
    <w:rsid w:val="00E630A0"/>
    <w:rsid w:val="00E635F8"/>
    <w:rsid w:val="00E669D4"/>
    <w:rsid w:val="00E675AA"/>
    <w:rsid w:val="00E67F60"/>
    <w:rsid w:val="00E7019B"/>
    <w:rsid w:val="00E70A7B"/>
    <w:rsid w:val="00E70C30"/>
    <w:rsid w:val="00E70DDF"/>
    <w:rsid w:val="00E7122D"/>
    <w:rsid w:val="00E712B6"/>
    <w:rsid w:val="00E71A31"/>
    <w:rsid w:val="00E72460"/>
    <w:rsid w:val="00E72549"/>
    <w:rsid w:val="00E725FC"/>
    <w:rsid w:val="00E73F91"/>
    <w:rsid w:val="00E741E6"/>
    <w:rsid w:val="00E74740"/>
    <w:rsid w:val="00E75026"/>
    <w:rsid w:val="00E75493"/>
    <w:rsid w:val="00E75D4B"/>
    <w:rsid w:val="00E771A6"/>
    <w:rsid w:val="00E774BE"/>
    <w:rsid w:val="00E77736"/>
    <w:rsid w:val="00E77831"/>
    <w:rsid w:val="00E77C0B"/>
    <w:rsid w:val="00E80BD9"/>
    <w:rsid w:val="00E80C66"/>
    <w:rsid w:val="00E8272A"/>
    <w:rsid w:val="00E832E8"/>
    <w:rsid w:val="00E83D31"/>
    <w:rsid w:val="00E8407A"/>
    <w:rsid w:val="00E847DC"/>
    <w:rsid w:val="00E86487"/>
    <w:rsid w:val="00E866E5"/>
    <w:rsid w:val="00E8757D"/>
    <w:rsid w:val="00E87DCF"/>
    <w:rsid w:val="00E90A88"/>
    <w:rsid w:val="00E90B7B"/>
    <w:rsid w:val="00E91011"/>
    <w:rsid w:val="00E9184F"/>
    <w:rsid w:val="00E91996"/>
    <w:rsid w:val="00E9347F"/>
    <w:rsid w:val="00E93680"/>
    <w:rsid w:val="00E93A9D"/>
    <w:rsid w:val="00E93DC3"/>
    <w:rsid w:val="00E9405E"/>
    <w:rsid w:val="00E94277"/>
    <w:rsid w:val="00E94BE8"/>
    <w:rsid w:val="00E94CDA"/>
    <w:rsid w:val="00E951BF"/>
    <w:rsid w:val="00E9561E"/>
    <w:rsid w:val="00E96C92"/>
    <w:rsid w:val="00E96F46"/>
    <w:rsid w:val="00E9756D"/>
    <w:rsid w:val="00E97D5E"/>
    <w:rsid w:val="00EA09C8"/>
    <w:rsid w:val="00EA0CB4"/>
    <w:rsid w:val="00EA0D90"/>
    <w:rsid w:val="00EA1057"/>
    <w:rsid w:val="00EA2509"/>
    <w:rsid w:val="00EA2AED"/>
    <w:rsid w:val="00EA2BD2"/>
    <w:rsid w:val="00EA2C6D"/>
    <w:rsid w:val="00EA2D58"/>
    <w:rsid w:val="00EA31BF"/>
    <w:rsid w:val="00EA3213"/>
    <w:rsid w:val="00EA34F5"/>
    <w:rsid w:val="00EA36C6"/>
    <w:rsid w:val="00EA42C3"/>
    <w:rsid w:val="00EA44FF"/>
    <w:rsid w:val="00EA4A35"/>
    <w:rsid w:val="00EA61A9"/>
    <w:rsid w:val="00EA6352"/>
    <w:rsid w:val="00EA6DB6"/>
    <w:rsid w:val="00EA761E"/>
    <w:rsid w:val="00EB17F8"/>
    <w:rsid w:val="00EB3926"/>
    <w:rsid w:val="00EB3AC6"/>
    <w:rsid w:val="00EB3F05"/>
    <w:rsid w:val="00EB408F"/>
    <w:rsid w:val="00EB45B0"/>
    <w:rsid w:val="00EB467A"/>
    <w:rsid w:val="00EB532D"/>
    <w:rsid w:val="00EB55FA"/>
    <w:rsid w:val="00EB6A3C"/>
    <w:rsid w:val="00EC1B04"/>
    <w:rsid w:val="00EC27FB"/>
    <w:rsid w:val="00EC2B25"/>
    <w:rsid w:val="00EC30F9"/>
    <w:rsid w:val="00EC3C34"/>
    <w:rsid w:val="00EC451F"/>
    <w:rsid w:val="00EC528D"/>
    <w:rsid w:val="00EC5610"/>
    <w:rsid w:val="00EC5FE1"/>
    <w:rsid w:val="00EC6E6D"/>
    <w:rsid w:val="00EC7347"/>
    <w:rsid w:val="00EC7824"/>
    <w:rsid w:val="00ED0BBB"/>
    <w:rsid w:val="00ED1272"/>
    <w:rsid w:val="00ED15B2"/>
    <w:rsid w:val="00ED15CE"/>
    <w:rsid w:val="00ED1D0B"/>
    <w:rsid w:val="00ED25EF"/>
    <w:rsid w:val="00ED301A"/>
    <w:rsid w:val="00ED3C04"/>
    <w:rsid w:val="00ED51D5"/>
    <w:rsid w:val="00ED54B5"/>
    <w:rsid w:val="00ED55D6"/>
    <w:rsid w:val="00ED5725"/>
    <w:rsid w:val="00ED6462"/>
    <w:rsid w:val="00ED665A"/>
    <w:rsid w:val="00ED7031"/>
    <w:rsid w:val="00ED70EB"/>
    <w:rsid w:val="00ED71BA"/>
    <w:rsid w:val="00ED724B"/>
    <w:rsid w:val="00ED72F9"/>
    <w:rsid w:val="00ED74E4"/>
    <w:rsid w:val="00EE2346"/>
    <w:rsid w:val="00EE2D00"/>
    <w:rsid w:val="00EE3060"/>
    <w:rsid w:val="00EE3DD1"/>
    <w:rsid w:val="00EE4315"/>
    <w:rsid w:val="00EE517C"/>
    <w:rsid w:val="00EE5B7B"/>
    <w:rsid w:val="00EE6A2B"/>
    <w:rsid w:val="00EE6E34"/>
    <w:rsid w:val="00EE71A1"/>
    <w:rsid w:val="00EE7437"/>
    <w:rsid w:val="00EF0A3B"/>
    <w:rsid w:val="00EF13D1"/>
    <w:rsid w:val="00EF29F8"/>
    <w:rsid w:val="00EF2E97"/>
    <w:rsid w:val="00EF36CD"/>
    <w:rsid w:val="00EF3D9E"/>
    <w:rsid w:val="00EF3DF6"/>
    <w:rsid w:val="00EF51EB"/>
    <w:rsid w:val="00EF5C15"/>
    <w:rsid w:val="00EF62E8"/>
    <w:rsid w:val="00EF6498"/>
    <w:rsid w:val="00EF689F"/>
    <w:rsid w:val="00EF6925"/>
    <w:rsid w:val="00EF6A87"/>
    <w:rsid w:val="00EF7D1A"/>
    <w:rsid w:val="00EF7EA8"/>
    <w:rsid w:val="00F00A48"/>
    <w:rsid w:val="00F00AD3"/>
    <w:rsid w:val="00F00B18"/>
    <w:rsid w:val="00F015A8"/>
    <w:rsid w:val="00F02260"/>
    <w:rsid w:val="00F02E19"/>
    <w:rsid w:val="00F0412D"/>
    <w:rsid w:val="00F04BCE"/>
    <w:rsid w:val="00F050BC"/>
    <w:rsid w:val="00F056B2"/>
    <w:rsid w:val="00F05E59"/>
    <w:rsid w:val="00F0627E"/>
    <w:rsid w:val="00F0677D"/>
    <w:rsid w:val="00F067DC"/>
    <w:rsid w:val="00F06AC1"/>
    <w:rsid w:val="00F072CA"/>
    <w:rsid w:val="00F10399"/>
    <w:rsid w:val="00F105F3"/>
    <w:rsid w:val="00F106B1"/>
    <w:rsid w:val="00F112AA"/>
    <w:rsid w:val="00F11458"/>
    <w:rsid w:val="00F12118"/>
    <w:rsid w:val="00F12827"/>
    <w:rsid w:val="00F129A9"/>
    <w:rsid w:val="00F135A5"/>
    <w:rsid w:val="00F14010"/>
    <w:rsid w:val="00F14837"/>
    <w:rsid w:val="00F14BC3"/>
    <w:rsid w:val="00F15BD9"/>
    <w:rsid w:val="00F167F7"/>
    <w:rsid w:val="00F16BBE"/>
    <w:rsid w:val="00F16DE6"/>
    <w:rsid w:val="00F16F31"/>
    <w:rsid w:val="00F17C13"/>
    <w:rsid w:val="00F2040E"/>
    <w:rsid w:val="00F20FD3"/>
    <w:rsid w:val="00F21832"/>
    <w:rsid w:val="00F21B6C"/>
    <w:rsid w:val="00F22887"/>
    <w:rsid w:val="00F22BF8"/>
    <w:rsid w:val="00F22ED6"/>
    <w:rsid w:val="00F232F3"/>
    <w:rsid w:val="00F23645"/>
    <w:rsid w:val="00F239F8"/>
    <w:rsid w:val="00F23E23"/>
    <w:rsid w:val="00F24294"/>
    <w:rsid w:val="00F2449C"/>
    <w:rsid w:val="00F24B17"/>
    <w:rsid w:val="00F26578"/>
    <w:rsid w:val="00F26E49"/>
    <w:rsid w:val="00F26ED3"/>
    <w:rsid w:val="00F26F79"/>
    <w:rsid w:val="00F274D9"/>
    <w:rsid w:val="00F2750C"/>
    <w:rsid w:val="00F27C92"/>
    <w:rsid w:val="00F31438"/>
    <w:rsid w:val="00F31FA8"/>
    <w:rsid w:val="00F322A6"/>
    <w:rsid w:val="00F323FD"/>
    <w:rsid w:val="00F325E2"/>
    <w:rsid w:val="00F32BE6"/>
    <w:rsid w:val="00F34374"/>
    <w:rsid w:val="00F34C33"/>
    <w:rsid w:val="00F34CEB"/>
    <w:rsid w:val="00F36ECB"/>
    <w:rsid w:val="00F37036"/>
    <w:rsid w:val="00F37489"/>
    <w:rsid w:val="00F4023B"/>
    <w:rsid w:val="00F406BF"/>
    <w:rsid w:val="00F412D6"/>
    <w:rsid w:val="00F412F3"/>
    <w:rsid w:val="00F421F6"/>
    <w:rsid w:val="00F421F9"/>
    <w:rsid w:val="00F4234A"/>
    <w:rsid w:val="00F439BD"/>
    <w:rsid w:val="00F43A4B"/>
    <w:rsid w:val="00F43AD5"/>
    <w:rsid w:val="00F45116"/>
    <w:rsid w:val="00F455D4"/>
    <w:rsid w:val="00F45981"/>
    <w:rsid w:val="00F45E14"/>
    <w:rsid w:val="00F4798A"/>
    <w:rsid w:val="00F5123E"/>
    <w:rsid w:val="00F5145A"/>
    <w:rsid w:val="00F51495"/>
    <w:rsid w:val="00F51A75"/>
    <w:rsid w:val="00F52419"/>
    <w:rsid w:val="00F5245E"/>
    <w:rsid w:val="00F54148"/>
    <w:rsid w:val="00F54DB6"/>
    <w:rsid w:val="00F55091"/>
    <w:rsid w:val="00F55DBF"/>
    <w:rsid w:val="00F5634E"/>
    <w:rsid w:val="00F56498"/>
    <w:rsid w:val="00F56F9A"/>
    <w:rsid w:val="00F60986"/>
    <w:rsid w:val="00F60EA0"/>
    <w:rsid w:val="00F62232"/>
    <w:rsid w:val="00F62B7A"/>
    <w:rsid w:val="00F6397D"/>
    <w:rsid w:val="00F6405D"/>
    <w:rsid w:val="00F644FC"/>
    <w:rsid w:val="00F65374"/>
    <w:rsid w:val="00F66AFD"/>
    <w:rsid w:val="00F67A05"/>
    <w:rsid w:val="00F70064"/>
    <w:rsid w:val="00F71570"/>
    <w:rsid w:val="00F7293E"/>
    <w:rsid w:val="00F73E76"/>
    <w:rsid w:val="00F74023"/>
    <w:rsid w:val="00F74C00"/>
    <w:rsid w:val="00F755B5"/>
    <w:rsid w:val="00F75D88"/>
    <w:rsid w:val="00F7633D"/>
    <w:rsid w:val="00F76650"/>
    <w:rsid w:val="00F76846"/>
    <w:rsid w:val="00F76913"/>
    <w:rsid w:val="00F77467"/>
    <w:rsid w:val="00F778CD"/>
    <w:rsid w:val="00F77CC5"/>
    <w:rsid w:val="00F77E32"/>
    <w:rsid w:val="00F80021"/>
    <w:rsid w:val="00F80CD7"/>
    <w:rsid w:val="00F82184"/>
    <w:rsid w:val="00F82296"/>
    <w:rsid w:val="00F83449"/>
    <w:rsid w:val="00F835EC"/>
    <w:rsid w:val="00F83B11"/>
    <w:rsid w:val="00F840E5"/>
    <w:rsid w:val="00F8451A"/>
    <w:rsid w:val="00F85F46"/>
    <w:rsid w:val="00F860BD"/>
    <w:rsid w:val="00F86490"/>
    <w:rsid w:val="00F86698"/>
    <w:rsid w:val="00F86C57"/>
    <w:rsid w:val="00F871DC"/>
    <w:rsid w:val="00F874D6"/>
    <w:rsid w:val="00F87847"/>
    <w:rsid w:val="00F900A6"/>
    <w:rsid w:val="00F90431"/>
    <w:rsid w:val="00F90EC9"/>
    <w:rsid w:val="00F9187B"/>
    <w:rsid w:val="00F92385"/>
    <w:rsid w:val="00F92B3A"/>
    <w:rsid w:val="00F949A9"/>
    <w:rsid w:val="00F94DFE"/>
    <w:rsid w:val="00F956FD"/>
    <w:rsid w:val="00F95700"/>
    <w:rsid w:val="00F96455"/>
    <w:rsid w:val="00F96859"/>
    <w:rsid w:val="00F979D2"/>
    <w:rsid w:val="00F97D34"/>
    <w:rsid w:val="00FA0299"/>
    <w:rsid w:val="00FA06AE"/>
    <w:rsid w:val="00FA0FC6"/>
    <w:rsid w:val="00FA124D"/>
    <w:rsid w:val="00FA1256"/>
    <w:rsid w:val="00FA19C7"/>
    <w:rsid w:val="00FA1B4F"/>
    <w:rsid w:val="00FA275E"/>
    <w:rsid w:val="00FA2EAB"/>
    <w:rsid w:val="00FA327B"/>
    <w:rsid w:val="00FA38C2"/>
    <w:rsid w:val="00FA4937"/>
    <w:rsid w:val="00FA4ACF"/>
    <w:rsid w:val="00FA4D68"/>
    <w:rsid w:val="00FA53FA"/>
    <w:rsid w:val="00FA5505"/>
    <w:rsid w:val="00FA550B"/>
    <w:rsid w:val="00FA6942"/>
    <w:rsid w:val="00FA6D2E"/>
    <w:rsid w:val="00FA7378"/>
    <w:rsid w:val="00FA7936"/>
    <w:rsid w:val="00FB0EA4"/>
    <w:rsid w:val="00FB101E"/>
    <w:rsid w:val="00FB1406"/>
    <w:rsid w:val="00FB2144"/>
    <w:rsid w:val="00FB3077"/>
    <w:rsid w:val="00FB3EE3"/>
    <w:rsid w:val="00FB485F"/>
    <w:rsid w:val="00FB4BBC"/>
    <w:rsid w:val="00FB5E5E"/>
    <w:rsid w:val="00FB71FB"/>
    <w:rsid w:val="00FB7908"/>
    <w:rsid w:val="00FC0940"/>
    <w:rsid w:val="00FC11E1"/>
    <w:rsid w:val="00FC14C2"/>
    <w:rsid w:val="00FC1532"/>
    <w:rsid w:val="00FC19AF"/>
    <w:rsid w:val="00FC3588"/>
    <w:rsid w:val="00FC3819"/>
    <w:rsid w:val="00FC3C3D"/>
    <w:rsid w:val="00FC3FDF"/>
    <w:rsid w:val="00FC47F9"/>
    <w:rsid w:val="00FC4FBD"/>
    <w:rsid w:val="00FC5DB3"/>
    <w:rsid w:val="00FC5F1F"/>
    <w:rsid w:val="00FC6047"/>
    <w:rsid w:val="00FC6646"/>
    <w:rsid w:val="00FC674B"/>
    <w:rsid w:val="00FC70BC"/>
    <w:rsid w:val="00FC7B02"/>
    <w:rsid w:val="00FD0483"/>
    <w:rsid w:val="00FD0901"/>
    <w:rsid w:val="00FD2953"/>
    <w:rsid w:val="00FD2BEA"/>
    <w:rsid w:val="00FD2ED3"/>
    <w:rsid w:val="00FD3011"/>
    <w:rsid w:val="00FD3364"/>
    <w:rsid w:val="00FD54A1"/>
    <w:rsid w:val="00FD6ACC"/>
    <w:rsid w:val="00FD6B6F"/>
    <w:rsid w:val="00FD784B"/>
    <w:rsid w:val="00FE017C"/>
    <w:rsid w:val="00FE049E"/>
    <w:rsid w:val="00FE0E15"/>
    <w:rsid w:val="00FE1D75"/>
    <w:rsid w:val="00FE2351"/>
    <w:rsid w:val="00FE245A"/>
    <w:rsid w:val="00FE286D"/>
    <w:rsid w:val="00FE2BB1"/>
    <w:rsid w:val="00FE337D"/>
    <w:rsid w:val="00FE3E3C"/>
    <w:rsid w:val="00FE44E0"/>
    <w:rsid w:val="00FE5580"/>
    <w:rsid w:val="00FE6353"/>
    <w:rsid w:val="00FE6C57"/>
    <w:rsid w:val="00FE7D3C"/>
    <w:rsid w:val="00FF0241"/>
    <w:rsid w:val="00FF0EDE"/>
    <w:rsid w:val="00FF110C"/>
    <w:rsid w:val="00FF110E"/>
    <w:rsid w:val="00FF28D5"/>
    <w:rsid w:val="00FF2ACE"/>
    <w:rsid w:val="00FF2FFC"/>
    <w:rsid w:val="00FF3476"/>
    <w:rsid w:val="00FF49D3"/>
    <w:rsid w:val="00FF4A74"/>
    <w:rsid w:val="00FF530D"/>
    <w:rsid w:val="00FF539E"/>
    <w:rsid w:val="00FF56E1"/>
    <w:rsid w:val="00FF5804"/>
    <w:rsid w:val="00FF592C"/>
    <w:rsid w:val="00FF6064"/>
    <w:rsid w:val="00FF65E3"/>
    <w:rsid w:val="00FF7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2E9F4"/>
  <w15:chartTrackingRefBased/>
  <w15:docId w15:val="{3C2609E4-ABFA-4370-AE47-FB886542824A}"/>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C2D4F"/>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ALTS FOOTNOTE,fn C"/>
    <w:basedOn w:val="Normal"/>
    <w:link w:val="FootnoteTextChar"/>
    <w:qFormat/>
    <w:rsid w:val="00B01F7E"/>
    <w:pPr>
      <w:spacing w:after="120" w:line="240" w:lineRule="auto"/>
      <w:ind w:firstLine="0"/>
    </w:pPr>
    <w:rPr>
      <w:sz w:val="22"/>
      <w:szCs w:val="20"/>
    </w:rPr>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basedOn w:val="DefaultParagraphFont"/>
    <w:link w:val="FootnoteText"/>
    <w:rsid w:val="007657C1"/>
    <w:rPr>
      <w:rFonts w:ascii="Book Antiqua" w:hAnsi="Book Antiqua"/>
      <w:szCs w:val="20"/>
    </w:rPr>
  </w:style>
  <w:style w:type="character" w:styleId="FootnoteReference">
    <w:name w:val="footnote reference"/>
    <w:aliases w:val="o,fr,Style 3,o1,o2,o3,o4,o5,o6,o11,o21,o7,Style 17,Style 13,Appel note de bas de p,Style 12,(NECG) Footnote Reference,Style 124,o + Times New Roman,Style 58,Style 20,fr1,fr2,fr3,FR,Footnote Reference/,Style 6,Footnote Reference1"/>
    <w:basedOn w:val="DefaultParagraphFont"/>
    <w:unhideWhenUsed/>
    <w:qFormat/>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4"/>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paragraph" w:styleId="Revision">
    <w:name w:val="Revision"/>
    <w:hidden/>
    <w:uiPriority w:val="99"/>
    <w:semiHidden/>
    <w:rsid w:val="00B71D85"/>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43611C"/>
    <w:rPr>
      <w:sz w:val="16"/>
      <w:szCs w:val="16"/>
    </w:rPr>
  </w:style>
  <w:style w:type="paragraph" w:styleId="CommentText">
    <w:name w:val="annotation text"/>
    <w:basedOn w:val="Normal"/>
    <w:link w:val="CommentTextChar"/>
    <w:uiPriority w:val="99"/>
    <w:unhideWhenUsed/>
    <w:rsid w:val="0043611C"/>
    <w:pPr>
      <w:spacing w:line="240" w:lineRule="auto"/>
    </w:pPr>
    <w:rPr>
      <w:sz w:val="20"/>
      <w:szCs w:val="20"/>
    </w:rPr>
  </w:style>
  <w:style w:type="character" w:customStyle="1" w:styleId="CommentTextChar">
    <w:name w:val="Comment Text Char"/>
    <w:basedOn w:val="DefaultParagraphFont"/>
    <w:link w:val="CommentText"/>
    <w:uiPriority w:val="99"/>
    <w:rsid w:val="0043611C"/>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43611C"/>
    <w:rPr>
      <w:b/>
      <w:bCs/>
    </w:rPr>
  </w:style>
  <w:style w:type="character" w:customStyle="1" w:styleId="CommentSubjectChar">
    <w:name w:val="Comment Subject Char"/>
    <w:basedOn w:val="CommentTextChar"/>
    <w:link w:val="CommentSubject"/>
    <w:uiPriority w:val="99"/>
    <w:semiHidden/>
    <w:rsid w:val="0043611C"/>
    <w:rPr>
      <w:rFonts w:ascii="Book Antiqua" w:hAnsi="Book Antiqua"/>
      <w:b/>
      <w:bCs/>
      <w:sz w:val="20"/>
      <w:szCs w:val="20"/>
    </w:rPr>
  </w:style>
  <w:style w:type="paragraph" w:customStyle="1" w:styleId="Default">
    <w:name w:val="Default"/>
    <w:rsid w:val="00ED1272"/>
    <w:pPr>
      <w:autoSpaceDE w:val="0"/>
      <w:autoSpaceDN w:val="0"/>
      <w:adjustRightInd w:val="0"/>
      <w:spacing w:after="0" w:line="240" w:lineRule="auto"/>
    </w:pPr>
    <w:rPr>
      <w:rFonts w:ascii="Book Antiqua" w:hAnsi="Book Antiqua" w:cs="Book Antiqua"/>
      <w:color w:val="000000"/>
      <w:sz w:val="24"/>
      <w:szCs w:val="24"/>
    </w:rPr>
  </w:style>
  <w:style w:type="paragraph" w:styleId="BodyText">
    <w:name w:val="Body Text"/>
    <w:basedOn w:val="Normal"/>
    <w:link w:val="BodyTextChar"/>
    <w:uiPriority w:val="1"/>
    <w:qFormat/>
    <w:rsid w:val="008E5AC8"/>
    <w:pPr>
      <w:widowControl w:val="0"/>
      <w:autoSpaceDE w:val="0"/>
      <w:autoSpaceDN w:val="0"/>
      <w:spacing w:line="240" w:lineRule="auto"/>
      <w:ind w:firstLine="0"/>
    </w:pPr>
    <w:rPr>
      <w:rFonts w:eastAsia="Book Antiqua" w:cs="Book Antiqua"/>
      <w:szCs w:val="26"/>
    </w:rPr>
  </w:style>
  <w:style w:type="character" w:customStyle="1" w:styleId="BodyTextChar">
    <w:name w:val="Body Text Char"/>
    <w:basedOn w:val="DefaultParagraphFont"/>
    <w:link w:val="BodyText"/>
    <w:uiPriority w:val="1"/>
    <w:rsid w:val="008E5AC8"/>
    <w:rPr>
      <w:rFonts w:ascii="Book Antiqua" w:eastAsia="Book Antiqua" w:hAnsi="Book Antiqua" w:cs="Book Antiqua"/>
      <w:sz w:val="26"/>
      <w:szCs w:val="26"/>
    </w:rPr>
  </w:style>
  <w:style w:type="paragraph" w:styleId="NormalWeb">
    <w:name w:val="Normal (Web)"/>
    <w:basedOn w:val="Normal"/>
    <w:uiPriority w:val="99"/>
    <w:unhideWhenUsed/>
    <w:rsid w:val="00C80678"/>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styleId="Strong">
    <w:name w:val="Strong"/>
    <w:basedOn w:val="DefaultParagraphFont"/>
    <w:uiPriority w:val="22"/>
    <w:qFormat/>
    <w:rsid w:val="00704845"/>
    <w:rPr>
      <w:b/>
      <w:bCs/>
    </w:rPr>
  </w:style>
  <w:style w:type="paragraph" w:styleId="ListParagraph">
    <w:name w:val="List Paragraph"/>
    <w:basedOn w:val="Normal"/>
    <w:uiPriority w:val="34"/>
    <w:rsid w:val="00FB1406"/>
    <w:pPr>
      <w:ind w:left="720"/>
      <w:contextualSpacing/>
    </w:pPr>
  </w:style>
  <w:style w:type="character" w:styleId="UnresolvedMention">
    <w:name w:val="Unresolved Mention"/>
    <w:basedOn w:val="DefaultParagraphFont"/>
    <w:uiPriority w:val="99"/>
    <w:semiHidden/>
    <w:unhideWhenUsed/>
    <w:rsid w:val="0041768E"/>
    <w:rPr>
      <w:color w:val="605E5C"/>
      <w:shd w:val="clear" w:color="auto" w:fill="E1DFDD"/>
    </w:rPr>
  </w:style>
  <w:style w:type="paragraph" w:styleId="EndnoteText">
    <w:name w:val="endnote text"/>
    <w:basedOn w:val="Normal"/>
    <w:link w:val="EndnoteTextChar"/>
    <w:uiPriority w:val="99"/>
    <w:semiHidden/>
    <w:unhideWhenUsed/>
    <w:rsid w:val="00FE3E3C"/>
    <w:pPr>
      <w:spacing w:line="240" w:lineRule="auto"/>
    </w:pPr>
    <w:rPr>
      <w:sz w:val="20"/>
      <w:szCs w:val="20"/>
    </w:rPr>
  </w:style>
  <w:style w:type="character" w:customStyle="1" w:styleId="EndnoteTextChar">
    <w:name w:val="Endnote Text Char"/>
    <w:basedOn w:val="DefaultParagraphFont"/>
    <w:link w:val="EndnoteText"/>
    <w:uiPriority w:val="99"/>
    <w:semiHidden/>
    <w:rsid w:val="00FE3E3C"/>
    <w:rPr>
      <w:rFonts w:ascii="Book Antiqua" w:hAnsi="Book Antiqua"/>
      <w:sz w:val="20"/>
      <w:szCs w:val="20"/>
    </w:rPr>
  </w:style>
  <w:style w:type="character" w:styleId="EndnoteReference">
    <w:name w:val="endnote reference"/>
    <w:basedOn w:val="DefaultParagraphFont"/>
    <w:uiPriority w:val="99"/>
    <w:semiHidden/>
    <w:unhideWhenUsed/>
    <w:rsid w:val="00FE3E3C"/>
    <w:rPr>
      <w:vertAlign w:val="superscript"/>
    </w:rPr>
  </w:style>
  <w:style w:type="character" w:styleId="FollowedHyperlink">
    <w:name w:val="FollowedHyperlink"/>
    <w:basedOn w:val="DefaultParagraphFont"/>
    <w:uiPriority w:val="99"/>
    <w:semiHidden/>
    <w:unhideWhenUsed/>
    <w:rsid w:val="009D03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334115389">
      <w:bodyDiv w:val="1"/>
      <w:marLeft w:val="0"/>
      <w:marRight w:val="0"/>
      <w:marTop w:val="0"/>
      <w:marBottom w:val="0"/>
      <w:divBdr>
        <w:top w:val="none" w:sz="0" w:space="0" w:color="auto"/>
        <w:left w:val="none" w:sz="0" w:space="0" w:color="auto"/>
        <w:bottom w:val="none" w:sz="0" w:space="0" w:color="auto"/>
        <w:right w:val="none" w:sz="0" w:space="0" w:color="auto"/>
      </w:divBdr>
    </w:div>
    <w:div w:id="569582146">
      <w:bodyDiv w:val="1"/>
      <w:marLeft w:val="0"/>
      <w:marRight w:val="0"/>
      <w:marTop w:val="0"/>
      <w:marBottom w:val="0"/>
      <w:divBdr>
        <w:top w:val="none" w:sz="0" w:space="0" w:color="auto"/>
        <w:left w:val="none" w:sz="0" w:space="0" w:color="auto"/>
        <w:bottom w:val="none" w:sz="0" w:space="0" w:color="auto"/>
        <w:right w:val="none" w:sz="0" w:space="0" w:color="auto"/>
      </w:divBdr>
    </w:div>
    <w:div w:id="649140372">
      <w:bodyDiv w:val="1"/>
      <w:marLeft w:val="0"/>
      <w:marRight w:val="0"/>
      <w:marTop w:val="0"/>
      <w:marBottom w:val="0"/>
      <w:divBdr>
        <w:top w:val="none" w:sz="0" w:space="0" w:color="auto"/>
        <w:left w:val="none" w:sz="0" w:space="0" w:color="auto"/>
        <w:bottom w:val="none" w:sz="0" w:space="0" w:color="auto"/>
        <w:right w:val="none" w:sz="0" w:space="0" w:color="auto"/>
      </w:divBdr>
    </w:div>
    <w:div w:id="683046362">
      <w:bodyDiv w:val="1"/>
      <w:marLeft w:val="0"/>
      <w:marRight w:val="0"/>
      <w:marTop w:val="0"/>
      <w:marBottom w:val="0"/>
      <w:divBdr>
        <w:top w:val="none" w:sz="0" w:space="0" w:color="auto"/>
        <w:left w:val="none" w:sz="0" w:space="0" w:color="auto"/>
        <w:bottom w:val="none" w:sz="0" w:space="0" w:color="auto"/>
        <w:right w:val="none" w:sz="0" w:space="0" w:color="auto"/>
      </w:divBdr>
    </w:div>
    <w:div w:id="684940428">
      <w:bodyDiv w:val="1"/>
      <w:marLeft w:val="0"/>
      <w:marRight w:val="0"/>
      <w:marTop w:val="0"/>
      <w:marBottom w:val="0"/>
      <w:divBdr>
        <w:top w:val="none" w:sz="0" w:space="0" w:color="auto"/>
        <w:left w:val="none" w:sz="0" w:space="0" w:color="auto"/>
        <w:bottom w:val="none" w:sz="0" w:space="0" w:color="auto"/>
        <w:right w:val="none" w:sz="0" w:space="0" w:color="auto"/>
      </w:divBdr>
      <w:divsChild>
        <w:div w:id="100033577">
          <w:marLeft w:val="750"/>
          <w:marRight w:val="0"/>
          <w:marTop w:val="0"/>
          <w:marBottom w:val="0"/>
          <w:divBdr>
            <w:top w:val="none" w:sz="0" w:space="0" w:color="auto"/>
            <w:left w:val="none" w:sz="0" w:space="0" w:color="auto"/>
            <w:bottom w:val="none" w:sz="0" w:space="0" w:color="auto"/>
            <w:right w:val="none" w:sz="0" w:space="0" w:color="auto"/>
          </w:divBdr>
        </w:div>
        <w:div w:id="807744865">
          <w:marLeft w:val="750"/>
          <w:marRight w:val="0"/>
          <w:marTop w:val="0"/>
          <w:marBottom w:val="0"/>
          <w:divBdr>
            <w:top w:val="none" w:sz="0" w:space="0" w:color="auto"/>
            <w:left w:val="none" w:sz="0" w:space="0" w:color="auto"/>
            <w:bottom w:val="none" w:sz="0" w:space="0" w:color="auto"/>
            <w:right w:val="none" w:sz="0" w:space="0" w:color="auto"/>
          </w:divBdr>
        </w:div>
        <w:div w:id="1707681125">
          <w:marLeft w:val="750"/>
          <w:marRight w:val="0"/>
          <w:marTop w:val="0"/>
          <w:marBottom w:val="0"/>
          <w:divBdr>
            <w:top w:val="none" w:sz="0" w:space="0" w:color="auto"/>
            <w:left w:val="none" w:sz="0" w:space="0" w:color="auto"/>
            <w:bottom w:val="none" w:sz="0" w:space="0" w:color="auto"/>
            <w:right w:val="none" w:sz="0" w:space="0" w:color="auto"/>
          </w:divBdr>
        </w:div>
        <w:div w:id="969096914">
          <w:marLeft w:val="750"/>
          <w:marRight w:val="0"/>
          <w:marTop w:val="0"/>
          <w:marBottom w:val="0"/>
          <w:divBdr>
            <w:top w:val="none" w:sz="0" w:space="0" w:color="auto"/>
            <w:left w:val="none" w:sz="0" w:space="0" w:color="auto"/>
            <w:bottom w:val="none" w:sz="0" w:space="0" w:color="auto"/>
            <w:right w:val="none" w:sz="0" w:space="0" w:color="auto"/>
          </w:divBdr>
        </w:div>
      </w:divsChild>
    </w:div>
    <w:div w:id="732121805">
      <w:bodyDiv w:val="1"/>
      <w:marLeft w:val="0"/>
      <w:marRight w:val="0"/>
      <w:marTop w:val="0"/>
      <w:marBottom w:val="0"/>
      <w:divBdr>
        <w:top w:val="none" w:sz="0" w:space="0" w:color="auto"/>
        <w:left w:val="none" w:sz="0" w:space="0" w:color="auto"/>
        <w:bottom w:val="none" w:sz="0" w:space="0" w:color="auto"/>
        <w:right w:val="none" w:sz="0" w:space="0" w:color="auto"/>
      </w:divBdr>
    </w:div>
    <w:div w:id="745495215">
      <w:bodyDiv w:val="1"/>
      <w:marLeft w:val="0"/>
      <w:marRight w:val="0"/>
      <w:marTop w:val="0"/>
      <w:marBottom w:val="0"/>
      <w:divBdr>
        <w:top w:val="none" w:sz="0" w:space="0" w:color="auto"/>
        <w:left w:val="none" w:sz="0" w:space="0" w:color="auto"/>
        <w:bottom w:val="none" w:sz="0" w:space="0" w:color="auto"/>
        <w:right w:val="none" w:sz="0" w:space="0" w:color="auto"/>
      </w:divBdr>
    </w:div>
    <w:div w:id="771166844">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894245511">
      <w:bodyDiv w:val="1"/>
      <w:marLeft w:val="0"/>
      <w:marRight w:val="0"/>
      <w:marTop w:val="0"/>
      <w:marBottom w:val="0"/>
      <w:divBdr>
        <w:top w:val="none" w:sz="0" w:space="0" w:color="auto"/>
        <w:left w:val="none" w:sz="0" w:space="0" w:color="auto"/>
        <w:bottom w:val="none" w:sz="0" w:space="0" w:color="auto"/>
        <w:right w:val="none" w:sz="0" w:space="0" w:color="auto"/>
      </w:divBdr>
    </w:div>
    <w:div w:id="924606774">
      <w:bodyDiv w:val="1"/>
      <w:marLeft w:val="0"/>
      <w:marRight w:val="0"/>
      <w:marTop w:val="0"/>
      <w:marBottom w:val="0"/>
      <w:divBdr>
        <w:top w:val="none" w:sz="0" w:space="0" w:color="auto"/>
        <w:left w:val="none" w:sz="0" w:space="0" w:color="auto"/>
        <w:bottom w:val="none" w:sz="0" w:space="0" w:color="auto"/>
        <w:right w:val="none" w:sz="0" w:space="0" w:color="auto"/>
      </w:divBdr>
    </w:div>
    <w:div w:id="1000038971">
      <w:bodyDiv w:val="1"/>
      <w:marLeft w:val="0"/>
      <w:marRight w:val="0"/>
      <w:marTop w:val="0"/>
      <w:marBottom w:val="0"/>
      <w:divBdr>
        <w:top w:val="none" w:sz="0" w:space="0" w:color="auto"/>
        <w:left w:val="none" w:sz="0" w:space="0" w:color="auto"/>
        <w:bottom w:val="none" w:sz="0" w:space="0" w:color="auto"/>
        <w:right w:val="none" w:sz="0" w:space="0" w:color="auto"/>
      </w:divBdr>
    </w:div>
    <w:div w:id="1042091827">
      <w:bodyDiv w:val="1"/>
      <w:marLeft w:val="0"/>
      <w:marRight w:val="0"/>
      <w:marTop w:val="0"/>
      <w:marBottom w:val="0"/>
      <w:divBdr>
        <w:top w:val="none" w:sz="0" w:space="0" w:color="auto"/>
        <w:left w:val="none" w:sz="0" w:space="0" w:color="auto"/>
        <w:bottom w:val="none" w:sz="0" w:space="0" w:color="auto"/>
        <w:right w:val="none" w:sz="0" w:space="0" w:color="auto"/>
      </w:divBdr>
    </w:div>
    <w:div w:id="1046761009">
      <w:bodyDiv w:val="1"/>
      <w:marLeft w:val="0"/>
      <w:marRight w:val="0"/>
      <w:marTop w:val="0"/>
      <w:marBottom w:val="0"/>
      <w:divBdr>
        <w:top w:val="none" w:sz="0" w:space="0" w:color="auto"/>
        <w:left w:val="none" w:sz="0" w:space="0" w:color="auto"/>
        <w:bottom w:val="none" w:sz="0" w:space="0" w:color="auto"/>
        <w:right w:val="none" w:sz="0" w:space="0" w:color="auto"/>
      </w:divBdr>
      <w:divsChild>
        <w:div w:id="416752598">
          <w:marLeft w:val="750"/>
          <w:marRight w:val="0"/>
          <w:marTop w:val="0"/>
          <w:marBottom w:val="0"/>
          <w:divBdr>
            <w:top w:val="none" w:sz="0" w:space="0" w:color="auto"/>
            <w:left w:val="none" w:sz="0" w:space="0" w:color="auto"/>
            <w:bottom w:val="none" w:sz="0" w:space="0" w:color="auto"/>
            <w:right w:val="none" w:sz="0" w:space="0" w:color="auto"/>
          </w:divBdr>
        </w:div>
        <w:div w:id="1671132154">
          <w:marLeft w:val="750"/>
          <w:marRight w:val="0"/>
          <w:marTop w:val="0"/>
          <w:marBottom w:val="0"/>
          <w:divBdr>
            <w:top w:val="none" w:sz="0" w:space="0" w:color="auto"/>
            <w:left w:val="none" w:sz="0" w:space="0" w:color="auto"/>
            <w:bottom w:val="none" w:sz="0" w:space="0" w:color="auto"/>
            <w:right w:val="none" w:sz="0" w:space="0" w:color="auto"/>
          </w:divBdr>
        </w:div>
        <w:div w:id="1846942451">
          <w:marLeft w:val="750"/>
          <w:marRight w:val="0"/>
          <w:marTop w:val="0"/>
          <w:marBottom w:val="0"/>
          <w:divBdr>
            <w:top w:val="none" w:sz="0" w:space="0" w:color="auto"/>
            <w:left w:val="none" w:sz="0" w:space="0" w:color="auto"/>
            <w:bottom w:val="none" w:sz="0" w:space="0" w:color="auto"/>
            <w:right w:val="none" w:sz="0" w:space="0" w:color="auto"/>
          </w:divBdr>
        </w:div>
        <w:div w:id="1726950108">
          <w:marLeft w:val="750"/>
          <w:marRight w:val="0"/>
          <w:marTop w:val="0"/>
          <w:marBottom w:val="0"/>
          <w:divBdr>
            <w:top w:val="none" w:sz="0" w:space="0" w:color="auto"/>
            <w:left w:val="none" w:sz="0" w:space="0" w:color="auto"/>
            <w:bottom w:val="none" w:sz="0" w:space="0" w:color="auto"/>
            <w:right w:val="none" w:sz="0" w:space="0" w:color="auto"/>
          </w:divBdr>
        </w:div>
      </w:divsChild>
    </w:div>
    <w:div w:id="1103112184">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 w:id="1184782716">
      <w:bodyDiv w:val="1"/>
      <w:marLeft w:val="0"/>
      <w:marRight w:val="0"/>
      <w:marTop w:val="0"/>
      <w:marBottom w:val="0"/>
      <w:divBdr>
        <w:top w:val="none" w:sz="0" w:space="0" w:color="auto"/>
        <w:left w:val="none" w:sz="0" w:space="0" w:color="auto"/>
        <w:bottom w:val="none" w:sz="0" w:space="0" w:color="auto"/>
        <w:right w:val="none" w:sz="0" w:space="0" w:color="auto"/>
      </w:divBdr>
    </w:div>
    <w:div w:id="1217009602">
      <w:bodyDiv w:val="1"/>
      <w:marLeft w:val="0"/>
      <w:marRight w:val="0"/>
      <w:marTop w:val="0"/>
      <w:marBottom w:val="0"/>
      <w:divBdr>
        <w:top w:val="none" w:sz="0" w:space="0" w:color="auto"/>
        <w:left w:val="none" w:sz="0" w:space="0" w:color="auto"/>
        <w:bottom w:val="none" w:sz="0" w:space="0" w:color="auto"/>
        <w:right w:val="none" w:sz="0" w:space="0" w:color="auto"/>
      </w:divBdr>
    </w:div>
    <w:div w:id="1237934376">
      <w:bodyDiv w:val="1"/>
      <w:marLeft w:val="0"/>
      <w:marRight w:val="0"/>
      <w:marTop w:val="0"/>
      <w:marBottom w:val="0"/>
      <w:divBdr>
        <w:top w:val="none" w:sz="0" w:space="0" w:color="auto"/>
        <w:left w:val="none" w:sz="0" w:space="0" w:color="auto"/>
        <w:bottom w:val="none" w:sz="0" w:space="0" w:color="auto"/>
        <w:right w:val="none" w:sz="0" w:space="0" w:color="auto"/>
      </w:divBdr>
    </w:div>
    <w:div w:id="1297030485">
      <w:bodyDiv w:val="1"/>
      <w:marLeft w:val="0"/>
      <w:marRight w:val="0"/>
      <w:marTop w:val="0"/>
      <w:marBottom w:val="0"/>
      <w:divBdr>
        <w:top w:val="none" w:sz="0" w:space="0" w:color="auto"/>
        <w:left w:val="none" w:sz="0" w:space="0" w:color="auto"/>
        <w:bottom w:val="none" w:sz="0" w:space="0" w:color="auto"/>
        <w:right w:val="none" w:sz="0" w:space="0" w:color="auto"/>
      </w:divBdr>
    </w:div>
    <w:div w:id="1309482375">
      <w:bodyDiv w:val="1"/>
      <w:marLeft w:val="0"/>
      <w:marRight w:val="0"/>
      <w:marTop w:val="0"/>
      <w:marBottom w:val="0"/>
      <w:divBdr>
        <w:top w:val="none" w:sz="0" w:space="0" w:color="auto"/>
        <w:left w:val="none" w:sz="0" w:space="0" w:color="auto"/>
        <w:bottom w:val="none" w:sz="0" w:space="0" w:color="auto"/>
        <w:right w:val="none" w:sz="0" w:space="0" w:color="auto"/>
      </w:divBdr>
    </w:div>
    <w:div w:id="1339694510">
      <w:bodyDiv w:val="1"/>
      <w:marLeft w:val="0"/>
      <w:marRight w:val="0"/>
      <w:marTop w:val="0"/>
      <w:marBottom w:val="0"/>
      <w:divBdr>
        <w:top w:val="none" w:sz="0" w:space="0" w:color="auto"/>
        <w:left w:val="none" w:sz="0" w:space="0" w:color="auto"/>
        <w:bottom w:val="none" w:sz="0" w:space="0" w:color="auto"/>
        <w:right w:val="none" w:sz="0" w:space="0" w:color="auto"/>
      </w:divBdr>
    </w:div>
    <w:div w:id="1439835720">
      <w:bodyDiv w:val="1"/>
      <w:marLeft w:val="0"/>
      <w:marRight w:val="0"/>
      <w:marTop w:val="0"/>
      <w:marBottom w:val="0"/>
      <w:divBdr>
        <w:top w:val="none" w:sz="0" w:space="0" w:color="auto"/>
        <w:left w:val="none" w:sz="0" w:space="0" w:color="auto"/>
        <w:bottom w:val="none" w:sz="0" w:space="0" w:color="auto"/>
        <w:right w:val="none" w:sz="0" w:space="0" w:color="auto"/>
      </w:divBdr>
    </w:div>
    <w:div w:id="1684818049">
      <w:bodyDiv w:val="1"/>
      <w:marLeft w:val="0"/>
      <w:marRight w:val="0"/>
      <w:marTop w:val="0"/>
      <w:marBottom w:val="0"/>
      <w:divBdr>
        <w:top w:val="none" w:sz="0" w:space="0" w:color="auto"/>
        <w:left w:val="none" w:sz="0" w:space="0" w:color="auto"/>
        <w:bottom w:val="none" w:sz="0" w:space="0" w:color="auto"/>
        <w:right w:val="none" w:sz="0" w:space="0" w:color="auto"/>
      </w:divBdr>
    </w:div>
    <w:div w:id="1721395810">
      <w:bodyDiv w:val="1"/>
      <w:marLeft w:val="0"/>
      <w:marRight w:val="0"/>
      <w:marTop w:val="0"/>
      <w:marBottom w:val="0"/>
      <w:divBdr>
        <w:top w:val="none" w:sz="0" w:space="0" w:color="auto"/>
        <w:left w:val="none" w:sz="0" w:space="0" w:color="auto"/>
        <w:bottom w:val="none" w:sz="0" w:space="0" w:color="auto"/>
        <w:right w:val="none" w:sz="0" w:space="0" w:color="auto"/>
      </w:divBdr>
    </w:div>
    <w:div w:id="1763987199">
      <w:bodyDiv w:val="1"/>
      <w:marLeft w:val="0"/>
      <w:marRight w:val="0"/>
      <w:marTop w:val="0"/>
      <w:marBottom w:val="0"/>
      <w:divBdr>
        <w:top w:val="none" w:sz="0" w:space="0" w:color="auto"/>
        <w:left w:val="none" w:sz="0" w:space="0" w:color="auto"/>
        <w:bottom w:val="none" w:sz="0" w:space="0" w:color="auto"/>
        <w:right w:val="none" w:sz="0" w:space="0" w:color="auto"/>
      </w:divBdr>
    </w:div>
    <w:div w:id="1781677339">
      <w:bodyDiv w:val="1"/>
      <w:marLeft w:val="0"/>
      <w:marRight w:val="0"/>
      <w:marTop w:val="0"/>
      <w:marBottom w:val="0"/>
      <w:divBdr>
        <w:top w:val="none" w:sz="0" w:space="0" w:color="auto"/>
        <w:left w:val="none" w:sz="0" w:space="0" w:color="auto"/>
        <w:bottom w:val="none" w:sz="0" w:space="0" w:color="auto"/>
        <w:right w:val="none" w:sz="0" w:space="0" w:color="auto"/>
      </w:divBdr>
    </w:div>
    <w:div w:id="1859079682">
      <w:bodyDiv w:val="1"/>
      <w:marLeft w:val="0"/>
      <w:marRight w:val="0"/>
      <w:marTop w:val="0"/>
      <w:marBottom w:val="0"/>
      <w:divBdr>
        <w:top w:val="none" w:sz="0" w:space="0" w:color="auto"/>
        <w:left w:val="none" w:sz="0" w:space="0" w:color="auto"/>
        <w:bottom w:val="none" w:sz="0" w:space="0" w:color="auto"/>
        <w:right w:val="none" w:sz="0" w:space="0" w:color="auto"/>
      </w:divBdr>
    </w:div>
    <w:div w:id="1919746080">
      <w:bodyDiv w:val="1"/>
      <w:marLeft w:val="0"/>
      <w:marRight w:val="0"/>
      <w:marTop w:val="0"/>
      <w:marBottom w:val="0"/>
      <w:divBdr>
        <w:top w:val="none" w:sz="0" w:space="0" w:color="auto"/>
        <w:left w:val="none" w:sz="0" w:space="0" w:color="auto"/>
        <w:bottom w:val="none" w:sz="0" w:space="0" w:color="auto"/>
        <w:right w:val="none" w:sz="0" w:space="0" w:color="auto"/>
      </w:divBdr>
    </w:div>
    <w:div w:id="1937127608">
      <w:bodyDiv w:val="1"/>
      <w:marLeft w:val="0"/>
      <w:marRight w:val="0"/>
      <w:marTop w:val="0"/>
      <w:marBottom w:val="0"/>
      <w:divBdr>
        <w:top w:val="none" w:sz="0" w:space="0" w:color="auto"/>
        <w:left w:val="none" w:sz="0" w:space="0" w:color="auto"/>
        <w:bottom w:val="none" w:sz="0" w:space="0" w:color="auto"/>
        <w:right w:val="none" w:sz="0" w:space="0" w:color="auto"/>
      </w:divBdr>
    </w:div>
    <w:div w:id="2006469380">
      <w:bodyDiv w:val="1"/>
      <w:marLeft w:val="0"/>
      <w:marRight w:val="0"/>
      <w:marTop w:val="0"/>
      <w:marBottom w:val="0"/>
      <w:divBdr>
        <w:top w:val="none" w:sz="0" w:space="0" w:color="auto"/>
        <w:left w:val="none" w:sz="0" w:space="0" w:color="auto"/>
        <w:bottom w:val="none" w:sz="0" w:space="0" w:color="auto"/>
        <w:right w:val="none" w:sz="0" w:space="0" w:color="auto"/>
      </w:divBdr>
    </w:div>
    <w:div w:id="203306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mailto:ravi@ganjalaw420.com" TargetMode="External"/><Relationship Id="rId3" Type="http://schemas.openxmlformats.org/officeDocument/2006/relationships/hyperlink" Target="https://www.cpuc.ca.gov/about-cpuc/divisions/water-division" TargetMode="External"/><Relationship Id="rId7" Type="http://schemas.openxmlformats.org/officeDocument/2006/relationships/hyperlink" Target="mailto:CPUCElectronicFiling@cpuc.ca.gov" TargetMode="External"/><Relationship Id="rId2" Type="http://schemas.openxmlformats.org/officeDocument/2006/relationships/hyperlink" Target="https://www.waterboards.ca.gov/about_us/" TargetMode="External"/><Relationship Id="rId1" Type="http://schemas.openxmlformats.org/officeDocument/2006/relationships/hyperlink" Target="https://www.epa.gov/sdwa/overview-safe-drinking-water-act" TargetMode="External"/><Relationship Id="rId6" Type="http://schemas.openxmlformats.org/officeDocument/2006/relationships/hyperlink" Target="https://www.cpuc.ca.gov/about-cpuc/divisions/water-division/water-rates-and-general-rate-case-proceedings-section/general-rate-case-process" TargetMode="External"/><Relationship Id="rId5" Type="http://schemas.openxmlformats.org/officeDocument/2006/relationships/hyperlink" Target="https://www.sanbernardino.gov/614/PublicWorks%23:~:text=Our%20O%26M%20team%20is%20responsible,weed%20abatement%2C%20and%20public%20parks." TargetMode="External"/><Relationship Id="rId4" Type="http://schemas.openxmlformats.org/officeDocument/2006/relationships/hyperlink" Target="https://www.cpuc.ca.gov/industries-and-topics/w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2.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3.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customXml/itemProps4.xml><?xml version="1.0" encoding="utf-8"?>
<ds:datastoreItem xmlns:ds="http://schemas.openxmlformats.org/officeDocument/2006/customXml" ds:itemID="{3C8E3B5C-E70E-42FA-92F7-19CEDC1C2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80</ap:Pages>
  <ap:Words>17437</ap:Words>
  <ap:Characters>99397</ap:Characters>
  <ap:Application>Microsoft Office Word</ap:Application>
  <ap:DocSecurity>0</ap:DocSecurity>
  <ap:Lines>828</ap:Lines>
  <ap:Paragraphs>233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116601</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2026-06-19T14:57:04Z</dcterms:created>
  <dcterms:modified xsi:type="dcterms:W3CDTF">2026-06-19T14:57:04Z</dcterms:modified>
</cp:coreProperties>
</file>