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9D9" w:rsidR="001755C2" w:rsidP="001755C2" w:rsidRDefault="001755C2" w14:paraId="74C67B62" w14:textId="01EB3F27">
      <w:pPr>
        <w:tabs>
          <w:tab w:val="center" w:pos="4680"/>
          <w:tab w:val="right" w:pos="9360"/>
        </w:tabs>
        <w:rPr>
          <w:b/>
          <w:bCs/>
        </w:rPr>
      </w:pPr>
      <w:r w:rsidRPr="005169D9">
        <w:rPr>
          <w:color w:val="000000"/>
        </w:rPr>
        <w:t>ALJ/</w:t>
      </w:r>
      <w:r>
        <w:rPr>
          <w:color w:val="000000"/>
        </w:rPr>
        <w:t>ZZ1</w:t>
      </w:r>
      <w:r w:rsidRPr="005169D9">
        <w:rPr>
          <w:color w:val="000000"/>
        </w:rPr>
        <w:t>/</w:t>
      </w:r>
      <w:proofErr w:type="spellStart"/>
      <w:r w:rsidRPr="005169D9">
        <w:rPr>
          <w:color w:val="000000"/>
        </w:rPr>
        <w:t>vhj</w:t>
      </w:r>
      <w:proofErr w:type="spellEnd"/>
      <w:r w:rsidRPr="005169D9">
        <w:tab/>
      </w:r>
      <w:r w:rsidR="00873E6D">
        <w:rPr>
          <w:b/>
          <w:bCs/>
        </w:rPr>
        <w:tab/>
        <w:t>Date of Issuance 6/1</w:t>
      </w:r>
      <w:r w:rsidR="00D935A9">
        <w:rPr>
          <w:b/>
          <w:bCs/>
        </w:rPr>
        <w:t>7</w:t>
      </w:r>
      <w:r w:rsidR="00873E6D">
        <w:rPr>
          <w:b/>
          <w:bCs/>
        </w:rPr>
        <w:t>/2026</w:t>
      </w:r>
    </w:p>
    <w:p w:rsidR="001755C2" w:rsidRDefault="001755C2" w14:paraId="139FCB92" w14:textId="77777777">
      <w:pPr>
        <w:suppressAutoHyphens/>
        <w:rPr>
          <w:color w:val="000000"/>
        </w:rPr>
      </w:pPr>
    </w:p>
    <w:p w:rsidR="00873E6D" w:rsidRDefault="00873E6D" w14:paraId="783B6F78" w14:textId="77777777">
      <w:pPr>
        <w:suppressAutoHyphens/>
        <w:rPr>
          <w:color w:val="000000"/>
        </w:rPr>
      </w:pPr>
    </w:p>
    <w:p w:rsidRPr="00873E6D" w:rsidR="00A92D0B" w:rsidRDefault="00A92D0B" w14:paraId="5BDA9FD4" w14:textId="0FDDB6F5">
      <w:pPr>
        <w:suppressAutoHyphens/>
        <w:rPr>
          <w:color w:val="000000"/>
        </w:rPr>
      </w:pPr>
      <w:r w:rsidRPr="007F620E">
        <w:rPr>
          <w:color w:val="000000"/>
        </w:rPr>
        <w:t xml:space="preserve">Decision </w:t>
      </w:r>
      <w:r w:rsidRPr="00873E6D" w:rsidR="00873E6D">
        <w:rPr>
          <w:color w:val="000000"/>
        </w:rPr>
        <w:t>26-06-027  June 11, 2026</w:t>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870"/>
      </w:tblGrid>
      <w:tr w:rsidRPr="007F620E" w:rsidR="00A92D0B" w:rsidTr="00931BD8" w14:paraId="3942D7B4" w14:textId="77777777">
        <w:tc>
          <w:tcPr>
            <w:tcW w:w="5958" w:type="dxa"/>
          </w:tcPr>
          <w:p w:rsidRPr="007F620E" w:rsidR="00A92D0B" w:rsidP="00931BD8" w:rsidRDefault="00441957" w14:paraId="47850BD9" w14:textId="364955D8">
            <w:pPr>
              <w:spacing w:after="120"/>
              <w:rPr>
                <w:color w:val="000000"/>
              </w:rPr>
            </w:pPr>
            <w:r w:rsidRPr="00441957">
              <w:rPr>
                <w:color w:val="000000"/>
              </w:rPr>
              <w:t>Order Instituting Rulemaking to Update and Amend Commission General Order 131-D.</w:t>
            </w:r>
          </w:p>
        </w:tc>
        <w:tc>
          <w:tcPr>
            <w:tcW w:w="3870" w:type="dxa"/>
            <w:tcBorders>
              <w:top w:val="nil"/>
              <w:bottom w:val="nil"/>
            </w:tcBorders>
            <w:vAlign w:val="center"/>
          </w:tcPr>
          <w:p w:rsidR="00441957" w:rsidP="00D509FA" w:rsidRDefault="00441957" w14:paraId="51A3CC01" w14:textId="4E13140B">
            <w:pPr>
              <w:tabs>
                <w:tab w:val="left" w:pos="1440"/>
                <w:tab w:val="left" w:pos="3600"/>
              </w:tabs>
              <w:jc w:val="center"/>
              <w:rPr>
                <w:color w:val="000000"/>
              </w:rPr>
            </w:pPr>
            <w:r>
              <w:rPr>
                <w:color w:val="000000"/>
              </w:rPr>
              <w:t>R</w:t>
            </w:r>
            <w:r w:rsidR="007161CD">
              <w:rPr>
                <w:color w:val="000000"/>
              </w:rPr>
              <w:t xml:space="preserve">ulemaking </w:t>
            </w:r>
            <w:r>
              <w:rPr>
                <w:color w:val="000000"/>
              </w:rPr>
              <w:t>23-05-018</w:t>
            </w:r>
          </w:p>
          <w:p w:rsidRPr="007F620E" w:rsidR="00A92D0B" w:rsidP="00931BD8" w:rsidRDefault="00A92D0B" w14:paraId="7EC7277D" w14:textId="29C31CF5">
            <w:pPr>
              <w:tabs>
                <w:tab w:val="left" w:pos="1440"/>
                <w:tab w:val="left" w:pos="3600"/>
              </w:tabs>
              <w:jc w:val="center"/>
              <w:rPr>
                <w:color w:val="000000"/>
              </w:rPr>
            </w:pPr>
            <w:r w:rsidRPr="007F620E">
              <w:rPr>
                <w:color w:val="000000"/>
              </w:rPr>
              <w:t xml:space="preserve">(Filed </w:t>
            </w:r>
            <w:r w:rsidR="00BA040E">
              <w:rPr>
                <w:color w:val="000000"/>
              </w:rPr>
              <w:t>May 18, 2023</w:t>
            </w:r>
            <w:r w:rsidRPr="007F620E">
              <w:rPr>
                <w:color w:val="000000"/>
              </w:rPr>
              <w:t>)</w:t>
            </w:r>
          </w:p>
        </w:tc>
      </w:tr>
    </w:tbl>
    <w:p w:rsidRPr="007F620E" w:rsidR="00FC72B7" w:rsidRDefault="00FC72B7" w14:paraId="5459E071" w14:textId="77777777">
      <w:pPr>
        <w:jc w:val="center"/>
        <w:rPr>
          <w:b/>
          <w:color w:val="000000"/>
        </w:rPr>
      </w:pPr>
    </w:p>
    <w:p w:rsidR="00A92D0B" w:rsidP="00DA3BB7" w:rsidRDefault="00DA3BB7" w14:paraId="4BEAFF75" w14:textId="0A364B7A">
      <w:pPr>
        <w:jc w:val="center"/>
        <w:rPr>
          <w:b/>
        </w:rPr>
      </w:pPr>
      <w:r w:rsidRPr="00DA3BB7">
        <w:rPr>
          <w:b/>
        </w:rPr>
        <w:t>DECISION GRANTING COMPENSATION TO PROTECT OUR COMMUNITIES FOUNDATION FOR SUBSTANTIAL CONTRIBUTION TO DECISION</w:t>
      </w:r>
      <w:r w:rsidR="00CC6DA7">
        <w:rPr>
          <w:b/>
        </w:rPr>
        <w:t>S</w:t>
      </w:r>
      <w:r w:rsidRPr="00DA3BB7">
        <w:rPr>
          <w:b/>
        </w:rPr>
        <w:t xml:space="preserve"> </w:t>
      </w:r>
      <w:r>
        <w:rPr>
          <w:b/>
        </w:rPr>
        <w:t xml:space="preserve">(D.) </w:t>
      </w:r>
      <w:r w:rsidRPr="00DA3BB7">
        <w:rPr>
          <w:b/>
        </w:rPr>
        <w:t>23-12-035, D.24-06-026, D.25-01-055</w:t>
      </w:r>
      <w:r w:rsidR="004B16B2">
        <w:rPr>
          <w:b/>
        </w:rPr>
        <w:t xml:space="preserve"> AND</w:t>
      </w:r>
      <w:r w:rsidRPr="00DA3BB7">
        <w:rPr>
          <w:b/>
        </w:rPr>
        <w:t xml:space="preserve"> D.25-07-042</w:t>
      </w:r>
    </w:p>
    <w:p w:rsidRPr="007F620E" w:rsidR="00DA3BB7" w:rsidP="00DA3BB7" w:rsidRDefault="00DA3BB7" w14:paraId="2FD86E3B" w14:textId="77777777">
      <w:pPr>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69"/>
        <w:gridCol w:w="5391"/>
      </w:tblGrid>
      <w:tr w:rsidRPr="007F620E" w:rsidR="00A92D0B" w:rsidTr="00DA3BB7" w14:paraId="0FE98F62" w14:textId="77777777">
        <w:tc>
          <w:tcPr>
            <w:tcW w:w="3969" w:type="dxa"/>
          </w:tcPr>
          <w:p w:rsidRPr="00691528" w:rsidR="00A92D0B" w:rsidP="00C47A2B" w:rsidRDefault="005A63D4" w14:paraId="11570D4A" w14:textId="2AB9F0E4">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D509FA" w:rsidR="00BA040E">
              <w:rPr>
                <w:bCs/>
                <w:color w:val="000000"/>
              </w:rPr>
              <w:t>The Protect Our Communities Foundation</w:t>
            </w:r>
          </w:p>
        </w:tc>
        <w:tc>
          <w:tcPr>
            <w:tcW w:w="5391" w:type="dxa"/>
          </w:tcPr>
          <w:p w:rsidRPr="007F620E" w:rsidR="00A92D0B" w:rsidP="00C47A2B" w:rsidRDefault="00A92D0B" w14:paraId="53A584EE" w14:textId="162EE9D0">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Pr="00ED74CC" w:rsidR="00ED74CC">
              <w:rPr>
                <w:b/>
                <w:color w:val="000000"/>
              </w:rPr>
              <w:t>23-12-035, D.24-06-026, D.25-01-055, D.25-07-042</w:t>
            </w:r>
          </w:p>
        </w:tc>
      </w:tr>
      <w:tr w:rsidRPr="007F620E" w:rsidR="00A92D0B" w:rsidTr="00DA3BB7" w14:paraId="47003B8E" w14:textId="77777777">
        <w:tc>
          <w:tcPr>
            <w:tcW w:w="3969" w:type="dxa"/>
          </w:tcPr>
          <w:p w:rsidRPr="007F620E" w:rsidR="00A92D0B" w:rsidP="00C47A2B" w:rsidRDefault="00A92D0B" w14:paraId="0E2E4BD1" w14:textId="1884413E">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Pr="00D509FA" w:rsidR="00FC72B7">
              <w:rPr>
                <w:bCs/>
                <w:color w:val="000000"/>
              </w:rPr>
              <w:t>$</w:t>
            </w:r>
            <w:r w:rsidRPr="00D509FA" w:rsidR="00265491">
              <w:rPr>
                <w:bCs/>
                <w:color w:val="000000"/>
              </w:rPr>
              <w:t>182,820.75</w:t>
            </w:r>
          </w:p>
        </w:tc>
        <w:tc>
          <w:tcPr>
            <w:tcW w:w="5391" w:type="dxa"/>
            <w:tcBorders>
              <w:bottom w:val="single" w:color="auto" w:sz="4" w:space="0"/>
            </w:tcBorders>
          </w:tcPr>
          <w:p w:rsidRPr="007F620E" w:rsidR="00A92D0B" w:rsidP="00C47A2B" w:rsidRDefault="00A92D0B" w14:paraId="211F40A8" w14:textId="7C2CC335">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1F5514" w:rsidR="001F5514">
              <w:t>$169,290.00</w:t>
            </w:r>
          </w:p>
        </w:tc>
      </w:tr>
      <w:tr w:rsidRPr="007F620E" w:rsidR="00A92D0B" w:rsidTr="00DA3BB7" w14:paraId="5C56877D" w14:textId="77777777">
        <w:tc>
          <w:tcPr>
            <w:tcW w:w="3969" w:type="dxa"/>
          </w:tcPr>
          <w:p w:rsidRPr="00691528" w:rsidR="00A92D0B" w:rsidP="00C47A2B" w:rsidRDefault="00A92D0B" w14:paraId="6EF99E36" w14:textId="26CFB016">
            <w:pPr>
              <w:tabs>
                <w:tab w:val="left" w:pos="3060"/>
                <w:tab w:val="right" w:pos="4500"/>
              </w:tabs>
              <w:rPr>
                <w:color w:val="000000"/>
                <w:u w:val="single"/>
              </w:rPr>
            </w:pPr>
            <w:r w:rsidRPr="007F620E">
              <w:rPr>
                <w:b/>
                <w:color w:val="000000"/>
              </w:rPr>
              <w:t xml:space="preserve">Assigned Commissioner: </w:t>
            </w:r>
            <w:r w:rsidRPr="00D509FA" w:rsidR="007A58C2">
              <w:rPr>
                <w:bCs/>
                <w:color w:val="000000"/>
              </w:rPr>
              <w:t>Karen Douglas</w:t>
            </w:r>
          </w:p>
        </w:tc>
        <w:tc>
          <w:tcPr>
            <w:tcW w:w="5391" w:type="dxa"/>
          </w:tcPr>
          <w:p w:rsidRPr="00691528" w:rsidR="00A92D0B" w:rsidP="00C47A2B" w:rsidRDefault="00A92D0B" w14:paraId="79375F78" w14:textId="16EF42BF">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D509FA" w:rsidR="00FF79DE">
              <w:rPr>
                <w:bCs/>
                <w:color w:val="000000"/>
              </w:rPr>
              <w:t>Zhen Zhang</w:t>
            </w:r>
          </w:p>
        </w:tc>
      </w:tr>
    </w:tbl>
    <w:p w:rsidR="00691528" w:rsidP="009356D1" w:rsidRDefault="00A92D0B" w14:paraId="3CEED871" w14:textId="4036ABFD">
      <w:pPr>
        <w:keepNext/>
        <w:spacing w:before="240"/>
        <w:jc w:val="center"/>
        <w:rPr>
          <w:b/>
          <w:color w:val="000000"/>
        </w:rPr>
      </w:pPr>
      <w:r w:rsidRPr="007F620E">
        <w:rPr>
          <w:b/>
          <w:color w:val="000000"/>
        </w:rPr>
        <w:t>PART I:</w:t>
      </w:r>
      <w:r w:rsidR="008E182E">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7F620E" w:rsidR="00A92D0B" w:rsidTr="001755C2"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647" w:type="dxa"/>
          </w:tcPr>
          <w:p w:rsidR="00FE3BAE" w:rsidRDefault="0050795B" w14:paraId="490F36DF" w14:textId="09E59E7F">
            <w:pPr>
              <w:rPr>
                <w:color w:val="000000"/>
              </w:rPr>
            </w:pPr>
            <w:r>
              <w:rPr>
                <w:color w:val="000000"/>
              </w:rPr>
              <w:t>D.23-12-035</w:t>
            </w:r>
            <w:r w:rsidR="004A7031">
              <w:rPr>
                <w:color w:val="000000"/>
              </w:rPr>
              <w:t xml:space="preserve"> adopt</w:t>
            </w:r>
            <w:r w:rsidR="004176E1">
              <w:rPr>
                <w:color w:val="000000"/>
              </w:rPr>
              <w:t>ed limited</w:t>
            </w:r>
            <w:r w:rsidR="004A7031">
              <w:rPr>
                <w:color w:val="000000"/>
              </w:rPr>
              <w:t xml:space="preserve"> modifications to General Order 131-D</w:t>
            </w:r>
            <w:r w:rsidR="00C101FC">
              <w:rPr>
                <w:color w:val="000000"/>
              </w:rPr>
              <w:t xml:space="preserve"> </w:t>
            </w:r>
            <w:r w:rsidR="004176E1">
              <w:rPr>
                <w:color w:val="000000"/>
              </w:rPr>
              <w:t>in light of</w:t>
            </w:r>
            <w:r w:rsidR="004A7031">
              <w:rPr>
                <w:color w:val="000000"/>
              </w:rPr>
              <w:t xml:space="preserve"> </w:t>
            </w:r>
            <w:r w:rsidR="009379C5">
              <w:rPr>
                <w:color w:val="000000"/>
              </w:rPr>
              <w:t>Senate Bill 529</w:t>
            </w:r>
            <w:r w:rsidR="004176E1">
              <w:rPr>
                <w:color w:val="000000"/>
              </w:rPr>
              <w:t xml:space="preserve">; </w:t>
            </w:r>
            <w:r>
              <w:rPr>
                <w:color w:val="000000"/>
              </w:rPr>
              <w:t>D.24-06-026</w:t>
            </w:r>
            <w:r w:rsidR="00B63E3F">
              <w:rPr>
                <w:color w:val="000000"/>
              </w:rPr>
              <w:t xml:space="preserve"> denied</w:t>
            </w:r>
            <w:r w:rsidR="002C2019">
              <w:rPr>
                <w:color w:val="000000"/>
              </w:rPr>
              <w:t xml:space="preserve"> PCF’s</w:t>
            </w:r>
            <w:r w:rsidR="00B63E3F">
              <w:rPr>
                <w:color w:val="000000"/>
              </w:rPr>
              <w:t xml:space="preserve"> application for rehearing of D.23-12-035</w:t>
            </w:r>
            <w:r w:rsidR="002C2019">
              <w:rPr>
                <w:color w:val="000000"/>
              </w:rPr>
              <w:t xml:space="preserve"> and clarified </w:t>
            </w:r>
            <w:r w:rsidR="00582419">
              <w:rPr>
                <w:color w:val="000000"/>
              </w:rPr>
              <w:t>the Commission’s intent regarding the i</w:t>
            </w:r>
            <w:r w:rsidR="00AD60BC">
              <w:rPr>
                <w:color w:val="000000"/>
              </w:rPr>
              <w:t>n lieu of language</w:t>
            </w:r>
            <w:r w:rsidR="001B62F8">
              <w:rPr>
                <w:color w:val="000000"/>
              </w:rPr>
              <w:t xml:space="preserve">; </w:t>
            </w:r>
            <w:r w:rsidR="00B81CB0">
              <w:rPr>
                <w:color w:val="000000"/>
              </w:rPr>
              <w:t>D.25-01-055</w:t>
            </w:r>
            <w:r w:rsidR="00C20C58">
              <w:rPr>
                <w:color w:val="000000"/>
              </w:rPr>
              <w:t xml:space="preserve"> adopted General Order (GO) 1</w:t>
            </w:r>
            <w:r w:rsidR="007E2F66">
              <w:rPr>
                <w:color w:val="000000"/>
              </w:rPr>
              <w:t>31-E and adopted revisions to GO-131-D</w:t>
            </w:r>
            <w:r w:rsidR="00093D97">
              <w:rPr>
                <w:color w:val="000000"/>
              </w:rPr>
              <w:t xml:space="preserve">; </w:t>
            </w:r>
            <w:r w:rsidR="00B81CB0">
              <w:rPr>
                <w:color w:val="000000"/>
              </w:rPr>
              <w:t>D.25-07-042</w:t>
            </w:r>
            <w:r w:rsidR="00F37960">
              <w:rPr>
                <w:color w:val="000000"/>
              </w:rPr>
              <w:t xml:space="preserve"> denied rehearing of D.25-01-055</w:t>
            </w:r>
            <w:r w:rsidR="00F44330">
              <w:rPr>
                <w:color w:val="000000"/>
              </w:rPr>
              <w:t xml:space="preserve"> and </w:t>
            </w:r>
            <w:r w:rsidR="003B7BED">
              <w:rPr>
                <w:color w:val="000000"/>
              </w:rPr>
              <w:t xml:space="preserve">provided </w:t>
            </w:r>
            <w:r w:rsidR="001B62F8">
              <w:rPr>
                <w:color w:val="000000"/>
              </w:rPr>
              <w:t xml:space="preserve">important clarifications with respect to the language adopted </w:t>
            </w:r>
            <w:r w:rsidR="004B2CCF">
              <w:rPr>
                <w:color w:val="000000"/>
              </w:rPr>
              <w:t>in D.25-01-055.</w:t>
            </w:r>
          </w:p>
          <w:p w:rsidRPr="007F620E" w:rsidR="00C02649" w:rsidRDefault="00C02649" w14:paraId="67B8ECAA" w14:textId="77777777">
            <w:pPr>
              <w:rPr>
                <w:color w:val="000000"/>
              </w:rPr>
            </w:pP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pPr w:leftFromText="180" w:rightFromText="180"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626073" w14:paraId="640CF70A" w14:textId="77777777">
        <w:tc>
          <w:tcPr>
            <w:tcW w:w="4817" w:type="dxa"/>
            <w:tcBorders>
              <w:bottom w:val="single" w:color="auto" w:sz="4" w:space="0"/>
            </w:tcBorders>
          </w:tcPr>
          <w:p w:rsidRPr="007F620E" w:rsidR="00A92D0B" w:rsidP="00626073"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626073"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626073"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626073"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626073"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9A5697" w14:paraId="160E284A" w14:textId="77777777">
        <w:tc>
          <w:tcPr>
            <w:tcW w:w="4817" w:type="dxa"/>
            <w:tcBorders>
              <w:top w:val="single" w:color="auto" w:sz="4" w:space="0"/>
            </w:tcBorders>
          </w:tcPr>
          <w:p w:rsidRPr="007F620E" w:rsidR="00A92D0B" w:rsidP="00626073"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626073" w:rsidRDefault="00C6164D" w14:paraId="35450816" w14:textId="09A73506">
            <w:pPr>
              <w:keepNext/>
              <w:keepLines/>
              <w:tabs>
                <w:tab w:val="left" w:pos="360"/>
              </w:tabs>
              <w:ind w:left="360" w:hanging="360"/>
              <w:rPr>
                <w:color w:val="000000"/>
              </w:rPr>
            </w:pPr>
            <w:r>
              <w:rPr>
                <w:color w:val="000000"/>
              </w:rPr>
              <w:t>N/A</w:t>
            </w:r>
          </w:p>
        </w:tc>
        <w:tc>
          <w:tcPr>
            <w:tcW w:w="2276" w:type="dxa"/>
            <w:tcBorders>
              <w:top w:val="single" w:color="auto" w:sz="4" w:space="0"/>
            </w:tcBorders>
          </w:tcPr>
          <w:p w:rsidRPr="007F620E" w:rsidR="00A92D0B" w:rsidP="00626073" w:rsidRDefault="00A92D0B" w14:paraId="34540344" w14:textId="77777777">
            <w:pPr>
              <w:keepNext/>
              <w:tabs>
                <w:tab w:val="left" w:pos="360"/>
              </w:tabs>
              <w:jc w:val="both"/>
              <w:rPr>
                <w:color w:val="000000"/>
              </w:rPr>
            </w:pPr>
          </w:p>
        </w:tc>
      </w:tr>
      <w:tr w:rsidRPr="007F620E" w:rsidR="00A92D0B" w:rsidTr="009A5697" w14:paraId="24C85564" w14:textId="77777777">
        <w:tc>
          <w:tcPr>
            <w:tcW w:w="4817" w:type="dxa"/>
          </w:tcPr>
          <w:p w:rsidRPr="007F620E" w:rsidR="00A92D0B" w:rsidP="00626073" w:rsidRDefault="00A92D0B" w14:paraId="382C5788" w14:textId="49F0E39E">
            <w:pPr>
              <w:tabs>
                <w:tab w:val="left" w:pos="360"/>
              </w:tabs>
              <w:ind w:left="360" w:hanging="360"/>
              <w:rPr>
                <w:color w:val="000000"/>
              </w:rPr>
            </w:pPr>
            <w:r w:rsidRPr="007F620E">
              <w:rPr>
                <w:color w:val="000000"/>
              </w:rPr>
              <w:lastRenderedPageBreak/>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626073" w:rsidRDefault="00FD3E05" w14:paraId="1826BC2C" w14:textId="7BDBD110">
            <w:pPr>
              <w:keepNext/>
              <w:keepLines/>
              <w:tabs>
                <w:tab w:val="left" w:pos="0"/>
              </w:tabs>
              <w:rPr>
                <w:color w:val="000000"/>
              </w:rPr>
            </w:pPr>
            <w:r>
              <w:rPr>
                <w:color w:val="000000"/>
              </w:rPr>
              <w:t>Within 30 days of July 31, 2023 as authorized by the Scoping Memo and Ruling.</w:t>
            </w:r>
          </w:p>
        </w:tc>
        <w:tc>
          <w:tcPr>
            <w:tcW w:w="2276" w:type="dxa"/>
          </w:tcPr>
          <w:p w:rsidRPr="007F620E" w:rsidR="00A92D0B" w:rsidP="00462A91" w:rsidRDefault="00462A91" w14:paraId="210DAD91" w14:textId="58FAC600">
            <w:pPr>
              <w:tabs>
                <w:tab w:val="left" w:pos="360"/>
              </w:tabs>
              <w:jc w:val="center"/>
              <w:rPr>
                <w:color w:val="000000"/>
              </w:rPr>
            </w:pPr>
            <w:r>
              <w:rPr>
                <w:color w:val="000000"/>
              </w:rPr>
              <w:t xml:space="preserve">Verified. Scoping Ruling issued July 31, 2023 </w:t>
            </w:r>
            <w:r w:rsidR="009A5697">
              <w:rPr>
                <w:color w:val="000000"/>
              </w:rPr>
              <w:t>at p</w:t>
            </w:r>
            <w:r w:rsidR="00585534">
              <w:rPr>
                <w:color w:val="000000"/>
              </w:rPr>
              <w:t>age</w:t>
            </w:r>
            <w:r w:rsidR="00D97118">
              <w:rPr>
                <w:color w:val="000000"/>
              </w:rPr>
              <w:t xml:space="preserve"> </w:t>
            </w:r>
            <w:r w:rsidR="009A5697">
              <w:rPr>
                <w:color w:val="000000"/>
              </w:rPr>
              <w:t>9 states “</w:t>
            </w:r>
            <w:r w:rsidRPr="009A5697" w:rsidR="009A5697">
              <w:rPr>
                <w:color w:val="000000"/>
              </w:rPr>
              <w:t>a customer who intends to seek an award of compensation must file and serve a notice of intent to claim compensation within 30 days after the issuance of this scoping memo.</w:t>
            </w:r>
            <w:r w:rsidR="009A5697">
              <w:rPr>
                <w:color w:val="000000"/>
              </w:rPr>
              <w:t xml:space="preserve">” </w:t>
            </w:r>
          </w:p>
        </w:tc>
      </w:tr>
      <w:tr w:rsidRPr="007F620E" w:rsidR="00A92D0B" w:rsidTr="00252036" w14:paraId="4836EEA6" w14:textId="77777777">
        <w:tc>
          <w:tcPr>
            <w:tcW w:w="4817" w:type="dxa"/>
          </w:tcPr>
          <w:p w:rsidRPr="007F620E" w:rsidR="00A92D0B" w:rsidP="00626073"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626073" w:rsidRDefault="00B70C2C" w14:paraId="44F7CCB9" w14:textId="3F53B9CE">
            <w:pPr>
              <w:keepNext/>
              <w:keepLines/>
              <w:tabs>
                <w:tab w:val="left" w:pos="360"/>
              </w:tabs>
              <w:ind w:left="360" w:hanging="360"/>
              <w:rPr>
                <w:color w:val="000000"/>
              </w:rPr>
            </w:pPr>
            <w:r>
              <w:rPr>
                <w:color w:val="000000"/>
              </w:rPr>
              <w:t>8/30/2025</w:t>
            </w:r>
          </w:p>
        </w:tc>
        <w:tc>
          <w:tcPr>
            <w:tcW w:w="2276" w:type="dxa"/>
            <w:tcBorders>
              <w:bottom w:val="single" w:color="auto" w:sz="4" w:space="0"/>
            </w:tcBorders>
          </w:tcPr>
          <w:p w:rsidRPr="007F620E" w:rsidR="00A92D0B" w:rsidP="009A5697" w:rsidRDefault="009A5697" w14:paraId="71759DE3" w14:textId="307AC513">
            <w:pPr>
              <w:tabs>
                <w:tab w:val="left" w:pos="360"/>
              </w:tabs>
              <w:jc w:val="center"/>
              <w:rPr>
                <w:color w:val="000000"/>
              </w:rPr>
            </w:pPr>
            <w:r>
              <w:rPr>
                <w:color w:val="000000"/>
              </w:rPr>
              <w:t>Verified</w:t>
            </w:r>
          </w:p>
        </w:tc>
      </w:tr>
      <w:tr w:rsidRPr="007F620E" w:rsidR="00A92D0B" w:rsidTr="00626073" w14:paraId="22BBCDE3" w14:textId="77777777">
        <w:tc>
          <w:tcPr>
            <w:tcW w:w="7084" w:type="dxa"/>
            <w:gridSpan w:val="2"/>
            <w:tcBorders>
              <w:bottom w:val="single" w:color="auto" w:sz="4" w:space="0"/>
            </w:tcBorders>
          </w:tcPr>
          <w:p w:rsidRPr="007F620E" w:rsidR="00A92D0B" w:rsidP="00626073"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9A5697" w:rsidRDefault="009A5697" w14:paraId="61DE2845" w14:textId="4B520BD3">
            <w:pPr>
              <w:tabs>
                <w:tab w:val="left" w:pos="360"/>
              </w:tabs>
              <w:jc w:val="center"/>
              <w:rPr>
                <w:color w:val="000000"/>
              </w:rPr>
            </w:pPr>
            <w:r>
              <w:rPr>
                <w:color w:val="000000"/>
              </w:rPr>
              <w:t>Yes</w:t>
            </w:r>
          </w:p>
        </w:tc>
      </w:tr>
      <w:tr w:rsidRPr="007F620E" w:rsidR="00A92D0B" w:rsidTr="00626073"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626073"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626073"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252036" w14:paraId="259EC227" w14:textId="77777777">
        <w:tc>
          <w:tcPr>
            <w:tcW w:w="4817" w:type="dxa"/>
            <w:tcBorders>
              <w:top w:val="single" w:color="auto" w:sz="4" w:space="0"/>
            </w:tcBorders>
          </w:tcPr>
          <w:p w:rsidRPr="007F620E" w:rsidR="00A92D0B" w:rsidP="00626073"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626073" w:rsidRDefault="000034D5" w14:paraId="13E72B6D" w14:textId="4D41EE0B">
            <w:pPr>
              <w:keepNext/>
              <w:keepLines/>
              <w:tabs>
                <w:tab w:val="left" w:pos="360"/>
              </w:tabs>
              <w:ind w:left="360" w:hanging="360"/>
              <w:rPr>
                <w:color w:val="000000"/>
              </w:rPr>
            </w:pPr>
            <w:r>
              <w:rPr>
                <w:color w:val="000000"/>
              </w:rPr>
              <w:t>R.18-12-005</w:t>
            </w:r>
          </w:p>
        </w:tc>
        <w:tc>
          <w:tcPr>
            <w:tcW w:w="2276" w:type="dxa"/>
            <w:tcBorders>
              <w:top w:val="single" w:color="auto" w:sz="4" w:space="0"/>
            </w:tcBorders>
          </w:tcPr>
          <w:p w:rsidRPr="007F620E" w:rsidR="00A92D0B" w:rsidP="009A5697" w:rsidRDefault="00B71399" w14:paraId="2679B197" w14:textId="20EF2CCE">
            <w:pPr>
              <w:keepNext/>
              <w:keepLines/>
              <w:tabs>
                <w:tab w:val="left" w:pos="360"/>
              </w:tabs>
              <w:jc w:val="center"/>
              <w:rPr>
                <w:color w:val="000000"/>
              </w:rPr>
            </w:pPr>
            <w:r>
              <w:rPr>
                <w:color w:val="000000"/>
              </w:rPr>
              <w:t>R.22-11-013</w:t>
            </w:r>
          </w:p>
        </w:tc>
      </w:tr>
      <w:tr w:rsidRPr="007F620E" w:rsidR="00A92D0B" w:rsidTr="00252036" w14:paraId="4E0FB3B6" w14:textId="77777777">
        <w:tc>
          <w:tcPr>
            <w:tcW w:w="4817" w:type="dxa"/>
          </w:tcPr>
          <w:p w:rsidRPr="007F620E" w:rsidR="00A92D0B" w:rsidP="00626073"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626073" w:rsidRDefault="000034D5" w14:paraId="306125B9" w14:textId="15741CBA">
            <w:pPr>
              <w:tabs>
                <w:tab w:val="left" w:pos="360"/>
              </w:tabs>
              <w:ind w:left="360" w:hanging="360"/>
              <w:rPr>
                <w:color w:val="000000"/>
              </w:rPr>
            </w:pPr>
            <w:r>
              <w:rPr>
                <w:color w:val="000000"/>
              </w:rPr>
              <w:t>4/27/2020</w:t>
            </w:r>
          </w:p>
        </w:tc>
        <w:tc>
          <w:tcPr>
            <w:tcW w:w="2276" w:type="dxa"/>
          </w:tcPr>
          <w:p w:rsidRPr="007F620E" w:rsidR="00A92D0B" w:rsidP="009A5697" w:rsidRDefault="00B71399" w14:paraId="19F10313" w14:textId="3AE979DB">
            <w:pPr>
              <w:tabs>
                <w:tab w:val="left" w:pos="360"/>
              </w:tabs>
              <w:jc w:val="center"/>
              <w:rPr>
                <w:color w:val="000000"/>
              </w:rPr>
            </w:pPr>
            <w:r>
              <w:rPr>
                <w:color w:val="000000"/>
              </w:rPr>
              <w:t>6/15/2023</w:t>
            </w:r>
          </w:p>
        </w:tc>
      </w:tr>
      <w:tr w:rsidRPr="007F620E" w:rsidR="00A92D0B" w:rsidTr="00252036" w14:paraId="7F6C1E54" w14:textId="77777777">
        <w:tc>
          <w:tcPr>
            <w:tcW w:w="4817" w:type="dxa"/>
          </w:tcPr>
          <w:p w:rsidRPr="007F620E" w:rsidR="00A92D0B" w:rsidP="00626073"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626073" w:rsidRDefault="000034D5" w14:paraId="5E0F9D32" w14:textId="48E4A26C">
            <w:pPr>
              <w:tabs>
                <w:tab w:val="left" w:pos="360"/>
              </w:tabs>
              <w:ind w:left="360" w:hanging="360"/>
              <w:rPr>
                <w:color w:val="000000"/>
              </w:rPr>
            </w:pPr>
            <w:r>
              <w:rPr>
                <w:color w:val="000000"/>
              </w:rPr>
              <w:t>D.20-04-017</w:t>
            </w:r>
          </w:p>
        </w:tc>
        <w:tc>
          <w:tcPr>
            <w:tcW w:w="2276" w:type="dxa"/>
            <w:tcBorders>
              <w:bottom w:val="single" w:color="auto" w:sz="4" w:space="0"/>
            </w:tcBorders>
          </w:tcPr>
          <w:p w:rsidRPr="007F620E" w:rsidR="00A92D0B" w:rsidP="009A5697" w:rsidRDefault="00B71399" w14:paraId="180E80B3" w14:textId="5BE7EF8F">
            <w:pPr>
              <w:tabs>
                <w:tab w:val="left" w:pos="360"/>
              </w:tabs>
              <w:jc w:val="center"/>
              <w:rPr>
                <w:color w:val="000000"/>
              </w:rPr>
            </w:pPr>
            <w:r>
              <w:rPr>
                <w:color w:val="000000"/>
              </w:rPr>
              <w:t>D.25-04-017</w:t>
            </w:r>
            <w:r w:rsidR="00252036">
              <w:rPr>
                <w:color w:val="000000"/>
              </w:rPr>
              <w:t xml:space="preserve"> affirms 6/15/2023 ruling in R.22-11-013</w:t>
            </w:r>
          </w:p>
        </w:tc>
      </w:tr>
      <w:tr w:rsidRPr="007F620E" w:rsidR="00A92D0B" w:rsidTr="00626073" w14:paraId="397CC4AD" w14:textId="77777777">
        <w:tc>
          <w:tcPr>
            <w:tcW w:w="7084" w:type="dxa"/>
            <w:gridSpan w:val="2"/>
            <w:tcBorders>
              <w:bottom w:val="single" w:color="auto" w:sz="4" w:space="0"/>
            </w:tcBorders>
          </w:tcPr>
          <w:p w:rsidRPr="007F620E" w:rsidR="00A92D0B" w:rsidP="00626073"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9A5697" w:rsidRDefault="00252036" w14:paraId="7D296E63" w14:textId="2C48A63D">
            <w:pPr>
              <w:tabs>
                <w:tab w:val="left" w:pos="360"/>
              </w:tabs>
              <w:jc w:val="center"/>
              <w:rPr>
                <w:color w:val="000000"/>
              </w:rPr>
            </w:pPr>
            <w:r>
              <w:rPr>
                <w:color w:val="000000"/>
              </w:rPr>
              <w:t>Yes</w:t>
            </w:r>
          </w:p>
        </w:tc>
      </w:tr>
      <w:tr w:rsidRPr="007F620E" w:rsidR="00A92D0B" w:rsidTr="00626073"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626073"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252036" w14:paraId="77F91856" w14:textId="77777777">
        <w:tc>
          <w:tcPr>
            <w:tcW w:w="4817" w:type="dxa"/>
            <w:tcBorders>
              <w:top w:val="single" w:color="auto" w:sz="4" w:space="0"/>
            </w:tcBorders>
          </w:tcPr>
          <w:p w:rsidRPr="007F620E" w:rsidR="00A92D0B" w:rsidP="00626073"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626073" w:rsidRDefault="005C2FC7" w14:paraId="54B4911C" w14:textId="448CC246">
            <w:pPr>
              <w:tabs>
                <w:tab w:val="left" w:pos="360"/>
              </w:tabs>
              <w:ind w:left="360" w:hanging="360"/>
              <w:rPr>
                <w:color w:val="000000"/>
              </w:rPr>
            </w:pPr>
            <w:r>
              <w:rPr>
                <w:color w:val="000000"/>
              </w:rPr>
              <w:t>R.22-11-013</w:t>
            </w:r>
          </w:p>
        </w:tc>
        <w:tc>
          <w:tcPr>
            <w:tcW w:w="2276" w:type="dxa"/>
            <w:tcBorders>
              <w:top w:val="single" w:color="auto" w:sz="4" w:space="0"/>
            </w:tcBorders>
          </w:tcPr>
          <w:p w:rsidRPr="007F620E" w:rsidR="00A92D0B" w:rsidP="00252036" w:rsidRDefault="00252036" w14:paraId="2E2FB9D6" w14:textId="2989384C">
            <w:pPr>
              <w:tabs>
                <w:tab w:val="left" w:pos="360"/>
              </w:tabs>
              <w:jc w:val="center"/>
              <w:rPr>
                <w:color w:val="000000"/>
              </w:rPr>
            </w:pPr>
            <w:r>
              <w:rPr>
                <w:color w:val="000000"/>
              </w:rPr>
              <w:t>Verified</w:t>
            </w:r>
          </w:p>
        </w:tc>
      </w:tr>
      <w:tr w:rsidRPr="007F620E" w:rsidR="00A92D0B" w:rsidTr="00252036" w14:paraId="4AD750C1" w14:textId="77777777">
        <w:tc>
          <w:tcPr>
            <w:tcW w:w="4817" w:type="dxa"/>
          </w:tcPr>
          <w:p w:rsidRPr="007F620E" w:rsidR="00A92D0B" w:rsidP="00626073"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626073" w:rsidRDefault="003050C7" w14:paraId="4B66A2E4" w14:textId="2E4927AE">
            <w:pPr>
              <w:tabs>
                <w:tab w:val="left" w:pos="360"/>
              </w:tabs>
              <w:ind w:left="360" w:hanging="360"/>
              <w:rPr>
                <w:color w:val="000000"/>
              </w:rPr>
            </w:pPr>
            <w:r>
              <w:rPr>
                <w:color w:val="000000"/>
              </w:rPr>
              <w:t>6/15/2023</w:t>
            </w:r>
          </w:p>
        </w:tc>
        <w:tc>
          <w:tcPr>
            <w:tcW w:w="2276" w:type="dxa"/>
          </w:tcPr>
          <w:p w:rsidRPr="007F620E" w:rsidR="00A92D0B" w:rsidP="00252036" w:rsidRDefault="00252036" w14:paraId="3B83D035" w14:textId="7C7252FD">
            <w:pPr>
              <w:tabs>
                <w:tab w:val="left" w:pos="360"/>
              </w:tabs>
              <w:jc w:val="center"/>
              <w:rPr>
                <w:color w:val="000000"/>
              </w:rPr>
            </w:pPr>
            <w:r>
              <w:rPr>
                <w:color w:val="000000"/>
              </w:rPr>
              <w:t>Verified</w:t>
            </w:r>
          </w:p>
        </w:tc>
      </w:tr>
      <w:tr w:rsidRPr="007F620E" w:rsidR="00357F1A" w:rsidTr="00252036" w14:paraId="7C183C5E" w14:textId="77777777">
        <w:tc>
          <w:tcPr>
            <w:tcW w:w="4817" w:type="dxa"/>
          </w:tcPr>
          <w:p w:rsidRPr="007F620E" w:rsidR="00357F1A" w:rsidP="00626073"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626073" w:rsidRDefault="00357F1A" w14:paraId="141EB5CF" w14:textId="77777777">
            <w:pPr>
              <w:tabs>
                <w:tab w:val="left" w:pos="360"/>
              </w:tabs>
              <w:ind w:left="360" w:hanging="360"/>
              <w:rPr>
                <w:color w:val="000000"/>
              </w:rPr>
            </w:pPr>
          </w:p>
        </w:tc>
        <w:tc>
          <w:tcPr>
            <w:tcW w:w="2276" w:type="dxa"/>
          </w:tcPr>
          <w:p w:rsidRPr="007F620E" w:rsidR="00357F1A" w:rsidP="00252036" w:rsidRDefault="00357F1A" w14:paraId="79318715" w14:textId="77777777">
            <w:pPr>
              <w:tabs>
                <w:tab w:val="left" w:pos="360"/>
              </w:tabs>
              <w:jc w:val="center"/>
              <w:rPr>
                <w:color w:val="000000"/>
              </w:rPr>
            </w:pPr>
          </w:p>
        </w:tc>
      </w:tr>
      <w:tr w:rsidRPr="007F620E" w:rsidR="00A92D0B" w:rsidTr="00626073" w14:paraId="4E8D20BF" w14:textId="77777777">
        <w:tc>
          <w:tcPr>
            <w:tcW w:w="7084" w:type="dxa"/>
            <w:gridSpan w:val="2"/>
            <w:tcBorders>
              <w:bottom w:val="single" w:color="auto" w:sz="4" w:space="0"/>
            </w:tcBorders>
          </w:tcPr>
          <w:p w:rsidRPr="007F620E" w:rsidR="00A92D0B" w:rsidP="00626073"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252036" w:rsidRDefault="00252036" w14:paraId="0F29B839" w14:textId="7E6DC538">
            <w:pPr>
              <w:tabs>
                <w:tab w:val="left" w:pos="360"/>
              </w:tabs>
              <w:jc w:val="center"/>
              <w:rPr>
                <w:color w:val="000000"/>
              </w:rPr>
            </w:pPr>
            <w:r>
              <w:rPr>
                <w:color w:val="000000"/>
              </w:rPr>
              <w:t>Yes</w:t>
            </w:r>
          </w:p>
        </w:tc>
      </w:tr>
      <w:tr w:rsidRPr="007F620E" w:rsidR="00A92D0B" w:rsidTr="00626073"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626073"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252036" w14:paraId="3E7938B0" w14:textId="77777777">
        <w:tc>
          <w:tcPr>
            <w:tcW w:w="4817" w:type="dxa"/>
            <w:tcBorders>
              <w:top w:val="single" w:color="auto" w:sz="4" w:space="0"/>
            </w:tcBorders>
          </w:tcPr>
          <w:p w:rsidRPr="007F620E" w:rsidR="00A92D0B" w:rsidP="00626073"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626073" w:rsidRDefault="00785394" w14:paraId="7166F318" w14:textId="6355293C">
            <w:pPr>
              <w:tabs>
                <w:tab w:val="left" w:pos="360"/>
              </w:tabs>
              <w:rPr>
                <w:color w:val="000000"/>
              </w:rPr>
            </w:pPr>
            <w:r>
              <w:rPr>
                <w:color w:val="000000"/>
              </w:rPr>
              <w:t>D.25-07-042</w:t>
            </w:r>
          </w:p>
        </w:tc>
        <w:tc>
          <w:tcPr>
            <w:tcW w:w="2276" w:type="dxa"/>
            <w:tcBorders>
              <w:top w:val="single" w:color="auto" w:sz="4" w:space="0"/>
            </w:tcBorders>
          </w:tcPr>
          <w:p w:rsidRPr="007F620E" w:rsidR="00A92D0B" w:rsidP="007A4023" w:rsidRDefault="007A4023" w14:paraId="1588DC54" w14:textId="6B47FB24">
            <w:pPr>
              <w:tabs>
                <w:tab w:val="left" w:pos="360"/>
              </w:tabs>
              <w:jc w:val="center"/>
              <w:rPr>
                <w:color w:val="000000"/>
              </w:rPr>
            </w:pPr>
            <w:r>
              <w:rPr>
                <w:color w:val="000000"/>
              </w:rPr>
              <w:t>Verified</w:t>
            </w:r>
          </w:p>
        </w:tc>
      </w:tr>
      <w:tr w:rsidRPr="007F620E" w:rsidR="00A92D0B" w:rsidTr="00252036" w14:paraId="6360DE59" w14:textId="77777777">
        <w:tc>
          <w:tcPr>
            <w:tcW w:w="4817" w:type="dxa"/>
          </w:tcPr>
          <w:p w:rsidRPr="007F620E" w:rsidR="00A92D0B" w:rsidP="00626073"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626073" w:rsidRDefault="0089698F" w14:paraId="20455B5F" w14:textId="0BA39F5D">
            <w:pPr>
              <w:tabs>
                <w:tab w:val="left" w:pos="360"/>
              </w:tabs>
              <w:rPr>
                <w:color w:val="000000"/>
              </w:rPr>
            </w:pPr>
            <w:r>
              <w:rPr>
                <w:color w:val="000000"/>
              </w:rPr>
              <w:t>July 25, 2025</w:t>
            </w:r>
          </w:p>
        </w:tc>
        <w:tc>
          <w:tcPr>
            <w:tcW w:w="2276" w:type="dxa"/>
          </w:tcPr>
          <w:p w:rsidRPr="007F620E" w:rsidR="00A92D0B" w:rsidP="007A4023" w:rsidRDefault="007A4023" w14:paraId="1FCF00DD" w14:textId="1F9BEB01">
            <w:pPr>
              <w:tabs>
                <w:tab w:val="left" w:pos="360"/>
              </w:tabs>
              <w:jc w:val="center"/>
              <w:rPr>
                <w:color w:val="000000"/>
              </w:rPr>
            </w:pPr>
            <w:r>
              <w:rPr>
                <w:color w:val="000000"/>
              </w:rPr>
              <w:t>Verified</w:t>
            </w:r>
          </w:p>
        </w:tc>
      </w:tr>
      <w:tr w:rsidRPr="007F620E" w:rsidR="00A92D0B" w:rsidTr="00252036" w14:paraId="723259E3" w14:textId="77777777">
        <w:tc>
          <w:tcPr>
            <w:tcW w:w="4817" w:type="dxa"/>
          </w:tcPr>
          <w:p w:rsidRPr="007F620E" w:rsidR="00A92D0B" w:rsidP="00626073"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626073" w:rsidRDefault="004106AE" w14:paraId="0568B39D" w14:textId="470F2390">
            <w:pPr>
              <w:tabs>
                <w:tab w:val="left" w:pos="360"/>
              </w:tabs>
              <w:rPr>
                <w:color w:val="000000"/>
              </w:rPr>
            </w:pPr>
            <w:r>
              <w:rPr>
                <w:color w:val="000000"/>
              </w:rPr>
              <w:t>September 23, 2025</w:t>
            </w:r>
          </w:p>
        </w:tc>
        <w:tc>
          <w:tcPr>
            <w:tcW w:w="2276" w:type="dxa"/>
          </w:tcPr>
          <w:p w:rsidRPr="007F620E" w:rsidR="00A92D0B" w:rsidP="007A4023" w:rsidRDefault="007A4023" w14:paraId="1CBF4E7A" w14:textId="2A793B48">
            <w:pPr>
              <w:tabs>
                <w:tab w:val="left" w:pos="360"/>
              </w:tabs>
              <w:jc w:val="center"/>
              <w:rPr>
                <w:color w:val="000000"/>
              </w:rPr>
            </w:pPr>
            <w:r>
              <w:rPr>
                <w:color w:val="000000"/>
              </w:rPr>
              <w:t>Verified</w:t>
            </w:r>
          </w:p>
        </w:tc>
      </w:tr>
      <w:tr w:rsidRPr="007F620E" w:rsidR="00A92D0B" w:rsidTr="00626073" w14:paraId="406BCA3A" w14:textId="77777777">
        <w:tc>
          <w:tcPr>
            <w:tcW w:w="7084" w:type="dxa"/>
            <w:gridSpan w:val="2"/>
          </w:tcPr>
          <w:p w:rsidRPr="007F620E" w:rsidR="00A92D0B" w:rsidP="00626073"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2276" w:type="dxa"/>
          </w:tcPr>
          <w:p w:rsidRPr="007F620E" w:rsidR="00A92D0B" w:rsidP="007A4023" w:rsidRDefault="007A4023" w14:paraId="2EA30E63" w14:textId="041CB7DC">
            <w:pPr>
              <w:tabs>
                <w:tab w:val="left" w:pos="360"/>
              </w:tabs>
              <w:jc w:val="center"/>
              <w:rPr>
                <w:color w:val="000000"/>
              </w:rPr>
            </w:pPr>
            <w:r>
              <w:rPr>
                <w:color w:val="000000"/>
              </w:rPr>
              <w:t>Yes</w:t>
            </w:r>
          </w:p>
        </w:tc>
      </w:tr>
    </w:tbl>
    <w:p w:rsidRPr="007F620E" w:rsidR="00A92D0B" w:rsidP="00880855" w:rsidRDefault="00A92D0B" w14:paraId="0068592B" w14:textId="7D5D7528">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r w:rsidRPr="007F620E">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626073" w14:paraId="1C6180A4" w14:textId="77777777">
        <w:trPr>
          <w:trHeight w:val="67"/>
        </w:trPr>
        <w:tc>
          <w:tcPr>
            <w:tcW w:w="860" w:type="dxa"/>
          </w:tcPr>
          <w:p w:rsidRPr="007F620E" w:rsidR="003C608A" w:rsidP="007056FC" w:rsidRDefault="002D4982" w14:paraId="4350D384" w14:textId="07672878">
            <w:pPr>
              <w:tabs>
                <w:tab w:val="left" w:pos="360"/>
              </w:tabs>
              <w:rPr>
                <w:color w:val="000000"/>
              </w:rPr>
            </w:pPr>
            <w:r>
              <w:rPr>
                <w:color w:val="000000"/>
              </w:rPr>
              <w:t>5-7</w:t>
            </w:r>
          </w:p>
        </w:tc>
        <w:tc>
          <w:tcPr>
            <w:tcW w:w="3759" w:type="dxa"/>
          </w:tcPr>
          <w:p w:rsidRPr="007F620E" w:rsidR="003C608A" w:rsidP="007056FC" w:rsidRDefault="00C34C85" w14:paraId="0ECF4A98" w14:textId="5BDD8110">
            <w:pPr>
              <w:tabs>
                <w:tab w:val="left" w:pos="360"/>
              </w:tabs>
              <w:rPr>
                <w:color w:val="000000"/>
              </w:rPr>
            </w:pPr>
            <w:r w:rsidRPr="00F6608F">
              <w:rPr>
                <w:color w:val="000000"/>
              </w:rPr>
              <w:t xml:space="preserve">The Protect Our Communities Foundation (“PCF”) meets the definition of a Category 3 customer under the Public Utilities Code as a “representative of a group or organization authorized pursuant to its articles of incorporation or bylaws to represent the interests of residential customers…” (Pub. Util. Code § 1802, subd. (b)(1)(C).) Article 3, Section 3.3 of PCF’s Bylaws specifically authorizes the organization to represent the interests of Southern California residential utility ratepayers in proceedings before the Commission and to seek intervenor compensation for doing so. PCF advocates for just and reasonable rates and against unreasonably costly or unnecessary utility projects. PCF advocates for </w:t>
            </w:r>
            <w:r w:rsidR="008349A9">
              <w:rPr>
                <w:color w:val="000000"/>
              </w:rPr>
              <w:t>lawful</w:t>
            </w:r>
            <w:r w:rsidR="009463BA">
              <w:rPr>
                <w:color w:val="000000"/>
              </w:rPr>
              <w:t xml:space="preserve"> implementation of statutory mandates</w:t>
            </w:r>
            <w:r w:rsidR="00A96DBA">
              <w:rPr>
                <w:color w:val="000000"/>
              </w:rPr>
              <w:t xml:space="preserve">, </w:t>
            </w:r>
            <w:r w:rsidRPr="00F6608F">
              <w:rPr>
                <w:color w:val="000000"/>
              </w:rPr>
              <w:t>for the protection of</w:t>
            </w:r>
            <w:r w:rsidR="00AD0479">
              <w:rPr>
                <w:color w:val="000000"/>
              </w:rPr>
              <w:t xml:space="preserve"> </w:t>
            </w:r>
            <w:r w:rsidR="008825AF">
              <w:rPr>
                <w:color w:val="000000"/>
              </w:rPr>
              <w:t xml:space="preserve">communities and </w:t>
            </w:r>
            <w:r w:rsidR="00C848C9">
              <w:rPr>
                <w:color w:val="000000"/>
              </w:rPr>
              <w:t>natural resources</w:t>
            </w:r>
            <w:r w:rsidR="00A96DBA">
              <w:rPr>
                <w:color w:val="000000"/>
              </w:rPr>
              <w:t xml:space="preserve"> </w:t>
            </w:r>
            <w:r w:rsidRPr="00F6608F">
              <w:rPr>
                <w:color w:val="000000"/>
              </w:rPr>
              <w:t xml:space="preserve">from the impacts of largescale energy and industrial infrastructure projects, and </w:t>
            </w:r>
            <w:r w:rsidR="00483710">
              <w:rPr>
                <w:color w:val="000000"/>
              </w:rPr>
              <w:t>to m</w:t>
            </w:r>
            <w:r w:rsidRPr="002C33BB" w:rsidR="00483710">
              <w:t>aximize clean, local, affordable, and equitable energy solutions</w:t>
            </w:r>
            <w:r w:rsidRPr="00E42EFC">
              <w:rPr>
                <w:color w:val="000000"/>
              </w:rPr>
              <w:t xml:space="preserve">. PCF is a San Diego, California based nonprofit public benefit corporation organized for charitable and public purposes within the meaning of Section 501(c)(3) of the Internal Revenue Service Code. PCF also qualifies as an environmental group within the scope of Section 1802(b)(1)(C) because it represents the interests of customers with a concern for the environment. A copy of PCF’s current Bylaws are on file with the Commission in R.13-12-010. In R.13- 12-010, PCF was found to </w:t>
            </w:r>
            <w:r w:rsidRPr="00E42EFC">
              <w:rPr>
                <w:color w:val="000000"/>
              </w:rPr>
              <w:lastRenderedPageBreak/>
              <w:t>have satisfied eligibility requirements in the September 26, 2014, Administrative Law Judge’s Ruling on Protect Our Communities Foundation’s Amended Showing of Significant Financial Hardship. A copy of PCF’s current Bylaws, as well as a copy of PCF’s current Articles of Incorporation, is also on file in A.15-09-013. In A.15-09-013, PCF was found to have satisfied eligibility requirements in D.19-04- 031, Decision Granting Compensation to Protect Our Communities for Substantial Contribution to Decision 18-06-028 (April 25, 2019).</w:t>
            </w:r>
          </w:p>
        </w:tc>
        <w:tc>
          <w:tcPr>
            <w:tcW w:w="4741" w:type="dxa"/>
          </w:tcPr>
          <w:p w:rsidR="00626073" w:rsidP="00626073" w:rsidRDefault="00626073" w14:paraId="71B86D32" w14:textId="77777777">
            <w:pPr>
              <w:tabs>
                <w:tab w:val="left" w:pos="360"/>
              </w:tabs>
              <w:jc w:val="center"/>
              <w:rPr>
                <w:color w:val="000000"/>
              </w:rPr>
            </w:pPr>
          </w:p>
          <w:p w:rsidR="00626073" w:rsidP="00626073" w:rsidRDefault="00626073" w14:paraId="3D65727D" w14:textId="77777777">
            <w:pPr>
              <w:tabs>
                <w:tab w:val="left" w:pos="360"/>
              </w:tabs>
              <w:jc w:val="center"/>
              <w:rPr>
                <w:color w:val="000000"/>
              </w:rPr>
            </w:pPr>
          </w:p>
          <w:p w:rsidR="00626073" w:rsidP="00626073" w:rsidRDefault="00626073" w14:paraId="4BC63FB5" w14:textId="77777777">
            <w:pPr>
              <w:tabs>
                <w:tab w:val="left" w:pos="360"/>
              </w:tabs>
              <w:jc w:val="center"/>
              <w:rPr>
                <w:color w:val="000000"/>
              </w:rPr>
            </w:pPr>
          </w:p>
          <w:p w:rsidRPr="007F620E" w:rsidR="003C608A" w:rsidP="00626073" w:rsidRDefault="00626073" w14:paraId="416D6250" w14:textId="77E5F3C8">
            <w:pPr>
              <w:tabs>
                <w:tab w:val="left" w:pos="360"/>
              </w:tabs>
              <w:jc w:val="center"/>
              <w:rPr>
                <w:color w:val="000000"/>
              </w:rPr>
            </w:pPr>
            <w:r>
              <w:rPr>
                <w:color w:val="000000"/>
              </w:rPr>
              <w:t>Noted</w:t>
            </w:r>
          </w:p>
        </w:tc>
      </w:tr>
      <w:tr w:rsidRPr="007F620E" w:rsidR="00120565" w:rsidTr="00626073" w14:paraId="289F17C7" w14:textId="77777777">
        <w:trPr>
          <w:trHeight w:val="359"/>
        </w:trPr>
        <w:tc>
          <w:tcPr>
            <w:tcW w:w="860" w:type="dxa"/>
          </w:tcPr>
          <w:p w:rsidRPr="007F620E" w:rsidR="00120565" w:rsidP="00120565" w:rsidRDefault="00120565" w14:paraId="6390C46E" w14:textId="19302DD7">
            <w:pPr>
              <w:tabs>
                <w:tab w:val="left" w:pos="360"/>
              </w:tabs>
              <w:rPr>
                <w:color w:val="000000"/>
              </w:rPr>
            </w:pPr>
            <w:r>
              <w:rPr>
                <w:color w:val="000000"/>
              </w:rPr>
              <w:t>9-11</w:t>
            </w:r>
          </w:p>
        </w:tc>
        <w:tc>
          <w:tcPr>
            <w:tcW w:w="3759" w:type="dxa"/>
          </w:tcPr>
          <w:p w:rsidRPr="007F620E" w:rsidR="00120565" w:rsidP="00120565" w:rsidRDefault="00120565" w14:paraId="43CC9A49" w14:textId="0605D39B">
            <w:pPr>
              <w:tabs>
                <w:tab w:val="left" w:pos="360"/>
              </w:tabs>
              <w:rPr>
                <w:color w:val="000000"/>
              </w:rPr>
            </w:pPr>
            <w:r w:rsidRPr="00E42EFC">
              <w:rPr>
                <w:color w:val="000000"/>
              </w:rPr>
              <w:t>PCF continues to meet the Commission’s longstanding definition of significant financial hardship. PCF is a nonprofit public benefit corporation organized exclusively for charitable, educational and public purposes within the meaning of Section</w:t>
            </w:r>
            <w:r>
              <w:rPr>
                <w:color w:val="000000"/>
              </w:rPr>
              <w:t xml:space="preserve"> </w:t>
            </w:r>
            <w:r w:rsidRPr="00E42EFC">
              <w:rPr>
                <w:color w:val="000000"/>
              </w:rPr>
              <w:t xml:space="preserve">501(c)(3) of the Internal Revenue Code. PCF represents the interests of a specific constituency: San Diego and other Southern California area residential utility ratepayers, the majority of whom do not have the financial ability to represent themselves and whose interests are often not adequately represented in Commission proceedings. Although PCF’s constituents’ rates are among the highest in the nation, the rates for any one household remains small when compared to the resources necessary to participate effectively before this Commission. Pursuant to Public Utilities Code section 1802(h), PCF certifies that the economic interest in the proceeding </w:t>
            </w:r>
            <w:r w:rsidRPr="00E42EFC">
              <w:rPr>
                <w:color w:val="000000"/>
              </w:rPr>
              <w:lastRenderedPageBreak/>
              <w:t>of any individual PCF constituent is small compared to the cost of effective participation in this proceeding. Moreover, the Commission has repeatedly determined that PCF’s participation without an award of intervenor compensation imposes a significant financial hardship, including in proceeding A.21-05- 011/014 on October 28, 2021. PCF's circumstances have not changed in any relevant respect since the above determination was made. Pub. Util. Code, § 1803, subd. (b)(1) (“A finding of significant financial hardship shall create a rebuttable presumption of eligibility for compensation in other commission proceedings commencing within one year of the date of that finding.”).</w:t>
            </w:r>
          </w:p>
        </w:tc>
        <w:tc>
          <w:tcPr>
            <w:tcW w:w="4741" w:type="dxa"/>
          </w:tcPr>
          <w:p w:rsidR="00626073" w:rsidP="00626073" w:rsidRDefault="00626073" w14:paraId="4DDDB4C3" w14:textId="77777777">
            <w:pPr>
              <w:tabs>
                <w:tab w:val="left" w:pos="360"/>
              </w:tabs>
              <w:jc w:val="center"/>
              <w:rPr>
                <w:color w:val="000000"/>
              </w:rPr>
            </w:pPr>
          </w:p>
          <w:p w:rsidR="00626073" w:rsidP="00626073" w:rsidRDefault="00626073" w14:paraId="53F24FD1" w14:textId="77777777">
            <w:pPr>
              <w:tabs>
                <w:tab w:val="left" w:pos="360"/>
              </w:tabs>
              <w:jc w:val="center"/>
              <w:rPr>
                <w:color w:val="000000"/>
              </w:rPr>
            </w:pPr>
          </w:p>
          <w:p w:rsidR="00626073" w:rsidP="00626073" w:rsidRDefault="00626073" w14:paraId="459E28B9" w14:textId="77777777">
            <w:pPr>
              <w:tabs>
                <w:tab w:val="left" w:pos="360"/>
              </w:tabs>
              <w:jc w:val="center"/>
              <w:rPr>
                <w:color w:val="000000"/>
              </w:rPr>
            </w:pPr>
          </w:p>
          <w:p w:rsidR="00626073" w:rsidP="00626073" w:rsidRDefault="00626073" w14:paraId="423F7972" w14:textId="77777777">
            <w:pPr>
              <w:tabs>
                <w:tab w:val="left" w:pos="360"/>
              </w:tabs>
              <w:jc w:val="center"/>
              <w:rPr>
                <w:color w:val="000000"/>
              </w:rPr>
            </w:pPr>
          </w:p>
          <w:p w:rsidR="00626073" w:rsidP="00626073" w:rsidRDefault="00626073" w14:paraId="0F560F5F" w14:textId="77777777">
            <w:pPr>
              <w:tabs>
                <w:tab w:val="left" w:pos="360"/>
              </w:tabs>
              <w:jc w:val="center"/>
              <w:rPr>
                <w:color w:val="000000"/>
              </w:rPr>
            </w:pPr>
          </w:p>
          <w:p w:rsidRPr="007F620E" w:rsidR="00120565" w:rsidP="00626073" w:rsidRDefault="00626073" w14:paraId="1B47B2B2" w14:textId="1822EFCB">
            <w:pPr>
              <w:tabs>
                <w:tab w:val="left" w:pos="360"/>
              </w:tabs>
              <w:jc w:val="center"/>
              <w:rPr>
                <w:color w:val="000000"/>
              </w:rPr>
            </w:pPr>
            <w:r>
              <w:rPr>
                <w:color w:val="000000"/>
              </w:rPr>
              <w:t>Noted</w:t>
            </w:r>
          </w:p>
        </w:tc>
      </w:tr>
    </w:tbl>
    <w:p w:rsidR="003B6A1B" w:rsidP="009356D1" w:rsidRDefault="00A92D0B" w14:paraId="501B5F3D" w14:textId="4F8FB93B">
      <w:pPr>
        <w:keepNext/>
        <w:spacing w:before="240"/>
        <w:jc w:val="center"/>
        <w:rPr>
          <w:b/>
          <w:color w:val="000000"/>
        </w:rPr>
      </w:pPr>
      <w:r w:rsidRPr="007F620E">
        <w:rPr>
          <w:b/>
          <w:color w:val="000000"/>
        </w:rPr>
        <w:t>PART II:</w:t>
      </w:r>
      <w:r w:rsidR="00D1778A">
        <w:rPr>
          <w:b/>
          <w:color w:val="000000"/>
        </w:rPr>
        <w:t xml:space="preserve">  </w:t>
      </w:r>
      <w:r w:rsidRPr="007F620E">
        <w:rPr>
          <w:b/>
          <w:color w:val="000000"/>
        </w:rPr>
        <w:t>SUBSTANTIAL CONTRIBUTION</w:t>
      </w:r>
    </w:p>
    <w:p w:rsidRPr="00C02649" w:rsidR="00A92D0B" w:rsidP="009356D1" w:rsidRDefault="00D075B1" w14:paraId="337CC332" w14:textId="76045CB6">
      <w:pPr>
        <w:keepNext/>
        <w:numPr>
          <w:ilvl w:val="0"/>
          <w:numId w:val="8"/>
        </w:numPr>
        <w:spacing w:before="12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1957"/>
      </w:tblGrid>
      <w:tr w:rsidRPr="007F620E" w:rsidR="00A92D0B" w:rsidTr="007161CD" w14:paraId="67755362" w14:textId="77777777">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1957"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A92D0B" w:rsidTr="007161CD" w14:paraId="2E691FFC" w14:textId="77777777">
        <w:tc>
          <w:tcPr>
            <w:tcW w:w="3258" w:type="dxa"/>
          </w:tcPr>
          <w:p w:rsidR="00A92D0B" w:rsidP="00073262" w:rsidRDefault="000305F4" w14:paraId="54649358" w14:textId="320ED580">
            <w:pPr>
              <w:rPr>
                <w:b/>
                <w:bCs/>
                <w:color w:val="000000"/>
                <w:u w:val="single"/>
              </w:rPr>
            </w:pPr>
            <w:r>
              <w:rPr>
                <w:b/>
                <w:bCs/>
                <w:color w:val="000000"/>
                <w:u w:val="single"/>
              </w:rPr>
              <w:t>Ratepayer Costs</w:t>
            </w:r>
          </w:p>
          <w:p w:rsidR="007A184B" w:rsidP="00073262" w:rsidRDefault="00E11876" w14:paraId="7EC21968" w14:textId="70B9687C">
            <w:pPr>
              <w:rPr>
                <w:color w:val="000000"/>
              </w:rPr>
            </w:pPr>
            <w:r>
              <w:rPr>
                <w:color w:val="000000"/>
              </w:rPr>
              <w:t xml:space="preserve">The Commission considered PCF’s </w:t>
            </w:r>
            <w:r w:rsidR="00D01565">
              <w:rPr>
                <w:color w:val="000000"/>
              </w:rPr>
              <w:t>arguments</w:t>
            </w:r>
            <w:r>
              <w:rPr>
                <w:color w:val="000000"/>
              </w:rPr>
              <w:t xml:space="preserve"> </w:t>
            </w:r>
            <w:r w:rsidR="00451D1F">
              <w:rPr>
                <w:color w:val="000000"/>
              </w:rPr>
              <w:t xml:space="preserve">and evidence </w:t>
            </w:r>
            <w:r>
              <w:rPr>
                <w:color w:val="000000"/>
              </w:rPr>
              <w:t xml:space="preserve">regarding the </w:t>
            </w:r>
            <w:r w:rsidR="00451D1F">
              <w:rPr>
                <w:color w:val="000000"/>
              </w:rPr>
              <w:t xml:space="preserve">high expense of lower voltage electrical facility projects and the </w:t>
            </w:r>
            <w:r>
              <w:rPr>
                <w:color w:val="000000"/>
              </w:rPr>
              <w:t xml:space="preserve">need </w:t>
            </w:r>
            <w:r w:rsidR="00344383">
              <w:rPr>
                <w:color w:val="000000"/>
              </w:rPr>
              <w:t xml:space="preserve">to consider the costs to ratepayers when the Utilities build </w:t>
            </w:r>
            <w:r w:rsidR="00E34D13">
              <w:rPr>
                <w:color w:val="000000"/>
              </w:rPr>
              <w:t>transmission facilities of any voltage</w:t>
            </w:r>
            <w:r w:rsidR="00FE1571">
              <w:rPr>
                <w:color w:val="000000"/>
              </w:rPr>
              <w:t xml:space="preserve">, </w:t>
            </w:r>
            <w:r w:rsidR="00D01565">
              <w:rPr>
                <w:color w:val="000000"/>
              </w:rPr>
              <w:t xml:space="preserve">and </w:t>
            </w:r>
            <w:r w:rsidR="00FE1571">
              <w:rPr>
                <w:color w:val="000000"/>
              </w:rPr>
              <w:t xml:space="preserve">clarified that </w:t>
            </w:r>
            <w:r w:rsidR="003E3F5C">
              <w:rPr>
                <w:color w:val="000000"/>
              </w:rPr>
              <w:t xml:space="preserve">whether or not a permit is required for a particular electrical </w:t>
            </w:r>
            <w:r w:rsidR="002C3150">
              <w:rPr>
                <w:color w:val="000000"/>
              </w:rPr>
              <w:t>facility or project</w:t>
            </w:r>
            <w:r w:rsidR="003E3F5C">
              <w:rPr>
                <w:color w:val="000000"/>
              </w:rPr>
              <w:t xml:space="preserve">, </w:t>
            </w:r>
            <w:r w:rsidR="005D2294">
              <w:rPr>
                <w:color w:val="000000"/>
              </w:rPr>
              <w:t xml:space="preserve">the </w:t>
            </w:r>
            <w:r w:rsidR="000A05F6">
              <w:rPr>
                <w:color w:val="000000"/>
              </w:rPr>
              <w:t>Commission</w:t>
            </w:r>
            <w:r w:rsidR="005D2294">
              <w:rPr>
                <w:color w:val="000000"/>
              </w:rPr>
              <w:t xml:space="preserve"> intend</w:t>
            </w:r>
            <w:r w:rsidR="003E3F5C">
              <w:rPr>
                <w:color w:val="000000"/>
              </w:rPr>
              <w:t>s to</w:t>
            </w:r>
            <w:r w:rsidR="005D2294">
              <w:rPr>
                <w:color w:val="000000"/>
              </w:rPr>
              <w:t xml:space="preserve"> consider </w:t>
            </w:r>
            <w:r w:rsidR="00167B65">
              <w:rPr>
                <w:color w:val="000000"/>
              </w:rPr>
              <w:t xml:space="preserve">the costs of CPUC </w:t>
            </w:r>
            <w:r w:rsidR="00167B65">
              <w:rPr>
                <w:color w:val="000000"/>
              </w:rPr>
              <w:lastRenderedPageBreak/>
              <w:t xml:space="preserve">jurisdictional transmission projects in </w:t>
            </w:r>
            <w:r w:rsidR="00F01C4E">
              <w:rPr>
                <w:color w:val="000000"/>
              </w:rPr>
              <w:t>a Utilities’ general rate case or other application</w:t>
            </w:r>
            <w:r w:rsidR="00ED4F0A">
              <w:rPr>
                <w:color w:val="000000"/>
              </w:rPr>
              <w:t>, and through the TPR process</w:t>
            </w:r>
            <w:r w:rsidR="007A184B">
              <w:rPr>
                <w:color w:val="000000"/>
              </w:rPr>
              <w:t>.</w:t>
            </w:r>
          </w:p>
          <w:p w:rsidR="003D36D6" w:rsidP="00073262" w:rsidRDefault="00D01565" w14:paraId="40F58775" w14:textId="77777777">
            <w:pPr>
              <w:rPr>
                <w:color w:val="000000"/>
              </w:rPr>
            </w:pPr>
            <w:r>
              <w:rPr>
                <w:color w:val="000000"/>
              </w:rPr>
              <w:t>Although t</w:t>
            </w:r>
            <w:r w:rsidR="007A184B">
              <w:rPr>
                <w:color w:val="000000"/>
              </w:rPr>
              <w:t xml:space="preserve">he Commission </w:t>
            </w:r>
            <w:r>
              <w:rPr>
                <w:color w:val="000000"/>
              </w:rPr>
              <w:t xml:space="preserve">did not adopt PCF’s recommendations in full, the Commission </w:t>
            </w:r>
            <w:r w:rsidR="007A184B">
              <w:rPr>
                <w:color w:val="000000"/>
              </w:rPr>
              <w:t xml:space="preserve">clarified that in using the language “in lieu of” in </w:t>
            </w:r>
            <w:r w:rsidR="003158AC">
              <w:rPr>
                <w:color w:val="000000"/>
              </w:rPr>
              <w:t>revisions to GO 131</w:t>
            </w:r>
            <w:r w:rsidR="007A184B">
              <w:rPr>
                <w:color w:val="000000"/>
              </w:rPr>
              <w:t xml:space="preserve">, the Commission was not intending to </w:t>
            </w:r>
            <w:r w:rsidR="00FC478E">
              <w:rPr>
                <w:color w:val="000000"/>
              </w:rPr>
              <w:t xml:space="preserve">limit the project for which permits are required, but </w:t>
            </w:r>
            <w:r w:rsidR="00F54C4E">
              <w:rPr>
                <w:color w:val="000000"/>
              </w:rPr>
              <w:t xml:space="preserve">instead was </w:t>
            </w:r>
            <w:r w:rsidR="00690ACD">
              <w:rPr>
                <w:color w:val="000000"/>
              </w:rPr>
              <w:t xml:space="preserve">maintaining </w:t>
            </w:r>
            <w:r w:rsidR="00FC478E">
              <w:rPr>
                <w:color w:val="000000"/>
              </w:rPr>
              <w:t xml:space="preserve">permit requirements and </w:t>
            </w:r>
            <w:r w:rsidR="00690ACD">
              <w:rPr>
                <w:color w:val="000000"/>
              </w:rPr>
              <w:t>only chang</w:t>
            </w:r>
            <w:r w:rsidR="007C5EF0">
              <w:rPr>
                <w:color w:val="000000"/>
              </w:rPr>
              <w:t>ing</w:t>
            </w:r>
            <w:r w:rsidR="00690ACD">
              <w:rPr>
                <w:color w:val="000000"/>
              </w:rPr>
              <w:t xml:space="preserve"> the process. </w:t>
            </w:r>
          </w:p>
          <w:p w:rsidR="000305F4" w:rsidP="00073262" w:rsidRDefault="00195637" w14:paraId="05158709" w14:textId="6927D562">
            <w:pPr>
              <w:rPr>
                <w:color w:val="000000"/>
              </w:rPr>
            </w:pPr>
            <w:r>
              <w:rPr>
                <w:color w:val="000000"/>
              </w:rPr>
              <w:t>In Phase 2, t</w:t>
            </w:r>
            <w:r w:rsidR="00690ACD">
              <w:rPr>
                <w:color w:val="000000"/>
              </w:rPr>
              <w:t>he Commission considered</w:t>
            </w:r>
            <w:r>
              <w:rPr>
                <w:color w:val="000000"/>
              </w:rPr>
              <w:t xml:space="preserve"> the</w:t>
            </w:r>
            <w:r w:rsidR="00690ACD">
              <w:rPr>
                <w:color w:val="000000"/>
              </w:rPr>
              <w:t xml:space="preserve"> cost concerns </w:t>
            </w:r>
            <w:r w:rsidR="00DC1D85">
              <w:rPr>
                <w:color w:val="000000"/>
              </w:rPr>
              <w:t xml:space="preserve">that had been </w:t>
            </w:r>
            <w:r w:rsidR="00690ACD">
              <w:rPr>
                <w:color w:val="000000"/>
              </w:rPr>
              <w:t xml:space="preserve">raised by PCF </w:t>
            </w:r>
            <w:r>
              <w:rPr>
                <w:color w:val="000000"/>
              </w:rPr>
              <w:t>initially, as well as by other parties</w:t>
            </w:r>
            <w:r w:rsidR="00690ACD">
              <w:rPr>
                <w:color w:val="000000"/>
              </w:rPr>
              <w:t xml:space="preserve">, </w:t>
            </w:r>
            <w:r w:rsidR="009B5F10">
              <w:rPr>
                <w:color w:val="000000"/>
              </w:rPr>
              <w:t>which led to the Commission</w:t>
            </w:r>
            <w:r w:rsidR="00690ACD">
              <w:rPr>
                <w:color w:val="000000"/>
              </w:rPr>
              <w:t xml:space="preserve"> </w:t>
            </w:r>
            <w:r w:rsidR="009B5F10">
              <w:rPr>
                <w:color w:val="000000"/>
              </w:rPr>
              <w:t>rejecting proposals by the Utilities</w:t>
            </w:r>
            <w:r w:rsidR="00CC3306">
              <w:rPr>
                <w:color w:val="000000"/>
              </w:rPr>
              <w:t xml:space="preserve"> involving increased cost burdens</w:t>
            </w:r>
            <w:r w:rsidR="00ED5690">
              <w:rPr>
                <w:color w:val="000000"/>
              </w:rPr>
              <w:t xml:space="preserve">. </w:t>
            </w:r>
            <w:r w:rsidR="003D36D6">
              <w:rPr>
                <w:color w:val="000000"/>
              </w:rPr>
              <w:t>Additionally, t</w:t>
            </w:r>
            <w:r w:rsidR="00ED5690">
              <w:rPr>
                <w:color w:val="000000"/>
              </w:rPr>
              <w:t xml:space="preserve">he Commission </w:t>
            </w:r>
            <w:r w:rsidR="00690ACD">
              <w:rPr>
                <w:color w:val="000000"/>
              </w:rPr>
              <w:t>adopt</w:t>
            </w:r>
            <w:r w:rsidR="003D36D6">
              <w:rPr>
                <w:color w:val="000000"/>
              </w:rPr>
              <w:t>ed</w:t>
            </w:r>
            <w:r w:rsidR="00690ACD">
              <w:rPr>
                <w:color w:val="000000"/>
              </w:rPr>
              <w:t xml:space="preserve"> </w:t>
            </w:r>
            <w:r w:rsidR="000305F4">
              <w:rPr>
                <w:color w:val="000000"/>
              </w:rPr>
              <w:t xml:space="preserve">PCF’s </w:t>
            </w:r>
            <w:r w:rsidR="003E3F5C">
              <w:rPr>
                <w:color w:val="000000"/>
              </w:rPr>
              <w:t>recommendation that the Commission</w:t>
            </w:r>
            <w:r w:rsidR="000305F4">
              <w:rPr>
                <w:color w:val="000000"/>
              </w:rPr>
              <w:t xml:space="preserve"> </w:t>
            </w:r>
            <w:r w:rsidR="00180819">
              <w:rPr>
                <w:color w:val="000000"/>
              </w:rPr>
              <w:t xml:space="preserve">should </w:t>
            </w:r>
            <w:r w:rsidR="000305F4">
              <w:rPr>
                <w:color w:val="000000"/>
              </w:rPr>
              <w:t xml:space="preserve">implement </w:t>
            </w:r>
            <w:r w:rsidR="00C047F9">
              <w:rPr>
                <w:color w:val="000000"/>
              </w:rPr>
              <w:t xml:space="preserve">the </w:t>
            </w:r>
            <w:r w:rsidR="001B1688">
              <w:rPr>
                <w:color w:val="000000"/>
              </w:rPr>
              <w:t>s</w:t>
            </w:r>
            <w:r w:rsidR="00C047F9">
              <w:rPr>
                <w:color w:val="000000"/>
              </w:rPr>
              <w:t>taff</w:t>
            </w:r>
            <w:r w:rsidR="001B1688">
              <w:rPr>
                <w:color w:val="000000"/>
              </w:rPr>
              <w:t>’s Section 3.2, Proposal 2</w:t>
            </w:r>
            <w:r w:rsidR="00B93A1F">
              <w:rPr>
                <w:color w:val="000000"/>
              </w:rPr>
              <w:t xml:space="preserve"> (</w:t>
            </w:r>
            <w:r w:rsidR="00C047F9">
              <w:rPr>
                <w:color w:val="000000"/>
              </w:rPr>
              <w:t xml:space="preserve">which was developed having </w:t>
            </w:r>
            <w:r w:rsidR="001B1688">
              <w:rPr>
                <w:color w:val="000000"/>
              </w:rPr>
              <w:t xml:space="preserve">reviewed and </w:t>
            </w:r>
            <w:r w:rsidR="00C047F9">
              <w:rPr>
                <w:color w:val="000000"/>
              </w:rPr>
              <w:t>considered PCF’s</w:t>
            </w:r>
            <w:r w:rsidR="00063445">
              <w:rPr>
                <w:color w:val="000000"/>
              </w:rPr>
              <w:t xml:space="preserve"> and others’</w:t>
            </w:r>
            <w:r w:rsidR="00C047F9">
              <w:rPr>
                <w:color w:val="000000"/>
              </w:rPr>
              <w:t xml:space="preserve"> comments</w:t>
            </w:r>
            <w:r w:rsidR="00B93A1F">
              <w:rPr>
                <w:color w:val="000000"/>
              </w:rPr>
              <w:t xml:space="preserve">) </w:t>
            </w:r>
            <w:r w:rsidR="000305F4">
              <w:rPr>
                <w:color w:val="000000"/>
              </w:rPr>
              <w:t>to modify Appendix A of GO-131 to include additional items to the list of financial information that electric public utilities provide to the CPUC.</w:t>
            </w:r>
          </w:p>
          <w:p w:rsidRPr="007F620E" w:rsidR="00E25078" w:rsidP="00073262" w:rsidRDefault="00E25078" w14:paraId="1B0CC007" w14:textId="77777777">
            <w:pPr>
              <w:rPr>
                <w:color w:val="000000"/>
              </w:rPr>
            </w:pPr>
          </w:p>
        </w:tc>
        <w:tc>
          <w:tcPr>
            <w:tcW w:w="4140" w:type="dxa"/>
          </w:tcPr>
          <w:p w:rsidRPr="003C6029" w:rsidR="005D20FD" w:rsidP="005D20FD" w:rsidRDefault="005D20FD" w14:paraId="3C2C8288" w14:textId="09826F58">
            <w:pPr>
              <w:rPr>
                <w:color w:val="000000"/>
              </w:rPr>
            </w:pPr>
            <w:r>
              <w:rPr>
                <w:color w:val="000000"/>
              </w:rPr>
              <w:lastRenderedPageBreak/>
              <w:t>“</w:t>
            </w:r>
            <w:r w:rsidRPr="003C6029">
              <w:rPr>
                <w:color w:val="000000"/>
              </w:rPr>
              <w:t>POCF argues that ratepayers will be exposed to unjust and unreasonable</w:t>
            </w:r>
          </w:p>
          <w:p w:rsidRPr="003C6029" w:rsidR="005D20FD" w:rsidP="005D20FD" w:rsidRDefault="005D20FD" w14:paraId="12988296" w14:textId="77777777">
            <w:pPr>
              <w:rPr>
                <w:color w:val="000000"/>
              </w:rPr>
            </w:pPr>
            <w:r w:rsidRPr="003C6029">
              <w:rPr>
                <w:color w:val="000000"/>
              </w:rPr>
              <w:t>rates if the exemption from the CPCN requirement in Pub. Util. Code Section</w:t>
            </w:r>
          </w:p>
          <w:p w:rsidRPr="00BC4772" w:rsidR="005D20FD" w:rsidP="005D20FD" w:rsidRDefault="005D20FD" w14:paraId="7130FFAE" w14:textId="0CB9753F">
            <w:pPr>
              <w:rPr>
                <w:color w:val="000000"/>
              </w:rPr>
            </w:pPr>
            <w:r w:rsidRPr="003C6029">
              <w:rPr>
                <w:color w:val="000000"/>
              </w:rPr>
              <w:t>1001(b) is not accompanied with the commonsense guardrails required by Pub.</w:t>
            </w:r>
            <w:r>
              <w:rPr>
                <w:color w:val="000000"/>
              </w:rPr>
              <w:t xml:space="preserve"> </w:t>
            </w:r>
            <w:r w:rsidRPr="003C6029">
              <w:rPr>
                <w:color w:val="000000"/>
              </w:rPr>
              <w:t>Util. Code Section 564. POCF argues that the Commission cannot abdicate its</w:t>
            </w:r>
            <w:r>
              <w:rPr>
                <w:color w:val="000000"/>
              </w:rPr>
              <w:t xml:space="preserve"> </w:t>
            </w:r>
            <w:r w:rsidRPr="003C6029">
              <w:rPr>
                <w:color w:val="000000"/>
              </w:rPr>
              <w:t>authority under the Public Utilities Code, including Sections 451, 454, 701, and</w:t>
            </w:r>
            <w:r>
              <w:rPr>
                <w:color w:val="000000"/>
              </w:rPr>
              <w:t xml:space="preserve"> </w:t>
            </w:r>
            <w:r w:rsidRPr="003C6029">
              <w:rPr>
                <w:color w:val="000000"/>
              </w:rPr>
              <w:t>747, to supervise public utilities and ensure just and reasonable rates, irrespective</w:t>
            </w:r>
            <w:r>
              <w:rPr>
                <w:color w:val="000000"/>
              </w:rPr>
              <w:t xml:space="preserve"> </w:t>
            </w:r>
            <w:r w:rsidRPr="003C6029">
              <w:rPr>
                <w:color w:val="000000"/>
              </w:rPr>
              <w:t>of whether an electrical transmission facility is above a 200-kV level</w:t>
            </w:r>
            <w:r w:rsidR="003E3F5C">
              <w:rPr>
                <w:color w:val="000000"/>
              </w:rPr>
              <w:t>…</w:t>
            </w:r>
            <w:r w:rsidRPr="00BC4772">
              <w:rPr>
                <w:color w:val="000000"/>
              </w:rPr>
              <w:t xml:space="preserve">As is the case today, </w:t>
            </w:r>
            <w:r w:rsidRPr="00BC4772">
              <w:rPr>
                <w:color w:val="000000"/>
              </w:rPr>
              <w:lastRenderedPageBreak/>
              <w:t>Commission review</w:t>
            </w:r>
            <w:r>
              <w:rPr>
                <w:color w:val="000000"/>
              </w:rPr>
              <w:t xml:space="preserve"> </w:t>
            </w:r>
            <w:r w:rsidRPr="00BC4772">
              <w:rPr>
                <w:color w:val="000000"/>
              </w:rPr>
              <w:t>and approval of costs under the Commission’s jurisdiction would be required in</w:t>
            </w:r>
            <w:r>
              <w:rPr>
                <w:color w:val="000000"/>
              </w:rPr>
              <w:t xml:space="preserve"> </w:t>
            </w:r>
            <w:r w:rsidRPr="00BC4772">
              <w:rPr>
                <w:color w:val="000000"/>
              </w:rPr>
              <w:t>a utility’s General Rate Case or other application prior to the costs being collected</w:t>
            </w:r>
            <w:r>
              <w:rPr>
                <w:color w:val="000000"/>
              </w:rPr>
              <w:t xml:space="preserve"> </w:t>
            </w:r>
            <w:r w:rsidRPr="00BC4772">
              <w:rPr>
                <w:color w:val="000000"/>
              </w:rPr>
              <w:t>in rates. Furthermore, on April 27, 2023, the Commission adopted Resolution</w:t>
            </w:r>
            <w:r>
              <w:rPr>
                <w:color w:val="000000"/>
              </w:rPr>
              <w:t xml:space="preserve"> </w:t>
            </w:r>
            <w:r w:rsidRPr="00BC4772">
              <w:rPr>
                <w:color w:val="000000"/>
              </w:rPr>
              <w:t>E-5252, which established the Transmission Project Review (TPR) Process for the</w:t>
            </w:r>
            <w:r>
              <w:rPr>
                <w:color w:val="000000"/>
              </w:rPr>
              <w:t xml:space="preserve"> </w:t>
            </w:r>
            <w:r w:rsidRPr="00BC4772">
              <w:rPr>
                <w:color w:val="000000"/>
              </w:rPr>
              <w:t>state’s investor-owned electric utilities (IOUs) beginning January 1, 2024. The</w:t>
            </w:r>
            <w:r>
              <w:rPr>
                <w:color w:val="000000"/>
              </w:rPr>
              <w:t xml:space="preserve"> </w:t>
            </w:r>
            <w:r w:rsidRPr="00BC4772">
              <w:rPr>
                <w:color w:val="000000"/>
              </w:rPr>
              <w:t>TPR Process will allow the Commission and stakeholders to receive robust and</w:t>
            </w:r>
            <w:r>
              <w:rPr>
                <w:color w:val="000000"/>
              </w:rPr>
              <w:t xml:space="preserve"> </w:t>
            </w:r>
            <w:r w:rsidRPr="00BC4772">
              <w:rPr>
                <w:color w:val="000000"/>
              </w:rPr>
              <w:t>consistent data from the IOUs, and to inquire about and provide feedback on the</w:t>
            </w:r>
            <w:r>
              <w:rPr>
                <w:color w:val="000000"/>
              </w:rPr>
              <w:t xml:space="preserve"> </w:t>
            </w:r>
            <w:r w:rsidRPr="00BC4772">
              <w:rPr>
                <w:color w:val="000000"/>
              </w:rPr>
              <w:t>IOUs’ historical, current, and forecast transmission projects with actual or</w:t>
            </w:r>
          </w:p>
          <w:p w:rsidR="005D20FD" w:rsidP="00FF2909" w:rsidRDefault="005D20FD" w14:paraId="77596960" w14:textId="4BA696E6">
            <w:pPr>
              <w:rPr>
                <w:color w:val="000000"/>
              </w:rPr>
            </w:pPr>
            <w:r w:rsidRPr="00BC4772">
              <w:rPr>
                <w:color w:val="000000"/>
              </w:rPr>
              <w:t>forecast capital costs of $1 million or more.</w:t>
            </w:r>
            <w:r>
              <w:rPr>
                <w:color w:val="000000"/>
              </w:rPr>
              <w:t>” D.23-12-035, p. 14.</w:t>
            </w:r>
          </w:p>
          <w:p w:rsidR="000E7A6B" w:rsidP="00FF2909" w:rsidRDefault="000E7A6B" w14:paraId="69E0050C" w14:textId="77777777">
            <w:pPr>
              <w:rPr>
                <w:color w:val="000000"/>
              </w:rPr>
            </w:pPr>
          </w:p>
          <w:p w:rsidRPr="00FF2909" w:rsidR="00FF2909" w:rsidP="00FF2909" w:rsidRDefault="00FF2909" w14:paraId="464955CE" w14:textId="14537ACD">
            <w:pPr>
              <w:rPr>
                <w:color w:val="000000"/>
              </w:rPr>
            </w:pPr>
            <w:r>
              <w:rPr>
                <w:color w:val="000000"/>
              </w:rPr>
              <w:t>“</w:t>
            </w:r>
            <w:r w:rsidRPr="00FF2909">
              <w:rPr>
                <w:color w:val="000000"/>
              </w:rPr>
              <w:t>PCF argues that the Decision violates SB 529 because the opening clause of</w:t>
            </w:r>
          </w:p>
          <w:p w:rsidRPr="001566DF" w:rsidR="001566DF" w:rsidP="001566DF" w:rsidRDefault="00FF2909" w14:paraId="7DFF09F3" w14:textId="5465B67F">
            <w:pPr>
              <w:rPr>
                <w:color w:val="000000"/>
              </w:rPr>
            </w:pPr>
            <w:r w:rsidRPr="00FF2909">
              <w:rPr>
                <w:color w:val="000000"/>
              </w:rPr>
              <w:t xml:space="preserve">the new paragraph, </w:t>
            </w:r>
            <w:r w:rsidRPr="00FF2909">
              <w:rPr>
                <w:i/>
                <w:iCs/>
                <w:color w:val="000000"/>
              </w:rPr>
              <w:t xml:space="preserve">in lieu of complying with Section III.A, </w:t>
            </w:r>
            <w:r w:rsidRPr="00FF2909">
              <w:rPr>
                <w:color w:val="000000"/>
              </w:rPr>
              <w:t>results in the new procedures</w:t>
            </w:r>
            <w:r>
              <w:rPr>
                <w:color w:val="000000"/>
              </w:rPr>
              <w:t xml:space="preserve"> </w:t>
            </w:r>
            <w:r w:rsidRPr="00FF2909">
              <w:rPr>
                <w:color w:val="000000"/>
              </w:rPr>
              <w:t>being applied only to above 200 kV facilities, in contravention of the statute</w:t>
            </w:r>
            <w:r w:rsidR="001566DF">
              <w:rPr>
                <w:color w:val="000000"/>
              </w:rPr>
              <w:t>….</w:t>
            </w:r>
            <w:r w:rsidRPr="001566DF" w:rsidR="001566DF">
              <w:rPr>
                <w:color w:val="000000"/>
              </w:rPr>
              <w:t>GO 131-D now authorizes each electrical</w:t>
            </w:r>
            <w:r w:rsidR="001566DF">
              <w:rPr>
                <w:color w:val="000000"/>
              </w:rPr>
              <w:t xml:space="preserve"> </w:t>
            </w:r>
            <w:r w:rsidRPr="001566DF" w:rsidR="001566DF">
              <w:rPr>
                <w:color w:val="000000"/>
              </w:rPr>
              <w:t>corporation to use the PTC process or claim an exemption when extending or modifying</w:t>
            </w:r>
          </w:p>
          <w:p w:rsidR="00A92D0B" w:rsidP="001566DF" w:rsidRDefault="001566DF" w14:paraId="5A0DCCD7" w14:textId="1653EA42">
            <w:pPr>
              <w:rPr>
                <w:color w:val="000000"/>
              </w:rPr>
            </w:pPr>
            <w:r w:rsidRPr="001566DF">
              <w:rPr>
                <w:color w:val="000000"/>
              </w:rPr>
              <w:t>existing facilities which are 50 kV to 200kV and those that are over 200kV</w:t>
            </w:r>
            <w:r w:rsidR="00FF2909">
              <w:rPr>
                <w:color w:val="000000"/>
              </w:rPr>
              <w:t>”</w:t>
            </w:r>
            <w:r w:rsidR="00D23062">
              <w:rPr>
                <w:color w:val="000000"/>
              </w:rPr>
              <w:t xml:space="preserve"> D.24-06-026</w:t>
            </w:r>
            <w:r w:rsidR="008A2B93">
              <w:rPr>
                <w:color w:val="000000"/>
              </w:rPr>
              <w:t>, p. 4</w:t>
            </w:r>
            <w:r>
              <w:rPr>
                <w:color w:val="000000"/>
              </w:rPr>
              <w:t>-5.</w:t>
            </w:r>
          </w:p>
          <w:p w:rsidR="00CE1F14" w:rsidP="001566DF" w:rsidRDefault="00CE1F14" w14:paraId="39D83006" w14:textId="77777777">
            <w:pPr>
              <w:rPr>
                <w:color w:val="000000"/>
              </w:rPr>
            </w:pPr>
          </w:p>
          <w:p w:rsidRPr="00CE1F14" w:rsidR="00CE1F14" w:rsidP="00CE1F14" w:rsidRDefault="00CE1F14" w14:paraId="107A90CE" w14:textId="015F393C">
            <w:pPr>
              <w:rPr>
                <w:color w:val="000000"/>
              </w:rPr>
            </w:pPr>
            <w:r>
              <w:rPr>
                <w:color w:val="000000"/>
              </w:rPr>
              <w:t>“</w:t>
            </w:r>
            <w:r w:rsidRPr="00CE1F14">
              <w:rPr>
                <w:color w:val="000000"/>
              </w:rPr>
              <w:t>Given</w:t>
            </w:r>
            <w:r>
              <w:rPr>
                <w:color w:val="000000"/>
              </w:rPr>
              <w:t xml:space="preserve"> </w:t>
            </w:r>
            <w:r w:rsidRPr="00CE1F14">
              <w:rPr>
                <w:color w:val="000000"/>
              </w:rPr>
              <w:t>the concerns raised by several parties regarding ratepayer costs, and</w:t>
            </w:r>
          </w:p>
          <w:p w:rsidR="00201CFC" w:rsidP="00201CFC" w:rsidRDefault="00CE1F14" w14:paraId="42A50772" w14:textId="18CED77B">
            <w:pPr>
              <w:rPr>
                <w:color w:val="000000"/>
              </w:rPr>
            </w:pPr>
            <w:r w:rsidRPr="00CE1F14">
              <w:rPr>
                <w:color w:val="000000"/>
              </w:rPr>
              <w:t>environmental impacts, we conclude that the record does not support adoption</w:t>
            </w:r>
            <w:r>
              <w:rPr>
                <w:color w:val="000000"/>
              </w:rPr>
              <w:t xml:space="preserve"> </w:t>
            </w:r>
            <w:r w:rsidRPr="00CE1F14">
              <w:rPr>
                <w:color w:val="000000"/>
              </w:rPr>
              <w:t>of the IOUs’ proposal at this time.</w:t>
            </w:r>
            <w:r>
              <w:rPr>
                <w:color w:val="000000"/>
              </w:rPr>
              <w:t>” D.25-01-055, p. 88</w:t>
            </w:r>
            <w:r w:rsidR="000D01E5">
              <w:rPr>
                <w:color w:val="000000"/>
              </w:rPr>
              <w:t>.</w:t>
            </w:r>
          </w:p>
          <w:p w:rsidR="007C2212" w:rsidP="00D23062" w:rsidRDefault="007C2212" w14:paraId="3DC71265" w14:textId="77777777">
            <w:pPr>
              <w:rPr>
                <w:color w:val="000000"/>
              </w:rPr>
            </w:pPr>
          </w:p>
          <w:p w:rsidRPr="006C4A65" w:rsidR="000305F4" w:rsidP="000305F4" w:rsidRDefault="000305F4" w14:paraId="2D237235" w14:textId="77777777">
            <w:pPr>
              <w:rPr>
                <w:color w:val="000000"/>
              </w:rPr>
            </w:pPr>
            <w:r>
              <w:rPr>
                <w:color w:val="000000"/>
              </w:rPr>
              <w:t>“</w:t>
            </w:r>
            <w:r w:rsidRPr="006C4A65">
              <w:rPr>
                <w:color w:val="000000"/>
              </w:rPr>
              <w:t>27. Staff proposals on certain financial reporting requirements which amend</w:t>
            </w:r>
          </w:p>
          <w:p w:rsidR="000C0739" w:rsidP="000305F4" w:rsidRDefault="000305F4" w14:paraId="317616CD" w14:textId="3F4972E7">
            <w:pPr>
              <w:rPr>
                <w:color w:val="000000"/>
              </w:rPr>
            </w:pPr>
            <w:r w:rsidRPr="006C4A65">
              <w:rPr>
                <w:color w:val="000000"/>
              </w:rPr>
              <w:t xml:space="preserve">the list of financial information that must be reported by electric public </w:t>
            </w:r>
            <w:r w:rsidRPr="006C4A65">
              <w:rPr>
                <w:color w:val="000000"/>
              </w:rPr>
              <w:lastRenderedPageBreak/>
              <w:t>utilities</w:t>
            </w:r>
            <w:r>
              <w:rPr>
                <w:color w:val="000000"/>
              </w:rPr>
              <w:t xml:space="preserve"> </w:t>
            </w:r>
            <w:r w:rsidRPr="006C4A65">
              <w:rPr>
                <w:color w:val="000000"/>
              </w:rPr>
              <w:t>to the Commission, as modified, to be reflected in GO 131-E, are reasonable.</w:t>
            </w:r>
            <w:r>
              <w:rPr>
                <w:color w:val="000000"/>
              </w:rPr>
              <w:t>” D.25-01-055, p. 145 (</w:t>
            </w:r>
            <w:r w:rsidR="00DB0B75">
              <w:rPr>
                <w:color w:val="000000"/>
              </w:rPr>
              <w:t>Finding of Fact No.</w:t>
            </w:r>
            <w:r>
              <w:rPr>
                <w:color w:val="000000"/>
              </w:rPr>
              <w:t xml:space="preserve"> 27)</w:t>
            </w:r>
            <w:r w:rsidR="00D156E5">
              <w:rPr>
                <w:color w:val="000000"/>
              </w:rPr>
              <w:t>; D.25-07-042, p. 7 (“</w:t>
            </w:r>
            <w:r w:rsidR="000C0739">
              <w:rPr>
                <w:color w:val="000000"/>
              </w:rPr>
              <w:t>In developing this staff proposal, staff carefully reviewed and considered all party comments submitted during Phase 1 and Phase 2 of the R.23-05-018 proceeding</w:t>
            </w:r>
            <w:r w:rsidR="00D156E5">
              <w:rPr>
                <w:color w:val="000000"/>
              </w:rPr>
              <w:t>.”).</w:t>
            </w:r>
          </w:p>
          <w:p w:rsidR="00730899" w:rsidP="000305F4" w:rsidRDefault="00730899" w14:paraId="1014F685" w14:textId="77777777">
            <w:pPr>
              <w:rPr>
                <w:color w:val="000000"/>
              </w:rPr>
            </w:pPr>
          </w:p>
          <w:p w:rsidR="000F7858" w:rsidP="000F7858" w:rsidRDefault="000F7858" w14:paraId="4CE6259B" w14:textId="086C13EC">
            <w:pPr>
              <w:rPr>
                <w:color w:val="000000"/>
              </w:rPr>
            </w:pPr>
            <w:r>
              <w:rPr>
                <w:color w:val="000000"/>
              </w:rPr>
              <w:t>PCF Comments on OIR to Update and Amend Commission General Order 131-D (June 22, 2023), p. 2-6;</w:t>
            </w:r>
            <w:r w:rsidR="00146809">
              <w:rPr>
                <w:color w:val="000000"/>
              </w:rPr>
              <w:t xml:space="preserve"> </w:t>
            </w:r>
            <w:r>
              <w:rPr>
                <w:color w:val="000000"/>
              </w:rPr>
              <w:t>PCF Opposition to Joint Motion for Adoption of Phase One Settlement Agreement (October 30, 2023), p. 2-</w:t>
            </w:r>
            <w:r w:rsidR="00D67346">
              <w:rPr>
                <w:color w:val="000000"/>
              </w:rPr>
              <w:t>5</w:t>
            </w:r>
            <w:r>
              <w:rPr>
                <w:color w:val="000000"/>
              </w:rPr>
              <w:t>;</w:t>
            </w:r>
            <w:r w:rsidR="00146809">
              <w:rPr>
                <w:color w:val="000000"/>
              </w:rPr>
              <w:t xml:space="preserve"> </w:t>
            </w:r>
            <w:r>
              <w:rPr>
                <w:color w:val="000000"/>
              </w:rPr>
              <w:t>PCF Reply to Responses to Joint Motion for Adoption of Phase One Settlement Agreement (November 14, 2023), p. 6;</w:t>
            </w:r>
          </w:p>
          <w:p w:rsidR="000E7CAB" w:rsidP="00C30641" w:rsidRDefault="007F1166" w14:paraId="11159CAB" w14:textId="77777777">
            <w:pPr>
              <w:rPr>
                <w:color w:val="000000"/>
              </w:rPr>
            </w:pPr>
            <w:r>
              <w:rPr>
                <w:color w:val="000000"/>
              </w:rPr>
              <w:t>PCF Comments on Proposed Decision Addressing Phase 1 Issues (November 15, 2023), p. 4-5;</w:t>
            </w:r>
            <w:r w:rsidR="00146809">
              <w:rPr>
                <w:color w:val="000000"/>
              </w:rPr>
              <w:t xml:space="preserve"> </w:t>
            </w:r>
            <w:r w:rsidR="000634ED">
              <w:rPr>
                <w:color w:val="000000"/>
              </w:rPr>
              <w:t>PCF Reply Comments on PD Addressing Phase 1 Issues (November 20, 2023), p. 3-4</w:t>
            </w:r>
            <w:r w:rsidR="00347D40">
              <w:rPr>
                <w:color w:val="000000"/>
              </w:rPr>
              <w:t>;</w:t>
            </w:r>
            <w:r w:rsidR="00146809">
              <w:rPr>
                <w:color w:val="000000"/>
              </w:rPr>
              <w:t xml:space="preserve"> </w:t>
            </w:r>
            <w:r w:rsidR="000634ED">
              <w:rPr>
                <w:color w:val="000000"/>
              </w:rPr>
              <w:t>PCF Application for Rehearing of D.23-12-035 (January 17, 2024), p. 4-7</w:t>
            </w:r>
            <w:r w:rsidR="000541E6">
              <w:rPr>
                <w:color w:val="000000"/>
              </w:rPr>
              <w:t>;</w:t>
            </w:r>
            <w:r w:rsidR="00146809">
              <w:rPr>
                <w:color w:val="000000"/>
              </w:rPr>
              <w:t xml:space="preserve"> </w:t>
            </w:r>
            <w:r w:rsidR="000541E6">
              <w:rPr>
                <w:color w:val="000000"/>
              </w:rPr>
              <w:t>Center</w:t>
            </w:r>
            <w:r w:rsidR="00573ECB">
              <w:rPr>
                <w:color w:val="000000"/>
              </w:rPr>
              <w:t xml:space="preserve"> for Biological Diversity (hereafter Center)</w:t>
            </w:r>
            <w:r w:rsidR="000541E6">
              <w:rPr>
                <w:color w:val="000000"/>
              </w:rPr>
              <w:t>, Clean Coalition, and PCF Opening Comments on Phase 2 Issues (Feb. 5, 2024), p. 23-25</w:t>
            </w:r>
            <w:r w:rsidR="002E7DE0">
              <w:rPr>
                <w:color w:val="000000"/>
              </w:rPr>
              <w:t>;</w:t>
            </w:r>
            <w:r w:rsidR="00146809">
              <w:rPr>
                <w:color w:val="000000"/>
              </w:rPr>
              <w:t xml:space="preserve"> </w:t>
            </w:r>
            <w:r w:rsidR="00001EE1">
              <w:rPr>
                <w:color w:val="000000"/>
              </w:rPr>
              <w:t xml:space="preserve">Center </w:t>
            </w:r>
            <w:r w:rsidR="000F061B">
              <w:rPr>
                <w:color w:val="000000"/>
              </w:rPr>
              <w:t>and PCF</w:t>
            </w:r>
            <w:r w:rsidR="00001EE1">
              <w:rPr>
                <w:color w:val="000000"/>
              </w:rPr>
              <w:t xml:space="preserve"> Opening Comments on Phase 2 Staff Proposal (July 1, 2024), p. 8, 10-12;</w:t>
            </w:r>
            <w:r w:rsidR="00454AC3">
              <w:rPr>
                <w:color w:val="000000"/>
              </w:rPr>
              <w:t xml:space="preserve"> </w:t>
            </w:r>
            <w:r w:rsidR="00C30641">
              <w:rPr>
                <w:color w:val="000000"/>
              </w:rPr>
              <w:t xml:space="preserve">Center and PCF Reply Comments on Phase 2 Staff Proposal </w:t>
            </w:r>
            <w:r w:rsidR="003730BB">
              <w:rPr>
                <w:color w:val="000000"/>
              </w:rPr>
              <w:t>(July 1</w:t>
            </w:r>
            <w:r w:rsidR="009C02BA">
              <w:rPr>
                <w:color w:val="000000"/>
              </w:rPr>
              <w:t xml:space="preserve">5, 2024), p. 3, </w:t>
            </w:r>
            <w:r w:rsidR="002B3E64">
              <w:rPr>
                <w:color w:val="000000"/>
              </w:rPr>
              <w:t xml:space="preserve">7, </w:t>
            </w:r>
            <w:r w:rsidR="00E75C25">
              <w:rPr>
                <w:color w:val="000000"/>
              </w:rPr>
              <w:t>13-1</w:t>
            </w:r>
            <w:r w:rsidR="0058486B">
              <w:rPr>
                <w:color w:val="000000"/>
              </w:rPr>
              <w:t>5</w:t>
            </w:r>
            <w:r w:rsidR="00E75C25">
              <w:rPr>
                <w:color w:val="000000"/>
              </w:rPr>
              <w:t xml:space="preserve">, </w:t>
            </w:r>
            <w:r w:rsidR="009C02BA">
              <w:rPr>
                <w:color w:val="000000"/>
              </w:rPr>
              <w:t>21-23</w:t>
            </w:r>
            <w:r w:rsidR="00AE4F77">
              <w:rPr>
                <w:color w:val="000000"/>
              </w:rPr>
              <w:t xml:space="preserve">; </w:t>
            </w:r>
            <w:r w:rsidR="005A305D">
              <w:rPr>
                <w:color w:val="000000"/>
              </w:rPr>
              <w:t xml:space="preserve">PCF and Center Opening Comments on Phase 2 PD (January 16, 2025), p. </w:t>
            </w:r>
            <w:r w:rsidR="007A46D2">
              <w:rPr>
                <w:color w:val="000000"/>
              </w:rPr>
              <w:t xml:space="preserve">6, </w:t>
            </w:r>
            <w:r w:rsidR="005A305D">
              <w:rPr>
                <w:color w:val="000000"/>
              </w:rPr>
              <w:t>8</w:t>
            </w:r>
            <w:r w:rsidR="00704DD4">
              <w:rPr>
                <w:color w:val="000000"/>
              </w:rPr>
              <w:t>, 13-14</w:t>
            </w:r>
            <w:r w:rsidR="00265CF1">
              <w:rPr>
                <w:color w:val="000000"/>
              </w:rPr>
              <w:t>.</w:t>
            </w:r>
          </w:p>
          <w:p w:rsidRPr="007F620E" w:rsidR="00A60D51" w:rsidP="00C30641" w:rsidRDefault="00A60D51" w14:paraId="532F95D2" w14:textId="53A574A7">
            <w:pPr>
              <w:rPr>
                <w:color w:val="000000"/>
              </w:rPr>
            </w:pPr>
          </w:p>
        </w:tc>
        <w:tc>
          <w:tcPr>
            <w:tcW w:w="1957" w:type="dxa"/>
          </w:tcPr>
          <w:p w:rsidR="00A92D0B" w:rsidP="00462A91" w:rsidRDefault="00A92D0B" w14:paraId="01E765F4" w14:textId="77777777">
            <w:pPr>
              <w:jc w:val="center"/>
              <w:rPr>
                <w:color w:val="000000"/>
              </w:rPr>
            </w:pPr>
          </w:p>
          <w:p w:rsidR="003A2BF3" w:rsidP="00462A91" w:rsidRDefault="003A2BF3" w14:paraId="7B962E56" w14:textId="77777777">
            <w:pPr>
              <w:jc w:val="center"/>
              <w:rPr>
                <w:color w:val="000000"/>
              </w:rPr>
            </w:pPr>
          </w:p>
          <w:p w:rsidR="003A2BF3" w:rsidP="00462A91" w:rsidRDefault="003A2BF3" w14:paraId="68705C7D" w14:textId="77777777">
            <w:pPr>
              <w:jc w:val="center"/>
              <w:rPr>
                <w:color w:val="000000"/>
              </w:rPr>
            </w:pPr>
            <w:r>
              <w:rPr>
                <w:color w:val="000000"/>
              </w:rPr>
              <w:t>Verified</w:t>
            </w:r>
          </w:p>
          <w:p w:rsidR="00627844" w:rsidP="00462A91" w:rsidRDefault="00627844" w14:paraId="4377A4DF" w14:textId="77777777">
            <w:pPr>
              <w:jc w:val="center"/>
              <w:rPr>
                <w:color w:val="000000"/>
              </w:rPr>
            </w:pPr>
          </w:p>
          <w:p w:rsidR="00627844" w:rsidP="00462A91" w:rsidRDefault="00627844" w14:paraId="01D5D7D9" w14:textId="77777777">
            <w:pPr>
              <w:jc w:val="center"/>
              <w:rPr>
                <w:color w:val="000000"/>
              </w:rPr>
            </w:pPr>
          </w:p>
          <w:p w:rsidR="00627844" w:rsidP="00462A91" w:rsidRDefault="00627844" w14:paraId="675A9332" w14:textId="77777777">
            <w:pPr>
              <w:jc w:val="center"/>
              <w:rPr>
                <w:color w:val="000000"/>
              </w:rPr>
            </w:pPr>
          </w:p>
          <w:p w:rsidR="00627844" w:rsidP="00462A91" w:rsidRDefault="00627844" w14:paraId="2A1EE843" w14:textId="77777777">
            <w:pPr>
              <w:jc w:val="center"/>
              <w:rPr>
                <w:color w:val="000000"/>
              </w:rPr>
            </w:pPr>
          </w:p>
          <w:p w:rsidR="00627844" w:rsidP="00462A91" w:rsidRDefault="00627844" w14:paraId="53F0F092" w14:textId="77777777">
            <w:pPr>
              <w:jc w:val="center"/>
              <w:rPr>
                <w:color w:val="000000"/>
              </w:rPr>
            </w:pPr>
          </w:p>
          <w:p w:rsidR="00627844" w:rsidP="00462A91" w:rsidRDefault="00627844" w14:paraId="7A8D6B56" w14:textId="77777777">
            <w:pPr>
              <w:jc w:val="center"/>
              <w:rPr>
                <w:color w:val="000000"/>
              </w:rPr>
            </w:pPr>
          </w:p>
          <w:p w:rsidR="00627844" w:rsidP="00462A91" w:rsidRDefault="00627844" w14:paraId="3D7F4C5B" w14:textId="77777777">
            <w:pPr>
              <w:jc w:val="center"/>
              <w:rPr>
                <w:color w:val="000000"/>
              </w:rPr>
            </w:pPr>
          </w:p>
          <w:p w:rsidR="00627844" w:rsidP="00462A91" w:rsidRDefault="00627844" w14:paraId="5A8CDDFE" w14:textId="77777777">
            <w:pPr>
              <w:jc w:val="center"/>
              <w:rPr>
                <w:color w:val="000000"/>
              </w:rPr>
            </w:pPr>
          </w:p>
          <w:p w:rsidR="00627844" w:rsidP="00462A91" w:rsidRDefault="00627844" w14:paraId="07CC3D2A" w14:textId="77777777">
            <w:pPr>
              <w:jc w:val="center"/>
              <w:rPr>
                <w:color w:val="000000"/>
              </w:rPr>
            </w:pPr>
          </w:p>
          <w:p w:rsidR="00627844" w:rsidP="00462A91" w:rsidRDefault="00627844" w14:paraId="30197299" w14:textId="77777777">
            <w:pPr>
              <w:jc w:val="center"/>
              <w:rPr>
                <w:color w:val="000000"/>
              </w:rPr>
            </w:pPr>
          </w:p>
          <w:p w:rsidR="00627844" w:rsidP="00462A91" w:rsidRDefault="00627844" w14:paraId="5E5E1559" w14:textId="77777777">
            <w:pPr>
              <w:jc w:val="center"/>
              <w:rPr>
                <w:color w:val="000000"/>
              </w:rPr>
            </w:pPr>
          </w:p>
          <w:p w:rsidR="00627844" w:rsidP="00462A91" w:rsidRDefault="00627844" w14:paraId="136904DE" w14:textId="77777777">
            <w:pPr>
              <w:jc w:val="center"/>
              <w:rPr>
                <w:color w:val="000000"/>
              </w:rPr>
            </w:pPr>
          </w:p>
          <w:p w:rsidR="00627844" w:rsidP="00462A91" w:rsidRDefault="00627844" w14:paraId="129D4F87" w14:textId="77777777">
            <w:pPr>
              <w:jc w:val="center"/>
              <w:rPr>
                <w:color w:val="000000"/>
              </w:rPr>
            </w:pPr>
          </w:p>
          <w:p w:rsidR="00627844" w:rsidP="00462A91" w:rsidRDefault="00627844" w14:paraId="0CED89B9" w14:textId="77777777">
            <w:pPr>
              <w:jc w:val="center"/>
              <w:rPr>
                <w:color w:val="000000"/>
              </w:rPr>
            </w:pPr>
          </w:p>
          <w:p w:rsidR="00627844" w:rsidP="00462A91" w:rsidRDefault="00627844" w14:paraId="3469F969" w14:textId="77777777">
            <w:pPr>
              <w:jc w:val="center"/>
              <w:rPr>
                <w:color w:val="000000"/>
              </w:rPr>
            </w:pPr>
          </w:p>
          <w:p w:rsidR="00627844" w:rsidP="00462A91" w:rsidRDefault="00627844" w14:paraId="5D7A1A31" w14:textId="77777777">
            <w:pPr>
              <w:jc w:val="center"/>
              <w:rPr>
                <w:color w:val="000000"/>
              </w:rPr>
            </w:pPr>
          </w:p>
          <w:p w:rsidR="00627844" w:rsidP="00462A91" w:rsidRDefault="00627844" w14:paraId="63751DDB" w14:textId="77777777">
            <w:pPr>
              <w:jc w:val="center"/>
              <w:rPr>
                <w:color w:val="000000"/>
              </w:rPr>
            </w:pPr>
          </w:p>
          <w:p w:rsidR="00627844" w:rsidP="00462A91" w:rsidRDefault="00627844" w14:paraId="76B92D73" w14:textId="77777777">
            <w:pPr>
              <w:jc w:val="center"/>
              <w:rPr>
                <w:color w:val="000000"/>
              </w:rPr>
            </w:pPr>
          </w:p>
          <w:p w:rsidR="00627844" w:rsidP="00462A91" w:rsidRDefault="00627844" w14:paraId="72E64EFE" w14:textId="77777777">
            <w:pPr>
              <w:jc w:val="center"/>
              <w:rPr>
                <w:color w:val="000000"/>
              </w:rPr>
            </w:pPr>
          </w:p>
          <w:p w:rsidR="00627844" w:rsidP="00462A91" w:rsidRDefault="00627844" w14:paraId="0194C6B9" w14:textId="77777777">
            <w:pPr>
              <w:jc w:val="center"/>
              <w:rPr>
                <w:color w:val="000000"/>
              </w:rPr>
            </w:pPr>
          </w:p>
          <w:p w:rsidR="00627844" w:rsidP="00462A91" w:rsidRDefault="00627844" w14:paraId="47D5D1FF" w14:textId="77777777">
            <w:pPr>
              <w:jc w:val="center"/>
              <w:rPr>
                <w:color w:val="000000"/>
              </w:rPr>
            </w:pPr>
          </w:p>
          <w:p w:rsidR="00627844" w:rsidP="00462A91" w:rsidRDefault="00627844" w14:paraId="41E3C6DF" w14:textId="77777777">
            <w:pPr>
              <w:jc w:val="center"/>
              <w:rPr>
                <w:color w:val="000000"/>
              </w:rPr>
            </w:pPr>
          </w:p>
          <w:p w:rsidR="00627844" w:rsidP="00462A91" w:rsidRDefault="00627844" w14:paraId="794F18E6" w14:textId="77777777">
            <w:pPr>
              <w:jc w:val="center"/>
              <w:rPr>
                <w:color w:val="000000"/>
              </w:rPr>
            </w:pPr>
          </w:p>
          <w:p w:rsidR="00627844" w:rsidP="00462A91" w:rsidRDefault="00627844" w14:paraId="0F5D5FD6" w14:textId="77777777">
            <w:pPr>
              <w:jc w:val="center"/>
              <w:rPr>
                <w:color w:val="000000"/>
              </w:rPr>
            </w:pPr>
          </w:p>
          <w:p w:rsidR="00627844" w:rsidP="00462A91" w:rsidRDefault="00627844" w14:paraId="7F76C49C" w14:textId="77777777">
            <w:pPr>
              <w:jc w:val="center"/>
              <w:rPr>
                <w:color w:val="000000"/>
              </w:rPr>
            </w:pPr>
          </w:p>
          <w:p w:rsidR="00627844" w:rsidP="00462A91" w:rsidRDefault="00627844" w14:paraId="59886A80" w14:textId="77777777">
            <w:pPr>
              <w:jc w:val="center"/>
              <w:rPr>
                <w:color w:val="000000"/>
              </w:rPr>
            </w:pPr>
          </w:p>
          <w:p w:rsidR="00627844" w:rsidP="00462A91" w:rsidRDefault="00627844" w14:paraId="532F7066" w14:textId="77777777">
            <w:pPr>
              <w:jc w:val="center"/>
              <w:rPr>
                <w:color w:val="000000"/>
              </w:rPr>
            </w:pPr>
          </w:p>
          <w:p w:rsidR="00627844" w:rsidP="00462A91" w:rsidRDefault="00627844" w14:paraId="0B7B9DAA" w14:textId="77777777">
            <w:pPr>
              <w:jc w:val="center"/>
              <w:rPr>
                <w:color w:val="000000"/>
              </w:rPr>
            </w:pPr>
          </w:p>
          <w:p w:rsidR="00627844" w:rsidP="00462A91" w:rsidRDefault="00627844" w14:paraId="0B549C16" w14:textId="77777777">
            <w:pPr>
              <w:jc w:val="center"/>
              <w:rPr>
                <w:color w:val="000000"/>
              </w:rPr>
            </w:pPr>
          </w:p>
          <w:p w:rsidR="00627844" w:rsidP="00462A91" w:rsidRDefault="00627844" w14:paraId="111DC3DD" w14:textId="77777777">
            <w:pPr>
              <w:jc w:val="center"/>
              <w:rPr>
                <w:color w:val="000000"/>
              </w:rPr>
            </w:pPr>
          </w:p>
          <w:p w:rsidR="00627844" w:rsidP="00462A91" w:rsidRDefault="00627844" w14:paraId="2E32B220" w14:textId="77777777">
            <w:pPr>
              <w:jc w:val="center"/>
              <w:rPr>
                <w:color w:val="000000"/>
              </w:rPr>
            </w:pPr>
          </w:p>
          <w:p w:rsidR="00627844" w:rsidP="00462A91" w:rsidRDefault="00627844" w14:paraId="0E51D005" w14:textId="77777777">
            <w:pPr>
              <w:jc w:val="center"/>
              <w:rPr>
                <w:color w:val="000000"/>
              </w:rPr>
            </w:pPr>
          </w:p>
          <w:p w:rsidR="00627844" w:rsidP="00462A91" w:rsidRDefault="00627844" w14:paraId="44E72E40" w14:textId="77777777">
            <w:pPr>
              <w:jc w:val="center"/>
              <w:rPr>
                <w:color w:val="000000"/>
              </w:rPr>
            </w:pPr>
          </w:p>
          <w:p w:rsidR="00627844" w:rsidP="00462A91" w:rsidRDefault="00627844" w14:paraId="615F190A" w14:textId="77777777">
            <w:pPr>
              <w:jc w:val="center"/>
              <w:rPr>
                <w:color w:val="000000"/>
              </w:rPr>
            </w:pPr>
          </w:p>
          <w:p w:rsidR="00627844" w:rsidP="00462A91" w:rsidRDefault="00627844" w14:paraId="64D83985" w14:textId="77777777">
            <w:pPr>
              <w:jc w:val="center"/>
              <w:rPr>
                <w:color w:val="000000"/>
              </w:rPr>
            </w:pPr>
          </w:p>
          <w:p w:rsidR="00627844" w:rsidP="00462A91" w:rsidRDefault="00627844" w14:paraId="2AAD7765" w14:textId="77777777">
            <w:pPr>
              <w:jc w:val="center"/>
              <w:rPr>
                <w:color w:val="000000"/>
              </w:rPr>
            </w:pPr>
          </w:p>
          <w:p w:rsidR="00627844" w:rsidP="00462A91" w:rsidRDefault="00627844" w14:paraId="74CA5038" w14:textId="77777777">
            <w:pPr>
              <w:jc w:val="center"/>
              <w:rPr>
                <w:color w:val="000000"/>
              </w:rPr>
            </w:pPr>
          </w:p>
          <w:p w:rsidR="00627844" w:rsidP="00462A91" w:rsidRDefault="00627844" w14:paraId="5AE7DBCD" w14:textId="77777777">
            <w:pPr>
              <w:jc w:val="center"/>
              <w:rPr>
                <w:color w:val="000000"/>
              </w:rPr>
            </w:pPr>
          </w:p>
          <w:p w:rsidR="00627844" w:rsidP="00462A91" w:rsidRDefault="00627844" w14:paraId="639AA880" w14:textId="77777777">
            <w:pPr>
              <w:jc w:val="center"/>
              <w:rPr>
                <w:color w:val="000000"/>
              </w:rPr>
            </w:pPr>
          </w:p>
          <w:p w:rsidR="00627844" w:rsidP="00462A91" w:rsidRDefault="00627844" w14:paraId="7320373B" w14:textId="77777777">
            <w:pPr>
              <w:jc w:val="center"/>
              <w:rPr>
                <w:color w:val="000000"/>
              </w:rPr>
            </w:pPr>
          </w:p>
          <w:p w:rsidR="00627844" w:rsidP="00462A91" w:rsidRDefault="00627844" w14:paraId="621614BA" w14:textId="77777777">
            <w:pPr>
              <w:jc w:val="center"/>
              <w:rPr>
                <w:color w:val="000000"/>
              </w:rPr>
            </w:pPr>
          </w:p>
          <w:p w:rsidR="00627844" w:rsidP="00462A91" w:rsidRDefault="00627844" w14:paraId="42CA7C0C" w14:textId="77777777">
            <w:pPr>
              <w:jc w:val="center"/>
              <w:rPr>
                <w:color w:val="000000"/>
              </w:rPr>
            </w:pPr>
          </w:p>
          <w:p w:rsidR="00627844" w:rsidP="00462A91" w:rsidRDefault="00627844" w14:paraId="0D2510A1" w14:textId="77777777">
            <w:pPr>
              <w:jc w:val="center"/>
              <w:rPr>
                <w:color w:val="000000"/>
              </w:rPr>
            </w:pPr>
          </w:p>
          <w:p w:rsidR="00627844" w:rsidP="00462A91" w:rsidRDefault="00627844" w14:paraId="0BB1A4B8" w14:textId="77777777">
            <w:pPr>
              <w:jc w:val="center"/>
              <w:rPr>
                <w:color w:val="000000"/>
              </w:rPr>
            </w:pPr>
          </w:p>
          <w:p w:rsidR="00627844" w:rsidP="00462A91" w:rsidRDefault="00627844" w14:paraId="24BA814E" w14:textId="77777777">
            <w:pPr>
              <w:jc w:val="center"/>
              <w:rPr>
                <w:color w:val="000000"/>
              </w:rPr>
            </w:pPr>
          </w:p>
          <w:p w:rsidR="00627844" w:rsidP="00462A91" w:rsidRDefault="00627844" w14:paraId="5D850243" w14:textId="77777777">
            <w:pPr>
              <w:jc w:val="center"/>
              <w:rPr>
                <w:color w:val="000000"/>
              </w:rPr>
            </w:pPr>
          </w:p>
          <w:p w:rsidR="00627844" w:rsidP="00462A91" w:rsidRDefault="00627844" w14:paraId="762ADC1F" w14:textId="77777777">
            <w:pPr>
              <w:jc w:val="center"/>
              <w:rPr>
                <w:color w:val="000000"/>
              </w:rPr>
            </w:pPr>
          </w:p>
          <w:p w:rsidR="00627844" w:rsidP="00462A91" w:rsidRDefault="00627844" w14:paraId="1DCAE2FB" w14:textId="77777777">
            <w:pPr>
              <w:jc w:val="center"/>
              <w:rPr>
                <w:color w:val="000000"/>
              </w:rPr>
            </w:pPr>
          </w:p>
          <w:p w:rsidR="00627844" w:rsidP="00462A91" w:rsidRDefault="00627844" w14:paraId="43131D4B" w14:textId="77777777">
            <w:pPr>
              <w:jc w:val="center"/>
              <w:rPr>
                <w:color w:val="000000"/>
              </w:rPr>
            </w:pPr>
          </w:p>
          <w:p w:rsidR="00627844" w:rsidP="00462A91" w:rsidRDefault="00627844" w14:paraId="71518A64" w14:textId="5AFDADF5">
            <w:pPr>
              <w:jc w:val="center"/>
              <w:rPr>
                <w:color w:val="000000"/>
              </w:rPr>
            </w:pPr>
            <w:r>
              <w:rPr>
                <w:color w:val="000000"/>
              </w:rPr>
              <w:t>Verified</w:t>
            </w:r>
          </w:p>
          <w:p w:rsidR="00627844" w:rsidP="00462A91" w:rsidRDefault="00627844" w14:paraId="27F52CCB" w14:textId="77777777">
            <w:pPr>
              <w:jc w:val="center"/>
              <w:rPr>
                <w:color w:val="000000"/>
              </w:rPr>
            </w:pPr>
          </w:p>
          <w:p w:rsidR="00627844" w:rsidP="00462A91" w:rsidRDefault="00627844" w14:paraId="180CCC16" w14:textId="77777777">
            <w:pPr>
              <w:jc w:val="center"/>
              <w:rPr>
                <w:color w:val="000000"/>
              </w:rPr>
            </w:pPr>
          </w:p>
          <w:p w:rsidR="00627844" w:rsidP="00462A91" w:rsidRDefault="00627844" w14:paraId="58651CC8" w14:textId="77777777">
            <w:pPr>
              <w:jc w:val="center"/>
              <w:rPr>
                <w:color w:val="000000"/>
              </w:rPr>
            </w:pPr>
          </w:p>
          <w:p w:rsidR="00627844" w:rsidP="00462A91" w:rsidRDefault="00627844" w14:paraId="48504422" w14:textId="77777777">
            <w:pPr>
              <w:jc w:val="center"/>
              <w:rPr>
                <w:color w:val="000000"/>
              </w:rPr>
            </w:pPr>
          </w:p>
          <w:p w:rsidR="00627844" w:rsidP="00462A91" w:rsidRDefault="00627844" w14:paraId="5FBE7779" w14:textId="77777777">
            <w:pPr>
              <w:jc w:val="center"/>
              <w:rPr>
                <w:color w:val="000000"/>
              </w:rPr>
            </w:pPr>
          </w:p>
          <w:p w:rsidR="00627844" w:rsidP="00462A91" w:rsidRDefault="00627844" w14:paraId="2203C28F" w14:textId="77777777">
            <w:pPr>
              <w:jc w:val="center"/>
              <w:rPr>
                <w:color w:val="000000"/>
              </w:rPr>
            </w:pPr>
          </w:p>
          <w:p w:rsidR="00627844" w:rsidP="00462A91" w:rsidRDefault="00627844" w14:paraId="4439CC5E" w14:textId="77777777">
            <w:pPr>
              <w:jc w:val="center"/>
              <w:rPr>
                <w:color w:val="000000"/>
              </w:rPr>
            </w:pPr>
          </w:p>
          <w:p w:rsidR="00627844" w:rsidP="00462A91" w:rsidRDefault="00627844" w14:paraId="6580EE6C" w14:textId="77777777">
            <w:pPr>
              <w:jc w:val="center"/>
              <w:rPr>
                <w:color w:val="000000"/>
              </w:rPr>
            </w:pPr>
          </w:p>
          <w:p w:rsidR="00627844" w:rsidP="00462A91" w:rsidRDefault="00627844" w14:paraId="3D01929A" w14:textId="46BFEE92">
            <w:pPr>
              <w:jc w:val="center"/>
              <w:rPr>
                <w:color w:val="000000"/>
              </w:rPr>
            </w:pPr>
            <w:r>
              <w:rPr>
                <w:color w:val="000000"/>
              </w:rPr>
              <w:lastRenderedPageBreak/>
              <w:t>Verified</w:t>
            </w:r>
          </w:p>
          <w:p w:rsidR="00627844" w:rsidP="00462A91" w:rsidRDefault="00627844" w14:paraId="6FB8FA71" w14:textId="77777777">
            <w:pPr>
              <w:jc w:val="center"/>
              <w:rPr>
                <w:color w:val="000000"/>
              </w:rPr>
            </w:pPr>
          </w:p>
          <w:p w:rsidR="00627844" w:rsidP="00462A91" w:rsidRDefault="00627844" w14:paraId="345E7673" w14:textId="77777777">
            <w:pPr>
              <w:jc w:val="center"/>
              <w:rPr>
                <w:color w:val="000000"/>
              </w:rPr>
            </w:pPr>
          </w:p>
          <w:p w:rsidR="00627844" w:rsidP="00462A91" w:rsidRDefault="00627844" w14:paraId="4EE0C3F2" w14:textId="77777777">
            <w:pPr>
              <w:jc w:val="center"/>
              <w:rPr>
                <w:color w:val="000000"/>
              </w:rPr>
            </w:pPr>
          </w:p>
          <w:p w:rsidR="00627844" w:rsidP="00462A91" w:rsidRDefault="00627844" w14:paraId="209D0ED9" w14:textId="77777777">
            <w:pPr>
              <w:jc w:val="center"/>
              <w:rPr>
                <w:color w:val="000000"/>
              </w:rPr>
            </w:pPr>
          </w:p>
          <w:p w:rsidR="00627844" w:rsidP="00462A91" w:rsidRDefault="00627844" w14:paraId="364D26E4" w14:textId="77777777">
            <w:pPr>
              <w:jc w:val="center"/>
              <w:rPr>
                <w:color w:val="000000"/>
              </w:rPr>
            </w:pPr>
          </w:p>
          <w:p w:rsidR="00627844" w:rsidP="00462A91" w:rsidRDefault="00627844" w14:paraId="66E6E221" w14:textId="77777777">
            <w:pPr>
              <w:jc w:val="center"/>
              <w:rPr>
                <w:color w:val="000000"/>
              </w:rPr>
            </w:pPr>
          </w:p>
          <w:p w:rsidR="00627844" w:rsidP="00462A91" w:rsidRDefault="00627844" w14:paraId="74599700" w14:textId="77777777">
            <w:pPr>
              <w:jc w:val="center"/>
              <w:rPr>
                <w:color w:val="000000"/>
              </w:rPr>
            </w:pPr>
          </w:p>
          <w:p w:rsidR="00627844" w:rsidP="00462A91" w:rsidRDefault="00627844" w14:paraId="0560C30D" w14:textId="77777777">
            <w:pPr>
              <w:jc w:val="center"/>
              <w:rPr>
                <w:color w:val="000000"/>
              </w:rPr>
            </w:pPr>
          </w:p>
          <w:p w:rsidR="00627844" w:rsidP="00462A91" w:rsidRDefault="00627844" w14:paraId="42DDF4FC" w14:textId="77777777">
            <w:pPr>
              <w:jc w:val="center"/>
              <w:rPr>
                <w:color w:val="000000"/>
              </w:rPr>
            </w:pPr>
          </w:p>
          <w:p w:rsidR="00627844" w:rsidP="00462A91" w:rsidRDefault="00627844" w14:paraId="665B257C" w14:textId="77777777">
            <w:pPr>
              <w:jc w:val="center"/>
              <w:rPr>
                <w:color w:val="000000"/>
              </w:rPr>
            </w:pPr>
          </w:p>
          <w:p w:rsidR="00627844" w:rsidP="00462A91" w:rsidRDefault="00627844" w14:paraId="64614707" w14:textId="77777777">
            <w:pPr>
              <w:jc w:val="center"/>
              <w:rPr>
                <w:color w:val="000000"/>
              </w:rPr>
            </w:pPr>
          </w:p>
          <w:p w:rsidR="00627844" w:rsidP="00462A91" w:rsidRDefault="00627844" w14:paraId="1F8CCF6C" w14:textId="77777777">
            <w:pPr>
              <w:jc w:val="center"/>
              <w:rPr>
                <w:color w:val="000000"/>
              </w:rPr>
            </w:pPr>
          </w:p>
          <w:p w:rsidR="00627844" w:rsidP="00462A91" w:rsidRDefault="00627844" w14:paraId="6E119C0F" w14:textId="77777777">
            <w:pPr>
              <w:jc w:val="center"/>
              <w:rPr>
                <w:color w:val="000000"/>
              </w:rPr>
            </w:pPr>
          </w:p>
          <w:p w:rsidRPr="007F620E" w:rsidR="00627844" w:rsidP="00462A91" w:rsidRDefault="00627844" w14:paraId="63938BDA" w14:textId="3C3CCA24">
            <w:pPr>
              <w:jc w:val="center"/>
              <w:rPr>
                <w:color w:val="000000"/>
              </w:rPr>
            </w:pPr>
            <w:r>
              <w:rPr>
                <w:color w:val="000000"/>
              </w:rPr>
              <w:t>Verified</w:t>
            </w:r>
          </w:p>
        </w:tc>
      </w:tr>
      <w:tr w:rsidRPr="007F620E" w:rsidR="00542D57" w:rsidTr="007161CD" w14:paraId="09B57CEF" w14:textId="77777777">
        <w:tc>
          <w:tcPr>
            <w:tcW w:w="3258" w:type="dxa"/>
          </w:tcPr>
          <w:p w:rsidRPr="00346022" w:rsidR="00542D57" w:rsidP="00542D57" w:rsidRDefault="00542D57" w14:paraId="497EF5A5" w14:textId="6296A2FE">
            <w:pPr>
              <w:rPr>
                <w:b/>
                <w:bCs/>
                <w:color w:val="000000"/>
                <w:u w:val="single"/>
              </w:rPr>
            </w:pPr>
            <w:r w:rsidRPr="00346022">
              <w:rPr>
                <w:b/>
                <w:bCs/>
                <w:color w:val="000000"/>
                <w:u w:val="single"/>
              </w:rPr>
              <w:lastRenderedPageBreak/>
              <w:t>Definition of Existing Electrical Transmission Facility</w:t>
            </w:r>
          </w:p>
          <w:p w:rsidR="00E82E9A" w:rsidP="00E82E9A" w:rsidRDefault="00542D57" w14:paraId="6CFDE95C" w14:textId="0F5AA678">
            <w:pPr>
              <w:rPr>
                <w:color w:val="000000"/>
              </w:rPr>
            </w:pPr>
            <w:r>
              <w:rPr>
                <w:color w:val="000000"/>
              </w:rPr>
              <w:lastRenderedPageBreak/>
              <w:t>The Commission adopted PCF’s</w:t>
            </w:r>
            <w:r w:rsidR="00EE7A2E">
              <w:rPr>
                <w:rStyle w:val="FootnoteReference"/>
                <w:color w:val="000000"/>
              </w:rPr>
              <w:footnoteReference w:id="2"/>
            </w:r>
            <w:r w:rsidR="00EE7A2E">
              <w:rPr>
                <w:color w:val="000000"/>
              </w:rPr>
              <w:t xml:space="preserve"> </w:t>
            </w:r>
            <w:r>
              <w:rPr>
                <w:color w:val="000000"/>
              </w:rPr>
              <w:t xml:space="preserve">analysis that an authorized facility is not necessarily an existing facility. </w:t>
            </w:r>
            <w:r w:rsidR="00F71EF4">
              <w:rPr>
                <w:color w:val="000000"/>
              </w:rPr>
              <w:t xml:space="preserve">The Commission agreed with PCF that </w:t>
            </w:r>
            <w:r w:rsidR="00262CF1">
              <w:rPr>
                <w:color w:val="000000"/>
              </w:rPr>
              <w:t xml:space="preserve">the </w:t>
            </w:r>
            <w:r>
              <w:rPr>
                <w:color w:val="000000"/>
              </w:rPr>
              <w:t xml:space="preserve">Legislature </w:t>
            </w:r>
            <w:r w:rsidR="00262CF1">
              <w:rPr>
                <w:color w:val="000000"/>
              </w:rPr>
              <w:t>did not intend t</w:t>
            </w:r>
            <w:r>
              <w:rPr>
                <w:color w:val="000000"/>
              </w:rPr>
              <w:t xml:space="preserve">o define the word </w:t>
            </w:r>
            <w:r w:rsidR="004B0BF8">
              <w:rPr>
                <w:color w:val="000000"/>
              </w:rPr>
              <w:t>“</w:t>
            </w:r>
            <w:r>
              <w:rPr>
                <w:color w:val="000000"/>
              </w:rPr>
              <w:t>existing</w:t>
            </w:r>
            <w:r w:rsidR="004B0BF8">
              <w:rPr>
                <w:color w:val="000000"/>
              </w:rPr>
              <w:t xml:space="preserve">” as </w:t>
            </w:r>
            <w:r>
              <w:rPr>
                <w:color w:val="000000"/>
              </w:rPr>
              <w:t>includ</w:t>
            </w:r>
            <w:r w:rsidR="004B0BF8">
              <w:rPr>
                <w:color w:val="000000"/>
              </w:rPr>
              <w:t xml:space="preserve">ing </w:t>
            </w:r>
            <w:r>
              <w:rPr>
                <w:color w:val="000000"/>
              </w:rPr>
              <w:t>facilities that do not yet exist</w:t>
            </w:r>
            <w:r w:rsidR="004B0BF8">
              <w:rPr>
                <w:color w:val="000000"/>
              </w:rPr>
              <w:t xml:space="preserve">, </w:t>
            </w:r>
            <w:r>
              <w:rPr>
                <w:color w:val="000000"/>
              </w:rPr>
              <w:t xml:space="preserve">and deleted the statement in the PD that an existing electrical transmission facility is a facility that has been authorized. </w:t>
            </w:r>
            <w:r w:rsidR="00D10443">
              <w:rPr>
                <w:color w:val="000000"/>
              </w:rPr>
              <w:t>Additionally, i</w:t>
            </w:r>
            <w:r>
              <w:rPr>
                <w:color w:val="000000"/>
              </w:rPr>
              <w:t xml:space="preserve">n Phase 2 of the proceeding, </w:t>
            </w:r>
            <w:r w:rsidR="00AF237A">
              <w:rPr>
                <w:color w:val="000000"/>
              </w:rPr>
              <w:t xml:space="preserve">the Commission adopted PCF’s recommendation that </w:t>
            </w:r>
            <w:r w:rsidR="00E82E9A">
              <w:rPr>
                <w:color w:val="000000"/>
              </w:rPr>
              <w:t>PCF recommended that the Commission include in the definition of existing electrical transmission facility only those facilities with an existing permit or certificate that are actually being used</w:t>
            </w:r>
            <w:r w:rsidR="002B25CB">
              <w:rPr>
                <w:color w:val="000000"/>
              </w:rPr>
              <w:t xml:space="preserve"> and </w:t>
            </w:r>
            <w:r w:rsidR="00E82E9A">
              <w:rPr>
                <w:color w:val="000000"/>
              </w:rPr>
              <w:t xml:space="preserve">include all facilities within the Commission’s jurisdiction, </w:t>
            </w:r>
            <w:r w:rsidR="00746E19">
              <w:rPr>
                <w:color w:val="000000"/>
              </w:rPr>
              <w:t>and</w:t>
            </w:r>
          </w:p>
          <w:p w:rsidR="00542D57" w:rsidP="00542D57" w:rsidRDefault="00542D57" w14:paraId="26A296BB" w14:textId="63EE58BE">
            <w:pPr>
              <w:rPr>
                <w:color w:val="000000"/>
              </w:rPr>
            </w:pPr>
            <w:r>
              <w:rPr>
                <w:color w:val="000000"/>
              </w:rPr>
              <w:t>the Commission adopted PCF’s recommendation to include all facilities within the Commission’s jurisdiction.</w:t>
            </w:r>
          </w:p>
          <w:p w:rsidR="00542D57" w:rsidP="00542D57" w:rsidRDefault="00542D57" w14:paraId="4FB1C710" w14:textId="77777777">
            <w:pPr>
              <w:rPr>
                <w:color w:val="000000"/>
              </w:rPr>
            </w:pPr>
          </w:p>
          <w:p w:rsidR="00542D57" w:rsidP="00542D57" w:rsidRDefault="00542D57" w14:paraId="07B18CA2" w14:textId="77777777">
            <w:pPr>
              <w:rPr>
                <w:b/>
                <w:bCs/>
                <w:color w:val="000000"/>
                <w:u w:val="single"/>
              </w:rPr>
            </w:pPr>
          </w:p>
        </w:tc>
        <w:tc>
          <w:tcPr>
            <w:tcW w:w="4140" w:type="dxa"/>
          </w:tcPr>
          <w:p w:rsidRPr="00B978F6" w:rsidR="00542D57" w:rsidP="00542D57" w:rsidRDefault="00542D57" w14:paraId="51C47191" w14:textId="77777777">
            <w:pPr>
              <w:rPr>
                <w:color w:val="000000"/>
              </w:rPr>
            </w:pPr>
            <w:r>
              <w:rPr>
                <w:color w:val="000000"/>
              </w:rPr>
              <w:lastRenderedPageBreak/>
              <w:t>“</w:t>
            </w:r>
            <w:r w:rsidRPr="00F839B7">
              <w:rPr>
                <w:color w:val="000000"/>
              </w:rPr>
              <w:t>CBD and POCF also recommend the</w:t>
            </w:r>
            <w:r>
              <w:rPr>
                <w:color w:val="000000"/>
              </w:rPr>
              <w:t xml:space="preserve"> </w:t>
            </w:r>
            <w:r w:rsidRPr="00F839B7">
              <w:rPr>
                <w:color w:val="000000"/>
              </w:rPr>
              <w:t>statement be deleted or modified arguing that the statement could be interpreted</w:t>
            </w:r>
            <w:r>
              <w:rPr>
                <w:color w:val="000000"/>
              </w:rPr>
              <w:t xml:space="preserve"> </w:t>
            </w:r>
            <w:r w:rsidRPr="00F839B7">
              <w:rPr>
                <w:color w:val="000000"/>
              </w:rPr>
              <w:t>as defining an existing facility as a project that has been authorized, even if it has</w:t>
            </w:r>
            <w:r>
              <w:rPr>
                <w:color w:val="000000"/>
              </w:rPr>
              <w:t xml:space="preserve"> </w:t>
            </w:r>
            <w:r w:rsidRPr="00F839B7">
              <w:rPr>
                <w:color w:val="000000"/>
              </w:rPr>
              <w:t>not been built or is not actually in existence.</w:t>
            </w:r>
            <w:r>
              <w:rPr>
                <w:color w:val="000000"/>
              </w:rPr>
              <w:t xml:space="preserve"> </w:t>
            </w:r>
            <w:r w:rsidRPr="00B978F6">
              <w:rPr>
                <w:color w:val="000000"/>
              </w:rPr>
              <w:t xml:space="preserve">We agree that an authorized facility does not </w:t>
            </w:r>
            <w:r w:rsidRPr="00B978F6">
              <w:rPr>
                <w:color w:val="000000"/>
              </w:rPr>
              <w:lastRenderedPageBreak/>
              <w:t>necessarily equate to an</w:t>
            </w:r>
            <w:r>
              <w:rPr>
                <w:color w:val="000000"/>
              </w:rPr>
              <w:t xml:space="preserve"> </w:t>
            </w:r>
            <w:r w:rsidRPr="00B978F6">
              <w:rPr>
                <w:color w:val="000000"/>
              </w:rPr>
              <w:t>existing facility. Therefore, the statement in the PD indicating that an existing</w:t>
            </w:r>
            <w:r>
              <w:rPr>
                <w:color w:val="000000"/>
              </w:rPr>
              <w:t xml:space="preserve"> </w:t>
            </w:r>
            <w:r w:rsidRPr="00B978F6">
              <w:rPr>
                <w:color w:val="000000"/>
              </w:rPr>
              <w:t>electrical transmission facility is a facility that has previously been authorized</w:t>
            </w:r>
            <w:r>
              <w:rPr>
                <w:color w:val="000000"/>
              </w:rPr>
              <w:t xml:space="preserve"> </w:t>
            </w:r>
            <w:r w:rsidRPr="00B978F6">
              <w:rPr>
                <w:color w:val="000000"/>
              </w:rPr>
              <w:t>has been deleted. Development of definitions for an “extension, expansion,</w:t>
            </w:r>
            <w:r>
              <w:rPr>
                <w:color w:val="000000"/>
              </w:rPr>
              <w:t xml:space="preserve"> </w:t>
            </w:r>
            <w:r w:rsidRPr="00B978F6">
              <w:rPr>
                <w:color w:val="000000"/>
              </w:rPr>
              <w:t>upgrade, or other modification” may produce additional clarification regarding</w:t>
            </w:r>
          </w:p>
          <w:p w:rsidRPr="00B978F6" w:rsidR="00542D57" w:rsidP="00542D57" w:rsidRDefault="00542D57" w14:paraId="7845A568" w14:textId="77777777">
            <w:pPr>
              <w:rPr>
                <w:color w:val="000000"/>
              </w:rPr>
            </w:pPr>
            <w:r w:rsidRPr="00B978F6">
              <w:rPr>
                <w:color w:val="000000"/>
              </w:rPr>
              <w:t>whether “existing electrical transmission facility” requires further definition.</w:t>
            </w:r>
          </w:p>
          <w:p w:rsidR="00542D57" w:rsidP="00542D57" w:rsidRDefault="00542D57" w14:paraId="22E78FE7" w14:textId="77777777">
            <w:pPr>
              <w:rPr>
                <w:color w:val="000000"/>
              </w:rPr>
            </w:pPr>
            <w:r w:rsidRPr="00B978F6">
              <w:rPr>
                <w:color w:val="000000"/>
              </w:rPr>
              <w:t>Therefore, we direct that a definition of “existing electrical transmission facility”</w:t>
            </w:r>
            <w:r>
              <w:rPr>
                <w:color w:val="000000"/>
              </w:rPr>
              <w:t xml:space="preserve"> </w:t>
            </w:r>
            <w:r w:rsidRPr="00B978F6">
              <w:rPr>
                <w:color w:val="000000"/>
              </w:rPr>
              <w:t>also be further considered during Phase 2 of this proceeding.</w:t>
            </w:r>
            <w:r>
              <w:rPr>
                <w:color w:val="000000"/>
              </w:rPr>
              <w:t>” D.23-12-035, p. 15-16.</w:t>
            </w:r>
          </w:p>
          <w:p w:rsidR="00542D57" w:rsidP="00542D57" w:rsidRDefault="00542D57" w14:paraId="288853FB" w14:textId="77777777">
            <w:pPr>
              <w:rPr>
                <w:color w:val="000000"/>
              </w:rPr>
            </w:pPr>
          </w:p>
          <w:p w:rsidR="00542D57" w:rsidP="00542D57" w:rsidRDefault="00542D57" w14:paraId="24E7C4E8" w14:textId="25CBC780">
            <w:pPr>
              <w:rPr>
                <w:color w:val="000000"/>
              </w:rPr>
            </w:pPr>
            <w:r>
              <w:rPr>
                <w:color w:val="000000"/>
              </w:rPr>
              <w:t>“</w:t>
            </w:r>
            <w:r w:rsidRPr="00C774BA">
              <w:rPr>
                <w:color w:val="000000"/>
              </w:rPr>
              <w:t>Several parties</w:t>
            </w:r>
            <w:r>
              <w:rPr>
                <w:color w:val="000000"/>
              </w:rPr>
              <w:t xml:space="preserve"> </w:t>
            </w:r>
            <w:r w:rsidRPr="00C774BA">
              <w:rPr>
                <w:color w:val="000000"/>
              </w:rPr>
              <w:t>(EDF, PCF, CBD, IEP, California Farm Bureau Federation (CFBF), and Cal</w:t>
            </w:r>
            <w:r>
              <w:rPr>
                <w:color w:val="000000"/>
              </w:rPr>
              <w:t xml:space="preserve"> </w:t>
            </w:r>
            <w:r w:rsidRPr="00C774BA">
              <w:rPr>
                <w:color w:val="000000"/>
              </w:rPr>
              <w:t>Advocates) support Staff’s proposed definition with modifications</w:t>
            </w:r>
            <w:r w:rsidR="00CD514D">
              <w:rPr>
                <w:color w:val="000000"/>
              </w:rPr>
              <w:t>…</w:t>
            </w:r>
            <w:r w:rsidRPr="00F26C71">
              <w:rPr>
                <w:color w:val="000000"/>
              </w:rPr>
              <w:t>Balancing these considerations, we adopt the modified Staff Proposal</w:t>
            </w:r>
            <w:r w:rsidR="00CD514D">
              <w:rPr>
                <w:color w:val="000000"/>
              </w:rPr>
              <w:t xml:space="preserve"> </w:t>
            </w:r>
            <w:r w:rsidRPr="00F26C71">
              <w:rPr>
                <w:color w:val="000000"/>
              </w:rPr>
              <w:t>Section 1, Proposal 1 definition of “existing electrical transmission facility” as</w:t>
            </w:r>
            <w:r>
              <w:rPr>
                <w:color w:val="000000"/>
              </w:rPr>
              <w:t xml:space="preserve"> </w:t>
            </w:r>
            <w:r w:rsidRPr="00F26C71">
              <w:rPr>
                <w:color w:val="000000"/>
              </w:rPr>
              <w:t>follows:</w:t>
            </w:r>
            <w:r>
              <w:rPr>
                <w:color w:val="000000"/>
              </w:rPr>
              <w:t xml:space="preserve"> </w:t>
            </w:r>
            <w:r w:rsidRPr="00F26C71">
              <w:rPr>
                <w:color w:val="000000"/>
              </w:rPr>
              <w:t>… an electrical transmission line, power line, substation, or</w:t>
            </w:r>
            <w:r>
              <w:rPr>
                <w:color w:val="000000"/>
              </w:rPr>
              <w:t xml:space="preserve"> </w:t>
            </w:r>
            <w:r w:rsidRPr="00F26C71">
              <w:rPr>
                <w:color w:val="000000"/>
              </w:rPr>
              <w:t>switchyard that has been constructed for operation at or above 50</w:t>
            </w:r>
            <w:r>
              <w:rPr>
                <w:color w:val="000000"/>
              </w:rPr>
              <w:t xml:space="preserve"> </w:t>
            </w:r>
            <w:r w:rsidRPr="00F26C71">
              <w:rPr>
                <w:color w:val="000000"/>
              </w:rPr>
              <w:t>kV.</w:t>
            </w:r>
            <w:r>
              <w:rPr>
                <w:color w:val="000000"/>
              </w:rPr>
              <w:t xml:space="preserve">” D.25-01-055, p. </w:t>
            </w:r>
            <w:r w:rsidR="00CD514D">
              <w:rPr>
                <w:color w:val="000000"/>
              </w:rPr>
              <w:t>70-</w:t>
            </w:r>
            <w:r>
              <w:rPr>
                <w:color w:val="000000"/>
              </w:rPr>
              <w:t>71.</w:t>
            </w:r>
          </w:p>
          <w:p w:rsidR="00542D57" w:rsidP="00542D57" w:rsidRDefault="00542D57" w14:paraId="6A79CF0C" w14:textId="77777777">
            <w:pPr>
              <w:rPr>
                <w:color w:val="000000"/>
              </w:rPr>
            </w:pPr>
          </w:p>
          <w:p w:rsidR="00542D57" w:rsidP="00542D57" w:rsidRDefault="00542D57" w14:paraId="081956DB" w14:textId="4A6A3E20">
            <w:pPr>
              <w:rPr>
                <w:color w:val="000000"/>
              </w:rPr>
            </w:pPr>
            <w:r>
              <w:rPr>
                <w:color w:val="000000"/>
              </w:rPr>
              <w:t>“</w:t>
            </w:r>
            <w:r w:rsidRPr="00BB03A7">
              <w:rPr>
                <w:color w:val="000000"/>
              </w:rPr>
              <w:t xml:space="preserve">Applicants </w:t>
            </w:r>
            <w:r w:rsidR="004B3BEE">
              <w:rPr>
                <w:color w:val="000000"/>
              </w:rPr>
              <w:t>generally urging us to adopt narrower definitions of the terms…</w:t>
            </w:r>
            <w:r w:rsidR="001866F4">
              <w:rPr>
                <w:color w:val="000000"/>
              </w:rPr>
              <w:t xml:space="preserve"> </w:t>
            </w:r>
            <w:r w:rsidR="001D71F7">
              <w:rPr>
                <w:color w:val="000000"/>
              </w:rPr>
              <w:t xml:space="preserve">Applicants </w:t>
            </w:r>
            <w:r w:rsidRPr="00BB03A7">
              <w:rPr>
                <w:color w:val="000000"/>
              </w:rPr>
              <w:t xml:space="preserve">argued that the proposed definition of </w:t>
            </w:r>
            <w:r w:rsidR="00D16D42">
              <w:rPr>
                <w:color w:val="000000"/>
              </w:rPr>
              <w:t>‘</w:t>
            </w:r>
            <w:r w:rsidRPr="00BB03A7">
              <w:rPr>
                <w:color w:val="000000"/>
              </w:rPr>
              <w:t>existing electrical transmission facility</w:t>
            </w:r>
            <w:r w:rsidR="00D16D42">
              <w:rPr>
                <w:color w:val="000000"/>
              </w:rPr>
              <w:t>’</w:t>
            </w:r>
            <w:r w:rsidRPr="00BB03A7">
              <w:rPr>
                <w:color w:val="000000"/>
              </w:rPr>
              <w:t xml:space="preserve"> could encompass all proposed transmission projects</w:t>
            </w:r>
            <w:r w:rsidR="001D71F7">
              <w:rPr>
                <w:color w:val="000000"/>
              </w:rPr>
              <w:t>….In developing this staff proposal, staff carefully reviewed and considered all party comments submitted during Phase 1 and Phase 2 of the R.23-05-018 proceeding</w:t>
            </w:r>
            <w:r w:rsidR="00C8271B">
              <w:rPr>
                <w:color w:val="000000"/>
              </w:rPr>
              <w:t xml:space="preserve">…The Decision addressed </w:t>
            </w:r>
            <w:r w:rsidR="00C8271B">
              <w:rPr>
                <w:color w:val="000000"/>
              </w:rPr>
              <w:lastRenderedPageBreak/>
              <w:t>the Staff Proposal and ‘carefully reviewed and considered all parties’ comments’ and incorporated any as warranted.</w:t>
            </w:r>
            <w:r>
              <w:rPr>
                <w:color w:val="000000"/>
              </w:rPr>
              <w:t>” D.25-07-042, p. 6</w:t>
            </w:r>
            <w:r w:rsidR="00916074">
              <w:rPr>
                <w:color w:val="000000"/>
              </w:rPr>
              <w:t>-7</w:t>
            </w:r>
            <w:r>
              <w:rPr>
                <w:color w:val="000000"/>
              </w:rPr>
              <w:t>.</w:t>
            </w:r>
          </w:p>
          <w:p w:rsidR="00746E19" w:rsidP="00542D57" w:rsidRDefault="00746E19" w14:paraId="778CB85E" w14:textId="77777777">
            <w:pPr>
              <w:rPr>
                <w:color w:val="000000"/>
              </w:rPr>
            </w:pPr>
          </w:p>
          <w:p w:rsidR="00746E19" w:rsidP="00746E19" w:rsidRDefault="00746E19" w14:paraId="0ECD88D6" w14:textId="47E9097C">
            <w:pPr>
              <w:rPr>
                <w:color w:val="000000"/>
              </w:rPr>
            </w:pPr>
            <w:r>
              <w:rPr>
                <w:color w:val="000000"/>
              </w:rPr>
              <w:t>PCF Comments on PD Addressing Phase 1 Issues (November 15, 2023), p. 8</w:t>
            </w:r>
            <w:r w:rsidR="002651BF">
              <w:rPr>
                <w:color w:val="000000"/>
              </w:rPr>
              <w:t xml:space="preserve">; </w:t>
            </w:r>
            <w:r>
              <w:rPr>
                <w:color w:val="000000"/>
              </w:rPr>
              <w:t>Center, Clean Coalition, and PCF Opening Comments on Phase 2 Issues (February 5, 2024), p. 2-7</w:t>
            </w:r>
            <w:r w:rsidR="00794FF3">
              <w:rPr>
                <w:color w:val="000000"/>
              </w:rPr>
              <w:t>;</w:t>
            </w:r>
            <w:r w:rsidR="00FE1EBF">
              <w:rPr>
                <w:color w:val="000000"/>
              </w:rPr>
              <w:t xml:space="preserve"> </w:t>
            </w:r>
            <w:r>
              <w:rPr>
                <w:color w:val="000000"/>
              </w:rPr>
              <w:t>Center</w:t>
            </w:r>
            <w:r w:rsidR="00FE1EBF">
              <w:rPr>
                <w:color w:val="000000"/>
              </w:rPr>
              <w:t xml:space="preserve"> </w:t>
            </w:r>
            <w:r>
              <w:rPr>
                <w:color w:val="000000"/>
              </w:rPr>
              <w:t>and PCF Reply Comments on Phase 2 Issues (February 26, 2024), p. 10</w:t>
            </w:r>
            <w:r w:rsidR="00141458">
              <w:rPr>
                <w:color w:val="000000"/>
              </w:rPr>
              <w:t>, 13</w:t>
            </w:r>
            <w:r w:rsidR="00794FF3">
              <w:rPr>
                <w:color w:val="000000"/>
              </w:rPr>
              <w:t>;</w:t>
            </w:r>
            <w:r w:rsidR="00FE1EBF">
              <w:rPr>
                <w:color w:val="000000"/>
              </w:rPr>
              <w:t xml:space="preserve"> </w:t>
            </w:r>
            <w:r>
              <w:rPr>
                <w:color w:val="000000"/>
              </w:rPr>
              <w:t xml:space="preserve">Center and </w:t>
            </w:r>
            <w:r w:rsidR="00FE1EBF">
              <w:rPr>
                <w:color w:val="000000"/>
              </w:rPr>
              <w:t>PCF</w:t>
            </w:r>
            <w:r>
              <w:rPr>
                <w:color w:val="000000"/>
              </w:rPr>
              <w:t xml:space="preserve"> Opening Comments on Phase 2 Staff Proposal (July 1, 2024), p. 3-4.</w:t>
            </w:r>
          </w:p>
          <w:p w:rsidR="00746E19" w:rsidP="00542D57" w:rsidRDefault="00746E19" w14:paraId="416CCCA9" w14:textId="5E08E63C">
            <w:pPr>
              <w:rPr>
                <w:color w:val="000000"/>
              </w:rPr>
            </w:pPr>
          </w:p>
        </w:tc>
        <w:tc>
          <w:tcPr>
            <w:tcW w:w="1957" w:type="dxa"/>
          </w:tcPr>
          <w:p w:rsidR="00542D57" w:rsidP="00462A91" w:rsidRDefault="00542D57" w14:paraId="079C57A9" w14:textId="77777777">
            <w:pPr>
              <w:jc w:val="center"/>
              <w:rPr>
                <w:color w:val="000000"/>
              </w:rPr>
            </w:pPr>
          </w:p>
          <w:p w:rsidR="00627844" w:rsidP="00462A91" w:rsidRDefault="00627844" w14:paraId="6C98A845" w14:textId="77777777">
            <w:pPr>
              <w:jc w:val="center"/>
              <w:rPr>
                <w:color w:val="000000"/>
              </w:rPr>
            </w:pPr>
          </w:p>
          <w:p w:rsidR="00627844" w:rsidP="00462A91" w:rsidRDefault="00627844" w14:paraId="552F81AB" w14:textId="77777777">
            <w:pPr>
              <w:jc w:val="center"/>
              <w:rPr>
                <w:color w:val="000000"/>
              </w:rPr>
            </w:pPr>
            <w:r>
              <w:rPr>
                <w:color w:val="000000"/>
              </w:rPr>
              <w:t>Verified</w:t>
            </w:r>
          </w:p>
          <w:p w:rsidR="00627844" w:rsidP="00462A91" w:rsidRDefault="00627844" w14:paraId="62828356" w14:textId="77777777">
            <w:pPr>
              <w:jc w:val="center"/>
              <w:rPr>
                <w:color w:val="000000"/>
              </w:rPr>
            </w:pPr>
          </w:p>
          <w:p w:rsidR="00627844" w:rsidP="00462A91" w:rsidRDefault="00627844" w14:paraId="3B029D9D" w14:textId="77777777">
            <w:pPr>
              <w:jc w:val="center"/>
              <w:rPr>
                <w:color w:val="000000"/>
              </w:rPr>
            </w:pPr>
          </w:p>
          <w:p w:rsidR="00627844" w:rsidP="00462A91" w:rsidRDefault="00627844" w14:paraId="4228B8BB" w14:textId="77777777">
            <w:pPr>
              <w:jc w:val="center"/>
              <w:rPr>
                <w:color w:val="000000"/>
              </w:rPr>
            </w:pPr>
          </w:p>
          <w:p w:rsidR="00627844" w:rsidP="00462A91" w:rsidRDefault="00627844" w14:paraId="530DC2B0" w14:textId="77777777">
            <w:pPr>
              <w:jc w:val="center"/>
              <w:rPr>
                <w:color w:val="000000"/>
              </w:rPr>
            </w:pPr>
          </w:p>
          <w:p w:rsidR="00627844" w:rsidP="00462A91" w:rsidRDefault="00627844" w14:paraId="690412A6" w14:textId="77777777">
            <w:pPr>
              <w:jc w:val="center"/>
              <w:rPr>
                <w:color w:val="000000"/>
              </w:rPr>
            </w:pPr>
          </w:p>
          <w:p w:rsidR="00627844" w:rsidP="00462A91" w:rsidRDefault="00627844" w14:paraId="796E1C9B" w14:textId="77777777">
            <w:pPr>
              <w:jc w:val="center"/>
              <w:rPr>
                <w:color w:val="000000"/>
              </w:rPr>
            </w:pPr>
          </w:p>
          <w:p w:rsidR="00627844" w:rsidP="00462A91" w:rsidRDefault="00627844" w14:paraId="5A6DAAB8" w14:textId="77777777">
            <w:pPr>
              <w:jc w:val="center"/>
              <w:rPr>
                <w:color w:val="000000"/>
              </w:rPr>
            </w:pPr>
          </w:p>
          <w:p w:rsidR="00627844" w:rsidP="00462A91" w:rsidRDefault="00627844" w14:paraId="489CBD2A" w14:textId="77777777">
            <w:pPr>
              <w:jc w:val="center"/>
              <w:rPr>
                <w:color w:val="000000"/>
              </w:rPr>
            </w:pPr>
          </w:p>
          <w:p w:rsidR="00627844" w:rsidP="00462A91" w:rsidRDefault="00627844" w14:paraId="06364598" w14:textId="77777777">
            <w:pPr>
              <w:jc w:val="center"/>
              <w:rPr>
                <w:color w:val="000000"/>
              </w:rPr>
            </w:pPr>
          </w:p>
          <w:p w:rsidR="00627844" w:rsidP="00462A91" w:rsidRDefault="00627844" w14:paraId="27D39BEA" w14:textId="77777777">
            <w:pPr>
              <w:jc w:val="center"/>
              <w:rPr>
                <w:color w:val="000000"/>
              </w:rPr>
            </w:pPr>
          </w:p>
          <w:p w:rsidR="00627844" w:rsidP="00462A91" w:rsidRDefault="00627844" w14:paraId="3ACB582E" w14:textId="77777777">
            <w:pPr>
              <w:jc w:val="center"/>
              <w:rPr>
                <w:color w:val="000000"/>
              </w:rPr>
            </w:pPr>
          </w:p>
          <w:p w:rsidR="00627844" w:rsidP="00462A91" w:rsidRDefault="00627844" w14:paraId="4E5930F7" w14:textId="77777777">
            <w:pPr>
              <w:jc w:val="center"/>
              <w:rPr>
                <w:color w:val="000000"/>
              </w:rPr>
            </w:pPr>
          </w:p>
          <w:p w:rsidR="00627844" w:rsidP="00462A91" w:rsidRDefault="00627844" w14:paraId="13224212" w14:textId="77777777">
            <w:pPr>
              <w:jc w:val="center"/>
              <w:rPr>
                <w:color w:val="000000"/>
              </w:rPr>
            </w:pPr>
          </w:p>
          <w:p w:rsidR="00627844" w:rsidP="00462A91" w:rsidRDefault="00627844" w14:paraId="49B3B0BE" w14:textId="77777777">
            <w:pPr>
              <w:jc w:val="center"/>
              <w:rPr>
                <w:color w:val="000000"/>
              </w:rPr>
            </w:pPr>
          </w:p>
          <w:p w:rsidR="00627844" w:rsidP="00462A91" w:rsidRDefault="00627844" w14:paraId="72CF250A" w14:textId="77777777">
            <w:pPr>
              <w:jc w:val="center"/>
              <w:rPr>
                <w:color w:val="000000"/>
              </w:rPr>
            </w:pPr>
          </w:p>
          <w:p w:rsidR="00627844" w:rsidP="00462A91" w:rsidRDefault="00627844" w14:paraId="43B619B2" w14:textId="77777777">
            <w:pPr>
              <w:jc w:val="center"/>
              <w:rPr>
                <w:color w:val="000000"/>
              </w:rPr>
            </w:pPr>
          </w:p>
          <w:p w:rsidR="00627844" w:rsidP="00462A91" w:rsidRDefault="00627844" w14:paraId="19AE7FF1" w14:textId="77777777">
            <w:pPr>
              <w:jc w:val="center"/>
              <w:rPr>
                <w:color w:val="000000"/>
              </w:rPr>
            </w:pPr>
          </w:p>
          <w:p w:rsidR="00627844" w:rsidP="00462A91" w:rsidRDefault="00627844" w14:paraId="79DC5EFA" w14:textId="77777777">
            <w:pPr>
              <w:jc w:val="center"/>
              <w:rPr>
                <w:color w:val="000000"/>
              </w:rPr>
            </w:pPr>
          </w:p>
          <w:p w:rsidR="00627844" w:rsidP="00462A91" w:rsidRDefault="00627844" w14:paraId="7D364CF4" w14:textId="77777777">
            <w:pPr>
              <w:jc w:val="center"/>
              <w:rPr>
                <w:color w:val="000000"/>
              </w:rPr>
            </w:pPr>
          </w:p>
          <w:p w:rsidR="00627844" w:rsidP="00462A91" w:rsidRDefault="00627844" w14:paraId="6F946013" w14:textId="77777777">
            <w:pPr>
              <w:jc w:val="center"/>
              <w:rPr>
                <w:color w:val="000000"/>
              </w:rPr>
            </w:pPr>
          </w:p>
          <w:p w:rsidR="00627844" w:rsidP="00462A91" w:rsidRDefault="00627844" w14:paraId="0F2EC0BB" w14:textId="77777777">
            <w:pPr>
              <w:jc w:val="center"/>
              <w:rPr>
                <w:color w:val="000000"/>
              </w:rPr>
            </w:pPr>
          </w:p>
          <w:p w:rsidR="00627844" w:rsidP="00462A91" w:rsidRDefault="00627844" w14:paraId="342B9ECF" w14:textId="77777777">
            <w:pPr>
              <w:jc w:val="center"/>
              <w:rPr>
                <w:color w:val="000000"/>
              </w:rPr>
            </w:pPr>
          </w:p>
          <w:p w:rsidR="00627844" w:rsidP="00462A91" w:rsidRDefault="00627844" w14:paraId="070658F1" w14:textId="77777777">
            <w:pPr>
              <w:jc w:val="center"/>
              <w:rPr>
                <w:color w:val="000000"/>
              </w:rPr>
            </w:pPr>
          </w:p>
          <w:p w:rsidR="00627844" w:rsidP="00462A91" w:rsidRDefault="00627844" w14:paraId="004B7AA4" w14:textId="77777777">
            <w:pPr>
              <w:jc w:val="center"/>
              <w:rPr>
                <w:color w:val="000000"/>
              </w:rPr>
            </w:pPr>
          </w:p>
          <w:p w:rsidR="00627844" w:rsidP="00462A91" w:rsidRDefault="00627844" w14:paraId="7867978D" w14:textId="77777777">
            <w:pPr>
              <w:jc w:val="center"/>
              <w:rPr>
                <w:color w:val="000000"/>
              </w:rPr>
            </w:pPr>
          </w:p>
          <w:p w:rsidR="00627844" w:rsidP="00462A91" w:rsidRDefault="00627844" w14:paraId="34F76ACF" w14:textId="77777777">
            <w:pPr>
              <w:jc w:val="center"/>
              <w:rPr>
                <w:color w:val="000000"/>
              </w:rPr>
            </w:pPr>
          </w:p>
          <w:p w:rsidRPr="007F620E" w:rsidR="00627844" w:rsidP="00462A91" w:rsidRDefault="00627844" w14:paraId="05F456E0" w14:textId="0B51E3A7">
            <w:pPr>
              <w:jc w:val="center"/>
              <w:rPr>
                <w:color w:val="000000"/>
              </w:rPr>
            </w:pPr>
            <w:r>
              <w:rPr>
                <w:color w:val="000000"/>
              </w:rPr>
              <w:t xml:space="preserve">Verified and we remind PCF </w:t>
            </w:r>
            <w:r w:rsidR="00977F5D">
              <w:rPr>
                <w:color w:val="000000"/>
              </w:rPr>
              <w:t xml:space="preserve">that simply </w:t>
            </w:r>
            <w:r>
              <w:rPr>
                <w:color w:val="000000"/>
              </w:rPr>
              <w:t>support</w:t>
            </w:r>
            <w:r w:rsidR="00977F5D">
              <w:rPr>
                <w:color w:val="000000"/>
              </w:rPr>
              <w:t>ing</w:t>
            </w:r>
            <w:r>
              <w:rPr>
                <w:color w:val="000000"/>
              </w:rPr>
              <w:t xml:space="preserve"> another</w:t>
            </w:r>
            <w:r w:rsidR="00977F5D">
              <w:rPr>
                <w:color w:val="000000"/>
              </w:rPr>
              <w:t xml:space="preserve"> party</w:t>
            </w:r>
            <w:r>
              <w:rPr>
                <w:color w:val="000000"/>
              </w:rPr>
              <w:t>’s position is not, in and of itself, a substantial contribution.</w:t>
            </w:r>
          </w:p>
        </w:tc>
      </w:tr>
      <w:tr w:rsidRPr="007F620E" w:rsidR="00542D57" w:rsidTr="007161CD" w14:paraId="19FF12F2" w14:textId="77777777">
        <w:tc>
          <w:tcPr>
            <w:tcW w:w="3258" w:type="dxa"/>
          </w:tcPr>
          <w:p w:rsidRPr="005160D9" w:rsidR="00542D57" w:rsidP="00542D57" w:rsidRDefault="00291C81" w14:paraId="61D419D6" w14:textId="6CFD0E65">
            <w:pPr>
              <w:rPr>
                <w:b/>
                <w:bCs/>
                <w:color w:val="000000"/>
                <w:u w:val="single"/>
              </w:rPr>
            </w:pPr>
            <w:r>
              <w:rPr>
                <w:b/>
                <w:bCs/>
                <w:color w:val="000000"/>
                <w:u w:val="single"/>
              </w:rPr>
              <w:lastRenderedPageBreak/>
              <w:t xml:space="preserve">Meaningful Consideration of </w:t>
            </w:r>
            <w:r w:rsidR="00E96ADE">
              <w:rPr>
                <w:b/>
                <w:bCs/>
                <w:color w:val="000000"/>
                <w:u w:val="single"/>
              </w:rPr>
              <w:t>IOU Settlement</w:t>
            </w:r>
            <w:r>
              <w:rPr>
                <w:b/>
                <w:bCs/>
                <w:color w:val="000000"/>
                <w:u w:val="single"/>
              </w:rPr>
              <w:t xml:space="preserve"> Needed </w:t>
            </w:r>
          </w:p>
          <w:p w:rsidR="00542D57" w:rsidP="001866F4" w:rsidRDefault="00542D57" w14:paraId="1F3D66F3" w14:textId="3E042335">
            <w:pPr>
              <w:rPr>
                <w:color w:val="000000"/>
              </w:rPr>
            </w:pPr>
            <w:r>
              <w:rPr>
                <w:color w:val="000000"/>
              </w:rPr>
              <w:t>The Commission adopted</w:t>
            </w:r>
            <w:r w:rsidR="001600B2">
              <w:rPr>
                <w:color w:val="000000"/>
              </w:rPr>
              <w:t xml:space="preserve"> the position by</w:t>
            </w:r>
            <w:r>
              <w:rPr>
                <w:color w:val="000000"/>
              </w:rPr>
              <w:t xml:space="preserve"> PC</w:t>
            </w:r>
            <w:r w:rsidR="001600B2">
              <w:rPr>
                <w:color w:val="000000"/>
              </w:rPr>
              <w:t>F</w:t>
            </w:r>
            <w:r w:rsidR="008D13D1">
              <w:rPr>
                <w:color w:val="000000"/>
              </w:rPr>
              <w:t xml:space="preserve"> </w:t>
            </w:r>
            <w:r w:rsidR="00F344B6">
              <w:rPr>
                <w:color w:val="000000"/>
              </w:rPr>
              <w:t>and others</w:t>
            </w:r>
            <w:r>
              <w:rPr>
                <w:color w:val="000000"/>
              </w:rPr>
              <w:t xml:space="preserve"> that the</w:t>
            </w:r>
            <w:r w:rsidR="00F344B6">
              <w:rPr>
                <w:color w:val="000000"/>
              </w:rPr>
              <w:t xml:space="preserve"> </w:t>
            </w:r>
            <w:r w:rsidR="00041D42">
              <w:rPr>
                <w:color w:val="000000"/>
              </w:rPr>
              <w:t xml:space="preserve">proposed settlement involved Phase 2 issues and </w:t>
            </w:r>
            <w:r w:rsidR="00E96ADE">
              <w:rPr>
                <w:color w:val="000000"/>
              </w:rPr>
              <w:t xml:space="preserve">should not be subject to curtailed review </w:t>
            </w:r>
            <w:r w:rsidR="006156B3">
              <w:rPr>
                <w:color w:val="000000"/>
              </w:rPr>
              <w:t>in Phase 1</w:t>
            </w:r>
            <w:r>
              <w:rPr>
                <w:color w:val="000000"/>
              </w:rPr>
              <w:t xml:space="preserve">. The Commission agreed </w:t>
            </w:r>
            <w:r w:rsidR="00F258E4">
              <w:rPr>
                <w:color w:val="000000"/>
              </w:rPr>
              <w:t>with</w:t>
            </w:r>
            <w:r w:rsidR="001866F4">
              <w:rPr>
                <w:color w:val="000000"/>
              </w:rPr>
              <w:t xml:space="preserve"> P</w:t>
            </w:r>
            <w:r>
              <w:rPr>
                <w:color w:val="000000"/>
              </w:rPr>
              <w:t xml:space="preserve">CF and </w:t>
            </w:r>
            <w:r w:rsidR="00F258E4">
              <w:rPr>
                <w:color w:val="000000"/>
              </w:rPr>
              <w:t xml:space="preserve">others </w:t>
            </w:r>
            <w:r>
              <w:rPr>
                <w:color w:val="000000"/>
              </w:rPr>
              <w:t xml:space="preserve">that the settlement went beyond the scope of Phase 1 even though the record for Phase 2 had not yet been developed. The Commission agreed that parties </w:t>
            </w:r>
            <w:r w:rsidR="007E1A45">
              <w:rPr>
                <w:color w:val="000000"/>
              </w:rPr>
              <w:t xml:space="preserve">should have adequate opportunity to comment </w:t>
            </w:r>
            <w:r w:rsidR="00381834">
              <w:rPr>
                <w:color w:val="000000"/>
              </w:rPr>
              <w:t xml:space="preserve">and the Commission should have adequate time to consider </w:t>
            </w:r>
            <w:r>
              <w:rPr>
                <w:color w:val="000000"/>
              </w:rPr>
              <w:t xml:space="preserve">Phase 2 issues before </w:t>
            </w:r>
            <w:r w:rsidR="00381834">
              <w:rPr>
                <w:color w:val="000000"/>
              </w:rPr>
              <w:t xml:space="preserve">deciding whether to </w:t>
            </w:r>
            <w:r>
              <w:rPr>
                <w:color w:val="000000"/>
              </w:rPr>
              <w:t xml:space="preserve">adopt the </w:t>
            </w:r>
            <w:r w:rsidR="00381834">
              <w:rPr>
                <w:color w:val="000000"/>
              </w:rPr>
              <w:t xml:space="preserve">IOU’s proposed </w:t>
            </w:r>
            <w:r>
              <w:rPr>
                <w:color w:val="000000"/>
              </w:rPr>
              <w:t>settlement agreement.</w:t>
            </w:r>
          </w:p>
        </w:tc>
        <w:tc>
          <w:tcPr>
            <w:tcW w:w="4140" w:type="dxa"/>
          </w:tcPr>
          <w:p w:rsidRPr="003F57F9" w:rsidR="00542D57" w:rsidP="00542D57" w:rsidRDefault="00542D57" w14:paraId="181284BA" w14:textId="77777777">
            <w:pPr>
              <w:rPr>
                <w:color w:val="000000"/>
              </w:rPr>
            </w:pPr>
            <w:r>
              <w:rPr>
                <w:color w:val="000000"/>
              </w:rPr>
              <w:t>“</w:t>
            </w:r>
            <w:r w:rsidRPr="003F57F9">
              <w:rPr>
                <w:color w:val="000000"/>
              </w:rPr>
              <w:t>The scope of Phase 1 of this</w:t>
            </w:r>
            <w:r>
              <w:rPr>
                <w:color w:val="000000"/>
              </w:rPr>
              <w:t xml:space="preserve"> </w:t>
            </w:r>
            <w:r w:rsidRPr="003F57F9">
              <w:rPr>
                <w:color w:val="000000"/>
              </w:rPr>
              <w:t>proceeding is limited to consideration of</w:t>
            </w:r>
          </w:p>
          <w:p w:rsidRPr="003F57F9" w:rsidR="00542D57" w:rsidP="00542D57" w:rsidRDefault="00542D57" w14:paraId="197A9596" w14:textId="77777777">
            <w:pPr>
              <w:rPr>
                <w:color w:val="000000"/>
              </w:rPr>
            </w:pPr>
            <w:r w:rsidRPr="003F57F9">
              <w:rPr>
                <w:color w:val="000000"/>
              </w:rPr>
              <w:t>changes to GO 131-D necessary to conform it to the requirements of SB 529 and</w:t>
            </w:r>
            <w:r>
              <w:rPr>
                <w:color w:val="000000"/>
              </w:rPr>
              <w:t xml:space="preserve"> </w:t>
            </w:r>
            <w:r w:rsidRPr="003F57F9">
              <w:rPr>
                <w:color w:val="000000"/>
              </w:rPr>
              <w:t>the updating of outdated references. The scope of Phase 2 broadly encompasses</w:t>
            </w:r>
            <w:r>
              <w:rPr>
                <w:color w:val="000000"/>
              </w:rPr>
              <w:t xml:space="preserve"> </w:t>
            </w:r>
            <w:r w:rsidRPr="003F57F9">
              <w:rPr>
                <w:color w:val="000000"/>
              </w:rPr>
              <w:t>consideration of all other changes to GO 131-D. The proposed settlement</w:t>
            </w:r>
            <w:r>
              <w:rPr>
                <w:color w:val="000000"/>
              </w:rPr>
              <w:t xml:space="preserve"> </w:t>
            </w:r>
            <w:r w:rsidRPr="003F57F9">
              <w:rPr>
                <w:color w:val="000000"/>
              </w:rPr>
              <w:t>agreement addresses issues that are within the scope of both phases of this</w:t>
            </w:r>
          </w:p>
          <w:p w:rsidR="00542D57" w:rsidP="00542D57" w:rsidRDefault="00542D57" w14:paraId="6ECB5BA7" w14:textId="1521ACAC">
            <w:pPr>
              <w:rPr>
                <w:color w:val="000000"/>
              </w:rPr>
            </w:pPr>
            <w:r w:rsidRPr="003F57F9">
              <w:rPr>
                <w:color w:val="000000"/>
              </w:rPr>
              <w:t>proceeding</w:t>
            </w:r>
            <w:r w:rsidR="00B332E8">
              <w:rPr>
                <w:color w:val="000000"/>
              </w:rPr>
              <w:t>.</w:t>
            </w:r>
            <w:r w:rsidR="00DD5E9F">
              <w:rPr>
                <w:color w:val="000000"/>
              </w:rPr>
              <w:t xml:space="preserve"> …</w:t>
            </w:r>
            <w:r w:rsidRPr="005D0260" w:rsidR="00DD5E9F">
              <w:rPr>
                <w:color w:val="000000"/>
              </w:rPr>
              <w:t>The timing of the</w:t>
            </w:r>
            <w:r w:rsidR="00DD5E9F">
              <w:rPr>
                <w:color w:val="000000"/>
              </w:rPr>
              <w:t xml:space="preserve"> </w:t>
            </w:r>
            <w:r w:rsidRPr="005D0260" w:rsidR="00DD5E9F">
              <w:rPr>
                <w:color w:val="000000"/>
              </w:rPr>
              <w:t>settlement agreement did not provide adequate time for other parties to</w:t>
            </w:r>
            <w:r w:rsidR="00DD5E9F">
              <w:rPr>
                <w:color w:val="000000"/>
              </w:rPr>
              <w:t xml:space="preserve"> </w:t>
            </w:r>
            <w:r w:rsidRPr="005D0260" w:rsidR="00DD5E9F">
              <w:rPr>
                <w:color w:val="000000"/>
              </w:rPr>
              <w:t>comment on the settlement agreement and for the Commission to prepare and</w:t>
            </w:r>
            <w:r w:rsidR="00DD5E9F">
              <w:rPr>
                <w:color w:val="000000"/>
              </w:rPr>
              <w:t xml:space="preserve"> </w:t>
            </w:r>
            <w:r w:rsidRPr="005D0260" w:rsidR="00DD5E9F">
              <w:rPr>
                <w:color w:val="000000"/>
              </w:rPr>
              <w:t>consider a proposed decision on the settlement agreement, which would have</w:t>
            </w:r>
            <w:r w:rsidR="00DD5E9F">
              <w:rPr>
                <w:color w:val="000000"/>
              </w:rPr>
              <w:t xml:space="preserve"> </w:t>
            </w:r>
            <w:r w:rsidRPr="005D0260" w:rsidR="00DD5E9F">
              <w:rPr>
                <w:color w:val="000000"/>
              </w:rPr>
              <w:t>enabled implementation of SB 529 by the January 1, 2024 deadline.</w:t>
            </w:r>
            <w:r w:rsidR="00DD5E9F">
              <w:rPr>
                <w:color w:val="000000"/>
              </w:rPr>
              <w:t xml:space="preserve"> …A</w:t>
            </w:r>
            <w:r w:rsidRPr="00273B2E" w:rsidR="00B332E8">
              <w:rPr>
                <w:color w:val="000000"/>
              </w:rPr>
              <w:t xml:space="preserve"> record on Phase 2 issues has not yet been fully developed. The</w:t>
            </w:r>
            <w:r w:rsidR="00B332E8">
              <w:rPr>
                <w:color w:val="000000"/>
              </w:rPr>
              <w:t xml:space="preserve"> </w:t>
            </w:r>
            <w:r w:rsidRPr="00273B2E" w:rsidR="00B332E8">
              <w:rPr>
                <w:color w:val="000000"/>
              </w:rPr>
              <w:t>proposals in the settlement agreement that are outside the scope of Phase 1</w:t>
            </w:r>
            <w:r w:rsidR="00B332E8">
              <w:rPr>
                <w:color w:val="000000"/>
              </w:rPr>
              <w:t xml:space="preserve"> </w:t>
            </w:r>
            <w:r w:rsidRPr="00C65CE6" w:rsidR="00B332E8">
              <w:rPr>
                <w:color w:val="000000"/>
              </w:rPr>
              <w:t>should be considered during Phase 2.</w:t>
            </w:r>
            <w:r w:rsidR="00DA558F">
              <w:rPr>
                <w:color w:val="000000"/>
              </w:rPr>
              <w:t>”</w:t>
            </w:r>
            <w:r>
              <w:rPr>
                <w:color w:val="000000"/>
              </w:rPr>
              <w:t xml:space="preserve"> D.23-12-035, p. 17</w:t>
            </w:r>
            <w:r w:rsidR="00DA558F">
              <w:rPr>
                <w:color w:val="000000"/>
              </w:rPr>
              <w:t>-18</w:t>
            </w:r>
            <w:r>
              <w:rPr>
                <w:color w:val="000000"/>
              </w:rPr>
              <w:t>.</w:t>
            </w:r>
          </w:p>
          <w:p w:rsidR="00542D57" w:rsidP="00542D57" w:rsidRDefault="00542D57" w14:paraId="7BB85616" w14:textId="77777777">
            <w:pPr>
              <w:rPr>
                <w:color w:val="000000"/>
              </w:rPr>
            </w:pPr>
          </w:p>
          <w:p w:rsidR="00485A95" w:rsidP="00485A95" w:rsidRDefault="007D3FF8" w14:paraId="423DCDE5" w14:textId="28105AFA">
            <w:pPr>
              <w:rPr>
                <w:color w:val="000000"/>
              </w:rPr>
            </w:pPr>
            <w:r>
              <w:rPr>
                <w:color w:val="000000"/>
              </w:rPr>
              <w:t>“</w:t>
            </w:r>
            <w:r w:rsidRPr="00485A95" w:rsidR="00485A95">
              <w:rPr>
                <w:color w:val="000000"/>
              </w:rPr>
              <w:t>9. Proposals to modify GO 131-D, which are not within the scope of Phase 1,</w:t>
            </w:r>
            <w:r>
              <w:rPr>
                <w:color w:val="000000"/>
              </w:rPr>
              <w:t xml:space="preserve"> </w:t>
            </w:r>
            <w:r w:rsidRPr="00485A95" w:rsidR="00485A95">
              <w:rPr>
                <w:color w:val="000000"/>
              </w:rPr>
              <w:t>should be considered during Phase 2.</w:t>
            </w:r>
            <w:r w:rsidR="00485A95">
              <w:rPr>
                <w:color w:val="000000"/>
              </w:rPr>
              <w:t>” D.23-12-035</w:t>
            </w:r>
            <w:r>
              <w:rPr>
                <w:color w:val="000000"/>
              </w:rPr>
              <w:t>, p. 20 (COL 9).</w:t>
            </w:r>
          </w:p>
          <w:p w:rsidR="007D3FF8" w:rsidP="00485A95" w:rsidRDefault="007D3FF8" w14:paraId="05AC749B" w14:textId="77777777">
            <w:pPr>
              <w:rPr>
                <w:color w:val="000000"/>
              </w:rPr>
            </w:pPr>
          </w:p>
          <w:p w:rsidRPr="004F76E2" w:rsidR="00542D57" w:rsidP="00542D57" w:rsidRDefault="00880EDA" w14:paraId="69CB926F" w14:textId="60A27D83">
            <w:pPr>
              <w:rPr>
                <w:color w:val="000000"/>
              </w:rPr>
            </w:pPr>
            <w:r>
              <w:rPr>
                <w:color w:val="000000"/>
              </w:rPr>
              <w:t xml:space="preserve">Joint </w:t>
            </w:r>
            <w:r w:rsidR="00542D57">
              <w:rPr>
                <w:color w:val="000000"/>
              </w:rPr>
              <w:t xml:space="preserve">Response to Joint Motion for: </w:t>
            </w:r>
          </w:p>
          <w:p w:rsidRPr="004F76E2" w:rsidR="00542D57" w:rsidP="00542D57" w:rsidRDefault="00542D57" w14:paraId="41BDA3AF" w14:textId="77777777">
            <w:pPr>
              <w:rPr>
                <w:color w:val="000000"/>
              </w:rPr>
            </w:pPr>
            <w:r w:rsidRPr="004F76E2">
              <w:rPr>
                <w:color w:val="000000"/>
              </w:rPr>
              <w:t xml:space="preserve"> 1) Modification Of The Scoping Memo And Setting Aside Submittal Of This Proceeding For Consideration Of A Phase 1 Settlement Proposal; And </w:t>
            </w:r>
          </w:p>
          <w:p w:rsidR="00542D57" w:rsidP="00542D57" w:rsidRDefault="00542D57" w14:paraId="4FC31A4F" w14:textId="0B8FBC06">
            <w:pPr>
              <w:rPr>
                <w:color w:val="000000"/>
              </w:rPr>
            </w:pPr>
            <w:r w:rsidRPr="004F76E2">
              <w:rPr>
                <w:color w:val="000000"/>
              </w:rPr>
              <w:t xml:space="preserve">2) An Order Shorting Time For Comments And Reply Comments On The Settlement Proposal </w:t>
            </w:r>
            <w:r>
              <w:rPr>
                <w:color w:val="000000"/>
              </w:rPr>
              <w:t>(October 4, 2023), p. 2-</w:t>
            </w:r>
            <w:r w:rsidR="00880EDA">
              <w:rPr>
                <w:color w:val="000000"/>
              </w:rPr>
              <w:t>7</w:t>
            </w:r>
            <w:r w:rsidR="000D5983">
              <w:rPr>
                <w:color w:val="000000"/>
              </w:rPr>
              <w:t>;</w:t>
            </w:r>
            <w:r w:rsidR="00880EDA">
              <w:rPr>
                <w:color w:val="000000"/>
              </w:rPr>
              <w:t xml:space="preserve"> </w:t>
            </w:r>
            <w:r>
              <w:rPr>
                <w:color w:val="000000"/>
              </w:rPr>
              <w:t xml:space="preserve">PCF Opposition to Joint Motion for Adoption of Phase 1 Settlement Agreement (October 30, 2023), p. </w:t>
            </w:r>
            <w:r w:rsidR="00524EA0">
              <w:rPr>
                <w:color w:val="000000"/>
              </w:rPr>
              <w:t>2</w:t>
            </w:r>
            <w:r>
              <w:rPr>
                <w:color w:val="000000"/>
              </w:rPr>
              <w:t>-6.</w:t>
            </w:r>
          </w:p>
          <w:p w:rsidR="00542D57" w:rsidP="00542D57" w:rsidRDefault="00542D57" w14:paraId="11A32F81" w14:textId="659798C2">
            <w:pPr>
              <w:rPr>
                <w:color w:val="000000"/>
              </w:rPr>
            </w:pPr>
          </w:p>
        </w:tc>
        <w:tc>
          <w:tcPr>
            <w:tcW w:w="1957" w:type="dxa"/>
          </w:tcPr>
          <w:p w:rsidR="00542D57" w:rsidP="00462A91" w:rsidRDefault="00542D57" w14:paraId="6D12BA44" w14:textId="77777777">
            <w:pPr>
              <w:jc w:val="center"/>
              <w:rPr>
                <w:color w:val="000000"/>
              </w:rPr>
            </w:pPr>
          </w:p>
          <w:p w:rsidR="006F6DFE" w:rsidP="00462A91" w:rsidRDefault="006F6DFE" w14:paraId="1DBCE9D2" w14:textId="77777777">
            <w:pPr>
              <w:jc w:val="center"/>
              <w:rPr>
                <w:color w:val="000000"/>
              </w:rPr>
            </w:pPr>
          </w:p>
          <w:p w:rsidR="006F6DFE" w:rsidP="00462A91" w:rsidRDefault="006F6DFE" w14:paraId="35B580EA" w14:textId="77777777">
            <w:pPr>
              <w:jc w:val="center"/>
              <w:rPr>
                <w:color w:val="000000"/>
              </w:rPr>
            </w:pPr>
          </w:p>
          <w:p w:rsidR="006F6DFE" w:rsidP="00462A91" w:rsidRDefault="006F6DFE" w14:paraId="0B9EE15C" w14:textId="77777777">
            <w:pPr>
              <w:jc w:val="center"/>
              <w:rPr>
                <w:color w:val="000000"/>
              </w:rPr>
            </w:pPr>
            <w:r>
              <w:rPr>
                <w:color w:val="000000"/>
              </w:rPr>
              <w:t>Verified</w:t>
            </w:r>
          </w:p>
          <w:p w:rsidR="006F6DFE" w:rsidP="00462A91" w:rsidRDefault="006F6DFE" w14:paraId="2B295437" w14:textId="77777777">
            <w:pPr>
              <w:jc w:val="center"/>
              <w:rPr>
                <w:color w:val="000000"/>
              </w:rPr>
            </w:pPr>
          </w:p>
          <w:p w:rsidR="006F6DFE" w:rsidP="00462A91" w:rsidRDefault="006F6DFE" w14:paraId="2166CAA0" w14:textId="77777777">
            <w:pPr>
              <w:jc w:val="center"/>
              <w:rPr>
                <w:color w:val="000000"/>
              </w:rPr>
            </w:pPr>
          </w:p>
          <w:p w:rsidR="006F6DFE" w:rsidP="00462A91" w:rsidRDefault="006F6DFE" w14:paraId="3D5FC895" w14:textId="77777777">
            <w:pPr>
              <w:jc w:val="center"/>
              <w:rPr>
                <w:color w:val="000000"/>
              </w:rPr>
            </w:pPr>
          </w:p>
          <w:p w:rsidR="006F6DFE" w:rsidP="00462A91" w:rsidRDefault="006F6DFE" w14:paraId="4CA0727E" w14:textId="77777777">
            <w:pPr>
              <w:jc w:val="center"/>
              <w:rPr>
                <w:color w:val="000000"/>
              </w:rPr>
            </w:pPr>
          </w:p>
          <w:p w:rsidR="006F6DFE" w:rsidP="00462A91" w:rsidRDefault="006F6DFE" w14:paraId="57C48761" w14:textId="77777777">
            <w:pPr>
              <w:jc w:val="center"/>
              <w:rPr>
                <w:color w:val="000000"/>
              </w:rPr>
            </w:pPr>
          </w:p>
          <w:p w:rsidR="006F6DFE" w:rsidP="00462A91" w:rsidRDefault="006F6DFE" w14:paraId="3EFE4351" w14:textId="77777777">
            <w:pPr>
              <w:jc w:val="center"/>
              <w:rPr>
                <w:color w:val="000000"/>
              </w:rPr>
            </w:pPr>
          </w:p>
          <w:p w:rsidR="006F6DFE" w:rsidP="00462A91" w:rsidRDefault="006F6DFE" w14:paraId="52B5C7AB" w14:textId="77777777">
            <w:pPr>
              <w:jc w:val="center"/>
              <w:rPr>
                <w:color w:val="000000"/>
              </w:rPr>
            </w:pPr>
          </w:p>
          <w:p w:rsidR="006F6DFE" w:rsidP="00462A91" w:rsidRDefault="006F6DFE" w14:paraId="4C21DEE6" w14:textId="77777777">
            <w:pPr>
              <w:jc w:val="center"/>
              <w:rPr>
                <w:color w:val="000000"/>
              </w:rPr>
            </w:pPr>
          </w:p>
          <w:p w:rsidR="006F6DFE" w:rsidP="00462A91" w:rsidRDefault="006F6DFE" w14:paraId="6DFA4AE4" w14:textId="77777777">
            <w:pPr>
              <w:jc w:val="center"/>
              <w:rPr>
                <w:color w:val="000000"/>
              </w:rPr>
            </w:pPr>
          </w:p>
          <w:p w:rsidR="006F6DFE" w:rsidP="00462A91" w:rsidRDefault="006F6DFE" w14:paraId="51F851D4" w14:textId="77777777">
            <w:pPr>
              <w:jc w:val="center"/>
              <w:rPr>
                <w:color w:val="000000"/>
              </w:rPr>
            </w:pPr>
          </w:p>
          <w:p w:rsidR="006F6DFE" w:rsidP="00462A91" w:rsidRDefault="006F6DFE" w14:paraId="38314704" w14:textId="77777777">
            <w:pPr>
              <w:jc w:val="center"/>
              <w:rPr>
                <w:color w:val="000000"/>
              </w:rPr>
            </w:pPr>
          </w:p>
          <w:p w:rsidR="006F6DFE" w:rsidP="00462A91" w:rsidRDefault="006F6DFE" w14:paraId="66F1F760" w14:textId="77777777">
            <w:pPr>
              <w:jc w:val="center"/>
              <w:rPr>
                <w:color w:val="000000"/>
              </w:rPr>
            </w:pPr>
          </w:p>
          <w:p w:rsidR="006F6DFE" w:rsidP="00462A91" w:rsidRDefault="006F6DFE" w14:paraId="3F761736" w14:textId="77777777">
            <w:pPr>
              <w:jc w:val="center"/>
              <w:rPr>
                <w:color w:val="000000"/>
              </w:rPr>
            </w:pPr>
          </w:p>
          <w:p w:rsidR="006F6DFE" w:rsidP="00462A91" w:rsidRDefault="006F6DFE" w14:paraId="3B609D16" w14:textId="77777777">
            <w:pPr>
              <w:jc w:val="center"/>
              <w:rPr>
                <w:color w:val="000000"/>
              </w:rPr>
            </w:pPr>
          </w:p>
          <w:p w:rsidR="006F6DFE" w:rsidP="00462A91" w:rsidRDefault="006F6DFE" w14:paraId="6C26E938" w14:textId="77777777">
            <w:pPr>
              <w:jc w:val="center"/>
              <w:rPr>
                <w:color w:val="000000"/>
              </w:rPr>
            </w:pPr>
          </w:p>
          <w:p w:rsidR="006F6DFE" w:rsidP="00462A91" w:rsidRDefault="006F6DFE" w14:paraId="194E5D40" w14:textId="77777777">
            <w:pPr>
              <w:jc w:val="center"/>
              <w:rPr>
                <w:color w:val="000000"/>
              </w:rPr>
            </w:pPr>
          </w:p>
          <w:p w:rsidR="006F6DFE" w:rsidP="00462A91" w:rsidRDefault="006F6DFE" w14:paraId="5C7F02FA" w14:textId="77777777">
            <w:pPr>
              <w:jc w:val="center"/>
              <w:rPr>
                <w:color w:val="000000"/>
              </w:rPr>
            </w:pPr>
          </w:p>
          <w:p w:rsidR="006F6DFE" w:rsidP="00462A91" w:rsidRDefault="006F6DFE" w14:paraId="55F5CD46" w14:textId="77777777">
            <w:pPr>
              <w:jc w:val="center"/>
              <w:rPr>
                <w:color w:val="000000"/>
              </w:rPr>
            </w:pPr>
          </w:p>
          <w:p w:rsidR="006F6DFE" w:rsidP="00462A91" w:rsidRDefault="006F6DFE" w14:paraId="53A76F2B" w14:textId="77777777">
            <w:pPr>
              <w:jc w:val="center"/>
              <w:rPr>
                <w:color w:val="000000"/>
              </w:rPr>
            </w:pPr>
          </w:p>
          <w:p w:rsidR="006F6DFE" w:rsidP="00462A91" w:rsidRDefault="006F6DFE" w14:paraId="6AE563F3" w14:textId="77777777">
            <w:pPr>
              <w:jc w:val="center"/>
              <w:rPr>
                <w:color w:val="000000"/>
              </w:rPr>
            </w:pPr>
          </w:p>
          <w:p w:rsidR="006F6DFE" w:rsidP="00462A91" w:rsidRDefault="006F6DFE" w14:paraId="7614C808" w14:textId="77777777">
            <w:pPr>
              <w:jc w:val="center"/>
              <w:rPr>
                <w:color w:val="000000"/>
              </w:rPr>
            </w:pPr>
          </w:p>
          <w:p w:rsidR="006F6DFE" w:rsidP="00462A91" w:rsidRDefault="006F6DFE" w14:paraId="50A7D436" w14:textId="77777777">
            <w:pPr>
              <w:jc w:val="center"/>
              <w:rPr>
                <w:color w:val="000000"/>
              </w:rPr>
            </w:pPr>
          </w:p>
          <w:p w:rsidR="006F6DFE" w:rsidP="00462A91" w:rsidRDefault="006F6DFE" w14:paraId="7630AB02" w14:textId="77777777">
            <w:pPr>
              <w:jc w:val="center"/>
              <w:rPr>
                <w:color w:val="000000"/>
              </w:rPr>
            </w:pPr>
          </w:p>
          <w:p w:rsidR="006F6DFE" w:rsidP="00462A91" w:rsidRDefault="006F6DFE" w14:paraId="353B9862" w14:textId="77777777">
            <w:pPr>
              <w:jc w:val="center"/>
              <w:rPr>
                <w:color w:val="000000"/>
              </w:rPr>
            </w:pPr>
          </w:p>
          <w:p w:rsidR="006F6DFE" w:rsidP="00462A91" w:rsidRDefault="006F6DFE" w14:paraId="4E996D35" w14:textId="77777777">
            <w:pPr>
              <w:jc w:val="center"/>
              <w:rPr>
                <w:color w:val="000000"/>
              </w:rPr>
            </w:pPr>
            <w:r>
              <w:rPr>
                <w:color w:val="000000"/>
              </w:rPr>
              <w:t>Verified</w:t>
            </w:r>
          </w:p>
          <w:p w:rsidR="006F6DFE" w:rsidP="00462A91" w:rsidRDefault="006F6DFE" w14:paraId="55D82817" w14:textId="77777777">
            <w:pPr>
              <w:jc w:val="center"/>
              <w:rPr>
                <w:color w:val="000000"/>
              </w:rPr>
            </w:pPr>
          </w:p>
          <w:p w:rsidR="006F6DFE" w:rsidP="00462A91" w:rsidRDefault="006F6DFE" w14:paraId="2FCC50BC" w14:textId="77777777">
            <w:pPr>
              <w:jc w:val="center"/>
              <w:rPr>
                <w:color w:val="000000"/>
              </w:rPr>
            </w:pPr>
          </w:p>
          <w:p w:rsidR="006F6DFE" w:rsidP="00462A91" w:rsidRDefault="006F6DFE" w14:paraId="1AF3F572" w14:textId="77777777">
            <w:pPr>
              <w:jc w:val="center"/>
              <w:rPr>
                <w:color w:val="000000"/>
              </w:rPr>
            </w:pPr>
          </w:p>
          <w:p w:rsidR="006F6DFE" w:rsidP="00462A91" w:rsidRDefault="006F6DFE" w14:paraId="7395650C" w14:textId="77777777">
            <w:pPr>
              <w:jc w:val="center"/>
              <w:rPr>
                <w:color w:val="000000"/>
              </w:rPr>
            </w:pPr>
          </w:p>
          <w:p w:rsidR="006F6DFE" w:rsidP="00462A91" w:rsidRDefault="006F6DFE" w14:paraId="04F339BE" w14:textId="77777777">
            <w:pPr>
              <w:jc w:val="center"/>
              <w:rPr>
                <w:color w:val="000000"/>
              </w:rPr>
            </w:pPr>
          </w:p>
          <w:p w:rsidR="006F6DFE" w:rsidP="00462A91" w:rsidRDefault="006F6DFE" w14:paraId="0E793665" w14:textId="77777777">
            <w:pPr>
              <w:jc w:val="center"/>
              <w:rPr>
                <w:color w:val="000000"/>
              </w:rPr>
            </w:pPr>
          </w:p>
          <w:p w:rsidR="006F6DFE" w:rsidP="00462A91" w:rsidRDefault="006F6DFE" w14:paraId="399EA290" w14:textId="77777777">
            <w:pPr>
              <w:jc w:val="center"/>
              <w:rPr>
                <w:color w:val="000000"/>
              </w:rPr>
            </w:pPr>
          </w:p>
          <w:p w:rsidRPr="007F620E" w:rsidR="006F6DFE" w:rsidP="00462A91" w:rsidRDefault="006F6DFE" w14:paraId="3C621652" w14:textId="6D4A37CE">
            <w:pPr>
              <w:jc w:val="center"/>
              <w:rPr>
                <w:color w:val="000000"/>
              </w:rPr>
            </w:pPr>
            <w:r>
              <w:rPr>
                <w:color w:val="000000"/>
              </w:rPr>
              <w:t>Verified</w:t>
            </w:r>
          </w:p>
        </w:tc>
      </w:tr>
      <w:tr w:rsidRPr="007F620E" w:rsidR="00542D57" w:rsidTr="007161CD" w14:paraId="6C78D97F" w14:textId="77777777">
        <w:tc>
          <w:tcPr>
            <w:tcW w:w="3258" w:type="dxa"/>
          </w:tcPr>
          <w:p w:rsidRPr="006B50C0" w:rsidR="00542D57" w:rsidP="00542D57" w:rsidRDefault="00542D57" w14:paraId="3F7D917D" w14:textId="77777777">
            <w:pPr>
              <w:rPr>
                <w:b/>
                <w:bCs/>
                <w:color w:val="000000"/>
                <w:u w:val="single"/>
              </w:rPr>
            </w:pPr>
            <w:r w:rsidRPr="00FB503B">
              <w:rPr>
                <w:b/>
                <w:bCs/>
                <w:color w:val="000000"/>
                <w:u w:val="single"/>
              </w:rPr>
              <w:lastRenderedPageBreak/>
              <w:t>Alternatives</w:t>
            </w:r>
          </w:p>
          <w:p w:rsidR="00542D57" w:rsidP="00542D57" w:rsidRDefault="000616AB" w14:paraId="5B57253A" w14:textId="2038C3C1">
            <w:pPr>
              <w:rPr>
                <w:color w:val="000000"/>
              </w:rPr>
            </w:pPr>
            <w:r>
              <w:rPr>
                <w:color w:val="000000"/>
              </w:rPr>
              <w:t xml:space="preserve">From the beginning of the proceeding, </w:t>
            </w:r>
            <w:r w:rsidR="00542D57">
              <w:rPr>
                <w:color w:val="000000"/>
              </w:rPr>
              <w:t xml:space="preserve">PCF </w:t>
            </w:r>
            <w:r w:rsidR="00C039BC">
              <w:rPr>
                <w:color w:val="000000"/>
              </w:rPr>
              <w:t xml:space="preserve">presented detailed legal and factual analysis demonstrating that </w:t>
            </w:r>
            <w:r w:rsidR="002F29C6">
              <w:rPr>
                <w:color w:val="000000"/>
              </w:rPr>
              <w:t>CAISO does not have the jurisdiction or expertise to consider alternatives to transmission projects in a manner consistent with CEQA</w:t>
            </w:r>
            <w:r w:rsidR="00BA39E6">
              <w:rPr>
                <w:color w:val="000000"/>
              </w:rPr>
              <w:t xml:space="preserve">, and that the Legislature </w:t>
            </w:r>
            <w:r w:rsidR="00C65318">
              <w:rPr>
                <w:color w:val="000000"/>
              </w:rPr>
              <w:t>did not enact</w:t>
            </w:r>
            <w:r w:rsidR="00BA39E6">
              <w:rPr>
                <w:color w:val="000000"/>
              </w:rPr>
              <w:t xml:space="preserve"> any </w:t>
            </w:r>
            <w:r w:rsidR="00C65318">
              <w:rPr>
                <w:color w:val="000000"/>
              </w:rPr>
              <w:t>requirements to</w:t>
            </w:r>
            <w:r w:rsidR="00BA39E6">
              <w:rPr>
                <w:color w:val="000000"/>
              </w:rPr>
              <w:t xml:space="preserve"> the contrary</w:t>
            </w:r>
            <w:r w:rsidR="00C65318">
              <w:rPr>
                <w:color w:val="000000"/>
              </w:rPr>
              <w:t xml:space="preserve"> or amend CEQA</w:t>
            </w:r>
            <w:r w:rsidR="002F29C6">
              <w:rPr>
                <w:color w:val="000000"/>
              </w:rPr>
              <w:t xml:space="preserve">. The Commission considered PCF’s </w:t>
            </w:r>
            <w:r w:rsidR="0095734E">
              <w:rPr>
                <w:color w:val="000000"/>
              </w:rPr>
              <w:t>position</w:t>
            </w:r>
            <w:r w:rsidR="007E0A27">
              <w:rPr>
                <w:color w:val="000000"/>
              </w:rPr>
              <w:t xml:space="preserve">, took responsibility for undertaking CEQA analysis, and </w:t>
            </w:r>
            <w:r w:rsidR="0095734E">
              <w:rPr>
                <w:color w:val="000000"/>
              </w:rPr>
              <w:t>clarified that</w:t>
            </w:r>
            <w:r w:rsidR="000A191F">
              <w:rPr>
                <w:color w:val="000000"/>
              </w:rPr>
              <w:t xml:space="preserve"> </w:t>
            </w:r>
            <w:r w:rsidR="00F73681">
              <w:rPr>
                <w:color w:val="000000"/>
              </w:rPr>
              <w:t>despite adopting language about CAIS</w:t>
            </w:r>
            <w:r w:rsidR="00C65318">
              <w:rPr>
                <w:color w:val="000000"/>
              </w:rPr>
              <w:t>O</w:t>
            </w:r>
            <w:r w:rsidR="00F73681">
              <w:rPr>
                <w:color w:val="000000"/>
              </w:rPr>
              <w:t xml:space="preserve"> </w:t>
            </w:r>
            <w:r w:rsidR="00B77F79">
              <w:rPr>
                <w:color w:val="000000"/>
              </w:rPr>
              <w:t xml:space="preserve">determinations, the Commission was not in fact </w:t>
            </w:r>
            <w:r w:rsidR="000A191F">
              <w:rPr>
                <w:color w:val="000000"/>
              </w:rPr>
              <w:t xml:space="preserve">limiting the Commission’s ability to consider </w:t>
            </w:r>
            <w:r w:rsidR="007E0A27">
              <w:rPr>
                <w:color w:val="000000"/>
              </w:rPr>
              <w:t>alternatives to future transmission project</w:t>
            </w:r>
            <w:r w:rsidR="00B77F79">
              <w:rPr>
                <w:color w:val="000000"/>
              </w:rPr>
              <w:t>s notwithstanding the CAISO analysis.</w:t>
            </w:r>
            <w:r w:rsidR="00023B54">
              <w:rPr>
                <w:color w:val="000000"/>
              </w:rPr>
              <w:t xml:space="preserve"> </w:t>
            </w:r>
            <w:r w:rsidR="00542D57">
              <w:rPr>
                <w:color w:val="000000"/>
              </w:rPr>
              <w:t>PCF</w:t>
            </w:r>
            <w:r w:rsidR="00023B54">
              <w:rPr>
                <w:color w:val="000000"/>
              </w:rPr>
              <w:t xml:space="preserve"> enriched the record by</w:t>
            </w:r>
            <w:r w:rsidR="00542D57">
              <w:rPr>
                <w:color w:val="000000"/>
              </w:rPr>
              <w:t xml:space="preserve"> </w:t>
            </w:r>
            <w:r w:rsidR="00023B54">
              <w:rPr>
                <w:color w:val="000000"/>
              </w:rPr>
              <w:t xml:space="preserve">showing that behind the meter solar plus storage </w:t>
            </w:r>
            <w:r w:rsidR="005F78FC">
              <w:rPr>
                <w:color w:val="000000"/>
              </w:rPr>
              <w:t xml:space="preserve">provides a much less environmentally damaging </w:t>
            </w:r>
            <w:r w:rsidR="005F78FC">
              <w:rPr>
                <w:color w:val="000000"/>
              </w:rPr>
              <w:lastRenderedPageBreak/>
              <w:t xml:space="preserve">alternative to the transmission lines that CAISO plans for without the benefit of CEQA review. </w:t>
            </w:r>
            <w:r w:rsidR="00E94B33">
              <w:rPr>
                <w:color w:val="000000"/>
              </w:rPr>
              <w:t>Additionally, t</w:t>
            </w:r>
            <w:r w:rsidR="00542D57">
              <w:rPr>
                <w:color w:val="000000"/>
              </w:rPr>
              <w:t>he Commission adopted PCF’s recommendation not to adopt Section 3.3, Proposal 2 of the Staff Proposal because it would limit the reasonable range of alternatives considered in the CPUC’s CEQA process for CAISO-approved projects.</w:t>
            </w:r>
          </w:p>
          <w:p w:rsidR="00990907" w:rsidP="00542D57" w:rsidRDefault="00542D57" w14:paraId="509764A6" w14:textId="47F9FD30">
            <w:pPr>
              <w:rPr>
                <w:color w:val="000000"/>
              </w:rPr>
            </w:pPr>
            <w:r>
              <w:rPr>
                <w:color w:val="000000"/>
              </w:rPr>
              <w:t>PCF</w:t>
            </w:r>
            <w:r w:rsidR="007868C9">
              <w:rPr>
                <w:color w:val="000000"/>
              </w:rPr>
              <w:t>’s participation</w:t>
            </w:r>
            <w:r w:rsidR="00374B36">
              <w:rPr>
                <w:color w:val="000000"/>
              </w:rPr>
              <w:t xml:space="preserve"> and legal analysis of CEQA, AB 2292, and AB 1373</w:t>
            </w:r>
            <w:r w:rsidR="007868C9">
              <w:rPr>
                <w:color w:val="000000"/>
              </w:rPr>
              <w:t xml:space="preserve"> </w:t>
            </w:r>
            <w:r>
              <w:rPr>
                <w:color w:val="000000"/>
              </w:rPr>
              <w:t xml:space="preserve">enriched the record </w:t>
            </w:r>
            <w:r w:rsidR="007868C9">
              <w:rPr>
                <w:color w:val="000000"/>
              </w:rPr>
              <w:t>and allowed the Commission to fully consider the impact of its decision</w:t>
            </w:r>
            <w:r w:rsidR="00BF5333">
              <w:rPr>
                <w:color w:val="000000"/>
              </w:rPr>
              <w:t xml:space="preserve">. Ultimately, Commission made clear </w:t>
            </w:r>
            <w:r w:rsidR="0034077E">
              <w:rPr>
                <w:color w:val="000000"/>
              </w:rPr>
              <w:t xml:space="preserve">that </w:t>
            </w:r>
            <w:r w:rsidR="00B81887">
              <w:rPr>
                <w:color w:val="000000"/>
              </w:rPr>
              <w:t>the Commission must comply with CEQA</w:t>
            </w:r>
            <w:r w:rsidR="005F6896">
              <w:rPr>
                <w:color w:val="000000"/>
              </w:rPr>
              <w:t>, that the Commission</w:t>
            </w:r>
            <w:r w:rsidR="00B81887">
              <w:rPr>
                <w:color w:val="000000"/>
              </w:rPr>
              <w:t xml:space="preserve"> will </w:t>
            </w:r>
            <w:r>
              <w:rPr>
                <w:color w:val="000000"/>
              </w:rPr>
              <w:t>consider project alternatives</w:t>
            </w:r>
            <w:r w:rsidR="0034077E">
              <w:rPr>
                <w:color w:val="000000"/>
              </w:rPr>
              <w:t xml:space="preserve"> notwithstanding the changes to GO 131</w:t>
            </w:r>
            <w:r w:rsidR="005F6896">
              <w:rPr>
                <w:color w:val="000000"/>
              </w:rPr>
              <w:t>,</w:t>
            </w:r>
            <w:r w:rsidR="00B249C7">
              <w:rPr>
                <w:color w:val="000000"/>
              </w:rPr>
              <w:t xml:space="preserve"> and that</w:t>
            </w:r>
            <w:r w:rsidR="005720A1">
              <w:rPr>
                <w:color w:val="000000"/>
              </w:rPr>
              <w:t xml:space="preserve"> any determinations made by CAISO will constitute only </w:t>
            </w:r>
            <w:r w:rsidR="00990907">
              <w:rPr>
                <w:color w:val="000000"/>
              </w:rPr>
              <w:t xml:space="preserve">the minimum analysis </w:t>
            </w:r>
            <w:r w:rsidR="000950D8">
              <w:rPr>
                <w:color w:val="000000"/>
              </w:rPr>
              <w:t xml:space="preserve">but will not </w:t>
            </w:r>
            <w:r w:rsidR="00990907">
              <w:rPr>
                <w:color w:val="000000"/>
              </w:rPr>
              <w:t xml:space="preserve">limit the </w:t>
            </w:r>
            <w:r w:rsidR="000950D8">
              <w:rPr>
                <w:color w:val="000000"/>
              </w:rPr>
              <w:t>Commission’s con</w:t>
            </w:r>
            <w:r w:rsidR="00990907">
              <w:rPr>
                <w:color w:val="000000"/>
              </w:rPr>
              <w:t>sideration of alternatives</w:t>
            </w:r>
            <w:r w:rsidR="000950D8">
              <w:rPr>
                <w:color w:val="000000"/>
              </w:rPr>
              <w:t xml:space="preserve"> under CEQA</w:t>
            </w:r>
            <w:r w:rsidR="001C19A4">
              <w:rPr>
                <w:color w:val="000000"/>
              </w:rPr>
              <w:t>, each of which PCF had recommended.</w:t>
            </w:r>
          </w:p>
        </w:tc>
        <w:tc>
          <w:tcPr>
            <w:tcW w:w="4140" w:type="dxa"/>
          </w:tcPr>
          <w:p w:rsidRPr="00D35C58" w:rsidR="00D35C58" w:rsidP="00D35C58" w:rsidRDefault="00B53E7E" w14:paraId="1F7DE3C1" w14:textId="3F5CEBE2">
            <w:pPr>
              <w:rPr>
                <w:color w:val="000000"/>
              </w:rPr>
            </w:pPr>
            <w:r>
              <w:rPr>
                <w:color w:val="000000"/>
              </w:rPr>
              <w:lastRenderedPageBreak/>
              <w:t>“</w:t>
            </w:r>
            <w:r w:rsidRPr="00D35C58" w:rsidR="00D35C58">
              <w:rPr>
                <w:color w:val="000000"/>
              </w:rPr>
              <w:t>Under CEQA, public agencies</w:t>
            </w:r>
          </w:p>
          <w:p w:rsidRPr="00D35C58" w:rsidR="00D35C58" w:rsidP="00D35C58" w:rsidRDefault="00D35C58" w14:paraId="3B973875" w14:textId="77777777">
            <w:pPr>
              <w:rPr>
                <w:color w:val="000000"/>
              </w:rPr>
            </w:pPr>
            <w:r w:rsidRPr="00D35C58">
              <w:rPr>
                <w:color w:val="000000"/>
              </w:rPr>
              <w:t>must not approve a project as proposed if there are feasible alternatives or</w:t>
            </w:r>
          </w:p>
          <w:p w:rsidR="00F7740F" w:rsidP="00D35C58" w:rsidRDefault="00D35C58" w14:paraId="0EA0BAA3" w14:textId="5952AF8F">
            <w:pPr>
              <w:rPr>
                <w:color w:val="000000"/>
              </w:rPr>
            </w:pPr>
            <w:r w:rsidRPr="00D35C58">
              <w:rPr>
                <w:color w:val="000000"/>
              </w:rPr>
              <w:t>mitigation measures available that would substantially lessen any significant</w:t>
            </w:r>
            <w:r w:rsidR="00B53E7E">
              <w:rPr>
                <w:color w:val="000000"/>
              </w:rPr>
              <w:t xml:space="preserve"> </w:t>
            </w:r>
            <w:r w:rsidRPr="00D35C58">
              <w:rPr>
                <w:color w:val="000000"/>
              </w:rPr>
              <w:t>environmental effects of such a project</w:t>
            </w:r>
            <w:r>
              <w:rPr>
                <w:color w:val="000000"/>
              </w:rPr>
              <w:t xml:space="preserve">. </w:t>
            </w:r>
            <w:r w:rsidR="00644BC6">
              <w:rPr>
                <w:color w:val="000000"/>
              </w:rPr>
              <w:t>D.25-0</w:t>
            </w:r>
            <w:r w:rsidR="00B53E7E">
              <w:rPr>
                <w:color w:val="000000"/>
              </w:rPr>
              <w:t xml:space="preserve">1-055, p. 15; </w:t>
            </w:r>
            <w:r w:rsidR="00B53E7E">
              <w:rPr>
                <w:i/>
                <w:iCs/>
                <w:color w:val="000000"/>
              </w:rPr>
              <w:t xml:space="preserve">see also </w:t>
            </w:r>
            <w:r w:rsidR="00F7740F">
              <w:rPr>
                <w:color w:val="000000"/>
              </w:rPr>
              <w:t>D.25-01-055, p. 13, 14 (acknowledging Commission considers project alternatives pursuant to CEQA in both CPCN and PTC processes).</w:t>
            </w:r>
          </w:p>
          <w:p w:rsidR="00F7740F" w:rsidP="007F4E2D" w:rsidRDefault="00F7740F" w14:paraId="7B9D7364" w14:textId="77777777">
            <w:pPr>
              <w:rPr>
                <w:color w:val="000000"/>
              </w:rPr>
            </w:pPr>
          </w:p>
          <w:p w:rsidR="007F4E2D" w:rsidP="00280CA2" w:rsidRDefault="007F4E2D" w14:paraId="3070C879" w14:textId="6A29E0F4">
            <w:pPr>
              <w:rPr>
                <w:color w:val="000000"/>
              </w:rPr>
            </w:pPr>
            <w:r>
              <w:rPr>
                <w:color w:val="000000"/>
              </w:rPr>
              <w:t>“</w:t>
            </w:r>
            <w:r w:rsidR="003913C2">
              <w:rPr>
                <w:color w:val="000000"/>
              </w:rPr>
              <w:t>…</w:t>
            </w:r>
            <w:r w:rsidRPr="00185954">
              <w:rPr>
                <w:color w:val="000000"/>
              </w:rPr>
              <w:t>we adopt the Staff</w:t>
            </w:r>
            <w:r w:rsidR="003913C2">
              <w:rPr>
                <w:color w:val="000000"/>
              </w:rPr>
              <w:t xml:space="preserve"> </w:t>
            </w:r>
            <w:r w:rsidRPr="00185954">
              <w:rPr>
                <w:color w:val="000000"/>
              </w:rPr>
              <w:t>Proposal Section 3.3, Proposal 1 with modifications to add new sections</w:t>
            </w:r>
            <w:r>
              <w:rPr>
                <w:color w:val="000000"/>
              </w:rPr>
              <w:t>” D.25-01-055, p. 54</w:t>
            </w:r>
            <w:r w:rsidR="008368B8">
              <w:rPr>
                <w:color w:val="000000"/>
              </w:rPr>
              <w:t xml:space="preserve">; </w:t>
            </w:r>
            <w:r w:rsidR="003913C2">
              <w:rPr>
                <w:i/>
                <w:iCs/>
                <w:color w:val="000000"/>
              </w:rPr>
              <w:t xml:space="preserve">see also </w:t>
            </w:r>
            <w:r w:rsidR="008368B8">
              <w:rPr>
                <w:color w:val="000000"/>
              </w:rPr>
              <w:t>D.25-01-0</w:t>
            </w:r>
            <w:r w:rsidR="00280CA2">
              <w:rPr>
                <w:color w:val="000000"/>
              </w:rPr>
              <w:t xml:space="preserve">55, p. 63 </w:t>
            </w:r>
            <w:r w:rsidR="00363A6F">
              <w:rPr>
                <w:color w:val="000000"/>
              </w:rPr>
              <w:t>(</w:t>
            </w:r>
            <w:r w:rsidRPr="00280CA2" w:rsidR="00280CA2">
              <w:rPr>
                <w:color w:val="000000"/>
              </w:rPr>
              <w:t>CAISO, CBD</w:t>
            </w:r>
            <w:r w:rsidR="00363A6F">
              <w:rPr>
                <w:color w:val="000000"/>
              </w:rPr>
              <w:t>[</w:t>
            </w:r>
            <w:r w:rsidR="00363A6F">
              <w:rPr>
                <w:rStyle w:val="FootnoteReference"/>
                <w:color w:val="000000"/>
              </w:rPr>
              <w:footnoteReference w:id="3"/>
            </w:r>
            <w:r w:rsidR="00363A6F">
              <w:rPr>
                <w:color w:val="000000"/>
              </w:rPr>
              <w:t>]</w:t>
            </w:r>
            <w:r w:rsidR="00C523D1">
              <w:rPr>
                <w:color w:val="000000"/>
              </w:rPr>
              <w:t>,</w:t>
            </w:r>
            <w:r w:rsidR="00363A6F">
              <w:rPr>
                <w:color w:val="000000"/>
              </w:rPr>
              <w:t xml:space="preserve"> </w:t>
            </w:r>
            <w:r w:rsidRPr="00280CA2" w:rsidR="00280CA2">
              <w:rPr>
                <w:color w:val="000000"/>
              </w:rPr>
              <w:t>and DOW support Staff Proposal Section 3.3, Proposal 1, as</w:t>
            </w:r>
            <w:r w:rsidR="00C523D1">
              <w:rPr>
                <w:color w:val="000000"/>
              </w:rPr>
              <w:t xml:space="preserve"> </w:t>
            </w:r>
            <w:r w:rsidRPr="00280CA2" w:rsidR="00280CA2">
              <w:rPr>
                <w:color w:val="000000"/>
              </w:rPr>
              <w:t>proposed.</w:t>
            </w:r>
            <w:r w:rsidR="00363A6F">
              <w:rPr>
                <w:color w:val="000000"/>
              </w:rPr>
              <w:t>”)</w:t>
            </w:r>
            <w:r w:rsidR="007069CB">
              <w:rPr>
                <w:color w:val="000000"/>
              </w:rPr>
              <w:t xml:space="preserve">; </w:t>
            </w:r>
            <w:r w:rsidR="007069CB">
              <w:rPr>
                <w:i/>
                <w:iCs/>
                <w:color w:val="000000"/>
              </w:rPr>
              <w:t xml:space="preserve">see also </w:t>
            </w:r>
            <w:r w:rsidR="007069CB">
              <w:rPr>
                <w:color w:val="000000"/>
              </w:rPr>
              <w:t>D.25-07-042, p. 10 (clarifying that “</w:t>
            </w:r>
            <w:r w:rsidR="00955726">
              <w:rPr>
                <w:color w:val="000000"/>
              </w:rPr>
              <w:t>[t]</w:t>
            </w:r>
            <w:r w:rsidRPr="0099524F" w:rsidR="007069CB">
              <w:rPr>
                <w:color w:val="000000"/>
              </w:rPr>
              <w:t xml:space="preserve">he Staff Report argued that certain party proposals would </w:t>
            </w:r>
            <w:r w:rsidR="00CF18CA">
              <w:rPr>
                <w:color w:val="000000"/>
              </w:rPr>
              <w:t>‘</w:t>
            </w:r>
            <w:r w:rsidRPr="0099524F" w:rsidR="007069CB">
              <w:rPr>
                <w:color w:val="000000"/>
              </w:rPr>
              <w:t>artificially limit[] CEQA’s alternative requirements</w:t>
            </w:r>
            <w:r w:rsidR="00CF18CA">
              <w:rPr>
                <w:color w:val="000000"/>
              </w:rPr>
              <w:t>’</w:t>
            </w:r>
            <w:r w:rsidRPr="0099524F" w:rsidR="007069CB">
              <w:rPr>
                <w:color w:val="000000"/>
              </w:rPr>
              <w:t xml:space="preserve"> and opposed these options. </w:t>
            </w:r>
            <w:r w:rsidR="003913C2">
              <w:rPr>
                <w:color w:val="000000"/>
              </w:rPr>
              <w:t>[]</w:t>
            </w:r>
            <w:r w:rsidRPr="0099524F" w:rsidR="007069CB">
              <w:rPr>
                <w:color w:val="000000"/>
              </w:rPr>
              <w:t xml:space="preserve"> The Decision concurred with the Staff Report.</w:t>
            </w:r>
            <w:r w:rsidR="007069CB">
              <w:rPr>
                <w:color w:val="000000"/>
              </w:rPr>
              <w:t>”</w:t>
            </w:r>
            <w:r w:rsidR="00CF18CA">
              <w:rPr>
                <w:color w:val="000000"/>
              </w:rPr>
              <w:t>).</w:t>
            </w:r>
            <w:r w:rsidR="007069CB">
              <w:rPr>
                <w:color w:val="000000"/>
              </w:rPr>
              <w:t xml:space="preserve"> </w:t>
            </w:r>
          </w:p>
          <w:p w:rsidRPr="00FC0145" w:rsidR="00FC0145" w:rsidP="00FC0145" w:rsidRDefault="00FC0145" w14:paraId="3322B7CA" w14:textId="32E93109">
            <w:pPr>
              <w:rPr>
                <w:color w:val="000000"/>
              </w:rPr>
            </w:pPr>
            <w:r>
              <w:rPr>
                <w:color w:val="000000"/>
              </w:rPr>
              <w:t>“</w:t>
            </w:r>
            <w:r w:rsidRPr="00FC0145">
              <w:rPr>
                <w:color w:val="000000"/>
              </w:rPr>
              <w:t>Despite the enactment of AB 2292, which repeals Pub. Util. Code</w:t>
            </w:r>
          </w:p>
          <w:p w:rsidRPr="00CB04B4" w:rsidR="00CB04B4" w:rsidP="00CB04B4" w:rsidRDefault="00FC0145" w14:paraId="541E05C4" w14:textId="71EFA08E">
            <w:pPr>
              <w:rPr>
                <w:color w:val="000000"/>
              </w:rPr>
            </w:pPr>
            <w:r w:rsidRPr="00FC0145">
              <w:rPr>
                <w:color w:val="000000"/>
              </w:rPr>
              <w:t>Section 1002.3 that required the Commission’s consideration of cost-</w:t>
            </w:r>
            <w:r w:rsidRPr="00FC0145">
              <w:rPr>
                <w:color w:val="000000"/>
              </w:rPr>
              <w:lastRenderedPageBreak/>
              <w:t>effective</w:t>
            </w:r>
            <w:r>
              <w:rPr>
                <w:color w:val="000000"/>
              </w:rPr>
              <w:t xml:space="preserve"> </w:t>
            </w:r>
            <w:r w:rsidRPr="00FC0145">
              <w:rPr>
                <w:color w:val="000000"/>
              </w:rPr>
              <w:t>alternatives during the review of project applications, we find that the Settling</w:t>
            </w:r>
            <w:r>
              <w:rPr>
                <w:color w:val="000000"/>
              </w:rPr>
              <w:t xml:space="preserve"> </w:t>
            </w:r>
            <w:r w:rsidRPr="00FC0145">
              <w:rPr>
                <w:color w:val="000000"/>
              </w:rPr>
              <w:t>Parties’ proposed language limits the range of reasonable and acceptable</w:t>
            </w:r>
            <w:r>
              <w:rPr>
                <w:color w:val="000000"/>
              </w:rPr>
              <w:t xml:space="preserve"> </w:t>
            </w:r>
            <w:r w:rsidRPr="00FC0145">
              <w:rPr>
                <w:color w:val="000000"/>
              </w:rPr>
              <w:t>alternatives considered in an initial draft EIR per requirements in the CEQA</w:t>
            </w:r>
            <w:r>
              <w:rPr>
                <w:color w:val="000000"/>
              </w:rPr>
              <w:t xml:space="preserve"> </w:t>
            </w:r>
            <w:r w:rsidRPr="00FC0145">
              <w:rPr>
                <w:color w:val="000000"/>
              </w:rPr>
              <w:t>Guidelines</w:t>
            </w:r>
            <w:r w:rsidR="00CB04B4">
              <w:rPr>
                <w:color w:val="000000"/>
              </w:rPr>
              <w:t>….</w:t>
            </w:r>
            <w:r w:rsidRPr="00CB04B4" w:rsidR="00CB04B4">
              <w:rPr>
                <w:color w:val="000000"/>
              </w:rPr>
              <w:t>To preserve the Commission’s role as lead agency entrusted with the</w:t>
            </w:r>
            <w:r w:rsidR="00CB04B4">
              <w:rPr>
                <w:color w:val="000000"/>
              </w:rPr>
              <w:t xml:space="preserve"> </w:t>
            </w:r>
            <w:r w:rsidRPr="00CB04B4" w:rsidR="00CB04B4">
              <w:rPr>
                <w:color w:val="000000"/>
              </w:rPr>
              <w:t>responsibility to certify CPCNs that avoid or mitigate significant environmental</w:t>
            </w:r>
            <w:r w:rsidR="00CB04B4">
              <w:rPr>
                <w:color w:val="000000"/>
              </w:rPr>
              <w:t xml:space="preserve"> </w:t>
            </w:r>
            <w:r w:rsidRPr="00CB04B4" w:rsidR="00CB04B4">
              <w:rPr>
                <w:color w:val="000000"/>
              </w:rPr>
              <w:t>impacts associated with proposed projects and adhere to AB 2292 and Pub. Util.</w:t>
            </w:r>
          </w:p>
          <w:p w:rsidR="00FC0145" w:rsidP="00CB04B4" w:rsidRDefault="00CB04B4" w14:paraId="1AF7CB2B" w14:textId="4AF816B4">
            <w:pPr>
              <w:rPr>
                <w:color w:val="000000"/>
              </w:rPr>
            </w:pPr>
            <w:r w:rsidRPr="00CB04B4">
              <w:rPr>
                <w:color w:val="000000"/>
              </w:rPr>
              <w:t>Code requirements, we adopt Staff Proposal Section 3.3, Staff Proposal 1, with</w:t>
            </w:r>
            <w:r>
              <w:rPr>
                <w:color w:val="000000"/>
              </w:rPr>
              <w:t xml:space="preserve"> </w:t>
            </w:r>
            <w:r w:rsidRPr="00CB04B4">
              <w:rPr>
                <w:color w:val="000000"/>
              </w:rPr>
              <w:t>modifications to GO 131-E, Section VII.C.2, instead of adding the proposed</w:t>
            </w:r>
            <w:r>
              <w:rPr>
                <w:color w:val="000000"/>
              </w:rPr>
              <w:t xml:space="preserve"> </w:t>
            </w:r>
            <w:r w:rsidRPr="00CB04B4">
              <w:rPr>
                <w:color w:val="000000"/>
              </w:rPr>
              <w:t>sections to Section IX.C</w:t>
            </w:r>
            <w:r>
              <w:rPr>
                <w:color w:val="000000"/>
              </w:rPr>
              <w:t>.</w:t>
            </w:r>
            <w:r w:rsidR="00FC0145">
              <w:rPr>
                <w:color w:val="000000"/>
              </w:rPr>
              <w:t>” D.25-01-055, p. 64.</w:t>
            </w:r>
          </w:p>
          <w:p w:rsidR="00E15C42" w:rsidP="00CB04B4" w:rsidRDefault="00E15C42" w14:paraId="51910F38" w14:textId="77777777">
            <w:pPr>
              <w:rPr>
                <w:color w:val="000000"/>
              </w:rPr>
            </w:pPr>
          </w:p>
          <w:p w:rsidRPr="00E15C42" w:rsidR="00E15C42" w:rsidP="00E15C42" w:rsidRDefault="00E15C42" w14:paraId="211136D6" w14:textId="04438E9B">
            <w:pPr>
              <w:rPr>
                <w:color w:val="000000"/>
              </w:rPr>
            </w:pPr>
            <w:r>
              <w:rPr>
                <w:color w:val="000000"/>
              </w:rPr>
              <w:t>“</w:t>
            </w:r>
            <w:r w:rsidRPr="00E15C42">
              <w:rPr>
                <w:color w:val="000000"/>
              </w:rPr>
              <w:t>Further, we clarify that the range of reasonable alternatives to the</w:t>
            </w:r>
            <w:r w:rsidR="001F36F9">
              <w:rPr>
                <w:color w:val="000000"/>
              </w:rPr>
              <w:t xml:space="preserve"> </w:t>
            </w:r>
            <w:r w:rsidRPr="00E15C42">
              <w:rPr>
                <w:color w:val="000000"/>
              </w:rPr>
              <w:t>proposed project in an initial draft EIR circulated for public comment may be</w:t>
            </w:r>
            <w:r w:rsidR="001F36F9">
              <w:rPr>
                <w:color w:val="000000"/>
              </w:rPr>
              <w:t xml:space="preserve"> </w:t>
            </w:r>
            <w:r w:rsidRPr="00E15C42">
              <w:rPr>
                <w:color w:val="000000"/>
              </w:rPr>
              <w:t>limited to alternative routes or locations for construction of the relevant CAISO</w:t>
            </w:r>
          </w:p>
          <w:p w:rsidR="00E15C42" w:rsidP="00E15C42" w:rsidRDefault="00E15C42" w14:paraId="6C3F3205" w14:textId="6971F483">
            <w:pPr>
              <w:rPr>
                <w:color w:val="000000"/>
              </w:rPr>
            </w:pPr>
            <w:r w:rsidRPr="00E15C42">
              <w:rPr>
                <w:color w:val="000000"/>
              </w:rPr>
              <w:t>transmission plan-approved electric project and the “no action” alternative. This</w:t>
            </w:r>
            <w:r>
              <w:rPr>
                <w:color w:val="000000"/>
              </w:rPr>
              <w:t xml:space="preserve"> </w:t>
            </w:r>
            <w:r w:rsidRPr="00E15C42">
              <w:rPr>
                <w:color w:val="000000"/>
              </w:rPr>
              <w:t>modification is necessary to preserve Staff’s discretion to determine that</w:t>
            </w:r>
            <w:r>
              <w:rPr>
                <w:color w:val="000000"/>
              </w:rPr>
              <w:t xml:space="preserve"> </w:t>
            </w:r>
            <w:r w:rsidRPr="00E15C42">
              <w:rPr>
                <w:color w:val="000000"/>
              </w:rPr>
              <w:t>additional project alternatives should be considered based on information</w:t>
            </w:r>
            <w:r>
              <w:rPr>
                <w:color w:val="000000"/>
              </w:rPr>
              <w:t xml:space="preserve"> </w:t>
            </w:r>
            <w:r w:rsidRPr="00E15C42">
              <w:rPr>
                <w:color w:val="000000"/>
              </w:rPr>
              <w:t>presented during the CEQA review process.</w:t>
            </w:r>
            <w:r>
              <w:rPr>
                <w:color w:val="000000"/>
              </w:rPr>
              <w:t>” D.25-01-055, p. 65.</w:t>
            </w:r>
          </w:p>
          <w:p w:rsidR="008B3F09" w:rsidP="00E15C42" w:rsidRDefault="008B3F09" w14:paraId="54C4BDB5" w14:textId="77777777">
            <w:pPr>
              <w:rPr>
                <w:color w:val="000000"/>
              </w:rPr>
            </w:pPr>
          </w:p>
          <w:p w:rsidR="008B3F09" w:rsidP="008B3F09" w:rsidRDefault="008B3F09" w14:paraId="38F6AF03" w14:textId="4D1CE1BE">
            <w:pPr>
              <w:rPr>
                <w:color w:val="000000"/>
              </w:rPr>
            </w:pPr>
            <w:r>
              <w:rPr>
                <w:color w:val="000000"/>
              </w:rPr>
              <w:t>“…t</w:t>
            </w:r>
            <w:r w:rsidRPr="008B3F09">
              <w:rPr>
                <w:color w:val="000000"/>
              </w:rPr>
              <w:t>he Commission must comply with CEQA</w:t>
            </w:r>
            <w:r>
              <w:rPr>
                <w:color w:val="000000"/>
              </w:rPr>
              <w:t xml:space="preserve"> </w:t>
            </w:r>
            <w:r w:rsidRPr="008B3F09">
              <w:rPr>
                <w:color w:val="000000"/>
              </w:rPr>
              <w:t>and must ensure a thorough review of the record in each CPCN or PTC</w:t>
            </w:r>
            <w:r>
              <w:rPr>
                <w:color w:val="000000"/>
              </w:rPr>
              <w:t xml:space="preserve"> </w:t>
            </w:r>
            <w:r w:rsidRPr="008B3F09">
              <w:rPr>
                <w:color w:val="000000"/>
              </w:rPr>
              <w:t>proceeding for decision-makers and stakeholders to deliberate on reasonable</w:t>
            </w:r>
            <w:r>
              <w:rPr>
                <w:color w:val="000000"/>
              </w:rPr>
              <w:t xml:space="preserve"> </w:t>
            </w:r>
            <w:r w:rsidRPr="008B3F09">
              <w:rPr>
                <w:color w:val="000000"/>
              </w:rPr>
              <w:t>project alternatives during CEQA reviews</w:t>
            </w:r>
            <w:r w:rsidR="00BE54A7">
              <w:rPr>
                <w:color w:val="000000"/>
              </w:rPr>
              <w:t>.</w:t>
            </w:r>
            <w:r>
              <w:rPr>
                <w:color w:val="000000"/>
              </w:rPr>
              <w:t>” D.25-01-055, p. 132.</w:t>
            </w:r>
          </w:p>
          <w:p w:rsidR="00936F68" w:rsidP="00936F68" w:rsidRDefault="00936F68" w14:paraId="61CC5328" w14:textId="67931F0B">
            <w:pPr>
              <w:rPr>
                <w:color w:val="000000"/>
              </w:rPr>
            </w:pPr>
            <w:r>
              <w:rPr>
                <w:color w:val="000000"/>
              </w:rPr>
              <w:t>“</w:t>
            </w:r>
            <w:r w:rsidR="00143EE3">
              <w:rPr>
                <w:color w:val="000000"/>
              </w:rPr>
              <w:t>…</w:t>
            </w:r>
            <w:r w:rsidRPr="00AE5A44">
              <w:rPr>
                <w:color w:val="000000"/>
              </w:rPr>
              <w:t>Section VII.C.2.c does not limit the Commission staff’s ability to consider other project alternatives if warranted.</w:t>
            </w:r>
            <w:r>
              <w:rPr>
                <w:color w:val="000000"/>
              </w:rPr>
              <w:t>” D.25-07-042, p. 9.</w:t>
            </w:r>
          </w:p>
          <w:p w:rsidR="00FC0145" w:rsidP="00FC0145" w:rsidRDefault="00FC0145" w14:paraId="5D57AB40" w14:textId="77777777">
            <w:pPr>
              <w:rPr>
                <w:color w:val="000000"/>
              </w:rPr>
            </w:pPr>
          </w:p>
          <w:p w:rsidR="00E60B2A" w:rsidP="00E60B2A" w:rsidRDefault="000A5A42" w14:paraId="002DBDD0" w14:textId="77777777">
            <w:pPr>
              <w:rPr>
                <w:color w:val="000000"/>
              </w:rPr>
            </w:pPr>
            <w:r>
              <w:rPr>
                <w:color w:val="000000"/>
              </w:rPr>
              <w:t>“…</w:t>
            </w:r>
            <w:r w:rsidRPr="000A5A42">
              <w:rPr>
                <w:color w:val="000000"/>
              </w:rPr>
              <w:t>in its independent CEQA process, Commission</w:t>
            </w:r>
            <w:r>
              <w:rPr>
                <w:color w:val="000000"/>
              </w:rPr>
              <w:t xml:space="preserve"> </w:t>
            </w:r>
            <w:r w:rsidRPr="000A5A42">
              <w:rPr>
                <w:color w:val="000000"/>
              </w:rPr>
              <w:t>staff may still consider other project alternatives as warranted.</w:t>
            </w:r>
            <w:r>
              <w:rPr>
                <w:color w:val="000000"/>
              </w:rPr>
              <w:t>” D.25-07-042, p. 12.</w:t>
            </w:r>
            <w:r w:rsidR="00E60B2A">
              <w:rPr>
                <w:color w:val="000000"/>
              </w:rPr>
              <w:t xml:space="preserve"> </w:t>
            </w:r>
          </w:p>
          <w:p w:rsidR="00E60B2A" w:rsidP="00E60B2A" w:rsidRDefault="00E60B2A" w14:paraId="655D3DE7" w14:textId="77777777">
            <w:pPr>
              <w:rPr>
                <w:color w:val="000000"/>
              </w:rPr>
            </w:pPr>
          </w:p>
          <w:p w:rsidR="008E544E" w:rsidP="008E544E" w:rsidRDefault="00E60B2A" w14:paraId="2E9EBFB4" w14:textId="7CA0B36E">
            <w:pPr>
              <w:rPr>
                <w:color w:val="000000"/>
              </w:rPr>
            </w:pPr>
            <w:r>
              <w:rPr>
                <w:color w:val="000000"/>
              </w:rPr>
              <w:t>“</w:t>
            </w:r>
            <w:r w:rsidRPr="00B15346" w:rsidR="00896D03">
              <w:rPr>
                <w:color w:val="000000"/>
              </w:rPr>
              <w:t xml:space="preserve">Applicants allege that in utilizing the project need from CAISO TPP for the EIR’s statement of objectives </w:t>
            </w:r>
            <w:r w:rsidR="0021762B">
              <w:rPr>
                <w:color w:val="000000"/>
              </w:rPr>
              <w:t>[]</w:t>
            </w:r>
            <w:r w:rsidRPr="00B15346" w:rsidR="00896D03">
              <w:rPr>
                <w:color w:val="000000"/>
              </w:rPr>
              <w:t xml:space="preserve"> and the range of reasonable alternatives </w:t>
            </w:r>
            <w:r w:rsidR="0021762B">
              <w:rPr>
                <w:color w:val="000000"/>
              </w:rPr>
              <w:t>[]</w:t>
            </w:r>
            <w:r w:rsidRPr="00B15346" w:rsidR="00896D03">
              <w:rPr>
                <w:color w:val="000000"/>
              </w:rPr>
              <w:t xml:space="preserve">, we are </w:t>
            </w:r>
            <w:r w:rsidR="00247B31">
              <w:rPr>
                <w:color w:val="000000"/>
              </w:rPr>
              <w:t>‘</w:t>
            </w:r>
            <w:r w:rsidRPr="00B15346" w:rsidR="00896D03">
              <w:rPr>
                <w:color w:val="000000"/>
              </w:rPr>
              <w:t>outsourcing</w:t>
            </w:r>
            <w:r w:rsidR="00247B31">
              <w:rPr>
                <w:color w:val="000000"/>
              </w:rPr>
              <w:t>’</w:t>
            </w:r>
            <w:r w:rsidRPr="00B15346" w:rsidR="00896D03">
              <w:rPr>
                <w:color w:val="000000"/>
              </w:rPr>
              <w:t xml:space="preserve"> our CEQA obligations to CAISO</w:t>
            </w:r>
            <w:r w:rsidR="00630021">
              <w:rPr>
                <w:color w:val="000000"/>
              </w:rPr>
              <w:t xml:space="preserve">… </w:t>
            </w:r>
            <w:r w:rsidRPr="005E3B55">
              <w:rPr>
                <w:color w:val="000000"/>
              </w:rPr>
              <w:t xml:space="preserve">CEQA Guidelines allow us to rely on a variety of sources and information in preparing an EIR so long as </w:t>
            </w:r>
            <w:r w:rsidR="00196D92">
              <w:rPr>
                <w:color w:val="000000"/>
              </w:rPr>
              <w:t>‘</w:t>
            </w:r>
            <w:r w:rsidRPr="005E3B55">
              <w:rPr>
                <w:color w:val="000000"/>
              </w:rPr>
              <w:t>[t]he draft EIR which is sent out for public review</w:t>
            </w:r>
            <w:r w:rsidR="00196D92">
              <w:rPr>
                <w:color w:val="000000"/>
              </w:rPr>
              <w:t>’</w:t>
            </w:r>
            <w:r w:rsidRPr="005E3B55">
              <w:rPr>
                <w:color w:val="000000"/>
              </w:rPr>
              <w:t xml:space="preserve"> reflects our </w:t>
            </w:r>
            <w:r w:rsidR="00440743">
              <w:rPr>
                <w:color w:val="000000"/>
              </w:rPr>
              <w:t>‘</w:t>
            </w:r>
            <w:r w:rsidRPr="005E3B55">
              <w:rPr>
                <w:color w:val="000000"/>
              </w:rPr>
              <w:t>independent judgment.</w:t>
            </w:r>
            <w:r w:rsidR="00440743">
              <w:rPr>
                <w:color w:val="000000"/>
              </w:rPr>
              <w:t>’</w:t>
            </w:r>
            <w:r w:rsidRPr="005E3B55">
              <w:rPr>
                <w:color w:val="000000"/>
              </w:rPr>
              <w:t xml:space="preserve"> (Code of Regs., tit. 14, § 15084.) We are ultimately </w:t>
            </w:r>
            <w:r w:rsidR="00247B31">
              <w:rPr>
                <w:color w:val="000000"/>
              </w:rPr>
              <w:t>‘</w:t>
            </w:r>
            <w:r w:rsidRPr="005E3B55">
              <w:rPr>
                <w:color w:val="000000"/>
              </w:rPr>
              <w:t>responsible for the adequacy and objectivity of the draft EIR.</w:t>
            </w:r>
            <w:r w:rsidR="00247B31">
              <w:rPr>
                <w:color w:val="000000"/>
              </w:rPr>
              <w:t>’</w:t>
            </w:r>
            <w:r w:rsidRPr="005E3B55">
              <w:rPr>
                <w:color w:val="000000"/>
              </w:rPr>
              <w:t xml:space="preserve"> (</w:t>
            </w:r>
            <w:r w:rsidRPr="005E3B55">
              <w:rPr>
                <w:i/>
                <w:iCs/>
                <w:color w:val="000000"/>
              </w:rPr>
              <w:t>Ibid</w:t>
            </w:r>
            <w:r w:rsidRPr="005E3B55">
              <w:rPr>
                <w:color w:val="000000"/>
              </w:rPr>
              <w:t>.) GO 131-E explicitly recognizes our CEQA obligations.</w:t>
            </w:r>
            <w:r>
              <w:rPr>
                <w:color w:val="000000"/>
              </w:rPr>
              <w:t xml:space="preserve">” D.25-07-042, p. </w:t>
            </w:r>
            <w:r w:rsidR="006204E6">
              <w:rPr>
                <w:color w:val="000000"/>
              </w:rPr>
              <w:t>16-</w:t>
            </w:r>
            <w:r>
              <w:rPr>
                <w:color w:val="000000"/>
              </w:rPr>
              <w:t>1</w:t>
            </w:r>
            <w:r w:rsidR="00211F22">
              <w:rPr>
                <w:color w:val="000000"/>
              </w:rPr>
              <w:t>7.</w:t>
            </w:r>
          </w:p>
          <w:p w:rsidR="006204E6" w:rsidP="008E544E" w:rsidRDefault="006204E6" w14:paraId="744D03B7" w14:textId="77777777">
            <w:pPr>
              <w:rPr>
                <w:color w:val="000000"/>
              </w:rPr>
            </w:pPr>
          </w:p>
          <w:p w:rsidR="008E544E" w:rsidP="008E544E" w:rsidRDefault="008E544E" w14:paraId="78D65F94" w14:textId="5B3493A4">
            <w:pPr>
              <w:rPr>
                <w:color w:val="000000"/>
              </w:rPr>
            </w:pPr>
            <w:r>
              <w:rPr>
                <w:color w:val="000000"/>
              </w:rPr>
              <w:t>“</w:t>
            </w:r>
            <w:r w:rsidRPr="00BC766F">
              <w:rPr>
                <w:color w:val="000000"/>
              </w:rPr>
              <w:t xml:space="preserve">According to Applicants, relying only on CAISO’s determination of project need erroneously </w:t>
            </w:r>
            <w:r w:rsidR="007F24DE">
              <w:rPr>
                <w:color w:val="000000"/>
              </w:rPr>
              <w:t>‘</w:t>
            </w:r>
            <w:r w:rsidRPr="00BC766F">
              <w:rPr>
                <w:color w:val="000000"/>
              </w:rPr>
              <w:t>ensures that the only project alternatives which are considered in future EIRs are those that have characteristics which meet the project configuration that CAISO approves without any consideration of environmental impact.</w:t>
            </w:r>
            <w:r w:rsidR="009A7EDF">
              <w:rPr>
                <w:color w:val="000000"/>
              </w:rPr>
              <w:t>’…</w:t>
            </w:r>
            <w:r w:rsidR="005647A3">
              <w:rPr>
                <w:color w:val="000000"/>
              </w:rPr>
              <w:t xml:space="preserve">Section VII.C.2.a….does not limit the statement from including additional objectives if the Commission deems necessary-Section VII.C.2.a is the floor, not the ceiling. </w:t>
            </w:r>
            <w:r w:rsidR="00183067">
              <w:rPr>
                <w:color w:val="000000"/>
              </w:rPr>
              <w:t xml:space="preserve">A lead agency may not ‘artificially narrow </w:t>
            </w:r>
            <w:r w:rsidR="00FA333E">
              <w:rPr>
                <w:color w:val="000000"/>
              </w:rPr>
              <w:t xml:space="preserve">[the] approach for describing the project </w:t>
            </w:r>
            <w:r w:rsidR="002457EB">
              <w:rPr>
                <w:color w:val="000000"/>
              </w:rPr>
              <w:t>objectives</w:t>
            </w:r>
            <w:r w:rsidR="00FA333E">
              <w:rPr>
                <w:color w:val="000000"/>
              </w:rPr>
              <w:t xml:space="preserve">, [such] that the results of its alternatives analysis would be a foregone conclusion.’” </w:t>
            </w:r>
            <w:r>
              <w:rPr>
                <w:color w:val="000000"/>
              </w:rPr>
              <w:t>D.25-07-042, p. 13</w:t>
            </w:r>
            <w:r w:rsidR="0088799B">
              <w:rPr>
                <w:color w:val="000000"/>
              </w:rPr>
              <w:t>, 15</w:t>
            </w:r>
            <w:r>
              <w:rPr>
                <w:color w:val="000000"/>
              </w:rPr>
              <w:t>.</w:t>
            </w:r>
          </w:p>
          <w:p w:rsidR="00DB6AB2" w:rsidP="00DB6AB2" w:rsidRDefault="00843F9F" w14:paraId="1DD8A229" w14:textId="224BFF4D">
            <w:pPr>
              <w:rPr>
                <w:color w:val="000000"/>
              </w:rPr>
            </w:pPr>
            <w:r>
              <w:rPr>
                <w:color w:val="000000"/>
              </w:rPr>
              <w:t xml:space="preserve">PCF Comments on OIR (June 22, 2023), p. </w:t>
            </w:r>
            <w:r w:rsidR="00037942">
              <w:rPr>
                <w:color w:val="000000"/>
              </w:rPr>
              <w:t>5-</w:t>
            </w:r>
            <w:r>
              <w:rPr>
                <w:color w:val="000000"/>
              </w:rPr>
              <w:t>6;</w:t>
            </w:r>
            <w:r w:rsidR="001565E1">
              <w:rPr>
                <w:color w:val="000000"/>
              </w:rPr>
              <w:t xml:space="preserve"> </w:t>
            </w:r>
            <w:r w:rsidR="00DB6AB2">
              <w:rPr>
                <w:color w:val="000000"/>
              </w:rPr>
              <w:t>Center, Clean Coalition, and PCF Opening Comments on Phase 2 Issues (February 5, 2024),</w:t>
            </w:r>
            <w:r w:rsidR="008878EE">
              <w:rPr>
                <w:color w:val="000000"/>
              </w:rPr>
              <w:t xml:space="preserve"> </w:t>
            </w:r>
            <w:r w:rsidR="00DB6AB2">
              <w:rPr>
                <w:color w:val="000000"/>
              </w:rPr>
              <w:t>p. 15-16, 18-19</w:t>
            </w:r>
            <w:r w:rsidR="0073164B">
              <w:rPr>
                <w:color w:val="000000"/>
              </w:rPr>
              <w:t>;</w:t>
            </w:r>
          </w:p>
          <w:p w:rsidR="00B42A9F" w:rsidP="00542D57" w:rsidRDefault="00A42DD6" w14:paraId="4BA2F8EE" w14:textId="57C1A7D1">
            <w:pPr>
              <w:rPr>
                <w:color w:val="000000"/>
              </w:rPr>
            </w:pPr>
            <w:r>
              <w:rPr>
                <w:color w:val="000000"/>
              </w:rPr>
              <w:lastRenderedPageBreak/>
              <w:t xml:space="preserve">Center and PCF </w:t>
            </w:r>
            <w:r w:rsidR="00D05ED0">
              <w:rPr>
                <w:color w:val="000000"/>
              </w:rPr>
              <w:t xml:space="preserve">Reply Comments on Phase 2 Issues (February 26, 2024), p. </w:t>
            </w:r>
            <w:r w:rsidR="00A240DF">
              <w:rPr>
                <w:color w:val="000000"/>
              </w:rPr>
              <w:t>6-</w:t>
            </w:r>
            <w:r w:rsidR="001565E1">
              <w:rPr>
                <w:color w:val="000000"/>
              </w:rPr>
              <w:t>9</w:t>
            </w:r>
            <w:r w:rsidR="00A240DF">
              <w:rPr>
                <w:color w:val="000000"/>
              </w:rPr>
              <w:t>;</w:t>
            </w:r>
            <w:r w:rsidR="001565E1">
              <w:rPr>
                <w:color w:val="000000"/>
              </w:rPr>
              <w:t xml:space="preserve"> </w:t>
            </w:r>
            <w:r w:rsidR="001D0D62">
              <w:rPr>
                <w:color w:val="000000"/>
              </w:rPr>
              <w:t>Center and P</w:t>
            </w:r>
            <w:r w:rsidR="001565E1">
              <w:rPr>
                <w:color w:val="000000"/>
              </w:rPr>
              <w:t>C</w:t>
            </w:r>
            <w:r w:rsidR="001D0D62">
              <w:rPr>
                <w:color w:val="000000"/>
              </w:rPr>
              <w:t>F Opening Comments on Phase 2 Staff Proposal (July 1, 2024), p. 12-14</w:t>
            </w:r>
            <w:r w:rsidR="00986F27">
              <w:rPr>
                <w:color w:val="000000"/>
              </w:rPr>
              <w:t>, 31</w:t>
            </w:r>
            <w:r w:rsidR="001565E1">
              <w:rPr>
                <w:color w:val="000000"/>
              </w:rPr>
              <w:t xml:space="preserve">; </w:t>
            </w:r>
            <w:r w:rsidR="0027766A">
              <w:rPr>
                <w:color w:val="000000"/>
              </w:rPr>
              <w:t xml:space="preserve">Center and PCF Reply Comments on Phase 2 Staff Proposal (July 15, 2024), p. </w:t>
            </w:r>
            <w:r w:rsidR="00900BF5">
              <w:rPr>
                <w:color w:val="000000"/>
              </w:rPr>
              <w:t xml:space="preserve">2, </w:t>
            </w:r>
            <w:r w:rsidR="00487953">
              <w:rPr>
                <w:color w:val="000000"/>
              </w:rPr>
              <w:t>1</w:t>
            </w:r>
            <w:r w:rsidR="00DB5AF0">
              <w:rPr>
                <w:color w:val="000000"/>
              </w:rPr>
              <w:t>1</w:t>
            </w:r>
            <w:r w:rsidR="00487953">
              <w:rPr>
                <w:color w:val="000000"/>
              </w:rPr>
              <w:t>-1</w:t>
            </w:r>
            <w:r w:rsidR="004D1C06">
              <w:rPr>
                <w:color w:val="000000"/>
              </w:rPr>
              <w:t>4</w:t>
            </w:r>
            <w:r w:rsidR="00487953">
              <w:rPr>
                <w:color w:val="000000"/>
              </w:rPr>
              <w:t xml:space="preserve">, </w:t>
            </w:r>
            <w:r w:rsidR="00C3078F">
              <w:rPr>
                <w:color w:val="000000"/>
              </w:rPr>
              <w:t xml:space="preserve">19, </w:t>
            </w:r>
            <w:r w:rsidR="0027766A">
              <w:rPr>
                <w:color w:val="000000"/>
              </w:rPr>
              <w:t>21</w:t>
            </w:r>
            <w:r w:rsidR="00E0752D">
              <w:rPr>
                <w:color w:val="000000"/>
              </w:rPr>
              <w:t>-2</w:t>
            </w:r>
            <w:r w:rsidR="0043437D">
              <w:rPr>
                <w:color w:val="000000"/>
              </w:rPr>
              <w:t>3</w:t>
            </w:r>
            <w:r w:rsidR="002371D6">
              <w:rPr>
                <w:color w:val="000000"/>
              </w:rPr>
              <w:t xml:space="preserve">; </w:t>
            </w:r>
            <w:r w:rsidR="00E924CB">
              <w:rPr>
                <w:color w:val="000000"/>
              </w:rPr>
              <w:t>Center and PCF Opening Comments on PD Adopting GO 131-E (January 16, 2025), p. 1-6; 11-12</w:t>
            </w:r>
            <w:r w:rsidR="008C6893">
              <w:rPr>
                <w:color w:val="000000"/>
              </w:rPr>
              <w:t xml:space="preserve">; Joint </w:t>
            </w:r>
            <w:proofErr w:type="spellStart"/>
            <w:r w:rsidR="008C6893">
              <w:rPr>
                <w:color w:val="000000"/>
              </w:rPr>
              <w:t>AfR</w:t>
            </w:r>
            <w:proofErr w:type="spellEnd"/>
            <w:r w:rsidR="008C6893">
              <w:rPr>
                <w:color w:val="000000"/>
              </w:rPr>
              <w:t xml:space="preserve"> of </w:t>
            </w:r>
            <w:r w:rsidRPr="00797F10" w:rsidR="00542D57">
              <w:rPr>
                <w:color w:val="000000"/>
              </w:rPr>
              <w:t>D.25-01-055</w:t>
            </w:r>
            <w:r w:rsidR="008C6893">
              <w:rPr>
                <w:color w:val="000000"/>
              </w:rPr>
              <w:t xml:space="preserve"> </w:t>
            </w:r>
            <w:r w:rsidR="00542D57">
              <w:rPr>
                <w:color w:val="000000"/>
              </w:rPr>
              <w:t xml:space="preserve">(March 10, 2025), p. </w:t>
            </w:r>
            <w:r w:rsidR="00B42A9F">
              <w:rPr>
                <w:color w:val="000000"/>
              </w:rPr>
              <w:t>13-</w:t>
            </w:r>
            <w:r w:rsidR="000C7DD8">
              <w:rPr>
                <w:color w:val="000000"/>
              </w:rPr>
              <w:t>28</w:t>
            </w:r>
            <w:r w:rsidR="00B54900">
              <w:rPr>
                <w:color w:val="000000"/>
              </w:rPr>
              <w:t>, 32-3</w:t>
            </w:r>
            <w:r w:rsidR="004628AF">
              <w:rPr>
                <w:color w:val="000000"/>
              </w:rPr>
              <w:t>4</w:t>
            </w:r>
            <w:r w:rsidR="00542D57">
              <w:rPr>
                <w:color w:val="000000"/>
              </w:rPr>
              <w:t>.</w:t>
            </w:r>
          </w:p>
          <w:p w:rsidR="00542D57" w:rsidP="00542D57" w:rsidRDefault="00542D57" w14:paraId="7C6F905C" w14:textId="0067AE73">
            <w:pPr>
              <w:rPr>
                <w:color w:val="000000"/>
              </w:rPr>
            </w:pPr>
          </w:p>
        </w:tc>
        <w:tc>
          <w:tcPr>
            <w:tcW w:w="1957" w:type="dxa"/>
          </w:tcPr>
          <w:p w:rsidR="00542D57" w:rsidP="00462A91" w:rsidRDefault="00542D57" w14:paraId="1E3AF75A" w14:textId="77777777">
            <w:pPr>
              <w:jc w:val="center"/>
              <w:rPr>
                <w:color w:val="000000"/>
              </w:rPr>
            </w:pPr>
          </w:p>
          <w:p w:rsidR="006F6DFE" w:rsidP="00462A91" w:rsidRDefault="006F6DFE" w14:paraId="6809BE5D" w14:textId="77777777">
            <w:pPr>
              <w:jc w:val="center"/>
              <w:rPr>
                <w:color w:val="000000"/>
              </w:rPr>
            </w:pPr>
          </w:p>
          <w:p w:rsidR="006F6DFE" w:rsidP="00462A91" w:rsidRDefault="006F6DFE" w14:paraId="1595A5C4" w14:textId="77777777">
            <w:pPr>
              <w:jc w:val="center"/>
              <w:rPr>
                <w:color w:val="000000"/>
              </w:rPr>
            </w:pPr>
          </w:p>
          <w:p w:rsidR="006F6DFE" w:rsidP="006F6DFE" w:rsidRDefault="006F6DFE" w14:paraId="47C05323" w14:textId="77777777">
            <w:pPr>
              <w:jc w:val="center"/>
              <w:rPr>
                <w:color w:val="000000"/>
              </w:rPr>
            </w:pPr>
            <w:r>
              <w:rPr>
                <w:color w:val="000000"/>
              </w:rPr>
              <w:t>Verified</w:t>
            </w:r>
          </w:p>
          <w:p w:rsidR="006F6DFE" w:rsidP="006F6DFE" w:rsidRDefault="006F6DFE" w14:paraId="5EE94F23" w14:textId="77777777">
            <w:pPr>
              <w:jc w:val="center"/>
              <w:rPr>
                <w:color w:val="000000"/>
              </w:rPr>
            </w:pPr>
          </w:p>
          <w:p w:rsidR="006F6DFE" w:rsidP="006F6DFE" w:rsidRDefault="006F6DFE" w14:paraId="59A3ABC5" w14:textId="77777777">
            <w:pPr>
              <w:jc w:val="center"/>
              <w:rPr>
                <w:color w:val="000000"/>
              </w:rPr>
            </w:pPr>
          </w:p>
          <w:p w:rsidR="006F6DFE" w:rsidP="006F6DFE" w:rsidRDefault="006F6DFE" w14:paraId="0F8EEB21" w14:textId="77777777">
            <w:pPr>
              <w:jc w:val="center"/>
              <w:rPr>
                <w:color w:val="000000"/>
              </w:rPr>
            </w:pPr>
          </w:p>
          <w:p w:rsidR="006F6DFE" w:rsidP="006F6DFE" w:rsidRDefault="006F6DFE" w14:paraId="1F0B9749" w14:textId="77777777">
            <w:pPr>
              <w:jc w:val="center"/>
              <w:rPr>
                <w:color w:val="000000"/>
              </w:rPr>
            </w:pPr>
          </w:p>
          <w:p w:rsidR="006F6DFE" w:rsidP="006F6DFE" w:rsidRDefault="006F6DFE" w14:paraId="0C78CF59" w14:textId="77777777">
            <w:pPr>
              <w:jc w:val="center"/>
              <w:rPr>
                <w:color w:val="000000"/>
              </w:rPr>
            </w:pPr>
          </w:p>
          <w:p w:rsidR="006F6DFE" w:rsidP="006F6DFE" w:rsidRDefault="006F6DFE" w14:paraId="3CC46CF6" w14:textId="77777777">
            <w:pPr>
              <w:jc w:val="center"/>
              <w:rPr>
                <w:color w:val="000000"/>
              </w:rPr>
            </w:pPr>
          </w:p>
          <w:p w:rsidR="006F6DFE" w:rsidP="006F6DFE" w:rsidRDefault="006F6DFE" w14:paraId="279FB3D4" w14:textId="77777777">
            <w:pPr>
              <w:jc w:val="center"/>
              <w:rPr>
                <w:color w:val="000000"/>
              </w:rPr>
            </w:pPr>
          </w:p>
          <w:p w:rsidR="006F6DFE" w:rsidP="006F6DFE" w:rsidRDefault="006F6DFE" w14:paraId="2930E1F1" w14:textId="77777777">
            <w:pPr>
              <w:jc w:val="center"/>
              <w:rPr>
                <w:color w:val="000000"/>
              </w:rPr>
            </w:pPr>
          </w:p>
          <w:p w:rsidR="006F6DFE" w:rsidP="006F6DFE" w:rsidRDefault="006F6DFE" w14:paraId="09755B63" w14:textId="77777777">
            <w:pPr>
              <w:jc w:val="center"/>
              <w:rPr>
                <w:color w:val="000000"/>
              </w:rPr>
            </w:pPr>
          </w:p>
          <w:p w:rsidR="006F6DFE" w:rsidP="006F6DFE" w:rsidRDefault="006F6DFE" w14:paraId="02DEA0AC" w14:textId="77777777">
            <w:pPr>
              <w:jc w:val="center"/>
              <w:rPr>
                <w:color w:val="000000"/>
              </w:rPr>
            </w:pPr>
          </w:p>
          <w:p w:rsidR="006F6DFE" w:rsidP="006F6DFE" w:rsidRDefault="006F6DFE" w14:paraId="2B18C387" w14:textId="77777777">
            <w:pPr>
              <w:jc w:val="center"/>
              <w:rPr>
                <w:color w:val="000000"/>
              </w:rPr>
            </w:pPr>
          </w:p>
          <w:p w:rsidR="006F6DFE" w:rsidP="006F6DFE" w:rsidRDefault="006F6DFE" w14:paraId="75BC2683" w14:textId="77777777">
            <w:pPr>
              <w:jc w:val="center"/>
              <w:rPr>
                <w:color w:val="000000"/>
              </w:rPr>
            </w:pPr>
          </w:p>
          <w:p w:rsidR="006F6DFE" w:rsidP="006F6DFE" w:rsidRDefault="006F6DFE" w14:paraId="7C9D3F90" w14:textId="77777777">
            <w:pPr>
              <w:jc w:val="center"/>
              <w:rPr>
                <w:color w:val="000000"/>
              </w:rPr>
            </w:pPr>
          </w:p>
          <w:p w:rsidR="006F6DFE" w:rsidP="006F6DFE" w:rsidRDefault="006F6DFE" w14:paraId="0A3162CD" w14:textId="77777777">
            <w:pPr>
              <w:jc w:val="center"/>
              <w:rPr>
                <w:color w:val="000000"/>
              </w:rPr>
            </w:pPr>
          </w:p>
          <w:p w:rsidR="006F6DFE" w:rsidP="006F6DFE" w:rsidRDefault="006F6DFE" w14:paraId="02631126" w14:textId="77777777">
            <w:pPr>
              <w:jc w:val="center"/>
              <w:rPr>
                <w:color w:val="000000"/>
              </w:rPr>
            </w:pPr>
          </w:p>
          <w:p w:rsidR="006F6DFE" w:rsidP="006F6DFE" w:rsidRDefault="006F6DFE" w14:paraId="15ACF315" w14:textId="77777777">
            <w:pPr>
              <w:jc w:val="center"/>
              <w:rPr>
                <w:color w:val="000000"/>
              </w:rPr>
            </w:pPr>
            <w:r>
              <w:rPr>
                <w:color w:val="000000"/>
              </w:rPr>
              <w:t>Verified</w:t>
            </w:r>
          </w:p>
          <w:p w:rsidR="006F6DFE" w:rsidP="006F6DFE" w:rsidRDefault="006F6DFE" w14:paraId="49DBCD42" w14:textId="77777777">
            <w:pPr>
              <w:jc w:val="center"/>
              <w:rPr>
                <w:color w:val="000000"/>
              </w:rPr>
            </w:pPr>
          </w:p>
          <w:p w:rsidR="006F6DFE" w:rsidP="006F6DFE" w:rsidRDefault="006F6DFE" w14:paraId="09F3BB65" w14:textId="77777777">
            <w:pPr>
              <w:jc w:val="center"/>
              <w:rPr>
                <w:color w:val="000000"/>
              </w:rPr>
            </w:pPr>
          </w:p>
          <w:p w:rsidR="006F6DFE" w:rsidP="006F6DFE" w:rsidRDefault="006F6DFE" w14:paraId="5B699F6A" w14:textId="77777777">
            <w:pPr>
              <w:jc w:val="center"/>
              <w:rPr>
                <w:color w:val="000000"/>
              </w:rPr>
            </w:pPr>
          </w:p>
          <w:p w:rsidR="006F6DFE" w:rsidP="006F6DFE" w:rsidRDefault="006F6DFE" w14:paraId="1B10BC01" w14:textId="77777777">
            <w:pPr>
              <w:jc w:val="center"/>
              <w:rPr>
                <w:color w:val="000000"/>
              </w:rPr>
            </w:pPr>
          </w:p>
          <w:p w:rsidR="006F6DFE" w:rsidP="006F6DFE" w:rsidRDefault="006F6DFE" w14:paraId="390B579A" w14:textId="77777777">
            <w:pPr>
              <w:jc w:val="center"/>
              <w:rPr>
                <w:color w:val="000000"/>
              </w:rPr>
            </w:pPr>
          </w:p>
          <w:p w:rsidR="006F6DFE" w:rsidP="006F6DFE" w:rsidRDefault="006F6DFE" w14:paraId="5D3AE7B1" w14:textId="77777777">
            <w:pPr>
              <w:jc w:val="center"/>
              <w:rPr>
                <w:color w:val="000000"/>
              </w:rPr>
            </w:pPr>
          </w:p>
          <w:p w:rsidR="006F6DFE" w:rsidP="006F6DFE" w:rsidRDefault="006F6DFE" w14:paraId="5BFFAF02" w14:textId="77777777">
            <w:pPr>
              <w:jc w:val="center"/>
              <w:rPr>
                <w:color w:val="000000"/>
              </w:rPr>
            </w:pPr>
          </w:p>
          <w:p w:rsidR="006F6DFE" w:rsidP="006F6DFE" w:rsidRDefault="006F6DFE" w14:paraId="73C2DE5F" w14:textId="77777777">
            <w:pPr>
              <w:jc w:val="center"/>
              <w:rPr>
                <w:color w:val="000000"/>
              </w:rPr>
            </w:pPr>
          </w:p>
          <w:p w:rsidR="006F6DFE" w:rsidP="006F6DFE" w:rsidRDefault="006F6DFE" w14:paraId="6018380A" w14:textId="77777777">
            <w:pPr>
              <w:jc w:val="center"/>
              <w:rPr>
                <w:color w:val="000000"/>
              </w:rPr>
            </w:pPr>
          </w:p>
          <w:p w:rsidR="006F6DFE" w:rsidP="006F6DFE" w:rsidRDefault="006F6DFE" w14:paraId="3053F930" w14:textId="77777777">
            <w:pPr>
              <w:jc w:val="center"/>
              <w:rPr>
                <w:color w:val="000000"/>
              </w:rPr>
            </w:pPr>
          </w:p>
          <w:p w:rsidR="006F6DFE" w:rsidP="006F6DFE" w:rsidRDefault="006F6DFE" w14:paraId="1E4FC8CF" w14:textId="77777777">
            <w:pPr>
              <w:jc w:val="center"/>
              <w:rPr>
                <w:color w:val="000000"/>
              </w:rPr>
            </w:pPr>
          </w:p>
          <w:p w:rsidR="006F6DFE" w:rsidP="006F6DFE" w:rsidRDefault="006F6DFE" w14:paraId="664AD47D" w14:textId="77777777">
            <w:pPr>
              <w:jc w:val="center"/>
              <w:rPr>
                <w:color w:val="000000"/>
              </w:rPr>
            </w:pPr>
          </w:p>
          <w:p w:rsidR="006F6DFE" w:rsidP="006F6DFE" w:rsidRDefault="006F6DFE" w14:paraId="6164F8BF" w14:textId="77777777">
            <w:pPr>
              <w:jc w:val="center"/>
              <w:rPr>
                <w:color w:val="000000"/>
              </w:rPr>
            </w:pPr>
          </w:p>
          <w:p w:rsidR="006F6DFE" w:rsidP="006F6DFE" w:rsidRDefault="006F6DFE" w14:paraId="3074C1F6" w14:textId="77777777">
            <w:pPr>
              <w:jc w:val="center"/>
              <w:rPr>
                <w:color w:val="000000"/>
              </w:rPr>
            </w:pPr>
          </w:p>
          <w:p w:rsidR="006F6DFE" w:rsidP="006F6DFE" w:rsidRDefault="006F6DFE" w14:paraId="1A3D4984" w14:textId="77777777">
            <w:pPr>
              <w:jc w:val="center"/>
              <w:rPr>
                <w:color w:val="000000"/>
              </w:rPr>
            </w:pPr>
          </w:p>
          <w:p w:rsidR="006F6DFE" w:rsidP="006F6DFE" w:rsidRDefault="006F6DFE" w14:paraId="18F88495" w14:textId="77777777">
            <w:pPr>
              <w:jc w:val="center"/>
              <w:rPr>
                <w:color w:val="000000"/>
              </w:rPr>
            </w:pPr>
          </w:p>
          <w:p w:rsidR="006F6DFE" w:rsidP="006F6DFE" w:rsidRDefault="006F6DFE" w14:paraId="3D2D1BF1" w14:textId="77777777">
            <w:pPr>
              <w:jc w:val="center"/>
              <w:rPr>
                <w:color w:val="000000"/>
              </w:rPr>
            </w:pPr>
          </w:p>
          <w:p w:rsidR="006F6DFE" w:rsidP="006F6DFE" w:rsidRDefault="006F6DFE" w14:paraId="3C196E4B" w14:textId="77777777">
            <w:pPr>
              <w:jc w:val="center"/>
              <w:rPr>
                <w:color w:val="000000"/>
              </w:rPr>
            </w:pPr>
          </w:p>
          <w:p w:rsidR="006F6DFE" w:rsidP="006F6DFE" w:rsidRDefault="006F6DFE" w14:paraId="0C1D710D" w14:textId="77777777">
            <w:pPr>
              <w:jc w:val="center"/>
              <w:rPr>
                <w:color w:val="000000"/>
              </w:rPr>
            </w:pPr>
          </w:p>
          <w:p w:rsidR="006F6DFE" w:rsidP="006F6DFE" w:rsidRDefault="006F6DFE" w14:paraId="2A05C3AB" w14:textId="77777777">
            <w:pPr>
              <w:jc w:val="center"/>
              <w:rPr>
                <w:color w:val="000000"/>
              </w:rPr>
            </w:pPr>
          </w:p>
          <w:p w:rsidR="006F6DFE" w:rsidP="006F6DFE" w:rsidRDefault="006F6DFE" w14:paraId="66EFE975" w14:textId="77777777">
            <w:pPr>
              <w:jc w:val="center"/>
              <w:rPr>
                <w:color w:val="000000"/>
              </w:rPr>
            </w:pPr>
          </w:p>
          <w:p w:rsidR="006F6DFE" w:rsidP="006F6DFE" w:rsidRDefault="006F6DFE" w14:paraId="415A3DE6" w14:textId="77777777">
            <w:pPr>
              <w:jc w:val="center"/>
              <w:rPr>
                <w:color w:val="000000"/>
              </w:rPr>
            </w:pPr>
          </w:p>
          <w:p w:rsidR="006F6DFE" w:rsidP="006F6DFE" w:rsidRDefault="006F6DFE" w14:paraId="71B9D76E" w14:textId="77777777">
            <w:pPr>
              <w:jc w:val="center"/>
              <w:rPr>
                <w:color w:val="000000"/>
              </w:rPr>
            </w:pPr>
          </w:p>
          <w:p w:rsidR="006F6DFE" w:rsidP="006F6DFE" w:rsidRDefault="006F6DFE" w14:paraId="3DCD2CE2" w14:textId="77777777">
            <w:pPr>
              <w:jc w:val="center"/>
              <w:rPr>
                <w:color w:val="000000"/>
              </w:rPr>
            </w:pPr>
          </w:p>
          <w:p w:rsidR="006F6DFE" w:rsidP="006F6DFE" w:rsidRDefault="006F6DFE" w14:paraId="3D826637" w14:textId="77777777">
            <w:pPr>
              <w:jc w:val="center"/>
              <w:rPr>
                <w:color w:val="000000"/>
              </w:rPr>
            </w:pPr>
          </w:p>
          <w:p w:rsidR="006F6DFE" w:rsidP="006F6DFE" w:rsidRDefault="006F6DFE" w14:paraId="3B49707C" w14:textId="77777777">
            <w:pPr>
              <w:jc w:val="center"/>
              <w:rPr>
                <w:color w:val="000000"/>
              </w:rPr>
            </w:pPr>
          </w:p>
          <w:p w:rsidR="006F6DFE" w:rsidP="006F6DFE" w:rsidRDefault="006F6DFE" w14:paraId="74DF1548" w14:textId="77777777">
            <w:pPr>
              <w:jc w:val="center"/>
              <w:rPr>
                <w:color w:val="000000"/>
              </w:rPr>
            </w:pPr>
          </w:p>
          <w:p w:rsidR="006F6DFE" w:rsidP="006F6DFE" w:rsidRDefault="006F6DFE" w14:paraId="1755C8EF" w14:textId="77777777">
            <w:pPr>
              <w:jc w:val="center"/>
              <w:rPr>
                <w:color w:val="000000"/>
              </w:rPr>
            </w:pPr>
          </w:p>
          <w:p w:rsidR="006F6DFE" w:rsidP="006F6DFE" w:rsidRDefault="006F6DFE" w14:paraId="0F12EEFC" w14:textId="77777777">
            <w:pPr>
              <w:jc w:val="center"/>
              <w:rPr>
                <w:color w:val="000000"/>
              </w:rPr>
            </w:pPr>
          </w:p>
          <w:p w:rsidR="006F6DFE" w:rsidP="006F6DFE" w:rsidRDefault="006F6DFE" w14:paraId="5A6C3EB0" w14:textId="77777777">
            <w:pPr>
              <w:jc w:val="center"/>
              <w:rPr>
                <w:color w:val="000000"/>
              </w:rPr>
            </w:pPr>
          </w:p>
          <w:p w:rsidR="006F6DFE" w:rsidP="006F6DFE" w:rsidRDefault="006F6DFE" w14:paraId="78690705" w14:textId="77777777">
            <w:pPr>
              <w:jc w:val="center"/>
              <w:rPr>
                <w:color w:val="000000"/>
              </w:rPr>
            </w:pPr>
          </w:p>
          <w:p w:rsidR="006F6DFE" w:rsidP="006F6DFE" w:rsidRDefault="006F6DFE" w14:paraId="440BD492" w14:textId="77777777">
            <w:pPr>
              <w:jc w:val="center"/>
              <w:rPr>
                <w:color w:val="000000"/>
              </w:rPr>
            </w:pPr>
          </w:p>
          <w:p w:rsidR="006F6DFE" w:rsidP="006F6DFE" w:rsidRDefault="006F6DFE" w14:paraId="72FC11FE" w14:textId="77777777">
            <w:pPr>
              <w:jc w:val="center"/>
              <w:rPr>
                <w:color w:val="000000"/>
              </w:rPr>
            </w:pPr>
          </w:p>
          <w:p w:rsidR="006F6DFE" w:rsidP="006F6DFE" w:rsidRDefault="006F6DFE" w14:paraId="214B7A04" w14:textId="77777777">
            <w:pPr>
              <w:jc w:val="center"/>
              <w:rPr>
                <w:color w:val="000000"/>
              </w:rPr>
            </w:pPr>
          </w:p>
          <w:p w:rsidR="006F6DFE" w:rsidP="006F6DFE" w:rsidRDefault="006F6DFE" w14:paraId="4F5F1711" w14:textId="77777777">
            <w:pPr>
              <w:jc w:val="center"/>
              <w:rPr>
                <w:color w:val="000000"/>
              </w:rPr>
            </w:pPr>
          </w:p>
          <w:p w:rsidR="006F6DFE" w:rsidP="006F6DFE" w:rsidRDefault="006F6DFE" w14:paraId="68AC99C5" w14:textId="37022DEA">
            <w:pPr>
              <w:jc w:val="center"/>
              <w:rPr>
                <w:color w:val="000000"/>
              </w:rPr>
            </w:pPr>
            <w:r>
              <w:rPr>
                <w:color w:val="000000"/>
              </w:rPr>
              <w:t>Verified</w:t>
            </w:r>
          </w:p>
          <w:p w:rsidR="006F6DFE" w:rsidP="006F6DFE" w:rsidRDefault="006F6DFE" w14:paraId="0772E730" w14:textId="77777777">
            <w:pPr>
              <w:jc w:val="center"/>
              <w:rPr>
                <w:color w:val="000000"/>
              </w:rPr>
            </w:pPr>
          </w:p>
          <w:p w:rsidR="006F6DFE" w:rsidP="006F6DFE" w:rsidRDefault="006F6DFE" w14:paraId="6E909852" w14:textId="77777777">
            <w:pPr>
              <w:jc w:val="center"/>
              <w:rPr>
                <w:color w:val="000000"/>
              </w:rPr>
            </w:pPr>
          </w:p>
          <w:p w:rsidR="006F6DFE" w:rsidP="006F6DFE" w:rsidRDefault="006F6DFE" w14:paraId="29B03933" w14:textId="77777777">
            <w:pPr>
              <w:jc w:val="center"/>
              <w:rPr>
                <w:color w:val="000000"/>
              </w:rPr>
            </w:pPr>
          </w:p>
          <w:p w:rsidR="006F6DFE" w:rsidP="006F6DFE" w:rsidRDefault="006F6DFE" w14:paraId="57849C66" w14:textId="77777777">
            <w:pPr>
              <w:jc w:val="center"/>
              <w:rPr>
                <w:color w:val="000000"/>
              </w:rPr>
            </w:pPr>
          </w:p>
          <w:p w:rsidR="006F6DFE" w:rsidP="006F6DFE" w:rsidRDefault="006F6DFE" w14:paraId="2547C726" w14:textId="77777777">
            <w:pPr>
              <w:jc w:val="center"/>
              <w:rPr>
                <w:color w:val="000000"/>
              </w:rPr>
            </w:pPr>
          </w:p>
          <w:p w:rsidR="006F6DFE" w:rsidP="006F6DFE" w:rsidRDefault="006F6DFE" w14:paraId="699A19D9" w14:textId="77777777">
            <w:pPr>
              <w:jc w:val="center"/>
              <w:rPr>
                <w:color w:val="000000"/>
              </w:rPr>
            </w:pPr>
          </w:p>
          <w:p w:rsidR="006F6DFE" w:rsidP="006F6DFE" w:rsidRDefault="006F6DFE" w14:paraId="774E0CDB" w14:textId="77777777">
            <w:pPr>
              <w:jc w:val="center"/>
              <w:rPr>
                <w:color w:val="000000"/>
              </w:rPr>
            </w:pPr>
          </w:p>
          <w:p w:rsidR="006F6DFE" w:rsidP="006F6DFE" w:rsidRDefault="006F6DFE" w14:paraId="03D0A802" w14:textId="77777777">
            <w:pPr>
              <w:jc w:val="center"/>
              <w:rPr>
                <w:color w:val="000000"/>
              </w:rPr>
            </w:pPr>
          </w:p>
          <w:p w:rsidR="006F6DFE" w:rsidP="006F6DFE" w:rsidRDefault="006F6DFE" w14:paraId="3D004337" w14:textId="77777777">
            <w:pPr>
              <w:jc w:val="center"/>
              <w:rPr>
                <w:color w:val="000000"/>
              </w:rPr>
            </w:pPr>
          </w:p>
          <w:p w:rsidR="006F6DFE" w:rsidP="006F6DFE" w:rsidRDefault="006F6DFE" w14:paraId="23C0A46F" w14:textId="77777777">
            <w:pPr>
              <w:jc w:val="center"/>
              <w:rPr>
                <w:color w:val="000000"/>
              </w:rPr>
            </w:pPr>
          </w:p>
          <w:p w:rsidR="006F6DFE" w:rsidP="006F6DFE" w:rsidRDefault="006F6DFE" w14:paraId="78641C85" w14:textId="77777777">
            <w:pPr>
              <w:jc w:val="center"/>
              <w:rPr>
                <w:color w:val="000000"/>
              </w:rPr>
            </w:pPr>
          </w:p>
          <w:p w:rsidR="006F6DFE" w:rsidP="006F6DFE" w:rsidRDefault="006F6DFE" w14:paraId="29EE11E1" w14:textId="77777777">
            <w:pPr>
              <w:jc w:val="center"/>
              <w:rPr>
                <w:color w:val="000000"/>
              </w:rPr>
            </w:pPr>
          </w:p>
          <w:p w:rsidR="006F6DFE" w:rsidP="006F6DFE" w:rsidRDefault="006F6DFE" w14:paraId="3FB90035" w14:textId="77777777">
            <w:pPr>
              <w:jc w:val="center"/>
              <w:rPr>
                <w:color w:val="000000"/>
              </w:rPr>
            </w:pPr>
          </w:p>
          <w:p w:rsidR="006F6DFE" w:rsidP="006F6DFE" w:rsidRDefault="006F6DFE" w14:paraId="417F2D9A" w14:textId="77777777">
            <w:pPr>
              <w:jc w:val="center"/>
              <w:rPr>
                <w:color w:val="000000"/>
              </w:rPr>
            </w:pPr>
            <w:r>
              <w:rPr>
                <w:color w:val="000000"/>
              </w:rPr>
              <w:t>Verified</w:t>
            </w:r>
          </w:p>
          <w:p w:rsidR="006F6DFE" w:rsidP="006F6DFE" w:rsidRDefault="006F6DFE" w14:paraId="31F1EDC0" w14:textId="77777777">
            <w:pPr>
              <w:jc w:val="center"/>
              <w:rPr>
                <w:color w:val="000000"/>
              </w:rPr>
            </w:pPr>
          </w:p>
          <w:p w:rsidR="006F6DFE" w:rsidP="006F6DFE" w:rsidRDefault="006F6DFE" w14:paraId="4C4CB017" w14:textId="77777777">
            <w:pPr>
              <w:jc w:val="center"/>
              <w:rPr>
                <w:color w:val="000000"/>
              </w:rPr>
            </w:pPr>
          </w:p>
          <w:p w:rsidR="006F6DFE" w:rsidP="006F6DFE" w:rsidRDefault="006F6DFE" w14:paraId="2F2C55D5" w14:textId="77777777">
            <w:pPr>
              <w:jc w:val="center"/>
              <w:rPr>
                <w:color w:val="000000"/>
              </w:rPr>
            </w:pPr>
          </w:p>
          <w:p w:rsidR="006F6DFE" w:rsidP="006F6DFE" w:rsidRDefault="006F6DFE" w14:paraId="4CBC7FD2" w14:textId="77777777">
            <w:pPr>
              <w:jc w:val="center"/>
              <w:rPr>
                <w:color w:val="000000"/>
              </w:rPr>
            </w:pPr>
          </w:p>
          <w:p w:rsidR="006F6DFE" w:rsidP="006F6DFE" w:rsidRDefault="006F6DFE" w14:paraId="3995DF1A" w14:textId="77777777">
            <w:pPr>
              <w:jc w:val="center"/>
              <w:rPr>
                <w:color w:val="000000"/>
              </w:rPr>
            </w:pPr>
          </w:p>
          <w:p w:rsidR="006F6DFE" w:rsidP="006F6DFE" w:rsidRDefault="006F6DFE" w14:paraId="2638A5D6" w14:textId="77777777">
            <w:pPr>
              <w:jc w:val="center"/>
              <w:rPr>
                <w:color w:val="000000"/>
              </w:rPr>
            </w:pPr>
          </w:p>
          <w:p w:rsidR="006F6DFE" w:rsidP="006F6DFE" w:rsidRDefault="006F6DFE" w14:paraId="12342DBD" w14:textId="77777777">
            <w:pPr>
              <w:jc w:val="center"/>
              <w:rPr>
                <w:color w:val="000000"/>
              </w:rPr>
            </w:pPr>
          </w:p>
          <w:p w:rsidR="006F6DFE" w:rsidP="006F6DFE" w:rsidRDefault="006F6DFE" w14:paraId="742746B6" w14:textId="77777777">
            <w:pPr>
              <w:jc w:val="center"/>
              <w:rPr>
                <w:color w:val="000000"/>
              </w:rPr>
            </w:pPr>
          </w:p>
          <w:p w:rsidR="006F6DFE" w:rsidP="006F6DFE" w:rsidRDefault="006F6DFE" w14:paraId="5B89233A" w14:textId="77777777">
            <w:pPr>
              <w:jc w:val="center"/>
              <w:rPr>
                <w:color w:val="000000"/>
              </w:rPr>
            </w:pPr>
          </w:p>
          <w:p w:rsidR="006F6DFE" w:rsidP="006F6DFE" w:rsidRDefault="006F6DFE" w14:paraId="63B6C321" w14:textId="77777777">
            <w:pPr>
              <w:jc w:val="center"/>
              <w:rPr>
                <w:color w:val="000000"/>
              </w:rPr>
            </w:pPr>
          </w:p>
          <w:p w:rsidR="006F6DFE" w:rsidP="006F6DFE" w:rsidRDefault="006F6DFE" w14:paraId="4A1BD21C" w14:textId="77777777">
            <w:pPr>
              <w:jc w:val="center"/>
              <w:rPr>
                <w:color w:val="000000"/>
              </w:rPr>
            </w:pPr>
          </w:p>
          <w:p w:rsidR="006F6DFE" w:rsidP="006F6DFE" w:rsidRDefault="006F6DFE" w14:paraId="60E57761" w14:textId="77777777">
            <w:pPr>
              <w:jc w:val="center"/>
              <w:rPr>
                <w:color w:val="000000"/>
              </w:rPr>
            </w:pPr>
          </w:p>
          <w:p w:rsidR="006F6DFE" w:rsidP="006F6DFE" w:rsidRDefault="006F6DFE" w14:paraId="4DCDD380" w14:textId="77777777">
            <w:pPr>
              <w:jc w:val="center"/>
              <w:rPr>
                <w:color w:val="000000"/>
              </w:rPr>
            </w:pPr>
          </w:p>
          <w:p w:rsidR="006F6DFE" w:rsidP="006F6DFE" w:rsidRDefault="006F6DFE" w14:paraId="327EC98D" w14:textId="77777777">
            <w:pPr>
              <w:jc w:val="center"/>
              <w:rPr>
                <w:color w:val="000000"/>
              </w:rPr>
            </w:pPr>
          </w:p>
          <w:p w:rsidR="006F6DFE" w:rsidP="006F6DFE" w:rsidRDefault="006F6DFE" w14:paraId="35A359A1" w14:textId="77777777">
            <w:pPr>
              <w:jc w:val="center"/>
              <w:rPr>
                <w:color w:val="000000"/>
              </w:rPr>
            </w:pPr>
          </w:p>
          <w:p w:rsidR="006F6DFE" w:rsidP="006F6DFE" w:rsidRDefault="006F6DFE" w14:paraId="0DDA0663" w14:textId="77777777">
            <w:pPr>
              <w:jc w:val="center"/>
              <w:rPr>
                <w:color w:val="000000"/>
              </w:rPr>
            </w:pPr>
          </w:p>
          <w:p w:rsidR="006F6DFE" w:rsidP="006F6DFE" w:rsidRDefault="006F6DFE" w14:paraId="5A4DC484" w14:textId="77777777">
            <w:pPr>
              <w:jc w:val="center"/>
              <w:rPr>
                <w:color w:val="000000"/>
              </w:rPr>
            </w:pPr>
          </w:p>
          <w:p w:rsidR="006F6DFE" w:rsidP="006F6DFE" w:rsidRDefault="006F6DFE" w14:paraId="5C5DD967" w14:textId="77777777">
            <w:pPr>
              <w:jc w:val="center"/>
              <w:rPr>
                <w:color w:val="000000"/>
              </w:rPr>
            </w:pPr>
          </w:p>
          <w:p w:rsidR="006F6DFE" w:rsidP="006F6DFE" w:rsidRDefault="006F6DFE" w14:paraId="1F87A1DE" w14:textId="77777777">
            <w:pPr>
              <w:jc w:val="center"/>
              <w:rPr>
                <w:color w:val="000000"/>
              </w:rPr>
            </w:pPr>
            <w:r>
              <w:rPr>
                <w:color w:val="000000"/>
              </w:rPr>
              <w:t>Verified</w:t>
            </w:r>
          </w:p>
          <w:p w:rsidR="006F6DFE" w:rsidP="006F6DFE" w:rsidRDefault="006F6DFE" w14:paraId="53367888" w14:textId="77777777">
            <w:pPr>
              <w:jc w:val="center"/>
              <w:rPr>
                <w:color w:val="000000"/>
              </w:rPr>
            </w:pPr>
          </w:p>
          <w:p w:rsidR="006F6DFE" w:rsidP="006F6DFE" w:rsidRDefault="006F6DFE" w14:paraId="7CD9006E" w14:textId="77777777">
            <w:pPr>
              <w:jc w:val="center"/>
              <w:rPr>
                <w:color w:val="000000"/>
              </w:rPr>
            </w:pPr>
          </w:p>
          <w:p w:rsidR="006F6DFE" w:rsidP="006F6DFE" w:rsidRDefault="006F6DFE" w14:paraId="0F953463" w14:textId="77777777">
            <w:pPr>
              <w:jc w:val="center"/>
              <w:rPr>
                <w:color w:val="000000"/>
              </w:rPr>
            </w:pPr>
          </w:p>
          <w:p w:rsidR="006F6DFE" w:rsidP="006F6DFE" w:rsidRDefault="006F6DFE" w14:paraId="3D935078" w14:textId="77777777">
            <w:pPr>
              <w:jc w:val="center"/>
              <w:rPr>
                <w:color w:val="000000"/>
              </w:rPr>
            </w:pPr>
          </w:p>
          <w:p w:rsidR="006F6DFE" w:rsidP="006F6DFE" w:rsidRDefault="006F6DFE" w14:paraId="520D977D" w14:textId="77777777">
            <w:pPr>
              <w:jc w:val="center"/>
              <w:rPr>
                <w:color w:val="000000"/>
              </w:rPr>
            </w:pPr>
          </w:p>
          <w:p w:rsidR="006F6DFE" w:rsidP="006F6DFE" w:rsidRDefault="006F6DFE" w14:paraId="45D6A1C6" w14:textId="77777777">
            <w:pPr>
              <w:jc w:val="center"/>
              <w:rPr>
                <w:color w:val="000000"/>
              </w:rPr>
            </w:pPr>
          </w:p>
          <w:p w:rsidR="006F6DFE" w:rsidP="006F6DFE" w:rsidRDefault="006F6DFE" w14:paraId="315D6104" w14:textId="77777777">
            <w:pPr>
              <w:jc w:val="center"/>
              <w:rPr>
                <w:color w:val="000000"/>
              </w:rPr>
            </w:pPr>
          </w:p>
          <w:p w:rsidR="006F6DFE" w:rsidP="006F6DFE" w:rsidRDefault="006F6DFE" w14:paraId="0084F8B7" w14:textId="77777777">
            <w:pPr>
              <w:jc w:val="center"/>
              <w:rPr>
                <w:color w:val="000000"/>
              </w:rPr>
            </w:pPr>
          </w:p>
          <w:p w:rsidR="006F6DFE" w:rsidP="006F6DFE" w:rsidRDefault="006F6DFE" w14:paraId="07E64ECD" w14:textId="77777777">
            <w:pPr>
              <w:jc w:val="center"/>
              <w:rPr>
                <w:color w:val="000000"/>
              </w:rPr>
            </w:pPr>
          </w:p>
          <w:p w:rsidR="006F6DFE" w:rsidP="006F6DFE" w:rsidRDefault="006F6DFE" w14:paraId="5C490618" w14:textId="77777777">
            <w:pPr>
              <w:jc w:val="center"/>
              <w:rPr>
                <w:color w:val="000000"/>
              </w:rPr>
            </w:pPr>
          </w:p>
          <w:p w:rsidR="006F6DFE" w:rsidP="006F6DFE" w:rsidRDefault="006F6DFE" w14:paraId="3CE34C08" w14:textId="77777777">
            <w:pPr>
              <w:jc w:val="center"/>
              <w:rPr>
                <w:color w:val="000000"/>
              </w:rPr>
            </w:pPr>
          </w:p>
          <w:p w:rsidR="006F6DFE" w:rsidP="006F6DFE" w:rsidRDefault="006F6DFE" w14:paraId="53A79B33" w14:textId="77777777">
            <w:pPr>
              <w:jc w:val="center"/>
              <w:rPr>
                <w:color w:val="000000"/>
              </w:rPr>
            </w:pPr>
          </w:p>
          <w:p w:rsidR="006F6DFE" w:rsidP="006F6DFE" w:rsidRDefault="006F6DFE" w14:paraId="0F4DC98B" w14:textId="77777777">
            <w:pPr>
              <w:jc w:val="center"/>
              <w:rPr>
                <w:color w:val="000000"/>
              </w:rPr>
            </w:pPr>
          </w:p>
          <w:p w:rsidR="006F6DFE" w:rsidP="006F6DFE" w:rsidRDefault="006F6DFE" w14:paraId="5CA212EF" w14:textId="77777777">
            <w:pPr>
              <w:jc w:val="center"/>
              <w:rPr>
                <w:color w:val="000000"/>
              </w:rPr>
            </w:pPr>
          </w:p>
          <w:p w:rsidR="006F6DFE" w:rsidP="006F6DFE" w:rsidRDefault="006F6DFE" w14:paraId="063B2831" w14:textId="77777777">
            <w:pPr>
              <w:jc w:val="center"/>
              <w:rPr>
                <w:color w:val="000000"/>
              </w:rPr>
            </w:pPr>
          </w:p>
          <w:p w:rsidR="006F6DFE" w:rsidP="006F6DFE" w:rsidRDefault="006F6DFE" w14:paraId="53D39E46" w14:textId="77777777">
            <w:pPr>
              <w:jc w:val="center"/>
              <w:rPr>
                <w:color w:val="000000"/>
              </w:rPr>
            </w:pPr>
          </w:p>
          <w:p w:rsidR="006F6DFE" w:rsidP="006F6DFE" w:rsidRDefault="006F6DFE" w14:paraId="5B1D3126" w14:textId="77777777">
            <w:pPr>
              <w:jc w:val="center"/>
              <w:rPr>
                <w:color w:val="000000"/>
              </w:rPr>
            </w:pPr>
          </w:p>
          <w:p w:rsidRPr="007F620E" w:rsidR="006F6DFE" w:rsidP="006F6DFE" w:rsidRDefault="006F6DFE" w14:paraId="5F020B50" w14:textId="3697A2C7">
            <w:pPr>
              <w:jc w:val="center"/>
              <w:rPr>
                <w:color w:val="000000"/>
              </w:rPr>
            </w:pPr>
            <w:r>
              <w:rPr>
                <w:color w:val="000000"/>
              </w:rPr>
              <w:t>Verified</w:t>
            </w:r>
          </w:p>
        </w:tc>
      </w:tr>
      <w:tr w:rsidRPr="007F620E" w:rsidR="00542D57" w:rsidTr="007161CD" w14:paraId="4AAA05AE" w14:textId="77777777">
        <w:tc>
          <w:tcPr>
            <w:tcW w:w="3258" w:type="dxa"/>
          </w:tcPr>
          <w:p w:rsidRPr="0080651A" w:rsidR="00542D57" w:rsidP="00542D57" w:rsidRDefault="00542D57" w14:paraId="31756DBD" w14:textId="01304CA7">
            <w:pPr>
              <w:rPr>
                <w:b/>
                <w:bCs/>
                <w:color w:val="000000"/>
                <w:u w:val="single"/>
              </w:rPr>
            </w:pPr>
            <w:r w:rsidRPr="00C21A78">
              <w:rPr>
                <w:b/>
                <w:bCs/>
                <w:color w:val="000000"/>
                <w:u w:val="single"/>
              </w:rPr>
              <w:lastRenderedPageBreak/>
              <w:t xml:space="preserve">Definitions </w:t>
            </w:r>
            <w:r w:rsidR="00D943E9">
              <w:rPr>
                <w:b/>
                <w:bCs/>
                <w:color w:val="000000"/>
                <w:u w:val="single"/>
              </w:rPr>
              <w:t>should reflect CEQA</w:t>
            </w:r>
            <w:r w:rsidR="00115D30">
              <w:rPr>
                <w:b/>
                <w:bCs/>
                <w:color w:val="000000"/>
                <w:u w:val="single"/>
              </w:rPr>
              <w:t xml:space="preserve"> and </w:t>
            </w:r>
            <w:r w:rsidR="003A2CC7">
              <w:rPr>
                <w:b/>
                <w:bCs/>
                <w:color w:val="000000"/>
                <w:u w:val="single"/>
              </w:rPr>
              <w:t>§</w:t>
            </w:r>
            <w:r w:rsidR="00115D30">
              <w:rPr>
                <w:b/>
                <w:bCs/>
                <w:color w:val="000000"/>
                <w:u w:val="single"/>
              </w:rPr>
              <w:t xml:space="preserve">1001 </w:t>
            </w:r>
          </w:p>
          <w:p w:rsidR="007E62AD" w:rsidP="00542D57" w:rsidRDefault="00542D57" w14:paraId="2C71C4B2" w14:textId="58E361C8">
            <w:pPr>
              <w:rPr>
                <w:color w:val="000000"/>
              </w:rPr>
            </w:pPr>
            <w:r>
              <w:rPr>
                <w:color w:val="000000"/>
              </w:rPr>
              <w:t xml:space="preserve">PCF presented </w:t>
            </w:r>
            <w:r w:rsidR="004C4FEB">
              <w:rPr>
                <w:color w:val="000000"/>
              </w:rPr>
              <w:t xml:space="preserve">legal </w:t>
            </w:r>
            <w:r>
              <w:rPr>
                <w:color w:val="000000"/>
              </w:rPr>
              <w:t>analysis</w:t>
            </w:r>
            <w:r w:rsidR="004C4FEB">
              <w:rPr>
                <w:color w:val="000000"/>
              </w:rPr>
              <w:t xml:space="preserve"> and citations </w:t>
            </w:r>
            <w:r w:rsidR="00326A91">
              <w:rPr>
                <w:color w:val="000000"/>
              </w:rPr>
              <w:t>to show</w:t>
            </w:r>
            <w:r>
              <w:rPr>
                <w:color w:val="000000"/>
              </w:rPr>
              <w:t xml:space="preserve"> that CEQA’s purpose is to protect the environment, SB 529 was intended to encourage the development of environmentally responsible transmission projects,</w:t>
            </w:r>
            <w:r w:rsidR="00AE3E54">
              <w:rPr>
                <w:color w:val="000000"/>
              </w:rPr>
              <w:t xml:space="preserve"> and</w:t>
            </w:r>
            <w:r>
              <w:rPr>
                <w:color w:val="000000"/>
              </w:rPr>
              <w:t xml:space="preserve"> the Commission should adopt definitions of extension, expansion, upgrade, modification, equivalent facilities, structures, and accessory construction to specify construction that does not have a significant effect on the environment or rates</w:t>
            </w:r>
            <w:r w:rsidR="00AE3E54">
              <w:rPr>
                <w:color w:val="000000"/>
              </w:rPr>
              <w:t xml:space="preserve"> and in a manner consistent with CEQA and the Public Utilities Code</w:t>
            </w:r>
            <w:r>
              <w:rPr>
                <w:color w:val="000000"/>
              </w:rPr>
              <w:t xml:space="preserve">. </w:t>
            </w:r>
            <w:r w:rsidR="00AE3E54">
              <w:rPr>
                <w:color w:val="000000"/>
              </w:rPr>
              <w:t>Although the Commission did not adopt PCF’s recommended definitions</w:t>
            </w:r>
            <w:r w:rsidR="00F86309">
              <w:rPr>
                <w:color w:val="000000"/>
              </w:rPr>
              <w:t xml:space="preserve"> in full</w:t>
            </w:r>
            <w:r w:rsidR="00AE3E54">
              <w:rPr>
                <w:color w:val="000000"/>
              </w:rPr>
              <w:t xml:space="preserve">, </w:t>
            </w:r>
            <w:r w:rsidR="003B3B83">
              <w:rPr>
                <w:color w:val="000000"/>
              </w:rPr>
              <w:t xml:space="preserve">the Commission clarified that it considered </w:t>
            </w:r>
            <w:r w:rsidR="00AE3E54">
              <w:rPr>
                <w:color w:val="000000"/>
              </w:rPr>
              <w:t>PCF’s legal analysis and factual citations regarding the meaning of the term extension in pre-</w:t>
            </w:r>
            <w:r w:rsidR="00AE3E54">
              <w:rPr>
                <w:color w:val="000000"/>
              </w:rPr>
              <w:lastRenderedPageBreak/>
              <w:t>amendment 1001, and regarding the meaning of the other terms as they are used in CEQA</w:t>
            </w:r>
            <w:r w:rsidR="00F86309">
              <w:rPr>
                <w:color w:val="000000"/>
              </w:rPr>
              <w:t>, and adopting definitions mor</w:t>
            </w:r>
            <w:r w:rsidR="00B35862">
              <w:rPr>
                <w:color w:val="000000"/>
              </w:rPr>
              <w:t>e constrained than the Utilities and their allies had proposed</w:t>
            </w:r>
            <w:r w:rsidR="002B6521">
              <w:rPr>
                <w:color w:val="000000"/>
              </w:rPr>
              <w:t xml:space="preserve">. </w:t>
            </w:r>
            <w:r w:rsidR="003B3B83">
              <w:rPr>
                <w:color w:val="000000"/>
              </w:rPr>
              <w:t>PCF</w:t>
            </w:r>
            <w:r w:rsidR="002B6521">
              <w:rPr>
                <w:color w:val="000000"/>
              </w:rPr>
              <w:t xml:space="preserve">’s participation </w:t>
            </w:r>
            <w:r w:rsidR="00AE3E54">
              <w:rPr>
                <w:color w:val="000000"/>
              </w:rPr>
              <w:t xml:space="preserve">enriched the Commission’s deliberations and the record and allowed the Commission to more fully consider the impact of the definitions ultimately adopted </w:t>
            </w:r>
            <w:r w:rsidRPr="007D0D59" w:rsidR="00AE3E54">
              <w:rPr>
                <w:color w:val="000000"/>
              </w:rPr>
              <w:t xml:space="preserve">by the Commission.  </w:t>
            </w:r>
            <w:r w:rsidRPr="007D0D59" w:rsidR="002B18CA">
              <w:rPr>
                <w:color w:val="000000"/>
              </w:rPr>
              <w:t xml:space="preserve">Additionally, </w:t>
            </w:r>
            <w:r w:rsidRPr="007D0D59" w:rsidR="002B6521">
              <w:rPr>
                <w:color w:val="000000"/>
              </w:rPr>
              <w:t xml:space="preserve">the Commission adopted </w:t>
            </w:r>
            <w:r w:rsidRPr="007D0D59">
              <w:rPr>
                <w:color w:val="000000"/>
              </w:rPr>
              <w:t>PCF</w:t>
            </w:r>
            <w:r w:rsidRPr="007D0D59" w:rsidR="002B6521">
              <w:rPr>
                <w:color w:val="000000"/>
              </w:rPr>
              <w:t>’s</w:t>
            </w:r>
            <w:r w:rsidRPr="007D0D59">
              <w:rPr>
                <w:color w:val="000000"/>
              </w:rPr>
              <w:t xml:space="preserve"> </w:t>
            </w:r>
            <w:r w:rsidRPr="007D0D59" w:rsidR="00326A91">
              <w:rPr>
                <w:color w:val="000000"/>
              </w:rPr>
              <w:t>recommend</w:t>
            </w:r>
            <w:r w:rsidRPr="007D0D59" w:rsidR="002B6521">
              <w:rPr>
                <w:color w:val="000000"/>
              </w:rPr>
              <w:t xml:space="preserve">ation </w:t>
            </w:r>
            <w:r w:rsidRPr="007D0D59" w:rsidR="00326A91">
              <w:rPr>
                <w:color w:val="000000"/>
              </w:rPr>
              <w:t xml:space="preserve">that the Commission should </w:t>
            </w:r>
            <w:r w:rsidRPr="007D0D59" w:rsidR="006B501F">
              <w:rPr>
                <w:color w:val="000000"/>
              </w:rPr>
              <w:t xml:space="preserve">protect ratepayers interests by </w:t>
            </w:r>
            <w:r w:rsidRPr="007D0D59" w:rsidR="00326A91">
              <w:rPr>
                <w:color w:val="000000"/>
              </w:rPr>
              <w:t>reject</w:t>
            </w:r>
            <w:r w:rsidRPr="007D0D59" w:rsidR="006B501F">
              <w:rPr>
                <w:color w:val="000000"/>
              </w:rPr>
              <w:t>ing</w:t>
            </w:r>
            <w:r w:rsidRPr="007D0D59" w:rsidR="00326A91">
              <w:rPr>
                <w:color w:val="000000"/>
              </w:rPr>
              <w:t xml:space="preserve"> the broad definitions proposed by the</w:t>
            </w:r>
            <w:r w:rsidRPr="007D0D59">
              <w:rPr>
                <w:color w:val="000000"/>
              </w:rPr>
              <w:t xml:space="preserve"> Utilities</w:t>
            </w:r>
            <w:r w:rsidRPr="007D0D59" w:rsidR="00326A91">
              <w:rPr>
                <w:color w:val="000000"/>
              </w:rPr>
              <w:t xml:space="preserve"> and their allies</w:t>
            </w:r>
            <w:r w:rsidRPr="007D0D59" w:rsidR="002B18CA">
              <w:rPr>
                <w:color w:val="000000"/>
              </w:rPr>
              <w:t xml:space="preserve">, </w:t>
            </w:r>
            <w:r w:rsidRPr="007D0D59" w:rsidR="00C21A78">
              <w:rPr>
                <w:color w:val="000000"/>
              </w:rPr>
              <w:t>and</w:t>
            </w:r>
            <w:r w:rsidR="00C21A78">
              <w:rPr>
                <w:color w:val="000000"/>
              </w:rPr>
              <w:t xml:space="preserve"> the </w:t>
            </w:r>
            <w:r>
              <w:rPr>
                <w:color w:val="000000"/>
              </w:rPr>
              <w:t xml:space="preserve">Commission adopted PCF’s </w:t>
            </w:r>
            <w:r w:rsidR="00C67E8B">
              <w:rPr>
                <w:color w:val="000000"/>
              </w:rPr>
              <w:t>recommendation</w:t>
            </w:r>
            <w:r>
              <w:rPr>
                <w:color w:val="000000"/>
              </w:rPr>
              <w:t xml:space="preserve"> </w:t>
            </w:r>
            <w:r w:rsidR="002A1570">
              <w:rPr>
                <w:color w:val="000000"/>
              </w:rPr>
              <w:t>by</w:t>
            </w:r>
            <w:r>
              <w:rPr>
                <w:color w:val="000000"/>
              </w:rPr>
              <w:t xml:space="preserve"> reject</w:t>
            </w:r>
            <w:r w:rsidR="002A1570">
              <w:rPr>
                <w:color w:val="000000"/>
              </w:rPr>
              <w:t>ing</w:t>
            </w:r>
            <w:r>
              <w:rPr>
                <w:color w:val="000000"/>
              </w:rPr>
              <w:t xml:space="preserve"> the Utilities</w:t>
            </w:r>
            <w:r w:rsidR="00C67E8B">
              <w:rPr>
                <w:color w:val="000000"/>
              </w:rPr>
              <w:t>’</w:t>
            </w:r>
            <w:r>
              <w:rPr>
                <w:color w:val="000000"/>
              </w:rPr>
              <w:t xml:space="preserve"> proposed broad definition</w:t>
            </w:r>
            <w:r w:rsidR="00C67E8B">
              <w:rPr>
                <w:color w:val="000000"/>
              </w:rPr>
              <w:t>s</w:t>
            </w:r>
            <w:r>
              <w:rPr>
                <w:color w:val="000000"/>
              </w:rPr>
              <w:t xml:space="preserve"> for modification</w:t>
            </w:r>
            <w:r w:rsidR="00C67E8B">
              <w:rPr>
                <w:color w:val="000000"/>
              </w:rPr>
              <w:t>,</w:t>
            </w:r>
            <w:r>
              <w:rPr>
                <w:color w:val="000000"/>
              </w:rPr>
              <w:t xml:space="preserve"> extension, expansion, and upgrade. </w:t>
            </w:r>
          </w:p>
          <w:p w:rsidR="007E62AD" w:rsidP="00542D57" w:rsidRDefault="007E62AD" w14:paraId="7210FEF1" w14:textId="77777777">
            <w:pPr>
              <w:rPr>
                <w:color w:val="000000"/>
              </w:rPr>
            </w:pPr>
          </w:p>
          <w:p w:rsidRPr="007F620E" w:rsidR="00542D57" w:rsidP="00920F4B" w:rsidRDefault="00542D57" w14:paraId="11FCCEB5" w14:textId="77777777">
            <w:pPr>
              <w:rPr>
                <w:color w:val="000000"/>
              </w:rPr>
            </w:pPr>
          </w:p>
        </w:tc>
        <w:tc>
          <w:tcPr>
            <w:tcW w:w="4140" w:type="dxa"/>
          </w:tcPr>
          <w:p w:rsidRPr="00F86309" w:rsidR="00F86309" w:rsidP="00F86309" w:rsidRDefault="00F86309" w14:paraId="759A8E37" w14:textId="4BF413CC">
            <w:pPr>
              <w:rPr>
                <w:color w:val="000000"/>
              </w:rPr>
            </w:pPr>
            <w:r>
              <w:rPr>
                <w:color w:val="000000"/>
              </w:rPr>
              <w:lastRenderedPageBreak/>
              <w:t>“…</w:t>
            </w:r>
            <w:r w:rsidRPr="00F86309">
              <w:rPr>
                <w:color w:val="000000"/>
              </w:rPr>
              <w:t>we adopt the definition of “extension” (that revises</w:t>
            </w:r>
            <w:r>
              <w:rPr>
                <w:color w:val="000000"/>
              </w:rPr>
              <w:t xml:space="preserve"> </w:t>
            </w:r>
            <w:r w:rsidRPr="00F86309">
              <w:rPr>
                <w:color w:val="000000"/>
              </w:rPr>
              <w:t>the Staff Proposal Section 3.1, Proposal 2 definition of “extension” to be included</w:t>
            </w:r>
          </w:p>
          <w:p w:rsidRPr="00F86309" w:rsidR="00F86309" w:rsidP="00F86309" w:rsidRDefault="00F86309" w14:paraId="01B02E49" w14:textId="07B56092">
            <w:pPr>
              <w:rPr>
                <w:color w:val="000000"/>
              </w:rPr>
            </w:pPr>
            <w:r w:rsidRPr="00F86309">
              <w:rPr>
                <w:color w:val="000000"/>
              </w:rPr>
              <w:t>in Section I.F., GO 131-E), definition of “expansion” (that applies only to projects</w:t>
            </w:r>
            <w:r>
              <w:rPr>
                <w:color w:val="000000"/>
              </w:rPr>
              <w:t xml:space="preserve"> </w:t>
            </w:r>
            <w:r w:rsidRPr="00F86309">
              <w:rPr>
                <w:color w:val="000000"/>
              </w:rPr>
              <w:t>that increase the “width, capacity, or capability” of an existing facility), definition</w:t>
            </w:r>
            <w:r>
              <w:rPr>
                <w:color w:val="000000"/>
              </w:rPr>
              <w:t xml:space="preserve"> </w:t>
            </w:r>
            <w:r w:rsidRPr="00F86309">
              <w:rPr>
                <w:color w:val="000000"/>
              </w:rPr>
              <w:t>of “upgrade” (as proposed by Staff Proposal Section 3.1, Proposal 2, Option 1 but</w:t>
            </w:r>
            <w:r>
              <w:rPr>
                <w:color w:val="000000"/>
              </w:rPr>
              <w:t xml:space="preserve"> </w:t>
            </w:r>
            <w:r w:rsidRPr="00F86309">
              <w:rPr>
                <w:color w:val="000000"/>
              </w:rPr>
              <w:t>with the deletion of three referenced examples (i.e., I.H.4, I.H.5, and I.H.6)), and</w:t>
            </w:r>
          </w:p>
          <w:p w:rsidR="00F86309" w:rsidP="00F86309" w:rsidRDefault="00F86309" w14:paraId="4968B812" w14:textId="72485EA6">
            <w:pPr>
              <w:rPr>
                <w:color w:val="000000"/>
              </w:rPr>
            </w:pPr>
            <w:r w:rsidRPr="00F86309">
              <w:rPr>
                <w:color w:val="000000"/>
              </w:rPr>
              <w:t>definition of “modification” (that is limited by the caveat “without extending or</w:t>
            </w:r>
            <w:r>
              <w:rPr>
                <w:color w:val="000000"/>
              </w:rPr>
              <w:t xml:space="preserve"> </w:t>
            </w:r>
            <w:r w:rsidRPr="00F86309">
              <w:rPr>
                <w:color w:val="000000"/>
              </w:rPr>
              <w:t>expanding the physical footprint of the facility”)</w:t>
            </w:r>
            <w:r w:rsidR="00A34AB8">
              <w:rPr>
                <w:color w:val="000000"/>
              </w:rPr>
              <w:t>” D.25-01-055, p. 71.</w:t>
            </w:r>
          </w:p>
          <w:p w:rsidR="00F86309" w:rsidP="00542D57" w:rsidRDefault="00F86309" w14:paraId="79F88AA4" w14:textId="77777777">
            <w:pPr>
              <w:rPr>
                <w:color w:val="000000"/>
              </w:rPr>
            </w:pPr>
          </w:p>
          <w:p w:rsidRPr="00AE75EF" w:rsidR="00AE75EF" w:rsidP="00AE75EF" w:rsidRDefault="001925B0" w14:paraId="4DEC6332" w14:textId="08E97740">
            <w:pPr>
              <w:rPr>
                <w:color w:val="000000"/>
              </w:rPr>
            </w:pPr>
            <w:r>
              <w:rPr>
                <w:color w:val="000000"/>
              </w:rPr>
              <w:t>“</w:t>
            </w:r>
            <w:r w:rsidRPr="008574F4" w:rsidR="008574F4">
              <w:rPr>
                <w:color w:val="000000"/>
              </w:rPr>
              <w:t>DOW and CBD</w:t>
            </w:r>
            <w:r w:rsidR="00402740">
              <w:rPr>
                <w:color w:val="000000"/>
              </w:rPr>
              <w:t>[</w:t>
            </w:r>
            <w:r>
              <w:rPr>
                <w:rStyle w:val="FootnoteReference"/>
                <w:color w:val="000000"/>
              </w:rPr>
              <w:footnoteReference w:id="4"/>
            </w:r>
            <w:r w:rsidR="00402740">
              <w:rPr>
                <w:color w:val="000000"/>
              </w:rPr>
              <w:t>]</w:t>
            </w:r>
            <w:r>
              <w:rPr>
                <w:color w:val="000000"/>
              </w:rPr>
              <w:t xml:space="preserve"> </w:t>
            </w:r>
            <w:r w:rsidRPr="008574F4" w:rsidR="008574F4">
              <w:rPr>
                <w:color w:val="000000"/>
              </w:rPr>
              <w:t xml:space="preserve">propose revising the definition of </w:t>
            </w:r>
            <w:r>
              <w:rPr>
                <w:color w:val="000000"/>
              </w:rPr>
              <w:t>‘</w:t>
            </w:r>
            <w:r w:rsidRPr="008574F4" w:rsidR="008574F4">
              <w:rPr>
                <w:color w:val="000000"/>
              </w:rPr>
              <w:t>extension</w:t>
            </w:r>
            <w:r>
              <w:rPr>
                <w:color w:val="000000"/>
              </w:rPr>
              <w:t>’</w:t>
            </w:r>
            <w:r w:rsidRPr="008574F4" w:rsidR="008574F4">
              <w:rPr>
                <w:color w:val="000000"/>
              </w:rPr>
              <w:t xml:space="preserve"> to limit its length to prevent the</w:t>
            </w:r>
            <w:r>
              <w:rPr>
                <w:color w:val="000000"/>
              </w:rPr>
              <w:t xml:space="preserve"> </w:t>
            </w:r>
            <w:r w:rsidRPr="008574F4" w:rsidR="008574F4">
              <w:rPr>
                <w:color w:val="000000"/>
              </w:rPr>
              <w:t xml:space="preserve">construction of a </w:t>
            </w:r>
            <w:r w:rsidR="00402740">
              <w:rPr>
                <w:color w:val="000000"/>
              </w:rPr>
              <w:t>‘</w:t>
            </w:r>
            <w:r w:rsidRPr="008574F4" w:rsidR="008574F4">
              <w:rPr>
                <w:color w:val="000000"/>
              </w:rPr>
              <w:t>new</w:t>
            </w:r>
            <w:r w:rsidR="00402740">
              <w:rPr>
                <w:color w:val="000000"/>
              </w:rPr>
              <w:t>’</w:t>
            </w:r>
            <w:r w:rsidRPr="008574F4" w:rsidR="008574F4">
              <w:rPr>
                <w:color w:val="000000"/>
              </w:rPr>
              <w:t xml:space="preserve"> transmission line that could span hundreds of miles</w:t>
            </w:r>
            <w:r w:rsidR="008574F4">
              <w:rPr>
                <w:color w:val="000000"/>
              </w:rPr>
              <w:t>.</w:t>
            </w:r>
            <w:r w:rsidR="00543619">
              <w:rPr>
                <w:color w:val="000000"/>
              </w:rPr>
              <w:t xml:space="preserve"> </w:t>
            </w:r>
            <w:r w:rsidRPr="00543619" w:rsidR="00543619">
              <w:rPr>
                <w:color w:val="000000"/>
              </w:rPr>
              <w:t>Pursuant to Pub. Util. Code Section 564 and Section III.A of GO 131-D, CBD</w:t>
            </w:r>
            <w:r w:rsidR="00543619">
              <w:rPr>
                <w:color w:val="000000"/>
              </w:rPr>
              <w:t xml:space="preserve"> </w:t>
            </w:r>
            <w:r w:rsidRPr="00543619" w:rsidR="00543619">
              <w:rPr>
                <w:color w:val="000000"/>
              </w:rPr>
              <w:t xml:space="preserve">suggests revising the definition to read, </w:t>
            </w:r>
            <w:r w:rsidR="00543619">
              <w:rPr>
                <w:color w:val="000000"/>
              </w:rPr>
              <w:t>‘</w:t>
            </w:r>
            <w:r w:rsidRPr="00543619" w:rsidR="00543619">
              <w:rPr>
                <w:color w:val="000000"/>
              </w:rPr>
              <w:t>policy-driven construction, within an</w:t>
            </w:r>
            <w:r w:rsidR="00543619">
              <w:rPr>
                <w:color w:val="000000"/>
              </w:rPr>
              <w:t xml:space="preserve"> </w:t>
            </w:r>
            <w:r w:rsidRPr="00543619" w:rsidR="00543619">
              <w:rPr>
                <w:color w:val="000000"/>
              </w:rPr>
              <w:t>existing easement, right of way, or franchise agreement, of an electric</w:t>
            </w:r>
            <w:r w:rsidR="00543619">
              <w:rPr>
                <w:color w:val="000000"/>
              </w:rPr>
              <w:t xml:space="preserve"> </w:t>
            </w:r>
            <w:r w:rsidRPr="00543619" w:rsidR="00543619">
              <w:rPr>
                <w:color w:val="000000"/>
              </w:rPr>
              <w:t xml:space="preserve">transmission or power line facility that connects an </w:t>
            </w:r>
            <w:r w:rsidRPr="00543619" w:rsidR="00543619">
              <w:rPr>
                <w:color w:val="000000"/>
              </w:rPr>
              <w:lastRenderedPageBreak/>
              <w:t>existing electric transmission</w:t>
            </w:r>
            <w:r w:rsidRPr="00AE75EF" w:rsidR="00AE75EF">
              <w:rPr>
                <w:rFonts w:ascii="PalatinoLinotype-Roman" w:hAnsi="PalatinoLinotype-Roman" w:cs="PalatinoLinotype-Roman"/>
                <w:sz w:val="26"/>
                <w:szCs w:val="26"/>
              </w:rPr>
              <w:t xml:space="preserve"> </w:t>
            </w:r>
            <w:r w:rsidRPr="00AE75EF" w:rsidR="00AE75EF">
              <w:rPr>
                <w:color w:val="000000"/>
              </w:rPr>
              <w:t>facility to a service delivery point and does not have a significant effect on the</w:t>
            </w:r>
          </w:p>
          <w:p w:rsidR="00F86309" w:rsidP="00AE75EF" w:rsidRDefault="00AE75EF" w14:paraId="40765056" w14:textId="42BD5465">
            <w:pPr>
              <w:rPr>
                <w:color w:val="000000"/>
              </w:rPr>
            </w:pPr>
            <w:r w:rsidRPr="00AE75EF">
              <w:rPr>
                <w:color w:val="000000"/>
              </w:rPr>
              <w:t>environment or rates.</w:t>
            </w:r>
            <w:r w:rsidR="00543619">
              <w:rPr>
                <w:color w:val="000000"/>
              </w:rPr>
              <w:t>’</w:t>
            </w:r>
            <w:r w:rsidR="008574F4">
              <w:rPr>
                <w:color w:val="000000"/>
              </w:rPr>
              <w:t>” D.25</w:t>
            </w:r>
            <w:r w:rsidR="001925B0">
              <w:rPr>
                <w:color w:val="000000"/>
              </w:rPr>
              <w:t>-01-055, p. 73</w:t>
            </w:r>
            <w:r>
              <w:rPr>
                <w:color w:val="000000"/>
              </w:rPr>
              <w:t>-74</w:t>
            </w:r>
            <w:r w:rsidR="00CB1B65">
              <w:rPr>
                <w:color w:val="000000"/>
              </w:rPr>
              <w:t>.</w:t>
            </w:r>
          </w:p>
          <w:p w:rsidR="00542D57" w:rsidP="00542D57" w:rsidRDefault="00542D57" w14:paraId="69D10E63" w14:textId="77777777">
            <w:pPr>
              <w:rPr>
                <w:color w:val="000000"/>
              </w:rPr>
            </w:pPr>
          </w:p>
          <w:p w:rsidRPr="003172E7" w:rsidR="00542D57" w:rsidP="00542D57" w:rsidRDefault="00542D57" w14:paraId="3E58FAC3" w14:textId="77777777">
            <w:pPr>
              <w:rPr>
                <w:color w:val="000000"/>
              </w:rPr>
            </w:pPr>
            <w:r>
              <w:rPr>
                <w:color w:val="000000"/>
              </w:rPr>
              <w:t>“</w:t>
            </w:r>
            <w:r w:rsidRPr="003172E7">
              <w:rPr>
                <w:color w:val="000000"/>
              </w:rPr>
              <w:t>Upon consideration of Staff Proposal Section 3.1, Proposal 2 and party</w:t>
            </w:r>
          </w:p>
          <w:p w:rsidR="00542D57" w:rsidP="00542D57" w:rsidRDefault="00542D57" w14:paraId="4F481104" w14:textId="4ABE4C82">
            <w:pPr>
              <w:rPr>
                <w:color w:val="000000"/>
              </w:rPr>
            </w:pPr>
            <w:r w:rsidRPr="003172E7">
              <w:rPr>
                <w:color w:val="000000"/>
              </w:rPr>
              <w:t xml:space="preserve">comments, we adopt a definition of </w:t>
            </w:r>
            <w:r w:rsidR="00004344">
              <w:rPr>
                <w:color w:val="000000"/>
              </w:rPr>
              <w:t>‘</w:t>
            </w:r>
            <w:r w:rsidRPr="003172E7">
              <w:rPr>
                <w:color w:val="000000"/>
              </w:rPr>
              <w:t>expansion</w:t>
            </w:r>
            <w:r w:rsidR="00004344">
              <w:rPr>
                <w:color w:val="000000"/>
              </w:rPr>
              <w:t xml:space="preserve">’ </w:t>
            </w:r>
            <w:r w:rsidRPr="003172E7">
              <w:rPr>
                <w:color w:val="000000"/>
              </w:rPr>
              <w:t>that applies only to projects that</w:t>
            </w:r>
            <w:r>
              <w:rPr>
                <w:color w:val="000000"/>
              </w:rPr>
              <w:t xml:space="preserve"> </w:t>
            </w:r>
            <w:r w:rsidRPr="003172E7">
              <w:rPr>
                <w:color w:val="000000"/>
              </w:rPr>
              <w:t xml:space="preserve">increase the </w:t>
            </w:r>
            <w:r w:rsidR="00004344">
              <w:rPr>
                <w:color w:val="000000"/>
              </w:rPr>
              <w:t>‘</w:t>
            </w:r>
            <w:r w:rsidRPr="003172E7">
              <w:rPr>
                <w:color w:val="000000"/>
              </w:rPr>
              <w:t>width, capacity, or capabilit</w:t>
            </w:r>
            <w:r w:rsidR="00004344">
              <w:rPr>
                <w:color w:val="000000"/>
              </w:rPr>
              <w:t>y’</w:t>
            </w:r>
            <w:r w:rsidRPr="003172E7">
              <w:rPr>
                <w:color w:val="000000"/>
              </w:rPr>
              <w:t xml:space="preserve"> of an existing facility.</w:t>
            </w:r>
            <w:r>
              <w:rPr>
                <w:color w:val="000000"/>
              </w:rPr>
              <w:t>” D.25-07-042, p. 77.</w:t>
            </w:r>
          </w:p>
          <w:p w:rsidR="00542D57" w:rsidP="00542D57" w:rsidRDefault="00542D57" w14:paraId="0F3DE54B" w14:textId="77777777">
            <w:pPr>
              <w:rPr>
                <w:color w:val="000000"/>
              </w:rPr>
            </w:pPr>
          </w:p>
          <w:p w:rsidRPr="00277090" w:rsidR="00542D57" w:rsidP="00542D57" w:rsidRDefault="00542D57" w14:paraId="1C9454D2" w14:textId="198CAEA0">
            <w:pPr>
              <w:rPr>
                <w:color w:val="000000"/>
              </w:rPr>
            </w:pPr>
            <w:r>
              <w:rPr>
                <w:color w:val="000000"/>
              </w:rPr>
              <w:t xml:space="preserve"> </w:t>
            </w:r>
            <w:r w:rsidR="000A03A9">
              <w:rPr>
                <w:color w:val="000000"/>
              </w:rPr>
              <w:t>“…</w:t>
            </w:r>
            <w:r w:rsidRPr="00277090">
              <w:rPr>
                <w:color w:val="000000"/>
              </w:rPr>
              <w:t xml:space="preserve">broadening the language </w:t>
            </w:r>
            <w:r w:rsidR="000A03A9">
              <w:rPr>
                <w:color w:val="000000"/>
              </w:rPr>
              <w:t xml:space="preserve">[as the IOUs proposed] </w:t>
            </w:r>
            <w:r w:rsidRPr="00277090">
              <w:rPr>
                <w:color w:val="000000"/>
              </w:rPr>
              <w:t>to include modifications that</w:t>
            </w:r>
            <w:r>
              <w:rPr>
                <w:color w:val="000000"/>
              </w:rPr>
              <w:t xml:space="preserve"> </w:t>
            </w:r>
            <w:r w:rsidR="000A03A9">
              <w:rPr>
                <w:color w:val="000000"/>
              </w:rPr>
              <w:t>‘</w:t>
            </w:r>
            <w:r w:rsidRPr="00277090">
              <w:rPr>
                <w:color w:val="000000"/>
              </w:rPr>
              <w:t>better serve an existing purpose,</w:t>
            </w:r>
            <w:r w:rsidR="000A03A9">
              <w:rPr>
                <w:color w:val="000000"/>
              </w:rPr>
              <w:t>’</w:t>
            </w:r>
            <w:r w:rsidRPr="00277090">
              <w:rPr>
                <w:color w:val="000000"/>
              </w:rPr>
              <w:t xml:space="preserve"> in addition to those that </w:t>
            </w:r>
            <w:r w:rsidR="000A03A9">
              <w:rPr>
                <w:color w:val="000000"/>
              </w:rPr>
              <w:t>‘</w:t>
            </w:r>
            <w:r w:rsidRPr="00277090">
              <w:rPr>
                <w:color w:val="000000"/>
              </w:rPr>
              <w:t>serve a new or</w:t>
            </w:r>
            <w:r>
              <w:rPr>
                <w:color w:val="000000"/>
              </w:rPr>
              <w:t xml:space="preserve"> </w:t>
            </w:r>
            <w:r w:rsidRPr="00277090">
              <w:rPr>
                <w:color w:val="000000"/>
              </w:rPr>
              <w:t>additional purpose</w:t>
            </w:r>
            <w:r w:rsidR="000A03A9">
              <w:rPr>
                <w:color w:val="000000"/>
              </w:rPr>
              <w:t>’</w:t>
            </w:r>
            <w:r w:rsidRPr="00277090">
              <w:rPr>
                <w:color w:val="000000"/>
              </w:rPr>
              <w:t xml:space="preserve"> would encompass nearly any conceivable purpose for such</w:t>
            </w:r>
          </w:p>
          <w:p w:rsidR="00542D57" w:rsidP="00542D57" w:rsidRDefault="00542D57" w14:paraId="019DEB4F" w14:textId="22F56A9F">
            <w:pPr>
              <w:rPr>
                <w:color w:val="000000"/>
              </w:rPr>
            </w:pPr>
            <w:r w:rsidRPr="00277090">
              <w:rPr>
                <w:color w:val="000000"/>
              </w:rPr>
              <w:t>infrastructure. As such, it is not necessary to specify that modifications serve a</w:t>
            </w:r>
            <w:r>
              <w:rPr>
                <w:color w:val="000000"/>
              </w:rPr>
              <w:t xml:space="preserve"> </w:t>
            </w:r>
            <w:r w:rsidRPr="00277090">
              <w:rPr>
                <w:color w:val="000000"/>
              </w:rPr>
              <w:t>particular purpose.</w:t>
            </w:r>
            <w:r>
              <w:rPr>
                <w:color w:val="000000"/>
              </w:rPr>
              <w:t>”</w:t>
            </w:r>
            <w:r w:rsidR="000A03A9">
              <w:rPr>
                <w:color w:val="000000"/>
              </w:rPr>
              <w:t xml:space="preserve"> D.25-01-055, p. 79.</w:t>
            </w:r>
          </w:p>
          <w:p w:rsidR="00450D83" w:rsidP="00542D57" w:rsidRDefault="00450D83" w14:paraId="58434B07" w14:textId="77777777">
            <w:pPr>
              <w:rPr>
                <w:color w:val="000000"/>
              </w:rPr>
            </w:pPr>
          </w:p>
          <w:p w:rsidR="00450D83" w:rsidP="00542D57" w:rsidRDefault="00450D83" w14:paraId="6F76E2B0" w14:textId="3D6A4B4C">
            <w:pPr>
              <w:rPr>
                <w:color w:val="000000"/>
              </w:rPr>
            </w:pPr>
            <w:r>
              <w:rPr>
                <w:color w:val="000000"/>
              </w:rPr>
              <w:t>D.25-07-042, p 5 (“We adopted the definitions in the Decision following extensive briefing, record development, and consideration of numerous contrary positions, including those of Appellants”).</w:t>
            </w:r>
          </w:p>
          <w:p w:rsidR="00FF0EFD" w:rsidP="00542D57" w:rsidRDefault="00FF0EFD" w14:paraId="46134ABF" w14:textId="77777777">
            <w:pPr>
              <w:rPr>
                <w:color w:val="000000"/>
              </w:rPr>
            </w:pPr>
          </w:p>
          <w:p w:rsidR="00FF0EFD" w:rsidP="00FF0EFD" w:rsidRDefault="001F557B" w14:paraId="3DB1DCB1" w14:textId="7C517EE4">
            <w:pPr>
              <w:rPr>
                <w:color w:val="000000"/>
              </w:rPr>
            </w:pPr>
            <w:r>
              <w:rPr>
                <w:color w:val="000000"/>
              </w:rPr>
              <w:t xml:space="preserve">Center, PCF, Clean Coalition </w:t>
            </w:r>
            <w:r w:rsidR="00DB0B75">
              <w:rPr>
                <w:color w:val="000000"/>
              </w:rPr>
              <w:t>Comments</w:t>
            </w:r>
            <w:r>
              <w:rPr>
                <w:color w:val="000000"/>
              </w:rPr>
              <w:t xml:space="preserve"> on Phase 2 Issues (February 5, 202</w:t>
            </w:r>
            <w:r w:rsidR="00A16DE3">
              <w:rPr>
                <w:color w:val="000000"/>
              </w:rPr>
              <w:t xml:space="preserve">4), p. </w:t>
            </w:r>
            <w:r w:rsidR="00A3504F">
              <w:rPr>
                <w:color w:val="000000"/>
              </w:rPr>
              <w:t>7-</w:t>
            </w:r>
            <w:r w:rsidR="00C55AA2">
              <w:rPr>
                <w:color w:val="000000"/>
              </w:rPr>
              <w:t>12</w:t>
            </w:r>
            <w:r w:rsidR="0066026D">
              <w:rPr>
                <w:color w:val="000000"/>
              </w:rPr>
              <w:t>;</w:t>
            </w:r>
            <w:r w:rsidR="00E77DCD">
              <w:rPr>
                <w:color w:val="000000"/>
              </w:rPr>
              <w:t xml:space="preserve"> </w:t>
            </w:r>
            <w:r w:rsidR="00FF0EFD">
              <w:rPr>
                <w:color w:val="000000"/>
              </w:rPr>
              <w:t>Center and PCF Reply Comments on Phase 2 Issues (February 26, 2024), p. 1-5</w:t>
            </w:r>
            <w:r w:rsidR="00E11038">
              <w:rPr>
                <w:color w:val="000000"/>
              </w:rPr>
              <w:t xml:space="preserve">; </w:t>
            </w:r>
            <w:r w:rsidR="00FF0EFD">
              <w:rPr>
                <w:color w:val="000000"/>
              </w:rPr>
              <w:t xml:space="preserve">Center </w:t>
            </w:r>
            <w:r w:rsidR="00E11038">
              <w:rPr>
                <w:color w:val="000000"/>
              </w:rPr>
              <w:t>and PCF</w:t>
            </w:r>
            <w:r w:rsidR="00FF0EFD">
              <w:rPr>
                <w:color w:val="000000"/>
              </w:rPr>
              <w:t xml:space="preserve"> Opening Comments on Phase 2 Staff Proposal (July 1, 2024), p. 4-10</w:t>
            </w:r>
            <w:r w:rsidR="00E11038">
              <w:rPr>
                <w:color w:val="000000"/>
              </w:rPr>
              <w:t>; Center</w:t>
            </w:r>
            <w:r w:rsidR="00FF0EFD">
              <w:rPr>
                <w:color w:val="000000"/>
              </w:rPr>
              <w:t xml:space="preserve"> and PCF Reply Comments on Phase 2 Staff Proposal (July 15, 2024), p. 3-6</w:t>
            </w:r>
            <w:r w:rsidR="00E11038">
              <w:rPr>
                <w:color w:val="000000"/>
              </w:rPr>
              <w:t>;</w:t>
            </w:r>
            <w:r w:rsidR="00E77DCD">
              <w:rPr>
                <w:color w:val="000000"/>
              </w:rPr>
              <w:t xml:space="preserve"> </w:t>
            </w:r>
            <w:r w:rsidR="00FF0EFD">
              <w:rPr>
                <w:color w:val="000000"/>
              </w:rPr>
              <w:t xml:space="preserve">Center </w:t>
            </w:r>
            <w:r w:rsidR="00E11038">
              <w:rPr>
                <w:color w:val="000000"/>
              </w:rPr>
              <w:t>a</w:t>
            </w:r>
            <w:r w:rsidR="00FF0EFD">
              <w:rPr>
                <w:color w:val="000000"/>
              </w:rPr>
              <w:t>nd PCF Opening Comments on PD Adopting GO 131-E (January 16, 2025), p. 8-11</w:t>
            </w:r>
            <w:r w:rsidR="00E11038">
              <w:rPr>
                <w:color w:val="000000"/>
              </w:rPr>
              <w:t>;</w:t>
            </w:r>
            <w:r w:rsidR="00E77DCD">
              <w:rPr>
                <w:color w:val="000000"/>
              </w:rPr>
              <w:t xml:space="preserve"> </w:t>
            </w:r>
            <w:r w:rsidR="00FF0EFD">
              <w:rPr>
                <w:color w:val="000000"/>
              </w:rPr>
              <w:t>PCF, Center</w:t>
            </w:r>
            <w:r w:rsidR="00E11038">
              <w:rPr>
                <w:color w:val="000000"/>
              </w:rPr>
              <w:t xml:space="preserve">, </w:t>
            </w:r>
            <w:r w:rsidR="00FF0EFD">
              <w:rPr>
                <w:color w:val="000000"/>
              </w:rPr>
              <w:t xml:space="preserve">Acton Town Council, California Farm Bureau </w:t>
            </w:r>
            <w:r w:rsidR="00FF0EFD">
              <w:rPr>
                <w:color w:val="000000"/>
              </w:rPr>
              <w:lastRenderedPageBreak/>
              <w:t xml:space="preserve">Federation, Anza Borrego Foundation, and Defenders of Wildlife </w:t>
            </w:r>
            <w:proofErr w:type="spellStart"/>
            <w:r w:rsidR="00FF0EFD">
              <w:rPr>
                <w:color w:val="000000"/>
              </w:rPr>
              <w:t>AfR</w:t>
            </w:r>
            <w:proofErr w:type="spellEnd"/>
            <w:r w:rsidR="00FF0EFD">
              <w:rPr>
                <w:color w:val="000000"/>
              </w:rPr>
              <w:t xml:space="preserve"> of D.25-01-055</w:t>
            </w:r>
            <w:r w:rsidR="00105C36">
              <w:rPr>
                <w:color w:val="000000"/>
              </w:rPr>
              <w:t xml:space="preserve"> </w:t>
            </w:r>
            <w:r w:rsidR="00FF0EFD">
              <w:rPr>
                <w:color w:val="000000"/>
              </w:rPr>
              <w:t>(March 10, 2025), p. 4-13.</w:t>
            </w:r>
          </w:p>
          <w:p w:rsidRPr="007F620E" w:rsidR="00FF0EFD" w:rsidP="00542D57" w:rsidRDefault="00FF0EFD" w14:paraId="2A92A629" w14:textId="0840E790">
            <w:pPr>
              <w:rPr>
                <w:color w:val="000000"/>
              </w:rPr>
            </w:pPr>
          </w:p>
        </w:tc>
        <w:tc>
          <w:tcPr>
            <w:tcW w:w="1957" w:type="dxa"/>
          </w:tcPr>
          <w:p w:rsidR="00542D57" w:rsidP="00462A91" w:rsidRDefault="00542D57" w14:paraId="7DFEC9CB" w14:textId="77777777">
            <w:pPr>
              <w:jc w:val="center"/>
              <w:rPr>
                <w:color w:val="000000"/>
              </w:rPr>
            </w:pPr>
          </w:p>
          <w:p w:rsidR="006F6DFE" w:rsidP="00462A91" w:rsidRDefault="006F6DFE" w14:paraId="6B46E0A4" w14:textId="77777777">
            <w:pPr>
              <w:jc w:val="center"/>
              <w:rPr>
                <w:color w:val="000000"/>
              </w:rPr>
            </w:pPr>
          </w:p>
          <w:p w:rsidR="006F6DFE" w:rsidP="00462A91" w:rsidRDefault="006F6DFE" w14:paraId="3808443B" w14:textId="77777777">
            <w:pPr>
              <w:jc w:val="center"/>
              <w:rPr>
                <w:color w:val="000000"/>
              </w:rPr>
            </w:pPr>
          </w:p>
          <w:p w:rsidR="006F6DFE" w:rsidP="00462A91" w:rsidRDefault="006F6DFE" w14:paraId="7E85A4E2" w14:textId="77777777">
            <w:pPr>
              <w:jc w:val="center"/>
              <w:rPr>
                <w:color w:val="000000"/>
              </w:rPr>
            </w:pPr>
          </w:p>
          <w:p w:rsidR="006F6DFE" w:rsidP="00462A91" w:rsidRDefault="006F6DFE" w14:paraId="4CDE4E77" w14:textId="77777777">
            <w:pPr>
              <w:jc w:val="center"/>
              <w:rPr>
                <w:color w:val="000000"/>
              </w:rPr>
            </w:pPr>
          </w:p>
          <w:p w:rsidR="006F6DFE" w:rsidP="00462A91" w:rsidRDefault="006F6DFE" w14:paraId="2F7B7346" w14:textId="77777777">
            <w:pPr>
              <w:jc w:val="center"/>
              <w:rPr>
                <w:color w:val="000000"/>
              </w:rPr>
            </w:pPr>
          </w:p>
          <w:p w:rsidR="006F6DFE" w:rsidP="00462A91" w:rsidRDefault="006F6DFE" w14:paraId="1EBB17FF" w14:textId="77777777">
            <w:pPr>
              <w:jc w:val="center"/>
              <w:rPr>
                <w:color w:val="000000"/>
              </w:rPr>
            </w:pPr>
          </w:p>
          <w:p w:rsidR="006F6DFE" w:rsidP="00462A91" w:rsidRDefault="006F6DFE" w14:paraId="7E05EE1C" w14:textId="77777777">
            <w:pPr>
              <w:jc w:val="center"/>
              <w:rPr>
                <w:color w:val="000000"/>
              </w:rPr>
            </w:pPr>
            <w:r>
              <w:rPr>
                <w:color w:val="000000"/>
              </w:rPr>
              <w:t>Verified</w:t>
            </w:r>
          </w:p>
          <w:p w:rsidR="00ED74CC" w:rsidP="00462A91" w:rsidRDefault="00ED74CC" w14:paraId="398A4803" w14:textId="77777777">
            <w:pPr>
              <w:jc w:val="center"/>
              <w:rPr>
                <w:color w:val="000000"/>
              </w:rPr>
            </w:pPr>
          </w:p>
          <w:p w:rsidR="00ED74CC" w:rsidP="00462A91" w:rsidRDefault="00ED74CC" w14:paraId="64E8018E" w14:textId="77777777">
            <w:pPr>
              <w:jc w:val="center"/>
              <w:rPr>
                <w:color w:val="000000"/>
              </w:rPr>
            </w:pPr>
          </w:p>
          <w:p w:rsidR="00ED74CC" w:rsidP="00462A91" w:rsidRDefault="00ED74CC" w14:paraId="4A490205" w14:textId="77777777">
            <w:pPr>
              <w:jc w:val="center"/>
              <w:rPr>
                <w:color w:val="000000"/>
              </w:rPr>
            </w:pPr>
          </w:p>
          <w:p w:rsidR="00ED74CC" w:rsidP="00462A91" w:rsidRDefault="00ED74CC" w14:paraId="298B1D5F" w14:textId="77777777">
            <w:pPr>
              <w:jc w:val="center"/>
              <w:rPr>
                <w:color w:val="000000"/>
              </w:rPr>
            </w:pPr>
          </w:p>
          <w:p w:rsidR="00ED74CC" w:rsidP="00462A91" w:rsidRDefault="00ED74CC" w14:paraId="6CD2A8A5" w14:textId="77777777">
            <w:pPr>
              <w:jc w:val="center"/>
              <w:rPr>
                <w:color w:val="000000"/>
              </w:rPr>
            </w:pPr>
          </w:p>
          <w:p w:rsidR="00ED74CC" w:rsidP="00462A91" w:rsidRDefault="00ED74CC" w14:paraId="5CEE43EF" w14:textId="77777777">
            <w:pPr>
              <w:jc w:val="center"/>
              <w:rPr>
                <w:color w:val="000000"/>
              </w:rPr>
            </w:pPr>
          </w:p>
          <w:p w:rsidR="00ED74CC" w:rsidP="00462A91" w:rsidRDefault="00ED74CC" w14:paraId="128AF20F" w14:textId="77777777">
            <w:pPr>
              <w:jc w:val="center"/>
              <w:rPr>
                <w:color w:val="000000"/>
              </w:rPr>
            </w:pPr>
          </w:p>
          <w:p w:rsidR="00ED74CC" w:rsidP="00462A91" w:rsidRDefault="00ED74CC" w14:paraId="5B9F46FF" w14:textId="77777777">
            <w:pPr>
              <w:jc w:val="center"/>
              <w:rPr>
                <w:color w:val="000000"/>
              </w:rPr>
            </w:pPr>
          </w:p>
          <w:p w:rsidR="007D0D59" w:rsidP="00462A91" w:rsidRDefault="007D0D59" w14:paraId="0DE33E1D" w14:textId="77777777">
            <w:pPr>
              <w:jc w:val="center"/>
              <w:rPr>
                <w:color w:val="000000"/>
              </w:rPr>
            </w:pPr>
          </w:p>
          <w:p w:rsidR="007D0D59" w:rsidP="00462A91" w:rsidRDefault="007D0D59" w14:paraId="654119E2" w14:textId="77777777">
            <w:pPr>
              <w:jc w:val="center"/>
              <w:rPr>
                <w:color w:val="000000"/>
              </w:rPr>
            </w:pPr>
          </w:p>
          <w:p w:rsidR="007D0D59" w:rsidP="00462A91" w:rsidRDefault="007D0D59" w14:paraId="22327C39" w14:textId="77777777">
            <w:pPr>
              <w:jc w:val="center"/>
              <w:rPr>
                <w:color w:val="000000"/>
              </w:rPr>
            </w:pPr>
          </w:p>
          <w:p w:rsidR="007D0D59" w:rsidP="00462A91" w:rsidRDefault="007D0D59" w14:paraId="3F36DBD4" w14:textId="77777777">
            <w:pPr>
              <w:jc w:val="center"/>
              <w:rPr>
                <w:color w:val="000000"/>
              </w:rPr>
            </w:pPr>
          </w:p>
          <w:p w:rsidR="007D0D59" w:rsidP="00462A91" w:rsidRDefault="007D0D59" w14:paraId="2080FD44" w14:textId="77777777">
            <w:pPr>
              <w:jc w:val="center"/>
              <w:rPr>
                <w:color w:val="000000"/>
              </w:rPr>
            </w:pPr>
          </w:p>
          <w:p w:rsidR="007D0D59" w:rsidP="00462A91" w:rsidRDefault="007D0D59" w14:paraId="602BB741" w14:textId="77777777">
            <w:pPr>
              <w:jc w:val="center"/>
              <w:rPr>
                <w:color w:val="000000"/>
              </w:rPr>
            </w:pPr>
          </w:p>
          <w:p w:rsidR="007D0D59" w:rsidP="00462A91" w:rsidRDefault="007D0D59" w14:paraId="20472580" w14:textId="77777777">
            <w:pPr>
              <w:jc w:val="center"/>
              <w:rPr>
                <w:color w:val="000000"/>
              </w:rPr>
            </w:pPr>
          </w:p>
          <w:p w:rsidR="007D0D59" w:rsidP="00462A91" w:rsidRDefault="007D0D59" w14:paraId="2EE91DFD" w14:textId="1132B630">
            <w:pPr>
              <w:jc w:val="center"/>
              <w:rPr>
                <w:color w:val="000000"/>
              </w:rPr>
            </w:pPr>
            <w:r>
              <w:rPr>
                <w:color w:val="000000"/>
              </w:rPr>
              <w:t>Verified</w:t>
            </w:r>
          </w:p>
          <w:p w:rsidR="007D0D59" w:rsidP="00462A91" w:rsidRDefault="007D0D59" w14:paraId="22DD80BF" w14:textId="77777777">
            <w:pPr>
              <w:jc w:val="center"/>
              <w:rPr>
                <w:color w:val="000000"/>
              </w:rPr>
            </w:pPr>
          </w:p>
          <w:p w:rsidR="007D0D59" w:rsidP="00462A91" w:rsidRDefault="007D0D59" w14:paraId="0749C5F9" w14:textId="77777777">
            <w:pPr>
              <w:jc w:val="center"/>
              <w:rPr>
                <w:color w:val="000000"/>
              </w:rPr>
            </w:pPr>
          </w:p>
          <w:p w:rsidR="007D0D59" w:rsidP="00462A91" w:rsidRDefault="007D0D59" w14:paraId="120AF36F" w14:textId="77777777">
            <w:pPr>
              <w:jc w:val="center"/>
              <w:rPr>
                <w:color w:val="000000"/>
              </w:rPr>
            </w:pPr>
          </w:p>
          <w:p w:rsidR="007D0D59" w:rsidP="00462A91" w:rsidRDefault="007D0D59" w14:paraId="5AE487FD" w14:textId="77777777">
            <w:pPr>
              <w:jc w:val="center"/>
              <w:rPr>
                <w:color w:val="000000"/>
              </w:rPr>
            </w:pPr>
          </w:p>
          <w:p w:rsidR="007D0D59" w:rsidP="00462A91" w:rsidRDefault="007D0D59" w14:paraId="5851379F" w14:textId="77777777">
            <w:pPr>
              <w:jc w:val="center"/>
              <w:rPr>
                <w:color w:val="000000"/>
              </w:rPr>
            </w:pPr>
          </w:p>
          <w:p w:rsidR="007D0D59" w:rsidP="00462A91" w:rsidRDefault="007D0D59" w14:paraId="413E99B4" w14:textId="77777777">
            <w:pPr>
              <w:jc w:val="center"/>
              <w:rPr>
                <w:color w:val="000000"/>
              </w:rPr>
            </w:pPr>
          </w:p>
          <w:p w:rsidR="007D0D59" w:rsidP="00462A91" w:rsidRDefault="007D0D59" w14:paraId="76CA15D5" w14:textId="77777777">
            <w:pPr>
              <w:jc w:val="center"/>
              <w:rPr>
                <w:color w:val="000000"/>
              </w:rPr>
            </w:pPr>
          </w:p>
          <w:p w:rsidR="007D0D59" w:rsidP="00462A91" w:rsidRDefault="007D0D59" w14:paraId="439C633E" w14:textId="77777777">
            <w:pPr>
              <w:jc w:val="center"/>
              <w:rPr>
                <w:color w:val="000000"/>
              </w:rPr>
            </w:pPr>
          </w:p>
          <w:p w:rsidR="007D0D59" w:rsidP="00462A91" w:rsidRDefault="007D0D59" w14:paraId="22B4F817" w14:textId="77777777">
            <w:pPr>
              <w:jc w:val="center"/>
              <w:rPr>
                <w:color w:val="000000"/>
              </w:rPr>
            </w:pPr>
          </w:p>
          <w:p w:rsidR="007D0D59" w:rsidP="00462A91" w:rsidRDefault="007D0D59" w14:paraId="3A96F074" w14:textId="77777777">
            <w:pPr>
              <w:jc w:val="center"/>
              <w:rPr>
                <w:color w:val="000000"/>
              </w:rPr>
            </w:pPr>
          </w:p>
          <w:p w:rsidR="007D0D59" w:rsidP="00462A91" w:rsidRDefault="007D0D59" w14:paraId="71EA2A9F" w14:textId="77777777">
            <w:pPr>
              <w:jc w:val="center"/>
              <w:rPr>
                <w:color w:val="000000"/>
              </w:rPr>
            </w:pPr>
          </w:p>
          <w:p w:rsidR="007D0D59" w:rsidP="00462A91" w:rsidRDefault="007D0D59" w14:paraId="12BF44B9" w14:textId="77777777">
            <w:pPr>
              <w:jc w:val="center"/>
              <w:rPr>
                <w:color w:val="000000"/>
              </w:rPr>
            </w:pPr>
          </w:p>
          <w:p w:rsidR="007D0D59" w:rsidP="00462A91" w:rsidRDefault="007D0D59" w14:paraId="26469CD2" w14:textId="77777777">
            <w:pPr>
              <w:jc w:val="center"/>
              <w:rPr>
                <w:color w:val="000000"/>
              </w:rPr>
            </w:pPr>
          </w:p>
          <w:p w:rsidR="007D0D59" w:rsidP="00462A91" w:rsidRDefault="007D0D59" w14:paraId="1DA40FD0" w14:textId="77777777">
            <w:pPr>
              <w:jc w:val="center"/>
              <w:rPr>
                <w:color w:val="000000"/>
              </w:rPr>
            </w:pPr>
          </w:p>
          <w:p w:rsidR="007D0D59" w:rsidP="00462A91" w:rsidRDefault="007D0D59" w14:paraId="16E36E4D" w14:textId="77777777">
            <w:pPr>
              <w:jc w:val="center"/>
              <w:rPr>
                <w:color w:val="000000"/>
              </w:rPr>
            </w:pPr>
          </w:p>
          <w:p w:rsidR="007D0D59" w:rsidP="00462A91" w:rsidRDefault="007E23D3" w14:paraId="023CAC5D" w14:textId="045AC1F4">
            <w:pPr>
              <w:jc w:val="center"/>
              <w:rPr>
                <w:color w:val="000000"/>
              </w:rPr>
            </w:pPr>
            <w:r>
              <w:rPr>
                <w:color w:val="000000"/>
              </w:rPr>
              <w:t>Verified</w:t>
            </w:r>
          </w:p>
          <w:p w:rsidR="007E23D3" w:rsidP="00462A91" w:rsidRDefault="007E23D3" w14:paraId="37C7A252" w14:textId="77777777">
            <w:pPr>
              <w:jc w:val="center"/>
              <w:rPr>
                <w:color w:val="000000"/>
              </w:rPr>
            </w:pPr>
          </w:p>
          <w:p w:rsidR="007E23D3" w:rsidP="00462A91" w:rsidRDefault="007E23D3" w14:paraId="38C2D2D4" w14:textId="77777777">
            <w:pPr>
              <w:jc w:val="center"/>
              <w:rPr>
                <w:color w:val="000000"/>
              </w:rPr>
            </w:pPr>
          </w:p>
          <w:p w:rsidR="007E23D3" w:rsidP="00462A91" w:rsidRDefault="007E23D3" w14:paraId="2BCFAE1B" w14:textId="77777777">
            <w:pPr>
              <w:jc w:val="center"/>
              <w:rPr>
                <w:color w:val="000000"/>
              </w:rPr>
            </w:pPr>
          </w:p>
          <w:p w:rsidR="007E23D3" w:rsidP="00462A91" w:rsidRDefault="007E23D3" w14:paraId="79547472" w14:textId="77777777">
            <w:pPr>
              <w:jc w:val="center"/>
              <w:rPr>
                <w:color w:val="000000"/>
              </w:rPr>
            </w:pPr>
          </w:p>
          <w:p w:rsidR="007E23D3" w:rsidP="00462A91" w:rsidRDefault="007E23D3" w14:paraId="13A7C538" w14:textId="77777777">
            <w:pPr>
              <w:jc w:val="center"/>
              <w:rPr>
                <w:color w:val="000000"/>
              </w:rPr>
            </w:pPr>
          </w:p>
          <w:p w:rsidR="007E23D3" w:rsidP="00462A91" w:rsidRDefault="007E23D3" w14:paraId="5B6CDACF" w14:textId="77777777">
            <w:pPr>
              <w:jc w:val="center"/>
              <w:rPr>
                <w:color w:val="000000"/>
              </w:rPr>
            </w:pPr>
          </w:p>
          <w:p w:rsidR="007E23D3" w:rsidP="00462A91" w:rsidRDefault="007E23D3" w14:paraId="4CDFABFF" w14:textId="77777777">
            <w:pPr>
              <w:jc w:val="center"/>
              <w:rPr>
                <w:color w:val="000000"/>
              </w:rPr>
            </w:pPr>
          </w:p>
          <w:p w:rsidR="007E23D3" w:rsidP="00462A91" w:rsidRDefault="007E23D3" w14:paraId="24131F8B" w14:textId="798B64D5">
            <w:pPr>
              <w:jc w:val="center"/>
              <w:rPr>
                <w:color w:val="000000"/>
              </w:rPr>
            </w:pPr>
            <w:r>
              <w:rPr>
                <w:color w:val="000000"/>
              </w:rPr>
              <w:t>Verified</w:t>
            </w:r>
          </w:p>
          <w:p w:rsidR="007E23D3" w:rsidP="00462A91" w:rsidRDefault="007E23D3" w14:paraId="183A4D47" w14:textId="77777777">
            <w:pPr>
              <w:jc w:val="center"/>
              <w:rPr>
                <w:color w:val="000000"/>
              </w:rPr>
            </w:pPr>
          </w:p>
          <w:p w:rsidR="007E23D3" w:rsidP="00462A91" w:rsidRDefault="007E23D3" w14:paraId="6C188460" w14:textId="77777777">
            <w:pPr>
              <w:jc w:val="center"/>
              <w:rPr>
                <w:color w:val="000000"/>
              </w:rPr>
            </w:pPr>
          </w:p>
          <w:p w:rsidR="007E23D3" w:rsidP="00462A91" w:rsidRDefault="007E23D3" w14:paraId="776E82C5" w14:textId="77777777">
            <w:pPr>
              <w:jc w:val="center"/>
              <w:rPr>
                <w:color w:val="000000"/>
              </w:rPr>
            </w:pPr>
          </w:p>
          <w:p w:rsidR="007E23D3" w:rsidP="00462A91" w:rsidRDefault="007E23D3" w14:paraId="2388D559" w14:textId="77777777">
            <w:pPr>
              <w:jc w:val="center"/>
              <w:rPr>
                <w:color w:val="000000"/>
              </w:rPr>
            </w:pPr>
          </w:p>
          <w:p w:rsidR="007E23D3" w:rsidP="00462A91" w:rsidRDefault="007E23D3" w14:paraId="2895EE24" w14:textId="77777777">
            <w:pPr>
              <w:jc w:val="center"/>
              <w:rPr>
                <w:color w:val="000000"/>
              </w:rPr>
            </w:pPr>
          </w:p>
          <w:p w:rsidR="007E23D3" w:rsidP="00462A91" w:rsidRDefault="007E23D3" w14:paraId="411D0A79" w14:textId="77777777">
            <w:pPr>
              <w:jc w:val="center"/>
              <w:rPr>
                <w:color w:val="000000"/>
              </w:rPr>
            </w:pPr>
          </w:p>
          <w:p w:rsidR="007E23D3" w:rsidP="00462A91" w:rsidRDefault="007E23D3" w14:paraId="14F18BE1" w14:textId="77777777">
            <w:pPr>
              <w:jc w:val="center"/>
              <w:rPr>
                <w:color w:val="000000"/>
              </w:rPr>
            </w:pPr>
          </w:p>
          <w:p w:rsidR="007E23D3" w:rsidP="00462A91" w:rsidRDefault="007E23D3" w14:paraId="5A74E201" w14:textId="77777777">
            <w:pPr>
              <w:jc w:val="center"/>
              <w:rPr>
                <w:color w:val="000000"/>
              </w:rPr>
            </w:pPr>
          </w:p>
          <w:p w:rsidR="007E23D3" w:rsidP="00462A91" w:rsidRDefault="007E23D3" w14:paraId="4B5EAF35" w14:textId="77777777">
            <w:pPr>
              <w:jc w:val="center"/>
              <w:rPr>
                <w:color w:val="000000"/>
              </w:rPr>
            </w:pPr>
          </w:p>
          <w:p w:rsidR="007E23D3" w:rsidP="00462A91" w:rsidRDefault="007E23D3" w14:paraId="304FCD9A" w14:textId="77777777">
            <w:pPr>
              <w:jc w:val="center"/>
              <w:rPr>
                <w:color w:val="000000"/>
              </w:rPr>
            </w:pPr>
          </w:p>
          <w:p w:rsidR="007E23D3" w:rsidP="00462A91" w:rsidRDefault="007E23D3" w14:paraId="18EE189E" w14:textId="25316884">
            <w:pPr>
              <w:jc w:val="center"/>
              <w:rPr>
                <w:color w:val="000000"/>
              </w:rPr>
            </w:pPr>
            <w:r>
              <w:rPr>
                <w:color w:val="000000"/>
              </w:rPr>
              <w:t>Verified</w:t>
            </w:r>
          </w:p>
          <w:p w:rsidR="007E23D3" w:rsidP="00462A91" w:rsidRDefault="007E23D3" w14:paraId="11F49424" w14:textId="77777777">
            <w:pPr>
              <w:jc w:val="center"/>
              <w:rPr>
                <w:color w:val="000000"/>
              </w:rPr>
            </w:pPr>
          </w:p>
          <w:p w:rsidR="007E23D3" w:rsidP="00462A91" w:rsidRDefault="007E23D3" w14:paraId="34E1D8A8" w14:textId="77777777">
            <w:pPr>
              <w:jc w:val="center"/>
              <w:rPr>
                <w:color w:val="000000"/>
              </w:rPr>
            </w:pPr>
          </w:p>
          <w:p w:rsidR="007E23D3" w:rsidP="00462A91" w:rsidRDefault="007E23D3" w14:paraId="07427BF6" w14:textId="77777777">
            <w:pPr>
              <w:jc w:val="center"/>
              <w:rPr>
                <w:color w:val="000000"/>
              </w:rPr>
            </w:pPr>
          </w:p>
          <w:p w:rsidR="007E23D3" w:rsidP="00462A91" w:rsidRDefault="007E23D3" w14:paraId="66E0387F" w14:textId="77777777">
            <w:pPr>
              <w:jc w:val="center"/>
              <w:rPr>
                <w:color w:val="000000"/>
              </w:rPr>
            </w:pPr>
          </w:p>
          <w:p w:rsidR="007E23D3" w:rsidP="00462A91" w:rsidRDefault="007E23D3" w14:paraId="4D81C497" w14:textId="77777777">
            <w:pPr>
              <w:jc w:val="center"/>
              <w:rPr>
                <w:color w:val="000000"/>
              </w:rPr>
            </w:pPr>
          </w:p>
          <w:p w:rsidR="007E23D3" w:rsidP="00462A91" w:rsidRDefault="007E23D3" w14:paraId="1E2586B4" w14:textId="77777777">
            <w:pPr>
              <w:jc w:val="center"/>
              <w:rPr>
                <w:color w:val="000000"/>
              </w:rPr>
            </w:pPr>
          </w:p>
          <w:p w:rsidR="007E23D3" w:rsidP="00462A91" w:rsidRDefault="007E23D3" w14:paraId="36E83849" w14:textId="7059A878">
            <w:pPr>
              <w:jc w:val="center"/>
              <w:rPr>
                <w:color w:val="000000"/>
              </w:rPr>
            </w:pPr>
            <w:r>
              <w:rPr>
                <w:color w:val="000000"/>
              </w:rPr>
              <w:t>Verified</w:t>
            </w:r>
          </w:p>
          <w:p w:rsidR="006F6DFE" w:rsidP="00462A91" w:rsidRDefault="006F6DFE" w14:paraId="5C0247BF" w14:textId="77777777">
            <w:pPr>
              <w:jc w:val="center"/>
              <w:rPr>
                <w:color w:val="000000"/>
              </w:rPr>
            </w:pPr>
          </w:p>
          <w:p w:rsidR="006F6DFE" w:rsidP="00462A91" w:rsidRDefault="006F6DFE" w14:paraId="082E6147" w14:textId="77777777">
            <w:pPr>
              <w:jc w:val="center"/>
              <w:rPr>
                <w:color w:val="000000"/>
              </w:rPr>
            </w:pPr>
          </w:p>
          <w:p w:rsidR="006F6DFE" w:rsidP="00462A91" w:rsidRDefault="006F6DFE" w14:paraId="7368E264" w14:textId="77777777">
            <w:pPr>
              <w:jc w:val="center"/>
              <w:rPr>
                <w:color w:val="000000"/>
              </w:rPr>
            </w:pPr>
          </w:p>
          <w:p w:rsidR="006F6DFE" w:rsidP="00462A91" w:rsidRDefault="006F6DFE" w14:paraId="4271D8FC" w14:textId="77777777">
            <w:pPr>
              <w:jc w:val="center"/>
              <w:rPr>
                <w:color w:val="000000"/>
              </w:rPr>
            </w:pPr>
          </w:p>
          <w:p w:rsidR="006F6DFE" w:rsidP="00462A91" w:rsidRDefault="006F6DFE" w14:paraId="611FD7B1" w14:textId="77777777">
            <w:pPr>
              <w:jc w:val="center"/>
              <w:rPr>
                <w:color w:val="000000"/>
              </w:rPr>
            </w:pPr>
          </w:p>
          <w:p w:rsidR="006F6DFE" w:rsidP="00462A91" w:rsidRDefault="006F6DFE" w14:paraId="029F091A" w14:textId="77777777">
            <w:pPr>
              <w:jc w:val="center"/>
              <w:rPr>
                <w:color w:val="000000"/>
              </w:rPr>
            </w:pPr>
          </w:p>
          <w:p w:rsidR="006F6DFE" w:rsidP="00462A91" w:rsidRDefault="006F6DFE" w14:paraId="1408B268" w14:textId="77777777">
            <w:pPr>
              <w:jc w:val="center"/>
              <w:rPr>
                <w:color w:val="000000"/>
              </w:rPr>
            </w:pPr>
          </w:p>
          <w:p w:rsidR="006F6DFE" w:rsidP="00462A91" w:rsidRDefault="006F6DFE" w14:paraId="1C7970C1" w14:textId="77777777">
            <w:pPr>
              <w:jc w:val="center"/>
              <w:rPr>
                <w:color w:val="000000"/>
              </w:rPr>
            </w:pPr>
          </w:p>
          <w:p w:rsidR="006F6DFE" w:rsidP="00462A91" w:rsidRDefault="006F6DFE" w14:paraId="3A805E8B" w14:textId="77777777">
            <w:pPr>
              <w:jc w:val="center"/>
              <w:rPr>
                <w:color w:val="000000"/>
              </w:rPr>
            </w:pPr>
          </w:p>
          <w:p w:rsidR="006F6DFE" w:rsidP="00462A91" w:rsidRDefault="006F6DFE" w14:paraId="4D6DAC80" w14:textId="77777777">
            <w:pPr>
              <w:jc w:val="center"/>
              <w:rPr>
                <w:color w:val="000000"/>
              </w:rPr>
            </w:pPr>
          </w:p>
          <w:p w:rsidR="006F6DFE" w:rsidP="00462A91" w:rsidRDefault="006F6DFE" w14:paraId="4C27A4BF" w14:textId="77777777">
            <w:pPr>
              <w:jc w:val="center"/>
              <w:rPr>
                <w:color w:val="000000"/>
              </w:rPr>
            </w:pPr>
          </w:p>
          <w:p w:rsidR="006F6DFE" w:rsidP="00462A91" w:rsidRDefault="006F6DFE" w14:paraId="0B47C7A5" w14:textId="77777777">
            <w:pPr>
              <w:jc w:val="center"/>
              <w:rPr>
                <w:color w:val="000000"/>
              </w:rPr>
            </w:pPr>
          </w:p>
          <w:p w:rsidRPr="007F620E" w:rsidR="006F6DFE" w:rsidP="00462A91" w:rsidRDefault="006F6DFE" w14:paraId="56FD3368" w14:textId="15F348B7">
            <w:pPr>
              <w:jc w:val="center"/>
              <w:rPr>
                <w:color w:val="000000"/>
              </w:rPr>
            </w:pPr>
          </w:p>
        </w:tc>
      </w:tr>
      <w:tr w:rsidRPr="007F620E" w:rsidR="00115D30" w:rsidTr="007161CD" w14:paraId="52BED9A0" w14:textId="77777777">
        <w:tc>
          <w:tcPr>
            <w:tcW w:w="3258" w:type="dxa"/>
          </w:tcPr>
          <w:p w:rsidR="00115D30" w:rsidP="00542D57" w:rsidRDefault="007B1CF2" w14:paraId="460060C1" w14:textId="13B06D09">
            <w:pPr>
              <w:rPr>
                <w:b/>
                <w:bCs/>
                <w:color w:val="000000"/>
                <w:u w:val="single"/>
              </w:rPr>
            </w:pPr>
            <w:r>
              <w:rPr>
                <w:b/>
                <w:bCs/>
                <w:color w:val="000000"/>
                <w:u w:val="single"/>
              </w:rPr>
              <w:lastRenderedPageBreak/>
              <w:t>PTC e</w:t>
            </w:r>
            <w:r w:rsidR="005E26C3">
              <w:rPr>
                <w:b/>
                <w:bCs/>
                <w:color w:val="000000"/>
                <w:u w:val="single"/>
              </w:rPr>
              <w:t xml:space="preserve">xemptions </w:t>
            </w:r>
            <w:r w:rsidR="00F84031">
              <w:rPr>
                <w:b/>
                <w:bCs/>
                <w:color w:val="000000"/>
                <w:u w:val="single"/>
              </w:rPr>
              <w:t>cannot exceed</w:t>
            </w:r>
            <w:r w:rsidR="005E26C3">
              <w:rPr>
                <w:b/>
                <w:bCs/>
                <w:color w:val="000000"/>
                <w:u w:val="single"/>
              </w:rPr>
              <w:t xml:space="preserve"> CEQA</w:t>
            </w:r>
            <w:r>
              <w:rPr>
                <w:b/>
                <w:bCs/>
                <w:color w:val="000000"/>
                <w:u w:val="single"/>
              </w:rPr>
              <w:t xml:space="preserve"> exemptions</w:t>
            </w:r>
          </w:p>
          <w:p w:rsidR="005E26C3" w:rsidP="00542D57" w:rsidRDefault="005E26C3" w14:paraId="7A96A2CC" w14:textId="73EED1D3">
            <w:pPr>
              <w:rPr>
                <w:color w:val="000000"/>
              </w:rPr>
            </w:pPr>
            <w:r>
              <w:rPr>
                <w:color w:val="000000"/>
              </w:rPr>
              <w:t>PCF</w:t>
            </w:r>
            <w:r w:rsidR="000F4220">
              <w:rPr>
                <w:color w:val="000000"/>
              </w:rPr>
              <w:t xml:space="preserve"> enriched the Commission’s deliberations and the record and allowed the Commission to more fully consider the impact of the exemption provisions in GO 131</w:t>
            </w:r>
            <w:r w:rsidR="00FC6E38">
              <w:rPr>
                <w:color w:val="000000"/>
              </w:rPr>
              <w:t xml:space="preserve">, by </w:t>
            </w:r>
            <w:r w:rsidR="00F52CE3">
              <w:rPr>
                <w:color w:val="000000"/>
              </w:rPr>
              <w:t>provid</w:t>
            </w:r>
            <w:r w:rsidR="00FC6E38">
              <w:rPr>
                <w:color w:val="000000"/>
              </w:rPr>
              <w:t xml:space="preserve">ing </w:t>
            </w:r>
            <w:r w:rsidR="00F52CE3">
              <w:rPr>
                <w:color w:val="000000"/>
              </w:rPr>
              <w:t xml:space="preserve">detailed legal analysis </w:t>
            </w:r>
            <w:r w:rsidR="00FC6E38">
              <w:rPr>
                <w:color w:val="000000"/>
              </w:rPr>
              <w:t xml:space="preserve">showing </w:t>
            </w:r>
            <w:r w:rsidR="00F52CE3">
              <w:rPr>
                <w:color w:val="000000"/>
              </w:rPr>
              <w:t>that the exemptions to GO 131</w:t>
            </w:r>
            <w:r w:rsidR="00FC6E38">
              <w:rPr>
                <w:color w:val="000000"/>
              </w:rPr>
              <w:t xml:space="preserve"> do not reflect the exemptions to environmental review set forth in </w:t>
            </w:r>
            <w:r w:rsidR="00F52CE3">
              <w:rPr>
                <w:color w:val="000000"/>
              </w:rPr>
              <w:t>CEQA</w:t>
            </w:r>
            <w:r w:rsidR="00FC6E38">
              <w:rPr>
                <w:color w:val="000000"/>
              </w:rPr>
              <w:t xml:space="preserve">. </w:t>
            </w:r>
            <w:r w:rsidR="00F40D6E">
              <w:rPr>
                <w:color w:val="000000"/>
              </w:rPr>
              <w:t xml:space="preserve">The Commission clarified </w:t>
            </w:r>
            <w:r w:rsidR="001030CB">
              <w:rPr>
                <w:color w:val="000000"/>
              </w:rPr>
              <w:t xml:space="preserve">that it </w:t>
            </w:r>
            <w:r w:rsidR="00F40D6E">
              <w:rPr>
                <w:color w:val="000000"/>
              </w:rPr>
              <w:t xml:space="preserve">was not </w:t>
            </w:r>
            <w:r w:rsidR="008B48DD">
              <w:rPr>
                <w:color w:val="000000"/>
              </w:rPr>
              <w:t xml:space="preserve">attempting to modify </w:t>
            </w:r>
            <w:r w:rsidR="001030CB">
              <w:rPr>
                <w:color w:val="000000"/>
              </w:rPr>
              <w:t xml:space="preserve">the </w:t>
            </w:r>
            <w:r w:rsidR="008B48DD">
              <w:rPr>
                <w:color w:val="000000"/>
              </w:rPr>
              <w:t xml:space="preserve">CEQA exemptions, but rather that it was </w:t>
            </w:r>
            <w:r w:rsidR="001309F7">
              <w:rPr>
                <w:color w:val="000000"/>
              </w:rPr>
              <w:t>detailing the scenarios that CEQA does not apply at all</w:t>
            </w:r>
            <w:r w:rsidR="001B54C0">
              <w:rPr>
                <w:color w:val="000000"/>
              </w:rPr>
              <w:t xml:space="preserve">. </w:t>
            </w:r>
            <w:r w:rsidR="003D3937">
              <w:rPr>
                <w:color w:val="000000"/>
              </w:rPr>
              <w:t>Exposing the Commission’s</w:t>
            </w:r>
            <w:r w:rsidR="001B54C0">
              <w:rPr>
                <w:color w:val="000000"/>
              </w:rPr>
              <w:t xml:space="preserve"> legal analysis provided transparency </w:t>
            </w:r>
            <w:r w:rsidR="00C94CE8">
              <w:rPr>
                <w:color w:val="000000"/>
              </w:rPr>
              <w:t xml:space="preserve">and </w:t>
            </w:r>
            <w:r w:rsidR="001F71C9">
              <w:rPr>
                <w:color w:val="000000"/>
              </w:rPr>
              <w:t>could benefit the public should the Commission decline to require a PTC</w:t>
            </w:r>
            <w:r w:rsidR="002C17A0">
              <w:rPr>
                <w:color w:val="000000"/>
              </w:rPr>
              <w:t xml:space="preserve"> </w:t>
            </w:r>
            <w:r w:rsidR="001F71C9">
              <w:rPr>
                <w:color w:val="000000"/>
              </w:rPr>
              <w:t>in the fut</w:t>
            </w:r>
            <w:r w:rsidR="00F91473">
              <w:rPr>
                <w:color w:val="000000"/>
              </w:rPr>
              <w:t>u</w:t>
            </w:r>
            <w:r w:rsidR="001F71C9">
              <w:rPr>
                <w:color w:val="000000"/>
              </w:rPr>
              <w:t>re</w:t>
            </w:r>
            <w:r w:rsidR="002C17A0">
              <w:rPr>
                <w:color w:val="000000"/>
              </w:rPr>
              <w:t xml:space="preserve"> where it would otherwise have been required</w:t>
            </w:r>
            <w:r w:rsidR="00AE07F3">
              <w:rPr>
                <w:color w:val="000000"/>
              </w:rPr>
              <w:t xml:space="preserve"> under CEQA</w:t>
            </w:r>
            <w:r w:rsidR="001309F7">
              <w:rPr>
                <w:color w:val="000000"/>
              </w:rPr>
              <w:t xml:space="preserve">. </w:t>
            </w:r>
            <w:r w:rsidR="00FC6E38">
              <w:rPr>
                <w:color w:val="000000"/>
              </w:rPr>
              <w:t>Although the Commission did not adopt exemptions consistent with CEQA</w:t>
            </w:r>
            <w:r w:rsidR="00F632E8">
              <w:rPr>
                <w:color w:val="000000"/>
              </w:rPr>
              <w:t xml:space="preserve"> as PCF recommended</w:t>
            </w:r>
            <w:r w:rsidR="00FC6E38">
              <w:rPr>
                <w:color w:val="000000"/>
              </w:rPr>
              <w:t>, the Commission</w:t>
            </w:r>
            <w:r w:rsidR="00DE6A08">
              <w:rPr>
                <w:color w:val="000000"/>
              </w:rPr>
              <w:t xml:space="preserve"> </w:t>
            </w:r>
            <w:r w:rsidR="007B1CF2">
              <w:rPr>
                <w:color w:val="000000"/>
              </w:rPr>
              <w:t xml:space="preserve">acknowledged its </w:t>
            </w:r>
            <w:r w:rsidR="006C57D1">
              <w:rPr>
                <w:color w:val="000000"/>
              </w:rPr>
              <w:t xml:space="preserve">responsibility for </w:t>
            </w:r>
            <w:r w:rsidR="007B1CF2">
              <w:rPr>
                <w:color w:val="000000"/>
              </w:rPr>
              <w:t xml:space="preserve">ascertaining CEQA exemptions and </w:t>
            </w:r>
            <w:r w:rsidR="00EB70B9">
              <w:rPr>
                <w:color w:val="000000"/>
              </w:rPr>
              <w:t>that the Utilities cannot unilater</w:t>
            </w:r>
            <w:r w:rsidR="00366652">
              <w:rPr>
                <w:color w:val="000000"/>
              </w:rPr>
              <w:t>ally decide not to conduct environmental review.</w:t>
            </w:r>
          </w:p>
          <w:p w:rsidRPr="005E26C3" w:rsidR="00366652" w:rsidP="00542D57" w:rsidRDefault="00366652" w14:paraId="683D9749" w14:textId="3A4C3188">
            <w:pPr>
              <w:rPr>
                <w:color w:val="000000"/>
              </w:rPr>
            </w:pPr>
          </w:p>
        </w:tc>
        <w:tc>
          <w:tcPr>
            <w:tcW w:w="4140" w:type="dxa"/>
          </w:tcPr>
          <w:p w:rsidRPr="00115D30" w:rsidR="00115D30" w:rsidP="00115D30" w:rsidRDefault="005E26C3" w14:paraId="5BBBCE09" w14:textId="36BE0042">
            <w:pPr>
              <w:rPr>
                <w:color w:val="000000"/>
              </w:rPr>
            </w:pPr>
            <w:r>
              <w:rPr>
                <w:color w:val="000000"/>
              </w:rPr>
              <w:t>“</w:t>
            </w:r>
            <w:r w:rsidRPr="00115D30" w:rsidR="00115D30">
              <w:rPr>
                <w:color w:val="000000"/>
              </w:rPr>
              <w:t>The last paragraph of Section III.B.1 states that a notice of proposed</w:t>
            </w:r>
          </w:p>
          <w:p w:rsidR="00115D30" w:rsidP="005E26C3" w:rsidRDefault="00115D30" w14:paraId="6D79F2C4" w14:textId="77777777">
            <w:pPr>
              <w:rPr>
                <w:color w:val="000000"/>
              </w:rPr>
            </w:pPr>
            <w:r w:rsidRPr="00115D30">
              <w:rPr>
                <w:color w:val="000000"/>
              </w:rPr>
              <w:t>construction must be issued for most PTC-exempt projects in compliance with</w:t>
            </w:r>
            <w:r w:rsidR="005E26C3">
              <w:rPr>
                <w:color w:val="000000"/>
              </w:rPr>
              <w:t xml:space="preserve"> </w:t>
            </w:r>
            <w:r w:rsidRPr="00115D30">
              <w:rPr>
                <w:color w:val="000000"/>
              </w:rPr>
              <w:t>Section IX.B, except for those that are statutorily or categorically exempt from</w:t>
            </w:r>
            <w:r w:rsidR="005E26C3">
              <w:rPr>
                <w:color w:val="000000"/>
              </w:rPr>
              <w:t xml:space="preserve"> </w:t>
            </w:r>
            <w:r w:rsidRPr="00115D30">
              <w:rPr>
                <w:color w:val="000000"/>
              </w:rPr>
              <w:t>CEQA. Reading these Section III.B.1 provisions together could lead a utility to</w:t>
            </w:r>
            <w:r w:rsidR="005E26C3">
              <w:rPr>
                <w:color w:val="000000"/>
              </w:rPr>
              <w:t xml:space="preserve"> </w:t>
            </w:r>
            <w:r w:rsidRPr="00115D30">
              <w:rPr>
                <w:color w:val="000000"/>
              </w:rPr>
              <w:t>initially determining that a project is statutorily or categorically exempt from</w:t>
            </w:r>
            <w:r w:rsidR="005E26C3">
              <w:rPr>
                <w:color w:val="000000"/>
              </w:rPr>
              <w:t xml:space="preserve"> </w:t>
            </w:r>
            <w:r w:rsidRPr="00115D30">
              <w:rPr>
                <w:color w:val="000000"/>
              </w:rPr>
              <w:t>CEQA, and subsequently determining that it is not subject to noticing</w:t>
            </w:r>
            <w:r w:rsidR="005E26C3">
              <w:rPr>
                <w:color w:val="000000"/>
              </w:rPr>
              <w:t xml:space="preserve"> </w:t>
            </w:r>
            <w:r w:rsidRPr="00115D30">
              <w:rPr>
                <w:color w:val="000000"/>
              </w:rPr>
              <w:t>requirements. Such reading is not consistent with the CEQA Guidelines that</w:t>
            </w:r>
            <w:r w:rsidR="005E26C3">
              <w:rPr>
                <w:color w:val="000000"/>
              </w:rPr>
              <w:t xml:space="preserve"> </w:t>
            </w:r>
            <w:r w:rsidRPr="00115D30">
              <w:rPr>
                <w:color w:val="000000"/>
              </w:rPr>
              <w:t>place responsibility for making these determinations with lead agencies.</w:t>
            </w:r>
            <w:r w:rsidR="005E26C3">
              <w:rPr>
                <w:color w:val="000000"/>
              </w:rPr>
              <w:t>” D.25-01-055, p. 99.</w:t>
            </w:r>
          </w:p>
          <w:p w:rsidR="00965E0D" w:rsidP="005E26C3" w:rsidRDefault="00965E0D" w14:paraId="354131F5" w14:textId="77777777">
            <w:pPr>
              <w:rPr>
                <w:color w:val="000000"/>
              </w:rPr>
            </w:pPr>
          </w:p>
          <w:p w:rsidR="000D51A5" w:rsidP="000D51A5" w:rsidRDefault="000D51A5" w14:paraId="6ABE34B2" w14:textId="77777777">
            <w:pPr>
              <w:rPr>
                <w:color w:val="000000"/>
              </w:rPr>
            </w:pPr>
            <w:r>
              <w:rPr>
                <w:color w:val="000000"/>
              </w:rPr>
              <w:t>“</w:t>
            </w:r>
            <w:r w:rsidRPr="00E315AB">
              <w:rPr>
                <w:color w:val="000000"/>
              </w:rPr>
              <w:t>Applicants allege that certain PTC exemptions adopted by the Decision improperly expand the project exemptions outlined in the CEQA Guidelines.</w:t>
            </w:r>
            <w:r>
              <w:rPr>
                <w:color w:val="000000"/>
              </w:rPr>
              <w:t>” D.25-07-042, p. 17.</w:t>
            </w:r>
          </w:p>
          <w:p w:rsidR="000D51A5" w:rsidP="005E26C3" w:rsidRDefault="000D51A5" w14:paraId="002A1D99" w14:textId="77777777">
            <w:pPr>
              <w:rPr>
                <w:color w:val="000000"/>
              </w:rPr>
            </w:pPr>
          </w:p>
          <w:p w:rsidR="00965E0D" w:rsidP="005E26C3" w:rsidRDefault="003D3937" w14:paraId="563BCC8A" w14:textId="1B7F6D6F">
            <w:pPr>
              <w:rPr>
                <w:color w:val="000000"/>
              </w:rPr>
            </w:pPr>
            <w:r>
              <w:rPr>
                <w:color w:val="000000"/>
              </w:rPr>
              <w:t>“…</w:t>
            </w:r>
            <w:r w:rsidRPr="00965E0D" w:rsidR="00965E0D">
              <w:rPr>
                <w:color w:val="000000"/>
              </w:rPr>
              <w:t>none of these provisions modify CEQA. Instead, they govern which projects require our approval (and only then CEQA action).</w:t>
            </w:r>
            <w:r w:rsidR="00A36C4B">
              <w:rPr>
                <w:color w:val="000000"/>
              </w:rPr>
              <w:t xml:space="preserve"> </w:t>
            </w:r>
            <w:r w:rsidRPr="00A36C4B" w:rsidR="00A36C4B">
              <w:rPr>
                <w:color w:val="000000"/>
              </w:rPr>
              <w:t>Whether GO 131-E’s exemptions are more or less broad than CEQA exemptions is irrelevant</w:t>
            </w:r>
            <w:r w:rsidR="00201198">
              <w:rPr>
                <w:color w:val="000000"/>
              </w:rPr>
              <w:t>…</w:t>
            </w:r>
            <w:r w:rsidRPr="00201198" w:rsidR="00201198">
              <w:rPr>
                <w:color w:val="000000"/>
                <w:sz w:val="26"/>
                <w:szCs w:val="26"/>
              </w:rPr>
              <w:t xml:space="preserve"> </w:t>
            </w:r>
            <w:r w:rsidRPr="00201198" w:rsidR="00201198">
              <w:rPr>
                <w:color w:val="000000"/>
              </w:rPr>
              <w:t xml:space="preserve">Unlike </w:t>
            </w:r>
            <w:r w:rsidRPr="00201198" w:rsidR="00201198">
              <w:rPr>
                <w:i/>
                <w:iCs/>
                <w:color w:val="000000"/>
              </w:rPr>
              <w:t>UMMP</w:t>
            </w:r>
            <w:r w:rsidRPr="00201198" w:rsidR="00201198">
              <w:rPr>
                <w:color w:val="000000"/>
              </w:rPr>
              <w:t>, GO 131-E does not authorize any transmission projects. Instead, GO 131-E sets out the permitting requirements and our CEQA obligations for any future projects</w:t>
            </w:r>
            <w:r w:rsidR="00A65F9D">
              <w:rPr>
                <w:color w:val="000000"/>
              </w:rPr>
              <w:t>…</w:t>
            </w:r>
            <w:r w:rsidRPr="00C62EF3" w:rsidR="00A65F9D">
              <w:rPr>
                <w:color w:val="000000"/>
              </w:rPr>
              <w:t>GO 131-E explicitly subjects us to performing environmental review as necessary</w:t>
            </w:r>
            <w:r w:rsidRPr="00201198" w:rsidR="00201198">
              <w:rPr>
                <w:color w:val="000000"/>
              </w:rPr>
              <w:t>.</w:t>
            </w:r>
            <w:r w:rsidR="00797A90">
              <w:rPr>
                <w:color w:val="000000"/>
              </w:rPr>
              <w:t>” D.25-07-42, p. 18</w:t>
            </w:r>
            <w:r w:rsidR="007309D8">
              <w:rPr>
                <w:color w:val="000000"/>
              </w:rPr>
              <w:t>-20</w:t>
            </w:r>
            <w:r w:rsidR="00797A90">
              <w:rPr>
                <w:color w:val="000000"/>
              </w:rPr>
              <w:t>.</w:t>
            </w:r>
          </w:p>
          <w:p w:rsidR="00777D79" w:rsidP="005E26C3" w:rsidRDefault="004718B7" w14:paraId="0AC6272E" w14:textId="67872014">
            <w:pPr>
              <w:rPr>
                <w:color w:val="000000"/>
              </w:rPr>
            </w:pPr>
            <w:r>
              <w:rPr>
                <w:color w:val="000000"/>
              </w:rPr>
              <w:t>PCF</w:t>
            </w:r>
            <w:r w:rsidR="002B0ACA">
              <w:rPr>
                <w:color w:val="000000"/>
              </w:rPr>
              <w:t xml:space="preserve">, Center, Clean Coalition </w:t>
            </w:r>
            <w:r w:rsidR="00CE38DF">
              <w:rPr>
                <w:color w:val="000000"/>
              </w:rPr>
              <w:t xml:space="preserve">Opening Comments on Phase 2 Issues (February 5, 2024), p. </w:t>
            </w:r>
            <w:r w:rsidR="005D734F">
              <w:rPr>
                <w:color w:val="000000"/>
              </w:rPr>
              <w:t>4</w:t>
            </w:r>
            <w:r w:rsidR="00937605">
              <w:rPr>
                <w:color w:val="000000"/>
              </w:rPr>
              <w:t xml:space="preserve">; Center and PCF </w:t>
            </w:r>
            <w:r w:rsidR="004812F4">
              <w:rPr>
                <w:color w:val="000000"/>
              </w:rPr>
              <w:t xml:space="preserve">Comments on Phase 2 Staff Proposal </w:t>
            </w:r>
            <w:r w:rsidR="004812F4">
              <w:rPr>
                <w:color w:val="000000"/>
              </w:rPr>
              <w:lastRenderedPageBreak/>
              <w:t>(July 1, 202</w:t>
            </w:r>
            <w:r w:rsidR="005246D1">
              <w:rPr>
                <w:color w:val="000000"/>
              </w:rPr>
              <w:t xml:space="preserve">4), p. </w:t>
            </w:r>
            <w:r w:rsidR="000F4A49">
              <w:rPr>
                <w:color w:val="000000"/>
              </w:rPr>
              <w:t>3</w:t>
            </w:r>
            <w:r w:rsidR="00F16C76">
              <w:rPr>
                <w:color w:val="000000"/>
              </w:rPr>
              <w:t>, 21</w:t>
            </w:r>
            <w:r w:rsidR="003B4D24">
              <w:rPr>
                <w:color w:val="000000"/>
              </w:rPr>
              <w:t>; PCF and Center Opening Comments on Phase 2 PD (</w:t>
            </w:r>
            <w:r w:rsidR="008354BF">
              <w:rPr>
                <w:color w:val="000000"/>
              </w:rPr>
              <w:t>January 16, 2025), p. 11</w:t>
            </w:r>
            <w:r w:rsidR="006A37AF">
              <w:rPr>
                <w:color w:val="000000"/>
              </w:rPr>
              <w:t xml:space="preserve">-12; </w:t>
            </w:r>
            <w:r w:rsidR="00550DFC">
              <w:rPr>
                <w:color w:val="000000"/>
              </w:rPr>
              <w:t xml:space="preserve">Joint </w:t>
            </w:r>
            <w:proofErr w:type="spellStart"/>
            <w:r w:rsidR="00550DFC">
              <w:rPr>
                <w:color w:val="000000"/>
              </w:rPr>
              <w:t>AfR</w:t>
            </w:r>
            <w:proofErr w:type="spellEnd"/>
            <w:r w:rsidR="00550DFC">
              <w:rPr>
                <w:color w:val="000000"/>
              </w:rPr>
              <w:t xml:space="preserve"> of D.25-01-055, p. 28</w:t>
            </w:r>
            <w:r w:rsidR="00501160">
              <w:rPr>
                <w:color w:val="000000"/>
              </w:rPr>
              <w:t>-30.</w:t>
            </w:r>
          </w:p>
          <w:p w:rsidR="00F56832" w:rsidP="005E26C3" w:rsidRDefault="00F56832" w14:paraId="1DE1C954" w14:textId="153D26D9">
            <w:pPr>
              <w:rPr>
                <w:color w:val="000000"/>
              </w:rPr>
            </w:pPr>
          </w:p>
        </w:tc>
        <w:tc>
          <w:tcPr>
            <w:tcW w:w="1957" w:type="dxa"/>
          </w:tcPr>
          <w:p w:rsidR="00115D30" w:rsidP="00462A91" w:rsidRDefault="00115D30" w14:paraId="6D8D28B2" w14:textId="77777777">
            <w:pPr>
              <w:jc w:val="center"/>
              <w:rPr>
                <w:color w:val="000000"/>
              </w:rPr>
            </w:pPr>
          </w:p>
          <w:p w:rsidR="007E23D3" w:rsidP="00462A91" w:rsidRDefault="007E23D3" w14:paraId="6A7408BF" w14:textId="77777777">
            <w:pPr>
              <w:jc w:val="center"/>
              <w:rPr>
                <w:color w:val="000000"/>
              </w:rPr>
            </w:pPr>
          </w:p>
          <w:p w:rsidR="007E23D3" w:rsidP="00462A91" w:rsidRDefault="007E23D3" w14:paraId="5B4C3B24" w14:textId="77777777">
            <w:pPr>
              <w:jc w:val="center"/>
              <w:rPr>
                <w:color w:val="000000"/>
              </w:rPr>
            </w:pPr>
          </w:p>
          <w:p w:rsidR="007E23D3" w:rsidP="00462A91" w:rsidRDefault="007E23D3" w14:paraId="24CF2695" w14:textId="77777777">
            <w:pPr>
              <w:jc w:val="center"/>
              <w:rPr>
                <w:color w:val="000000"/>
              </w:rPr>
            </w:pPr>
          </w:p>
          <w:p w:rsidR="007E23D3" w:rsidP="00462A91" w:rsidRDefault="007E23D3" w14:paraId="5C29CF7E" w14:textId="77777777">
            <w:pPr>
              <w:jc w:val="center"/>
              <w:rPr>
                <w:color w:val="000000"/>
              </w:rPr>
            </w:pPr>
          </w:p>
          <w:p w:rsidR="007E23D3" w:rsidP="00462A91" w:rsidRDefault="005F7AAA" w14:paraId="59C70FE8" w14:textId="0C1219A5">
            <w:pPr>
              <w:jc w:val="center"/>
              <w:rPr>
                <w:color w:val="000000"/>
              </w:rPr>
            </w:pPr>
            <w:r>
              <w:rPr>
                <w:color w:val="000000"/>
              </w:rPr>
              <w:t>Verified</w:t>
            </w:r>
            <w:r w:rsidR="00A5202F">
              <w:rPr>
                <w:color w:val="000000"/>
              </w:rPr>
              <w:t xml:space="preserve">, however, as noted by PCF, </w:t>
            </w:r>
            <w:r w:rsidR="00867F7B">
              <w:rPr>
                <w:color w:val="000000"/>
              </w:rPr>
              <w:t>the Commission did not adopt PCF’s recommendations with D.25-07-042 stating ”</w:t>
            </w:r>
            <w:r w:rsidRPr="00867F7B" w:rsidR="00867F7B">
              <w:rPr>
                <w:color w:val="000000"/>
              </w:rPr>
              <w:t>Whether GO 131-E’s exemptions are more or less broad than CEQA exemptions is irrelevant</w:t>
            </w:r>
            <w:r w:rsidR="00867F7B">
              <w:rPr>
                <w:color w:val="000000"/>
              </w:rPr>
              <w:t>” at page 18</w:t>
            </w:r>
            <w:r w:rsidR="00A37762">
              <w:rPr>
                <w:color w:val="000000"/>
              </w:rPr>
              <w:t xml:space="preserve">. We remind PCF </w:t>
            </w:r>
            <w:r w:rsidR="0051174B">
              <w:rPr>
                <w:color w:val="000000"/>
              </w:rPr>
              <w:t xml:space="preserve">that </w:t>
            </w:r>
            <w:r w:rsidR="00A37762">
              <w:rPr>
                <w:color w:val="000000"/>
              </w:rPr>
              <w:t>“enriching the deliberations and record” do</w:t>
            </w:r>
            <w:r w:rsidR="0051174B">
              <w:rPr>
                <w:color w:val="000000"/>
              </w:rPr>
              <w:t>es</w:t>
            </w:r>
            <w:r w:rsidR="00A37762">
              <w:rPr>
                <w:color w:val="000000"/>
              </w:rPr>
              <w:t xml:space="preserve"> not, in and of themselves, constitute a substantial contribution, particularly when the record </w:t>
            </w:r>
            <w:r w:rsidR="002362CF">
              <w:rPr>
                <w:color w:val="000000"/>
              </w:rPr>
              <w:t xml:space="preserve">conveys the relevancy of the position. We, therefore, reduce the hours associated with the CEQA/GO-131 exemptions. </w:t>
            </w:r>
            <w:r w:rsidR="002362CF">
              <w:rPr>
                <w:i/>
                <w:iCs/>
                <w:color w:val="000000"/>
              </w:rPr>
              <w:t xml:space="preserve">See </w:t>
            </w:r>
            <w:r w:rsidR="002362CF">
              <w:rPr>
                <w:color w:val="000000"/>
              </w:rPr>
              <w:t>Part III.D[6] for more details.</w:t>
            </w:r>
            <w:r w:rsidR="00867F7B">
              <w:rPr>
                <w:color w:val="000000"/>
              </w:rPr>
              <w:t xml:space="preserve"> </w:t>
            </w:r>
          </w:p>
          <w:p w:rsidR="005F7AAA" w:rsidP="00462A91" w:rsidRDefault="005F7AAA" w14:paraId="31B6BDDB" w14:textId="77777777">
            <w:pPr>
              <w:jc w:val="center"/>
              <w:rPr>
                <w:color w:val="000000"/>
              </w:rPr>
            </w:pPr>
          </w:p>
          <w:p w:rsidR="005F7AAA" w:rsidP="00462A91" w:rsidRDefault="005F7AAA" w14:paraId="36BF82BD" w14:textId="77777777">
            <w:pPr>
              <w:jc w:val="center"/>
              <w:rPr>
                <w:color w:val="000000"/>
              </w:rPr>
            </w:pPr>
          </w:p>
          <w:p w:rsidR="005F7AAA" w:rsidP="00462A91" w:rsidRDefault="005F7AAA" w14:paraId="6F08DB4E" w14:textId="77777777">
            <w:pPr>
              <w:jc w:val="center"/>
              <w:rPr>
                <w:color w:val="000000"/>
              </w:rPr>
            </w:pPr>
          </w:p>
          <w:p w:rsidR="005F7AAA" w:rsidP="00462A91" w:rsidRDefault="005F7AAA" w14:paraId="36DFC548" w14:textId="77777777">
            <w:pPr>
              <w:jc w:val="center"/>
              <w:rPr>
                <w:color w:val="000000"/>
              </w:rPr>
            </w:pPr>
          </w:p>
          <w:p w:rsidR="005F7AAA" w:rsidP="00462A91" w:rsidRDefault="005F7AAA" w14:paraId="38A55D40" w14:textId="77777777">
            <w:pPr>
              <w:jc w:val="center"/>
              <w:rPr>
                <w:color w:val="000000"/>
              </w:rPr>
            </w:pPr>
          </w:p>
          <w:p w:rsidR="005F7AAA" w:rsidP="00462A91" w:rsidRDefault="005F7AAA" w14:paraId="39D57205" w14:textId="77777777">
            <w:pPr>
              <w:jc w:val="center"/>
              <w:rPr>
                <w:color w:val="000000"/>
              </w:rPr>
            </w:pPr>
          </w:p>
          <w:p w:rsidR="005F7AAA" w:rsidP="00462A91" w:rsidRDefault="005F7AAA" w14:paraId="7D960C55" w14:textId="77777777">
            <w:pPr>
              <w:jc w:val="center"/>
              <w:rPr>
                <w:color w:val="000000"/>
              </w:rPr>
            </w:pPr>
          </w:p>
          <w:p w:rsidR="005F7AAA" w:rsidP="00462A91" w:rsidRDefault="005F7AAA" w14:paraId="19E9BA8D" w14:textId="77777777">
            <w:pPr>
              <w:jc w:val="center"/>
              <w:rPr>
                <w:color w:val="000000"/>
              </w:rPr>
            </w:pPr>
          </w:p>
          <w:p w:rsidR="005F7AAA" w:rsidP="00462A91" w:rsidRDefault="005F7AAA" w14:paraId="2917DD0F" w14:textId="77777777">
            <w:pPr>
              <w:jc w:val="center"/>
              <w:rPr>
                <w:color w:val="000000"/>
              </w:rPr>
            </w:pPr>
          </w:p>
          <w:p w:rsidR="005F7AAA" w:rsidP="00462A91" w:rsidRDefault="005F7AAA" w14:paraId="70AE53E2" w14:textId="77777777">
            <w:pPr>
              <w:jc w:val="center"/>
              <w:rPr>
                <w:color w:val="000000"/>
              </w:rPr>
            </w:pPr>
          </w:p>
          <w:p w:rsidR="005F7AAA" w:rsidP="00462A91" w:rsidRDefault="005F7AAA" w14:paraId="05ACFBF4" w14:textId="77777777">
            <w:pPr>
              <w:jc w:val="center"/>
              <w:rPr>
                <w:color w:val="000000"/>
              </w:rPr>
            </w:pPr>
          </w:p>
          <w:p w:rsidR="005F7AAA" w:rsidP="00462A91" w:rsidRDefault="005F7AAA" w14:paraId="3BDB8FD0" w14:textId="77777777">
            <w:pPr>
              <w:jc w:val="center"/>
              <w:rPr>
                <w:color w:val="000000"/>
              </w:rPr>
            </w:pPr>
          </w:p>
          <w:p w:rsidR="005F7AAA" w:rsidP="00462A91" w:rsidRDefault="005F7AAA" w14:paraId="492DB75A" w14:textId="77777777">
            <w:pPr>
              <w:jc w:val="center"/>
              <w:rPr>
                <w:color w:val="000000"/>
              </w:rPr>
            </w:pPr>
          </w:p>
          <w:p w:rsidR="005F7AAA" w:rsidP="00462A91" w:rsidRDefault="005F7AAA" w14:paraId="1B2E3E2B" w14:textId="77777777">
            <w:pPr>
              <w:jc w:val="center"/>
              <w:rPr>
                <w:color w:val="000000"/>
              </w:rPr>
            </w:pPr>
          </w:p>
          <w:p w:rsidRPr="007F620E" w:rsidR="005F7AAA" w:rsidP="00462A91" w:rsidRDefault="005F7AAA" w14:paraId="79F54E04" w14:textId="33C8EE14">
            <w:pPr>
              <w:jc w:val="center"/>
              <w:rPr>
                <w:color w:val="000000"/>
              </w:rPr>
            </w:pPr>
          </w:p>
        </w:tc>
      </w:tr>
      <w:tr w:rsidRPr="007F620E" w:rsidR="00542D57" w:rsidTr="007161CD" w14:paraId="5E45621D" w14:textId="77777777">
        <w:tc>
          <w:tcPr>
            <w:tcW w:w="3258" w:type="dxa"/>
          </w:tcPr>
          <w:p w:rsidRPr="0042583C" w:rsidR="00542D57" w:rsidP="00542D57" w:rsidRDefault="00542D57" w14:paraId="22E0C60C" w14:textId="718F5A60">
            <w:pPr>
              <w:rPr>
                <w:b/>
                <w:bCs/>
                <w:color w:val="000000"/>
                <w:u w:val="single"/>
              </w:rPr>
            </w:pPr>
            <w:r>
              <w:rPr>
                <w:b/>
                <w:bCs/>
                <w:color w:val="000000"/>
                <w:u w:val="single"/>
              </w:rPr>
              <w:lastRenderedPageBreak/>
              <w:t xml:space="preserve">CEQA </w:t>
            </w:r>
            <w:r w:rsidR="00F11B70">
              <w:rPr>
                <w:b/>
                <w:bCs/>
                <w:color w:val="000000"/>
                <w:u w:val="single"/>
              </w:rPr>
              <w:t>time</w:t>
            </w:r>
            <w:r w:rsidR="008568D5">
              <w:rPr>
                <w:b/>
                <w:bCs/>
                <w:color w:val="000000"/>
                <w:u w:val="single"/>
              </w:rPr>
              <w:t>frames</w:t>
            </w:r>
          </w:p>
          <w:p w:rsidR="00542D57" w:rsidP="004B05E8" w:rsidRDefault="00542D57" w14:paraId="232AF292" w14:textId="4F85EA17">
            <w:pPr>
              <w:rPr>
                <w:color w:val="000000"/>
              </w:rPr>
            </w:pPr>
            <w:r>
              <w:rPr>
                <w:color w:val="000000"/>
              </w:rPr>
              <w:t xml:space="preserve">The Commission adopted </w:t>
            </w:r>
            <w:r w:rsidR="00270399">
              <w:rPr>
                <w:color w:val="000000"/>
              </w:rPr>
              <w:t>the</w:t>
            </w:r>
            <w:r w:rsidR="004B05E8">
              <w:rPr>
                <w:color w:val="000000"/>
              </w:rPr>
              <w:t xml:space="preserve"> </w:t>
            </w:r>
            <w:r>
              <w:rPr>
                <w:color w:val="000000"/>
              </w:rPr>
              <w:t>recommendation</w:t>
            </w:r>
            <w:r w:rsidR="00270399">
              <w:rPr>
                <w:color w:val="000000"/>
              </w:rPr>
              <w:t>s by PCF and Center</w:t>
            </w:r>
            <w:r>
              <w:rPr>
                <w:color w:val="000000"/>
              </w:rPr>
              <w:t xml:space="preserve"> to approve Staff Proposal Section 3.8, Proposal 1</w:t>
            </w:r>
            <w:r w:rsidR="00B6567C">
              <w:rPr>
                <w:color w:val="000000"/>
              </w:rPr>
              <w:t xml:space="preserve">, </w:t>
            </w:r>
            <w:r w:rsidR="008568D5">
              <w:rPr>
                <w:color w:val="000000"/>
              </w:rPr>
              <w:t xml:space="preserve">and </w:t>
            </w:r>
            <w:r>
              <w:rPr>
                <w:color w:val="000000"/>
              </w:rPr>
              <w:t xml:space="preserve">to reject </w:t>
            </w:r>
            <w:r w:rsidR="00B6567C">
              <w:rPr>
                <w:color w:val="000000"/>
              </w:rPr>
              <w:t>Section 3.8</w:t>
            </w:r>
            <w:r w:rsidR="00F579D2">
              <w:rPr>
                <w:color w:val="000000"/>
              </w:rPr>
              <w:t>,</w:t>
            </w:r>
            <w:r w:rsidR="00B6567C">
              <w:rPr>
                <w:color w:val="000000"/>
              </w:rPr>
              <w:t xml:space="preserve"> </w:t>
            </w:r>
            <w:r>
              <w:rPr>
                <w:color w:val="000000"/>
              </w:rPr>
              <w:t xml:space="preserve">Proposal </w:t>
            </w:r>
            <w:r w:rsidR="004B05E8">
              <w:rPr>
                <w:color w:val="000000"/>
              </w:rPr>
              <w:t>3</w:t>
            </w:r>
            <w:r w:rsidR="008568D5">
              <w:rPr>
                <w:color w:val="000000"/>
              </w:rPr>
              <w:t xml:space="preserve">, </w:t>
            </w:r>
            <w:r w:rsidR="00A33B24">
              <w:rPr>
                <w:color w:val="000000"/>
              </w:rPr>
              <w:t xml:space="preserve">in </w:t>
            </w:r>
            <w:r w:rsidR="008568D5">
              <w:rPr>
                <w:color w:val="000000"/>
              </w:rPr>
              <w:t>compliance with the timeframes set forth in CEQA.</w:t>
            </w:r>
          </w:p>
        </w:tc>
        <w:tc>
          <w:tcPr>
            <w:tcW w:w="4140" w:type="dxa"/>
          </w:tcPr>
          <w:p w:rsidR="00542D57" w:rsidP="00542D57" w:rsidRDefault="00542D57" w14:paraId="416AE476" w14:textId="79255882">
            <w:pPr>
              <w:rPr>
                <w:color w:val="000000"/>
              </w:rPr>
            </w:pPr>
            <w:r>
              <w:rPr>
                <w:color w:val="000000"/>
              </w:rPr>
              <w:t>“</w:t>
            </w:r>
            <w:r w:rsidRPr="001F54B5">
              <w:rPr>
                <w:color w:val="000000"/>
              </w:rPr>
              <w:t>Cal Advocates, CBD, and PCF agree with Staff’s</w:t>
            </w:r>
            <w:r>
              <w:rPr>
                <w:color w:val="000000"/>
              </w:rPr>
              <w:t xml:space="preserve"> </w:t>
            </w:r>
            <w:r w:rsidRPr="001F54B5">
              <w:rPr>
                <w:color w:val="000000"/>
              </w:rPr>
              <w:t>determination that Staff Proposal Section 3.8, Proposal 1 is consistent with the</w:t>
            </w:r>
            <w:r>
              <w:rPr>
                <w:color w:val="000000"/>
              </w:rPr>
              <w:t xml:space="preserve"> </w:t>
            </w:r>
            <w:r w:rsidRPr="001F54B5">
              <w:rPr>
                <w:color w:val="000000"/>
              </w:rPr>
              <w:t>time limits for EIR preparation listed in the CEQA Guidelines.</w:t>
            </w:r>
            <w:r>
              <w:rPr>
                <w:color w:val="000000"/>
              </w:rPr>
              <w:t>” D.25-01-055, p. 44.</w:t>
            </w:r>
          </w:p>
          <w:p w:rsidR="00542D57" w:rsidP="00542D57" w:rsidRDefault="00542D57" w14:paraId="5F8E0A7C" w14:textId="77777777">
            <w:pPr>
              <w:rPr>
                <w:color w:val="000000"/>
              </w:rPr>
            </w:pPr>
          </w:p>
          <w:p w:rsidRPr="00B973DE" w:rsidR="00542D57" w:rsidP="00542D57" w:rsidRDefault="00542D57" w14:paraId="4832D4E8" w14:textId="77777777">
            <w:pPr>
              <w:rPr>
                <w:color w:val="000000"/>
              </w:rPr>
            </w:pPr>
            <w:r>
              <w:rPr>
                <w:color w:val="000000"/>
              </w:rPr>
              <w:t>“</w:t>
            </w:r>
            <w:r w:rsidRPr="00B973DE">
              <w:rPr>
                <w:color w:val="000000"/>
              </w:rPr>
              <w:t>Staff Proposal Section 3.8, Proposal 1 and related GO 131-D revisions, as</w:t>
            </w:r>
          </w:p>
          <w:p w:rsidR="00542D57" w:rsidP="00542D57" w:rsidRDefault="00542D57" w14:paraId="4F6D760B" w14:textId="77777777">
            <w:pPr>
              <w:rPr>
                <w:color w:val="000000"/>
              </w:rPr>
            </w:pPr>
            <w:r w:rsidRPr="00B973DE">
              <w:rPr>
                <w:color w:val="000000"/>
              </w:rPr>
              <w:t>reflected in Attachment B to this decision (modifying GO 131-D Section XVI,</w:t>
            </w:r>
            <w:r>
              <w:rPr>
                <w:color w:val="000000"/>
              </w:rPr>
              <w:t xml:space="preserve"> </w:t>
            </w:r>
            <w:r w:rsidRPr="00B973DE">
              <w:rPr>
                <w:color w:val="000000"/>
              </w:rPr>
              <w:t>which would be GO 131-E Section XIII, to clarify that the Commission is subject</w:t>
            </w:r>
            <w:r>
              <w:rPr>
                <w:color w:val="000000"/>
              </w:rPr>
              <w:t xml:space="preserve"> </w:t>
            </w:r>
            <w:r w:rsidRPr="00B973DE">
              <w:rPr>
                <w:color w:val="000000"/>
              </w:rPr>
              <w:t>to the timeframes and deadlines set in CEQA and the CEQA</w:t>
            </w:r>
            <w:r>
              <w:rPr>
                <w:color w:val="000000"/>
              </w:rPr>
              <w:t xml:space="preserve"> </w:t>
            </w:r>
            <w:r w:rsidRPr="00B973DE">
              <w:rPr>
                <w:color w:val="000000"/>
              </w:rPr>
              <w:t>Guidelines), should</w:t>
            </w:r>
            <w:r>
              <w:rPr>
                <w:color w:val="000000"/>
              </w:rPr>
              <w:t xml:space="preserve"> </w:t>
            </w:r>
            <w:r w:rsidRPr="00B973DE">
              <w:rPr>
                <w:color w:val="000000"/>
              </w:rPr>
              <w:t>be adopted.</w:t>
            </w:r>
            <w:r>
              <w:rPr>
                <w:color w:val="000000"/>
              </w:rPr>
              <w:t>” D.25-01-055, p. 147.</w:t>
            </w:r>
          </w:p>
          <w:p w:rsidR="00542D57" w:rsidP="00542D57" w:rsidRDefault="00542D57" w14:paraId="4F630C02" w14:textId="77777777">
            <w:pPr>
              <w:rPr>
                <w:color w:val="000000"/>
              </w:rPr>
            </w:pPr>
          </w:p>
          <w:p w:rsidR="00542D57" w:rsidP="00542D57" w:rsidRDefault="006738C1" w14:paraId="7F065547" w14:textId="324B66B5">
            <w:pPr>
              <w:rPr>
                <w:color w:val="000000"/>
              </w:rPr>
            </w:pPr>
            <w:r>
              <w:rPr>
                <w:color w:val="000000"/>
              </w:rPr>
              <w:t>“</w:t>
            </w:r>
            <w:r w:rsidRPr="00B76B16">
              <w:rPr>
                <w:color w:val="000000"/>
              </w:rPr>
              <w:t>Based on review of recent proceedings, the time required to issue a permit</w:t>
            </w:r>
            <w:r>
              <w:rPr>
                <w:color w:val="000000"/>
              </w:rPr>
              <w:t xml:space="preserve"> </w:t>
            </w:r>
            <w:r w:rsidRPr="00B76B16">
              <w:rPr>
                <w:color w:val="000000"/>
              </w:rPr>
              <w:t>for many projects subject to Commission review requiring an EIR, exceeds the</w:t>
            </w:r>
            <w:r>
              <w:rPr>
                <w:color w:val="000000"/>
              </w:rPr>
              <w:t xml:space="preserve"> </w:t>
            </w:r>
            <w:r w:rsidRPr="00B76B16">
              <w:rPr>
                <w:color w:val="000000"/>
              </w:rPr>
              <w:t>270-day deadline as proposed by Settling Parties. Therefore, we reject Staff</w:t>
            </w:r>
            <w:r>
              <w:rPr>
                <w:color w:val="000000"/>
              </w:rPr>
              <w:t xml:space="preserve"> </w:t>
            </w:r>
            <w:r w:rsidRPr="00B76B16">
              <w:rPr>
                <w:color w:val="000000"/>
              </w:rPr>
              <w:t>Proposal Section 3.8, Proposal 3.</w:t>
            </w:r>
            <w:r>
              <w:rPr>
                <w:color w:val="000000"/>
              </w:rPr>
              <w:t xml:space="preserve">” </w:t>
            </w:r>
            <w:r w:rsidR="00542D57">
              <w:rPr>
                <w:color w:val="000000"/>
              </w:rPr>
              <w:t xml:space="preserve">D.25-01-055, p. 52 </w:t>
            </w:r>
          </w:p>
          <w:p w:rsidR="00EE7D68" w:rsidP="00EE7D68" w:rsidRDefault="00EE7D68" w14:paraId="03562478" w14:textId="77777777">
            <w:pPr>
              <w:rPr>
                <w:color w:val="000000"/>
              </w:rPr>
            </w:pPr>
          </w:p>
          <w:p w:rsidR="00EE7D68" w:rsidP="00EE7D68" w:rsidRDefault="00EE7D68" w14:paraId="4343ED22" w14:textId="42671225">
            <w:pPr>
              <w:rPr>
                <w:color w:val="000000"/>
              </w:rPr>
            </w:pPr>
            <w:r>
              <w:rPr>
                <w:color w:val="000000"/>
              </w:rPr>
              <w:t xml:space="preserve">Center </w:t>
            </w:r>
            <w:r w:rsidR="009959B7">
              <w:rPr>
                <w:color w:val="000000"/>
              </w:rPr>
              <w:t>and PCF</w:t>
            </w:r>
            <w:r>
              <w:rPr>
                <w:color w:val="000000"/>
              </w:rPr>
              <w:t xml:space="preserve"> Opening Comments on Phase 2 Staff Proposal (July 1, 2024), p. 18-20</w:t>
            </w:r>
            <w:r w:rsidR="009959B7">
              <w:rPr>
                <w:color w:val="000000"/>
              </w:rPr>
              <w:t xml:space="preserve">; </w:t>
            </w:r>
            <w:r>
              <w:rPr>
                <w:color w:val="000000"/>
              </w:rPr>
              <w:t xml:space="preserve">Center for Biological Diversity and PCF Opening Comments on PD </w:t>
            </w:r>
            <w:r>
              <w:rPr>
                <w:color w:val="000000"/>
              </w:rPr>
              <w:lastRenderedPageBreak/>
              <w:t>Adopting GO 131-E (January 16, 2025), p. 13-14.</w:t>
            </w:r>
          </w:p>
          <w:p w:rsidR="00B3758C" w:rsidP="00EE7D68" w:rsidRDefault="00B3758C" w14:paraId="623949A2" w14:textId="77777777">
            <w:pPr>
              <w:rPr>
                <w:color w:val="000000"/>
              </w:rPr>
            </w:pPr>
          </w:p>
          <w:p w:rsidR="00542D57" w:rsidP="00542D57" w:rsidRDefault="00542D57" w14:paraId="41A889C1" w14:textId="6C18AD43">
            <w:pPr>
              <w:rPr>
                <w:color w:val="000000"/>
              </w:rPr>
            </w:pPr>
          </w:p>
        </w:tc>
        <w:tc>
          <w:tcPr>
            <w:tcW w:w="1957" w:type="dxa"/>
          </w:tcPr>
          <w:p w:rsidR="00542D57" w:rsidP="00462A91" w:rsidRDefault="00542D57" w14:paraId="2D44BF85" w14:textId="77777777">
            <w:pPr>
              <w:jc w:val="center"/>
              <w:rPr>
                <w:color w:val="000000"/>
              </w:rPr>
            </w:pPr>
          </w:p>
          <w:p w:rsidR="003F70EC" w:rsidP="00462A91" w:rsidRDefault="003F70EC" w14:paraId="1FBF99AE" w14:textId="77777777">
            <w:pPr>
              <w:jc w:val="center"/>
              <w:rPr>
                <w:color w:val="000000"/>
              </w:rPr>
            </w:pPr>
          </w:p>
          <w:p w:rsidR="003F70EC" w:rsidP="00462A91" w:rsidRDefault="003F70EC" w14:paraId="29E1D057" w14:textId="77777777">
            <w:pPr>
              <w:jc w:val="center"/>
              <w:rPr>
                <w:color w:val="000000"/>
              </w:rPr>
            </w:pPr>
            <w:r>
              <w:rPr>
                <w:color w:val="000000"/>
              </w:rPr>
              <w:t>Verified</w:t>
            </w:r>
          </w:p>
          <w:p w:rsidR="003F70EC" w:rsidP="00462A91" w:rsidRDefault="003F70EC" w14:paraId="13C331B6" w14:textId="77777777">
            <w:pPr>
              <w:jc w:val="center"/>
              <w:rPr>
                <w:color w:val="000000"/>
              </w:rPr>
            </w:pPr>
          </w:p>
          <w:p w:rsidR="003F70EC" w:rsidP="00462A91" w:rsidRDefault="003F70EC" w14:paraId="1607C727" w14:textId="77777777">
            <w:pPr>
              <w:jc w:val="center"/>
              <w:rPr>
                <w:color w:val="000000"/>
              </w:rPr>
            </w:pPr>
          </w:p>
          <w:p w:rsidR="003F70EC" w:rsidP="00462A91" w:rsidRDefault="003F70EC" w14:paraId="35B53C2A" w14:textId="77777777">
            <w:pPr>
              <w:jc w:val="center"/>
              <w:rPr>
                <w:color w:val="000000"/>
              </w:rPr>
            </w:pPr>
          </w:p>
          <w:p w:rsidR="003F70EC" w:rsidP="00462A91" w:rsidRDefault="003F70EC" w14:paraId="040CE9EA" w14:textId="77777777">
            <w:pPr>
              <w:jc w:val="center"/>
              <w:rPr>
                <w:color w:val="000000"/>
              </w:rPr>
            </w:pPr>
          </w:p>
          <w:p w:rsidR="003F70EC" w:rsidP="00462A91" w:rsidRDefault="003F70EC" w14:paraId="20380608" w14:textId="77777777">
            <w:pPr>
              <w:jc w:val="center"/>
              <w:rPr>
                <w:color w:val="000000"/>
              </w:rPr>
            </w:pPr>
          </w:p>
          <w:p w:rsidR="003F70EC" w:rsidP="00462A91" w:rsidRDefault="003F70EC" w14:paraId="233DB3B0" w14:textId="77777777">
            <w:pPr>
              <w:jc w:val="center"/>
              <w:rPr>
                <w:color w:val="000000"/>
              </w:rPr>
            </w:pPr>
          </w:p>
          <w:p w:rsidR="003F70EC" w:rsidP="00462A91" w:rsidRDefault="003F70EC" w14:paraId="0CE6CD18" w14:textId="77777777">
            <w:pPr>
              <w:jc w:val="center"/>
              <w:rPr>
                <w:color w:val="000000"/>
              </w:rPr>
            </w:pPr>
          </w:p>
          <w:p w:rsidR="003F70EC" w:rsidP="00462A91" w:rsidRDefault="003F70EC" w14:paraId="55B25702" w14:textId="77777777">
            <w:pPr>
              <w:jc w:val="center"/>
              <w:rPr>
                <w:color w:val="000000"/>
              </w:rPr>
            </w:pPr>
          </w:p>
          <w:p w:rsidR="003F70EC" w:rsidP="00462A91" w:rsidRDefault="003F70EC" w14:paraId="3DCBF4FD" w14:textId="77777777">
            <w:pPr>
              <w:jc w:val="center"/>
              <w:rPr>
                <w:color w:val="000000"/>
              </w:rPr>
            </w:pPr>
          </w:p>
          <w:p w:rsidR="003F70EC" w:rsidP="00462A91" w:rsidRDefault="003F70EC" w14:paraId="3D8869C1" w14:textId="77777777">
            <w:pPr>
              <w:jc w:val="center"/>
              <w:rPr>
                <w:color w:val="000000"/>
              </w:rPr>
            </w:pPr>
            <w:r>
              <w:rPr>
                <w:color w:val="000000"/>
              </w:rPr>
              <w:t>Verified</w:t>
            </w:r>
          </w:p>
          <w:p w:rsidR="003F70EC" w:rsidP="00462A91" w:rsidRDefault="003F70EC" w14:paraId="08B72A44" w14:textId="77777777">
            <w:pPr>
              <w:jc w:val="center"/>
              <w:rPr>
                <w:color w:val="000000"/>
              </w:rPr>
            </w:pPr>
          </w:p>
          <w:p w:rsidR="003F70EC" w:rsidP="00462A91" w:rsidRDefault="003F70EC" w14:paraId="3FA7090A" w14:textId="77777777">
            <w:pPr>
              <w:jc w:val="center"/>
              <w:rPr>
                <w:color w:val="000000"/>
              </w:rPr>
            </w:pPr>
          </w:p>
          <w:p w:rsidR="003F70EC" w:rsidP="00462A91" w:rsidRDefault="003F70EC" w14:paraId="128762F2" w14:textId="77777777">
            <w:pPr>
              <w:jc w:val="center"/>
              <w:rPr>
                <w:color w:val="000000"/>
              </w:rPr>
            </w:pPr>
          </w:p>
          <w:p w:rsidR="003F70EC" w:rsidP="00462A91" w:rsidRDefault="003F70EC" w14:paraId="5C9D4D5D" w14:textId="77777777">
            <w:pPr>
              <w:jc w:val="center"/>
              <w:rPr>
                <w:color w:val="000000"/>
              </w:rPr>
            </w:pPr>
          </w:p>
          <w:p w:rsidR="003F70EC" w:rsidP="00462A91" w:rsidRDefault="003F70EC" w14:paraId="3B74B5C3" w14:textId="77777777">
            <w:pPr>
              <w:jc w:val="center"/>
              <w:rPr>
                <w:color w:val="000000"/>
              </w:rPr>
            </w:pPr>
          </w:p>
          <w:p w:rsidR="003F70EC" w:rsidP="00462A91" w:rsidRDefault="003F70EC" w14:paraId="1975E1DF" w14:textId="77777777">
            <w:pPr>
              <w:jc w:val="center"/>
              <w:rPr>
                <w:color w:val="000000"/>
              </w:rPr>
            </w:pPr>
          </w:p>
          <w:p w:rsidR="003F70EC" w:rsidP="00462A91" w:rsidRDefault="003F70EC" w14:paraId="386F0B87" w14:textId="77777777">
            <w:pPr>
              <w:jc w:val="center"/>
              <w:rPr>
                <w:color w:val="000000"/>
              </w:rPr>
            </w:pPr>
          </w:p>
          <w:p w:rsidR="003F70EC" w:rsidP="00462A91" w:rsidRDefault="003F70EC" w14:paraId="5FD846FE" w14:textId="77777777">
            <w:pPr>
              <w:jc w:val="center"/>
              <w:rPr>
                <w:color w:val="000000"/>
              </w:rPr>
            </w:pPr>
          </w:p>
          <w:p w:rsidR="003F70EC" w:rsidP="00462A91" w:rsidRDefault="003F70EC" w14:paraId="36DC67C1" w14:textId="77777777">
            <w:pPr>
              <w:jc w:val="center"/>
              <w:rPr>
                <w:color w:val="000000"/>
              </w:rPr>
            </w:pPr>
          </w:p>
          <w:p w:rsidR="003F70EC" w:rsidP="00462A91" w:rsidRDefault="003F70EC" w14:paraId="4D7237D1" w14:textId="77777777">
            <w:pPr>
              <w:jc w:val="center"/>
              <w:rPr>
                <w:color w:val="000000"/>
              </w:rPr>
            </w:pPr>
          </w:p>
          <w:p w:rsidR="003F70EC" w:rsidP="00462A91" w:rsidRDefault="003F70EC" w14:paraId="1BEB8E20" w14:textId="77777777">
            <w:pPr>
              <w:jc w:val="center"/>
              <w:rPr>
                <w:color w:val="000000"/>
              </w:rPr>
            </w:pPr>
            <w:r>
              <w:rPr>
                <w:color w:val="000000"/>
              </w:rPr>
              <w:t>Verified</w:t>
            </w:r>
          </w:p>
          <w:p w:rsidR="003F70EC" w:rsidP="00462A91" w:rsidRDefault="003F70EC" w14:paraId="51C8D8B1" w14:textId="77777777">
            <w:pPr>
              <w:jc w:val="center"/>
              <w:rPr>
                <w:color w:val="000000"/>
              </w:rPr>
            </w:pPr>
          </w:p>
          <w:p w:rsidR="003F70EC" w:rsidP="00462A91" w:rsidRDefault="003F70EC" w14:paraId="76201661" w14:textId="77777777">
            <w:pPr>
              <w:jc w:val="center"/>
              <w:rPr>
                <w:color w:val="000000"/>
              </w:rPr>
            </w:pPr>
          </w:p>
          <w:p w:rsidR="003F70EC" w:rsidP="00462A91" w:rsidRDefault="003F70EC" w14:paraId="6004187D" w14:textId="77777777">
            <w:pPr>
              <w:jc w:val="center"/>
              <w:rPr>
                <w:color w:val="000000"/>
              </w:rPr>
            </w:pPr>
          </w:p>
          <w:p w:rsidR="003F70EC" w:rsidP="00462A91" w:rsidRDefault="003F70EC" w14:paraId="78FAE6A2" w14:textId="77777777">
            <w:pPr>
              <w:jc w:val="center"/>
              <w:rPr>
                <w:color w:val="000000"/>
              </w:rPr>
            </w:pPr>
          </w:p>
          <w:p w:rsidR="003F70EC" w:rsidP="00462A91" w:rsidRDefault="003F70EC" w14:paraId="4F0AD8A2" w14:textId="77777777">
            <w:pPr>
              <w:jc w:val="center"/>
              <w:rPr>
                <w:color w:val="000000"/>
              </w:rPr>
            </w:pPr>
          </w:p>
          <w:p w:rsidRPr="007F620E" w:rsidR="003F70EC" w:rsidP="00462A91" w:rsidRDefault="003F70EC" w14:paraId="79B98C39" w14:textId="0C4EC674">
            <w:pPr>
              <w:jc w:val="center"/>
              <w:rPr>
                <w:color w:val="000000"/>
              </w:rPr>
            </w:pPr>
            <w:r>
              <w:rPr>
                <w:color w:val="000000"/>
              </w:rPr>
              <w:t>Verified</w:t>
            </w:r>
          </w:p>
        </w:tc>
      </w:tr>
      <w:tr w:rsidRPr="007F620E" w:rsidR="00542D57" w:rsidTr="007161CD" w14:paraId="75928AE1" w14:textId="77777777">
        <w:tc>
          <w:tcPr>
            <w:tcW w:w="3258" w:type="dxa"/>
          </w:tcPr>
          <w:p w:rsidRPr="00F95F34" w:rsidR="00542D57" w:rsidP="00542D57" w:rsidRDefault="00542D57" w14:paraId="4CD1CF4B" w14:textId="5C00BD8B">
            <w:pPr>
              <w:rPr>
                <w:b/>
                <w:bCs/>
                <w:color w:val="000000"/>
                <w:u w:val="single"/>
              </w:rPr>
            </w:pPr>
            <w:r w:rsidRPr="00F95F34">
              <w:rPr>
                <w:b/>
                <w:bCs/>
                <w:color w:val="000000"/>
                <w:u w:val="single"/>
              </w:rPr>
              <w:t>Battery Energy Storage System (BESS)</w:t>
            </w:r>
            <w:r w:rsidR="00EE014D">
              <w:rPr>
                <w:b/>
                <w:bCs/>
                <w:color w:val="000000"/>
                <w:u w:val="single"/>
              </w:rPr>
              <w:t xml:space="preserve"> Permitting</w:t>
            </w:r>
            <w:r w:rsidRPr="00F95F34">
              <w:rPr>
                <w:b/>
                <w:bCs/>
                <w:color w:val="000000"/>
                <w:u w:val="single"/>
              </w:rPr>
              <w:t xml:space="preserve"> </w:t>
            </w:r>
          </w:p>
          <w:p w:rsidR="00542D57" w:rsidP="00542D57" w:rsidRDefault="003A0E38" w14:paraId="2B1A2EBE" w14:textId="26D0BC3F">
            <w:pPr>
              <w:rPr>
                <w:color w:val="000000"/>
              </w:rPr>
            </w:pPr>
            <w:r>
              <w:rPr>
                <w:color w:val="000000"/>
              </w:rPr>
              <w:t xml:space="preserve">At the outset of the proceeding, </w:t>
            </w:r>
            <w:r w:rsidR="007D54FC">
              <w:rPr>
                <w:color w:val="000000"/>
              </w:rPr>
              <w:t xml:space="preserve">PCF made recommendations regarding </w:t>
            </w:r>
            <w:r>
              <w:rPr>
                <w:color w:val="000000"/>
              </w:rPr>
              <w:t xml:space="preserve">the need to consider ratepayer impact and local government concerns should the Commission make any </w:t>
            </w:r>
            <w:r w:rsidR="00CC2E97">
              <w:rPr>
                <w:color w:val="000000"/>
              </w:rPr>
              <w:t>changes to BESS permitting at the outset of the proceeding</w:t>
            </w:r>
            <w:r w:rsidR="005667D5">
              <w:rPr>
                <w:color w:val="000000"/>
              </w:rPr>
              <w:t xml:space="preserve">, and </w:t>
            </w:r>
            <w:r w:rsidR="00FC2588">
              <w:rPr>
                <w:color w:val="000000"/>
              </w:rPr>
              <w:t xml:space="preserve">in Phase 2 presented analysis and evidence that the Commission should reject the staff proposals. </w:t>
            </w:r>
            <w:r w:rsidR="00542D57">
              <w:rPr>
                <w:color w:val="000000"/>
              </w:rPr>
              <w:t xml:space="preserve">The Commission </w:t>
            </w:r>
            <w:r w:rsidR="00FC2588">
              <w:rPr>
                <w:color w:val="000000"/>
              </w:rPr>
              <w:t>agree</w:t>
            </w:r>
            <w:r w:rsidR="00F44D84">
              <w:rPr>
                <w:color w:val="000000"/>
              </w:rPr>
              <w:t>d</w:t>
            </w:r>
            <w:r w:rsidR="00FC2588">
              <w:rPr>
                <w:color w:val="000000"/>
              </w:rPr>
              <w:t xml:space="preserve"> with </w:t>
            </w:r>
            <w:r w:rsidR="00542D57">
              <w:rPr>
                <w:color w:val="000000"/>
              </w:rPr>
              <w:t>PCF</w:t>
            </w:r>
            <w:r w:rsidR="00AF7BE8">
              <w:rPr>
                <w:color w:val="000000"/>
              </w:rPr>
              <w:t xml:space="preserve"> that the Commission should </w:t>
            </w:r>
            <w:r w:rsidR="00542D57">
              <w:rPr>
                <w:color w:val="000000"/>
              </w:rPr>
              <w:t>not adopt either of the staff proposal’s BESS proposal</w:t>
            </w:r>
            <w:r w:rsidR="00FC2588">
              <w:rPr>
                <w:color w:val="000000"/>
              </w:rPr>
              <w:t>s</w:t>
            </w:r>
            <w:r w:rsidR="003720F7">
              <w:rPr>
                <w:color w:val="000000"/>
              </w:rPr>
              <w:t xml:space="preserve"> and should not change the definitions</w:t>
            </w:r>
            <w:r w:rsidR="001C5E0B">
              <w:rPr>
                <w:color w:val="000000"/>
              </w:rPr>
              <w:t xml:space="preserve">. The Commission </w:t>
            </w:r>
            <w:r w:rsidR="00B22DB0">
              <w:rPr>
                <w:color w:val="000000"/>
              </w:rPr>
              <w:t xml:space="preserve">removed reference to energy storage from the definitions in the revisions to GO 131, </w:t>
            </w:r>
            <w:r w:rsidR="001C5E0B">
              <w:rPr>
                <w:color w:val="000000"/>
              </w:rPr>
              <w:t xml:space="preserve">rejected the staff proposals, </w:t>
            </w:r>
            <w:r w:rsidR="00C67E03">
              <w:rPr>
                <w:color w:val="000000"/>
              </w:rPr>
              <w:t>and recognized that</w:t>
            </w:r>
            <w:r w:rsidR="00C11478">
              <w:rPr>
                <w:color w:val="000000"/>
              </w:rPr>
              <w:t>,</w:t>
            </w:r>
            <w:r w:rsidR="00C67E03">
              <w:rPr>
                <w:color w:val="000000"/>
              </w:rPr>
              <w:t xml:space="preserve"> </w:t>
            </w:r>
            <w:r w:rsidR="00F64EC8">
              <w:rPr>
                <w:color w:val="000000"/>
              </w:rPr>
              <w:t xml:space="preserve">outside of the CEC opt-in </w:t>
            </w:r>
            <w:r w:rsidR="005E0530">
              <w:rPr>
                <w:color w:val="000000"/>
              </w:rPr>
              <w:t>process</w:t>
            </w:r>
            <w:r w:rsidR="00C11478">
              <w:rPr>
                <w:color w:val="000000"/>
              </w:rPr>
              <w:t>,</w:t>
            </w:r>
            <w:r w:rsidR="005E0530">
              <w:rPr>
                <w:color w:val="000000"/>
              </w:rPr>
              <w:t xml:space="preserve"> </w:t>
            </w:r>
            <w:r w:rsidR="00C67E03">
              <w:rPr>
                <w:color w:val="000000"/>
              </w:rPr>
              <w:t>local agencies are the</w:t>
            </w:r>
            <w:r w:rsidR="00F64EC8">
              <w:rPr>
                <w:color w:val="000000"/>
              </w:rPr>
              <w:t xml:space="preserve"> BESS permitting lead agencies.</w:t>
            </w:r>
          </w:p>
        </w:tc>
        <w:tc>
          <w:tcPr>
            <w:tcW w:w="4140" w:type="dxa"/>
          </w:tcPr>
          <w:p w:rsidR="00542D57" w:rsidP="007C049B" w:rsidRDefault="004E2DCB" w14:paraId="4FAC771B" w14:textId="70FE8A61">
            <w:pPr>
              <w:rPr>
                <w:color w:val="000000"/>
              </w:rPr>
            </w:pPr>
            <w:r>
              <w:rPr>
                <w:color w:val="000000"/>
              </w:rPr>
              <w:t>“</w:t>
            </w:r>
            <w:r w:rsidRPr="000C6361" w:rsidR="00542D57">
              <w:rPr>
                <w:color w:val="000000"/>
              </w:rPr>
              <w:t>Upon careful review of party comments, we conclude that we lack</w:t>
            </w:r>
            <w:r w:rsidR="00542D57">
              <w:rPr>
                <w:color w:val="000000"/>
              </w:rPr>
              <w:t xml:space="preserve"> </w:t>
            </w:r>
            <w:r w:rsidRPr="000C6361" w:rsidR="00542D57">
              <w:rPr>
                <w:color w:val="000000"/>
              </w:rPr>
              <w:t>sufficient record on the issue of battery energy storage systems (BESS)</w:t>
            </w:r>
            <w:r w:rsidR="00542D57">
              <w:rPr>
                <w:color w:val="000000"/>
              </w:rPr>
              <w:t xml:space="preserve"> </w:t>
            </w:r>
            <w:r w:rsidRPr="000C6361" w:rsidR="00542D57">
              <w:rPr>
                <w:color w:val="000000"/>
              </w:rPr>
              <w:t>permitting, at this time.</w:t>
            </w:r>
            <w:r w:rsidR="00542D57">
              <w:rPr>
                <w:color w:val="000000"/>
              </w:rPr>
              <w:t xml:space="preserve"> </w:t>
            </w:r>
            <w:r w:rsidRPr="00AD21D6" w:rsidR="00542D57">
              <w:rPr>
                <w:color w:val="000000"/>
              </w:rPr>
              <w:t>As discussed below, we therefore do not adopt any of</w:t>
            </w:r>
            <w:r w:rsidR="00542D57">
              <w:rPr>
                <w:color w:val="000000"/>
              </w:rPr>
              <w:t xml:space="preserve"> </w:t>
            </w:r>
            <w:r w:rsidRPr="00AD21D6" w:rsidR="00542D57">
              <w:rPr>
                <w:color w:val="000000"/>
              </w:rPr>
              <w:t>the proposed revisions and rules; instead we instruct Staff to continue to</w:t>
            </w:r>
            <w:r w:rsidR="00542D57">
              <w:rPr>
                <w:color w:val="000000"/>
              </w:rPr>
              <w:t xml:space="preserve"> </w:t>
            </w:r>
            <w:r w:rsidRPr="00AD21D6" w:rsidR="00542D57">
              <w:rPr>
                <w:color w:val="000000"/>
              </w:rPr>
              <w:t>coordinate with the CEC to support the permitting of BESS projects subject to</w:t>
            </w:r>
            <w:r w:rsidR="00542D57">
              <w:rPr>
                <w:color w:val="000000"/>
              </w:rPr>
              <w:t xml:space="preserve"> </w:t>
            </w:r>
            <w:r w:rsidRPr="00AD21D6" w:rsidR="00542D57">
              <w:rPr>
                <w:color w:val="000000"/>
              </w:rPr>
              <w:t>CEC's opt-in certification process wherein the Commission may be a CEQA</w:t>
            </w:r>
            <w:r w:rsidR="00542D57">
              <w:rPr>
                <w:color w:val="000000"/>
              </w:rPr>
              <w:t xml:space="preserve"> </w:t>
            </w:r>
            <w:r w:rsidRPr="00AD21D6" w:rsidR="00542D57">
              <w:rPr>
                <w:color w:val="000000"/>
              </w:rPr>
              <w:t>responsible agency.</w:t>
            </w:r>
            <w:r w:rsidR="007C049B">
              <w:rPr>
                <w:color w:val="000000"/>
              </w:rPr>
              <w:t xml:space="preserve"> </w:t>
            </w:r>
            <w:r w:rsidRPr="007C049B" w:rsidR="007C049B">
              <w:rPr>
                <w:color w:val="000000"/>
              </w:rPr>
              <w:t>Relatedly and in response to the Staff Proposal and party</w:t>
            </w:r>
            <w:r w:rsidR="007C049B">
              <w:rPr>
                <w:color w:val="000000"/>
              </w:rPr>
              <w:t xml:space="preserve"> </w:t>
            </w:r>
            <w:r w:rsidRPr="007C049B" w:rsidR="007C049B">
              <w:rPr>
                <w:color w:val="000000"/>
              </w:rPr>
              <w:t xml:space="preserve">comments, we remove the reference to energy storage from the </w:t>
            </w:r>
            <w:r w:rsidR="007C049B">
              <w:rPr>
                <w:color w:val="000000"/>
              </w:rPr>
              <w:t>‘</w:t>
            </w:r>
            <w:r w:rsidRPr="007C049B" w:rsidR="007C049B">
              <w:rPr>
                <w:color w:val="000000"/>
              </w:rPr>
              <w:t>extension</w:t>
            </w:r>
            <w:r w:rsidR="007C049B">
              <w:rPr>
                <w:color w:val="000000"/>
              </w:rPr>
              <w:t xml:space="preserve">’ </w:t>
            </w:r>
            <w:r w:rsidRPr="007C049B" w:rsidR="007C049B">
              <w:rPr>
                <w:color w:val="000000"/>
              </w:rPr>
              <w:t xml:space="preserve">definition in Section I.F.2 and from the </w:t>
            </w:r>
            <w:r w:rsidR="007C049B">
              <w:rPr>
                <w:color w:val="000000"/>
              </w:rPr>
              <w:t>‘</w:t>
            </w:r>
            <w:r w:rsidRPr="007C049B" w:rsidR="007C049B">
              <w:rPr>
                <w:color w:val="000000"/>
              </w:rPr>
              <w:t>upgrade</w:t>
            </w:r>
            <w:r w:rsidR="007C049B">
              <w:rPr>
                <w:color w:val="000000"/>
              </w:rPr>
              <w:t>’</w:t>
            </w:r>
            <w:r w:rsidRPr="007C049B" w:rsidR="007C049B">
              <w:rPr>
                <w:color w:val="000000"/>
              </w:rPr>
              <w:t xml:space="preserve"> definition in Section I.H.</w:t>
            </w:r>
            <w:r w:rsidR="007C049B">
              <w:rPr>
                <w:color w:val="000000"/>
              </w:rPr>
              <w:t xml:space="preserve"> </w:t>
            </w:r>
            <w:r w:rsidRPr="007C049B" w:rsidR="007C049B">
              <w:rPr>
                <w:color w:val="000000"/>
              </w:rPr>
              <w:t>GO 131-D does not include specific rules that govern the permitting of</w:t>
            </w:r>
            <w:r w:rsidR="007C049B">
              <w:rPr>
                <w:color w:val="000000"/>
              </w:rPr>
              <w:t xml:space="preserve"> </w:t>
            </w:r>
            <w:r w:rsidRPr="007C049B" w:rsidR="007C049B">
              <w:rPr>
                <w:color w:val="000000"/>
              </w:rPr>
              <w:t>BESS, which are subject to rules in Section XIV pertaining to electric facilities.</w:t>
            </w:r>
            <w:r w:rsidR="007C049B">
              <w:rPr>
                <w:color w:val="000000"/>
              </w:rPr>
              <w:t xml:space="preserve"> </w:t>
            </w:r>
            <w:r w:rsidRPr="007C049B" w:rsidR="007C049B">
              <w:rPr>
                <w:color w:val="000000"/>
              </w:rPr>
              <w:t>Historically, local jurisdictions have served as lead agencies tasked with BESS</w:t>
            </w:r>
            <w:r w:rsidR="007C049B">
              <w:rPr>
                <w:color w:val="000000"/>
              </w:rPr>
              <w:t xml:space="preserve"> </w:t>
            </w:r>
            <w:r w:rsidRPr="007C049B" w:rsidR="007C049B">
              <w:rPr>
                <w:color w:val="000000"/>
              </w:rPr>
              <w:t>permitting.</w:t>
            </w:r>
            <w:r w:rsidR="00542D57">
              <w:rPr>
                <w:color w:val="000000"/>
              </w:rPr>
              <w:t>”</w:t>
            </w:r>
            <w:r>
              <w:rPr>
                <w:color w:val="000000"/>
              </w:rPr>
              <w:t xml:space="preserve"> D.25-01-055, p. 119.</w:t>
            </w:r>
          </w:p>
          <w:p w:rsidR="00542D57" w:rsidP="00542D57" w:rsidRDefault="00542D57" w14:paraId="331A25E2" w14:textId="77777777">
            <w:pPr>
              <w:rPr>
                <w:color w:val="000000"/>
              </w:rPr>
            </w:pPr>
          </w:p>
          <w:p w:rsidR="00542D57" w:rsidP="00542D57" w:rsidRDefault="00542D57" w14:paraId="1F7324D6" w14:textId="030FB940">
            <w:pPr>
              <w:rPr>
                <w:color w:val="000000"/>
              </w:rPr>
            </w:pPr>
            <w:r>
              <w:rPr>
                <w:color w:val="000000"/>
              </w:rPr>
              <w:t xml:space="preserve"> “</w:t>
            </w:r>
            <w:r w:rsidRPr="00C838B4">
              <w:rPr>
                <w:color w:val="000000"/>
              </w:rPr>
              <w:t>At this time, there is insufficient record on how to develop GO 131-E rules</w:t>
            </w:r>
            <w:r>
              <w:rPr>
                <w:color w:val="000000"/>
              </w:rPr>
              <w:t xml:space="preserve"> </w:t>
            </w:r>
            <w:r w:rsidRPr="00C838B4">
              <w:rPr>
                <w:color w:val="000000"/>
              </w:rPr>
              <w:t>for BESS permitting and related definitions, including the extent of the</w:t>
            </w:r>
            <w:r>
              <w:rPr>
                <w:color w:val="000000"/>
              </w:rPr>
              <w:t xml:space="preserve"> </w:t>
            </w:r>
            <w:r w:rsidRPr="00C838B4">
              <w:rPr>
                <w:color w:val="000000"/>
              </w:rPr>
              <w:t>Commission’s jurisdiction over permitting BESS projects, that may entail</w:t>
            </w:r>
            <w:r>
              <w:rPr>
                <w:color w:val="000000"/>
              </w:rPr>
              <w:t xml:space="preserve"> </w:t>
            </w:r>
            <w:r w:rsidRPr="00C838B4">
              <w:rPr>
                <w:color w:val="000000"/>
              </w:rPr>
              <w:t>preemption of local agency jurisdiction.</w:t>
            </w:r>
            <w:r>
              <w:rPr>
                <w:color w:val="000000"/>
              </w:rPr>
              <w:t>”</w:t>
            </w:r>
            <w:r w:rsidR="004E2DCB">
              <w:rPr>
                <w:color w:val="000000"/>
              </w:rPr>
              <w:t xml:space="preserve"> D.25-01-055, p. 146 (F</w:t>
            </w:r>
            <w:r w:rsidR="00C34B8E">
              <w:rPr>
                <w:color w:val="000000"/>
              </w:rPr>
              <w:t xml:space="preserve">inding of Fact No. </w:t>
            </w:r>
            <w:r w:rsidR="004E2DCB">
              <w:rPr>
                <w:color w:val="000000"/>
              </w:rPr>
              <w:t>33</w:t>
            </w:r>
            <w:r w:rsidR="00C34B8E">
              <w:rPr>
                <w:color w:val="000000"/>
              </w:rPr>
              <w:t>).</w:t>
            </w:r>
          </w:p>
          <w:p w:rsidR="001F1764" w:rsidP="00542D57" w:rsidRDefault="001F1764" w14:paraId="308354A5" w14:textId="77777777">
            <w:pPr>
              <w:rPr>
                <w:color w:val="000000"/>
              </w:rPr>
            </w:pPr>
          </w:p>
          <w:p w:rsidR="001F1764" w:rsidP="001F1764" w:rsidRDefault="008D37B6" w14:paraId="395300EE" w14:textId="4555C13E">
            <w:pPr>
              <w:rPr>
                <w:color w:val="000000"/>
              </w:rPr>
            </w:pPr>
            <w:r>
              <w:rPr>
                <w:color w:val="000000"/>
              </w:rPr>
              <w:t>PCF Comments on OIR (</w:t>
            </w:r>
            <w:r w:rsidR="00246467">
              <w:rPr>
                <w:color w:val="000000"/>
              </w:rPr>
              <w:t xml:space="preserve">June 22, 2023), p. </w:t>
            </w:r>
            <w:r w:rsidR="00824E9B">
              <w:rPr>
                <w:color w:val="000000"/>
              </w:rPr>
              <w:t>4</w:t>
            </w:r>
            <w:r w:rsidR="00623C37">
              <w:rPr>
                <w:color w:val="000000"/>
              </w:rPr>
              <w:t xml:space="preserve">-6; </w:t>
            </w:r>
            <w:r w:rsidR="001F1764">
              <w:rPr>
                <w:color w:val="000000"/>
              </w:rPr>
              <w:t xml:space="preserve">Center </w:t>
            </w:r>
            <w:r w:rsidR="000437F5">
              <w:rPr>
                <w:color w:val="000000"/>
              </w:rPr>
              <w:t>and PCF</w:t>
            </w:r>
            <w:r w:rsidR="001F1764">
              <w:rPr>
                <w:color w:val="000000"/>
              </w:rPr>
              <w:t xml:space="preserve"> Opening Comments on Phase 2 Staff Proposal (July 1, 2024), p. 15-16</w:t>
            </w:r>
            <w:r w:rsidR="000437F5">
              <w:rPr>
                <w:color w:val="000000"/>
              </w:rPr>
              <w:t xml:space="preserve">; </w:t>
            </w:r>
            <w:r w:rsidR="006419FC">
              <w:rPr>
                <w:color w:val="000000"/>
              </w:rPr>
              <w:t>Center and PCF Reply Comments on Phase 2 Issues (February 26, 2024), p. 14-15.</w:t>
            </w:r>
          </w:p>
          <w:p w:rsidR="001F1764" w:rsidP="00542D57" w:rsidRDefault="001F1764" w14:paraId="267FF349" w14:textId="0E741902">
            <w:pPr>
              <w:rPr>
                <w:color w:val="000000"/>
              </w:rPr>
            </w:pPr>
          </w:p>
        </w:tc>
        <w:tc>
          <w:tcPr>
            <w:tcW w:w="1957" w:type="dxa"/>
          </w:tcPr>
          <w:p w:rsidR="00542D57" w:rsidP="00462A91" w:rsidRDefault="00542D57" w14:paraId="7A767C34" w14:textId="77777777">
            <w:pPr>
              <w:jc w:val="center"/>
              <w:rPr>
                <w:color w:val="000000"/>
              </w:rPr>
            </w:pPr>
          </w:p>
          <w:p w:rsidR="003F70EC" w:rsidP="00462A91" w:rsidRDefault="003F70EC" w14:paraId="29796651" w14:textId="77777777">
            <w:pPr>
              <w:jc w:val="center"/>
              <w:rPr>
                <w:color w:val="000000"/>
              </w:rPr>
            </w:pPr>
          </w:p>
          <w:p w:rsidR="003F70EC" w:rsidP="00462A91" w:rsidRDefault="003F70EC" w14:paraId="70360574" w14:textId="77777777">
            <w:pPr>
              <w:jc w:val="center"/>
              <w:rPr>
                <w:color w:val="000000"/>
              </w:rPr>
            </w:pPr>
          </w:p>
          <w:p w:rsidR="003F70EC" w:rsidP="00462A91" w:rsidRDefault="003F70EC" w14:paraId="2E8E2B82" w14:textId="77777777">
            <w:pPr>
              <w:jc w:val="center"/>
              <w:rPr>
                <w:color w:val="000000"/>
              </w:rPr>
            </w:pPr>
          </w:p>
          <w:p w:rsidR="003F70EC" w:rsidP="00462A91" w:rsidRDefault="003F70EC" w14:paraId="58893BD7" w14:textId="77777777">
            <w:pPr>
              <w:jc w:val="center"/>
              <w:rPr>
                <w:color w:val="000000"/>
              </w:rPr>
            </w:pPr>
          </w:p>
          <w:p w:rsidR="003F70EC" w:rsidP="00462A91" w:rsidRDefault="003F70EC" w14:paraId="7BEAA9ED" w14:textId="77777777">
            <w:pPr>
              <w:jc w:val="center"/>
              <w:rPr>
                <w:color w:val="000000"/>
              </w:rPr>
            </w:pPr>
            <w:r>
              <w:rPr>
                <w:color w:val="000000"/>
              </w:rPr>
              <w:t>Verified</w:t>
            </w:r>
          </w:p>
          <w:p w:rsidR="003F70EC" w:rsidP="00462A91" w:rsidRDefault="003F70EC" w14:paraId="51D80F56" w14:textId="77777777">
            <w:pPr>
              <w:jc w:val="center"/>
              <w:rPr>
                <w:color w:val="000000"/>
              </w:rPr>
            </w:pPr>
          </w:p>
          <w:p w:rsidR="003F70EC" w:rsidP="00462A91" w:rsidRDefault="003F70EC" w14:paraId="3B53F121" w14:textId="77777777">
            <w:pPr>
              <w:jc w:val="center"/>
              <w:rPr>
                <w:color w:val="000000"/>
              </w:rPr>
            </w:pPr>
          </w:p>
          <w:p w:rsidR="003F70EC" w:rsidP="00462A91" w:rsidRDefault="003F70EC" w14:paraId="727AC499" w14:textId="77777777">
            <w:pPr>
              <w:jc w:val="center"/>
              <w:rPr>
                <w:color w:val="000000"/>
              </w:rPr>
            </w:pPr>
          </w:p>
          <w:p w:rsidR="003F70EC" w:rsidP="00462A91" w:rsidRDefault="003F70EC" w14:paraId="0B3F07A3" w14:textId="77777777">
            <w:pPr>
              <w:jc w:val="center"/>
              <w:rPr>
                <w:color w:val="000000"/>
              </w:rPr>
            </w:pPr>
          </w:p>
          <w:p w:rsidR="003F70EC" w:rsidP="00462A91" w:rsidRDefault="003F70EC" w14:paraId="0E118DBD" w14:textId="77777777">
            <w:pPr>
              <w:jc w:val="center"/>
              <w:rPr>
                <w:color w:val="000000"/>
              </w:rPr>
            </w:pPr>
          </w:p>
          <w:p w:rsidR="003F70EC" w:rsidP="00462A91" w:rsidRDefault="003F70EC" w14:paraId="4322BA5F" w14:textId="77777777">
            <w:pPr>
              <w:jc w:val="center"/>
              <w:rPr>
                <w:color w:val="000000"/>
              </w:rPr>
            </w:pPr>
          </w:p>
          <w:p w:rsidR="003F70EC" w:rsidP="00462A91" w:rsidRDefault="003F70EC" w14:paraId="1794E456" w14:textId="77777777">
            <w:pPr>
              <w:jc w:val="center"/>
              <w:rPr>
                <w:color w:val="000000"/>
              </w:rPr>
            </w:pPr>
          </w:p>
          <w:p w:rsidR="003F70EC" w:rsidP="00462A91" w:rsidRDefault="003F70EC" w14:paraId="4F56FF75" w14:textId="77777777">
            <w:pPr>
              <w:jc w:val="center"/>
              <w:rPr>
                <w:color w:val="000000"/>
              </w:rPr>
            </w:pPr>
          </w:p>
          <w:p w:rsidR="003F70EC" w:rsidP="00462A91" w:rsidRDefault="003F70EC" w14:paraId="4165AE6E" w14:textId="77777777">
            <w:pPr>
              <w:jc w:val="center"/>
              <w:rPr>
                <w:color w:val="000000"/>
              </w:rPr>
            </w:pPr>
          </w:p>
          <w:p w:rsidR="003F70EC" w:rsidP="00462A91" w:rsidRDefault="003F70EC" w14:paraId="0B38CF19" w14:textId="77777777">
            <w:pPr>
              <w:jc w:val="center"/>
              <w:rPr>
                <w:color w:val="000000"/>
              </w:rPr>
            </w:pPr>
          </w:p>
          <w:p w:rsidR="003F70EC" w:rsidP="00462A91" w:rsidRDefault="003F70EC" w14:paraId="120DB548" w14:textId="77777777">
            <w:pPr>
              <w:jc w:val="center"/>
              <w:rPr>
                <w:color w:val="000000"/>
              </w:rPr>
            </w:pPr>
          </w:p>
          <w:p w:rsidR="003F70EC" w:rsidP="00462A91" w:rsidRDefault="003F70EC" w14:paraId="44CAE818" w14:textId="77777777">
            <w:pPr>
              <w:jc w:val="center"/>
              <w:rPr>
                <w:color w:val="000000"/>
              </w:rPr>
            </w:pPr>
          </w:p>
          <w:p w:rsidR="003F70EC" w:rsidP="00462A91" w:rsidRDefault="003F70EC" w14:paraId="4943D5C2" w14:textId="77777777">
            <w:pPr>
              <w:jc w:val="center"/>
              <w:rPr>
                <w:color w:val="000000"/>
              </w:rPr>
            </w:pPr>
          </w:p>
          <w:p w:rsidR="003F70EC" w:rsidP="00462A91" w:rsidRDefault="003F70EC" w14:paraId="3A5191E8" w14:textId="77777777">
            <w:pPr>
              <w:jc w:val="center"/>
              <w:rPr>
                <w:color w:val="000000"/>
              </w:rPr>
            </w:pPr>
          </w:p>
          <w:p w:rsidR="003F70EC" w:rsidP="00462A91" w:rsidRDefault="003F70EC" w14:paraId="3B715263" w14:textId="77777777">
            <w:pPr>
              <w:jc w:val="center"/>
              <w:rPr>
                <w:color w:val="000000"/>
              </w:rPr>
            </w:pPr>
          </w:p>
          <w:p w:rsidR="003F70EC" w:rsidP="00462A91" w:rsidRDefault="003F70EC" w14:paraId="1189FE9A" w14:textId="77777777">
            <w:pPr>
              <w:jc w:val="center"/>
              <w:rPr>
                <w:color w:val="000000"/>
              </w:rPr>
            </w:pPr>
          </w:p>
          <w:p w:rsidR="003F70EC" w:rsidP="00462A91" w:rsidRDefault="003F70EC" w14:paraId="6D87C549" w14:textId="77777777">
            <w:pPr>
              <w:jc w:val="center"/>
              <w:rPr>
                <w:color w:val="000000"/>
              </w:rPr>
            </w:pPr>
          </w:p>
          <w:p w:rsidR="003F70EC" w:rsidP="00462A91" w:rsidRDefault="003F70EC" w14:paraId="34550CAF" w14:textId="77777777">
            <w:pPr>
              <w:jc w:val="center"/>
              <w:rPr>
                <w:color w:val="000000"/>
              </w:rPr>
            </w:pPr>
          </w:p>
          <w:p w:rsidR="003F70EC" w:rsidP="00462A91" w:rsidRDefault="003F70EC" w14:paraId="17E8BC85" w14:textId="77777777">
            <w:pPr>
              <w:jc w:val="center"/>
              <w:rPr>
                <w:color w:val="000000"/>
              </w:rPr>
            </w:pPr>
          </w:p>
          <w:p w:rsidR="003F70EC" w:rsidP="00462A91" w:rsidRDefault="003F70EC" w14:paraId="2E8C8737" w14:textId="77777777">
            <w:pPr>
              <w:jc w:val="center"/>
              <w:rPr>
                <w:color w:val="000000"/>
              </w:rPr>
            </w:pPr>
          </w:p>
          <w:p w:rsidR="003F70EC" w:rsidP="00462A91" w:rsidRDefault="003F70EC" w14:paraId="16FBD294" w14:textId="77777777">
            <w:pPr>
              <w:jc w:val="center"/>
              <w:rPr>
                <w:color w:val="000000"/>
              </w:rPr>
            </w:pPr>
          </w:p>
          <w:p w:rsidR="003F70EC" w:rsidP="00462A91" w:rsidRDefault="003F70EC" w14:paraId="48A492CA" w14:textId="77777777">
            <w:pPr>
              <w:jc w:val="center"/>
              <w:rPr>
                <w:color w:val="000000"/>
              </w:rPr>
            </w:pPr>
          </w:p>
          <w:p w:rsidR="003F70EC" w:rsidP="00462A91" w:rsidRDefault="003F70EC" w14:paraId="5762E0FD" w14:textId="77777777">
            <w:pPr>
              <w:jc w:val="center"/>
              <w:rPr>
                <w:color w:val="000000"/>
              </w:rPr>
            </w:pPr>
          </w:p>
          <w:p w:rsidR="003F70EC" w:rsidP="00462A91" w:rsidRDefault="003F70EC" w14:paraId="45656231" w14:textId="77777777">
            <w:pPr>
              <w:jc w:val="center"/>
              <w:rPr>
                <w:color w:val="000000"/>
              </w:rPr>
            </w:pPr>
          </w:p>
          <w:p w:rsidR="003F70EC" w:rsidP="00462A91" w:rsidRDefault="003F70EC" w14:paraId="7C395A16" w14:textId="77777777">
            <w:pPr>
              <w:jc w:val="center"/>
              <w:rPr>
                <w:color w:val="000000"/>
              </w:rPr>
            </w:pPr>
            <w:r>
              <w:rPr>
                <w:color w:val="000000"/>
              </w:rPr>
              <w:t>Verified</w:t>
            </w:r>
          </w:p>
          <w:p w:rsidR="003F70EC" w:rsidP="00462A91" w:rsidRDefault="003F70EC" w14:paraId="5EADF958" w14:textId="77777777">
            <w:pPr>
              <w:jc w:val="center"/>
              <w:rPr>
                <w:color w:val="000000"/>
              </w:rPr>
            </w:pPr>
          </w:p>
          <w:p w:rsidR="003F70EC" w:rsidP="00462A91" w:rsidRDefault="003F70EC" w14:paraId="62DCD4E8" w14:textId="77777777">
            <w:pPr>
              <w:jc w:val="center"/>
              <w:rPr>
                <w:color w:val="000000"/>
              </w:rPr>
            </w:pPr>
          </w:p>
          <w:p w:rsidR="003F70EC" w:rsidP="00462A91" w:rsidRDefault="003F70EC" w14:paraId="654A3C4C" w14:textId="77777777">
            <w:pPr>
              <w:jc w:val="center"/>
              <w:rPr>
                <w:color w:val="000000"/>
              </w:rPr>
            </w:pPr>
          </w:p>
          <w:p w:rsidR="003F70EC" w:rsidP="00462A91" w:rsidRDefault="003F70EC" w14:paraId="271920BC" w14:textId="77777777">
            <w:pPr>
              <w:jc w:val="center"/>
              <w:rPr>
                <w:color w:val="000000"/>
              </w:rPr>
            </w:pPr>
          </w:p>
          <w:p w:rsidR="003F70EC" w:rsidP="00462A91" w:rsidRDefault="003F70EC" w14:paraId="2B0A0E7F" w14:textId="77777777">
            <w:pPr>
              <w:jc w:val="center"/>
              <w:rPr>
                <w:color w:val="000000"/>
              </w:rPr>
            </w:pPr>
          </w:p>
          <w:p w:rsidR="003F70EC" w:rsidP="00462A91" w:rsidRDefault="003F70EC" w14:paraId="5A1D46DA" w14:textId="77777777">
            <w:pPr>
              <w:jc w:val="center"/>
              <w:rPr>
                <w:color w:val="000000"/>
              </w:rPr>
            </w:pPr>
          </w:p>
          <w:p w:rsidR="003F70EC" w:rsidP="00462A91" w:rsidRDefault="003F70EC" w14:paraId="587D3E36" w14:textId="77777777">
            <w:pPr>
              <w:jc w:val="center"/>
              <w:rPr>
                <w:color w:val="000000"/>
              </w:rPr>
            </w:pPr>
          </w:p>
          <w:p w:rsidR="003F70EC" w:rsidP="00462A91" w:rsidRDefault="003F70EC" w14:paraId="40B853E2" w14:textId="77777777">
            <w:pPr>
              <w:jc w:val="center"/>
              <w:rPr>
                <w:color w:val="000000"/>
              </w:rPr>
            </w:pPr>
          </w:p>
          <w:p w:rsidRPr="007F620E" w:rsidR="003F70EC" w:rsidP="00462A91" w:rsidRDefault="003F70EC" w14:paraId="15A4FD35" w14:textId="077D3FD5">
            <w:pPr>
              <w:jc w:val="center"/>
              <w:rPr>
                <w:color w:val="000000"/>
              </w:rPr>
            </w:pPr>
            <w:r>
              <w:rPr>
                <w:color w:val="000000"/>
              </w:rPr>
              <w:t>Verified</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597"/>
      </w:tblGrid>
      <w:tr w:rsidRPr="007F620E" w:rsidR="00A92D0B" w:rsidTr="007161CD" w14:paraId="76F3266C" w14:textId="77777777">
        <w:trPr>
          <w:tblHeader/>
        </w:trPr>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597"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7161CD" w14:paraId="24A12BE1" w14:textId="77777777">
        <w:trPr>
          <w:tblHeader/>
        </w:trPr>
        <w:tc>
          <w:tcPr>
            <w:tcW w:w="6048" w:type="dxa"/>
          </w:tcPr>
          <w:p w:rsidRPr="007F620E" w:rsidR="00A92D0B" w:rsidP="00073262" w:rsidRDefault="00A92D0B" w14:paraId="6915FAF6" w14:textId="004449D3">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073262" w:rsidRDefault="00843B99" w14:paraId="0B49A7C8" w14:textId="05731E72">
            <w:pPr>
              <w:keepNext/>
              <w:keepLines/>
              <w:rPr>
                <w:color w:val="000000"/>
              </w:rPr>
            </w:pPr>
            <w:r>
              <w:rPr>
                <w:color w:val="000000"/>
              </w:rPr>
              <w:t>Yes</w:t>
            </w:r>
          </w:p>
        </w:tc>
        <w:tc>
          <w:tcPr>
            <w:tcW w:w="1597" w:type="dxa"/>
          </w:tcPr>
          <w:p w:rsidRPr="00E25078" w:rsidR="00A92D0B" w:rsidP="00131BBE" w:rsidRDefault="00131BBE" w14:paraId="23B6532A" w14:textId="0EF470C5">
            <w:pPr>
              <w:keepNext/>
              <w:keepLines/>
              <w:jc w:val="center"/>
              <w:rPr>
                <w:color w:val="000000"/>
              </w:rPr>
            </w:pPr>
            <w:r>
              <w:rPr>
                <w:color w:val="000000"/>
              </w:rPr>
              <w:t>Yes</w:t>
            </w:r>
          </w:p>
        </w:tc>
      </w:tr>
      <w:tr w:rsidRPr="007F620E" w:rsidR="00A92D0B" w:rsidTr="007161CD"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710" w:type="dxa"/>
          </w:tcPr>
          <w:p w:rsidRPr="00E25078" w:rsidR="00A92D0B" w:rsidP="00073262" w:rsidRDefault="00B06271" w14:paraId="3708E485" w14:textId="2A30DB2E">
            <w:pPr>
              <w:rPr>
                <w:color w:val="000000"/>
              </w:rPr>
            </w:pPr>
            <w:r>
              <w:rPr>
                <w:color w:val="000000"/>
              </w:rPr>
              <w:t>Yes</w:t>
            </w:r>
          </w:p>
        </w:tc>
        <w:tc>
          <w:tcPr>
            <w:tcW w:w="1597" w:type="dxa"/>
          </w:tcPr>
          <w:p w:rsidRPr="00E25078" w:rsidR="00A92D0B" w:rsidP="00131BBE" w:rsidRDefault="00131BBE" w14:paraId="6B3388E6" w14:textId="45A4907E">
            <w:pPr>
              <w:jc w:val="center"/>
              <w:rPr>
                <w:color w:val="000000"/>
              </w:rPr>
            </w:pPr>
            <w:r>
              <w:rPr>
                <w:color w:val="000000"/>
              </w:rPr>
              <w:t>Yes</w:t>
            </w:r>
          </w:p>
        </w:tc>
      </w:tr>
      <w:tr w:rsidRPr="007F620E" w:rsidR="00A92D0B" w:rsidTr="007161CD" w14:paraId="0A51B7D4" w14:textId="77777777">
        <w:tc>
          <w:tcPr>
            <w:tcW w:w="7758" w:type="dxa"/>
            <w:gridSpan w:val="2"/>
          </w:tcPr>
          <w:p w:rsidRPr="00E25078" w:rsidR="00691528" w:rsidP="001B1A1B" w:rsidRDefault="00A92D0B" w14:paraId="058CE425" w14:textId="606F378A">
            <w:pPr>
              <w:ind w:hanging="30"/>
              <w:rPr>
                <w:color w:val="000000"/>
              </w:rPr>
            </w:pPr>
            <w:r w:rsidRPr="00E25078">
              <w:rPr>
                <w:b/>
                <w:color w:val="000000"/>
              </w:rPr>
              <w:t>c.</w:t>
            </w:r>
            <w:r w:rsidRPr="00E25078">
              <w:rPr>
                <w:b/>
                <w:color w:val="000000"/>
              </w:rPr>
              <w:tab/>
              <w:t>If so, provide name of other parties:</w:t>
            </w:r>
            <w:r w:rsidRPr="00E25078" w:rsidR="00E25078">
              <w:rPr>
                <w:color w:val="000000"/>
              </w:rPr>
              <w:t xml:space="preserve"> </w:t>
            </w:r>
          </w:p>
          <w:p w:rsidR="00A92D0B" w:rsidP="003C04BB" w:rsidRDefault="002326A8" w14:paraId="15D76549" w14:textId="77777777">
            <w:pPr>
              <w:ind w:left="60"/>
              <w:rPr>
                <w:color w:val="000000"/>
              </w:rPr>
            </w:pPr>
            <w:r>
              <w:rPr>
                <w:color w:val="000000"/>
              </w:rPr>
              <w:t>Center for Biological Diversity,</w:t>
            </w:r>
            <w:r w:rsidR="00857CED">
              <w:rPr>
                <w:color w:val="000000"/>
              </w:rPr>
              <w:t xml:space="preserve"> Clean Coalition, </w:t>
            </w:r>
            <w:r w:rsidR="00666DE3">
              <w:rPr>
                <w:color w:val="000000"/>
              </w:rPr>
              <w:t xml:space="preserve">Sierra Club, </w:t>
            </w:r>
            <w:r w:rsidR="00857CED">
              <w:rPr>
                <w:color w:val="000000"/>
              </w:rPr>
              <w:t>Acton Town Council</w:t>
            </w:r>
            <w:r w:rsidR="00A036C7">
              <w:rPr>
                <w:color w:val="000000"/>
              </w:rPr>
              <w:t xml:space="preserve">, </w:t>
            </w:r>
            <w:r w:rsidR="003C04BB">
              <w:rPr>
                <w:color w:val="000000"/>
              </w:rPr>
              <w:t>California Farm Bureau Federation, Anza Borrego Foundation, Defenders of Wildlife</w:t>
            </w:r>
          </w:p>
          <w:p w:rsidRPr="00E25078" w:rsidR="00FD43A9" w:rsidP="003C04BB" w:rsidRDefault="00FD43A9" w14:paraId="0919176B" w14:textId="00587E45">
            <w:pPr>
              <w:ind w:left="60"/>
              <w:rPr>
                <w:color w:val="000000"/>
              </w:rPr>
            </w:pPr>
          </w:p>
        </w:tc>
        <w:tc>
          <w:tcPr>
            <w:tcW w:w="1597" w:type="dxa"/>
          </w:tcPr>
          <w:p w:rsidRPr="00E25078" w:rsidR="00A92D0B" w:rsidP="00131BBE" w:rsidRDefault="00131BBE" w14:paraId="22A40B49" w14:textId="75D95133">
            <w:pPr>
              <w:jc w:val="center"/>
              <w:rPr>
                <w:color w:val="000000"/>
              </w:rPr>
            </w:pPr>
            <w:r>
              <w:rPr>
                <w:color w:val="000000"/>
              </w:rPr>
              <w:t>Verified</w:t>
            </w:r>
          </w:p>
        </w:tc>
      </w:tr>
      <w:tr w:rsidRPr="007F620E" w:rsidR="00A92D0B" w:rsidTr="007161CD" w14:paraId="744830F5" w14:textId="77777777">
        <w:tc>
          <w:tcPr>
            <w:tcW w:w="7758" w:type="dxa"/>
            <w:gridSpan w:val="2"/>
          </w:tcPr>
          <w:p w:rsidRPr="001B1A1B" w:rsidR="00A92D0B" w:rsidP="00073262" w:rsidRDefault="00A92D0B" w14:paraId="7C05FE5A" w14:textId="7521972E">
            <w:pPr>
              <w:tabs>
                <w:tab w:val="left" w:pos="360"/>
              </w:tabs>
              <w:ind w:left="360" w:hanging="360"/>
              <w:rPr>
                <w:color w:val="000000"/>
              </w:rPr>
            </w:pPr>
            <w:r w:rsidRPr="001B1A1B">
              <w:rPr>
                <w:b/>
                <w:color w:val="000000"/>
              </w:rPr>
              <w:t>d.</w:t>
            </w:r>
            <w:r w:rsidRPr="001B1A1B">
              <w:rPr>
                <w:b/>
                <w:color w:val="000000"/>
              </w:rPr>
              <w:tab/>
            </w:r>
            <w:r w:rsidRPr="001B1A1B" w:rsidR="00D075B1">
              <w:rPr>
                <w:b/>
                <w:color w:val="000000"/>
              </w:rPr>
              <w:t xml:space="preserve">Intervenor’s </w:t>
            </w:r>
            <w:r w:rsidRPr="001B1A1B" w:rsidR="00A319DE">
              <w:rPr>
                <w:b/>
                <w:color w:val="000000"/>
              </w:rPr>
              <w:t>c</w:t>
            </w:r>
            <w:r w:rsidRPr="001B1A1B" w:rsidR="00D075B1">
              <w:rPr>
                <w:b/>
                <w:color w:val="000000"/>
              </w:rPr>
              <w:t xml:space="preserve">laim of </w:t>
            </w:r>
            <w:r w:rsidRPr="001B1A1B" w:rsidR="00A319DE">
              <w:rPr>
                <w:b/>
                <w:color w:val="000000"/>
              </w:rPr>
              <w:t>n</w:t>
            </w:r>
            <w:r w:rsidRPr="001B1A1B" w:rsidR="00D075B1">
              <w:rPr>
                <w:b/>
                <w:color w:val="000000"/>
              </w:rPr>
              <w:t>on-</w:t>
            </w:r>
            <w:r w:rsidRPr="001B1A1B" w:rsidR="00A319DE">
              <w:rPr>
                <w:b/>
                <w:color w:val="000000"/>
              </w:rPr>
              <w:t>d</w:t>
            </w:r>
            <w:r w:rsidRPr="001B1A1B" w:rsidR="00D075B1">
              <w:rPr>
                <w:b/>
                <w:color w:val="000000"/>
              </w:rPr>
              <w:t>uplication:</w:t>
            </w:r>
            <w:r w:rsidRPr="001B1A1B" w:rsidR="00E25078">
              <w:rPr>
                <w:color w:val="000000"/>
              </w:rPr>
              <w:t xml:space="preserve"> </w:t>
            </w:r>
          </w:p>
          <w:p w:rsidR="00A92D0B" w:rsidP="00E12766" w:rsidRDefault="002F315E" w14:paraId="47921F9E" w14:textId="77777777">
            <w:pPr>
              <w:tabs>
                <w:tab w:val="left" w:pos="330"/>
              </w:tabs>
              <w:rPr>
                <w:color w:val="000000"/>
              </w:rPr>
            </w:pPr>
            <w:r w:rsidRPr="001B1A1B">
              <w:rPr>
                <w:color w:val="000000"/>
              </w:rPr>
              <w:t>PCF collaborated</w:t>
            </w:r>
            <w:r>
              <w:rPr>
                <w:color w:val="000000"/>
              </w:rPr>
              <w:t xml:space="preserve"> and coordinated</w:t>
            </w:r>
            <w:r w:rsidRPr="001B1A1B">
              <w:rPr>
                <w:color w:val="000000"/>
              </w:rPr>
              <w:t xml:space="preserve"> with</w:t>
            </w:r>
            <w:r>
              <w:rPr>
                <w:color w:val="000000"/>
              </w:rPr>
              <w:t xml:space="preserve"> a number of parties throughout the proceeding, including</w:t>
            </w:r>
            <w:r w:rsidRPr="001B1A1B">
              <w:rPr>
                <w:color w:val="000000"/>
              </w:rPr>
              <w:t xml:space="preserve"> Center for Biological Diversity</w:t>
            </w:r>
            <w:r>
              <w:rPr>
                <w:color w:val="000000"/>
              </w:rPr>
              <w:t>, Acton Town Council, California Farm Bureau Federation, Anza Borrego Foundation, Defenders of Wildlife</w:t>
            </w:r>
            <w:r w:rsidR="00666DE3">
              <w:rPr>
                <w:color w:val="000000"/>
              </w:rPr>
              <w:t xml:space="preserve">, Clean Coalition, Sierra Club, and Cal Advocates, </w:t>
            </w:r>
            <w:r w:rsidRPr="001B1A1B" w:rsidR="00666DE3">
              <w:rPr>
                <w:color w:val="000000"/>
              </w:rPr>
              <w:t>to ensure efficient advocacy and avoid duplication of effort</w:t>
            </w:r>
            <w:r w:rsidR="00666DE3">
              <w:rPr>
                <w:color w:val="000000"/>
              </w:rPr>
              <w:t xml:space="preserve">s. </w:t>
            </w:r>
            <w:r w:rsidR="00422812">
              <w:rPr>
                <w:color w:val="000000"/>
              </w:rPr>
              <w:t>Each organization br</w:t>
            </w:r>
            <w:r w:rsidR="00A327F6">
              <w:rPr>
                <w:color w:val="000000"/>
              </w:rPr>
              <w:t xml:space="preserve">ought </w:t>
            </w:r>
            <w:r w:rsidR="00422812">
              <w:rPr>
                <w:color w:val="000000"/>
              </w:rPr>
              <w:t>a distinct perspective</w:t>
            </w:r>
            <w:r w:rsidR="00A327F6">
              <w:rPr>
                <w:color w:val="000000"/>
              </w:rPr>
              <w:t xml:space="preserve"> and unique experience to the proceeding, which</w:t>
            </w:r>
            <w:r w:rsidR="00D55F2F">
              <w:rPr>
                <w:color w:val="000000"/>
              </w:rPr>
              <w:t xml:space="preserve"> the Legislature recognizes provides great </w:t>
            </w:r>
            <w:r w:rsidR="00A327F6">
              <w:rPr>
                <w:color w:val="000000"/>
              </w:rPr>
              <w:t xml:space="preserve">benefits </w:t>
            </w:r>
            <w:r w:rsidR="00D55F2F">
              <w:rPr>
                <w:color w:val="000000"/>
              </w:rPr>
              <w:t xml:space="preserve">for </w:t>
            </w:r>
            <w:r w:rsidR="00A327F6">
              <w:rPr>
                <w:color w:val="000000"/>
              </w:rPr>
              <w:t xml:space="preserve">the Commission’s decision-making. </w:t>
            </w:r>
            <w:r w:rsidR="00666DE3">
              <w:rPr>
                <w:color w:val="000000"/>
              </w:rPr>
              <w:t>PCF</w:t>
            </w:r>
            <w:r w:rsidR="00EF26B6">
              <w:rPr>
                <w:color w:val="000000"/>
              </w:rPr>
              <w:t xml:space="preserve"> met </w:t>
            </w:r>
            <w:r w:rsidR="00BC3C4B">
              <w:rPr>
                <w:color w:val="000000"/>
              </w:rPr>
              <w:t>with parties regularly,</w:t>
            </w:r>
            <w:r w:rsidR="00666DE3">
              <w:rPr>
                <w:color w:val="000000"/>
              </w:rPr>
              <w:t xml:space="preserve"> submitted filings jointly w</w:t>
            </w:r>
            <w:r w:rsidR="00021DCB">
              <w:rPr>
                <w:color w:val="000000"/>
              </w:rPr>
              <w:t>hen</w:t>
            </w:r>
            <w:r w:rsidR="00BC3C4B">
              <w:rPr>
                <w:color w:val="000000"/>
              </w:rPr>
              <w:t>ever</w:t>
            </w:r>
            <w:r w:rsidR="00021DCB">
              <w:rPr>
                <w:color w:val="000000"/>
              </w:rPr>
              <w:t xml:space="preserve"> possible</w:t>
            </w:r>
            <w:r w:rsidR="00BC3C4B">
              <w:rPr>
                <w:color w:val="000000"/>
              </w:rPr>
              <w:t xml:space="preserve"> </w:t>
            </w:r>
            <w:r w:rsidR="00021DCB">
              <w:rPr>
                <w:color w:val="000000"/>
              </w:rPr>
              <w:t xml:space="preserve">to avoid duplication and instead </w:t>
            </w:r>
            <w:r w:rsidR="00D56E9C">
              <w:rPr>
                <w:color w:val="000000"/>
              </w:rPr>
              <w:t xml:space="preserve">to materially </w:t>
            </w:r>
            <w:r w:rsidR="00F504BA">
              <w:rPr>
                <w:color w:val="000000"/>
              </w:rPr>
              <w:t>supplement each other’s advocacy.</w:t>
            </w:r>
            <w:r w:rsidR="00FB51D5">
              <w:rPr>
                <w:color w:val="000000"/>
              </w:rPr>
              <w:t xml:space="preserve"> PCF</w:t>
            </w:r>
            <w:r w:rsidR="00FA59EB">
              <w:rPr>
                <w:color w:val="000000"/>
              </w:rPr>
              <w:t xml:space="preserve"> and these parties</w:t>
            </w:r>
            <w:r w:rsidR="0088793D">
              <w:rPr>
                <w:color w:val="000000"/>
              </w:rPr>
              <w:t xml:space="preserve"> shared </w:t>
            </w:r>
            <w:r w:rsidR="00FA59EB">
              <w:rPr>
                <w:color w:val="000000"/>
              </w:rPr>
              <w:t xml:space="preserve">their </w:t>
            </w:r>
            <w:r w:rsidR="0088793D">
              <w:rPr>
                <w:color w:val="000000"/>
              </w:rPr>
              <w:t>knowledge</w:t>
            </w:r>
            <w:r w:rsidR="00FA59EB">
              <w:rPr>
                <w:color w:val="000000"/>
              </w:rPr>
              <w:t>,</w:t>
            </w:r>
            <w:r w:rsidR="0088793D">
              <w:rPr>
                <w:color w:val="000000"/>
              </w:rPr>
              <w:t xml:space="preserve"> expertise</w:t>
            </w:r>
            <w:r w:rsidR="00FA59EB">
              <w:rPr>
                <w:color w:val="000000"/>
              </w:rPr>
              <w:t xml:space="preserve">, and </w:t>
            </w:r>
            <w:r w:rsidR="00700B19">
              <w:rPr>
                <w:color w:val="000000"/>
              </w:rPr>
              <w:t xml:space="preserve">their distinct </w:t>
            </w:r>
            <w:r w:rsidR="000B3342">
              <w:rPr>
                <w:color w:val="000000"/>
              </w:rPr>
              <w:t xml:space="preserve">institutional </w:t>
            </w:r>
            <w:r w:rsidR="00FA59EB">
              <w:rPr>
                <w:color w:val="000000"/>
              </w:rPr>
              <w:t>perspective</w:t>
            </w:r>
            <w:r w:rsidR="000B3342">
              <w:rPr>
                <w:color w:val="000000"/>
              </w:rPr>
              <w:t>s</w:t>
            </w:r>
            <w:r w:rsidR="00FA59EB">
              <w:rPr>
                <w:color w:val="000000"/>
              </w:rPr>
              <w:t xml:space="preserve"> with one another, to </w:t>
            </w:r>
            <w:r w:rsidR="00E12766">
              <w:rPr>
                <w:color w:val="000000"/>
              </w:rPr>
              <w:t>ensure the most e</w:t>
            </w:r>
            <w:r w:rsidR="00FB51D5">
              <w:rPr>
                <w:color w:val="000000"/>
              </w:rPr>
              <w:t>ffective</w:t>
            </w:r>
            <w:r w:rsidR="00D5683A">
              <w:rPr>
                <w:color w:val="000000"/>
              </w:rPr>
              <w:t xml:space="preserve">, complementary, and </w:t>
            </w:r>
            <w:r w:rsidR="00935A84">
              <w:rPr>
                <w:color w:val="000000"/>
              </w:rPr>
              <w:t xml:space="preserve">streamlined </w:t>
            </w:r>
            <w:r w:rsidR="00E12766">
              <w:rPr>
                <w:color w:val="000000"/>
              </w:rPr>
              <w:t>advocacy.</w:t>
            </w:r>
            <w:r w:rsidR="00FB51D5">
              <w:rPr>
                <w:color w:val="000000"/>
              </w:rPr>
              <w:t xml:space="preserve"> </w:t>
            </w:r>
          </w:p>
          <w:p w:rsidRPr="001B1A1B" w:rsidR="00FD43A9" w:rsidP="00E12766" w:rsidRDefault="00FD43A9" w14:paraId="3228BB07" w14:textId="3D1B42E6">
            <w:pPr>
              <w:tabs>
                <w:tab w:val="left" w:pos="330"/>
              </w:tabs>
              <w:rPr>
                <w:color w:val="000000"/>
              </w:rPr>
            </w:pPr>
          </w:p>
        </w:tc>
        <w:tc>
          <w:tcPr>
            <w:tcW w:w="1597" w:type="dxa"/>
          </w:tcPr>
          <w:p w:rsidR="00A92D0B" w:rsidP="00131BBE" w:rsidRDefault="00A92D0B" w14:paraId="6948A66F" w14:textId="77777777">
            <w:pPr>
              <w:tabs>
                <w:tab w:val="left" w:pos="360"/>
              </w:tabs>
              <w:ind w:left="360" w:hanging="360"/>
              <w:jc w:val="center"/>
              <w:rPr>
                <w:color w:val="000000"/>
              </w:rPr>
            </w:pPr>
          </w:p>
          <w:p w:rsidR="00131BBE" w:rsidP="00131BBE" w:rsidRDefault="00131BBE" w14:paraId="00166D67" w14:textId="77777777">
            <w:pPr>
              <w:tabs>
                <w:tab w:val="left" w:pos="360"/>
              </w:tabs>
              <w:ind w:left="360" w:hanging="360"/>
              <w:jc w:val="center"/>
              <w:rPr>
                <w:color w:val="000000"/>
              </w:rPr>
            </w:pPr>
          </w:p>
          <w:p w:rsidRPr="00E25078" w:rsidR="00131BBE" w:rsidP="00131BBE" w:rsidRDefault="00131BBE" w14:paraId="5F9BBA55" w14:textId="46F9137F">
            <w:pPr>
              <w:tabs>
                <w:tab w:val="left" w:pos="360"/>
              </w:tabs>
              <w:ind w:left="360" w:hanging="360"/>
              <w:jc w:val="center"/>
              <w:rPr>
                <w:color w:val="000000"/>
              </w:rPr>
            </w:pPr>
            <w:r>
              <w:rPr>
                <w:color w:val="000000"/>
              </w:rPr>
              <w:t>Noted</w:t>
            </w:r>
          </w:p>
        </w:tc>
      </w:tr>
    </w:tbl>
    <w:p w:rsidRPr="003B6A1B" w:rsidR="00A92D0B" w:rsidP="005B5B44" w:rsidRDefault="00A92D0B" w14:paraId="4415DD51" w14:textId="73987411">
      <w:pPr>
        <w:keepNext/>
        <w:numPr>
          <w:ilvl w:val="0"/>
          <w:numId w:val="8"/>
        </w:numPr>
        <w:spacing w:before="240" w:after="240"/>
        <w:rPr>
          <w:b/>
          <w:i/>
          <w:color w:val="000000"/>
          <w:u w:val="single"/>
        </w:rPr>
      </w:pPr>
      <w:r w:rsidRPr="007F620E">
        <w:rPr>
          <w:b/>
          <w:color w:val="000000"/>
        </w:rPr>
        <w:t>Additional Comments on Part II</w:t>
      </w:r>
      <w:r w:rsidR="00C02649">
        <w:rPr>
          <w:b/>
          <w:color w:val="000000"/>
        </w:rPr>
        <w:t>:</w:t>
      </w:r>
      <w:r w:rsidRPr="007F620E">
        <w:rPr>
          <w:b/>
          <w:color w:val="000000"/>
        </w:rPr>
        <w:t xml:space="preserve"> </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999"/>
        <w:gridCol w:w="3519"/>
        <w:gridCol w:w="4837"/>
      </w:tblGrid>
      <w:tr w:rsidRPr="007F620E" w:rsidR="00963EEF" w:rsidTr="007161CD" w14:paraId="52771334" w14:textId="77777777">
        <w:trPr>
          <w:tblHeader/>
        </w:trPr>
        <w:tc>
          <w:tcPr>
            <w:tcW w:w="999" w:type="dxa"/>
            <w:tcBorders>
              <w:bottom w:val="single" w:color="auto" w:sz="4" w:space="0"/>
            </w:tcBorders>
            <w:shd w:val="clear" w:color="auto" w:fill="D9D9D9" w:themeFill="background1" w:themeFillShade="D9"/>
          </w:tcPr>
          <w:p w:rsidRPr="007F620E" w:rsidR="00963EEF" w:rsidP="00073262" w:rsidRDefault="00963EEF" w14:paraId="15D83D80" w14:textId="77777777">
            <w:pPr>
              <w:tabs>
                <w:tab w:val="left" w:pos="360"/>
              </w:tabs>
              <w:jc w:val="center"/>
              <w:rPr>
                <w:b/>
                <w:color w:val="000000"/>
              </w:rPr>
            </w:pPr>
            <w:r w:rsidRPr="007F620E">
              <w:rPr>
                <w:b/>
                <w:color w:val="000000"/>
              </w:rPr>
              <w:t>#</w:t>
            </w:r>
          </w:p>
        </w:tc>
        <w:tc>
          <w:tcPr>
            <w:tcW w:w="3519" w:type="dxa"/>
            <w:tcBorders>
              <w:bottom w:val="single" w:color="auto" w:sz="4" w:space="0"/>
            </w:tcBorders>
            <w:shd w:val="clear" w:color="auto" w:fill="D9D9D9" w:themeFill="background1" w:themeFillShade="D9"/>
          </w:tcPr>
          <w:p w:rsidRPr="007F620E" w:rsidR="00963EEF" w:rsidP="00073262" w:rsidRDefault="00963EEF" w14:paraId="23BC1F82" w14:textId="77777777">
            <w:pPr>
              <w:tabs>
                <w:tab w:val="left" w:pos="360"/>
              </w:tabs>
              <w:jc w:val="center"/>
              <w:rPr>
                <w:b/>
                <w:color w:val="000000"/>
              </w:rPr>
            </w:pPr>
            <w:r w:rsidRPr="007F620E">
              <w:rPr>
                <w:b/>
                <w:color w:val="000000"/>
              </w:rPr>
              <w:t>Intervenor’s Comment</w:t>
            </w:r>
          </w:p>
        </w:tc>
        <w:tc>
          <w:tcPr>
            <w:tcW w:w="4837" w:type="dxa"/>
            <w:shd w:val="clear" w:color="auto" w:fill="D9D9D9" w:themeFill="background1" w:themeFillShade="D9"/>
          </w:tcPr>
          <w:p w:rsidRPr="007F620E" w:rsidR="00963EEF" w:rsidP="00073262" w:rsidRDefault="00963EEF" w14:paraId="03118710" w14:textId="77777777">
            <w:pPr>
              <w:tabs>
                <w:tab w:val="left" w:pos="360"/>
              </w:tabs>
              <w:jc w:val="center"/>
              <w:rPr>
                <w:b/>
                <w:color w:val="000000"/>
              </w:rPr>
            </w:pPr>
            <w:r w:rsidRPr="007F620E">
              <w:rPr>
                <w:b/>
                <w:color w:val="000000"/>
              </w:rPr>
              <w:t>CPUC Discussion</w:t>
            </w:r>
          </w:p>
        </w:tc>
      </w:tr>
      <w:tr w:rsidRPr="007F620E" w:rsidR="00BE3088" w:rsidTr="007161CD" w14:paraId="58A3E16A" w14:textId="77777777">
        <w:tc>
          <w:tcPr>
            <w:tcW w:w="999" w:type="dxa"/>
          </w:tcPr>
          <w:p w:rsidRPr="007F620E" w:rsidR="00BE3088" w:rsidP="00BE3088" w:rsidRDefault="00BE3088" w14:paraId="3D289A0B" w14:textId="54A81783">
            <w:pPr>
              <w:tabs>
                <w:tab w:val="left" w:pos="360"/>
              </w:tabs>
              <w:rPr>
                <w:color w:val="000000"/>
              </w:rPr>
            </w:pPr>
            <w:r w:rsidRPr="00F54CC0">
              <w:rPr>
                <w:color w:val="000000"/>
              </w:rPr>
              <w:t xml:space="preserve">II(A) </w:t>
            </w:r>
          </w:p>
        </w:tc>
        <w:tc>
          <w:tcPr>
            <w:tcW w:w="3519" w:type="dxa"/>
          </w:tcPr>
          <w:p w:rsidR="00BE3088" w:rsidP="00BE3088" w:rsidRDefault="00BE3088" w14:paraId="4F9AD6F4" w14:textId="77777777">
            <w:pPr>
              <w:tabs>
                <w:tab w:val="left" w:pos="360"/>
              </w:tabs>
              <w:rPr>
                <w:color w:val="000000"/>
              </w:rPr>
            </w:pPr>
            <w:r w:rsidRPr="00381A1B">
              <w:rPr>
                <w:b/>
                <w:bCs/>
                <w:color w:val="000000"/>
              </w:rPr>
              <w:t>Substantial Contribution.</w:t>
            </w:r>
            <w:r w:rsidRPr="00F54CC0">
              <w:rPr>
                <w:color w:val="000000"/>
              </w:rPr>
              <w:t xml:space="preserve"> </w:t>
            </w:r>
          </w:p>
          <w:p w:rsidR="00BE3088" w:rsidP="00BE3088" w:rsidRDefault="00BE3088" w14:paraId="7C9641B3" w14:textId="77777777">
            <w:pPr>
              <w:tabs>
                <w:tab w:val="left" w:pos="360"/>
              </w:tabs>
              <w:rPr>
                <w:color w:val="000000"/>
              </w:rPr>
            </w:pPr>
            <w:r w:rsidRPr="00F54CC0">
              <w:rPr>
                <w:color w:val="000000"/>
              </w:rPr>
              <w:t xml:space="preserve">Pursuant to Section 1802(j), “Substantial contribution” means that, in the judgment of the commission, the customer’s presentation has substantially assisted the commission in the making of its order or decision because the order or decision has </w:t>
            </w:r>
            <w:r w:rsidRPr="00F54CC0">
              <w:rPr>
                <w:color w:val="000000"/>
              </w:rPr>
              <w:lastRenderedPageBreak/>
              <w:t>adopted in whole or in part one or more factual contentions, legal contentions, or specific policy or procedural recommendations presented by the customer.”</w:t>
            </w:r>
          </w:p>
          <w:p w:rsidRPr="007F620E" w:rsidR="00FD43A9" w:rsidP="00BE3088" w:rsidRDefault="00FD43A9" w14:paraId="59AA74E8" w14:textId="02352ABB">
            <w:pPr>
              <w:tabs>
                <w:tab w:val="left" w:pos="360"/>
              </w:tabs>
              <w:rPr>
                <w:color w:val="000000"/>
              </w:rPr>
            </w:pPr>
          </w:p>
        </w:tc>
        <w:tc>
          <w:tcPr>
            <w:tcW w:w="4837" w:type="dxa"/>
          </w:tcPr>
          <w:p w:rsidR="00BE3088" w:rsidP="00131BBE" w:rsidRDefault="00BE3088" w14:paraId="235AF4B1" w14:textId="77777777">
            <w:pPr>
              <w:tabs>
                <w:tab w:val="left" w:pos="360"/>
              </w:tabs>
              <w:jc w:val="center"/>
              <w:rPr>
                <w:color w:val="000000"/>
              </w:rPr>
            </w:pPr>
          </w:p>
          <w:p w:rsidR="00131BBE" w:rsidP="00131BBE" w:rsidRDefault="00131BBE" w14:paraId="43C37B0C" w14:textId="77777777">
            <w:pPr>
              <w:tabs>
                <w:tab w:val="left" w:pos="360"/>
              </w:tabs>
              <w:jc w:val="center"/>
              <w:rPr>
                <w:color w:val="000000"/>
              </w:rPr>
            </w:pPr>
          </w:p>
          <w:p w:rsidR="00131BBE" w:rsidP="00131BBE" w:rsidRDefault="00131BBE" w14:paraId="6497F6C1" w14:textId="77777777">
            <w:pPr>
              <w:tabs>
                <w:tab w:val="left" w:pos="360"/>
              </w:tabs>
              <w:jc w:val="center"/>
              <w:rPr>
                <w:color w:val="000000"/>
              </w:rPr>
            </w:pPr>
          </w:p>
          <w:p w:rsidRPr="007F620E" w:rsidR="00131BBE" w:rsidP="00131BBE" w:rsidRDefault="00131BBE" w14:paraId="7B53CB1C" w14:textId="4600A48A">
            <w:pPr>
              <w:tabs>
                <w:tab w:val="left" w:pos="360"/>
              </w:tabs>
              <w:jc w:val="center"/>
              <w:rPr>
                <w:color w:val="000000"/>
              </w:rPr>
            </w:pPr>
            <w:r>
              <w:rPr>
                <w:color w:val="000000"/>
              </w:rPr>
              <w:t>Noted</w:t>
            </w:r>
          </w:p>
        </w:tc>
      </w:tr>
      <w:tr w:rsidRPr="007F620E" w:rsidR="00BE3088" w:rsidTr="007161CD" w14:paraId="530F6CE2" w14:textId="77777777">
        <w:tc>
          <w:tcPr>
            <w:tcW w:w="999" w:type="dxa"/>
          </w:tcPr>
          <w:p w:rsidRPr="007F620E" w:rsidR="00BE3088" w:rsidP="00BE3088" w:rsidRDefault="00BE3088" w14:paraId="220B7D3F" w14:textId="4CB5047A">
            <w:pPr>
              <w:tabs>
                <w:tab w:val="left" w:pos="360"/>
              </w:tabs>
              <w:rPr>
                <w:color w:val="000000"/>
              </w:rPr>
            </w:pPr>
            <w:r w:rsidRPr="00F54CC0">
              <w:rPr>
                <w:color w:val="000000"/>
              </w:rPr>
              <w:t>II(A)</w:t>
            </w:r>
          </w:p>
        </w:tc>
        <w:tc>
          <w:tcPr>
            <w:tcW w:w="3519" w:type="dxa"/>
          </w:tcPr>
          <w:p w:rsidR="00BE3088" w:rsidP="00BE3088" w:rsidRDefault="00BE3088" w14:paraId="21DDE436" w14:textId="77777777">
            <w:pPr>
              <w:tabs>
                <w:tab w:val="left" w:pos="360"/>
              </w:tabs>
              <w:rPr>
                <w:color w:val="000000"/>
              </w:rPr>
            </w:pPr>
            <w:r w:rsidRPr="000F18EB">
              <w:rPr>
                <w:color w:val="000000"/>
              </w:rPr>
              <w:t>Substantial Contribution Includes Enriching Deliberations or the Record. Past Commission decisions instruct that intervenors substantially contribute when they have “provided a unique</w:t>
            </w:r>
            <w:r>
              <w:rPr>
                <w:color w:val="000000"/>
              </w:rPr>
              <w:t xml:space="preserve"> </w:t>
            </w:r>
            <w:r w:rsidRPr="000F18EB">
              <w:rPr>
                <w:color w:val="000000"/>
              </w:rPr>
              <w:t>perspective that enriched the Commission’s deliberations and the record.” (D.05-06-027, p. 5); when they have “assisted the Commission in the decision</w:t>
            </w:r>
            <w:r>
              <w:rPr>
                <w:color w:val="000000"/>
              </w:rPr>
              <w:t>-</w:t>
            </w:r>
            <w:r w:rsidRPr="000F18EB">
              <w:rPr>
                <w:color w:val="000000"/>
              </w:rPr>
              <w:t>making process” (D.19-10-019, p. 3-4); when they provide a full discussion of the matters at issue so as to allow the Commission “to fully consider the consequences of adopting or rejecting” the parties’ proposals (D.08-04-004, p. 5-6); and when they offer alternative evaluations of the disputes addressed (D.19-10-019, p. 5-6).</w:t>
            </w:r>
          </w:p>
          <w:p w:rsidRPr="007F620E" w:rsidR="00FD43A9" w:rsidP="00BE3088" w:rsidRDefault="00FD43A9" w14:paraId="2DD09648" w14:textId="57798D2B">
            <w:pPr>
              <w:tabs>
                <w:tab w:val="left" w:pos="360"/>
              </w:tabs>
              <w:rPr>
                <w:color w:val="000000"/>
              </w:rPr>
            </w:pPr>
          </w:p>
        </w:tc>
        <w:tc>
          <w:tcPr>
            <w:tcW w:w="4837" w:type="dxa"/>
          </w:tcPr>
          <w:p w:rsidR="00BE3088" w:rsidP="00131BBE" w:rsidRDefault="00BE3088" w14:paraId="3B2A3AB3" w14:textId="77777777">
            <w:pPr>
              <w:tabs>
                <w:tab w:val="left" w:pos="360"/>
              </w:tabs>
              <w:jc w:val="center"/>
              <w:rPr>
                <w:color w:val="000000"/>
              </w:rPr>
            </w:pPr>
          </w:p>
          <w:p w:rsidR="00131BBE" w:rsidP="00131BBE" w:rsidRDefault="00131BBE" w14:paraId="42BD2075" w14:textId="77777777">
            <w:pPr>
              <w:tabs>
                <w:tab w:val="left" w:pos="360"/>
              </w:tabs>
              <w:jc w:val="center"/>
              <w:rPr>
                <w:color w:val="000000"/>
              </w:rPr>
            </w:pPr>
          </w:p>
          <w:p w:rsidR="00131BBE" w:rsidP="00131BBE" w:rsidRDefault="00131BBE" w14:paraId="61405F72" w14:textId="77777777">
            <w:pPr>
              <w:tabs>
                <w:tab w:val="left" w:pos="360"/>
              </w:tabs>
              <w:jc w:val="center"/>
              <w:rPr>
                <w:color w:val="000000"/>
              </w:rPr>
            </w:pPr>
          </w:p>
          <w:p w:rsidRPr="007F620E" w:rsidR="00131BBE" w:rsidP="00131BBE" w:rsidRDefault="00131BBE" w14:paraId="36220B11" w14:textId="3C06384B">
            <w:pPr>
              <w:tabs>
                <w:tab w:val="left" w:pos="360"/>
              </w:tabs>
              <w:jc w:val="center"/>
              <w:rPr>
                <w:color w:val="000000"/>
              </w:rPr>
            </w:pPr>
            <w:r>
              <w:rPr>
                <w:color w:val="000000"/>
              </w:rPr>
              <w:t>Noted</w:t>
            </w:r>
          </w:p>
        </w:tc>
      </w:tr>
      <w:tr w:rsidRPr="007F620E" w:rsidR="00BE3088" w:rsidTr="007161CD" w14:paraId="6D0EEB0C" w14:textId="77777777">
        <w:tc>
          <w:tcPr>
            <w:tcW w:w="999" w:type="dxa"/>
          </w:tcPr>
          <w:p w:rsidRPr="007F620E" w:rsidR="00BE3088" w:rsidP="00BE3088" w:rsidRDefault="00BE3088" w14:paraId="218B5652" w14:textId="6D299B16">
            <w:pPr>
              <w:tabs>
                <w:tab w:val="left" w:pos="360"/>
              </w:tabs>
              <w:rPr>
                <w:color w:val="000000"/>
              </w:rPr>
            </w:pPr>
            <w:r w:rsidRPr="00965A0D">
              <w:rPr>
                <w:color w:val="000000"/>
              </w:rPr>
              <w:t>II(A)</w:t>
            </w:r>
          </w:p>
        </w:tc>
        <w:tc>
          <w:tcPr>
            <w:tcW w:w="3519" w:type="dxa"/>
          </w:tcPr>
          <w:p w:rsidR="00BE3088" w:rsidP="00BE3088" w:rsidRDefault="00BE3088" w14:paraId="114B53D8" w14:textId="77777777">
            <w:pPr>
              <w:tabs>
                <w:tab w:val="left" w:pos="360"/>
              </w:tabs>
              <w:rPr>
                <w:color w:val="000000"/>
              </w:rPr>
            </w:pPr>
            <w:r w:rsidRPr="00965A0D">
              <w:rPr>
                <w:color w:val="000000"/>
              </w:rPr>
              <w:t>Substantial Contribution Includes Procedural Recommendations. The Commission recognizes that “[p]</w:t>
            </w:r>
            <w:proofErr w:type="spellStart"/>
            <w:r w:rsidRPr="00965A0D">
              <w:rPr>
                <w:color w:val="000000"/>
              </w:rPr>
              <w:t>rocedural</w:t>
            </w:r>
            <w:proofErr w:type="spellEnd"/>
            <w:r w:rsidRPr="00965A0D">
              <w:rPr>
                <w:color w:val="000000"/>
              </w:rPr>
              <w:t xml:space="preserve"> outcomes are statutorily recognized as substantial contribution.” (D.19- 10-019, p. 7; p. 4 [adoption of “procedural recommendations related to scheduling and evidence.”].)</w:t>
            </w:r>
          </w:p>
          <w:p w:rsidR="00FD43A9" w:rsidP="00BE3088" w:rsidRDefault="00FD43A9" w14:paraId="4992814D" w14:textId="77777777">
            <w:pPr>
              <w:tabs>
                <w:tab w:val="left" w:pos="360"/>
              </w:tabs>
              <w:rPr>
                <w:color w:val="000000"/>
              </w:rPr>
            </w:pPr>
          </w:p>
          <w:p w:rsidRPr="007F620E" w:rsidR="00FD43A9" w:rsidP="00BE3088" w:rsidRDefault="00FD43A9" w14:paraId="797B466D" w14:textId="702F8D7B">
            <w:pPr>
              <w:tabs>
                <w:tab w:val="left" w:pos="360"/>
              </w:tabs>
              <w:rPr>
                <w:color w:val="000000"/>
              </w:rPr>
            </w:pPr>
          </w:p>
        </w:tc>
        <w:tc>
          <w:tcPr>
            <w:tcW w:w="4837" w:type="dxa"/>
          </w:tcPr>
          <w:p w:rsidR="00BE3088" w:rsidP="00131BBE" w:rsidRDefault="00BE3088" w14:paraId="0571BC4F" w14:textId="77777777">
            <w:pPr>
              <w:tabs>
                <w:tab w:val="left" w:pos="360"/>
              </w:tabs>
              <w:jc w:val="center"/>
              <w:rPr>
                <w:color w:val="000000"/>
              </w:rPr>
            </w:pPr>
          </w:p>
          <w:p w:rsidR="00131BBE" w:rsidP="00131BBE" w:rsidRDefault="00131BBE" w14:paraId="179864C9" w14:textId="77777777">
            <w:pPr>
              <w:tabs>
                <w:tab w:val="left" w:pos="360"/>
              </w:tabs>
              <w:jc w:val="center"/>
              <w:rPr>
                <w:color w:val="000000"/>
              </w:rPr>
            </w:pPr>
          </w:p>
          <w:p w:rsidR="00131BBE" w:rsidP="00131BBE" w:rsidRDefault="00131BBE" w14:paraId="78BF2E88" w14:textId="77777777">
            <w:pPr>
              <w:tabs>
                <w:tab w:val="left" w:pos="360"/>
              </w:tabs>
              <w:jc w:val="center"/>
              <w:rPr>
                <w:color w:val="000000"/>
              </w:rPr>
            </w:pPr>
          </w:p>
          <w:p w:rsidRPr="007F620E" w:rsidR="00131BBE" w:rsidP="00131BBE" w:rsidRDefault="00131BBE" w14:paraId="0949BE1C" w14:textId="277542D2">
            <w:pPr>
              <w:tabs>
                <w:tab w:val="left" w:pos="360"/>
              </w:tabs>
              <w:jc w:val="center"/>
              <w:rPr>
                <w:color w:val="000000"/>
              </w:rPr>
            </w:pPr>
            <w:r>
              <w:rPr>
                <w:color w:val="000000"/>
              </w:rPr>
              <w:t>Noted</w:t>
            </w:r>
          </w:p>
        </w:tc>
      </w:tr>
      <w:tr w:rsidRPr="007F620E" w:rsidR="00BE3088" w:rsidTr="007161CD" w14:paraId="299B73EC" w14:textId="77777777">
        <w:tc>
          <w:tcPr>
            <w:tcW w:w="999" w:type="dxa"/>
          </w:tcPr>
          <w:p w:rsidRPr="007F620E" w:rsidR="00BE3088" w:rsidP="00BE3088" w:rsidRDefault="00BE3088" w14:paraId="705C1202" w14:textId="6B539680">
            <w:pPr>
              <w:tabs>
                <w:tab w:val="left" w:pos="360"/>
              </w:tabs>
              <w:rPr>
                <w:color w:val="000000"/>
              </w:rPr>
            </w:pPr>
            <w:r w:rsidRPr="00965A0D">
              <w:rPr>
                <w:color w:val="000000"/>
              </w:rPr>
              <w:t>II(B)(d)</w:t>
            </w:r>
          </w:p>
        </w:tc>
        <w:tc>
          <w:tcPr>
            <w:tcW w:w="3519" w:type="dxa"/>
          </w:tcPr>
          <w:p w:rsidRPr="007F620E" w:rsidR="00BE3088" w:rsidP="00BE3088" w:rsidRDefault="00BE3088" w14:paraId="172BD13D" w14:textId="00C19F38">
            <w:pPr>
              <w:tabs>
                <w:tab w:val="left" w:pos="360"/>
              </w:tabs>
              <w:rPr>
                <w:color w:val="000000"/>
              </w:rPr>
            </w:pPr>
            <w:r w:rsidRPr="00965A0D">
              <w:rPr>
                <w:color w:val="000000"/>
              </w:rPr>
              <w:t xml:space="preserve">No Duplication. No reduction to PCF’s compensation due to </w:t>
            </w:r>
            <w:r w:rsidRPr="00965A0D">
              <w:rPr>
                <w:color w:val="000000"/>
              </w:rPr>
              <w:lastRenderedPageBreak/>
              <w:t>duplication is warranted given the standard adopted by the Commission in D.03-03-031 and consistent with Public Utilities Code Sections 1801.3(b) &amp; (f), 1802(j), 1802.5, and 1803. Section 1803 sets forth the requirements for awarding intervenor compensation. Pub. Util. Code, § 1803; D.03-03-031, p. 12-14. An award of compensation for reasonable fees for participation in a proceeding is required when an intervenor (1)</w:t>
            </w:r>
            <w:r>
              <w:rPr>
                <w:color w:val="000000"/>
              </w:rPr>
              <w:t xml:space="preserve"> </w:t>
            </w:r>
            <w:r w:rsidRPr="009925D6">
              <w:rPr>
                <w:color w:val="000000"/>
              </w:rPr>
              <w:t xml:space="preserve">complies with Section 1804 and (2) “satisfies both of the following requirements: (a) The customer’s presentation makes a substantial contribution to the adoption, in whole or in part, of the commission’s order or decision. (b) Participation or intervention without an award of fees or costs imposes a significant financial hardship.” Pub. Util. Code, § 1803. Section 1801.3(f) seeks to avoid only (1) “unproductive or unnecessary participation that duplicates the participation of similar interests otherwise adequately represented” or (2) “participation that is not necessary for a fair determination of the proceeding.” Pub. Util. Code, § 1801.3, subd. (f); D.03-03-031, p. 15-18. The “duplication language contained in the first dependent clause requires the compensation opponent to establish three elements – duplication, similar interests, and adequate representation.” D.03-03-031, p. 18. Section 1802.5 provides for full compensation where </w:t>
            </w:r>
            <w:r w:rsidRPr="009925D6">
              <w:rPr>
                <w:color w:val="000000"/>
              </w:rPr>
              <w:lastRenderedPageBreak/>
              <w:t>participation “materially supplements, complements, or contributes to the presentation of another party.” Pub. Util. Code. § 1802.5; see also D.03-03-031, p. 14.</w:t>
            </w:r>
          </w:p>
        </w:tc>
        <w:tc>
          <w:tcPr>
            <w:tcW w:w="4837" w:type="dxa"/>
          </w:tcPr>
          <w:p w:rsidR="00BE3088" w:rsidP="0044403F" w:rsidRDefault="00BE3088" w14:paraId="3F9039F9" w14:textId="77777777">
            <w:pPr>
              <w:tabs>
                <w:tab w:val="left" w:pos="360"/>
              </w:tabs>
              <w:jc w:val="center"/>
              <w:rPr>
                <w:color w:val="000000"/>
              </w:rPr>
            </w:pPr>
          </w:p>
          <w:p w:rsidR="0044403F" w:rsidP="0044403F" w:rsidRDefault="0044403F" w14:paraId="5566D4BB" w14:textId="77777777">
            <w:pPr>
              <w:tabs>
                <w:tab w:val="left" w:pos="360"/>
              </w:tabs>
              <w:jc w:val="center"/>
              <w:rPr>
                <w:color w:val="000000"/>
              </w:rPr>
            </w:pPr>
          </w:p>
          <w:p w:rsidRPr="007F620E" w:rsidR="0044403F" w:rsidP="0044403F" w:rsidRDefault="0044403F" w14:paraId="0706C40A" w14:textId="122974B1">
            <w:pPr>
              <w:tabs>
                <w:tab w:val="left" w:pos="360"/>
              </w:tabs>
              <w:jc w:val="center"/>
              <w:rPr>
                <w:color w:val="000000"/>
              </w:rPr>
            </w:pPr>
            <w:r>
              <w:rPr>
                <w:color w:val="000000"/>
              </w:rPr>
              <w:lastRenderedPageBreak/>
              <w:t>Noted</w:t>
            </w:r>
          </w:p>
        </w:tc>
      </w:tr>
    </w:tbl>
    <w:p w:rsidRPr="007F620E" w:rsidR="00B312DA" w:rsidP="009356D1" w:rsidRDefault="00A92D0B" w14:paraId="175C3F89" w14:textId="4835545D">
      <w:pPr>
        <w:keepNext/>
        <w:tabs>
          <w:tab w:val="left" w:pos="1260"/>
        </w:tabs>
        <w:spacing w:before="240"/>
        <w:ind w:left="1267" w:hanging="1267"/>
        <w:jc w:val="center"/>
        <w:rPr>
          <w:b/>
          <w:color w:val="000000"/>
        </w:rPr>
      </w:pPr>
      <w:r w:rsidRPr="007F620E">
        <w:rPr>
          <w:b/>
          <w:color w:val="000000"/>
        </w:rPr>
        <w:lastRenderedPageBreak/>
        <w:t>PART III:</w:t>
      </w:r>
      <w:r w:rsidR="00D1778A">
        <w:rPr>
          <w:b/>
          <w:color w:val="000000"/>
        </w:rPr>
        <w:t xml:space="preserve">  </w:t>
      </w:r>
      <w:r w:rsidRPr="007F620E">
        <w:rPr>
          <w:b/>
          <w:color w:val="000000"/>
        </w:rPr>
        <w:t>REASONABLENESS OF REQUESTED COMPENSATION</w:t>
      </w:r>
    </w:p>
    <w:p w:rsidRPr="007F620E" w:rsidR="00A92D0B" w:rsidP="009356D1" w:rsidRDefault="00A92D0B" w14:paraId="6F74DAE2" w14:textId="77777777">
      <w:pPr>
        <w:keepNext/>
        <w:numPr>
          <w:ilvl w:val="0"/>
          <w:numId w:val="9"/>
        </w:numPr>
        <w:spacing w:before="12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1867"/>
      </w:tblGrid>
      <w:tr w:rsidRPr="007F620E" w:rsidR="00FE3BAE" w:rsidTr="007161CD"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1867"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7161CD" w14:paraId="5708510E" w14:textId="77777777">
        <w:tc>
          <w:tcPr>
            <w:tcW w:w="7488" w:type="dxa"/>
            <w:tcBorders>
              <w:bottom w:val="single" w:color="auto" w:sz="4" w:space="0"/>
            </w:tcBorders>
          </w:tcPr>
          <w:p w:rsidRPr="00691528" w:rsidR="00691528" w:rsidP="00EC6387" w:rsidRDefault="00FE3BAE" w14:paraId="6A25116A" w14:textId="3A3DB979">
            <w:pPr>
              <w:rPr>
                <w:color w:val="000000"/>
              </w:rPr>
            </w:pPr>
            <w:r w:rsidRPr="007F620E">
              <w:rPr>
                <w:b/>
                <w:color w:val="000000"/>
              </w:rPr>
              <w:t>a. Intervenor’s claim of cost reasonableness:</w:t>
            </w:r>
            <w:r w:rsidRPr="00E25078" w:rsidR="00E25078">
              <w:rPr>
                <w:color w:val="000000"/>
              </w:rPr>
              <w:t xml:space="preserve"> </w:t>
            </w:r>
          </w:p>
          <w:p w:rsidRPr="003D4455" w:rsidR="00126110" w:rsidP="00126110" w:rsidRDefault="00DA1EC0" w14:paraId="2B1A1242" w14:textId="3F7E7EFA">
            <w:pPr>
              <w:rPr>
                <w:color w:val="000000"/>
              </w:rPr>
            </w:pPr>
            <w:r>
              <w:rPr>
                <w:color w:val="000000"/>
              </w:rPr>
              <w:t>PCF’s fees are small compared to the benefits California ratepayers will ultimately realize as the result of PCF’s contributions to this proceeding.</w:t>
            </w:r>
            <w:r w:rsidR="0036732D">
              <w:rPr>
                <w:color w:val="000000"/>
              </w:rPr>
              <w:t xml:space="preserve"> PCF’s advocacy to preserve</w:t>
            </w:r>
            <w:r w:rsidR="00CF5219">
              <w:rPr>
                <w:color w:val="000000"/>
              </w:rPr>
              <w:t xml:space="preserve"> consideration of project alternatives </w:t>
            </w:r>
            <w:r w:rsidR="002B4003">
              <w:rPr>
                <w:color w:val="000000"/>
              </w:rPr>
              <w:t xml:space="preserve">to transmission lines </w:t>
            </w:r>
            <w:r w:rsidR="009E1C9B">
              <w:rPr>
                <w:color w:val="000000"/>
              </w:rPr>
              <w:t>facilitates</w:t>
            </w:r>
            <w:r w:rsidR="009D3C2E">
              <w:rPr>
                <w:color w:val="000000"/>
              </w:rPr>
              <w:t xml:space="preserve"> consideration of </w:t>
            </w:r>
            <w:r w:rsidR="009E1C9B">
              <w:rPr>
                <w:color w:val="000000"/>
              </w:rPr>
              <w:t>far less</w:t>
            </w:r>
            <w:r w:rsidR="002B4003">
              <w:rPr>
                <w:color w:val="000000"/>
              </w:rPr>
              <w:t xml:space="preserve"> expensive alternatives to transmission lines</w:t>
            </w:r>
            <w:r w:rsidR="00330157">
              <w:rPr>
                <w:color w:val="000000"/>
              </w:rPr>
              <w:t>. Avoiding transmission lines s</w:t>
            </w:r>
            <w:r w:rsidR="001C108C">
              <w:rPr>
                <w:color w:val="000000"/>
              </w:rPr>
              <w:t xml:space="preserve">ignificantly </w:t>
            </w:r>
            <w:r w:rsidR="0051318F">
              <w:rPr>
                <w:color w:val="000000"/>
              </w:rPr>
              <w:t>reduc</w:t>
            </w:r>
            <w:r w:rsidR="001C108C">
              <w:rPr>
                <w:color w:val="000000"/>
              </w:rPr>
              <w:t>es the cost burden on ratepayers</w:t>
            </w:r>
            <w:r w:rsidR="00330157">
              <w:rPr>
                <w:color w:val="000000"/>
              </w:rPr>
              <w:t xml:space="preserve"> by not only avoiding the costs of the transmission lines themselves</w:t>
            </w:r>
            <w:r w:rsidR="00F85B29">
              <w:rPr>
                <w:color w:val="000000"/>
              </w:rPr>
              <w:t xml:space="preserve">, </w:t>
            </w:r>
            <w:r w:rsidR="00330157">
              <w:rPr>
                <w:color w:val="000000"/>
              </w:rPr>
              <w:t>but also by avoiding the profit</w:t>
            </w:r>
            <w:r w:rsidR="00053229">
              <w:rPr>
                <w:color w:val="000000"/>
              </w:rPr>
              <w:t>s that ratepayers are forced to pay the utilities on top of the costs of the transmission lines</w:t>
            </w:r>
            <w:r w:rsidR="00F85B29">
              <w:rPr>
                <w:color w:val="000000"/>
              </w:rPr>
              <w:t xml:space="preserve">. </w:t>
            </w:r>
            <w:r w:rsidR="00E80D89">
              <w:rPr>
                <w:color w:val="000000"/>
              </w:rPr>
              <w:t>PCF’s participation result</w:t>
            </w:r>
            <w:r w:rsidR="0029246C">
              <w:rPr>
                <w:color w:val="000000"/>
              </w:rPr>
              <w:t>ed</w:t>
            </w:r>
            <w:r w:rsidR="00E80D89">
              <w:rPr>
                <w:color w:val="000000"/>
              </w:rPr>
              <w:t xml:space="preserve"> in the Commission clarifying that it was not exempting projects from </w:t>
            </w:r>
            <w:r w:rsidR="0029246C">
              <w:rPr>
                <w:color w:val="000000"/>
              </w:rPr>
              <w:t>permitting and that the Commission expects the utilities to continue to comply with CEQA, which</w:t>
            </w:r>
            <w:r w:rsidR="006313AD">
              <w:rPr>
                <w:color w:val="000000"/>
              </w:rPr>
              <w:t xml:space="preserve"> </w:t>
            </w:r>
            <w:r w:rsidR="009F03FE">
              <w:rPr>
                <w:color w:val="000000"/>
              </w:rPr>
              <w:t>benefit</w:t>
            </w:r>
            <w:r w:rsidR="0029246C">
              <w:rPr>
                <w:color w:val="000000"/>
              </w:rPr>
              <w:t>s</w:t>
            </w:r>
            <w:r w:rsidR="009F03FE">
              <w:rPr>
                <w:color w:val="000000"/>
              </w:rPr>
              <w:t xml:space="preserve"> ratepayers not only by </w:t>
            </w:r>
            <w:r w:rsidR="00C50DF6">
              <w:rPr>
                <w:color w:val="000000"/>
              </w:rPr>
              <w:t xml:space="preserve">leaving open the possibility that the Commission will reject expensive transmission lines in favor of least-cost alternatives, but also </w:t>
            </w:r>
            <w:r w:rsidR="00CB10F0">
              <w:rPr>
                <w:color w:val="000000"/>
              </w:rPr>
              <w:t xml:space="preserve">the possibility that the Commission will be able to prevent </w:t>
            </w:r>
            <w:r w:rsidR="00126110">
              <w:rPr>
                <w:color w:val="000000"/>
              </w:rPr>
              <w:t>the environmental degradation that arises when decision-makers do not consider the environmental consequences of their decisions before those decisions are made.</w:t>
            </w:r>
            <w:r w:rsidR="0000488B">
              <w:rPr>
                <w:color w:val="000000"/>
              </w:rPr>
              <w:t xml:space="preserve"> Although the actual dollar value of the benefit to ratepayers accruing from PCF’s participation will not be fully realized until subsequent projects are proposed and considered, the value of </w:t>
            </w:r>
            <w:r w:rsidR="00334D00">
              <w:rPr>
                <w:color w:val="000000"/>
              </w:rPr>
              <w:t xml:space="preserve">avoiding unnecessary transmission lines </w:t>
            </w:r>
            <w:r w:rsidR="00CB10F0">
              <w:rPr>
                <w:color w:val="000000"/>
              </w:rPr>
              <w:t xml:space="preserve">will </w:t>
            </w:r>
            <w:r w:rsidR="005774C2">
              <w:rPr>
                <w:color w:val="000000"/>
              </w:rPr>
              <w:t xml:space="preserve">benefit ratepayers in terms of </w:t>
            </w:r>
            <w:r w:rsidR="00DB00F3">
              <w:rPr>
                <w:color w:val="000000"/>
              </w:rPr>
              <w:t>avoiding both increased rates</w:t>
            </w:r>
            <w:r w:rsidR="005774C2">
              <w:rPr>
                <w:color w:val="000000"/>
              </w:rPr>
              <w:t xml:space="preserve"> and </w:t>
            </w:r>
            <w:r w:rsidR="00DB00F3">
              <w:rPr>
                <w:color w:val="000000"/>
              </w:rPr>
              <w:t xml:space="preserve">the </w:t>
            </w:r>
            <w:r w:rsidR="004F02CD">
              <w:rPr>
                <w:color w:val="000000"/>
              </w:rPr>
              <w:t>environmental harm</w:t>
            </w:r>
            <w:r w:rsidR="00DB00F3">
              <w:rPr>
                <w:color w:val="000000"/>
              </w:rPr>
              <w:t xml:space="preserve"> inherent to </w:t>
            </w:r>
            <w:r w:rsidR="0000488B">
              <w:rPr>
                <w:color w:val="000000"/>
              </w:rPr>
              <w:t>expensive transmission lines</w:t>
            </w:r>
            <w:r w:rsidR="00330157">
              <w:rPr>
                <w:color w:val="000000"/>
              </w:rPr>
              <w:t xml:space="preserve">. </w:t>
            </w:r>
          </w:p>
        </w:tc>
        <w:tc>
          <w:tcPr>
            <w:tcW w:w="1867" w:type="dxa"/>
          </w:tcPr>
          <w:p w:rsidR="00FE3BAE" w:rsidP="00131BBE" w:rsidRDefault="00FE3BAE" w14:paraId="2479706C" w14:textId="77777777">
            <w:pPr>
              <w:jc w:val="center"/>
              <w:rPr>
                <w:color w:val="000000"/>
              </w:rPr>
            </w:pPr>
          </w:p>
          <w:p w:rsidR="00131BBE" w:rsidP="00131BBE" w:rsidRDefault="00131BBE" w14:paraId="1A2C96EE" w14:textId="77777777">
            <w:pPr>
              <w:jc w:val="center"/>
              <w:rPr>
                <w:color w:val="000000"/>
              </w:rPr>
            </w:pPr>
          </w:p>
          <w:p w:rsidR="00131BBE" w:rsidP="00131BBE" w:rsidRDefault="00131BBE" w14:paraId="0B1C9A31" w14:textId="77777777">
            <w:pPr>
              <w:jc w:val="center"/>
              <w:rPr>
                <w:color w:val="000000"/>
              </w:rPr>
            </w:pPr>
          </w:p>
          <w:p w:rsidR="00131BBE" w:rsidP="00131BBE" w:rsidRDefault="00131BBE" w14:paraId="27B563A4" w14:textId="77777777">
            <w:pPr>
              <w:jc w:val="center"/>
              <w:rPr>
                <w:color w:val="000000"/>
              </w:rPr>
            </w:pPr>
          </w:p>
          <w:p w:rsidRPr="00FE3BAE" w:rsidR="00131BBE" w:rsidP="00131BBE" w:rsidRDefault="00131BBE" w14:paraId="223B4665" w14:textId="0B784DF3">
            <w:pPr>
              <w:jc w:val="center"/>
              <w:rPr>
                <w:color w:val="000000"/>
              </w:rPr>
            </w:pPr>
            <w:r>
              <w:rPr>
                <w:color w:val="000000"/>
              </w:rPr>
              <w:t>Noted</w:t>
            </w:r>
          </w:p>
        </w:tc>
      </w:tr>
      <w:tr w:rsidRPr="007F620E" w:rsidR="00FE3BAE" w:rsidTr="007161CD" w14:paraId="5548029C" w14:textId="77777777">
        <w:tc>
          <w:tcPr>
            <w:tcW w:w="7488" w:type="dxa"/>
          </w:tcPr>
          <w:p w:rsidR="00FE3BAE" w:rsidP="00EC6387" w:rsidRDefault="00FE3BAE" w14:paraId="1009F6D5" w14:textId="60B8A146">
            <w:pPr>
              <w:rPr>
                <w:color w:val="000000"/>
              </w:rPr>
            </w:pPr>
            <w:r w:rsidRPr="007F620E">
              <w:rPr>
                <w:b/>
                <w:color w:val="000000"/>
              </w:rPr>
              <w:t>b. Reasonableness of hours claimed:</w:t>
            </w:r>
            <w:r w:rsidRPr="00E25078" w:rsidR="00E25078">
              <w:rPr>
                <w:color w:val="000000"/>
              </w:rPr>
              <w:t xml:space="preserve"> </w:t>
            </w:r>
          </w:p>
          <w:p w:rsidRPr="00BA2D3F" w:rsidR="00CD0F2C" w:rsidP="00CD0F2C" w:rsidRDefault="00AA2DD8" w14:paraId="09ABD1FB" w14:textId="42AC6A25">
            <w:r>
              <w:t>PCF’s hours are reasonable for its work in this proceeding because PCF used its attorney</w:t>
            </w:r>
            <w:r w:rsidR="0032538C">
              <w:t xml:space="preserve">s efficiently and effectively. </w:t>
            </w:r>
            <w:r w:rsidRPr="00DC22EE" w:rsidR="00414EE0">
              <w:t>Ms. Dickenson’s</w:t>
            </w:r>
            <w:r w:rsidR="00C3290A">
              <w:t xml:space="preserve"> </w:t>
            </w:r>
            <w:r w:rsidR="00414EE0">
              <w:t>extensive experience in other matters before the Commission and as a public agency lawyer and litigator</w:t>
            </w:r>
            <w:r w:rsidRPr="00DC22EE" w:rsidR="00414EE0">
              <w:t>,</w:t>
            </w:r>
            <w:r w:rsidR="003C6665">
              <w:t xml:space="preserve"> including a background in CEQA and land use litigation, </w:t>
            </w:r>
            <w:r w:rsidR="0032538C">
              <w:t xml:space="preserve">dramatically reduced the number of hours involved in PCF’s participation. In an effort to minimize costs, </w:t>
            </w:r>
            <w:r w:rsidRPr="00DE512C" w:rsidR="0032538C">
              <w:rPr>
                <w:color w:val="000000"/>
              </w:rPr>
              <w:t xml:space="preserve">PCF staff attorney </w:t>
            </w:r>
            <w:r w:rsidR="0032538C">
              <w:rPr>
                <w:color w:val="000000"/>
              </w:rPr>
              <w:t>Jonathan Webster</w:t>
            </w:r>
            <w:r w:rsidRPr="00DE512C" w:rsidR="0032538C">
              <w:rPr>
                <w:color w:val="000000"/>
              </w:rPr>
              <w:t>, whose rates are significantly lower than Ms. Dickenson’s</w:t>
            </w:r>
            <w:r w:rsidR="0032538C">
              <w:rPr>
                <w:color w:val="000000"/>
              </w:rPr>
              <w:t xml:space="preserve">, </w:t>
            </w:r>
            <w:r w:rsidR="0032538C">
              <w:rPr>
                <w:color w:val="000000"/>
              </w:rPr>
              <w:lastRenderedPageBreak/>
              <w:t xml:space="preserve">prepared the first drafts of documents. Additionally, PCF leveraged the </w:t>
            </w:r>
            <w:r w:rsidR="00AA2045">
              <w:t>unprecedented legal expertise of</w:t>
            </w:r>
            <w:r w:rsidR="00414EE0">
              <w:t xml:space="preserve"> former CPUC Present Ms. Lynch</w:t>
            </w:r>
            <w:r w:rsidR="00AA2045">
              <w:t xml:space="preserve">, where </w:t>
            </w:r>
            <w:r w:rsidR="00481226">
              <w:t>utilizing Ms. Lynch’s knowledge would save PCF time</w:t>
            </w:r>
            <w:r w:rsidR="00AC220F">
              <w:t>, such as with respect to</w:t>
            </w:r>
            <w:r w:rsidR="002326ED">
              <w:t xml:space="preserve"> the</w:t>
            </w:r>
            <w:r w:rsidR="00AC220F">
              <w:t xml:space="preserve"> details </w:t>
            </w:r>
            <w:r w:rsidR="002326ED">
              <w:t xml:space="preserve">of </w:t>
            </w:r>
            <w:r w:rsidR="00AC220F">
              <w:t>CAISO review and jurisdiction</w:t>
            </w:r>
            <w:r w:rsidR="00481226">
              <w:t>.</w:t>
            </w:r>
            <w:r w:rsidR="00296152">
              <w:t xml:space="preserve"> </w:t>
            </w:r>
            <w:r w:rsidR="00BA2D3F">
              <w:t xml:space="preserve">To further reduce costs, </w:t>
            </w:r>
            <w:r w:rsidRPr="00DC22EE" w:rsidR="00414EE0">
              <w:t xml:space="preserve">PCF staff attorney Andrea White, whose rate is significantly lower than Ms. Dickenson’s, </w:t>
            </w:r>
            <w:r w:rsidR="00BA2D3F">
              <w:t xml:space="preserve">performed the majority of the work to prepare this request. </w:t>
            </w:r>
            <w:r w:rsidRPr="00DE512C" w:rsidR="00CD0F2C">
              <w:rPr>
                <w:color w:val="000000"/>
              </w:rPr>
              <w:t>PCF does not claim time spent on any administrative matters, such as time spent filing and serving comments, or to prepare, serve, and submit exhibits.</w:t>
            </w:r>
            <w:r w:rsidR="00BA2D3F">
              <w:rPr>
                <w:color w:val="000000"/>
              </w:rPr>
              <w:t xml:space="preserve"> </w:t>
            </w:r>
            <w:r w:rsidRPr="00DE512C" w:rsidR="00CD0F2C">
              <w:rPr>
                <w:color w:val="000000"/>
              </w:rPr>
              <w:t>All of the hours claimed in this request were reasonably necessary to PCF’s participatio</w:t>
            </w:r>
            <w:r w:rsidR="00CD0F2C">
              <w:rPr>
                <w:color w:val="000000"/>
              </w:rPr>
              <w:t>n in R.23-0</w:t>
            </w:r>
            <w:r w:rsidR="005E5043">
              <w:rPr>
                <w:color w:val="000000"/>
              </w:rPr>
              <w:t>5</w:t>
            </w:r>
            <w:r w:rsidR="00CD0F2C">
              <w:rPr>
                <w:color w:val="000000"/>
              </w:rPr>
              <w:t>-01</w:t>
            </w:r>
            <w:r w:rsidR="005E5043">
              <w:rPr>
                <w:color w:val="000000"/>
              </w:rPr>
              <w:t>8</w:t>
            </w:r>
            <w:r w:rsidR="00CD0F2C">
              <w:rPr>
                <w:color w:val="000000"/>
              </w:rPr>
              <w:t>.</w:t>
            </w:r>
          </w:p>
          <w:p w:rsidRPr="007F620E" w:rsidR="00691528" w:rsidP="00EC6387" w:rsidRDefault="00691528" w14:paraId="694F0B63" w14:textId="77777777">
            <w:pPr>
              <w:rPr>
                <w:color w:val="000000"/>
              </w:rPr>
            </w:pPr>
          </w:p>
        </w:tc>
        <w:tc>
          <w:tcPr>
            <w:tcW w:w="1867" w:type="dxa"/>
          </w:tcPr>
          <w:p w:rsidR="00FE3BAE" w:rsidP="00131BBE" w:rsidRDefault="00FE3BAE" w14:paraId="0D4EC843" w14:textId="77777777">
            <w:pPr>
              <w:jc w:val="center"/>
              <w:rPr>
                <w:color w:val="000000"/>
              </w:rPr>
            </w:pPr>
          </w:p>
          <w:p w:rsidR="00131BBE" w:rsidP="00131BBE" w:rsidRDefault="00131BBE" w14:paraId="25A9C3FD" w14:textId="77777777">
            <w:pPr>
              <w:jc w:val="center"/>
              <w:rPr>
                <w:color w:val="000000"/>
              </w:rPr>
            </w:pPr>
          </w:p>
          <w:p w:rsidR="00131BBE" w:rsidP="00131BBE" w:rsidRDefault="00131BBE" w14:paraId="687D388D" w14:textId="77777777">
            <w:pPr>
              <w:jc w:val="center"/>
              <w:rPr>
                <w:color w:val="000000"/>
              </w:rPr>
            </w:pPr>
          </w:p>
          <w:p w:rsidR="00131BBE" w:rsidP="00131BBE" w:rsidRDefault="00131BBE" w14:paraId="4988797F" w14:textId="77777777">
            <w:pPr>
              <w:jc w:val="center"/>
              <w:rPr>
                <w:color w:val="000000"/>
              </w:rPr>
            </w:pPr>
          </w:p>
          <w:p w:rsidR="00131BBE" w:rsidP="00131BBE" w:rsidRDefault="00131BBE" w14:paraId="64488BDE" w14:textId="77777777">
            <w:pPr>
              <w:jc w:val="center"/>
              <w:rPr>
                <w:color w:val="000000"/>
              </w:rPr>
            </w:pPr>
            <w:r>
              <w:rPr>
                <w:color w:val="000000"/>
              </w:rPr>
              <w:t>Noted</w:t>
            </w:r>
          </w:p>
          <w:p w:rsidR="00131BBE" w:rsidP="00131BBE" w:rsidRDefault="00131BBE" w14:paraId="55E83F10" w14:textId="77777777">
            <w:pPr>
              <w:jc w:val="center"/>
              <w:rPr>
                <w:color w:val="000000"/>
              </w:rPr>
            </w:pPr>
          </w:p>
          <w:p w:rsidR="00131BBE" w:rsidP="00131BBE" w:rsidRDefault="00131BBE" w14:paraId="1D22BB23" w14:textId="77777777">
            <w:pPr>
              <w:jc w:val="center"/>
              <w:rPr>
                <w:color w:val="000000"/>
              </w:rPr>
            </w:pPr>
          </w:p>
          <w:p w:rsidR="00131BBE" w:rsidP="00131BBE" w:rsidRDefault="00131BBE" w14:paraId="25881313" w14:textId="77777777">
            <w:pPr>
              <w:jc w:val="center"/>
              <w:rPr>
                <w:color w:val="000000"/>
              </w:rPr>
            </w:pPr>
          </w:p>
          <w:p w:rsidR="00131BBE" w:rsidP="00131BBE" w:rsidRDefault="00131BBE" w14:paraId="5E6EE7F8" w14:textId="77777777">
            <w:pPr>
              <w:jc w:val="center"/>
              <w:rPr>
                <w:color w:val="000000"/>
              </w:rPr>
            </w:pPr>
          </w:p>
          <w:p w:rsidR="00131BBE" w:rsidP="00131BBE" w:rsidRDefault="00131BBE" w14:paraId="4C685F13" w14:textId="77777777">
            <w:pPr>
              <w:jc w:val="center"/>
              <w:rPr>
                <w:color w:val="000000"/>
              </w:rPr>
            </w:pPr>
          </w:p>
          <w:p w:rsidR="00131BBE" w:rsidP="00131BBE" w:rsidRDefault="00131BBE" w14:paraId="330DB84C" w14:textId="77777777">
            <w:pPr>
              <w:jc w:val="center"/>
              <w:rPr>
                <w:color w:val="000000"/>
              </w:rPr>
            </w:pPr>
          </w:p>
          <w:p w:rsidR="00131BBE" w:rsidP="00131BBE" w:rsidRDefault="00131BBE" w14:paraId="09DFB6BB" w14:textId="77777777">
            <w:pPr>
              <w:jc w:val="center"/>
              <w:rPr>
                <w:color w:val="000000"/>
              </w:rPr>
            </w:pPr>
          </w:p>
          <w:p w:rsidR="00131BBE" w:rsidP="00131BBE" w:rsidRDefault="00131BBE" w14:paraId="379871DF" w14:textId="77777777">
            <w:pPr>
              <w:jc w:val="center"/>
              <w:rPr>
                <w:color w:val="000000"/>
              </w:rPr>
            </w:pPr>
          </w:p>
          <w:p w:rsidR="00131BBE" w:rsidP="00131BBE" w:rsidRDefault="00131BBE" w14:paraId="575D8A75" w14:textId="77777777">
            <w:pPr>
              <w:jc w:val="center"/>
              <w:rPr>
                <w:color w:val="000000"/>
              </w:rPr>
            </w:pPr>
          </w:p>
          <w:p w:rsidR="00131BBE" w:rsidP="00131BBE" w:rsidRDefault="00131BBE" w14:paraId="155EF181" w14:textId="77777777">
            <w:pPr>
              <w:jc w:val="center"/>
              <w:rPr>
                <w:color w:val="000000"/>
              </w:rPr>
            </w:pPr>
          </w:p>
          <w:p w:rsidR="00131BBE" w:rsidP="00131BBE" w:rsidRDefault="00131BBE" w14:paraId="688F97CE" w14:textId="77777777">
            <w:pPr>
              <w:jc w:val="center"/>
              <w:rPr>
                <w:color w:val="000000"/>
              </w:rPr>
            </w:pPr>
          </w:p>
          <w:p w:rsidRPr="007F620E" w:rsidR="00131BBE" w:rsidP="00131BBE" w:rsidRDefault="00131BBE" w14:paraId="1874D625" w14:textId="5530B0DA">
            <w:pPr>
              <w:rPr>
                <w:color w:val="000000"/>
              </w:rPr>
            </w:pPr>
          </w:p>
        </w:tc>
      </w:tr>
      <w:tr w:rsidRPr="007F620E" w:rsidR="00FE3BAE" w:rsidTr="007161CD" w14:paraId="3FD38B74" w14:textId="77777777">
        <w:tc>
          <w:tcPr>
            <w:tcW w:w="7488" w:type="dxa"/>
          </w:tcPr>
          <w:p w:rsidRPr="00691528" w:rsidR="00FE3BAE" w:rsidP="00EC6387" w:rsidRDefault="00FE3BAE" w14:paraId="78501013" w14:textId="5BEF926C">
            <w:pPr>
              <w:rPr>
                <w:color w:val="000000"/>
              </w:rPr>
            </w:pPr>
            <w:r w:rsidRPr="007F620E">
              <w:rPr>
                <w:b/>
                <w:color w:val="000000"/>
              </w:rPr>
              <w:lastRenderedPageBreak/>
              <w:t>c. Allocation of hours by issue:</w:t>
            </w:r>
            <w:r w:rsidRPr="00E25078" w:rsidR="00E25078">
              <w:rPr>
                <w:color w:val="000000"/>
              </w:rPr>
              <w:t xml:space="preserve"> </w:t>
            </w:r>
          </w:p>
          <w:tbl>
            <w:tblPr>
              <w:tblW w:w="5120" w:type="dxa"/>
              <w:tblLook w:val="04A0" w:firstRow="1" w:lastRow="0" w:firstColumn="1" w:lastColumn="0" w:noHBand="0" w:noVBand="1"/>
            </w:tblPr>
            <w:tblGrid>
              <w:gridCol w:w="2560"/>
              <w:gridCol w:w="2560"/>
            </w:tblGrid>
            <w:tr w:rsidRPr="001B3570" w:rsidR="00810441" w:rsidTr="0044403F" w14:paraId="6C018CEE" w14:textId="65EB916F">
              <w:trPr>
                <w:trHeight w:val="255"/>
              </w:trPr>
              <w:tc>
                <w:tcPr>
                  <w:tcW w:w="2560" w:type="dxa"/>
                  <w:tcBorders>
                    <w:top w:val="nil"/>
                    <w:left w:val="nil"/>
                    <w:bottom w:val="nil"/>
                    <w:right w:val="nil"/>
                  </w:tcBorders>
                  <w:hideMark/>
                </w:tcPr>
                <w:p w:rsidRPr="002109B2" w:rsidR="00810441" w:rsidP="00810441" w:rsidRDefault="00810441" w14:paraId="148C78C3" w14:textId="77777777">
                  <w:pPr>
                    <w:rPr>
                      <w:b/>
                      <w:bCs/>
                      <w:color w:val="000000"/>
                      <w:u w:val="single"/>
                    </w:rPr>
                  </w:pPr>
                  <w:r w:rsidRPr="002109B2">
                    <w:rPr>
                      <w:b/>
                      <w:bCs/>
                      <w:color w:val="000000"/>
                      <w:u w:val="single"/>
                    </w:rPr>
                    <w:t>Description</w:t>
                  </w:r>
                </w:p>
              </w:tc>
              <w:tc>
                <w:tcPr>
                  <w:tcW w:w="2560" w:type="dxa"/>
                  <w:tcBorders>
                    <w:top w:val="nil"/>
                    <w:left w:val="nil"/>
                    <w:bottom w:val="nil"/>
                    <w:right w:val="nil"/>
                  </w:tcBorders>
                </w:tcPr>
                <w:p w:rsidRPr="002109B2" w:rsidR="00810441" w:rsidP="00810441" w:rsidRDefault="00810441" w14:paraId="1937450A" w14:textId="635C4D05">
                  <w:pPr>
                    <w:rPr>
                      <w:b/>
                      <w:bCs/>
                      <w:color w:val="000000"/>
                      <w:u w:val="single"/>
                    </w:rPr>
                  </w:pPr>
                  <w:r w:rsidRPr="002109B2">
                    <w:rPr>
                      <w:b/>
                      <w:bCs/>
                      <w:color w:val="000000"/>
                      <w:u w:val="single"/>
                    </w:rPr>
                    <w:t xml:space="preserve">% </w:t>
                  </w:r>
                </w:p>
              </w:tc>
            </w:tr>
            <w:tr w:rsidRPr="001B3570" w:rsidR="00810441" w:rsidTr="0044403F" w14:paraId="77A2005E" w14:textId="1CEC64ED">
              <w:trPr>
                <w:trHeight w:val="510"/>
              </w:trPr>
              <w:tc>
                <w:tcPr>
                  <w:tcW w:w="2560" w:type="dxa"/>
                  <w:tcBorders>
                    <w:top w:val="nil"/>
                    <w:left w:val="nil"/>
                    <w:bottom w:val="nil"/>
                    <w:right w:val="nil"/>
                  </w:tcBorders>
                  <w:hideMark/>
                </w:tcPr>
                <w:p w:rsidRPr="002109B2" w:rsidR="00810441" w:rsidP="00810441" w:rsidRDefault="00810441" w14:paraId="18C5CEFA" w14:textId="77777777">
                  <w:pPr>
                    <w:rPr>
                      <w:color w:val="000000"/>
                    </w:rPr>
                  </w:pPr>
                  <w:r w:rsidRPr="002109B2">
                    <w:rPr>
                      <w:color w:val="000000"/>
                    </w:rPr>
                    <w:t>Phase 1: compliance with SB 529</w:t>
                  </w:r>
                </w:p>
              </w:tc>
              <w:tc>
                <w:tcPr>
                  <w:tcW w:w="2560" w:type="dxa"/>
                  <w:tcBorders>
                    <w:top w:val="nil"/>
                    <w:left w:val="nil"/>
                    <w:bottom w:val="nil"/>
                    <w:right w:val="nil"/>
                  </w:tcBorders>
                </w:tcPr>
                <w:p w:rsidRPr="002109B2" w:rsidR="00810441" w:rsidP="00810441" w:rsidRDefault="00810441" w14:paraId="33E8A520" w14:textId="6703B4E5">
                  <w:pPr>
                    <w:rPr>
                      <w:color w:val="000000"/>
                    </w:rPr>
                  </w:pPr>
                  <w:r w:rsidRPr="002109B2">
                    <w:rPr>
                      <w:color w:val="000000"/>
                    </w:rPr>
                    <w:t>13.50%</w:t>
                  </w:r>
                </w:p>
              </w:tc>
            </w:tr>
            <w:tr w:rsidRPr="001B3570" w:rsidR="00810441" w:rsidTr="0044403F" w14:paraId="0E85CD29" w14:textId="5992A2C3">
              <w:trPr>
                <w:trHeight w:val="510"/>
              </w:trPr>
              <w:tc>
                <w:tcPr>
                  <w:tcW w:w="2560" w:type="dxa"/>
                  <w:tcBorders>
                    <w:top w:val="nil"/>
                    <w:left w:val="nil"/>
                    <w:bottom w:val="nil"/>
                    <w:right w:val="nil"/>
                  </w:tcBorders>
                  <w:hideMark/>
                </w:tcPr>
                <w:p w:rsidRPr="002109B2" w:rsidR="00810441" w:rsidP="00810441" w:rsidRDefault="00810441" w14:paraId="01394E84" w14:textId="77777777">
                  <w:pPr>
                    <w:rPr>
                      <w:color w:val="000000"/>
                    </w:rPr>
                  </w:pPr>
                  <w:r w:rsidRPr="002109B2">
                    <w:rPr>
                      <w:color w:val="000000"/>
                    </w:rPr>
                    <w:t>Phase 2: other changes to GO 131-D</w:t>
                  </w:r>
                </w:p>
              </w:tc>
              <w:tc>
                <w:tcPr>
                  <w:tcW w:w="2560" w:type="dxa"/>
                  <w:tcBorders>
                    <w:top w:val="nil"/>
                    <w:left w:val="nil"/>
                    <w:bottom w:val="nil"/>
                    <w:right w:val="nil"/>
                  </w:tcBorders>
                </w:tcPr>
                <w:p w:rsidRPr="002109B2" w:rsidR="00810441" w:rsidP="00810441" w:rsidRDefault="00810441" w14:paraId="697B0747" w14:textId="143FAD9B">
                  <w:pPr>
                    <w:rPr>
                      <w:color w:val="000000"/>
                    </w:rPr>
                  </w:pPr>
                  <w:r w:rsidRPr="002109B2">
                    <w:rPr>
                      <w:color w:val="000000"/>
                    </w:rPr>
                    <w:t>66.18%</w:t>
                  </w:r>
                </w:p>
              </w:tc>
            </w:tr>
            <w:tr w:rsidRPr="001B3570" w:rsidR="00810441" w:rsidTr="0044403F" w14:paraId="35CDA34E" w14:textId="037A4DA6">
              <w:trPr>
                <w:trHeight w:val="207"/>
              </w:trPr>
              <w:tc>
                <w:tcPr>
                  <w:tcW w:w="2560" w:type="dxa"/>
                  <w:tcBorders>
                    <w:top w:val="nil"/>
                    <w:left w:val="nil"/>
                    <w:bottom w:val="nil"/>
                    <w:right w:val="nil"/>
                  </w:tcBorders>
                  <w:hideMark/>
                </w:tcPr>
                <w:p w:rsidRPr="002109B2" w:rsidR="00810441" w:rsidP="00810441" w:rsidRDefault="00810441" w14:paraId="61E8A9F9" w14:textId="77777777">
                  <w:pPr>
                    <w:rPr>
                      <w:color w:val="000000"/>
                    </w:rPr>
                  </w:pPr>
                  <w:r w:rsidRPr="002109B2">
                    <w:rPr>
                      <w:color w:val="000000"/>
                    </w:rPr>
                    <w:t>Procedural recommendations</w:t>
                  </w:r>
                </w:p>
              </w:tc>
              <w:tc>
                <w:tcPr>
                  <w:tcW w:w="2560" w:type="dxa"/>
                  <w:tcBorders>
                    <w:top w:val="nil"/>
                    <w:left w:val="nil"/>
                    <w:bottom w:val="nil"/>
                    <w:right w:val="nil"/>
                  </w:tcBorders>
                </w:tcPr>
                <w:p w:rsidRPr="002109B2" w:rsidR="00810441" w:rsidP="00810441" w:rsidRDefault="00810441" w14:paraId="060191CE" w14:textId="69F3C2D0">
                  <w:pPr>
                    <w:rPr>
                      <w:color w:val="000000"/>
                    </w:rPr>
                  </w:pPr>
                  <w:r w:rsidRPr="002109B2">
                    <w:rPr>
                      <w:color w:val="000000"/>
                    </w:rPr>
                    <w:t>7.77%</w:t>
                  </w:r>
                </w:p>
              </w:tc>
            </w:tr>
            <w:tr w:rsidRPr="001B3570" w:rsidR="00810441" w:rsidTr="0044403F" w14:paraId="17600E3A" w14:textId="70023917">
              <w:trPr>
                <w:trHeight w:val="510"/>
              </w:trPr>
              <w:tc>
                <w:tcPr>
                  <w:tcW w:w="2560" w:type="dxa"/>
                  <w:tcBorders>
                    <w:top w:val="nil"/>
                    <w:left w:val="nil"/>
                    <w:bottom w:val="nil"/>
                    <w:right w:val="nil"/>
                  </w:tcBorders>
                  <w:hideMark/>
                </w:tcPr>
                <w:p w:rsidRPr="002109B2" w:rsidR="00810441" w:rsidP="00810441" w:rsidRDefault="00810441" w14:paraId="40299C5A" w14:textId="77777777">
                  <w:pPr>
                    <w:rPr>
                      <w:color w:val="000000"/>
                    </w:rPr>
                  </w:pPr>
                  <w:r w:rsidRPr="002109B2">
                    <w:rPr>
                      <w:color w:val="000000"/>
                    </w:rPr>
                    <w:t>Coordination with Other Parties</w:t>
                  </w:r>
                </w:p>
              </w:tc>
              <w:tc>
                <w:tcPr>
                  <w:tcW w:w="2560" w:type="dxa"/>
                  <w:tcBorders>
                    <w:top w:val="nil"/>
                    <w:left w:val="nil"/>
                    <w:bottom w:val="nil"/>
                    <w:right w:val="nil"/>
                  </w:tcBorders>
                </w:tcPr>
                <w:p w:rsidRPr="002109B2" w:rsidR="00810441" w:rsidP="00810441" w:rsidRDefault="00810441" w14:paraId="205513C7" w14:textId="4785858C">
                  <w:pPr>
                    <w:rPr>
                      <w:color w:val="000000"/>
                    </w:rPr>
                  </w:pPr>
                  <w:r w:rsidRPr="002109B2">
                    <w:rPr>
                      <w:color w:val="000000"/>
                    </w:rPr>
                    <w:t>11.39%</w:t>
                  </w:r>
                </w:p>
              </w:tc>
            </w:tr>
            <w:tr w:rsidRPr="001B3570" w:rsidR="00810441" w:rsidTr="0044403F" w14:paraId="52742FE8" w14:textId="552F6DE7">
              <w:trPr>
                <w:trHeight w:val="255"/>
              </w:trPr>
              <w:tc>
                <w:tcPr>
                  <w:tcW w:w="2560" w:type="dxa"/>
                  <w:tcBorders>
                    <w:top w:val="nil"/>
                    <w:left w:val="nil"/>
                    <w:bottom w:val="nil"/>
                    <w:right w:val="nil"/>
                  </w:tcBorders>
                  <w:hideMark/>
                </w:tcPr>
                <w:p w:rsidRPr="002109B2" w:rsidR="00810441" w:rsidP="00810441" w:rsidRDefault="00810441" w14:paraId="56353662" w14:textId="77777777">
                  <w:pPr>
                    <w:rPr>
                      <w:color w:val="000000"/>
                    </w:rPr>
                  </w:pPr>
                  <w:r w:rsidRPr="002109B2">
                    <w:rPr>
                      <w:color w:val="000000"/>
                    </w:rPr>
                    <w:t>General Participation</w:t>
                  </w:r>
                </w:p>
              </w:tc>
              <w:tc>
                <w:tcPr>
                  <w:tcW w:w="2560" w:type="dxa"/>
                  <w:tcBorders>
                    <w:top w:val="nil"/>
                    <w:left w:val="nil"/>
                    <w:bottom w:val="nil"/>
                    <w:right w:val="nil"/>
                  </w:tcBorders>
                </w:tcPr>
                <w:p w:rsidRPr="002109B2" w:rsidR="00810441" w:rsidP="00810441" w:rsidRDefault="00810441" w14:paraId="179819FA" w14:textId="6861197C">
                  <w:pPr>
                    <w:rPr>
                      <w:color w:val="000000"/>
                    </w:rPr>
                  </w:pPr>
                  <w:r w:rsidRPr="002109B2">
                    <w:rPr>
                      <w:color w:val="000000"/>
                    </w:rPr>
                    <w:t>1.15%</w:t>
                  </w:r>
                </w:p>
              </w:tc>
            </w:tr>
            <w:tr w:rsidRPr="001B3570" w:rsidR="00810441" w:rsidTr="0044403F" w14:paraId="7414AFB8" w14:textId="16CDA855">
              <w:trPr>
                <w:trHeight w:val="255"/>
              </w:trPr>
              <w:tc>
                <w:tcPr>
                  <w:tcW w:w="2560" w:type="dxa"/>
                  <w:tcBorders>
                    <w:top w:val="nil"/>
                    <w:left w:val="nil"/>
                    <w:bottom w:val="nil"/>
                    <w:right w:val="nil"/>
                  </w:tcBorders>
                  <w:hideMark/>
                </w:tcPr>
                <w:p w:rsidRPr="002109B2" w:rsidR="00810441" w:rsidP="00810441" w:rsidRDefault="00810441" w14:paraId="2389AF3E" w14:textId="77777777">
                  <w:pPr>
                    <w:rPr>
                      <w:color w:val="000000"/>
                    </w:rPr>
                  </w:pPr>
                </w:p>
              </w:tc>
              <w:tc>
                <w:tcPr>
                  <w:tcW w:w="2560" w:type="dxa"/>
                  <w:tcBorders>
                    <w:top w:val="nil"/>
                    <w:left w:val="nil"/>
                    <w:bottom w:val="nil"/>
                    <w:right w:val="nil"/>
                  </w:tcBorders>
                </w:tcPr>
                <w:p w:rsidRPr="002109B2" w:rsidR="00810441" w:rsidP="00810441" w:rsidRDefault="00810441" w14:paraId="6ABF8577" w14:textId="701B8AC7">
                  <w:pPr>
                    <w:rPr>
                      <w:color w:val="000000"/>
                    </w:rPr>
                  </w:pPr>
                  <w:r w:rsidRPr="002109B2">
                    <w:rPr>
                      <w:color w:val="000000"/>
                    </w:rPr>
                    <w:t>100.00%</w:t>
                  </w:r>
                </w:p>
              </w:tc>
            </w:tr>
          </w:tbl>
          <w:p w:rsidRPr="003D4455" w:rsidR="00691528" w:rsidP="00EC6387" w:rsidRDefault="00691528" w14:paraId="3285939A" w14:textId="77777777">
            <w:pPr>
              <w:rPr>
                <w:color w:val="000000"/>
              </w:rPr>
            </w:pPr>
          </w:p>
        </w:tc>
        <w:tc>
          <w:tcPr>
            <w:tcW w:w="1867" w:type="dxa"/>
          </w:tcPr>
          <w:p w:rsidR="00FE3BAE" w:rsidP="00131BBE" w:rsidRDefault="00FE3BAE" w14:paraId="712B706C" w14:textId="77777777">
            <w:pPr>
              <w:jc w:val="center"/>
              <w:rPr>
                <w:color w:val="000000"/>
              </w:rPr>
            </w:pPr>
          </w:p>
          <w:p w:rsidR="00131BBE" w:rsidP="00131BBE" w:rsidRDefault="00131BBE" w14:paraId="424C6DBF" w14:textId="77777777">
            <w:pPr>
              <w:jc w:val="center"/>
              <w:rPr>
                <w:color w:val="000000"/>
              </w:rPr>
            </w:pPr>
          </w:p>
          <w:p w:rsidRPr="007F620E" w:rsidR="00131BBE" w:rsidP="00131BBE" w:rsidRDefault="00193EAB" w14:paraId="497C4799" w14:textId="60CB1165">
            <w:pPr>
              <w:jc w:val="center"/>
              <w:rPr>
                <w:color w:val="000000"/>
              </w:rPr>
            </w:pPr>
            <w:r>
              <w:rPr>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FD3D40" w:rsidTr="00DA3BB7" w14:paraId="62E8A168" w14:textId="77777777">
        <w:trPr>
          <w:jc w:val="center"/>
        </w:trPr>
        <w:tc>
          <w:tcPr>
            <w:tcW w:w="1489" w:type="dxa"/>
          </w:tcPr>
          <w:p w:rsidRPr="007F620E" w:rsidR="00FD3D40" w:rsidP="00FD3D40" w:rsidRDefault="00FD3D40" w14:paraId="33EA8B38" w14:textId="1039904F">
            <w:pPr>
              <w:spacing w:before="60" w:after="60"/>
              <w:rPr>
                <w:color w:val="000000"/>
              </w:rPr>
            </w:pPr>
            <w:r>
              <w:rPr>
                <w:color w:val="000000"/>
              </w:rPr>
              <w:t>Malinda Dickenson</w:t>
            </w:r>
          </w:p>
        </w:tc>
        <w:tc>
          <w:tcPr>
            <w:tcW w:w="821" w:type="dxa"/>
          </w:tcPr>
          <w:p w:rsidRPr="007F620E" w:rsidR="00FD3D40" w:rsidP="00FD3D40" w:rsidRDefault="00FD3D40" w14:paraId="47EBBC49" w14:textId="174D5889">
            <w:pPr>
              <w:spacing w:before="60" w:after="60"/>
              <w:jc w:val="center"/>
              <w:rPr>
                <w:color w:val="000000"/>
              </w:rPr>
            </w:pPr>
            <w:r>
              <w:rPr>
                <w:color w:val="000000"/>
              </w:rPr>
              <w:t>2023</w:t>
            </w:r>
          </w:p>
        </w:tc>
        <w:tc>
          <w:tcPr>
            <w:tcW w:w="884" w:type="dxa"/>
            <w:gridSpan w:val="2"/>
          </w:tcPr>
          <w:p w:rsidRPr="007F620E" w:rsidR="00FD3D40" w:rsidP="00FD3D40" w:rsidRDefault="00FD3D40" w14:paraId="39A3074C" w14:textId="30BF7872">
            <w:pPr>
              <w:spacing w:before="60" w:after="60"/>
              <w:jc w:val="center"/>
              <w:rPr>
                <w:color w:val="000000"/>
              </w:rPr>
            </w:pPr>
            <w:r>
              <w:rPr>
                <w:color w:val="000000"/>
              </w:rPr>
              <w:t>31.8</w:t>
            </w:r>
          </w:p>
        </w:tc>
        <w:tc>
          <w:tcPr>
            <w:tcW w:w="930" w:type="dxa"/>
          </w:tcPr>
          <w:p w:rsidRPr="007F620E" w:rsidR="00FD3D40" w:rsidP="00FD3D40" w:rsidRDefault="00FD3D40" w14:paraId="3E5BD317" w14:textId="20757044">
            <w:pPr>
              <w:spacing w:before="60" w:after="60"/>
              <w:jc w:val="right"/>
              <w:rPr>
                <w:color w:val="000000"/>
              </w:rPr>
            </w:pPr>
            <w:r>
              <w:rPr>
                <w:color w:val="000000"/>
              </w:rPr>
              <w:t>$665</w:t>
            </w:r>
          </w:p>
        </w:tc>
        <w:tc>
          <w:tcPr>
            <w:tcW w:w="1721" w:type="dxa"/>
            <w:gridSpan w:val="2"/>
            <w:tcBorders>
              <w:right w:val="single" w:color="auto" w:sz="4" w:space="0"/>
            </w:tcBorders>
          </w:tcPr>
          <w:p w:rsidRPr="007F620E" w:rsidR="00FD3D40" w:rsidP="00FD3D40" w:rsidRDefault="00FD3D40" w14:paraId="63BDE315" w14:textId="2F70EE8E">
            <w:pPr>
              <w:spacing w:before="60" w:after="60"/>
              <w:rPr>
                <w:color w:val="000000"/>
              </w:rPr>
            </w:pPr>
            <w:r>
              <w:rPr>
                <w:color w:val="000000"/>
              </w:rPr>
              <w:t>D.25-04-017</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06BD92A5" w14:textId="00486D58">
            <w:pPr>
              <w:spacing w:before="60" w:after="60"/>
              <w:jc w:val="right"/>
              <w:rPr>
                <w:color w:val="000000"/>
              </w:rPr>
            </w:pPr>
            <w:r>
              <w:rPr>
                <w:color w:val="000000"/>
              </w:rPr>
              <w:t>$21,147</w:t>
            </w:r>
          </w:p>
        </w:tc>
        <w:tc>
          <w:tcPr>
            <w:tcW w:w="955" w:type="dxa"/>
            <w:tcBorders>
              <w:left w:val="single" w:color="auto" w:sz="4" w:space="0"/>
            </w:tcBorders>
          </w:tcPr>
          <w:p w:rsidRPr="007F620E" w:rsidR="00FD3D40" w:rsidP="00FD3D40" w:rsidRDefault="00FD3D40" w14:paraId="31AF7AA4" w14:textId="03AF7C92">
            <w:pPr>
              <w:spacing w:before="60" w:after="60"/>
              <w:jc w:val="center"/>
              <w:rPr>
                <w:color w:val="000000"/>
              </w:rPr>
            </w:pPr>
            <w:r>
              <w:rPr>
                <w:color w:val="000000"/>
              </w:rPr>
              <w:t>31.80</w:t>
            </w:r>
          </w:p>
        </w:tc>
        <w:tc>
          <w:tcPr>
            <w:tcW w:w="1146" w:type="dxa"/>
          </w:tcPr>
          <w:p w:rsidRPr="007F620E" w:rsidR="00FD3D40" w:rsidP="00FD3D40" w:rsidRDefault="00FD3D40" w14:paraId="3400AFFC" w14:textId="2F09BF56">
            <w:pPr>
              <w:spacing w:before="60" w:after="60"/>
              <w:jc w:val="center"/>
              <w:rPr>
                <w:color w:val="000000"/>
              </w:rPr>
            </w:pPr>
            <w:r>
              <w:rPr>
                <w:color w:val="000000"/>
              </w:rPr>
              <w:t>$665.00 [1]</w:t>
            </w:r>
          </w:p>
        </w:tc>
        <w:tc>
          <w:tcPr>
            <w:tcW w:w="1881" w:type="dxa"/>
          </w:tcPr>
          <w:p w:rsidRPr="007F620E" w:rsidR="00FD3D40" w:rsidP="00FD3D40" w:rsidRDefault="00FD3D40" w14:paraId="196C1830" w14:textId="6456DB95">
            <w:pPr>
              <w:spacing w:before="60" w:after="60"/>
              <w:jc w:val="right"/>
              <w:rPr>
                <w:color w:val="000000"/>
              </w:rPr>
            </w:pPr>
            <w:r w:rsidRPr="009D7774">
              <w:t>$21,147.00</w:t>
            </w:r>
          </w:p>
        </w:tc>
      </w:tr>
      <w:tr w:rsidRPr="007F620E" w:rsidR="00FD3D40" w:rsidTr="00DA3BB7" w14:paraId="5BF6A154" w14:textId="77777777">
        <w:trPr>
          <w:jc w:val="center"/>
        </w:trPr>
        <w:tc>
          <w:tcPr>
            <w:tcW w:w="1489" w:type="dxa"/>
          </w:tcPr>
          <w:p w:rsidRPr="007F620E" w:rsidR="00FD3D40" w:rsidP="00FD3D40" w:rsidRDefault="00FD3D40" w14:paraId="118506EC" w14:textId="73797BA8">
            <w:pPr>
              <w:spacing w:before="60" w:after="60"/>
              <w:rPr>
                <w:color w:val="000000"/>
              </w:rPr>
            </w:pPr>
            <w:r>
              <w:rPr>
                <w:color w:val="000000"/>
              </w:rPr>
              <w:t>Malinda Dickenson</w:t>
            </w:r>
          </w:p>
        </w:tc>
        <w:tc>
          <w:tcPr>
            <w:tcW w:w="821" w:type="dxa"/>
          </w:tcPr>
          <w:p w:rsidRPr="007F620E" w:rsidR="00FD3D40" w:rsidP="00FD3D40" w:rsidRDefault="00FD3D40" w14:paraId="3767540B" w14:textId="3E2CA4F4">
            <w:pPr>
              <w:spacing w:before="60" w:after="60"/>
              <w:jc w:val="center"/>
              <w:rPr>
                <w:color w:val="000000"/>
              </w:rPr>
            </w:pPr>
            <w:r>
              <w:rPr>
                <w:color w:val="000000"/>
              </w:rPr>
              <w:t>2024</w:t>
            </w:r>
          </w:p>
        </w:tc>
        <w:tc>
          <w:tcPr>
            <w:tcW w:w="884" w:type="dxa"/>
            <w:gridSpan w:val="2"/>
          </w:tcPr>
          <w:p w:rsidRPr="007F620E" w:rsidR="00FD3D40" w:rsidP="00FD3D40" w:rsidRDefault="00FD3D40" w14:paraId="120FE857" w14:textId="26829740">
            <w:pPr>
              <w:spacing w:before="60" w:after="60"/>
              <w:jc w:val="center"/>
              <w:rPr>
                <w:color w:val="000000"/>
              </w:rPr>
            </w:pPr>
            <w:r>
              <w:rPr>
                <w:color w:val="000000"/>
              </w:rPr>
              <w:t>71.65</w:t>
            </w:r>
          </w:p>
        </w:tc>
        <w:tc>
          <w:tcPr>
            <w:tcW w:w="930" w:type="dxa"/>
          </w:tcPr>
          <w:p w:rsidRPr="007F620E" w:rsidR="00FD3D40" w:rsidP="00FD3D40" w:rsidRDefault="00FD3D40" w14:paraId="075109E1" w14:textId="77590176">
            <w:pPr>
              <w:spacing w:before="60" w:after="60"/>
              <w:jc w:val="right"/>
              <w:rPr>
                <w:color w:val="000000"/>
              </w:rPr>
            </w:pPr>
            <w:r>
              <w:rPr>
                <w:color w:val="000000"/>
              </w:rPr>
              <w:t>$700</w:t>
            </w:r>
          </w:p>
        </w:tc>
        <w:tc>
          <w:tcPr>
            <w:tcW w:w="1721" w:type="dxa"/>
            <w:gridSpan w:val="2"/>
            <w:tcBorders>
              <w:right w:val="single" w:color="auto" w:sz="4" w:space="0"/>
            </w:tcBorders>
          </w:tcPr>
          <w:p w:rsidRPr="007F620E" w:rsidR="00FD3D40" w:rsidP="00FD3D40" w:rsidRDefault="00FD3D40" w14:paraId="4AF4C006" w14:textId="2C99FBBD">
            <w:pPr>
              <w:spacing w:before="60" w:after="60"/>
              <w:rPr>
                <w:color w:val="000000"/>
              </w:rPr>
            </w:pPr>
            <w:r w:rsidRPr="00227D56">
              <w:rPr>
                <w:color w:val="000000"/>
              </w:rPr>
              <w:t>D.25-04-017</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2A77845E" w14:textId="444857E9">
            <w:pPr>
              <w:spacing w:before="60" w:after="60"/>
              <w:jc w:val="right"/>
              <w:rPr>
                <w:color w:val="000000"/>
              </w:rPr>
            </w:pPr>
            <w:r>
              <w:rPr>
                <w:color w:val="000000"/>
              </w:rPr>
              <w:t>$50,155</w:t>
            </w:r>
          </w:p>
        </w:tc>
        <w:tc>
          <w:tcPr>
            <w:tcW w:w="955" w:type="dxa"/>
            <w:tcBorders>
              <w:left w:val="single" w:color="auto" w:sz="4" w:space="0"/>
            </w:tcBorders>
          </w:tcPr>
          <w:p w:rsidRPr="007F620E" w:rsidR="00FD3D40" w:rsidP="00FD3D40" w:rsidRDefault="00FD3D40" w14:paraId="461DC9FD" w14:textId="6E993670">
            <w:pPr>
              <w:spacing w:before="60" w:after="60"/>
              <w:jc w:val="center"/>
              <w:rPr>
                <w:color w:val="000000"/>
              </w:rPr>
            </w:pPr>
            <w:r>
              <w:rPr>
                <w:color w:val="000000"/>
              </w:rPr>
              <w:t>70.35 [6]</w:t>
            </w:r>
          </w:p>
        </w:tc>
        <w:tc>
          <w:tcPr>
            <w:tcW w:w="1146" w:type="dxa"/>
          </w:tcPr>
          <w:p w:rsidRPr="007F620E" w:rsidR="00FD3D40" w:rsidP="00FD3D40" w:rsidRDefault="00FD3D40" w14:paraId="7FDABF74" w14:textId="6111D95B">
            <w:pPr>
              <w:spacing w:before="60" w:after="60"/>
              <w:jc w:val="center"/>
              <w:rPr>
                <w:color w:val="000000"/>
              </w:rPr>
            </w:pPr>
            <w:r>
              <w:rPr>
                <w:color w:val="000000"/>
              </w:rPr>
              <w:t>$725.00 [1]</w:t>
            </w:r>
          </w:p>
        </w:tc>
        <w:tc>
          <w:tcPr>
            <w:tcW w:w="1881" w:type="dxa"/>
          </w:tcPr>
          <w:p w:rsidRPr="007F620E" w:rsidR="00FD3D40" w:rsidP="00FD3D40" w:rsidRDefault="00FD3D40" w14:paraId="05EFCF76" w14:textId="7332D59E">
            <w:pPr>
              <w:spacing w:before="60" w:after="60"/>
              <w:jc w:val="right"/>
              <w:rPr>
                <w:color w:val="000000"/>
              </w:rPr>
            </w:pPr>
            <w:r w:rsidRPr="009D7774">
              <w:t>$51,003.75</w:t>
            </w:r>
          </w:p>
        </w:tc>
      </w:tr>
      <w:tr w:rsidRPr="007F620E" w:rsidR="00FD3D40" w:rsidTr="00DA3BB7" w14:paraId="38E0B4EA" w14:textId="77777777">
        <w:trPr>
          <w:jc w:val="center"/>
        </w:trPr>
        <w:tc>
          <w:tcPr>
            <w:tcW w:w="1489" w:type="dxa"/>
          </w:tcPr>
          <w:p w:rsidRPr="007F620E" w:rsidR="00FD3D40" w:rsidP="00FD3D40" w:rsidRDefault="00FD3D40" w14:paraId="1F980DF3" w14:textId="4978E674">
            <w:pPr>
              <w:spacing w:before="60" w:after="60"/>
              <w:rPr>
                <w:color w:val="000000"/>
              </w:rPr>
            </w:pPr>
            <w:r>
              <w:rPr>
                <w:color w:val="000000"/>
              </w:rPr>
              <w:t>Malinda Dickenson</w:t>
            </w:r>
          </w:p>
        </w:tc>
        <w:tc>
          <w:tcPr>
            <w:tcW w:w="821" w:type="dxa"/>
          </w:tcPr>
          <w:p w:rsidRPr="007F620E" w:rsidR="00FD3D40" w:rsidP="00FD3D40" w:rsidRDefault="00FD3D40" w14:paraId="275BF57A" w14:textId="42DD0419">
            <w:pPr>
              <w:spacing w:before="60" w:after="60"/>
              <w:jc w:val="center"/>
              <w:rPr>
                <w:color w:val="000000"/>
              </w:rPr>
            </w:pPr>
            <w:r>
              <w:rPr>
                <w:color w:val="000000"/>
              </w:rPr>
              <w:t>2025</w:t>
            </w:r>
          </w:p>
        </w:tc>
        <w:tc>
          <w:tcPr>
            <w:tcW w:w="884" w:type="dxa"/>
            <w:gridSpan w:val="2"/>
          </w:tcPr>
          <w:p w:rsidRPr="007F620E" w:rsidR="00FD3D40" w:rsidP="00FD3D40" w:rsidRDefault="00FD3D40" w14:paraId="0DE506C4" w14:textId="07BA5903">
            <w:pPr>
              <w:spacing w:before="60" w:after="60"/>
              <w:jc w:val="center"/>
              <w:rPr>
                <w:color w:val="000000"/>
              </w:rPr>
            </w:pPr>
            <w:r>
              <w:rPr>
                <w:color w:val="000000"/>
              </w:rPr>
              <w:t>66.3</w:t>
            </w:r>
          </w:p>
        </w:tc>
        <w:tc>
          <w:tcPr>
            <w:tcW w:w="930" w:type="dxa"/>
          </w:tcPr>
          <w:p w:rsidRPr="007F620E" w:rsidR="00FD3D40" w:rsidP="00FD3D40" w:rsidRDefault="00FD3D40" w14:paraId="26413E95" w14:textId="2A5B3C7B">
            <w:pPr>
              <w:spacing w:before="60" w:after="60"/>
              <w:jc w:val="right"/>
              <w:rPr>
                <w:color w:val="000000"/>
              </w:rPr>
            </w:pPr>
            <w:r>
              <w:rPr>
                <w:color w:val="000000"/>
                <w:lang w:val="es-MX"/>
              </w:rPr>
              <w:t>$725</w:t>
            </w:r>
          </w:p>
        </w:tc>
        <w:tc>
          <w:tcPr>
            <w:tcW w:w="1721" w:type="dxa"/>
            <w:gridSpan w:val="2"/>
            <w:tcBorders>
              <w:right w:val="single" w:color="auto" w:sz="4" w:space="0"/>
            </w:tcBorders>
          </w:tcPr>
          <w:p w:rsidRPr="007F620E" w:rsidR="00FD3D40" w:rsidP="00FD3D40" w:rsidRDefault="00FD3D40" w14:paraId="300AA881" w14:textId="21693103">
            <w:pPr>
              <w:spacing w:before="60" w:after="60"/>
              <w:rPr>
                <w:color w:val="000000"/>
              </w:rPr>
            </w:pPr>
            <w:r>
              <w:rPr>
                <w:color w:val="000000"/>
              </w:rPr>
              <w:t xml:space="preserve">Approved 2024 rate of </w:t>
            </w:r>
            <w:r w:rsidRPr="00227D56">
              <w:rPr>
                <w:color w:val="000000"/>
              </w:rPr>
              <w:t>$700 *</w:t>
            </w:r>
            <w:r>
              <w:rPr>
                <w:color w:val="000000"/>
              </w:rPr>
              <w:t xml:space="preserve">CPUC escalation of </w:t>
            </w:r>
            <w:r w:rsidRPr="00227D56">
              <w:rPr>
                <w:color w:val="000000"/>
              </w:rPr>
              <w:lastRenderedPageBreak/>
              <w:t>1.0346</w:t>
            </w:r>
            <w:r>
              <w:rPr>
                <w:color w:val="000000"/>
              </w:rPr>
              <w:t xml:space="preserve"> for 2025</w:t>
            </w:r>
            <w:r w:rsidRPr="00227D56">
              <w:rPr>
                <w:color w:val="000000"/>
              </w:rPr>
              <w:t>=$725</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23EF368E" w14:textId="15056F54">
            <w:pPr>
              <w:spacing w:before="60" w:after="60"/>
              <w:jc w:val="right"/>
              <w:rPr>
                <w:color w:val="000000"/>
              </w:rPr>
            </w:pPr>
            <w:r>
              <w:rPr>
                <w:color w:val="000000"/>
              </w:rPr>
              <w:lastRenderedPageBreak/>
              <w:t>$48,068</w:t>
            </w:r>
            <w:r>
              <w:rPr>
                <w:rStyle w:val="FootnoteReference"/>
                <w:color w:val="000000"/>
              </w:rPr>
              <w:footnoteReference w:id="5"/>
            </w:r>
          </w:p>
        </w:tc>
        <w:tc>
          <w:tcPr>
            <w:tcW w:w="955" w:type="dxa"/>
            <w:tcBorders>
              <w:left w:val="single" w:color="auto" w:sz="4" w:space="0"/>
            </w:tcBorders>
          </w:tcPr>
          <w:p w:rsidRPr="007F620E" w:rsidR="00FD3D40" w:rsidP="00FD3D40" w:rsidRDefault="00FD3D40" w14:paraId="2B0CA953" w14:textId="2E22FC7D">
            <w:pPr>
              <w:spacing w:before="60" w:after="60"/>
              <w:jc w:val="center"/>
              <w:rPr>
                <w:color w:val="000000"/>
              </w:rPr>
            </w:pPr>
            <w:r>
              <w:rPr>
                <w:color w:val="000000"/>
              </w:rPr>
              <w:t>66.30</w:t>
            </w:r>
          </w:p>
        </w:tc>
        <w:tc>
          <w:tcPr>
            <w:tcW w:w="1146" w:type="dxa"/>
          </w:tcPr>
          <w:p w:rsidRPr="007F620E" w:rsidR="00FD3D40" w:rsidP="00FD3D40" w:rsidRDefault="00FD3D40" w14:paraId="1FC8906C" w14:textId="70E47C21">
            <w:pPr>
              <w:spacing w:before="60" w:after="60"/>
              <w:jc w:val="center"/>
              <w:rPr>
                <w:color w:val="000000"/>
              </w:rPr>
            </w:pPr>
            <w:r>
              <w:rPr>
                <w:color w:val="000000"/>
              </w:rPr>
              <w:t>$750.00 [2]</w:t>
            </w:r>
          </w:p>
        </w:tc>
        <w:tc>
          <w:tcPr>
            <w:tcW w:w="1881" w:type="dxa"/>
          </w:tcPr>
          <w:p w:rsidRPr="007F620E" w:rsidR="00FD3D40" w:rsidP="00FD3D40" w:rsidRDefault="00FD3D40" w14:paraId="6C594CB5" w14:textId="0039FD39">
            <w:pPr>
              <w:spacing w:before="60" w:after="60"/>
              <w:jc w:val="right"/>
              <w:rPr>
                <w:color w:val="000000"/>
              </w:rPr>
            </w:pPr>
            <w:r w:rsidRPr="009D7774">
              <w:t>$49,725.00</w:t>
            </w:r>
          </w:p>
        </w:tc>
      </w:tr>
      <w:tr w:rsidRPr="007F620E" w:rsidR="00FD3D40" w:rsidTr="00DA3BB7" w14:paraId="090FE8C2" w14:textId="77777777">
        <w:trPr>
          <w:jc w:val="center"/>
        </w:trPr>
        <w:tc>
          <w:tcPr>
            <w:tcW w:w="1489" w:type="dxa"/>
          </w:tcPr>
          <w:p w:rsidR="00FD3D40" w:rsidP="00FD3D40" w:rsidRDefault="00FD3D40" w14:paraId="38F9BEDE" w14:textId="06ABB803">
            <w:pPr>
              <w:spacing w:before="60" w:after="60"/>
              <w:rPr>
                <w:color w:val="000000"/>
              </w:rPr>
            </w:pPr>
            <w:r>
              <w:rPr>
                <w:color w:val="000000"/>
              </w:rPr>
              <w:t>Jonathan Webster</w:t>
            </w:r>
          </w:p>
          <w:p w:rsidR="00FD3D40" w:rsidP="00FD3D40" w:rsidRDefault="00FD3D40" w14:paraId="6AE41976" w14:textId="3ED808B0">
            <w:pPr>
              <w:spacing w:before="60" w:after="60"/>
              <w:rPr>
                <w:color w:val="000000"/>
              </w:rPr>
            </w:pPr>
            <w:r>
              <w:rPr>
                <w:color w:val="000000"/>
              </w:rPr>
              <w:t>(Pre-Bar)</w:t>
            </w:r>
          </w:p>
        </w:tc>
        <w:tc>
          <w:tcPr>
            <w:tcW w:w="821" w:type="dxa"/>
          </w:tcPr>
          <w:p w:rsidR="00FD3D40" w:rsidP="00FD3D40" w:rsidRDefault="00FD3D40" w14:paraId="4BB1B7C8" w14:textId="31B20B19">
            <w:pPr>
              <w:spacing w:before="60" w:after="60"/>
              <w:jc w:val="center"/>
              <w:rPr>
                <w:color w:val="000000"/>
              </w:rPr>
            </w:pPr>
            <w:r>
              <w:rPr>
                <w:color w:val="000000"/>
              </w:rPr>
              <w:t>2023</w:t>
            </w:r>
          </w:p>
        </w:tc>
        <w:tc>
          <w:tcPr>
            <w:tcW w:w="884" w:type="dxa"/>
            <w:gridSpan w:val="2"/>
          </w:tcPr>
          <w:p w:rsidRPr="007F620E" w:rsidR="00FD3D40" w:rsidP="00FD3D40" w:rsidRDefault="00FD3D40" w14:paraId="7BE44D7E" w14:textId="75536C33">
            <w:pPr>
              <w:spacing w:before="60" w:after="60"/>
              <w:jc w:val="center"/>
              <w:rPr>
                <w:color w:val="000000"/>
              </w:rPr>
            </w:pPr>
            <w:r>
              <w:rPr>
                <w:color w:val="000000"/>
              </w:rPr>
              <w:t>45.0</w:t>
            </w:r>
          </w:p>
        </w:tc>
        <w:tc>
          <w:tcPr>
            <w:tcW w:w="930" w:type="dxa"/>
          </w:tcPr>
          <w:p w:rsidR="00FD3D40" w:rsidP="00FD3D40" w:rsidRDefault="00FD3D40" w14:paraId="007DD2D0" w14:textId="34AE5BFB">
            <w:pPr>
              <w:spacing w:before="60" w:after="60"/>
              <w:jc w:val="right"/>
              <w:rPr>
                <w:color w:val="000000"/>
              </w:rPr>
            </w:pPr>
            <w:r>
              <w:rPr>
                <w:color w:val="000000"/>
              </w:rPr>
              <w:t>$250</w:t>
            </w:r>
          </w:p>
        </w:tc>
        <w:tc>
          <w:tcPr>
            <w:tcW w:w="1721" w:type="dxa"/>
            <w:gridSpan w:val="2"/>
            <w:tcBorders>
              <w:right w:val="single" w:color="auto" w:sz="4" w:space="0"/>
            </w:tcBorders>
          </w:tcPr>
          <w:p w:rsidR="00FD3D40" w:rsidP="00FD3D40" w:rsidRDefault="00FD3D40" w14:paraId="760D28BC" w14:textId="7513B7A9">
            <w:pPr>
              <w:spacing w:before="60" w:after="60"/>
              <w:rPr>
                <w:color w:val="000000"/>
              </w:rPr>
            </w:pPr>
            <w:r>
              <w:rPr>
                <w:color w:val="000000"/>
              </w:rPr>
              <w:t>D.24-12-064</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71E0B6D2" w14:textId="5321DC89">
            <w:pPr>
              <w:spacing w:before="60" w:after="60"/>
              <w:jc w:val="right"/>
              <w:rPr>
                <w:color w:val="000000"/>
              </w:rPr>
            </w:pPr>
            <w:r>
              <w:rPr>
                <w:color w:val="000000"/>
              </w:rPr>
              <w:t>$11,575</w:t>
            </w:r>
            <w:r>
              <w:rPr>
                <w:rStyle w:val="FootnoteReference"/>
                <w:color w:val="000000"/>
              </w:rPr>
              <w:footnoteReference w:id="6"/>
            </w:r>
          </w:p>
        </w:tc>
        <w:tc>
          <w:tcPr>
            <w:tcW w:w="955" w:type="dxa"/>
            <w:tcBorders>
              <w:left w:val="single" w:color="auto" w:sz="4" w:space="0"/>
            </w:tcBorders>
          </w:tcPr>
          <w:p w:rsidRPr="007F620E" w:rsidR="00FD3D40" w:rsidP="00FD3D40" w:rsidRDefault="00FD3D40" w14:paraId="54D28BB3" w14:textId="709B0041">
            <w:pPr>
              <w:spacing w:before="60" w:after="60"/>
              <w:jc w:val="center"/>
              <w:rPr>
                <w:color w:val="000000"/>
              </w:rPr>
            </w:pPr>
            <w:r>
              <w:rPr>
                <w:color w:val="000000"/>
              </w:rPr>
              <w:t>45.00</w:t>
            </w:r>
          </w:p>
        </w:tc>
        <w:tc>
          <w:tcPr>
            <w:tcW w:w="1146" w:type="dxa"/>
          </w:tcPr>
          <w:p w:rsidRPr="007F620E" w:rsidR="00FD3D40" w:rsidP="00FD3D40" w:rsidRDefault="00FD3D40" w14:paraId="2C464425" w14:textId="5E94D7EB">
            <w:pPr>
              <w:spacing w:before="60" w:after="60"/>
              <w:jc w:val="center"/>
              <w:rPr>
                <w:color w:val="000000"/>
              </w:rPr>
            </w:pPr>
            <w:r>
              <w:rPr>
                <w:color w:val="000000"/>
              </w:rPr>
              <w:t>$150.00 [3]</w:t>
            </w:r>
          </w:p>
        </w:tc>
        <w:tc>
          <w:tcPr>
            <w:tcW w:w="1881" w:type="dxa"/>
          </w:tcPr>
          <w:p w:rsidRPr="007F620E" w:rsidR="00FD3D40" w:rsidP="00FD3D40" w:rsidRDefault="00FD3D40" w14:paraId="1EB10B6C" w14:textId="4BB419B2">
            <w:pPr>
              <w:spacing w:before="60" w:after="60"/>
              <w:jc w:val="right"/>
              <w:rPr>
                <w:color w:val="000000"/>
              </w:rPr>
            </w:pPr>
            <w:r w:rsidRPr="009D7774">
              <w:t>$6,750.00</w:t>
            </w:r>
          </w:p>
        </w:tc>
      </w:tr>
      <w:tr w:rsidRPr="007F620E" w:rsidR="00FD3D40" w:rsidTr="00DA3BB7" w14:paraId="720F7DBB" w14:textId="77777777">
        <w:trPr>
          <w:jc w:val="center"/>
        </w:trPr>
        <w:tc>
          <w:tcPr>
            <w:tcW w:w="1489" w:type="dxa"/>
          </w:tcPr>
          <w:p w:rsidR="00FD3D40" w:rsidP="00FD3D40" w:rsidRDefault="00FD3D40" w14:paraId="3A0844AA" w14:textId="04BF0FE1">
            <w:pPr>
              <w:spacing w:before="60" w:after="60"/>
              <w:rPr>
                <w:color w:val="000000"/>
              </w:rPr>
            </w:pPr>
            <w:r>
              <w:rPr>
                <w:color w:val="000000"/>
              </w:rPr>
              <w:t>Jonathan Webster</w:t>
            </w:r>
            <w:r>
              <w:rPr>
                <w:rStyle w:val="FootnoteReference"/>
                <w:color w:val="000000"/>
              </w:rPr>
              <w:footnoteReference w:id="7"/>
            </w:r>
          </w:p>
          <w:p w:rsidR="00FD3D40" w:rsidP="00FD3D40" w:rsidRDefault="00FD3D40" w14:paraId="438F280C" w14:textId="749EE3D3">
            <w:pPr>
              <w:spacing w:before="60" w:after="60"/>
              <w:rPr>
                <w:color w:val="000000"/>
              </w:rPr>
            </w:pPr>
            <w:r>
              <w:rPr>
                <w:color w:val="000000"/>
              </w:rPr>
              <w:t>(Post-Bar)</w:t>
            </w:r>
          </w:p>
        </w:tc>
        <w:tc>
          <w:tcPr>
            <w:tcW w:w="821" w:type="dxa"/>
          </w:tcPr>
          <w:p w:rsidR="00FD3D40" w:rsidP="00FD3D40" w:rsidRDefault="00FD3D40" w14:paraId="66002CFF" w14:textId="0B40E098">
            <w:pPr>
              <w:spacing w:before="60" w:after="60"/>
              <w:jc w:val="center"/>
              <w:rPr>
                <w:color w:val="000000"/>
              </w:rPr>
            </w:pPr>
            <w:r>
              <w:rPr>
                <w:color w:val="000000"/>
              </w:rPr>
              <w:t>2023</w:t>
            </w:r>
          </w:p>
        </w:tc>
        <w:tc>
          <w:tcPr>
            <w:tcW w:w="884" w:type="dxa"/>
            <w:gridSpan w:val="2"/>
          </w:tcPr>
          <w:p w:rsidR="00FD3D40" w:rsidP="00FD3D40" w:rsidRDefault="00FD3D40" w14:paraId="2FCB2E45" w14:textId="577740E2">
            <w:pPr>
              <w:spacing w:before="60" w:after="60"/>
              <w:jc w:val="center"/>
              <w:rPr>
                <w:color w:val="000000"/>
              </w:rPr>
            </w:pPr>
            <w:r>
              <w:rPr>
                <w:color w:val="000000"/>
              </w:rPr>
              <w:t>1.3</w:t>
            </w:r>
          </w:p>
        </w:tc>
        <w:tc>
          <w:tcPr>
            <w:tcW w:w="930" w:type="dxa"/>
          </w:tcPr>
          <w:p w:rsidR="00FD3D40" w:rsidP="00FD3D40" w:rsidRDefault="00FD3D40" w14:paraId="20BADBAB" w14:textId="6ECF7AB2">
            <w:pPr>
              <w:spacing w:before="60" w:after="60"/>
              <w:jc w:val="right"/>
              <w:rPr>
                <w:color w:val="000000"/>
              </w:rPr>
            </w:pPr>
            <w:r>
              <w:rPr>
                <w:color w:val="000000"/>
              </w:rPr>
              <w:t>$250</w:t>
            </w:r>
          </w:p>
        </w:tc>
        <w:tc>
          <w:tcPr>
            <w:tcW w:w="1721" w:type="dxa"/>
            <w:gridSpan w:val="2"/>
            <w:tcBorders>
              <w:right w:val="single" w:color="auto" w:sz="4" w:space="0"/>
            </w:tcBorders>
          </w:tcPr>
          <w:p w:rsidR="00FD3D40" w:rsidP="00FD3D40" w:rsidRDefault="00FD3D40" w14:paraId="3B89F75A" w14:textId="77777777">
            <w:pPr>
              <w:spacing w:before="60" w:after="60"/>
              <w:rPr>
                <w:color w:val="000000"/>
              </w:rPr>
            </w:pPr>
          </w:p>
        </w:tc>
        <w:tc>
          <w:tcPr>
            <w:tcW w:w="1333" w:type="dxa"/>
            <w:gridSpan w:val="2"/>
            <w:tcBorders>
              <w:top w:val="single" w:color="auto" w:sz="4" w:space="0"/>
              <w:left w:val="single" w:color="auto" w:sz="4" w:space="0"/>
              <w:bottom w:val="single" w:color="auto" w:sz="4" w:space="0"/>
              <w:right w:val="single" w:color="auto" w:sz="24" w:space="0"/>
            </w:tcBorders>
          </w:tcPr>
          <w:p w:rsidR="00FD3D40" w:rsidP="00FD3D40" w:rsidRDefault="00FD3D40" w14:paraId="36E3156E" w14:textId="4BBB8986">
            <w:pPr>
              <w:spacing w:before="60" w:after="60"/>
              <w:jc w:val="right"/>
              <w:rPr>
                <w:color w:val="000000"/>
              </w:rPr>
            </w:pPr>
            <w:r>
              <w:rPr>
                <w:color w:val="000000"/>
              </w:rPr>
              <w:t>$325.00</w:t>
            </w:r>
            <w:r>
              <w:rPr>
                <w:rStyle w:val="FootnoteReference"/>
                <w:color w:val="000000"/>
              </w:rPr>
              <w:footnoteReference w:id="8"/>
            </w:r>
          </w:p>
        </w:tc>
        <w:tc>
          <w:tcPr>
            <w:tcW w:w="955" w:type="dxa"/>
            <w:tcBorders>
              <w:left w:val="single" w:color="auto" w:sz="4" w:space="0"/>
            </w:tcBorders>
          </w:tcPr>
          <w:p w:rsidR="00FD3D40" w:rsidP="00FD3D40" w:rsidRDefault="00FD3D40" w14:paraId="40B9FFB7" w14:textId="0279CE13">
            <w:pPr>
              <w:spacing w:before="60" w:after="60"/>
              <w:jc w:val="center"/>
              <w:rPr>
                <w:color w:val="000000"/>
              </w:rPr>
            </w:pPr>
            <w:r>
              <w:rPr>
                <w:color w:val="000000"/>
              </w:rPr>
              <w:t>1.30</w:t>
            </w:r>
          </w:p>
        </w:tc>
        <w:tc>
          <w:tcPr>
            <w:tcW w:w="1146" w:type="dxa"/>
          </w:tcPr>
          <w:p w:rsidR="00FD3D40" w:rsidP="00FD3D40" w:rsidRDefault="00FD3D40" w14:paraId="3A93F8C1" w14:textId="2CA972B4">
            <w:pPr>
              <w:spacing w:before="60" w:after="60"/>
              <w:jc w:val="center"/>
              <w:rPr>
                <w:color w:val="000000"/>
              </w:rPr>
            </w:pPr>
            <w:r>
              <w:rPr>
                <w:color w:val="000000"/>
              </w:rPr>
              <w:t>$250.00 [3]</w:t>
            </w:r>
          </w:p>
        </w:tc>
        <w:tc>
          <w:tcPr>
            <w:tcW w:w="1881" w:type="dxa"/>
          </w:tcPr>
          <w:p w:rsidRPr="003C43D5" w:rsidR="00FD3D40" w:rsidP="00FD3D40" w:rsidRDefault="00FD3D40" w14:paraId="59BAE5D2" w14:textId="574A9F06">
            <w:pPr>
              <w:spacing w:before="60" w:after="60"/>
              <w:jc w:val="right"/>
            </w:pPr>
            <w:r w:rsidRPr="009D7774">
              <w:t>$325.00</w:t>
            </w:r>
          </w:p>
        </w:tc>
      </w:tr>
      <w:tr w:rsidRPr="007F620E" w:rsidR="00FD3D40" w:rsidTr="00DA3BB7" w14:paraId="04513482" w14:textId="77777777">
        <w:trPr>
          <w:jc w:val="center"/>
        </w:trPr>
        <w:tc>
          <w:tcPr>
            <w:tcW w:w="1489" w:type="dxa"/>
          </w:tcPr>
          <w:p w:rsidR="00FD3D40" w:rsidP="00FD3D40" w:rsidRDefault="00FD3D40" w14:paraId="694A1154" w14:textId="189FF443">
            <w:pPr>
              <w:spacing w:before="60" w:after="60"/>
              <w:rPr>
                <w:color w:val="000000"/>
              </w:rPr>
            </w:pPr>
            <w:r>
              <w:rPr>
                <w:color w:val="000000"/>
              </w:rPr>
              <w:t>Jonathan Webster</w:t>
            </w:r>
          </w:p>
        </w:tc>
        <w:tc>
          <w:tcPr>
            <w:tcW w:w="821" w:type="dxa"/>
          </w:tcPr>
          <w:p w:rsidR="00FD3D40" w:rsidP="00FD3D40" w:rsidRDefault="00FD3D40" w14:paraId="5987B76E" w14:textId="1C623D07">
            <w:pPr>
              <w:spacing w:before="60" w:after="60"/>
              <w:jc w:val="center"/>
              <w:rPr>
                <w:color w:val="000000"/>
              </w:rPr>
            </w:pPr>
            <w:r>
              <w:rPr>
                <w:color w:val="000000"/>
              </w:rPr>
              <w:t>2024</w:t>
            </w:r>
          </w:p>
        </w:tc>
        <w:tc>
          <w:tcPr>
            <w:tcW w:w="884" w:type="dxa"/>
            <w:gridSpan w:val="2"/>
          </w:tcPr>
          <w:p w:rsidRPr="007F620E" w:rsidR="00FD3D40" w:rsidP="00FD3D40" w:rsidRDefault="00FD3D40" w14:paraId="4694D0BA" w14:textId="1A260831">
            <w:pPr>
              <w:spacing w:before="60" w:after="60"/>
              <w:jc w:val="center"/>
              <w:rPr>
                <w:color w:val="000000"/>
              </w:rPr>
            </w:pPr>
            <w:r>
              <w:rPr>
                <w:color w:val="000000"/>
              </w:rPr>
              <w:t>150</w:t>
            </w:r>
          </w:p>
        </w:tc>
        <w:tc>
          <w:tcPr>
            <w:tcW w:w="930" w:type="dxa"/>
          </w:tcPr>
          <w:p w:rsidR="00FD3D40" w:rsidP="00FD3D40" w:rsidRDefault="00FD3D40" w14:paraId="56183A46" w14:textId="436A0344">
            <w:pPr>
              <w:spacing w:before="60" w:after="60"/>
              <w:jc w:val="right"/>
              <w:rPr>
                <w:color w:val="000000"/>
              </w:rPr>
            </w:pPr>
            <w:r>
              <w:rPr>
                <w:color w:val="000000"/>
              </w:rPr>
              <w:t>$280</w:t>
            </w:r>
          </w:p>
        </w:tc>
        <w:tc>
          <w:tcPr>
            <w:tcW w:w="1721" w:type="dxa"/>
            <w:gridSpan w:val="2"/>
            <w:tcBorders>
              <w:right w:val="single" w:color="auto" w:sz="4" w:space="0"/>
            </w:tcBorders>
          </w:tcPr>
          <w:p w:rsidR="00FD3D40" w:rsidP="00FD3D40" w:rsidRDefault="00FD3D40" w14:paraId="7A806CF0" w14:textId="4A61B1B0">
            <w:pPr>
              <w:spacing w:before="60" w:after="60"/>
              <w:rPr>
                <w:color w:val="000000"/>
              </w:rPr>
            </w:pPr>
            <w:r>
              <w:rPr>
                <w:color w:val="000000"/>
              </w:rPr>
              <w:t>D.25-01-026</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2BE02767" w14:textId="60ACBCAF">
            <w:pPr>
              <w:spacing w:before="60" w:after="60"/>
              <w:jc w:val="right"/>
              <w:rPr>
                <w:color w:val="000000"/>
              </w:rPr>
            </w:pPr>
            <w:r>
              <w:rPr>
                <w:color w:val="000000"/>
              </w:rPr>
              <w:t>$42,000</w:t>
            </w:r>
          </w:p>
        </w:tc>
        <w:tc>
          <w:tcPr>
            <w:tcW w:w="955" w:type="dxa"/>
            <w:tcBorders>
              <w:left w:val="single" w:color="auto" w:sz="4" w:space="0"/>
            </w:tcBorders>
          </w:tcPr>
          <w:p w:rsidRPr="007F620E" w:rsidR="00FD3D40" w:rsidP="00FD3D40" w:rsidRDefault="00FD3D40" w14:paraId="515469C4" w14:textId="0D75D2A8">
            <w:pPr>
              <w:spacing w:before="60" w:after="60"/>
              <w:jc w:val="center"/>
              <w:rPr>
                <w:color w:val="000000"/>
              </w:rPr>
            </w:pPr>
            <w:r>
              <w:rPr>
                <w:color w:val="000000"/>
              </w:rPr>
              <w:t>137.80 [6]</w:t>
            </w:r>
          </w:p>
        </w:tc>
        <w:tc>
          <w:tcPr>
            <w:tcW w:w="1146" w:type="dxa"/>
          </w:tcPr>
          <w:p w:rsidRPr="007F620E" w:rsidR="00FD3D40" w:rsidP="00FD3D40" w:rsidRDefault="00FD3D40" w14:paraId="2E6A6BC1" w14:textId="339BA777">
            <w:pPr>
              <w:spacing w:before="60" w:after="60"/>
              <w:jc w:val="center"/>
              <w:rPr>
                <w:color w:val="000000"/>
              </w:rPr>
            </w:pPr>
            <w:r>
              <w:rPr>
                <w:color w:val="000000"/>
              </w:rPr>
              <w:t>$260.00 [3]</w:t>
            </w:r>
          </w:p>
        </w:tc>
        <w:tc>
          <w:tcPr>
            <w:tcW w:w="1881" w:type="dxa"/>
          </w:tcPr>
          <w:p w:rsidRPr="007F620E" w:rsidR="00FD3D40" w:rsidP="00FD3D40" w:rsidRDefault="00FD3D40" w14:paraId="43B4A600" w14:textId="64C39DD7">
            <w:pPr>
              <w:spacing w:before="60" w:after="60"/>
              <w:jc w:val="right"/>
              <w:rPr>
                <w:color w:val="000000"/>
              </w:rPr>
            </w:pPr>
            <w:r w:rsidRPr="009D7774">
              <w:t>$35,828.00</w:t>
            </w:r>
          </w:p>
        </w:tc>
      </w:tr>
      <w:tr w:rsidRPr="007F620E" w:rsidR="00267F52" w:rsidTr="00DA3BB7" w14:paraId="78FC5ECE" w14:textId="77777777">
        <w:trPr>
          <w:jc w:val="center"/>
        </w:trPr>
        <w:tc>
          <w:tcPr>
            <w:tcW w:w="1489" w:type="dxa"/>
          </w:tcPr>
          <w:p w:rsidRPr="007F620E" w:rsidR="00267F52" w:rsidP="00267F52" w:rsidRDefault="00267F52" w14:paraId="1F8943E9" w14:textId="6131298D">
            <w:pPr>
              <w:spacing w:before="60" w:after="60"/>
              <w:rPr>
                <w:color w:val="000000"/>
              </w:rPr>
            </w:pPr>
            <w:r>
              <w:rPr>
                <w:color w:val="000000"/>
              </w:rPr>
              <w:t>Loretta Lynch</w:t>
            </w:r>
          </w:p>
        </w:tc>
        <w:tc>
          <w:tcPr>
            <w:tcW w:w="821" w:type="dxa"/>
          </w:tcPr>
          <w:p w:rsidRPr="007F620E" w:rsidR="00267F52" w:rsidP="00267F52" w:rsidRDefault="00E80748" w14:paraId="6FFEFF62" w14:textId="3D7C47C7">
            <w:pPr>
              <w:spacing w:before="60" w:after="60"/>
              <w:jc w:val="center"/>
              <w:rPr>
                <w:color w:val="000000"/>
              </w:rPr>
            </w:pPr>
            <w:r>
              <w:rPr>
                <w:color w:val="000000"/>
              </w:rPr>
              <w:t>2024</w:t>
            </w:r>
          </w:p>
        </w:tc>
        <w:tc>
          <w:tcPr>
            <w:tcW w:w="884" w:type="dxa"/>
            <w:gridSpan w:val="2"/>
          </w:tcPr>
          <w:p w:rsidRPr="007F620E" w:rsidR="00267F52" w:rsidP="00267F52" w:rsidRDefault="00804403" w14:paraId="24984638" w14:textId="401505A2">
            <w:pPr>
              <w:spacing w:before="60" w:after="60"/>
              <w:jc w:val="center"/>
              <w:rPr>
                <w:color w:val="000000"/>
              </w:rPr>
            </w:pPr>
            <w:r>
              <w:rPr>
                <w:color w:val="000000"/>
              </w:rPr>
              <w:t>7</w:t>
            </w:r>
          </w:p>
        </w:tc>
        <w:tc>
          <w:tcPr>
            <w:tcW w:w="930" w:type="dxa"/>
          </w:tcPr>
          <w:p w:rsidRPr="007F620E" w:rsidR="00267F52" w:rsidP="00267F52" w:rsidRDefault="00E80748" w14:paraId="00CA9050" w14:textId="1A8AC582">
            <w:pPr>
              <w:spacing w:before="60" w:after="60"/>
              <w:jc w:val="right"/>
              <w:rPr>
                <w:color w:val="000000"/>
              </w:rPr>
            </w:pPr>
            <w:r>
              <w:rPr>
                <w:color w:val="000000"/>
              </w:rPr>
              <w:t>$770</w:t>
            </w:r>
          </w:p>
        </w:tc>
        <w:tc>
          <w:tcPr>
            <w:tcW w:w="1721" w:type="dxa"/>
            <w:gridSpan w:val="2"/>
            <w:tcBorders>
              <w:right w:val="single" w:color="auto" w:sz="4" w:space="0"/>
            </w:tcBorders>
          </w:tcPr>
          <w:p w:rsidRPr="007F620E" w:rsidR="00267F52" w:rsidP="00267F52" w:rsidRDefault="00C048A7" w14:paraId="760F08DA" w14:textId="2EF4966F">
            <w:pPr>
              <w:spacing w:before="60" w:after="60"/>
              <w:rPr>
                <w:color w:val="000000"/>
              </w:rPr>
            </w:pPr>
            <w:r>
              <w:rPr>
                <w:color w:val="000000"/>
              </w:rPr>
              <w:t xml:space="preserve">Approved </w:t>
            </w:r>
            <w:r w:rsidRPr="00227D56">
              <w:rPr>
                <w:color w:val="000000"/>
              </w:rPr>
              <w:t>202</w:t>
            </w:r>
            <w:r>
              <w:rPr>
                <w:color w:val="000000"/>
              </w:rPr>
              <w:t xml:space="preserve">3 </w:t>
            </w:r>
            <w:r w:rsidRPr="00227D56">
              <w:rPr>
                <w:color w:val="000000"/>
              </w:rPr>
              <w:t xml:space="preserve">rate </w:t>
            </w:r>
            <w:r>
              <w:rPr>
                <w:color w:val="000000"/>
              </w:rPr>
              <w:t xml:space="preserve">of </w:t>
            </w:r>
            <w:r w:rsidRPr="00227D56">
              <w:rPr>
                <w:color w:val="000000"/>
              </w:rPr>
              <w:t>$7</w:t>
            </w:r>
            <w:r>
              <w:rPr>
                <w:color w:val="000000"/>
              </w:rPr>
              <w:t>45</w:t>
            </w:r>
            <w:r w:rsidRPr="00B50A3B">
              <w:rPr>
                <w:color w:val="000000"/>
              </w:rPr>
              <w:t xml:space="preserve"> [from D.24-09-048]*</w:t>
            </w:r>
            <w:r>
              <w:rPr>
                <w:color w:val="000000"/>
              </w:rPr>
              <w:t xml:space="preserve">CPUC escalation of </w:t>
            </w:r>
            <w:r w:rsidRPr="00227D56">
              <w:rPr>
                <w:color w:val="000000"/>
              </w:rPr>
              <w:t>1.</w:t>
            </w:r>
            <w:r w:rsidRPr="00B50A3B">
              <w:rPr>
                <w:color w:val="000000"/>
              </w:rPr>
              <w:t>0407</w:t>
            </w:r>
            <w:r>
              <w:rPr>
                <w:color w:val="000000"/>
              </w:rPr>
              <w:t xml:space="preserve"> for </w:t>
            </w:r>
            <w:r w:rsidRPr="00B50A3B">
              <w:rPr>
                <w:color w:val="000000"/>
              </w:rPr>
              <w:t>2025=$770 (rounded down so as not to exceed maximum)</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267F52" w:rsidP="00267F52" w:rsidRDefault="00E54088" w14:paraId="39D39174" w14:textId="4903FFD2">
            <w:pPr>
              <w:spacing w:before="60" w:after="60"/>
              <w:jc w:val="right"/>
              <w:rPr>
                <w:color w:val="000000"/>
              </w:rPr>
            </w:pPr>
            <w:r>
              <w:rPr>
                <w:color w:val="000000"/>
              </w:rPr>
              <w:t>$5,390</w:t>
            </w:r>
          </w:p>
        </w:tc>
        <w:tc>
          <w:tcPr>
            <w:tcW w:w="955" w:type="dxa"/>
            <w:tcBorders>
              <w:left w:val="single" w:color="auto" w:sz="4" w:space="0"/>
            </w:tcBorders>
          </w:tcPr>
          <w:p w:rsidRPr="007F620E" w:rsidR="00267F52" w:rsidP="000202ED" w:rsidRDefault="003514A5" w14:paraId="047FD0B5" w14:textId="7399181B">
            <w:pPr>
              <w:spacing w:before="60" w:after="60"/>
              <w:jc w:val="center"/>
              <w:rPr>
                <w:color w:val="000000"/>
              </w:rPr>
            </w:pPr>
            <w:r>
              <w:rPr>
                <w:color w:val="000000"/>
              </w:rPr>
              <w:t>0.0</w:t>
            </w:r>
            <w:r w:rsidR="00415502">
              <w:rPr>
                <w:color w:val="000000"/>
              </w:rPr>
              <w:t>0</w:t>
            </w:r>
            <w:r w:rsidR="000202ED">
              <w:rPr>
                <w:color w:val="000000"/>
              </w:rPr>
              <w:t xml:space="preserve"> [</w:t>
            </w:r>
            <w:r>
              <w:rPr>
                <w:color w:val="000000"/>
              </w:rPr>
              <w:t>4</w:t>
            </w:r>
            <w:r w:rsidR="000202ED">
              <w:rPr>
                <w:color w:val="000000"/>
              </w:rPr>
              <w:t>]</w:t>
            </w:r>
          </w:p>
        </w:tc>
        <w:tc>
          <w:tcPr>
            <w:tcW w:w="1146" w:type="dxa"/>
          </w:tcPr>
          <w:p w:rsidRPr="007F620E" w:rsidR="00267F52" w:rsidP="000202ED" w:rsidRDefault="003514A5" w14:paraId="367660C2" w14:textId="176DCD3C">
            <w:pPr>
              <w:spacing w:before="60" w:after="60"/>
              <w:jc w:val="center"/>
              <w:rPr>
                <w:color w:val="000000"/>
              </w:rPr>
            </w:pPr>
            <w:r>
              <w:rPr>
                <w:color w:val="000000"/>
              </w:rPr>
              <w:t>N/A</w:t>
            </w:r>
            <w:r w:rsidR="00432B13">
              <w:rPr>
                <w:color w:val="000000"/>
              </w:rPr>
              <w:t xml:space="preserve"> [4]</w:t>
            </w:r>
          </w:p>
        </w:tc>
        <w:tc>
          <w:tcPr>
            <w:tcW w:w="1881" w:type="dxa"/>
          </w:tcPr>
          <w:p w:rsidRPr="007F620E" w:rsidR="00267F52" w:rsidP="00267F52" w:rsidRDefault="00DA3BB7" w14:paraId="766AC45F" w14:textId="3C30ECDB">
            <w:pPr>
              <w:spacing w:before="60" w:after="60"/>
              <w:jc w:val="right"/>
              <w:rPr>
                <w:color w:val="000000"/>
              </w:rPr>
            </w:pPr>
            <w:r>
              <w:rPr>
                <w:color w:val="000000"/>
              </w:rPr>
              <w:t>$0.00</w:t>
            </w:r>
          </w:p>
        </w:tc>
      </w:tr>
      <w:tr w:rsidRPr="007F620E" w:rsidR="00464424"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464424" w:rsidP="00464424" w:rsidRDefault="00464424" w14:paraId="2ECB6744" w14:textId="6268E376">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335F9F">
              <w:rPr>
                <w:b/>
                <w:i/>
                <w:color w:val="000000"/>
              </w:rPr>
              <w:t>178,335</w:t>
            </w:r>
            <w:r w:rsidR="00D509FA">
              <w:rPr>
                <w:rStyle w:val="FootnoteReference"/>
                <w:b/>
                <w:i/>
                <w:color w:val="000000"/>
              </w:rPr>
              <w:footnoteReference w:id="9"/>
            </w:r>
          </w:p>
        </w:tc>
        <w:tc>
          <w:tcPr>
            <w:tcW w:w="3982" w:type="dxa"/>
            <w:gridSpan w:val="3"/>
            <w:tcBorders>
              <w:left w:val="single" w:color="auto" w:sz="24" w:space="0"/>
              <w:bottom w:val="single" w:color="auto" w:sz="4" w:space="0"/>
            </w:tcBorders>
            <w:vAlign w:val="bottom"/>
          </w:tcPr>
          <w:p w:rsidRPr="00D509FA" w:rsidR="00464424" w:rsidP="00464424" w:rsidRDefault="00464424" w14:paraId="4C4556E5" w14:textId="2FF21CE8">
            <w:pPr>
              <w:tabs>
                <w:tab w:val="left" w:pos="957"/>
              </w:tabs>
              <w:spacing w:before="60" w:after="60"/>
              <w:ind w:right="162"/>
              <w:jc w:val="right"/>
              <w:rPr>
                <w:i/>
                <w:color w:val="000000"/>
              </w:rPr>
            </w:pPr>
            <w:r w:rsidRPr="00AA4541">
              <w:rPr>
                <w:b/>
                <w:i/>
                <w:color w:val="000000"/>
              </w:rPr>
              <w:t xml:space="preserve">Subtotal: </w:t>
            </w:r>
            <w:r w:rsidRPr="00FD3D40" w:rsidR="00FD3D40">
              <w:rPr>
                <w:b/>
                <w:i/>
                <w:color w:val="000000"/>
              </w:rPr>
              <w:t>$164,778.75</w:t>
            </w:r>
          </w:p>
        </w:tc>
      </w:tr>
      <w:tr w:rsidRPr="007F620E" w:rsidR="00464424"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464424" w:rsidP="00464424" w:rsidRDefault="00464424" w14:paraId="41FE304C"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464424" w:rsidTr="00763797" w14:paraId="48B3E535" w14:textId="77777777">
        <w:trPr>
          <w:jc w:val="center"/>
        </w:trPr>
        <w:tc>
          <w:tcPr>
            <w:tcW w:w="1489" w:type="dxa"/>
            <w:tcBorders>
              <w:top w:val="single" w:color="auto" w:sz="4" w:space="0"/>
              <w:bottom w:val="single" w:color="auto" w:sz="4" w:space="0"/>
            </w:tcBorders>
            <w:vAlign w:val="bottom"/>
          </w:tcPr>
          <w:p w:rsidRPr="00260518" w:rsidR="00464424" w:rsidP="00464424" w:rsidRDefault="00464424"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464424" w:rsidP="00464424" w:rsidRDefault="00464424"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464424" w:rsidP="00464424" w:rsidRDefault="00464424"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464424" w:rsidP="00464424" w:rsidRDefault="00464424" w14:paraId="1E7BD956" w14:textId="243077B9">
            <w:pPr>
              <w:keepNext/>
              <w:spacing w:before="60" w:after="60"/>
              <w:jc w:val="center"/>
              <w:rPr>
                <w:b/>
                <w:color w:val="000000"/>
                <w:sz w:val="22"/>
                <w:szCs w:val="22"/>
              </w:rPr>
            </w:pPr>
            <w:r w:rsidRPr="00260518">
              <w:rPr>
                <w:b/>
                <w:color w:val="000000"/>
                <w:sz w:val="22"/>
                <w:szCs w:val="22"/>
              </w:rPr>
              <w:t>Rate $</w:t>
            </w:r>
          </w:p>
        </w:tc>
        <w:tc>
          <w:tcPr>
            <w:tcW w:w="1721" w:type="dxa"/>
            <w:gridSpan w:val="2"/>
            <w:tcBorders>
              <w:top w:val="single" w:color="auto" w:sz="4" w:space="0"/>
              <w:bottom w:val="single" w:color="auto" w:sz="4" w:space="0"/>
              <w:right w:val="single" w:color="auto" w:sz="4" w:space="0"/>
            </w:tcBorders>
            <w:vAlign w:val="bottom"/>
          </w:tcPr>
          <w:p w:rsidRPr="00260518" w:rsidR="00464424" w:rsidP="00464424" w:rsidRDefault="00464424"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464424" w:rsidP="00464424" w:rsidRDefault="00464424"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464424" w:rsidP="00464424" w:rsidRDefault="00464424"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464424" w:rsidP="00464424" w:rsidRDefault="00464424"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464424" w:rsidP="00464424" w:rsidRDefault="00464424"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FD3D40" w:rsidTr="00DA3BB7" w14:paraId="72D15FF3" w14:textId="77777777">
        <w:trPr>
          <w:jc w:val="center"/>
        </w:trPr>
        <w:tc>
          <w:tcPr>
            <w:tcW w:w="1489" w:type="dxa"/>
          </w:tcPr>
          <w:p w:rsidR="00FD3D40" w:rsidP="00FD3D40" w:rsidRDefault="00FD3D40" w14:paraId="740CE63B" w14:textId="66DB47E8">
            <w:pPr>
              <w:spacing w:before="60" w:after="60"/>
              <w:rPr>
                <w:color w:val="000000"/>
              </w:rPr>
            </w:pPr>
            <w:r>
              <w:rPr>
                <w:color w:val="000000"/>
              </w:rPr>
              <w:t>Malinda Dickenson</w:t>
            </w:r>
          </w:p>
        </w:tc>
        <w:tc>
          <w:tcPr>
            <w:tcW w:w="821" w:type="dxa"/>
          </w:tcPr>
          <w:p w:rsidR="00FD3D40" w:rsidP="00FD3D40" w:rsidRDefault="00FD3D40" w14:paraId="2DE961D1" w14:textId="011A98D3">
            <w:pPr>
              <w:spacing w:before="60" w:after="60"/>
              <w:jc w:val="center"/>
              <w:rPr>
                <w:color w:val="000000"/>
              </w:rPr>
            </w:pPr>
            <w:r>
              <w:rPr>
                <w:color w:val="000000"/>
              </w:rPr>
              <w:t>2023</w:t>
            </w:r>
          </w:p>
        </w:tc>
        <w:tc>
          <w:tcPr>
            <w:tcW w:w="884" w:type="dxa"/>
            <w:gridSpan w:val="2"/>
          </w:tcPr>
          <w:p w:rsidRPr="007F620E" w:rsidR="00FD3D40" w:rsidP="00FD3D40" w:rsidRDefault="00FD3D40" w14:paraId="6D5A567B" w14:textId="275F16D1">
            <w:pPr>
              <w:spacing w:before="60" w:after="60"/>
              <w:jc w:val="center"/>
              <w:rPr>
                <w:color w:val="000000"/>
              </w:rPr>
            </w:pPr>
            <w:r>
              <w:rPr>
                <w:color w:val="000000"/>
              </w:rPr>
              <w:t>1.5</w:t>
            </w:r>
          </w:p>
        </w:tc>
        <w:tc>
          <w:tcPr>
            <w:tcW w:w="930" w:type="dxa"/>
          </w:tcPr>
          <w:p w:rsidR="00FD3D40" w:rsidP="00FD3D40" w:rsidRDefault="00FD3D40" w14:paraId="3DB4986E" w14:textId="52555FE2">
            <w:pPr>
              <w:spacing w:before="60" w:after="60"/>
              <w:rPr>
                <w:color w:val="000000"/>
              </w:rPr>
            </w:pPr>
            <w:r>
              <w:rPr>
                <w:color w:val="000000"/>
              </w:rPr>
              <w:t>$332.50</w:t>
            </w:r>
          </w:p>
        </w:tc>
        <w:tc>
          <w:tcPr>
            <w:tcW w:w="1721" w:type="dxa"/>
            <w:gridSpan w:val="2"/>
            <w:tcBorders>
              <w:right w:val="single" w:color="auto" w:sz="4" w:space="0"/>
            </w:tcBorders>
          </w:tcPr>
          <w:p w:rsidR="00FD3D40" w:rsidP="00FD3D40" w:rsidRDefault="00FD3D40" w14:paraId="54489597" w14:textId="3F10E889">
            <w:pPr>
              <w:spacing w:before="60" w:after="60"/>
              <w:rPr>
                <w:color w:val="000000"/>
              </w:rPr>
            </w:pPr>
            <w:r>
              <w:rPr>
                <w:color w:val="000000"/>
              </w:rPr>
              <w:t>½ hourly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7F9FB5B1" w14:textId="33A3E859">
            <w:pPr>
              <w:spacing w:before="60" w:after="60"/>
              <w:jc w:val="right"/>
              <w:rPr>
                <w:color w:val="000000"/>
              </w:rPr>
            </w:pPr>
            <w:r>
              <w:rPr>
                <w:color w:val="000000"/>
              </w:rPr>
              <w:t>$498.75</w:t>
            </w:r>
          </w:p>
        </w:tc>
        <w:tc>
          <w:tcPr>
            <w:tcW w:w="955" w:type="dxa"/>
            <w:tcBorders>
              <w:left w:val="single" w:color="auto" w:sz="4" w:space="0"/>
              <w:right w:val="single" w:color="auto" w:sz="4" w:space="0"/>
            </w:tcBorders>
          </w:tcPr>
          <w:p w:rsidRPr="007F620E" w:rsidR="00FD3D40" w:rsidP="00FD3D40" w:rsidRDefault="00FD3D40" w14:paraId="2D0A4076" w14:textId="0DFB3ACE">
            <w:pPr>
              <w:spacing w:before="60" w:after="60"/>
              <w:jc w:val="center"/>
              <w:rPr>
                <w:color w:val="000000"/>
              </w:rPr>
            </w:pPr>
            <w:r>
              <w:rPr>
                <w:color w:val="000000"/>
              </w:rPr>
              <w:t>1.50</w:t>
            </w:r>
          </w:p>
        </w:tc>
        <w:tc>
          <w:tcPr>
            <w:tcW w:w="1146" w:type="dxa"/>
            <w:tcBorders>
              <w:left w:val="single" w:color="auto" w:sz="4" w:space="0"/>
            </w:tcBorders>
          </w:tcPr>
          <w:p w:rsidRPr="007F620E" w:rsidR="00FD3D40" w:rsidP="00FD3D40" w:rsidRDefault="00FD3D40" w14:paraId="7D57BDC3" w14:textId="38D47E13">
            <w:pPr>
              <w:spacing w:before="60" w:after="60"/>
              <w:jc w:val="center"/>
              <w:rPr>
                <w:color w:val="000000"/>
              </w:rPr>
            </w:pPr>
            <w:r>
              <w:rPr>
                <w:color w:val="000000"/>
              </w:rPr>
              <w:t>$332.50 [1]</w:t>
            </w:r>
          </w:p>
        </w:tc>
        <w:tc>
          <w:tcPr>
            <w:tcW w:w="1881" w:type="dxa"/>
          </w:tcPr>
          <w:p w:rsidRPr="007F620E" w:rsidR="00FD3D40" w:rsidP="00FD3D40" w:rsidRDefault="00FD3D40" w14:paraId="2A17EC4F" w14:textId="368CEE06">
            <w:pPr>
              <w:spacing w:before="60" w:after="60"/>
              <w:jc w:val="right"/>
              <w:rPr>
                <w:color w:val="000000"/>
              </w:rPr>
            </w:pPr>
            <w:r w:rsidRPr="00ED5DEB">
              <w:t>$498.75</w:t>
            </w:r>
          </w:p>
        </w:tc>
      </w:tr>
      <w:tr w:rsidRPr="007F620E" w:rsidR="00FD3D40" w:rsidTr="00DA3BB7" w14:paraId="25086E67" w14:textId="77777777">
        <w:trPr>
          <w:jc w:val="center"/>
        </w:trPr>
        <w:tc>
          <w:tcPr>
            <w:tcW w:w="1489" w:type="dxa"/>
          </w:tcPr>
          <w:p w:rsidRPr="007F620E" w:rsidR="00FD3D40" w:rsidP="00FD3D40" w:rsidRDefault="00FD3D40" w14:paraId="386D0995" w14:textId="466A93C2">
            <w:pPr>
              <w:spacing w:before="60" w:after="60"/>
              <w:rPr>
                <w:color w:val="000000"/>
              </w:rPr>
            </w:pPr>
            <w:r>
              <w:rPr>
                <w:color w:val="000000"/>
              </w:rPr>
              <w:t>Andrea White</w:t>
            </w:r>
          </w:p>
        </w:tc>
        <w:tc>
          <w:tcPr>
            <w:tcW w:w="821" w:type="dxa"/>
          </w:tcPr>
          <w:p w:rsidRPr="007F620E" w:rsidR="00FD3D40" w:rsidP="00FD3D40" w:rsidRDefault="00FD3D40" w14:paraId="4A155F1D" w14:textId="35964004">
            <w:pPr>
              <w:spacing w:before="60" w:after="60"/>
              <w:jc w:val="center"/>
              <w:rPr>
                <w:color w:val="000000"/>
              </w:rPr>
            </w:pPr>
            <w:r>
              <w:rPr>
                <w:color w:val="000000"/>
              </w:rPr>
              <w:t>2025</w:t>
            </w:r>
          </w:p>
        </w:tc>
        <w:tc>
          <w:tcPr>
            <w:tcW w:w="884" w:type="dxa"/>
            <w:gridSpan w:val="2"/>
          </w:tcPr>
          <w:p w:rsidRPr="007F620E" w:rsidR="00FD3D40" w:rsidP="00FD3D40" w:rsidRDefault="00FD3D40" w14:paraId="30EEA80A" w14:textId="0C7BB88A">
            <w:pPr>
              <w:spacing w:before="60" w:after="60"/>
              <w:jc w:val="center"/>
              <w:rPr>
                <w:color w:val="000000"/>
              </w:rPr>
            </w:pPr>
            <w:r>
              <w:rPr>
                <w:color w:val="000000"/>
              </w:rPr>
              <w:t>15</w:t>
            </w:r>
          </w:p>
        </w:tc>
        <w:tc>
          <w:tcPr>
            <w:tcW w:w="930" w:type="dxa"/>
          </w:tcPr>
          <w:p w:rsidRPr="007F620E" w:rsidR="00FD3D40" w:rsidP="00FD3D40" w:rsidRDefault="00FD3D40" w14:paraId="4EB14C91" w14:textId="47C4709B">
            <w:pPr>
              <w:spacing w:before="60" w:after="60"/>
              <w:rPr>
                <w:color w:val="000000"/>
              </w:rPr>
            </w:pPr>
            <w:r>
              <w:rPr>
                <w:color w:val="000000"/>
              </w:rPr>
              <w:t xml:space="preserve">$145 </w:t>
            </w:r>
          </w:p>
        </w:tc>
        <w:tc>
          <w:tcPr>
            <w:tcW w:w="1721" w:type="dxa"/>
            <w:gridSpan w:val="2"/>
            <w:tcBorders>
              <w:right w:val="single" w:color="auto" w:sz="4" w:space="0"/>
            </w:tcBorders>
          </w:tcPr>
          <w:p w:rsidR="00FD3D40" w:rsidP="00FD3D40" w:rsidRDefault="00FD3D40" w14:paraId="0064299D" w14:textId="77777777">
            <w:pPr>
              <w:spacing w:before="60" w:after="60"/>
              <w:rPr>
                <w:color w:val="000000"/>
              </w:rPr>
            </w:pPr>
            <w:r>
              <w:rPr>
                <w:color w:val="000000"/>
              </w:rPr>
              <w:t>½ of hourly rate (Approved 2024 rate of $</w:t>
            </w:r>
            <w:r w:rsidRPr="00227D56">
              <w:rPr>
                <w:color w:val="000000"/>
              </w:rPr>
              <w:t>265</w:t>
            </w:r>
            <w:r>
              <w:rPr>
                <w:color w:val="000000"/>
              </w:rPr>
              <w:t xml:space="preserve"> </w:t>
            </w:r>
            <w:r w:rsidRPr="00227D56">
              <w:rPr>
                <w:color w:val="000000"/>
              </w:rPr>
              <w:t>*</w:t>
            </w:r>
            <w:r>
              <w:rPr>
                <w:color w:val="000000"/>
              </w:rPr>
              <w:t xml:space="preserve">CPUC escalation of </w:t>
            </w:r>
            <w:r w:rsidRPr="00227D56">
              <w:rPr>
                <w:color w:val="000000"/>
              </w:rPr>
              <w:lastRenderedPageBreak/>
              <w:t>1.0346</w:t>
            </w:r>
            <w:r>
              <w:rPr>
                <w:color w:val="000000"/>
              </w:rPr>
              <w:t xml:space="preserve"> for 2025 </w:t>
            </w:r>
            <w:r w:rsidRPr="00227D56">
              <w:rPr>
                <w:color w:val="000000"/>
              </w:rPr>
              <w:t>=$275</w:t>
            </w:r>
            <w:r>
              <w:rPr>
                <w:color w:val="000000"/>
              </w:rPr>
              <w:t xml:space="preserve"> </w:t>
            </w:r>
          </w:p>
          <w:p w:rsidRPr="007F620E" w:rsidR="00FD3D40" w:rsidP="00FD3D40" w:rsidRDefault="00FD3D40" w14:paraId="02D334B7" w14:textId="6473765B">
            <w:pPr>
              <w:spacing w:before="60" w:after="60"/>
              <w:rPr>
                <w:color w:val="000000"/>
              </w:rPr>
            </w:pPr>
            <w:r>
              <w:rPr>
                <w:color w:val="000000"/>
              </w:rPr>
              <w:t>+ step increase =$290)</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7B9A0261" w14:textId="4822F451">
            <w:pPr>
              <w:spacing w:before="60" w:after="60"/>
              <w:jc w:val="right"/>
              <w:rPr>
                <w:color w:val="000000"/>
              </w:rPr>
            </w:pPr>
            <w:r>
              <w:rPr>
                <w:color w:val="000000"/>
              </w:rPr>
              <w:lastRenderedPageBreak/>
              <w:t>$2,175.00</w:t>
            </w:r>
          </w:p>
        </w:tc>
        <w:tc>
          <w:tcPr>
            <w:tcW w:w="955" w:type="dxa"/>
            <w:tcBorders>
              <w:left w:val="single" w:color="auto" w:sz="4" w:space="0"/>
              <w:right w:val="single" w:color="auto" w:sz="4" w:space="0"/>
            </w:tcBorders>
          </w:tcPr>
          <w:p w:rsidRPr="007F620E" w:rsidR="00FD3D40" w:rsidP="00FD3D40" w:rsidRDefault="00FD3D40" w14:paraId="5E5A4264" w14:textId="647AAC45">
            <w:pPr>
              <w:spacing w:before="60" w:after="60"/>
              <w:jc w:val="center"/>
              <w:rPr>
                <w:color w:val="000000"/>
              </w:rPr>
            </w:pPr>
            <w:r>
              <w:rPr>
                <w:color w:val="000000"/>
              </w:rPr>
              <w:t>15.00</w:t>
            </w:r>
          </w:p>
        </w:tc>
        <w:tc>
          <w:tcPr>
            <w:tcW w:w="1146" w:type="dxa"/>
            <w:tcBorders>
              <w:left w:val="single" w:color="auto" w:sz="4" w:space="0"/>
            </w:tcBorders>
          </w:tcPr>
          <w:p w:rsidRPr="007F620E" w:rsidR="00FD3D40" w:rsidP="00FD3D40" w:rsidRDefault="00FD3D40" w14:paraId="47B1F089" w14:textId="223D2C54">
            <w:pPr>
              <w:spacing w:before="60" w:after="60"/>
              <w:jc w:val="center"/>
              <w:rPr>
                <w:color w:val="000000"/>
              </w:rPr>
            </w:pPr>
            <w:r>
              <w:rPr>
                <w:color w:val="000000"/>
              </w:rPr>
              <w:t>$142.50 [5]</w:t>
            </w:r>
          </w:p>
        </w:tc>
        <w:tc>
          <w:tcPr>
            <w:tcW w:w="1881" w:type="dxa"/>
          </w:tcPr>
          <w:p w:rsidRPr="007F620E" w:rsidR="00FD3D40" w:rsidP="00FD3D40" w:rsidRDefault="00FD3D40" w14:paraId="10659B6D" w14:textId="6C95A7BA">
            <w:pPr>
              <w:spacing w:before="60" w:after="60"/>
              <w:jc w:val="right"/>
              <w:rPr>
                <w:color w:val="000000"/>
              </w:rPr>
            </w:pPr>
            <w:r w:rsidRPr="00ED5DEB">
              <w:t>$2,137.50</w:t>
            </w:r>
          </w:p>
        </w:tc>
      </w:tr>
      <w:tr w:rsidRPr="007F620E" w:rsidR="00FD3D40" w:rsidTr="00DA3BB7" w14:paraId="7AB9EF54" w14:textId="77777777">
        <w:trPr>
          <w:jc w:val="center"/>
        </w:trPr>
        <w:tc>
          <w:tcPr>
            <w:tcW w:w="1489" w:type="dxa"/>
          </w:tcPr>
          <w:p w:rsidRPr="007F620E" w:rsidR="00FD3D40" w:rsidP="00FD3D40" w:rsidRDefault="00FD3D40" w14:paraId="4F803C09" w14:textId="36E6A709">
            <w:pPr>
              <w:spacing w:before="60" w:after="60"/>
              <w:rPr>
                <w:color w:val="000000"/>
              </w:rPr>
            </w:pPr>
            <w:r>
              <w:rPr>
                <w:color w:val="000000"/>
              </w:rPr>
              <w:t>Malinda Dickenson</w:t>
            </w:r>
          </w:p>
        </w:tc>
        <w:tc>
          <w:tcPr>
            <w:tcW w:w="821" w:type="dxa"/>
          </w:tcPr>
          <w:p w:rsidRPr="007F620E" w:rsidR="00FD3D40" w:rsidP="00FD3D40" w:rsidRDefault="00FD3D40" w14:paraId="058BFE37" w14:textId="36F447F9">
            <w:pPr>
              <w:spacing w:before="60" w:after="60"/>
              <w:jc w:val="center"/>
              <w:rPr>
                <w:color w:val="000000"/>
              </w:rPr>
            </w:pPr>
            <w:r>
              <w:rPr>
                <w:color w:val="000000"/>
              </w:rPr>
              <w:t>2025</w:t>
            </w:r>
          </w:p>
        </w:tc>
        <w:tc>
          <w:tcPr>
            <w:tcW w:w="884" w:type="dxa"/>
            <w:gridSpan w:val="2"/>
          </w:tcPr>
          <w:p w:rsidRPr="007F620E" w:rsidR="00FD3D40" w:rsidP="00FD3D40" w:rsidRDefault="00FD3D40" w14:paraId="66A42865" w14:textId="01633112">
            <w:pPr>
              <w:spacing w:before="60" w:after="60"/>
              <w:jc w:val="center"/>
              <w:rPr>
                <w:color w:val="000000"/>
              </w:rPr>
            </w:pPr>
            <w:r>
              <w:rPr>
                <w:color w:val="000000"/>
              </w:rPr>
              <w:t>5</w:t>
            </w:r>
          </w:p>
        </w:tc>
        <w:tc>
          <w:tcPr>
            <w:tcW w:w="930" w:type="dxa"/>
          </w:tcPr>
          <w:p w:rsidRPr="007F620E" w:rsidR="00FD3D40" w:rsidP="00FD3D40" w:rsidRDefault="00FD3D40" w14:paraId="42AE8F2C" w14:textId="3CE11DB4">
            <w:pPr>
              <w:spacing w:before="60" w:after="60"/>
              <w:rPr>
                <w:color w:val="000000"/>
              </w:rPr>
            </w:pPr>
            <w:r>
              <w:rPr>
                <w:color w:val="000000"/>
              </w:rPr>
              <w:t>$362.5</w:t>
            </w:r>
          </w:p>
        </w:tc>
        <w:tc>
          <w:tcPr>
            <w:tcW w:w="1721" w:type="dxa"/>
            <w:gridSpan w:val="2"/>
            <w:tcBorders>
              <w:right w:val="single" w:color="auto" w:sz="4" w:space="0"/>
            </w:tcBorders>
          </w:tcPr>
          <w:p w:rsidRPr="007F620E" w:rsidR="00FD3D40" w:rsidP="00FD3D40" w:rsidRDefault="00FD3D40" w14:paraId="3DB754B7" w14:textId="0BC35C75">
            <w:pPr>
              <w:spacing w:before="60" w:after="60"/>
              <w:rPr>
                <w:color w:val="000000"/>
              </w:rPr>
            </w:pPr>
            <w:r>
              <w:rPr>
                <w:color w:val="000000"/>
              </w:rPr>
              <w:t>½ hourly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D3D40" w:rsidP="00FD3D40" w:rsidRDefault="00FD3D40" w14:paraId="3D39C021" w14:textId="0DB7E99F">
            <w:pPr>
              <w:spacing w:before="60" w:after="60"/>
              <w:jc w:val="right"/>
              <w:rPr>
                <w:color w:val="000000"/>
              </w:rPr>
            </w:pPr>
            <w:r>
              <w:rPr>
                <w:color w:val="000000"/>
              </w:rPr>
              <w:t>$1,812.50</w:t>
            </w:r>
          </w:p>
        </w:tc>
        <w:tc>
          <w:tcPr>
            <w:tcW w:w="955" w:type="dxa"/>
            <w:tcBorders>
              <w:left w:val="single" w:color="auto" w:sz="4" w:space="0"/>
              <w:right w:val="single" w:color="auto" w:sz="4" w:space="0"/>
            </w:tcBorders>
          </w:tcPr>
          <w:p w:rsidRPr="007F620E" w:rsidR="00FD3D40" w:rsidP="00FD3D40" w:rsidRDefault="00FD3D40" w14:paraId="6B8C8F0C" w14:textId="5C35E3BF">
            <w:pPr>
              <w:spacing w:before="60" w:after="60"/>
              <w:jc w:val="center"/>
              <w:rPr>
                <w:color w:val="000000"/>
              </w:rPr>
            </w:pPr>
            <w:r>
              <w:rPr>
                <w:color w:val="000000"/>
              </w:rPr>
              <w:t>5.00</w:t>
            </w:r>
          </w:p>
        </w:tc>
        <w:tc>
          <w:tcPr>
            <w:tcW w:w="1146" w:type="dxa"/>
            <w:tcBorders>
              <w:left w:val="single" w:color="auto" w:sz="4" w:space="0"/>
            </w:tcBorders>
          </w:tcPr>
          <w:p w:rsidRPr="007F620E" w:rsidR="00FD3D40" w:rsidP="00FD3D40" w:rsidRDefault="00FD3D40" w14:paraId="0A58B021" w14:textId="41CE429A">
            <w:pPr>
              <w:spacing w:before="60" w:after="60"/>
              <w:jc w:val="center"/>
              <w:rPr>
                <w:color w:val="000000"/>
              </w:rPr>
            </w:pPr>
            <w:r>
              <w:rPr>
                <w:color w:val="000000"/>
              </w:rPr>
              <w:t>$375.00 [2]</w:t>
            </w:r>
          </w:p>
        </w:tc>
        <w:tc>
          <w:tcPr>
            <w:tcW w:w="1881" w:type="dxa"/>
          </w:tcPr>
          <w:p w:rsidRPr="007F620E" w:rsidR="00FD3D40" w:rsidP="00FD3D40" w:rsidRDefault="00FD3D40" w14:paraId="0769A3B4" w14:textId="5E47FDF0">
            <w:pPr>
              <w:spacing w:before="60" w:after="60"/>
              <w:jc w:val="right"/>
              <w:rPr>
                <w:color w:val="000000"/>
              </w:rPr>
            </w:pPr>
            <w:r w:rsidRPr="00ED5DEB">
              <w:t>$1,875.00</w:t>
            </w:r>
          </w:p>
        </w:tc>
      </w:tr>
      <w:tr w:rsidRPr="007F620E" w:rsidR="00464424"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464424" w:rsidP="00464424" w:rsidRDefault="00464424" w14:paraId="4A1F5988" w14:textId="66E5150A">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A14A27">
              <w:rPr>
                <w:b/>
                <w:i/>
                <w:color w:val="000000"/>
              </w:rPr>
              <w:t>4,486.25</w:t>
            </w:r>
          </w:p>
        </w:tc>
        <w:tc>
          <w:tcPr>
            <w:tcW w:w="3982" w:type="dxa"/>
            <w:gridSpan w:val="3"/>
            <w:tcBorders>
              <w:left w:val="single" w:color="auto" w:sz="24" w:space="0"/>
              <w:bottom w:val="single" w:color="auto" w:sz="4" w:space="0"/>
            </w:tcBorders>
            <w:vAlign w:val="bottom"/>
          </w:tcPr>
          <w:p w:rsidRPr="00374FD1" w:rsidR="00464424" w:rsidP="00464424" w:rsidRDefault="00464424" w14:paraId="2FBAA587" w14:textId="61BA8C81">
            <w:pPr>
              <w:tabs>
                <w:tab w:val="left" w:pos="957"/>
              </w:tabs>
              <w:spacing w:before="60" w:after="60"/>
              <w:ind w:right="162"/>
              <w:jc w:val="right"/>
              <w:rPr>
                <w:b/>
                <w:i/>
                <w:color w:val="000000"/>
              </w:rPr>
            </w:pPr>
            <w:r w:rsidRPr="007F620E">
              <w:rPr>
                <w:b/>
                <w:i/>
                <w:color w:val="000000"/>
              </w:rPr>
              <w:t xml:space="preserve">Subtotal: </w:t>
            </w:r>
            <w:r w:rsidRPr="00287A63" w:rsidR="00287A63">
              <w:rPr>
                <w:b/>
                <w:i/>
                <w:color w:val="000000"/>
              </w:rPr>
              <w:t>$4,511.25</w:t>
            </w:r>
          </w:p>
        </w:tc>
      </w:tr>
      <w:tr w:rsidRPr="007F620E" w:rsidR="00464424"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464424" w:rsidP="00464424" w:rsidRDefault="00464424" w14:paraId="11B3B704" w14:textId="66822D8E">
            <w:pPr>
              <w:tabs>
                <w:tab w:val="left" w:pos="957"/>
              </w:tabs>
              <w:spacing w:before="60" w:after="60"/>
              <w:ind w:right="72"/>
              <w:jc w:val="right"/>
              <w:rPr>
                <w:b/>
                <w:color w:val="000000"/>
              </w:rPr>
            </w:pPr>
            <w:r w:rsidRPr="00374FD1">
              <w:rPr>
                <w:b/>
                <w:i/>
                <w:color w:val="000000"/>
              </w:rPr>
              <w:t>TOTAL REQUEST: $</w:t>
            </w:r>
            <w:r w:rsidR="00665D1F">
              <w:rPr>
                <w:b/>
                <w:i/>
                <w:color w:val="000000"/>
              </w:rPr>
              <w:t>182,820.75</w:t>
            </w:r>
          </w:p>
        </w:tc>
        <w:tc>
          <w:tcPr>
            <w:tcW w:w="3982" w:type="dxa"/>
            <w:gridSpan w:val="3"/>
            <w:tcBorders>
              <w:left w:val="single" w:color="auto" w:sz="24" w:space="0"/>
            </w:tcBorders>
            <w:shd w:val="clear" w:color="auto" w:fill="E6E6E6"/>
            <w:vAlign w:val="bottom"/>
          </w:tcPr>
          <w:p w:rsidRPr="00FE3BAE" w:rsidR="00464424" w:rsidP="00464424" w:rsidRDefault="00464424" w14:paraId="3680D139" w14:textId="5743546A">
            <w:pPr>
              <w:tabs>
                <w:tab w:val="left" w:pos="957"/>
              </w:tabs>
              <w:spacing w:before="60" w:after="60"/>
              <w:ind w:right="72"/>
              <w:jc w:val="right"/>
              <w:rPr>
                <w:b/>
                <w:color w:val="000000"/>
              </w:rPr>
            </w:pPr>
            <w:r w:rsidRPr="00374FD1">
              <w:rPr>
                <w:b/>
                <w:i/>
                <w:color w:val="000000"/>
              </w:rPr>
              <w:t xml:space="preserve">TOTAL AWARD: </w:t>
            </w:r>
            <w:r w:rsidRPr="00287A63" w:rsidR="00287A63">
              <w:rPr>
                <w:b/>
                <w:i/>
                <w:color w:val="000000"/>
              </w:rPr>
              <w:t>$169,290.00</w:t>
            </w:r>
          </w:p>
        </w:tc>
      </w:tr>
      <w:tr w:rsidRPr="007F620E" w:rsidR="00464424" w:rsidTr="00EC6387" w14:paraId="6A909BC1" w14:textId="77777777">
        <w:trPr>
          <w:jc w:val="center"/>
        </w:trPr>
        <w:tc>
          <w:tcPr>
            <w:tcW w:w="11160" w:type="dxa"/>
            <w:gridSpan w:val="12"/>
            <w:tcBorders>
              <w:top w:val="single" w:color="auto" w:sz="4" w:space="0"/>
              <w:bottom w:val="single" w:color="auto" w:sz="4" w:space="0"/>
            </w:tcBorders>
          </w:tcPr>
          <w:p w:rsidRPr="007F620E" w:rsidR="00464424" w:rsidP="00464424" w:rsidRDefault="00464424"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464424" w:rsidP="00464424" w:rsidRDefault="00464424"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464424"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464424" w:rsidP="00464424" w:rsidRDefault="00464424" w14:paraId="48B43CBD" w14:textId="77777777">
            <w:pPr>
              <w:keepNext/>
              <w:spacing w:before="60" w:after="60"/>
              <w:jc w:val="center"/>
              <w:rPr>
                <w:b/>
                <w:smallCaps/>
                <w:color w:val="000000"/>
              </w:rPr>
            </w:pPr>
            <w:r w:rsidRPr="007F620E">
              <w:rPr>
                <w:b/>
                <w:smallCaps/>
                <w:color w:val="000000"/>
              </w:rPr>
              <w:t>ATTORNEY INFORMATION</w:t>
            </w:r>
          </w:p>
        </w:tc>
      </w:tr>
      <w:tr w:rsidRPr="00C16981" w:rsidR="00464424"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464424" w:rsidP="00464424" w:rsidRDefault="00464424"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464424" w:rsidP="00464424" w:rsidRDefault="00464424"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10"/>
            </w:r>
          </w:p>
        </w:tc>
        <w:tc>
          <w:tcPr>
            <w:tcW w:w="2291" w:type="dxa"/>
            <w:gridSpan w:val="2"/>
            <w:tcBorders>
              <w:top w:val="single" w:color="auto" w:sz="4" w:space="0"/>
              <w:bottom w:val="single" w:color="auto" w:sz="4" w:space="0"/>
            </w:tcBorders>
            <w:shd w:val="clear" w:color="auto" w:fill="FFFFFF"/>
            <w:vAlign w:val="bottom"/>
          </w:tcPr>
          <w:p w:rsidRPr="00C16981" w:rsidR="00464424" w:rsidP="00464424" w:rsidRDefault="00464424"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464424" w:rsidP="00464424" w:rsidRDefault="00464424" w14:paraId="496B5DC1" w14:textId="77777777">
            <w:pPr>
              <w:keepNext/>
              <w:keepLines/>
              <w:spacing w:before="60" w:after="60"/>
              <w:jc w:val="center"/>
              <w:rPr>
                <w:b/>
                <w:sz w:val="22"/>
                <w:szCs w:val="22"/>
              </w:rPr>
            </w:pPr>
            <w:r w:rsidRPr="00C16981">
              <w:rPr>
                <w:b/>
                <w:sz w:val="22"/>
                <w:szCs w:val="22"/>
              </w:rPr>
              <w:t>Actions Affecting Eligibility (Yes/No?)</w:t>
            </w:r>
          </w:p>
          <w:p w:rsidRPr="00C16981" w:rsidR="00464424" w:rsidP="00464424" w:rsidRDefault="00464424"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0050DE" w:rsidTr="00131BBE" w14:paraId="4DC5EE9B" w14:textId="77777777">
        <w:trPr>
          <w:trHeight w:val="172"/>
          <w:jc w:val="center"/>
        </w:trPr>
        <w:tc>
          <w:tcPr>
            <w:tcW w:w="2692" w:type="dxa"/>
            <w:gridSpan w:val="3"/>
            <w:tcBorders>
              <w:top w:val="single" w:color="auto" w:sz="4" w:space="0"/>
              <w:bottom w:val="single" w:color="auto" w:sz="4" w:space="0"/>
            </w:tcBorders>
          </w:tcPr>
          <w:p w:rsidRPr="007F620E" w:rsidR="000050DE" w:rsidP="000050DE" w:rsidRDefault="000050DE" w14:paraId="7266B7BF" w14:textId="69894A9F">
            <w:pPr>
              <w:keepLines/>
              <w:spacing w:before="60" w:after="60"/>
              <w:jc w:val="center"/>
              <w:rPr>
                <w:color w:val="000000"/>
              </w:rPr>
            </w:pPr>
            <w:r w:rsidRPr="00227D56">
              <w:rPr>
                <w:color w:val="000000"/>
              </w:rPr>
              <w:t>Malinda Dickenson</w:t>
            </w:r>
          </w:p>
        </w:tc>
        <w:tc>
          <w:tcPr>
            <w:tcW w:w="1909" w:type="dxa"/>
            <w:gridSpan w:val="3"/>
            <w:tcBorders>
              <w:top w:val="single" w:color="auto" w:sz="4" w:space="0"/>
              <w:bottom w:val="single" w:color="auto" w:sz="4" w:space="0"/>
            </w:tcBorders>
          </w:tcPr>
          <w:p w:rsidRPr="007F620E" w:rsidR="000050DE" w:rsidP="000050DE" w:rsidRDefault="000050DE" w14:paraId="69A41F15" w14:textId="5300AE19">
            <w:pPr>
              <w:keepLines/>
              <w:spacing w:before="60" w:after="60"/>
              <w:jc w:val="center"/>
              <w:rPr>
                <w:color w:val="000000"/>
              </w:rPr>
            </w:pPr>
            <w:r w:rsidRPr="00227D56">
              <w:rPr>
                <w:color w:val="000000"/>
              </w:rPr>
              <w:t>12/4/2002</w:t>
            </w:r>
          </w:p>
        </w:tc>
        <w:tc>
          <w:tcPr>
            <w:tcW w:w="2291" w:type="dxa"/>
            <w:gridSpan w:val="2"/>
            <w:tcBorders>
              <w:top w:val="single" w:color="auto" w:sz="4" w:space="0"/>
              <w:bottom w:val="single" w:color="auto" w:sz="4" w:space="0"/>
            </w:tcBorders>
          </w:tcPr>
          <w:p w:rsidRPr="007F620E" w:rsidR="000050DE" w:rsidP="000050DE" w:rsidRDefault="000050DE" w14:paraId="58495CD7" w14:textId="5C23C3FB">
            <w:pPr>
              <w:keepLines/>
              <w:spacing w:before="60" w:after="60"/>
              <w:jc w:val="center"/>
              <w:rPr>
                <w:color w:val="000000"/>
              </w:rPr>
            </w:pPr>
            <w:r w:rsidRPr="00227D56">
              <w:rPr>
                <w:color w:val="000000"/>
              </w:rPr>
              <w:t>222564</w:t>
            </w:r>
          </w:p>
        </w:tc>
        <w:tc>
          <w:tcPr>
            <w:tcW w:w="4268" w:type="dxa"/>
            <w:gridSpan w:val="4"/>
            <w:tcBorders>
              <w:top w:val="single" w:color="auto" w:sz="4" w:space="0"/>
              <w:bottom w:val="single" w:color="auto" w:sz="4" w:space="0"/>
            </w:tcBorders>
          </w:tcPr>
          <w:p w:rsidRPr="007F620E" w:rsidR="000050DE" w:rsidP="000050DE" w:rsidRDefault="000050DE" w14:paraId="117B99BF" w14:textId="63225849">
            <w:pPr>
              <w:keepLines/>
              <w:spacing w:before="60" w:after="60"/>
              <w:jc w:val="center"/>
              <w:rPr>
                <w:color w:val="000000"/>
              </w:rPr>
            </w:pPr>
            <w:r w:rsidRPr="00227D56">
              <w:rPr>
                <w:color w:val="000000"/>
              </w:rPr>
              <w:t>No</w:t>
            </w:r>
          </w:p>
        </w:tc>
      </w:tr>
      <w:tr w:rsidRPr="007F620E" w:rsidR="00A8130D" w:rsidTr="00131BBE" w14:paraId="4378BD9A" w14:textId="77777777">
        <w:trPr>
          <w:trHeight w:val="172"/>
          <w:jc w:val="center"/>
        </w:trPr>
        <w:tc>
          <w:tcPr>
            <w:tcW w:w="2692" w:type="dxa"/>
            <w:gridSpan w:val="3"/>
            <w:tcBorders>
              <w:top w:val="single" w:color="auto" w:sz="4" w:space="0"/>
              <w:bottom w:val="single" w:color="auto" w:sz="4" w:space="0"/>
            </w:tcBorders>
          </w:tcPr>
          <w:p w:rsidRPr="00227D56" w:rsidR="00A8130D" w:rsidP="000050DE" w:rsidRDefault="00A8130D" w14:paraId="73BF6EC4" w14:textId="725F56F4">
            <w:pPr>
              <w:spacing w:before="60" w:after="60"/>
              <w:jc w:val="center"/>
              <w:rPr>
                <w:color w:val="000000"/>
              </w:rPr>
            </w:pPr>
            <w:r>
              <w:rPr>
                <w:color w:val="000000"/>
              </w:rPr>
              <w:t>Jonathan Webster</w:t>
            </w:r>
          </w:p>
        </w:tc>
        <w:tc>
          <w:tcPr>
            <w:tcW w:w="1909" w:type="dxa"/>
            <w:gridSpan w:val="3"/>
            <w:tcBorders>
              <w:top w:val="single" w:color="auto" w:sz="4" w:space="0"/>
              <w:bottom w:val="single" w:color="auto" w:sz="4" w:space="0"/>
            </w:tcBorders>
          </w:tcPr>
          <w:p w:rsidRPr="00227D56" w:rsidR="00A8130D" w:rsidP="000050DE" w:rsidRDefault="00A8130D" w14:paraId="120944D9" w14:textId="1B32FF24">
            <w:pPr>
              <w:spacing w:before="60" w:after="60"/>
              <w:jc w:val="center"/>
              <w:rPr>
                <w:color w:val="000000"/>
              </w:rPr>
            </w:pPr>
            <w:r>
              <w:rPr>
                <w:color w:val="000000"/>
              </w:rPr>
              <w:t>12/5/2024</w:t>
            </w:r>
            <w:r w:rsidR="003C30C6">
              <w:rPr>
                <w:rStyle w:val="FootnoteReference"/>
                <w:color w:val="000000"/>
              </w:rPr>
              <w:footnoteReference w:id="11"/>
            </w:r>
          </w:p>
        </w:tc>
        <w:tc>
          <w:tcPr>
            <w:tcW w:w="2291" w:type="dxa"/>
            <w:gridSpan w:val="2"/>
            <w:tcBorders>
              <w:top w:val="single" w:color="auto" w:sz="4" w:space="0"/>
              <w:bottom w:val="single" w:color="auto" w:sz="4" w:space="0"/>
            </w:tcBorders>
          </w:tcPr>
          <w:p w:rsidRPr="00227D56" w:rsidR="00A8130D" w:rsidP="000050DE" w:rsidRDefault="00A8130D" w14:paraId="08A30530" w14:textId="213C305B">
            <w:pPr>
              <w:spacing w:before="60" w:after="60"/>
              <w:jc w:val="center"/>
              <w:rPr>
                <w:color w:val="000000"/>
              </w:rPr>
            </w:pPr>
            <w:r>
              <w:rPr>
                <w:color w:val="000000"/>
              </w:rPr>
              <w:t>351823</w:t>
            </w:r>
          </w:p>
        </w:tc>
        <w:tc>
          <w:tcPr>
            <w:tcW w:w="4268" w:type="dxa"/>
            <w:gridSpan w:val="4"/>
            <w:tcBorders>
              <w:top w:val="single" w:color="auto" w:sz="4" w:space="0"/>
              <w:bottom w:val="single" w:color="auto" w:sz="4" w:space="0"/>
            </w:tcBorders>
          </w:tcPr>
          <w:p w:rsidRPr="00227D56" w:rsidR="00A8130D" w:rsidP="000050DE" w:rsidRDefault="00A8130D" w14:paraId="710AB96F" w14:textId="38C2D26B">
            <w:pPr>
              <w:spacing w:before="60" w:after="60"/>
              <w:jc w:val="center"/>
              <w:rPr>
                <w:color w:val="000000"/>
              </w:rPr>
            </w:pPr>
            <w:r>
              <w:rPr>
                <w:color w:val="000000"/>
              </w:rPr>
              <w:t>No</w:t>
            </w:r>
          </w:p>
        </w:tc>
      </w:tr>
      <w:tr w:rsidRPr="007F620E" w:rsidR="000050DE" w:rsidTr="00131BBE" w14:paraId="5D036E2E" w14:textId="77777777">
        <w:trPr>
          <w:trHeight w:val="172"/>
          <w:jc w:val="center"/>
        </w:trPr>
        <w:tc>
          <w:tcPr>
            <w:tcW w:w="2692" w:type="dxa"/>
            <w:gridSpan w:val="3"/>
            <w:tcBorders>
              <w:top w:val="single" w:color="auto" w:sz="4" w:space="0"/>
              <w:bottom w:val="single" w:color="auto" w:sz="4" w:space="0"/>
            </w:tcBorders>
          </w:tcPr>
          <w:p w:rsidRPr="007F620E" w:rsidR="000050DE" w:rsidP="000050DE" w:rsidRDefault="000050DE" w14:paraId="3D5F8F51" w14:textId="5786E89B">
            <w:pPr>
              <w:spacing w:before="60" w:after="60"/>
              <w:jc w:val="center"/>
              <w:rPr>
                <w:color w:val="000000"/>
              </w:rPr>
            </w:pPr>
            <w:r w:rsidRPr="00227D56">
              <w:rPr>
                <w:color w:val="000000"/>
              </w:rPr>
              <w:t>Andrea White</w:t>
            </w:r>
          </w:p>
        </w:tc>
        <w:tc>
          <w:tcPr>
            <w:tcW w:w="1909" w:type="dxa"/>
            <w:gridSpan w:val="3"/>
            <w:tcBorders>
              <w:top w:val="single" w:color="auto" w:sz="4" w:space="0"/>
              <w:bottom w:val="single" w:color="auto" w:sz="4" w:space="0"/>
            </w:tcBorders>
          </w:tcPr>
          <w:p w:rsidRPr="007F620E" w:rsidR="000050DE" w:rsidP="000050DE" w:rsidRDefault="000050DE" w14:paraId="1609FC8E" w14:textId="6D965D7E">
            <w:pPr>
              <w:spacing w:before="60" w:after="60"/>
              <w:jc w:val="center"/>
              <w:rPr>
                <w:color w:val="000000"/>
              </w:rPr>
            </w:pPr>
            <w:r w:rsidRPr="00227D56">
              <w:rPr>
                <w:color w:val="000000"/>
              </w:rPr>
              <w:t>12/5/202</w:t>
            </w:r>
            <w:r>
              <w:rPr>
                <w:color w:val="000000"/>
              </w:rPr>
              <w:t>3</w:t>
            </w:r>
          </w:p>
        </w:tc>
        <w:tc>
          <w:tcPr>
            <w:tcW w:w="2291" w:type="dxa"/>
            <w:gridSpan w:val="2"/>
            <w:tcBorders>
              <w:top w:val="single" w:color="auto" w:sz="4" w:space="0"/>
              <w:bottom w:val="single" w:color="auto" w:sz="4" w:space="0"/>
            </w:tcBorders>
          </w:tcPr>
          <w:p w:rsidRPr="007F620E" w:rsidR="000050DE" w:rsidP="000050DE" w:rsidRDefault="000050DE" w14:paraId="182A9D2B" w14:textId="3C8DAD26">
            <w:pPr>
              <w:spacing w:before="60" w:after="60"/>
              <w:jc w:val="center"/>
              <w:rPr>
                <w:color w:val="000000"/>
              </w:rPr>
            </w:pPr>
            <w:r w:rsidRPr="00227D56">
              <w:rPr>
                <w:color w:val="000000"/>
              </w:rPr>
              <w:t>351824</w:t>
            </w:r>
          </w:p>
        </w:tc>
        <w:tc>
          <w:tcPr>
            <w:tcW w:w="4268" w:type="dxa"/>
            <w:gridSpan w:val="4"/>
            <w:tcBorders>
              <w:top w:val="single" w:color="auto" w:sz="4" w:space="0"/>
              <w:bottom w:val="single" w:color="auto" w:sz="4" w:space="0"/>
            </w:tcBorders>
          </w:tcPr>
          <w:p w:rsidRPr="007F620E" w:rsidR="000050DE" w:rsidP="000050DE" w:rsidRDefault="000050DE" w14:paraId="35DC3C56" w14:textId="223866BE">
            <w:pPr>
              <w:spacing w:before="60" w:after="60"/>
              <w:jc w:val="center"/>
              <w:rPr>
                <w:color w:val="000000"/>
              </w:rPr>
            </w:pPr>
            <w:r w:rsidRPr="00227D56">
              <w:rPr>
                <w:color w:val="000000"/>
              </w:rPr>
              <w:t>No</w:t>
            </w:r>
          </w:p>
        </w:tc>
      </w:tr>
      <w:tr w:rsidRPr="007F620E" w:rsidR="000050DE" w:rsidTr="00131BBE" w14:paraId="6C5C50E2" w14:textId="77777777">
        <w:trPr>
          <w:trHeight w:val="172"/>
          <w:jc w:val="center"/>
        </w:trPr>
        <w:tc>
          <w:tcPr>
            <w:tcW w:w="2692" w:type="dxa"/>
            <w:gridSpan w:val="3"/>
            <w:tcBorders>
              <w:top w:val="single" w:color="auto" w:sz="4" w:space="0"/>
              <w:bottom w:val="single" w:color="auto" w:sz="4" w:space="0"/>
            </w:tcBorders>
          </w:tcPr>
          <w:p w:rsidR="000050DE" w:rsidP="000050DE" w:rsidRDefault="000050DE" w14:paraId="3B9D2CDA" w14:textId="68CA5BFD">
            <w:pPr>
              <w:spacing w:before="60" w:after="60"/>
              <w:jc w:val="center"/>
              <w:rPr>
                <w:color w:val="000000"/>
              </w:rPr>
            </w:pPr>
            <w:r>
              <w:rPr>
                <w:color w:val="000000"/>
              </w:rPr>
              <w:t>Loretta Lynch</w:t>
            </w:r>
          </w:p>
        </w:tc>
        <w:tc>
          <w:tcPr>
            <w:tcW w:w="1909" w:type="dxa"/>
            <w:gridSpan w:val="3"/>
            <w:tcBorders>
              <w:top w:val="single" w:color="auto" w:sz="4" w:space="0"/>
              <w:bottom w:val="single" w:color="auto" w:sz="4" w:space="0"/>
            </w:tcBorders>
          </w:tcPr>
          <w:p w:rsidRPr="007F620E" w:rsidR="000050DE" w:rsidP="000050DE" w:rsidRDefault="000050DE" w14:paraId="17CE8409" w14:textId="3637F85D">
            <w:pPr>
              <w:spacing w:before="60" w:after="60"/>
              <w:jc w:val="center"/>
              <w:rPr>
                <w:color w:val="000000"/>
              </w:rPr>
            </w:pPr>
            <w:r>
              <w:rPr>
                <w:color w:val="000000"/>
              </w:rPr>
              <w:t>12/14/1990</w:t>
            </w:r>
          </w:p>
        </w:tc>
        <w:tc>
          <w:tcPr>
            <w:tcW w:w="2291" w:type="dxa"/>
            <w:gridSpan w:val="2"/>
            <w:tcBorders>
              <w:top w:val="single" w:color="auto" w:sz="4" w:space="0"/>
              <w:bottom w:val="single" w:color="auto" w:sz="4" w:space="0"/>
            </w:tcBorders>
          </w:tcPr>
          <w:p w:rsidRPr="007F620E" w:rsidR="000050DE" w:rsidP="000050DE" w:rsidRDefault="000050DE" w14:paraId="68AC02C4" w14:textId="1C3FE081">
            <w:pPr>
              <w:spacing w:before="60" w:after="60"/>
              <w:jc w:val="center"/>
              <w:rPr>
                <w:color w:val="000000"/>
              </w:rPr>
            </w:pPr>
            <w:r>
              <w:rPr>
                <w:color w:val="000000"/>
              </w:rPr>
              <w:t>151206</w:t>
            </w:r>
          </w:p>
        </w:tc>
        <w:tc>
          <w:tcPr>
            <w:tcW w:w="4268" w:type="dxa"/>
            <w:gridSpan w:val="4"/>
            <w:tcBorders>
              <w:top w:val="single" w:color="auto" w:sz="4" w:space="0"/>
              <w:bottom w:val="single" w:color="auto" w:sz="4" w:space="0"/>
            </w:tcBorders>
          </w:tcPr>
          <w:p w:rsidRPr="007F620E" w:rsidR="000050DE" w:rsidP="000050DE" w:rsidRDefault="000050DE" w14:paraId="29F30D92" w14:textId="59946ABC">
            <w:pPr>
              <w:spacing w:before="60" w:after="60"/>
              <w:jc w:val="center"/>
              <w:rPr>
                <w:color w:val="000000"/>
              </w:rPr>
            </w:pPr>
            <w:r>
              <w:rPr>
                <w:color w:val="000000"/>
              </w:rPr>
              <w:t>No</w:t>
            </w:r>
          </w:p>
        </w:tc>
      </w:tr>
    </w:tbl>
    <w:p w:rsidRPr="007115CF" w:rsidR="00A92D0B" w:rsidP="009356D1" w:rsidRDefault="00A92D0B" w14:paraId="04BC309E" w14:textId="2A72BC96">
      <w:pPr>
        <w:keepNext/>
        <w:numPr>
          <w:ilvl w:val="0"/>
          <w:numId w:val="9"/>
        </w:numPr>
        <w:spacing w:before="240" w:after="240"/>
        <w:rPr>
          <w:b/>
          <w:i/>
          <w:color w:val="000000"/>
          <w:u w:val="single"/>
        </w:rPr>
      </w:pPr>
      <w:r w:rsidRPr="005B5B44">
        <w:rPr>
          <w:b/>
          <w:color w:val="000000"/>
        </w:rPr>
        <w:t>Attachments</w:t>
      </w:r>
      <w:r w:rsidRPr="007F620E">
        <w:rPr>
          <w:b/>
        </w:rPr>
        <w:t xml:space="preserve"> Documenting Specific Claim and Comments on Part III</w:t>
      </w:r>
      <w:r w:rsidR="00131BBE">
        <w:rPr>
          <w:rStyle w:val="FootnoteReference"/>
          <w:b/>
        </w:rPr>
        <w:footnoteReference w:id="12"/>
      </w:r>
      <w:r w:rsidR="00C02649">
        <w:rPr>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6D4A49" w:rsidTr="00131BBE" w14:paraId="71F47148" w14:textId="77777777">
        <w:tc>
          <w:tcPr>
            <w:tcW w:w="1795" w:type="dxa"/>
            <w:tcBorders>
              <w:bottom w:val="single" w:color="auto" w:sz="4" w:space="0"/>
            </w:tcBorders>
          </w:tcPr>
          <w:p w:rsidRPr="007F620E" w:rsidR="006D4A49" w:rsidP="006D4A49" w:rsidRDefault="006D4A49" w14:paraId="7A5C03D8" w14:textId="75DC1DA0">
            <w:pPr>
              <w:tabs>
                <w:tab w:val="left" w:pos="1260"/>
              </w:tabs>
              <w:rPr>
                <w:color w:val="000000"/>
              </w:rPr>
            </w:pPr>
            <w:r w:rsidRPr="00DC22EE">
              <w:rPr>
                <w:color w:val="000000"/>
              </w:rPr>
              <w:t>Attachment #1</w:t>
            </w:r>
          </w:p>
        </w:tc>
        <w:tc>
          <w:tcPr>
            <w:tcW w:w="7565" w:type="dxa"/>
            <w:tcBorders>
              <w:bottom w:val="single" w:color="auto" w:sz="4" w:space="0"/>
            </w:tcBorders>
          </w:tcPr>
          <w:p w:rsidRPr="001C0DD1" w:rsidR="006D4A49" w:rsidP="006D4A49" w:rsidRDefault="006D4A49" w14:paraId="370C67BC" w14:textId="2380F806">
            <w:pPr>
              <w:tabs>
                <w:tab w:val="left" w:pos="1260"/>
              </w:tabs>
              <w:rPr>
                <w:color w:val="000000"/>
              </w:rPr>
            </w:pPr>
            <w:r w:rsidRPr="00DC22EE">
              <w:rPr>
                <w:color w:val="000000"/>
              </w:rPr>
              <w:t>Certificate of Service</w:t>
            </w:r>
          </w:p>
        </w:tc>
      </w:tr>
      <w:tr w:rsidRPr="007F620E" w:rsidR="006D4A49" w:rsidTr="00131BBE" w14:paraId="72C869B0" w14:textId="77777777">
        <w:tc>
          <w:tcPr>
            <w:tcW w:w="1795" w:type="dxa"/>
          </w:tcPr>
          <w:p w:rsidRPr="007F620E" w:rsidR="006D4A49" w:rsidP="006D4A49" w:rsidRDefault="006D4A49" w14:paraId="49AADD21" w14:textId="140A617D">
            <w:pPr>
              <w:tabs>
                <w:tab w:val="left" w:pos="1260"/>
              </w:tabs>
              <w:rPr>
                <w:color w:val="000000"/>
              </w:rPr>
            </w:pPr>
            <w:r w:rsidRPr="00DC22EE">
              <w:rPr>
                <w:color w:val="000000"/>
              </w:rPr>
              <w:t>Attachment #2</w:t>
            </w:r>
          </w:p>
        </w:tc>
        <w:tc>
          <w:tcPr>
            <w:tcW w:w="7565" w:type="dxa"/>
          </w:tcPr>
          <w:p w:rsidRPr="007F620E" w:rsidR="006D4A49" w:rsidP="006D4A49" w:rsidRDefault="006D4A49" w14:paraId="3AF20C23" w14:textId="6D4ABF24">
            <w:pPr>
              <w:tabs>
                <w:tab w:val="left" w:pos="1260"/>
              </w:tabs>
              <w:rPr>
                <w:b/>
                <w:color w:val="000000"/>
              </w:rPr>
            </w:pPr>
            <w:r w:rsidRPr="00DC22EE">
              <w:rPr>
                <w:color w:val="000000"/>
              </w:rPr>
              <w:t>Time Sheet and Categorization</w:t>
            </w:r>
          </w:p>
        </w:tc>
      </w:tr>
      <w:tr w:rsidRPr="007F620E" w:rsidR="006D4A49" w:rsidTr="00131BBE" w14:paraId="6003C0CC" w14:textId="77777777">
        <w:tc>
          <w:tcPr>
            <w:tcW w:w="1795" w:type="dxa"/>
          </w:tcPr>
          <w:p w:rsidR="006D4A49" w:rsidP="006D4A49" w:rsidRDefault="006D4A49" w14:paraId="75DCEC93" w14:textId="6793B3E6">
            <w:pPr>
              <w:tabs>
                <w:tab w:val="left" w:pos="1260"/>
              </w:tabs>
              <w:rPr>
                <w:color w:val="000000"/>
              </w:rPr>
            </w:pPr>
            <w:r>
              <w:rPr>
                <w:color w:val="000000"/>
              </w:rPr>
              <w:lastRenderedPageBreak/>
              <w:t>Comment #1</w:t>
            </w:r>
          </w:p>
        </w:tc>
        <w:tc>
          <w:tcPr>
            <w:tcW w:w="7565" w:type="dxa"/>
          </w:tcPr>
          <w:p w:rsidR="006D4A49" w:rsidP="006D4A49" w:rsidRDefault="006D4A49" w14:paraId="28696715" w14:textId="77777777">
            <w:pPr>
              <w:tabs>
                <w:tab w:val="left" w:pos="1260"/>
              </w:tabs>
              <w:rPr>
                <w:color w:val="000000"/>
              </w:rPr>
            </w:pPr>
            <w:r>
              <w:rPr>
                <w:color w:val="000000"/>
              </w:rPr>
              <w:t>PCF requests a rate of $725 for Ms. Dickenson’s time in 2025, based on Ms. Dickenson’s approved 2024 rate times the adopted CPUC escalation rate for 2025 ($700*1.0346=$725). Ms. Dickenson remains on staff at PCF.</w:t>
            </w:r>
          </w:p>
          <w:p w:rsidRPr="007F620E" w:rsidR="006D4A49" w:rsidP="006D4A49" w:rsidRDefault="006D4A49" w14:paraId="376CB25F" w14:textId="77777777">
            <w:pPr>
              <w:tabs>
                <w:tab w:val="left" w:pos="1260"/>
              </w:tabs>
              <w:rPr>
                <w:b/>
                <w:color w:val="000000"/>
              </w:rPr>
            </w:pPr>
          </w:p>
        </w:tc>
      </w:tr>
      <w:tr w:rsidRPr="007F620E" w:rsidR="006D4A49" w:rsidTr="00131BBE" w14:paraId="7A7E2E92" w14:textId="77777777">
        <w:tc>
          <w:tcPr>
            <w:tcW w:w="1795" w:type="dxa"/>
          </w:tcPr>
          <w:p w:rsidR="006D4A49" w:rsidP="006D4A49" w:rsidRDefault="006D4A49" w14:paraId="0B084D98" w14:textId="6EA45303">
            <w:pPr>
              <w:tabs>
                <w:tab w:val="left" w:pos="1260"/>
              </w:tabs>
              <w:rPr>
                <w:color w:val="000000"/>
              </w:rPr>
            </w:pPr>
            <w:r>
              <w:rPr>
                <w:color w:val="000000"/>
              </w:rPr>
              <w:t>Comment #2</w:t>
            </w:r>
          </w:p>
        </w:tc>
        <w:tc>
          <w:tcPr>
            <w:tcW w:w="7565" w:type="dxa"/>
          </w:tcPr>
          <w:p w:rsidR="006D4A49" w:rsidP="006D4A49" w:rsidRDefault="006D4A49" w14:paraId="311197BF" w14:textId="77777777">
            <w:pPr>
              <w:tabs>
                <w:tab w:val="left" w:pos="1260"/>
              </w:tabs>
            </w:pPr>
            <w:r>
              <w:t>PCF requests a rate for Ms. White for 2024 based on the rate that has already been approved by the Commission.</w:t>
            </w:r>
          </w:p>
          <w:p w:rsidR="006D4A49" w:rsidP="006D4A49" w:rsidRDefault="006D4A49" w14:paraId="0AF74565" w14:textId="77777777">
            <w:pPr>
              <w:tabs>
                <w:tab w:val="left" w:pos="1260"/>
              </w:tabs>
              <w:rPr>
                <w:color w:val="000000"/>
              </w:rPr>
            </w:pPr>
          </w:p>
          <w:p w:rsidR="006D4A49" w:rsidP="006D4A49" w:rsidRDefault="006D4A49" w14:paraId="4B2DE059" w14:textId="77777777">
            <w:pPr>
              <w:tabs>
                <w:tab w:val="left" w:pos="1260"/>
              </w:tabs>
              <w:rPr>
                <w:color w:val="000000"/>
              </w:rPr>
            </w:pPr>
            <w:r>
              <w:rPr>
                <w:color w:val="000000"/>
              </w:rPr>
              <w:t>PCF requests a rate of $290 for Ms. White’s time in 2025, based on Ms. White’s approved 2024 rate times the adopted CPUC escalation for 2025,</w:t>
            </w:r>
            <w:r w:rsidRPr="00CF4D20">
              <w:rPr>
                <w:color w:val="000000"/>
              </w:rPr>
              <w:t xml:space="preserve"> </w:t>
            </w:r>
            <w:r>
              <w:rPr>
                <w:color w:val="000000"/>
              </w:rPr>
              <w:t xml:space="preserve">plus </w:t>
            </w:r>
            <w:r w:rsidRPr="00CF4D20">
              <w:rPr>
                <w:color w:val="000000"/>
              </w:rPr>
              <w:t>a step increase, as is permitted twice per category</w:t>
            </w:r>
            <w:r>
              <w:rPr>
                <w:color w:val="000000"/>
              </w:rPr>
              <w:t>. ($265*1.05*1.0346=$290). Ms. White remains on staff at PCF.</w:t>
            </w:r>
          </w:p>
          <w:p w:rsidRPr="007F620E" w:rsidR="006D4A49" w:rsidP="006D4A49" w:rsidRDefault="006D4A49" w14:paraId="589580E1" w14:textId="77777777">
            <w:pPr>
              <w:tabs>
                <w:tab w:val="left" w:pos="1260"/>
              </w:tabs>
              <w:rPr>
                <w:b/>
                <w:color w:val="000000"/>
              </w:rPr>
            </w:pPr>
          </w:p>
        </w:tc>
      </w:tr>
      <w:tr w:rsidRPr="007F620E" w:rsidR="006D4A49" w:rsidTr="00131BBE" w14:paraId="55766004" w14:textId="77777777">
        <w:tc>
          <w:tcPr>
            <w:tcW w:w="1795" w:type="dxa"/>
          </w:tcPr>
          <w:p w:rsidR="006D4A49" w:rsidP="006D4A49" w:rsidRDefault="006D4A49" w14:paraId="21BB51D6" w14:textId="3A049A10">
            <w:pPr>
              <w:tabs>
                <w:tab w:val="left" w:pos="1260"/>
              </w:tabs>
              <w:rPr>
                <w:color w:val="000000"/>
              </w:rPr>
            </w:pPr>
            <w:r>
              <w:rPr>
                <w:color w:val="000000"/>
              </w:rPr>
              <w:t>Comment #3</w:t>
            </w:r>
          </w:p>
        </w:tc>
        <w:tc>
          <w:tcPr>
            <w:tcW w:w="7565" w:type="dxa"/>
          </w:tcPr>
          <w:p w:rsidR="006D4A49" w:rsidP="006D4A49" w:rsidRDefault="006D4A49" w14:paraId="5D972895" w14:textId="77777777">
            <w:pPr>
              <w:rPr>
                <w:color w:val="000000"/>
              </w:rPr>
            </w:pPr>
            <w:r>
              <w:rPr>
                <w:color w:val="000000"/>
              </w:rPr>
              <w:t xml:space="preserve">PCF requests a rate of $745 for Ms. Lynch’s time in 2023, based on Ms. Lynch’s approved 2022 rate of $715, times the CPUC adopted escalation rate of 1.0446 for 2023. </w:t>
            </w:r>
          </w:p>
          <w:p w:rsidR="006D4A49" w:rsidP="006D4A49" w:rsidRDefault="006D4A49" w14:paraId="0AFCD4FE" w14:textId="77777777">
            <w:pPr>
              <w:rPr>
                <w:color w:val="000000"/>
              </w:rPr>
            </w:pPr>
          </w:p>
          <w:p w:rsidR="006D4A49" w:rsidP="006D4A49" w:rsidRDefault="006D4A49" w14:paraId="2083C73A" w14:textId="77777777">
            <w:pPr>
              <w:rPr>
                <w:color w:val="000000"/>
              </w:rPr>
            </w:pPr>
            <w:r>
              <w:rPr>
                <w:color w:val="000000"/>
              </w:rPr>
              <w:t xml:space="preserve">PCF requests a rate of $770 for Ms. Lynch’s time in 2024, based on Ms. Lynch’s </w:t>
            </w:r>
            <w:r w:rsidRPr="00227D56">
              <w:rPr>
                <w:color w:val="000000"/>
              </w:rPr>
              <w:t xml:space="preserve">2023 rate </w:t>
            </w:r>
            <w:r>
              <w:rPr>
                <w:color w:val="000000"/>
              </w:rPr>
              <w:t xml:space="preserve">of </w:t>
            </w:r>
            <w:r w:rsidRPr="00227D56">
              <w:rPr>
                <w:color w:val="000000"/>
              </w:rPr>
              <w:t>$745</w:t>
            </w:r>
            <w:r>
              <w:rPr>
                <w:color w:val="000000"/>
              </w:rPr>
              <w:t xml:space="preserve">, times the adopted CPUC escalation of </w:t>
            </w:r>
            <w:r w:rsidRPr="00227D56">
              <w:rPr>
                <w:color w:val="000000"/>
              </w:rPr>
              <w:t>1.0407</w:t>
            </w:r>
            <w:r>
              <w:rPr>
                <w:color w:val="000000"/>
              </w:rPr>
              <w:t xml:space="preserve"> for 2024, </w:t>
            </w:r>
            <w:r w:rsidRPr="00227D56">
              <w:rPr>
                <w:color w:val="000000"/>
              </w:rPr>
              <w:t xml:space="preserve">rounded down </w:t>
            </w:r>
            <w:r>
              <w:rPr>
                <w:color w:val="000000"/>
              </w:rPr>
              <w:t xml:space="preserve">so as </w:t>
            </w:r>
            <w:r w:rsidRPr="00227D56">
              <w:rPr>
                <w:color w:val="000000"/>
              </w:rPr>
              <w:t>not to exceed</w:t>
            </w:r>
            <w:r>
              <w:rPr>
                <w:color w:val="000000"/>
              </w:rPr>
              <w:t xml:space="preserve"> the</w:t>
            </w:r>
            <w:r w:rsidRPr="00227D56">
              <w:rPr>
                <w:color w:val="000000"/>
              </w:rPr>
              <w:t xml:space="preserve"> maximum</w:t>
            </w:r>
            <w:r>
              <w:rPr>
                <w:color w:val="000000"/>
              </w:rPr>
              <w:t xml:space="preserve"> attorney rate. </w:t>
            </w:r>
          </w:p>
          <w:p w:rsidR="006D4A49" w:rsidP="006D4A49" w:rsidRDefault="006D4A49" w14:paraId="7A7EC353" w14:textId="77777777"/>
          <w:p w:rsidR="00FC6914" w:rsidP="006D4A49" w:rsidRDefault="006D4A49" w14:paraId="13717560" w14:textId="22FC0B08">
            <w:pPr>
              <w:rPr>
                <w:color w:val="000000"/>
              </w:rPr>
            </w:pPr>
            <w:r>
              <w:rPr>
                <w:color w:val="000000"/>
              </w:rPr>
              <w:t xml:space="preserve">PCF requests a rate of $795 for Ms. Lynch’s time in 2025, based on Ms. Lynch’s </w:t>
            </w:r>
            <w:r w:rsidRPr="00227D56">
              <w:rPr>
                <w:color w:val="000000"/>
              </w:rPr>
              <w:t>202</w:t>
            </w:r>
            <w:r>
              <w:rPr>
                <w:color w:val="000000"/>
              </w:rPr>
              <w:t>4</w:t>
            </w:r>
            <w:r w:rsidRPr="00227D56">
              <w:rPr>
                <w:color w:val="000000"/>
              </w:rPr>
              <w:t xml:space="preserve"> rate </w:t>
            </w:r>
            <w:r>
              <w:rPr>
                <w:color w:val="000000"/>
              </w:rPr>
              <w:t xml:space="preserve">of </w:t>
            </w:r>
            <w:r w:rsidRPr="00227D56">
              <w:rPr>
                <w:color w:val="000000"/>
              </w:rPr>
              <w:t>$7</w:t>
            </w:r>
            <w:r>
              <w:rPr>
                <w:color w:val="000000"/>
              </w:rPr>
              <w:t xml:space="preserve">70, times the adopted CPUC escalation of </w:t>
            </w:r>
            <w:r w:rsidRPr="00227D56">
              <w:rPr>
                <w:color w:val="000000"/>
              </w:rPr>
              <w:t>1.0</w:t>
            </w:r>
            <w:r>
              <w:rPr>
                <w:color w:val="000000"/>
              </w:rPr>
              <w:t xml:space="preserve">346 for 2025. </w:t>
            </w:r>
          </w:p>
          <w:p w:rsidR="00FC6914" w:rsidP="00FC6914" w:rsidRDefault="00FC6914" w14:paraId="60D88D8E" w14:textId="77777777"/>
          <w:p w:rsidR="00FC6914" w:rsidP="006D4A49" w:rsidRDefault="00FC6914" w14:paraId="4BC50834" w14:textId="5CF25DB7">
            <w:pPr>
              <w:rPr>
                <w:color w:val="000000"/>
              </w:rPr>
            </w:pPr>
            <w:r>
              <w:t>PCF agreed to pay Ms. Lynch the</w:t>
            </w:r>
            <w:r w:rsidR="0041603D">
              <w:t xml:space="preserve"> above</w:t>
            </w:r>
            <w:r>
              <w:t xml:space="preserve"> rates for </w:t>
            </w:r>
            <w:r w:rsidR="0041603D">
              <w:t>Ms. L</w:t>
            </w:r>
            <w:r w:rsidR="008B0DF2">
              <w:t xml:space="preserve">ynch’s </w:t>
            </w:r>
            <w:r>
              <w:t>work performed in 2023 and 2024. PCF</w:t>
            </w:r>
            <w:r w:rsidR="00ED4DA5">
              <w:t xml:space="preserve"> </w:t>
            </w:r>
            <w:r>
              <w:t xml:space="preserve">does not retain funds awarded to outside attorneys like Ms. Lynch. </w:t>
            </w:r>
          </w:p>
          <w:p w:rsidRPr="007F620E" w:rsidR="006D4A49" w:rsidP="006D4A49" w:rsidRDefault="006D4A49" w14:paraId="2A3F3238" w14:textId="77777777">
            <w:pPr>
              <w:tabs>
                <w:tab w:val="left" w:pos="1260"/>
              </w:tabs>
              <w:rPr>
                <w:b/>
                <w:color w:val="000000"/>
              </w:rPr>
            </w:pPr>
          </w:p>
        </w:tc>
      </w:tr>
    </w:tbl>
    <w:p w:rsidRPr="007F620E" w:rsidR="00A92D0B" w:rsidP="005B5B44" w:rsidRDefault="00A92D0B" w14:paraId="0D8B7003" w14:textId="5713B523">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527"/>
        <w:gridCol w:w="7833"/>
      </w:tblGrid>
      <w:tr w:rsidRPr="007F620E" w:rsidR="00A36639" w:rsidTr="00F256D7" w14:paraId="52CD0603" w14:textId="77777777">
        <w:trPr>
          <w:tblHeader/>
        </w:trPr>
        <w:tc>
          <w:tcPr>
            <w:tcW w:w="1527"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36639" w:rsidTr="00F256D7" w14:paraId="69DEE01C" w14:textId="77777777">
        <w:tc>
          <w:tcPr>
            <w:tcW w:w="1527" w:type="dxa"/>
          </w:tcPr>
          <w:p w:rsidRPr="007F620E" w:rsidR="00A92D0B" w:rsidP="00EB64CF" w:rsidRDefault="00BA521A" w14:paraId="1E6C8F3D" w14:textId="065B5404">
            <w:pPr>
              <w:tabs>
                <w:tab w:val="left" w:pos="1440"/>
              </w:tabs>
              <w:rPr>
                <w:color w:val="000000"/>
              </w:rPr>
            </w:pPr>
            <w:r>
              <w:rPr>
                <w:color w:val="000000"/>
              </w:rPr>
              <w:t>[1] Malinda Dickenson 2023 and 2024 Hourly Rates</w:t>
            </w:r>
          </w:p>
        </w:tc>
        <w:tc>
          <w:tcPr>
            <w:tcW w:w="7833" w:type="dxa"/>
          </w:tcPr>
          <w:p w:rsidR="00A92D0B" w:rsidP="00EB64CF" w:rsidRDefault="00432B13" w14:paraId="67E82E09" w14:textId="077119A7">
            <w:pPr>
              <w:tabs>
                <w:tab w:val="left" w:pos="1440"/>
              </w:tabs>
              <w:rPr>
                <w:color w:val="000000"/>
              </w:rPr>
            </w:pPr>
            <w:r w:rsidRPr="00432B13">
              <w:rPr>
                <w:color w:val="000000"/>
              </w:rPr>
              <w:t>D.25-04-017</w:t>
            </w:r>
            <w:r>
              <w:rPr>
                <w:color w:val="000000"/>
              </w:rPr>
              <w:t xml:space="preserve"> </w:t>
            </w:r>
            <w:r w:rsidR="009F6136">
              <w:rPr>
                <w:color w:val="000000"/>
              </w:rPr>
              <w:t xml:space="preserve">approved </w:t>
            </w:r>
            <w:r>
              <w:rPr>
                <w:color w:val="000000"/>
              </w:rPr>
              <w:t>2023 hourly rates of $665.00. We apply the same rate here.</w:t>
            </w:r>
          </w:p>
          <w:p w:rsidR="00432B13" w:rsidP="00EB64CF" w:rsidRDefault="00432B13" w14:paraId="5CE81F03" w14:textId="77777777">
            <w:pPr>
              <w:tabs>
                <w:tab w:val="left" w:pos="1440"/>
              </w:tabs>
              <w:rPr>
                <w:color w:val="000000"/>
              </w:rPr>
            </w:pPr>
          </w:p>
          <w:p w:rsidR="00110B07" w:rsidP="00EB64CF" w:rsidRDefault="00110B07" w14:paraId="6A4010F3" w14:textId="7B515D5E">
            <w:pPr>
              <w:tabs>
                <w:tab w:val="left" w:pos="1440"/>
              </w:tabs>
              <w:rPr>
                <w:color w:val="000000"/>
              </w:rPr>
            </w:pPr>
            <w:r>
              <w:rPr>
                <w:color w:val="000000"/>
              </w:rPr>
              <w:t xml:space="preserve">Additionally, </w:t>
            </w:r>
            <w:r w:rsidRPr="00110B07">
              <w:rPr>
                <w:color w:val="000000"/>
              </w:rPr>
              <w:t xml:space="preserve">D.25-04-017 verified a 2024 hourly rate of $700.00 for Malinda Dickenson but did not apply the escalation factor to that 2024 rate pursuant to Resolution ALJ-393. We therefore apply the applicable </w:t>
            </w:r>
            <w:r>
              <w:rPr>
                <w:color w:val="000000"/>
              </w:rPr>
              <w:t xml:space="preserve">2024 </w:t>
            </w:r>
            <w:r w:rsidRPr="00110B07">
              <w:rPr>
                <w:color w:val="000000"/>
              </w:rPr>
              <w:t>escalation factor</w:t>
            </w:r>
            <w:r>
              <w:rPr>
                <w:color w:val="000000"/>
              </w:rPr>
              <w:t xml:space="preserve"> of 4.07%</w:t>
            </w:r>
            <w:r w:rsidRPr="00110B07">
              <w:rPr>
                <w:color w:val="000000"/>
              </w:rPr>
              <w:t xml:space="preserve"> to the 2024 rate of $700.00, </w:t>
            </w:r>
            <w:r w:rsidR="001F5514">
              <w:rPr>
                <w:color w:val="000000"/>
              </w:rPr>
              <w:t>and</w:t>
            </w:r>
            <w:r w:rsidRPr="00110B07">
              <w:rPr>
                <w:color w:val="000000"/>
              </w:rPr>
              <w:t xml:space="preserve"> rounded to the nearest </w:t>
            </w:r>
            <w:r w:rsidR="001F5514">
              <w:rPr>
                <w:color w:val="000000"/>
              </w:rPr>
              <w:t xml:space="preserve">allowable </w:t>
            </w:r>
            <w:r w:rsidRPr="00110B07">
              <w:rPr>
                <w:color w:val="000000"/>
              </w:rPr>
              <w:t>five-dollar increment</w:t>
            </w:r>
            <w:r w:rsidR="001F5514">
              <w:rPr>
                <w:color w:val="000000"/>
              </w:rPr>
              <w:t>, we find:</w:t>
            </w:r>
          </w:p>
          <w:p w:rsidR="001F5514" w:rsidP="00EB64CF" w:rsidRDefault="001F5514" w14:paraId="3EC38868" w14:textId="77777777">
            <w:pPr>
              <w:tabs>
                <w:tab w:val="left" w:pos="1440"/>
              </w:tabs>
              <w:rPr>
                <w:color w:val="000000"/>
              </w:rPr>
            </w:pPr>
          </w:p>
          <w:p w:rsidR="001F5514" w:rsidP="00EB64CF" w:rsidRDefault="001F5514" w14:paraId="49FD281F" w14:textId="30D74A17">
            <w:pPr>
              <w:tabs>
                <w:tab w:val="left" w:pos="1440"/>
              </w:tabs>
              <w:rPr>
                <w:color w:val="000000"/>
              </w:rPr>
            </w:pPr>
            <w:r>
              <w:rPr>
                <w:color w:val="000000"/>
              </w:rPr>
              <w:t>2024: $700.00 x 1.0407 = $725.00</w:t>
            </w:r>
          </w:p>
          <w:p w:rsidR="001F5514" w:rsidP="00EB64CF" w:rsidRDefault="001F5514" w14:paraId="5C9C9E34" w14:textId="77777777">
            <w:pPr>
              <w:tabs>
                <w:tab w:val="left" w:pos="1440"/>
              </w:tabs>
              <w:rPr>
                <w:color w:val="000000"/>
              </w:rPr>
            </w:pPr>
          </w:p>
          <w:p w:rsidRPr="001F5514" w:rsidR="001F5514" w:rsidP="00EB64CF" w:rsidRDefault="001F5514" w14:paraId="3F5BAE8A" w14:textId="728CAC64">
            <w:pPr>
              <w:tabs>
                <w:tab w:val="left" w:pos="1440"/>
              </w:tabs>
              <w:rPr>
                <w:color w:val="000000"/>
              </w:rPr>
            </w:pPr>
            <w:r>
              <w:rPr>
                <w:color w:val="000000"/>
              </w:rPr>
              <w:t xml:space="preserve">We find the </w:t>
            </w:r>
            <w:r>
              <w:rPr>
                <w:i/>
                <w:iCs/>
                <w:color w:val="000000"/>
              </w:rPr>
              <w:t xml:space="preserve">updated </w:t>
            </w:r>
            <w:r>
              <w:rPr>
                <w:color w:val="000000"/>
              </w:rPr>
              <w:t>2024 rate of $725.00 reasonable and adopt it here.</w:t>
            </w:r>
          </w:p>
          <w:p w:rsidR="00110B07" w:rsidP="00EB64CF" w:rsidRDefault="00110B07" w14:paraId="3B9985C6" w14:textId="77777777">
            <w:pPr>
              <w:tabs>
                <w:tab w:val="left" w:pos="1440"/>
              </w:tabs>
              <w:rPr>
                <w:color w:val="000000"/>
              </w:rPr>
            </w:pPr>
          </w:p>
          <w:p w:rsidRPr="007F620E" w:rsidR="00432B13" w:rsidP="00EB64CF" w:rsidRDefault="00432B13" w14:paraId="45BFCB16" w14:textId="11EC9194">
            <w:pPr>
              <w:tabs>
                <w:tab w:val="left" w:pos="1440"/>
              </w:tabs>
              <w:rPr>
                <w:color w:val="000000"/>
              </w:rPr>
            </w:pPr>
            <w:r>
              <w:rPr>
                <w:color w:val="000000"/>
              </w:rPr>
              <w:t xml:space="preserve">Intervenor Compensation Claim </w:t>
            </w:r>
            <w:r w:rsidR="00BA521A">
              <w:rPr>
                <w:color w:val="000000"/>
              </w:rPr>
              <w:t>P</w:t>
            </w:r>
            <w:r>
              <w:rPr>
                <w:color w:val="000000"/>
              </w:rPr>
              <w:t xml:space="preserve">reparation is </w:t>
            </w:r>
            <w:r w:rsidR="004E29A8">
              <w:rPr>
                <w:color w:val="000000"/>
              </w:rPr>
              <w:t>compensated</w:t>
            </w:r>
            <w:r>
              <w:rPr>
                <w:color w:val="000000"/>
              </w:rPr>
              <w:t xml:space="preserve"> at ½ </w:t>
            </w:r>
            <w:r w:rsidR="004E29A8">
              <w:rPr>
                <w:color w:val="000000"/>
              </w:rPr>
              <w:t xml:space="preserve">of the </w:t>
            </w:r>
            <w:r>
              <w:rPr>
                <w:color w:val="000000"/>
              </w:rPr>
              <w:t xml:space="preserve">preparer’s normal rate, bringing the 2023 claim preparation rate </w:t>
            </w:r>
            <w:r w:rsidR="00BA521A">
              <w:rPr>
                <w:color w:val="000000"/>
              </w:rPr>
              <w:t>to $332.50.</w:t>
            </w:r>
          </w:p>
        </w:tc>
      </w:tr>
      <w:tr w:rsidRPr="007F620E" w:rsidR="00A36639" w:rsidTr="00F256D7" w14:paraId="52155EFC" w14:textId="77777777">
        <w:tc>
          <w:tcPr>
            <w:tcW w:w="1527" w:type="dxa"/>
          </w:tcPr>
          <w:p w:rsidRPr="007F620E" w:rsidR="00A92D0B" w:rsidP="00EB64CF" w:rsidRDefault="00BA521A" w14:paraId="26487933" w14:textId="3824FA82">
            <w:pPr>
              <w:tabs>
                <w:tab w:val="left" w:pos="1440"/>
              </w:tabs>
              <w:rPr>
                <w:color w:val="000000"/>
              </w:rPr>
            </w:pPr>
            <w:r>
              <w:rPr>
                <w:color w:val="000000"/>
              </w:rPr>
              <w:lastRenderedPageBreak/>
              <w:t>[2] Malinda Dickenson 2025 Hourly Rate</w:t>
            </w:r>
          </w:p>
        </w:tc>
        <w:tc>
          <w:tcPr>
            <w:tcW w:w="7833" w:type="dxa"/>
          </w:tcPr>
          <w:p w:rsidR="00C86224" w:rsidP="00C86224" w:rsidRDefault="00110B07" w14:paraId="775EC90D" w14:textId="31AED28B">
            <w:pPr>
              <w:tabs>
                <w:tab w:val="left" w:pos="1440"/>
              </w:tabs>
              <w:rPr>
                <w:color w:val="000000"/>
              </w:rPr>
            </w:pPr>
            <w:r>
              <w:rPr>
                <w:color w:val="000000"/>
              </w:rPr>
              <w:t xml:space="preserve">Comment [1], see above, adopted an </w:t>
            </w:r>
            <w:r>
              <w:rPr>
                <w:i/>
                <w:iCs/>
                <w:color w:val="000000"/>
              </w:rPr>
              <w:t>updated</w:t>
            </w:r>
            <w:r>
              <w:rPr>
                <w:color w:val="000000"/>
              </w:rPr>
              <w:t xml:space="preserve"> 2024 hourly rate of $725.00</w:t>
            </w:r>
            <w:r w:rsidRPr="00F256D7" w:rsidR="00F256D7">
              <w:rPr>
                <w:color w:val="000000"/>
              </w:rPr>
              <w:t xml:space="preserve"> for Dickenson. </w:t>
            </w:r>
            <w:r>
              <w:rPr>
                <w:color w:val="000000"/>
              </w:rPr>
              <w:t>For 2025, w</w:t>
            </w:r>
            <w:r w:rsidRPr="00F256D7" w:rsidR="00F256D7">
              <w:rPr>
                <w:color w:val="000000"/>
              </w:rPr>
              <w:t>e apply the 2025 escalation factor</w:t>
            </w:r>
            <w:r>
              <w:rPr>
                <w:color w:val="000000"/>
              </w:rPr>
              <w:t xml:space="preserve">, </w:t>
            </w:r>
            <w:r w:rsidRPr="00F256D7" w:rsidR="00F256D7">
              <w:rPr>
                <w:color w:val="000000"/>
              </w:rPr>
              <w:t>per Resolution ALJ-393</w:t>
            </w:r>
            <w:r>
              <w:rPr>
                <w:color w:val="000000"/>
              </w:rPr>
              <w:t>,</w:t>
            </w:r>
            <w:r w:rsidRPr="00F256D7" w:rsidR="00F256D7">
              <w:rPr>
                <w:color w:val="000000"/>
              </w:rPr>
              <w:t xml:space="preserve"> of 3.46% to Dickenson’s</w:t>
            </w:r>
            <w:r w:rsidR="00C86224">
              <w:rPr>
                <w:color w:val="000000"/>
              </w:rPr>
              <w:t xml:space="preserve"> </w:t>
            </w:r>
            <w:r w:rsidRPr="00F256D7" w:rsidR="00F256D7">
              <w:rPr>
                <w:color w:val="000000"/>
              </w:rPr>
              <w:t xml:space="preserve">approved 2024 hourly </w:t>
            </w:r>
            <w:r w:rsidR="00736E6E">
              <w:rPr>
                <w:color w:val="000000"/>
              </w:rPr>
              <w:t>rate for</w:t>
            </w:r>
            <w:r w:rsidRPr="00F256D7" w:rsidR="00F256D7">
              <w:rPr>
                <w:color w:val="000000"/>
              </w:rPr>
              <w:t xml:space="preserve"> a 2025 hourly rate of $7</w:t>
            </w:r>
            <w:r>
              <w:rPr>
                <w:color w:val="000000"/>
              </w:rPr>
              <w:t>50</w:t>
            </w:r>
            <w:r w:rsidRPr="00F256D7" w:rsidR="00F256D7">
              <w:rPr>
                <w:color w:val="000000"/>
              </w:rPr>
              <w:t xml:space="preserve">.00. </w:t>
            </w:r>
          </w:p>
          <w:p w:rsidR="00C86224" w:rsidP="00C86224" w:rsidRDefault="00C86224" w14:paraId="4E7E3D55" w14:textId="77777777">
            <w:pPr>
              <w:tabs>
                <w:tab w:val="left" w:pos="1440"/>
              </w:tabs>
              <w:rPr>
                <w:color w:val="000000"/>
              </w:rPr>
            </w:pPr>
          </w:p>
          <w:p w:rsidRPr="007F620E" w:rsidR="00A92D0B" w:rsidP="00C86224" w:rsidRDefault="00BA521A" w14:paraId="455E6A00" w14:textId="4A6EBC8A">
            <w:pPr>
              <w:tabs>
                <w:tab w:val="left" w:pos="1440"/>
              </w:tabs>
              <w:rPr>
                <w:color w:val="000000"/>
              </w:rPr>
            </w:pPr>
            <w:r>
              <w:rPr>
                <w:color w:val="000000"/>
              </w:rPr>
              <w:t xml:space="preserve">Intervenor Compensation Claim Preparation is </w:t>
            </w:r>
            <w:r w:rsidR="00736E6E">
              <w:rPr>
                <w:color w:val="000000"/>
              </w:rPr>
              <w:t xml:space="preserve">compensated </w:t>
            </w:r>
            <w:r>
              <w:rPr>
                <w:color w:val="000000"/>
              </w:rPr>
              <w:t xml:space="preserve">at ½ </w:t>
            </w:r>
            <w:r w:rsidR="00736E6E">
              <w:rPr>
                <w:color w:val="000000"/>
              </w:rPr>
              <w:t xml:space="preserve">of the </w:t>
            </w:r>
            <w:r>
              <w:rPr>
                <w:color w:val="000000"/>
              </w:rPr>
              <w:t xml:space="preserve">preparer’s normal rate, bringing the 2023 claim preparation rate to </w:t>
            </w:r>
            <w:r w:rsidRPr="00F256D7" w:rsidR="00F256D7">
              <w:rPr>
                <w:color w:val="000000"/>
              </w:rPr>
              <w:t>$</w:t>
            </w:r>
            <w:r w:rsidR="00287A63">
              <w:rPr>
                <w:color w:val="000000"/>
              </w:rPr>
              <w:t>375.00</w:t>
            </w:r>
            <w:r w:rsidRPr="00F256D7" w:rsidR="00F256D7">
              <w:rPr>
                <w:color w:val="000000"/>
              </w:rPr>
              <w:t>.</w:t>
            </w:r>
          </w:p>
        </w:tc>
      </w:tr>
      <w:tr w:rsidRPr="007F620E" w:rsidR="00A36639" w:rsidTr="00F256D7" w14:paraId="16BFFDA5" w14:textId="77777777">
        <w:tc>
          <w:tcPr>
            <w:tcW w:w="1527" w:type="dxa"/>
          </w:tcPr>
          <w:p w:rsidRPr="007F620E" w:rsidR="00F256D7" w:rsidP="00EB64CF" w:rsidRDefault="00BA521A" w14:paraId="056BF55A" w14:textId="2898BB6F">
            <w:pPr>
              <w:tabs>
                <w:tab w:val="left" w:pos="1440"/>
              </w:tabs>
              <w:rPr>
                <w:color w:val="000000"/>
              </w:rPr>
            </w:pPr>
            <w:r>
              <w:rPr>
                <w:color w:val="000000"/>
              </w:rPr>
              <w:t>[3] Jonathan Webster 2023 and 2024 Hourly Rates</w:t>
            </w:r>
          </w:p>
        </w:tc>
        <w:tc>
          <w:tcPr>
            <w:tcW w:w="7833" w:type="dxa"/>
          </w:tcPr>
          <w:p w:rsidR="004D5A17" w:rsidP="00EB64CF" w:rsidRDefault="004D5A17" w14:paraId="7A2E5507" w14:textId="2EA91468">
            <w:pPr>
              <w:tabs>
                <w:tab w:val="left" w:pos="1440"/>
              </w:tabs>
              <w:rPr>
                <w:color w:val="000000"/>
              </w:rPr>
            </w:pPr>
            <w:r>
              <w:rPr>
                <w:color w:val="000000"/>
              </w:rPr>
              <w:t>PCF requested 2023 and 2024 hourly rates of $250.00 and 280.00</w:t>
            </w:r>
            <w:r w:rsidR="00725B24">
              <w:rPr>
                <w:color w:val="000000"/>
              </w:rPr>
              <w:t xml:space="preserve"> </w:t>
            </w:r>
            <w:r w:rsidR="00736E6E">
              <w:rPr>
                <w:color w:val="000000"/>
              </w:rPr>
              <w:t xml:space="preserve">respectively </w:t>
            </w:r>
            <w:r w:rsidR="00DA41DD">
              <w:rPr>
                <w:color w:val="000000"/>
              </w:rPr>
              <w:t xml:space="preserve">for </w:t>
            </w:r>
            <w:r w:rsidR="00006C0C">
              <w:rPr>
                <w:color w:val="000000"/>
              </w:rPr>
              <w:t xml:space="preserve">Jonathan </w:t>
            </w:r>
            <w:r w:rsidR="00DA41DD">
              <w:rPr>
                <w:color w:val="000000"/>
              </w:rPr>
              <w:t xml:space="preserve">Webster </w:t>
            </w:r>
            <w:r w:rsidR="00725B24">
              <w:rPr>
                <w:color w:val="000000"/>
              </w:rPr>
              <w:t xml:space="preserve">as a Legal – Attorney – I. We note PCF’s </w:t>
            </w:r>
            <w:r w:rsidR="00E43984">
              <w:rPr>
                <w:color w:val="000000"/>
              </w:rPr>
              <w:t xml:space="preserve">2023 </w:t>
            </w:r>
            <w:r w:rsidR="00725B24">
              <w:rPr>
                <w:color w:val="000000"/>
              </w:rPr>
              <w:t xml:space="preserve">requested </w:t>
            </w:r>
            <w:r w:rsidR="00E43984">
              <w:rPr>
                <w:color w:val="000000"/>
              </w:rPr>
              <w:t>rate</w:t>
            </w:r>
            <w:r w:rsidR="00725B24">
              <w:rPr>
                <w:color w:val="000000"/>
              </w:rPr>
              <w:t xml:space="preserve"> for Jonanthan Webster cited </w:t>
            </w:r>
            <w:r w:rsidR="00E43984">
              <w:rPr>
                <w:color w:val="000000"/>
              </w:rPr>
              <w:t xml:space="preserve">D.24-12-064 </w:t>
            </w:r>
            <w:r w:rsidR="00654717">
              <w:rPr>
                <w:color w:val="000000"/>
              </w:rPr>
              <w:t xml:space="preserve">in the basis for </w:t>
            </w:r>
            <w:r w:rsidR="00E43984">
              <w:rPr>
                <w:color w:val="000000"/>
              </w:rPr>
              <w:t xml:space="preserve">rate column for 2023 and D.25-01-026 for a 2024 </w:t>
            </w:r>
            <w:r w:rsidR="00654717">
              <w:rPr>
                <w:color w:val="000000"/>
              </w:rPr>
              <w:t xml:space="preserve">rate </w:t>
            </w:r>
            <w:r w:rsidR="00E43984">
              <w:rPr>
                <w:color w:val="000000"/>
              </w:rPr>
              <w:t>of $2</w:t>
            </w:r>
            <w:r w:rsidR="001D0FA7">
              <w:rPr>
                <w:color w:val="000000"/>
              </w:rPr>
              <w:t>8</w:t>
            </w:r>
            <w:r w:rsidR="00E43984">
              <w:rPr>
                <w:color w:val="000000"/>
              </w:rPr>
              <w:t xml:space="preserve">0.00. Additionally, </w:t>
            </w:r>
            <w:r w:rsidR="00654717">
              <w:rPr>
                <w:color w:val="000000"/>
              </w:rPr>
              <w:t>PCF did not provide</w:t>
            </w:r>
            <w:r w:rsidR="001D0FA7">
              <w:rPr>
                <w:color w:val="000000"/>
              </w:rPr>
              <w:t xml:space="preserve"> rate</w:t>
            </w:r>
            <w:r w:rsidR="00654717">
              <w:rPr>
                <w:color w:val="000000"/>
              </w:rPr>
              <w:t xml:space="preserve"> justification </w:t>
            </w:r>
            <w:r w:rsidR="00E43984">
              <w:rPr>
                <w:color w:val="000000"/>
              </w:rPr>
              <w:t xml:space="preserve">for the requested rates </w:t>
            </w:r>
            <w:r w:rsidR="00654717">
              <w:rPr>
                <w:color w:val="000000"/>
              </w:rPr>
              <w:t>in Part III.C</w:t>
            </w:r>
            <w:r w:rsidR="00E43984">
              <w:rPr>
                <w:color w:val="000000"/>
              </w:rPr>
              <w:t>.</w:t>
            </w:r>
          </w:p>
          <w:p w:rsidR="004D5A17" w:rsidP="00EB64CF" w:rsidRDefault="004D5A17" w14:paraId="0FA412CD" w14:textId="77777777">
            <w:pPr>
              <w:tabs>
                <w:tab w:val="left" w:pos="1440"/>
              </w:tabs>
              <w:rPr>
                <w:color w:val="000000"/>
              </w:rPr>
            </w:pPr>
          </w:p>
          <w:p w:rsidR="00F256D7" w:rsidP="00EB64CF" w:rsidRDefault="003C30C6" w14:paraId="17721376" w14:textId="45ED512D">
            <w:pPr>
              <w:tabs>
                <w:tab w:val="left" w:pos="1440"/>
              </w:tabs>
              <w:rPr>
                <w:color w:val="000000"/>
              </w:rPr>
            </w:pPr>
            <w:r>
              <w:rPr>
                <w:color w:val="000000"/>
              </w:rPr>
              <w:t xml:space="preserve">For work performed pre-Bar (12/5/2023), </w:t>
            </w:r>
            <w:r w:rsidRPr="00BA521A" w:rsidR="00BA521A">
              <w:rPr>
                <w:color w:val="000000"/>
              </w:rPr>
              <w:t>D.</w:t>
            </w:r>
            <w:r w:rsidR="004D5A17">
              <w:rPr>
                <w:color w:val="000000"/>
              </w:rPr>
              <w:t>25-01-026</w:t>
            </w:r>
            <w:r w:rsidR="00BA521A">
              <w:rPr>
                <w:color w:val="000000"/>
              </w:rPr>
              <w:t xml:space="preserve"> verified</w:t>
            </w:r>
            <w:r w:rsidR="007539DD">
              <w:rPr>
                <w:color w:val="000000"/>
              </w:rPr>
              <w:t xml:space="preserve"> a</w:t>
            </w:r>
            <w:r w:rsidR="00BA521A">
              <w:rPr>
                <w:color w:val="000000"/>
              </w:rPr>
              <w:t xml:space="preserve"> 2023 hourly rate of $</w:t>
            </w:r>
            <w:r>
              <w:rPr>
                <w:color w:val="000000"/>
              </w:rPr>
              <w:t>150</w:t>
            </w:r>
            <w:r w:rsidR="00BA521A">
              <w:rPr>
                <w:color w:val="000000"/>
              </w:rPr>
              <w:t>.00</w:t>
            </w:r>
            <w:r w:rsidR="006B63B2">
              <w:rPr>
                <w:color w:val="000000"/>
              </w:rPr>
              <w:t xml:space="preserve"> </w:t>
            </w:r>
            <w:r w:rsidR="003A51C0">
              <w:rPr>
                <w:color w:val="000000"/>
              </w:rPr>
              <w:t xml:space="preserve">for Webster </w:t>
            </w:r>
            <w:r w:rsidR="006B63B2">
              <w:rPr>
                <w:color w:val="000000"/>
              </w:rPr>
              <w:t>as a Legal – Paralegal - I</w:t>
            </w:r>
            <w:r w:rsidR="00BA521A">
              <w:rPr>
                <w:color w:val="000000"/>
              </w:rPr>
              <w:t>. We apply the same rate here.</w:t>
            </w:r>
          </w:p>
          <w:p w:rsidR="003C30C6" w:rsidP="00EB64CF" w:rsidRDefault="003C30C6" w14:paraId="317A7A6F" w14:textId="77777777">
            <w:pPr>
              <w:tabs>
                <w:tab w:val="left" w:pos="1440"/>
              </w:tabs>
              <w:rPr>
                <w:color w:val="000000"/>
              </w:rPr>
            </w:pPr>
          </w:p>
          <w:p w:rsidR="00A330D3" w:rsidP="00EB64CF" w:rsidRDefault="003C30C6" w14:paraId="511310E5" w14:textId="20558BC6">
            <w:pPr>
              <w:tabs>
                <w:tab w:val="left" w:pos="1440"/>
              </w:tabs>
              <w:rPr>
                <w:color w:val="000000"/>
              </w:rPr>
            </w:pPr>
            <w:r>
              <w:rPr>
                <w:color w:val="000000"/>
              </w:rPr>
              <w:t xml:space="preserve">For work performed post-Bar, </w:t>
            </w:r>
            <w:r w:rsidR="006B63B2">
              <w:rPr>
                <w:color w:val="000000"/>
              </w:rPr>
              <w:t>D.24-12-064 verified a 2023 hourly rate of $2</w:t>
            </w:r>
            <w:r w:rsidR="00725B24">
              <w:rPr>
                <w:color w:val="000000"/>
              </w:rPr>
              <w:t>5</w:t>
            </w:r>
            <w:r w:rsidR="006B63B2">
              <w:rPr>
                <w:color w:val="000000"/>
              </w:rPr>
              <w:t>0.00</w:t>
            </w:r>
            <w:r w:rsidR="003A51C0">
              <w:rPr>
                <w:color w:val="000000"/>
              </w:rPr>
              <w:t xml:space="preserve"> for Webster</w:t>
            </w:r>
            <w:r w:rsidR="003747B6">
              <w:rPr>
                <w:color w:val="000000"/>
              </w:rPr>
              <w:t>.</w:t>
            </w:r>
            <w:r w:rsidR="001D0FA7">
              <w:rPr>
                <w:color w:val="000000"/>
              </w:rPr>
              <w:t xml:space="preserve"> We apply the same rate here</w:t>
            </w:r>
            <w:r w:rsidR="00AA1CC1">
              <w:rPr>
                <w:color w:val="000000"/>
              </w:rPr>
              <w:t>.</w:t>
            </w:r>
          </w:p>
          <w:p w:rsidR="00BA521A" w:rsidP="00EB64CF" w:rsidRDefault="00BA521A" w14:paraId="4475B015" w14:textId="77777777">
            <w:pPr>
              <w:tabs>
                <w:tab w:val="left" w:pos="1440"/>
              </w:tabs>
              <w:rPr>
                <w:color w:val="000000"/>
              </w:rPr>
            </w:pPr>
          </w:p>
          <w:p w:rsidR="00BA521A" w:rsidP="00EB64CF" w:rsidRDefault="003A51C0" w14:paraId="06882684" w14:textId="02DFF5F8">
            <w:pPr>
              <w:tabs>
                <w:tab w:val="left" w:pos="1440"/>
              </w:tabs>
              <w:rPr>
                <w:color w:val="000000"/>
              </w:rPr>
            </w:pPr>
            <w:r>
              <w:rPr>
                <w:color w:val="000000"/>
              </w:rPr>
              <w:t>B</w:t>
            </w:r>
            <w:r w:rsidR="00725B24">
              <w:rPr>
                <w:color w:val="000000"/>
              </w:rPr>
              <w:t>ased on the approved 2023 hourly rate of $250.00 established in D.24-12-064</w:t>
            </w:r>
            <w:r w:rsidR="00CF2CE4">
              <w:rPr>
                <w:color w:val="000000"/>
              </w:rPr>
              <w:t xml:space="preserve">, </w:t>
            </w:r>
            <w:r>
              <w:rPr>
                <w:color w:val="000000"/>
              </w:rPr>
              <w:t xml:space="preserve">we apply </w:t>
            </w:r>
            <w:r w:rsidR="00CF2CE4">
              <w:rPr>
                <w:color w:val="000000"/>
              </w:rPr>
              <w:t xml:space="preserve">the 2024 escalation factor of 4.07% and round to the nearest $5 increment, </w:t>
            </w:r>
            <w:r w:rsidR="00933889">
              <w:rPr>
                <w:color w:val="000000"/>
              </w:rPr>
              <w:t xml:space="preserve">for </w:t>
            </w:r>
            <w:r w:rsidR="00CF2CE4">
              <w:rPr>
                <w:color w:val="000000"/>
              </w:rPr>
              <w:t xml:space="preserve"> the following</w:t>
            </w:r>
            <w:r w:rsidR="00933889">
              <w:rPr>
                <w:color w:val="000000"/>
              </w:rPr>
              <w:t xml:space="preserve"> 2024 rate</w:t>
            </w:r>
            <w:r w:rsidR="00CF2CE4">
              <w:rPr>
                <w:color w:val="000000"/>
              </w:rPr>
              <w:t>:</w:t>
            </w:r>
          </w:p>
          <w:p w:rsidR="00CF2CE4" w:rsidP="00EB64CF" w:rsidRDefault="00CF2CE4" w14:paraId="6D0F78CD" w14:textId="77777777">
            <w:pPr>
              <w:tabs>
                <w:tab w:val="left" w:pos="1440"/>
              </w:tabs>
              <w:rPr>
                <w:color w:val="000000"/>
              </w:rPr>
            </w:pPr>
          </w:p>
          <w:p w:rsidR="00CF2CE4" w:rsidP="00EB64CF" w:rsidRDefault="00CF2CE4" w14:paraId="7358566C" w14:textId="77777777">
            <w:pPr>
              <w:tabs>
                <w:tab w:val="left" w:pos="1440"/>
              </w:tabs>
              <w:rPr>
                <w:color w:val="000000"/>
              </w:rPr>
            </w:pPr>
            <w:r>
              <w:rPr>
                <w:color w:val="000000"/>
              </w:rPr>
              <w:t>2024: $250.00 x 1.0407 = $260.00</w:t>
            </w:r>
          </w:p>
          <w:p w:rsidR="00A330D3" w:rsidP="00EB64CF" w:rsidRDefault="00A330D3" w14:paraId="443298A3" w14:textId="77777777">
            <w:pPr>
              <w:tabs>
                <w:tab w:val="left" w:pos="1440"/>
              </w:tabs>
              <w:rPr>
                <w:color w:val="000000"/>
              </w:rPr>
            </w:pPr>
          </w:p>
          <w:p w:rsidRPr="007F620E" w:rsidR="00CF2CE4" w:rsidP="00EB64CF" w:rsidRDefault="00CF2CE4" w14:paraId="19B02D21" w14:textId="3E0093F0">
            <w:pPr>
              <w:tabs>
                <w:tab w:val="left" w:pos="1440"/>
              </w:tabs>
              <w:rPr>
                <w:color w:val="000000"/>
              </w:rPr>
            </w:pPr>
            <w:r>
              <w:rPr>
                <w:color w:val="000000"/>
              </w:rPr>
              <w:t xml:space="preserve">We find the 2024 hourly rate of $260.00 reasonable and </w:t>
            </w:r>
            <w:r w:rsidR="005E39FE">
              <w:rPr>
                <w:color w:val="000000"/>
              </w:rPr>
              <w:t>correct this</w:t>
            </w:r>
            <w:r>
              <w:rPr>
                <w:color w:val="000000"/>
              </w:rPr>
              <w:t xml:space="preserve"> rate moving forward. We note this change does not affect previous decisions.</w:t>
            </w:r>
          </w:p>
        </w:tc>
      </w:tr>
      <w:tr w:rsidRPr="007F620E" w:rsidR="00A36639" w:rsidTr="00F256D7" w14:paraId="7287B9B1" w14:textId="77777777">
        <w:tc>
          <w:tcPr>
            <w:tcW w:w="1527" w:type="dxa"/>
          </w:tcPr>
          <w:p w:rsidRPr="007F620E" w:rsidR="00F256D7" w:rsidP="00EB64CF" w:rsidRDefault="007539DD" w14:paraId="5E724E53" w14:textId="0F64C8F2">
            <w:pPr>
              <w:tabs>
                <w:tab w:val="left" w:pos="1440"/>
              </w:tabs>
              <w:rPr>
                <w:color w:val="000000"/>
              </w:rPr>
            </w:pPr>
            <w:r>
              <w:rPr>
                <w:color w:val="000000"/>
              </w:rPr>
              <w:t xml:space="preserve">[4] </w:t>
            </w:r>
            <w:r w:rsidRPr="003514A5" w:rsidR="003514A5">
              <w:rPr>
                <w:color w:val="000000"/>
              </w:rPr>
              <w:t>Loretta Lynch Reduction of Hours for Lack of Substantial Contribution</w:t>
            </w:r>
          </w:p>
        </w:tc>
        <w:tc>
          <w:tcPr>
            <w:tcW w:w="7833" w:type="dxa"/>
          </w:tcPr>
          <w:p w:rsidR="00F256D7" w:rsidP="00EB64CF" w:rsidRDefault="003514A5" w14:paraId="0E59BA2E" w14:textId="77777777">
            <w:pPr>
              <w:tabs>
                <w:tab w:val="left" w:pos="1440"/>
              </w:tabs>
              <w:rPr>
                <w:color w:val="000000"/>
              </w:rPr>
            </w:pPr>
            <w:r>
              <w:rPr>
                <w:color w:val="000000"/>
              </w:rPr>
              <w:t>Review of the submitted timesheets found 7.0 hours for Loretta Lynch, containing the following entries:</w:t>
            </w:r>
          </w:p>
          <w:p w:rsidR="003514A5" w:rsidP="00EB64CF" w:rsidRDefault="003514A5" w14:paraId="2547856D" w14:textId="77777777">
            <w:pPr>
              <w:tabs>
                <w:tab w:val="left" w:pos="1440"/>
              </w:tabs>
              <w:rPr>
                <w:color w:val="000000"/>
              </w:rPr>
            </w:pPr>
          </w:p>
          <w:p w:rsidR="003514A5" w:rsidP="00EB64CF" w:rsidRDefault="003514A5" w14:paraId="4FA87B03" w14:textId="0AC0D707">
            <w:pPr>
              <w:tabs>
                <w:tab w:val="left" w:pos="1440"/>
              </w:tabs>
              <w:rPr>
                <w:color w:val="000000"/>
              </w:rPr>
            </w:pPr>
            <w:r>
              <w:rPr>
                <w:color w:val="000000"/>
              </w:rPr>
              <w:t xml:space="preserve">7/12/2024 – </w:t>
            </w:r>
            <w:r w:rsidRPr="003514A5">
              <w:rPr>
                <w:color w:val="000000"/>
              </w:rPr>
              <w:t>Skim PCF, ATC opening comments &amp; ALJ ruling</w:t>
            </w:r>
            <w:r>
              <w:rPr>
                <w:color w:val="000000"/>
              </w:rPr>
              <w:t xml:space="preserve"> (1.5)</w:t>
            </w:r>
          </w:p>
          <w:p w:rsidR="003514A5" w:rsidP="003514A5" w:rsidRDefault="003514A5" w14:paraId="51FC95DD" w14:textId="0EF2C702">
            <w:pPr>
              <w:tabs>
                <w:tab w:val="left" w:pos="1440"/>
              </w:tabs>
              <w:rPr>
                <w:color w:val="000000"/>
              </w:rPr>
            </w:pPr>
            <w:r>
              <w:rPr>
                <w:color w:val="000000"/>
              </w:rPr>
              <w:t xml:space="preserve">7/12/2024 – </w:t>
            </w:r>
            <w:r w:rsidRPr="003514A5">
              <w:rPr>
                <w:color w:val="000000"/>
              </w:rPr>
              <w:t>Provide substantive feedback on reply comments</w:t>
            </w:r>
            <w:r>
              <w:rPr>
                <w:color w:val="000000"/>
              </w:rPr>
              <w:t xml:space="preserve"> (3.0)</w:t>
            </w:r>
          </w:p>
          <w:p w:rsidR="003514A5" w:rsidP="00EB64CF" w:rsidRDefault="003514A5" w14:paraId="62725221" w14:textId="7E61B8FC">
            <w:pPr>
              <w:tabs>
                <w:tab w:val="left" w:pos="1440"/>
              </w:tabs>
              <w:rPr>
                <w:color w:val="000000"/>
              </w:rPr>
            </w:pPr>
            <w:r>
              <w:rPr>
                <w:color w:val="000000"/>
              </w:rPr>
              <w:t xml:space="preserve">7/14/2024 – </w:t>
            </w:r>
            <w:r w:rsidRPr="003514A5">
              <w:rPr>
                <w:color w:val="000000"/>
              </w:rPr>
              <w:t>Provide substantive feedback on intro &amp; first 3 sections of draft 2 of reply brief</w:t>
            </w:r>
            <w:r>
              <w:rPr>
                <w:color w:val="000000"/>
              </w:rPr>
              <w:t xml:space="preserve"> (1.0)</w:t>
            </w:r>
          </w:p>
          <w:p w:rsidR="003514A5" w:rsidP="00EB64CF" w:rsidRDefault="003514A5" w14:paraId="11083949" w14:textId="4F72F820">
            <w:pPr>
              <w:tabs>
                <w:tab w:val="left" w:pos="1440"/>
              </w:tabs>
              <w:rPr>
                <w:color w:val="000000"/>
              </w:rPr>
            </w:pPr>
            <w:r>
              <w:rPr>
                <w:color w:val="000000"/>
              </w:rPr>
              <w:t xml:space="preserve">7/14/2024 – </w:t>
            </w:r>
            <w:r w:rsidRPr="003514A5">
              <w:rPr>
                <w:color w:val="000000"/>
              </w:rPr>
              <w:t>Provide substantive feedback on Secs IV-VI of reply draft 2 &amp; send email explaining remaining issues to address</w:t>
            </w:r>
            <w:r>
              <w:rPr>
                <w:color w:val="000000"/>
              </w:rPr>
              <w:t xml:space="preserve"> (1.5)</w:t>
            </w:r>
          </w:p>
          <w:p w:rsidR="003514A5" w:rsidP="00EB64CF" w:rsidRDefault="003514A5" w14:paraId="5C508E26" w14:textId="77777777">
            <w:pPr>
              <w:tabs>
                <w:tab w:val="left" w:pos="1440"/>
              </w:tabs>
              <w:rPr>
                <w:color w:val="000000"/>
              </w:rPr>
            </w:pPr>
          </w:p>
          <w:p w:rsidR="00115AD1" w:rsidP="00115AD1" w:rsidRDefault="00115AD1" w14:paraId="55FC6CBE" w14:textId="7B48EA83">
            <w:pPr>
              <w:tabs>
                <w:tab w:val="left" w:pos="1440"/>
              </w:tabs>
              <w:rPr>
                <w:color w:val="000000"/>
              </w:rPr>
            </w:pPr>
            <w:r w:rsidRPr="00115AD1">
              <w:rPr>
                <w:color w:val="000000"/>
              </w:rPr>
              <w:lastRenderedPageBreak/>
              <w:t xml:space="preserve">The Commission compensates intervenors for reasonable and efficient participation that contributes to the development of the record and aids in decision-making. However, we find that </w:t>
            </w:r>
            <w:r w:rsidRPr="00CD5C65">
              <w:rPr>
                <w:color w:val="000000"/>
              </w:rPr>
              <w:t>Loretta Lynch</w:t>
            </w:r>
            <w:r w:rsidRPr="00115AD1">
              <w:rPr>
                <w:color w:val="000000"/>
              </w:rPr>
              <w:t xml:space="preserve">'s claimed hours reflect a significant duplication of effort. Specifically, multiple </w:t>
            </w:r>
            <w:r w:rsidRPr="00115AD1" w:rsidR="0022481E">
              <w:rPr>
                <w:color w:val="000000"/>
              </w:rPr>
              <w:t>representatives</w:t>
            </w:r>
            <w:r w:rsidR="0022481E">
              <w:rPr>
                <w:color w:val="000000"/>
              </w:rPr>
              <w:t xml:space="preserve"> - </w:t>
            </w:r>
            <w:r w:rsidRPr="00115AD1" w:rsidR="0022481E">
              <w:rPr>
                <w:color w:val="000000"/>
              </w:rPr>
              <w:t xml:space="preserve"> </w:t>
            </w:r>
            <w:r w:rsidRPr="00115AD1">
              <w:rPr>
                <w:color w:val="000000"/>
              </w:rPr>
              <w:t>whether attorneys or experts</w:t>
            </w:r>
            <w:r w:rsidR="0022481E">
              <w:rPr>
                <w:color w:val="000000"/>
              </w:rPr>
              <w:t xml:space="preserve"> - </w:t>
            </w:r>
            <w:r w:rsidRPr="00115AD1">
              <w:rPr>
                <w:color w:val="000000"/>
              </w:rPr>
              <w:t>worked on the same issues, attended the same meetings, hearings, or workshops, and participated in activities where only one representative would have been sufficient, given the relative simplicity or limited scope of the issues involved.</w:t>
            </w:r>
            <w:r>
              <w:rPr>
                <w:color w:val="000000"/>
              </w:rPr>
              <w:t xml:space="preserve"> Given Malinda Dickenson and Jonathan Webster, the former serving as Legal Director for PCF, both contributed efforts to the reply comments, we find the requested hours for Loretta Lynch unreasonable, duplicative in nature, and did not substantially contribute to the underlying decisions. We, therefore, </w:t>
            </w:r>
            <w:r w:rsidR="002A5BD2">
              <w:rPr>
                <w:color w:val="000000"/>
              </w:rPr>
              <w:t xml:space="preserve">reduce </w:t>
            </w:r>
            <w:r>
              <w:rPr>
                <w:color w:val="000000"/>
              </w:rPr>
              <w:t>7.0 hours for Loretta Lynch for the reasons listed above. As such, no rate determination is necessary for Loretta Lynch’s 2024 hourly rate.</w:t>
            </w:r>
          </w:p>
          <w:p w:rsidR="00115AD1" w:rsidP="00EB64CF" w:rsidRDefault="00115AD1" w14:paraId="7E1CC503" w14:textId="4785185E">
            <w:pPr>
              <w:tabs>
                <w:tab w:val="left" w:pos="1440"/>
              </w:tabs>
              <w:rPr>
                <w:color w:val="000000"/>
              </w:rPr>
            </w:pPr>
            <w:r w:rsidRPr="00115AD1">
              <w:rPr>
                <w:color w:val="000000"/>
              </w:rPr>
              <w:br/>
              <w:t>This level of staffing resulted in unnecessary, redundant, and inefficient participation that did not provide added value to the proceeding. Accordingly, we find that the involvement of multiple representatives in these instances was not justified and resulted in excessive hours. As a result, we reduce the claim by hours to ensure that only reasonable and non-duplicative efforts are compensated.</w:t>
            </w:r>
          </w:p>
          <w:p w:rsidR="00975C13" w:rsidP="00EB64CF" w:rsidRDefault="00975C13" w14:paraId="1D383E4A" w14:textId="77777777">
            <w:pPr>
              <w:tabs>
                <w:tab w:val="left" w:pos="1440"/>
              </w:tabs>
              <w:rPr>
                <w:color w:val="000000"/>
              </w:rPr>
            </w:pPr>
          </w:p>
          <w:p w:rsidRPr="007F620E" w:rsidR="003514A5" w:rsidP="007F0706" w:rsidRDefault="002A5BD2" w14:paraId="6233A682" w14:textId="008CE6D6">
            <w:pPr>
              <w:tabs>
                <w:tab w:val="left" w:pos="1440"/>
              </w:tabs>
              <w:rPr>
                <w:color w:val="000000"/>
              </w:rPr>
            </w:pPr>
            <w:r>
              <w:rPr>
                <w:color w:val="000000"/>
              </w:rPr>
              <w:t>Additionally, w</w:t>
            </w:r>
            <w:r w:rsidR="00975C13">
              <w:rPr>
                <w:color w:val="000000"/>
              </w:rPr>
              <w:t>e note that Loretta Lynch served as an outside consultant and the intervenor compensation claim filing did not contain supporting documentation to substantiate Loretta Lynch’s requested rate.</w:t>
            </w:r>
          </w:p>
        </w:tc>
      </w:tr>
      <w:tr w:rsidRPr="007F620E" w:rsidR="00A36639" w:rsidTr="00F256D7" w14:paraId="0FE5153C" w14:textId="77777777">
        <w:tc>
          <w:tcPr>
            <w:tcW w:w="1527" w:type="dxa"/>
          </w:tcPr>
          <w:p w:rsidRPr="007F620E" w:rsidR="00F256D7" w:rsidP="00EB64CF" w:rsidRDefault="007539DD" w14:paraId="2142502B" w14:textId="1A9E41D4">
            <w:pPr>
              <w:tabs>
                <w:tab w:val="left" w:pos="1440"/>
              </w:tabs>
              <w:rPr>
                <w:color w:val="000000"/>
              </w:rPr>
            </w:pPr>
            <w:r>
              <w:rPr>
                <w:color w:val="000000"/>
              </w:rPr>
              <w:lastRenderedPageBreak/>
              <w:t>[5] Andrea White 2025 Hourly Rate</w:t>
            </w:r>
          </w:p>
        </w:tc>
        <w:tc>
          <w:tcPr>
            <w:tcW w:w="7833" w:type="dxa"/>
          </w:tcPr>
          <w:p w:rsidR="007539DD" w:rsidP="0040675A" w:rsidRDefault="007539DD" w14:paraId="18C89B42" w14:textId="217EF07E">
            <w:pPr>
              <w:tabs>
                <w:tab w:val="left" w:pos="1440"/>
              </w:tabs>
              <w:rPr>
                <w:color w:val="000000"/>
              </w:rPr>
            </w:pPr>
            <w:r w:rsidRPr="007539DD">
              <w:rPr>
                <w:color w:val="000000"/>
              </w:rPr>
              <w:t>PCF requested a 2025 hourly rate of $290.00 for White.</w:t>
            </w:r>
            <w:r w:rsidR="0040675A">
              <w:rPr>
                <w:color w:val="000000"/>
              </w:rPr>
              <w:t xml:space="preserve"> We note the request includes the second requested step-increase for Andrea White as Legal – Attorney – I.</w:t>
            </w:r>
          </w:p>
          <w:p w:rsidRPr="007539DD" w:rsidR="0040675A" w:rsidP="0040675A" w:rsidRDefault="0040675A" w14:paraId="0E03E436" w14:textId="77777777">
            <w:pPr>
              <w:tabs>
                <w:tab w:val="left" w:pos="1440"/>
              </w:tabs>
              <w:rPr>
                <w:color w:val="000000"/>
              </w:rPr>
            </w:pPr>
          </w:p>
          <w:p w:rsidR="0040675A" w:rsidP="007539DD" w:rsidRDefault="007539DD" w14:paraId="1E1D908E" w14:textId="77777777">
            <w:pPr>
              <w:tabs>
                <w:tab w:val="left" w:pos="1440"/>
              </w:tabs>
              <w:rPr>
                <w:color w:val="000000"/>
              </w:rPr>
            </w:pPr>
            <w:r w:rsidRPr="007539DD">
              <w:rPr>
                <w:color w:val="000000"/>
              </w:rPr>
              <w:t xml:space="preserve">D.24-04-017 approved a 2024 hourly rate of $265.00 for White. </w:t>
            </w:r>
            <w:r w:rsidR="0040675A">
              <w:rPr>
                <w:color w:val="000000"/>
              </w:rPr>
              <w:t xml:space="preserve">Using our calculation methodology based on the established 2024 hourly rate of </w:t>
            </w:r>
            <w:r w:rsidRPr="007539DD">
              <w:rPr>
                <w:color w:val="000000"/>
              </w:rPr>
              <w:t>$265.00</w:t>
            </w:r>
            <w:r w:rsidR="0040675A">
              <w:rPr>
                <w:color w:val="000000"/>
              </w:rPr>
              <w:t>, application of the 2025 escalation factor of 3.46% and second 5% step-increase and rounding to the nearest allowable $5 increment, we find:</w:t>
            </w:r>
          </w:p>
          <w:p w:rsidR="0040675A" w:rsidP="007539DD" w:rsidRDefault="0040675A" w14:paraId="69AE1C4D" w14:textId="77777777">
            <w:pPr>
              <w:tabs>
                <w:tab w:val="left" w:pos="1440"/>
              </w:tabs>
              <w:rPr>
                <w:color w:val="000000"/>
              </w:rPr>
            </w:pPr>
          </w:p>
          <w:p w:rsidR="0040675A" w:rsidP="007539DD" w:rsidRDefault="0040675A" w14:paraId="3446C04E" w14:textId="2462401D">
            <w:pPr>
              <w:tabs>
                <w:tab w:val="left" w:pos="1440"/>
              </w:tabs>
              <w:rPr>
                <w:color w:val="000000"/>
              </w:rPr>
            </w:pPr>
            <w:r>
              <w:rPr>
                <w:color w:val="000000"/>
              </w:rPr>
              <w:t>2025: $265.00 x 1.0846 = $285.00</w:t>
            </w:r>
          </w:p>
          <w:p w:rsidR="0040675A" w:rsidP="007539DD" w:rsidRDefault="0040675A" w14:paraId="1F368CFA" w14:textId="77777777">
            <w:pPr>
              <w:tabs>
                <w:tab w:val="left" w:pos="1440"/>
              </w:tabs>
              <w:rPr>
                <w:color w:val="000000"/>
              </w:rPr>
            </w:pPr>
          </w:p>
          <w:p w:rsidR="00F256D7" w:rsidP="0040675A" w:rsidRDefault="0040675A" w14:paraId="30C4EAFE" w14:textId="63210621">
            <w:pPr>
              <w:tabs>
                <w:tab w:val="left" w:pos="1440"/>
              </w:tabs>
              <w:rPr>
                <w:color w:val="000000"/>
              </w:rPr>
            </w:pPr>
            <w:r>
              <w:rPr>
                <w:color w:val="000000"/>
              </w:rPr>
              <w:t xml:space="preserve">We find the 2025 rate of $285.00 reasonable and adopt it here. </w:t>
            </w:r>
            <w:r w:rsidRPr="007539DD" w:rsidR="007539DD">
              <w:rPr>
                <w:color w:val="000000"/>
              </w:rPr>
              <w:t xml:space="preserve"> </w:t>
            </w:r>
            <w:r w:rsidR="000202ED">
              <w:rPr>
                <w:color w:val="000000"/>
              </w:rPr>
              <w:t xml:space="preserve">Intervenor Compensation Claim Preparation is </w:t>
            </w:r>
            <w:r w:rsidR="002A5BD2">
              <w:rPr>
                <w:color w:val="000000"/>
              </w:rPr>
              <w:t xml:space="preserve">compensated </w:t>
            </w:r>
            <w:r w:rsidR="000202ED">
              <w:rPr>
                <w:color w:val="000000"/>
              </w:rPr>
              <w:t xml:space="preserve">at ½ </w:t>
            </w:r>
            <w:r w:rsidR="002A5BD2">
              <w:rPr>
                <w:color w:val="000000"/>
              </w:rPr>
              <w:t xml:space="preserve">the </w:t>
            </w:r>
            <w:r w:rsidR="000202ED">
              <w:rPr>
                <w:color w:val="000000"/>
              </w:rPr>
              <w:t xml:space="preserve">preparer’s normal rate, bringing the 2025 claim preparation rate to </w:t>
            </w:r>
            <w:r w:rsidRPr="007539DD" w:rsidR="007539DD">
              <w:rPr>
                <w:color w:val="000000"/>
              </w:rPr>
              <w:t>$142.50.</w:t>
            </w:r>
          </w:p>
          <w:p w:rsidR="000202ED" w:rsidP="0040675A" w:rsidRDefault="000202ED" w14:paraId="4A6DDFF1" w14:textId="77777777">
            <w:pPr>
              <w:tabs>
                <w:tab w:val="left" w:pos="1440"/>
              </w:tabs>
              <w:rPr>
                <w:color w:val="000000"/>
              </w:rPr>
            </w:pPr>
          </w:p>
          <w:p w:rsidRPr="007F620E" w:rsidR="000202ED" w:rsidP="0040675A" w:rsidRDefault="000202ED" w14:paraId="080A582B" w14:textId="6110A45C">
            <w:pPr>
              <w:tabs>
                <w:tab w:val="left" w:pos="1440"/>
              </w:tabs>
              <w:rPr>
                <w:color w:val="000000"/>
              </w:rPr>
            </w:pPr>
            <w:r w:rsidRPr="007539DD">
              <w:rPr>
                <w:color w:val="000000"/>
              </w:rPr>
              <w:t>We note that this is White’s second, and last, step increase for the Legal – Attorney – Level I classification.</w:t>
            </w:r>
            <w:r>
              <w:rPr>
                <w:color w:val="000000"/>
              </w:rPr>
              <w:t xml:space="preserve"> Additionally, Andrea White passed the bar on 12/5/2023, therefore, </w:t>
            </w:r>
            <w:r w:rsidR="00DF4A11">
              <w:rPr>
                <w:color w:val="000000"/>
              </w:rPr>
              <w:t>qualify for a level increase to Legal – Attorney – II beginning 12/5/2025.</w:t>
            </w:r>
          </w:p>
        </w:tc>
      </w:tr>
      <w:tr w:rsidRPr="007F620E" w:rsidR="00A36639" w:rsidTr="00F256D7" w14:paraId="71B06FCC" w14:textId="77777777">
        <w:tc>
          <w:tcPr>
            <w:tcW w:w="1527" w:type="dxa"/>
          </w:tcPr>
          <w:p w:rsidRPr="007F620E" w:rsidR="00F256D7" w:rsidP="00EB64CF" w:rsidRDefault="002362CF" w14:paraId="626C4755" w14:textId="0E824C45">
            <w:pPr>
              <w:tabs>
                <w:tab w:val="left" w:pos="1440"/>
              </w:tabs>
              <w:rPr>
                <w:color w:val="000000"/>
              </w:rPr>
            </w:pPr>
            <w:r>
              <w:rPr>
                <w:color w:val="000000"/>
              </w:rPr>
              <w:lastRenderedPageBreak/>
              <w:t>[6] Reduction of Hours for Work Associated with CEQA/GO 131-E Exemptions</w:t>
            </w:r>
          </w:p>
        </w:tc>
        <w:tc>
          <w:tcPr>
            <w:tcW w:w="7833" w:type="dxa"/>
          </w:tcPr>
          <w:p w:rsidR="00F256D7" w:rsidP="00EB64CF" w:rsidRDefault="000E1AAD" w14:paraId="2B069FE3" w14:textId="20F76468">
            <w:pPr>
              <w:tabs>
                <w:tab w:val="left" w:pos="1440"/>
              </w:tabs>
              <w:rPr>
                <w:color w:val="000000"/>
              </w:rPr>
            </w:pPr>
            <w:r>
              <w:rPr>
                <w:color w:val="000000"/>
              </w:rPr>
              <w:t>As noted in Part II, we find the claimed contribution re: CEQA/GO 131-E Exemptions did not substantially contribute</w:t>
            </w:r>
            <w:r w:rsidR="00B17955">
              <w:rPr>
                <w:color w:val="000000"/>
              </w:rPr>
              <w:t xml:space="preserve"> to the decision</w:t>
            </w:r>
            <w:r w:rsidR="0044403F">
              <w:rPr>
                <w:color w:val="000000"/>
              </w:rPr>
              <w:t>.</w:t>
            </w:r>
            <w:r>
              <w:rPr>
                <w:color w:val="000000"/>
              </w:rPr>
              <w:t xml:space="preserve"> </w:t>
            </w:r>
            <w:r w:rsidR="00B17955">
              <w:rPr>
                <w:color w:val="000000"/>
              </w:rPr>
              <w:t>Therefore</w:t>
            </w:r>
            <w:r w:rsidR="00D31AD5">
              <w:rPr>
                <w:color w:val="000000"/>
              </w:rPr>
              <w:t>,</w:t>
            </w:r>
            <w:r w:rsidR="00B17955">
              <w:rPr>
                <w:color w:val="000000"/>
              </w:rPr>
              <w:t xml:space="preserve"> we reduce</w:t>
            </w:r>
            <w:r w:rsidR="0044403F">
              <w:rPr>
                <w:color w:val="000000"/>
              </w:rPr>
              <w:t xml:space="preserve"> </w:t>
            </w:r>
            <w:r w:rsidR="00C44298">
              <w:rPr>
                <w:color w:val="000000"/>
              </w:rPr>
              <w:t>13.5 hours associated</w:t>
            </w:r>
            <w:r w:rsidR="0044403F">
              <w:t xml:space="preserve"> </w:t>
            </w:r>
            <w:r w:rsidR="00B17955">
              <w:rPr>
                <w:color w:val="000000"/>
              </w:rPr>
              <w:t>with</w:t>
            </w:r>
            <w:r w:rsidRPr="0044403F" w:rsidR="00B17955">
              <w:rPr>
                <w:color w:val="000000"/>
              </w:rPr>
              <w:t xml:space="preserve"> </w:t>
            </w:r>
            <w:r w:rsidRPr="0044403F" w:rsidR="0044403F">
              <w:rPr>
                <w:color w:val="000000"/>
              </w:rPr>
              <w:t xml:space="preserve">the </w:t>
            </w:r>
            <w:r w:rsidR="0044403F">
              <w:rPr>
                <w:color w:val="000000"/>
              </w:rPr>
              <w:t>following timesheet entries:</w:t>
            </w:r>
          </w:p>
          <w:p w:rsidR="00C44298" w:rsidP="00EB64CF" w:rsidRDefault="00C44298" w14:paraId="3CB47E7E" w14:textId="77777777">
            <w:pPr>
              <w:tabs>
                <w:tab w:val="left" w:pos="1440"/>
              </w:tabs>
              <w:rPr>
                <w:color w:val="000000"/>
              </w:rPr>
            </w:pPr>
          </w:p>
          <w:p w:rsidR="00C44298" w:rsidP="00EB64CF" w:rsidRDefault="00C44298" w14:paraId="2980E1BA" w14:textId="2BA956E0">
            <w:pPr>
              <w:tabs>
                <w:tab w:val="left" w:pos="1440"/>
              </w:tabs>
              <w:rPr>
                <w:color w:val="000000"/>
              </w:rPr>
            </w:pPr>
            <w:r>
              <w:rPr>
                <w:color w:val="000000"/>
              </w:rPr>
              <w:t xml:space="preserve">Malinda Dickenson – </w:t>
            </w:r>
            <w:r w:rsidR="002347DB">
              <w:rPr>
                <w:color w:val="000000"/>
              </w:rPr>
              <w:t>1.3</w:t>
            </w:r>
            <w:r w:rsidR="006850C7">
              <w:rPr>
                <w:color w:val="000000"/>
              </w:rPr>
              <w:t>0</w:t>
            </w:r>
          </w:p>
          <w:p w:rsidR="00C44298" w:rsidP="00EB64CF" w:rsidRDefault="00C44298" w14:paraId="185615BE" w14:textId="1D62AB67">
            <w:pPr>
              <w:tabs>
                <w:tab w:val="left" w:pos="1440"/>
              </w:tabs>
              <w:rPr>
                <w:color w:val="000000"/>
              </w:rPr>
            </w:pPr>
            <w:r>
              <w:rPr>
                <w:color w:val="000000"/>
              </w:rPr>
              <w:t xml:space="preserve">2/23/2024 – </w:t>
            </w:r>
            <w:r w:rsidRPr="00C44298">
              <w:rPr>
                <w:color w:val="000000"/>
              </w:rPr>
              <w:t>Review JW memo re CEQA exemptions</w:t>
            </w:r>
            <w:r>
              <w:rPr>
                <w:color w:val="000000"/>
              </w:rPr>
              <w:t xml:space="preserve"> </w:t>
            </w:r>
          </w:p>
          <w:p w:rsidR="00C44298" w:rsidP="00C44298" w:rsidRDefault="00C44298" w14:paraId="3A8D5729" w14:textId="76437973">
            <w:pPr>
              <w:tabs>
                <w:tab w:val="left" w:pos="1440"/>
              </w:tabs>
              <w:rPr>
                <w:color w:val="000000"/>
              </w:rPr>
            </w:pPr>
            <w:r>
              <w:rPr>
                <w:color w:val="000000"/>
              </w:rPr>
              <w:t xml:space="preserve">7/12/2024 – </w:t>
            </w:r>
            <w:r w:rsidRPr="00C44298">
              <w:rPr>
                <w:color w:val="000000"/>
              </w:rPr>
              <w:t>Research re and draft CEQA exemption section</w:t>
            </w:r>
            <w:r>
              <w:rPr>
                <w:color w:val="000000"/>
              </w:rPr>
              <w:t xml:space="preserve"> </w:t>
            </w:r>
          </w:p>
          <w:p w:rsidR="00C44298" w:rsidP="00C44298" w:rsidRDefault="00C44298" w14:paraId="47B7B2BD" w14:textId="77777777">
            <w:pPr>
              <w:tabs>
                <w:tab w:val="left" w:pos="1440"/>
              </w:tabs>
              <w:rPr>
                <w:color w:val="000000"/>
              </w:rPr>
            </w:pPr>
          </w:p>
          <w:p w:rsidR="00C44298" w:rsidP="00C44298" w:rsidRDefault="00C44298" w14:paraId="54413BA4" w14:textId="56D372FE">
            <w:pPr>
              <w:tabs>
                <w:tab w:val="left" w:pos="1440"/>
              </w:tabs>
              <w:rPr>
                <w:color w:val="000000"/>
              </w:rPr>
            </w:pPr>
            <w:r>
              <w:rPr>
                <w:color w:val="000000"/>
              </w:rPr>
              <w:t>Jonathan Webster –</w:t>
            </w:r>
            <w:r w:rsidR="002347DB">
              <w:rPr>
                <w:color w:val="000000"/>
              </w:rPr>
              <w:t xml:space="preserve"> 12.2</w:t>
            </w:r>
            <w:r w:rsidR="00B8487C">
              <w:rPr>
                <w:color w:val="000000"/>
              </w:rPr>
              <w:t>0</w:t>
            </w:r>
          </w:p>
          <w:p w:rsidR="00C44298" w:rsidP="00C44298" w:rsidRDefault="0044403F" w14:paraId="1CC2B648" w14:textId="7C9123E6">
            <w:pPr>
              <w:tabs>
                <w:tab w:val="left" w:pos="1440"/>
              </w:tabs>
              <w:rPr>
                <w:color w:val="000000"/>
              </w:rPr>
            </w:pPr>
            <w:r>
              <w:rPr>
                <w:color w:val="000000"/>
              </w:rPr>
              <w:t xml:space="preserve">1/9/2024 - </w:t>
            </w:r>
            <w:r w:rsidRPr="0044403F">
              <w:rPr>
                <w:color w:val="000000"/>
              </w:rPr>
              <w:t>Research CEQA definitions of "existing", categorical exemptions, etc.</w:t>
            </w:r>
            <w:r>
              <w:rPr>
                <w:color w:val="000000"/>
              </w:rPr>
              <w:t xml:space="preserve"> </w:t>
            </w:r>
          </w:p>
          <w:p w:rsidR="0044403F" w:rsidP="00C44298" w:rsidRDefault="0044403F" w14:paraId="7EE040A9" w14:textId="47D0128A">
            <w:pPr>
              <w:tabs>
                <w:tab w:val="left" w:pos="1440"/>
              </w:tabs>
              <w:rPr>
                <w:color w:val="000000"/>
              </w:rPr>
            </w:pPr>
            <w:r>
              <w:rPr>
                <w:color w:val="000000"/>
              </w:rPr>
              <w:t xml:space="preserve">2/13/2024 – </w:t>
            </w:r>
            <w:r w:rsidRPr="0044403F">
              <w:rPr>
                <w:color w:val="000000"/>
              </w:rPr>
              <w:t>CEQA exemption research for phase 2 issues</w:t>
            </w:r>
            <w:r>
              <w:rPr>
                <w:color w:val="000000"/>
              </w:rPr>
              <w:t xml:space="preserve"> </w:t>
            </w:r>
          </w:p>
          <w:p w:rsidR="0044403F" w:rsidP="00C44298" w:rsidRDefault="0044403F" w14:paraId="1144DB9B" w14:textId="01CE75B3">
            <w:pPr>
              <w:tabs>
                <w:tab w:val="left" w:pos="1440"/>
              </w:tabs>
              <w:rPr>
                <w:color w:val="000000"/>
              </w:rPr>
            </w:pPr>
            <w:r>
              <w:rPr>
                <w:color w:val="000000"/>
              </w:rPr>
              <w:t xml:space="preserve">2/14/2024 – </w:t>
            </w:r>
            <w:r w:rsidRPr="0044403F">
              <w:rPr>
                <w:color w:val="000000"/>
              </w:rPr>
              <w:t>Research CEQA exemptions and how they interact with proposed definitions by parties</w:t>
            </w:r>
            <w:r>
              <w:rPr>
                <w:color w:val="000000"/>
              </w:rPr>
              <w:t xml:space="preserve"> </w:t>
            </w:r>
          </w:p>
          <w:p w:rsidR="0044403F" w:rsidP="00C44298" w:rsidRDefault="0044403F" w14:paraId="3F06940C" w14:textId="5A8B5B45">
            <w:pPr>
              <w:tabs>
                <w:tab w:val="left" w:pos="1440"/>
              </w:tabs>
              <w:rPr>
                <w:color w:val="000000"/>
              </w:rPr>
            </w:pPr>
            <w:r>
              <w:rPr>
                <w:color w:val="000000"/>
              </w:rPr>
              <w:t xml:space="preserve">2/20/2024 – </w:t>
            </w:r>
            <w:r w:rsidRPr="0044403F">
              <w:rPr>
                <w:color w:val="000000"/>
              </w:rPr>
              <w:t xml:space="preserve">Review </w:t>
            </w:r>
            <w:proofErr w:type="spellStart"/>
            <w:r w:rsidRPr="0044403F">
              <w:rPr>
                <w:color w:val="000000"/>
              </w:rPr>
              <w:t>cal</w:t>
            </w:r>
            <w:proofErr w:type="spellEnd"/>
            <w:r w:rsidRPr="0044403F">
              <w:rPr>
                <w:color w:val="000000"/>
              </w:rPr>
              <w:t xml:space="preserve"> adv proposal with special attention environmental review and CEQA requirements</w:t>
            </w:r>
            <w:r>
              <w:rPr>
                <w:color w:val="000000"/>
              </w:rPr>
              <w:t xml:space="preserve"> </w:t>
            </w:r>
          </w:p>
          <w:p w:rsidRPr="007F620E" w:rsidR="00481D44" w:rsidP="00EB64CF" w:rsidRDefault="0044403F" w14:paraId="6EF96BFB" w14:textId="3FB1C4AA">
            <w:pPr>
              <w:tabs>
                <w:tab w:val="left" w:pos="1440"/>
              </w:tabs>
              <w:rPr>
                <w:color w:val="000000"/>
              </w:rPr>
            </w:pPr>
            <w:r>
              <w:rPr>
                <w:color w:val="000000"/>
              </w:rPr>
              <w:t xml:space="preserve">7/12/2024 – </w:t>
            </w:r>
            <w:r w:rsidRPr="0044403F">
              <w:rPr>
                <w:color w:val="000000"/>
              </w:rPr>
              <w:t>Research CEQA exemption regulations</w:t>
            </w:r>
            <w:r>
              <w:rPr>
                <w:color w:val="000000"/>
              </w:rPr>
              <w:t xml:space="preserve"> </w:t>
            </w:r>
          </w:p>
        </w:tc>
      </w:tr>
    </w:tbl>
    <w:p w:rsidRPr="007F620E" w:rsidR="00A92D0B" w:rsidP="009356D1" w:rsidRDefault="00A92D0B" w14:paraId="18E9D359" w14:textId="6CF07914">
      <w:pPr>
        <w:keepNext/>
        <w:tabs>
          <w:tab w:val="left" w:pos="1260"/>
        </w:tabs>
        <w:spacing w:before="240"/>
        <w:jc w:val="center"/>
        <w:rPr>
          <w:b/>
          <w:color w:val="000000"/>
        </w:rPr>
      </w:pPr>
      <w:r w:rsidRPr="007F620E">
        <w:rPr>
          <w:b/>
          <w:color w:val="000000"/>
        </w:rPr>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C65550" w:rsidRDefault="00C65550" w14:paraId="6E7CD931" w14:textId="1AE32476">
            <w:pPr>
              <w:jc w:val="cente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C65550" w:rsidRDefault="00C65550" w14:paraId="238D2D3F" w14:textId="36DA737E">
            <w:pPr>
              <w:keepNext/>
              <w:keepLines/>
              <w:spacing w:after="240"/>
              <w:jc w:val="center"/>
              <w:rPr>
                <w:color w:val="000000"/>
              </w:rPr>
            </w:pPr>
            <w:r>
              <w:rPr>
                <w:color w:val="000000"/>
              </w:rPr>
              <w:t>Yes</w:t>
            </w:r>
          </w:p>
        </w:tc>
      </w:tr>
    </w:tbl>
    <w:p w:rsidR="00BE45D0" w:rsidRDefault="00BE45D0" w14:paraId="4C76EB64" w14:textId="77777777">
      <w:pPr>
        <w:jc w:val="center"/>
        <w:rPr>
          <w:b/>
          <w:color w:val="000000"/>
          <w:u w:val="single"/>
        </w:rPr>
      </w:pPr>
    </w:p>
    <w:p w:rsidRPr="007F620E" w:rsidR="00A92D0B" w:rsidP="009356D1" w:rsidRDefault="00A92D0B" w14:paraId="186E115A" w14:textId="77777777">
      <w:pPr>
        <w:keepNext/>
        <w:spacing w:before="120" w:after="240"/>
        <w:jc w:val="center"/>
        <w:rPr>
          <w:b/>
          <w:color w:val="000000"/>
          <w:u w:val="single"/>
        </w:rPr>
      </w:pPr>
      <w:r w:rsidRPr="007F620E">
        <w:rPr>
          <w:b/>
          <w:color w:val="000000"/>
          <w:u w:val="single"/>
        </w:rPr>
        <w:t>FINDINGS OF FACT</w:t>
      </w:r>
    </w:p>
    <w:p w:rsidRPr="007F620E" w:rsidR="00A92D0B" w:rsidRDefault="005E68EE" w14:paraId="7772A9DC" w14:textId="2BF8ABB5">
      <w:pPr>
        <w:numPr>
          <w:ilvl w:val="0"/>
          <w:numId w:val="3"/>
        </w:numPr>
        <w:tabs>
          <w:tab w:val="num" w:pos="540"/>
        </w:tabs>
        <w:ind w:left="540" w:hanging="540"/>
      </w:pPr>
      <w:r w:rsidRPr="005E68EE">
        <w:t>Protect Our Communities Foundation</w:t>
      </w:r>
      <w:r w:rsidRPr="007F620E" w:rsidR="00FE3BAE">
        <w:t xml:space="preserve"> </w:t>
      </w:r>
      <w:r w:rsidRPr="007F620E" w:rsidR="00A92D0B">
        <w:t>has made a substantia</w:t>
      </w:r>
      <w:r w:rsidRPr="007F620E" w:rsidR="00DE3A5D">
        <w:t>l contribution to D.</w:t>
      </w:r>
      <w:r w:rsidRPr="00501D51" w:rsidR="00501D51">
        <w:t>23-12-035, D.24-06-026, D.25-01-055</w:t>
      </w:r>
      <w:r w:rsidR="00EF60B6">
        <w:t xml:space="preserve"> and</w:t>
      </w:r>
      <w:r w:rsidR="00DF5C93">
        <w:t xml:space="preserve"> </w:t>
      </w:r>
      <w:r w:rsidRPr="00501D51" w:rsidR="00501D51">
        <w:t>D.25-07-042</w:t>
      </w:r>
      <w:r w:rsidRPr="005E68EE" w:rsidR="00A92D0B">
        <w:t>.</w:t>
      </w:r>
    </w:p>
    <w:p w:rsidRPr="007F620E" w:rsidR="00A92D0B" w:rsidRDefault="00A92D0B" w14:paraId="04EB50FD" w14:textId="21526F62">
      <w:pPr>
        <w:numPr>
          <w:ilvl w:val="0"/>
          <w:numId w:val="3"/>
        </w:numPr>
        <w:tabs>
          <w:tab w:val="num" w:pos="540"/>
        </w:tabs>
        <w:spacing w:before="240"/>
      </w:pPr>
      <w:r w:rsidRPr="007F620E">
        <w:t>The requested hourly rates for</w:t>
      </w:r>
      <w:r w:rsidR="003B6A1B">
        <w:t xml:space="preserve"> </w:t>
      </w:r>
      <w:r w:rsidRPr="005E68EE" w:rsidR="005E68EE">
        <w:t>Protect Our Communities Foundation</w:t>
      </w:r>
      <w:r w:rsidRPr="007F620E" w:rsidR="005A63D4">
        <w:t xml:space="preserve">’s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7CF8F3F5">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5F8884B4">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Pr="00287A63" w:rsidR="00287A63">
        <w:t>$169,290.00</w:t>
      </w:r>
      <w:r w:rsidRPr="007F620E">
        <w:t>.</w:t>
      </w:r>
    </w:p>
    <w:p w:rsidRPr="007F620E" w:rsidR="00A92D0B" w:rsidP="009356D1" w:rsidRDefault="00A92D0B" w14:paraId="5C773C3F" w14:textId="77777777">
      <w:pPr>
        <w:keepNext/>
        <w:spacing w:before="360" w:after="240"/>
        <w:jc w:val="center"/>
        <w:rPr>
          <w:b/>
          <w:color w:val="000000"/>
          <w:u w:val="single"/>
        </w:rPr>
      </w:pPr>
      <w:r w:rsidRPr="007F620E">
        <w:rPr>
          <w:b/>
          <w:color w:val="000000"/>
          <w:u w:val="single"/>
        </w:rPr>
        <w:lastRenderedPageBreak/>
        <w:t>CONCLUSION OF LAW</w:t>
      </w:r>
    </w:p>
    <w:p w:rsidRPr="007F620E" w:rsidR="00A92D0B" w:rsidP="00575494" w:rsidRDefault="00A92D0B" w14:paraId="654F2C27" w14:textId="25D99F95">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9356D1" w:rsidRDefault="00A92D0B" w14:paraId="0E2503A5" w14:textId="77777777">
      <w:pPr>
        <w:keepNext/>
        <w:spacing w:before="360" w:after="240"/>
        <w:jc w:val="center"/>
        <w:rPr>
          <w:b/>
          <w:color w:val="000000"/>
          <w:u w:val="single"/>
        </w:rPr>
      </w:pPr>
      <w:r w:rsidRPr="007F620E">
        <w:rPr>
          <w:b/>
          <w:color w:val="000000"/>
          <w:u w:val="single"/>
        </w:rPr>
        <w:t>ORDER</w:t>
      </w:r>
    </w:p>
    <w:p w:rsidRPr="007F620E" w:rsidR="00A92D0B" w:rsidP="00CE057B" w:rsidRDefault="005E68EE" w14:paraId="33FB4E15" w14:textId="39E8601D">
      <w:pPr>
        <w:keepNext/>
        <w:numPr>
          <w:ilvl w:val="0"/>
          <w:numId w:val="4"/>
        </w:numPr>
        <w:tabs>
          <w:tab w:val="clear" w:pos="900"/>
          <w:tab w:val="num" w:pos="540"/>
        </w:tabs>
        <w:ind w:left="547" w:hanging="547"/>
        <w:rPr>
          <w:color w:val="000000"/>
        </w:rPr>
      </w:pPr>
      <w:r w:rsidRPr="005E68EE">
        <w:t>Protect Our Communities Foundation</w:t>
      </w:r>
      <w:r w:rsidRPr="007F620E">
        <w:t xml:space="preserve"> </w:t>
      </w:r>
      <w:r w:rsidR="00831652">
        <w:t>is</w:t>
      </w:r>
      <w:r w:rsidRPr="00FE3BAE" w:rsidR="00FE3BAE">
        <w:t xml:space="preserve"> </w:t>
      </w:r>
      <w:r w:rsidRPr="00FE3BAE" w:rsidR="00A92D0B">
        <w:rPr>
          <w:color w:val="000000"/>
        </w:rPr>
        <w:t xml:space="preserve">awarded </w:t>
      </w:r>
      <w:r w:rsidRPr="00287A63" w:rsidR="00287A63">
        <w:rPr>
          <w:color w:val="000000"/>
        </w:rPr>
        <w:t>$169,290.00</w:t>
      </w:r>
      <w:r w:rsidRPr="007F620E" w:rsidR="00A92D0B">
        <w:rPr>
          <w:color w:val="000000"/>
        </w:rPr>
        <w:t>.</w:t>
      </w:r>
    </w:p>
    <w:p w:rsidR="00A92D0B" w:rsidRDefault="0055228B" w14:paraId="4AEF5671" w14:textId="13CEFCDF">
      <w:pPr>
        <w:numPr>
          <w:ilvl w:val="0"/>
          <w:numId w:val="4"/>
        </w:numPr>
        <w:tabs>
          <w:tab w:val="clear" w:pos="900"/>
          <w:tab w:val="num" w:pos="540"/>
        </w:tabs>
        <w:spacing w:before="240"/>
        <w:ind w:left="547" w:hanging="547"/>
      </w:pPr>
      <w:r>
        <w:t xml:space="preserve">Within 30 days of the effective date of this decision, </w:t>
      </w:r>
      <w:r w:rsidRPr="005E68EE" w:rsidR="005E68EE">
        <w:t>Pacific Gas and Electric Company, Southern California Edison Company, San Diego Gas &amp; Electric Company, Bear Valley Electric Service, Inc., Liberty Utilities (</w:t>
      </w:r>
      <w:proofErr w:type="spellStart"/>
      <w:r w:rsidRPr="005E68EE" w:rsidR="005E68EE">
        <w:t>CalPeco</w:t>
      </w:r>
      <w:proofErr w:type="spellEnd"/>
      <w:r w:rsidRPr="005E68EE" w:rsidR="005E68EE">
        <w:t xml:space="preserve"> Electric) LLC, and PacifiCorp d.b.a. Pacific Power</w:t>
      </w:r>
      <w:r>
        <w:t xml:space="preserve"> </w:t>
      </w:r>
      <w:r w:rsidRPr="00831652">
        <w:t>shall</w:t>
      </w:r>
      <w:r>
        <w:t xml:space="preserve"> pay </w:t>
      </w:r>
      <w:r w:rsidRPr="005E68EE" w:rsidR="005E68EE">
        <w:t>Protect Our Communities Foundation</w:t>
      </w:r>
      <w:r w:rsidRPr="0022302F">
        <w:t xml:space="preserve"> </w:t>
      </w:r>
      <w:r>
        <w:t xml:space="preserve">their respective shares of the award, based on their California electric revenues for the </w:t>
      </w:r>
      <w:r w:rsidR="005E68EE">
        <w:t>2024</w:t>
      </w:r>
      <w:r>
        <w:t xml:space="preserve"> calendar year, </w:t>
      </w:r>
      <w:r w:rsidRPr="0055228B">
        <w:t xml:space="preserve">to reflect the year in which the proceeding was primarily litigated. If such data </w:t>
      </w:r>
      <w:r w:rsidR="005E68EE">
        <w:t>is</w:t>
      </w:r>
      <w:r w:rsidRPr="0055228B">
        <w:t xml:space="preserve"> unavailable, the most recent electric revenue data shall be used.</w:t>
      </w:r>
      <w:r w:rsidRPr="007F620E" w:rsidR="00A92D0B">
        <w:t xml:space="preserve"> Payment of the award </w:t>
      </w:r>
      <w:r w:rsidRPr="00831652" w:rsidR="00A92D0B">
        <w:t>shall</w:t>
      </w:r>
      <w:r w:rsidRPr="007F620E" w:rsidR="00A92D0B">
        <w:t xml:space="preserve"> include</w:t>
      </w:r>
      <w:r w:rsidRPr="007F620E" w:rsidR="004E3939">
        <w:t xml:space="preserve"> compound </w:t>
      </w:r>
      <w:r w:rsidRPr="007F620E" w:rsidR="00A92D0B">
        <w:t xml:space="preserve">interest at the rate earned on prime, three-month </w:t>
      </w:r>
      <w:r w:rsidRPr="007F620E" w:rsidR="00214B22">
        <w:t xml:space="preserve">non-financial </w:t>
      </w:r>
      <w:r w:rsidRPr="007F620E" w:rsidR="00A92D0B">
        <w:t>commercial paper as reported in Federal Reserve Statistical Release H.15, beginning</w:t>
      </w:r>
      <w:r w:rsidRPr="007F620E" w:rsidR="00357F1A">
        <w:t xml:space="preserve"> </w:t>
      </w:r>
      <w:r w:rsidR="00DA3BB7">
        <w:t>December 7, 2025</w:t>
      </w:r>
      <w:r w:rsidRPr="007F620E" w:rsidR="00357F1A">
        <w:t xml:space="preserve">, </w:t>
      </w:r>
      <w:r w:rsidRPr="007F620E" w:rsidR="00A92D0B">
        <w:t>the 75</w:t>
      </w:r>
      <w:r w:rsidRPr="007F620E" w:rsidR="00A92D0B">
        <w:rPr>
          <w:vertAlign w:val="superscript"/>
        </w:rPr>
        <w:t>th</w:t>
      </w:r>
      <w:r w:rsidRPr="007F620E" w:rsidR="00A92D0B">
        <w:t xml:space="preserve"> day after the filing of </w:t>
      </w:r>
      <w:r w:rsidRPr="005E68EE" w:rsidR="005E68EE">
        <w:t>Protect Our Communities Foundation</w:t>
      </w:r>
      <w:r w:rsidRPr="003B6A1B" w:rsidR="00FE3BAE">
        <w:t>’s</w:t>
      </w:r>
      <w:r w:rsidRPr="003B6A1B" w:rsidR="00FE3BAE">
        <w:rPr>
          <w:b/>
        </w:rPr>
        <w:t xml:space="preserve"> </w:t>
      </w:r>
      <w:r w:rsidRPr="007F620E" w:rsidR="00A92D0B">
        <w:t>request, and continuing until full payment is made.</w:t>
      </w:r>
    </w:p>
    <w:p w:rsidRPr="007F620E" w:rsidR="00A92D0B" w:rsidP="00DE3A5D" w:rsidRDefault="00A92D0B" w14:paraId="5AD40C95" w14:textId="0490C4E0">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00A92D0B" w:rsidP="00357623" w:rsidRDefault="00A92D0B" w14:paraId="0467B995" w14:textId="6ADE352A">
      <w:pPr>
        <w:keepNext/>
        <w:keepLines/>
        <w:spacing w:before="240"/>
        <w:ind w:left="547"/>
        <w:rPr>
          <w:color w:val="000000"/>
        </w:rPr>
      </w:pPr>
      <w:r w:rsidRPr="007F620E">
        <w:rPr>
          <w:color w:val="000000"/>
        </w:rPr>
        <w:t xml:space="preserve">Dated </w:t>
      </w:r>
      <w:r w:rsidR="00873E6D">
        <w:rPr>
          <w:color w:val="000000"/>
        </w:rPr>
        <w:t>June 11, 2026,</w:t>
      </w:r>
      <w:r w:rsidRPr="007F620E">
        <w:rPr>
          <w:color w:val="000000"/>
        </w:rPr>
        <w:t xml:space="preserve"> at </w:t>
      </w:r>
      <w:r w:rsidR="006B45AD">
        <w:rPr>
          <w:color w:val="000000"/>
        </w:rPr>
        <w:t>Sacramento</w:t>
      </w:r>
      <w:r w:rsidRPr="007F620E">
        <w:rPr>
          <w:color w:val="000000"/>
        </w:rPr>
        <w:t>, California.</w:t>
      </w:r>
    </w:p>
    <w:p w:rsidR="00873E6D" w:rsidP="00873E6D" w:rsidRDefault="00873E6D" w14:paraId="2B577656" w14:textId="77777777">
      <w:pPr>
        <w:keepNext/>
        <w:keepLines/>
        <w:autoSpaceDE w:val="0"/>
        <w:autoSpaceDN w:val="0"/>
        <w:adjustRightInd w:val="0"/>
        <w:ind w:left="4320"/>
        <w:jc w:val="both"/>
        <w:rPr>
          <w:rFonts w:ascii="Book Antiqua" w:hAnsi="Book Antiqua"/>
          <w:sz w:val="26"/>
          <w:szCs w:val="20"/>
        </w:rPr>
      </w:pPr>
    </w:p>
    <w:p w:rsidRPr="00873E6D" w:rsidR="00873E6D" w:rsidP="00873E6D" w:rsidRDefault="00873E6D" w14:paraId="55639131" w14:textId="77777777">
      <w:pPr>
        <w:autoSpaceDE w:val="0"/>
        <w:autoSpaceDN w:val="0"/>
        <w:adjustRightInd w:val="0"/>
        <w:ind w:left="4320" w:firstLine="720"/>
        <w:jc w:val="both"/>
      </w:pPr>
      <w:r w:rsidRPr="00873E6D">
        <w:t>JOHN REYNOLDS</w:t>
      </w:r>
    </w:p>
    <w:p w:rsidRPr="00873E6D" w:rsidR="00873E6D" w:rsidP="00873E6D" w:rsidRDefault="00873E6D" w14:paraId="67C5D75F" w14:textId="77777777">
      <w:pPr>
        <w:autoSpaceDE w:val="0"/>
        <w:autoSpaceDN w:val="0"/>
        <w:adjustRightInd w:val="0"/>
        <w:ind w:left="720" w:firstLine="720"/>
        <w:jc w:val="both"/>
      </w:pPr>
      <w:r w:rsidRPr="00873E6D">
        <w:tab/>
      </w:r>
      <w:r w:rsidRPr="00873E6D">
        <w:tab/>
      </w:r>
      <w:r w:rsidRPr="00873E6D">
        <w:tab/>
      </w:r>
      <w:r w:rsidRPr="00873E6D">
        <w:tab/>
      </w:r>
      <w:r w:rsidRPr="00873E6D">
        <w:tab/>
        <w:t xml:space="preserve">                       President</w:t>
      </w:r>
    </w:p>
    <w:p w:rsidRPr="00873E6D" w:rsidR="00873E6D" w:rsidP="00873E6D" w:rsidRDefault="00873E6D" w14:paraId="2BE437CC" w14:textId="77777777">
      <w:pPr>
        <w:autoSpaceDE w:val="0"/>
        <w:autoSpaceDN w:val="0"/>
        <w:adjustRightInd w:val="0"/>
        <w:ind w:left="4320" w:firstLine="720"/>
        <w:jc w:val="both"/>
      </w:pPr>
      <w:r w:rsidRPr="00873E6D">
        <w:t>DARCIE L. HOUCK</w:t>
      </w:r>
    </w:p>
    <w:p w:rsidRPr="00873E6D" w:rsidR="00873E6D" w:rsidP="00873E6D" w:rsidRDefault="00873E6D" w14:paraId="6D3D503E" w14:textId="77777777">
      <w:pPr>
        <w:autoSpaceDE w:val="0"/>
        <w:autoSpaceDN w:val="0"/>
        <w:adjustRightInd w:val="0"/>
        <w:ind w:left="4320" w:firstLine="720"/>
        <w:jc w:val="both"/>
        <w:rPr>
          <w:color w:val="000000"/>
        </w:rPr>
      </w:pPr>
      <w:r w:rsidRPr="00873E6D">
        <w:rPr>
          <w:color w:val="000000"/>
        </w:rPr>
        <w:t>KAREN DOUGLAS</w:t>
      </w:r>
    </w:p>
    <w:p w:rsidRPr="00873E6D" w:rsidR="00873E6D" w:rsidP="00873E6D" w:rsidRDefault="00873E6D" w14:paraId="643C5122" w14:textId="77777777">
      <w:pPr>
        <w:autoSpaceDE w:val="0"/>
        <w:autoSpaceDN w:val="0"/>
        <w:adjustRightInd w:val="0"/>
        <w:ind w:left="4320" w:firstLine="720"/>
        <w:jc w:val="both"/>
      </w:pPr>
      <w:r w:rsidRPr="00873E6D">
        <w:t>CHRISTINE HARADA</w:t>
      </w:r>
    </w:p>
    <w:p w:rsidRPr="00873E6D" w:rsidR="00873E6D" w:rsidP="00873E6D" w:rsidRDefault="00873E6D" w14:paraId="790173DE" w14:textId="77777777">
      <w:pPr>
        <w:autoSpaceDE w:val="0"/>
        <w:autoSpaceDN w:val="0"/>
        <w:adjustRightInd w:val="0"/>
        <w:ind w:left="5040" w:firstLine="720"/>
        <w:jc w:val="both"/>
      </w:pPr>
      <w:r w:rsidRPr="00873E6D">
        <w:t xml:space="preserve">            Commissioners</w:t>
      </w:r>
    </w:p>
    <w:p w:rsidRPr="00873E6D" w:rsidR="00873E6D" w:rsidP="00873E6D" w:rsidRDefault="00873E6D" w14:paraId="47C708C7" w14:textId="77777777">
      <w:pPr>
        <w:pStyle w:val="standard"/>
        <w:keepNext/>
        <w:keepLines/>
        <w:ind w:left="720"/>
        <w:rPr>
          <w:rFonts w:ascii="Times New Roman" w:hAnsi="Times New Roman"/>
          <w:sz w:val="24"/>
          <w:szCs w:val="24"/>
        </w:rPr>
      </w:pPr>
    </w:p>
    <w:p w:rsidRPr="00873E6D" w:rsidR="00873E6D" w:rsidP="00873E6D" w:rsidRDefault="00873E6D" w14:paraId="39A8A152" w14:textId="77777777">
      <w:pPr>
        <w:keepNext/>
        <w:keepLines/>
        <w:autoSpaceDE w:val="0"/>
        <w:autoSpaceDN w:val="0"/>
        <w:adjustRightInd w:val="0"/>
        <w:ind w:left="5100"/>
      </w:pPr>
      <w:r w:rsidRPr="00873E6D">
        <w:t>Commissioner Matthew Baker recused himself from this agenda item and was not part of the quorum in its consideration.</w:t>
      </w:r>
    </w:p>
    <w:p w:rsidRPr="007F620E" w:rsidR="00873E6D" w:rsidP="00357623" w:rsidRDefault="00873E6D" w14:paraId="105BC313" w14:textId="77777777">
      <w:pPr>
        <w:keepNext/>
        <w:keepLines/>
        <w:spacing w:before="240"/>
        <w:ind w:left="547"/>
        <w:rPr>
          <w:color w:val="000000"/>
        </w:rPr>
      </w:pP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3549AE" w14:paraId="16C5D6B1" w14:textId="144486C4">
            <w:r w:rsidRPr="007F620E">
              <w:rPr>
                <w:color w:val="000000"/>
              </w:rPr>
              <w:t>D</w:t>
            </w:r>
            <w:r w:rsidRPr="00873E6D">
              <w:rPr>
                <w:color w:val="000000"/>
              </w:rPr>
              <w:t xml:space="preserve">2606027  </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C65550" w14:paraId="6846FB87" w14:textId="369EB8F9">
            <w:pPr>
              <w:jc w:val="center"/>
            </w:pPr>
            <w:r>
              <w:t>No</w:t>
            </w:r>
          </w:p>
        </w:tc>
      </w:tr>
      <w:tr w:rsidRPr="00B803D5" w:rsidR="00FE3BAE" w:rsidTr="00C65550"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643CF" w14:paraId="426F2C45" w14:textId="0DB72925">
            <w:r>
              <w:t>D2312035, D24</w:t>
            </w:r>
            <w:r w:rsidR="00F73B65">
              <w:t>06026, D2501055, D2507042</w:t>
            </w:r>
          </w:p>
        </w:tc>
      </w:tr>
      <w:tr w:rsidRPr="00B803D5" w:rsidR="00FE3BAE" w:rsidTr="00C65550"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3F2001" w14:paraId="5B85688D" w14:textId="7E79B03E">
            <w:r>
              <w:t>R2305018</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C65550" w14:paraId="5E75C0F0" w14:textId="44AF4FC5">
            <w:r>
              <w:t>ALJ Zhang</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C65550" w14:paraId="7CA711B6" w14:textId="2741FEE9">
            <w:r w:rsidRPr="00C65550">
              <w:t>Pacific Gas and Electric Company, Southern California Edison Company, San Diego Gas &amp; Electric Company, Bear Valley Electric Service, Inc., Liberty Utilities (</w:t>
            </w:r>
            <w:proofErr w:type="spellStart"/>
            <w:r w:rsidRPr="00C65550">
              <w:t>CalPeco</w:t>
            </w:r>
            <w:proofErr w:type="spellEnd"/>
            <w:r w:rsidRPr="00C65550">
              <w:t xml:space="preserve"> Electric) LLC, and PacifiCorp d.b.a. Pacific Power</w:t>
            </w:r>
          </w:p>
        </w:tc>
      </w:tr>
    </w:tbl>
    <w:p w:rsidRPr="00B803D5" w:rsidR="00FE3BAE" w:rsidP="00CD5C65" w:rsidRDefault="00FE3BAE" w14:paraId="7F0236A2" w14:textId="77777777">
      <w:pPr>
        <w:spacing w:before="24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3"/>
        <w:gridCol w:w="1458"/>
        <w:gridCol w:w="1430"/>
        <w:gridCol w:w="1587"/>
        <w:gridCol w:w="1404"/>
        <w:gridCol w:w="2498"/>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DA3BB7"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65550" w14:paraId="3008FB17" w14:textId="0ECDDFAE">
            <w:pPr>
              <w:jc w:val="center"/>
            </w:pPr>
            <w:r w:rsidRPr="00DA3BB7">
              <w:t>The Protect Our Communities Foundation</w:t>
            </w:r>
          </w:p>
        </w:tc>
        <w:tc>
          <w:tcPr>
            <w:tcW w:w="144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1E5CEA" w14:paraId="63956769" w14:textId="56AB28F9">
            <w:pPr>
              <w:jc w:val="center"/>
            </w:pPr>
            <w:r>
              <w:t>September 23, 2025</w:t>
            </w:r>
          </w:p>
        </w:tc>
        <w:tc>
          <w:tcPr>
            <w:tcW w:w="1405" w:type="dxa"/>
            <w:tcBorders>
              <w:top w:val="single" w:color="auto" w:sz="4" w:space="0"/>
              <w:left w:val="single" w:color="auto" w:sz="4" w:space="0"/>
              <w:bottom w:val="single" w:color="auto" w:sz="4" w:space="0"/>
              <w:right w:val="single" w:color="auto" w:sz="4" w:space="0"/>
            </w:tcBorders>
            <w:hideMark/>
          </w:tcPr>
          <w:p w:rsidRPr="00B803D5" w:rsidR="00FE3BAE" w:rsidP="00A23C17" w:rsidRDefault="007E68F9" w14:paraId="75AD20FA" w14:textId="206DB093">
            <w:pPr>
              <w:jc w:val="center"/>
            </w:pPr>
            <w:r>
              <w:t>$182,820.75</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287A63" w14:paraId="0DD6FE00" w14:textId="72A476E7">
            <w:pPr>
              <w:jc w:val="center"/>
            </w:pPr>
            <w:r w:rsidRPr="00287A63">
              <w:t>$169,290.00</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C65550" w:rsidR="00FE3BAE" w:rsidP="00A23C17" w:rsidRDefault="00C65550" w14:paraId="6B53C6F9" w14:textId="751F9381">
            <w:pPr>
              <w:jc w:val="center"/>
            </w:pPr>
            <w:r>
              <w:rPr>
                <w:i/>
                <w:iCs/>
              </w:rPr>
              <w:t xml:space="preserve">See </w:t>
            </w:r>
            <w:r>
              <w:t>Part III.D CPUC Comments, Disallowances and Adjustments</w:t>
            </w:r>
            <w:r w:rsidR="007A63D2">
              <w:t>.</w:t>
            </w:r>
          </w:p>
        </w:tc>
      </w:tr>
    </w:tbl>
    <w:p w:rsidRPr="00B803D5" w:rsidR="00FE3BAE" w:rsidP="00CD5C65" w:rsidRDefault="0022302F" w14:paraId="2841210B" w14:textId="77777777">
      <w:pPr>
        <w:spacing w:before="24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3245D0"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3245D0" w:rsidTr="00C65550" w14:paraId="7185B7C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65550" w:rsidR="003245D0" w:rsidP="00A23C17" w:rsidRDefault="003245D0" w14:paraId="738566C5" w14:textId="77516087">
            <w:pPr>
              <w:jc w:val="center"/>
            </w:pPr>
            <w:r w:rsidRPr="00C65550">
              <w:t>Malinda</w:t>
            </w:r>
          </w:p>
        </w:tc>
        <w:tc>
          <w:tcPr>
            <w:tcW w:w="1725" w:type="dxa"/>
            <w:tcBorders>
              <w:top w:val="single" w:color="auto" w:sz="4" w:space="0"/>
              <w:left w:val="single" w:color="auto" w:sz="4" w:space="0"/>
              <w:bottom w:val="single" w:color="auto" w:sz="4" w:space="0"/>
              <w:right w:val="single" w:color="auto" w:sz="4" w:space="0"/>
            </w:tcBorders>
          </w:tcPr>
          <w:p w:rsidRPr="00C65550" w:rsidR="003245D0" w:rsidP="00A23C17" w:rsidRDefault="003245D0" w14:paraId="5FC4859B" w14:textId="1A40D063">
            <w:pPr>
              <w:jc w:val="center"/>
            </w:pPr>
            <w:r w:rsidRPr="00C65550">
              <w:t>Dickenson</w:t>
            </w:r>
          </w:p>
        </w:tc>
        <w:tc>
          <w:tcPr>
            <w:tcW w:w="2088" w:type="dxa"/>
            <w:tcBorders>
              <w:top w:val="single" w:color="auto" w:sz="4" w:space="0"/>
              <w:left w:val="single" w:color="auto" w:sz="4" w:space="0"/>
              <w:bottom w:val="single" w:color="auto" w:sz="4" w:space="0"/>
              <w:right w:val="single" w:color="auto" w:sz="4" w:space="0"/>
            </w:tcBorders>
          </w:tcPr>
          <w:p w:rsidRPr="00C65550" w:rsidR="003245D0" w:rsidP="00A23C17" w:rsidRDefault="003245D0" w14:paraId="114676D5" w14:textId="368237F9">
            <w:pPr>
              <w:jc w:val="center"/>
            </w:pPr>
            <w:r w:rsidRPr="00C65550">
              <w:t>Attorney</w:t>
            </w:r>
          </w:p>
        </w:tc>
        <w:tc>
          <w:tcPr>
            <w:tcW w:w="1748" w:type="dxa"/>
            <w:tcBorders>
              <w:top w:val="single" w:color="auto" w:sz="4" w:space="0"/>
              <w:left w:val="single" w:color="auto" w:sz="4" w:space="0"/>
              <w:bottom w:val="single" w:color="auto" w:sz="4" w:space="0"/>
              <w:right w:val="single" w:color="auto" w:sz="4" w:space="0"/>
            </w:tcBorders>
          </w:tcPr>
          <w:p w:rsidR="003245D0" w:rsidP="00A23C17" w:rsidRDefault="001C02EA" w14:paraId="574995F4" w14:textId="7C04F900">
            <w:pPr>
              <w:jc w:val="center"/>
            </w:pPr>
            <w:r>
              <w:t>$665</w:t>
            </w:r>
          </w:p>
        </w:tc>
        <w:tc>
          <w:tcPr>
            <w:tcW w:w="1725" w:type="dxa"/>
            <w:tcBorders>
              <w:top w:val="single" w:color="auto" w:sz="4" w:space="0"/>
              <w:left w:val="single" w:color="auto" w:sz="4" w:space="0"/>
              <w:bottom w:val="single" w:color="auto" w:sz="4" w:space="0"/>
              <w:right w:val="single" w:color="auto" w:sz="4" w:space="0"/>
            </w:tcBorders>
          </w:tcPr>
          <w:p w:rsidR="003245D0" w:rsidP="00A23C17" w:rsidRDefault="001C02EA" w14:paraId="3D0AA3E8" w14:textId="5F47A46C">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3245D0" w:rsidP="00A23C17" w:rsidRDefault="00C65550" w14:paraId="5C3ED532" w14:textId="19DF016B">
            <w:pPr>
              <w:jc w:val="center"/>
            </w:pPr>
            <w:r>
              <w:t>$665.00</w:t>
            </w:r>
          </w:p>
        </w:tc>
      </w:tr>
      <w:tr w:rsidRPr="00B803D5" w:rsidR="003245D0" w:rsidTr="00C65550" w14:paraId="1D80E10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65550" w:rsidR="003245D0" w:rsidP="00A23C17" w:rsidRDefault="003245D0" w14:paraId="71C290B1" w14:textId="34C4B932">
            <w:pPr>
              <w:jc w:val="center"/>
            </w:pPr>
            <w:r w:rsidRPr="00C65550">
              <w:t>Malinda</w:t>
            </w:r>
          </w:p>
        </w:tc>
        <w:tc>
          <w:tcPr>
            <w:tcW w:w="1725" w:type="dxa"/>
            <w:tcBorders>
              <w:top w:val="single" w:color="auto" w:sz="4" w:space="0"/>
              <w:left w:val="single" w:color="auto" w:sz="4" w:space="0"/>
              <w:bottom w:val="single" w:color="auto" w:sz="4" w:space="0"/>
              <w:right w:val="single" w:color="auto" w:sz="4" w:space="0"/>
            </w:tcBorders>
          </w:tcPr>
          <w:p w:rsidRPr="00C65550" w:rsidR="003245D0" w:rsidP="00A23C17" w:rsidRDefault="003245D0" w14:paraId="5035D108" w14:textId="10FB3162">
            <w:pPr>
              <w:jc w:val="center"/>
            </w:pPr>
            <w:r w:rsidRPr="00C65550">
              <w:t>Dickenson</w:t>
            </w:r>
          </w:p>
        </w:tc>
        <w:tc>
          <w:tcPr>
            <w:tcW w:w="2088" w:type="dxa"/>
            <w:tcBorders>
              <w:top w:val="single" w:color="auto" w:sz="4" w:space="0"/>
              <w:left w:val="single" w:color="auto" w:sz="4" w:space="0"/>
              <w:bottom w:val="single" w:color="auto" w:sz="4" w:space="0"/>
              <w:right w:val="single" w:color="auto" w:sz="4" w:space="0"/>
            </w:tcBorders>
          </w:tcPr>
          <w:p w:rsidRPr="00C65550" w:rsidR="003245D0" w:rsidP="00A23C17" w:rsidRDefault="003245D0" w14:paraId="3BA10E20" w14:textId="5F86F141">
            <w:pPr>
              <w:jc w:val="center"/>
            </w:pPr>
            <w:r w:rsidRPr="00C65550">
              <w:t>Attorney</w:t>
            </w:r>
          </w:p>
        </w:tc>
        <w:tc>
          <w:tcPr>
            <w:tcW w:w="1748" w:type="dxa"/>
            <w:tcBorders>
              <w:top w:val="single" w:color="auto" w:sz="4" w:space="0"/>
              <w:left w:val="single" w:color="auto" w:sz="4" w:space="0"/>
              <w:bottom w:val="single" w:color="auto" w:sz="4" w:space="0"/>
              <w:right w:val="single" w:color="auto" w:sz="4" w:space="0"/>
            </w:tcBorders>
          </w:tcPr>
          <w:p w:rsidR="003245D0" w:rsidP="00A23C17" w:rsidRDefault="003245D0" w14:paraId="2CA7C2E2" w14:textId="6CAC6D6C">
            <w:pPr>
              <w:jc w:val="center"/>
            </w:pPr>
            <w:r>
              <w:t>$700</w:t>
            </w:r>
          </w:p>
        </w:tc>
        <w:tc>
          <w:tcPr>
            <w:tcW w:w="1725" w:type="dxa"/>
            <w:tcBorders>
              <w:top w:val="single" w:color="auto" w:sz="4" w:space="0"/>
              <w:left w:val="single" w:color="auto" w:sz="4" w:space="0"/>
              <w:bottom w:val="single" w:color="auto" w:sz="4" w:space="0"/>
              <w:right w:val="single" w:color="auto" w:sz="4" w:space="0"/>
            </w:tcBorders>
          </w:tcPr>
          <w:p w:rsidR="003245D0" w:rsidP="00A23C17" w:rsidRDefault="001C02EA" w14:paraId="3AEC291A" w14:textId="7F276B83">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3245D0" w:rsidP="00A23C17" w:rsidRDefault="00C65550" w14:paraId="10F18B7C" w14:textId="2A726AF7">
            <w:pPr>
              <w:jc w:val="center"/>
            </w:pPr>
            <w:r>
              <w:t>$</w:t>
            </w:r>
            <w:r w:rsidR="002A0878">
              <w:t>725.00</w:t>
            </w:r>
          </w:p>
        </w:tc>
      </w:tr>
      <w:tr w:rsidRPr="00B803D5" w:rsidR="00C02649" w:rsidTr="00C65550"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65550" w:rsidR="003B6A1B" w:rsidP="00A23C17" w:rsidRDefault="001E5CEA" w14:paraId="0F0C6D6C" w14:textId="1A2B7C4C">
            <w:pPr>
              <w:jc w:val="center"/>
            </w:pPr>
            <w:r w:rsidRPr="00C65550">
              <w:t>Malinda</w:t>
            </w:r>
          </w:p>
        </w:tc>
        <w:tc>
          <w:tcPr>
            <w:tcW w:w="1725" w:type="dxa"/>
            <w:tcBorders>
              <w:top w:val="single" w:color="auto" w:sz="4" w:space="0"/>
              <w:left w:val="single" w:color="auto" w:sz="4" w:space="0"/>
              <w:bottom w:val="single" w:color="auto" w:sz="4" w:space="0"/>
              <w:right w:val="single" w:color="auto" w:sz="4" w:space="0"/>
            </w:tcBorders>
          </w:tcPr>
          <w:p w:rsidRPr="00C65550" w:rsidR="003B6A1B" w:rsidP="00A23C17" w:rsidRDefault="001E5CEA" w14:paraId="6ACE7B68" w14:textId="486CBD8F">
            <w:pPr>
              <w:jc w:val="center"/>
            </w:pPr>
            <w:r w:rsidRPr="00C65550">
              <w:t>Dickenson</w:t>
            </w:r>
          </w:p>
        </w:tc>
        <w:tc>
          <w:tcPr>
            <w:tcW w:w="2088" w:type="dxa"/>
            <w:tcBorders>
              <w:top w:val="single" w:color="auto" w:sz="4" w:space="0"/>
              <w:left w:val="single" w:color="auto" w:sz="4" w:space="0"/>
              <w:bottom w:val="single" w:color="auto" w:sz="4" w:space="0"/>
              <w:right w:val="single" w:color="auto" w:sz="4" w:space="0"/>
            </w:tcBorders>
          </w:tcPr>
          <w:p w:rsidRPr="00C65550" w:rsidR="003B6A1B" w:rsidP="00A23C17" w:rsidRDefault="001E5CEA" w14:paraId="0E61474F" w14:textId="033F118F">
            <w:pPr>
              <w:jc w:val="center"/>
            </w:pPr>
            <w:r w:rsidRPr="00C65550">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DB4F61" w14:paraId="44F9655C" w14:textId="1628821E">
            <w:pPr>
              <w:jc w:val="center"/>
            </w:pPr>
            <w:r>
              <w:t>$725</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DB4F61" w14:paraId="2EB25516" w14:textId="3FF91E53">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65550" w14:paraId="0A76FE98" w14:textId="75CFABDB">
            <w:pPr>
              <w:jc w:val="center"/>
            </w:pPr>
            <w:r>
              <w:t>$</w:t>
            </w:r>
            <w:r w:rsidR="002A0878">
              <w:t>750</w:t>
            </w:r>
            <w:r>
              <w:t>.00</w:t>
            </w:r>
          </w:p>
        </w:tc>
      </w:tr>
      <w:tr w:rsidRPr="00B803D5" w:rsidR="004A7110" w:rsidTr="00C65550" w14:paraId="535E81F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65550" w:rsidR="004A7110" w:rsidP="00A23C17" w:rsidRDefault="004A7110" w14:paraId="0DF1C625" w14:textId="33104BAF">
            <w:pPr>
              <w:jc w:val="center"/>
            </w:pPr>
            <w:r w:rsidRPr="00C65550">
              <w:t>Jonathan</w:t>
            </w:r>
          </w:p>
        </w:tc>
        <w:tc>
          <w:tcPr>
            <w:tcW w:w="1725" w:type="dxa"/>
            <w:tcBorders>
              <w:top w:val="single" w:color="auto" w:sz="4" w:space="0"/>
              <w:left w:val="single" w:color="auto" w:sz="4" w:space="0"/>
              <w:bottom w:val="single" w:color="auto" w:sz="4" w:space="0"/>
              <w:right w:val="single" w:color="auto" w:sz="4" w:space="0"/>
            </w:tcBorders>
          </w:tcPr>
          <w:p w:rsidRPr="00C65550" w:rsidR="004A7110" w:rsidP="00A23C17" w:rsidRDefault="004A7110" w14:paraId="0F4B1EFC" w14:textId="14532AA9">
            <w:pPr>
              <w:jc w:val="center"/>
            </w:pPr>
            <w:r w:rsidRPr="00C65550">
              <w:t>Webster</w:t>
            </w:r>
          </w:p>
        </w:tc>
        <w:tc>
          <w:tcPr>
            <w:tcW w:w="2088" w:type="dxa"/>
            <w:tcBorders>
              <w:top w:val="single" w:color="auto" w:sz="4" w:space="0"/>
              <w:left w:val="single" w:color="auto" w:sz="4" w:space="0"/>
              <w:bottom w:val="single" w:color="auto" w:sz="4" w:space="0"/>
              <w:right w:val="single" w:color="auto" w:sz="4" w:space="0"/>
            </w:tcBorders>
          </w:tcPr>
          <w:p w:rsidRPr="00C65550" w:rsidR="004A7110" w:rsidP="00A23C17" w:rsidRDefault="004A7110" w14:paraId="4FF05D19" w14:textId="3FA30FE2">
            <w:pPr>
              <w:jc w:val="center"/>
            </w:pPr>
            <w:r w:rsidRPr="00C65550">
              <w:t>Attorney</w:t>
            </w:r>
          </w:p>
        </w:tc>
        <w:tc>
          <w:tcPr>
            <w:tcW w:w="1748" w:type="dxa"/>
            <w:tcBorders>
              <w:top w:val="single" w:color="auto" w:sz="4" w:space="0"/>
              <w:left w:val="single" w:color="auto" w:sz="4" w:space="0"/>
              <w:bottom w:val="single" w:color="auto" w:sz="4" w:space="0"/>
              <w:right w:val="single" w:color="auto" w:sz="4" w:space="0"/>
            </w:tcBorders>
          </w:tcPr>
          <w:p w:rsidR="004A7110" w:rsidP="00A23C17" w:rsidRDefault="00945EEA" w14:paraId="533060B9" w14:textId="23BB67F7">
            <w:pPr>
              <w:jc w:val="center"/>
            </w:pPr>
            <w:r>
              <w:t>$250</w:t>
            </w:r>
          </w:p>
        </w:tc>
        <w:tc>
          <w:tcPr>
            <w:tcW w:w="1725" w:type="dxa"/>
            <w:tcBorders>
              <w:top w:val="single" w:color="auto" w:sz="4" w:space="0"/>
              <w:left w:val="single" w:color="auto" w:sz="4" w:space="0"/>
              <w:bottom w:val="single" w:color="auto" w:sz="4" w:space="0"/>
              <w:right w:val="single" w:color="auto" w:sz="4" w:space="0"/>
            </w:tcBorders>
          </w:tcPr>
          <w:p w:rsidR="004A7110" w:rsidP="00A23C17" w:rsidRDefault="004A7110" w14:paraId="01FB6E7B" w14:textId="3AEEF287">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4A7110" w:rsidP="00A23C17" w:rsidRDefault="00C65550" w14:paraId="25CA0CEC" w14:textId="4B633675">
            <w:pPr>
              <w:jc w:val="center"/>
            </w:pPr>
            <w:r>
              <w:t>$250.00</w:t>
            </w:r>
          </w:p>
        </w:tc>
      </w:tr>
      <w:tr w:rsidRPr="00B803D5" w:rsidR="004A7110" w:rsidTr="00C65550" w14:paraId="74EF6F4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65550" w:rsidR="004A7110" w:rsidP="00A23C17" w:rsidRDefault="004A7110" w14:paraId="2D446E4B" w14:textId="744634DD">
            <w:pPr>
              <w:jc w:val="center"/>
            </w:pPr>
            <w:r w:rsidRPr="00C65550">
              <w:t>Jonathan</w:t>
            </w:r>
          </w:p>
        </w:tc>
        <w:tc>
          <w:tcPr>
            <w:tcW w:w="1725" w:type="dxa"/>
            <w:tcBorders>
              <w:top w:val="single" w:color="auto" w:sz="4" w:space="0"/>
              <w:left w:val="single" w:color="auto" w:sz="4" w:space="0"/>
              <w:bottom w:val="single" w:color="auto" w:sz="4" w:space="0"/>
              <w:right w:val="single" w:color="auto" w:sz="4" w:space="0"/>
            </w:tcBorders>
          </w:tcPr>
          <w:p w:rsidRPr="00C65550" w:rsidR="004A7110" w:rsidP="00A23C17" w:rsidRDefault="004A7110" w14:paraId="3547FDF3" w14:textId="53D57E55">
            <w:pPr>
              <w:jc w:val="center"/>
            </w:pPr>
            <w:r w:rsidRPr="00C65550">
              <w:t>Webster</w:t>
            </w:r>
          </w:p>
        </w:tc>
        <w:tc>
          <w:tcPr>
            <w:tcW w:w="2088" w:type="dxa"/>
            <w:tcBorders>
              <w:top w:val="single" w:color="auto" w:sz="4" w:space="0"/>
              <w:left w:val="single" w:color="auto" w:sz="4" w:space="0"/>
              <w:bottom w:val="single" w:color="auto" w:sz="4" w:space="0"/>
              <w:right w:val="single" w:color="auto" w:sz="4" w:space="0"/>
            </w:tcBorders>
          </w:tcPr>
          <w:p w:rsidRPr="00C65550" w:rsidR="004A7110" w:rsidP="00A23C17" w:rsidRDefault="004A7110" w14:paraId="25E630CA" w14:textId="3539B0C2">
            <w:pPr>
              <w:jc w:val="center"/>
            </w:pPr>
            <w:r w:rsidRPr="00C65550">
              <w:t>Attorney</w:t>
            </w:r>
          </w:p>
        </w:tc>
        <w:tc>
          <w:tcPr>
            <w:tcW w:w="1748" w:type="dxa"/>
            <w:tcBorders>
              <w:top w:val="single" w:color="auto" w:sz="4" w:space="0"/>
              <w:left w:val="single" w:color="auto" w:sz="4" w:space="0"/>
              <w:bottom w:val="single" w:color="auto" w:sz="4" w:space="0"/>
              <w:right w:val="single" w:color="auto" w:sz="4" w:space="0"/>
            </w:tcBorders>
          </w:tcPr>
          <w:p w:rsidR="004A7110" w:rsidP="00A23C17" w:rsidRDefault="00945EEA" w14:paraId="0AEA833D" w14:textId="2C142632">
            <w:pPr>
              <w:jc w:val="center"/>
            </w:pPr>
            <w:r>
              <w:t>$280</w:t>
            </w:r>
          </w:p>
        </w:tc>
        <w:tc>
          <w:tcPr>
            <w:tcW w:w="1725" w:type="dxa"/>
            <w:tcBorders>
              <w:top w:val="single" w:color="auto" w:sz="4" w:space="0"/>
              <w:left w:val="single" w:color="auto" w:sz="4" w:space="0"/>
              <w:bottom w:val="single" w:color="auto" w:sz="4" w:space="0"/>
              <w:right w:val="single" w:color="auto" w:sz="4" w:space="0"/>
            </w:tcBorders>
          </w:tcPr>
          <w:p w:rsidR="004A7110" w:rsidP="00A23C17" w:rsidRDefault="004A7110" w14:paraId="61B96412" w14:textId="792801B8">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4A7110" w:rsidP="00A23C17" w:rsidRDefault="00C65550" w14:paraId="2040E720" w14:textId="0AFDCACE">
            <w:pPr>
              <w:jc w:val="center"/>
            </w:pPr>
            <w:r>
              <w:t>$2</w:t>
            </w:r>
            <w:r w:rsidR="001175FA">
              <w:t>6</w:t>
            </w:r>
            <w:r>
              <w:t>0.00</w:t>
            </w:r>
          </w:p>
        </w:tc>
      </w:tr>
      <w:tr w:rsidRPr="00B803D5" w:rsidR="00C02649" w:rsidTr="00C65550"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65550" w:rsidR="003B6A1B" w:rsidP="00A23C17" w:rsidRDefault="00016614" w14:paraId="4CFDAB24" w14:textId="44FB84F1">
            <w:pPr>
              <w:jc w:val="center"/>
            </w:pPr>
            <w:r w:rsidRPr="00C65550">
              <w:t>Loretta</w:t>
            </w:r>
          </w:p>
        </w:tc>
        <w:tc>
          <w:tcPr>
            <w:tcW w:w="1725" w:type="dxa"/>
            <w:tcBorders>
              <w:top w:val="single" w:color="auto" w:sz="4" w:space="0"/>
              <w:left w:val="single" w:color="auto" w:sz="4" w:space="0"/>
              <w:bottom w:val="single" w:color="auto" w:sz="4" w:space="0"/>
              <w:right w:val="single" w:color="auto" w:sz="4" w:space="0"/>
            </w:tcBorders>
          </w:tcPr>
          <w:p w:rsidRPr="00C65550" w:rsidR="003B6A1B" w:rsidP="00A23C17" w:rsidRDefault="00016614" w14:paraId="3A9B4F75" w14:textId="7AD0205C">
            <w:pPr>
              <w:jc w:val="center"/>
            </w:pPr>
            <w:r w:rsidRPr="00C65550">
              <w:t>Lynch</w:t>
            </w:r>
          </w:p>
        </w:tc>
        <w:tc>
          <w:tcPr>
            <w:tcW w:w="2088" w:type="dxa"/>
            <w:tcBorders>
              <w:top w:val="single" w:color="auto" w:sz="4" w:space="0"/>
              <w:left w:val="single" w:color="auto" w:sz="4" w:space="0"/>
              <w:bottom w:val="single" w:color="auto" w:sz="4" w:space="0"/>
              <w:right w:val="single" w:color="auto" w:sz="4" w:space="0"/>
            </w:tcBorders>
          </w:tcPr>
          <w:p w:rsidRPr="00C65550" w:rsidR="003B6A1B" w:rsidP="00A23C17" w:rsidRDefault="00016614" w14:paraId="73440B00" w14:textId="1B3C6B8C">
            <w:pPr>
              <w:jc w:val="center"/>
            </w:pPr>
            <w:r w:rsidRPr="00C65550">
              <w:t>Attorney</w:t>
            </w:r>
            <w:r w:rsidR="00501D51">
              <w:rPr>
                <w:rStyle w:val="FootnoteReference"/>
              </w:rPr>
              <w:footnoteReference w:id="13"/>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81735C" w14:paraId="1466F47E" w14:textId="0AFC9DD0">
            <w:pPr>
              <w:jc w:val="center"/>
            </w:pPr>
            <w:r>
              <w:t>$770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016614" w14:paraId="4CBE320E" w14:textId="5E520AA0">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65550" w14:paraId="37932A57" w14:textId="1676230A">
            <w:pPr>
              <w:jc w:val="center"/>
            </w:pPr>
            <w:r>
              <w:t>N/A</w:t>
            </w:r>
          </w:p>
        </w:tc>
      </w:tr>
      <w:tr w:rsidRPr="00B803D5" w:rsidR="00C02649" w:rsidTr="00C65550"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C65550" w:rsidR="003B6A1B" w:rsidP="00A23C17" w:rsidRDefault="0081735C" w14:paraId="71BF257F" w14:textId="047C51DE">
            <w:pPr>
              <w:jc w:val="center"/>
            </w:pPr>
            <w:r w:rsidRPr="00C65550">
              <w:t>Andrea</w:t>
            </w:r>
          </w:p>
        </w:tc>
        <w:tc>
          <w:tcPr>
            <w:tcW w:w="1725" w:type="dxa"/>
            <w:tcBorders>
              <w:top w:val="single" w:color="auto" w:sz="4" w:space="0"/>
              <w:left w:val="single" w:color="auto" w:sz="4" w:space="0"/>
              <w:bottom w:val="single" w:color="auto" w:sz="4" w:space="0"/>
              <w:right w:val="single" w:color="auto" w:sz="4" w:space="0"/>
            </w:tcBorders>
          </w:tcPr>
          <w:p w:rsidRPr="00C65550" w:rsidR="003B6A1B" w:rsidP="00A23C17" w:rsidRDefault="0081735C" w14:paraId="4D0E5B24" w14:textId="02E72348">
            <w:pPr>
              <w:jc w:val="center"/>
            </w:pPr>
            <w:r w:rsidRPr="00C65550">
              <w:t>White</w:t>
            </w:r>
          </w:p>
        </w:tc>
        <w:tc>
          <w:tcPr>
            <w:tcW w:w="2088" w:type="dxa"/>
            <w:tcBorders>
              <w:top w:val="single" w:color="auto" w:sz="4" w:space="0"/>
              <w:left w:val="single" w:color="auto" w:sz="4" w:space="0"/>
              <w:bottom w:val="single" w:color="auto" w:sz="4" w:space="0"/>
              <w:right w:val="single" w:color="auto" w:sz="4" w:space="0"/>
            </w:tcBorders>
          </w:tcPr>
          <w:p w:rsidRPr="00C65550" w:rsidR="003B6A1B" w:rsidP="00A23C17" w:rsidRDefault="0081735C" w14:paraId="3ACB6465" w14:textId="7EAB1D69">
            <w:pPr>
              <w:jc w:val="center"/>
            </w:pPr>
            <w:r w:rsidRPr="00C65550">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81735C" w14:paraId="27D75B3F" w14:textId="4BC6FFDA">
            <w:pPr>
              <w:jc w:val="center"/>
            </w:pPr>
            <w:r>
              <w:t>$290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81735C" w14:paraId="0BD45097" w14:textId="66D0AD02">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C65550" w14:paraId="6B245605" w14:textId="1DFBA073">
            <w:pPr>
              <w:jc w:val="center"/>
            </w:pPr>
            <w:r>
              <w:t>$285.00</w:t>
            </w:r>
          </w:p>
        </w:tc>
      </w:tr>
    </w:tbl>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7"/>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73ED" w14:textId="77777777" w:rsidR="00541AB1" w:rsidRDefault="00541AB1" w:rsidP="00885956">
      <w:r>
        <w:separator/>
      </w:r>
    </w:p>
  </w:endnote>
  <w:endnote w:type="continuationSeparator" w:id="0">
    <w:p w14:paraId="55650535" w14:textId="77777777" w:rsidR="00541AB1" w:rsidRDefault="00541AB1"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PalatinoLinotype-Roman">
    <w:altName w:val="Palatino Linotype"/>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6922" w14:textId="77777777" w:rsidR="00F464DA" w:rsidRDefault="00F46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655BA4EF" w:rsidR="00CF1129" w:rsidRDefault="006C3727" w:rsidP="00F464DA">
        <w:pPr>
          <w:pStyle w:val="Footer"/>
        </w:pPr>
        <w:r w:rsidRPr="006C3727">
          <w:rPr>
            <w:rFonts w:ascii="Book Antiqua" w:hAnsi="Book Antiqua"/>
            <w:sz w:val="16"/>
            <w:szCs w:val="16"/>
          </w:rPr>
          <w:t>609021412</w:t>
        </w:r>
        <w:r w:rsidR="00F464DA">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p w14:paraId="2B494C2D" w14:textId="77777777" w:rsidR="00CF1129" w:rsidRDefault="00CF11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1FEE" w14:textId="77777777" w:rsidR="00541AB1" w:rsidRDefault="00541AB1" w:rsidP="00885956">
      <w:r>
        <w:separator/>
      </w:r>
    </w:p>
  </w:footnote>
  <w:footnote w:type="continuationSeparator" w:id="0">
    <w:p w14:paraId="59D86FA1" w14:textId="77777777" w:rsidR="00541AB1" w:rsidRDefault="00541AB1"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E1AEDA0" w14:textId="18E9BFE4" w:rsidR="00EE7A2E" w:rsidRDefault="00EE7A2E" w:rsidP="00EE7A2E">
      <w:pPr>
        <w:pStyle w:val="FootnoteText"/>
      </w:pPr>
      <w:r>
        <w:rPr>
          <w:rStyle w:val="FootnoteReference"/>
        </w:rPr>
        <w:footnoteRef/>
      </w:r>
      <w:r>
        <w:t xml:space="preserve"> Throughout this claim, references to </w:t>
      </w:r>
      <w:r w:rsidR="006613A2">
        <w:t>“</w:t>
      </w:r>
      <w:r>
        <w:t>PCF</w:t>
      </w:r>
      <w:r w:rsidR="006613A2">
        <w:t>”</w:t>
      </w:r>
      <w:r>
        <w:t xml:space="preserve"> also refer</w:t>
      </w:r>
      <w:r w:rsidR="006613A2">
        <w:t>s</w:t>
      </w:r>
      <w:r>
        <w:t xml:space="preserve"> to parties with whom it filed comments jointly, which</w:t>
      </w:r>
      <w:r w:rsidR="00F86380">
        <w:t xml:space="preserve"> PCF </w:t>
      </w:r>
      <w:r w:rsidR="00B64AB0">
        <w:t xml:space="preserve">did </w:t>
      </w:r>
      <w:r>
        <w:t>whe</w:t>
      </w:r>
      <w:r w:rsidR="00F86380">
        <w:t>never</w:t>
      </w:r>
      <w:r>
        <w:t xml:space="preserve"> possible</w:t>
      </w:r>
      <w:r w:rsidR="00E9233C">
        <w:t xml:space="preserve"> </w:t>
      </w:r>
      <w:r w:rsidR="00B64AB0">
        <w:t>to</w:t>
      </w:r>
      <w:r>
        <w:t xml:space="preserve"> streamline the Commission’s analysis and consideration of the issues and to avoid </w:t>
      </w:r>
      <w:r w:rsidR="00B64AB0">
        <w:t xml:space="preserve">any </w:t>
      </w:r>
      <w:r>
        <w:t>duplicati</w:t>
      </w:r>
      <w:r w:rsidR="0083222A">
        <w:t>on of</w:t>
      </w:r>
      <w:r w:rsidR="00E9233C">
        <w:t xml:space="preserve"> effort</w:t>
      </w:r>
      <w:r>
        <w:t>.</w:t>
      </w:r>
    </w:p>
  </w:footnote>
  <w:footnote w:id="3">
    <w:p w14:paraId="5161E1BB" w14:textId="77777777" w:rsidR="00363A6F" w:rsidRDefault="00363A6F" w:rsidP="00363A6F">
      <w:pPr>
        <w:pStyle w:val="FootnoteText"/>
      </w:pPr>
      <w:r>
        <w:rPr>
          <w:rStyle w:val="FootnoteReference"/>
        </w:rPr>
        <w:footnoteRef/>
      </w:r>
      <w:r>
        <w:t xml:space="preserve"> References to “CBD” in D.25-01-055 refer to the comments filed jointly by PCF and the Center.</w:t>
      </w:r>
    </w:p>
  </w:footnote>
  <w:footnote w:id="4">
    <w:p w14:paraId="16F3B746" w14:textId="59709511" w:rsidR="001925B0" w:rsidRDefault="001925B0">
      <w:pPr>
        <w:pStyle w:val="FootnoteText"/>
      </w:pPr>
      <w:r>
        <w:rPr>
          <w:rStyle w:val="FootnoteReference"/>
        </w:rPr>
        <w:footnoteRef/>
      </w:r>
      <w:r>
        <w:t xml:space="preserve"> </w:t>
      </w:r>
      <w:r w:rsidR="00B6674D">
        <w:t>R</w:t>
      </w:r>
      <w:r>
        <w:t>efer</w:t>
      </w:r>
      <w:r w:rsidR="00B6674D">
        <w:t>ences to</w:t>
      </w:r>
      <w:r>
        <w:t xml:space="preserve"> “CBD” </w:t>
      </w:r>
      <w:r w:rsidR="00B6674D">
        <w:t xml:space="preserve">in D.25-01-055 </w:t>
      </w:r>
      <w:r>
        <w:t xml:space="preserve">refer to the </w:t>
      </w:r>
      <w:r w:rsidR="00FA5DE6">
        <w:t xml:space="preserve">comments filed jointly by </w:t>
      </w:r>
      <w:r w:rsidR="00B6674D">
        <w:t xml:space="preserve">PCF and </w:t>
      </w:r>
      <w:r w:rsidR="00FA5DE6">
        <w:t>the Center</w:t>
      </w:r>
      <w:r w:rsidR="00B6674D">
        <w:t>.</w:t>
      </w:r>
    </w:p>
  </w:footnote>
  <w:footnote w:id="5">
    <w:p w14:paraId="0C8C9DE5" w14:textId="527AE3DD" w:rsidR="00FD3D40" w:rsidRDefault="00FD3D40" w:rsidP="00FD3D40">
      <w:pPr>
        <w:pStyle w:val="FootnoteText"/>
      </w:pPr>
      <w:r>
        <w:rPr>
          <w:rStyle w:val="FootnoteReference"/>
        </w:rPr>
        <w:footnoteRef/>
      </w:r>
      <w:r>
        <w:t xml:space="preserve"> Correct calculation totals $48,067.50</w:t>
      </w:r>
    </w:p>
  </w:footnote>
  <w:footnote w:id="6">
    <w:p w14:paraId="551648D0" w14:textId="561DCF3D" w:rsidR="00FD3D40" w:rsidRDefault="00FD3D40" w:rsidP="00FD3D40">
      <w:pPr>
        <w:pStyle w:val="FootnoteText"/>
      </w:pPr>
      <w:r>
        <w:rPr>
          <w:rStyle w:val="FootnoteReference"/>
        </w:rPr>
        <w:footnoteRef/>
      </w:r>
      <w:r>
        <w:t xml:space="preserve"> Calculation Update: Due to addition of split for pre-bar and post-bar work, the updated total for pre-Bar is $11,250.00.</w:t>
      </w:r>
    </w:p>
  </w:footnote>
  <w:footnote w:id="7">
    <w:p w14:paraId="30D0D479" w14:textId="6ACED789" w:rsidR="00FD3D40" w:rsidRDefault="00FD3D40" w:rsidP="00FD3D40">
      <w:pPr>
        <w:pStyle w:val="FootnoteText"/>
      </w:pPr>
      <w:r>
        <w:rPr>
          <w:rStyle w:val="FootnoteReference"/>
        </w:rPr>
        <w:footnoteRef/>
      </w:r>
      <w:r>
        <w:t xml:space="preserve"> For clarity, the Commission has added a row to differentiate between pre-Bar and post-Bar hours.</w:t>
      </w:r>
    </w:p>
  </w:footnote>
  <w:footnote w:id="8">
    <w:p w14:paraId="7497BD1B" w14:textId="5486D1ED" w:rsidR="00FD3D40" w:rsidRDefault="00FD3D40" w:rsidP="00FD3D40">
      <w:pPr>
        <w:pStyle w:val="FootnoteText"/>
      </w:pPr>
      <w:r>
        <w:rPr>
          <w:rStyle w:val="FootnoteReference"/>
        </w:rPr>
        <w:footnoteRef/>
      </w:r>
      <w:r>
        <w:t xml:space="preserve"> </w:t>
      </w:r>
      <w:r w:rsidRPr="00871240">
        <w:t>Calculation Update: Due to addition of split for pre-bar and post-bar work, the updated total for p</w:t>
      </w:r>
      <w:r>
        <w:t>ost</w:t>
      </w:r>
      <w:r w:rsidRPr="00871240">
        <w:t>-Bar is $</w:t>
      </w:r>
      <w:r>
        <w:t>325.00</w:t>
      </w:r>
      <w:r w:rsidRPr="00871240">
        <w:t>.</w:t>
      </w:r>
    </w:p>
  </w:footnote>
  <w:footnote w:id="9">
    <w:p w14:paraId="6CEB01A7" w14:textId="23F5ADD3" w:rsidR="00D509FA" w:rsidRDefault="00D509FA">
      <w:pPr>
        <w:pStyle w:val="FootnoteText"/>
      </w:pPr>
      <w:r>
        <w:rPr>
          <w:rStyle w:val="FootnoteReference"/>
        </w:rPr>
        <w:footnoteRef/>
      </w:r>
      <w:r>
        <w:t xml:space="preserve"> Calculation error described in footnote 6 brings correct requested subtotal to $178,334.50.</w:t>
      </w:r>
    </w:p>
  </w:footnote>
  <w:footnote w:id="10">
    <w:p w14:paraId="2A44723A" w14:textId="010A0B5A" w:rsidR="00464424" w:rsidRPr="00DE3A5D" w:rsidRDefault="00464424"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11">
    <w:p w14:paraId="0E72BD6E" w14:textId="338FDF6D" w:rsidR="003C30C6" w:rsidRDefault="003C30C6">
      <w:pPr>
        <w:pStyle w:val="FootnoteText"/>
      </w:pPr>
      <w:r>
        <w:rPr>
          <w:rStyle w:val="FootnoteReference"/>
        </w:rPr>
        <w:footnoteRef/>
      </w:r>
      <w:r>
        <w:t xml:space="preserve"> Jonathan Freedman Webster (Attorney #351823) was accepted to the California State Bar 12/05/2023</w:t>
      </w:r>
      <w:r w:rsidR="001F3A92">
        <w:t>.</w:t>
      </w:r>
    </w:p>
  </w:footnote>
  <w:footnote w:id="12">
    <w:p w14:paraId="01195A97" w14:textId="3CFE9D34" w:rsidR="00131BBE" w:rsidRDefault="00131BBE">
      <w:pPr>
        <w:pStyle w:val="FootnoteText"/>
      </w:pPr>
      <w:r>
        <w:rPr>
          <w:rStyle w:val="FootnoteReference"/>
        </w:rPr>
        <w:footnoteRef/>
      </w:r>
      <w:r>
        <w:t xml:space="preserve"> A</w:t>
      </w:r>
      <w:r w:rsidRPr="00131BBE">
        <w:t xml:space="preserve">ttachments not </w:t>
      </w:r>
      <w:r w:rsidR="002927AC">
        <w:t>included in</w:t>
      </w:r>
      <w:r w:rsidRPr="00131BBE">
        <w:t xml:space="preserve"> final Decision</w:t>
      </w:r>
      <w:r w:rsidR="001F3A92">
        <w:t>.</w:t>
      </w:r>
    </w:p>
  </w:footnote>
  <w:footnote w:id="13">
    <w:p w14:paraId="77F687B6" w14:textId="7780ABA9" w:rsidR="00501D51" w:rsidRDefault="00501D51">
      <w:pPr>
        <w:pStyle w:val="FootnoteText"/>
      </w:pPr>
      <w:r>
        <w:rPr>
          <w:rStyle w:val="FootnoteReference"/>
        </w:rPr>
        <w:footnoteRef/>
      </w:r>
      <w:r>
        <w:t xml:space="preserve"> </w:t>
      </w:r>
      <w:r w:rsidR="005C76AC">
        <w:t xml:space="preserve">Loretta Lynch is identified as a </w:t>
      </w:r>
      <w:r>
        <w:t>Consultant</w:t>
      </w:r>
      <w:r w:rsidR="0088341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ACF7" w14:textId="77777777" w:rsidR="00F464DA" w:rsidRDefault="00F46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A99C" w14:textId="0329752B" w:rsidR="007161CD" w:rsidRPr="007161CD" w:rsidRDefault="007161CD">
    <w:pPr>
      <w:pStyle w:val="Header"/>
      <w:rPr>
        <w:rFonts w:ascii="Arial" w:hAnsi="Arial" w:cs="Arial"/>
        <w:b/>
        <w:bCs/>
      </w:rPr>
    </w:pPr>
    <w:r>
      <w:t>R.23-05-018  ALJ/ZZ1/</w:t>
    </w:r>
    <w:proofErr w:type="spellStart"/>
    <w:r>
      <w:t>vhj</w:t>
    </w:r>
    <w:proofErr w:type="spellEnd"/>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8" w14:textId="77777777" w:rsidR="00F464DA" w:rsidRDefault="00F46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8"/>
  </w:num>
  <w:num w:numId="2" w16cid:durableId="296566636">
    <w:abstractNumId w:val="0"/>
  </w:num>
  <w:num w:numId="3" w16cid:durableId="2098595014">
    <w:abstractNumId w:val="9"/>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1EE1"/>
    <w:rsid w:val="000034D5"/>
    <w:rsid w:val="00003A49"/>
    <w:rsid w:val="00004344"/>
    <w:rsid w:val="0000488B"/>
    <w:rsid w:val="000050DE"/>
    <w:rsid w:val="000054AE"/>
    <w:rsid w:val="00006C0C"/>
    <w:rsid w:val="00010821"/>
    <w:rsid w:val="00011E2F"/>
    <w:rsid w:val="00015204"/>
    <w:rsid w:val="00015AA0"/>
    <w:rsid w:val="00015C2C"/>
    <w:rsid w:val="00016614"/>
    <w:rsid w:val="000202ED"/>
    <w:rsid w:val="00021DCB"/>
    <w:rsid w:val="00022590"/>
    <w:rsid w:val="000226F4"/>
    <w:rsid w:val="00023B54"/>
    <w:rsid w:val="00023FCA"/>
    <w:rsid w:val="00026020"/>
    <w:rsid w:val="00026A15"/>
    <w:rsid w:val="0002761D"/>
    <w:rsid w:val="000301A5"/>
    <w:rsid w:val="000305F4"/>
    <w:rsid w:val="000311B6"/>
    <w:rsid w:val="00031AD0"/>
    <w:rsid w:val="00034492"/>
    <w:rsid w:val="00036C5F"/>
    <w:rsid w:val="00036F54"/>
    <w:rsid w:val="00037942"/>
    <w:rsid w:val="0004134E"/>
    <w:rsid w:val="00041D42"/>
    <w:rsid w:val="0004368E"/>
    <w:rsid w:val="000437F5"/>
    <w:rsid w:val="0004506F"/>
    <w:rsid w:val="00045A2F"/>
    <w:rsid w:val="000479DB"/>
    <w:rsid w:val="00052968"/>
    <w:rsid w:val="00053229"/>
    <w:rsid w:val="000541E6"/>
    <w:rsid w:val="0005538D"/>
    <w:rsid w:val="00055843"/>
    <w:rsid w:val="00057E6D"/>
    <w:rsid w:val="00061630"/>
    <w:rsid w:val="000616AB"/>
    <w:rsid w:val="000629FF"/>
    <w:rsid w:val="00062A46"/>
    <w:rsid w:val="00063445"/>
    <w:rsid w:val="000634ED"/>
    <w:rsid w:val="0006477A"/>
    <w:rsid w:val="00066234"/>
    <w:rsid w:val="0007091E"/>
    <w:rsid w:val="00070C1F"/>
    <w:rsid w:val="00072992"/>
    <w:rsid w:val="00072C81"/>
    <w:rsid w:val="00073262"/>
    <w:rsid w:val="00074C7B"/>
    <w:rsid w:val="000750D6"/>
    <w:rsid w:val="000753F6"/>
    <w:rsid w:val="00077642"/>
    <w:rsid w:val="00081A58"/>
    <w:rsid w:val="00082867"/>
    <w:rsid w:val="000842F0"/>
    <w:rsid w:val="00086515"/>
    <w:rsid w:val="00086A11"/>
    <w:rsid w:val="00091D1A"/>
    <w:rsid w:val="0009203F"/>
    <w:rsid w:val="000929D7"/>
    <w:rsid w:val="00093D97"/>
    <w:rsid w:val="000940C7"/>
    <w:rsid w:val="0009499B"/>
    <w:rsid w:val="000950D8"/>
    <w:rsid w:val="0009695E"/>
    <w:rsid w:val="00097134"/>
    <w:rsid w:val="000971C0"/>
    <w:rsid w:val="000974C3"/>
    <w:rsid w:val="000A03A9"/>
    <w:rsid w:val="000A05F6"/>
    <w:rsid w:val="000A0D03"/>
    <w:rsid w:val="000A1430"/>
    <w:rsid w:val="000A191F"/>
    <w:rsid w:val="000A1C85"/>
    <w:rsid w:val="000A1D17"/>
    <w:rsid w:val="000A436C"/>
    <w:rsid w:val="000A4C4C"/>
    <w:rsid w:val="000A4D67"/>
    <w:rsid w:val="000A5A42"/>
    <w:rsid w:val="000B0012"/>
    <w:rsid w:val="000B1EB0"/>
    <w:rsid w:val="000B227B"/>
    <w:rsid w:val="000B3342"/>
    <w:rsid w:val="000B3578"/>
    <w:rsid w:val="000B3F14"/>
    <w:rsid w:val="000B5E7D"/>
    <w:rsid w:val="000B637E"/>
    <w:rsid w:val="000C0739"/>
    <w:rsid w:val="000C2F5F"/>
    <w:rsid w:val="000C347C"/>
    <w:rsid w:val="000C56C0"/>
    <w:rsid w:val="000C634B"/>
    <w:rsid w:val="000C6361"/>
    <w:rsid w:val="000C6DF7"/>
    <w:rsid w:val="000C7DD8"/>
    <w:rsid w:val="000D01E5"/>
    <w:rsid w:val="000D0409"/>
    <w:rsid w:val="000D0D22"/>
    <w:rsid w:val="000D3F76"/>
    <w:rsid w:val="000D4AC0"/>
    <w:rsid w:val="000D4C62"/>
    <w:rsid w:val="000D4E5F"/>
    <w:rsid w:val="000D51A5"/>
    <w:rsid w:val="000D5983"/>
    <w:rsid w:val="000D6CA0"/>
    <w:rsid w:val="000D6DF8"/>
    <w:rsid w:val="000D6F8E"/>
    <w:rsid w:val="000E06C4"/>
    <w:rsid w:val="000E1683"/>
    <w:rsid w:val="000E1AAD"/>
    <w:rsid w:val="000E22A9"/>
    <w:rsid w:val="000E3861"/>
    <w:rsid w:val="000E3E4D"/>
    <w:rsid w:val="000E3F5F"/>
    <w:rsid w:val="000E41D9"/>
    <w:rsid w:val="000E544B"/>
    <w:rsid w:val="000E6ABD"/>
    <w:rsid w:val="000E7206"/>
    <w:rsid w:val="000E7A6B"/>
    <w:rsid w:val="000E7CAB"/>
    <w:rsid w:val="000E7F80"/>
    <w:rsid w:val="000F061B"/>
    <w:rsid w:val="000F1F0D"/>
    <w:rsid w:val="000F2A83"/>
    <w:rsid w:val="000F3931"/>
    <w:rsid w:val="000F4220"/>
    <w:rsid w:val="000F4A49"/>
    <w:rsid w:val="000F4BF3"/>
    <w:rsid w:val="000F595C"/>
    <w:rsid w:val="000F7670"/>
    <w:rsid w:val="000F7858"/>
    <w:rsid w:val="001030CB"/>
    <w:rsid w:val="0010480F"/>
    <w:rsid w:val="00105C36"/>
    <w:rsid w:val="00106433"/>
    <w:rsid w:val="00110B07"/>
    <w:rsid w:val="00110D89"/>
    <w:rsid w:val="001113B9"/>
    <w:rsid w:val="00112253"/>
    <w:rsid w:val="00115AD1"/>
    <w:rsid w:val="00115D30"/>
    <w:rsid w:val="0011742E"/>
    <w:rsid w:val="001175FA"/>
    <w:rsid w:val="00120565"/>
    <w:rsid w:val="00121249"/>
    <w:rsid w:val="00123103"/>
    <w:rsid w:val="00125492"/>
    <w:rsid w:val="00125D55"/>
    <w:rsid w:val="00126110"/>
    <w:rsid w:val="001308EF"/>
    <w:rsid w:val="001309F7"/>
    <w:rsid w:val="001315B1"/>
    <w:rsid w:val="001317EE"/>
    <w:rsid w:val="00131BBE"/>
    <w:rsid w:val="001346EB"/>
    <w:rsid w:val="001352EC"/>
    <w:rsid w:val="001353DC"/>
    <w:rsid w:val="00140123"/>
    <w:rsid w:val="0014083D"/>
    <w:rsid w:val="0014131C"/>
    <w:rsid w:val="00141458"/>
    <w:rsid w:val="00141A4E"/>
    <w:rsid w:val="00143C32"/>
    <w:rsid w:val="00143EE3"/>
    <w:rsid w:val="00146809"/>
    <w:rsid w:val="00151AA8"/>
    <w:rsid w:val="00152F94"/>
    <w:rsid w:val="00154C48"/>
    <w:rsid w:val="001565E1"/>
    <w:rsid w:val="001566DF"/>
    <w:rsid w:val="001600B2"/>
    <w:rsid w:val="0016362E"/>
    <w:rsid w:val="00163FE1"/>
    <w:rsid w:val="00164582"/>
    <w:rsid w:val="00164738"/>
    <w:rsid w:val="0016732A"/>
    <w:rsid w:val="00167681"/>
    <w:rsid w:val="001677D0"/>
    <w:rsid w:val="00167B65"/>
    <w:rsid w:val="00171EBF"/>
    <w:rsid w:val="00173844"/>
    <w:rsid w:val="00173C37"/>
    <w:rsid w:val="001748C2"/>
    <w:rsid w:val="001755C2"/>
    <w:rsid w:val="00175865"/>
    <w:rsid w:val="00175C5E"/>
    <w:rsid w:val="00176576"/>
    <w:rsid w:val="0017663D"/>
    <w:rsid w:val="0017787F"/>
    <w:rsid w:val="00180324"/>
    <w:rsid w:val="00180819"/>
    <w:rsid w:val="00180BBE"/>
    <w:rsid w:val="00180E8C"/>
    <w:rsid w:val="00183067"/>
    <w:rsid w:val="001833AD"/>
    <w:rsid w:val="001850D2"/>
    <w:rsid w:val="00185954"/>
    <w:rsid w:val="001866F4"/>
    <w:rsid w:val="00191AEC"/>
    <w:rsid w:val="00192344"/>
    <w:rsid w:val="001925B0"/>
    <w:rsid w:val="00193326"/>
    <w:rsid w:val="00193EAB"/>
    <w:rsid w:val="001949FD"/>
    <w:rsid w:val="001954DE"/>
    <w:rsid w:val="00195637"/>
    <w:rsid w:val="001962EB"/>
    <w:rsid w:val="00196D92"/>
    <w:rsid w:val="001A1184"/>
    <w:rsid w:val="001A1FEB"/>
    <w:rsid w:val="001A3CF3"/>
    <w:rsid w:val="001A53D2"/>
    <w:rsid w:val="001B1688"/>
    <w:rsid w:val="001B1A1B"/>
    <w:rsid w:val="001B3570"/>
    <w:rsid w:val="001B4565"/>
    <w:rsid w:val="001B4C84"/>
    <w:rsid w:val="001B54C0"/>
    <w:rsid w:val="001B59F4"/>
    <w:rsid w:val="001B5EC9"/>
    <w:rsid w:val="001B62F8"/>
    <w:rsid w:val="001C02EA"/>
    <w:rsid w:val="001C0DD1"/>
    <w:rsid w:val="001C108C"/>
    <w:rsid w:val="001C1869"/>
    <w:rsid w:val="001C19A4"/>
    <w:rsid w:val="001C21AE"/>
    <w:rsid w:val="001C3B03"/>
    <w:rsid w:val="001C5E0B"/>
    <w:rsid w:val="001D0D62"/>
    <w:rsid w:val="001D0FA7"/>
    <w:rsid w:val="001D3ED2"/>
    <w:rsid w:val="001D5DAB"/>
    <w:rsid w:val="001D5E71"/>
    <w:rsid w:val="001D71F7"/>
    <w:rsid w:val="001E311F"/>
    <w:rsid w:val="001E334A"/>
    <w:rsid w:val="001E5CEA"/>
    <w:rsid w:val="001E77CF"/>
    <w:rsid w:val="001E7EE2"/>
    <w:rsid w:val="001F1764"/>
    <w:rsid w:val="001F238E"/>
    <w:rsid w:val="001F36F9"/>
    <w:rsid w:val="001F3A92"/>
    <w:rsid w:val="001F3B8D"/>
    <w:rsid w:val="001F54B5"/>
    <w:rsid w:val="001F5514"/>
    <w:rsid w:val="001F557B"/>
    <w:rsid w:val="001F71C9"/>
    <w:rsid w:val="00201198"/>
    <w:rsid w:val="00201B09"/>
    <w:rsid w:val="00201CFC"/>
    <w:rsid w:val="0020231A"/>
    <w:rsid w:val="00204E3A"/>
    <w:rsid w:val="002077C4"/>
    <w:rsid w:val="002109B2"/>
    <w:rsid w:val="0021119E"/>
    <w:rsid w:val="00211F22"/>
    <w:rsid w:val="002123C0"/>
    <w:rsid w:val="00212E10"/>
    <w:rsid w:val="00214B22"/>
    <w:rsid w:val="0021614D"/>
    <w:rsid w:val="00217224"/>
    <w:rsid w:val="0021762B"/>
    <w:rsid w:val="00220866"/>
    <w:rsid w:val="002209C5"/>
    <w:rsid w:val="00220A3C"/>
    <w:rsid w:val="00221E8B"/>
    <w:rsid w:val="0022278A"/>
    <w:rsid w:val="0022302F"/>
    <w:rsid w:val="00223C20"/>
    <w:rsid w:val="0022481E"/>
    <w:rsid w:val="002250C0"/>
    <w:rsid w:val="00225B7B"/>
    <w:rsid w:val="002267F4"/>
    <w:rsid w:val="00227498"/>
    <w:rsid w:val="00227D75"/>
    <w:rsid w:val="00230392"/>
    <w:rsid w:val="0023095D"/>
    <w:rsid w:val="002326A8"/>
    <w:rsid w:val="002326ED"/>
    <w:rsid w:val="00232930"/>
    <w:rsid w:val="00233520"/>
    <w:rsid w:val="00233E64"/>
    <w:rsid w:val="00233F10"/>
    <w:rsid w:val="002347DB"/>
    <w:rsid w:val="00235201"/>
    <w:rsid w:val="002362CF"/>
    <w:rsid w:val="002371D6"/>
    <w:rsid w:val="00241353"/>
    <w:rsid w:val="002415DC"/>
    <w:rsid w:val="0024237A"/>
    <w:rsid w:val="002450F8"/>
    <w:rsid w:val="002457EB"/>
    <w:rsid w:val="00246467"/>
    <w:rsid w:val="002464D4"/>
    <w:rsid w:val="002466F8"/>
    <w:rsid w:val="00247B31"/>
    <w:rsid w:val="00252036"/>
    <w:rsid w:val="00254442"/>
    <w:rsid w:val="00256F00"/>
    <w:rsid w:val="00260518"/>
    <w:rsid w:val="002607D1"/>
    <w:rsid w:val="00261E85"/>
    <w:rsid w:val="00262BC0"/>
    <w:rsid w:val="00262CF1"/>
    <w:rsid w:val="002632A3"/>
    <w:rsid w:val="00264333"/>
    <w:rsid w:val="00264780"/>
    <w:rsid w:val="002651BF"/>
    <w:rsid w:val="00265491"/>
    <w:rsid w:val="00265CF1"/>
    <w:rsid w:val="00267EAC"/>
    <w:rsid w:val="00267F52"/>
    <w:rsid w:val="002701A9"/>
    <w:rsid w:val="00270354"/>
    <w:rsid w:val="00270399"/>
    <w:rsid w:val="00270E2E"/>
    <w:rsid w:val="00273208"/>
    <w:rsid w:val="00273B2E"/>
    <w:rsid w:val="00273E15"/>
    <w:rsid w:val="00277090"/>
    <w:rsid w:val="0027766A"/>
    <w:rsid w:val="00280CA2"/>
    <w:rsid w:val="00284E0E"/>
    <w:rsid w:val="002862C3"/>
    <w:rsid w:val="002870FB"/>
    <w:rsid w:val="00287A63"/>
    <w:rsid w:val="00290A2F"/>
    <w:rsid w:val="00291160"/>
    <w:rsid w:val="002919D0"/>
    <w:rsid w:val="00291C81"/>
    <w:rsid w:val="0029246C"/>
    <w:rsid w:val="002927AC"/>
    <w:rsid w:val="00292F24"/>
    <w:rsid w:val="00294932"/>
    <w:rsid w:val="00296152"/>
    <w:rsid w:val="00297272"/>
    <w:rsid w:val="002A0878"/>
    <w:rsid w:val="002A0C82"/>
    <w:rsid w:val="002A1570"/>
    <w:rsid w:val="002A49DE"/>
    <w:rsid w:val="002A4BC1"/>
    <w:rsid w:val="002A5BD2"/>
    <w:rsid w:val="002A5E71"/>
    <w:rsid w:val="002A6C07"/>
    <w:rsid w:val="002A700F"/>
    <w:rsid w:val="002A7C36"/>
    <w:rsid w:val="002B0ACA"/>
    <w:rsid w:val="002B18CA"/>
    <w:rsid w:val="002B1C61"/>
    <w:rsid w:val="002B20A3"/>
    <w:rsid w:val="002B25CB"/>
    <w:rsid w:val="002B3918"/>
    <w:rsid w:val="002B3E64"/>
    <w:rsid w:val="002B4003"/>
    <w:rsid w:val="002B5E9E"/>
    <w:rsid w:val="002B6521"/>
    <w:rsid w:val="002B7048"/>
    <w:rsid w:val="002C1194"/>
    <w:rsid w:val="002C17A0"/>
    <w:rsid w:val="002C2019"/>
    <w:rsid w:val="002C3150"/>
    <w:rsid w:val="002C3600"/>
    <w:rsid w:val="002C42F7"/>
    <w:rsid w:val="002D0758"/>
    <w:rsid w:val="002D21CA"/>
    <w:rsid w:val="002D4982"/>
    <w:rsid w:val="002D53AA"/>
    <w:rsid w:val="002D5893"/>
    <w:rsid w:val="002E036F"/>
    <w:rsid w:val="002E0443"/>
    <w:rsid w:val="002E1BF9"/>
    <w:rsid w:val="002E2F6D"/>
    <w:rsid w:val="002E3432"/>
    <w:rsid w:val="002E4344"/>
    <w:rsid w:val="002E5388"/>
    <w:rsid w:val="002E58AC"/>
    <w:rsid w:val="002E5F83"/>
    <w:rsid w:val="002E632E"/>
    <w:rsid w:val="002E67E5"/>
    <w:rsid w:val="002E77D8"/>
    <w:rsid w:val="002E7DE0"/>
    <w:rsid w:val="002F053A"/>
    <w:rsid w:val="002F29C6"/>
    <w:rsid w:val="002F315E"/>
    <w:rsid w:val="002F3E79"/>
    <w:rsid w:val="002F68E6"/>
    <w:rsid w:val="0030156F"/>
    <w:rsid w:val="00303C2B"/>
    <w:rsid w:val="00303F7D"/>
    <w:rsid w:val="003050C7"/>
    <w:rsid w:val="003058B1"/>
    <w:rsid w:val="00306897"/>
    <w:rsid w:val="00310AD6"/>
    <w:rsid w:val="003158AC"/>
    <w:rsid w:val="003165FB"/>
    <w:rsid w:val="003168DC"/>
    <w:rsid w:val="003172E7"/>
    <w:rsid w:val="003177E1"/>
    <w:rsid w:val="00321E7C"/>
    <w:rsid w:val="0032201F"/>
    <w:rsid w:val="003241B8"/>
    <w:rsid w:val="003245D0"/>
    <w:rsid w:val="003252EB"/>
    <w:rsid w:val="00325339"/>
    <w:rsid w:val="0032538C"/>
    <w:rsid w:val="00326A91"/>
    <w:rsid w:val="00327683"/>
    <w:rsid w:val="00327C4D"/>
    <w:rsid w:val="00330157"/>
    <w:rsid w:val="00334342"/>
    <w:rsid w:val="00334D00"/>
    <w:rsid w:val="003350F2"/>
    <w:rsid w:val="0033589D"/>
    <w:rsid w:val="00335F9F"/>
    <w:rsid w:val="00335FD2"/>
    <w:rsid w:val="0033716C"/>
    <w:rsid w:val="0034077E"/>
    <w:rsid w:val="00340CD3"/>
    <w:rsid w:val="003423CB"/>
    <w:rsid w:val="00344329"/>
    <w:rsid w:val="00344383"/>
    <w:rsid w:val="00344B1E"/>
    <w:rsid w:val="00344F58"/>
    <w:rsid w:val="00346022"/>
    <w:rsid w:val="00347D40"/>
    <w:rsid w:val="00350138"/>
    <w:rsid w:val="003501DD"/>
    <w:rsid w:val="003509A5"/>
    <w:rsid w:val="003514A5"/>
    <w:rsid w:val="0035151E"/>
    <w:rsid w:val="003549AE"/>
    <w:rsid w:val="00355C4E"/>
    <w:rsid w:val="003571ED"/>
    <w:rsid w:val="00357623"/>
    <w:rsid w:val="00357F1A"/>
    <w:rsid w:val="00361DB2"/>
    <w:rsid w:val="00363A6F"/>
    <w:rsid w:val="00364DA9"/>
    <w:rsid w:val="00366652"/>
    <w:rsid w:val="0036732D"/>
    <w:rsid w:val="00370660"/>
    <w:rsid w:val="003718A1"/>
    <w:rsid w:val="00371CC2"/>
    <w:rsid w:val="003720F7"/>
    <w:rsid w:val="003730BB"/>
    <w:rsid w:val="003733CF"/>
    <w:rsid w:val="00373762"/>
    <w:rsid w:val="003747B6"/>
    <w:rsid w:val="00374B36"/>
    <w:rsid w:val="00374FD1"/>
    <w:rsid w:val="0037644F"/>
    <w:rsid w:val="00376F66"/>
    <w:rsid w:val="00377884"/>
    <w:rsid w:val="00380703"/>
    <w:rsid w:val="00381834"/>
    <w:rsid w:val="0038219F"/>
    <w:rsid w:val="00385B0F"/>
    <w:rsid w:val="00385DAC"/>
    <w:rsid w:val="00385E0E"/>
    <w:rsid w:val="00387D6C"/>
    <w:rsid w:val="003913C2"/>
    <w:rsid w:val="003959FA"/>
    <w:rsid w:val="003A0E38"/>
    <w:rsid w:val="003A16DA"/>
    <w:rsid w:val="003A292E"/>
    <w:rsid w:val="003A2BF3"/>
    <w:rsid w:val="003A2C28"/>
    <w:rsid w:val="003A2CC7"/>
    <w:rsid w:val="003A45CC"/>
    <w:rsid w:val="003A51C0"/>
    <w:rsid w:val="003A6D1B"/>
    <w:rsid w:val="003A7DBC"/>
    <w:rsid w:val="003B1782"/>
    <w:rsid w:val="003B29ED"/>
    <w:rsid w:val="003B3B83"/>
    <w:rsid w:val="003B4D24"/>
    <w:rsid w:val="003B5EAC"/>
    <w:rsid w:val="003B6A1B"/>
    <w:rsid w:val="003B7BED"/>
    <w:rsid w:val="003C04BB"/>
    <w:rsid w:val="003C1899"/>
    <w:rsid w:val="003C30C6"/>
    <w:rsid w:val="003C5D76"/>
    <w:rsid w:val="003C5E56"/>
    <w:rsid w:val="003C6029"/>
    <w:rsid w:val="003C608A"/>
    <w:rsid w:val="003C6665"/>
    <w:rsid w:val="003C6FBF"/>
    <w:rsid w:val="003C73FF"/>
    <w:rsid w:val="003D1CAB"/>
    <w:rsid w:val="003D1CB1"/>
    <w:rsid w:val="003D359B"/>
    <w:rsid w:val="003D36D6"/>
    <w:rsid w:val="003D3818"/>
    <w:rsid w:val="003D3937"/>
    <w:rsid w:val="003D395D"/>
    <w:rsid w:val="003D4455"/>
    <w:rsid w:val="003D4B76"/>
    <w:rsid w:val="003E1066"/>
    <w:rsid w:val="003E2B7D"/>
    <w:rsid w:val="003E3381"/>
    <w:rsid w:val="003E34FD"/>
    <w:rsid w:val="003E3F5C"/>
    <w:rsid w:val="003E754D"/>
    <w:rsid w:val="003F1EED"/>
    <w:rsid w:val="003F2001"/>
    <w:rsid w:val="003F21E9"/>
    <w:rsid w:val="003F57F9"/>
    <w:rsid w:val="003F70EC"/>
    <w:rsid w:val="00402740"/>
    <w:rsid w:val="0040666D"/>
    <w:rsid w:val="0040675A"/>
    <w:rsid w:val="0040706E"/>
    <w:rsid w:val="00407496"/>
    <w:rsid w:val="0040756C"/>
    <w:rsid w:val="004106AE"/>
    <w:rsid w:val="00410E74"/>
    <w:rsid w:val="00414464"/>
    <w:rsid w:val="0041475C"/>
    <w:rsid w:val="00414EE0"/>
    <w:rsid w:val="004151DF"/>
    <w:rsid w:val="00415502"/>
    <w:rsid w:val="00415544"/>
    <w:rsid w:val="0041590B"/>
    <w:rsid w:val="0041603D"/>
    <w:rsid w:val="004176E1"/>
    <w:rsid w:val="00421C65"/>
    <w:rsid w:val="00421E80"/>
    <w:rsid w:val="00422812"/>
    <w:rsid w:val="0042456C"/>
    <w:rsid w:val="004252E7"/>
    <w:rsid w:val="0042583C"/>
    <w:rsid w:val="00432B13"/>
    <w:rsid w:val="0043437D"/>
    <w:rsid w:val="00434930"/>
    <w:rsid w:val="00434B1F"/>
    <w:rsid w:val="00435C30"/>
    <w:rsid w:val="00435F4A"/>
    <w:rsid w:val="00437293"/>
    <w:rsid w:val="004375A6"/>
    <w:rsid w:val="00437CC8"/>
    <w:rsid w:val="00440743"/>
    <w:rsid w:val="00441957"/>
    <w:rsid w:val="00443F48"/>
    <w:rsid w:val="0044403F"/>
    <w:rsid w:val="00444E8C"/>
    <w:rsid w:val="00446642"/>
    <w:rsid w:val="00450C3A"/>
    <w:rsid w:val="00450D83"/>
    <w:rsid w:val="00451D1F"/>
    <w:rsid w:val="0045285E"/>
    <w:rsid w:val="00452D5B"/>
    <w:rsid w:val="004534E7"/>
    <w:rsid w:val="00453FB6"/>
    <w:rsid w:val="004540F4"/>
    <w:rsid w:val="004541CA"/>
    <w:rsid w:val="00454A1C"/>
    <w:rsid w:val="00454AC3"/>
    <w:rsid w:val="00456D43"/>
    <w:rsid w:val="00457A2F"/>
    <w:rsid w:val="00460716"/>
    <w:rsid w:val="00461316"/>
    <w:rsid w:val="004616E9"/>
    <w:rsid w:val="0046248A"/>
    <w:rsid w:val="004628AF"/>
    <w:rsid w:val="00462A91"/>
    <w:rsid w:val="00464424"/>
    <w:rsid w:val="00466AE1"/>
    <w:rsid w:val="00466EE8"/>
    <w:rsid w:val="00467E65"/>
    <w:rsid w:val="004718B7"/>
    <w:rsid w:val="0047208A"/>
    <w:rsid w:val="00473893"/>
    <w:rsid w:val="004750EE"/>
    <w:rsid w:val="00480824"/>
    <w:rsid w:val="00480BF6"/>
    <w:rsid w:val="00481226"/>
    <w:rsid w:val="004812F4"/>
    <w:rsid w:val="00481D44"/>
    <w:rsid w:val="00483710"/>
    <w:rsid w:val="004840D2"/>
    <w:rsid w:val="00484DB0"/>
    <w:rsid w:val="00485A95"/>
    <w:rsid w:val="00487953"/>
    <w:rsid w:val="00490165"/>
    <w:rsid w:val="00490E63"/>
    <w:rsid w:val="00491366"/>
    <w:rsid w:val="0049278D"/>
    <w:rsid w:val="00493B0B"/>
    <w:rsid w:val="00497119"/>
    <w:rsid w:val="00497578"/>
    <w:rsid w:val="004A05FE"/>
    <w:rsid w:val="004A306E"/>
    <w:rsid w:val="004A5EBA"/>
    <w:rsid w:val="004A63D4"/>
    <w:rsid w:val="004A6FD4"/>
    <w:rsid w:val="004A7031"/>
    <w:rsid w:val="004A7109"/>
    <w:rsid w:val="004A7110"/>
    <w:rsid w:val="004A7FF5"/>
    <w:rsid w:val="004B05DF"/>
    <w:rsid w:val="004B05E8"/>
    <w:rsid w:val="004B0BF8"/>
    <w:rsid w:val="004B0F69"/>
    <w:rsid w:val="004B1238"/>
    <w:rsid w:val="004B16B2"/>
    <w:rsid w:val="004B2CCF"/>
    <w:rsid w:val="004B32B0"/>
    <w:rsid w:val="004B3BEE"/>
    <w:rsid w:val="004B499C"/>
    <w:rsid w:val="004B6FE9"/>
    <w:rsid w:val="004C0961"/>
    <w:rsid w:val="004C0FAA"/>
    <w:rsid w:val="004C2FC5"/>
    <w:rsid w:val="004C39A1"/>
    <w:rsid w:val="004C3CC1"/>
    <w:rsid w:val="004C4FEB"/>
    <w:rsid w:val="004C53D7"/>
    <w:rsid w:val="004C58BF"/>
    <w:rsid w:val="004D1552"/>
    <w:rsid w:val="004D1C06"/>
    <w:rsid w:val="004D1E8B"/>
    <w:rsid w:val="004D2761"/>
    <w:rsid w:val="004D3C5D"/>
    <w:rsid w:val="004D5A17"/>
    <w:rsid w:val="004D6B6D"/>
    <w:rsid w:val="004D765E"/>
    <w:rsid w:val="004D779D"/>
    <w:rsid w:val="004D7E46"/>
    <w:rsid w:val="004E0395"/>
    <w:rsid w:val="004E1486"/>
    <w:rsid w:val="004E2952"/>
    <w:rsid w:val="004E2975"/>
    <w:rsid w:val="004E29A8"/>
    <w:rsid w:val="004E2DCB"/>
    <w:rsid w:val="004E3939"/>
    <w:rsid w:val="004E3D8C"/>
    <w:rsid w:val="004E3D93"/>
    <w:rsid w:val="004E40AE"/>
    <w:rsid w:val="004E4F15"/>
    <w:rsid w:val="004E6DD3"/>
    <w:rsid w:val="004E7F33"/>
    <w:rsid w:val="004F02CD"/>
    <w:rsid w:val="004F03A7"/>
    <w:rsid w:val="004F0CD1"/>
    <w:rsid w:val="004F0CE3"/>
    <w:rsid w:val="004F76E2"/>
    <w:rsid w:val="00501160"/>
    <w:rsid w:val="00501D51"/>
    <w:rsid w:val="00503249"/>
    <w:rsid w:val="00503D65"/>
    <w:rsid w:val="0050419A"/>
    <w:rsid w:val="00504A9E"/>
    <w:rsid w:val="00504AFA"/>
    <w:rsid w:val="005075F0"/>
    <w:rsid w:val="0050795B"/>
    <w:rsid w:val="00507F14"/>
    <w:rsid w:val="0051174B"/>
    <w:rsid w:val="0051318F"/>
    <w:rsid w:val="005139AC"/>
    <w:rsid w:val="005160D9"/>
    <w:rsid w:val="00516578"/>
    <w:rsid w:val="00516CE7"/>
    <w:rsid w:val="005174C2"/>
    <w:rsid w:val="00517BDD"/>
    <w:rsid w:val="005215EF"/>
    <w:rsid w:val="00521B1E"/>
    <w:rsid w:val="00521B86"/>
    <w:rsid w:val="00522A4E"/>
    <w:rsid w:val="0052391C"/>
    <w:rsid w:val="005246D1"/>
    <w:rsid w:val="00524EA0"/>
    <w:rsid w:val="00527FDB"/>
    <w:rsid w:val="00533373"/>
    <w:rsid w:val="00533912"/>
    <w:rsid w:val="005361CB"/>
    <w:rsid w:val="00536217"/>
    <w:rsid w:val="00536B10"/>
    <w:rsid w:val="00540774"/>
    <w:rsid w:val="00541AB1"/>
    <w:rsid w:val="00542D57"/>
    <w:rsid w:val="00543619"/>
    <w:rsid w:val="00544907"/>
    <w:rsid w:val="00547145"/>
    <w:rsid w:val="005478A9"/>
    <w:rsid w:val="00550DFC"/>
    <w:rsid w:val="00551967"/>
    <w:rsid w:val="0055228B"/>
    <w:rsid w:val="00553924"/>
    <w:rsid w:val="00554D19"/>
    <w:rsid w:val="0055756A"/>
    <w:rsid w:val="00557E3A"/>
    <w:rsid w:val="005601EA"/>
    <w:rsid w:val="00560FF1"/>
    <w:rsid w:val="0056312E"/>
    <w:rsid w:val="005647A3"/>
    <w:rsid w:val="00564A5D"/>
    <w:rsid w:val="00566563"/>
    <w:rsid w:val="005666C9"/>
    <w:rsid w:val="005667D5"/>
    <w:rsid w:val="00566A7E"/>
    <w:rsid w:val="00566AD4"/>
    <w:rsid w:val="00567688"/>
    <w:rsid w:val="005678B4"/>
    <w:rsid w:val="0057088A"/>
    <w:rsid w:val="0057207C"/>
    <w:rsid w:val="005720A1"/>
    <w:rsid w:val="00573ECB"/>
    <w:rsid w:val="00574386"/>
    <w:rsid w:val="00574AA2"/>
    <w:rsid w:val="00575494"/>
    <w:rsid w:val="005774C2"/>
    <w:rsid w:val="00580F5C"/>
    <w:rsid w:val="00582419"/>
    <w:rsid w:val="00582AA3"/>
    <w:rsid w:val="00583C42"/>
    <w:rsid w:val="0058486B"/>
    <w:rsid w:val="005852D6"/>
    <w:rsid w:val="0058548B"/>
    <w:rsid w:val="00585534"/>
    <w:rsid w:val="005856E4"/>
    <w:rsid w:val="00586C38"/>
    <w:rsid w:val="005912FA"/>
    <w:rsid w:val="00591746"/>
    <w:rsid w:val="00591CD3"/>
    <w:rsid w:val="00592421"/>
    <w:rsid w:val="0059289A"/>
    <w:rsid w:val="005943D8"/>
    <w:rsid w:val="00595032"/>
    <w:rsid w:val="005968F8"/>
    <w:rsid w:val="005A0A16"/>
    <w:rsid w:val="005A3018"/>
    <w:rsid w:val="005A305D"/>
    <w:rsid w:val="005A31FC"/>
    <w:rsid w:val="005A44A5"/>
    <w:rsid w:val="005A4936"/>
    <w:rsid w:val="005A53F1"/>
    <w:rsid w:val="005A54E4"/>
    <w:rsid w:val="005A63D4"/>
    <w:rsid w:val="005A65C2"/>
    <w:rsid w:val="005A71A0"/>
    <w:rsid w:val="005A7544"/>
    <w:rsid w:val="005B0953"/>
    <w:rsid w:val="005B1823"/>
    <w:rsid w:val="005B1B43"/>
    <w:rsid w:val="005B5B44"/>
    <w:rsid w:val="005B6119"/>
    <w:rsid w:val="005B6B1F"/>
    <w:rsid w:val="005C28C9"/>
    <w:rsid w:val="005C2A1A"/>
    <w:rsid w:val="005C2FC7"/>
    <w:rsid w:val="005C327F"/>
    <w:rsid w:val="005C76AC"/>
    <w:rsid w:val="005D0260"/>
    <w:rsid w:val="005D20FD"/>
    <w:rsid w:val="005D2294"/>
    <w:rsid w:val="005D734F"/>
    <w:rsid w:val="005E0530"/>
    <w:rsid w:val="005E26C3"/>
    <w:rsid w:val="005E363D"/>
    <w:rsid w:val="005E39FE"/>
    <w:rsid w:val="005E3B1E"/>
    <w:rsid w:val="005E3B55"/>
    <w:rsid w:val="005E5043"/>
    <w:rsid w:val="005E5440"/>
    <w:rsid w:val="005E68EE"/>
    <w:rsid w:val="005F0086"/>
    <w:rsid w:val="005F0159"/>
    <w:rsid w:val="005F04D8"/>
    <w:rsid w:val="005F1E0D"/>
    <w:rsid w:val="005F305E"/>
    <w:rsid w:val="005F3E75"/>
    <w:rsid w:val="005F4006"/>
    <w:rsid w:val="005F4D82"/>
    <w:rsid w:val="005F6646"/>
    <w:rsid w:val="005F6896"/>
    <w:rsid w:val="005F78FC"/>
    <w:rsid w:val="005F7AAA"/>
    <w:rsid w:val="00601186"/>
    <w:rsid w:val="0060195A"/>
    <w:rsid w:val="0060274A"/>
    <w:rsid w:val="00604760"/>
    <w:rsid w:val="0060517F"/>
    <w:rsid w:val="006075AF"/>
    <w:rsid w:val="00607E24"/>
    <w:rsid w:val="00611CF0"/>
    <w:rsid w:val="006156B3"/>
    <w:rsid w:val="00615B74"/>
    <w:rsid w:val="0061790D"/>
    <w:rsid w:val="006204E6"/>
    <w:rsid w:val="00620505"/>
    <w:rsid w:val="00621464"/>
    <w:rsid w:val="00621A7C"/>
    <w:rsid w:val="006224D1"/>
    <w:rsid w:val="006231AE"/>
    <w:rsid w:val="00623385"/>
    <w:rsid w:val="006233C0"/>
    <w:rsid w:val="00623C37"/>
    <w:rsid w:val="00625576"/>
    <w:rsid w:val="00626073"/>
    <w:rsid w:val="00627044"/>
    <w:rsid w:val="00627844"/>
    <w:rsid w:val="00630021"/>
    <w:rsid w:val="00631262"/>
    <w:rsid w:val="006313AD"/>
    <w:rsid w:val="0063144D"/>
    <w:rsid w:val="00631D1D"/>
    <w:rsid w:val="00633821"/>
    <w:rsid w:val="006355AD"/>
    <w:rsid w:val="00636270"/>
    <w:rsid w:val="00636EA8"/>
    <w:rsid w:val="006372B6"/>
    <w:rsid w:val="006419FC"/>
    <w:rsid w:val="00642A68"/>
    <w:rsid w:val="00644BC6"/>
    <w:rsid w:val="0064522F"/>
    <w:rsid w:val="0064638C"/>
    <w:rsid w:val="00647706"/>
    <w:rsid w:val="00650617"/>
    <w:rsid w:val="00650733"/>
    <w:rsid w:val="0065087E"/>
    <w:rsid w:val="00652DEA"/>
    <w:rsid w:val="00653435"/>
    <w:rsid w:val="00653523"/>
    <w:rsid w:val="00653B17"/>
    <w:rsid w:val="00653B91"/>
    <w:rsid w:val="0065467B"/>
    <w:rsid w:val="00654717"/>
    <w:rsid w:val="0065580C"/>
    <w:rsid w:val="00656420"/>
    <w:rsid w:val="0065645C"/>
    <w:rsid w:val="006600EA"/>
    <w:rsid w:val="0066026D"/>
    <w:rsid w:val="00660547"/>
    <w:rsid w:val="00660D7E"/>
    <w:rsid w:val="006613A2"/>
    <w:rsid w:val="006637D2"/>
    <w:rsid w:val="00663BB9"/>
    <w:rsid w:val="00664648"/>
    <w:rsid w:val="00665257"/>
    <w:rsid w:val="00665D1F"/>
    <w:rsid w:val="006662F4"/>
    <w:rsid w:val="00666771"/>
    <w:rsid w:val="00666DE3"/>
    <w:rsid w:val="006672CA"/>
    <w:rsid w:val="006677DE"/>
    <w:rsid w:val="0067086D"/>
    <w:rsid w:val="006712C4"/>
    <w:rsid w:val="00672238"/>
    <w:rsid w:val="006730DF"/>
    <w:rsid w:val="00673595"/>
    <w:rsid w:val="00673622"/>
    <w:rsid w:val="0067377F"/>
    <w:rsid w:val="006738C1"/>
    <w:rsid w:val="00673EB1"/>
    <w:rsid w:val="0067716A"/>
    <w:rsid w:val="00677211"/>
    <w:rsid w:val="00677301"/>
    <w:rsid w:val="00677A04"/>
    <w:rsid w:val="00681126"/>
    <w:rsid w:val="00681A92"/>
    <w:rsid w:val="00681F26"/>
    <w:rsid w:val="0068431E"/>
    <w:rsid w:val="00684E40"/>
    <w:rsid w:val="006850C7"/>
    <w:rsid w:val="00685359"/>
    <w:rsid w:val="00685FF9"/>
    <w:rsid w:val="006864B7"/>
    <w:rsid w:val="00686716"/>
    <w:rsid w:val="00686943"/>
    <w:rsid w:val="00690ACD"/>
    <w:rsid w:val="006912EB"/>
    <w:rsid w:val="00691528"/>
    <w:rsid w:val="00691F2D"/>
    <w:rsid w:val="00692738"/>
    <w:rsid w:val="00692C9C"/>
    <w:rsid w:val="00694890"/>
    <w:rsid w:val="0069540A"/>
    <w:rsid w:val="006A09BD"/>
    <w:rsid w:val="006A250B"/>
    <w:rsid w:val="006A3034"/>
    <w:rsid w:val="006A37AF"/>
    <w:rsid w:val="006A3A22"/>
    <w:rsid w:val="006A68DD"/>
    <w:rsid w:val="006A7272"/>
    <w:rsid w:val="006A7DC4"/>
    <w:rsid w:val="006B0BC7"/>
    <w:rsid w:val="006B1D6E"/>
    <w:rsid w:val="006B2B6E"/>
    <w:rsid w:val="006B328B"/>
    <w:rsid w:val="006B42C3"/>
    <w:rsid w:val="006B45AD"/>
    <w:rsid w:val="006B501F"/>
    <w:rsid w:val="006B50C0"/>
    <w:rsid w:val="006B5D98"/>
    <w:rsid w:val="006B63B2"/>
    <w:rsid w:val="006B7228"/>
    <w:rsid w:val="006B7375"/>
    <w:rsid w:val="006C27A5"/>
    <w:rsid w:val="006C3727"/>
    <w:rsid w:val="006C4A65"/>
    <w:rsid w:val="006C570B"/>
    <w:rsid w:val="006C57D1"/>
    <w:rsid w:val="006D1BE0"/>
    <w:rsid w:val="006D2F1C"/>
    <w:rsid w:val="006D3D41"/>
    <w:rsid w:val="006D4A49"/>
    <w:rsid w:val="006D4B0E"/>
    <w:rsid w:val="006D4B1E"/>
    <w:rsid w:val="006D67C9"/>
    <w:rsid w:val="006D6B5D"/>
    <w:rsid w:val="006D6DE8"/>
    <w:rsid w:val="006E5D98"/>
    <w:rsid w:val="006E5DC0"/>
    <w:rsid w:val="006E6E9E"/>
    <w:rsid w:val="006E76F3"/>
    <w:rsid w:val="006F1395"/>
    <w:rsid w:val="006F1496"/>
    <w:rsid w:val="006F2187"/>
    <w:rsid w:val="006F4533"/>
    <w:rsid w:val="006F4D63"/>
    <w:rsid w:val="006F5FA0"/>
    <w:rsid w:val="006F6DFE"/>
    <w:rsid w:val="006F7192"/>
    <w:rsid w:val="006F744F"/>
    <w:rsid w:val="006F7FD7"/>
    <w:rsid w:val="00700B19"/>
    <w:rsid w:val="00703120"/>
    <w:rsid w:val="00703671"/>
    <w:rsid w:val="00703745"/>
    <w:rsid w:val="00703D5A"/>
    <w:rsid w:val="00704DD4"/>
    <w:rsid w:val="007056FC"/>
    <w:rsid w:val="007069CB"/>
    <w:rsid w:val="00710985"/>
    <w:rsid w:val="0071128A"/>
    <w:rsid w:val="007115CF"/>
    <w:rsid w:val="00713B60"/>
    <w:rsid w:val="00715613"/>
    <w:rsid w:val="007161CD"/>
    <w:rsid w:val="00716366"/>
    <w:rsid w:val="00725A22"/>
    <w:rsid w:val="00725B24"/>
    <w:rsid w:val="00730899"/>
    <w:rsid w:val="007309D8"/>
    <w:rsid w:val="0073164B"/>
    <w:rsid w:val="007320D3"/>
    <w:rsid w:val="00733825"/>
    <w:rsid w:val="007363F7"/>
    <w:rsid w:val="00736E6E"/>
    <w:rsid w:val="007375D2"/>
    <w:rsid w:val="00741D03"/>
    <w:rsid w:val="007428E0"/>
    <w:rsid w:val="007431BD"/>
    <w:rsid w:val="0074416B"/>
    <w:rsid w:val="0074620B"/>
    <w:rsid w:val="00746973"/>
    <w:rsid w:val="00746D08"/>
    <w:rsid w:val="00746E19"/>
    <w:rsid w:val="007539DD"/>
    <w:rsid w:val="00757B44"/>
    <w:rsid w:val="00760BE9"/>
    <w:rsid w:val="00762296"/>
    <w:rsid w:val="00762B8F"/>
    <w:rsid w:val="007636B8"/>
    <w:rsid w:val="00763797"/>
    <w:rsid w:val="00764C7F"/>
    <w:rsid w:val="00765D6D"/>
    <w:rsid w:val="0077095B"/>
    <w:rsid w:val="00772F7C"/>
    <w:rsid w:val="00772FC0"/>
    <w:rsid w:val="00773C97"/>
    <w:rsid w:val="0077433C"/>
    <w:rsid w:val="00775F58"/>
    <w:rsid w:val="00776865"/>
    <w:rsid w:val="0077696E"/>
    <w:rsid w:val="00777924"/>
    <w:rsid w:val="00777D79"/>
    <w:rsid w:val="00780C7B"/>
    <w:rsid w:val="00782C25"/>
    <w:rsid w:val="00783875"/>
    <w:rsid w:val="00785394"/>
    <w:rsid w:val="007868C9"/>
    <w:rsid w:val="00786CAD"/>
    <w:rsid w:val="007932B2"/>
    <w:rsid w:val="007941F7"/>
    <w:rsid w:val="00794897"/>
    <w:rsid w:val="00794FF3"/>
    <w:rsid w:val="00795220"/>
    <w:rsid w:val="00797A90"/>
    <w:rsid w:val="00797F10"/>
    <w:rsid w:val="007A0838"/>
    <w:rsid w:val="007A184B"/>
    <w:rsid w:val="007A3FCC"/>
    <w:rsid w:val="007A4023"/>
    <w:rsid w:val="007A46D2"/>
    <w:rsid w:val="007A58C2"/>
    <w:rsid w:val="007A63D2"/>
    <w:rsid w:val="007B11C2"/>
    <w:rsid w:val="007B1CF2"/>
    <w:rsid w:val="007B4244"/>
    <w:rsid w:val="007B6256"/>
    <w:rsid w:val="007C049B"/>
    <w:rsid w:val="007C12FF"/>
    <w:rsid w:val="007C18AB"/>
    <w:rsid w:val="007C1B69"/>
    <w:rsid w:val="007C2212"/>
    <w:rsid w:val="007C28B5"/>
    <w:rsid w:val="007C308A"/>
    <w:rsid w:val="007C5D4A"/>
    <w:rsid w:val="007C5EF0"/>
    <w:rsid w:val="007D0B53"/>
    <w:rsid w:val="007D0D59"/>
    <w:rsid w:val="007D3380"/>
    <w:rsid w:val="007D3FF8"/>
    <w:rsid w:val="007D54FC"/>
    <w:rsid w:val="007E0A27"/>
    <w:rsid w:val="007E1A45"/>
    <w:rsid w:val="007E20FD"/>
    <w:rsid w:val="007E23D3"/>
    <w:rsid w:val="007E2E10"/>
    <w:rsid w:val="007E2F66"/>
    <w:rsid w:val="007E4294"/>
    <w:rsid w:val="007E453F"/>
    <w:rsid w:val="007E4C6F"/>
    <w:rsid w:val="007E51FB"/>
    <w:rsid w:val="007E5B37"/>
    <w:rsid w:val="007E62AD"/>
    <w:rsid w:val="007E68F9"/>
    <w:rsid w:val="007E71C3"/>
    <w:rsid w:val="007E7872"/>
    <w:rsid w:val="007F0706"/>
    <w:rsid w:val="007F0B57"/>
    <w:rsid w:val="007F1166"/>
    <w:rsid w:val="007F249D"/>
    <w:rsid w:val="007F24DE"/>
    <w:rsid w:val="007F441C"/>
    <w:rsid w:val="007F4E2D"/>
    <w:rsid w:val="007F620E"/>
    <w:rsid w:val="007F6B0E"/>
    <w:rsid w:val="007F6CF5"/>
    <w:rsid w:val="00800435"/>
    <w:rsid w:val="00802101"/>
    <w:rsid w:val="0080214E"/>
    <w:rsid w:val="00802701"/>
    <w:rsid w:val="008029CD"/>
    <w:rsid w:val="00802D9B"/>
    <w:rsid w:val="00804403"/>
    <w:rsid w:val="00804615"/>
    <w:rsid w:val="0080651A"/>
    <w:rsid w:val="00810441"/>
    <w:rsid w:val="00811DB1"/>
    <w:rsid w:val="00815F1F"/>
    <w:rsid w:val="0081626F"/>
    <w:rsid w:val="0081735C"/>
    <w:rsid w:val="008232B6"/>
    <w:rsid w:val="008242B5"/>
    <w:rsid w:val="00824E9B"/>
    <w:rsid w:val="008257C7"/>
    <w:rsid w:val="008268AC"/>
    <w:rsid w:val="00826A9F"/>
    <w:rsid w:val="00831652"/>
    <w:rsid w:val="0083222A"/>
    <w:rsid w:val="0083350A"/>
    <w:rsid w:val="00833F9E"/>
    <w:rsid w:val="0083442F"/>
    <w:rsid w:val="008349A9"/>
    <w:rsid w:val="008354BF"/>
    <w:rsid w:val="008368B8"/>
    <w:rsid w:val="00841DA9"/>
    <w:rsid w:val="0084347A"/>
    <w:rsid w:val="00843B99"/>
    <w:rsid w:val="00843F9F"/>
    <w:rsid w:val="0085011A"/>
    <w:rsid w:val="00850D30"/>
    <w:rsid w:val="0085159E"/>
    <w:rsid w:val="00852792"/>
    <w:rsid w:val="00853F12"/>
    <w:rsid w:val="00855454"/>
    <w:rsid w:val="00855FD7"/>
    <w:rsid w:val="008560B1"/>
    <w:rsid w:val="008568D5"/>
    <w:rsid w:val="008574F4"/>
    <w:rsid w:val="00857CED"/>
    <w:rsid w:val="00860570"/>
    <w:rsid w:val="008608A8"/>
    <w:rsid w:val="00860BAF"/>
    <w:rsid w:val="008623A3"/>
    <w:rsid w:val="00862EBE"/>
    <w:rsid w:val="00867F7B"/>
    <w:rsid w:val="00871034"/>
    <w:rsid w:val="00871240"/>
    <w:rsid w:val="00872E87"/>
    <w:rsid w:val="00873E6D"/>
    <w:rsid w:val="00876803"/>
    <w:rsid w:val="0088025F"/>
    <w:rsid w:val="00880855"/>
    <w:rsid w:val="00880B4F"/>
    <w:rsid w:val="00880EDA"/>
    <w:rsid w:val="008818BB"/>
    <w:rsid w:val="008825AF"/>
    <w:rsid w:val="0088341A"/>
    <w:rsid w:val="008844B6"/>
    <w:rsid w:val="0088466D"/>
    <w:rsid w:val="00885956"/>
    <w:rsid w:val="00886869"/>
    <w:rsid w:val="00886AF0"/>
    <w:rsid w:val="008878EE"/>
    <w:rsid w:val="0088793D"/>
    <w:rsid w:val="0088799B"/>
    <w:rsid w:val="008909AC"/>
    <w:rsid w:val="00890BA4"/>
    <w:rsid w:val="00891202"/>
    <w:rsid w:val="008914E9"/>
    <w:rsid w:val="00893BD1"/>
    <w:rsid w:val="00894833"/>
    <w:rsid w:val="0089698F"/>
    <w:rsid w:val="00896D03"/>
    <w:rsid w:val="008A03C2"/>
    <w:rsid w:val="008A2B93"/>
    <w:rsid w:val="008A5983"/>
    <w:rsid w:val="008A635F"/>
    <w:rsid w:val="008B0DF2"/>
    <w:rsid w:val="008B277F"/>
    <w:rsid w:val="008B3F09"/>
    <w:rsid w:val="008B40F0"/>
    <w:rsid w:val="008B48DD"/>
    <w:rsid w:val="008B4E81"/>
    <w:rsid w:val="008B6420"/>
    <w:rsid w:val="008B67E2"/>
    <w:rsid w:val="008B72BC"/>
    <w:rsid w:val="008C09F7"/>
    <w:rsid w:val="008C21D0"/>
    <w:rsid w:val="008C2208"/>
    <w:rsid w:val="008C4D8E"/>
    <w:rsid w:val="008C6893"/>
    <w:rsid w:val="008C7C7B"/>
    <w:rsid w:val="008D13D1"/>
    <w:rsid w:val="008D17F2"/>
    <w:rsid w:val="008D37B6"/>
    <w:rsid w:val="008D4D7D"/>
    <w:rsid w:val="008D5132"/>
    <w:rsid w:val="008D5143"/>
    <w:rsid w:val="008E05C2"/>
    <w:rsid w:val="008E16C6"/>
    <w:rsid w:val="008E182E"/>
    <w:rsid w:val="008E1C33"/>
    <w:rsid w:val="008E1F3B"/>
    <w:rsid w:val="008E2201"/>
    <w:rsid w:val="008E3450"/>
    <w:rsid w:val="008E4336"/>
    <w:rsid w:val="008E4981"/>
    <w:rsid w:val="008E544E"/>
    <w:rsid w:val="008E69B0"/>
    <w:rsid w:val="008F46D5"/>
    <w:rsid w:val="008F4BA2"/>
    <w:rsid w:val="008F503E"/>
    <w:rsid w:val="008F54C4"/>
    <w:rsid w:val="00900BF5"/>
    <w:rsid w:val="00901856"/>
    <w:rsid w:val="00904B9F"/>
    <w:rsid w:val="00904F3C"/>
    <w:rsid w:val="00907B0C"/>
    <w:rsid w:val="00911408"/>
    <w:rsid w:val="00915118"/>
    <w:rsid w:val="00916074"/>
    <w:rsid w:val="009169FC"/>
    <w:rsid w:val="0092095E"/>
    <w:rsid w:val="00920F4B"/>
    <w:rsid w:val="00922989"/>
    <w:rsid w:val="00922E4B"/>
    <w:rsid w:val="00925FAB"/>
    <w:rsid w:val="00927C9F"/>
    <w:rsid w:val="00931BD8"/>
    <w:rsid w:val="0093296A"/>
    <w:rsid w:val="00933889"/>
    <w:rsid w:val="00935523"/>
    <w:rsid w:val="009356D1"/>
    <w:rsid w:val="00935A84"/>
    <w:rsid w:val="00936F68"/>
    <w:rsid w:val="00937605"/>
    <w:rsid w:val="009379C5"/>
    <w:rsid w:val="00942BBA"/>
    <w:rsid w:val="00942F3E"/>
    <w:rsid w:val="009450E5"/>
    <w:rsid w:val="00945EEA"/>
    <w:rsid w:val="009463BA"/>
    <w:rsid w:val="009476B5"/>
    <w:rsid w:val="00950718"/>
    <w:rsid w:val="00951470"/>
    <w:rsid w:val="00953EEE"/>
    <w:rsid w:val="00955726"/>
    <w:rsid w:val="0095734E"/>
    <w:rsid w:val="00960E89"/>
    <w:rsid w:val="00961AA4"/>
    <w:rsid w:val="009628A2"/>
    <w:rsid w:val="00962A3E"/>
    <w:rsid w:val="00963EEF"/>
    <w:rsid w:val="00965E0D"/>
    <w:rsid w:val="00967717"/>
    <w:rsid w:val="0096778B"/>
    <w:rsid w:val="00967A6E"/>
    <w:rsid w:val="009725E7"/>
    <w:rsid w:val="00975C13"/>
    <w:rsid w:val="00977AB6"/>
    <w:rsid w:val="00977F5D"/>
    <w:rsid w:val="00983BD8"/>
    <w:rsid w:val="00983F0F"/>
    <w:rsid w:val="009857CF"/>
    <w:rsid w:val="00986F27"/>
    <w:rsid w:val="0098724B"/>
    <w:rsid w:val="00990907"/>
    <w:rsid w:val="009929BF"/>
    <w:rsid w:val="00993212"/>
    <w:rsid w:val="0099524F"/>
    <w:rsid w:val="009959B7"/>
    <w:rsid w:val="00996DC7"/>
    <w:rsid w:val="009976F6"/>
    <w:rsid w:val="009A016A"/>
    <w:rsid w:val="009A0371"/>
    <w:rsid w:val="009A097A"/>
    <w:rsid w:val="009A2C04"/>
    <w:rsid w:val="009A5697"/>
    <w:rsid w:val="009A62F6"/>
    <w:rsid w:val="009A6C6B"/>
    <w:rsid w:val="009A7604"/>
    <w:rsid w:val="009A7EDF"/>
    <w:rsid w:val="009B0081"/>
    <w:rsid w:val="009B058D"/>
    <w:rsid w:val="009B55C6"/>
    <w:rsid w:val="009B5F10"/>
    <w:rsid w:val="009B7CF5"/>
    <w:rsid w:val="009C02BA"/>
    <w:rsid w:val="009C1AD4"/>
    <w:rsid w:val="009C2BE1"/>
    <w:rsid w:val="009C4B5B"/>
    <w:rsid w:val="009C7470"/>
    <w:rsid w:val="009D0937"/>
    <w:rsid w:val="009D1779"/>
    <w:rsid w:val="009D2872"/>
    <w:rsid w:val="009D2A39"/>
    <w:rsid w:val="009D3C2E"/>
    <w:rsid w:val="009D5126"/>
    <w:rsid w:val="009D5671"/>
    <w:rsid w:val="009D5ABC"/>
    <w:rsid w:val="009D7A45"/>
    <w:rsid w:val="009E1C9B"/>
    <w:rsid w:val="009E1EDB"/>
    <w:rsid w:val="009E3AC9"/>
    <w:rsid w:val="009E48E4"/>
    <w:rsid w:val="009E4B88"/>
    <w:rsid w:val="009E7582"/>
    <w:rsid w:val="009F03FE"/>
    <w:rsid w:val="009F3606"/>
    <w:rsid w:val="009F40CD"/>
    <w:rsid w:val="009F6136"/>
    <w:rsid w:val="00A014C1"/>
    <w:rsid w:val="00A036C7"/>
    <w:rsid w:val="00A060C5"/>
    <w:rsid w:val="00A06973"/>
    <w:rsid w:val="00A07A96"/>
    <w:rsid w:val="00A14A27"/>
    <w:rsid w:val="00A16DE3"/>
    <w:rsid w:val="00A16F1E"/>
    <w:rsid w:val="00A17B43"/>
    <w:rsid w:val="00A20628"/>
    <w:rsid w:val="00A22885"/>
    <w:rsid w:val="00A23930"/>
    <w:rsid w:val="00A240DF"/>
    <w:rsid w:val="00A247BD"/>
    <w:rsid w:val="00A24B7E"/>
    <w:rsid w:val="00A24E91"/>
    <w:rsid w:val="00A2781F"/>
    <w:rsid w:val="00A31792"/>
    <w:rsid w:val="00A319DE"/>
    <w:rsid w:val="00A327F6"/>
    <w:rsid w:val="00A330D3"/>
    <w:rsid w:val="00A3343B"/>
    <w:rsid w:val="00A336BA"/>
    <w:rsid w:val="00A33A42"/>
    <w:rsid w:val="00A33B24"/>
    <w:rsid w:val="00A33EC2"/>
    <w:rsid w:val="00A346B8"/>
    <w:rsid w:val="00A34AB8"/>
    <w:rsid w:val="00A3504F"/>
    <w:rsid w:val="00A353E0"/>
    <w:rsid w:val="00A36639"/>
    <w:rsid w:val="00A36B1C"/>
    <w:rsid w:val="00A36C4B"/>
    <w:rsid w:val="00A37762"/>
    <w:rsid w:val="00A40840"/>
    <w:rsid w:val="00A42AE7"/>
    <w:rsid w:val="00A42DD6"/>
    <w:rsid w:val="00A446EE"/>
    <w:rsid w:val="00A46004"/>
    <w:rsid w:val="00A5202F"/>
    <w:rsid w:val="00A53F27"/>
    <w:rsid w:val="00A56536"/>
    <w:rsid w:val="00A570FC"/>
    <w:rsid w:val="00A60203"/>
    <w:rsid w:val="00A608B8"/>
    <w:rsid w:val="00A60AAA"/>
    <w:rsid w:val="00A60D51"/>
    <w:rsid w:val="00A65F9D"/>
    <w:rsid w:val="00A67E89"/>
    <w:rsid w:val="00A70AB1"/>
    <w:rsid w:val="00A70C2E"/>
    <w:rsid w:val="00A73233"/>
    <w:rsid w:val="00A735AC"/>
    <w:rsid w:val="00A753B9"/>
    <w:rsid w:val="00A75D2D"/>
    <w:rsid w:val="00A77DC4"/>
    <w:rsid w:val="00A806C8"/>
    <w:rsid w:val="00A80783"/>
    <w:rsid w:val="00A8130D"/>
    <w:rsid w:val="00A82697"/>
    <w:rsid w:val="00A83D83"/>
    <w:rsid w:val="00A83FE2"/>
    <w:rsid w:val="00A85032"/>
    <w:rsid w:val="00A86489"/>
    <w:rsid w:val="00A86988"/>
    <w:rsid w:val="00A90C32"/>
    <w:rsid w:val="00A910F1"/>
    <w:rsid w:val="00A916EA"/>
    <w:rsid w:val="00A921DB"/>
    <w:rsid w:val="00A92D0B"/>
    <w:rsid w:val="00A963A7"/>
    <w:rsid w:val="00A96DBA"/>
    <w:rsid w:val="00A9705D"/>
    <w:rsid w:val="00A97DD9"/>
    <w:rsid w:val="00AA0C12"/>
    <w:rsid w:val="00AA1740"/>
    <w:rsid w:val="00AA1CC1"/>
    <w:rsid w:val="00AA2045"/>
    <w:rsid w:val="00AA235B"/>
    <w:rsid w:val="00AA2BB1"/>
    <w:rsid w:val="00AA2DD8"/>
    <w:rsid w:val="00AA39D0"/>
    <w:rsid w:val="00AA3B7C"/>
    <w:rsid w:val="00AA3DFE"/>
    <w:rsid w:val="00AA4541"/>
    <w:rsid w:val="00AA5003"/>
    <w:rsid w:val="00AA6519"/>
    <w:rsid w:val="00AB2F7F"/>
    <w:rsid w:val="00AB3510"/>
    <w:rsid w:val="00AB4992"/>
    <w:rsid w:val="00AC0803"/>
    <w:rsid w:val="00AC0F30"/>
    <w:rsid w:val="00AC220F"/>
    <w:rsid w:val="00AC5A4B"/>
    <w:rsid w:val="00AC63A5"/>
    <w:rsid w:val="00AC7261"/>
    <w:rsid w:val="00AD0479"/>
    <w:rsid w:val="00AD21D6"/>
    <w:rsid w:val="00AD3818"/>
    <w:rsid w:val="00AD4465"/>
    <w:rsid w:val="00AD4A6E"/>
    <w:rsid w:val="00AD5387"/>
    <w:rsid w:val="00AD5797"/>
    <w:rsid w:val="00AD60BC"/>
    <w:rsid w:val="00AD742A"/>
    <w:rsid w:val="00AE07F3"/>
    <w:rsid w:val="00AE2868"/>
    <w:rsid w:val="00AE3E54"/>
    <w:rsid w:val="00AE3FCA"/>
    <w:rsid w:val="00AE405D"/>
    <w:rsid w:val="00AE429F"/>
    <w:rsid w:val="00AE4F77"/>
    <w:rsid w:val="00AE5A44"/>
    <w:rsid w:val="00AE6488"/>
    <w:rsid w:val="00AE73E4"/>
    <w:rsid w:val="00AE75EF"/>
    <w:rsid w:val="00AE7836"/>
    <w:rsid w:val="00AF227F"/>
    <w:rsid w:val="00AF237A"/>
    <w:rsid w:val="00AF3EAC"/>
    <w:rsid w:val="00AF61A9"/>
    <w:rsid w:val="00AF7BE8"/>
    <w:rsid w:val="00AF7C14"/>
    <w:rsid w:val="00B00BCD"/>
    <w:rsid w:val="00B02D98"/>
    <w:rsid w:val="00B03003"/>
    <w:rsid w:val="00B05228"/>
    <w:rsid w:val="00B06271"/>
    <w:rsid w:val="00B06FDF"/>
    <w:rsid w:val="00B07758"/>
    <w:rsid w:val="00B11EB5"/>
    <w:rsid w:val="00B1368B"/>
    <w:rsid w:val="00B14B30"/>
    <w:rsid w:val="00B15346"/>
    <w:rsid w:val="00B15352"/>
    <w:rsid w:val="00B1593B"/>
    <w:rsid w:val="00B16B60"/>
    <w:rsid w:val="00B17005"/>
    <w:rsid w:val="00B173B3"/>
    <w:rsid w:val="00B17789"/>
    <w:rsid w:val="00B17955"/>
    <w:rsid w:val="00B22DB0"/>
    <w:rsid w:val="00B249C7"/>
    <w:rsid w:val="00B24B9E"/>
    <w:rsid w:val="00B3084F"/>
    <w:rsid w:val="00B30F84"/>
    <w:rsid w:val="00B312DA"/>
    <w:rsid w:val="00B31565"/>
    <w:rsid w:val="00B332E8"/>
    <w:rsid w:val="00B34F1B"/>
    <w:rsid w:val="00B35862"/>
    <w:rsid w:val="00B365A7"/>
    <w:rsid w:val="00B37434"/>
    <w:rsid w:val="00B3758C"/>
    <w:rsid w:val="00B40EA1"/>
    <w:rsid w:val="00B420B8"/>
    <w:rsid w:val="00B42A96"/>
    <w:rsid w:val="00B42A9F"/>
    <w:rsid w:val="00B45B2D"/>
    <w:rsid w:val="00B473F4"/>
    <w:rsid w:val="00B50173"/>
    <w:rsid w:val="00B51C2B"/>
    <w:rsid w:val="00B51F03"/>
    <w:rsid w:val="00B51F9B"/>
    <w:rsid w:val="00B5279E"/>
    <w:rsid w:val="00B53E7E"/>
    <w:rsid w:val="00B54202"/>
    <w:rsid w:val="00B54900"/>
    <w:rsid w:val="00B54991"/>
    <w:rsid w:val="00B55CCD"/>
    <w:rsid w:val="00B55D78"/>
    <w:rsid w:val="00B5646E"/>
    <w:rsid w:val="00B60722"/>
    <w:rsid w:val="00B614A3"/>
    <w:rsid w:val="00B62AC0"/>
    <w:rsid w:val="00B63003"/>
    <w:rsid w:val="00B63E3F"/>
    <w:rsid w:val="00B649F5"/>
    <w:rsid w:val="00B64AB0"/>
    <w:rsid w:val="00B65661"/>
    <w:rsid w:val="00B6567C"/>
    <w:rsid w:val="00B6674D"/>
    <w:rsid w:val="00B66CF5"/>
    <w:rsid w:val="00B67CC1"/>
    <w:rsid w:val="00B70C2C"/>
    <w:rsid w:val="00B71399"/>
    <w:rsid w:val="00B727D6"/>
    <w:rsid w:val="00B738AC"/>
    <w:rsid w:val="00B745B5"/>
    <w:rsid w:val="00B75AA1"/>
    <w:rsid w:val="00B76B16"/>
    <w:rsid w:val="00B77081"/>
    <w:rsid w:val="00B77F79"/>
    <w:rsid w:val="00B803D5"/>
    <w:rsid w:val="00B81887"/>
    <w:rsid w:val="00B81CB0"/>
    <w:rsid w:val="00B84015"/>
    <w:rsid w:val="00B8487C"/>
    <w:rsid w:val="00B857D5"/>
    <w:rsid w:val="00B874B4"/>
    <w:rsid w:val="00B90145"/>
    <w:rsid w:val="00B908A8"/>
    <w:rsid w:val="00B929B0"/>
    <w:rsid w:val="00B93A1F"/>
    <w:rsid w:val="00B94BD3"/>
    <w:rsid w:val="00B94F48"/>
    <w:rsid w:val="00B96484"/>
    <w:rsid w:val="00B96720"/>
    <w:rsid w:val="00B973DE"/>
    <w:rsid w:val="00B978F6"/>
    <w:rsid w:val="00BA040E"/>
    <w:rsid w:val="00BA059C"/>
    <w:rsid w:val="00BA2779"/>
    <w:rsid w:val="00BA2D3F"/>
    <w:rsid w:val="00BA3232"/>
    <w:rsid w:val="00BA39E6"/>
    <w:rsid w:val="00BA521A"/>
    <w:rsid w:val="00BA548C"/>
    <w:rsid w:val="00BB03A7"/>
    <w:rsid w:val="00BB26D5"/>
    <w:rsid w:val="00BB2903"/>
    <w:rsid w:val="00BB2938"/>
    <w:rsid w:val="00BB49BB"/>
    <w:rsid w:val="00BB4BB2"/>
    <w:rsid w:val="00BB606A"/>
    <w:rsid w:val="00BC1B9A"/>
    <w:rsid w:val="00BC26A0"/>
    <w:rsid w:val="00BC3C4B"/>
    <w:rsid w:val="00BC4772"/>
    <w:rsid w:val="00BC49D6"/>
    <w:rsid w:val="00BC50F6"/>
    <w:rsid w:val="00BC5151"/>
    <w:rsid w:val="00BC524D"/>
    <w:rsid w:val="00BC5A98"/>
    <w:rsid w:val="00BC66D8"/>
    <w:rsid w:val="00BC71C7"/>
    <w:rsid w:val="00BC766F"/>
    <w:rsid w:val="00BD1749"/>
    <w:rsid w:val="00BD2DCC"/>
    <w:rsid w:val="00BD4E06"/>
    <w:rsid w:val="00BE0C12"/>
    <w:rsid w:val="00BE3088"/>
    <w:rsid w:val="00BE45D0"/>
    <w:rsid w:val="00BE5429"/>
    <w:rsid w:val="00BE54A7"/>
    <w:rsid w:val="00BE7CE8"/>
    <w:rsid w:val="00BF01A1"/>
    <w:rsid w:val="00BF09EA"/>
    <w:rsid w:val="00BF1315"/>
    <w:rsid w:val="00BF2C99"/>
    <w:rsid w:val="00BF2F45"/>
    <w:rsid w:val="00BF3D58"/>
    <w:rsid w:val="00BF5333"/>
    <w:rsid w:val="00BF6739"/>
    <w:rsid w:val="00BF7F91"/>
    <w:rsid w:val="00C019A9"/>
    <w:rsid w:val="00C01C79"/>
    <w:rsid w:val="00C02649"/>
    <w:rsid w:val="00C037EB"/>
    <w:rsid w:val="00C039BC"/>
    <w:rsid w:val="00C03A03"/>
    <w:rsid w:val="00C0471D"/>
    <w:rsid w:val="00C047F9"/>
    <w:rsid w:val="00C048A7"/>
    <w:rsid w:val="00C0577A"/>
    <w:rsid w:val="00C101D5"/>
    <w:rsid w:val="00C101FC"/>
    <w:rsid w:val="00C11478"/>
    <w:rsid w:val="00C11A72"/>
    <w:rsid w:val="00C1203C"/>
    <w:rsid w:val="00C1384B"/>
    <w:rsid w:val="00C13B3F"/>
    <w:rsid w:val="00C157CD"/>
    <w:rsid w:val="00C16981"/>
    <w:rsid w:val="00C17BAA"/>
    <w:rsid w:val="00C20C58"/>
    <w:rsid w:val="00C21A78"/>
    <w:rsid w:val="00C21B2B"/>
    <w:rsid w:val="00C221AD"/>
    <w:rsid w:val="00C23783"/>
    <w:rsid w:val="00C268EA"/>
    <w:rsid w:val="00C30156"/>
    <w:rsid w:val="00C30641"/>
    <w:rsid w:val="00C306A4"/>
    <w:rsid w:val="00C3078F"/>
    <w:rsid w:val="00C325AC"/>
    <w:rsid w:val="00C3271E"/>
    <w:rsid w:val="00C3290A"/>
    <w:rsid w:val="00C32F45"/>
    <w:rsid w:val="00C34B8E"/>
    <w:rsid w:val="00C34C85"/>
    <w:rsid w:val="00C3564C"/>
    <w:rsid w:val="00C35D95"/>
    <w:rsid w:val="00C372E0"/>
    <w:rsid w:val="00C37436"/>
    <w:rsid w:val="00C41168"/>
    <w:rsid w:val="00C43DC2"/>
    <w:rsid w:val="00C44298"/>
    <w:rsid w:val="00C446F0"/>
    <w:rsid w:val="00C470B1"/>
    <w:rsid w:val="00C47623"/>
    <w:rsid w:val="00C47A2B"/>
    <w:rsid w:val="00C50DF6"/>
    <w:rsid w:val="00C52160"/>
    <w:rsid w:val="00C523D1"/>
    <w:rsid w:val="00C52603"/>
    <w:rsid w:val="00C52960"/>
    <w:rsid w:val="00C531D3"/>
    <w:rsid w:val="00C5468F"/>
    <w:rsid w:val="00C54C88"/>
    <w:rsid w:val="00C5529A"/>
    <w:rsid w:val="00C55AA2"/>
    <w:rsid w:val="00C567C3"/>
    <w:rsid w:val="00C573B4"/>
    <w:rsid w:val="00C6164D"/>
    <w:rsid w:val="00C62EF3"/>
    <w:rsid w:val="00C65318"/>
    <w:rsid w:val="00C65550"/>
    <w:rsid w:val="00C65CE6"/>
    <w:rsid w:val="00C6660C"/>
    <w:rsid w:val="00C67E03"/>
    <w:rsid w:val="00C67E8B"/>
    <w:rsid w:val="00C70545"/>
    <w:rsid w:val="00C725AA"/>
    <w:rsid w:val="00C734EA"/>
    <w:rsid w:val="00C742D7"/>
    <w:rsid w:val="00C765A2"/>
    <w:rsid w:val="00C766A3"/>
    <w:rsid w:val="00C774BA"/>
    <w:rsid w:val="00C77EED"/>
    <w:rsid w:val="00C80771"/>
    <w:rsid w:val="00C80FBE"/>
    <w:rsid w:val="00C8190D"/>
    <w:rsid w:val="00C826CD"/>
    <w:rsid w:val="00C8271B"/>
    <w:rsid w:val="00C838B4"/>
    <w:rsid w:val="00C848C9"/>
    <w:rsid w:val="00C86224"/>
    <w:rsid w:val="00C90E9F"/>
    <w:rsid w:val="00C928FB"/>
    <w:rsid w:val="00C92D29"/>
    <w:rsid w:val="00C94B8A"/>
    <w:rsid w:val="00C94CD3"/>
    <w:rsid w:val="00C94CE8"/>
    <w:rsid w:val="00C95E3C"/>
    <w:rsid w:val="00C97026"/>
    <w:rsid w:val="00C97ADC"/>
    <w:rsid w:val="00CA07A8"/>
    <w:rsid w:val="00CA2D98"/>
    <w:rsid w:val="00CA322A"/>
    <w:rsid w:val="00CA3D58"/>
    <w:rsid w:val="00CA40AA"/>
    <w:rsid w:val="00CA5B7F"/>
    <w:rsid w:val="00CA5E02"/>
    <w:rsid w:val="00CA6588"/>
    <w:rsid w:val="00CA6BBE"/>
    <w:rsid w:val="00CB04B4"/>
    <w:rsid w:val="00CB0772"/>
    <w:rsid w:val="00CB10F0"/>
    <w:rsid w:val="00CB1B65"/>
    <w:rsid w:val="00CB36E9"/>
    <w:rsid w:val="00CB545F"/>
    <w:rsid w:val="00CB7FB2"/>
    <w:rsid w:val="00CC0496"/>
    <w:rsid w:val="00CC10AF"/>
    <w:rsid w:val="00CC1C12"/>
    <w:rsid w:val="00CC1DC4"/>
    <w:rsid w:val="00CC2406"/>
    <w:rsid w:val="00CC2E97"/>
    <w:rsid w:val="00CC3306"/>
    <w:rsid w:val="00CC4B40"/>
    <w:rsid w:val="00CC6DA7"/>
    <w:rsid w:val="00CD0F2C"/>
    <w:rsid w:val="00CD2351"/>
    <w:rsid w:val="00CD2903"/>
    <w:rsid w:val="00CD2DDB"/>
    <w:rsid w:val="00CD514D"/>
    <w:rsid w:val="00CD5C65"/>
    <w:rsid w:val="00CD6886"/>
    <w:rsid w:val="00CD767C"/>
    <w:rsid w:val="00CD7D17"/>
    <w:rsid w:val="00CE0522"/>
    <w:rsid w:val="00CE057B"/>
    <w:rsid w:val="00CE1F14"/>
    <w:rsid w:val="00CE33AA"/>
    <w:rsid w:val="00CE38DF"/>
    <w:rsid w:val="00CE4EAD"/>
    <w:rsid w:val="00CF100A"/>
    <w:rsid w:val="00CF1129"/>
    <w:rsid w:val="00CF18CA"/>
    <w:rsid w:val="00CF2CE4"/>
    <w:rsid w:val="00CF4A4C"/>
    <w:rsid w:val="00CF5219"/>
    <w:rsid w:val="00CF5527"/>
    <w:rsid w:val="00CF71D5"/>
    <w:rsid w:val="00CF729E"/>
    <w:rsid w:val="00D01565"/>
    <w:rsid w:val="00D02F1C"/>
    <w:rsid w:val="00D05ED0"/>
    <w:rsid w:val="00D06B71"/>
    <w:rsid w:val="00D075B1"/>
    <w:rsid w:val="00D10372"/>
    <w:rsid w:val="00D10443"/>
    <w:rsid w:val="00D156E5"/>
    <w:rsid w:val="00D1583E"/>
    <w:rsid w:val="00D16D42"/>
    <w:rsid w:val="00D1765D"/>
    <w:rsid w:val="00D1778A"/>
    <w:rsid w:val="00D224CC"/>
    <w:rsid w:val="00D23062"/>
    <w:rsid w:val="00D2420A"/>
    <w:rsid w:val="00D245D7"/>
    <w:rsid w:val="00D26599"/>
    <w:rsid w:val="00D269AB"/>
    <w:rsid w:val="00D27D5F"/>
    <w:rsid w:val="00D30033"/>
    <w:rsid w:val="00D30039"/>
    <w:rsid w:val="00D30C4F"/>
    <w:rsid w:val="00D31AD5"/>
    <w:rsid w:val="00D3424A"/>
    <w:rsid w:val="00D3442D"/>
    <w:rsid w:val="00D34C74"/>
    <w:rsid w:val="00D35680"/>
    <w:rsid w:val="00D35C58"/>
    <w:rsid w:val="00D36884"/>
    <w:rsid w:val="00D36927"/>
    <w:rsid w:val="00D4130A"/>
    <w:rsid w:val="00D417D5"/>
    <w:rsid w:val="00D44A15"/>
    <w:rsid w:val="00D44E62"/>
    <w:rsid w:val="00D45B4A"/>
    <w:rsid w:val="00D509FA"/>
    <w:rsid w:val="00D548FD"/>
    <w:rsid w:val="00D54F89"/>
    <w:rsid w:val="00D55F2F"/>
    <w:rsid w:val="00D5683A"/>
    <w:rsid w:val="00D56BCA"/>
    <w:rsid w:val="00D56D80"/>
    <w:rsid w:val="00D56E9C"/>
    <w:rsid w:val="00D60534"/>
    <w:rsid w:val="00D612CA"/>
    <w:rsid w:val="00D66A44"/>
    <w:rsid w:val="00D67346"/>
    <w:rsid w:val="00D67486"/>
    <w:rsid w:val="00D70B91"/>
    <w:rsid w:val="00D74F4E"/>
    <w:rsid w:val="00D75107"/>
    <w:rsid w:val="00D76604"/>
    <w:rsid w:val="00D76F76"/>
    <w:rsid w:val="00D82864"/>
    <w:rsid w:val="00D83B74"/>
    <w:rsid w:val="00D84F94"/>
    <w:rsid w:val="00D85201"/>
    <w:rsid w:val="00D8769E"/>
    <w:rsid w:val="00D935A9"/>
    <w:rsid w:val="00D943E9"/>
    <w:rsid w:val="00D95613"/>
    <w:rsid w:val="00D96FA0"/>
    <w:rsid w:val="00D97118"/>
    <w:rsid w:val="00DA0A4E"/>
    <w:rsid w:val="00DA156A"/>
    <w:rsid w:val="00DA1EC0"/>
    <w:rsid w:val="00DA2198"/>
    <w:rsid w:val="00DA35EA"/>
    <w:rsid w:val="00DA3AEE"/>
    <w:rsid w:val="00DA3BB7"/>
    <w:rsid w:val="00DA41DD"/>
    <w:rsid w:val="00DA46F3"/>
    <w:rsid w:val="00DA558F"/>
    <w:rsid w:val="00DA68C8"/>
    <w:rsid w:val="00DA7B0E"/>
    <w:rsid w:val="00DB00F3"/>
    <w:rsid w:val="00DB0B75"/>
    <w:rsid w:val="00DB22F4"/>
    <w:rsid w:val="00DB2DE7"/>
    <w:rsid w:val="00DB333E"/>
    <w:rsid w:val="00DB4F61"/>
    <w:rsid w:val="00DB54CD"/>
    <w:rsid w:val="00DB5AF0"/>
    <w:rsid w:val="00DB69C5"/>
    <w:rsid w:val="00DB6AB2"/>
    <w:rsid w:val="00DB7972"/>
    <w:rsid w:val="00DC08F1"/>
    <w:rsid w:val="00DC1D85"/>
    <w:rsid w:val="00DC3BA5"/>
    <w:rsid w:val="00DC5CC0"/>
    <w:rsid w:val="00DC64BB"/>
    <w:rsid w:val="00DC6BF3"/>
    <w:rsid w:val="00DD09E0"/>
    <w:rsid w:val="00DD4912"/>
    <w:rsid w:val="00DD4FD9"/>
    <w:rsid w:val="00DD52BB"/>
    <w:rsid w:val="00DD5E9F"/>
    <w:rsid w:val="00DE157F"/>
    <w:rsid w:val="00DE2AED"/>
    <w:rsid w:val="00DE3A5D"/>
    <w:rsid w:val="00DE589A"/>
    <w:rsid w:val="00DE5A6B"/>
    <w:rsid w:val="00DE6A08"/>
    <w:rsid w:val="00DE6E6F"/>
    <w:rsid w:val="00DF13B7"/>
    <w:rsid w:val="00DF13DF"/>
    <w:rsid w:val="00DF33D7"/>
    <w:rsid w:val="00DF3B5C"/>
    <w:rsid w:val="00DF4A11"/>
    <w:rsid w:val="00DF5C93"/>
    <w:rsid w:val="00DF5FCA"/>
    <w:rsid w:val="00E0033C"/>
    <w:rsid w:val="00E00990"/>
    <w:rsid w:val="00E00FCE"/>
    <w:rsid w:val="00E0202E"/>
    <w:rsid w:val="00E05037"/>
    <w:rsid w:val="00E06943"/>
    <w:rsid w:val="00E0752D"/>
    <w:rsid w:val="00E105B7"/>
    <w:rsid w:val="00E11038"/>
    <w:rsid w:val="00E11876"/>
    <w:rsid w:val="00E119EB"/>
    <w:rsid w:val="00E12766"/>
    <w:rsid w:val="00E15C42"/>
    <w:rsid w:val="00E15DC3"/>
    <w:rsid w:val="00E17B34"/>
    <w:rsid w:val="00E21EA5"/>
    <w:rsid w:val="00E2316C"/>
    <w:rsid w:val="00E25078"/>
    <w:rsid w:val="00E259AB"/>
    <w:rsid w:val="00E25AB7"/>
    <w:rsid w:val="00E26240"/>
    <w:rsid w:val="00E26974"/>
    <w:rsid w:val="00E26DB1"/>
    <w:rsid w:val="00E315AB"/>
    <w:rsid w:val="00E34D13"/>
    <w:rsid w:val="00E34FC1"/>
    <w:rsid w:val="00E3593D"/>
    <w:rsid w:val="00E35CDD"/>
    <w:rsid w:val="00E3786F"/>
    <w:rsid w:val="00E40140"/>
    <w:rsid w:val="00E40608"/>
    <w:rsid w:val="00E410C7"/>
    <w:rsid w:val="00E41CD3"/>
    <w:rsid w:val="00E43984"/>
    <w:rsid w:val="00E444D3"/>
    <w:rsid w:val="00E44DAD"/>
    <w:rsid w:val="00E45877"/>
    <w:rsid w:val="00E46B92"/>
    <w:rsid w:val="00E46D49"/>
    <w:rsid w:val="00E473F3"/>
    <w:rsid w:val="00E5098A"/>
    <w:rsid w:val="00E51720"/>
    <w:rsid w:val="00E52992"/>
    <w:rsid w:val="00E538E6"/>
    <w:rsid w:val="00E54088"/>
    <w:rsid w:val="00E54666"/>
    <w:rsid w:val="00E54D37"/>
    <w:rsid w:val="00E54E5D"/>
    <w:rsid w:val="00E570B9"/>
    <w:rsid w:val="00E571C9"/>
    <w:rsid w:val="00E5756F"/>
    <w:rsid w:val="00E57721"/>
    <w:rsid w:val="00E60942"/>
    <w:rsid w:val="00E60B2A"/>
    <w:rsid w:val="00E643CF"/>
    <w:rsid w:val="00E65D66"/>
    <w:rsid w:val="00E66DD0"/>
    <w:rsid w:val="00E66FE7"/>
    <w:rsid w:val="00E71BE6"/>
    <w:rsid w:val="00E72B14"/>
    <w:rsid w:val="00E73A22"/>
    <w:rsid w:val="00E73D63"/>
    <w:rsid w:val="00E74A86"/>
    <w:rsid w:val="00E752B6"/>
    <w:rsid w:val="00E75510"/>
    <w:rsid w:val="00E75C25"/>
    <w:rsid w:val="00E75E09"/>
    <w:rsid w:val="00E76482"/>
    <w:rsid w:val="00E765B8"/>
    <w:rsid w:val="00E775D0"/>
    <w:rsid w:val="00E777C3"/>
    <w:rsid w:val="00E77DCD"/>
    <w:rsid w:val="00E8002E"/>
    <w:rsid w:val="00E804F9"/>
    <w:rsid w:val="00E80748"/>
    <w:rsid w:val="00E80D89"/>
    <w:rsid w:val="00E81881"/>
    <w:rsid w:val="00E82E9A"/>
    <w:rsid w:val="00E851AC"/>
    <w:rsid w:val="00E90A61"/>
    <w:rsid w:val="00E90BAE"/>
    <w:rsid w:val="00E91914"/>
    <w:rsid w:val="00E9233C"/>
    <w:rsid w:val="00E924CB"/>
    <w:rsid w:val="00E9366A"/>
    <w:rsid w:val="00E94B33"/>
    <w:rsid w:val="00E951D7"/>
    <w:rsid w:val="00E953B4"/>
    <w:rsid w:val="00E959A0"/>
    <w:rsid w:val="00E9647D"/>
    <w:rsid w:val="00E96ADE"/>
    <w:rsid w:val="00EA094F"/>
    <w:rsid w:val="00EA1344"/>
    <w:rsid w:val="00EA2E94"/>
    <w:rsid w:val="00EA2FE7"/>
    <w:rsid w:val="00EA3E09"/>
    <w:rsid w:val="00EA5064"/>
    <w:rsid w:val="00EB0DBA"/>
    <w:rsid w:val="00EB10B7"/>
    <w:rsid w:val="00EB4237"/>
    <w:rsid w:val="00EB548B"/>
    <w:rsid w:val="00EB64CF"/>
    <w:rsid w:val="00EB67C8"/>
    <w:rsid w:val="00EB6F56"/>
    <w:rsid w:val="00EB70B9"/>
    <w:rsid w:val="00EB7A19"/>
    <w:rsid w:val="00EC282A"/>
    <w:rsid w:val="00EC41C9"/>
    <w:rsid w:val="00EC5A6A"/>
    <w:rsid w:val="00EC6387"/>
    <w:rsid w:val="00EC6785"/>
    <w:rsid w:val="00ED2ADA"/>
    <w:rsid w:val="00ED32E3"/>
    <w:rsid w:val="00ED4DA5"/>
    <w:rsid w:val="00ED4F0A"/>
    <w:rsid w:val="00ED5690"/>
    <w:rsid w:val="00ED6481"/>
    <w:rsid w:val="00ED6B6B"/>
    <w:rsid w:val="00ED6EA4"/>
    <w:rsid w:val="00ED74CC"/>
    <w:rsid w:val="00ED7589"/>
    <w:rsid w:val="00EE014D"/>
    <w:rsid w:val="00EE0679"/>
    <w:rsid w:val="00EE1182"/>
    <w:rsid w:val="00EE2274"/>
    <w:rsid w:val="00EE5A06"/>
    <w:rsid w:val="00EE7A2E"/>
    <w:rsid w:val="00EE7D68"/>
    <w:rsid w:val="00EF22D1"/>
    <w:rsid w:val="00EF26B6"/>
    <w:rsid w:val="00EF434C"/>
    <w:rsid w:val="00EF60B6"/>
    <w:rsid w:val="00EF7B1B"/>
    <w:rsid w:val="00F01C4E"/>
    <w:rsid w:val="00F02390"/>
    <w:rsid w:val="00F023E7"/>
    <w:rsid w:val="00F028C8"/>
    <w:rsid w:val="00F03313"/>
    <w:rsid w:val="00F04748"/>
    <w:rsid w:val="00F04904"/>
    <w:rsid w:val="00F078A2"/>
    <w:rsid w:val="00F07FF4"/>
    <w:rsid w:val="00F11630"/>
    <w:rsid w:val="00F11B70"/>
    <w:rsid w:val="00F1226A"/>
    <w:rsid w:val="00F13584"/>
    <w:rsid w:val="00F14F33"/>
    <w:rsid w:val="00F16C76"/>
    <w:rsid w:val="00F16FBD"/>
    <w:rsid w:val="00F172CD"/>
    <w:rsid w:val="00F20061"/>
    <w:rsid w:val="00F23EFD"/>
    <w:rsid w:val="00F2513F"/>
    <w:rsid w:val="00F256D7"/>
    <w:rsid w:val="00F258E4"/>
    <w:rsid w:val="00F26371"/>
    <w:rsid w:val="00F26523"/>
    <w:rsid w:val="00F2682B"/>
    <w:rsid w:val="00F26C71"/>
    <w:rsid w:val="00F30DA8"/>
    <w:rsid w:val="00F31AD0"/>
    <w:rsid w:val="00F32F7C"/>
    <w:rsid w:val="00F33613"/>
    <w:rsid w:val="00F344B6"/>
    <w:rsid w:val="00F34C1F"/>
    <w:rsid w:val="00F3772B"/>
    <w:rsid w:val="00F37960"/>
    <w:rsid w:val="00F40D6E"/>
    <w:rsid w:val="00F42FEC"/>
    <w:rsid w:val="00F44330"/>
    <w:rsid w:val="00F44D84"/>
    <w:rsid w:val="00F45871"/>
    <w:rsid w:val="00F464DA"/>
    <w:rsid w:val="00F46951"/>
    <w:rsid w:val="00F477C6"/>
    <w:rsid w:val="00F47D7E"/>
    <w:rsid w:val="00F47E87"/>
    <w:rsid w:val="00F504BA"/>
    <w:rsid w:val="00F52CE3"/>
    <w:rsid w:val="00F5378B"/>
    <w:rsid w:val="00F5484F"/>
    <w:rsid w:val="00F54C4E"/>
    <w:rsid w:val="00F56832"/>
    <w:rsid w:val="00F579D2"/>
    <w:rsid w:val="00F603FD"/>
    <w:rsid w:val="00F62206"/>
    <w:rsid w:val="00F623DC"/>
    <w:rsid w:val="00F632E8"/>
    <w:rsid w:val="00F63C29"/>
    <w:rsid w:val="00F64EC8"/>
    <w:rsid w:val="00F650AE"/>
    <w:rsid w:val="00F71EF4"/>
    <w:rsid w:val="00F72C9B"/>
    <w:rsid w:val="00F73172"/>
    <w:rsid w:val="00F73681"/>
    <w:rsid w:val="00F73B65"/>
    <w:rsid w:val="00F7579D"/>
    <w:rsid w:val="00F770E5"/>
    <w:rsid w:val="00F7740F"/>
    <w:rsid w:val="00F81778"/>
    <w:rsid w:val="00F82515"/>
    <w:rsid w:val="00F839B7"/>
    <w:rsid w:val="00F84031"/>
    <w:rsid w:val="00F859F3"/>
    <w:rsid w:val="00F85B29"/>
    <w:rsid w:val="00F862A9"/>
    <w:rsid w:val="00F86309"/>
    <w:rsid w:val="00F86380"/>
    <w:rsid w:val="00F86B30"/>
    <w:rsid w:val="00F90353"/>
    <w:rsid w:val="00F91473"/>
    <w:rsid w:val="00F9326C"/>
    <w:rsid w:val="00F9391C"/>
    <w:rsid w:val="00F95291"/>
    <w:rsid w:val="00F95F34"/>
    <w:rsid w:val="00F96326"/>
    <w:rsid w:val="00F96873"/>
    <w:rsid w:val="00F96B4F"/>
    <w:rsid w:val="00FA02F3"/>
    <w:rsid w:val="00FA063E"/>
    <w:rsid w:val="00FA0B6A"/>
    <w:rsid w:val="00FA2136"/>
    <w:rsid w:val="00FA333E"/>
    <w:rsid w:val="00FA4732"/>
    <w:rsid w:val="00FA49DE"/>
    <w:rsid w:val="00FA4D31"/>
    <w:rsid w:val="00FA59EB"/>
    <w:rsid w:val="00FA5DE6"/>
    <w:rsid w:val="00FA6DFE"/>
    <w:rsid w:val="00FA77F2"/>
    <w:rsid w:val="00FB4215"/>
    <w:rsid w:val="00FB42C1"/>
    <w:rsid w:val="00FB503B"/>
    <w:rsid w:val="00FB51D5"/>
    <w:rsid w:val="00FB69F8"/>
    <w:rsid w:val="00FC0145"/>
    <w:rsid w:val="00FC04B6"/>
    <w:rsid w:val="00FC08C1"/>
    <w:rsid w:val="00FC0F7C"/>
    <w:rsid w:val="00FC17B0"/>
    <w:rsid w:val="00FC2588"/>
    <w:rsid w:val="00FC3AF0"/>
    <w:rsid w:val="00FC478E"/>
    <w:rsid w:val="00FC4C8A"/>
    <w:rsid w:val="00FC6914"/>
    <w:rsid w:val="00FC6C6B"/>
    <w:rsid w:val="00FC6E38"/>
    <w:rsid w:val="00FC72B7"/>
    <w:rsid w:val="00FC7F0C"/>
    <w:rsid w:val="00FD11EA"/>
    <w:rsid w:val="00FD31C3"/>
    <w:rsid w:val="00FD3D40"/>
    <w:rsid w:val="00FD3E05"/>
    <w:rsid w:val="00FD43A9"/>
    <w:rsid w:val="00FD54B2"/>
    <w:rsid w:val="00FD688E"/>
    <w:rsid w:val="00FD74A0"/>
    <w:rsid w:val="00FE1571"/>
    <w:rsid w:val="00FE1EBF"/>
    <w:rsid w:val="00FE1F78"/>
    <w:rsid w:val="00FE3421"/>
    <w:rsid w:val="00FE3BAE"/>
    <w:rsid w:val="00FE6D22"/>
    <w:rsid w:val="00FE7966"/>
    <w:rsid w:val="00FE7A3E"/>
    <w:rsid w:val="00FE7CEE"/>
    <w:rsid w:val="00FF03D5"/>
    <w:rsid w:val="00FF0D22"/>
    <w:rsid w:val="00FF0EFD"/>
    <w:rsid w:val="00FF1AC3"/>
    <w:rsid w:val="00FF27B1"/>
    <w:rsid w:val="00FF2909"/>
    <w:rsid w:val="00FF47F6"/>
    <w:rsid w:val="00FF5DBB"/>
    <w:rsid w:val="00FF6A6E"/>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B0335AC7-F6FB-49BE-9B9F-80FA92DF474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5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7810">
      <w:bodyDiv w:val="1"/>
      <w:marLeft w:val="0"/>
      <w:marRight w:val="0"/>
      <w:marTop w:val="0"/>
      <w:marBottom w:val="0"/>
      <w:divBdr>
        <w:top w:val="none" w:sz="0" w:space="0" w:color="auto"/>
        <w:left w:val="none" w:sz="0" w:space="0" w:color="auto"/>
        <w:bottom w:val="none" w:sz="0" w:space="0" w:color="auto"/>
        <w:right w:val="none" w:sz="0" w:space="0" w:color="auto"/>
      </w:divBdr>
    </w:div>
    <w:div w:id="1058556577">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9C74B7-1AB6-46DF-B8FE-6D41DF85B4E5}">
  <ds:schemaRefs>
    <ds:schemaRef ds:uri="http://schemas.openxmlformats.org/officeDocument/2006/bibliography"/>
  </ds:schemaRefs>
</ds:datastoreItem>
</file>

<file path=customXml/itemProps2.xml><?xml version="1.0" encoding="utf-8"?>
<ds:datastoreItem xmlns:ds="http://schemas.openxmlformats.org/officeDocument/2006/customXml" ds:itemID="{0D49439E-5AFA-4363-8003-10286E60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C2C3C-6821-4E8F-9D4E-CCCBE3A85D19}">
  <ds:schemaRefs>
    <ds:schemaRef ds:uri="http://schemas.microsoft.com/sharepoint/v3/contenttype/forms"/>
  </ds:schemaRefs>
</ds:datastoreItem>
</file>

<file path=customXml/itemProps4.xml><?xml version="1.0" encoding="utf-8"?>
<ds:datastoreItem xmlns:ds="http://schemas.openxmlformats.org/officeDocument/2006/customXml" ds:itemID="{73C0D758-A0A6-4B08-A505-5E915650ECE3}">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30</ap:Pages>
  <ap:Words>8404</ap:Words>
  <ap:Characters>47908</ap:Characters>
  <ap:Application>Microsoft Office Word</ap:Application>
  <ap:DocSecurity>0</ap:DocSecurity>
  <ap:Lines>399</ap:Lines>
  <ap:Paragraphs>112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56200</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2026-06-16T16:35:00Z</dcterms:created>
  <dcterms:modified xsi:type="dcterms:W3CDTF">2026-06-16T16:35:00Z</dcterms:modified>
</cp:coreProperties>
</file>