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5E15" w:rsidR="003B1DBD" w:rsidP="00B57B05" w:rsidRDefault="00B3296D" w14:paraId="71E68983" w14:textId="18F14B41">
      <w:pPr>
        <w:overflowPunct w:val="0"/>
        <w:autoSpaceDE w:val="0"/>
        <w:autoSpaceDN w:val="0"/>
        <w:ind w:right="775"/>
        <w:jc w:val="center"/>
        <w:rPr>
          <w:rFonts w:ascii="Palatino Linotype" w:hAnsi="Palatino Linotype"/>
          <w:b/>
          <w:bCs/>
          <w:sz w:val="24"/>
          <w:szCs w:val="24"/>
        </w:rPr>
      </w:pPr>
      <w:r>
        <w:rPr>
          <w:rFonts w:ascii="Palatino Linotype" w:hAnsi="Palatino Linotype"/>
          <w:b/>
          <w:bCs/>
          <w:sz w:val="24"/>
          <w:szCs w:val="24"/>
        </w:rPr>
        <w:br/>
      </w:r>
      <w:r w:rsidRPr="00287772" w:rsidR="003B1DBD">
        <w:rPr>
          <w:rFonts w:ascii="Palatino Linotype" w:hAnsi="Palatino Linotype"/>
          <w:b/>
          <w:bCs/>
          <w:sz w:val="24"/>
          <w:szCs w:val="24"/>
        </w:rPr>
        <w:t>PUBLIC UTILITIES COMMISSION OF THE STATE OF CALIFORNIA</w:t>
      </w:r>
    </w:p>
    <w:p w:rsidRPr="00755E15" w:rsidR="003B1DBD" w:rsidP="003B1DBD" w:rsidRDefault="003B1DBD" w14:paraId="34365A0E" w14:textId="77777777">
      <w:pPr>
        <w:tabs>
          <w:tab w:val="right" w:pos="10080"/>
        </w:tabs>
        <w:rPr>
          <w:rFonts w:ascii="Palatino Linotype" w:hAnsi="Palatino Linotype"/>
          <w:sz w:val="24"/>
          <w:szCs w:val="24"/>
        </w:rPr>
      </w:pPr>
    </w:p>
    <w:p w:rsidRPr="00755E15" w:rsidR="003B1DBD" w:rsidP="005139F5" w:rsidRDefault="00B57B05" w14:paraId="2429A17B" w14:textId="38C52048">
      <w:pPr>
        <w:tabs>
          <w:tab w:val="right" w:pos="9360"/>
        </w:tabs>
        <w:spacing w:after="0" w:line="240" w:lineRule="auto"/>
        <w:rPr>
          <w:rFonts w:ascii="Palatino Linotype" w:hAnsi="Palatino Linotype"/>
          <w:b/>
          <w:bCs/>
          <w:sz w:val="24"/>
          <w:szCs w:val="24"/>
        </w:rPr>
      </w:pPr>
      <w:r>
        <w:rPr>
          <w:rFonts w:ascii="Palatino Linotype" w:hAnsi="Palatino Linotype"/>
          <w:b/>
          <w:bCs/>
          <w:sz w:val="24"/>
          <w:szCs w:val="24"/>
        </w:rPr>
        <w:t xml:space="preserve">Date of Issuance: June 17, </w:t>
      </w:r>
      <w:proofErr w:type="gramStart"/>
      <w:r>
        <w:rPr>
          <w:rFonts w:ascii="Palatino Linotype" w:hAnsi="Palatino Linotype"/>
          <w:b/>
          <w:bCs/>
          <w:sz w:val="24"/>
          <w:szCs w:val="24"/>
        </w:rPr>
        <w:t>2026</w:t>
      </w:r>
      <w:proofErr w:type="gramEnd"/>
      <w:r w:rsidR="00C864A9">
        <w:rPr>
          <w:rFonts w:ascii="Palatino Linotype" w:hAnsi="Palatino Linotype"/>
          <w:b/>
          <w:bCs/>
          <w:sz w:val="24"/>
          <w:szCs w:val="24"/>
        </w:rPr>
        <w:t xml:space="preserve">                                                             </w:t>
      </w:r>
      <w:r>
        <w:rPr>
          <w:rFonts w:ascii="Palatino Linotype" w:hAnsi="Palatino Linotype"/>
          <w:b/>
          <w:bCs/>
          <w:sz w:val="24"/>
          <w:szCs w:val="24"/>
        </w:rPr>
        <w:t xml:space="preserve"> </w:t>
      </w:r>
      <w:r w:rsidR="00C864A9">
        <w:rPr>
          <w:rFonts w:ascii="Palatino Linotype" w:hAnsi="Palatino Linotype"/>
          <w:b/>
          <w:bCs/>
          <w:sz w:val="24"/>
          <w:szCs w:val="24"/>
        </w:rPr>
        <w:t>RESOLUTION T-17917</w:t>
      </w:r>
      <w:r w:rsidR="00D8627C">
        <w:rPr>
          <w:rFonts w:ascii="Palatino Linotype" w:hAnsi="Palatino Linotype"/>
          <w:b/>
          <w:bCs/>
          <w:sz w:val="24"/>
          <w:szCs w:val="24"/>
        </w:rPr>
        <w:br/>
      </w:r>
      <w:r w:rsidR="00C864A9">
        <w:rPr>
          <w:rFonts w:ascii="Palatino Linotype" w:hAnsi="Palatino Linotype"/>
          <w:b/>
          <w:bCs/>
          <w:sz w:val="24"/>
          <w:szCs w:val="24"/>
        </w:rPr>
        <w:t>COMMUNICATIONS DIVISION</w:t>
      </w:r>
      <w:r w:rsidR="003B1DBD">
        <w:tab/>
      </w:r>
      <w:r w:rsidR="00A24128">
        <w:t xml:space="preserve">    </w:t>
      </w:r>
      <w:r w:rsidRPr="6ABA7CC5" w:rsidR="5B7728C4">
        <w:rPr>
          <w:rFonts w:ascii="Palatino Linotype" w:hAnsi="Palatino Linotype"/>
          <w:b/>
          <w:bCs/>
          <w:sz w:val="24"/>
          <w:szCs w:val="24"/>
        </w:rPr>
        <w:t xml:space="preserve">  </w:t>
      </w:r>
      <w:r w:rsidR="00A24128">
        <w:rPr>
          <w:rFonts w:ascii="Palatino Linotype" w:hAnsi="Palatino Linotype"/>
          <w:b/>
          <w:bCs/>
          <w:sz w:val="24"/>
          <w:szCs w:val="24"/>
        </w:rPr>
        <w:t xml:space="preserve"> </w:t>
      </w:r>
      <w:r w:rsidRPr="6ABA7CC5" w:rsidR="1BDD98C5">
        <w:rPr>
          <w:rFonts w:ascii="Palatino Linotype" w:hAnsi="Palatino Linotype"/>
          <w:b/>
          <w:bCs/>
          <w:sz w:val="24"/>
          <w:szCs w:val="24"/>
        </w:rPr>
        <w:t xml:space="preserve">       </w:t>
      </w:r>
      <w:r w:rsidR="00A24128">
        <w:rPr>
          <w:rFonts w:ascii="Palatino Linotype" w:hAnsi="Palatino Linotype"/>
          <w:b/>
          <w:bCs/>
          <w:sz w:val="24"/>
          <w:szCs w:val="24"/>
        </w:rPr>
        <w:t xml:space="preserve">              </w:t>
      </w:r>
      <w:r w:rsidR="00AA312E">
        <w:rPr>
          <w:rFonts w:ascii="Palatino Linotype" w:hAnsi="Palatino Linotype"/>
          <w:b/>
          <w:bCs/>
          <w:sz w:val="24"/>
          <w:szCs w:val="24"/>
        </w:rPr>
        <w:t xml:space="preserve">  </w:t>
      </w:r>
      <w:r w:rsidR="00C864A9">
        <w:rPr>
          <w:rFonts w:ascii="Palatino Linotype" w:hAnsi="Palatino Linotype"/>
          <w:b/>
          <w:bCs/>
          <w:sz w:val="24"/>
          <w:szCs w:val="24"/>
        </w:rPr>
        <w:t xml:space="preserve"> </w:t>
      </w:r>
      <w:r>
        <w:rPr>
          <w:rFonts w:ascii="Palatino Linotype" w:hAnsi="Palatino Linotype"/>
          <w:b/>
          <w:bCs/>
          <w:sz w:val="24"/>
          <w:szCs w:val="24"/>
        </w:rPr>
        <w:t xml:space="preserve">   </w:t>
      </w:r>
      <w:r w:rsidR="00C864A9">
        <w:rPr>
          <w:rFonts w:ascii="Palatino Linotype" w:hAnsi="Palatino Linotype"/>
          <w:b/>
          <w:bCs/>
          <w:sz w:val="24"/>
          <w:szCs w:val="24"/>
        </w:rPr>
        <w:t>June 11, 2026</w:t>
      </w:r>
    </w:p>
    <w:p w:rsidRPr="00755E15" w:rsidR="00970177" w:rsidP="4C51A3BC" w:rsidRDefault="003B1DBD" w14:paraId="6C24AFB7" w14:textId="12210CB6">
      <w:pPr>
        <w:tabs>
          <w:tab w:val="right" w:pos="9360"/>
        </w:tabs>
        <w:spacing w:after="0" w:line="240" w:lineRule="auto"/>
        <w:rPr>
          <w:rFonts w:ascii="Palatino Linotype" w:hAnsi="Palatino Linotype"/>
          <w:b/>
          <w:bCs/>
          <w:sz w:val="24"/>
          <w:szCs w:val="24"/>
        </w:rPr>
      </w:pPr>
      <w:r>
        <w:tab/>
      </w:r>
      <w:r>
        <w:tab/>
      </w:r>
      <w:r w:rsidRPr="235D545B">
        <w:rPr>
          <w:rFonts w:ascii="Palatino Linotype" w:hAnsi="Palatino Linotype"/>
          <w:b/>
          <w:bCs/>
          <w:sz w:val="24"/>
          <w:szCs w:val="24"/>
        </w:rPr>
        <w:t xml:space="preserve">        </w:t>
      </w:r>
    </w:p>
    <w:p w:rsidRPr="00755E15" w:rsidR="003B1DBD" w:rsidP="003B1DBD" w:rsidRDefault="003B1DBD" w14:paraId="5675FCFC" w14:textId="77777777">
      <w:pPr>
        <w:tabs>
          <w:tab w:val="right" w:pos="10080"/>
        </w:tabs>
        <w:jc w:val="center"/>
        <w:rPr>
          <w:rFonts w:ascii="Palatino Linotype" w:hAnsi="Palatino Linotype"/>
          <w:b/>
          <w:sz w:val="24"/>
          <w:szCs w:val="24"/>
          <w:u w:val="single"/>
        </w:rPr>
      </w:pPr>
      <w:r w:rsidRPr="00755E15">
        <w:rPr>
          <w:rFonts w:ascii="Palatino Linotype" w:hAnsi="Palatino Linotype"/>
          <w:b/>
          <w:sz w:val="24"/>
          <w:szCs w:val="24"/>
          <w:u w:val="single"/>
        </w:rPr>
        <w:t>R</w:t>
      </w:r>
      <w:r w:rsidRPr="00755E15">
        <w:rPr>
          <w:rFonts w:ascii="Palatino Linotype" w:hAnsi="Palatino Linotype"/>
          <w:b/>
          <w:sz w:val="24"/>
          <w:szCs w:val="24"/>
        </w:rPr>
        <w:t xml:space="preserve"> </w:t>
      </w:r>
      <w:r w:rsidRPr="00755E15">
        <w:rPr>
          <w:rFonts w:ascii="Palatino Linotype" w:hAnsi="Palatino Linotype"/>
          <w:b/>
          <w:sz w:val="24"/>
          <w:szCs w:val="24"/>
          <w:u w:val="single"/>
        </w:rPr>
        <w:t>E</w:t>
      </w:r>
      <w:r w:rsidRPr="00755E15">
        <w:rPr>
          <w:rFonts w:ascii="Palatino Linotype" w:hAnsi="Palatino Linotype"/>
          <w:b/>
          <w:sz w:val="24"/>
          <w:szCs w:val="24"/>
        </w:rPr>
        <w:t xml:space="preserve"> </w:t>
      </w:r>
      <w:r w:rsidRPr="00755E15">
        <w:rPr>
          <w:rFonts w:ascii="Palatino Linotype" w:hAnsi="Palatino Linotype"/>
          <w:b/>
          <w:sz w:val="24"/>
          <w:szCs w:val="24"/>
          <w:u w:val="single"/>
        </w:rPr>
        <w:t>S</w:t>
      </w:r>
      <w:r w:rsidRPr="00755E15">
        <w:rPr>
          <w:rFonts w:ascii="Palatino Linotype" w:hAnsi="Palatino Linotype"/>
          <w:b/>
          <w:sz w:val="24"/>
          <w:szCs w:val="24"/>
        </w:rPr>
        <w:t xml:space="preserve"> </w:t>
      </w:r>
      <w:r w:rsidRPr="00755E15">
        <w:rPr>
          <w:rFonts w:ascii="Palatino Linotype" w:hAnsi="Palatino Linotype"/>
          <w:b/>
          <w:sz w:val="24"/>
          <w:szCs w:val="24"/>
          <w:u w:val="single"/>
        </w:rPr>
        <w:t>O</w:t>
      </w:r>
      <w:r w:rsidRPr="00755E15">
        <w:rPr>
          <w:rFonts w:ascii="Palatino Linotype" w:hAnsi="Palatino Linotype"/>
          <w:b/>
          <w:sz w:val="24"/>
          <w:szCs w:val="24"/>
        </w:rPr>
        <w:t xml:space="preserve"> </w:t>
      </w:r>
      <w:r w:rsidRPr="00755E15">
        <w:rPr>
          <w:rFonts w:ascii="Palatino Linotype" w:hAnsi="Palatino Linotype"/>
          <w:b/>
          <w:sz w:val="24"/>
          <w:szCs w:val="24"/>
          <w:u w:val="single"/>
        </w:rPr>
        <w:t>L</w:t>
      </w:r>
      <w:r w:rsidRPr="00755E15">
        <w:rPr>
          <w:rFonts w:ascii="Palatino Linotype" w:hAnsi="Palatino Linotype"/>
          <w:b/>
          <w:sz w:val="24"/>
          <w:szCs w:val="24"/>
        </w:rPr>
        <w:t xml:space="preserve"> </w:t>
      </w:r>
      <w:r w:rsidRPr="00755E15">
        <w:rPr>
          <w:rFonts w:ascii="Palatino Linotype" w:hAnsi="Palatino Linotype"/>
          <w:b/>
          <w:sz w:val="24"/>
          <w:szCs w:val="24"/>
          <w:u w:val="single"/>
        </w:rPr>
        <w:t>U</w:t>
      </w:r>
      <w:r w:rsidRPr="00755E15">
        <w:rPr>
          <w:rFonts w:ascii="Palatino Linotype" w:hAnsi="Palatino Linotype"/>
          <w:b/>
          <w:sz w:val="24"/>
          <w:szCs w:val="24"/>
        </w:rPr>
        <w:t xml:space="preserve"> </w:t>
      </w:r>
      <w:r w:rsidRPr="00755E15">
        <w:rPr>
          <w:rFonts w:ascii="Palatino Linotype" w:hAnsi="Palatino Linotype"/>
          <w:b/>
          <w:sz w:val="24"/>
          <w:szCs w:val="24"/>
          <w:u w:val="single"/>
        </w:rPr>
        <w:t>T</w:t>
      </w:r>
      <w:r w:rsidRPr="00755E15">
        <w:rPr>
          <w:rFonts w:ascii="Palatino Linotype" w:hAnsi="Palatino Linotype"/>
          <w:b/>
          <w:sz w:val="24"/>
          <w:szCs w:val="24"/>
        </w:rPr>
        <w:t xml:space="preserve"> </w:t>
      </w:r>
      <w:r w:rsidRPr="00755E15">
        <w:rPr>
          <w:rFonts w:ascii="Palatino Linotype" w:hAnsi="Palatino Linotype"/>
          <w:b/>
          <w:sz w:val="24"/>
          <w:szCs w:val="24"/>
          <w:u w:val="single"/>
        </w:rPr>
        <w:t>I</w:t>
      </w:r>
      <w:r w:rsidRPr="00755E15">
        <w:rPr>
          <w:rFonts w:ascii="Palatino Linotype" w:hAnsi="Palatino Linotype"/>
          <w:b/>
          <w:sz w:val="24"/>
          <w:szCs w:val="24"/>
        </w:rPr>
        <w:t xml:space="preserve"> </w:t>
      </w:r>
      <w:r w:rsidRPr="00755E15">
        <w:rPr>
          <w:rFonts w:ascii="Palatino Linotype" w:hAnsi="Palatino Linotype"/>
          <w:b/>
          <w:sz w:val="24"/>
          <w:szCs w:val="24"/>
          <w:u w:val="single"/>
        </w:rPr>
        <w:t>O</w:t>
      </w:r>
      <w:r w:rsidRPr="00755E15">
        <w:rPr>
          <w:rFonts w:ascii="Palatino Linotype" w:hAnsi="Palatino Linotype"/>
          <w:b/>
          <w:sz w:val="24"/>
          <w:szCs w:val="24"/>
        </w:rPr>
        <w:t xml:space="preserve"> </w:t>
      </w:r>
      <w:r w:rsidRPr="00755E15">
        <w:rPr>
          <w:rFonts w:ascii="Palatino Linotype" w:hAnsi="Palatino Linotype"/>
          <w:b/>
          <w:sz w:val="24"/>
          <w:szCs w:val="24"/>
          <w:u w:val="single"/>
        </w:rPr>
        <w:t>N</w:t>
      </w:r>
    </w:p>
    <w:p w:rsidRPr="00755E15" w:rsidR="00D75F30" w:rsidP="003B1DBD" w:rsidRDefault="00D75F30" w14:paraId="077732FB" w14:textId="77777777">
      <w:pPr>
        <w:tabs>
          <w:tab w:val="right" w:pos="10080"/>
        </w:tabs>
        <w:jc w:val="center"/>
        <w:rPr>
          <w:rFonts w:ascii="Palatino Linotype" w:hAnsi="Palatino Linotype"/>
          <w:b/>
          <w:sz w:val="24"/>
          <w:szCs w:val="24"/>
          <w:u w:val="single"/>
        </w:rPr>
      </w:pPr>
    </w:p>
    <w:p w:rsidR="004B467A" w:rsidP="00713E77" w:rsidRDefault="00E4241D" w14:paraId="02EB7C16" w14:textId="2C786C69">
      <w:pPr>
        <w:spacing w:after="0" w:line="240" w:lineRule="auto"/>
        <w:ind w:right="270"/>
        <w:rPr>
          <w:rFonts w:ascii="Palatino Linotype" w:hAnsi="Palatino Linotype"/>
          <w:b/>
          <w:bCs/>
          <w:sz w:val="24"/>
          <w:szCs w:val="24"/>
        </w:rPr>
      </w:pPr>
      <w:r w:rsidRPr="00755E15">
        <w:rPr>
          <w:rFonts w:ascii="Palatino Linotype" w:hAnsi="Palatino Linotype"/>
          <w:b/>
          <w:bCs/>
          <w:sz w:val="24"/>
          <w:szCs w:val="24"/>
        </w:rPr>
        <w:t>R</w:t>
      </w:r>
      <w:r w:rsidR="00067D39">
        <w:rPr>
          <w:rFonts w:ascii="Palatino Linotype" w:hAnsi="Palatino Linotype"/>
          <w:b/>
          <w:bCs/>
          <w:sz w:val="24"/>
          <w:szCs w:val="24"/>
        </w:rPr>
        <w:t>ESOLUTION</w:t>
      </w:r>
      <w:r w:rsidRPr="00755E15" w:rsidR="003B1DBD">
        <w:rPr>
          <w:rFonts w:ascii="Palatino Linotype" w:hAnsi="Palatino Linotype"/>
          <w:b/>
          <w:bCs/>
          <w:sz w:val="24"/>
          <w:szCs w:val="24"/>
        </w:rPr>
        <w:t xml:space="preserve"> </w:t>
      </w:r>
      <w:r w:rsidRPr="00C511D5" w:rsidR="003B1DBD">
        <w:rPr>
          <w:rFonts w:ascii="Palatino Linotype" w:hAnsi="Palatino Linotype"/>
          <w:b/>
          <w:bCs/>
          <w:sz w:val="24"/>
          <w:szCs w:val="24"/>
        </w:rPr>
        <w:t>T-</w:t>
      </w:r>
      <w:r w:rsidR="00573CAE">
        <w:rPr>
          <w:rFonts w:ascii="Palatino Linotype" w:hAnsi="Palatino Linotype"/>
          <w:b/>
          <w:bCs/>
          <w:sz w:val="24"/>
          <w:szCs w:val="24"/>
        </w:rPr>
        <w:t>17917</w:t>
      </w:r>
      <w:r w:rsidR="001F6980">
        <w:rPr>
          <w:rFonts w:ascii="Palatino Linotype" w:hAnsi="Palatino Linotype"/>
          <w:b/>
          <w:bCs/>
          <w:sz w:val="24"/>
          <w:szCs w:val="24"/>
        </w:rPr>
        <w:t xml:space="preserve">.  </w:t>
      </w:r>
      <w:r w:rsidR="000F6D13">
        <w:rPr>
          <w:rFonts w:ascii="Palatino Linotype" w:hAnsi="Palatino Linotype"/>
          <w:b/>
          <w:bCs/>
          <w:sz w:val="24"/>
          <w:szCs w:val="24"/>
        </w:rPr>
        <w:t>2025</w:t>
      </w:r>
      <w:r w:rsidR="009C4FA6">
        <w:rPr>
          <w:rFonts w:ascii="Palatino Linotype" w:hAnsi="Palatino Linotype"/>
          <w:b/>
          <w:bCs/>
          <w:sz w:val="24"/>
          <w:szCs w:val="24"/>
        </w:rPr>
        <w:t xml:space="preserve"> </w:t>
      </w:r>
      <w:r w:rsidR="00A62691">
        <w:rPr>
          <w:rFonts w:ascii="Palatino Linotype" w:hAnsi="Palatino Linotype"/>
          <w:b/>
          <w:bCs/>
          <w:sz w:val="24"/>
          <w:szCs w:val="24"/>
        </w:rPr>
        <w:t>G</w:t>
      </w:r>
      <w:r w:rsidR="009C4FA6">
        <w:rPr>
          <w:rFonts w:ascii="Palatino Linotype" w:hAnsi="Palatino Linotype"/>
          <w:b/>
          <w:bCs/>
          <w:sz w:val="24"/>
          <w:szCs w:val="24"/>
        </w:rPr>
        <w:t>O</w:t>
      </w:r>
      <w:r w:rsidR="00A62691">
        <w:rPr>
          <w:rFonts w:ascii="Palatino Linotype" w:hAnsi="Palatino Linotype"/>
          <w:b/>
          <w:bCs/>
          <w:sz w:val="24"/>
          <w:szCs w:val="24"/>
        </w:rPr>
        <w:t xml:space="preserve"> 133-D service qual</w:t>
      </w:r>
      <w:r w:rsidR="00363711">
        <w:rPr>
          <w:rFonts w:ascii="Palatino Linotype" w:hAnsi="Palatino Linotype"/>
          <w:b/>
          <w:bCs/>
          <w:sz w:val="24"/>
          <w:szCs w:val="24"/>
        </w:rPr>
        <w:t>ity fines</w:t>
      </w:r>
      <w:r w:rsidR="009C4FA6">
        <w:rPr>
          <w:rFonts w:ascii="Palatino Linotype" w:hAnsi="Palatino Linotype"/>
          <w:b/>
          <w:bCs/>
          <w:sz w:val="24"/>
          <w:szCs w:val="24"/>
        </w:rPr>
        <w:t xml:space="preserve">. </w:t>
      </w:r>
    </w:p>
    <w:p w:rsidR="00AE5828" w:rsidP="00713E77" w:rsidRDefault="00AE5828" w14:paraId="1F04149D" w14:textId="77777777">
      <w:pPr>
        <w:spacing w:after="0" w:line="240" w:lineRule="auto"/>
        <w:ind w:right="270"/>
        <w:rPr>
          <w:rFonts w:ascii="Palatino Linotype" w:hAnsi="Palatino Linotype"/>
          <w:b/>
          <w:bCs/>
          <w:sz w:val="24"/>
          <w:szCs w:val="24"/>
        </w:rPr>
      </w:pPr>
    </w:p>
    <w:p w:rsidRPr="00631C58" w:rsidR="00D750B6" w:rsidP="00D750B6" w:rsidRDefault="00AE5828" w14:paraId="7A977C7D" w14:textId="3474DC05">
      <w:pPr>
        <w:spacing w:after="0" w:line="240" w:lineRule="auto"/>
        <w:ind w:right="270"/>
        <w:rPr>
          <w:rFonts w:ascii="Palatino Linotype" w:hAnsi="Palatino Linotype"/>
          <w:sz w:val="24"/>
          <w:szCs w:val="24"/>
        </w:rPr>
      </w:pPr>
      <w:r>
        <w:rPr>
          <w:rFonts w:ascii="Palatino Linotype" w:hAnsi="Palatino Linotype"/>
          <w:b/>
          <w:bCs/>
          <w:sz w:val="24"/>
          <w:szCs w:val="24"/>
        </w:rPr>
        <w:t>PROPOSED OUTCOME:</w:t>
      </w:r>
      <w:r w:rsidR="00D750B6">
        <w:rPr>
          <w:rFonts w:ascii="Palatino Linotype" w:hAnsi="Palatino Linotype"/>
          <w:b/>
          <w:bCs/>
          <w:sz w:val="24"/>
          <w:szCs w:val="24"/>
        </w:rPr>
        <w:t xml:space="preserve"> </w:t>
      </w:r>
      <w:r w:rsidRPr="00631C58" w:rsidR="00D750B6">
        <w:rPr>
          <w:rFonts w:ascii="Palatino Linotype" w:hAnsi="Palatino Linotype"/>
          <w:sz w:val="24"/>
          <w:szCs w:val="24"/>
        </w:rPr>
        <w:t xml:space="preserve">Approves advice letters setting forth a total of </w:t>
      </w:r>
      <w:r w:rsidRPr="00B119F9" w:rsidR="00D750B6">
        <w:rPr>
          <w:rFonts w:ascii="Palatino Linotype" w:hAnsi="Palatino Linotype"/>
          <w:sz w:val="24"/>
          <w:szCs w:val="24"/>
        </w:rPr>
        <w:t>$</w:t>
      </w:r>
      <w:r w:rsidR="00B119F9">
        <w:rPr>
          <w:rFonts w:ascii="Palatino Linotype" w:hAnsi="Palatino Linotype"/>
          <w:sz w:val="24"/>
          <w:szCs w:val="24"/>
        </w:rPr>
        <w:t>2,975</w:t>
      </w:r>
      <w:r w:rsidRPr="00631C58" w:rsidR="00D750B6">
        <w:rPr>
          <w:rFonts w:ascii="Palatino Linotype" w:hAnsi="Palatino Linotype"/>
          <w:sz w:val="24"/>
          <w:szCs w:val="24"/>
        </w:rPr>
        <w:t xml:space="preserve"> in fines for telephone service providers that failed to meet required service quality performance standards in Calendar Year </w:t>
      </w:r>
      <w:r w:rsidR="000F6D13">
        <w:rPr>
          <w:rFonts w:ascii="Palatino Linotype" w:hAnsi="Palatino Linotype"/>
          <w:sz w:val="24"/>
          <w:szCs w:val="24"/>
        </w:rPr>
        <w:t>2025</w:t>
      </w:r>
      <w:r w:rsidRPr="00631C58" w:rsidR="00D750B6">
        <w:rPr>
          <w:rFonts w:ascii="Palatino Linotype" w:hAnsi="Palatino Linotype"/>
          <w:sz w:val="24"/>
          <w:szCs w:val="24"/>
        </w:rPr>
        <w:t xml:space="preserve"> pursuant to General Order 133-D.</w:t>
      </w:r>
    </w:p>
    <w:p w:rsidR="00AE5828" w:rsidP="00713E77" w:rsidRDefault="00AE5828" w14:paraId="208FB3C2" w14:textId="37BAB43F">
      <w:pPr>
        <w:spacing w:after="0" w:line="240" w:lineRule="auto"/>
        <w:ind w:right="270"/>
        <w:rPr>
          <w:rFonts w:ascii="Palatino Linotype" w:hAnsi="Palatino Linotype"/>
          <w:b/>
          <w:bCs/>
          <w:sz w:val="24"/>
          <w:szCs w:val="24"/>
        </w:rPr>
      </w:pPr>
    </w:p>
    <w:p w:rsidRPr="00631C58" w:rsidR="00234B3B" w:rsidP="00234B3B" w:rsidRDefault="00AE5828" w14:paraId="43EFE621" w14:textId="77777777">
      <w:pPr>
        <w:rPr>
          <w:rFonts w:ascii="Palatino Linotype" w:hAnsi="Palatino Linotype"/>
          <w:sz w:val="24"/>
          <w:szCs w:val="24"/>
        </w:rPr>
      </w:pPr>
      <w:r>
        <w:rPr>
          <w:rFonts w:ascii="Palatino Linotype" w:hAnsi="Palatino Linotype"/>
          <w:b/>
          <w:bCs/>
          <w:sz w:val="24"/>
          <w:szCs w:val="24"/>
        </w:rPr>
        <w:t>SAFETY CONSIDERATIONS:</w:t>
      </w:r>
      <w:r w:rsidR="00234B3B">
        <w:rPr>
          <w:rFonts w:ascii="Palatino Linotype" w:hAnsi="Palatino Linotype"/>
          <w:b/>
          <w:bCs/>
          <w:sz w:val="24"/>
          <w:szCs w:val="24"/>
        </w:rPr>
        <w:t xml:space="preserve"> </w:t>
      </w:r>
      <w:r w:rsidRPr="00631C58" w:rsidR="00234B3B">
        <w:rPr>
          <w:rFonts w:ascii="Palatino Linotype" w:hAnsi="Palatino Linotype"/>
          <w:spacing w:val="-1"/>
          <w:sz w:val="24"/>
          <w:szCs w:val="24"/>
        </w:rPr>
        <w:t xml:space="preserve">A carrier’s failure to meet GO 133-D service quality standards </w:t>
      </w:r>
      <w:r w:rsidRPr="00631C58" w:rsidR="00234B3B">
        <w:rPr>
          <w:rFonts w:ascii="Palatino Linotype" w:hAnsi="Palatino Linotype"/>
          <w:sz w:val="24"/>
          <w:szCs w:val="24"/>
        </w:rPr>
        <w:t>limits</w:t>
      </w:r>
      <w:r w:rsidRPr="00631C58" w:rsidR="00234B3B">
        <w:rPr>
          <w:rFonts w:ascii="Palatino Linotype" w:hAnsi="Palatino Linotype"/>
          <w:spacing w:val="1"/>
          <w:sz w:val="24"/>
          <w:szCs w:val="24"/>
        </w:rPr>
        <w:t xml:space="preserve"> </w:t>
      </w:r>
      <w:r w:rsidRPr="00631C58" w:rsidR="00234B3B">
        <w:rPr>
          <w:rFonts w:ascii="Palatino Linotype" w:hAnsi="Palatino Linotype"/>
          <w:sz w:val="24"/>
          <w:szCs w:val="24"/>
        </w:rPr>
        <w:t xml:space="preserve">customers’ ability to call </w:t>
      </w:r>
      <w:r w:rsidRPr="00631C58" w:rsidR="00234B3B">
        <w:rPr>
          <w:rFonts w:ascii="Palatino Linotype" w:hAnsi="Palatino Linotype"/>
          <w:spacing w:val="-1"/>
          <w:sz w:val="24"/>
          <w:szCs w:val="24"/>
        </w:rPr>
        <w:t>911 and other emergency services and restricts public safety personnel from</w:t>
      </w:r>
      <w:r w:rsidRPr="00631C58" w:rsidR="00234B3B">
        <w:rPr>
          <w:rFonts w:ascii="Palatino Linotype" w:hAnsi="Palatino Linotype"/>
          <w:spacing w:val="1"/>
          <w:sz w:val="24"/>
          <w:szCs w:val="24"/>
        </w:rPr>
        <w:t xml:space="preserve"> </w:t>
      </w:r>
      <w:r w:rsidRPr="00631C58" w:rsidR="00234B3B">
        <w:rPr>
          <w:rFonts w:ascii="Palatino Linotype" w:hAnsi="Palatino Linotype"/>
          <w:sz w:val="24"/>
          <w:szCs w:val="24"/>
        </w:rPr>
        <w:t>communicating</w:t>
      </w:r>
      <w:r w:rsidRPr="00631C58" w:rsidR="00234B3B">
        <w:rPr>
          <w:rFonts w:ascii="Palatino Linotype" w:hAnsi="Palatino Linotype"/>
          <w:spacing w:val="-3"/>
          <w:sz w:val="24"/>
          <w:szCs w:val="24"/>
        </w:rPr>
        <w:t xml:space="preserve"> </w:t>
      </w:r>
      <w:r w:rsidRPr="00631C58" w:rsidR="00234B3B">
        <w:rPr>
          <w:rFonts w:ascii="Palatino Linotype" w:hAnsi="Palatino Linotype"/>
          <w:sz w:val="24"/>
          <w:szCs w:val="24"/>
        </w:rPr>
        <w:t>with</w:t>
      </w:r>
      <w:r w:rsidRPr="00631C58" w:rsidR="00234B3B">
        <w:rPr>
          <w:rFonts w:ascii="Palatino Linotype" w:hAnsi="Palatino Linotype"/>
          <w:spacing w:val="-9"/>
          <w:sz w:val="24"/>
          <w:szCs w:val="24"/>
        </w:rPr>
        <w:t xml:space="preserve"> </w:t>
      </w:r>
      <w:r w:rsidRPr="00631C58" w:rsidR="00234B3B">
        <w:rPr>
          <w:rFonts w:ascii="Palatino Linotype" w:hAnsi="Palatino Linotype"/>
          <w:sz w:val="24"/>
          <w:szCs w:val="24"/>
        </w:rPr>
        <w:t>each</w:t>
      </w:r>
      <w:r w:rsidRPr="00631C58" w:rsidR="00234B3B">
        <w:rPr>
          <w:rFonts w:ascii="Palatino Linotype" w:hAnsi="Palatino Linotype"/>
          <w:spacing w:val="-9"/>
          <w:sz w:val="24"/>
          <w:szCs w:val="24"/>
        </w:rPr>
        <w:t xml:space="preserve"> </w:t>
      </w:r>
      <w:r w:rsidRPr="00631C58" w:rsidR="00234B3B">
        <w:rPr>
          <w:rFonts w:ascii="Palatino Linotype" w:hAnsi="Palatino Linotype"/>
          <w:sz w:val="24"/>
          <w:szCs w:val="24"/>
        </w:rPr>
        <w:t>other</w:t>
      </w:r>
      <w:r w:rsidRPr="00631C58" w:rsidR="00234B3B">
        <w:rPr>
          <w:rFonts w:ascii="Palatino Linotype" w:hAnsi="Palatino Linotype"/>
          <w:spacing w:val="-11"/>
          <w:sz w:val="24"/>
          <w:szCs w:val="24"/>
        </w:rPr>
        <w:t xml:space="preserve"> </w:t>
      </w:r>
      <w:r w:rsidRPr="00631C58" w:rsidR="00234B3B">
        <w:rPr>
          <w:rFonts w:ascii="Palatino Linotype" w:hAnsi="Palatino Linotype"/>
          <w:sz w:val="24"/>
          <w:szCs w:val="24"/>
        </w:rPr>
        <w:t>during</w:t>
      </w:r>
      <w:r w:rsidRPr="00631C58" w:rsidR="00234B3B">
        <w:rPr>
          <w:rFonts w:ascii="Palatino Linotype" w:hAnsi="Palatino Linotype"/>
          <w:spacing w:val="13"/>
          <w:sz w:val="24"/>
          <w:szCs w:val="24"/>
        </w:rPr>
        <w:t xml:space="preserve"> </w:t>
      </w:r>
      <w:r w:rsidRPr="00631C58" w:rsidR="00234B3B">
        <w:rPr>
          <w:rFonts w:ascii="Palatino Linotype" w:hAnsi="Palatino Linotype"/>
          <w:sz w:val="24"/>
          <w:szCs w:val="24"/>
        </w:rPr>
        <w:t>emergencies</w:t>
      </w:r>
      <w:r w:rsidRPr="00631C58" w:rsidR="00234B3B">
        <w:rPr>
          <w:rFonts w:ascii="Palatino Linotype" w:hAnsi="Palatino Linotype"/>
          <w:spacing w:val="13"/>
          <w:sz w:val="24"/>
          <w:szCs w:val="24"/>
        </w:rPr>
        <w:t xml:space="preserve"> </w:t>
      </w:r>
      <w:r w:rsidRPr="00631C58" w:rsidR="00234B3B">
        <w:rPr>
          <w:rFonts w:ascii="Palatino Linotype" w:hAnsi="Palatino Linotype"/>
          <w:sz w:val="24"/>
          <w:szCs w:val="24"/>
        </w:rPr>
        <w:t>or</w:t>
      </w:r>
      <w:r w:rsidRPr="00631C58" w:rsidR="00234B3B">
        <w:rPr>
          <w:rFonts w:ascii="Palatino Linotype" w:hAnsi="Palatino Linotype"/>
          <w:spacing w:val="4"/>
          <w:sz w:val="24"/>
          <w:szCs w:val="24"/>
        </w:rPr>
        <w:t xml:space="preserve"> </w:t>
      </w:r>
      <w:r w:rsidRPr="00631C58" w:rsidR="00234B3B">
        <w:rPr>
          <w:rFonts w:ascii="Palatino Linotype" w:hAnsi="Palatino Linotype"/>
          <w:sz w:val="24"/>
          <w:szCs w:val="24"/>
        </w:rPr>
        <w:t>disasters.</w:t>
      </w:r>
    </w:p>
    <w:p w:rsidRPr="00755E15" w:rsidR="00AE5828" w:rsidP="00713E77" w:rsidRDefault="00AE5828" w14:paraId="655C52DB" w14:textId="77777777">
      <w:pPr>
        <w:spacing w:after="0" w:line="240" w:lineRule="auto"/>
        <w:ind w:right="270"/>
        <w:rPr>
          <w:rFonts w:ascii="Palatino Linotype" w:hAnsi="Palatino Linotype"/>
          <w:b/>
          <w:bCs/>
          <w:sz w:val="24"/>
          <w:szCs w:val="24"/>
        </w:rPr>
      </w:pPr>
      <w:r>
        <w:rPr>
          <w:rFonts w:ascii="Palatino Linotype" w:hAnsi="Palatino Linotype"/>
          <w:b/>
          <w:bCs/>
          <w:sz w:val="24"/>
          <w:szCs w:val="24"/>
        </w:rPr>
        <w:t>ESTIMATED COST:</w:t>
      </w:r>
      <w:r w:rsidR="0061440D">
        <w:rPr>
          <w:rFonts w:ascii="Palatino Linotype" w:hAnsi="Palatino Linotype"/>
          <w:b/>
          <w:bCs/>
          <w:sz w:val="24"/>
          <w:szCs w:val="24"/>
        </w:rPr>
        <w:t xml:space="preserve"> </w:t>
      </w:r>
      <w:r w:rsidRPr="00631C58" w:rsidR="0061440D">
        <w:rPr>
          <w:rFonts w:ascii="Palatino Linotype" w:hAnsi="Palatino Linotype"/>
          <w:sz w:val="24"/>
          <w:szCs w:val="24"/>
        </w:rPr>
        <w:t xml:space="preserve">There are no </w:t>
      </w:r>
      <w:r w:rsidR="00D61809">
        <w:rPr>
          <w:rFonts w:ascii="Palatino Linotype" w:hAnsi="Palatino Linotype"/>
          <w:sz w:val="24"/>
          <w:szCs w:val="24"/>
        </w:rPr>
        <w:t xml:space="preserve">ratepayer </w:t>
      </w:r>
      <w:r w:rsidRPr="00631C58" w:rsidR="0061440D">
        <w:rPr>
          <w:rFonts w:ascii="Palatino Linotype" w:hAnsi="Palatino Linotype"/>
          <w:sz w:val="24"/>
          <w:szCs w:val="24"/>
        </w:rPr>
        <w:t>costs</w:t>
      </w:r>
      <w:r w:rsidRPr="00631C58" w:rsidR="00631C58">
        <w:rPr>
          <w:rFonts w:ascii="Palatino Linotype" w:hAnsi="Palatino Linotype"/>
          <w:sz w:val="24"/>
          <w:szCs w:val="24"/>
        </w:rPr>
        <w:t xml:space="preserve"> associated with this resolution.</w:t>
      </w:r>
    </w:p>
    <w:p w:rsidRPr="00966429" w:rsidR="00966429" w:rsidP="00713E77" w:rsidRDefault="00966429" w14:paraId="21E397B8" w14:textId="77777777">
      <w:pPr>
        <w:pBdr>
          <w:bottom w:val="single" w:color="auto" w:sz="12" w:space="1"/>
        </w:pBdr>
        <w:spacing w:after="0" w:line="240" w:lineRule="auto"/>
        <w:ind w:right="270"/>
        <w:jc w:val="right"/>
        <w:rPr>
          <w:rFonts w:ascii="Palatino Linotype" w:hAnsi="Palatino Linotype"/>
        </w:rPr>
      </w:pPr>
    </w:p>
    <w:p w:rsidRPr="00966429" w:rsidR="00966429" w:rsidP="00713E77" w:rsidRDefault="00966429" w14:paraId="3340207F" w14:textId="77777777">
      <w:pPr>
        <w:spacing w:after="0" w:line="240" w:lineRule="auto"/>
        <w:ind w:right="450"/>
        <w:rPr>
          <w:rFonts w:ascii="Palatino Linotype" w:hAnsi="Palatino Linotype"/>
        </w:rPr>
      </w:pPr>
    </w:p>
    <w:p w:rsidRPr="00755E15" w:rsidR="00280E57" w:rsidP="004177A4" w:rsidRDefault="003B1DBD" w14:paraId="3E2B79E2" w14:textId="77777777">
      <w:pPr>
        <w:tabs>
          <w:tab w:val="right" w:pos="10080"/>
        </w:tabs>
        <w:rPr>
          <w:rFonts w:ascii="Palatino Linotype" w:hAnsi="Palatino Linotype" w:cstheme="minorHAnsi"/>
          <w:sz w:val="24"/>
          <w:szCs w:val="24"/>
        </w:rPr>
      </w:pPr>
      <w:r w:rsidRPr="00755E15">
        <w:rPr>
          <w:rFonts w:ascii="Palatino Linotype" w:hAnsi="Palatino Linotype"/>
          <w:b/>
          <w:sz w:val="24"/>
          <w:szCs w:val="24"/>
          <w:u w:val="single"/>
        </w:rPr>
        <w:t>S</w:t>
      </w:r>
      <w:r w:rsidRPr="00755E15" w:rsidR="00853EA7">
        <w:rPr>
          <w:rFonts w:ascii="Palatino Linotype" w:hAnsi="Palatino Linotype"/>
          <w:b/>
          <w:sz w:val="24"/>
          <w:szCs w:val="24"/>
          <w:u w:val="single"/>
        </w:rPr>
        <w:t>UMMARY</w:t>
      </w:r>
    </w:p>
    <w:p w:rsidR="00CA3D58" w:rsidP="001A7E74" w:rsidRDefault="007600F4" w14:paraId="24EFB376" w14:textId="3AE2DC2C">
      <w:pPr>
        <w:spacing w:after="0" w:line="240" w:lineRule="auto"/>
        <w:rPr>
          <w:rFonts w:ascii="Palatino Linotype" w:hAnsi="Palatino Linotype"/>
          <w:b/>
          <w:u w:val="single"/>
        </w:rPr>
      </w:pPr>
      <w:r w:rsidRPr="00755E15">
        <w:rPr>
          <w:rFonts w:ascii="Palatino Linotype" w:hAnsi="Palatino Linotype"/>
          <w:sz w:val="24"/>
          <w:szCs w:val="24"/>
        </w:rPr>
        <w:t xml:space="preserve">This Resolution </w:t>
      </w:r>
      <w:r w:rsidR="00E50A3B">
        <w:rPr>
          <w:rFonts w:ascii="Palatino Linotype" w:hAnsi="Palatino Linotype"/>
          <w:sz w:val="24"/>
          <w:szCs w:val="24"/>
        </w:rPr>
        <w:t xml:space="preserve">summarizes and </w:t>
      </w:r>
      <w:r w:rsidRPr="00755E15">
        <w:rPr>
          <w:rFonts w:ascii="Palatino Linotype" w:hAnsi="Palatino Linotype"/>
          <w:sz w:val="24"/>
          <w:szCs w:val="24"/>
        </w:rPr>
        <w:t>approves the advice letters</w:t>
      </w:r>
      <w:r w:rsidRPr="00755E15" w:rsidR="0033177F">
        <w:rPr>
          <w:rFonts w:ascii="Palatino Linotype" w:hAnsi="Palatino Linotype"/>
          <w:sz w:val="24"/>
          <w:szCs w:val="24"/>
        </w:rPr>
        <w:t xml:space="preserve"> </w:t>
      </w:r>
      <w:r w:rsidRPr="00755E15">
        <w:rPr>
          <w:rFonts w:ascii="Palatino Linotype" w:hAnsi="Palatino Linotype"/>
          <w:sz w:val="24"/>
          <w:szCs w:val="24"/>
        </w:rPr>
        <w:t>of</w:t>
      </w:r>
      <w:r w:rsidR="00E50A3B">
        <w:rPr>
          <w:rFonts w:ascii="Palatino Linotype" w:hAnsi="Palatino Linotype"/>
          <w:sz w:val="24"/>
          <w:szCs w:val="24"/>
        </w:rPr>
        <w:t xml:space="preserve"> Frontier Communications of the Southwest</w:t>
      </w:r>
      <w:r w:rsidR="003063D8">
        <w:rPr>
          <w:rFonts w:ascii="Palatino Linotype" w:hAnsi="Palatino Linotype"/>
          <w:sz w:val="24"/>
          <w:szCs w:val="24"/>
        </w:rPr>
        <w:t xml:space="preserve"> (Frontier SW)</w:t>
      </w:r>
      <w:r w:rsidR="00E50A3B">
        <w:rPr>
          <w:rFonts w:ascii="Palatino Linotype" w:hAnsi="Palatino Linotype"/>
          <w:sz w:val="24"/>
          <w:szCs w:val="24"/>
        </w:rPr>
        <w:t xml:space="preserve">, </w:t>
      </w:r>
      <w:r w:rsidR="0075623F">
        <w:rPr>
          <w:rFonts w:ascii="Palatino Linotype" w:hAnsi="Palatino Linotype"/>
          <w:sz w:val="24"/>
          <w:szCs w:val="24"/>
        </w:rPr>
        <w:t xml:space="preserve">Consolidated Communications, </w:t>
      </w:r>
      <w:r w:rsidR="00006481">
        <w:rPr>
          <w:rFonts w:ascii="Palatino Linotype" w:hAnsi="Palatino Linotype"/>
          <w:sz w:val="24"/>
          <w:szCs w:val="24"/>
        </w:rPr>
        <w:t xml:space="preserve">and </w:t>
      </w:r>
      <w:r w:rsidRPr="00755E15">
        <w:rPr>
          <w:rFonts w:ascii="Palatino Linotype" w:hAnsi="Palatino Linotype"/>
          <w:sz w:val="24"/>
          <w:szCs w:val="24"/>
        </w:rPr>
        <w:t>Happy Valley Telephone</w:t>
      </w:r>
      <w:r w:rsidRPr="007D428D" w:rsidR="007D428D">
        <w:rPr>
          <w:rFonts w:ascii="Palatino Linotype" w:hAnsi="Palatino Linotype"/>
          <w:sz w:val="24"/>
          <w:szCs w:val="24"/>
          <w:vertAlign w:val="superscript"/>
        </w:rPr>
        <w:footnoteReference w:id="2"/>
      </w:r>
      <w:r w:rsidR="007D428D">
        <w:rPr>
          <w:rFonts w:ascii="Palatino Linotype" w:hAnsi="Palatino Linotype"/>
          <w:sz w:val="24"/>
          <w:szCs w:val="24"/>
        </w:rPr>
        <w:t xml:space="preserve"> </w:t>
      </w:r>
      <w:r w:rsidR="00E50A3B">
        <w:rPr>
          <w:rFonts w:ascii="Palatino Linotype" w:hAnsi="Palatino Linotype"/>
          <w:sz w:val="24"/>
          <w:szCs w:val="24"/>
        </w:rPr>
        <w:t>on</w:t>
      </w:r>
      <w:r w:rsidRPr="00755E15">
        <w:rPr>
          <w:rFonts w:ascii="Palatino Linotype" w:hAnsi="Palatino Linotype"/>
          <w:sz w:val="24"/>
          <w:szCs w:val="24"/>
        </w:rPr>
        <w:t xml:space="preserve"> their proposed </w:t>
      </w:r>
      <w:r w:rsidRPr="00773638" w:rsidR="00773638">
        <w:rPr>
          <w:rFonts w:ascii="Palatino Linotype" w:hAnsi="Palatino Linotype"/>
          <w:sz w:val="24"/>
          <w:szCs w:val="24"/>
        </w:rPr>
        <w:t xml:space="preserve">General Order (GO) 133-D </w:t>
      </w:r>
      <w:r w:rsidRPr="00755E15">
        <w:rPr>
          <w:rFonts w:ascii="Palatino Linotype" w:hAnsi="Palatino Linotype"/>
          <w:sz w:val="24"/>
          <w:szCs w:val="24"/>
        </w:rPr>
        <w:t>fine</w:t>
      </w:r>
      <w:r w:rsidR="00AD0291">
        <w:rPr>
          <w:rFonts w:ascii="Palatino Linotype" w:hAnsi="Palatino Linotype"/>
          <w:sz w:val="24"/>
          <w:szCs w:val="24"/>
        </w:rPr>
        <w:t>s</w:t>
      </w:r>
      <w:r w:rsidRPr="00755E15">
        <w:rPr>
          <w:rFonts w:ascii="Palatino Linotype" w:hAnsi="Palatino Linotype"/>
          <w:sz w:val="24"/>
          <w:szCs w:val="24"/>
        </w:rPr>
        <w:t xml:space="preserve"> calculation</w:t>
      </w:r>
      <w:r w:rsidR="00AD0291">
        <w:rPr>
          <w:rFonts w:ascii="Palatino Linotype" w:hAnsi="Palatino Linotype"/>
          <w:sz w:val="24"/>
          <w:szCs w:val="24"/>
        </w:rPr>
        <w:t>s</w:t>
      </w:r>
      <w:r w:rsidRPr="00755E15">
        <w:rPr>
          <w:rFonts w:ascii="Palatino Linotype" w:hAnsi="Palatino Linotype"/>
          <w:sz w:val="24"/>
          <w:szCs w:val="24"/>
        </w:rPr>
        <w:t xml:space="preserve"> </w:t>
      </w:r>
      <w:r w:rsidRPr="00B119F9" w:rsidR="00AD0291">
        <w:rPr>
          <w:rFonts w:ascii="Palatino Linotype" w:hAnsi="Palatino Linotype"/>
          <w:sz w:val="24"/>
          <w:szCs w:val="24"/>
        </w:rPr>
        <w:t xml:space="preserve">totaling </w:t>
      </w:r>
      <w:r w:rsidRPr="00B119F9" w:rsidR="0056241A">
        <w:rPr>
          <w:rFonts w:ascii="Palatino Linotype" w:hAnsi="Palatino Linotype"/>
          <w:b/>
          <w:bCs/>
          <w:sz w:val="24"/>
          <w:szCs w:val="24"/>
        </w:rPr>
        <w:t>$</w:t>
      </w:r>
      <w:r w:rsidRPr="00B119F9" w:rsidR="00B119F9">
        <w:rPr>
          <w:rFonts w:ascii="Palatino Linotype" w:hAnsi="Palatino Linotype"/>
          <w:b/>
          <w:bCs/>
          <w:sz w:val="24"/>
          <w:szCs w:val="24"/>
        </w:rPr>
        <w:t>2</w:t>
      </w:r>
      <w:r w:rsidR="00B119F9">
        <w:rPr>
          <w:rFonts w:ascii="Palatino Linotype" w:hAnsi="Palatino Linotype"/>
          <w:b/>
          <w:bCs/>
          <w:sz w:val="24"/>
          <w:szCs w:val="24"/>
        </w:rPr>
        <w:t>,975</w:t>
      </w:r>
      <w:r w:rsidR="009772E7">
        <w:rPr>
          <w:rFonts w:ascii="Palatino Linotype" w:hAnsi="Palatino Linotype"/>
          <w:b/>
          <w:bCs/>
          <w:sz w:val="24"/>
          <w:szCs w:val="24"/>
        </w:rPr>
        <w:t>.</w:t>
      </w:r>
      <w:r w:rsidRPr="000C47C2" w:rsidR="000C47C2">
        <w:rPr>
          <w:rFonts w:ascii="Palatino Linotype" w:hAnsi="Palatino Linotype"/>
          <w:b/>
          <w:bCs/>
          <w:sz w:val="24"/>
          <w:szCs w:val="24"/>
        </w:rPr>
        <w:t xml:space="preserve"> </w:t>
      </w:r>
      <w:r w:rsidR="00AD0291">
        <w:rPr>
          <w:rFonts w:ascii="Palatino Linotype" w:hAnsi="Palatino Linotype"/>
          <w:sz w:val="24"/>
          <w:szCs w:val="24"/>
        </w:rPr>
        <w:t xml:space="preserve">The fines are a consequence of </w:t>
      </w:r>
      <w:r w:rsidRPr="00755E15">
        <w:rPr>
          <w:rFonts w:ascii="Palatino Linotype" w:hAnsi="Palatino Linotype"/>
          <w:sz w:val="24"/>
          <w:szCs w:val="24"/>
        </w:rPr>
        <w:t xml:space="preserve">substandard service quality performance in </w:t>
      </w:r>
      <w:r w:rsidRPr="00755E15" w:rsidR="00C866AF">
        <w:rPr>
          <w:rFonts w:ascii="Palatino Linotype" w:hAnsi="Palatino Linotype"/>
          <w:sz w:val="24"/>
          <w:szCs w:val="24"/>
        </w:rPr>
        <w:t xml:space="preserve">the </w:t>
      </w:r>
      <w:r w:rsidR="00C512E9">
        <w:rPr>
          <w:rFonts w:ascii="Palatino Linotype" w:hAnsi="Palatino Linotype"/>
          <w:sz w:val="24"/>
          <w:szCs w:val="24"/>
        </w:rPr>
        <w:t xml:space="preserve">calendar </w:t>
      </w:r>
      <w:r w:rsidRPr="00755E15" w:rsidR="00A80508">
        <w:rPr>
          <w:rFonts w:ascii="Palatino Linotype" w:hAnsi="Palatino Linotype"/>
          <w:sz w:val="24"/>
          <w:szCs w:val="24"/>
        </w:rPr>
        <w:t>y</w:t>
      </w:r>
      <w:r w:rsidRPr="00755E15">
        <w:rPr>
          <w:rFonts w:ascii="Palatino Linotype" w:hAnsi="Palatino Linotype"/>
          <w:sz w:val="24"/>
          <w:szCs w:val="24"/>
        </w:rPr>
        <w:t xml:space="preserve">ear </w:t>
      </w:r>
      <w:r w:rsidR="000F6D13">
        <w:rPr>
          <w:rFonts w:ascii="Palatino Linotype" w:hAnsi="Palatino Linotype"/>
          <w:sz w:val="24"/>
          <w:szCs w:val="24"/>
        </w:rPr>
        <w:t>2025</w:t>
      </w:r>
      <w:r w:rsidR="00A77B4B">
        <w:rPr>
          <w:rFonts w:ascii="Palatino Linotype" w:hAnsi="Palatino Linotype"/>
          <w:sz w:val="24"/>
          <w:szCs w:val="24"/>
        </w:rPr>
        <w:t>.</w:t>
      </w:r>
      <w:r w:rsidR="55F6B329">
        <w:rPr>
          <w:rFonts w:ascii="Palatino Linotype" w:hAnsi="Palatino Linotype"/>
          <w:sz w:val="24"/>
          <w:szCs w:val="24"/>
        </w:rPr>
        <w:t xml:space="preserve">  </w:t>
      </w:r>
      <w:r w:rsidR="006D74BE">
        <w:rPr>
          <w:rFonts w:ascii="Palatino Linotype" w:hAnsi="Palatino Linotype"/>
          <w:sz w:val="24"/>
          <w:szCs w:val="24"/>
        </w:rPr>
        <w:t>Per GO 133-D, t</w:t>
      </w:r>
      <w:r w:rsidRPr="00755E15" w:rsidR="00413955">
        <w:rPr>
          <w:rFonts w:ascii="Palatino Linotype" w:hAnsi="Palatino Linotype"/>
          <w:sz w:val="24"/>
          <w:szCs w:val="24"/>
        </w:rPr>
        <w:t>he carriers</w:t>
      </w:r>
      <w:r w:rsidRPr="00755E15" w:rsidR="00F37E88">
        <w:rPr>
          <w:rFonts w:ascii="Palatino Linotype" w:hAnsi="Palatino Linotype"/>
          <w:b/>
          <w:bCs/>
          <w:color w:val="FF0000"/>
          <w:sz w:val="24"/>
          <w:szCs w:val="24"/>
        </w:rPr>
        <w:t xml:space="preserve"> </w:t>
      </w:r>
      <w:r w:rsidRPr="00755E15" w:rsidR="00C763AD">
        <w:rPr>
          <w:rFonts w:ascii="Palatino Linotype" w:hAnsi="Palatino Linotype"/>
          <w:sz w:val="24"/>
          <w:szCs w:val="24"/>
        </w:rPr>
        <w:t xml:space="preserve">calculated </w:t>
      </w:r>
      <w:r w:rsidRPr="00755E15" w:rsidR="00413955">
        <w:rPr>
          <w:rFonts w:ascii="Palatino Linotype" w:hAnsi="Palatino Linotype"/>
          <w:sz w:val="24"/>
          <w:szCs w:val="24"/>
        </w:rPr>
        <w:t>their</w:t>
      </w:r>
      <w:r w:rsidRPr="00755E15" w:rsidR="00C763AD">
        <w:rPr>
          <w:rFonts w:ascii="Palatino Linotype" w:hAnsi="Palatino Linotype"/>
          <w:sz w:val="24"/>
          <w:szCs w:val="24"/>
        </w:rPr>
        <w:t xml:space="preserve"> fine</w:t>
      </w:r>
      <w:r w:rsidRPr="00755E15" w:rsidR="00413955">
        <w:rPr>
          <w:rFonts w:ascii="Palatino Linotype" w:hAnsi="Palatino Linotype"/>
          <w:sz w:val="24"/>
          <w:szCs w:val="24"/>
        </w:rPr>
        <w:t>s</w:t>
      </w:r>
      <w:r w:rsidRPr="00755E15" w:rsidR="00C763AD">
        <w:rPr>
          <w:rFonts w:ascii="Palatino Linotype" w:hAnsi="Palatino Linotype"/>
          <w:sz w:val="24"/>
          <w:szCs w:val="24"/>
        </w:rPr>
        <w:t xml:space="preserve"> </w:t>
      </w:r>
      <w:r w:rsidRPr="00755E15" w:rsidR="00BC2BE5">
        <w:rPr>
          <w:rFonts w:ascii="Palatino Linotype" w:hAnsi="Palatino Linotype"/>
          <w:sz w:val="24"/>
          <w:szCs w:val="24"/>
        </w:rPr>
        <w:t xml:space="preserve">by </w:t>
      </w:r>
      <w:r w:rsidRPr="00755E15" w:rsidR="00F54A7C">
        <w:rPr>
          <w:rFonts w:ascii="Palatino Linotype" w:hAnsi="Palatino Linotype"/>
          <w:sz w:val="24"/>
          <w:szCs w:val="24"/>
        </w:rPr>
        <w:t>applying</w:t>
      </w:r>
      <w:r w:rsidRPr="00755E15" w:rsidR="00752C55">
        <w:rPr>
          <w:rFonts w:ascii="Palatino Linotype" w:hAnsi="Palatino Linotype"/>
          <w:sz w:val="24"/>
          <w:szCs w:val="24"/>
        </w:rPr>
        <w:t xml:space="preserve"> the prescribed method </w:t>
      </w:r>
      <w:r w:rsidRPr="00755E15" w:rsidR="00C763AD">
        <w:rPr>
          <w:rFonts w:ascii="Palatino Linotype" w:hAnsi="Palatino Linotype"/>
          <w:sz w:val="24"/>
          <w:szCs w:val="24"/>
        </w:rPr>
        <w:t xml:space="preserve">for each month </w:t>
      </w:r>
      <w:r w:rsidRPr="00755E15" w:rsidR="00413955">
        <w:rPr>
          <w:rFonts w:ascii="Palatino Linotype" w:hAnsi="Palatino Linotype"/>
          <w:sz w:val="24"/>
          <w:szCs w:val="24"/>
        </w:rPr>
        <w:t>th</w:t>
      </w:r>
      <w:r w:rsidR="00990BCE">
        <w:rPr>
          <w:rFonts w:ascii="Palatino Linotype" w:hAnsi="Palatino Linotype"/>
          <w:sz w:val="24"/>
          <w:szCs w:val="24"/>
        </w:rPr>
        <w:t>at</w:t>
      </w:r>
      <w:r w:rsidRPr="00755E15" w:rsidR="00C763AD">
        <w:rPr>
          <w:rFonts w:ascii="Palatino Linotype" w:hAnsi="Palatino Linotype"/>
          <w:sz w:val="24"/>
          <w:szCs w:val="24"/>
        </w:rPr>
        <w:t xml:space="preserve"> failed to meet specific minimum </w:t>
      </w:r>
      <w:r w:rsidR="00773638">
        <w:rPr>
          <w:rFonts w:ascii="Palatino Linotype" w:hAnsi="Palatino Linotype"/>
          <w:sz w:val="24"/>
          <w:szCs w:val="24"/>
        </w:rPr>
        <w:t>standards</w:t>
      </w:r>
      <w:r w:rsidRPr="00755E15" w:rsidR="00C763AD">
        <w:rPr>
          <w:rFonts w:ascii="Palatino Linotype" w:hAnsi="Palatino Linotype"/>
          <w:sz w:val="24"/>
          <w:szCs w:val="24"/>
        </w:rPr>
        <w:t xml:space="preserve"> </w:t>
      </w:r>
      <w:r w:rsidRPr="00755E15" w:rsidR="00752C55">
        <w:rPr>
          <w:rFonts w:ascii="Palatino Linotype" w:hAnsi="Palatino Linotype"/>
          <w:sz w:val="24"/>
          <w:szCs w:val="24"/>
        </w:rPr>
        <w:t xml:space="preserve">for </w:t>
      </w:r>
      <w:r w:rsidRPr="00497432" w:rsidR="00752C55">
        <w:rPr>
          <w:rFonts w:ascii="Palatino Linotype" w:hAnsi="Palatino Linotype"/>
          <w:sz w:val="24"/>
          <w:szCs w:val="24"/>
        </w:rPr>
        <w:t>the</w:t>
      </w:r>
      <w:r w:rsidRPr="00755E15" w:rsidR="00CA6743">
        <w:rPr>
          <w:rFonts w:ascii="Palatino Linotype" w:hAnsi="Palatino Linotype"/>
          <w:i/>
          <w:iCs/>
          <w:sz w:val="24"/>
          <w:szCs w:val="24"/>
        </w:rPr>
        <w:t xml:space="preserve"> </w:t>
      </w:r>
      <w:r w:rsidRPr="00755E15" w:rsidR="00C70517">
        <w:rPr>
          <w:rFonts w:ascii="Palatino Linotype" w:hAnsi="Palatino Linotype"/>
          <w:i/>
          <w:iCs/>
          <w:sz w:val="24"/>
          <w:szCs w:val="24"/>
        </w:rPr>
        <w:t>Out of Service Repair I</w:t>
      </w:r>
      <w:r w:rsidRPr="00755E15" w:rsidR="0031798A">
        <w:rPr>
          <w:rFonts w:ascii="Palatino Linotype" w:hAnsi="Palatino Linotype"/>
          <w:i/>
          <w:iCs/>
          <w:sz w:val="24"/>
          <w:szCs w:val="24"/>
        </w:rPr>
        <w:t>nterval</w:t>
      </w:r>
      <w:r w:rsidRPr="00755E15" w:rsidR="0031798A">
        <w:rPr>
          <w:rFonts w:ascii="Palatino Linotype" w:hAnsi="Palatino Linotype"/>
          <w:sz w:val="24"/>
          <w:szCs w:val="24"/>
        </w:rPr>
        <w:t xml:space="preserve"> under </w:t>
      </w:r>
      <w:r w:rsidRPr="00755E15" w:rsidR="00287373">
        <w:rPr>
          <w:rFonts w:ascii="Palatino Linotype" w:hAnsi="Palatino Linotype"/>
          <w:sz w:val="24"/>
          <w:szCs w:val="24"/>
        </w:rPr>
        <w:t>Section</w:t>
      </w:r>
      <w:r w:rsidRPr="00755E15" w:rsidR="0031798A">
        <w:rPr>
          <w:rFonts w:ascii="Palatino Linotype" w:hAnsi="Palatino Linotype"/>
          <w:sz w:val="24"/>
          <w:szCs w:val="24"/>
        </w:rPr>
        <w:t xml:space="preserve"> 3.4</w:t>
      </w:r>
      <w:r w:rsidR="00580B08">
        <w:rPr>
          <w:rFonts w:ascii="Palatino Linotype" w:hAnsi="Palatino Linotype"/>
          <w:sz w:val="24"/>
          <w:szCs w:val="24"/>
        </w:rPr>
        <w:t xml:space="preserve"> </w:t>
      </w:r>
      <w:r w:rsidR="00E42268">
        <w:rPr>
          <w:rFonts w:ascii="Palatino Linotype" w:hAnsi="Palatino Linotype"/>
          <w:sz w:val="24"/>
          <w:szCs w:val="24"/>
        </w:rPr>
        <w:t xml:space="preserve">and </w:t>
      </w:r>
      <w:r w:rsidRPr="00F507DF" w:rsidR="00CD4AC9">
        <w:rPr>
          <w:rFonts w:ascii="Palatino Linotype" w:hAnsi="Palatino Linotype"/>
          <w:i/>
          <w:iCs/>
          <w:sz w:val="24"/>
          <w:szCs w:val="24"/>
        </w:rPr>
        <w:t>Answer Time</w:t>
      </w:r>
      <w:r w:rsidRPr="00CD4AC9" w:rsidR="00CD4AC9">
        <w:rPr>
          <w:rFonts w:ascii="Palatino Linotype" w:hAnsi="Palatino Linotype"/>
          <w:sz w:val="24"/>
          <w:szCs w:val="24"/>
        </w:rPr>
        <w:t xml:space="preserve"> under Section 3.5</w:t>
      </w:r>
      <w:r w:rsidRPr="00755E15" w:rsidR="00CA6743">
        <w:rPr>
          <w:rFonts w:ascii="Palatino Linotype" w:hAnsi="Palatino Linotype"/>
          <w:sz w:val="24"/>
          <w:szCs w:val="24"/>
        </w:rPr>
        <w:t xml:space="preserve">.  </w:t>
      </w:r>
      <w:r w:rsidRPr="00755E15" w:rsidR="00413955">
        <w:rPr>
          <w:rFonts w:ascii="Palatino Linotype" w:hAnsi="Palatino Linotype"/>
          <w:sz w:val="24"/>
          <w:szCs w:val="24"/>
        </w:rPr>
        <w:t>Submission of</w:t>
      </w:r>
      <w:r w:rsidRPr="00755E15" w:rsidR="00657A52">
        <w:rPr>
          <w:rFonts w:ascii="Palatino Linotype" w:hAnsi="Palatino Linotype"/>
          <w:sz w:val="24"/>
          <w:szCs w:val="24"/>
        </w:rPr>
        <w:t xml:space="preserve"> </w:t>
      </w:r>
      <w:r w:rsidRPr="00755E15" w:rsidR="00657A52">
        <w:rPr>
          <w:rFonts w:ascii="Palatino Linotype" w:hAnsi="Palatino Linotype"/>
          <w:sz w:val="24"/>
          <w:szCs w:val="24"/>
        </w:rPr>
        <w:lastRenderedPageBreak/>
        <w:t>these</w:t>
      </w:r>
      <w:r w:rsidRPr="00755E15" w:rsidR="00A77E4B">
        <w:rPr>
          <w:rFonts w:ascii="Palatino Linotype" w:hAnsi="Palatino Linotype"/>
          <w:sz w:val="24"/>
          <w:szCs w:val="24"/>
        </w:rPr>
        <w:t xml:space="preserve"> </w:t>
      </w:r>
      <w:r w:rsidRPr="00755E15" w:rsidR="00C469FF">
        <w:rPr>
          <w:rFonts w:ascii="Palatino Linotype" w:hAnsi="Palatino Linotype"/>
          <w:sz w:val="24"/>
          <w:szCs w:val="24"/>
        </w:rPr>
        <w:t>fines for</w:t>
      </w:r>
      <w:r w:rsidRPr="00755E15" w:rsidR="00DD5533">
        <w:rPr>
          <w:rFonts w:ascii="Palatino Linotype" w:hAnsi="Palatino Linotype"/>
          <w:sz w:val="24"/>
          <w:szCs w:val="24"/>
        </w:rPr>
        <w:t xml:space="preserve"> </w:t>
      </w:r>
      <w:r w:rsidR="000E31E8">
        <w:rPr>
          <w:rFonts w:ascii="Palatino Linotype" w:hAnsi="Palatino Linotype"/>
          <w:sz w:val="24"/>
          <w:szCs w:val="24"/>
        </w:rPr>
        <w:t>calendar</w:t>
      </w:r>
      <w:r w:rsidRPr="00755E15" w:rsidR="000E31E8">
        <w:rPr>
          <w:rFonts w:ascii="Palatino Linotype" w:hAnsi="Palatino Linotype"/>
          <w:sz w:val="24"/>
          <w:szCs w:val="24"/>
        </w:rPr>
        <w:t xml:space="preserve"> </w:t>
      </w:r>
      <w:r w:rsidRPr="00755E15" w:rsidR="00DD5533">
        <w:rPr>
          <w:rFonts w:ascii="Palatino Linotype" w:hAnsi="Palatino Linotype"/>
          <w:sz w:val="24"/>
          <w:szCs w:val="24"/>
        </w:rPr>
        <w:t xml:space="preserve">year </w:t>
      </w:r>
      <w:r w:rsidR="000F6D13">
        <w:rPr>
          <w:rFonts w:ascii="Palatino Linotype" w:hAnsi="Palatino Linotype"/>
          <w:sz w:val="24"/>
          <w:szCs w:val="24"/>
        </w:rPr>
        <w:t>2025</w:t>
      </w:r>
      <w:r w:rsidRPr="00755E15" w:rsidR="00A77E4B">
        <w:rPr>
          <w:rFonts w:ascii="Palatino Linotype" w:hAnsi="Palatino Linotype"/>
          <w:sz w:val="24"/>
          <w:szCs w:val="24"/>
        </w:rPr>
        <w:t xml:space="preserve"> </w:t>
      </w:r>
      <w:r w:rsidRPr="00755E15" w:rsidR="00657A52">
        <w:rPr>
          <w:rFonts w:ascii="Palatino Linotype" w:hAnsi="Palatino Linotype"/>
          <w:sz w:val="24"/>
          <w:szCs w:val="24"/>
        </w:rPr>
        <w:t>complies with the direction</w:t>
      </w:r>
      <w:r w:rsidRPr="00755E15" w:rsidR="00284D5E">
        <w:rPr>
          <w:rFonts w:ascii="Palatino Linotype" w:hAnsi="Palatino Linotype"/>
          <w:sz w:val="24"/>
          <w:szCs w:val="24"/>
        </w:rPr>
        <w:t>s specified in</w:t>
      </w:r>
      <w:r w:rsidRPr="00755E15" w:rsidR="00657A52">
        <w:rPr>
          <w:rFonts w:ascii="Palatino Linotype" w:hAnsi="Palatino Linotype"/>
          <w:sz w:val="24"/>
          <w:szCs w:val="24"/>
        </w:rPr>
        <w:t xml:space="preserve"> </w:t>
      </w:r>
      <w:r w:rsidRPr="00755E15" w:rsidR="00A77E4B">
        <w:rPr>
          <w:rFonts w:ascii="Palatino Linotype" w:hAnsi="Palatino Linotype"/>
          <w:sz w:val="24"/>
          <w:szCs w:val="24"/>
        </w:rPr>
        <w:t>Section 9.6</w:t>
      </w:r>
      <w:r w:rsidR="00740C6B">
        <w:rPr>
          <w:rStyle w:val="FootnoteReference"/>
          <w:rFonts w:ascii="Palatino Linotype" w:hAnsi="Palatino Linotype"/>
          <w:sz w:val="24"/>
          <w:szCs w:val="24"/>
        </w:rPr>
        <w:footnoteReference w:id="3"/>
      </w:r>
      <w:r w:rsidRPr="00755E15" w:rsidR="00657A52">
        <w:rPr>
          <w:rFonts w:ascii="Palatino Linotype" w:hAnsi="Palatino Linotype"/>
          <w:sz w:val="24"/>
          <w:szCs w:val="24"/>
        </w:rPr>
        <w:t xml:space="preserve"> </w:t>
      </w:r>
      <w:r w:rsidRPr="00755E15" w:rsidR="005A0C67">
        <w:rPr>
          <w:rFonts w:ascii="Palatino Linotype" w:hAnsi="Palatino Linotype"/>
          <w:sz w:val="24"/>
          <w:szCs w:val="24"/>
        </w:rPr>
        <w:t xml:space="preserve">of </w:t>
      </w:r>
      <w:r w:rsidRPr="00755E15" w:rsidR="00657A52">
        <w:rPr>
          <w:rFonts w:ascii="Palatino Linotype" w:hAnsi="Palatino Linotype"/>
          <w:sz w:val="24"/>
          <w:szCs w:val="24"/>
        </w:rPr>
        <w:t>G</w:t>
      </w:r>
      <w:r w:rsidR="00773638">
        <w:rPr>
          <w:rFonts w:ascii="Palatino Linotype" w:hAnsi="Palatino Linotype"/>
          <w:sz w:val="24"/>
          <w:szCs w:val="24"/>
        </w:rPr>
        <w:t>O</w:t>
      </w:r>
      <w:r w:rsidRPr="00755E15" w:rsidR="00284D5E">
        <w:rPr>
          <w:rFonts w:ascii="Palatino Linotype" w:hAnsi="Palatino Linotype"/>
          <w:sz w:val="24"/>
          <w:szCs w:val="24"/>
        </w:rPr>
        <w:t xml:space="preserve"> </w:t>
      </w:r>
      <w:r w:rsidRPr="00755E15" w:rsidR="00DD5533">
        <w:rPr>
          <w:rFonts w:ascii="Palatino Linotype" w:hAnsi="Palatino Linotype"/>
          <w:sz w:val="24"/>
          <w:szCs w:val="24"/>
        </w:rPr>
        <w:t>133-D</w:t>
      </w:r>
      <w:r w:rsidR="001A7E74">
        <w:rPr>
          <w:rFonts w:ascii="Palatino Linotype" w:hAnsi="Palatino Linotype"/>
          <w:sz w:val="24"/>
          <w:szCs w:val="24"/>
        </w:rPr>
        <w:t>.</w:t>
      </w:r>
      <w:r w:rsidRPr="00755E15" w:rsidR="00DD5533">
        <w:rPr>
          <w:rFonts w:ascii="Palatino Linotype" w:hAnsi="Palatino Linotype"/>
          <w:sz w:val="24"/>
          <w:szCs w:val="24"/>
        </w:rPr>
        <w:t xml:space="preserve"> </w:t>
      </w:r>
    </w:p>
    <w:p w:rsidR="001C175E" w:rsidP="003B1DBD" w:rsidRDefault="001C175E" w14:paraId="1AC47FF9" w14:textId="77777777">
      <w:pPr>
        <w:tabs>
          <w:tab w:val="right" w:pos="10080"/>
        </w:tabs>
        <w:rPr>
          <w:rFonts w:ascii="Palatino Linotype" w:hAnsi="Palatino Linotype"/>
          <w:b/>
          <w:u w:val="single"/>
        </w:rPr>
      </w:pPr>
    </w:p>
    <w:p w:rsidRPr="00B55E7A" w:rsidR="00DD5533" w:rsidP="003B1DBD" w:rsidRDefault="00DD5533" w14:paraId="7F6E3F95" w14:textId="77777777">
      <w:pPr>
        <w:tabs>
          <w:tab w:val="right" w:pos="10080"/>
        </w:tabs>
        <w:rPr>
          <w:rFonts w:ascii="Palatino Linotype" w:hAnsi="Palatino Linotype"/>
          <w:b/>
          <w:u w:val="single"/>
        </w:rPr>
      </w:pPr>
      <w:r w:rsidRPr="005206C4">
        <w:rPr>
          <w:rFonts w:ascii="Palatino Linotype" w:hAnsi="Palatino Linotype"/>
          <w:b/>
          <w:u w:val="single"/>
        </w:rPr>
        <w:t>BACKGROUND</w:t>
      </w:r>
      <w:r w:rsidR="00EF237A">
        <w:rPr>
          <w:rFonts w:ascii="Palatino Linotype" w:hAnsi="Palatino Linotype"/>
          <w:b/>
          <w:u w:val="single"/>
        </w:rPr>
        <w:t xml:space="preserve"> OF THE GENERAL ORDER</w:t>
      </w:r>
    </w:p>
    <w:p w:rsidRPr="00755E15" w:rsidR="00DD5533" w:rsidP="00755E15" w:rsidRDefault="00DD5533" w14:paraId="438A25F3"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 xml:space="preserve">Since 1972, the </w:t>
      </w:r>
      <w:r w:rsidRPr="00755E15" w:rsidR="7302C30B">
        <w:rPr>
          <w:rFonts w:ascii="Palatino Linotype" w:hAnsi="Palatino Linotype"/>
          <w:sz w:val="24"/>
          <w:szCs w:val="24"/>
        </w:rPr>
        <w:t xml:space="preserve">California Public Utilities </w:t>
      </w:r>
      <w:r w:rsidRPr="00755E15">
        <w:rPr>
          <w:rFonts w:ascii="Palatino Linotype" w:hAnsi="Palatino Linotype"/>
          <w:sz w:val="24"/>
          <w:szCs w:val="24"/>
        </w:rPr>
        <w:t xml:space="preserve">Commission </w:t>
      </w:r>
      <w:r w:rsidRPr="00755E15" w:rsidR="7302C30B">
        <w:rPr>
          <w:rFonts w:ascii="Palatino Linotype" w:hAnsi="Palatino Linotype"/>
          <w:sz w:val="24"/>
          <w:szCs w:val="24"/>
        </w:rPr>
        <w:t>(</w:t>
      </w:r>
      <w:r w:rsidRPr="00755E15">
        <w:rPr>
          <w:rFonts w:ascii="Palatino Linotype" w:hAnsi="Palatino Linotype"/>
          <w:sz w:val="24"/>
          <w:szCs w:val="24"/>
        </w:rPr>
        <w:t>Commission</w:t>
      </w:r>
      <w:r w:rsidRPr="00755E15" w:rsidR="014A3E2E">
        <w:rPr>
          <w:rFonts w:ascii="Palatino Linotype" w:hAnsi="Palatino Linotype"/>
          <w:sz w:val="24"/>
          <w:szCs w:val="24"/>
        </w:rPr>
        <w:t>)</w:t>
      </w:r>
      <w:r w:rsidRPr="00755E15">
        <w:rPr>
          <w:rFonts w:ascii="Palatino Linotype" w:hAnsi="Palatino Linotype"/>
          <w:sz w:val="24"/>
          <w:szCs w:val="24"/>
        </w:rPr>
        <w:t xml:space="preserve"> has </w:t>
      </w:r>
      <w:r w:rsidRPr="00755E15" w:rsidR="3EEEAF85">
        <w:rPr>
          <w:rFonts w:ascii="Palatino Linotype" w:hAnsi="Palatino Linotype"/>
          <w:sz w:val="24"/>
          <w:szCs w:val="24"/>
        </w:rPr>
        <w:t>required</w:t>
      </w:r>
      <w:r w:rsidRPr="00755E15">
        <w:rPr>
          <w:rFonts w:ascii="Palatino Linotype" w:hAnsi="Palatino Linotype"/>
          <w:sz w:val="24"/>
          <w:szCs w:val="24"/>
        </w:rPr>
        <w:t xml:space="preserve"> public utility telephone corporations to provide service that meets minimum service quality standards set forth in the General Order </w:t>
      </w:r>
      <w:r w:rsidRPr="00755E15" w:rsidR="7EA0DD24">
        <w:rPr>
          <w:rFonts w:ascii="Palatino Linotype" w:hAnsi="Palatino Linotype"/>
          <w:sz w:val="24"/>
          <w:szCs w:val="24"/>
        </w:rPr>
        <w:t>(GO)</w:t>
      </w:r>
      <w:r w:rsidRPr="00755E15">
        <w:rPr>
          <w:rFonts w:ascii="Palatino Linotype" w:hAnsi="Palatino Linotype"/>
          <w:sz w:val="24"/>
          <w:szCs w:val="24"/>
        </w:rPr>
        <w:t xml:space="preserve"> 133 </w:t>
      </w:r>
      <w:r w:rsidR="001C175E">
        <w:rPr>
          <w:rFonts w:ascii="Palatino Linotype" w:hAnsi="Palatino Linotype"/>
          <w:sz w:val="24"/>
          <w:szCs w:val="24"/>
        </w:rPr>
        <w:t>s</w:t>
      </w:r>
      <w:r w:rsidRPr="00755E15">
        <w:rPr>
          <w:rFonts w:ascii="Palatino Linotype" w:hAnsi="Palatino Linotype"/>
          <w:sz w:val="24"/>
          <w:szCs w:val="24"/>
        </w:rPr>
        <w:t>eries.</w:t>
      </w:r>
      <w:r w:rsidRPr="00755E15">
        <w:rPr>
          <w:rFonts w:ascii="Palatino Linotype" w:hAnsi="Palatino Linotype"/>
          <w:sz w:val="24"/>
          <w:szCs w:val="24"/>
          <w:vertAlign w:val="superscript"/>
        </w:rPr>
        <w:footnoteReference w:id="4"/>
      </w:r>
      <w:r w:rsidRPr="00755E15">
        <w:rPr>
          <w:rFonts w:ascii="Palatino Linotype" w:hAnsi="Palatino Linotype"/>
          <w:sz w:val="24"/>
          <w:szCs w:val="24"/>
        </w:rPr>
        <w:t xml:space="preserve">  </w:t>
      </w:r>
      <w:r w:rsidRPr="00755E15" w:rsidR="112673AF">
        <w:rPr>
          <w:rFonts w:ascii="Palatino Linotype" w:hAnsi="Palatino Linotype"/>
          <w:sz w:val="24"/>
          <w:szCs w:val="24"/>
        </w:rPr>
        <w:t>The Commission in GO</w:t>
      </w:r>
      <w:r w:rsidRPr="00755E15">
        <w:rPr>
          <w:rFonts w:ascii="Palatino Linotype" w:hAnsi="Palatino Linotype"/>
          <w:sz w:val="24"/>
          <w:szCs w:val="24"/>
        </w:rPr>
        <w:t xml:space="preserve"> 133-C</w:t>
      </w:r>
      <w:r w:rsidRPr="00755E15" w:rsidR="00EF237A">
        <w:rPr>
          <w:rStyle w:val="FootnoteReference"/>
          <w:rFonts w:ascii="Palatino Linotype" w:hAnsi="Palatino Linotype"/>
          <w:sz w:val="24"/>
          <w:szCs w:val="24"/>
        </w:rPr>
        <w:footnoteReference w:id="5"/>
      </w:r>
      <w:r w:rsidRPr="00755E15">
        <w:rPr>
          <w:rFonts w:ascii="Palatino Linotype" w:hAnsi="Palatino Linotype"/>
          <w:sz w:val="24"/>
          <w:szCs w:val="24"/>
        </w:rPr>
        <w:t xml:space="preserve"> established a minimum set of service quality standards and </w:t>
      </w:r>
      <w:r w:rsidRPr="00755E15" w:rsidR="00EF237A">
        <w:rPr>
          <w:rFonts w:ascii="Palatino Linotype" w:hAnsi="Palatino Linotype"/>
          <w:sz w:val="24"/>
          <w:szCs w:val="24"/>
        </w:rPr>
        <w:t>reporting</w:t>
      </w:r>
      <w:r w:rsidRPr="00755E15" w:rsidR="00EF237A">
        <w:rPr>
          <w:rFonts w:ascii="Palatino Linotype" w:hAnsi="Palatino Linotype"/>
          <w:sz w:val="32"/>
          <w:szCs w:val="32"/>
        </w:rPr>
        <w:t xml:space="preserve"> </w:t>
      </w:r>
      <w:r w:rsidRPr="00755E15" w:rsidR="00EF237A">
        <w:rPr>
          <w:rFonts w:ascii="Palatino Linotype" w:hAnsi="Palatino Linotype"/>
          <w:sz w:val="24"/>
          <w:szCs w:val="24"/>
        </w:rPr>
        <w:t>requirements</w:t>
      </w:r>
      <w:r w:rsidRPr="00755E15">
        <w:rPr>
          <w:rFonts w:ascii="Palatino Linotype" w:hAnsi="Palatino Linotype"/>
          <w:sz w:val="24"/>
          <w:szCs w:val="24"/>
        </w:rPr>
        <w:t xml:space="preserve"> for </w:t>
      </w:r>
      <w:r w:rsidRPr="00755E15" w:rsidR="00EF237A">
        <w:rPr>
          <w:rFonts w:ascii="Palatino Linotype" w:hAnsi="Palatino Linotype"/>
          <w:sz w:val="24"/>
          <w:szCs w:val="24"/>
        </w:rPr>
        <w:t xml:space="preserve">the </w:t>
      </w:r>
      <w:r w:rsidRPr="00755E15">
        <w:rPr>
          <w:rFonts w:ascii="Palatino Linotype" w:hAnsi="Palatino Linotype"/>
          <w:sz w:val="24"/>
          <w:szCs w:val="24"/>
        </w:rPr>
        <w:t xml:space="preserve">installation, maintenance, and operator services for local exchange telephone service in California.   </w:t>
      </w:r>
    </w:p>
    <w:p w:rsidR="00CA3D58" w:rsidP="00CA3D58" w:rsidRDefault="00CA3D58" w14:paraId="25DEA7A2" w14:textId="77777777">
      <w:pPr>
        <w:spacing w:after="0" w:line="240" w:lineRule="auto"/>
        <w:rPr>
          <w:rFonts w:ascii="Palatino Linotype" w:hAnsi="Palatino Linotype"/>
          <w:sz w:val="24"/>
          <w:szCs w:val="24"/>
        </w:rPr>
      </w:pPr>
    </w:p>
    <w:p w:rsidRPr="00755E15" w:rsidR="00EF237A" w:rsidP="00755E15" w:rsidRDefault="00EF237A" w14:paraId="69D1A8D9"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In March 2011, </w:t>
      </w:r>
      <w:r w:rsidRPr="1DECA432" w:rsidR="7A9017F2">
        <w:rPr>
          <w:rFonts w:ascii="Palatino Linotype" w:hAnsi="Palatino Linotype"/>
          <w:sz w:val="24"/>
          <w:szCs w:val="24"/>
        </w:rPr>
        <w:t xml:space="preserve">the Commission’s Communications Division </w:t>
      </w:r>
      <w:r w:rsidRPr="1DECA432">
        <w:rPr>
          <w:rFonts w:ascii="Palatino Linotype" w:hAnsi="Palatino Linotype"/>
          <w:sz w:val="24"/>
          <w:szCs w:val="24"/>
        </w:rPr>
        <w:t>Staff</w:t>
      </w:r>
      <w:r w:rsidRPr="1DECA432" w:rsidR="68BD9ACB">
        <w:rPr>
          <w:rFonts w:ascii="Palatino Linotype" w:hAnsi="Palatino Linotype"/>
          <w:sz w:val="24"/>
          <w:szCs w:val="24"/>
        </w:rPr>
        <w:t xml:space="preserve"> (Staff)</w:t>
      </w:r>
      <w:r w:rsidRPr="00755E15">
        <w:rPr>
          <w:rFonts w:ascii="Palatino Linotype" w:hAnsi="Palatino Linotype"/>
          <w:sz w:val="24"/>
          <w:szCs w:val="24"/>
        </w:rPr>
        <w:t xml:space="preserve"> issued a report detailing </w:t>
      </w:r>
      <w:r w:rsidR="00626A1C">
        <w:rPr>
          <w:rFonts w:ascii="Palatino Linotype" w:hAnsi="Palatino Linotype"/>
          <w:sz w:val="24"/>
          <w:szCs w:val="24"/>
        </w:rPr>
        <w:t xml:space="preserve">the </w:t>
      </w:r>
      <w:r w:rsidRPr="00755E15">
        <w:rPr>
          <w:rFonts w:ascii="Palatino Linotype" w:hAnsi="Palatino Linotype"/>
          <w:sz w:val="24"/>
          <w:szCs w:val="24"/>
        </w:rPr>
        <w:t xml:space="preserve">substandard levels of service quality reported by carriers for </w:t>
      </w:r>
      <w:r w:rsidR="00740E4D">
        <w:rPr>
          <w:rFonts w:ascii="Palatino Linotype" w:hAnsi="Palatino Linotype"/>
          <w:sz w:val="24"/>
          <w:szCs w:val="24"/>
        </w:rPr>
        <w:t xml:space="preserve">the year </w:t>
      </w:r>
      <w:r w:rsidRPr="00755E15">
        <w:rPr>
          <w:rFonts w:ascii="Palatino Linotype" w:hAnsi="Palatino Linotype"/>
          <w:sz w:val="24"/>
          <w:szCs w:val="24"/>
        </w:rPr>
        <w:t>2010.  In response, the Commission opened Rulemaking</w:t>
      </w:r>
      <w:r w:rsidR="00DF786D">
        <w:rPr>
          <w:rFonts w:ascii="Palatino Linotype" w:hAnsi="Palatino Linotype"/>
          <w:sz w:val="24"/>
          <w:szCs w:val="24"/>
        </w:rPr>
        <w:t xml:space="preserve"> </w:t>
      </w:r>
      <w:r w:rsidRPr="00755E15">
        <w:rPr>
          <w:rFonts w:ascii="Palatino Linotype" w:hAnsi="Palatino Linotype"/>
          <w:sz w:val="24"/>
          <w:szCs w:val="24"/>
        </w:rPr>
        <w:t>(R.)11-12-001 to review carriers’ performance, to assess the relevanc</w:t>
      </w:r>
      <w:r w:rsidR="00D722C0">
        <w:rPr>
          <w:rFonts w:ascii="Palatino Linotype" w:hAnsi="Palatino Linotype"/>
          <w:sz w:val="24"/>
          <w:szCs w:val="24"/>
        </w:rPr>
        <w:t>e</w:t>
      </w:r>
      <w:r w:rsidRPr="00755E15">
        <w:rPr>
          <w:rFonts w:ascii="Palatino Linotype" w:hAnsi="Palatino Linotype"/>
          <w:sz w:val="24"/>
          <w:szCs w:val="24"/>
        </w:rPr>
        <w:t xml:space="preserve"> and effectiveness of the GO 133-C measures, and to determine </w:t>
      </w:r>
      <w:r w:rsidR="003A2DCE">
        <w:rPr>
          <w:rFonts w:ascii="Palatino Linotype" w:hAnsi="Palatino Linotype"/>
          <w:sz w:val="24"/>
          <w:szCs w:val="24"/>
        </w:rPr>
        <w:t>if</w:t>
      </w:r>
      <w:r w:rsidRPr="00755E15">
        <w:rPr>
          <w:rFonts w:ascii="Palatino Linotype" w:hAnsi="Palatino Linotype"/>
          <w:sz w:val="24"/>
          <w:szCs w:val="24"/>
        </w:rPr>
        <w:t xml:space="preserve"> penalties </w:t>
      </w:r>
      <w:r w:rsidR="003A2DCE">
        <w:rPr>
          <w:rFonts w:ascii="Palatino Linotype" w:hAnsi="Palatino Linotype"/>
          <w:sz w:val="24"/>
          <w:szCs w:val="24"/>
        </w:rPr>
        <w:t xml:space="preserve">are necessary </w:t>
      </w:r>
      <w:r w:rsidRPr="00755E15">
        <w:rPr>
          <w:rFonts w:ascii="Palatino Linotype" w:hAnsi="Palatino Linotype"/>
          <w:sz w:val="24"/>
          <w:szCs w:val="24"/>
        </w:rPr>
        <w:t>for substandard performance.</w:t>
      </w:r>
    </w:p>
    <w:p w:rsidR="00CA3D58" w:rsidP="00CA3D58" w:rsidRDefault="00CA3D58" w14:paraId="2B47731C" w14:textId="77777777">
      <w:pPr>
        <w:tabs>
          <w:tab w:val="right" w:pos="10080"/>
        </w:tabs>
        <w:spacing w:after="0" w:line="240" w:lineRule="auto"/>
        <w:rPr>
          <w:rFonts w:ascii="Palatino Linotype" w:hAnsi="Palatino Linotype"/>
          <w:sz w:val="24"/>
          <w:szCs w:val="24"/>
        </w:rPr>
      </w:pPr>
    </w:p>
    <w:p w:rsidRPr="00755E15" w:rsidR="00DD5533" w:rsidP="00755E15" w:rsidRDefault="00DD5533" w14:paraId="6F17D0B0"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On August 29, 2016, the Commission</w:t>
      </w:r>
      <w:r w:rsidRPr="00755E15" w:rsidR="000B47B3">
        <w:rPr>
          <w:rFonts w:ascii="Palatino Linotype" w:hAnsi="Palatino Linotype"/>
          <w:sz w:val="24"/>
          <w:szCs w:val="24"/>
        </w:rPr>
        <w:t xml:space="preserve"> issued Decision (D.) 16-08-021, which</w:t>
      </w:r>
      <w:r w:rsidRPr="00755E15">
        <w:rPr>
          <w:rFonts w:ascii="Palatino Linotype" w:hAnsi="Palatino Linotype"/>
          <w:sz w:val="24"/>
          <w:szCs w:val="24"/>
        </w:rPr>
        <w:t xml:space="preserve"> adopted the current GO 133-D</w:t>
      </w:r>
      <w:r w:rsidRPr="00755E15">
        <w:rPr>
          <w:rFonts w:ascii="Palatino Linotype" w:hAnsi="Palatino Linotype"/>
          <w:sz w:val="24"/>
          <w:szCs w:val="24"/>
          <w:vertAlign w:val="superscript"/>
        </w:rPr>
        <w:footnoteReference w:id="6"/>
      </w:r>
      <w:r w:rsidRPr="00755E15">
        <w:rPr>
          <w:rFonts w:ascii="Palatino Linotype" w:hAnsi="Palatino Linotype"/>
          <w:sz w:val="24"/>
          <w:szCs w:val="24"/>
        </w:rPr>
        <w:t xml:space="preserve">  </w:t>
      </w:r>
      <w:r w:rsidRPr="00755E15" w:rsidR="7FB8046D">
        <w:rPr>
          <w:rFonts w:ascii="Palatino Linotype" w:hAnsi="Palatino Linotype"/>
          <w:sz w:val="24"/>
          <w:szCs w:val="24"/>
        </w:rPr>
        <w:t xml:space="preserve">and </w:t>
      </w:r>
      <w:r w:rsidRPr="00755E15">
        <w:rPr>
          <w:rFonts w:ascii="Palatino Linotype" w:hAnsi="Palatino Linotype"/>
          <w:sz w:val="24"/>
          <w:szCs w:val="24"/>
        </w:rPr>
        <w:t xml:space="preserve">established </w:t>
      </w:r>
      <w:r w:rsidR="00DD5164">
        <w:rPr>
          <w:rFonts w:ascii="Palatino Linotype" w:hAnsi="Palatino Linotype"/>
          <w:sz w:val="24"/>
          <w:szCs w:val="24"/>
        </w:rPr>
        <w:t>annual fines</w:t>
      </w:r>
      <w:r w:rsidRPr="00755E15">
        <w:rPr>
          <w:rFonts w:ascii="Palatino Linotype" w:hAnsi="Palatino Linotype"/>
          <w:sz w:val="24"/>
          <w:szCs w:val="24"/>
        </w:rPr>
        <w:t xml:space="preserve"> </w:t>
      </w:r>
      <w:r w:rsidR="00BB0DF2">
        <w:rPr>
          <w:rFonts w:ascii="Palatino Linotype" w:hAnsi="Palatino Linotype"/>
          <w:sz w:val="24"/>
          <w:szCs w:val="24"/>
        </w:rPr>
        <w:t>for</w:t>
      </w:r>
      <w:r w:rsidRPr="00755E15" w:rsidR="000B47B3">
        <w:rPr>
          <w:rFonts w:ascii="Palatino Linotype" w:hAnsi="Palatino Linotype"/>
          <w:sz w:val="24"/>
          <w:szCs w:val="24"/>
        </w:rPr>
        <w:t xml:space="preserve"> carriers who</w:t>
      </w:r>
      <w:r w:rsidRPr="00755E15">
        <w:rPr>
          <w:rFonts w:ascii="Palatino Linotype" w:hAnsi="Palatino Linotype"/>
          <w:sz w:val="24"/>
          <w:szCs w:val="24"/>
        </w:rPr>
        <w:t xml:space="preserve"> fail to meet any of the service quality </w:t>
      </w:r>
      <w:r w:rsidRPr="00755E15" w:rsidR="00040BED">
        <w:rPr>
          <w:rFonts w:ascii="Palatino Linotype" w:hAnsi="Palatino Linotype"/>
          <w:sz w:val="24"/>
          <w:szCs w:val="24"/>
        </w:rPr>
        <w:t xml:space="preserve">standards </w:t>
      </w:r>
      <w:r w:rsidRPr="00755E15">
        <w:rPr>
          <w:rFonts w:ascii="Palatino Linotype" w:hAnsi="Palatino Linotype"/>
          <w:sz w:val="24"/>
          <w:szCs w:val="24"/>
        </w:rPr>
        <w:t>for three consecutive months.</w:t>
      </w:r>
      <w:r w:rsidRPr="00755E15">
        <w:rPr>
          <w:rStyle w:val="FootnoteReference"/>
          <w:rFonts w:ascii="Palatino Linotype" w:hAnsi="Palatino Linotype"/>
          <w:sz w:val="24"/>
          <w:szCs w:val="24"/>
        </w:rPr>
        <w:footnoteReference w:id="7"/>
      </w:r>
      <w:r w:rsidRPr="00755E15">
        <w:rPr>
          <w:rFonts w:ascii="Palatino Linotype" w:hAnsi="Palatino Linotype"/>
          <w:sz w:val="24"/>
          <w:szCs w:val="24"/>
        </w:rPr>
        <w:t xml:space="preserve">  </w:t>
      </w:r>
    </w:p>
    <w:p w:rsidRPr="00755E15" w:rsidR="00C478AC" w:rsidP="00755E15" w:rsidRDefault="00C478AC" w14:paraId="7FADCFC4" w14:textId="77777777">
      <w:pPr>
        <w:tabs>
          <w:tab w:val="right" w:pos="10080"/>
        </w:tabs>
        <w:spacing w:after="0" w:line="240" w:lineRule="auto"/>
        <w:rPr>
          <w:rFonts w:ascii="Palatino Linotype" w:hAnsi="Palatino Linotype"/>
          <w:sz w:val="24"/>
          <w:szCs w:val="24"/>
        </w:rPr>
      </w:pPr>
    </w:p>
    <w:p w:rsidRPr="00755E15" w:rsidR="00F553D6" w:rsidP="00473698" w:rsidRDefault="00F553D6" w14:paraId="4A089EB2" w14:textId="77777777">
      <w:pPr>
        <w:rPr>
          <w:rFonts w:ascii="Palatino Linotype" w:hAnsi="Palatino Linotype"/>
          <w:sz w:val="24"/>
          <w:szCs w:val="24"/>
        </w:rPr>
      </w:pPr>
      <w:r w:rsidRPr="00755E15">
        <w:rPr>
          <w:rFonts w:ascii="Palatino Linotype" w:hAnsi="Palatino Linotype"/>
          <w:b/>
          <w:bCs/>
          <w:sz w:val="24"/>
          <w:szCs w:val="24"/>
          <w:u w:val="single"/>
        </w:rPr>
        <w:t xml:space="preserve">GENERAL ORDER 133-D SERVICE QUALITY </w:t>
      </w:r>
      <w:r w:rsidRPr="00755E15" w:rsidR="00DA2FE4">
        <w:rPr>
          <w:rFonts w:ascii="Palatino Linotype" w:hAnsi="Palatino Linotype"/>
          <w:b/>
          <w:bCs/>
          <w:sz w:val="24"/>
          <w:szCs w:val="24"/>
          <w:u w:val="single"/>
        </w:rPr>
        <w:t xml:space="preserve">REPORTING </w:t>
      </w:r>
      <w:r w:rsidRPr="00755E15">
        <w:rPr>
          <w:rFonts w:ascii="Palatino Linotype" w:hAnsi="Palatino Linotype"/>
          <w:b/>
          <w:bCs/>
          <w:sz w:val="24"/>
          <w:szCs w:val="24"/>
          <w:u w:val="single"/>
        </w:rPr>
        <w:t xml:space="preserve">STANDARDS </w:t>
      </w:r>
    </w:p>
    <w:p w:rsidRPr="00755E15" w:rsidR="00F553D6" w:rsidP="00755E15" w:rsidRDefault="00F553D6" w14:paraId="47BCDC52" w14:textId="77777777">
      <w:pPr>
        <w:tabs>
          <w:tab w:val="right" w:pos="10080"/>
        </w:tabs>
        <w:spacing w:after="0" w:line="240" w:lineRule="auto"/>
        <w:rPr>
          <w:rFonts w:ascii="Palatino Linotype" w:hAnsi="Palatino Linotype"/>
          <w:sz w:val="24"/>
          <w:szCs w:val="24"/>
        </w:rPr>
      </w:pPr>
      <w:r w:rsidRPr="00755E15">
        <w:rPr>
          <w:rFonts w:ascii="Palatino Linotype" w:hAnsi="Palatino Linotype"/>
          <w:sz w:val="24"/>
          <w:szCs w:val="24"/>
        </w:rPr>
        <w:t xml:space="preserve">GO 133-D </w:t>
      </w:r>
      <w:r w:rsidR="00356BD8">
        <w:rPr>
          <w:rFonts w:ascii="Palatino Linotype" w:hAnsi="Palatino Linotype"/>
          <w:sz w:val="24"/>
          <w:szCs w:val="24"/>
        </w:rPr>
        <w:t>requires</w:t>
      </w:r>
      <w:r w:rsidRPr="00755E15">
        <w:rPr>
          <w:rFonts w:ascii="Palatino Linotype" w:hAnsi="Palatino Linotype"/>
          <w:sz w:val="24"/>
          <w:szCs w:val="24"/>
        </w:rPr>
        <w:t xml:space="preserve"> that</w:t>
      </w:r>
      <w:r w:rsidRPr="00755E15" w:rsidR="00DA2FE4">
        <w:rPr>
          <w:rFonts w:ascii="Palatino Linotype" w:hAnsi="Palatino Linotype"/>
          <w:sz w:val="24"/>
          <w:szCs w:val="24"/>
        </w:rPr>
        <w:t xml:space="preserve"> public utility telephone corporations must meet the minimum reporting standards for the five telephone service quality measures. </w:t>
      </w:r>
      <w:r w:rsidRPr="00755E15" w:rsidR="002C4345">
        <w:rPr>
          <w:rFonts w:ascii="Palatino Linotype" w:hAnsi="Palatino Linotype"/>
          <w:sz w:val="24"/>
          <w:szCs w:val="24"/>
        </w:rPr>
        <w:t xml:space="preserve"> </w:t>
      </w:r>
      <w:r w:rsidRPr="00755E15" w:rsidR="00DA2FE4">
        <w:rPr>
          <w:rFonts w:ascii="Palatino Linotype" w:hAnsi="Palatino Linotype"/>
          <w:sz w:val="24"/>
          <w:szCs w:val="24"/>
        </w:rPr>
        <w:t>The five measures are as follows:</w:t>
      </w:r>
    </w:p>
    <w:p w:rsidRPr="00755E15" w:rsidR="00DA2FE4" w:rsidP="00DA2FE4" w:rsidRDefault="00DA2FE4" w14:paraId="335CFE78" w14:textId="77777777">
      <w:pPr>
        <w:ind w:left="720" w:right="1440" w:firstLine="720"/>
        <w:rPr>
          <w:rFonts w:ascii="Palatino Linotype" w:hAnsi="Palatino Linotype" w:eastAsia="Calibri"/>
          <w:b/>
          <w:bCs/>
          <w:sz w:val="24"/>
          <w:szCs w:val="24"/>
          <w:u w:val="single"/>
        </w:rPr>
      </w:pPr>
      <w:r w:rsidRPr="00755E15">
        <w:rPr>
          <w:rFonts w:ascii="Palatino Linotype" w:hAnsi="Palatino Linotype" w:eastAsia="Calibri"/>
          <w:b/>
          <w:bCs/>
          <w:sz w:val="24"/>
          <w:szCs w:val="24"/>
          <w:u w:val="single"/>
        </w:rPr>
        <w:t>Service Measure</w:t>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rPr>
        <w:tab/>
      </w:r>
      <w:r w:rsidRPr="00755E15">
        <w:rPr>
          <w:rFonts w:ascii="Palatino Linotype" w:hAnsi="Palatino Linotype" w:eastAsia="Calibri"/>
          <w:b/>
          <w:bCs/>
          <w:sz w:val="24"/>
          <w:szCs w:val="24"/>
          <w:u w:val="single"/>
        </w:rPr>
        <w:t>Type of Service</w:t>
      </w:r>
    </w:p>
    <w:p w:rsidRPr="00755E15" w:rsidR="00DA2FE4" w:rsidP="00755E15" w:rsidRDefault="00DA2FE4" w14:paraId="119B22C7"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 xml:space="preserve">Installation Interval </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 xml:space="preserve">Installation </w:t>
      </w:r>
    </w:p>
    <w:p w:rsidRPr="00755E15" w:rsidR="00DA2FE4" w:rsidP="00755E15" w:rsidRDefault="00DA2FE4" w14:paraId="0791F653"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lastRenderedPageBreak/>
        <w:t>Installation Commitments</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Installation</w:t>
      </w:r>
    </w:p>
    <w:p w:rsidRPr="00755E15" w:rsidR="00DA2FE4" w:rsidP="00755E15" w:rsidRDefault="00DA2FE4" w14:paraId="05A39351"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Customer Trouble Reports</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Maintenance</w:t>
      </w:r>
    </w:p>
    <w:p w:rsidRPr="00755E15" w:rsidR="00DA2FE4" w:rsidP="00755E15" w:rsidRDefault="00DA2FE4" w14:paraId="6F5730A3"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Out of Service (OOS) Repair Interval</w:t>
      </w:r>
      <w:r w:rsidRPr="00755E15">
        <w:rPr>
          <w:rFonts w:ascii="Palatino Linotype" w:hAnsi="Palatino Linotype" w:eastAsia="Calibri"/>
          <w:sz w:val="24"/>
          <w:szCs w:val="24"/>
        </w:rPr>
        <w:tab/>
        <w:t xml:space="preserve">Maintenance </w:t>
      </w:r>
    </w:p>
    <w:p w:rsidRPr="00755E15" w:rsidR="00DA2FE4" w:rsidP="00755E15" w:rsidRDefault="00DA2FE4" w14:paraId="7EF1CF7A" w14:textId="77777777">
      <w:pPr>
        <w:spacing w:after="0" w:line="240" w:lineRule="auto"/>
        <w:ind w:left="720" w:right="1440" w:firstLine="720"/>
        <w:rPr>
          <w:rFonts w:ascii="Palatino Linotype" w:hAnsi="Palatino Linotype" w:eastAsia="Calibri"/>
          <w:sz w:val="24"/>
          <w:szCs w:val="24"/>
        </w:rPr>
      </w:pPr>
      <w:r w:rsidRPr="00755E15">
        <w:rPr>
          <w:rFonts w:ascii="Palatino Linotype" w:hAnsi="Palatino Linotype" w:eastAsia="Calibri"/>
          <w:sz w:val="24"/>
          <w:szCs w:val="24"/>
        </w:rPr>
        <w:t xml:space="preserve">Answer Time </w:t>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r>
      <w:r w:rsidRPr="00755E15">
        <w:rPr>
          <w:rFonts w:ascii="Palatino Linotype" w:hAnsi="Palatino Linotype" w:eastAsia="Calibri"/>
          <w:sz w:val="24"/>
          <w:szCs w:val="24"/>
        </w:rPr>
        <w:tab/>
        <w:t xml:space="preserve">Operator Services </w:t>
      </w:r>
    </w:p>
    <w:p w:rsidRPr="00755E15" w:rsidR="00B81B21" w:rsidP="00755E15" w:rsidRDefault="00B81B21" w14:paraId="1DB17BAD" w14:textId="77777777">
      <w:pPr>
        <w:tabs>
          <w:tab w:val="right" w:pos="10080"/>
        </w:tabs>
        <w:spacing w:after="0" w:line="240" w:lineRule="auto"/>
        <w:rPr>
          <w:rFonts w:ascii="Palatino Linotype" w:hAnsi="Palatino Linotype"/>
          <w:sz w:val="24"/>
          <w:szCs w:val="24"/>
        </w:rPr>
      </w:pPr>
    </w:p>
    <w:p w:rsidR="00DA2FE4" w:rsidP="00755E15" w:rsidRDefault="00DA2FE4" w14:paraId="3CE2552B" w14:textId="77777777">
      <w:pPr>
        <w:tabs>
          <w:tab w:val="right" w:pos="10080"/>
        </w:tabs>
        <w:spacing w:after="0" w:line="240" w:lineRule="auto"/>
        <w:rPr>
          <w:rFonts w:ascii="Palatino Linotype" w:hAnsi="Palatino Linotype"/>
        </w:rPr>
      </w:pPr>
      <w:r w:rsidRPr="00755E15">
        <w:rPr>
          <w:rFonts w:ascii="Palatino Linotype" w:hAnsi="Palatino Linotype"/>
          <w:sz w:val="24"/>
          <w:szCs w:val="24"/>
        </w:rPr>
        <w:t>Each measure has an assigned Minimum Standard Reporting Level.  GO 133-D requires telephone corporations to report, on a quarterly basis, their monthly performance results for each of the five service quality metrics</w:t>
      </w:r>
      <w:r w:rsidRPr="00755E15">
        <w:rPr>
          <w:rFonts w:ascii="Palatino Linotype" w:hAnsi="Palatino Linotype"/>
          <w:sz w:val="24"/>
          <w:szCs w:val="24"/>
          <w:vertAlign w:val="superscript"/>
        </w:rPr>
        <w:footnoteReference w:id="8"/>
      </w:r>
      <w:r w:rsidRPr="00755E15">
        <w:rPr>
          <w:rFonts w:ascii="Palatino Linotype" w:hAnsi="Palatino Linotype"/>
          <w:sz w:val="24"/>
          <w:szCs w:val="24"/>
        </w:rPr>
        <w:t xml:space="preserve"> using a standardized form developed by</w:t>
      </w:r>
      <w:r w:rsidR="002B3913">
        <w:rPr>
          <w:rFonts w:ascii="Palatino Linotype" w:hAnsi="Palatino Linotype"/>
          <w:sz w:val="24"/>
          <w:szCs w:val="24"/>
        </w:rPr>
        <w:t xml:space="preserve"> </w:t>
      </w:r>
      <w:r w:rsidRPr="00755E15">
        <w:rPr>
          <w:rFonts w:ascii="Palatino Linotype" w:hAnsi="Palatino Linotype"/>
          <w:sz w:val="24"/>
          <w:szCs w:val="24"/>
        </w:rPr>
        <w:t>Commission staff (known as a “Service Quality Standards Report Card”).</w:t>
      </w:r>
      <w:r w:rsidRPr="00755E15">
        <w:rPr>
          <w:rFonts w:ascii="Palatino Linotype" w:hAnsi="Palatino Linotype"/>
          <w:sz w:val="24"/>
          <w:szCs w:val="24"/>
          <w:vertAlign w:val="superscript"/>
        </w:rPr>
        <w:footnoteReference w:id="9"/>
      </w:r>
      <w:r w:rsidRPr="00755E15">
        <w:rPr>
          <w:rFonts w:ascii="Palatino Linotype" w:hAnsi="Palatino Linotype"/>
          <w:sz w:val="24"/>
          <w:szCs w:val="24"/>
        </w:rPr>
        <w:t xml:space="preserve">  These quarterly reports are published on the Commission’s website.</w:t>
      </w:r>
      <w:r w:rsidRPr="00755E15">
        <w:rPr>
          <w:rFonts w:ascii="Palatino Linotype" w:hAnsi="Palatino Linotype"/>
          <w:sz w:val="24"/>
          <w:szCs w:val="24"/>
          <w:vertAlign w:val="superscript"/>
        </w:rPr>
        <w:footnoteReference w:id="10"/>
      </w:r>
      <w:r w:rsidRPr="00755E15">
        <w:rPr>
          <w:rFonts w:ascii="Palatino Linotype" w:hAnsi="Palatino Linotype"/>
          <w:sz w:val="24"/>
          <w:szCs w:val="24"/>
        </w:rPr>
        <w:t xml:space="preserve">  When a carrier’s performance falls below any of the minimum standards, the carrier is deemed to be out of compliance and must report this information to the Commission.</w:t>
      </w:r>
    </w:p>
    <w:p w:rsidRPr="005206C4" w:rsidR="00A03978" w:rsidP="00755E15" w:rsidRDefault="00A03978" w14:paraId="51EA2ABC" w14:textId="77777777">
      <w:pPr>
        <w:tabs>
          <w:tab w:val="right" w:pos="10080"/>
        </w:tabs>
        <w:spacing w:after="0" w:line="240" w:lineRule="auto"/>
        <w:rPr>
          <w:rFonts w:ascii="Palatino Linotype" w:hAnsi="Palatino Linotype"/>
        </w:rPr>
      </w:pPr>
    </w:p>
    <w:p w:rsidRPr="00755E15" w:rsidR="00DD5533" w:rsidP="00B55E7A" w:rsidRDefault="00DD5533" w14:paraId="1F765F84" w14:textId="77777777">
      <w:pPr>
        <w:rPr>
          <w:rFonts w:ascii="Palatino Linotype" w:hAnsi="Palatino Linotype"/>
          <w:sz w:val="24"/>
          <w:szCs w:val="24"/>
        </w:rPr>
      </w:pPr>
      <w:r w:rsidRPr="00755E15">
        <w:rPr>
          <w:rFonts w:ascii="Palatino Linotype" w:hAnsi="Palatino Linotype"/>
          <w:b/>
          <w:bCs/>
          <w:sz w:val="24"/>
          <w:szCs w:val="24"/>
          <w:u w:val="single"/>
        </w:rPr>
        <w:t xml:space="preserve">GENERAL ORDER 133-D FINES </w:t>
      </w:r>
    </w:p>
    <w:p w:rsidR="00994E73" w:rsidP="00C478AC" w:rsidRDefault="00DD5533" w14:paraId="1B3B100A" w14:textId="77777777">
      <w:pPr>
        <w:spacing w:after="0" w:line="240" w:lineRule="auto"/>
        <w:rPr>
          <w:rFonts w:ascii="Palatino Linotype" w:hAnsi="Palatino Linotype"/>
          <w:sz w:val="24"/>
          <w:szCs w:val="24"/>
        </w:rPr>
      </w:pPr>
      <w:r w:rsidRPr="00755E15">
        <w:rPr>
          <w:rFonts w:ascii="Palatino Linotype" w:hAnsi="Palatino Linotype"/>
          <w:sz w:val="24"/>
          <w:szCs w:val="24"/>
        </w:rPr>
        <w:t>GO 133-D</w:t>
      </w:r>
      <w:r w:rsidRPr="00755E15" w:rsidR="005C01F4">
        <w:rPr>
          <w:rFonts w:ascii="Palatino Linotype" w:hAnsi="Palatino Linotype"/>
          <w:sz w:val="24"/>
          <w:szCs w:val="24"/>
        </w:rPr>
        <w:t xml:space="preserve"> was adopted in August 2016 </w:t>
      </w:r>
      <w:r w:rsidR="00635434">
        <w:rPr>
          <w:rFonts w:ascii="Palatino Linotype" w:hAnsi="Palatino Linotype"/>
          <w:sz w:val="24"/>
          <w:szCs w:val="24"/>
        </w:rPr>
        <w:t xml:space="preserve">and </w:t>
      </w:r>
      <w:r w:rsidRPr="00755E15" w:rsidR="005C01F4">
        <w:rPr>
          <w:rFonts w:ascii="Palatino Linotype" w:hAnsi="Palatino Linotype"/>
          <w:sz w:val="24"/>
          <w:szCs w:val="24"/>
        </w:rPr>
        <w:t>became effective on January 1, 2017.</w:t>
      </w:r>
      <w:r w:rsidRPr="00755E15" w:rsidR="002C4345">
        <w:rPr>
          <w:rFonts w:ascii="Palatino Linotype" w:hAnsi="Palatino Linotype"/>
          <w:sz w:val="24"/>
          <w:szCs w:val="24"/>
        </w:rPr>
        <w:t xml:space="preserve"> </w:t>
      </w:r>
      <w:r w:rsidRPr="00755E15" w:rsidR="005C01F4">
        <w:rPr>
          <w:rFonts w:ascii="Palatino Linotype" w:hAnsi="Palatino Linotype"/>
          <w:sz w:val="24"/>
          <w:szCs w:val="24"/>
        </w:rPr>
        <w:t xml:space="preserve"> Section 9</w:t>
      </w:r>
      <w:r w:rsidRPr="00755E15">
        <w:rPr>
          <w:rFonts w:ascii="Palatino Linotype" w:hAnsi="Palatino Linotype"/>
          <w:sz w:val="24"/>
          <w:szCs w:val="24"/>
        </w:rPr>
        <w:t xml:space="preserve"> </w:t>
      </w:r>
      <w:r w:rsidR="0092518C">
        <w:rPr>
          <w:rFonts w:ascii="Palatino Linotype" w:hAnsi="Palatino Linotype"/>
          <w:sz w:val="24"/>
          <w:szCs w:val="24"/>
        </w:rPr>
        <w:t xml:space="preserve">of </w:t>
      </w:r>
      <w:r w:rsidRPr="00755E15" w:rsidR="0092518C">
        <w:rPr>
          <w:rFonts w:ascii="Palatino Linotype" w:hAnsi="Palatino Linotype"/>
          <w:sz w:val="24"/>
          <w:szCs w:val="24"/>
        </w:rPr>
        <w:t xml:space="preserve">GO 133-D </w:t>
      </w:r>
      <w:r w:rsidR="0092518C">
        <w:rPr>
          <w:rFonts w:ascii="Palatino Linotype" w:hAnsi="Palatino Linotype"/>
          <w:sz w:val="24"/>
          <w:szCs w:val="24"/>
        </w:rPr>
        <w:t xml:space="preserve">outlines </w:t>
      </w:r>
      <w:r w:rsidR="00890ADB">
        <w:rPr>
          <w:rFonts w:ascii="Palatino Linotype" w:hAnsi="Palatino Linotype"/>
          <w:sz w:val="24"/>
          <w:szCs w:val="24"/>
        </w:rPr>
        <w:t>fines</w:t>
      </w:r>
      <w:r w:rsidR="00DD0E87">
        <w:rPr>
          <w:rFonts w:ascii="Palatino Linotype" w:hAnsi="Palatino Linotype"/>
          <w:sz w:val="24"/>
          <w:szCs w:val="24"/>
        </w:rPr>
        <w:t xml:space="preserve"> related to</w:t>
      </w:r>
      <w:r w:rsidRPr="00755E15">
        <w:rPr>
          <w:rFonts w:ascii="Palatino Linotype" w:hAnsi="Palatino Linotype"/>
          <w:sz w:val="24"/>
          <w:szCs w:val="24"/>
        </w:rPr>
        <w:t xml:space="preserve"> service quality, which apply only to carriers of traditional</w:t>
      </w:r>
      <w:r w:rsidRPr="00755E15" w:rsidR="005C01F4">
        <w:rPr>
          <w:rFonts w:ascii="Palatino Linotype" w:hAnsi="Palatino Linotype"/>
          <w:sz w:val="24"/>
          <w:szCs w:val="24"/>
        </w:rPr>
        <w:t xml:space="preserve"> </w:t>
      </w:r>
      <w:r w:rsidRPr="00755E15">
        <w:rPr>
          <w:rFonts w:ascii="Palatino Linotype" w:hAnsi="Palatino Linotype"/>
          <w:sz w:val="24"/>
          <w:szCs w:val="24"/>
        </w:rPr>
        <w:t>voice telephone service</w:t>
      </w:r>
      <w:r w:rsidR="00994E73">
        <w:rPr>
          <w:rFonts w:ascii="Palatino Linotype" w:hAnsi="Palatino Linotype"/>
          <w:sz w:val="24"/>
          <w:szCs w:val="24"/>
        </w:rPr>
        <w:t>s</w:t>
      </w:r>
      <w:r w:rsidRPr="00755E15">
        <w:rPr>
          <w:rFonts w:ascii="Palatino Linotype" w:hAnsi="Palatino Linotype"/>
          <w:sz w:val="24"/>
          <w:szCs w:val="24"/>
        </w:rPr>
        <w:t>.</w:t>
      </w:r>
      <w:r w:rsidRPr="00755E15">
        <w:rPr>
          <w:rStyle w:val="FootnoteReference"/>
          <w:rFonts w:ascii="Palatino Linotype" w:hAnsi="Palatino Linotype"/>
          <w:sz w:val="24"/>
          <w:szCs w:val="24"/>
        </w:rPr>
        <w:footnoteReference w:id="11"/>
      </w:r>
      <w:r w:rsidRPr="00755E15">
        <w:rPr>
          <w:rFonts w:ascii="Palatino Linotype" w:hAnsi="Palatino Linotype"/>
          <w:sz w:val="24"/>
          <w:szCs w:val="24"/>
        </w:rPr>
        <w:t xml:space="preserve">  </w:t>
      </w:r>
    </w:p>
    <w:p w:rsidR="00994E73" w:rsidP="00C478AC" w:rsidRDefault="00994E73" w14:paraId="43E3153E" w14:textId="77777777">
      <w:pPr>
        <w:spacing w:after="0" w:line="240" w:lineRule="auto"/>
        <w:rPr>
          <w:rFonts w:ascii="Palatino Linotype" w:hAnsi="Palatino Linotype"/>
          <w:sz w:val="24"/>
          <w:szCs w:val="24"/>
        </w:rPr>
      </w:pPr>
    </w:p>
    <w:p w:rsidR="009C17EA" w:rsidP="00C478AC" w:rsidRDefault="00AA54C9" w14:paraId="79B2BB8B" w14:textId="77777777">
      <w:pPr>
        <w:spacing w:after="0" w:line="240" w:lineRule="auto"/>
        <w:rPr>
          <w:rFonts w:ascii="Palatino Linotype" w:hAnsi="Palatino Linotype"/>
          <w:sz w:val="24"/>
          <w:szCs w:val="24"/>
        </w:rPr>
      </w:pPr>
      <w:r w:rsidRPr="006917D5">
        <w:rPr>
          <w:rFonts w:ascii="Palatino Linotype" w:hAnsi="Palatino Linotype"/>
          <w:sz w:val="24"/>
          <w:szCs w:val="24"/>
        </w:rPr>
        <w:t>A</w:t>
      </w:r>
      <w:r w:rsidRPr="00755E15">
        <w:rPr>
          <w:rFonts w:ascii="Palatino Linotype" w:hAnsi="Palatino Linotype"/>
          <w:color w:val="7030A0"/>
          <w:sz w:val="24"/>
          <w:szCs w:val="24"/>
        </w:rPr>
        <w:t xml:space="preserve"> </w:t>
      </w:r>
      <w:r w:rsidRPr="006917D5">
        <w:rPr>
          <w:rFonts w:ascii="Palatino Linotype" w:hAnsi="Palatino Linotype"/>
          <w:sz w:val="24"/>
          <w:szCs w:val="24"/>
        </w:rPr>
        <w:t>c</w:t>
      </w:r>
      <w:r w:rsidRPr="00755E15" w:rsidR="004177A4">
        <w:rPr>
          <w:rFonts w:ascii="Palatino Linotype" w:hAnsi="Palatino Linotype"/>
          <w:sz w:val="24"/>
          <w:szCs w:val="24"/>
        </w:rPr>
        <w:t>arrier</w:t>
      </w:r>
      <w:r w:rsidRPr="006917D5">
        <w:rPr>
          <w:rFonts w:ascii="Palatino Linotype" w:hAnsi="Palatino Linotype"/>
          <w:sz w:val="24"/>
          <w:szCs w:val="24"/>
        </w:rPr>
        <w:t>’s</w:t>
      </w:r>
      <w:r w:rsidRPr="00755E15" w:rsidR="004177A4">
        <w:rPr>
          <w:rFonts w:ascii="Palatino Linotype" w:hAnsi="Palatino Linotype"/>
          <w:sz w:val="24"/>
          <w:szCs w:val="24"/>
        </w:rPr>
        <w:t xml:space="preserve"> performance, size, and duration of noncompliance </w:t>
      </w:r>
      <w:r w:rsidRPr="00755E15">
        <w:rPr>
          <w:rFonts w:ascii="Palatino Linotype" w:hAnsi="Palatino Linotype"/>
          <w:sz w:val="24"/>
          <w:szCs w:val="24"/>
        </w:rPr>
        <w:t xml:space="preserve">are factors in </w:t>
      </w:r>
      <w:r w:rsidRPr="00755E15" w:rsidR="005579F2">
        <w:rPr>
          <w:rFonts w:ascii="Palatino Linotype" w:hAnsi="Palatino Linotype"/>
          <w:sz w:val="24"/>
          <w:szCs w:val="24"/>
        </w:rPr>
        <w:t>calculating</w:t>
      </w:r>
      <w:r w:rsidRPr="00755E15">
        <w:rPr>
          <w:rFonts w:ascii="Palatino Linotype" w:hAnsi="Palatino Linotype"/>
          <w:sz w:val="24"/>
          <w:szCs w:val="24"/>
        </w:rPr>
        <w:t xml:space="preserve"> the</w:t>
      </w:r>
      <w:r w:rsidRPr="00755E15" w:rsidR="004177A4">
        <w:rPr>
          <w:rFonts w:ascii="Palatino Linotype" w:hAnsi="Palatino Linotype"/>
          <w:sz w:val="24"/>
          <w:szCs w:val="24"/>
        </w:rPr>
        <w:t xml:space="preserve"> GO 133-D fine amount.  </w:t>
      </w:r>
      <w:r w:rsidRPr="00755E15" w:rsidR="00DD5533">
        <w:rPr>
          <w:rFonts w:ascii="Palatino Linotype" w:hAnsi="Palatino Linotype"/>
          <w:sz w:val="24"/>
          <w:szCs w:val="24"/>
        </w:rPr>
        <w:t>A carrier will begin incurring a fine for these service quality measures when it reaches “chronic failure status,” which means a failure to meet the minimum standard for three consecutive months.</w:t>
      </w:r>
      <w:r w:rsidR="00BD7EDE">
        <w:rPr>
          <w:rFonts w:ascii="Palatino Linotype" w:hAnsi="Palatino Linotype"/>
          <w:sz w:val="24"/>
          <w:szCs w:val="24"/>
        </w:rPr>
        <w:t xml:space="preserve"> </w:t>
      </w:r>
      <w:r w:rsidR="000D106B">
        <w:rPr>
          <w:rFonts w:ascii="Palatino Linotype" w:hAnsi="Palatino Linotype"/>
          <w:sz w:val="24"/>
          <w:szCs w:val="24"/>
        </w:rPr>
        <w:t>The carrier will not incur</w:t>
      </w:r>
      <w:r w:rsidR="00BD7EDE">
        <w:rPr>
          <w:rFonts w:ascii="Palatino Linotype" w:hAnsi="Palatino Linotype"/>
          <w:sz w:val="24"/>
          <w:szCs w:val="24"/>
        </w:rPr>
        <w:t xml:space="preserve"> fines for the first two months</w:t>
      </w:r>
      <w:r w:rsidR="006D34C6">
        <w:rPr>
          <w:rFonts w:ascii="Palatino Linotype" w:hAnsi="Palatino Linotype"/>
          <w:sz w:val="24"/>
          <w:szCs w:val="24"/>
        </w:rPr>
        <w:t xml:space="preserve"> of noncompliance</w:t>
      </w:r>
      <w:r w:rsidR="00BD7EDE">
        <w:rPr>
          <w:rFonts w:ascii="Palatino Linotype" w:hAnsi="Palatino Linotype"/>
          <w:sz w:val="24"/>
          <w:szCs w:val="24"/>
        </w:rPr>
        <w:t>.</w:t>
      </w:r>
      <w:r w:rsidRPr="00755E15" w:rsidR="00DD5533">
        <w:rPr>
          <w:rStyle w:val="FootnoteReference"/>
          <w:rFonts w:ascii="Palatino Linotype" w:hAnsi="Palatino Linotype"/>
          <w:sz w:val="24"/>
          <w:szCs w:val="24"/>
        </w:rPr>
        <w:footnoteReference w:id="12"/>
      </w:r>
      <w:r w:rsidRPr="00755E15" w:rsidR="00DD5533">
        <w:rPr>
          <w:rFonts w:ascii="Palatino Linotype" w:hAnsi="Palatino Linotype"/>
          <w:sz w:val="24"/>
          <w:szCs w:val="24"/>
        </w:rPr>
        <w:t xml:space="preserve">  A carrier in chronic failure status will be fined a specific amount </w:t>
      </w:r>
      <w:r w:rsidR="00952B6F">
        <w:rPr>
          <w:rFonts w:ascii="Palatino Linotype" w:hAnsi="Palatino Linotype"/>
          <w:sz w:val="24"/>
          <w:szCs w:val="24"/>
        </w:rPr>
        <w:t>specified</w:t>
      </w:r>
      <w:r w:rsidRPr="00755E15" w:rsidR="00DD5533">
        <w:rPr>
          <w:rFonts w:ascii="Palatino Linotype" w:hAnsi="Palatino Linotype"/>
          <w:sz w:val="24"/>
          <w:szCs w:val="24"/>
        </w:rPr>
        <w:t xml:space="preserve"> in Sections 9.3 to 9.5, for each day that it fail</w:t>
      </w:r>
      <w:r w:rsidR="00AB5837">
        <w:rPr>
          <w:rFonts w:ascii="Palatino Linotype" w:hAnsi="Palatino Linotype"/>
          <w:sz w:val="24"/>
          <w:szCs w:val="24"/>
        </w:rPr>
        <w:t>s</w:t>
      </w:r>
      <w:r w:rsidRPr="00755E15" w:rsidR="00DD5533">
        <w:rPr>
          <w:rFonts w:ascii="Palatino Linotype" w:hAnsi="Palatino Linotype"/>
          <w:sz w:val="24"/>
          <w:szCs w:val="24"/>
        </w:rPr>
        <w:t xml:space="preserve"> to meet the minimum monthly standard.</w:t>
      </w:r>
      <w:r w:rsidRPr="00755E15" w:rsidR="00847F3D">
        <w:rPr>
          <w:rFonts w:ascii="Palatino Linotype" w:hAnsi="Palatino Linotype"/>
          <w:sz w:val="24"/>
          <w:szCs w:val="24"/>
        </w:rPr>
        <w:t xml:space="preserve"> </w:t>
      </w:r>
      <w:r w:rsidR="00A95BDD">
        <w:rPr>
          <w:rFonts w:ascii="Palatino Linotype" w:hAnsi="Palatino Linotype"/>
          <w:sz w:val="24"/>
          <w:szCs w:val="24"/>
        </w:rPr>
        <w:t xml:space="preserve">Fines are assessed on an annual basis, but “chronic failure status” </w:t>
      </w:r>
      <w:r w:rsidR="00C9732C">
        <w:rPr>
          <w:rFonts w:ascii="Palatino Linotype" w:hAnsi="Palatino Linotype"/>
          <w:sz w:val="24"/>
          <w:szCs w:val="24"/>
        </w:rPr>
        <w:t>is</w:t>
      </w:r>
      <w:r w:rsidR="00A95BDD">
        <w:rPr>
          <w:rFonts w:ascii="Palatino Linotype" w:hAnsi="Palatino Linotype"/>
          <w:sz w:val="24"/>
          <w:szCs w:val="24"/>
        </w:rPr>
        <w:t xml:space="preserve"> not reset a</w:t>
      </w:r>
      <w:r w:rsidRPr="00A95BDD" w:rsidR="00A95BDD">
        <w:rPr>
          <w:rFonts w:ascii="Palatino Linotype" w:hAnsi="Palatino Linotype"/>
          <w:sz w:val="24"/>
          <w:szCs w:val="24"/>
        </w:rPr>
        <w:t>t</w:t>
      </w:r>
      <w:r w:rsidRPr="00A95BDD" w:rsidR="0049177B">
        <w:rPr>
          <w:rFonts w:ascii="Palatino Linotype" w:hAnsi="Palatino Linotype"/>
          <w:sz w:val="24"/>
          <w:szCs w:val="24"/>
        </w:rPr>
        <w:t xml:space="preserve"> the end of a calendar </w:t>
      </w:r>
      <w:r w:rsidRPr="00A95BDD" w:rsidR="00A95BDD">
        <w:rPr>
          <w:rFonts w:ascii="Palatino Linotype" w:hAnsi="Palatino Linotype"/>
          <w:sz w:val="24"/>
          <w:szCs w:val="24"/>
        </w:rPr>
        <w:t>year but</w:t>
      </w:r>
      <w:r w:rsidRPr="00A95BDD" w:rsidR="0049177B">
        <w:rPr>
          <w:rFonts w:ascii="Palatino Linotype" w:hAnsi="Palatino Linotype"/>
          <w:sz w:val="24"/>
          <w:szCs w:val="24"/>
        </w:rPr>
        <w:t xml:space="preserve"> </w:t>
      </w:r>
      <w:r w:rsidR="00897DA9">
        <w:rPr>
          <w:rFonts w:ascii="Palatino Linotype" w:hAnsi="Palatino Linotype"/>
          <w:sz w:val="24"/>
          <w:szCs w:val="24"/>
        </w:rPr>
        <w:t>it is determined</w:t>
      </w:r>
      <w:r w:rsidRPr="00A95BDD" w:rsidR="00A95BDD">
        <w:rPr>
          <w:rFonts w:ascii="Palatino Linotype" w:hAnsi="Palatino Linotype"/>
          <w:sz w:val="24"/>
          <w:szCs w:val="24"/>
        </w:rPr>
        <w:t xml:space="preserve"> </w:t>
      </w:r>
      <w:r w:rsidRPr="00A95BDD" w:rsidR="00241354">
        <w:rPr>
          <w:rFonts w:ascii="Palatino Linotype" w:hAnsi="Palatino Linotype"/>
          <w:sz w:val="24"/>
          <w:szCs w:val="24"/>
        </w:rPr>
        <w:t xml:space="preserve">based on </w:t>
      </w:r>
      <w:r w:rsidR="000D7233">
        <w:rPr>
          <w:rFonts w:ascii="Palatino Linotype" w:hAnsi="Palatino Linotype"/>
          <w:sz w:val="24"/>
          <w:szCs w:val="24"/>
        </w:rPr>
        <w:t>the</w:t>
      </w:r>
      <w:r w:rsidRPr="00A95BDD" w:rsidR="00241354">
        <w:rPr>
          <w:rFonts w:ascii="Palatino Linotype" w:hAnsi="Palatino Linotype"/>
          <w:sz w:val="24"/>
          <w:szCs w:val="24"/>
        </w:rPr>
        <w:t xml:space="preserve"> carrier’s con</w:t>
      </w:r>
      <w:r w:rsidRPr="00A95BDD" w:rsidR="006E5A9A">
        <w:rPr>
          <w:rFonts w:ascii="Palatino Linotype" w:hAnsi="Palatino Linotype"/>
          <w:sz w:val="24"/>
          <w:szCs w:val="24"/>
        </w:rPr>
        <w:t>tinuous service quality performance</w:t>
      </w:r>
      <w:r w:rsidRPr="00A95BDD" w:rsidR="00AB0ECF">
        <w:rPr>
          <w:rFonts w:ascii="Palatino Linotype" w:hAnsi="Palatino Linotype"/>
          <w:sz w:val="24"/>
          <w:szCs w:val="24"/>
        </w:rPr>
        <w:t xml:space="preserve"> </w:t>
      </w:r>
      <w:r w:rsidRPr="00A95BDD" w:rsidR="00DB014A">
        <w:rPr>
          <w:rFonts w:ascii="Palatino Linotype" w:hAnsi="Palatino Linotype"/>
          <w:sz w:val="24"/>
          <w:szCs w:val="24"/>
        </w:rPr>
        <w:t xml:space="preserve">from year to </w:t>
      </w:r>
      <w:r w:rsidR="000D7233">
        <w:rPr>
          <w:rFonts w:ascii="Palatino Linotype" w:hAnsi="Palatino Linotype"/>
          <w:sz w:val="24"/>
          <w:szCs w:val="24"/>
        </w:rPr>
        <w:t>year</w:t>
      </w:r>
      <w:r w:rsidRPr="00755E15" w:rsidR="00DB014A">
        <w:rPr>
          <w:rFonts w:ascii="Palatino Linotype" w:hAnsi="Palatino Linotype"/>
          <w:sz w:val="24"/>
          <w:szCs w:val="24"/>
        </w:rPr>
        <w:t>.</w:t>
      </w:r>
      <w:r w:rsidRPr="00755E15" w:rsidR="00DD5533">
        <w:rPr>
          <w:rStyle w:val="FootnoteReference"/>
          <w:rFonts w:ascii="Palatino Linotype" w:hAnsi="Palatino Linotype"/>
          <w:sz w:val="24"/>
          <w:szCs w:val="24"/>
        </w:rPr>
        <w:footnoteReference w:id="13"/>
      </w:r>
      <w:r w:rsidRPr="00755E15" w:rsidR="00DD5533">
        <w:rPr>
          <w:rFonts w:ascii="Palatino Linotype" w:hAnsi="Palatino Linotype"/>
          <w:sz w:val="24"/>
          <w:szCs w:val="24"/>
        </w:rPr>
        <w:t xml:space="preserve">  A carrier </w:t>
      </w:r>
      <w:r w:rsidRPr="00755E15" w:rsidR="00F47F47">
        <w:rPr>
          <w:rFonts w:ascii="Palatino Linotype" w:hAnsi="Palatino Linotype"/>
          <w:sz w:val="24"/>
          <w:szCs w:val="24"/>
        </w:rPr>
        <w:t xml:space="preserve">will </w:t>
      </w:r>
      <w:r w:rsidR="00A95BDD">
        <w:rPr>
          <w:rFonts w:ascii="Palatino Linotype" w:hAnsi="Palatino Linotype"/>
          <w:sz w:val="24"/>
          <w:szCs w:val="24"/>
        </w:rPr>
        <w:t>exit “chronic failure st</w:t>
      </w:r>
      <w:r w:rsidR="002C7C4E">
        <w:rPr>
          <w:rFonts w:ascii="Palatino Linotype" w:hAnsi="Palatino Linotype"/>
          <w:sz w:val="24"/>
          <w:szCs w:val="24"/>
        </w:rPr>
        <w:t>a</w:t>
      </w:r>
      <w:r w:rsidR="00A95BDD">
        <w:rPr>
          <w:rFonts w:ascii="Palatino Linotype" w:hAnsi="Palatino Linotype"/>
          <w:sz w:val="24"/>
          <w:szCs w:val="24"/>
        </w:rPr>
        <w:t xml:space="preserve">tus” </w:t>
      </w:r>
      <w:r w:rsidR="007174B2">
        <w:rPr>
          <w:rFonts w:ascii="Palatino Linotype" w:hAnsi="Palatino Linotype"/>
          <w:sz w:val="24"/>
          <w:szCs w:val="24"/>
        </w:rPr>
        <w:t>once</w:t>
      </w:r>
      <w:r w:rsidRPr="00755E15" w:rsidR="00F47F47">
        <w:rPr>
          <w:rFonts w:ascii="Palatino Linotype" w:hAnsi="Palatino Linotype"/>
          <w:sz w:val="24"/>
          <w:szCs w:val="24"/>
        </w:rPr>
        <w:t xml:space="preserve"> it meets the </w:t>
      </w:r>
      <w:r w:rsidR="00E161F6">
        <w:rPr>
          <w:rFonts w:ascii="Palatino Linotype" w:hAnsi="Palatino Linotype"/>
          <w:sz w:val="24"/>
          <w:szCs w:val="24"/>
        </w:rPr>
        <w:t xml:space="preserve">required </w:t>
      </w:r>
      <w:r w:rsidRPr="00755E15" w:rsidR="00F47F47">
        <w:rPr>
          <w:rFonts w:ascii="Palatino Linotype" w:hAnsi="Palatino Linotype"/>
          <w:sz w:val="24"/>
          <w:szCs w:val="24"/>
        </w:rPr>
        <w:t>standard(s) for two consecutive months.</w:t>
      </w:r>
      <w:r w:rsidRPr="00755E15" w:rsidR="00DD5533">
        <w:rPr>
          <w:rFonts w:ascii="Palatino Linotype" w:hAnsi="Palatino Linotype"/>
          <w:sz w:val="24"/>
          <w:szCs w:val="24"/>
        </w:rPr>
        <w:t xml:space="preserve">  </w:t>
      </w:r>
    </w:p>
    <w:p w:rsidRPr="00755E15" w:rsidR="00DD5533" w:rsidP="00755E15" w:rsidRDefault="00DD5533" w14:paraId="58D1C366" w14:textId="77777777">
      <w:pPr>
        <w:spacing w:after="0" w:line="240" w:lineRule="auto"/>
        <w:rPr>
          <w:rFonts w:ascii="Palatino Linotype" w:hAnsi="Palatino Linotype"/>
          <w:sz w:val="24"/>
          <w:szCs w:val="24"/>
        </w:rPr>
      </w:pPr>
      <w:r w:rsidRPr="00755E15">
        <w:rPr>
          <w:rFonts w:ascii="Palatino Linotype" w:hAnsi="Palatino Linotype"/>
          <w:sz w:val="24"/>
          <w:szCs w:val="24"/>
        </w:rPr>
        <w:lastRenderedPageBreak/>
        <w:t xml:space="preserve">     </w:t>
      </w:r>
    </w:p>
    <w:p w:rsidR="00DD5533" w:rsidP="00C478AC" w:rsidRDefault="00DD5533" w14:paraId="0241FC4C"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Section 9.6, Advice Letter Tabulating Fine, requires a telephone corporation that fails to meet the minimum standards </w:t>
      </w:r>
      <w:r w:rsidR="00D67FCE">
        <w:rPr>
          <w:rFonts w:ascii="Palatino Linotype" w:hAnsi="Palatino Linotype"/>
          <w:sz w:val="24"/>
          <w:szCs w:val="24"/>
        </w:rPr>
        <w:t>to</w:t>
      </w:r>
      <w:r w:rsidRPr="00755E15" w:rsidR="00D67FCE">
        <w:rPr>
          <w:rFonts w:ascii="Palatino Linotype" w:hAnsi="Palatino Linotype"/>
          <w:sz w:val="24"/>
          <w:szCs w:val="24"/>
        </w:rPr>
        <w:t xml:space="preserve"> </w:t>
      </w:r>
      <w:r w:rsidRPr="00755E15">
        <w:rPr>
          <w:rFonts w:ascii="Palatino Linotype" w:hAnsi="Palatino Linotype"/>
          <w:sz w:val="24"/>
          <w:szCs w:val="24"/>
        </w:rPr>
        <w:t>calculate and report the applicable fine imposed by GO 133-D on an annual basis, stating:</w:t>
      </w:r>
    </w:p>
    <w:p w:rsidRPr="00755E15" w:rsidR="009C17EA" w:rsidP="00755E15" w:rsidRDefault="009C17EA" w14:paraId="387893BA" w14:textId="77777777">
      <w:pPr>
        <w:spacing w:after="0" w:line="240" w:lineRule="auto"/>
        <w:rPr>
          <w:rFonts w:ascii="Palatino Linotype" w:hAnsi="Palatino Linotype"/>
          <w:sz w:val="24"/>
          <w:szCs w:val="24"/>
        </w:rPr>
      </w:pPr>
    </w:p>
    <w:p w:rsidRPr="00755E15" w:rsidR="00DD5533" w:rsidP="00755E15" w:rsidRDefault="00DD5533" w14:paraId="04C80F2F" w14:textId="77777777">
      <w:pPr>
        <w:spacing w:after="0" w:line="240" w:lineRule="auto"/>
        <w:ind w:left="1440" w:right="990"/>
        <w:rPr>
          <w:rFonts w:ascii="Palatino Linotype" w:hAnsi="Palatino Linotype"/>
          <w:sz w:val="24"/>
          <w:szCs w:val="24"/>
        </w:rPr>
      </w:pPr>
      <w:r w:rsidRPr="00755E15">
        <w:rPr>
          <w:rFonts w:ascii="Palatino Linotype" w:hAnsi="Palatino Linotype"/>
          <w:sz w:val="24"/>
          <w:szCs w:val="24"/>
        </w:rPr>
        <w:t>The performance of any telephone corporation that does not meet the minimum standards shall submit annually, by February 15 of the following year, a Tier II Advice Letter that shows by month each Service Quality measurement did not meet the minimum standards and the applicable fine.</w:t>
      </w:r>
    </w:p>
    <w:p w:rsidR="00C478AC" w:rsidP="00C478AC" w:rsidRDefault="00C478AC" w14:paraId="09FB2291" w14:textId="77777777">
      <w:pPr>
        <w:spacing w:after="0" w:line="240" w:lineRule="auto"/>
        <w:ind w:left="1440" w:right="994"/>
        <w:rPr>
          <w:rFonts w:ascii="Palatino Linotype" w:hAnsi="Palatino Linotype"/>
          <w:sz w:val="24"/>
          <w:szCs w:val="24"/>
        </w:rPr>
      </w:pPr>
    </w:p>
    <w:p w:rsidRPr="00755E15" w:rsidR="00DD5533" w:rsidP="00755E15" w:rsidRDefault="00DD5533" w14:paraId="0269D9C4" w14:textId="77777777">
      <w:pPr>
        <w:spacing w:after="0" w:line="240" w:lineRule="auto"/>
        <w:ind w:left="1440" w:right="994"/>
        <w:rPr>
          <w:rFonts w:ascii="Palatino Linotype" w:hAnsi="Palatino Linotype"/>
          <w:sz w:val="24"/>
          <w:szCs w:val="24"/>
        </w:rPr>
      </w:pPr>
      <w:r w:rsidRPr="00755E15">
        <w:rPr>
          <w:rFonts w:ascii="Palatino Linotype" w:hAnsi="Palatino Linotype"/>
          <w:sz w:val="24"/>
          <w:szCs w:val="24"/>
        </w:rPr>
        <w:t>The advice letter shall contain detailed calculations with explanations of how each fine was calculated</w:t>
      </w:r>
      <w:r w:rsidR="00C52AF1">
        <w:rPr>
          <w:rFonts w:ascii="Palatino Linotype" w:hAnsi="Palatino Linotype"/>
          <w:sz w:val="24"/>
          <w:szCs w:val="24"/>
        </w:rPr>
        <w:t>…</w:t>
      </w:r>
      <w:r w:rsidRPr="00755E15" w:rsidR="007D3633">
        <w:rPr>
          <w:rFonts w:ascii="Palatino Linotype" w:hAnsi="Palatino Linotype"/>
          <w:sz w:val="24"/>
          <w:szCs w:val="24"/>
        </w:rPr>
        <w:t xml:space="preserve">The </w:t>
      </w:r>
      <w:r w:rsidRPr="00755E15">
        <w:rPr>
          <w:rFonts w:ascii="Palatino Linotype" w:hAnsi="Palatino Linotype"/>
          <w:sz w:val="24"/>
          <w:szCs w:val="24"/>
        </w:rPr>
        <w:t>Communications Division (CD) will prepare a resolution for the Commission annually, and if the resolution is adopted, then fines shall be payable to the California Public Utilities Commission for deposit to the California General Fund.</w:t>
      </w:r>
      <w:r w:rsidRPr="00755E15">
        <w:rPr>
          <w:rStyle w:val="FootnoteReference"/>
          <w:rFonts w:ascii="Palatino Linotype" w:hAnsi="Palatino Linotype"/>
          <w:sz w:val="24"/>
          <w:szCs w:val="24"/>
        </w:rPr>
        <w:footnoteReference w:id="14"/>
      </w:r>
    </w:p>
    <w:p w:rsidRPr="00755E15" w:rsidR="00AD4EF0" w:rsidP="00A47F9D" w:rsidRDefault="00AD4EF0" w14:paraId="31D3D373" w14:textId="77777777">
      <w:pPr>
        <w:tabs>
          <w:tab w:val="right" w:pos="10080"/>
        </w:tabs>
        <w:rPr>
          <w:rFonts w:ascii="Palatino Linotype" w:hAnsi="Palatino Linotype"/>
          <w:b/>
          <w:sz w:val="24"/>
          <w:szCs w:val="24"/>
          <w:u w:val="single"/>
        </w:rPr>
      </w:pPr>
    </w:p>
    <w:p w:rsidR="006D202A" w:rsidP="00A47F9D" w:rsidRDefault="00A47F9D" w14:paraId="2663B2CE" w14:textId="77777777">
      <w:pPr>
        <w:tabs>
          <w:tab w:val="right" w:pos="10080"/>
        </w:tabs>
        <w:rPr>
          <w:rFonts w:ascii="Palatino Linotype" w:hAnsi="Palatino Linotype"/>
          <w:b/>
          <w:sz w:val="24"/>
          <w:szCs w:val="24"/>
          <w:u w:val="single"/>
        </w:rPr>
      </w:pPr>
      <w:r w:rsidRPr="00755E15">
        <w:rPr>
          <w:rFonts w:ascii="Palatino Linotype" w:hAnsi="Palatino Linotype"/>
          <w:b/>
          <w:sz w:val="24"/>
          <w:szCs w:val="24"/>
          <w:u w:val="single"/>
        </w:rPr>
        <w:t>A</w:t>
      </w:r>
      <w:r w:rsidRPr="00755E15" w:rsidR="00853EA7">
        <w:rPr>
          <w:rFonts w:ascii="Palatino Linotype" w:hAnsi="Palatino Linotype"/>
          <w:b/>
          <w:sz w:val="24"/>
          <w:szCs w:val="24"/>
          <w:u w:val="single"/>
        </w:rPr>
        <w:t>DVICE LETTERS</w:t>
      </w:r>
    </w:p>
    <w:p w:rsidR="0066115B" w:rsidP="008235FF" w:rsidRDefault="00FD750D" w14:paraId="59CF5304" w14:textId="5A2C4B19">
      <w:pPr>
        <w:tabs>
          <w:tab w:val="right" w:pos="10080"/>
        </w:tabs>
        <w:rPr>
          <w:rFonts w:ascii="Palatino Linotype" w:hAnsi="Palatino Linotype"/>
          <w:bCs/>
          <w:sz w:val="24"/>
          <w:szCs w:val="24"/>
        </w:rPr>
      </w:pPr>
      <w:r>
        <w:rPr>
          <w:rFonts w:ascii="Palatino Linotype" w:hAnsi="Palatino Linotype"/>
          <w:bCs/>
          <w:sz w:val="24"/>
          <w:szCs w:val="24"/>
        </w:rPr>
        <w:t>Table 1</w:t>
      </w:r>
      <w:r w:rsidR="006D202A">
        <w:rPr>
          <w:rFonts w:ascii="Palatino Linotype" w:hAnsi="Palatino Linotype"/>
          <w:bCs/>
          <w:sz w:val="24"/>
          <w:szCs w:val="24"/>
        </w:rPr>
        <w:t xml:space="preserve"> below lists the advice letters received for </w:t>
      </w:r>
      <w:r w:rsidR="00F532E0">
        <w:rPr>
          <w:rFonts w:ascii="Palatino Linotype" w:hAnsi="Palatino Linotype"/>
          <w:bCs/>
          <w:sz w:val="24"/>
          <w:szCs w:val="24"/>
        </w:rPr>
        <w:t xml:space="preserve">the </w:t>
      </w:r>
      <w:r w:rsidR="000F6D13">
        <w:rPr>
          <w:rFonts w:ascii="Palatino Linotype" w:hAnsi="Palatino Linotype"/>
          <w:bCs/>
          <w:sz w:val="24"/>
          <w:szCs w:val="24"/>
        </w:rPr>
        <w:t>2025</w:t>
      </w:r>
      <w:r w:rsidR="006D202A">
        <w:rPr>
          <w:rFonts w:ascii="Palatino Linotype" w:hAnsi="Palatino Linotype"/>
          <w:bCs/>
          <w:sz w:val="24"/>
          <w:szCs w:val="24"/>
        </w:rPr>
        <w:t xml:space="preserve"> GO 133-D </w:t>
      </w:r>
      <w:r w:rsidR="00F1170F">
        <w:rPr>
          <w:rFonts w:ascii="Palatino Linotype" w:hAnsi="Palatino Linotype"/>
          <w:bCs/>
          <w:sz w:val="24"/>
          <w:szCs w:val="24"/>
        </w:rPr>
        <w:t xml:space="preserve">service quality </w:t>
      </w:r>
      <w:r w:rsidR="006D202A">
        <w:rPr>
          <w:rFonts w:ascii="Palatino Linotype" w:hAnsi="Palatino Linotype"/>
          <w:bCs/>
          <w:sz w:val="24"/>
          <w:szCs w:val="24"/>
        </w:rPr>
        <w:t xml:space="preserve">fines.  </w:t>
      </w:r>
    </w:p>
    <w:p w:rsidRPr="001A1050" w:rsidR="007702AC" w:rsidP="00D20405" w:rsidRDefault="001D3B46" w14:paraId="01B0938D" w14:textId="5F150610">
      <w:pPr>
        <w:tabs>
          <w:tab w:val="right" w:pos="10080"/>
        </w:tabs>
        <w:jc w:val="center"/>
        <w:rPr>
          <w:rFonts w:ascii="Palatino Linotype" w:hAnsi="Palatino Linotype"/>
          <w:b/>
          <w:sz w:val="24"/>
          <w:szCs w:val="24"/>
        </w:rPr>
      </w:pPr>
      <w:r w:rsidRPr="001A1050">
        <w:rPr>
          <w:rFonts w:ascii="Palatino Linotype" w:hAnsi="Palatino Linotype"/>
          <w:b/>
          <w:sz w:val="24"/>
          <w:szCs w:val="24"/>
        </w:rPr>
        <w:t xml:space="preserve">TABLE 1:  </w:t>
      </w:r>
      <w:r w:rsidRPr="001A1050" w:rsidR="00583BCD">
        <w:rPr>
          <w:rFonts w:ascii="Palatino Linotype" w:hAnsi="Palatino Linotype"/>
          <w:b/>
          <w:sz w:val="24"/>
          <w:szCs w:val="24"/>
        </w:rPr>
        <w:t xml:space="preserve"> </w:t>
      </w:r>
      <w:r w:rsidR="000F6D13">
        <w:rPr>
          <w:rFonts w:ascii="Palatino Linotype" w:hAnsi="Palatino Linotype"/>
          <w:b/>
          <w:sz w:val="24"/>
          <w:szCs w:val="24"/>
        </w:rPr>
        <w:t>2025</w:t>
      </w:r>
      <w:r w:rsidRPr="001A1050" w:rsidR="00B877A6">
        <w:rPr>
          <w:rFonts w:ascii="Palatino Linotype" w:hAnsi="Palatino Linotype"/>
          <w:b/>
          <w:sz w:val="24"/>
          <w:szCs w:val="24"/>
        </w:rPr>
        <w:t xml:space="preserve"> </w:t>
      </w:r>
      <w:r w:rsidRPr="001A1050" w:rsidR="00D20405">
        <w:rPr>
          <w:rFonts w:ascii="Palatino Linotype" w:hAnsi="Palatino Linotype"/>
          <w:b/>
          <w:sz w:val="24"/>
          <w:szCs w:val="24"/>
        </w:rPr>
        <w:t>GO 133-D Advice Letters</w:t>
      </w:r>
      <w:r w:rsidRPr="001A1050" w:rsidR="00583BCD">
        <w:rPr>
          <w:rFonts w:ascii="Palatino Linotype" w:hAnsi="Palatino Linotype"/>
          <w:b/>
          <w:sz w:val="24"/>
          <w:szCs w:val="24"/>
        </w:rPr>
        <w:t xml:space="preserve"> </w:t>
      </w:r>
    </w:p>
    <w:tbl>
      <w:tblPr>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2633"/>
        <w:gridCol w:w="1656"/>
        <w:gridCol w:w="1594"/>
        <w:gridCol w:w="1876"/>
      </w:tblGrid>
      <w:tr>
        <w:trPr>
          <w:trHeight w:val="396"/>
          <w:jc w:val="center"/>
        </w:trPr>
        <w:tc>
          <w:tcPr>
            <w:tcW w:w="1435" w:type="dxa"/>
            <w:shd w:val="clear" w:color="auto" w:fill="F2F2F2" w:themeFill="background1" w:themeFillShade="F2"/>
            <w:vAlign w:val="center"/>
          </w:tcPr>
          <w:p w:rsidRPr="00163B1C" w:rsidR="00E173B2" w:rsidP="00755E15" w:rsidRDefault="004C1907" w14:paraId="6E194C8E" w14:textId="77777777">
            <w:pPr>
              <w:tabs>
                <w:tab w:val="left" w:pos="3600"/>
              </w:tabs>
              <w:spacing w:after="0" w:line="240" w:lineRule="auto"/>
              <w:jc w:val="center"/>
              <w:rPr>
                <w:rFonts w:ascii="Palatino Linotype" w:hAnsi="Palatino Linotype"/>
                <w:b/>
                <w:sz w:val="20"/>
                <w:szCs w:val="20"/>
              </w:rPr>
            </w:pPr>
            <w:bookmarkStart w:name="_Hlk69455684" w:id="0"/>
            <w:r w:rsidRPr="00163B1C">
              <w:rPr>
                <w:rFonts w:ascii="Palatino Linotype" w:hAnsi="Palatino Linotype"/>
                <w:b/>
                <w:sz w:val="20"/>
                <w:szCs w:val="20"/>
              </w:rPr>
              <w:t>Advice Letter</w:t>
            </w:r>
            <w:r w:rsidRPr="00163B1C" w:rsidR="00E173B2">
              <w:rPr>
                <w:rFonts w:ascii="Palatino Linotype" w:hAnsi="Palatino Linotype"/>
                <w:b/>
                <w:sz w:val="20"/>
                <w:szCs w:val="20"/>
              </w:rPr>
              <w:t xml:space="preserve"> No.</w:t>
            </w:r>
          </w:p>
        </w:tc>
        <w:tc>
          <w:tcPr>
            <w:tcW w:w="2633" w:type="dxa"/>
            <w:shd w:val="clear" w:color="auto" w:fill="F2F2F2" w:themeFill="background1" w:themeFillShade="F2"/>
            <w:vAlign w:val="center"/>
          </w:tcPr>
          <w:p w:rsidRPr="00163B1C" w:rsidR="004C1907" w:rsidP="002727FD" w:rsidRDefault="004C1907" w14:paraId="5B9AD69A"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Filed By</w:t>
            </w:r>
          </w:p>
        </w:tc>
        <w:tc>
          <w:tcPr>
            <w:tcW w:w="1656" w:type="dxa"/>
            <w:shd w:val="clear" w:color="auto" w:fill="F2F2F2" w:themeFill="background1" w:themeFillShade="F2"/>
            <w:vAlign w:val="center"/>
          </w:tcPr>
          <w:p w:rsidRPr="00163B1C" w:rsidR="004C1907" w:rsidP="00EA0257" w:rsidRDefault="004C1907" w14:paraId="5E27BBD1"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Utility No.</w:t>
            </w:r>
          </w:p>
        </w:tc>
        <w:tc>
          <w:tcPr>
            <w:tcW w:w="1594" w:type="dxa"/>
            <w:shd w:val="clear" w:color="auto" w:fill="F2F2F2" w:themeFill="background1" w:themeFillShade="F2"/>
            <w:vAlign w:val="center"/>
          </w:tcPr>
          <w:p w:rsidRPr="00163B1C" w:rsidR="004C1907" w:rsidP="002727FD" w:rsidRDefault="004C1907" w14:paraId="355D3404"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Date Filed</w:t>
            </w:r>
          </w:p>
        </w:tc>
        <w:tc>
          <w:tcPr>
            <w:tcW w:w="1876" w:type="dxa"/>
            <w:shd w:val="clear" w:color="auto" w:fill="F2F2F2" w:themeFill="background1" w:themeFillShade="F2"/>
            <w:vAlign w:val="center"/>
          </w:tcPr>
          <w:p w:rsidRPr="00163B1C" w:rsidR="004C1907" w:rsidP="002727FD" w:rsidRDefault="004C1907" w14:paraId="53A1574B" w14:textId="77777777">
            <w:pPr>
              <w:tabs>
                <w:tab w:val="left" w:pos="3600"/>
              </w:tabs>
              <w:spacing w:before="120" w:after="120"/>
              <w:jc w:val="center"/>
              <w:rPr>
                <w:rFonts w:ascii="Palatino Linotype" w:hAnsi="Palatino Linotype"/>
                <w:b/>
                <w:sz w:val="20"/>
                <w:szCs w:val="20"/>
              </w:rPr>
            </w:pPr>
            <w:r w:rsidRPr="00163B1C">
              <w:rPr>
                <w:rFonts w:ascii="Palatino Linotype" w:hAnsi="Palatino Linotype"/>
                <w:b/>
                <w:sz w:val="20"/>
                <w:szCs w:val="20"/>
              </w:rPr>
              <w:t>Proposed Fine</w:t>
            </w:r>
          </w:p>
        </w:tc>
      </w:tr>
      <w:tr>
        <w:trPr>
          <w:trHeight w:val="386"/>
          <w:jc w:val="center"/>
        </w:trPr>
        <w:tc>
          <w:tcPr>
            <w:tcW w:w="1435" w:type="dxa"/>
            <w:vAlign w:val="center"/>
          </w:tcPr>
          <w:p w:rsidRPr="00D05F6A" w:rsidR="00E50A3B" w:rsidP="00D76582" w:rsidRDefault="00253B91" w14:paraId="7F90CAA3" w14:textId="6EDC0A55">
            <w:pPr>
              <w:tabs>
                <w:tab w:val="left" w:pos="3600"/>
              </w:tabs>
              <w:spacing w:before="120" w:after="120"/>
              <w:jc w:val="center"/>
              <w:rPr>
                <w:rFonts w:ascii="Palatino Linotype" w:hAnsi="Palatino Linotype"/>
              </w:rPr>
            </w:pPr>
            <w:bookmarkStart w:name="_Hlk138232285" w:id="1"/>
            <w:r w:rsidRPr="00D05F6A">
              <w:rPr>
                <w:rFonts w:ascii="Palatino Linotype" w:hAnsi="Palatino Linotype"/>
              </w:rPr>
              <w:t>238</w:t>
            </w:r>
          </w:p>
        </w:tc>
        <w:tc>
          <w:tcPr>
            <w:tcW w:w="2633" w:type="dxa"/>
            <w:vAlign w:val="center"/>
          </w:tcPr>
          <w:p w:rsidRPr="00163B1C" w:rsidR="00E50A3B" w:rsidP="00D76582" w:rsidRDefault="001B0214" w14:paraId="70BAC72C" w14:textId="77777777">
            <w:pPr>
              <w:tabs>
                <w:tab w:val="left" w:pos="3600"/>
              </w:tabs>
              <w:spacing w:before="120" w:after="120"/>
              <w:rPr>
                <w:rFonts w:ascii="Palatino Linotype" w:hAnsi="Palatino Linotype"/>
              </w:rPr>
            </w:pPr>
            <w:r w:rsidRPr="00163B1C">
              <w:rPr>
                <w:rFonts w:ascii="Palatino Linotype" w:hAnsi="Palatino Linotype"/>
              </w:rPr>
              <w:t xml:space="preserve">Frontier </w:t>
            </w:r>
            <w:r w:rsidR="009B03DB">
              <w:rPr>
                <w:rFonts w:ascii="Palatino Linotype" w:hAnsi="Palatino Linotype"/>
              </w:rPr>
              <w:t>SW</w:t>
            </w:r>
          </w:p>
        </w:tc>
        <w:tc>
          <w:tcPr>
            <w:tcW w:w="1656" w:type="dxa"/>
            <w:vAlign w:val="center"/>
          </w:tcPr>
          <w:p w:rsidRPr="00163B1C" w:rsidR="00E50A3B" w:rsidP="00D76582" w:rsidRDefault="001B0214" w14:paraId="4877DBD8" w14:textId="77777777">
            <w:pPr>
              <w:tabs>
                <w:tab w:val="left" w:pos="3600"/>
              </w:tabs>
              <w:spacing w:before="120" w:after="120"/>
              <w:jc w:val="center"/>
              <w:rPr>
                <w:rFonts w:ascii="Palatino Linotype" w:hAnsi="Palatino Linotype"/>
              </w:rPr>
            </w:pPr>
            <w:r w:rsidRPr="00163B1C">
              <w:rPr>
                <w:rFonts w:ascii="Palatino Linotype" w:hAnsi="Palatino Linotype"/>
              </w:rPr>
              <w:t>U-1026-C</w:t>
            </w:r>
          </w:p>
        </w:tc>
        <w:tc>
          <w:tcPr>
            <w:tcW w:w="1594" w:type="dxa"/>
          </w:tcPr>
          <w:p w:rsidRPr="00D05F6A" w:rsidR="00E50A3B" w:rsidP="00D76582" w:rsidRDefault="001B0214" w14:paraId="3939C6DC" w14:textId="4219EB04">
            <w:pPr>
              <w:tabs>
                <w:tab w:val="left" w:pos="3600"/>
              </w:tabs>
              <w:spacing w:before="120" w:after="120"/>
              <w:jc w:val="center"/>
              <w:rPr>
                <w:rFonts w:ascii="Palatino Linotype" w:hAnsi="Palatino Linotype"/>
              </w:rPr>
            </w:pPr>
            <w:r w:rsidRPr="00D05F6A">
              <w:rPr>
                <w:rFonts w:ascii="Palatino Linotype" w:hAnsi="Palatino Linotype"/>
              </w:rPr>
              <w:t>2/1</w:t>
            </w:r>
            <w:r w:rsidRPr="00D05F6A" w:rsidR="008B0890">
              <w:rPr>
                <w:rFonts w:ascii="Palatino Linotype" w:hAnsi="Palatino Linotype"/>
              </w:rPr>
              <w:t>3</w:t>
            </w:r>
            <w:r w:rsidRPr="00D05F6A">
              <w:rPr>
                <w:rFonts w:ascii="Palatino Linotype" w:hAnsi="Palatino Linotype"/>
              </w:rPr>
              <w:t>/202</w:t>
            </w:r>
            <w:r w:rsidRPr="00D05F6A" w:rsidR="008B0890">
              <w:rPr>
                <w:rFonts w:ascii="Palatino Linotype" w:hAnsi="Palatino Linotype"/>
              </w:rPr>
              <w:t>6</w:t>
            </w:r>
          </w:p>
        </w:tc>
        <w:tc>
          <w:tcPr>
            <w:tcW w:w="1876" w:type="dxa"/>
            <w:vAlign w:val="center"/>
          </w:tcPr>
          <w:p w:rsidRPr="001B1C70" w:rsidR="00E50A3B" w:rsidP="0075540D" w:rsidRDefault="0075540D" w14:paraId="788EB425" w14:textId="069C0969">
            <w:pPr>
              <w:tabs>
                <w:tab w:val="left" w:pos="3600"/>
              </w:tabs>
              <w:spacing w:before="120" w:after="120"/>
              <w:jc w:val="right"/>
              <w:rPr>
                <w:rFonts w:ascii="Palatino Linotype" w:hAnsi="Palatino Linotype"/>
              </w:rPr>
            </w:pPr>
            <w:r w:rsidRPr="001B1C70">
              <w:rPr>
                <w:rFonts w:ascii="Palatino Linotype" w:hAnsi="Palatino Linotype"/>
              </w:rPr>
              <w:t>$</w:t>
            </w:r>
            <w:r w:rsidRPr="001B1C70" w:rsidR="002F1447">
              <w:rPr>
                <w:rFonts w:ascii="Palatino Linotype" w:hAnsi="Palatino Linotype"/>
              </w:rPr>
              <w:t>1,350</w:t>
            </w:r>
          </w:p>
        </w:tc>
      </w:tr>
      <w:tr>
        <w:trPr>
          <w:trHeight w:val="386"/>
          <w:jc w:val="center"/>
        </w:trPr>
        <w:tc>
          <w:tcPr>
            <w:tcW w:w="1435" w:type="dxa"/>
            <w:vAlign w:val="center"/>
          </w:tcPr>
          <w:p w:rsidRPr="00D05F6A" w:rsidR="001531B2" w:rsidP="00D76582" w:rsidRDefault="00845974" w14:paraId="7E56F6FF" w14:textId="2625C0C0">
            <w:pPr>
              <w:tabs>
                <w:tab w:val="left" w:pos="3600"/>
              </w:tabs>
              <w:spacing w:before="120" w:after="120"/>
              <w:jc w:val="center"/>
              <w:rPr>
                <w:rFonts w:ascii="Palatino Linotype" w:hAnsi="Palatino Linotype"/>
              </w:rPr>
            </w:pPr>
            <w:r w:rsidRPr="00D05F6A">
              <w:rPr>
                <w:rFonts w:ascii="Palatino Linotype" w:hAnsi="Palatino Linotype"/>
              </w:rPr>
              <w:t>2105</w:t>
            </w:r>
          </w:p>
        </w:tc>
        <w:tc>
          <w:tcPr>
            <w:tcW w:w="2633" w:type="dxa"/>
            <w:vAlign w:val="center"/>
          </w:tcPr>
          <w:p w:rsidRPr="00163B1C" w:rsidR="001531B2" w:rsidP="00D76582" w:rsidRDefault="001531B2" w14:paraId="694EA2D9" w14:textId="77777777">
            <w:pPr>
              <w:tabs>
                <w:tab w:val="left" w:pos="3600"/>
              </w:tabs>
              <w:spacing w:before="120" w:after="120"/>
              <w:rPr>
                <w:rFonts w:ascii="Palatino Linotype" w:hAnsi="Palatino Linotype"/>
              </w:rPr>
            </w:pPr>
            <w:r>
              <w:rPr>
                <w:rFonts w:ascii="Palatino Linotype" w:hAnsi="Palatino Linotype"/>
              </w:rPr>
              <w:t>Consolidated</w:t>
            </w:r>
          </w:p>
        </w:tc>
        <w:tc>
          <w:tcPr>
            <w:tcW w:w="1656" w:type="dxa"/>
            <w:vAlign w:val="center"/>
          </w:tcPr>
          <w:p w:rsidRPr="00163B1C" w:rsidR="001531B2" w:rsidP="00D76582" w:rsidRDefault="0051673F" w14:paraId="08CA55BF" w14:textId="77777777">
            <w:pPr>
              <w:tabs>
                <w:tab w:val="left" w:pos="3600"/>
              </w:tabs>
              <w:spacing w:before="120" w:after="120"/>
              <w:jc w:val="center"/>
              <w:rPr>
                <w:rFonts w:ascii="Palatino Linotype" w:hAnsi="Palatino Linotype"/>
              </w:rPr>
            </w:pPr>
            <w:r>
              <w:rPr>
                <w:rFonts w:ascii="Palatino Linotype" w:hAnsi="Palatino Linotype"/>
              </w:rPr>
              <w:t>U-1015-C</w:t>
            </w:r>
          </w:p>
        </w:tc>
        <w:tc>
          <w:tcPr>
            <w:tcW w:w="1594" w:type="dxa"/>
          </w:tcPr>
          <w:p w:rsidRPr="00D05F6A" w:rsidR="001531B2" w:rsidP="00D76582" w:rsidRDefault="00990BCE" w14:paraId="55483DFA" w14:textId="4D7D1BD6">
            <w:pPr>
              <w:tabs>
                <w:tab w:val="left" w:pos="3600"/>
              </w:tabs>
              <w:spacing w:before="120" w:after="120"/>
              <w:jc w:val="center"/>
              <w:rPr>
                <w:rFonts w:ascii="Palatino Linotype" w:hAnsi="Palatino Linotype"/>
              </w:rPr>
            </w:pPr>
            <w:r w:rsidRPr="00D05F6A">
              <w:rPr>
                <w:rFonts w:ascii="Palatino Linotype" w:hAnsi="Palatino Linotype"/>
              </w:rPr>
              <w:t>3</w:t>
            </w:r>
            <w:r w:rsidRPr="00D05F6A" w:rsidR="0051673F">
              <w:rPr>
                <w:rFonts w:ascii="Palatino Linotype" w:hAnsi="Palatino Linotype"/>
              </w:rPr>
              <w:t>/</w:t>
            </w:r>
            <w:r w:rsidRPr="00D05F6A" w:rsidR="00D05F6A">
              <w:rPr>
                <w:rFonts w:ascii="Palatino Linotype" w:hAnsi="Palatino Linotype"/>
              </w:rPr>
              <w:t>11</w:t>
            </w:r>
            <w:r w:rsidRPr="00D05F6A" w:rsidR="0051673F">
              <w:rPr>
                <w:rFonts w:ascii="Palatino Linotype" w:hAnsi="Palatino Linotype"/>
              </w:rPr>
              <w:t>/202</w:t>
            </w:r>
            <w:r w:rsidRPr="00D05F6A" w:rsidR="00D05F6A">
              <w:rPr>
                <w:rFonts w:ascii="Palatino Linotype" w:hAnsi="Palatino Linotype"/>
              </w:rPr>
              <w:t>6</w:t>
            </w:r>
          </w:p>
        </w:tc>
        <w:tc>
          <w:tcPr>
            <w:tcW w:w="1876" w:type="dxa"/>
            <w:vAlign w:val="center"/>
          </w:tcPr>
          <w:p w:rsidRPr="001B1C70" w:rsidR="001531B2" w:rsidP="0075540D" w:rsidRDefault="0051673F" w14:paraId="4F7E857F" w14:textId="1900EA18">
            <w:pPr>
              <w:tabs>
                <w:tab w:val="left" w:pos="3600"/>
              </w:tabs>
              <w:spacing w:before="120" w:after="120"/>
              <w:jc w:val="right"/>
              <w:rPr>
                <w:rFonts w:ascii="Palatino Linotype" w:hAnsi="Palatino Linotype"/>
              </w:rPr>
            </w:pPr>
            <w:r w:rsidRPr="001B1C70">
              <w:rPr>
                <w:rFonts w:ascii="Palatino Linotype" w:hAnsi="Palatino Linotype"/>
              </w:rPr>
              <w:t>$</w:t>
            </w:r>
            <w:r w:rsidR="00113A39">
              <w:rPr>
                <w:rFonts w:ascii="Palatino Linotype" w:hAnsi="Palatino Linotype"/>
              </w:rPr>
              <w:t>500</w:t>
            </w:r>
          </w:p>
        </w:tc>
      </w:tr>
      <w:tr>
        <w:trPr>
          <w:trHeight w:val="386"/>
          <w:jc w:val="center"/>
        </w:trPr>
        <w:tc>
          <w:tcPr>
            <w:tcW w:w="1435" w:type="dxa"/>
            <w:vAlign w:val="center"/>
          </w:tcPr>
          <w:p w:rsidRPr="00D05F6A" w:rsidR="00D76582" w:rsidP="00D76582" w:rsidRDefault="00DD0374" w14:paraId="4180324A" w14:textId="17B7C069">
            <w:pPr>
              <w:tabs>
                <w:tab w:val="left" w:pos="3600"/>
              </w:tabs>
              <w:spacing w:before="120" w:after="120"/>
              <w:jc w:val="center"/>
              <w:rPr>
                <w:rFonts w:ascii="Palatino Linotype" w:hAnsi="Palatino Linotype"/>
              </w:rPr>
            </w:pPr>
            <w:r w:rsidRPr="00D05F6A">
              <w:rPr>
                <w:rFonts w:ascii="Palatino Linotype" w:hAnsi="Palatino Linotype"/>
              </w:rPr>
              <w:t>417</w:t>
            </w:r>
          </w:p>
        </w:tc>
        <w:tc>
          <w:tcPr>
            <w:tcW w:w="2633" w:type="dxa"/>
            <w:vAlign w:val="center"/>
          </w:tcPr>
          <w:p w:rsidRPr="00163B1C" w:rsidR="00D76582" w:rsidP="00D76582" w:rsidRDefault="00D76582" w14:paraId="6E1623EF" w14:textId="77777777">
            <w:pPr>
              <w:tabs>
                <w:tab w:val="left" w:pos="3600"/>
              </w:tabs>
              <w:spacing w:before="120" w:after="120"/>
              <w:rPr>
                <w:rFonts w:ascii="Palatino Linotype" w:hAnsi="Palatino Linotype"/>
              </w:rPr>
            </w:pPr>
            <w:r w:rsidRPr="00163B1C">
              <w:rPr>
                <w:rFonts w:ascii="Palatino Linotype" w:hAnsi="Palatino Linotype"/>
              </w:rPr>
              <w:t>Happy Valley</w:t>
            </w:r>
          </w:p>
        </w:tc>
        <w:tc>
          <w:tcPr>
            <w:tcW w:w="1656" w:type="dxa"/>
            <w:vAlign w:val="center"/>
          </w:tcPr>
          <w:p w:rsidRPr="00163B1C" w:rsidR="00D76582" w:rsidP="00D76582" w:rsidRDefault="00D76582" w14:paraId="626D8CF8" w14:textId="77777777">
            <w:pPr>
              <w:tabs>
                <w:tab w:val="left" w:pos="3600"/>
              </w:tabs>
              <w:spacing w:before="120" w:after="120"/>
              <w:jc w:val="center"/>
              <w:rPr>
                <w:rFonts w:ascii="Palatino Linotype" w:hAnsi="Palatino Linotype"/>
              </w:rPr>
            </w:pPr>
            <w:r w:rsidRPr="00163B1C">
              <w:rPr>
                <w:rFonts w:ascii="Palatino Linotype" w:hAnsi="Palatino Linotype"/>
              </w:rPr>
              <w:t>U-1010-C</w:t>
            </w:r>
          </w:p>
        </w:tc>
        <w:tc>
          <w:tcPr>
            <w:tcW w:w="1594" w:type="dxa"/>
          </w:tcPr>
          <w:p w:rsidRPr="00D05F6A" w:rsidR="00D76582" w:rsidP="00D76582" w:rsidRDefault="0051673F" w14:paraId="1FC5FDC2" w14:textId="4C4C684D">
            <w:pPr>
              <w:tabs>
                <w:tab w:val="left" w:pos="3600"/>
              </w:tabs>
              <w:spacing w:before="120" w:after="120"/>
              <w:jc w:val="center"/>
              <w:rPr>
                <w:rFonts w:ascii="Palatino Linotype" w:hAnsi="Palatino Linotype"/>
              </w:rPr>
            </w:pPr>
            <w:r w:rsidRPr="00D05F6A">
              <w:rPr>
                <w:rFonts w:ascii="Palatino Linotype" w:hAnsi="Palatino Linotype"/>
              </w:rPr>
              <w:t>2</w:t>
            </w:r>
            <w:r w:rsidRPr="00D05F6A" w:rsidR="00D76582">
              <w:rPr>
                <w:rFonts w:ascii="Palatino Linotype" w:hAnsi="Palatino Linotype"/>
              </w:rPr>
              <w:t>/</w:t>
            </w:r>
            <w:r w:rsidRPr="00D05F6A" w:rsidR="008B0890">
              <w:rPr>
                <w:rFonts w:ascii="Palatino Linotype" w:hAnsi="Palatino Linotype"/>
              </w:rPr>
              <w:t>12</w:t>
            </w:r>
            <w:r w:rsidRPr="00D05F6A" w:rsidR="00D76582">
              <w:rPr>
                <w:rFonts w:ascii="Palatino Linotype" w:hAnsi="Palatino Linotype"/>
              </w:rPr>
              <w:t>/202</w:t>
            </w:r>
            <w:r w:rsidRPr="00D05F6A" w:rsidR="008B0890">
              <w:rPr>
                <w:rFonts w:ascii="Palatino Linotype" w:hAnsi="Palatino Linotype"/>
              </w:rPr>
              <w:t>6</w:t>
            </w:r>
          </w:p>
        </w:tc>
        <w:tc>
          <w:tcPr>
            <w:tcW w:w="1876" w:type="dxa"/>
            <w:vAlign w:val="center"/>
          </w:tcPr>
          <w:p w:rsidRPr="001B1C70" w:rsidR="00D76582" w:rsidP="0075540D" w:rsidRDefault="00AB43B4" w14:paraId="09A4B207" w14:textId="0ABE1F63">
            <w:pPr>
              <w:tabs>
                <w:tab w:val="left" w:pos="3600"/>
              </w:tabs>
              <w:spacing w:before="120" w:after="120"/>
              <w:jc w:val="right"/>
              <w:rPr>
                <w:rFonts w:ascii="Palatino Linotype" w:hAnsi="Palatino Linotype"/>
              </w:rPr>
            </w:pPr>
            <w:r w:rsidRPr="001B1C70">
              <w:rPr>
                <w:rFonts w:ascii="Palatino Linotype" w:hAnsi="Palatino Linotype"/>
              </w:rPr>
              <w:t>$</w:t>
            </w:r>
            <w:r w:rsidRPr="001B1C70" w:rsidR="00343261">
              <w:rPr>
                <w:rFonts w:ascii="Palatino Linotype" w:hAnsi="Palatino Linotype"/>
              </w:rPr>
              <w:t>1,125</w:t>
            </w:r>
          </w:p>
        </w:tc>
      </w:tr>
      <w:bookmarkEnd w:id="1"/>
      <w:tr>
        <w:trPr>
          <w:trHeight w:val="386"/>
          <w:jc w:val="center"/>
        </w:trPr>
        <w:tc>
          <w:tcPr>
            <w:tcW w:w="7318" w:type="dxa"/>
            <w:gridSpan w:val="4"/>
            <w:vAlign w:val="center"/>
          </w:tcPr>
          <w:p w:rsidRPr="00163B1C" w:rsidR="00501E23" w:rsidP="00467A46" w:rsidRDefault="00467A46" w14:paraId="729F03F7" w14:textId="77777777">
            <w:pPr>
              <w:tabs>
                <w:tab w:val="left" w:pos="3600"/>
              </w:tabs>
              <w:spacing w:before="120" w:after="120"/>
              <w:rPr>
                <w:rFonts w:ascii="Palatino Linotype" w:hAnsi="Palatino Linotype"/>
                <w:b/>
                <w:bCs/>
              </w:rPr>
            </w:pPr>
            <w:r w:rsidRPr="00163B1C">
              <w:rPr>
                <w:rFonts w:ascii="Palatino Linotype" w:hAnsi="Palatino Linotype"/>
                <w:b/>
                <w:bCs/>
              </w:rPr>
              <w:t xml:space="preserve">                                                                 </w:t>
            </w:r>
            <w:r w:rsidRPr="00163B1C" w:rsidR="00501E23">
              <w:rPr>
                <w:rFonts w:ascii="Palatino Linotype" w:hAnsi="Palatino Linotype"/>
                <w:b/>
                <w:bCs/>
              </w:rPr>
              <w:t>TOTAL PROPOSED FINES</w:t>
            </w:r>
          </w:p>
        </w:tc>
        <w:tc>
          <w:tcPr>
            <w:tcW w:w="1876" w:type="dxa"/>
            <w:vAlign w:val="center"/>
          </w:tcPr>
          <w:p w:rsidRPr="00163B1C" w:rsidR="00501E23" w:rsidP="0075540D" w:rsidRDefault="00402E6E" w14:paraId="59681EAE" w14:textId="340E5F21">
            <w:pPr>
              <w:tabs>
                <w:tab w:val="left" w:pos="3600"/>
              </w:tabs>
              <w:spacing w:before="120" w:after="120"/>
              <w:jc w:val="right"/>
              <w:rPr>
                <w:rFonts w:ascii="Palatino Linotype" w:hAnsi="Palatino Linotype"/>
                <w:b/>
                <w:bCs/>
              </w:rPr>
            </w:pPr>
            <w:r>
              <w:rPr>
                <w:rFonts w:ascii="Palatino Linotype" w:hAnsi="Palatino Linotype"/>
                <w:b/>
                <w:bCs/>
              </w:rPr>
              <w:t>$</w:t>
            </w:r>
            <w:r w:rsidR="001B1C70">
              <w:rPr>
                <w:rFonts w:ascii="Palatino Linotype" w:hAnsi="Palatino Linotype"/>
                <w:b/>
                <w:bCs/>
              </w:rPr>
              <w:t>2,9</w:t>
            </w:r>
            <w:r w:rsidR="00113A39">
              <w:rPr>
                <w:rFonts w:ascii="Palatino Linotype" w:hAnsi="Palatino Linotype"/>
                <w:b/>
                <w:bCs/>
              </w:rPr>
              <w:t>75</w:t>
            </w:r>
            <w:r w:rsidR="001B1C70">
              <w:rPr>
                <w:rFonts w:ascii="Palatino Linotype" w:hAnsi="Palatino Linotype"/>
                <w:b/>
                <w:bCs/>
              </w:rPr>
              <w:t>.</w:t>
            </w:r>
            <w:r w:rsidR="00113A39">
              <w:rPr>
                <w:rFonts w:ascii="Palatino Linotype" w:hAnsi="Palatino Linotype"/>
                <w:b/>
                <w:bCs/>
              </w:rPr>
              <w:t>0</w:t>
            </w:r>
            <w:r w:rsidR="001B1C70">
              <w:rPr>
                <w:rFonts w:ascii="Palatino Linotype" w:hAnsi="Palatino Linotype"/>
                <w:b/>
                <w:bCs/>
              </w:rPr>
              <w:t>0</w:t>
            </w:r>
          </w:p>
        </w:tc>
      </w:tr>
      <w:bookmarkEnd w:id="0"/>
    </w:tbl>
    <w:p w:rsidR="006D202A" w:rsidP="00A47F9D" w:rsidRDefault="006D202A" w14:paraId="3188B3EE" w14:textId="77777777">
      <w:pPr>
        <w:tabs>
          <w:tab w:val="right" w:pos="10080"/>
        </w:tabs>
        <w:rPr>
          <w:rFonts w:ascii="Palatino Linotype" w:hAnsi="Palatino Linotype"/>
          <w:b/>
          <w:sz w:val="24"/>
          <w:szCs w:val="24"/>
          <w:u w:val="single"/>
        </w:rPr>
      </w:pPr>
    </w:p>
    <w:p w:rsidRPr="00755E15" w:rsidR="00DD5533" w:rsidP="00A47F9D" w:rsidRDefault="00797AA5" w14:paraId="646B8E4C" w14:textId="77777777">
      <w:pPr>
        <w:tabs>
          <w:tab w:val="right" w:pos="10080"/>
        </w:tabs>
        <w:rPr>
          <w:rFonts w:ascii="Palatino Linotype" w:hAnsi="Palatino Linotype"/>
          <w:sz w:val="24"/>
          <w:szCs w:val="24"/>
          <w:u w:val="single"/>
        </w:rPr>
      </w:pPr>
      <w:r w:rsidRPr="00755E15">
        <w:rPr>
          <w:rFonts w:ascii="Palatino Linotype" w:hAnsi="Palatino Linotype"/>
          <w:b/>
          <w:sz w:val="24"/>
          <w:szCs w:val="24"/>
          <w:u w:val="single"/>
        </w:rPr>
        <w:t>D</w:t>
      </w:r>
      <w:r w:rsidRPr="00755E15" w:rsidR="00853EA7">
        <w:rPr>
          <w:rFonts w:ascii="Palatino Linotype" w:hAnsi="Palatino Linotype"/>
          <w:b/>
          <w:sz w:val="24"/>
          <w:szCs w:val="24"/>
          <w:u w:val="single"/>
        </w:rPr>
        <w:t>ISCUSSION</w:t>
      </w:r>
    </w:p>
    <w:p w:rsidRPr="00755E15" w:rsidR="00DD5533" w:rsidP="00890B97" w:rsidRDefault="00DD5533" w14:paraId="0D3ED57A" w14:textId="77777777">
      <w:pPr>
        <w:pStyle w:val="ListParagraph"/>
        <w:numPr>
          <w:ilvl w:val="0"/>
          <w:numId w:val="14"/>
        </w:numPr>
        <w:tabs>
          <w:tab w:val="right" w:pos="9630"/>
        </w:tabs>
        <w:ind w:left="720"/>
        <w:rPr>
          <w:rFonts w:ascii="Palatino Linotype" w:hAnsi="Palatino Linotype"/>
          <w:b/>
          <w:sz w:val="24"/>
          <w:szCs w:val="24"/>
        </w:rPr>
      </w:pPr>
      <w:r w:rsidRPr="00755E15">
        <w:rPr>
          <w:rFonts w:ascii="Palatino Linotype" w:hAnsi="Palatino Linotype"/>
          <w:b/>
          <w:sz w:val="24"/>
          <w:szCs w:val="24"/>
        </w:rPr>
        <w:t>Scaling Factor</w:t>
      </w:r>
    </w:p>
    <w:p w:rsidR="00B55E7A" w:rsidP="00755E15" w:rsidRDefault="00DD5533" w14:paraId="3E9050F5" w14:textId="77777777">
      <w:pPr>
        <w:spacing w:after="0" w:line="240" w:lineRule="auto"/>
        <w:rPr>
          <w:rFonts w:ascii="Palatino Linotype" w:hAnsi="Palatino Linotype"/>
          <w:sz w:val="24"/>
          <w:szCs w:val="24"/>
        </w:rPr>
      </w:pPr>
      <w:r w:rsidRPr="00755E15">
        <w:rPr>
          <w:rFonts w:ascii="Palatino Linotype" w:hAnsi="Palatino Linotype"/>
          <w:sz w:val="24"/>
          <w:szCs w:val="24"/>
        </w:rPr>
        <w:lastRenderedPageBreak/>
        <w:t xml:space="preserve">General Order 133-D </w:t>
      </w:r>
      <w:r w:rsidR="004A4359">
        <w:rPr>
          <w:rFonts w:ascii="Palatino Linotype" w:hAnsi="Palatino Linotype"/>
          <w:sz w:val="24"/>
          <w:szCs w:val="24"/>
        </w:rPr>
        <w:t xml:space="preserve">outlines the determination </w:t>
      </w:r>
      <w:r w:rsidR="003D2031">
        <w:rPr>
          <w:rFonts w:ascii="Palatino Linotype" w:hAnsi="Palatino Linotype"/>
          <w:sz w:val="24"/>
          <w:szCs w:val="24"/>
        </w:rPr>
        <w:t>of</w:t>
      </w:r>
      <w:r w:rsidRPr="00755E15" w:rsidR="004A4359">
        <w:rPr>
          <w:rFonts w:ascii="Palatino Linotype" w:hAnsi="Palatino Linotype"/>
          <w:sz w:val="24"/>
          <w:szCs w:val="24"/>
        </w:rPr>
        <w:t xml:space="preserve"> </w:t>
      </w:r>
      <w:r w:rsidRPr="00755E15">
        <w:rPr>
          <w:rFonts w:ascii="Palatino Linotype" w:hAnsi="Palatino Linotype"/>
          <w:sz w:val="24"/>
          <w:szCs w:val="24"/>
        </w:rPr>
        <w:t>fine amounts</w:t>
      </w:r>
      <w:r w:rsidR="00E117AB">
        <w:rPr>
          <w:rFonts w:ascii="Palatino Linotype" w:hAnsi="Palatino Linotype"/>
          <w:sz w:val="24"/>
          <w:szCs w:val="24"/>
        </w:rPr>
        <w:t>,</w:t>
      </w:r>
      <w:r w:rsidRPr="00755E15">
        <w:rPr>
          <w:rFonts w:ascii="Palatino Linotype" w:hAnsi="Palatino Linotype"/>
          <w:sz w:val="24"/>
          <w:szCs w:val="24"/>
        </w:rPr>
        <w:t xml:space="preserve"> </w:t>
      </w:r>
      <w:r w:rsidR="00E117AB">
        <w:rPr>
          <w:rFonts w:ascii="Palatino Linotype" w:hAnsi="Palatino Linotype"/>
          <w:sz w:val="24"/>
          <w:szCs w:val="24"/>
        </w:rPr>
        <w:t>utilizing</w:t>
      </w:r>
      <w:r w:rsidRPr="00755E15" w:rsidR="00E117AB">
        <w:rPr>
          <w:rFonts w:ascii="Palatino Linotype" w:hAnsi="Palatino Linotype"/>
          <w:sz w:val="24"/>
          <w:szCs w:val="24"/>
        </w:rPr>
        <w:t xml:space="preserve"> </w:t>
      </w:r>
      <w:r w:rsidRPr="00755E15">
        <w:rPr>
          <w:rFonts w:ascii="Palatino Linotype" w:hAnsi="Palatino Linotype"/>
          <w:sz w:val="24"/>
          <w:szCs w:val="24"/>
        </w:rPr>
        <w:t xml:space="preserve">base values specified in Sections 9.3 </w:t>
      </w:r>
      <w:r w:rsidRPr="00B56736" w:rsidR="005579F2">
        <w:rPr>
          <w:rFonts w:ascii="Palatino Linotype" w:hAnsi="Palatino Linotype"/>
          <w:sz w:val="24"/>
          <w:szCs w:val="24"/>
        </w:rPr>
        <w:t>to</w:t>
      </w:r>
      <w:r w:rsidRPr="00755E15" w:rsidR="005579F2">
        <w:rPr>
          <w:rFonts w:ascii="Palatino Linotype" w:hAnsi="Palatino Linotype"/>
          <w:sz w:val="24"/>
          <w:szCs w:val="24"/>
        </w:rPr>
        <w:t xml:space="preserve"> </w:t>
      </w:r>
      <w:r w:rsidRPr="00755E15">
        <w:rPr>
          <w:rFonts w:ascii="Palatino Linotype" w:hAnsi="Palatino Linotype"/>
          <w:sz w:val="24"/>
          <w:szCs w:val="24"/>
        </w:rPr>
        <w:t>9.5</w:t>
      </w:r>
      <w:r w:rsidR="00E117AB">
        <w:rPr>
          <w:rFonts w:ascii="Palatino Linotype" w:hAnsi="Palatino Linotype"/>
          <w:sz w:val="24"/>
          <w:szCs w:val="24"/>
        </w:rPr>
        <w:t xml:space="preserve">. These amounts </w:t>
      </w:r>
      <w:r w:rsidR="00316426">
        <w:rPr>
          <w:rFonts w:ascii="Palatino Linotype" w:hAnsi="Palatino Linotype"/>
          <w:sz w:val="24"/>
          <w:szCs w:val="24"/>
        </w:rPr>
        <w:t xml:space="preserve">are </w:t>
      </w:r>
      <w:r w:rsidR="00E117AB">
        <w:rPr>
          <w:rFonts w:ascii="Palatino Linotype" w:hAnsi="Palatino Linotype"/>
          <w:sz w:val="24"/>
          <w:szCs w:val="24"/>
        </w:rPr>
        <w:t>then</w:t>
      </w:r>
      <w:r w:rsidRPr="00755E15">
        <w:rPr>
          <w:rFonts w:ascii="Palatino Linotype" w:hAnsi="Palatino Linotype"/>
          <w:sz w:val="24"/>
          <w:szCs w:val="24"/>
        </w:rPr>
        <w:t xml:space="preserve"> adjusted </w:t>
      </w:r>
      <w:r w:rsidR="003B6F92">
        <w:rPr>
          <w:rFonts w:ascii="Palatino Linotype" w:hAnsi="Palatino Linotype"/>
          <w:sz w:val="24"/>
          <w:szCs w:val="24"/>
        </w:rPr>
        <w:t>using</w:t>
      </w:r>
      <w:r w:rsidRPr="00755E15" w:rsidR="003B6F92">
        <w:rPr>
          <w:rFonts w:ascii="Palatino Linotype" w:hAnsi="Palatino Linotype"/>
          <w:sz w:val="24"/>
          <w:szCs w:val="24"/>
        </w:rPr>
        <w:t xml:space="preserve"> </w:t>
      </w:r>
      <w:r w:rsidRPr="00755E15">
        <w:rPr>
          <w:rFonts w:ascii="Palatino Linotype" w:hAnsi="Palatino Linotype"/>
          <w:sz w:val="24"/>
          <w:szCs w:val="24"/>
        </w:rPr>
        <w:t xml:space="preserve">a formula </w:t>
      </w:r>
      <w:r w:rsidR="0055427B">
        <w:rPr>
          <w:rFonts w:ascii="Palatino Linotype" w:hAnsi="Palatino Linotype"/>
          <w:sz w:val="24"/>
          <w:szCs w:val="24"/>
        </w:rPr>
        <w:t>that reflect</w:t>
      </w:r>
      <w:r w:rsidR="001D378B">
        <w:rPr>
          <w:rFonts w:ascii="Palatino Linotype" w:hAnsi="Palatino Linotype"/>
          <w:sz w:val="24"/>
          <w:szCs w:val="24"/>
        </w:rPr>
        <w:t>s</w:t>
      </w:r>
      <w:r w:rsidRPr="00755E15">
        <w:rPr>
          <w:rFonts w:ascii="Palatino Linotype" w:hAnsi="Palatino Linotype"/>
          <w:sz w:val="24"/>
          <w:szCs w:val="24"/>
        </w:rPr>
        <w:t xml:space="preserve"> the relative size of the carrier within the California market.</w:t>
      </w:r>
      <w:r w:rsidRPr="00755E15">
        <w:rPr>
          <w:rStyle w:val="FootnoteReference"/>
          <w:rFonts w:ascii="Palatino Linotype" w:hAnsi="Palatino Linotype"/>
          <w:sz w:val="24"/>
          <w:szCs w:val="24"/>
        </w:rPr>
        <w:footnoteReference w:id="15"/>
      </w:r>
      <w:r w:rsidRPr="00755E15">
        <w:rPr>
          <w:rFonts w:ascii="Palatino Linotype" w:hAnsi="Palatino Linotype"/>
          <w:sz w:val="24"/>
          <w:szCs w:val="24"/>
        </w:rPr>
        <w:t xml:space="preserve">  </w:t>
      </w:r>
    </w:p>
    <w:p w:rsidRPr="00755E15" w:rsidR="00924A49" w:rsidP="00755E15" w:rsidRDefault="00924A49" w14:paraId="417EA437" w14:textId="77777777">
      <w:pPr>
        <w:spacing w:after="0" w:line="240" w:lineRule="auto"/>
        <w:rPr>
          <w:rFonts w:ascii="Palatino Linotype" w:hAnsi="Palatino Linotype"/>
          <w:sz w:val="24"/>
          <w:szCs w:val="24"/>
        </w:rPr>
      </w:pPr>
    </w:p>
    <w:p w:rsidRPr="00755E15" w:rsidR="00DD5533" w:rsidP="00DD5533" w:rsidRDefault="00DD5533" w14:paraId="326EAA52" w14:textId="77777777">
      <w:pPr>
        <w:spacing w:before="120" w:after="120"/>
        <w:rPr>
          <w:rFonts w:ascii="Palatino Linotype" w:hAnsi="Palatino Linotype"/>
          <w:sz w:val="24"/>
          <w:szCs w:val="24"/>
        </w:rPr>
      </w:pPr>
      <w:r w:rsidRPr="00755E15">
        <w:rPr>
          <w:rFonts w:ascii="Palatino Linotype" w:hAnsi="Palatino Linotype"/>
          <w:sz w:val="24"/>
          <w:szCs w:val="24"/>
        </w:rPr>
        <w:t xml:space="preserve">The scaling factor formula is </w:t>
      </w:r>
      <w:r w:rsidR="00975CC9">
        <w:rPr>
          <w:rFonts w:ascii="Palatino Linotype" w:hAnsi="Palatino Linotype"/>
          <w:sz w:val="24"/>
          <w:szCs w:val="24"/>
        </w:rPr>
        <w:t>presen</w:t>
      </w:r>
      <w:r w:rsidR="008A7187">
        <w:rPr>
          <w:rFonts w:ascii="Palatino Linotype" w:hAnsi="Palatino Linotype"/>
          <w:sz w:val="24"/>
          <w:szCs w:val="24"/>
        </w:rPr>
        <w:t>ted</w:t>
      </w:r>
      <w:r w:rsidRPr="00755E15">
        <w:rPr>
          <w:rFonts w:ascii="Palatino Linotype" w:hAnsi="Palatino Linotype"/>
          <w:sz w:val="24"/>
          <w:szCs w:val="24"/>
        </w:rPr>
        <w:t xml:space="preserve"> below</w:t>
      </w:r>
      <w:r w:rsidR="00FD49AE">
        <w:rPr>
          <w:rFonts w:ascii="Palatino Linotype" w:hAnsi="Palatino Linotype"/>
          <w:sz w:val="24"/>
          <w:szCs w:val="24"/>
        </w:rPr>
        <w:t xml:space="preserve"> in Table 2</w:t>
      </w:r>
      <w:r w:rsidRPr="00755E15">
        <w:rPr>
          <w:rFonts w:ascii="Palatino Linotype" w:hAnsi="Palatino Linotype"/>
          <w:sz w:val="24"/>
          <w:szCs w:val="24"/>
        </w:rPr>
        <w:t xml:space="preserve">, with </w:t>
      </w:r>
      <w:r w:rsidR="008A7187">
        <w:rPr>
          <w:rFonts w:ascii="Palatino Linotype" w:hAnsi="Palatino Linotype"/>
          <w:sz w:val="24"/>
          <w:szCs w:val="24"/>
        </w:rPr>
        <w:t xml:space="preserve">the </w:t>
      </w:r>
      <w:r w:rsidRPr="00755E15">
        <w:rPr>
          <w:rFonts w:ascii="Palatino Linotype" w:hAnsi="Palatino Linotype"/>
          <w:sz w:val="24"/>
          <w:szCs w:val="24"/>
        </w:rPr>
        <w:t>results shown in the table:</w:t>
      </w:r>
    </w:p>
    <w:p w:rsidRPr="00755E15" w:rsidR="00942A64" w:rsidP="00755E15" w:rsidRDefault="00DD5533" w14:paraId="5A88EB8C" w14:textId="07CF5DCD">
      <w:pPr>
        <w:spacing w:after="0" w:line="240" w:lineRule="auto"/>
        <w:ind w:left="720" w:right="806"/>
        <w:rPr>
          <w:rFonts w:ascii="Palatino Linotype" w:hAnsi="Palatino Linotype"/>
          <w:sz w:val="24"/>
          <w:szCs w:val="24"/>
        </w:rPr>
      </w:pPr>
      <w:r w:rsidRPr="00755E15">
        <w:rPr>
          <w:rFonts w:ascii="Palatino Linotype" w:hAnsi="Palatino Linotype"/>
          <w:sz w:val="24"/>
          <w:szCs w:val="24"/>
        </w:rPr>
        <w:t xml:space="preserve">(Carrier’s </w:t>
      </w:r>
      <w:r w:rsidR="00DF34D0">
        <w:rPr>
          <w:rFonts w:ascii="Palatino Linotype" w:hAnsi="Palatino Linotype"/>
          <w:sz w:val="24"/>
          <w:szCs w:val="24"/>
        </w:rPr>
        <w:t>Working</w:t>
      </w:r>
      <w:r w:rsidRPr="00755E15">
        <w:rPr>
          <w:rFonts w:ascii="Palatino Linotype" w:hAnsi="Palatino Linotype"/>
          <w:sz w:val="24"/>
          <w:szCs w:val="24"/>
        </w:rPr>
        <w:t xml:space="preserve"> Lines / Total CA </w:t>
      </w:r>
      <w:r w:rsidR="00DF34D0">
        <w:rPr>
          <w:rFonts w:ascii="Palatino Linotype" w:hAnsi="Palatino Linotype"/>
          <w:sz w:val="24"/>
          <w:szCs w:val="24"/>
        </w:rPr>
        <w:t>Working</w:t>
      </w:r>
      <w:r w:rsidRPr="00755E15">
        <w:rPr>
          <w:rFonts w:ascii="Palatino Linotype" w:hAnsi="Palatino Linotype"/>
          <w:sz w:val="24"/>
          <w:szCs w:val="24"/>
        </w:rPr>
        <w:t xml:space="preserve"> Lines) = </w:t>
      </w:r>
      <w:r w:rsidRPr="00755E15">
        <w:rPr>
          <w:rFonts w:ascii="Palatino Linotype" w:hAnsi="Palatino Linotype"/>
          <w:b/>
          <w:sz w:val="24"/>
          <w:szCs w:val="24"/>
        </w:rPr>
        <w:t>Carrier’s Scaling Factor</w:t>
      </w:r>
    </w:p>
    <w:p w:rsidR="1DECA432" w:rsidP="1DECA432" w:rsidRDefault="1DECA432" w14:paraId="51C138F1" w14:textId="77777777">
      <w:pPr>
        <w:spacing w:after="0" w:line="240" w:lineRule="auto"/>
        <w:ind w:left="720" w:right="806"/>
        <w:rPr>
          <w:rFonts w:ascii="Palatino Linotype" w:hAnsi="Palatino Linotype"/>
          <w:b/>
          <w:bCs/>
          <w:sz w:val="24"/>
          <w:szCs w:val="24"/>
        </w:rPr>
      </w:pPr>
    </w:p>
    <w:p w:rsidR="00451EB6" w:rsidP="00755E15" w:rsidRDefault="00DD5533" w14:paraId="7CB262A5" w14:textId="77777777">
      <w:pPr>
        <w:spacing w:after="0" w:line="240" w:lineRule="auto"/>
        <w:ind w:left="720" w:right="806"/>
        <w:rPr>
          <w:rFonts w:ascii="Palatino Linotype" w:hAnsi="Palatino Linotype"/>
          <w:b/>
          <w:sz w:val="24"/>
          <w:szCs w:val="24"/>
        </w:rPr>
      </w:pPr>
      <w:r w:rsidRPr="00755E15">
        <w:rPr>
          <w:rFonts w:ascii="Palatino Linotype" w:hAnsi="Palatino Linotype"/>
          <w:sz w:val="24"/>
          <w:szCs w:val="24"/>
        </w:rPr>
        <w:t xml:space="preserve">(Carrier’s Scaling Factor) x (Monthly Base Fine per Measure) x (Number of Months in Chronic Failure) = </w:t>
      </w:r>
      <w:r w:rsidRPr="00755E15">
        <w:rPr>
          <w:rFonts w:ascii="Palatino Linotype" w:hAnsi="Palatino Linotype"/>
          <w:b/>
          <w:sz w:val="24"/>
          <w:szCs w:val="24"/>
        </w:rPr>
        <w:t>Fine</w:t>
      </w:r>
    </w:p>
    <w:p w:rsidRPr="00755E15" w:rsidR="00451EB6" w:rsidP="00755E15" w:rsidRDefault="00451EB6" w14:paraId="627F3FC3" w14:textId="77777777">
      <w:pPr>
        <w:spacing w:after="0" w:line="240" w:lineRule="auto"/>
        <w:ind w:left="720" w:right="806"/>
        <w:rPr>
          <w:rFonts w:ascii="Palatino Linotype" w:hAnsi="Palatino Linotype"/>
          <w:b/>
          <w:sz w:val="24"/>
          <w:szCs w:val="24"/>
        </w:rPr>
      </w:pPr>
    </w:p>
    <w:p w:rsidRPr="001A1050" w:rsidR="00E31F0F" w:rsidP="001A1050" w:rsidRDefault="00583BCD" w14:paraId="46BE045D" w14:textId="49C0C362">
      <w:pPr>
        <w:spacing w:after="0" w:line="240" w:lineRule="auto"/>
        <w:ind w:left="720" w:right="806"/>
        <w:jc w:val="center"/>
        <w:rPr>
          <w:rFonts w:ascii="Palatino Linotype" w:hAnsi="Palatino Linotype"/>
          <w:b/>
          <w:sz w:val="24"/>
          <w:szCs w:val="24"/>
        </w:rPr>
      </w:pPr>
      <w:r w:rsidRPr="001A1050">
        <w:rPr>
          <w:rFonts w:ascii="Palatino Linotype" w:hAnsi="Palatino Linotype"/>
          <w:b/>
          <w:sz w:val="24"/>
          <w:szCs w:val="24"/>
        </w:rPr>
        <w:t xml:space="preserve">TABLE 2: </w:t>
      </w:r>
      <w:r w:rsidR="00EE590D">
        <w:rPr>
          <w:rFonts w:ascii="Palatino Linotype" w:hAnsi="Palatino Linotype"/>
          <w:b/>
          <w:sz w:val="24"/>
          <w:szCs w:val="24"/>
        </w:rPr>
        <w:t xml:space="preserve">Calendar Year </w:t>
      </w:r>
      <w:r w:rsidR="000F6D13">
        <w:rPr>
          <w:rFonts w:ascii="Palatino Linotype" w:hAnsi="Palatino Linotype"/>
          <w:b/>
          <w:sz w:val="24"/>
          <w:szCs w:val="24"/>
        </w:rPr>
        <w:t>2025</w:t>
      </w:r>
      <w:r w:rsidRPr="001A1050" w:rsidR="00FD49AE">
        <w:rPr>
          <w:rFonts w:ascii="Palatino Linotype" w:hAnsi="Palatino Linotype"/>
          <w:b/>
          <w:sz w:val="24"/>
          <w:szCs w:val="24"/>
        </w:rPr>
        <w:t xml:space="preserve"> </w:t>
      </w:r>
      <w:r w:rsidR="00155D31">
        <w:rPr>
          <w:rFonts w:ascii="Palatino Linotype" w:hAnsi="Palatino Linotype"/>
          <w:b/>
          <w:sz w:val="24"/>
          <w:szCs w:val="24"/>
        </w:rPr>
        <w:t>Working</w:t>
      </w:r>
      <w:r w:rsidRPr="001A1050" w:rsidR="00FD49AE">
        <w:rPr>
          <w:rFonts w:ascii="Palatino Linotype" w:hAnsi="Palatino Linotype"/>
          <w:b/>
          <w:sz w:val="24"/>
          <w:szCs w:val="24"/>
        </w:rPr>
        <w:t xml:space="preserve"> Lines and Scaling Factor</w:t>
      </w:r>
      <w:r w:rsidRPr="001A1050" w:rsidR="001E722C">
        <w:rPr>
          <w:rFonts w:ascii="Palatino Linotype" w:hAnsi="Palatino Linotype"/>
          <w:b/>
          <w:sz w:val="24"/>
          <w:szCs w:val="24"/>
        </w:rPr>
        <w:t xml:space="preserve"> for carriers paying fines under GO 133-D.</w:t>
      </w:r>
    </w:p>
    <w:p w:rsidRPr="00755E15" w:rsidR="00F37E88" w:rsidP="00473698" w:rsidRDefault="00F37E88" w14:paraId="02BA4C8A" w14:textId="77777777">
      <w:pPr>
        <w:tabs>
          <w:tab w:val="left" w:pos="3600"/>
        </w:tabs>
        <w:spacing w:line="120" w:lineRule="auto"/>
        <w:rPr>
          <w:rFonts w:ascii="Palatino Linotype" w:hAnsi="Palatino Linotype"/>
          <w:sz w:val="24"/>
          <w:szCs w:val="24"/>
        </w:rPr>
      </w:pPr>
    </w:p>
    <w:tbl>
      <w:tblPr>
        <w:tblStyle w:val="TableGrid"/>
        <w:tblW w:w="9708"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4668"/>
        <w:gridCol w:w="2468"/>
        <w:gridCol w:w="2572"/>
      </w:tblGrid>
      <w:tr>
        <w:trPr>
          <w:trHeight w:val="90"/>
        </w:trPr>
        <w:tc>
          <w:tcPr>
            <w:tcW w:w="9708" w:type="dxa"/>
            <w:gridSpan w:val="3"/>
            <w:tcBorders>
              <w:top w:val="single" w:color="auto" w:sz="4" w:space="0"/>
            </w:tcBorders>
          </w:tcPr>
          <w:p w:rsidRPr="001A1050" w:rsidR="00130339" w:rsidRDefault="000F6D13" w14:paraId="4016FB10" w14:textId="61F9E882">
            <w:pPr>
              <w:tabs>
                <w:tab w:val="left" w:pos="3600"/>
              </w:tabs>
              <w:spacing w:after="0" w:line="240" w:lineRule="auto"/>
              <w:jc w:val="center"/>
              <w:rPr>
                <w:rFonts w:ascii="Palatino Linotype" w:hAnsi="Palatino Linotype"/>
              </w:rPr>
            </w:pPr>
            <w:r>
              <w:rPr>
                <w:rFonts w:ascii="Palatino Linotype" w:hAnsi="Palatino Linotype"/>
              </w:rPr>
              <w:t>2025</w:t>
            </w:r>
            <w:r w:rsidRPr="001A1050" w:rsidR="03829659">
              <w:rPr>
                <w:rFonts w:ascii="Palatino Linotype" w:hAnsi="Palatino Linotype"/>
              </w:rPr>
              <w:t xml:space="preserve"> Working</w:t>
            </w:r>
            <w:r w:rsidRPr="001A1050" w:rsidR="00E81399">
              <w:rPr>
                <w:rFonts w:ascii="Palatino Linotype" w:hAnsi="Palatino Linotype"/>
              </w:rPr>
              <w:t xml:space="preserve"> </w:t>
            </w:r>
            <w:r w:rsidRPr="001A1050" w:rsidR="03829659">
              <w:rPr>
                <w:rFonts w:ascii="Palatino Linotype" w:hAnsi="Palatino Linotype"/>
              </w:rPr>
              <w:t xml:space="preserve">Lines and Scaling Factor for </w:t>
            </w:r>
          </w:p>
          <w:p w:rsidRPr="00163B1C" w:rsidR="00C1182A" w:rsidRDefault="00C1182A" w14:paraId="4CAA5FBE" w14:textId="77777777">
            <w:pPr>
              <w:tabs>
                <w:tab w:val="left" w:pos="3600"/>
              </w:tabs>
              <w:spacing w:after="0" w:line="240" w:lineRule="auto"/>
              <w:jc w:val="center"/>
              <w:rPr>
                <w:rFonts w:ascii="Palatino Linotype" w:hAnsi="Palatino Linotype"/>
                <w:b/>
              </w:rPr>
            </w:pPr>
            <w:r w:rsidRPr="001A1050">
              <w:rPr>
                <w:rFonts w:ascii="Palatino Linotype" w:hAnsi="Palatino Linotype"/>
              </w:rPr>
              <w:t>Carriers Paying Fines Under G</w:t>
            </w:r>
            <w:r w:rsidRPr="001A1050" w:rsidR="001E722C">
              <w:rPr>
                <w:rFonts w:ascii="Palatino Linotype" w:hAnsi="Palatino Linotype"/>
              </w:rPr>
              <w:t>O</w:t>
            </w:r>
            <w:r w:rsidRPr="001A1050">
              <w:rPr>
                <w:rFonts w:ascii="Palatino Linotype" w:hAnsi="Palatino Linotype"/>
              </w:rPr>
              <w:t xml:space="preserve"> 133-D</w:t>
            </w:r>
          </w:p>
        </w:tc>
      </w:tr>
      <w:tr>
        <w:trPr>
          <w:trHeight w:val="348"/>
        </w:trPr>
        <w:tc>
          <w:tcPr>
            <w:tcW w:w="4668" w:type="dxa"/>
            <w:tcBorders>
              <w:bottom w:val="single" w:color="auto" w:sz="4" w:space="0"/>
            </w:tcBorders>
            <w:shd w:val="clear" w:color="auto" w:fill="F2F2F2" w:themeFill="background1" w:themeFillShade="F2"/>
          </w:tcPr>
          <w:p w:rsidRPr="00163B1C" w:rsidR="00C1182A" w:rsidP="00EA0257" w:rsidRDefault="00C1182A" w14:paraId="77A5E10C" w14:textId="77777777">
            <w:pPr>
              <w:tabs>
                <w:tab w:val="left" w:pos="3600"/>
              </w:tabs>
              <w:spacing w:before="120" w:after="120"/>
              <w:jc w:val="center"/>
              <w:rPr>
                <w:rFonts w:ascii="Palatino Linotype" w:hAnsi="Palatino Linotype"/>
                <w:b/>
                <w:bCs/>
              </w:rPr>
            </w:pPr>
            <w:r w:rsidRPr="00163B1C">
              <w:rPr>
                <w:rFonts w:ascii="Palatino Linotype" w:hAnsi="Palatino Linotype"/>
                <w:b/>
                <w:bCs/>
              </w:rPr>
              <w:t>C</w:t>
            </w:r>
            <w:r w:rsidRPr="00163B1C" w:rsidR="00AE294E">
              <w:rPr>
                <w:rFonts w:ascii="Palatino Linotype" w:hAnsi="Palatino Linotype"/>
                <w:b/>
                <w:bCs/>
              </w:rPr>
              <w:t>arrier</w:t>
            </w:r>
          </w:p>
        </w:tc>
        <w:tc>
          <w:tcPr>
            <w:tcW w:w="2468" w:type="dxa"/>
            <w:tcBorders>
              <w:bottom w:val="single" w:color="auto" w:sz="4" w:space="0"/>
            </w:tcBorders>
            <w:shd w:val="clear" w:color="auto" w:fill="F2F2F2" w:themeFill="background1" w:themeFillShade="F2"/>
          </w:tcPr>
          <w:p w:rsidRPr="00163B1C" w:rsidR="00C1182A" w:rsidP="00EA4607" w:rsidRDefault="000F6D13" w14:paraId="31B780F2" w14:textId="4EAFDAF2">
            <w:pPr>
              <w:tabs>
                <w:tab w:val="left" w:pos="3600"/>
              </w:tabs>
              <w:spacing w:before="120" w:after="120"/>
              <w:jc w:val="center"/>
              <w:rPr>
                <w:rFonts w:ascii="Palatino Linotype" w:hAnsi="Palatino Linotype"/>
                <w:b/>
                <w:bCs/>
              </w:rPr>
            </w:pPr>
            <w:r>
              <w:rPr>
                <w:rFonts w:ascii="Palatino Linotype" w:hAnsi="Palatino Linotype"/>
                <w:b/>
                <w:bCs/>
              </w:rPr>
              <w:t>2025</w:t>
            </w:r>
            <w:r w:rsidRPr="00163B1C" w:rsidR="00C1182A">
              <w:rPr>
                <w:rFonts w:ascii="Palatino Linotype" w:hAnsi="Palatino Linotype"/>
                <w:b/>
                <w:bCs/>
              </w:rPr>
              <w:t xml:space="preserve"> </w:t>
            </w:r>
            <w:r w:rsidR="00E16040">
              <w:rPr>
                <w:rFonts w:ascii="Palatino Linotype" w:hAnsi="Palatino Linotype"/>
                <w:b/>
                <w:bCs/>
              </w:rPr>
              <w:t>Working</w:t>
            </w:r>
            <w:r w:rsidR="00E81399">
              <w:rPr>
                <w:rFonts w:ascii="Palatino Linotype" w:hAnsi="Palatino Linotype"/>
                <w:b/>
                <w:bCs/>
              </w:rPr>
              <w:t xml:space="preserve"> </w:t>
            </w:r>
            <w:r w:rsidRPr="00163B1C" w:rsidR="00C1182A">
              <w:rPr>
                <w:rFonts w:ascii="Palatino Linotype" w:hAnsi="Palatino Linotype"/>
                <w:b/>
                <w:bCs/>
              </w:rPr>
              <w:t>L</w:t>
            </w:r>
            <w:r w:rsidRPr="00163B1C" w:rsidR="00AE294E">
              <w:rPr>
                <w:rFonts w:ascii="Palatino Linotype" w:hAnsi="Palatino Linotype"/>
                <w:b/>
                <w:bCs/>
              </w:rPr>
              <w:t>ines</w:t>
            </w:r>
          </w:p>
        </w:tc>
        <w:tc>
          <w:tcPr>
            <w:tcW w:w="2572" w:type="dxa"/>
            <w:tcBorders>
              <w:bottom w:val="single" w:color="auto" w:sz="4" w:space="0"/>
            </w:tcBorders>
            <w:shd w:val="clear" w:color="auto" w:fill="F2F2F2" w:themeFill="background1" w:themeFillShade="F2"/>
          </w:tcPr>
          <w:p w:rsidRPr="00163B1C" w:rsidR="00C1182A" w:rsidP="00EA0257" w:rsidRDefault="00AE294E" w14:paraId="67DA99DB" w14:textId="77777777">
            <w:pPr>
              <w:tabs>
                <w:tab w:val="left" w:pos="3600"/>
              </w:tabs>
              <w:spacing w:before="120" w:after="120"/>
              <w:jc w:val="center"/>
              <w:rPr>
                <w:rFonts w:ascii="Palatino Linotype" w:hAnsi="Palatino Linotype"/>
                <w:b/>
                <w:bCs/>
              </w:rPr>
            </w:pPr>
            <w:r w:rsidRPr="00163B1C">
              <w:rPr>
                <w:rFonts w:ascii="Palatino Linotype" w:hAnsi="Palatino Linotype"/>
                <w:b/>
                <w:bCs/>
              </w:rPr>
              <w:t>Scaling Factor</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AD4EF0" w:rsidP="00EA0257" w:rsidRDefault="00AD4EF0" w14:paraId="24361DD4" w14:textId="77777777">
            <w:pPr>
              <w:tabs>
                <w:tab w:val="left" w:pos="3600"/>
              </w:tabs>
              <w:spacing w:before="120" w:after="120"/>
              <w:jc w:val="center"/>
              <w:rPr>
                <w:rFonts w:ascii="Palatino Linotype" w:hAnsi="Palatino Linotype"/>
              </w:rPr>
            </w:pPr>
            <w:r w:rsidRPr="00163B1C">
              <w:rPr>
                <w:rFonts w:ascii="Palatino Linotype" w:hAnsi="Palatino Linotype"/>
              </w:rPr>
              <w:t>Frontier Southwest</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AD4EF0" w:rsidP="006C40D3" w:rsidRDefault="00CB3791" w14:paraId="4B231E90" w14:textId="278A70D5">
            <w:pPr>
              <w:tabs>
                <w:tab w:val="left" w:pos="3600"/>
              </w:tabs>
              <w:spacing w:before="120" w:after="120"/>
              <w:jc w:val="center"/>
              <w:rPr>
                <w:rFonts w:ascii="Palatino Linotype" w:hAnsi="Palatino Linotype"/>
              </w:rPr>
            </w:pPr>
            <w:r w:rsidRPr="005148BD">
              <w:rPr>
                <w:rFonts w:ascii="Palatino Linotype" w:hAnsi="Palatino Linotype"/>
              </w:rPr>
              <w:t>1,</w:t>
            </w:r>
            <w:r w:rsidRPr="005148BD" w:rsidR="00CF3D10">
              <w:rPr>
                <w:rFonts w:ascii="Palatino Linotype" w:hAnsi="Palatino Linotype"/>
              </w:rPr>
              <w:t>52</w:t>
            </w:r>
            <w:r w:rsidRPr="005148BD">
              <w:rPr>
                <w:rFonts w:ascii="Palatino Linotype" w:hAnsi="Palatino Linotype"/>
              </w:rPr>
              <w:t>3</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AD4EF0" w:rsidP="006C40D3" w:rsidRDefault="00595FAB" w14:paraId="1D585E45" w14:textId="4A834830">
            <w:pPr>
              <w:tabs>
                <w:tab w:val="left" w:pos="3600"/>
              </w:tabs>
              <w:spacing w:before="120" w:after="120"/>
              <w:jc w:val="center"/>
              <w:rPr>
                <w:rFonts w:ascii="Palatino Linotype" w:hAnsi="Palatino Linotype"/>
              </w:rPr>
            </w:pPr>
            <w:r w:rsidRPr="005148BD">
              <w:rPr>
                <w:rFonts w:ascii="Palatino Linotype" w:hAnsi="Palatino Linotype"/>
              </w:rPr>
              <w:t>0.0</w:t>
            </w:r>
            <w:r w:rsidRPr="005148BD" w:rsidR="00E703B9">
              <w:rPr>
                <w:rFonts w:ascii="Palatino Linotype" w:hAnsi="Palatino Linotype"/>
              </w:rPr>
              <w:t>6</w:t>
            </w:r>
            <w:r w:rsidRPr="005148BD">
              <w:rPr>
                <w:rFonts w:ascii="Palatino Linotype" w:hAnsi="Palatino Linotype"/>
              </w:rPr>
              <w:t>%</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BD2C5E" w:rsidP="00EA0257" w:rsidRDefault="00BD2C5E" w14:paraId="498A41BC" w14:textId="77777777">
            <w:pPr>
              <w:tabs>
                <w:tab w:val="left" w:pos="3600"/>
              </w:tabs>
              <w:spacing w:before="120" w:after="120"/>
              <w:jc w:val="center"/>
              <w:rPr>
                <w:rFonts w:ascii="Palatino Linotype" w:hAnsi="Palatino Linotype"/>
              </w:rPr>
            </w:pPr>
            <w:r>
              <w:rPr>
                <w:rFonts w:ascii="Palatino Linotype" w:hAnsi="Palatino Linotype"/>
              </w:rPr>
              <w:t>Consolidated</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BD2C5E" w:rsidP="006C40D3" w:rsidRDefault="00E703B9" w14:paraId="5808A3BC" w14:textId="68526943">
            <w:pPr>
              <w:tabs>
                <w:tab w:val="left" w:pos="3600"/>
              </w:tabs>
              <w:spacing w:before="120" w:after="120"/>
              <w:jc w:val="center"/>
              <w:rPr>
                <w:rFonts w:ascii="Palatino Linotype" w:hAnsi="Palatino Linotype"/>
              </w:rPr>
            </w:pPr>
            <w:r w:rsidRPr="005148BD">
              <w:rPr>
                <w:rFonts w:ascii="Palatino Linotype" w:hAnsi="Palatino Linotype"/>
              </w:rPr>
              <w:t>7,920</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BD2C5E" w:rsidP="006C40D3" w:rsidRDefault="00BD2C5E" w14:paraId="5E7E465A" w14:textId="7FB68F57">
            <w:pPr>
              <w:tabs>
                <w:tab w:val="left" w:pos="3600"/>
              </w:tabs>
              <w:spacing w:before="120" w:after="120"/>
              <w:jc w:val="center"/>
              <w:rPr>
                <w:rFonts w:ascii="Palatino Linotype" w:hAnsi="Palatino Linotype"/>
              </w:rPr>
            </w:pPr>
            <w:r w:rsidRPr="005148BD">
              <w:rPr>
                <w:rFonts w:ascii="Palatino Linotype" w:hAnsi="Palatino Linotype"/>
              </w:rPr>
              <w:t>0.</w:t>
            </w:r>
            <w:r w:rsidRPr="005148BD" w:rsidR="00C465FC">
              <w:rPr>
                <w:rFonts w:ascii="Palatino Linotype" w:hAnsi="Palatino Linotype"/>
              </w:rPr>
              <w:t>33</w:t>
            </w:r>
            <w:r w:rsidRPr="005148BD">
              <w:rPr>
                <w:rFonts w:ascii="Palatino Linotype" w:hAnsi="Palatino Linotype"/>
              </w:rPr>
              <w:t>%</w:t>
            </w:r>
          </w:p>
        </w:tc>
      </w:tr>
      <w:tr>
        <w:trPr>
          <w:trHeight w:val="382"/>
        </w:trPr>
        <w:tc>
          <w:tcPr>
            <w:tcW w:w="466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163B1C" w:rsidR="00921B34" w:rsidP="00EA0257" w:rsidRDefault="00AD244D" w14:paraId="020744E9" w14:textId="77777777">
            <w:pPr>
              <w:tabs>
                <w:tab w:val="left" w:pos="3600"/>
              </w:tabs>
              <w:spacing w:before="120" w:after="120"/>
              <w:jc w:val="center"/>
              <w:rPr>
                <w:rFonts w:ascii="Palatino Linotype" w:hAnsi="Palatino Linotype"/>
              </w:rPr>
            </w:pPr>
            <w:r w:rsidRPr="00163B1C">
              <w:rPr>
                <w:rFonts w:ascii="Palatino Linotype" w:hAnsi="Palatino Linotype"/>
              </w:rPr>
              <w:t>Happy Valley</w:t>
            </w:r>
          </w:p>
        </w:tc>
        <w:tc>
          <w:tcPr>
            <w:tcW w:w="2468" w:type="dxa"/>
            <w:tcBorders>
              <w:top w:val="single" w:color="auto" w:sz="4" w:space="0"/>
              <w:left w:val="single" w:color="auto" w:sz="4" w:space="0"/>
              <w:bottom w:val="single" w:color="auto" w:sz="4" w:space="0"/>
              <w:right w:val="single" w:color="auto" w:sz="4" w:space="0"/>
            </w:tcBorders>
            <w:vAlign w:val="center"/>
          </w:tcPr>
          <w:p w:rsidRPr="005148BD" w:rsidR="00921B34" w:rsidP="006C40D3" w:rsidRDefault="00595FAB" w14:paraId="6BEB4E39" w14:textId="0E15063D">
            <w:pPr>
              <w:tabs>
                <w:tab w:val="left" w:pos="3600"/>
              </w:tabs>
              <w:spacing w:before="120" w:after="120"/>
              <w:jc w:val="center"/>
              <w:rPr>
                <w:rFonts w:ascii="Palatino Linotype" w:hAnsi="Palatino Linotype"/>
              </w:rPr>
            </w:pPr>
            <w:r w:rsidRPr="005148BD">
              <w:rPr>
                <w:rFonts w:ascii="Palatino Linotype" w:hAnsi="Palatino Linotype"/>
              </w:rPr>
              <w:t>1,</w:t>
            </w:r>
            <w:r w:rsidRPr="005148BD" w:rsidR="00C465FC">
              <w:rPr>
                <w:rFonts w:ascii="Palatino Linotype" w:hAnsi="Palatino Linotype"/>
              </w:rPr>
              <w:t>27</w:t>
            </w:r>
            <w:r w:rsidRPr="005148BD" w:rsidR="00CB3791">
              <w:rPr>
                <w:rFonts w:ascii="Palatino Linotype" w:hAnsi="Palatino Linotype"/>
              </w:rPr>
              <w:t>4</w:t>
            </w:r>
          </w:p>
        </w:tc>
        <w:tc>
          <w:tcPr>
            <w:tcW w:w="2572" w:type="dxa"/>
            <w:tcBorders>
              <w:top w:val="single" w:color="auto" w:sz="4" w:space="0"/>
              <w:left w:val="single" w:color="auto" w:sz="4" w:space="0"/>
              <w:bottom w:val="single" w:color="auto" w:sz="4" w:space="0"/>
              <w:right w:val="single" w:color="auto" w:sz="4" w:space="0"/>
            </w:tcBorders>
            <w:vAlign w:val="center"/>
          </w:tcPr>
          <w:p w:rsidRPr="005148BD" w:rsidR="00921B34" w:rsidP="006C40D3" w:rsidRDefault="00595FAB" w14:paraId="3D24C7A9" w14:textId="77777777">
            <w:pPr>
              <w:tabs>
                <w:tab w:val="left" w:pos="3600"/>
              </w:tabs>
              <w:spacing w:before="120" w:after="120"/>
              <w:jc w:val="center"/>
              <w:rPr>
                <w:rFonts w:ascii="Palatino Linotype" w:hAnsi="Palatino Linotype"/>
              </w:rPr>
            </w:pPr>
            <w:r w:rsidRPr="005148BD">
              <w:rPr>
                <w:rFonts w:ascii="Palatino Linotype" w:hAnsi="Palatino Linotype"/>
              </w:rPr>
              <w:t>0.05</w:t>
            </w:r>
            <w:r w:rsidRPr="005148BD" w:rsidR="00130339">
              <w:rPr>
                <w:rFonts w:ascii="Palatino Linotype" w:hAnsi="Palatino Linotype"/>
              </w:rPr>
              <w:t>%</w:t>
            </w:r>
          </w:p>
        </w:tc>
      </w:tr>
    </w:tbl>
    <w:p w:rsidR="005A0C67" w:rsidP="00C1182A" w:rsidRDefault="005A0C67" w14:paraId="45701BD4" w14:textId="77777777">
      <w:pPr>
        <w:rPr>
          <w:rFonts w:ascii="Palatino Linotype" w:hAnsi="Palatino Linotype"/>
          <w:sz w:val="24"/>
          <w:szCs w:val="24"/>
        </w:rPr>
      </w:pPr>
    </w:p>
    <w:p w:rsidR="001A1050" w:rsidP="001A1050" w:rsidRDefault="001A1050" w14:paraId="78E87A24" w14:textId="77777777">
      <w:pPr>
        <w:pStyle w:val="ListParagraph"/>
        <w:tabs>
          <w:tab w:val="left" w:pos="3600"/>
        </w:tabs>
        <w:spacing w:after="0" w:line="240" w:lineRule="auto"/>
        <w:rPr>
          <w:rFonts w:ascii="Palatino Linotype" w:hAnsi="Palatino Linotype"/>
          <w:b/>
          <w:sz w:val="24"/>
          <w:szCs w:val="24"/>
        </w:rPr>
      </w:pPr>
    </w:p>
    <w:p w:rsidRPr="00755E15" w:rsidR="00473698" w:rsidP="00755E15" w:rsidRDefault="00DD5533" w14:paraId="09A2A706" w14:textId="77777777">
      <w:pPr>
        <w:pStyle w:val="ListParagraph"/>
        <w:numPr>
          <w:ilvl w:val="0"/>
          <w:numId w:val="14"/>
        </w:numPr>
        <w:tabs>
          <w:tab w:val="left" w:pos="3600"/>
        </w:tabs>
        <w:spacing w:after="0" w:line="240" w:lineRule="auto"/>
        <w:ind w:left="720"/>
        <w:rPr>
          <w:rFonts w:ascii="Palatino Linotype" w:hAnsi="Palatino Linotype"/>
          <w:b/>
          <w:sz w:val="24"/>
          <w:szCs w:val="24"/>
        </w:rPr>
      </w:pPr>
      <w:r w:rsidRPr="00755E15">
        <w:rPr>
          <w:rFonts w:ascii="Palatino Linotype" w:hAnsi="Palatino Linotype"/>
          <w:b/>
          <w:sz w:val="24"/>
          <w:szCs w:val="24"/>
        </w:rPr>
        <w:t xml:space="preserve">Fines for </w:t>
      </w:r>
      <w:r w:rsidRPr="00755E15" w:rsidR="00473698">
        <w:rPr>
          <w:rFonts w:ascii="Palatino Linotype" w:hAnsi="Palatino Linotype"/>
          <w:b/>
          <w:sz w:val="24"/>
          <w:szCs w:val="24"/>
        </w:rPr>
        <w:t xml:space="preserve">the </w:t>
      </w:r>
      <w:r w:rsidRPr="00755E15">
        <w:rPr>
          <w:rFonts w:ascii="Palatino Linotype" w:hAnsi="Palatino Linotype"/>
          <w:b/>
          <w:sz w:val="24"/>
          <w:szCs w:val="24"/>
        </w:rPr>
        <w:t>GO 133-D Standard</w:t>
      </w:r>
      <w:r w:rsidRPr="00755E15" w:rsidR="00473698">
        <w:rPr>
          <w:rFonts w:ascii="Palatino Linotype" w:hAnsi="Palatino Linotype"/>
          <w:b/>
          <w:sz w:val="24"/>
          <w:szCs w:val="24"/>
        </w:rPr>
        <w:t>s</w:t>
      </w:r>
    </w:p>
    <w:p w:rsidRPr="00755E15" w:rsidR="00636D61" w:rsidP="00755E15" w:rsidRDefault="00636D61" w14:paraId="3FEE530B" w14:textId="77777777">
      <w:pPr>
        <w:pStyle w:val="ListParagraph"/>
        <w:tabs>
          <w:tab w:val="left" w:pos="3600"/>
        </w:tabs>
        <w:spacing w:after="0" w:line="240" w:lineRule="auto"/>
        <w:rPr>
          <w:rFonts w:ascii="Palatino Linotype" w:hAnsi="Palatino Linotype"/>
          <w:b/>
          <w:sz w:val="24"/>
          <w:szCs w:val="24"/>
        </w:rPr>
      </w:pPr>
    </w:p>
    <w:p w:rsidRPr="00755E15" w:rsidR="00DD5533" w:rsidP="008600FE" w:rsidRDefault="00DD5533" w14:paraId="34F499E0" w14:textId="77777777">
      <w:pPr>
        <w:pStyle w:val="ListParagraph"/>
        <w:numPr>
          <w:ilvl w:val="0"/>
          <w:numId w:val="15"/>
        </w:numPr>
        <w:tabs>
          <w:tab w:val="left" w:pos="720"/>
        </w:tabs>
        <w:ind w:left="1080"/>
        <w:rPr>
          <w:rFonts w:ascii="Palatino Linotype" w:hAnsi="Palatino Linotype"/>
          <w:b/>
          <w:i/>
          <w:sz w:val="24"/>
          <w:szCs w:val="24"/>
          <w:u w:val="single"/>
        </w:rPr>
      </w:pPr>
      <w:r w:rsidRPr="00755E15">
        <w:rPr>
          <w:rFonts w:ascii="Palatino Linotype" w:hAnsi="Palatino Linotype"/>
          <w:b/>
          <w:i/>
          <w:sz w:val="24"/>
          <w:szCs w:val="24"/>
          <w:u w:val="single"/>
        </w:rPr>
        <w:t>Out of Service Repair Interval</w:t>
      </w:r>
    </w:p>
    <w:p w:rsidR="002E4977" w:rsidP="00755E15" w:rsidRDefault="00DD5533" w14:paraId="26BFE7CA" w14:textId="77777777">
      <w:pPr>
        <w:spacing w:after="0" w:line="240" w:lineRule="auto"/>
        <w:rPr>
          <w:rFonts w:ascii="Palatino Linotype" w:hAnsi="Palatino Linotype"/>
          <w:sz w:val="24"/>
          <w:szCs w:val="24"/>
        </w:rPr>
      </w:pPr>
      <w:r w:rsidRPr="00755E15">
        <w:rPr>
          <w:rFonts w:ascii="Palatino Linotype" w:hAnsi="Palatino Linotype"/>
          <w:sz w:val="24"/>
          <w:szCs w:val="24"/>
        </w:rPr>
        <w:lastRenderedPageBreak/>
        <w:t xml:space="preserve">The </w:t>
      </w:r>
      <w:r w:rsidRPr="00755E15">
        <w:rPr>
          <w:rFonts w:ascii="Palatino Linotype" w:hAnsi="Palatino Linotype"/>
          <w:i/>
          <w:sz w:val="24"/>
          <w:szCs w:val="24"/>
        </w:rPr>
        <w:t xml:space="preserve">Out of Service Repair Interval, </w:t>
      </w:r>
      <w:r w:rsidR="00E676FF">
        <w:rPr>
          <w:rFonts w:ascii="Palatino Linotype" w:hAnsi="Palatino Linotype"/>
          <w:i/>
          <w:sz w:val="24"/>
          <w:szCs w:val="24"/>
        </w:rPr>
        <w:t xml:space="preserve">as </w:t>
      </w:r>
      <w:r w:rsidRPr="00755E15">
        <w:rPr>
          <w:rFonts w:ascii="Palatino Linotype" w:hAnsi="Palatino Linotype"/>
          <w:sz w:val="24"/>
          <w:szCs w:val="24"/>
        </w:rPr>
        <w:t xml:space="preserve">defined in § 3.4, </w:t>
      </w:r>
      <w:r w:rsidR="00303127">
        <w:rPr>
          <w:rFonts w:ascii="Palatino Linotype" w:hAnsi="Palatino Linotype"/>
          <w:sz w:val="24"/>
          <w:szCs w:val="24"/>
        </w:rPr>
        <w:t>is a metric</w:t>
      </w:r>
      <w:r w:rsidR="00E43A1C">
        <w:rPr>
          <w:rFonts w:ascii="Palatino Linotype" w:hAnsi="Palatino Linotype"/>
          <w:sz w:val="24"/>
          <w:szCs w:val="24"/>
        </w:rPr>
        <w:t xml:space="preserve"> that quantifies</w:t>
      </w:r>
      <w:r w:rsidRPr="00755E15">
        <w:rPr>
          <w:rFonts w:ascii="Palatino Linotype" w:hAnsi="Palatino Linotype"/>
          <w:sz w:val="24"/>
          <w:szCs w:val="24"/>
        </w:rPr>
        <w:t xml:space="preserve"> the average interval between </w:t>
      </w:r>
      <w:r w:rsidR="00F757B3">
        <w:rPr>
          <w:rFonts w:ascii="Palatino Linotype" w:hAnsi="Palatino Linotype"/>
          <w:sz w:val="24"/>
          <w:szCs w:val="24"/>
        </w:rPr>
        <w:t>when</w:t>
      </w:r>
      <w:r w:rsidRPr="00755E15">
        <w:rPr>
          <w:rFonts w:ascii="Palatino Linotype" w:hAnsi="Palatino Linotype"/>
          <w:sz w:val="24"/>
          <w:szCs w:val="24"/>
        </w:rPr>
        <w:t xml:space="preserve"> a carrier </w:t>
      </w:r>
      <w:r w:rsidR="006C114D">
        <w:rPr>
          <w:rFonts w:ascii="Palatino Linotype" w:hAnsi="Palatino Linotype"/>
          <w:sz w:val="24"/>
          <w:szCs w:val="24"/>
        </w:rPr>
        <w:t>acknowledges</w:t>
      </w:r>
      <w:r w:rsidRPr="00755E15">
        <w:rPr>
          <w:rFonts w:ascii="Palatino Linotype" w:hAnsi="Palatino Linotype"/>
          <w:sz w:val="24"/>
          <w:szCs w:val="24"/>
        </w:rPr>
        <w:t xml:space="preserve"> out of service trouble reports and </w:t>
      </w:r>
      <w:r w:rsidR="006C114D">
        <w:rPr>
          <w:rFonts w:ascii="Palatino Linotype" w:hAnsi="Palatino Linotype"/>
          <w:sz w:val="24"/>
          <w:szCs w:val="24"/>
        </w:rPr>
        <w:t>when</w:t>
      </w:r>
      <w:r w:rsidRPr="00755E15">
        <w:rPr>
          <w:rFonts w:ascii="Palatino Linotype" w:hAnsi="Palatino Linotype"/>
          <w:sz w:val="24"/>
          <w:szCs w:val="24"/>
        </w:rPr>
        <w:t xml:space="preserve"> the customer’s service</w:t>
      </w:r>
      <w:r w:rsidR="001E06E7">
        <w:rPr>
          <w:rFonts w:ascii="Palatino Linotype" w:hAnsi="Palatino Linotype"/>
          <w:sz w:val="24"/>
          <w:szCs w:val="24"/>
        </w:rPr>
        <w:t xml:space="preserve"> is restored</w:t>
      </w:r>
      <w:r w:rsidRPr="00755E15">
        <w:rPr>
          <w:rFonts w:ascii="Palatino Linotype" w:hAnsi="Palatino Linotype"/>
          <w:sz w:val="24"/>
          <w:szCs w:val="24"/>
        </w:rPr>
        <w:t xml:space="preserve">.  </w:t>
      </w:r>
      <w:r w:rsidR="00A77DC9">
        <w:rPr>
          <w:rFonts w:ascii="Palatino Linotype" w:hAnsi="Palatino Linotype"/>
          <w:sz w:val="24"/>
          <w:szCs w:val="24"/>
        </w:rPr>
        <w:t>To determine</w:t>
      </w:r>
      <w:r w:rsidR="00B1484D">
        <w:rPr>
          <w:rFonts w:ascii="Palatino Linotype" w:hAnsi="Palatino Linotype"/>
          <w:sz w:val="24"/>
          <w:szCs w:val="24"/>
        </w:rPr>
        <w:t xml:space="preserve"> this</w:t>
      </w:r>
      <w:r w:rsidRPr="00755E15">
        <w:rPr>
          <w:rFonts w:ascii="Palatino Linotype" w:hAnsi="Palatino Linotype"/>
          <w:sz w:val="24"/>
          <w:szCs w:val="24"/>
        </w:rPr>
        <w:t xml:space="preserve"> average interval</w:t>
      </w:r>
      <w:r w:rsidR="00B1484D">
        <w:rPr>
          <w:rFonts w:ascii="Palatino Linotype" w:hAnsi="Palatino Linotype"/>
          <w:sz w:val="24"/>
          <w:szCs w:val="24"/>
        </w:rPr>
        <w:t xml:space="preserve">, a carrier </w:t>
      </w:r>
      <w:r w:rsidR="00A415D4">
        <w:rPr>
          <w:rFonts w:ascii="Palatino Linotype" w:hAnsi="Palatino Linotype"/>
          <w:sz w:val="24"/>
          <w:szCs w:val="24"/>
        </w:rPr>
        <w:t>divides</w:t>
      </w:r>
      <w:r w:rsidRPr="00755E15">
        <w:rPr>
          <w:rFonts w:ascii="Palatino Linotype" w:hAnsi="Palatino Linotype"/>
          <w:sz w:val="24"/>
          <w:szCs w:val="24"/>
        </w:rPr>
        <w:t xml:space="preserve"> the number of </w:t>
      </w:r>
      <w:r w:rsidR="00141594">
        <w:rPr>
          <w:rFonts w:ascii="Palatino Linotype" w:hAnsi="Palatino Linotype"/>
          <w:sz w:val="24"/>
          <w:szCs w:val="24"/>
        </w:rPr>
        <w:t>OOS</w:t>
      </w:r>
      <w:r w:rsidRPr="00755E15">
        <w:rPr>
          <w:rFonts w:ascii="Palatino Linotype" w:hAnsi="Palatino Linotype"/>
          <w:sz w:val="24"/>
          <w:szCs w:val="24"/>
        </w:rPr>
        <w:t xml:space="preserve"> repair tickets </w:t>
      </w:r>
      <w:r w:rsidR="00D876F4">
        <w:rPr>
          <w:rFonts w:ascii="Palatino Linotype" w:hAnsi="Palatino Linotype"/>
          <w:sz w:val="24"/>
          <w:szCs w:val="24"/>
        </w:rPr>
        <w:t xml:space="preserve">that are </w:t>
      </w:r>
      <w:r w:rsidRPr="00755E15">
        <w:rPr>
          <w:rFonts w:ascii="Palatino Linotype" w:hAnsi="Palatino Linotype"/>
          <w:sz w:val="24"/>
          <w:szCs w:val="24"/>
        </w:rPr>
        <w:t xml:space="preserve">restored within 24 hours by the </w:t>
      </w:r>
      <w:r w:rsidR="009A73EB">
        <w:rPr>
          <w:rFonts w:ascii="Palatino Linotype" w:hAnsi="Palatino Linotype"/>
          <w:sz w:val="24"/>
          <w:szCs w:val="24"/>
        </w:rPr>
        <w:t xml:space="preserve">total </w:t>
      </w:r>
      <w:r w:rsidRPr="00755E15">
        <w:rPr>
          <w:rFonts w:ascii="Palatino Linotype" w:hAnsi="Palatino Linotype"/>
          <w:sz w:val="24"/>
          <w:szCs w:val="24"/>
        </w:rPr>
        <w:t xml:space="preserve">number of reports received. </w:t>
      </w:r>
      <w:r w:rsidRPr="00755E15">
        <w:rPr>
          <w:rFonts w:ascii="Palatino Linotype" w:hAnsi="Palatino Linotype" w:eastAsia="Calibri"/>
          <w:sz w:val="24"/>
          <w:szCs w:val="24"/>
        </w:rPr>
        <w:t xml:space="preserve"> </w:t>
      </w:r>
      <w:r w:rsidRPr="00755E15">
        <w:rPr>
          <w:rFonts w:ascii="Palatino Linotype" w:hAnsi="Palatino Linotype"/>
          <w:sz w:val="24"/>
          <w:szCs w:val="24"/>
        </w:rPr>
        <w:t xml:space="preserve">The Minimum Standard Reporting Level for </w:t>
      </w:r>
      <w:r w:rsidR="00565876">
        <w:rPr>
          <w:rFonts w:ascii="Palatino Linotype" w:hAnsi="Palatino Linotype"/>
          <w:sz w:val="24"/>
          <w:szCs w:val="24"/>
        </w:rPr>
        <w:t>reporting</w:t>
      </w:r>
      <w:r w:rsidRPr="00755E15">
        <w:rPr>
          <w:rFonts w:ascii="Palatino Linotype" w:hAnsi="Palatino Linotype"/>
          <w:sz w:val="24"/>
          <w:szCs w:val="24"/>
        </w:rPr>
        <w:t xml:space="preserve"> the </w:t>
      </w:r>
      <w:r w:rsidRPr="00755E15">
        <w:rPr>
          <w:rFonts w:ascii="Palatino Linotype" w:hAnsi="Palatino Linotype"/>
          <w:i/>
          <w:sz w:val="24"/>
          <w:szCs w:val="24"/>
        </w:rPr>
        <w:t>Out of Service Repair Interval</w:t>
      </w:r>
      <w:r w:rsidRPr="00755E15">
        <w:rPr>
          <w:rFonts w:ascii="Palatino Linotype" w:hAnsi="Palatino Linotype"/>
          <w:sz w:val="24"/>
          <w:szCs w:val="24"/>
        </w:rPr>
        <w:t xml:space="preserve"> </w:t>
      </w:r>
      <w:r w:rsidR="008319C9">
        <w:rPr>
          <w:rFonts w:ascii="Palatino Linotype" w:hAnsi="Palatino Linotype"/>
          <w:sz w:val="24"/>
          <w:szCs w:val="24"/>
        </w:rPr>
        <w:t>mandates</w:t>
      </w:r>
      <w:r w:rsidRPr="00755E15">
        <w:rPr>
          <w:rFonts w:ascii="Palatino Linotype" w:hAnsi="Palatino Linotype"/>
          <w:sz w:val="24"/>
          <w:szCs w:val="24"/>
        </w:rPr>
        <w:t xml:space="preserve"> </w:t>
      </w:r>
      <w:r w:rsidR="00C5344F">
        <w:rPr>
          <w:rFonts w:ascii="Palatino Linotype" w:hAnsi="Palatino Linotype"/>
          <w:sz w:val="24"/>
          <w:szCs w:val="24"/>
        </w:rPr>
        <w:t xml:space="preserve">that </w:t>
      </w:r>
      <w:r w:rsidR="008319C9">
        <w:rPr>
          <w:rFonts w:ascii="Palatino Linotype" w:hAnsi="Palatino Linotype"/>
          <w:sz w:val="24"/>
          <w:szCs w:val="24"/>
        </w:rPr>
        <w:t xml:space="preserve">at least </w:t>
      </w:r>
      <w:r w:rsidRPr="00755E15">
        <w:rPr>
          <w:rFonts w:ascii="Palatino Linotype" w:hAnsi="Palatino Linotype"/>
          <w:sz w:val="24"/>
          <w:szCs w:val="24"/>
        </w:rPr>
        <w:t xml:space="preserve">90% of outages </w:t>
      </w:r>
      <w:r w:rsidR="00C5344F">
        <w:rPr>
          <w:rFonts w:ascii="Palatino Linotype" w:hAnsi="Palatino Linotype"/>
          <w:sz w:val="24"/>
          <w:szCs w:val="24"/>
        </w:rPr>
        <w:t xml:space="preserve">must be </w:t>
      </w:r>
      <w:r w:rsidRPr="00755E15">
        <w:rPr>
          <w:rFonts w:ascii="Palatino Linotype" w:hAnsi="Palatino Linotype"/>
          <w:sz w:val="24"/>
          <w:szCs w:val="24"/>
        </w:rPr>
        <w:t>restored within 24 hours or less.</w:t>
      </w:r>
      <w:r w:rsidR="00451EB6">
        <w:rPr>
          <w:rFonts w:ascii="Palatino Linotype" w:hAnsi="Palatino Linotype"/>
          <w:sz w:val="24"/>
          <w:szCs w:val="24"/>
        </w:rPr>
        <w:t xml:space="preserve"> </w:t>
      </w:r>
    </w:p>
    <w:p w:rsidRPr="00755E15" w:rsidR="00451EB6" w:rsidP="00755E15" w:rsidRDefault="00451EB6" w14:paraId="2B2BF9D0" w14:textId="77777777">
      <w:pPr>
        <w:spacing w:after="0" w:line="240" w:lineRule="auto"/>
        <w:rPr>
          <w:rFonts w:ascii="Palatino Linotype" w:hAnsi="Palatino Linotype"/>
          <w:sz w:val="24"/>
          <w:szCs w:val="24"/>
        </w:rPr>
      </w:pPr>
    </w:p>
    <w:p w:rsidR="002E4977" w:rsidP="00921B34" w:rsidRDefault="00DD5533" w14:paraId="511B7AB3" w14:textId="77777777">
      <w:pPr>
        <w:rPr>
          <w:rFonts w:ascii="Palatino Linotype" w:hAnsi="Palatino Linotype"/>
          <w:sz w:val="24"/>
          <w:szCs w:val="24"/>
        </w:rPr>
      </w:pPr>
      <w:r w:rsidRPr="00755E15">
        <w:rPr>
          <w:rFonts w:ascii="Palatino Linotype" w:hAnsi="Palatino Linotype"/>
          <w:sz w:val="24"/>
          <w:szCs w:val="24"/>
        </w:rPr>
        <w:t>The fine structure for this standard is calculated using the following criteria</w:t>
      </w:r>
      <w:r w:rsidR="006D52B3">
        <w:rPr>
          <w:rFonts w:ascii="Palatino Linotype" w:hAnsi="Palatino Linotype"/>
          <w:sz w:val="24"/>
          <w:szCs w:val="24"/>
        </w:rPr>
        <w:t xml:space="preserve"> as shown in Table 3</w:t>
      </w:r>
      <w:r w:rsidR="002E4977">
        <w:rPr>
          <w:rFonts w:ascii="Palatino Linotype" w:hAnsi="Palatino Linotype"/>
          <w:sz w:val="24"/>
          <w:szCs w:val="24"/>
        </w:rPr>
        <w:t>.</w:t>
      </w:r>
    </w:p>
    <w:p w:rsidRPr="00BB1FF5" w:rsidR="00451EB6" w:rsidP="001A1050" w:rsidRDefault="00583BCD" w14:paraId="263F1293" w14:textId="77777777">
      <w:pPr>
        <w:tabs>
          <w:tab w:val="right" w:pos="10080"/>
        </w:tabs>
        <w:jc w:val="center"/>
        <w:rPr>
          <w:rFonts w:ascii="Palatino Linotype" w:hAnsi="Palatino Linotype"/>
          <w:sz w:val="24"/>
          <w:szCs w:val="24"/>
        </w:rPr>
      </w:pPr>
      <w:r w:rsidRPr="00BB1FF5">
        <w:rPr>
          <w:rFonts w:ascii="Palatino Linotype" w:hAnsi="Palatino Linotype"/>
          <w:b/>
          <w:sz w:val="24"/>
          <w:szCs w:val="24"/>
        </w:rPr>
        <w:t xml:space="preserve">TABLE </w:t>
      </w:r>
      <w:r w:rsidRPr="00BB1FF5" w:rsidR="00E637F9">
        <w:rPr>
          <w:rFonts w:ascii="Palatino Linotype" w:hAnsi="Palatino Linotype"/>
          <w:b/>
          <w:sz w:val="24"/>
          <w:szCs w:val="24"/>
        </w:rPr>
        <w:t>3</w:t>
      </w:r>
      <w:r w:rsidRPr="00BB1FF5">
        <w:rPr>
          <w:rFonts w:ascii="Palatino Linotype" w:hAnsi="Palatino Linotype"/>
          <w:b/>
          <w:sz w:val="24"/>
          <w:szCs w:val="24"/>
        </w:rPr>
        <w:t>:</w:t>
      </w:r>
      <w:r w:rsidRPr="00BB1FF5" w:rsidR="006D52B3">
        <w:rPr>
          <w:rFonts w:ascii="Palatino Linotype" w:hAnsi="Palatino Linotype"/>
          <w:b/>
          <w:sz w:val="24"/>
          <w:szCs w:val="24"/>
        </w:rPr>
        <w:t xml:space="preserve"> </w:t>
      </w:r>
      <w:r w:rsidRPr="00BB1FF5" w:rsidR="00B2289C">
        <w:rPr>
          <w:rFonts w:ascii="Palatino Linotype" w:hAnsi="Palatino Linotype"/>
          <w:b/>
          <w:sz w:val="24"/>
          <w:szCs w:val="24"/>
        </w:rPr>
        <w:t>OOS Interval Fine</w:t>
      </w:r>
      <w:r w:rsidRPr="00BB1FF5">
        <w:rPr>
          <w:rFonts w:ascii="Palatino Linotype" w:hAnsi="Palatino Linotype"/>
          <w:b/>
          <w:sz w:val="24"/>
          <w:szCs w:val="24"/>
        </w:rPr>
        <w:t xml:space="preserve">    </w:t>
      </w:r>
    </w:p>
    <w:tbl>
      <w:tblPr>
        <w:tblW w:w="9548" w:type="dxa"/>
        <w:jc w:val="center"/>
        <w:tblCellMar>
          <w:left w:w="0" w:type="dxa"/>
          <w:right w:w="0" w:type="dxa"/>
        </w:tblCellMar>
        <w:tblLook w:val="04A0" w:firstRow="1" w:lastRow="0" w:firstColumn="1" w:lastColumn="0" w:noHBand="0" w:noVBand="1"/>
      </w:tblPr>
      <w:tblGrid>
        <w:gridCol w:w="2739"/>
        <w:gridCol w:w="3142"/>
        <w:gridCol w:w="3667"/>
      </w:tblGrid>
      <w:tr>
        <w:trPr>
          <w:trHeight w:val="194"/>
          <w:jc w:val="center"/>
        </w:trPr>
        <w:tc>
          <w:tcPr>
            <w:tcW w:w="9548"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B1FF5" w:rsidR="00982EF5" w:rsidP="00C04F1F" w:rsidRDefault="004B467A" w14:paraId="5CB85A4E" w14:textId="77777777">
            <w:pPr>
              <w:spacing w:after="0" w:line="240" w:lineRule="auto"/>
              <w:jc w:val="center"/>
              <w:rPr>
                <w:rFonts w:ascii="Palatino Linotype" w:hAnsi="Palatino Linotype"/>
                <w:color w:val="000000"/>
              </w:rPr>
            </w:pPr>
            <w:r w:rsidRPr="00BB1FF5">
              <w:rPr>
                <w:rFonts w:ascii="Palatino Linotype" w:hAnsi="Palatino Linotype"/>
                <w:color w:val="000000"/>
              </w:rPr>
              <w:t xml:space="preserve">Base </w:t>
            </w:r>
            <w:r w:rsidRPr="00BB1FF5">
              <w:rPr>
                <w:rFonts w:ascii="Palatino Linotype" w:hAnsi="Palatino Linotype"/>
                <w:i/>
                <w:color w:val="000000"/>
              </w:rPr>
              <w:t>Out of Service</w:t>
            </w:r>
            <w:r w:rsidRPr="00BB1FF5" w:rsidR="00982EF5">
              <w:rPr>
                <w:rFonts w:ascii="Palatino Linotype" w:hAnsi="Palatino Linotype"/>
                <w:i/>
                <w:color w:val="000000"/>
              </w:rPr>
              <w:t xml:space="preserve"> Repair Interval</w:t>
            </w:r>
            <w:r w:rsidRPr="00BB1FF5" w:rsidR="00982EF5">
              <w:rPr>
                <w:rFonts w:ascii="Palatino Linotype" w:hAnsi="Palatino Linotype"/>
                <w:color w:val="000000"/>
              </w:rPr>
              <w:t xml:space="preserve"> Fine,</w:t>
            </w:r>
          </w:p>
          <w:p w:rsidRPr="00BB1FF5" w:rsidR="004B467A" w:rsidP="00C04F1F" w:rsidRDefault="004B467A" w14:paraId="276D586D" w14:textId="77777777">
            <w:pPr>
              <w:spacing w:after="0" w:line="240" w:lineRule="auto"/>
              <w:jc w:val="center"/>
              <w:rPr>
                <w:rFonts w:ascii="Palatino Linotype" w:hAnsi="Palatino Linotype"/>
                <w:bCs/>
                <w:color w:val="000000"/>
              </w:rPr>
            </w:pPr>
            <w:r w:rsidRPr="00BB1FF5">
              <w:rPr>
                <w:rFonts w:ascii="Palatino Linotype" w:hAnsi="Palatino Linotype"/>
                <w:color w:val="000000"/>
              </w:rPr>
              <w:t>GO 133-D</w:t>
            </w:r>
            <w:r w:rsidRPr="00BB1FF5" w:rsidR="00520FBA">
              <w:rPr>
                <w:rFonts w:ascii="Palatino Linotype" w:hAnsi="Palatino Linotype"/>
                <w:color w:val="000000"/>
              </w:rPr>
              <w:t>,</w:t>
            </w:r>
            <w:r w:rsidRPr="00BB1FF5">
              <w:rPr>
                <w:rFonts w:ascii="Palatino Linotype" w:hAnsi="Palatino Linotype"/>
                <w:color w:val="000000"/>
              </w:rPr>
              <w:t xml:space="preserve"> Section 9.3</w:t>
            </w:r>
          </w:p>
        </w:tc>
      </w:tr>
      <w:tr>
        <w:trPr>
          <w:trHeight w:val="3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DA0399" w:rsidRDefault="004B467A" w14:paraId="1C4AF5FD" w14:textId="77777777">
            <w:pPr>
              <w:jc w:val="center"/>
              <w:rPr>
                <w:rFonts w:ascii="Palatino Linotype" w:hAnsi="Palatino Linotype"/>
                <w:bCs/>
                <w:color w:val="000000"/>
                <w:sz w:val="24"/>
                <w:szCs w:val="24"/>
              </w:rPr>
            </w:pPr>
          </w:p>
        </w:tc>
        <w:tc>
          <w:tcPr>
            <w:tcW w:w="3142" w:type="dxa"/>
            <w:tcBorders>
              <w:top w:val="single" w:color="auto" w:sz="4" w:space="0"/>
              <w:left w:val="nil"/>
              <w:bottom w:val="single" w:color="auto" w:sz="4" w:space="0"/>
              <w:right w:val="single" w:color="auto" w:sz="4" w:space="0"/>
            </w:tcBorders>
            <w:shd w:val="clear" w:color="000000" w:fill="F2F2F2" w:themeFill="background1" w:themeFillShade="F2"/>
            <w:tcMar>
              <w:top w:w="15" w:type="dxa"/>
              <w:left w:w="15" w:type="dxa"/>
              <w:bottom w:w="0" w:type="dxa"/>
              <w:right w:w="15" w:type="dxa"/>
            </w:tcMar>
            <w:vAlign w:val="center"/>
            <w:hideMark/>
          </w:tcPr>
          <w:p w:rsidRPr="00BB1FF5" w:rsidR="004B467A" w:rsidP="00DA0399" w:rsidRDefault="004B467A" w14:paraId="02CBACED" w14:textId="77777777">
            <w:pPr>
              <w:jc w:val="center"/>
              <w:rPr>
                <w:rFonts w:ascii="Palatino Linotype" w:hAnsi="Palatino Linotype"/>
                <w:bCs/>
                <w:color w:val="000000"/>
              </w:rPr>
            </w:pPr>
            <w:r w:rsidRPr="00BB1FF5">
              <w:rPr>
                <w:rFonts w:ascii="Palatino Linotype" w:hAnsi="Palatino Linotype"/>
                <w:bCs/>
                <w:color w:val="000000"/>
              </w:rPr>
              <w:t>1 or 2 Consecutive Months</w:t>
            </w:r>
            <w:r w:rsidRPr="00BB1FF5" w:rsidR="00982EF5">
              <w:rPr>
                <w:rFonts w:ascii="Palatino Linotype" w:hAnsi="Palatino Linotype"/>
                <w:bCs/>
                <w:color w:val="000000"/>
              </w:rPr>
              <w:t xml:space="preserve"> of Standard Not Met</w:t>
            </w:r>
          </w:p>
        </w:tc>
        <w:tc>
          <w:tcPr>
            <w:tcW w:w="3666" w:type="dxa"/>
            <w:tcBorders>
              <w:top w:val="single" w:color="auto" w:sz="4" w:space="0"/>
              <w:left w:val="nil"/>
              <w:bottom w:val="single" w:color="auto" w:sz="4" w:space="0"/>
              <w:right w:val="single" w:color="auto" w:sz="4" w:space="0"/>
            </w:tcBorders>
            <w:shd w:val="clear" w:color="000000" w:fill="F2F2F2" w:themeFill="background1" w:themeFillShade="F2"/>
            <w:tcMar>
              <w:top w:w="15" w:type="dxa"/>
              <w:left w:w="15" w:type="dxa"/>
              <w:bottom w:w="0" w:type="dxa"/>
              <w:right w:w="15" w:type="dxa"/>
            </w:tcMar>
            <w:vAlign w:val="center"/>
            <w:hideMark/>
          </w:tcPr>
          <w:p w:rsidRPr="00BB1FF5" w:rsidR="004B467A" w:rsidP="00DA0399" w:rsidRDefault="004B467A" w14:paraId="5AB5B48C" w14:textId="77777777">
            <w:pPr>
              <w:jc w:val="center"/>
              <w:rPr>
                <w:rFonts w:ascii="Palatino Linotype" w:hAnsi="Palatino Linotype"/>
                <w:bCs/>
                <w:color w:val="000000"/>
              </w:rPr>
            </w:pPr>
            <w:r w:rsidRPr="00BB1FF5">
              <w:rPr>
                <w:rFonts w:ascii="Palatino Linotype" w:hAnsi="Palatino Linotype"/>
                <w:bCs/>
                <w:color w:val="000000"/>
              </w:rPr>
              <w:t>3 or more Consecutive Months</w:t>
            </w:r>
            <w:r w:rsidRPr="00BB1FF5" w:rsidR="00982EF5">
              <w:rPr>
                <w:rFonts w:ascii="Palatino Linotype" w:hAnsi="Palatino Linotype"/>
                <w:bCs/>
                <w:color w:val="000000"/>
              </w:rPr>
              <w:t xml:space="preserve"> of Standard Not Met</w:t>
            </w:r>
          </w:p>
        </w:tc>
      </w:tr>
      <w:tr>
        <w:trPr>
          <w:trHeight w:val="564"/>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DA0399" w:rsidRDefault="004B467A" w14:paraId="275289E0" w14:textId="77777777">
            <w:pPr>
              <w:jc w:val="center"/>
              <w:rPr>
                <w:rFonts w:ascii="Palatino Linotype" w:hAnsi="Palatino Linotype"/>
                <w:bCs/>
                <w:color w:val="000000"/>
              </w:rPr>
            </w:pPr>
            <w:r w:rsidRPr="00BB1FF5">
              <w:rPr>
                <w:rFonts w:ascii="Palatino Linotype" w:hAnsi="Palatino Linotype"/>
                <w:bCs/>
                <w:color w:val="000000"/>
              </w:rPr>
              <w:t>Fine Per Day</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24802068" w14:textId="77777777">
            <w:pPr>
              <w:jc w:val="center"/>
              <w:rPr>
                <w:rFonts w:ascii="Palatino Linotype" w:hAnsi="Palatino Linotype"/>
                <w:color w:val="000000"/>
              </w:rPr>
            </w:pPr>
            <w:r w:rsidRPr="00BB1FF5">
              <w:rPr>
                <w:rFonts w:ascii="Palatino Linotype" w:hAnsi="Palatino Linotype"/>
                <w:color w:val="000000"/>
              </w:rPr>
              <w:t>$0 per day</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6267FAF0" w14:textId="77777777">
            <w:pPr>
              <w:jc w:val="center"/>
              <w:rPr>
                <w:rFonts w:ascii="Palatino Linotype" w:hAnsi="Palatino Linotype"/>
                <w:color w:val="000000"/>
              </w:rPr>
            </w:pPr>
            <w:r w:rsidRPr="00BB1FF5">
              <w:rPr>
                <w:rFonts w:ascii="Palatino Linotype" w:hAnsi="Palatino Linotype"/>
                <w:color w:val="000000"/>
              </w:rPr>
              <w:t>$25,000 per day</w:t>
            </w:r>
          </w:p>
        </w:tc>
      </w:tr>
      <w:tr>
        <w:trPr>
          <w:trHeight w:val="3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C04F1F" w:rsidRDefault="004B467A" w14:paraId="4BC809E4"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Days in a Month</w:t>
            </w:r>
          </w:p>
          <w:p w:rsidRPr="00BB1FF5" w:rsidR="004B467A" w:rsidP="00C04F1F" w:rsidRDefault="004B467A" w14:paraId="543049BE"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(for all months)</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5B89D6AA" w14:textId="77777777">
            <w:pPr>
              <w:jc w:val="center"/>
              <w:rPr>
                <w:rFonts w:ascii="Palatino Linotype" w:hAnsi="Palatino Linotype"/>
                <w:color w:val="000000"/>
              </w:rPr>
            </w:pPr>
            <w:r w:rsidRPr="00BB1FF5">
              <w:rPr>
                <w:rFonts w:ascii="Palatino Linotype" w:hAnsi="Palatino Linotype"/>
                <w:color w:val="000000"/>
              </w:rPr>
              <w:t>30 days</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51FD0D07" w14:textId="77777777">
            <w:pPr>
              <w:jc w:val="center"/>
              <w:rPr>
                <w:rFonts w:ascii="Palatino Linotype" w:hAnsi="Palatino Linotype"/>
                <w:color w:val="000000"/>
              </w:rPr>
            </w:pPr>
            <w:r w:rsidRPr="00BB1FF5">
              <w:rPr>
                <w:rFonts w:ascii="Palatino Linotype" w:hAnsi="Palatino Linotype"/>
                <w:color w:val="000000"/>
              </w:rPr>
              <w:t>30 days</w:t>
            </w:r>
          </w:p>
        </w:tc>
      </w:tr>
      <w:tr>
        <w:trPr>
          <w:trHeight w:val="603"/>
          <w:jc w:val="center"/>
        </w:trPr>
        <w:tc>
          <w:tcPr>
            <w:tcW w:w="273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15" w:type="dxa"/>
              <w:left w:w="15" w:type="dxa"/>
              <w:bottom w:w="0" w:type="dxa"/>
              <w:right w:w="15" w:type="dxa"/>
            </w:tcMar>
            <w:vAlign w:val="center"/>
            <w:hideMark/>
          </w:tcPr>
          <w:p w:rsidRPr="00BB1FF5" w:rsidR="004B467A" w:rsidP="00C04F1F" w:rsidRDefault="004B467A" w14:paraId="62E517AC"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Base</w:t>
            </w:r>
          </w:p>
          <w:p w:rsidRPr="00BB1FF5" w:rsidR="004B467A" w:rsidP="00C04F1F" w:rsidRDefault="004B467A" w14:paraId="09C9FF39" w14:textId="77777777">
            <w:pPr>
              <w:spacing w:after="0" w:line="240" w:lineRule="auto"/>
              <w:jc w:val="center"/>
              <w:rPr>
                <w:rFonts w:ascii="Palatino Linotype" w:hAnsi="Palatino Linotype"/>
                <w:bCs/>
                <w:color w:val="000000"/>
              </w:rPr>
            </w:pPr>
            <w:r w:rsidRPr="00BB1FF5">
              <w:rPr>
                <w:rFonts w:ascii="Palatino Linotype" w:hAnsi="Palatino Linotype"/>
                <w:bCs/>
                <w:color w:val="000000"/>
              </w:rPr>
              <w:t>Fine per Month</w:t>
            </w:r>
          </w:p>
        </w:tc>
        <w:tc>
          <w:tcPr>
            <w:tcW w:w="3142"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BB1FF5" w:rsidR="004B467A" w:rsidP="00DA0399" w:rsidRDefault="004B467A" w14:paraId="2550EA1A" w14:textId="77777777">
            <w:pPr>
              <w:jc w:val="center"/>
              <w:rPr>
                <w:rFonts w:ascii="Palatino Linotype" w:hAnsi="Palatino Linotype"/>
                <w:color w:val="000000"/>
              </w:rPr>
            </w:pPr>
            <w:r w:rsidRPr="00BB1FF5">
              <w:rPr>
                <w:rFonts w:ascii="Palatino Linotype" w:hAnsi="Palatino Linotype"/>
                <w:color w:val="000000"/>
              </w:rPr>
              <w:t>$0</w:t>
            </w:r>
          </w:p>
        </w:tc>
        <w:tc>
          <w:tcPr>
            <w:tcW w:w="3666" w:type="dxa"/>
            <w:tcBorders>
              <w:top w:val="nil"/>
              <w:left w:val="nil"/>
              <w:bottom w:val="single" w:color="auto" w:sz="4" w:space="0"/>
              <w:right w:val="single" w:color="auto" w:sz="4" w:space="0"/>
            </w:tcBorders>
            <w:tcMar>
              <w:top w:w="15" w:type="dxa"/>
              <w:left w:w="15" w:type="dxa"/>
              <w:bottom w:w="0" w:type="dxa"/>
              <w:right w:w="15" w:type="dxa"/>
            </w:tcMar>
            <w:vAlign w:val="center"/>
            <w:hideMark/>
          </w:tcPr>
          <w:p w:rsidRPr="00163B1C" w:rsidR="004B467A" w:rsidP="00DA0399" w:rsidRDefault="004B467A" w14:paraId="2C31AA5C" w14:textId="77777777">
            <w:pPr>
              <w:jc w:val="center"/>
              <w:rPr>
                <w:rFonts w:ascii="Palatino Linotype" w:hAnsi="Palatino Linotype"/>
                <w:color w:val="000000"/>
              </w:rPr>
            </w:pPr>
            <w:r w:rsidRPr="00BB1FF5">
              <w:rPr>
                <w:rFonts w:ascii="Palatino Linotype" w:hAnsi="Palatino Linotype"/>
                <w:color w:val="000000"/>
              </w:rPr>
              <w:t>$750,000</w:t>
            </w:r>
            <w:r w:rsidRPr="00BB1FF5" w:rsidR="00424559">
              <w:rPr>
                <w:rFonts w:ascii="Palatino Linotype" w:hAnsi="Palatino Linotype"/>
                <w:color w:val="000000"/>
              </w:rPr>
              <w:t xml:space="preserve"> per month</w:t>
            </w:r>
          </w:p>
        </w:tc>
      </w:tr>
    </w:tbl>
    <w:p w:rsidRPr="00755E15" w:rsidR="00302DB6" w:rsidP="00252BB1" w:rsidRDefault="00302DB6" w14:paraId="16E4A1A6" w14:textId="77777777">
      <w:pPr>
        <w:tabs>
          <w:tab w:val="left" w:pos="3600"/>
        </w:tabs>
        <w:rPr>
          <w:rFonts w:ascii="Palatino Linotype" w:hAnsi="Palatino Linotype"/>
          <w:sz w:val="24"/>
          <w:szCs w:val="24"/>
        </w:rPr>
      </w:pPr>
    </w:p>
    <w:p w:rsidR="005E0E43" w:rsidP="00252BB1" w:rsidRDefault="002E4977" w14:paraId="5C1A2BFA" w14:textId="56AE50A1">
      <w:pPr>
        <w:tabs>
          <w:tab w:val="left" w:pos="3600"/>
        </w:tabs>
        <w:spacing w:before="120" w:after="120"/>
        <w:rPr>
          <w:rFonts w:ascii="Palatino Linotype" w:hAnsi="Palatino Linotype"/>
          <w:sz w:val="24"/>
          <w:szCs w:val="24"/>
        </w:rPr>
      </w:pPr>
      <w:r w:rsidRPr="001D5353">
        <w:rPr>
          <w:rFonts w:ascii="Palatino Linotype" w:hAnsi="Palatino Linotype"/>
          <w:sz w:val="24"/>
          <w:szCs w:val="24"/>
        </w:rPr>
        <w:t xml:space="preserve">Frontier </w:t>
      </w:r>
      <w:r w:rsidRPr="001D5353" w:rsidR="001C2DB7">
        <w:rPr>
          <w:rFonts w:ascii="Palatino Linotype" w:hAnsi="Palatino Linotype"/>
          <w:sz w:val="24"/>
          <w:szCs w:val="24"/>
        </w:rPr>
        <w:t xml:space="preserve">Communications of the </w:t>
      </w:r>
      <w:r w:rsidRPr="001D5353">
        <w:rPr>
          <w:rFonts w:ascii="Palatino Linotype" w:hAnsi="Palatino Linotype"/>
          <w:sz w:val="24"/>
          <w:szCs w:val="24"/>
        </w:rPr>
        <w:t>Southwes</w:t>
      </w:r>
      <w:r w:rsidRPr="001D5353" w:rsidR="00B511A5">
        <w:rPr>
          <w:rFonts w:ascii="Palatino Linotype" w:hAnsi="Palatino Linotype"/>
          <w:sz w:val="24"/>
          <w:szCs w:val="24"/>
        </w:rPr>
        <w:t>t</w:t>
      </w:r>
      <w:r w:rsidRPr="001D5353" w:rsidR="0093242D">
        <w:rPr>
          <w:rFonts w:ascii="Palatino Linotype" w:hAnsi="Palatino Linotype"/>
          <w:sz w:val="24"/>
          <w:szCs w:val="24"/>
        </w:rPr>
        <w:t xml:space="preserve"> and</w:t>
      </w:r>
      <w:r w:rsidRPr="001D5353" w:rsidR="005524BC">
        <w:rPr>
          <w:rFonts w:ascii="Palatino Linotype" w:hAnsi="Palatino Linotype"/>
          <w:sz w:val="24"/>
          <w:szCs w:val="24"/>
        </w:rPr>
        <w:t xml:space="preserve"> Happy Valley Telephone</w:t>
      </w:r>
      <w:r w:rsidRPr="001D5353" w:rsidR="007E3D1C">
        <w:rPr>
          <w:rFonts w:ascii="Palatino Linotype" w:hAnsi="Palatino Linotype"/>
          <w:sz w:val="24"/>
          <w:szCs w:val="24"/>
        </w:rPr>
        <w:t xml:space="preserve"> </w:t>
      </w:r>
      <w:r w:rsidRPr="001D5353" w:rsidR="009506DB">
        <w:rPr>
          <w:rFonts w:ascii="Palatino Linotype" w:hAnsi="Palatino Linotype"/>
          <w:sz w:val="24"/>
          <w:szCs w:val="24"/>
        </w:rPr>
        <w:t xml:space="preserve">failed to meet the </w:t>
      </w:r>
      <w:r w:rsidRPr="001D5353" w:rsidR="009506DB">
        <w:rPr>
          <w:rFonts w:ascii="Palatino Linotype" w:hAnsi="Palatino Linotype"/>
          <w:i/>
          <w:sz w:val="24"/>
          <w:szCs w:val="24"/>
        </w:rPr>
        <w:t>Out of Service Repair Interval</w:t>
      </w:r>
      <w:r w:rsidRPr="001D5353" w:rsidR="009506DB">
        <w:rPr>
          <w:rFonts w:ascii="Palatino Linotype" w:hAnsi="Palatino Linotype"/>
          <w:sz w:val="24"/>
          <w:szCs w:val="24"/>
        </w:rPr>
        <w:t xml:space="preserve"> standard for the following months in </w:t>
      </w:r>
      <w:r w:rsidRPr="001D5353" w:rsidR="000F6D13">
        <w:rPr>
          <w:rFonts w:ascii="Palatino Linotype" w:hAnsi="Palatino Linotype"/>
          <w:sz w:val="24"/>
          <w:szCs w:val="24"/>
        </w:rPr>
        <w:t>2025</w:t>
      </w:r>
      <w:r w:rsidRPr="001D5353" w:rsidR="00EA341F">
        <w:rPr>
          <w:rFonts w:ascii="Palatino Linotype" w:hAnsi="Palatino Linotype"/>
          <w:sz w:val="24"/>
          <w:szCs w:val="24"/>
        </w:rPr>
        <w:t xml:space="preserve"> as shown in Table 4</w:t>
      </w:r>
      <w:r w:rsidRPr="001D5353" w:rsidR="005E0E43">
        <w:rPr>
          <w:rFonts w:ascii="Palatino Linotype" w:hAnsi="Palatino Linotype"/>
          <w:sz w:val="24"/>
          <w:szCs w:val="24"/>
        </w:rPr>
        <w:t>.</w:t>
      </w:r>
      <w:r w:rsidRPr="001D5353" w:rsidR="0076220F">
        <w:rPr>
          <w:rStyle w:val="FootnoteReference"/>
          <w:rFonts w:ascii="Palatino Linotype" w:hAnsi="Palatino Linotype"/>
          <w:sz w:val="24"/>
          <w:szCs w:val="24"/>
        </w:rPr>
        <w:footnoteReference w:id="16"/>
      </w:r>
    </w:p>
    <w:p w:rsidR="005E0E43" w:rsidP="00252BB1" w:rsidRDefault="005E0E43" w14:paraId="73160B61" w14:textId="77777777">
      <w:pPr>
        <w:tabs>
          <w:tab w:val="left" w:pos="3600"/>
        </w:tabs>
        <w:spacing w:before="120" w:after="120"/>
        <w:rPr>
          <w:rFonts w:ascii="Palatino Linotype" w:hAnsi="Palatino Linotype"/>
          <w:sz w:val="24"/>
          <w:szCs w:val="24"/>
        </w:rPr>
      </w:pPr>
    </w:p>
    <w:p w:rsidR="00583BCD" w:rsidP="001A1050" w:rsidRDefault="00583BCD" w14:paraId="2FBF8838" w14:textId="3CEC645C">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E637F9">
        <w:rPr>
          <w:rFonts w:ascii="Palatino Linotype" w:hAnsi="Palatino Linotype"/>
          <w:b/>
          <w:sz w:val="24"/>
          <w:szCs w:val="24"/>
        </w:rPr>
        <w:t>4</w:t>
      </w:r>
      <w:r w:rsidRPr="001A1050">
        <w:rPr>
          <w:rFonts w:ascii="Palatino Linotype" w:hAnsi="Palatino Linotype"/>
          <w:b/>
          <w:sz w:val="24"/>
          <w:szCs w:val="24"/>
        </w:rPr>
        <w:t xml:space="preserve">:   </w:t>
      </w:r>
      <w:r w:rsidR="000F6D13">
        <w:rPr>
          <w:rFonts w:ascii="Palatino Linotype" w:hAnsi="Palatino Linotype"/>
          <w:b/>
          <w:sz w:val="24"/>
          <w:szCs w:val="24"/>
        </w:rPr>
        <w:t>2025</w:t>
      </w:r>
      <w:r w:rsidRPr="001A1050" w:rsidR="005E0E43">
        <w:rPr>
          <w:rFonts w:ascii="Palatino Linotype" w:hAnsi="Palatino Linotype"/>
          <w:b/>
          <w:sz w:val="24"/>
          <w:szCs w:val="24"/>
        </w:rPr>
        <w:t xml:space="preserve"> OOS Repair I</w:t>
      </w:r>
      <w:r w:rsidRPr="001A1050" w:rsidR="007D492D">
        <w:rPr>
          <w:rFonts w:ascii="Palatino Linotype" w:hAnsi="Palatino Linotype"/>
          <w:b/>
          <w:sz w:val="24"/>
          <w:szCs w:val="24"/>
        </w:rPr>
        <w:t>nterval</w:t>
      </w:r>
    </w:p>
    <w:tbl>
      <w:tblPr>
        <w:tblW w:w="10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1620"/>
        <w:gridCol w:w="720"/>
        <w:gridCol w:w="810"/>
        <w:gridCol w:w="810"/>
        <w:gridCol w:w="810"/>
        <w:gridCol w:w="720"/>
        <w:gridCol w:w="720"/>
        <w:gridCol w:w="720"/>
        <w:gridCol w:w="810"/>
        <w:gridCol w:w="720"/>
        <w:gridCol w:w="810"/>
        <w:gridCol w:w="810"/>
        <w:gridCol w:w="815"/>
      </w:tblGrid>
      <w:tr>
        <w:trPr>
          <w:trHeight w:val="648"/>
          <w:tblHeader/>
          <w:jc w:val="center"/>
        </w:trPr>
        <w:tc>
          <w:tcPr>
            <w:tcW w:w="1620" w:type="dxa"/>
            <w:shd w:val="clear" w:color="auto" w:fill="F2F2F2" w:themeFill="background1" w:themeFillShade="F2"/>
          </w:tcPr>
          <w:p w:rsidRPr="00374C1A" w:rsidR="0036206C" w:rsidP="6C694060" w:rsidRDefault="0036206C" w14:paraId="61D9891C" w14:textId="77777777">
            <w:pPr>
              <w:jc w:val="center"/>
              <w:rPr>
                <w:rFonts w:ascii="Palatino Linotype" w:hAnsi="Palatino Linotype"/>
                <w:color w:val="000000"/>
              </w:rPr>
            </w:pPr>
            <w:bookmarkStart w:name="_Hlk134010452" w:id="2"/>
          </w:p>
        </w:tc>
        <w:tc>
          <w:tcPr>
            <w:tcW w:w="9275" w:type="dxa"/>
            <w:gridSpan w:val="12"/>
            <w:shd w:val="clear" w:color="auto" w:fill="FFFFFF" w:themeFill="background1"/>
            <w:tcMar>
              <w:top w:w="15" w:type="dxa"/>
              <w:left w:w="15" w:type="dxa"/>
              <w:bottom w:w="0" w:type="dxa"/>
              <w:right w:w="15" w:type="dxa"/>
            </w:tcMar>
            <w:vAlign w:val="center"/>
            <w:hideMark/>
          </w:tcPr>
          <w:p w:rsidRPr="001A1050" w:rsidR="0036206C" w:rsidP="005F304F" w:rsidRDefault="000F6D13" w14:paraId="716DDCEC" w14:textId="01A9F615">
            <w:pPr>
              <w:spacing w:after="0" w:line="240" w:lineRule="auto"/>
              <w:jc w:val="center"/>
              <w:rPr>
                <w:rFonts w:ascii="Palatino Linotype" w:hAnsi="Palatino Linotype"/>
                <w:color w:val="000000"/>
              </w:rPr>
            </w:pPr>
            <w:r>
              <w:rPr>
                <w:rFonts w:ascii="Palatino Linotype" w:hAnsi="Palatino Linotype"/>
                <w:color w:val="000000"/>
              </w:rPr>
              <w:t>2025</w:t>
            </w:r>
            <w:r w:rsidRPr="001A1050" w:rsidR="00DF7C0E">
              <w:rPr>
                <w:rFonts w:ascii="Palatino Linotype" w:hAnsi="Palatino Linotype"/>
                <w:color w:val="000000"/>
              </w:rPr>
              <w:t xml:space="preserve"> </w:t>
            </w:r>
            <w:r w:rsidRPr="001A1050" w:rsidR="0036206C">
              <w:rPr>
                <w:rFonts w:ascii="Palatino Linotype" w:hAnsi="Palatino Linotype"/>
                <w:i/>
                <w:color w:val="000000"/>
              </w:rPr>
              <w:t>Out of Service Repair Interval</w:t>
            </w:r>
            <w:r w:rsidRPr="001A1050" w:rsidR="00DF7C0E">
              <w:rPr>
                <w:rFonts w:ascii="Palatino Linotype" w:hAnsi="Palatino Linotype"/>
                <w:color w:val="000000"/>
              </w:rPr>
              <w:t xml:space="preserve"> </w:t>
            </w:r>
            <w:r w:rsidRPr="001A1050" w:rsidR="0036206C">
              <w:rPr>
                <w:rFonts w:ascii="Palatino Linotype" w:hAnsi="Palatino Linotype"/>
                <w:color w:val="000000"/>
              </w:rPr>
              <w:t xml:space="preserve">– 90% </w:t>
            </w:r>
            <w:r w:rsidRPr="001A1050" w:rsidR="00605CC0">
              <w:rPr>
                <w:rFonts w:ascii="Palatino Linotype" w:hAnsi="Palatino Linotype"/>
                <w:color w:val="000000"/>
              </w:rPr>
              <w:t>M</w:t>
            </w:r>
            <w:r w:rsidRPr="001A1050" w:rsidR="0036206C">
              <w:rPr>
                <w:rFonts w:ascii="Palatino Linotype" w:hAnsi="Palatino Linotype"/>
                <w:color w:val="000000"/>
              </w:rPr>
              <w:t>inimum</w:t>
            </w:r>
          </w:p>
          <w:p w:rsidRPr="00374C1A" w:rsidR="00605CC0" w:rsidP="005F304F" w:rsidRDefault="00605CC0" w14:paraId="1EC13D34" w14:textId="7052348E">
            <w:pPr>
              <w:spacing w:after="0" w:line="240" w:lineRule="auto"/>
              <w:jc w:val="center"/>
              <w:rPr>
                <w:rFonts w:ascii="Palatino Linotype" w:hAnsi="Palatino Linotype"/>
                <w:bCs/>
                <w:color w:val="000000"/>
              </w:rPr>
            </w:pPr>
            <w:r w:rsidRPr="001A1050">
              <w:rPr>
                <w:rFonts w:ascii="Palatino Linotype" w:hAnsi="Palatino Linotype"/>
                <w:i/>
                <w:color w:val="000000"/>
              </w:rPr>
              <w:t>(*chronic failure status</w:t>
            </w:r>
            <w:r w:rsidR="005F304F">
              <w:rPr>
                <w:rFonts w:ascii="Palatino Linotype" w:hAnsi="Palatino Linotype"/>
                <w:i/>
                <w:color w:val="000000"/>
              </w:rPr>
              <w:t xml:space="preserve"> </w:t>
            </w:r>
            <w:r w:rsidR="00553D9B">
              <w:rPr>
                <w:rFonts w:ascii="Palatino Linotype" w:hAnsi="Palatino Linotype"/>
                <w:i/>
                <w:color w:val="000000"/>
              </w:rPr>
              <w:t>-</w:t>
            </w:r>
            <w:r w:rsidR="005F304F">
              <w:rPr>
                <w:rFonts w:ascii="Palatino Linotype" w:hAnsi="Palatino Linotype"/>
                <w:i/>
                <w:color w:val="000000"/>
              </w:rPr>
              <w:t xml:space="preserve"> </w:t>
            </w:r>
            <w:r w:rsidR="00553D9B">
              <w:rPr>
                <w:rFonts w:ascii="Palatino Linotype" w:hAnsi="Palatino Linotype"/>
                <w:i/>
                <w:color w:val="000000"/>
              </w:rPr>
              <w:t>fines</w:t>
            </w:r>
            <w:r w:rsidR="005F304F">
              <w:rPr>
                <w:rFonts w:ascii="Palatino Linotype" w:hAnsi="Palatino Linotype"/>
                <w:i/>
                <w:color w:val="000000"/>
              </w:rPr>
              <w:t xml:space="preserve"> assessed</w:t>
            </w:r>
            <w:r w:rsidRPr="001A1050">
              <w:rPr>
                <w:rFonts w:ascii="Palatino Linotype" w:hAnsi="Palatino Linotype"/>
                <w:i/>
                <w:color w:val="000000"/>
              </w:rPr>
              <w:t>)</w:t>
            </w:r>
          </w:p>
        </w:tc>
      </w:tr>
      <w:tr>
        <w:tblPrEx>
          <w:tblCellMar>
            <w:left w:w="108" w:type="dxa"/>
            <w:right w:w="108" w:type="dxa"/>
          </w:tblCellMar>
        </w:tblPrEx>
        <w:trPr>
          <w:trHeight w:val="346"/>
          <w:jc w:val="center"/>
        </w:trPr>
        <w:tc>
          <w:tcPr>
            <w:tcW w:w="1620" w:type="dxa"/>
            <w:shd w:val="clear" w:color="auto" w:fill="F2F2F2" w:themeFill="background1" w:themeFillShade="F2"/>
            <w:vAlign w:val="center"/>
          </w:tcPr>
          <w:p w:rsidRPr="006679E2" w:rsidR="0036206C" w:rsidP="00DF7C0E" w:rsidRDefault="0036206C" w14:paraId="4E7E58C5" w14:textId="77777777">
            <w:pPr>
              <w:tabs>
                <w:tab w:val="left" w:pos="3600"/>
              </w:tabs>
              <w:spacing w:before="120" w:after="0"/>
              <w:rPr>
                <w:rFonts w:ascii="Palatino Linotype" w:hAnsi="Palatino Linotype"/>
                <w:color w:val="000000" w:themeColor="text1"/>
              </w:rPr>
            </w:pP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602054B5"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Jan</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535E871C"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Feb</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6C72117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Mar</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6F14E95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Apr</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10483953"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May</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3DCBD7BB"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Jun</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501FEBB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Jul</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73A28998"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Aug</w:t>
            </w:r>
          </w:p>
        </w:tc>
        <w:tc>
          <w:tcPr>
            <w:tcW w:w="720" w:type="dxa"/>
            <w:tcBorders>
              <w:bottom w:val="single" w:color="auto" w:sz="4" w:space="0"/>
            </w:tcBorders>
            <w:shd w:val="clear" w:color="auto" w:fill="F2F2F2" w:themeFill="background1" w:themeFillShade="F2"/>
            <w:vAlign w:val="center"/>
          </w:tcPr>
          <w:p w:rsidRPr="003C2945" w:rsidR="0036206C" w:rsidP="00DF7C0E" w:rsidRDefault="0036206C" w14:paraId="3D857C50"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Sep</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44FED8B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Oct</w:t>
            </w:r>
          </w:p>
        </w:tc>
        <w:tc>
          <w:tcPr>
            <w:tcW w:w="810" w:type="dxa"/>
            <w:tcBorders>
              <w:bottom w:val="single" w:color="auto" w:sz="4" w:space="0"/>
            </w:tcBorders>
            <w:shd w:val="clear" w:color="auto" w:fill="F2F2F2" w:themeFill="background1" w:themeFillShade="F2"/>
            <w:vAlign w:val="center"/>
          </w:tcPr>
          <w:p w:rsidRPr="003C2945" w:rsidR="0036206C" w:rsidP="00DF7C0E" w:rsidRDefault="0036206C" w14:paraId="7FCC9B2D"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Nov</w:t>
            </w:r>
          </w:p>
        </w:tc>
        <w:tc>
          <w:tcPr>
            <w:tcW w:w="815" w:type="dxa"/>
            <w:tcBorders>
              <w:bottom w:val="single" w:color="auto" w:sz="4" w:space="0"/>
            </w:tcBorders>
            <w:shd w:val="clear" w:color="auto" w:fill="F2F2F2" w:themeFill="background1" w:themeFillShade="F2"/>
            <w:vAlign w:val="center"/>
          </w:tcPr>
          <w:p w:rsidRPr="003C2945" w:rsidR="0036206C" w:rsidP="00DF7C0E" w:rsidRDefault="0036206C" w14:paraId="6769FE1D"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Dec</w:t>
            </w:r>
          </w:p>
        </w:tc>
      </w:tr>
      <w:tr>
        <w:tblPrEx>
          <w:tblCellMar>
            <w:left w:w="108" w:type="dxa"/>
            <w:right w:w="108" w:type="dxa"/>
          </w:tblCellMar>
        </w:tblPrEx>
        <w:trPr>
          <w:trHeight w:val="419" w:hRule="exact"/>
          <w:jc w:val="center"/>
        </w:trPr>
        <w:tc>
          <w:tcPr>
            <w:tcW w:w="1620" w:type="dxa"/>
            <w:shd w:val="clear" w:color="auto" w:fill="F2F2F2" w:themeFill="background1" w:themeFillShade="F2"/>
            <w:vAlign w:val="center"/>
          </w:tcPr>
          <w:p w:rsidRPr="0010336B" w:rsidR="009249A5" w:rsidP="00DF7C0E" w:rsidRDefault="009249A5" w14:paraId="6200D76A" w14:textId="77777777">
            <w:pPr>
              <w:tabs>
                <w:tab w:val="left" w:pos="3600"/>
              </w:tabs>
              <w:spacing w:before="120" w:after="0"/>
              <w:jc w:val="center"/>
              <w:rPr>
                <w:rFonts w:ascii="Palatino Linotype" w:hAnsi="Palatino Linotype"/>
                <w:b/>
                <w:color w:val="FF0000"/>
                <w:sz w:val="18"/>
                <w:szCs w:val="18"/>
              </w:rPr>
            </w:pPr>
            <w:r w:rsidRPr="00094470">
              <w:rPr>
                <w:rFonts w:ascii="Palatino Linotype" w:hAnsi="Palatino Linotype"/>
                <w:b/>
                <w:sz w:val="18"/>
                <w:szCs w:val="18"/>
              </w:rPr>
              <w:t>Frontier SW</w:t>
            </w:r>
          </w:p>
        </w:tc>
        <w:tc>
          <w:tcPr>
            <w:tcW w:w="720" w:type="dxa"/>
            <w:shd w:val="clear" w:color="auto" w:fill="FFFFFF" w:themeFill="background1"/>
            <w:vAlign w:val="center"/>
          </w:tcPr>
          <w:p w:rsidRPr="00C26EA7" w:rsidR="009249A5" w:rsidP="00730145" w:rsidRDefault="00094470" w14:paraId="5554D8FF" w14:textId="1F3C6E5E">
            <w:pPr>
              <w:tabs>
                <w:tab w:val="left" w:pos="3600"/>
              </w:tabs>
              <w:spacing w:before="120" w:after="0"/>
              <w:jc w:val="center"/>
              <w:rPr>
                <w:rFonts w:ascii="Palatino Linotype" w:hAnsi="Palatino Linotype"/>
                <w:color w:val="FF0000"/>
                <w:sz w:val="16"/>
                <w:szCs w:val="16"/>
              </w:rPr>
            </w:pPr>
            <w:r w:rsidRPr="00094470">
              <w:rPr>
                <w:rFonts w:ascii="Palatino Linotype" w:hAnsi="Palatino Linotype"/>
                <w:color w:val="FF0000"/>
                <w:sz w:val="16"/>
                <w:szCs w:val="16"/>
              </w:rPr>
              <w:t>8</w:t>
            </w:r>
            <w:r w:rsidR="00476817">
              <w:rPr>
                <w:rFonts w:ascii="Palatino Linotype" w:hAnsi="Palatino Linotype"/>
                <w:color w:val="FF0000"/>
                <w:sz w:val="16"/>
                <w:szCs w:val="16"/>
              </w:rPr>
              <w:t>7.5%</w:t>
            </w:r>
            <w:r w:rsidR="000C5C2E">
              <w:rPr>
                <w:rFonts w:ascii="Palatino Linotype" w:hAnsi="Palatino Linotype"/>
                <w:color w:val="FF0000"/>
                <w:sz w:val="16"/>
                <w:szCs w:val="16"/>
              </w:rPr>
              <w:t>*</w:t>
            </w:r>
          </w:p>
        </w:tc>
        <w:tc>
          <w:tcPr>
            <w:tcW w:w="810" w:type="dxa"/>
            <w:shd w:val="clear" w:color="auto" w:fill="FFFFFF" w:themeFill="background1"/>
            <w:vAlign w:val="center"/>
          </w:tcPr>
          <w:p w:rsidRPr="00C26EA7" w:rsidR="009249A5" w:rsidP="00730145" w:rsidRDefault="00476817" w14:paraId="33158029" w14:textId="6C62CDB5">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71.</w:t>
            </w:r>
            <w:r w:rsidR="007541DC">
              <w:rPr>
                <w:rFonts w:ascii="Palatino Linotype" w:hAnsi="Palatino Linotype"/>
                <w:color w:val="FF0000"/>
                <w:sz w:val="16"/>
                <w:szCs w:val="16"/>
              </w:rPr>
              <w:t>43%</w:t>
            </w:r>
            <w:r w:rsidR="000C5C2E">
              <w:rPr>
                <w:rFonts w:ascii="Palatino Linotype" w:hAnsi="Palatino Linotype"/>
                <w:color w:val="FF0000"/>
                <w:sz w:val="16"/>
                <w:szCs w:val="16"/>
              </w:rPr>
              <w:t>*</w:t>
            </w:r>
          </w:p>
        </w:tc>
        <w:tc>
          <w:tcPr>
            <w:tcW w:w="810" w:type="dxa"/>
            <w:shd w:val="clear" w:color="auto" w:fill="FFFFFF" w:themeFill="background1"/>
            <w:vAlign w:val="center"/>
          </w:tcPr>
          <w:p w:rsidRPr="00C26EA7" w:rsidR="009249A5" w:rsidP="00730145" w:rsidRDefault="007541DC" w14:paraId="5AE27059" w14:textId="5C6EBAE2">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810" w:type="dxa"/>
            <w:shd w:val="clear" w:color="auto" w:fill="FFFFFF" w:themeFill="background1"/>
            <w:vAlign w:val="center"/>
          </w:tcPr>
          <w:p w:rsidRPr="00C26EA7" w:rsidR="009249A5" w:rsidP="00730145" w:rsidRDefault="007541DC" w14:paraId="3BFCDCCD" w14:textId="112E4F70">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87</w:t>
            </w:r>
            <w:r w:rsidRPr="00D416BF" w:rsidR="00E62A51">
              <w:rPr>
                <w:rFonts w:ascii="Palatino Linotype" w:hAnsi="Palatino Linotype"/>
                <w:color w:val="EE0000"/>
                <w:sz w:val="16"/>
                <w:szCs w:val="16"/>
              </w:rPr>
              <w:t>.</w:t>
            </w:r>
            <w:r w:rsidRPr="00D416BF" w:rsidR="00094470">
              <w:rPr>
                <w:rFonts w:ascii="Palatino Linotype" w:hAnsi="Palatino Linotype"/>
                <w:color w:val="EE0000"/>
                <w:sz w:val="16"/>
                <w:szCs w:val="16"/>
              </w:rPr>
              <w:t>5</w:t>
            </w:r>
            <w:r w:rsidRPr="00D416BF" w:rsidR="00B63F8C">
              <w:rPr>
                <w:rFonts w:ascii="Palatino Linotype" w:hAnsi="Palatino Linotype"/>
                <w:color w:val="EE0000"/>
                <w:sz w:val="16"/>
                <w:szCs w:val="16"/>
              </w:rPr>
              <w:t>%</w:t>
            </w:r>
            <w:r w:rsidR="00F903C3">
              <w:rPr>
                <w:rFonts w:ascii="Palatino Linotype" w:hAnsi="Palatino Linotype"/>
                <w:color w:val="EE0000"/>
                <w:sz w:val="16"/>
                <w:szCs w:val="16"/>
              </w:rPr>
              <w:t>*</w:t>
            </w:r>
          </w:p>
        </w:tc>
        <w:tc>
          <w:tcPr>
            <w:tcW w:w="720" w:type="dxa"/>
            <w:shd w:val="clear" w:color="auto" w:fill="FFFFFF" w:themeFill="background1"/>
            <w:vAlign w:val="center"/>
          </w:tcPr>
          <w:p w:rsidRPr="00C26EA7" w:rsidR="009249A5" w:rsidP="00730145" w:rsidRDefault="00F14942" w14:paraId="6EAF6F79" w14:textId="6B21AB96">
            <w:pPr>
              <w:tabs>
                <w:tab w:val="left" w:pos="3600"/>
              </w:tabs>
              <w:spacing w:before="120" w:after="0"/>
              <w:jc w:val="center"/>
              <w:rPr>
                <w:rFonts w:ascii="Palatino Linotype" w:hAnsi="Palatino Linotype"/>
                <w:sz w:val="16"/>
                <w:szCs w:val="16"/>
              </w:rPr>
            </w:pPr>
            <w:r>
              <w:rPr>
                <w:rFonts w:ascii="Palatino Linotype" w:hAnsi="Palatino Linotype"/>
                <w:sz w:val="16"/>
                <w:szCs w:val="16"/>
              </w:rPr>
              <w:t>100.</w:t>
            </w:r>
            <w:r w:rsidR="00E62A51">
              <w:rPr>
                <w:rFonts w:ascii="Palatino Linotype" w:hAnsi="Palatino Linotype"/>
                <w:sz w:val="16"/>
                <w:szCs w:val="16"/>
              </w:rPr>
              <w:t>0</w:t>
            </w:r>
            <w:r w:rsidR="00B63F8C">
              <w:rPr>
                <w:rFonts w:ascii="Palatino Linotype" w:hAnsi="Palatino Linotype"/>
                <w:sz w:val="16"/>
                <w:szCs w:val="16"/>
              </w:rPr>
              <w:t>%</w:t>
            </w:r>
          </w:p>
        </w:tc>
        <w:tc>
          <w:tcPr>
            <w:tcW w:w="720" w:type="dxa"/>
            <w:shd w:val="clear" w:color="auto" w:fill="FFFFFF" w:themeFill="background1"/>
            <w:vAlign w:val="center"/>
          </w:tcPr>
          <w:p w:rsidRPr="00C26EA7" w:rsidR="009249A5" w:rsidP="00730145" w:rsidRDefault="00B63F8C" w14:paraId="5B546E57" w14:textId="1C775340">
            <w:pPr>
              <w:tabs>
                <w:tab w:val="left" w:pos="3600"/>
              </w:tabs>
              <w:spacing w:before="120" w:after="0"/>
              <w:jc w:val="center"/>
              <w:rPr>
                <w:rFonts w:ascii="Palatino Linotype" w:hAnsi="Palatino Linotype"/>
                <w:sz w:val="16"/>
                <w:szCs w:val="16"/>
              </w:rPr>
            </w:pPr>
            <w:r>
              <w:rPr>
                <w:rFonts w:ascii="Palatino Linotype" w:hAnsi="Palatino Linotype"/>
                <w:sz w:val="16"/>
                <w:szCs w:val="16"/>
              </w:rPr>
              <w:t>9</w:t>
            </w:r>
            <w:r w:rsidR="00F14942">
              <w:rPr>
                <w:rFonts w:ascii="Palatino Linotype" w:hAnsi="Palatino Linotype"/>
                <w:sz w:val="16"/>
                <w:szCs w:val="16"/>
              </w:rPr>
              <w:t>4.74</w:t>
            </w:r>
            <w:r>
              <w:rPr>
                <w:rFonts w:ascii="Palatino Linotype" w:hAnsi="Palatino Linotype"/>
                <w:sz w:val="16"/>
                <w:szCs w:val="16"/>
              </w:rPr>
              <w:t>%</w:t>
            </w:r>
          </w:p>
        </w:tc>
        <w:tc>
          <w:tcPr>
            <w:tcW w:w="720" w:type="dxa"/>
            <w:shd w:val="clear" w:color="auto" w:fill="FFFFFF" w:themeFill="background1"/>
            <w:vAlign w:val="center"/>
          </w:tcPr>
          <w:p w:rsidRPr="00D416BF" w:rsidR="009249A5" w:rsidP="00730145" w:rsidRDefault="00F14942" w14:paraId="5119E356" w14:textId="4AAF2D37">
            <w:pPr>
              <w:tabs>
                <w:tab w:val="left" w:pos="3600"/>
              </w:tabs>
              <w:spacing w:before="120" w:after="0"/>
              <w:jc w:val="center"/>
              <w:rPr>
                <w:rFonts w:ascii="Palatino Linotype" w:hAnsi="Palatino Linotype"/>
                <w:sz w:val="16"/>
                <w:szCs w:val="16"/>
              </w:rPr>
            </w:pPr>
            <w:r w:rsidRPr="00D416BF">
              <w:rPr>
                <w:rFonts w:ascii="Palatino Linotype" w:hAnsi="Palatino Linotype"/>
                <w:sz w:val="16"/>
                <w:szCs w:val="16"/>
              </w:rPr>
              <w:t>100.0</w:t>
            </w:r>
            <w:r w:rsidRPr="00D416BF" w:rsidR="00B63F8C">
              <w:rPr>
                <w:rFonts w:ascii="Palatino Linotype" w:hAnsi="Palatino Linotype"/>
                <w:sz w:val="16"/>
                <w:szCs w:val="16"/>
              </w:rPr>
              <w:t>%</w:t>
            </w:r>
          </w:p>
        </w:tc>
        <w:tc>
          <w:tcPr>
            <w:tcW w:w="810" w:type="dxa"/>
            <w:shd w:val="clear" w:color="auto" w:fill="FFFFFF" w:themeFill="background1"/>
            <w:vAlign w:val="center"/>
          </w:tcPr>
          <w:p w:rsidRPr="00D416BF" w:rsidR="009249A5" w:rsidP="00730145" w:rsidRDefault="00690D01" w14:paraId="69332B03" w14:textId="7D3B2C2F">
            <w:pPr>
              <w:tabs>
                <w:tab w:val="left" w:pos="3600"/>
              </w:tabs>
              <w:spacing w:before="120" w:after="0"/>
              <w:jc w:val="center"/>
              <w:rPr>
                <w:rFonts w:ascii="Palatino Linotype" w:hAnsi="Palatino Linotype"/>
                <w:sz w:val="16"/>
                <w:szCs w:val="16"/>
              </w:rPr>
            </w:pPr>
            <w:r w:rsidRPr="00D416BF">
              <w:rPr>
                <w:rFonts w:ascii="Palatino Linotype" w:hAnsi="Palatino Linotype"/>
                <w:sz w:val="16"/>
                <w:szCs w:val="16"/>
              </w:rPr>
              <w:t>100.0</w:t>
            </w:r>
            <w:r w:rsidRPr="00D416BF" w:rsidR="00B63F8C">
              <w:rPr>
                <w:rFonts w:ascii="Palatino Linotype" w:hAnsi="Palatino Linotype"/>
                <w:sz w:val="16"/>
                <w:szCs w:val="16"/>
              </w:rPr>
              <w:t>%</w:t>
            </w:r>
          </w:p>
        </w:tc>
        <w:tc>
          <w:tcPr>
            <w:tcW w:w="720" w:type="dxa"/>
            <w:shd w:val="clear" w:color="auto" w:fill="FFFFFF" w:themeFill="background1"/>
            <w:vAlign w:val="center"/>
          </w:tcPr>
          <w:p w:rsidRPr="00C26EA7" w:rsidR="009249A5" w:rsidP="00730145" w:rsidRDefault="00094470" w14:paraId="6B060AF2" w14:textId="51CEF686">
            <w:pPr>
              <w:tabs>
                <w:tab w:val="left" w:pos="3600"/>
              </w:tabs>
              <w:spacing w:before="120" w:after="0"/>
              <w:jc w:val="center"/>
              <w:rPr>
                <w:rFonts w:ascii="Palatino Linotype" w:hAnsi="Palatino Linotype"/>
                <w:color w:val="FF0000"/>
                <w:sz w:val="16"/>
                <w:szCs w:val="16"/>
              </w:rPr>
            </w:pPr>
            <w:r w:rsidRPr="00094470">
              <w:rPr>
                <w:rFonts w:ascii="Palatino Linotype" w:hAnsi="Palatino Linotype"/>
                <w:sz w:val="16"/>
                <w:szCs w:val="16"/>
              </w:rPr>
              <w:t>94</w:t>
            </w:r>
            <w:r w:rsidR="00690D01">
              <w:rPr>
                <w:rFonts w:ascii="Palatino Linotype" w:hAnsi="Palatino Linotype"/>
                <w:sz w:val="16"/>
                <w:szCs w:val="16"/>
              </w:rPr>
              <w:t>.44</w:t>
            </w:r>
            <w:r w:rsidRPr="00094470" w:rsidR="00B63F8C">
              <w:rPr>
                <w:rFonts w:ascii="Palatino Linotype" w:hAnsi="Palatino Linotype"/>
                <w:sz w:val="16"/>
                <w:szCs w:val="16"/>
              </w:rPr>
              <w:t>%</w:t>
            </w:r>
          </w:p>
        </w:tc>
        <w:tc>
          <w:tcPr>
            <w:tcW w:w="810" w:type="dxa"/>
            <w:shd w:val="clear" w:color="auto" w:fill="FFFFFF" w:themeFill="background1"/>
            <w:vAlign w:val="center"/>
          </w:tcPr>
          <w:p w:rsidRPr="00C26EA7" w:rsidR="009249A5" w:rsidP="00730145" w:rsidRDefault="00094470" w14:paraId="61DEE597" w14:textId="77777777">
            <w:pPr>
              <w:tabs>
                <w:tab w:val="left" w:pos="3600"/>
              </w:tabs>
              <w:spacing w:before="120" w:after="0"/>
              <w:jc w:val="center"/>
              <w:rPr>
                <w:rFonts w:ascii="Palatino Linotype" w:hAnsi="Palatino Linotype"/>
                <w:color w:val="FF0000"/>
                <w:sz w:val="16"/>
                <w:szCs w:val="16"/>
              </w:rPr>
            </w:pPr>
            <w:r w:rsidRPr="00094470">
              <w:rPr>
                <w:rFonts w:ascii="Palatino Linotype" w:hAnsi="Palatino Linotype"/>
                <w:sz w:val="16"/>
                <w:szCs w:val="16"/>
              </w:rPr>
              <w:t>100</w:t>
            </w:r>
            <w:r w:rsidRPr="00094470" w:rsidR="00B63F8C">
              <w:rPr>
                <w:rFonts w:ascii="Palatino Linotype" w:hAnsi="Palatino Linotype"/>
                <w:sz w:val="16"/>
                <w:szCs w:val="16"/>
              </w:rPr>
              <w:t>.</w:t>
            </w:r>
            <w:r w:rsidRPr="00094470">
              <w:rPr>
                <w:rFonts w:ascii="Palatino Linotype" w:hAnsi="Palatino Linotype"/>
                <w:sz w:val="16"/>
                <w:szCs w:val="16"/>
              </w:rPr>
              <w:t>0</w:t>
            </w:r>
            <w:r w:rsidRPr="00094470" w:rsidR="00B63F8C">
              <w:rPr>
                <w:rFonts w:ascii="Palatino Linotype" w:hAnsi="Palatino Linotype"/>
                <w:sz w:val="16"/>
                <w:szCs w:val="16"/>
              </w:rPr>
              <w:t>%</w:t>
            </w:r>
          </w:p>
        </w:tc>
        <w:tc>
          <w:tcPr>
            <w:tcW w:w="810" w:type="dxa"/>
            <w:shd w:val="clear" w:color="auto" w:fill="FFFFFF" w:themeFill="background1"/>
            <w:vAlign w:val="center"/>
          </w:tcPr>
          <w:p w:rsidRPr="00C26EA7" w:rsidR="009249A5" w:rsidP="00730145" w:rsidRDefault="00094470" w14:paraId="3F1ABF7A" w14:textId="2DD7C4AB">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w:t>
            </w:r>
            <w:r w:rsidR="00690D01">
              <w:rPr>
                <w:rFonts w:ascii="Palatino Linotype" w:hAnsi="Palatino Linotype"/>
                <w:color w:val="FF0000"/>
                <w:sz w:val="16"/>
                <w:szCs w:val="16"/>
              </w:rPr>
              <w:t>8</w:t>
            </w:r>
            <w:r w:rsidR="00B63F8C">
              <w:rPr>
                <w:rFonts w:ascii="Palatino Linotype" w:hAnsi="Palatino Linotype"/>
                <w:color w:val="FF0000"/>
                <w:sz w:val="16"/>
                <w:szCs w:val="16"/>
              </w:rPr>
              <w:t>.</w:t>
            </w:r>
            <w:r w:rsidR="00690D01">
              <w:rPr>
                <w:rFonts w:ascii="Palatino Linotype" w:hAnsi="Palatino Linotype"/>
                <w:color w:val="FF0000"/>
                <w:sz w:val="16"/>
                <w:szCs w:val="16"/>
              </w:rPr>
              <w:t>89</w:t>
            </w:r>
            <w:r w:rsidR="00B63F8C">
              <w:rPr>
                <w:rFonts w:ascii="Palatino Linotype" w:hAnsi="Palatino Linotype"/>
                <w:color w:val="FF0000"/>
                <w:sz w:val="16"/>
                <w:szCs w:val="16"/>
              </w:rPr>
              <w:t>%</w:t>
            </w:r>
          </w:p>
        </w:tc>
        <w:tc>
          <w:tcPr>
            <w:tcW w:w="815" w:type="dxa"/>
            <w:shd w:val="clear" w:color="auto" w:fill="FFFFFF" w:themeFill="background1"/>
            <w:vAlign w:val="center"/>
          </w:tcPr>
          <w:p w:rsidRPr="00C26EA7" w:rsidR="009249A5" w:rsidP="00730145" w:rsidRDefault="00094470" w14:paraId="00307B33" w14:textId="13026FE3">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w:t>
            </w:r>
            <w:r w:rsidR="00690D01">
              <w:rPr>
                <w:rFonts w:ascii="Palatino Linotype" w:hAnsi="Palatino Linotype"/>
                <w:color w:val="FF0000"/>
                <w:sz w:val="16"/>
                <w:szCs w:val="16"/>
              </w:rPr>
              <w:t>0.0</w:t>
            </w:r>
            <w:r w:rsidR="00B63F8C">
              <w:rPr>
                <w:rFonts w:ascii="Palatino Linotype" w:hAnsi="Palatino Linotype"/>
                <w:color w:val="FF0000"/>
                <w:sz w:val="16"/>
                <w:szCs w:val="16"/>
              </w:rPr>
              <w:t>%</w:t>
            </w:r>
          </w:p>
        </w:tc>
      </w:tr>
      <w:tr>
        <w:tblPrEx>
          <w:tblCellMar>
            <w:left w:w="108" w:type="dxa"/>
            <w:right w:w="108" w:type="dxa"/>
          </w:tblCellMar>
        </w:tblPrEx>
        <w:trPr>
          <w:trHeight w:val="419" w:hRule="exact"/>
          <w:jc w:val="center"/>
        </w:trPr>
        <w:tc>
          <w:tcPr>
            <w:tcW w:w="1620" w:type="dxa"/>
            <w:shd w:val="clear" w:color="auto" w:fill="F2F2F2" w:themeFill="background1" w:themeFillShade="F2"/>
            <w:vAlign w:val="center"/>
          </w:tcPr>
          <w:p w:rsidRPr="00094470" w:rsidR="00BE0B48" w:rsidP="00DF7C0E" w:rsidRDefault="00BE0B48" w14:paraId="6321086B" w14:textId="6009ABBE">
            <w:pPr>
              <w:tabs>
                <w:tab w:val="left" w:pos="3600"/>
              </w:tabs>
              <w:spacing w:before="120" w:after="0"/>
              <w:jc w:val="center"/>
              <w:rPr>
                <w:rFonts w:ascii="Palatino Linotype" w:hAnsi="Palatino Linotype"/>
                <w:b/>
                <w:sz w:val="18"/>
                <w:szCs w:val="18"/>
              </w:rPr>
            </w:pPr>
            <w:r>
              <w:rPr>
                <w:rFonts w:ascii="Palatino Linotype" w:hAnsi="Palatino Linotype"/>
                <w:b/>
                <w:sz w:val="18"/>
                <w:szCs w:val="18"/>
              </w:rPr>
              <w:lastRenderedPageBreak/>
              <w:t>Happy Valley</w:t>
            </w:r>
          </w:p>
        </w:tc>
        <w:tc>
          <w:tcPr>
            <w:tcW w:w="720" w:type="dxa"/>
            <w:shd w:val="clear" w:color="auto" w:fill="FFFFFF" w:themeFill="background1"/>
            <w:vAlign w:val="center"/>
          </w:tcPr>
          <w:p w:rsidRPr="00D011DE" w:rsidR="00BE0B48" w:rsidP="00730145" w:rsidRDefault="00024FBE" w14:paraId="054CE9CF" w14:textId="271B9CC7">
            <w:pPr>
              <w:tabs>
                <w:tab w:val="left" w:pos="3600"/>
              </w:tabs>
              <w:spacing w:before="120" w:after="0"/>
              <w:jc w:val="center"/>
              <w:rPr>
                <w:rFonts w:ascii="Palatino Linotype" w:hAnsi="Palatino Linotype"/>
                <w:sz w:val="16"/>
                <w:szCs w:val="16"/>
              </w:rPr>
            </w:pPr>
            <w:r w:rsidRPr="00D011DE">
              <w:rPr>
                <w:rFonts w:ascii="Palatino Linotype" w:hAnsi="Palatino Linotype"/>
                <w:sz w:val="16"/>
                <w:szCs w:val="16"/>
              </w:rPr>
              <w:t>100.0</w:t>
            </w:r>
            <w:r w:rsidRPr="00D011DE" w:rsidR="00D011DE">
              <w:rPr>
                <w:rFonts w:ascii="Palatino Linotype" w:hAnsi="Palatino Linotype"/>
                <w:sz w:val="16"/>
                <w:szCs w:val="16"/>
              </w:rPr>
              <w:t>%</w:t>
            </w:r>
          </w:p>
        </w:tc>
        <w:tc>
          <w:tcPr>
            <w:tcW w:w="810" w:type="dxa"/>
            <w:shd w:val="clear" w:color="auto" w:fill="FFFFFF" w:themeFill="background1"/>
            <w:vAlign w:val="center"/>
          </w:tcPr>
          <w:p w:rsidRPr="00D011DE" w:rsidR="00BE0B48" w:rsidP="00730145" w:rsidRDefault="00D011DE" w14:paraId="72B2641E" w14:textId="47FBFC6C">
            <w:pPr>
              <w:tabs>
                <w:tab w:val="left" w:pos="3600"/>
              </w:tabs>
              <w:spacing w:before="120" w:after="0"/>
              <w:jc w:val="center"/>
              <w:rPr>
                <w:rFonts w:ascii="Palatino Linotype" w:hAnsi="Palatino Linotype"/>
                <w:sz w:val="16"/>
                <w:szCs w:val="16"/>
              </w:rPr>
            </w:pPr>
            <w:r w:rsidRPr="00D011DE">
              <w:rPr>
                <w:rFonts w:ascii="Palatino Linotype" w:hAnsi="Palatino Linotype"/>
                <w:sz w:val="16"/>
                <w:szCs w:val="16"/>
              </w:rPr>
              <w:t>90.0%</w:t>
            </w:r>
          </w:p>
        </w:tc>
        <w:tc>
          <w:tcPr>
            <w:tcW w:w="810" w:type="dxa"/>
            <w:shd w:val="clear" w:color="auto" w:fill="FFFFFF" w:themeFill="background1"/>
            <w:vAlign w:val="center"/>
          </w:tcPr>
          <w:p w:rsidR="00BE0B48" w:rsidP="00730145" w:rsidRDefault="00D011DE" w14:paraId="40B7BC66" w14:textId="4FCD6ED0">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810" w:type="dxa"/>
            <w:shd w:val="clear" w:color="auto" w:fill="FFFFFF" w:themeFill="background1"/>
            <w:vAlign w:val="center"/>
          </w:tcPr>
          <w:p w:rsidR="00BE0B48" w:rsidP="00730145" w:rsidRDefault="003E471E" w14:paraId="63C3654D" w14:textId="698E266C">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81.82%</w:t>
            </w:r>
          </w:p>
        </w:tc>
        <w:tc>
          <w:tcPr>
            <w:tcW w:w="720" w:type="dxa"/>
            <w:shd w:val="clear" w:color="auto" w:fill="FFFFFF" w:themeFill="background1"/>
            <w:vAlign w:val="center"/>
          </w:tcPr>
          <w:p w:rsidR="00BE0B48" w:rsidP="00730145" w:rsidRDefault="00B909A7" w14:paraId="5A12296A" w14:textId="0B42E218">
            <w:pPr>
              <w:tabs>
                <w:tab w:val="left" w:pos="3600"/>
              </w:tabs>
              <w:spacing w:before="120" w:after="0"/>
              <w:jc w:val="center"/>
              <w:rPr>
                <w:rFonts w:ascii="Palatino Linotype" w:hAnsi="Palatino Linotype"/>
                <w:sz w:val="16"/>
                <w:szCs w:val="16"/>
              </w:rPr>
            </w:pPr>
            <w:r>
              <w:rPr>
                <w:rFonts w:ascii="Palatino Linotype" w:hAnsi="Palatino Linotype"/>
                <w:sz w:val="16"/>
                <w:szCs w:val="16"/>
              </w:rPr>
              <w:t>100.0%</w:t>
            </w:r>
          </w:p>
        </w:tc>
        <w:tc>
          <w:tcPr>
            <w:tcW w:w="720" w:type="dxa"/>
            <w:shd w:val="clear" w:color="auto" w:fill="FFFFFF" w:themeFill="background1"/>
            <w:vAlign w:val="center"/>
          </w:tcPr>
          <w:p w:rsidR="00BE0B48" w:rsidP="00730145" w:rsidRDefault="00B909A7" w14:paraId="05CBBDAC" w14:textId="3486C57E">
            <w:pPr>
              <w:tabs>
                <w:tab w:val="left" w:pos="3600"/>
              </w:tabs>
              <w:spacing w:before="120" w:after="0"/>
              <w:jc w:val="center"/>
              <w:rPr>
                <w:rFonts w:ascii="Palatino Linotype" w:hAnsi="Palatino Linotype"/>
                <w:sz w:val="16"/>
                <w:szCs w:val="16"/>
              </w:rPr>
            </w:pPr>
            <w:r w:rsidRPr="00D416BF">
              <w:rPr>
                <w:rFonts w:ascii="Palatino Linotype" w:hAnsi="Palatino Linotype"/>
                <w:color w:val="EE0000"/>
                <w:sz w:val="16"/>
                <w:szCs w:val="16"/>
              </w:rPr>
              <w:t>75.0%</w:t>
            </w:r>
          </w:p>
        </w:tc>
        <w:tc>
          <w:tcPr>
            <w:tcW w:w="720" w:type="dxa"/>
            <w:shd w:val="clear" w:color="auto" w:fill="FFFFFF" w:themeFill="background1"/>
            <w:vAlign w:val="center"/>
          </w:tcPr>
          <w:p w:rsidR="00BE0B48" w:rsidP="00730145" w:rsidRDefault="00B909A7" w14:paraId="7438341E" w14:textId="03E71BCC">
            <w:pPr>
              <w:tabs>
                <w:tab w:val="left" w:pos="3600"/>
              </w:tabs>
              <w:spacing w:before="120" w:after="0"/>
              <w:jc w:val="center"/>
              <w:rPr>
                <w:rFonts w:ascii="Palatino Linotype" w:hAnsi="Palatino Linotype"/>
                <w:color w:val="FF0000"/>
                <w:sz w:val="16"/>
                <w:szCs w:val="16"/>
              </w:rPr>
            </w:pPr>
            <w:r w:rsidRPr="00E920EA">
              <w:rPr>
                <w:rFonts w:ascii="Palatino Linotype" w:hAnsi="Palatino Linotype"/>
                <w:sz w:val="16"/>
                <w:szCs w:val="16"/>
              </w:rPr>
              <w:t>100.0%</w:t>
            </w:r>
          </w:p>
        </w:tc>
        <w:tc>
          <w:tcPr>
            <w:tcW w:w="810" w:type="dxa"/>
            <w:shd w:val="clear" w:color="auto" w:fill="FFFFFF" w:themeFill="background1"/>
            <w:vAlign w:val="center"/>
          </w:tcPr>
          <w:p w:rsidR="00BE0B48" w:rsidP="00730145" w:rsidRDefault="00B909A7" w14:paraId="2B344B6D" w14:textId="1F2D4320">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77.78%</w:t>
            </w:r>
          </w:p>
        </w:tc>
        <w:tc>
          <w:tcPr>
            <w:tcW w:w="720" w:type="dxa"/>
            <w:shd w:val="clear" w:color="auto" w:fill="FFFFFF" w:themeFill="background1"/>
            <w:vAlign w:val="center"/>
          </w:tcPr>
          <w:p w:rsidRPr="00E920EA" w:rsidR="00BE0B48" w:rsidP="00730145" w:rsidRDefault="00E920EA" w14:paraId="103E5710" w14:textId="2F1D7308">
            <w:pPr>
              <w:tabs>
                <w:tab w:val="left" w:pos="3600"/>
              </w:tabs>
              <w:spacing w:before="120" w:after="0"/>
              <w:jc w:val="center"/>
              <w:rPr>
                <w:rFonts w:ascii="Palatino Linotype" w:hAnsi="Palatino Linotype"/>
                <w:color w:val="EE0000"/>
                <w:sz w:val="16"/>
                <w:szCs w:val="16"/>
              </w:rPr>
            </w:pPr>
            <w:r w:rsidRPr="00E920EA">
              <w:rPr>
                <w:rFonts w:ascii="Palatino Linotype" w:hAnsi="Palatino Linotype"/>
                <w:color w:val="EE0000"/>
                <w:sz w:val="16"/>
                <w:szCs w:val="16"/>
              </w:rPr>
              <w:t>80.0%</w:t>
            </w:r>
          </w:p>
        </w:tc>
        <w:tc>
          <w:tcPr>
            <w:tcW w:w="810" w:type="dxa"/>
            <w:shd w:val="clear" w:color="auto" w:fill="FFFFFF" w:themeFill="background1"/>
            <w:vAlign w:val="center"/>
          </w:tcPr>
          <w:p w:rsidRPr="00E920EA" w:rsidR="00BE0B48" w:rsidP="00730145" w:rsidRDefault="00E920EA" w14:paraId="429EB8B6" w14:textId="38AA2A8D">
            <w:pPr>
              <w:tabs>
                <w:tab w:val="left" w:pos="3600"/>
              </w:tabs>
              <w:spacing w:before="120" w:after="0"/>
              <w:jc w:val="center"/>
              <w:rPr>
                <w:rFonts w:ascii="Palatino Linotype" w:hAnsi="Palatino Linotype"/>
                <w:color w:val="EE0000"/>
                <w:sz w:val="16"/>
                <w:szCs w:val="16"/>
              </w:rPr>
            </w:pPr>
            <w:r w:rsidRPr="00E920EA">
              <w:rPr>
                <w:rFonts w:ascii="Palatino Linotype" w:hAnsi="Palatino Linotype"/>
                <w:color w:val="EE0000"/>
                <w:sz w:val="16"/>
                <w:szCs w:val="16"/>
              </w:rPr>
              <w:t>75.0%</w:t>
            </w:r>
            <w:r w:rsidR="00F903C3">
              <w:rPr>
                <w:rFonts w:ascii="Palatino Linotype" w:hAnsi="Palatino Linotype"/>
                <w:color w:val="EE0000"/>
                <w:sz w:val="16"/>
                <w:szCs w:val="16"/>
              </w:rPr>
              <w:t>*</w:t>
            </w:r>
          </w:p>
        </w:tc>
        <w:tc>
          <w:tcPr>
            <w:tcW w:w="810" w:type="dxa"/>
            <w:shd w:val="clear" w:color="auto" w:fill="FFFFFF" w:themeFill="background1"/>
            <w:vAlign w:val="center"/>
          </w:tcPr>
          <w:p w:rsidR="00BE0B48" w:rsidP="00730145" w:rsidRDefault="00E920EA" w14:paraId="5E20E4EC" w14:textId="732F39E5">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80.0%</w:t>
            </w:r>
            <w:r w:rsidR="00F903C3">
              <w:rPr>
                <w:rFonts w:ascii="Palatino Linotype" w:hAnsi="Palatino Linotype"/>
                <w:color w:val="FF0000"/>
                <w:sz w:val="16"/>
                <w:szCs w:val="16"/>
              </w:rPr>
              <w:t>*</w:t>
            </w:r>
          </w:p>
        </w:tc>
        <w:tc>
          <w:tcPr>
            <w:tcW w:w="815" w:type="dxa"/>
            <w:shd w:val="clear" w:color="auto" w:fill="FFFFFF" w:themeFill="background1"/>
            <w:vAlign w:val="center"/>
          </w:tcPr>
          <w:p w:rsidR="00BE0B48" w:rsidP="00730145" w:rsidRDefault="00E920EA" w14:paraId="2EFB2487" w14:textId="75CCEDF7">
            <w:pPr>
              <w:tabs>
                <w:tab w:val="left" w:pos="3600"/>
              </w:tabs>
              <w:spacing w:before="120" w:after="0"/>
              <w:jc w:val="center"/>
              <w:rPr>
                <w:rFonts w:ascii="Palatino Linotype" w:hAnsi="Palatino Linotype"/>
                <w:color w:val="FF0000"/>
                <w:sz w:val="16"/>
                <w:szCs w:val="16"/>
              </w:rPr>
            </w:pPr>
            <w:r>
              <w:rPr>
                <w:rFonts w:ascii="Palatino Linotype" w:hAnsi="Palatino Linotype"/>
                <w:color w:val="FF0000"/>
                <w:sz w:val="16"/>
                <w:szCs w:val="16"/>
              </w:rPr>
              <w:t>71.43%</w:t>
            </w:r>
            <w:r w:rsidR="00F903C3">
              <w:rPr>
                <w:rFonts w:ascii="Palatino Linotype" w:hAnsi="Palatino Linotype"/>
                <w:color w:val="FF0000"/>
                <w:sz w:val="16"/>
                <w:szCs w:val="16"/>
              </w:rPr>
              <w:t>*</w:t>
            </w:r>
          </w:p>
        </w:tc>
      </w:tr>
      <w:bookmarkEnd w:id="2"/>
    </w:tbl>
    <w:p w:rsidRPr="00B32424" w:rsidR="00745B49" w:rsidP="00755E15" w:rsidRDefault="00745B49" w14:paraId="7F0DE465" w14:textId="77777777">
      <w:pPr>
        <w:spacing w:after="0" w:line="240" w:lineRule="auto"/>
        <w:ind w:right="187"/>
        <w:rPr>
          <w:rFonts w:ascii="Palatino Linotype" w:hAnsi="Palatino Linotype"/>
          <w:color w:val="FF0000"/>
          <w:sz w:val="24"/>
          <w:szCs w:val="24"/>
        </w:rPr>
      </w:pPr>
    </w:p>
    <w:p w:rsidRPr="00555078" w:rsidR="00664560" w:rsidP="00664560" w:rsidRDefault="00664560" w14:paraId="52FFFE50" w14:textId="7AFE015B">
      <w:pPr>
        <w:spacing w:after="0" w:line="240" w:lineRule="auto"/>
        <w:ind w:right="187"/>
        <w:rPr>
          <w:rFonts w:ascii="Palatino Linotype" w:hAnsi="Palatino Linotype"/>
          <w:sz w:val="24"/>
          <w:szCs w:val="24"/>
        </w:rPr>
      </w:pPr>
      <w:r w:rsidRPr="00555078">
        <w:rPr>
          <w:rFonts w:ascii="Palatino Linotype" w:hAnsi="Palatino Linotype"/>
          <w:sz w:val="24"/>
          <w:szCs w:val="24"/>
        </w:rPr>
        <w:t xml:space="preserve">Frontier Southwest’s </w:t>
      </w:r>
      <w:r w:rsidRPr="00555078" w:rsidR="00BE7585">
        <w:rPr>
          <w:rFonts w:ascii="Palatino Linotype" w:hAnsi="Palatino Linotype"/>
          <w:sz w:val="24"/>
          <w:szCs w:val="24"/>
        </w:rPr>
        <w:t>OOS</w:t>
      </w:r>
      <w:r w:rsidRPr="00555078">
        <w:rPr>
          <w:rFonts w:ascii="Palatino Linotype" w:hAnsi="Palatino Linotype"/>
          <w:sz w:val="24"/>
          <w:szCs w:val="24"/>
        </w:rPr>
        <w:t xml:space="preserve"> repair rate was below 90% </w:t>
      </w:r>
      <w:r w:rsidRPr="00555078" w:rsidR="00BE7585">
        <w:rPr>
          <w:rFonts w:ascii="Palatino Linotype" w:hAnsi="Palatino Linotype"/>
          <w:sz w:val="24"/>
          <w:szCs w:val="24"/>
        </w:rPr>
        <w:t xml:space="preserve">and in ‘chronic failure status’ </w:t>
      </w:r>
      <w:r w:rsidRPr="00555078" w:rsidR="001428E8">
        <w:rPr>
          <w:rFonts w:ascii="Palatino Linotype" w:hAnsi="Palatino Linotype"/>
          <w:sz w:val="24"/>
          <w:szCs w:val="24"/>
        </w:rPr>
        <w:t>du</w:t>
      </w:r>
      <w:r w:rsidRPr="00555078" w:rsidR="00BE7585">
        <w:rPr>
          <w:rFonts w:ascii="Palatino Linotype" w:hAnsi="Palatino Linotype"/>
          <w:sz w:val="24"/>
          <w:szCs w:val="24"/>
        </w:rPr>
        <w:t>ring January</w:t>
      </w:r>
      <w:r w:rsidRPr="00555078" w:rsidR="00E47473">
        <w:rPr>
          <w:rFonts w:ascii="Palatino Linotype" w:hAnsi="Palatino Linotype"/>
          <w:sz w:val="24"/>
          <w:szCs w:val="24"/>
        </w:rPr>
        <w:t>,</w:t>
      </w:r>
      <w:r w:rsidRPr="00555078" w:rsidR="00BE7585">
        <w:rPr>
          <w:rFonts w:ascii="Palatino Linotype" w:hAnsi="Palatino Linotype"/>
          <w:sz w:val="24"/>
          <w:szCs w:val="24"/>
        </w:rPr>
        <w:t xml:space="preserve"> February</w:t>
      </w:r>
      <w:r w:rsidRPr="00555078" w:rsidR="00E47473">
        <w:rPr>
          <w:rFonts w:ascii="Palatino Linotype" w:hAnsi="Palatino Linotype"/>
          <w:sz w:val="24"/>
          <w:szCs w:val="24"/>
        </w:rPr>
        <w:t>, and April</w:t>
      </w:r>
      <w:r w:rsidRPr="00555078" w:rsidR="00BE7585">
        <w:rPr>
          <w:rFonts w:ascii="Palatino Linotype" w:hAnsi="Palatino Linotype"/>
          <w:sz w:val="24"/>
          <w:szCs w:val="24"/>
        </w:rPr>
        <w:t xml:space="preserve"> </w:t>
      </w:r>
      <w:r w:rsidRPr="00555078" w:rsidR="000F6D13">
        <w:rPr>
          <w:rFonts w:ascii="Palatino Linotype" w:hAnsi="Palatino Linotype"/>
          <w:sz w:val="24"/>
          <w:szCs w:val="24"/>
        </w:rPr>
        <w:t>2025</w:t>
      </w:r>
      <w:r w:rsidRPr="00555078" w:rsidR="00BE7585">
        <w:rPr>
          <w:rFonts w:ascii="Palatino Linotype" w:hAnsi="Palatino Linotype"/>
          <w:sz w:val="24"/>
          <w:szCs w:val="24"/>
        </w:rPr>
        <w:t>.  Frontier</w:t>
      </w:r>
      <w:r w:rsidRPr="00555078" w:rsidR="00FF26B1">
        <w:rPr>
          <w:rFonts w:ascii="Palatino Linotype" w:hAnsi="Palatino Linotype"/>
          <w:sz w:val="24"/>
          <w:szCs w:val="24"/>
        </w:rPr>
        <w:t xml:space="preserve"> SW</w:t>
      </w:r>
      <w:r w:rsidRPr="00555078" w:rsidR="00BE7585">
        <w:rPr>
          <w:rFonts w:ascii="Palatino Linotype" w:hAnsi="Palatino Linotype"/>
          <w:sz w:val="24"/>
          <w:szCs w:val="24"/>
        </w:rPr>
        <w:t>’s OOS was below 90% i</w:t>
      </w:r>
      <w:r w:rsidRPr="00555078" w:rsidR="00E47473">
        <w:rPr>
          <w:rFonts w:ascii="Palatino Linotype" w:hAnsi="Palatino Linotype"/>
          <w:sz w:val="24"/>
          <w:szCs w:val="24"/>
        </w:rPr>
        <w:t>n</w:t>
      </w:r>
      <w:r w:rsidRPr="00555078" w:rsidR="00BE7585">
        <w:rPr>
          <w:rFonts w:ascii="Palatino Linotype" w:hAnsi="Palatino Linotype"/>
          <w:sz w:val="24"/>
          <w:szCs w:val="24"/>
        </w:rPr>
        <w:t xml:space="preserve"> November and December </w:t>
      </w:r>
      <w:r w:rsidRPr="00555078" w:rsidR="000F6D13">
        <w:rPr>
          <w:rFonts w:ascii="Palatino Linotype" w:hAnsi="Palatino Linotype"/>
          <w:sz w:val="24"/>
          <w:szCs w:val="24"/>
        </w:rPr>
        <w:t>2025</w:t>
      </w:r>
      <w:r w:rsidRPr="00555078" w:rsidR="00BE7585">
        <w:rPr>
          <w:rFonts w:ascii="Palatino Linotype" w:hAnsi="Palatino Linotype"/>
          <w:sz w:val="24"/>
          <w:szCs w:val="24"/>
        </w:rPr>
        <w:t xml:space="preserve">, however no fines were incurred for those months as the metric was not below 90% for more than two consecutive months.  </w:t>
      </w:r>
      <w:r w:rsidRPr="00555078">
        <w:rPr>
          <w:rFonts w:ascii="Palatino Linotype" w:hAnsi="Palatino Linotype"/>
          <w:sz w:val="24"/>
          <w:szCs w:val="24"/>
        </w:rPr>
        <w:t xml:space="preserve">Frontier SW’s OOS proposed fine calculation in </w:t>
      </w:r>
      <w:r w:rsidRPr="00555078" w:rsidR="00B74CD4">
        <w:rPr>
          <w:rFonts w:ascii="Palatino Linotype" w:hAnsi="Palatino Linotype"/>
          <w:sz w:val="24"/>
          <w:szCs w:val="24"/>
        </w:rPr>
        <w:t xml:space="preserve">AL </w:t>
      </w:r>
      <w:r w:rsidRPr="00555078" w:rsidR="00253B91">
        <w:rPr>
          <w:rFonts w:ascii="Palatino Linotype" w:hAnsi="Palatino Linotype"/>
          <w:sz w:val="24"/>
          <w:szCs w:val="24"/>
        </w:rPr>
        <w:t>238</w:t>
      </w:r>
      <w:r w:rsidRPr="00555078">
        <w:rPr>
          <w:rFonts w:ascii="Palatino Linotype" w:hAnsi="Palatino Linotype"/>
          <w:sz w:val="24"/>
          <w:szCs w:val="24"/>
        </w:rPr>
        <w:t xml:space="preserve"> is accurate and was calculated as follows:  </w:t>
      </w:r>
    </w:p>
    <w:p w:rsidRPr="00440616" w:rsidR="00664560" w:rsidP="00664560" w:rsidRDefault="00664560" w14:paraId="41CC1436" w14:textId="77777777">
      <w:pPr>
        <w:spacing w:after="0" w:line="240" w:lineRule="auto"/>
        <w:ind w:right="187"/>
        <w:rPr>
          <w:rFonts w:ascii="Palatino Linotype" w:hAnsi="Palatino Linotype"/>
          <w:sz w:val="24"/>
          <w:szCs w:val="24"/>
          <w:highlight w:val="yellow"/>
        </w:rPr>
      </w:pPr>
    </w:p>
    <w:p w:rsidRPr="00D66AE9" w:rsidR="00016336" w:rsidP="00CA5B1C" w:rsidRDefault="00664560" w14:paraId="4D302A97" w14:textId="4BC35190">
      <w:pPr>
        <w:spacing w:after="0" w:line="240" w:lineRule="auto"/>
        <w:ind w:right="187"/>
        <w:jc w:val="center"/>
        <w:rPr>
          <w:rFonts w:ascii="Palatino Linotype" w:hAnsi="Palatino Linotype"/>
          <w:sz w:val="24"/>
          <w:szCs w:val="24"/>
        </w:rPr>
      </w:pPr>
      <w:r w:rsidRPr="00D66AE9">
        <w:rPr>
          <w:rFonts w:ascii="Palatino Linotype" w:hAnsi="Palatino Linotype"/>
          <w:sz w:val="24"/>
          <w:szCs w:val="24"/>
        </w:rPr>
        <w:t>(</w:t>
      </w:r>
      <w:r w:rsidRPr="00D66AE9" w:rsidR="00D25B32">
        <w:rPr>
          <w:rFonts w:ascii="Palatino Linotype" w:hAnsi="Palatino Linotype"/>
          <w:sz w:val="24"/>
          <w:szCs w:val="24"/>
        </w:rPr>
        <w:t xml:space="preserve">Frontier SW </w:t>
      </w:r>
      <w:r w:rsidRPr="00D66AE9">
        <w:rPr>
          <w:rFonts w:ascii="Palatino Linotype" w:hAnsi="Palatino Linotype"/>
          <w:sz w:val="24"/>
          <w:szCs w:val="24"/>
        </w:rPr>
        <w:t xml:space="preserve">Scaling Factor </w:t>
      </w:r>
      <w:r w:rsidRPr="00D66AE9">
        <w:rPr>
          <w:rFonts w:ascii="Palatino Linotype" w:hAnsi="Palatino Linotype"/>
          <w:sz w:val="24"/>
          <w:szCs w:val="24"/>
          <w:u w:val="single"/>
        </w:rPr>
        <w:t>0.000</w:t>
      </w:r>
      <w:r w:rsidRPr="00D66AE9" w:rsidR="005B577D">
        <w:rPr>
          <w:rFonts w:ascii="Palatino Linotype" w:hAnsi="Palatino Linotype"/>
          <w:sz w:val="24"/>
          <w:szCs w:val="24"/>
          <w:u w:val="single"/>
        </w:rPr>
        <w:t>6</w:t>
      </w:r>
      <w:r w:rsidRPr="00D66AE9">
        <w:rPr>
          <w:rFonts w:ascii="Palatino Linotype" w:hAnsi="Palatino Linotype"/>
          <w:sz w:val="24"/>
          <w:szCs w:val="24"/>
        </w:rPr>
        <w:t xml:space="preserve"> X (Monthly Base Fine </w:t>
      </w:r>
      <w:r w:rsidRPr="00D66AE9">
        <w:rPr>
          <w:rFonts w:ascii="Palatino Linotype" w:hAnsi="Palatino Linotype"/>
          <w:sz w:val="24"/>
          <w:szCs w:val="24"/>
          <w:u w:val="single"/>
        </w:rPr>
        <w:t>$750,000</w:t>
      </w:r>
      <w:r w:rsidRPr="00D66AE9">
        <w:rPr>
          <w:rFonts w:ascii="Palatino Linotype" w:hAnsi="Palatino Linotype"/>
          <w:sz w:val="24"/>
          <w:szCs w:val="24"/>
        </w:rPr>
        <w:t xml:space="preserve">) X    </w:t>
      </w:r>
    </w:p>
    <w:p w:rsidRPr="00B74CD4" w:rsidR="00664560" w:rsidP="00CA5B1C" w:rsidRDefault="00664560" w14:paraId="4BDECDED" w14:textId="14E7423F">
      <w:pPr>
        <w:spacing w:after="0" w:line="240" w:lineRule="auto"/>
        <w:ind w:right="187"/>
        <w:jc w:val="center"/>
        <w:rPr>
          <w:rFonts w:ascii="Palatino Linotype" w:hAnsi="Palatino Linotype"/>
          <w:b/>
          <w:bCs/>
          <w:sz w:val="24"/>
          <w:szCs w:val="24"/>
        </w:rPr>
      </w:pPr>
      <w:r w:rsidRPr="00D66AE9">
        <w:rPr>
          <w:rFonts w:ascii="Palatino Linotype" w:hAnsi="Palatino Linotype"/>
          <w:sz w:val="24"/>
          <w:szCs w:val="24"/>
        </w:rPr>
        <w:t xml:space="preserve"> (Number of Months in Chronic Failure </w:t>
      </w:r>
      <w:r w:rsidRPr="00D66AE9" w:rsidR="00BE7585">
        <w:rPr>
          <w:rFonts w:ascii="Palatino Linotype" w:hAnsi="Palatino Linotype"/>
          <w:sz w:val="24"/>
          <w:szCs w:val="24"/>
          <w:u w:val="single"/>
        </w:rPr>
        <w:t>2</w:t>
      </w:r>
      <w:r w:rsidRPr="00D66AE9">
        <w:rPr>
          <w:rFonts w:ascii="Palatino Linotype" w:hAnsi="Palatino Linotype"/>
          <w:sz w:val="24"/>
          <w:szCs w:val="24"/>
        </w:rPr>
        <w:t xml:space="preserve">) = </w:t>
      </w:r>
      <w:r w:rsidRPr="00D66AE9">
        <w:rPr>
          <w:rFonts w:ascii="Palatino Linotype" w:hAnsi="Palatino Linotype"/>
          <w:b/>
          <w:bCs/>
          <w:sz w:val="24"/>
          <w:szCs w:val="24"/>
        </w:rPr>
        <w:t>$</w:t>
      </w:r>
      <w:r w:rsidRPr="00D66AE9" w:rsidR="00BE7585">
        <w:rPr>
          <w:rFonts w:ascii="Palatino Linotype" w:hAnsi="Palatino Linotype"/>
          <w:b/>
          <w:bCs/>
          <w:sz w:val="24"/>
          <w:szCs w:val="24"/>
        </w:rPr>
        <w:t>1,</w:t>
      </w:r>
      <w:r w:rsidRPr="00D66AE9" w:rsidR="00D66AE9">
        <w:rPr>
          <w:rFonts w:ascii="Palatino Linotype" w:hAnsi="Palatino Linotype"/>
          <w:b/>
          <w:bCs/>
          <w:sz w:val="24"/>
          <w:szCs w:val="24"/>
        </w:rPr>
        <w:t>3</w:t>
      </w:r>
      <w:r w:rsidRPr="00D66AE9" w:rsidR="00BE7585">
        <w:rPr>
          <w:rFonts w:ascii="Palatino Linotype" w:hAnsi="Palatino Linotype"/>
          <w:b/>
          <w:bCs/>
          <w:sz w:val="24"/>
          <w:szCs w:val="24"/>
        </w:rPr>
        <w:t>50</w:t>
      </w:r>
    </w:p>
    <w:p w:rsidR="00664560" w:rsidP="00755E15" w:rsidRDefault="00664560" w14:paraId="3D8EEC97" w14:textId="77777777">
      <w:pPr>
        <w:spacing w:after="0" w:line="240" w:lineRule="auto"/>
        <w:ind w:right="187"/>
        <w:rPr>
          <w:rFonts w:ascii="Palatino Linotype" w:hAnsi="Palatino Linotype"/>
          <w:color w:val="FF0000"/>
          <w:sz w:val="24"/>
          <w:szCs w:val="24"/>
        </w:rPr>
      </w:pPr>
    </w:p>
    <w:p w:rsidRPr="00236EC0" w:rsidR="00440616" w:rsidP="00440616" w:rsidRDefault="008077E4" w14:paraId="69285AF0" w14:textId="6AD1DACA">
      <w:pPr>
        <w:spacing w:after="0" w:line="240" w:lineRule="auto"/>
        <w:ind w:right="187"/>
        <w:rPr>
          <w:rFonts w:ascii="Palatino Linotype" w:hAnsi="Palatino Linotype"/>
          <w:sz w:val="24"/>
          <w:szCs w:val="24"/>
        </w:rPr>
      </w:pPr>
      <w:r w:rsidRPr="00236EC0">
        <w:rPr>
          <w:rFonts w:ascii="Palatino Linotype" w:hAnsi="Palatino Linotype"/>
          <w:sz w:val="24"/>
          <w:szCs w:val="24"/>
        </w:rPr>
        <w:t>Happy Valley’</w:t>
      </w:r>
      <w:r w:rsidRPr="00236EC0" w:rsidR="00440616">
        <w:rPr>
          <w:rFonts w:ascii="Palatino Linotype" w:hAnsi="Palatino Linotype"/>
          <w:sz w:val="24"/>
          <w:szCs w:val="24"/>
        </w:rPr>
        <w:t xml:space="preserve">s OOS repair rate was below 90% and in ‘chronic failure status’ during </w:t>
      </w:r>
      <w:r w:rsidRPr="00236EC0" w:rsidR="006F737A">
        <w:rPr>
          <w:rFonts w:ascii="Palatino Linotype" w:hAnsi="Palatino Linotype"/>
          <w:sz w:val="24"/>
          <w:szCs w:val="24"/>
        </w:rPr>
        <w:t>October, November, and December</w:t>
      </w:r>
      <w:r w:rsidRPr="00236EC0" w:rsidR="00440616">
        <w:rPr>
          <w:rFonts w:ascii="Palatino Linotype" w:hAnsi="Palatino Linotype"/>
          <w:sz w:val="24"/>
          <w:szCs w:val="24"/>
        </w:rPr>
        <w:t xml:space="preserve"> 2025.  </w:t>
      </w:r>
      <w:r w:rsidRPr="00236EC0" w:rsidR="00826404">
        <w:rPr>
          <w:rFonts w:ascii="Palatino Linotype" w:hAnsi="Palatino Linotype"/>
          <w:sz w:val="24"/>
          <w:szCs w:val="24"/>
        </w:rPr>
        <w:t>Happy Valley</w:t>
      </w:r>
      <w:r w:rsidRPr="00236EC0" w:rsidR="00440616">
        <w:rPr>
          <w:rFonts w:ascii="Palatino Linotype" w:hAnsi="Palatino Linotype"/>
          <w:sz w:val="24"/>
          <w:szCs w:val="24"/>
        </w:rPr>
        <w:t xml:space="preserve">’s OOS was below 90% in </w:t>
      </w:r>
      <w:r w:rsidRPr="00236EC0" w:rsidR="006F737A">
        <w:rPr>
          <w:rFonts w:ascii="Palatino Linotype" w:hAnsi="Palatino Linotype"/>
          <w:sz w:val="24"/>
          <w:szCs w:val="24"/>
        </w:rPr>
        <w:t>April</w:t>
      </w:r>
      <w:r w:rsidRPr="00236EC0" w:rsidR="00440616">
        <w:rPr>
          <w:rFonts w:ascii="Palatino Linotype" w:hAnsi="Palatino Linotype"/>
          <w:sz w:val="24"/>
          <w:szCs w:val="24"/>
        </w:rPr>
        <w:t xml:space="preserve"> and </w:t>
      </w:r>
      <w:r w:rsidRPr="00236EC0" w:rsidR="003B1863">
        <w:rPr>
          <w:rFonts w:ascii="Palatino Linotype" w:hAnsi="Palatino Linotype"/>
          <w:sz w:val="24"/>
          <w:szCs w:val="24"/>
        </w:rPr>
        <w:t>June</w:t>
      </w:r>
      <w:r w:rsidRPr="00236EC0" w:rsidR="00440616">
        <w:rPr>
          <w:rFonts w:ascii="Palatino Linotype" w:hAnsi="Palatino Linotype"/>
          <w:sz w:val="24"/>
          <w:szCs w:val="24"/>
        </w:rPr>
        <w:t xml:space="preserve">, however no fines were incurred for those months as the metric was not below 90% for more than two consecutive months.  </w:t>
      </w:r>
      <w:r w:rsidRPr="00236EC0" w:rsidR="00FF26B1">
        <w:rPr>
          <w:rFonts w:ascii="Palatino Linotype" w:hAnsi="Palatino Linotype"/>
          <w:sz w:val="24"/>
          <w:szCs w:val="24"/>
        </w:rPr>
        <w:t>Happy Valley</w:t>
      </w:r>
      <w:r w:rsidRPr="00236EC0" w:rsidR="00440616">
        <w:rPr>
          <w:rFonts w:ascii="Palatino Linotype" w:hAnsi="Palatino Linotype"/>
          <w:sz w:val="24"/>
          <w:szCs w:val="24"/>
        </w:rPr>
        <w:t xml:space="preserve">’s OOS proposed fine calculation in AL 238 is accurate and was calculated as follows:  </w:t>
      </w:r>
    </w:p>
    <w:p w:rsidRPr="00440616" w:rsidR="00440616" w:rsidP="00440616" w:rsidRDefault="00440616" w14:paraId="4C359981" w14:textId="77777777">
      <w:pPr>
        <w:spacing w:after="0" w:line="240" w:lineRule="auto"/>
        <w:ind w:right="187"/>
        <w:rPr>
          <w:rFonts w:ascii="Palatino Linotype" w:hAnsi="Palatino Linotype"/>
          <w:sz w:val="24"/>
          <w:szCs w:val="24"/>
          <w:highlight w:val="yellow"/>
        </w:rPr>
      </w:pPr>
    </w:p>
    <w:p w:rsidRPr="00AF472E" w:rsidR="00440616" w:rsidP="00440616" w:rsidRDefault="00440616" w14:paraId="3F4ECE6B" w14:textId="5A81B7F8">
      <w:pPr>
        <w:spacing w:after="0" w:line="240" w:lineRule="auto"/>
        <w:ind w:right="187"/>
        <w:jc w:val="center"/>
        <w:rPr>
          <w:rFonts w:ascii="Palatino Linotype" w:hAnsi="Palatino Linotype"/>
          <w:sz w:val="24"/>
          <w:szCs w:val="24"/>
        </w:rPr>
      </w:pPr>
      <w:r w:rsidRPr="00AF472E">
        <w:rPr>
          <w:rFonts w:ascii="Palatino Linotype" w:hAnsi="Palatino Linotype"/>
          <w:sz w:val="24"/>
          <w:szCs w:val="24"/>
        </w:rPr>
        <w:t>(</w:t>
      </w:r>
      <w:r w:rsidRPr="00AF472E" w:rsidR="002B665F">
        <w:rPr>
          <w:rFonts w:ascii="Palatino Linotype" w:hAnsi="Palatino Linotype"/>
          <w:sz w:val="24"/>
          <w:szCs w:val="24"/>
        </w:rPr>
        <w:t>Happy Valley</w:t>
      </w:r>
      <w:r w:rsidRPr="00AF472E">
        <w:rPr>
          <w:rFonts w:ascii="Palatino Linotype" w:hAnsi="Palatino Linotype"/>
          <w:sz w:val="24"/>
          <w:szCs w:val="24"/>
        </w:rPr>
        <w:t xml:space="preserve"> Scaling Factor </w:t>
      </w:r>
      <w:r w:rsidRPr="00AF472E">
        <w:rPr>
          <w:rFonts w:ascii="Palatino Linotype" w:hAnsi="Palatino Linotype"/>
          <w:sz w:val="24"/>
          <w:szCs w:val="24"/>
          <w:u w:val="single"/>
        </w:rPr>
        <w:t>0.000</w:t>
      </w:r>
      <w:r w:rsidRPr="00AF472E" w:rsidR="002B665F">
        <w:rPr>
          <w:rFonts w:ascii="Palatino Linotype" w:hAnsi="Palatino Linotype"/>
          <w:sz w:val="24"/>
          <w:szCs w:val="24"/>
          <w:u w:val="single"/>
        </w:rPr>
        <w:t>5</w:t>
      </w:r>
      <w:r w:rsidRPr="00AF472E">
        <w:rPr>
          <w:rFonts w:ascii="Palatino Linotype" w:hAnsi="Palatino Linotype"/>
          <w:sz w:val="24"/>
          <w:szCs w:val="24"/>
        </w:rPr>
        <w:t xml:space="preserve"> X (Monthly Base Fine </w:t>
      </w:r>
      <w:r w:rsidRPr="00AF472E">
        <w:rPr>
          <w:rFonts w:ascii="Palatino Linotype" w:hAnsi="Palatino Linotype"/>
          <w:sz w:val="24"/>
          <w:szCs w:val="24"/>
          <w:u w:val="single"/>
        </w:rPr>
        <w:t>$750,000</w:t>
      </w:r>
      <w:r w:rsidRPr="00AF472E">
        <w:rPr>
          <w:rFonts w:ascii="Palatino Linotype" w:hAnsi="Palatino Linotype"/>
          <w:sz w:val="24"/>
          <w:szCs w:val="24"/>
        </w:rPr>
        <w:t xml:space="preserve">) X    </w:t>
      </w:r>
    </w:p>
    <w:p w:rsidRPr="00B32424" w:rsidR="00440616" w:rsidP="00440616" w:rsidRDefault="00440616" w14:paraId="786C2DDC" w14:textId="1919B269">
      <w:pPr>
        <w:spacing w:after="0" w:line="240" w:lineRule="auto"/>
        <w:ind w:right="187"/>
        <w:rPr>
          <w:rFonts w:ascii="Palatino Linotype" w:hAnsi="Palatino Linotype"/>
          <w:color w:val="FF0000"/>
          <w:sz w:val="24"/>
          <w:szCs w:val="24"/>
        </w:rPr>
      </w:pPr>
      <w:r w:rsidRPr="00AF472E">
        <w:rPr>
          <w:rFonts w:ascii="Palatino Linotype" w:hAnsi="Palatino Linotype"/>
          <w:sz w:val="24"/>
          <w:szCs w:val="24"/>
        </w:rPr>
        <w:t xml:space="preserve"> (Number of Months in Chronic Failure </w:t>
      </w:r>
      <w:r w:rsidRPr="00AF472E">
        <w:rPr>
          <w:rFonts w:ascii="Palatino Linotype" w:hAnsi="Palatino Linotype"/>
          <w:sz w:val="24"/>
          <w:szCs w:val="24"/>
          <w:u w:val="single"/>
        </w:rPr>
        <w:t>2</w:t>
      </w:r>
      <w:r w:rsidRPr="00AF472E">
        <w:rPr>
          <w:rFonts w:ascii="Palatino Linotype" w:hAnsi="Palatino Linotype"/>
          <w:sz w:val="24"/>
          <w:szCs w:val="24"/>
        </w:rPr>
        <w:t xml:space="preserve">) = </w:t>
      </w:r>
      <w:r w:rsidRPr="00AF472E">
        <w:rPr>
          <w:rFonts w:ascii="Palatino Linotype" w:hAnsi="Palatino Linotype"/>
          <w:b/>
          <w:bCs/>
          <w:sz w:val="24"/>
          <w:szCs w:val="24"/>
        </w:rPr>
        <w:t>$1,</w:t>
      </w:r>
      <w:r w:rsidRPr="00AF472E" w:rsidR="00AF472E">
        <w:rPr>
          <w:rFonts w:ascii="Palatino Linotype" w:hAnsi="Palatino Linotype"/>
          <w:b/>
          <w:bCs/>
          <w:sz w:val="24"/>
          <w:szCs w:val="24"/>
        </w:rPr>
        <w:t>125</w:t>
      </w:r>
    </w:p>
    <w:p w:rsidRPr="00755E15" w:rsidR="004946FB" w:rsidP="004946FB" w:rsidRDefault="004946FB" w14:paraId="2F17417C" w14:textId="77777777">
      <w:pPr>
        <w:spacing w:before="120" w:after="120"/>
        <w:ind w:right="180"/>
        <w:jc w:val="both"/>
        <w:rPr>
          <w:rFonts w:ascii="Palatino Linotype" w:hAnsi="Palatino Linotype"/>
          <w:b/>
          <w:bCs/>
          <w:sz w:val="24"/>
          <w:szCs w:val="24"/>
        </w:rPr>
      </w:pPr>
    </w:p>
    <w:p w:rsidRPr="004946FB" w:rsidR="005B281B" w:rsidP="004946FB" w:rsidRDefault="005B281B" w14:paraId="2A3809B7" w14:textId="77777777">
      <w:pPr>
        <w:pStyle w:val="ListParagraph"/>
        <w:numPr>
          <w:ilvl w:val="0"/>
          <w:numId w:val="15"/>
        </w:numPr>
        <w:spacing w:before="120" w:after="120"/>
        <w:ind w:left="1080"/>
        <w:rPr>
          <w:rFonts w:ascii="Palatino Linotype" w:hAnsi="Palatino Linotype"/>
          <w:b/>
          <w:i/>
          <w:sz w:val="24"/>
          <w:szCs w:val="24"/>
          <w:u w:val="single"/>
        </w:rPr>
      </w:pPr>
      <w:r w:rsidRPr="004946FB">
        <w:rPr>
          <w:rFonts w:ascii="Palatino Linotype" w:hAnsi="Palatino Linotype"/>
          <w:b/>
          <w:i/>
          <w:sz w:val="24"/>
          <w:szCs w:val="24"/>
          <w:u w:val="single"/>
        </w:rPr>
        <w:t xml:space="preserve">Customer Trouble Reports </w:t>
      </w:r>
    </w:p>
    <w:p w:rsidRPr="00755E15" w:rsidR="005B281B" w:rsidP="00755E15" w:rsidRDefault="005B281B" w14:paraId="42D978E3"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Pr>
          <w:rFonts w:ascii="Palatino Linotype" w:hAnsi="Palatino Linotype"/>
          <w:i/>
          <w:sz w:val="24"/>
          <w:szCs w:val="24"/>
        </w:rPr>
        <w:t xml:space="preserve">Customer Trouble Reports </w:t>
      </w:r>
      <w:r w:rsidRPr="00755E15">
        <w:rPr>
          <w:rFonts w:ascii="Palatino Linotype" w:hAnsi="Palatino Linotype"/>
          <w:sz w:val="24"/>
          <w:szCs w:val="24"/>
        </w:rPr>
        <w:t xml:space="preserve">standard, </w:t>
      </w:r>
      <w:r w:rsidR="002A7141">
        <w:rPr>
          <w:rFonts w:ascii="Palatino Linotype" w:hAnsi="Palatino Linotype"/>
          <w:sz w:val="24"/>
          <w:szCs w:val="24"/>
        </w:rPr>
        <w:t>outlined</w:t>
      </w:r>
      <w:r w:rsidRPr="00755E15">
        <w:rPr>
          <w:rFonts w:ascii="Palatino Linotype" w:hAnsi="Palatino Linotype"/>
          <w:sz w:val="24"/>
          <w:szCs w:val="24"/>
        </w:rPr>
        <w:t xml:space="preserve"> in Section 3.3, measures the number of </w:t>
      </w:r>
      <w:r w:rsidR="00B85C6C">
        <w:rPr>
          <w:rFonts w:ascii="Palatino Linotype" w:hAnsi="Palatino Linotype"/>
          <w:sz w:val="24"/>
          <w:szCs w:val="24"/>
        </w:rPr>
        <w:t>complaints received by</w:t>
      </w:r>
      <w:r w:rsidRPr="00755E15">
        <w:rPr>
          <w:rFonts w:ascii="Palatino Linotype" w:hAnsi="Palatino Linotype"/>
          <w:sz w:val="24"/>
          <w:szCs w:val="24"/>
        </w:rPr>
        <w:t xml:space="preserve"> a carrier from its customers regarding their dissatisfaction with </w:t>
      </w:r>
      <w:r w:rsidRPr="00755E15" w:rsidR="008C124F">
        <w:rPr>
          <w:rFonts w:ascii="Palatino Linotype" w:hAnsi="Palatino Linotype"/>
          <w:sz w:val="24"/>
          <w:szCs w:val="24"/>
        </w:rPr>
        <w:t xml:space="preserve">company </w:t>
      </w:r>
      <w:r w:rsidRPr="00755E15">
        <w:rPr>
          <w:rFonts w:ascii="Palatino Linotype" w:hAnsi="Palatino Linotype"/>
          <w:sz w:val="24"/>
          <w:szCs w:val="24"/>
        </w:rPr>
        <w:t xml:space="preserve">telephone services.  The Minimum Standard Reporting Level for the </w:t>
      </w:r>
      <w:r w:rsidRPr="00755E15">
        <w:rPr>
          <w:rFonts w:ascii="Palatino Linotype" w:hAnsi="Palatino Linotype"/>
          <w:i/>
          <w:sz w:val="24"/>
          <w:szCs w:val="24"/>
        </w:rPr>
        <w:t>Customer Trouble Reports</w:t>
      </w:r>
      <w:r w:rsidRPr="00755E15">
        <w:rPr>
          <w:rFonts w:ascii="Palatino Linotype" w:hAnsi="Palatino Linotype"/>
          <w:sz w:val="24"/>
          <w:szCs w:val="24"/>
        </w:rPr>
        <w:t xml:space="preserve"> measurement varies </w:t>
      </w:r>
      <w:r w:rsidR="000B5BA3">
        <w:rPr>
          <w:rFonts w:ascii="Palatino Linotype" w:hAnsi="Palatino Linotype"/>
          <w:sz w:val="24"/>
          <w:szCs w:val="24"/>
        </w:rPr>
        <w:t>depending</w:t>
      </w:r>
      <w:r w:rsidRPr="00755E15">
        <w:rPr>
          <w:rFonts w:ascii="Palatino Linotype" w:hAnsi="Palatino Linotype"/>
          <w:sz w:val="24"/>
          <w:szCs w:val="24"/>
        </w:rPr>
        <w:t xml:space="preserve"> on the number of working lines per reporting unit. </w:t>
      </w:r>
    </w:p>
    <w:p w:rsidR="00481631" w:rsidP="007142A3" w:rsidRDefault="00481631" w14:paraId="732377BB" w14:textId="77777777">
      <w:pPr>
        <w:spacing w:before="120" w:after="120"/>
        <w:rPr>
          <w:rFonts w:ascii="Palatino Linotype" w:hAnsi="Palatino Linotype"/>
          <w:sz w:val="24"/>
          <w:szCs w:val="24"/>
        </w:rPr>
      </w:pPr>
    </w:p>
    <w:p w:rsidR="002E37E3" w:rsidP="007142A3" w:rsidRDefault="00F2719E" w14:paraId="2BFF7A47" w14:textId="04F98301">
      <w:pPr>
        <w:spacing w:before="120" w:after="120"/>
        <w:rPr>
          <w:rFonts w:ascii="Palatino Linotype" w:hAnsi="Palatino Linotype"/>
          <w:sz w:val="24"/>
          <w:szCs w:val="24"/>
        </w:rPr>
      </w:pPr>
      <w:r>
        <w:rPr>
          <w:rFonts w:ascii="Palatino Linotype" w:hAnsi="Palatino Linotype"/>
          <w:sz w:val="24"/>
          <w:szCs w:val="24"/>
        </w:rPr>
        <w:t>All c</w:t>
      </w:r>
      <w:r w:rsidR="00966584">
        <w:rPr>
          <w:rFonts w:ascii="Palatino Linotype" w:hAnsi="Palatino Linotype"/>
          <w:sz w:val="24"/>
          <w:szCs w:val="24"/>
        </w:rPr>
        <w:t xml:space="preserve">arriers </w:t>
      </w:r>
      <w:r w:rsidR="004449E9">
        <w:rPr>
          <w:rFonts w:ascii="Palatino Linotype" w:hAnsi="Palatino Linotype"/>
          <w:sz w:val="24"/>
          <w:szCs w:val="24"/>
        </w:rPr>
        <w:t>in</w:t>
      </w:r>
      <w:r w:rsidR="00F15BCF">
        <w:rPr>
          <w:rFonts w:ascii="Palatino Linotype" w:hAnsi="Palatino Linotype"/>
          <w:sz w:val="24"/>
          <w:szCs w:val="24"/>
        </w:rPr>
        <w:t xml:space="preserve">volved </w:t>
      </w:r>
      <w:r w:rsidR="004449E9">
        <w:rPr>
          <w:rFonts w:ascii="Palatino Linotype" w:hAnsi="Palatino Linotype"/>
          <w:sz w:val="24"/>
          <w:szCs w:val="24"/>
        </w:rPr>
        <w:t xml:space="preserve">in this resolution </w:t>
      </w:r>
      <w:r w:rsidRPr="00755E15" w:rsidR="00353649">
        <w:rPr>
          <w:rFonts w:ascii="Palatino Linotype" w:hAnsi="Palatino Linotype"/>
          <w:sz w:val="24"/>
          <w:szCs w:val="24"/>
        </w:rPr>
        <w:t xml:space="preserve">met the </w:t>
      </w:r>
      <w:r w:rsidRPr="00755E15" w:rsidR="00353649">
        <w:rPr>
          <w:rFonts w:ascii="Palatino Linotype" w:hAnsi="Palatino Linotype"/>
          <w:i/>
          <w:sz w:val="24"/>
          <w:szCs w:val="24"/>
        </w:rPr>
        <w:t xml:space="preserve">Customer Trouble Reports </w:t>
      </w:r>
      <w:r w:rsidRPr="00755E15" w:rsidR="00353649">
        <w:rPr>
          <w:rFonts w:ascii="Palatino Linotype" w:hAnsi="Palatino Linotype"/>
          <w:sz w:val="24"/>
          <w:szCs w:val="24"/>
        </w:rPr>
        <w:t>standard</w:t>
      </w:r>
      <w:r w:rsidR="00CA5B1C">
        <w:rPr>
          <w:rFonts w:ascii="Palatino Linotype" w:hAnsi="Palatino Linotype"/>
          <w:sz w:val="24"/>
          <w:szCs w:val="24"/>
        </w:rPr>
        <w:t xml:space="preserve"> during </w:t>
      </w:r>
      <w:r w:rsidR="000F6D13">
        <w:rPr>
          <w:rFonts w:ascii="Palatino Linotype" w:hAnsi="Palatino Linotype"/>
          <w:sz w:val="24"/>
          <w:szCs w:val="24"/>
        </w:rPr>
        <w:t>2025</w:t>
      </w:r>
      <w:r w:rsidRPr="00755E15" w:rsidR="00353649">
        <w:rPr>
          <w:rFonts w:ascii="Palatino Linotype" w:hAnsi="Palatino Linotype"/>
          <w:sz w:val="24"/>
          <w:szCs w:val="24"/>
        </w:rPr>
        <w:t>.</w:t>
      </w:r>
    </w:p>
    <w:p w:rsidRPr="00755E15" w:rsidR="00DE356C" w:rsidP="007142A3" w:rsidRDefault="00DE356C" w14:paraId="0302B928" w14:textId="77777777">
      <w:pPr>
        <w:spacing w:before="120" w:after="120"/>
        <w:rPr>
          <w:rFonts w:ascii="Palatino Linotype" w:hAnsi="Palatino Linotype"/>
          <w:sz w:val="24"/>
          <w:szCs w:val="24"/>
        </w:rPr>
      </w:pPr>
    </w:p>
    <w:p w:rsidRPr="00C360E7" w:rsidR="005B281B" w:rsidP="008600FE" w:rsidRDefault="005B281B" w14:paraId="1A85F253" w14:textId="77777777">
      <w:pPr>
        <w:pStyle w:val="ListParagraph"/>
        <w:numPr>
          <w:ilvl w:val="0"/>
          <w:numId w:val="15"/>
        </w:numPr>
        <w:tabs>
          <w:tab w:val="left" w:pos="720"/>
        </w:tabs>
        <w:spacing w:before="120" w:after="120"/>
        <w:ind w:left="1080"/>
        <w:rPr>
          <w:rFonts w:ascii="Palatino Linotype" w:hAnsi="Palatino Linotype"/>
          <w:b/>
          <w:sz w:val="24"/>
          <w:szCs w:val="24"/>
        </w:rPr>
      </w:pPr>
      <w:r w:rsidRPr="00C360E7">
        <w:rPr>
          <w:rFonts w:ascii="Palatino Linotype" w:hAnsi="Palatino Linotype"/>
          <w:b/>
          <w:i/>
          <w:sz w:val="24"/>
          <w:szCs w:val="24"/>
          <w:u w:val="single"/>
        </w:rPr>
        <w:t>Answer Time for Trouble Reports and Billing and Non-Billing Inquiries</w:t>
      </w:r>
    </w:p>
    <w:p w:rsidRPr="00755E15" w:rsidR="007C50B0" w:rsidP="00755E15" w:rsidRDefault="007C50B0" w14:paraId="1FAE15E0"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Pr>
          <w:rFonts w:ascii="Palatino Linotype" w:hAnsi="Palatino Linotype"/>
          <w:i/>
          <w:sz w:val="24"/>
          <w:szCs w:val="24"/>
        </w:rPr>
        <w:t xml:space="preserve">Answer Time </w:t>
      </w:r>
      <w:r w:rsidRPr="00755E15">
        <w:rPr>
          <w:rFonts w:ascii="Palatino Linotype" w:hAnsi="Palatino Linotype"/>
          <w:sz w:val="24"/>
          <w:szCs w:val="24"/>
        </w:rPr>
        <w:t>standard</w:t>
      </w:r>
      <w:r w:rsidRPr="00755E15" w:rsidR="00232EAF">
        <w:rPr>
          <w:rFonts w:ascii="Palatino Linotype" w:hAnsi="Palatino Linotype"/>
          <w:sz w:val="24"/>
          <w:szCs w:val="24"/>
        </w:rPr>
        <w:t xml:space="preserve">, </w:t>
      </w:r>
      <w:r w:rsidR="00493888">
        <w:rPr>
          <w:rFonts w:ascii="Palatino Linotype" w:hAnsi="Palatino Linotype"/>
          <w:sz w:val="24"/>
          <w:szCs w:val="24"/>
        </w:rPr>
        <w:t>outlined</w:t>
      </w:r>
      <w:r w:rsidRPr="00755E15" w:rsidR="00232EAF">
        <w:rPr>
          <w:rFonts w:ascii="Palatino Linotype" w:hAnsi="Palatino Linotype"/>
          <w:sz w:val="24"/>
          <w:szCs w:val="24"/>
        </w:rPr>
        <w:t xml:space="preserve"> in §</w:t>
      </w:r>
      <w:r w:rsidRPr="00755E15" w:rsidR="00520FBA">
        <w:rPr>
          <w:rFonts w:ascii="Palatino Linotype" w:hAnsi="Palatino Linotype"/>
          <w:sz w:val="24"/>
          <w:szCs w:val="24"/>
        </w:rPr>
        <w:t xml:space="preserve"> </w:t>
      </w:r>
      <w:r w:rsidRPr="00755E15" w:rsidR="00232EAF">
        <w:rPr>
          <w:rFonts w:ascii="Palatino Linotype" w:hAnsi="Palatino Linotype"/>
          <w:sz w:val="24"/>
          <w:szCs w:val="24"/>
        </w:rPr>
        <w:t>3.5,</w:t>
      </w:r>
      <w:r w:rsidRPr="00755E15">
        <w:rPr>
          <w:rFonts w:ascii="Palatino Linotype" w:hAnsi="Palatino Linotype"/>
          <w:sz w:val="24"/>
          <w:szCs w:val="24"/>
        </w:rPr>
        <w:t xml:space="preserve"> measures the amount of time it takes for an operator to answer the phone when customers call a business office for billing and non-</w:t>
      </w:r>
      <w:r w:rsidRPr="00755E15">
        <w:rPr>
          <w:rFonts w:ascii="Palatino Linotype" w:hAnsi="Palatino Linotype"/>
          <w:sz w:val="24"/>
          <w:szCs w:val="24"/>
        </w:rPr>
        <w:lastRenderedPageBreak/>
        <w:t>billing inquiries</w:t>
      </w:r>
      <w:r w:rsidR="00146276">
        <w:rPr>
          <w:rFonts w:ascii="Palatino Linotype" w:hAnsi="Palatino Linotype"/>
          <w:sz w:val="24"/>
          <w:szCs w:val="24"/>
        </w:rPr>
        <w:t>,</w:t>
      </w:r>
      <w:r w:rsidRPr="00755E15">
        <w:rPr>
          <w:rFonts w:ascii="Palatino Linotype" w:hAnsi="Palatino Linotype"/>
          <w:sz w:val="24"/>
          <w:szCs w:val="24"/>
        </w:rPr>
        <w:t xml:space="preserve"> or a repair office </w:t>
      </w:r>
      <w:r w:rsidR="005C7838">
        <w:rPr>
          <w:rFonts w:ascii="Palatino Linotype" w:hAnsi="Palatino Linotype"/>
          <w:sz w:val="24"/>
          <w:szCs w:val="24"/>
        </w:rPr>
        <w:t>to report issues.</w:t>
      </w:r>
      <w:r w:rsidRPr="00755E15">
        <w:rPr>
          <w:rFonts w:ascii="Palatino Linotype" w:hAnsi="Palatino Linotype"/>
          <w:sz w:val="24"/>
          <w:szCs w:val="24"/>
        </w:rPr>
        <w:t xml:space="preserve">  The value is</w:t>
      </w:r>
      <w:r w:rsidRPr="00755E15" w:rsidR="00AB779A">
        <w:rPr>
          <w:rFonts w:ascii="Palatino Linotype" w:hAnsi="Palatino Linotype"/>
          <w:sz w:val="24"/>
          <w:szCs w:val="24"/>
        </w:rPr>
        <w:t xml:space="preserve"> </w:t>
      </w:r>
      <w:r w:rsidRPr="00755E15">
        <w:rPr>
          <w:rFonts w:ascii="Palatino Linotype" w:hAnsi="Palatino Linotype"/>
          <w:sz w:val="24"/>
          <w:szCs w:val="24"/>
        </w:rPr>
        <w:t>calculated as an average answer time</w:t>
      </w:r>
      <w:r w:rsidRPr="00755E15" w:rsidR="00BF215A">
        <w:rPr>
          <w:rFonts w:ascii="Palatino Linotype" w:hAnsi="Palatino Linotype"/>
          <w:sz w:val="24"/>
          <w:szCs w:val="24"/>
        </w:rPr>
        <w:t xml:space="preserve"> of</w:t>
      </w:r>
      <w:r w:rsidRPr="00755E15">
        <w:rPr>
          <w:rFonts w:ascii="Palatino Linotype" w:hAnsi="Palatino Linotype"/>
          <w:sz w:val="24"/>
          <w:szCs w:val="24"/>
        </w:rPr>
        <w:t xml:space="preserve"> a sample of </w:t>
      </w:r>
      <w:r w:rsidRPr="00755E15" w:rsidR="00BF215A">
        <w:rPr>
          <w:rFonts w:ascii="Palatino Linotype" w:hAnsi="Palatino Linotype"/>
          <w:sz w:val="24"/>
          <w:szCs w:val="24"/>
        </w:rPr>
        <w:t xml:space="preserve">the answering interval of </w:t>
      </w:r>
      <w:r w:rsidRPr="00755E15">
        <w:rPr>
          <w:rFonts w:ascii="Palatino Linotype" w:hAnsi="Palatino Linotype"/>
          <w:sz w:val="24"/>
          <w:szCs w:val="24"/>
        </w:rPr>
        <w:t>calls to</w:t>
      </w:r>
      <w:r w:rsidRPr="00755E15" w:rsidR="00ED3F5A">
        <w:rPr>
          <w:rFonts w:ascii="Palatino Linotype" w:hAnsi="Palatino Linotype"/>
          <w:sz w:val="24"/>
          <w:szCs w:val="24"/>
        </w:rPr>
        <w:t xml:space="preserve"> </w:t>
      </w:r>
      <w:r w:rsidRPr="00755E15">
        <w:rPr>
          <w:rFonts w:ascii="Palatino Linotype" w:hAnsi="Palatino Linotype"/>
          <w:sz w:val="24"/>
          <w:szCs w:val="24"/>
        </w:rPr>
        <w:t>business and repair office</w:t>
      </w:r>
      <w:r w:rsidRPr="00755E15" w:rsidR="00BF215A">
        <w:rPr>
          <w:rFonts w:ascii="Palatino Linotype" w:hAnsi="Palatino Linotype"/>
          <w:sz w:val="24"/>
          <w:szCs w:val="24"/>
        </w:rPr>
        <w:t>s</w:t>
      </w:r>
      <w:r w:rsidRPr="00755E15">
        <w:rPr>
          <w:rFonts w:ascii="Palatino Linotype" w:hAnsi="Palatino Linotype"/>
          <w:sz w:val="24"/>
          <w:szCs w:val="24"/>
        </w:rPr>
        <w:t xml:space="preserve"> that is representative of the reported period.</w:t>
      </w:r>
    </w:p>
    <w:p w:rsidR="004841AF" w:rsidP="004841AF" w:rsidRDefault="004841AF" w14:paraId="7489F3EF" w14:textId="77777777">
      <w:pPr>
        <w:spacing w:after="0" w:line="240" w:lineRule="auto"/>
        <w:rPr>
          <w:rFonts w:ascii="Palatino Linotype" w:hAnsi="Palatino Linotype"/>
          <w:sz w:val="24"/>
          <w:szCs w:val="24"/>
        </w:rPr>
      </w:pPr>
    </w:p>
    <w:p w:rsidR="004841AF" w:rsidP="00755E15" w:rsidRDefault="00A556AF" w14:paraId="6B60158D" w14:textId="77777777">
      <w:pPr>
        <w:spacing w:after="0" w:line="240" w:lineRule="auto"/>
        <w:rPr>
          <w:rFonts w:ascii="Palatino Linotype" w:hAnsi="Palatino Linotype"/>
          <w:sz w:val="24"/>
          <w:szCs w:val="24"/>
        </w:rPr>
      </w:pPr>
      <w:r w:rsidRPr="00755E15">
        <w:rPr>
          <w:rFonts w:ascii="Palatino Linotype" w:hAnsi="Palatino Linotype"/>
          <w:sz w:val="24"/>
          <w:szCs w:val="24"/>
        </w:rPr>
        <w:t xml:space="preserve">The </w:t>
      </w:r>
      <w:r w:rsidRPr="00755E15" w:rsidR="0092760C">
        <w:rPr>
          <w:rFonts w:ascii="Palatino Linotype" w:hAnsi="Palatino Linotype"/>
          <w:sz w:val="24"/>
          <w:szCs w:val="24"/>
        </w:rPr>
        <w:t>M</w:t>
      </w:r>
      <w:r w:rsidRPr="00755E15">
        <w:rPr>
          <w:rFonts w:ascii="Palatino Linotype" w:hAnsi="Palatino Linotype"/>
          <w:sz w:val="24"/>
          <w:szCs w:val="24"/>
        </w:rPr>
        <w:t xml:space="preserve">inimum </w:t>
      </w:r>
      <w:r w:rsidRPr="00755E15" w:rsidR="0092760C">
        <w:rPr>
          <w:rFonts w:ascii="Palatino Linotype" w:hAnsi="Palatino Linotype"/>
          <w:sz w:val="24"/>
          <w:szCs w:val="24"/>
        </w:rPr>
        <w:t>S</w:t>
      </w:r>
      <w:r w:rsidRPr="00755E15">
        <w:rPr>
          <w:rFonts w:ascii="Palatino Linotype" w:hAnsi="Palatino Linotype"/>
          <w:sz w:val="24"/>
          <w:szCs w:val="24"/>
        </w:rPr>
        <w:t xml:space="preserve">tandard </w:t>
      </w:r>
      <w:r w:rsidRPr="00755E15" w:rsidR="0092760C">
        <w:rPr>
          <w:rFonts w:ascii="Palatino Linotype" w:hAnsi="Palatino Linotype"/>
          <w:sz w:val="24"/>
          <w:szCs w:val="24"/>
        </w:rPr>
        <w:t>R</w:t>
      </w:r>
      <w:r w:rsidRPr="00755E15">
        <w:rPr>
          <w:rFonts w:ascii="Palatino Linotype" w:hAnsi="Palatino Linotype"/>
          <w:sz w:val="24"/>
          <w:szCs w:val="24"/>
        </w:rPr>
        <w:t xml:space="preserve">eporting </w:t>
      </w:r>
      <w:r w:rsidRPr="00755E15" w:rsidR="0092760C">
        <w:rPr>
          <w:rFonts w:ascii="Palatino Linotype" w:hAnsi="Palatino Linotype"/>
          <w:sz w:val="24"/>
          <w:szCs w:val="24"/>
        </w:rPr>
        <w:t>L</w:t>
      </w:r>
      <w:r w:rsidRPr="00755E15" w:rsidR="007C50B0">
        <w:rPr>
          <w:rFonts w:ascii="Palatino Linotype" w:hAnsi="Palatino Linotype"/>
          <w:sz w:val="24"/>
          <w:szCs w:val="24"/>
        </w:rPr>
        <w:t xml:space="preserve">evel for </w:t>
      </w:r>
      <w:r w:rsidRPr="00755E15" w:rsidR="007C50B0">
        <w:rPr>
          <w:rFonts w:ascii="Palatino Linotype" w:hAnsi="Palatino Linotype"/>
          <w:i/>
          <w:sz w:val="24"/>
          <w:szCs w:val="24"/>
        </w:rPr>
        <w:t>Answer Time</w:t>
      </w:r>
      <w:r w:rsidRPr="00755E15" w:rsidR="007C50B0">
        <w:rPr>
          <w:rFonts w:ascii="Palatino Linotype" w:hAnsi="Palatino Linotype"/>
          <w:sz w:val="24"/>
          <w:szCs w:val="24"/>
        </w:rPr>
        <w:t xml:space="preserve"> </w:t>
      </w:r>
      <w:r w:rsidR="00CE24EE">
        <w:rPr>
          <w:rFonts w:ascii="Palatino Linotype" w:hAnsi="Palatino Linotype"/>
          <w:sz w:val="24"/>
          <w:szCs w:val="24"/>
        </w:rPr>
        <w:t xml:space="preserve">requires that </w:t>
      </w:r>
      <w:r w:rsidR="00B016A8">
        <w:rPr>
          <w:rFonts w:ascii="Palatino Linotype" w:hAnsi="Palatino Linotype"/>
          <w:sz w:val="24"/>
          <w:szCs w:val="24"/>
        </w:rPr>
        <w:t>a mi</w:t>
      </w:r>
      <w:r w:rsidR="00124831">
        <w:rPr>
          <w:rFonts w:ascii="Palatino Linotype" w:hAnsi="Palatino Linotype"/>
          <w:sz w:val="24"/>
          <w:szCs w:val="24"/>
        </w:rPr>
        <w:t>nimum</w:t>
      </w:r>
      <w:r w:rsidRPr="00755E15" w:rsidR="007C50B0">
        <w:rPr>
          <w:rFonts w:ascii="Palatino Linotype" w:hAnsi="Palatino Linotype"/>
          <w:sz w:val="24"/>
          <w:szCs w:val="24"/>
        </w:rPr>
        <w:t xml:space="preserve"> of 80% of calls </w:t>
      </w:r>
      <w:r w:rsidR="00124831">
        <w:rPr>
          <w:rFonts w:ascii="Palatino Linotype" w:hAnsi="Palatino Linotype"/>
          <w:sz w:val="24"/>
          <w:szCs w:val="24"/>
        </w:rPr>
        <w:t xml:space="preserve">should </w:t>
      </w:r>
      <w:r w:rsidR="00603A57">
        <w:rPr>
          <w:rFonts w:ascii="Palatino Linotype" w:hAnsi="Palatino Linotype"/>
          <w:sz w:val="24"/>
          <w:szCs w:val="24"/>
        </w:rPr>
        <w:t>be</w:t>
      </w:r>
      <w:r w:rsidRPr="00755E15" w:rsidR="007C50B0">
        <w:rPr>
          <w:rFonts w:ascii="Palatino Linotype" w:hAnsi="Palatino Linotype"/>
          <w:sz w:val="24"/>
          <w:szCs w:val="24"/>
        </w:rPr>
        <w:t xml:space="preserve"> answered by an operator within 60 seconds</w:t>
      </w:r>
      <w:r w:rsidR="001557C1">
        <w:rPr>
          <w:rFonts w:ascii="Palatino Linotype" w:hAnsi="Palatino Linotype"/>
          <w:sz w:val="24"/>
          <w:szCs w:val="24"/>
        </w:rPr>
        <w:t>. This standard applies</w:t>
      </w:r>
      <w:r w:rsidR="00107A21">
        <w:rPr>
          <w:rFonts w:ascii="Palatino Linotype" w:hAnsi="Palatino Linotype"/>
          <w:sz w:val="24"/>
          <w:szCs w:val="24"/>
        </w:rPr>
        <w:t xml:space="preserve"> whether </w:t>
      </w:r>
      <w:r w:rsidR="0005091D">
        <w:rPr>
          <w:rFonts w:ascii="Palatino Linotype" w:hAnsi="Palatino Linotype"/>
          <w:sz w:val="24"/>
          <w:szCs w:val="24"/>
        </w:rPr>
        <w:t>the caller is</w:t>
      </w:r>
      <w:r w:rsidRPr="00755E15" w:rsidR="007C50B0">
        <w:rPr>
          <w:rFonts w:ascii="Palatino Linotype" w:hAnsi="Palatino Linotype"/>
          <w:sz w:val="24"/>
          <w:szCs w:val="24"/>
        </w:rPr>
        <w:t xml:space="preserve"> speaking</w:t>
      </w:r>
      <w:r w:rsidR="00DE356C">
        <w:rPr>
          <w:rFonts w:ascii="Palatino Linotype" w:hAnsi="Palatino Linotype"/>
          <w:sz w:val="24"/>
          <w:szCs w:val="24"/>
        </w:rPr>
        <w:t xml:space="preserve"> </w:t>
      </w:r>
      <w:r w:rsidRPr="00755E15" w:rsidR="0092760C">
        <w:rPr>
          <w:rFonts w:ascii="Palatino Linotype" w:hAnsi="Palatino Linotype"/>
          <w:sz w:val="24"/>
          <w:szCs w:val="24"/>
        </w:rPr>
        <w:t xml:space="preserve">to a live agent </w:t>
      </w:r>
      <w:r w:rsidR="007A2013">
        <w:rPr>
          <w:rFonts w:ascii="Palatino Linotype" w:hAnsi="Palatino Linotype"/>
          <w:sz w:val="24"/>
          <w:szCs w:val="24"/>
        </w:rPr>
        <w:t xml:space="preserve">or has </w:t>
      </w:r>
      <w:r w:rsidR="00CB5054">
        <w:rPr>
          <w:rFonts w:ascii="Palatino Linotype" w:hAnsi="Palatino Linotype"/>
          <w:sz w:val="24"/>
          <w:szCs w:val="24"/>
        </w:rPr>
        <w:t>initially engaged</w:t>
      </w:r>
      <w:r w:rsidRPr="00755E15" w:rsidR="0092760C">
        <w:rPr>
          <w:rFonts w:ascii="Palatino Linotype" w:hAnsi="Palatino Linotype"/>
          <w:sz w:val="24"/>
          <w:szCs w:val="24"/>
        </w:rPr>
        <w:t xml:space="preserve"> </w:t>
      </w:r>
      <w:r w:rsidR="00794F18">
        <w:rPr>
          <w:rFonts w:ascii="Palatino Linotype" w:hAnsi="Palatino Linotype"/>
          <w:sz w:val="24"/>
          <w:szCs w:val="24"/>
        </w:rPr>
        <w:t>with</w:t>
      </w:r>
      <w:r w:rsidRPr="00755E15" w:rsidR="007C50B0">
        <w:rPr>
          <w:rFonts w:ascii="Palatino Linotype" w:hAnsi="Palatino Linotype"/>
          <w:sz w:val="24"/>
          <w:szCs w:val="24"/>
        </w:rPr>
        <w:t xml:space="preserve"> an interactive voice response or automatic response unit system</w:t>
      </w:r>
      <w:r w:rsidR="00794F18">
        <w:rPr>
          <w:rFonts w:ascii="Palatino Linotype" w:hAnsi="Palatino Linotype"/>
          <w:sz w:val="24"/>
          <w:szCs w:val="24"/>
        </w:rPr>
        <w:t xml:space="preserve"> before reaching a live </w:t>
      </w:r>
      <w:r w:rsidR="00B26F82">
        <w:rPr>
          <w:rFonts w:ascii="Palatino Linotype" w:hAnsi="Palatino Linotype"/>
          <w:sz w:val="24"/>
          <w:szCs w:val="24"/>
        </w:rPr>
        <w:t>agent</w:t>
      </w:r>
      <w:r w:rsidRPr="00755E15" w:rsidR="007C50B0">
        <w:rPr>
          <w:rFonts w:ascii="Palatino Linotype" w:hAnsi="Palatino Linotype"/>
          <w:sz w:val="24"/>
          <w:szCs w:val="24"/>
        </w:rPr>
        <w:t xml:space="preserve">. </w:t>
      </w:r>
    </w:p>
    <w:p w:rsidR="006E6253" w:rsidP="00755E15" w:rsidRDefault="006E6253" w14:paraId="6027BAA1" w14:textId="77777777">
      <w:pPr>
        <w:spacing w:after="0" w:line="240" w:lineRule="auto"/>
        <w:ind w:right="180"/>
        <w:rPr>
          <w:rFonts w:ascii="Palatino Linotype" w:hAnsi="Palatino Linotype"/>
          <w:sz w:val="24"/>
          <w:szCs w:val="24"/>
        </w:rPr>
      </w:pPr>
    </w:p>
    <w:p w:rsidR="002413BA" w:rsidP="00755E15" w:rsidRDefault="006E6253" w14:paraId="6F2FAECB" w14:textId="2BCD030A">
      <w:pPr>
        <w:spacing w:after="0" w:line="240" w:lineRule="auto"/>
        <w:ind w:right="180"/>
        <w:rPr>
          <w:rFonts w:ascii="Palatino Linotype" w:hAnsi="Palatino Linotype"/>
          <w:sz w:val="24"/>
          <w:szCs w:val="24"/>
        </w:rPr>
      </w:pPr>
      <w:r>
        <w:rPr>
          <w:rFonts w:ascii="Palatino Linotype" w:hAnsi="Palatino Linotype"/>
          <w:sz w:val="24"/>
          <w:szCs w:val="24"/>
        </w:rPr>
        <w:t>Consolidated</w:t>
      </w:r>
      <w:r w:rsidR="00E81729">
        <w:rPr>
          <w:rFonts w:ascii="Palatino Linotype" w:hAnsi="Palatino Linotype"/>
          <w:sz w:val="24"/>
          <w:szCs w:val="24"/>
        </w:rPr>
        <w:t xml:space="preserve"> were </w:t>
      </w:r>
      <w:r>
        <w:rPr>
          <w:rFonts w:ascii="Palatino Linotype" w:hAnsi="Palatino Linotype"/>
          <w:sz w:val="24"/>
          <w:szCs w:val="24"/>
        </w:rPr>
        <w:t xml:space="preserve">assessed fines for the Answer Time metric in </w:t>
      </w:r>
      <w:r w:rsidR="000F6D13">
        <w:rPr>
          <w:rFonts w:ascii="Palatino Linotype" w:hAnsi="Palatino Linotype"/>
          <w:sz w:val="24"/>
          <w:szCs w:val="24"/>
        </w:rPr>
        <w:t>2025</w:t>
      </w:r>
      <w:r w:rsidR="007D492D">
        <w:rPr>
          <w:rFonts w:ascii="Palatino Linotype" w:hAnsi="Palatino Linotype"/>
          <w:sz w:val="24"/>
          <w:szCs w:val="24"/>
        </w:rPr>
        <w:t xml:space="preserve"> as shown in Table 5</w:t>
      </w:r>
      <w:r>
        <w:rPr>
          <w:rFonts w:ascii="Palatino Linotype" w:hAnsi="Palatino Linotype"/>
          <w:sz w:val="24"/>
          <w:szCs w:val="24"/>
        </w:rPr>
        <w:t>.</w:t>
      </w:r>
    </w:p>
    <w:p w:rsidR="001A1050" w:rsidP="00755E15" w:rsidRDefault="001A1050" w14:paraId="135188B3" w14:textId="77777777">
      <w:pPr>
        <w:spacing w:after="0" w:line="240" w:lineRule="auto"/>
        <w:ind w:right="180"/>
        <w:rPr>
          <w:rFonts w:ascii="Palatino Linotype" w:hAnsi="Palatino Linotype"/>
          <w:sz w:val="24"/>
          <w:szCs w:val="24"/>
        </w:rPr>
      </w:pPr>
    </w:p>
    <w:p w:rsidR="001A1050" w:rsidP="00755E15" w:rsidRDefault="001A1050" w14:paraId="39F604AF" w14:textId="77777777">
      <w:pPr>
        <w:spacing w:after="0" w:line="240" w:lineRule="auto"/>
        <w:ind w:right="180"/>
        <w:rPr>
          <w:rFonts w:ascii="Palatino Linotype" w:hAnsi="Palatino Linotype"/>
          <w:sz w:val="24"/>
          <w:szCs w:val="24"/>
        </w:rPr>
      </w:pPr>
    </w:p>
    <w:p w:rsidR="001A1050" w:rsidP="00755E15" w:rsidRDefault="001A1050" w14:paraId="2E1E7642" w14:textId="77777777">
      <w:pPr>
        <w:spacing w:after="0" w:line="240" w:lineRule="auto"/>
        <w:ind w:right="180"/>
        <w:rPr>
          <w:rFonts w:ascii="Palatino Linotype" w:hAnsi="Palatino Linotype"/>
          <w:sz w:val="24"/>
          <w:szCs w:val="24"/>
        </w:rPr>
      </w:pPr>
    </w:p>
    <w:p w:rsidR="00BA4578" w:rsidP="00DB5B89" w:rsidRDefault="00583BCD" w14:paraId="61AB7CCB" w14:textId="34F3F9B7">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E637F9">
        <w:rPr>
          <w:rFonts w:ascii="Palatino Linotype" w:hAnsi="Palatino Linotype"/>
          <w:b/>
          <w:sz w:val="24"/>
          <w:szCs w:val="24"/>
        </w:rPr>
        <w:t>5</w:t>
      </w:r>
      <w:r w:rsidRPr="001A1050">
        <w:rPr>
          <w:rFonts w:ascii="Palatino Linotype" w:hAnsi="Palatino Linotype"/>
          <w:b/>
          <w:sz w:val="24"/>
          <w:szCs w:val="24"/>
        </w:rPr>
        <w:t xml:space="preserve">: </w:t>
      </w:r>
      <w:r w:rsidR="000F6D13">
        <w:rPr>
          <w:rFonts w:ascii="Palatino Linotype" w:hAnsi="Palatino Linotype"/>
          <w:b/>
          <w:sz w:val="24"/>
          <w:szCs w:val="24"/>
        </w:rPr>
        <w:t>2025</w:t>
      </w:r>
      <w:r w:rsidRPr="001A1050" w:rsidR="006A5DB7">
        <w:rPr>
          <w:rFonts w:ascii="Palatino Linotype" w:hAnsi="Palatino Linotype"/>
          <w:b/>
          <w:sz w:val="24"/>
          <w:szCs w:val="24"/>
        </w:rPr>
        <w:t xml:space="preserve"> Answer Time Metric</w:t>
      </w:r>
      <w:r w:rsidRPr="001A1050">
        <w:rPr>
          <w:rFonts w:ascii="Palatino Linotype" w:hAnsi="Palatino Linotype"/>
          <w:b/>
          <w:sz w:val="24"/>
          <w:szCs w:val="24"/>
        </w:rPr>
        <w:t xml:space="preserve">   </w:t>
      </w:r>
    </w:p>
    <w:tbl>
      <w:tblPr>
        <w:tblW w:w="11214"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ayout w:type="fixed"/>
        <w:tblCellMar>
          <w:left w:w="0" w:type="dxa"/>
          <w:right w:w="0" w:type="dxa"/>
        </w:tblCellMar>
        <w:tblLook w:val="04A0" w:firstRow="1" w:lastRow="0" w:firstColumn="1" w:lastColumn="0" w:noHBand="0" w:noVBand="1"/>
      </w:tblPr>
      <w:tblGrid>
        <w:gridCol w:w="1625"/>
        <w:gridCol w:w="821"/>
        <w:gridCol w:w="743"/>
        <w:gridCol w:w="808"/>
        <w:gridCol w:w="730"/>
        <w:gridCol w:w="812"/>
        <w:gridCol w:w="852"/>
        <w:gridCol w:w="808"/>
        <w:gridCol w:w="781"/>
        <w:gridCol w:w="781"/>
        <w:gridCol w:w="851"/>
        <w:gridCol w:w="810"/>
        <w:gridCol w:w="784"/>
        <w:gridCol w:w="8"/>
      </w:tblGrid>
      <w:tr>
        <w:trPr>
          <w:trHeight w:val="885"/>
          <w:tblHeader/>
        </w:trPr>
        <w:tc>
          <w:tcPr>
            <w:tcW w:w="1625" w:type="dxa"/>
            <w:shd w:val="clear" w:color="auto" w:fill="F2F2F2" w:themeFill="background1" w:themeFillShade="F2"/>
          </w:tcPr>
          <w:p w:rsidRPr="00374C1A" w:rsidR="005321E1" w:rsidP="00372A7C" w:rsidRDefault="005321E1" w14:paraId="0ADF6824" w14:textId="77777777">
            <w:pPr>
              <w:jc w:val="center"/>
              <w:rPr>
                <w:rFonts w:ascii="Palatino Linotype" w:hAnsi="Palatino Linotype"/>
                <w:color w:val="000000"/>
              </w:rPr>
            </w:pPr>
            <w:bookmarkStart w:name="_Hlk134013600" w:id="4"/>
          </w:p>
        </w:tc>
        <w:tc>
          <w:tcPr>
            <w:tcW w:w="9589" w:type="dxa"/>
            <w:gridSpan w:val="13"/>
            <w:shd w:val="clear" w:color="auto" w:fill="FFFFFF" w:themeFill="background1"/>
            <w:tcMar>
              <w:top w:w="15" w:type="dxa"/>
              <w:left w:w="15" w:type="dxa"/>
              <w:bottom w:w="0" w:type="dxa"/>
              <w:right w:w="15" w:type="dxa"/>
            </w:tcMar>
            <w:vAlign w:val="center"/>
            <w:hideMark/>
          </w:tcPr>
          <w:p w:rsidRPr="00DF7C0E" w:rsidR="005321E1" w:rsidP="007C4AA5" w:rsidRDefault="000F6D13" w14:paraId="37AAF23D" w14:textId="7E3696B0">
            <w:pPr>
              <w:spacing w:after="0" w:line="240" w:lineRule="auto"/>
              <w:jc w:val="center"/>
              <w:rPr>
                <w:rFonts w:ascii="Palatino Linotype" w:hAnsi="Palatino Linotype"/>
                <w:b/>
                <w:bCs/>
                <w:color w:val="000000"/>
              </w:rPr>
            </w:pPr>
            <w:r>
              <w:rPr>
                <w:rFonts w:ascii="Palatino Linotype" w:hAnsi="Palatino Linotype"/>
                <w:b/>
                <w:bCs/>
                <w:color w:val="000000"/>
              </w:rPr>
              <w:t>2025</w:t>
            </w:r>
            <w:r w:rsidRPr="00DF7C0E" w:rsidR="005321E1">
              <w:rPr>
                <w:rFonts w:ascii="Palatino Linotype" w:hAnsi="Palatino Linotype"/>
                <w:b/>
                <w:bCs/>
                <w:color w:val="000000"/>
              </w:rPr>
              <w:t xml:space="preserve"> </w:t>
            </w:r>
            <w:r w:rsidR="005321E1">
              <w:rPr>
                <w:rFonts w:ascii="Palatino Linotype" w:hAnsi="Palatino Linotype"/>
                <w:b/>
                <w:bCs/>
                <w:i/>
                <w:color w:val="000000"/>
              </w:rPr>
              <w:t>Answer Time</w:t>
            </w:r>
            <w:r w:rsidRPr="00DF7C0E" w:rsidR="005321E1">
              <w:rPr>
                <w:rFonts w:ascii="Palatino Linotype" w:hAnsi="Palatino Linotype"/>
                <w:b/>
                <w:bCs/>
                <w:color w:val="000000"/>
              </w:rPr>
              <w:t xml:space="preserve"> – </w:t>
            </w:r>
            <w:r w:rsidR="005321E1">
              <w:rPr>
                <w:rFonts w:ascii="Palatino Linotype" w:hAnsi="Palatino Linotype"/>
                <w:b/>
                <w:bCs/>
                <w:color w:val="000000"/>
              </w:rPr>
              <w:t>8</w:t>
            </w:r>
            <w:r w:rsidRPr="00DF7C0E" w:rsidR="005321E1">
              <w:rPr>
                <w:rFonts w:ascii="Palatino Linotype" w:hAnsi="Palatino Linotype"/>
                <w:b/>
                <w:bCs/>
                <w:color w:val="000000"/>
              </w:rPr>
              <w:t>0% Minimum</w:t>
            </w:r>
          </w:p>
          <w:p w:rsidRPr="00374C1A" w:rsidR="005321E1" w:rsidP="007C4AA5" w:rsidRDefault="005321E1" w14:paraId="341BDABD" w14:textId="0F3FC963">
            <w:pPr>
              <w:spacing w:after="0" w:line="240" w:lineRule="auto"/>
              <w:jc w:val="center"/>
              <w:rPr>
                <w:rFonts w:ascii="Palatino Linotype" w:hAnsi="Palatino Linotype"/>
                <w:bCs/>
                <w:color w:val="000000"/>
              </w:rPr>
            </w:pPr>
            <w:r w:rsidRPr="00DF7C0E">
              <w:rPr>
                <w:rFonts w:ascii="Palatino Linotype" w:hAnsi="Palatino Linotype"/>
                <w:b/>
                <w:bCs/>
                <w:i/>
                <w:iCs/>
                <w:color w:val="000000"/>
              </w:rPr>
              <w:t>(*chronic failure status</w:t>
            </w:r>
            <w:r w:rsidR="007C4AA5">
              <w:rPr>
                <w:rFonts w:ascii="Palatino Linotype" w:hAnsi="Palatino Linotype"/>
                <w:b/>
                <w:bCs/>
                <w:i/>
                <w:iCs/>
                <w:color w:val="000000"/>
              </w:rPr>
              <w:t xml:space="preserve"> – fine assessed</w:t>
            </w:r>
            <w:r w:rsidRPr="00DF7C0E">
              <w:rPr>
                <w:rFonts w:ascii="Palatino Linotype" w:hAnsi="Palatino Linotype"/>
                <w:b/>
                <w:bCs/>
                <w:i/>
                <w:iCs/>
                <w:color w:val="000000"/>
              </w:rPr>
              <w:t>)</w:t>
            </w:r>
          </w:p>
        </w:tc>
      </w:tr>
      <w:tr>
        <w:tblPrEx>
          <w:tblCellMar>
            <w:left w:w="108" w:type="dxa"/>
            <w:right w:w="108" w:type="dxa"/>
          </w:tblCellMar>
        </w:tblPrEx>
        <w:trPr>
          <w:gridAfter w:val="1"/>
          <w:wAfter w:w="8" w:type="dxa"/>
          <w:trHeight w:val="401"/>
        </w:trPr>
        <w:tc>
          <w:tcPr>
            <w:tcW w:w="1625" w:type="dxa"/>
            <w:shd w:val="clear" w:color="auto" w:fill="F2F2F2" w:themeFill="background1" w:themeFillShade="F2"/>
            <w:vAlign w:val="center"/>
          </w:tcPr>
          <w:p w:rsidRPr="006679E2" w:rsidR="005321E1" w:rsidP="00372A7C" w:rsidRDefault="005321E1" w14:paraId="33567E3A" w14:textId="77777777">
            <w:pPr>
              <w:tabs>
                <w:tab w:val="left" w:pos="3600"/>
              </w:tabs>
              <w:spacing w:before="120" w:after="0"/>
              <w:rPr>
                <w:rFonts w:ascii="Palatino Linotype" w:hAnsi="Palatino Linotype"/>
                <w:color w:val="000000" w:themeColor="text1"/>
              </w:rPr>
            </w:pPr>
          </w:p>
        </w:tc>
        <w:tc>
          <w:tcPr>
            <w:tcW w:w="821" w:type="dxa"/>
            <w:tcBorders>
              <w:bottom w:val="single" w:color="auto" w:sz="4" w:space="0"/>
            </w:tcBorders>
            <w:shd w:val="clear" w:color="auto" w:fill="F2F2F2" w:themeFill="background1" w:themeFillShade="F2"/>
            <w:vAlign w:val="center"/>
          </w:tcPr>
          <w:p w:rsidRPr="003C2945" w:rsidR="005321E1" w:rsidP="00372A7C" w:rsidRDefault="005321E1" w14:paraId="18354FB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Jan</w:t>
            </w:r>
          </w:p>
        </w:tc>
        <w:tc>
          <w:tcPr>
            <w:tcW w:w="743" w:type="dxa"/>
            <w:tcBorders>
              <w:bottom w:val="single" w:color="auto" w:sz="4" w:space="0"/>
            </w:tcBorders>
            <w:shd w:val="clear" w:color="auto" w:fill="F2F2F2" w:themeFill="background1" w:themeFillShade="F2"/>
            <w:vAlign w:val="center"/>
          </w:tcPr>
          <w:p w:rsidRPr="003C2945" w:rsidR="005321E1" w:rsidP="00372A7C" w:rsidRDefault="005321E1" w14:paraId="503FCE63"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Feb</w:t>
            </w:r>
          </w:p>
        </w:tc>
        <w:tc>
          <w:tcPr>
            <w:tcW w:w="808" w:type="dxa"/>
            <w:tcBorders>
              <w:bottom w:val="single" w:color="auto" w:sz="4" w:space="0"/>
            </w:tcBorders>
            <w:shd w:val="clear" w:color="auto" w:fill="F2F2F2" w:themeFill="background1" w:themeFillShade="F2"/>
            <w:vAlign w:val="center"/>
          </w:tcPr>
          <w:p w:rsidRPr="003C2945" w:rsidR="005321E1" w:rsidP="00372A7C" w:rsidRDefault="005321E1" w14:paraId="3ADD7A91"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Mar</w:t>
            </w:r>
          </w:p>
        </w:tc>
        <w:tc>
          <w:tcPr>
            <w:tcW w:w="730" w:type="dxa"/>
            <w:tcBorders>
              <w:bottom w:val="single" w:color="auto" w:sz="4" w:space="0"/>
            </w:tcBorders>
            <w:shd w:val="clear" w:color="auto" w:fill="F2F2F2" w:themeFill="background1" w:themeFillShade="F2"/>
            <w:vAlign w:val="center"/>
          </w:tcPr>
          <w:p w:rsidRPr="003C2945" w:rsidR="005321E1" w:rsidP="00372A7C" w:rsidRDefault="005321E1" w14:paraId="5DB3D4E8"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Apr</w:t>
            </w:r>
          </w:p>
        </w:tc>
        <w:tc>
          <w:tcPr>
            <w:tcW w:w="812" w:type="dxa"/>
            <w:tcBorders>
              <w:bottom w:val="single" w:color="auto" w:sz="4" w:space="0"/>
            </w:tcBorders>
            <w:shd w:val="clear" w:color="auto" w:fill="F2F2F2" w:themeFill="background1" w:themeFillShade="F2"/>
            <w:vAlign w:val="center"/>
          </w:tcPr>
          <w:p w:rsidRPr="003C2945" w:rsidR="005321E1" w:rsidP="00372A7C" w:rsidRDefault="005321E1" w14:paraId="56FBA60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May</w:t>
            </w:r>
          </w:p>
        </w:tc>
        <w:tc>
          <w:tcPr>
            <w:tcW w:w="852" w:type="dxa"/>
            <w:tcBorders>
              <w:bottom w:val="single" w:color="auto" w:sz="4" w:space="0"/>
            </w:tcBorders>
            <w:shd w:val="clear" w:color="auto" w:fill="F2F2F2" w:themeFill="background1" w:themeFillShade="F2"/>
            <w:vAlign w:val="center"/>
          </w:tcPr>
          <w:p w:rsidRPr="003C2945" w:rsidR="005321E1" w:rsidP="00372A7C" w:rsidRDefault="005321E1" w14:paraId="0F1CCA3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Jun</w:t>
            </w:r>
          </w:p>
        </w:tc>
        <w:tc>
          <w:tcPr>
            <w:tcW w:w="808" w:type="dxa"/>
            <w:tcBorders>
              <w:bottom w:val="single" w:color="auto" w:sz="4" w:space="0"/>
            </w:tcBorders>
            <w:shd w:val="clear" w:color="auto" w:fill="F2F2F2" w:themeFill="background1" w:themeFillShade="F2"/>
            <w:vAlign w:val="center"/>
          </w:tcPr>
          <w:p w:rsidRPr="003C2945" w:rsidR="005321E1" w:rsidP="00372A7C" w:rsidRDefault="005321E1" w14:paraId="5E863C87"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Jul</w:t>
            </w:r>
          </w:p>
        </w:tc>
        <w:tc>
          <w:tcPr>
            <w:tcW w:w="781" w:type="dxa"/>
            <w:tcBorders>
              <w:bottom w:val="single" w:color="auto" w:sz="4" w:space="0"/>
            </w:tcBorders>
            <w:shd w:val="clear" w:color="auto" w:fill="F2F2F2" w:themeFill="background1" w:themeFillShade="F2"/>
            <w:vAlign w:val="center"/>
          </w:tcPr>
          <w:p w:rsidRPr="003C2945" w:rsidR="005321E1" w:rsidP="00372A7C" w:rsidRDefault="005321E1" w14:paraId="5ECCE8BF"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Aug</w:t>
            </w:r>
          </w:p>
        </w:tc>
        <w:tc>
          <w:tcPr>
            <w:tcW w:w="781" w:type="dxa"/>
            <w:tcBorders>
              <w:bottom w:val="single" w:color="auto" w:sz="4" w:space="0"/>
            </w:tcBorders>
            <w:shd w:val="clear" w:color="auto" w:fill="F2F2F2" w:themeFill="background1" w:themeFillShade="F2"/>
            <w:vAlign w:val="center"/>
          </w:tcPr>
          <w:p w:rsidRPr="003C2945" w:rsidR="005321E1" w:rsidP="00372A7C" w:rsidRDefault="005321E1" w14:paraId="7609E231"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Sep</w:t>
            </w:r>
          </w:p>
        </w:tc>
        <w:tc>
          <w:tcPr>
            <w:tcW w:w="851" w:type="dxa"/>
            <w:tcBorders>
              <w:bottom w:val="single" w:color="auto" w:sz="4" w:space="0"/>
            </w:tcBorders>
            <w:shd w:val="clear" w:color="auto" w:fill="F2F2F2" w:themeFill="background1" w:themeFillShade="F2"/>
            <w:vAlign w:val="center"/>
          </w:tcPr>
          <w:p w:rsidRPr="003C2945" w:rsidR="005321E1" w:rsidP="00372A7C" w:rsidRDefault="005321E1" w14:paraId="743766D6"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Oct</w:t>
            </w:r>
          </w:p>
        </w:tc>
        <w:tc>
          <w:tcPr>
            <w:tcW w:w="810" w:type="dxa"/>
            <w:tcBorders>
              <w:bottom w:val="single" w:color="auto" w:sz="4" w:space="0"/>
            </w:tcBorders>
            <w:shd w:val="clear" w:color="auto" w:fill="F2F2F2" w:themeFill="background1" w:themeFillShade="F2"/>
            <w:vAlign w:val="center"/>
          </w:tcPr>
          <w:p w:rsidRPr="003C2945" w:rsidR="005321E1" w:rsidP="00372A7C" w:rsidRDefault="005321E1" w14:paraId="0C711575"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Nov</w:t>
            </w:r>
          </w:p>
        </w:tc>
        <w:tc>
          <w:tcPr>
            <w:tcW w:w="784" w:type="dxa"/>
            <w:tcBorders>
              <w:bottom w:val="single" w:color="auto" w:sz="4" w:space="0"/>
            </w:tcBorders>
            <w:shd w:val="clear" w:color="auto" w:fill="F2F2F2" w:themeFill="background1" w:themeFillShade="F2"/>
            <w:vAlign w:val="center"/>
          </w:tcPr>
          <w:p w:rsidRPr="003C2945" w:rsidR="005321E1" w:rsidP="00372A7C" w:rsidRDefault="005321E1" w14:paraId="6950EAC4" w14:textId="77777777">
            <w:pPr>
              <w:tabs>
                <w:tab w:val="left" w:pos="3600"/>
              </w:tabs>
              <w:spacing w:before="120" w:after="0"/>
              <w:jc w:val="center"/>
              <w:rPr>
                <w:rFonts w:ascii="Palatino Linotype" w:hAnsi="Palatino Linotype"/>
                <w:b/>
                <w:sz w:val="18"/>
                <w:szCs w:val="18"/>
              </w:rPr>
            </w:pPr>
            <w:r w:rsidRPr="003C2945">
              <w:rPr>
                <w:rFonts w:ascii="Palatino Linotype" w:hAnsi="Palatino Linotype"/>
                <w:b/>
                <w:sz w:val="18"/>
                <w:szCs w:val="18"/>
              </w:rPr>
              <w:t>Dec</w:t>
            </w:r>
          </w:p>
        </w:tc>
      </w:tr>
      <w:tr>
        <w:tblPrEx>
          <w:tblCellMar>
            <w:left w:w="108" w:type="dxa"/>
            <w:right w:w="108" w:type="dxa"/>
          </w:tblCellMar>
        </w:tblPrEx>
        <w:trPr>
          <w:gridAfter w:val="1"/>
          <w:wAfter w:w="8" w:type="dxa"/>
          <w:trHeight w:val="572" w:hRule="exact"/>
        </w:trPr>
        <w:tc>
          <w:tcPr>
            <w:tcW w:w="1625" w:type="dxa"/>
            <w:shd w:val="clear" w:color="auto" w:fill="F2F2F2" w:themeFill="background1" w:themeFillShade="F2"/>
            <w:vAlign w:val="center"/>
          </w:tcPr>
          <w:p w:rsidRPr="0039363C" w:rsidR="005321E1" w:rsidP="00372A7C" w:rsidRDefault="005321E1" w14:paraId="03306E04" w14:textId="77777777">
            <w:pPr>
              <w:tabs>
                <w:tab w:val="left" w:pos="3600"/>
              </w:tabs>
              <w:spacing w:before="120" w:after="0"/>
              <w:jc w:val="center"/>
              <w:rPr>
                <w:rFonts w:ascii="Palatino Linotype" w:hAnsi="Palatino Linotype"/>
                <w:b/>
                <w:color w:val="FF0000"/>
                <w:sz w:val="18"/>
                <w:szCs w:val="18"/>
              </w:rPr>
            </w:pPr>
            <w:r w:rsidRPr="0096485B">
              <w:rPr>
                <w:rFonts w:ascii="Palatino Linotype" w:hAnsi="Palatino Linotype"/>
                <w:b/>
                <w:sz w:val="18"/>
                <w:szCs w:val="18"/>
              </w:rPr>
              <w:t>Consolidated</w:t>
            </w:r>
          </w:p>
        </w:tc>
        <w:tc>
          <w:tcPr>
            <w:tcW w:w="821" w:type="dxa"/>
            <w:shd w:val="clear" w:color="auto" w:fill="FFFFFF" w:themeFill="background1"/>
            <w:vAlign w:val="center"/>
          </w:tcPr>
          <w:p w:rsidRPr="00B56C98" w:rsidR="005321E1" w:rsidP="00372A7C" w:rsidRDefault="00275E55" w14:paraId="73F93238" w14:textId="781CB3D1">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60</w:t>
            </w:r>
            <w:r w:rsidRPr="00B56C98" w:rsidR="005321E1">
              <w:rPr>
                <w:rFonts w:ascii="Palatino Linotype" w:hAnsi="Palatino Linotype"/>
                <w:color w:val="EE0000"/>
                <w:sz w:val="16"/>
                <w:szCs w:val="16"/>
              </w:rPr>
              <w:t>.3%</w:t>
            </w:r>
          </w:p>
        </w:tc>
        <w:tc>
          <w:tcPr>
            <w:tcW w:w="743" w:type="dxa"/>
            <w:shd w:val="clear" w:color="auto" w:fill="FFFFFF" w:themeFill="background1"/>
            <w:vAlign w:val="center"/>
          </w:tcPr>
          <w:p w:rsidRPr="00B56C98" w:rsidR="005321E1" w:rsidP="00372A7C" w:rsidRDefault="00584070" w14:paraId="3A0872FA" w14:textId="41BAFDDB">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54.5</w:t>
            </w:r>
            <w:r w:rsidRPr="00B56C98" w:rsidR="005321E1">
              <w:rPr>
                <w:rFonts w:ascii="Palatino Linotype" w:hAnsi="Palatino Linotype"/>
                <w:color w:val="EE0000"/>
                <w:sz w:val="16"/>
                <w:szCs w:val="16"/>
              </w:rPr>
              <w:t>%</w:t>
            </w:r>
            <w:r w:rsidR="00F34FF9">
              <w:rPr>
                <w:rFonts w:ascii="Palatino Linotype" w:hAnsi="Palatino Linotype"/>
                <w:color w:val="EE0000"/>
                <w:sz w:val="16"/>
                <w:szCs w:val="16"/>
              </w:rPr>
              <w:t>*</w:t>
            </w:r>
          </w:p>
        </w:tc>
        <w:tc>
          <w:tcPr>
            <w:tcW w:w="808" w:type="dxa"/>
            <w:shd w:val="clear" w:color="auto" w:fill="FFFFFF" w:themeFill="background1"/>
            <w:vAlign w:val="center"/>
          </w:tcPr>
          <w:p w:rsidRPr="00B56C98" w:rsidR="005321E1" w:rsidP="00372A7C" w:rsidRDefault="00584070" w14:paraId="712FA920" w14:textId="422EFED2">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36.2</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730" w:type="dxa"/>
            <w:shd w:val="clear" w:color="auto" w:fill="FFFFFF" w:themeFill="background1"/>
            <w:vAlign w:val="center"/>
          </w:tcPr>
          <w:p w:rsidRPr="00B56C98" w:rsidR="005321E1" w:rsidP="00372A7C" w:rsidRDefault="00D35C77" w14:paraId="4C781554" w14:textId="1FF299EE">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39.4</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12" w:type="dxa"/>
            <w:shd w:val="clear" w:color="auto" w:fill="FFFFFF" w:themeFill="background1"/>
            <w:vAlign w:val="center"/>
          </w:tcPr>
          <w:p w:rsidRPr="00B56C98" w:rsidR="005321E1" w:rsidP="00372A7C" w:rsidRDefault="00D35C77" w14:paraId="35D71627" w14:textId="3907F88F">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43.6</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52" w:type="dxa"/>
            <w:shd w:val="clear" w:color="auto" w:fill="FFFFFF" w:themeFill="background1"/>
            <w:vAlign w:val="center"/>
          </w:tcPr>
          <w:p w:rsidRPr="00B56C98" w:rsidR="005321E1" w:rsidP="00372A7C" w:rsidRDefault="00D35C77" w14:paraId="17799975" w14:textId="01D7492A">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43.9</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808" w:type="dxa"/>
            <w:shd w:val="clear" w:color="auto" w:fill="FFFFFF" w:themeFill="background1"/>
            <w:vAlign w:val="center"/>
          </w:tcPr>
          <w:p w:rsidRPr="00B56C98" w:rsidR="005321E1" w:rsidP="00372A7C" w:rsidRDefault="00D35C77" w14:paraId="2F00D554" w14:textId="3B1E811D">
            <w:pPr>
              <w:tabs>
                <w:tab w:val="left" w:pos="3600"/>
              </w:tabs>
              <w:spacing w:before="120" w:after="0"/>
              <w:jc w:val="center"/>
              <w:rPr>
                <w:rFonts w:ascii="Palatino Linotype" w:hAnsi="Palatino Linotype" w:cs="Calibri"/>
                <w:color w:val="EE0000"/>
                <w:sz w:val="16"/>
                <w:szCs w:val="16"/>
              </w:rPr>
            </w:pPr>
            <w:r w:rsidRPr="00B56C98">
              <w:rPr>
                <w:rFonts w:ascii="Palatino Linotype" w:hAnsi="Palatino Linotype"/>
                <w:color w:val="EE0000"/>
                <w:sz w:val="16"/>
                <w:szCs w:val="16"/>
              </w:rPr>
              <w:t>66.6</w:t>
            </w:r>
            <w:r w:rsidRPr="00B56C98" w:rsidR="005321E1">
              <w:rPr>
                <w:rFonts w:ascii="Palatino Linotype" w:hAnsi="Palatino Linotype"/>
                <w:color w:val="EE0000"/>
                <w:sz w:val="16"/>
                <w:szCs w:val="16"/>
              </w:rPr>
              <w:t>%</w:t>
            </w:r>
            <w:r w:rsidR="004270D4">
              <w:rPr>
                <w:rFonts w:ascii="Palatino Linotype" w:hAnsi="Palatino Linotype"/>
                <w:color w:val="EE0000"/>
                <w:sz w:val="16"/>
                <w:szCs w:val="16"/>
              </w:rPr>
              <w:t>*</w:t>
            </w:r>
          </w:p>
        </w:tc>
        <w:tc>
          <w:tcPr>
            <w:tcW w:w="781" w:type="dxa"/>
            <w:shd w:val="clear" w:color="auto" w:fill="FFFFFF" w:themeFill="background1"/>
            <w:vAlign w:val="center"/>
          </w:tcPr>
          <w:p w:rsidRPr="00C62374" w:rsidR="005321E1" w:rsidP="00372A7C" w:rsidRDefault="0098031E" w14:paraId="4E04B75B" w14:textId="493E4474">
            <w:pPr>
              <w:tabs>
                <w:tab w:val="left" w:pos="3600"/>
              </w:tabs>
              <w:spacing w:before="120" w:after="0"/>
              <w:jc w:val="center"/>
              <w:rPr>
                <w:rFonts w:ascii="Palatino Linotype" w:hAnsi="Palatino Linotype" w:cs="Calibri"/>
                <w:color w:val="FF0000"/>
                <w:sz w:val="16"/>
                <w:szCs w:val="16"/>
              </w:rPr>
            </w:pPr>
            <w:r w:rsidRPr="00B56C98">
              <w:rPr>
                <w:rFonts w:ascii="Palatino Linotype" w:hAnsi="Palatino Linotype"/>
                <w:sz w:val="16"/>
                <w:szCs w:val="16"/>
              </w:rPr>
              <w:t>83</w:t>
            </w:r>
            <w:r w:rsidRPr="00B56C98" w:rsidR="005321E1">
              <w:rPr>
                <w:rFonts w:ascii="Palatino Linotype" w:hAnsi="Palatino Linotype"/>
                <w:sz w:val="16"/>
                <w:szCs w:val="16"/>
              </w:rPr>
              <w:t>.7%</w:t>
            </w:r>
          </w:p>
        </w:tc>
        <w:tc>
          <w:tcPr>
            <w:tcW w:w="781" w:type="dxa"/>
            <w:shd w:val="clear" w:color="auto" w:fill="FFFFFF" w:themeFill="background1"/>
            <w:vAlign w:val="center"/>
          </w:tcPr>
          <w:p w:rsidRPr="00C62374" w:rsidR="005321E1" w:rsidP="00372A7C" w:rsidRDefault="005321E1" w14:paraId="25FAEE9C" w14:textId="675B6A26">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8</w:t>
            </w:r>
            <w:r w:rsidR="0098031E">
              <w:rPr>
                <w:rFonts w:ascii="Palatino Linotype" w:hAnsi="Palatino Linotype"/>
                <w:sz w:val="16"/>
                <w:szCs w:val="16"/>
              </w:rPr>
              <w:t>6.0</w:t>
            </w:r>
            <w:r>
              <w:rPr>
                <w:rFonts w:ascii="Palatino Linotype" w:hAnsi="Palatino Linotype"/>
                <w:sz w:val="16"/>
                <w:szCs w:val="16"/>
              </w:rPr>
              <w:t>%</w:t>
            </w:r>
          </w:p>
        </w:tc>
        <w:tc>
          <w:tcPr>
            <w:tcW w:w="851" w:type="dxa"/>
            <w:shd w:val="clear" w:color="auto" w:fill="FFFFFF" w:themeFill="background1"/>
            <w:vAlign w:val="center"/>
          </w:tcPr>
          <w:p w:rsidRPr="00C62374" w:rsidR="005321E1" w:rsidP="00372A7C" w:rsidRDefault="005321E1" w14:paraId="26A09444" w14:textId="6E2765D8">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 xml:space="preserve"> </w:t>
            </w:r>
            <w:r w:rsidRPr="00C62374">
              <w:rPr>
                <w:rFonts w:ascii="Palatino Linotype" w:hAnsi="Palatino Linotype"/>
                <w:sz w:val="16"/>
                <w:szCs w:val="16"/>
              </w:rPr>
              <w:t>8</w:t>
            </w:r>
            <w:r w:rsidR="0098031E">
              <w:rPr>
                <w:rFonts w:ascii="Palatino Linotype" w:hAnsi="Palatino Linotype"/>
                <w:sz w:val="16"/>
                <w:szCs w:val="16"/>
              </w:rPr>
              <w:t>1.9</w:t>
            </w:r>
            <w:r w:rsidRPr="00C62374">
              <w:rPr>
                <w:rFonts w:ascii="Palatino Linotype" w:hAnsi="Palatino Linotype"/>
                <w:sz w:val="16"/>
                <w:szCs w:val="16"/>
              </w:rPr>
              <w:t>%</w:t>
            </w:r>
          </w:p>
        </w:tc>
        <w:tc>
          <w:tcPr>
            <w:tcW w:w="810" w:type="dxa"/>
            <w:shd w:val="clear" w:color="auto" w:fill="FFFFFF" w:themeFill="background1"/>
            <w:vAlign w:val="center"/>
          </w:tcPr>
          <w:p w:rsidRPr="002E1790" w:rsidR="005321E1" w:rsidP="00372A7C" w:rsidRDefault="005321E1" w14:paraId="7964B404" w14:textId="0DC439C1">
            <w:pPr>
              <w:tabs>
                <w:tab w:val="left" w:pos="3600"/>
              </w:tabs>
              <w:spacing w:before="120" w:after="0"/>
              <w:jc w:val="center"/>
              <w:rPr>
                <w:rFonts w:ascii="Palatino Linotype" w:hAnsi="Palatino Linotype" w:cs="Calibri"/>
                <w:color w:val="FF0000"/>
                <w:sz w:val="16"/>
                <w:szCs w:val="16"/>
              </w:rPr>
            </w:pPr>
            <w:r>
              <w:rPr>
                <w:rFonts w:ascii="Palatino Linotype" w:hAnsi="Palatino Linotype"/>
                <w:sz w:val="16"/>
                <w:szCs w:val="16"/>
              </w:rPr>
              <w:t xml:space="preserve"> </w:t>
            </w:r>
            <w:r w:rsidRPr="0039363C">
              <w:rPr>
                <w:rFonts w:ascii="Palatino Linotype" w:hAnsi="Palatino Linotype"/>
                <w:sz w:val="16"/>
                <w:szCs w:val="16"/>
              </w:rPr>
              <w:t>8</w:t>
            </w:r>
            <w:r w:rsidR="00B56C98">
              <w:rPr>
                <w:rFonts w:ascii="Palatino Linotype" w:hAnsi="Palatino Linotype"/>
                <w:sz w:val="16"/>
                <w:szCs w:val="16"/>
              </w:rPr>
              <w:t>1.9</w:t>
            </w:r>
            <w:r w:rsidRPr="0039363C">
              <w:rPr>
                <w:rFonts w:ascii="Palatino Linotype" w:hAnsi="Palatino Linotype"/>
                <w:sz w:val="16"/>
                <w:szCs w:val="16"/>
              </w:rPr>
              <w:t>%</w:t>
            </w:r>
          </w:p>
        </w:tc>
        <w:tc>
          <w:tcPr>
            <w:tcW w:w="784" w:type="dxa"/>
            <w:shd w:val="clear" w:color="auto" w:fill="FFFFFF" w:themeFill="background1"/>
            <w:vAlign w:val="center"/>
          </w:tcPr>
          <w:p w:rsidRPr="002E1790" w:rsidR="005321E1" w:rsidP="00372A7C" w:rsidRDefault="005321E1" w14:paraId="275AE9F3" w14:textId="5A7A5CF2">
            <w:pPr>
              <w:tabs>
                <w:tab w:val="left" w:pos="3600"/>
              </w:tabs>
              <w:spacing w:before="120" w:after="0"/>
              <w:jc w:val="center"/>
              <w:rPr>
                <w:rFonts w:ascii="Palatino Linotype" w:hAnsi="Palatino Linotype" w:cs="Calibri"/>
                <w:color w:val="FF0000"/>
                <w:sz w:val="16"/>
                <w:szCs w:val="16"/>
              </w:rPr>
            </w:pPr>
            <w:r w:rsidRPr="00B56C98">
              <w:rPr>
                <w:rFonts w:ascii="Palatino Linotype" w:hAnsi="Palatino Linotype"/>
                <w:sz w:val="16"/>
                <w:szCs w:val="16"/>
              </w:rPr>
              <w:t xml:space="preserve"> </w:t>
            </w:r>
            <w:r w:rsidRPr="00B56C98" w:rsidR="00B56C98">
              <w:rPr>
                <w:rFonts w:ascii="Palatino Linotype" w:hAnsi="Palatino Linotype"/>
                <w:sz w:val="16"/>
                <w:szCs w:val="16"/>
              </w:rPr>
              <w:t>84.3</w:t>
            </w:r>
            <w:r w:rsidRPr="00B56C98">
              <w:rPr>
                <w:rFonts w:ascii="Palatino Linotype" w:hAnsi="Palatino Linotype"/>
                <w:sz w:val="16"/>
                <w:szCs w:val="16"/>
              </w:rPr>
              <w:t>%</w:t>
            </w:r>
          </w:p>
        </w:tc>
      </w:tr>
      <w:bookmarkEnd w:id="4"/>
    </w:tbl>
    <w:p w:rsidR="005321E1" w:rsidP="00755E15" w:rsidRDefault="005321E1" w14:paraId="278BF48A" w14:textId="77777777">
      <w:pPr>
        <w:spacing w:after="0" w:line="240" w:lineRule="auto"/>
        <w:ind w:right="180"/>
        <w:rPr>
          <w:rFonts w:ascii="Palatino Linotype" w:hAnsi="Palatino Linotype"/>
          <w:sz w:val="24"/>
          <w:szCs w:val="24"/>
        </w:rPr>
      </w:pPr>
    </w:p>
    <w:p>
      <w:pPr>
        <w:spacing w:after="0" w:line="240" w:lineRule="auto"/>
        <w:ind w:right="180"/>
        <w:jc w:val="center"/>
        <w:rPr>
          <w:rFonts w:ascii="Palatino Linotype" w:hAnsi="Palatino Linotype"/>
          <w:b/>
          <w:bCs/>
          <w:color w:val="FF0000"/>
          <w:sz w:val="24"/>
          <w:szCs w:val="24"/>
        </w:rPr>
      </w:pPr>
      <w:r>
        <w:rPr>
          <w:rFonts w:ascii="Palatino Linotype" w:hAnsi="Palatino Linotype"/>
          <w:sz w:val="24"/>
          <w:szCs w:val="24"/>
        </w:rPr>
        <w:t xml:space="preserve">Consolidated </w:t>
      </w:r>
      <w:r w:rsidRPr="00095502" w:rsidR="00765239">
        <w:rPr>
          <w:rFonts w:ascii="Palatino Linotype" w:hAnsi="Palatino Linotype"/>
          <w:sz w:val="24"/>
          <w:szCs w:val="24"/>
        </w:rPr>
        <w:t>fell</w:t>
      </w:r>
      <w:r w:rsidRPr="00095502" w:rsidR="00553545">
        <w:rPr>
          <w:rFonts w:ascii="Palatino Linotype" w:hAnsi="Palatino Linotype"/>
          <w:sz w:val="24"/>
          <w:szCs w:val="24"/>
        </w:rPr>
        <w:t xml:space="preserve"> below the minimum standard </w:t>
      </w:r>
      <w:r w:rsidRPr="00095502" w:rsidR="00E62C92">
        <w:rPr>
          <w:rFonts w:ascii="Palatino Linotype" w:hAnsi="Palatino Linotype"/>
          <w:sz w:val="24"/>
          <w:szCs w:val="24"/>
        </w:rPr>
        <w:t>o</w:t>
      </w:r>
      <w:r w:rsidRPr="00095502" w:rsidR="001D6A8A">
        <w:rPr>
          <w:rFonts w:ascii="Palatino Linotype" w:hAnsi="Palatino Linotype"/>
          <w:sz w:val="24"/>
          <w:szCs w:val="24"/>
        </w:rPr>
        <w:t>f 80%</w:t>
      </w:r>
      <w:r w:rsidRPr="00095502" w:rsidR="00553545">
        <w:rPr>
          <w:rFonts w:ascii="Palatino Linotype" w:hAnsi="Palatino Linotype"/>
          <w:sz w:val="24"/>
          <w:szCs w:val="24"/>
        </w:rPr>
        <w:t xml:space="preserve"> </w:t>
      </w:r>
      <w:r w:rsidRPr="00095502" w:rsidR="00765239">
        <w:rPr>
          <w:rFonts w:ascii="Palatino Linotype" w:hAnsi="Palatino Linotype"/>
          <w:sz w:val="24"/>
          <w:szCs w:val="24"/>
        </w:rPr>
        <w:t xml:space="preserve">for Answer Time </w:t>
      </w:r>
      <w:r w:rsidRPr="00095502" w:rsidR="00553545">
        <w:rPr>
          <w:rFonts w:ascii="Palatino Linotype" w:hAnsi="Palatino Linotype"/>
          <w:sz w:val="24"/>
          <w:szCs w:val="24"/>
        </w:rPr>
        <w:t xml:space="preserve">for </w:t>
      </w:r>
      <w:r w:rsidR="00086175">
        <w:rPr>
          <w:rFonts w:ascii="Palatino Linotype" w:hAnsi="Palatino Linotype"/>
          <w:sz w:val="24"/>
          <w:szCs w:val="24"/>
        </w:rPr>
        <w:t>6</w:t>
      </w:r>
      <w:r w:rsidRPr="00095502" w:rsidR="006E6253">
        <w:rPr>
          <w:rFonts w:ascii="Palatino Linotype" w:hAnsi="Palatino Linotype"/>
          <w:sz w:val="24"/>
          <w:szCs w:val="24"/>
        </w:rPr>
        <w:t xml:space="preserve"> </w:t>
      </w:r>
      <w:r w:rsidRPr="00095502" w:rsidR="00EA6995">
        <w:rPr>
          <w:rFonts w:ascii="Palatino Linotype" w:hAnsi="Palatino Linotype"/>
          <w:sz w:val="24"/>
          <w:szCs w:val="24"/>
        </w:rPr>
        <w:t xml:space="preserve">consecutive </w:t>
      </w:r>
      <w:r w:rsidRPr="00095502" w:rsidR="006E6253">
        <w:rPr>
          <w:rFonts w:ascii="Palatino Linotype" w:hAnsi="Palatino Linotype"/>
          <w:sz w:val="24"/>
          <w:szCs w:val="24"/>
        </w:rPr>
        <w:t xml:space="preserve">months in </w:t>
      </w:r>
      <w:r w:rsidRPr="00095502" w:rsidR="000F6D13">
        <w:rPr>
          <w:rFonts w:ascii="Palatino Linotype" w:hAnsi="Palatino Linotype"/>
          <w:sz w:val="24"/>
          <w:szCs w:val="24"/>
        </w:rPr>
        <w:t>2025</w:t>
      </w:r>
      <w:r w:rsidRPr="00095502" w:rsidR="00765239">
        <w:rPr>
          <w:rFonts w:ascii="Palatino Linotype" w:hAnsi="Palatino Linotype"/>
          <w:iCs/>
          <w:sz w:val="24"/>
          <w:szCs w:val="24"/>
        </w:rPr>
        <w:t xml:space="preserve">. Fines were assessed </w:t>
      </w:r>
      <w:r w:rsidRPr="00095502" w:rsidR="00FC7F9F">
        <w:rPr>
          <w:rFonts w:ascii="Palatino Linotype" w:hAnsi="Palatino Linotype"/>
          <w:iCs/>
          <w:sz w:val="24"/>
          <w:szCs w:val="24"/>
        </w:rPr>
        <w:t xml:space="preserve">from </w:t>
      </w:r>
      <w:r w:rsidR="00086175">
        <w:rPr>
          <w:rFonts w:ascii="Palatino Linotype" w:hAnsi="Palatino Linotype"/>
          <w:iCs/>
          <w:sz w:val="24"/>
          <w:szCs w:val="24"/>
        </w:rPr>
        <w:t>February</w:t>
      </w:r>
      <w:r w:rsidRPr="00095502" w:rsidR="00FC7F9F">
        <w:rPr>
          <w:rFonts w:ascii="Palatino Linotype" w:hAnsi="Palatino Linotype"/>
          <w:iCs/>
          <w:sz w:val="24"/>
          <w:szCs w:val="24"/>
        </w:rPr>
        <w:t xml:space="preserve"> through </w:t>
      </w:r>
      <w:r w:rsidR="00086175">
        <w:rPr>
          <w:rFonts w:ascii="Palatino Linotype" w:hAnsi="Palatino Linotype"/>
          <w:iCs/>
          <w:sz w:val="24"/>
          <w:szCs w:val="24"/>
        </w:rPr>
        <w:t>July</w:t>
      </w:r>
      <w:r w:rsidRPr="00095502" w:rsidR="00765239">
        <w:rPr>
          <w:rFonts w:ascii="Palatino Linotype" w:hAnsi="Palatino Linotype"/>
          <w:iCs/>
          <w:sz w:val="24"/>
          <w:szCs w:val="24"/>
        </w:rPr>
        <w:t xml:space="preserve"> </w:t>
      </w:r>
      <w:r w:rsidRPr="00095502" w:rsidR="000F6D13">
        <w:rPr>
          <w:rFonts w:ascii="Palatino Linotype" w:hAnsi="Palatino Linotype"/>
          <w:iCs/>
          <w:sz w:val="24"/>
          <w:szCs w:val="24"/>
        </w:rPr>
        <w:t>2025</w:t>
      </w:r>
      <w:r w:rsidRPr="00095502" w:rsidR="00765239">
        <w:rPr>
          <w:rFonts w:ascii="Palatino Linotype" w:hAnsi="Palatino Linotype"/>
          <w:iCs/>
          <w:sz w:val="24"/>
          <w:szCs w:val="24"/>
        </w:rPr>
        <w:t>.</w:t>
      </w:r>
      <w:r w:rsidRPr="00095502" w:rsidR="00553545">
        <w:rPr>
          <w:rFonts w:ascii="Palatino Linotype" w:hAnsi="Palatino Linotype"/>
          <w:sz w:val="24"/>
          <w:szCs w:val="24"/>
        </w:rPr>
        <w:t xml:space="preserve">  </w:t>
      </w:r>
      <w:r w:rsidRPr="00095502" w:rsidR="009538CB">
        <w:rPr>
          <w:rFonts w:ascii="Palatino Linotype" w:hAnsi="Palatino Linotype"/>
          <w:sz w:val="24"/>
          <w:szCs w:val="24"/>
        </w:rPr>
        <w:t>The Answer Time monthly fine increases incrementally based on the number of months the carrier is not in compliance with the Answer Time metric</w:t>
      </w:r>
      <w:r w:rsidRPr="00715588" w:rsidR="009538CB">
        <w:rPr>
          <w:rFonts w:ascii="Palatino Linotype" w:hAnsi="Palatino Linotype"/>
          <w:sz w:val="24"/>
          <w:szCs w:val="24"/>
        </w:rPr>
        <w:t>.</w:t>
      </w:r>
      <w:r w:rsidRPr="00715588" w:rsidR="009538CB">
        <w:rPr>
          <w:rStyle w:val="FootnoteReference"/>
          <w:rFonts w:ascii="Palatino Linotype" w:hAnsi="Palatino Linotype"/>
          <w:sz w:val="24"/>
          <w:szCs w:val="24"/>
        </w:rPr>
        <w:footnoteReference w:id="17"/>
      </w:r>
      <w:r w:rsidRPr="00715588" w:rsidR="009538CB">
        <w:rPr>
          <w:rFonts w:ascii="Palatino Linotype" w:hAnsi="Palatino Linotype"/>
          <w:sz w:val="24"/>
          <w:szCs w:val="24"/>
        </w:rPr>
        <w:t xml:space="preserve">  </w:t>
      </w:r>
      <w:r w:rsidRPr="00715588" w:rsidR="00016336">
        <w:rPr>
          <w:rFonts w:ascii="Palatino Linotype" w:hAnsi="Palatino Linotype"/>
          <w:sz w:val="24"/>
          <w:szCs w:val="24"/>
        </w:rPr>
        <w:t xml:space="preserve">The proposed fines in </w:t>
      </w:r>
      <w:r w:rsidRPr="00715588" w:rsidR="00086175">
        <w:rPr>
          <w:rFonts w:ascii="Palatino Linotype" w:hAnsi="Palatino Linotype"/>
          <w:sz w:val="24"/>
          <w:szCs w:val="24"/>
        </w:rPr>
        <w:t>Consolidated</w:t>
      </w:r>
      <w:r w:rsidRPr="00715588" w:rsidR="00016336">
        <w:rPr>
          <w:rFonts w:ascii="Palatino Linotype" w:hAnsi="Palatino Linotype"/>
          <w:sz w:val="24"/>
          <w:szCs w:val="24"/>
        </w:rPr>
        <w:t>’s advice letters</w:t>
      </w:r>
      <w:r w:rsidRPr="00715588" w:rsidR="0086480E">
        <w:rPr>
          <w:rFonts w:ascii="Palatino Linotype" w:hAnsi="Palatino Linotype"/>
          <w:sz w:val="24"/>
          <w:szCs w:val="24"/>
        </w:rPr>
        <w:t xml:space="preserve"> </w:t>
      </w:r>
      <w:r w:rsidRPr="00715588" w:rsidR="00D630C6">
        <w:rPr>
          <w:rFonts w:ascii="Palatino Linotype" w:hAnsi="Palatino Linotype"/>
          <w:sz w:val="24"/>
          <w:szCs w:val="24"/>
        </w:rPr>
        <w:t>2105</w:t>
      </w:r>
      <w:r w:rsidRPr="00715588" w:rsidR="00016336">
        <w:rPr>
          <w:rFonts w:ascii="Palatino Linotype" w:hAnsi="Palatino Linotype"/>
          <w:sz w:val="24"/>
          <w:szCs w:val="24"/>
        </w:rPr>
        <w:t xml:space="preserve"> are accurate</w:t>
      </w:r>
      <w:r w:rsidRPr="00715588" w:rsidR="00FD2C83">
        <w:rPr>
          <w:rFonts w:ascii="Palatino Linotype" w:hAnsi="Palatino Linotype"/>
          <w:sz w:val="24"/>
          <w:szCs w:val="24"/>
        </w:rPr>
        <w:t xml:space="preserve"> and </w:t>
      </w:r>
      <w:r w:rsidRPr="00715588" w:rsidR="00114600">
        <w:rPr>
          <w:rFonts w:ascii="Palatino Linotype" w:hAnsi="Palatino Linotype"/>
          <w:sz w:val="24"/>
          <w:szCs w:val="24"/>
        </w:rPr>
        <w:t xml:space="preserve">calculated as </w:t>
      </w:r>
      <w:r w:rsidRPr="00715588" w:rsidR="00FD2C83">
        <w:rPr>
          <w:rFonts w:ascii="Palatino Linotype" w:hAnsi="Palatino Linotype"/>
          <w:sz w:val="24"/>
          <w:szCs w:val="24"/>
        </w:rPr>
        <w:t>shown below</w:t>
      </w:r>
      <w:r w:rsidRPr="00715588" w:rsidR="00AC2308">
        <w:rPr>
          <w:rFonts w:ascii="Palatino Linotype" w:hAnsi="Palatino Linotype"/>
          <w:sz w:val="24"/>
          <w:szCs w:val="24"/>
        </w:rPr>
        <w:t>.</w:t>
      </w:r>
    </w:p>
    <w:p w:rsidRPr="00CA3135" w:rsidR="00014BA9" w:rsidP="00014BA9" w:rsidRDefault="00860652" w14:paraId="45199521" w14:textId="78B3F1B3">
      <w:pPr>
        <w:spacing w:after="0" w:line="240" w:lineRule="auto"/>
        <w:ind w:right="180"/>
        <w:rPr>
          <w:rFonts w:ascii="Palatino Linotype" w:hAnsi="Palatino Linotype"/>
          <w:i/>
          <w:iCs/>
          <w:sz w:val="24"/>
          <w:szCs w:val="24"/>
        </w:rPr>
      </w:pPr>
      <w:r>
        <w:rPr>
          <w:rFonts w:ascii="Palatino Linotype" w:hAnsi="Palatino Linotype"/>
          <w:i/>
          <w:iCs/>
          <w:sz w:val="24"/>
          <w:szCs w:val="24"/>
        </w:rPr>
        <w:t>Consolidated</w:t>
      </w:r>
      <w:r w:rsidRPr="00CA3135" w:rsidR="009D77B6">
        <w:rPr>
          <w:rFonts w:ascii="Palatino Linotype" w:hAnsi="Palatino Linotype"/>
          <w:i/>
          <w:iCs/>
          <w:sz w:val="24"/>
          <w:szCs w:val="24"/>
        </w:rPr>
        <w:t xml:space="preserve"> Communications</w:t>
      </w:r>
      <w:r w:rsidRPr="00CA3135" w:rsidR="00014BA9">
        <w:rPr>
          <w:rFonts w:ascii="Palatino Linotype" w:hAnsi="Palatino Linotype"/>
          <w:i/>
          <w:iCs/>
          <w:sz w:val="24"/>
          <w:szCs w:val="24"/>
        </w:rPr>
        <w:t xml:space="preserve">: </w:t>
      </w:r>
    </w:p>
    <w:p w:rsidRPr="00CA3135" w:rsidR="00014BA9" w:rsidP="00014BA9" w:rsidRDefault="00014BA9" w14:paraId="017AF047" w14:textId="77777777">
      <w:pPr>
        <w:spacing w:after="0" w:line="240" w:lineRule="auto"/>
        <w:ind w:right="180"/>
        <w:jc w:val="center"/>
        <w:rPr>
          <w:rFonts w:ascii="Palatino Linotype" w:hAnsi="Palatino Linotype"/>
          <w:sz w:val="24"/>
          <w:szCs w:val="24"/>
        </w:rPr>
      </w:pPr>
    </w:p>
    <w:p w:rsidR="00014BA9" w:rsidP="00014BA9" w:rsidRDefault="00014BA9" w14:paraId="64608CBD" w14:textId="1A55E71F">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t>(</w:t>
      </w:r>
      <w:r w:rsidR="00860652">
        <w:rPr>
          <w:rFonts w:ascii="Palatino Linotype" w:hAnsi="Palatino Linotype"/>
          <w:sz w:val="24"/>
          <w:szCs w:val="24"/>
        </w:rPr>
        <w:t>Consolidated</w:t>
      </w:r>
      <w:r w:rsidRPr="00CA3135">
        <w:rPr>
          <w:rFonts w:ascii="Palatino Linotype" w:hAnsi="Palatino Linotype"/>
          <w:sz w:val="24"/>
          <w:szCs w:val="24"/>
        </w:rPr>
        <w:t xml:space="preserve"> Scaling Factor </w:t>
      </w:r>
      <w:r w:rsidRPr="00CA3135">
        <w:rPr>
          <w:rFonts w:ascii="Palatino Linotype" w:hAnsi="Palatino Linotype"/>
          <w:sz w:val="24"/>
          <w:szCs w:val="24"/>
          <w:u w:val="single"/>
        </w:rPr>
        <w:t>0.00</w:t>
      </w:r>
      <w:r w:rsidR="0000760D">
        <w:rPr>
          <w:rFonts w:ascii="Palatino Linotype" w:hAnsi="Palatino Linotype"/>
          <w:sz w:val="24"/>
          <w:szCs w:val="24"/>
          <w:u w:val="single"/>
        </w:rPr>
        <w:t>33</w:t>
      </w:r>
      <w:r w:rsidRPr="00CA3135">
        <w:rPr>
          <w:rFonts w:ascii="Palatino Linotype" w:hAnsi="Palatino Linotype"/>
          <w:sz w:val="24"/>
          <w:szCs w:val="24"/>
        </w:rPr>
        <w:t xml:space="preserve">) X (3-5 months Base Fine </w:t>
      </w:r>
      <w:r w:rsidRPr="00CA3135">
        <w:rPr>
          <w:rFonts w:ascii="Palatino Linotype" w:hAnsi="Palatino Linotype"/>
          <w:sz w:val="24"/>
          <w:szCs w:val="24"/>
          <w:u w:val="single"/>
        </w:rPr>
        <w:t>$15,000</w:t>
      </w:r>
      <w:r w:rsidRPr="00CA3135">
        <w:rPr>
          <w:rFonts w:ascii="Palatino Linotype" w:hAnsi="Palatino Linotype"/>
          <w:sz w:val="24"/>
          <w:szCs w:val="24"/>
        </w:rPr>
        <w:t xml:space="preserve">) X (Number of Months in Chronic Failure </w:t>
      </w:r>
      <w:r w:rsidRPr="00CA3135" w:rsidR="00997B34">
        <w:rPr>
          <w:rFonts w:ascii="Palatino Linotype" w:hAnsi="Palatino Linotype"/>
          <w:sz w:val="24"/>
          <w:szCs w:val="24"/>
          <w:u w:val="single"/>
        </w:rPr>
        <w:t>3</w:t>
      </w:r>
      <w:r w:rsidRPr="00CA3135">
        <w:rPr>
          <w:rFonts w:ascii="Palatino Linotype" w:hAnsi="Palatino Linotype"/>
          <w:sz w:val="24"/>
          <w:szCs w:val="24"/>
        </w:rPr>
        <w:t xml:space="preserve">) = </w:t>
      </w:r>
      <w:r w:rsidRPr="00CA3135">
        <w:rPr>
          <w:rFonts w:ascii="Palatino Linotype" w:hAnsi="Palatino Linotype"/>
          <w:b/>
          <w:bCs/>
          <w:sz w:val="24"/>
          <w:szCs w:val="24"/>
        </w:rPr>
        <w:t>$</w:t>
      </w:r>
      <w:r w:rsidR="006C1E8D">
        <w:rPr>
          <w:rFonts w:ascii="Palatino Linotype" w:hAnsi="Palatino Linotype"/>
          <w:b/>
          <w:bCs/>
          <w:sz w:val="24"/>
          <w:szCs w:val="24"/>
        </w:rPr>
        <w:t>148</w:t>
      </w:r>
      <w:r w:rsidR="00135B1E">
        <w:rPr>
          <w:rFonts w:ascii="Palatino Linotype" w:hAnsi="Palatino Linotype"/>
          <w:b/>
          <w:bCs/>
          <w:sz w:val="24"/>
          <w:szCs w:val="24"/>
        </w:rPr>
        <w:t>.5</w:t>
      </w:r>
    </w:p>
    <w:p w:rsidRPr="00CA3135" w:rsidR="00CA3135" w:rsidP="00014BA9" w:rsidRDefault="00CA3135" w14:paraId="67040A4C" w14:textId="77777777">
      <w:pPr>
        <w:spacing w:after="0" w:line="240" w:lineRule="auto"/>
        <w:ind w:right="180"/>
        <w:jc w:val="center"/>
        <w:rPr>
          <w:rFonts w:ascii="Palatino Linotype" w:hAnsi="Palatino Linotype"/>
          <w:b/>
          <w:bCs/>
          <w:sz w:val="24"/>
          <w:szCs w:val="24"/>
        </w:rPr>
      </w:pPr>
    </w:p>
    <w:p w:rsidRPr="00CA3135" w:rsidR="00FD2833" w:rsidP="00014BA9" w:rsidRDefault="00FD2833" w14:paraId="210BF089" w14:textId="77777777">
      <w:pPr>
        <w:spacing w:after="0" w:line="240" w:lineRule="auto"/>
        <w:ind w:right="180"/>
        <w:jc w:val="center"/>
        <w:rPr>
          <w:rFonts w:ascii="Palatino Linotype" w:hAnsi="Palatino Linotype"/>
          <w:b/>
          <w:bCs/>
          <w:sz w:val="24"/>
          <w:szCs w:val="24"/>
        </w:rPr>
      </w:pPr>
    </w:p>
    <w:p w:rsidR="00FD2833" w:rsidP="00FD2833" w:rsidRDefault="00FD2833" w14:paraId="621772F6" w14:textId="69AB2391">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lastRenderedPageBreak/>
        <w:t>(</w:t>
      </w:r>
      <w:r w:rsidR="00860652">
        <w:rPr>
          <w:rFonts w:ascii="Palatino Linotype" w:hAnsi="Palatino Linotype"/>
          <w:sz w:val="24"/>
          <w:szCs w:val="24"/>
        </w:rPr>
        <w:t>Consolidated</w:t>
      </w:r>
      <w:r w:rsidRPr="00CA3135" w:rsidR="00860652">
        <w:rPr>
          <w:rFonts w:ascii="Palatino Linotype" w:hAnsi="Palatino Linotype"/>
          <w:sz w:val="24"/>
          <w:szCs w:val="24"/>
        </w:rPr>
        <w:t xml:space="preserve"> </w:t>
      </w:r>
      <w:r w:rsidRPr="00CA3135">
        <w:rPr>
          <w:rFonts w:ascii="Palatino Linotype" w:hAnsi="Palatino Linotype"/>
          <w:sz w:val="24"/>
          <w:szCs w:val="24"/>
        </w:rPr>
        <w:t xml:space="preserve">Scaling Factor </w:t>
      </w:r>
      <w:r w:rsidRPr="00CA3135">
        <w:rPr>
          <w:rFonts w:ascii="Palatino Linotype" w:hAnsi="Palatino Linotype"/>
          <w:sz w:val="24"/>
          <w:szCs w:val="24"/>
          <w:u w:val="single"/>
        </w:rPr>
        <w:t>0.00</w:t>
      </w:r>
      <w:r w:rsidR="0000760D">
        <w:rPr>
          <w:rFonts w:ascii="Palatino Linotype" w:hAnsi="Palatino Linotype"/>
          <w:sz w:val="24"/>
          <w:szCs w:val="24"/>
          <w:u w:val="single"/>
        </w:rPr>
        <w:t>33</w:t>
      </w:r>
      <w:r w:rsidRPr="00CA3135">
        <w:rPr>
          <w:rFonts w:ascii="Palatino Linotype" w:hAnsi="Palatino Linotype"/>
          <w:sz w:val="24"/>
          <w:szCs w:val="24"/>
        </w:rPr>
        <w:t>) X (</w:t>
      </w:r>
      <w:r w:rsidRPr="00CA3135" w:rsidR="004F077E">
        <w:rPr>
          <w:rFonts w:ascii="Palatino Linotype" w:hAnsi="Palatino Linotype"/>
          <w:sz w:val="24"/>
          <w:szCs w:val="24"/>
        </w:rPr>
        <w:t>6-8</w:t>
      </w:r>
      <w:r w:rsidRPr="00CA3135">
        <w:rPr>
          <w:rFonts w:ascii="Palatino Linotype" w:hAnsi="Palatino Linotype"/>
          <w:sz w:val="24"/>
          <w:szCs w:val="24"/>
        </w:rPr>
        <w:t xml:space="preserve"> months Base Fine </w:t>
      </w:r>
      <w:r w:rsidRPr="00CA3135">
        <w:rPr>
          <w:rFonts w:ascii="Palatino Linotype" w:hAnsi="Palatino Linotype"/>
          <w:sz w:val="24"/>
          <w:szCs w:val="24"/>
          <w:u w:val="single"/>
        </w:rPr>
        <w:t>$</w:t>
      </w:r>
      <w:r w:rsidRPr="00CA3135" w:rsidR="004F077E">
        <w:rPr>
          <w:rFonts w:ascii="Palatino Linotype" w:hAnsi="Palatino Linotype"/>
          <w:sz w:val="24"/>
          <w:szCs w:val="24"/>
          <w:u w:val="single"/>
        </w:rPr>
        <w:t>30</w:t>
      </w:r>
      <w:r w:rsidRPr="00CA3135">
        <w:rPr>
          <w:rFonts w:ascii="Palatino Linotype" w:hAnsi="Palatino Linotype"/>
          <w:sz w:val="24"/>
          <w:szCs w:val="24"/>
          <w:u w:val="single"/>
        </w:rPr>
        <w:t>,000</w:t>
      </w:r>
      <w:r w:rsidRPr="00CA3135">
        <w:rPr>
          <w:rFonts w:ascii="Palatino Linotype" w:hAnsi="Palatino Linotype"/>
          <w:sz w:val="24"/>
          <w:szCs w:val="24"/>
        </w:rPr>
        <w:t xml:space="preserve">) X (Number of Months in Chronic Failure </w:t>
      </w:r>
      <w:r w:rsidRPr="00CA3135">
        <w:rPr>
          <w:rFonts w:ascii="Palatino Linotype" w:hAnsi="Palatino Linotype"/>
          <w:sz w:val="24"/>
          <w:szCs w:val="24"/>
          <w:u w:val="single"/>
        </w:rPr>
        <w:t>3</w:t>
      </w:r>
      <w:r w:rsidRPr="00CA3135">
        <w:rPr>
          <w:rFonts w:ascii="Palatino Linotype" w:hAnsi="Palatino Linotype"/>
          <w:sz w:val="24"/>
          <w:szCs w:val="24"/>
        </w:rPr>
        <w:t xml:space="preserve">) = </w:t>
      </w:r>
      <w:r w:rsidRPr="00CA3135">
        <w:rPr>
          <w:rFonts w:ascii="Palatino Linotype" w:hAnsi="Palatino Linotype"/>
          <w:b/>
          <w:bCs/>
          <w:sz w:val="24"/>
          <w:szCs w:val="24"/>
        </w:rPr>
        <w:t>$</w:t>
      </w:r>
      <w:r w:rsidR="00135B1E">
        <w:rPr>
          <w:rFonts w:ascii="Palatino Linotype" w:hAnsi="Palatino Linotype"/>
          <w:b/>
          <w:bCs/>
          <w:sz w:val="24"/>
          <w:szCs w:val="24"/>
        </w:rPr>
        <w:t>297</w:t>
      </w:r>
    </w:p>
    <w:p w:rsidRPr="00CA3135" w:rsidR="008911F1" w:rsidP="00860652" w:rsidRDefault="008911F1" w14:paraId="09C2FDA8" w14:textId="77777777">
      <w:pPr>
        <w:spacing w:after="0" w:line="240" w:lineRule="auto"/>
        <w:ind w:right="180"/>
        <w:rPr>
          <w:rFonts w:ascii="Palatino Linotype" w:hAnsi="Palatino Linotype"/>
          <w:sz w:val="24"/>
          <w:szCs w:val="24"/>
        </w:rPr>
      </w:pPr>
    </w:p>
    <w:p w:rsidRPr="00CA3135" w:rsidR="00FD2833" w:rsidP="00FD2833" w:rsidRDefault="00FD2833" w14:paraId="1889D439" w14:textId="6D9E3734">
      <w:pPr>
        <w:spacing w:after="0" w:line="240" w:lineRule="auto"/>
        <w:ind w:right="180"/>
        <w:jc w:val="center"/>
        <w:rPr>
          <w:rFonts w:ascii="Palatino Linotype" w:hAnsi="Palatino Linotype"/>
          <w:b/>
          <w:bCs/>
          <w:sz w:val="24"/>
          <w:szCs w:val="24"/>
        </w:rPr>
      </w:pPr>
      <w:r w:rsidRPr="00CA3135">
        <w:rPr>
          <w:rFonts w:ascii="Palatino Linotype" w:hAnsi="Palatino Linotype"/>
          <w:sz w:val="24"/>
          <w:szCs w:val="24"/>
        </w:rPr>
        <w:t>Answer Time fine:  $</w:t>
      </w:r>
      <w:r w:rsidR="00135B1E">
        <w:rPr>
          <w:rFonts w:ascii="Palatino Linotype" w:hAnsi="Palatino Linotype"/>
          <w:sz w:val="24"/>
          <w:szCs w:val="24"/>
        </w:rPr>
        <w:t>148.5</w:t>
      </w:r>
      <w:r w:rsidRPr="00CA3135">
        <w:rPr>
          <w:rFonts w:ascii="Palatino Linotype" w:hAnsi="Palatino Linotype"/>
          <w:sz w:val="24"/>
          <w:szCs w:val="24"/>
        </w:rPr>
        <w:t xml:space="preserve"> + $</w:t>
      </w:r>
      <w:r w:rsidR="00135B1E">
        <w:rPr>
          <w:rFonts w:ascii="Palatino Linotype" w:hAnsi="Palatino Linotype"/>
          <w:sz w:val="24"/>
          <w:szCs w:val="24"/>
        </w:rPr>
        <w:t>297</w:t>
      </w:r>
      <w:r w:rsidR="00B21475">
        <w:rPr>
          <w:rFonts w:ascii="Palatino Linotype" w:hAnsi="Palatino Linotype"/>
          <w:sz w:val="24"/>
          <w:szCs w:val="24"/>
        </w:rPr>
        <w:t xml:space="preserve"> </w:t>
      </w:r>
      <w:r w:rsidRPr="00CA3135">
        <w:rPr>
          <w:rFonts w:ascii="Palatino Linotype" w:hAnsi="Palatino Linotype"/>
          <w:sz w:val="24"/>
          <w:szCs w:val="24"/>
        </w:rPr>
        <w:t xml:space="preserve">= </w:t>
      </w:r>
      <w:r w:rsidRPr="00CA3135">
        <w:rPr>
          <w:rFonts w:ascii="Palatino Linotype" w:hAnsi="Palatino Linotype"/>
          <w:b/>
          <w:bCs/>
          <w:sz w:val="24"/>
          <w:szCs w:val="24"/>
        </w:rPr>
        <w:t>$</w:t>
      </w:r>
      <w:r w:rsidR="00135B1E">
        <w:rPr>
          <w:rFonts w:ascii="Palatino Linotype" w:hAnsi="Palatino Linotype"/>
          <w:b/>
          <w:bCs/>
          <w:sz w:val="24"/>
          <w:szCs w:val="24"/>
        </w:rPr>
        <w:t>445.50</w:t>
      </w:r>
    </w:p>
    <w:p w:rsidRPr="00712C03" w:rsidR="00014BA9" w:rsidP="00014BA9" w:rsidRDefault="00014BA9" w14:paraId="7A9F5F67" w14:textId="77777777">
      <w:pPr>
        <w:spacing w:after="0" w:line="240" w:lineRule="auto"/>
        <w:ind w:right="180"/>
        <w:jc w:val="center"/>
        <w:rPr>
          <w:rFonts w:ascii="Palatino Linotype" w:hAnsi="Palatino Linotype"/>
          <w:sz w:val="24"/>
          <w:szCs w:val="24"/>
        </w:rPr>
      </w:pPr>
    </w:p>
    <w:p w:rsidRPr="001D27A9" w:rsidR="005764DE" w:rsidP="005764DE" w:rsidRDefault="009538CB" w14:paraId="7BAD9691" w14:textId="401E9AA7">
      <w:pPr>
        <w:spacing w:before="120" w:after="120"/>
        <w:ind w:right="180"/>
        <w:jc w:val="both"/>
        <w:rPr>
          <w:rFonts w:ascii="Palatino Linotype" w:hAnsi="Palatino Linotype"/>
          <w:sz w:val="24"/>
          <w:szCs w:val="24"/>
        </w:rPr>
      </w:pPr>
      <w:r w:rsidRPr="001D27A9">
        <w:rPr>
          <w:rFonts w:ascii="Palatino Linotype" w:hAnsi="Palatino Linotype"/>
          <w:sz w:val="24"/>
          <w:szCs w:val="24"/>
        </w:rPr>
        <w:t>The calculated fine of $</w:t>
      </w:r>
      <w:r w:rsidR="00BC6F4A">
        <w:rPr>
          <w:rFonts w:ascii="Palatino Linotype" w:hAnsi="Palatino Linotype"/>
          <w:sz w:val="24"/>
          <w:szCs w:val="24"/>
        </w:rPr>
        <w:t>445.50</w:t>
      </w:r>
      <w:r w:rsidRPr="001D27A9">
        <w:rPr>
          <w:rFonts w:ascii="Palatino Linotype" w:hAnsi="Palatino Linotype"/>
          <w:sz w:val="24"/>
          <w:szCs w:val="24"/>
        </w:rPr>
        <w:t xml:space="preserve"> </w:t>
      </w:r>
      <w:r w:rsidRPr="001D27A9" w:rsidR="004F13F9">
        <w:rPr>
          <w:rFonts w:ascii="Palatino Linotype" w:hAnsi="Palatino Linotype"/>
          <w:sz w:val="24"/>
          <w:szCs w:val="24"/>
        </w:rPr>
        <w:t>is</w:t>
      </w:r>
      <w:r w:rsidRPr="001D27A9" w:rsidR="00712C03">
        <w:rPr>
          <w:rFonts w:ascii="Palatino Linotype" w:hAnsi="Palatino Linotype"/>
          <w:sz w:val="24"/>
          <w:szCs w:val="24"/>
        </w:rPr>
        <w:t xml:space="preserve"> below the </w:t>
      </w:r>
      <w:r w:rsidRPr="001D27A9" w:rsidR="005764DE">
        <w:rPr>
          <w:rFonts w:ascii="Palatino Linotype" w:hAnsi="Palatino Linotype"/>
          <w:sz w:val="24"/>
          <w:szCs w:val="24"/>
        </w:rPr>
        <w:t xml:space="preserve">minimum fine </w:t>
      </w:r>
      <w:r w:rsidRPr="001D27A9" w:rsidR="00712C03">
        <w:rPr>
          <w:rFonts w:ascii="Palatino Linotype" w:hAnsi="Palatino Linotype"/>
          <w:sz w:val="24"/>
          <w:szCs w:val="24"/>
        </w:rPr>
        <w:t>of</w:t>
      </w:r>
      <w:r w:rsidRPr="001D27A9" w:rsidR="005764DE">
        <w:rPr>
          <w:rFonts w:ascii="Palatino Linotype" w:hAnsi="Palatino Linotype"/>
          <w:sz w:val="24"/>
          <w:szCs w:val="24"/>
        </w:rPr>
        <w:t xml:space="preserve"> $500</w:t>
      </w:r>
      <w:r w:rsidRPr="001D27A9" w:rsidR="00712C03">
        <w:rPr>
          <w:rFonts w:ascii="Palatino Linotype" w:hAnsi="Palatino Linotype"/>
          <w:sz w:val="24"/>
          <w:szCs w:val="24"/>
        </w:rPr>
        <w:t xml:space="preserve"> per carrier</w:t>
      </w:r>
      <w:r w:rsidRPr="001D27A9" w:rsidR="00B3301D">
        <w:rPr>
          <w:rFonts w:ascii="Palatino Linotype" w:hAnsi="Palatino Linotype"/>
          <w:sz w:val="24"/>
          <w:szCs w:val="24"/>
        </w:rPr>
        <w:t xml:space="preserve"> established by GO</w:t>
      </w:r>
      <w:r w:rsidRPr="001D27A9" w:rsidR="00907C14">
        <w:rPr>
          <w:rFonts w:ascii="Palatino Linotype" w:hAnsi="Palatino Linotype"/>
          <w:sz w:val="24"/>
          <w:szCs w:val="24"/>
        </w:rPr>
        <w:t xml:space="preserve"> 133-D.</w:t>
      </w:r>
      <w:r w:rsidRPr="001D27A9" w:rsidR="005764DE">
        <w:rPr>
          <w:rFonts w:ascii="Palatino Linotype" w:hAnsi="Palatino Linotype"/>
          <w:sz w:val="24"/>
          <w:szCs w:val="24"/>
        </w:rPr>
        <w:t xml:space="preserve"> </w:t>
      </w:r>
      <w:r w:rsidRPr="001D27A9" w:rsidR="00907C14">
        <w:rPr>
          <w:rFonts w:ascii="Palatino Linotype" w:hAnsi="Palatino Linotype"/>
          <w:sz w:val="24"/>
          <w:szCs w:val="24"/>
        </w:rPr>
        <w:t>T</w:t>
      </w:r>
      <w:r w:rsidRPr="001D27A9" w:rsidR="005764DE">
        <w:rPr>
          <w:rFonts w:ascii="Palatino Linotype" w:hAnsi="Palatino Linotype"/>
          <w:sz w:val="24"/>
          <w:szCs w:val="24"/>
        </w:rPr>
        <w:t>herefore</w:t>
      </w:r>
      <w:r w:rsidRPr="001D27A9" w:rsidR="00907C14">
        <w:rPr>
          <w:rFonts w:ascii="Palatino Linotype" w:hAnsi="Palatino Linotype"/>
          <w:sz w:val="24"/>
          <w:szCs w:val="24"/>
        </w:rPr>
        <w:t>,</w:t>
      </w:r>
      <w:r w:rsidRPr="001D27A9" w:rsidR="005764DE">
        <w:rPr>
          <w:rFonts w:ascii="Palatino Linotype" w:hAnsi="Palatino Linotype"/>
          <w:sz w:val="24"/>
          <w:szCs w:val="24"/>
        </w:rPr>
        <w:t xml:space="preserve"> </w:t>
      </w:r>
      <w:r w:rsidRPr="001D27A9" w:rsidR="00712C03">
        <w:rPr>
          <w:rFonts w:ascii="Palatino Linotype" w:hAnsi="Palatino Linotype"/>
          <w:sz w:val="24"/>
          <w:szCs w:val="24"/>
        </w:rPr>
        <w:t>Consolidated</w:t>
      </w:r>
      <w:r w:rsidRPr="001D27A9" w:rsidR="005764DE">
        <w:rPr>
          <w:rFonts w:ascii="Palatino Linotype" w:hAnsi="Palatino Linotype"/>
          <w:sz w:val="24"/>
          <w:szCs w:val="24"/>
        </w:rPr>
        <w:t xml:space="preserve"> will be assessed a fine of $500 for </w:t>
      </w:r>
      <w:r w:rsidRPr="001D27A9" w:rsidR="003B5839">
        <w:rPr>
          <w:rFonts w:ascii="Palatino Linotype" w:hAnsi="Palatino Linotype"/>
          <w:sz w:val="24"/>
          <w:szCs w:val="24"/>
        </w:rPr>
        <w:t xml:space="preserve">failing to </w:t>
      </w:r>
      <w:r w:rsidRPr="001D27A9" w:rsidR="005764DE">
        <w:rPr>
          <w:rFonts w:ascii="Palatino Linotype" w:hAnsi="Palatino Linotype"/>
          <w:sz w:val="24"/>
          <w:szCs w:val="24"/>
        </w:rPr>
        <w:t xml:space="preserve">meet the Answer Time standard for 3 months in </w:t>
      </w:r>
      <w:r w:rsidRPr="001D27A9" w:rsidR="000F6D13">
        <w:rPr>
          <w:rFonts w:ascii="Palatino Linotype" w:hAnsi="Palatino Linotype"/>
          <w:sz w:val="24"/>
          <w:szCs w:val="24"/>
        </w:rPr>
        <w:t>2025</w:t>
      </w:r>
      <w:r w:rsidRPr="001D27A9" w:rsidR="005764DE">
        <w:rPr>
          <w:rFonts w:ascii="Palatino Linotype" w:hAnsi="Palatino Linotype"/>
          <w:sz w:val="24"/>
          <w:szCs w:val="24"/>
        </w:rPr>
        <w:t>.</w:t>
      </w:r>
      <w:r w:rsidRPr="001D27A9" w:rsidR="005764DE">
        <w:rPr>
          <w:rStyle w:val="FootnoteReference"/>
          <w:rFonts w:ascii="Palatino Linotype" w:hAnsi="Palatino Linotype"/>
          <w:sz w:val="24"/>
          <w:szCs w:val="24"/>
        </w:rPr>
        <w:footnoteReference w:id="18"/>
      </w:r>
      <w:r w:rsidRPr="001D27A9" w:rsidR="005764DE">
        <w:rPr>
          <w:rFonts w:ascii="Palatino Linotype" w:hAnsi="Palatino Linotype"/>
          <w:sz w:val="24"/>
          <w:szCs w:val="24"/>
        </w:rPr>
        <w:t xml:space="preserve"> </w:t>
      </w:r>
    </w:p>
    <w:p w:rsidRPr="006E6253" w:rsidR="006E6253" w:rsidP="006E6253" w:rsidRDefault="006E6253" w14:paraId="4D762014" w14:textId="77777777">
      <w:pPr>
        <w:spacing w:after="0" w:line="240" w:lineRule="auto"/>
        <w:ind w:right="180"/>
        <w:rPr>
          <w:rFonts w:ascii="Palatino Linotype" w:hAnsi="Palatino Linotype"/>
          <w:i/>
          <w:iCs/>
          <w:color w:val="FF0000"/>
          <w:sz w:val="24"/>
          <w:szCs w:val="24"/>
        </w:rPr>
      </w:pPr>
    </w:p>
    <w:p w:rsidRPr="00067CAC" w:rsidR="005B281B" w:rsidP="008600FE" w:rsidRDefault="005B281B" w14:paraId="47B96C38" w14:textId="77777777">
      <w:pPr>
        <w:pStyle w:val="ListParagraph"/>
        <w:numPr>
          <w:ilvl w:val="0"/>
          <w:numId w:val="15"/>
        </w:numPr>
        <w:tabs>
          <w:tab w:val="left" w:pos="3600"/>
        </w:tabs>
        <w:spacing w:before="120" w:after="120"/>
        <w:ind w:left="1080"/>
        <w:rPr>
          <w:rFonts w:ascii="Palatino Linotype" w:hAnsi="Palatino Linotype"/>
          <w:sz w:val="24"/>
          <w:szCs w:val="24"/>
        </w:rPr>
      </w:pPr>
      <w:r w:rsidRPr="00067CAC">
        <w:rPr>
          <w:rFonts w:ascii="Palatino Linotype" w:hAnsi="Palatino Linotype"/>
          <w:b/>
          <w:i/>
          <w:sz w:val="24"/>
          <w:szCs w:val="24"/>
          <w:u w:val="single"/>
        </w:rPr>
        <w:t>Installation Interval</w:t>
      </w:r>
    </w:p>
    <w:p w:rsidRPr="00067CAC" w:rsidR="00406A7C" w:rsidP="00755E15" w:rsidRDefault="004A025A" w14:paraId="2F7968BA" w14:textId="77777777">
      <w:pPr>
        <w:tabs>
          <w:tab w:val="left" w:pos="3600"/>
        </w:tabs>
        <w:spacing w:after="0" w:line="240" w:lineRule="auto"/>
        <w:rPr>
          <w:rFonts w:ascii="Palatino Linotype" w:hAnsi="Palatino Linotype"/>
          <w:sz w:val="24"/>
          <w:szCs w:val="24"/>
        </w:rPr>
      </w:pPr>
      <w:r w:rsidRPr="00067CAC">
        <w:rPr>
          <w:rFonts w:ascii="Palatino Linotype" w:hAnsi="Palatino Linotype"/>
          <w:sz w:val="24"/>
          <w:szCs w:val="24"/>
        </w:rPr>
        <w:t xml:space="preserve">The standard for </w:t>
      </w:r>
      <w:r w:rsidRPr="00067CAC">
        <w:rPr>
          <w:rFonts w:ascii="Palatino Linotype" w:hAnsi="Palatino Linotype"/>
          <w:i/>
          <w:sz w:val="24"/>
          <w:szCs w:val="24"/>
        </w:rPr>
        <w:t>Installation Interval</w:t>
      </w:r>
      <w:r w:rsidRPr="00067CAC" w:rsidR="009350CD">
        <w:rPr>
          <w:rFonts w:ascii="Palatino Linotype" w:hAnsi="Palatino Linotype"/>
          <w:i/>
          <w:sz w:val="24"/>
          <w:szCs w:val="24"/>
        </w:rPr>
        <w:t xml:space="preserve">, </w:t>
      </w:r>
      <w:r w:rsidR="00C33E92">
        <w:rPr>
          <w:rFonts w:ascii="Palatino Linotype" w:hAnsi="Palatino Linotype"/>
          <w:i/>
          <w:sz w:val="24"/>
          <w:szCs w:val="24"/>
        </w:rPr>
        <w:t xml:space="preserve">as </w:t>
      </w:r>
      <w:r w:rsidRPr="00067CAC" w:rsidR="009350CD">
        <w:rPr>
          <w:rFonts w:ascii="Palatino Linotype" w:hAnsi="Palatino Linotype"/>
          <w:sz w:val="24"/>
          <w:szCs w:val="24"/>
        </w:rPr>
        <w:t>defined in § 3.1,</w:t>
      </w:r>
      <w:r w:rsidRPr="00067CAC" w:rsidR="003428E4">
        <w:rPr>
          <w:rFonts w:ascii="Palatino Linotype" w:hAnsi="Palatino Linotype"/>
          <w:sz w:val="24"/>
          <w:szCs w:val="24"/>
        </w:rPr>
        <w:t xml:space="preserve"> </w:t>
      </w:r>
      <w:r w:rsidR="00383885">
        <w:rPr>
          <w:rFonts w:ascii="Palatino Linotype" w:hAnsi="Palatino Linotype"/>
          <w:sz w:val="24"/>
          <w:szCs w:val="24"/>
        </w:rPr>
        <w:t>refers to</w:t>
      </w:r>
      <w:r w:rsidRPr="00067CAC" w:rsidR="00383885">
        <w:rPr>
          <w:rFonts w:ascii="Palatino Linotype" w:hAnsi="Palatino Linotype"/>
          <w:sz w:val="24"/>
          <w:szCs w:val="24"/>
        </w:rPr>
        <w:t xml:space="preserve"> </w:t>
      </w:r>
      <w:r w:rsidRPr="00067CAC" w:rsidR="00545E23">
        <w:rPr>
          <w:rFonts w:ascii="Palatino Linotype" w:hAnsi="Palatino Linotype"/>
          <w:sz w:val="24"/>
          <w:szCs w:val="24"/>
        </w:rPr>
        <w:t xml:space="preserve">the amount of time </w:t>
      </w:r>
      <w:r w:rsidR="00383885">
        <w:rPr>
          <w:rFonts w:ascii="Palatino Linotype" w:hAnsi="Palatino Linotype"/>
          <w:sz w:val="24"/>
          <w:szCs w:val="24"/>
        </w:rPr>
        <w:t>required</w:t>
      </w:r>
      <w:r w:rsidRPr="00067CAC" w:rsidR="00545E23">
        <w:rPr>
          <w:rFonts w:ascii="Palatino Linotype" w:hAnsi="Palatino Linotype"/>
          <w:sz w:val="24"/>
          <w:szCs w:val="24"/>
        </w:rPr>
        <w:t xml:space="preserve"> to install basic telephone service from </w:t>
      </w:r>
      <w:r w:rsidRPr="00067CAC" w:rsidR="0052596C">
        <w:rPr>
          <w:rFonts w:ascii="Palatino Linotype" w:hAnsi="Palatino Linotype"/>
          <w:sz w:val="24"/>
          <w:szCs w:val="24"/>
        </w:rPr>
        <w:t>the time a</w:t>
      </w:r>
      <w:r w:rsidRPr="00067CAC" w:rsidR="00545E23">
        <w:rPr>
          <w:rFonts w:ascii="Palatino Linotype" w:hAnsi="Palatino Linotype"/>
          <w:sz w:val="24"/>
          <w:szCs w:val="24"/>
        </w:rPr>
        <w:t xml:space="preserve"> customer requests service until </w:t>
      </w:r>
      <w:r w:rsidR="00B25B8F">
        <w:rPr>
          <w:rFonts w:ascii="Palatino Linotype" w:hAnsi="Palatino Linotype"/>
          <w:sz w:val="24"/>
          <w:szCs w:val="24"/>
        </w:rPr>
        <w:t xml:space="preserve">the service </w:t>
      </w:r>
      <w:r w:rsidRPr="00067CAC" w:rsidR="00545E23">
        <w:rPr>
          <w:rFonts w:ascii="Palatino Linotype" w:hAnsi="Palatino Linotype"/>
          <w:sz w:val="24"/>
          <w:szCs w:val="24"/>
        </w:rPr>
        <w:t xml:space="preserve">is </w:t>
      </w:r>
      <w:r w:rsidR="00204B2E">
        <w:rPr>
          <w:rFonts w:ascii="Palatino Linotype" w:hAnsi="Palatino Linotype"/>
          <w:sz w:val="24"/>
          <w:szCs w:val="24"/>
        </w:rPr>
        <w:t>fully operational</w:t>
      </w:r>
      <w:r w:rsidRPr="00067CAC" w:rsidR="00545E23">
        <w:rPr>
          <w:rFonts w:ascii="Palatino Linotype" w:hAnsi="Palatino Linotype"/>
          <w:sz w:val="24"/>
          <w:szCs w:val="24"/>
        </w:rPr>
        <w:t>.</w:t>
      </w:r>
      <w:r w:rsidRPr="00067CAC">
        <w:rPr>
          <w:rFonts w:ascii="Palatino Linotype" w:hAnsi="Palatino Linotype"/>
          <w:sz w:val="24"/>
          <w:szCs w:val="24"/>
        </w:rPr>
        <w:t xml:space="preserve"> </w:t>
      </w:r>
      <w:r w:rsidRPr="00067CAC" w:rsidR="00DF40FE">
        <w:rPr>
          <w:rFonts w:ascii="Palatino Linotype" w:hAnsi="Palatino Linotype"/>
          <w:sz w:val="24"/>
          <w:szCs w:val="24"/>
        </w:rPr>
        <w:t xml:space="preserve"> </w:t>
      </w:r>
      <w:r w:rsidR="00204B2E">
        <w:rPr>
          <w:rFonts w:ascii="Palatino Linotype" w:hAnsi="Palatino Linotype"/>
          <w:sz w:val="24"/>
          <w:szCs w:val="24"/>
        </w:rPr>
        <w:t>This standard</w:t>
      </w:r>
      <w:r w:rsidRPr="00067CAC" w:rsidR="00DF40FE">
        <w:rPr>
          <w:rFonts w:ascii="Palatino Linotype" w:hAnsi="Palatino Linotype"/>
          <w:sz w:val="24"/>
          <w:szCs w:val="24"/>
        </w:rPr>
        <w:t xml:space="preserve"> measures</w:t>
      </w:r>
      <w:r w:rsidRPr="00067CAC" w:rsidR="002F743A">
        <w:rPr>
          <w:rFonts w:ascii="Palatino Linotype" w:hAnsi="Palatino Linotype"/>
          <w:sz w:val="24"/>
          <w:szCs w:val="24"/>
        </w:rPr>
        <w:t xml:space="preserve"> the average number of business days between when a service order was placed and when the service became operational</w:t>
      </w:r>
      <w:r w:rsidR="00032651">
        <w:rPr>
          <w:rFonts w:ascii="Palatino Linotype" w:hAnsi="Palatino Linotype"/>
          <w:sz w:val="24"/>
          <w:szCs w:val="24"/>
        </w:rPr>
        <w:t xml:space="preserve">. It </w:t>
      </w:r>
      <w:r w:rsidR="009E14EB">
        <w:rPr>
          <w:rFonts w:ascii="Palatino Linotype" w:hAnsi="Palatino Linotype"/>
          <w:sz w:val="24"/>
          <w:szCs w:val="24"/>
        </w:rPr>
        <w:t xml:space="preserve">is calculated by </w:t>
      </w:r>
      <w:r w:rsidRPr="00067CAC" w:rsidR="009E14EB">
        <w:rPr>
          <w:rFonts w:ascii="Palatino Linotype" w:hAnsi="Palatino Linotype"/>
          <w:sz w:val="24"/>
          <w:szCs w:val="24"/>
        </w:rPr>
        <w:t>dividi</w:t>
      </w:r>
      <w:r w:rsidR="009E14EB">
        <w:rPr>
          <w:rFonts w:ascii="Palatino Linotype" w:hAnsi="Palatino Linotype"/>
          <w:sz w:val="24"/>
          <w:szCs w:val="24"/>
        </w:rPr>
        <w:t>ng</w:t>
      </w:r>
      <w:r w:rsidR="005206EF">
        <w:rPr>
          <w:rFonts w:ascii="Palatino Linotype" w:hAnsi="Palatino Linotype"/>
          <w:sz w:val="24"/>
          <w:szCs w:val="24"/>
        </w:rPr>
        <w:t xml:space="preserve"> </w:t>
      </w:r>
      <w:r w:rsidRPr="005206EF" w:rsidR="005206EF">
        <w:rPr>
          <w:rFonts w:ascii="Palatino Linotype" w:hAnsi="Palatino Linotype"/>
          <w:sz w:val="24"/>
          <w:szCs w:val="24"/>
        </w:rPr>
        <w:t>the total number of business days by</w:t>
      </w:r>
      <w:r w:rsidRPr="00067CAC" w:rsidR="001E3493">
        <w:rPr>
          <w:rFonts w:ascii="Palatino Linotype" w:hAnsi="Palatino Linotype"/>
          <w:sz w:val="24"/>
          <w:szCs w:val="24"/>
        </w:rPr>
        <w:t xml:space="preserve"> the total number of service orders a carrier r</w:t>
      </w:r>
      <w:r w:rsidRPr="00067CAC" w:rsidR="0002755E">
        <w:rPr>
          <w:rFonts w:ascii="Palatino Linotype" w:hAnsi="Palatino Linotype"/>
          <w:sz w:val="24"/>
          <w:szCs w:val="24"/>
        </w:rPr>
        <w:t>e</w:t>
      </w:r>
      <w:r w:rsidRPr="00067CAC" w:rsidR="0066317A">
        <w:rPr>
          <w:rFonts w:ascii="Palatino Linotype" w:hAnsi="Palatino Linotype"/>
          <w:sz w:val="24"/>
          <w:szCs w:val="24"/>
        </w:rPr>
        <w:t>ceived during a reporting period</w:t>
      </w:r>
      <w:r w:rsidRPr="00067CAC" w:rsidR="0002755E">
        <w:rPr>
          <w:rFonts w:ascii="Palatino Linotype" w:hAnsi="Palatino Linotype"/>
          <w:sz w:val="24"/>
          <w:szCs w:val="24"/>
        </w:rPr>
        <w:t xml:space="preserve">. </w:t>
      </w:r>
      <w:r w:rsidRPr="00067CAC" w:rsidR="002A7BB6">
        <w:rPr>
          <w:rFonts w:ascii="Palatino Linotype" w:hAnsi="Palatino Linotype"/>
          <w:sz w:val="24"/>
          <w:szCs w:val="24"/>
        </w:rPr>
        <w:t xml:space="preserve"> </w:t>
      </w:r>
      <w:r w:rsidRPr="00067CAC" w:rsidR="00B616A1">
        <w:rPr>
          <w:rFonts w:ascii="Palatino Linotype" w:hAnsi="Palatino Linotype"/>
          <w:sz w:val="24"/>
          <w:szCs w:val="24"/>
        </w:rPr>
        <w:t xml:space="preserve">The standard </w:t>
      </w:r>
      <w:r w:rsidR="00DB338A">
        <w:rPr>
          <w:rFonts w:ascii="Palatino Linotype" w:hAnsi="Palatino Linotype"/>
          <w:sz w:val="24"/>
          <w:szCs w:val="24"/>
        </w:rPr>
        <w:t xml:space="preserve">requires </w:t>
      </w:r>
      <w:r w:rsidR="00207D8D">
        <w:rPr>
          <w:rFonts w:ascii="Palatino Linotype" w:hAnsi="Palatino Linotype"/>
          <w:sz w:val="24"/>
          <w:szCs w:val="24"/>
        </w:rPr>
        <w:t xml:space="preserve">an </w:t>
      </w:r>
      <w:r w:rsidRPr="0014447C" w:rsidR="0014447C">
        <w:rPr>
          <w:rFonts w:ascii="Palatino Linotype" w:hAnsi="Palatino Linotype"/>
          <w:sz w:val="24"/>
          <w:szCs w:val="24"/>
        </w:rPr>
        <w:t xml:space="preserve">installation interval </w:t>
      </w:r>
      <w:r w:rsidR="0014447C">
        <w:rPr>
          <w:rFonts w:ascii="Palatino Linotype" w:hAnsi="Palatino Linotype"/>
          <w:sz w:val="24"/>
          <w:szCs w:val="24"/>
        </w:rPr>
        <w:t>of</w:t>
      </w:r>
      <w:r w:rsidRPr="00067CAC" w:rsidR="00B616A1">
        <w:rPr>
          <w:rFonts w:ascii="Palatino Linotype" w:hAnsi="Palatino Linotype"/>
          <w:sz w:val="24"/>
          <w:szCs w:val="24"/>
        </w:rPr>
        <w:t xml:space="preserve"> five business days</w:t>
      </w:r>
      <w:r w:rsidRPr="00067CAC" w:rsidR="000F344A">
        <w:rPr>
          <w:rFonts w:ascii="Palatino Linotype" w:hAnsi="Palatino Linotype"/>
          <w:sz w:val="24"/>
          <w:szCs w:val="24"/>
        </w:rPr>
        <w:t xml:space="preserve"> </w:t>
      </w:r>
      <w:r w:rsidR="0014447C">
        <w:rPr>
          <w:rFonts w:ascii="Palatino Linotype" w:hAnsi="Palatino Linotype"/>
          <w:sz w:val="24"/>
          <w:szCs w:val="24"/>
        </w:rPr>
        <w:t xml:space="preserve">or fewer </w:t>
      </w:r>
      <w:r w:rsidRPr="00067CAC" w:rsidR="000F344A">
        <w:rPr>
          <w:rFonts w:ascii="Palatino Linotype" w:hAnsi="Palatino Linotype"/>
          <w:sz w:val="24"/>
          <w:szCs w:val="24"/>
        </w:rPr>
        <w:t xml:space="preserve">and it </w:t>
      </w:r>
      <w:r w:rsidRPr="00067CAC" w:rsidR="002A3336">
        <w:rPr>
          <w:rFonts w:ascii="Palatino Linotype" w:hAnsi="Palatino Linotype"/>
          <w:sz w:val="24"/>
          <w:szCs w:val="24"/>
        </w:rPr>
        <w:t xml:space="preserve">applies only to </w:t>
      </w:r>
      <w:r w:rsidR="00F1341E">
        <w:rPr>
          <w:rFonts w:ascii="Palatino Linotype" w:hAnsi="Palatino Linotype"/>
          <w:sz w:val="24"/>
          <w:szCs w:val="24"/>
        </w:rPr>
        <w:t>general rate case (</w:t>
      </w:r>
      <w:r w:rsidRPr="00067CAC" w:rsidR="002A3336">
        <w:rPr>
          <w:rFonts w:ascii="Palatino Linotype" w:hAnsi="Palatino Linotype"/>
          <w:sz w:val="24"/>
          <w:szCs w:val="24"/>
        </w:rPr>
        <w:t>GRC</w:t>
      </w:r>
      <w:r w:rsidR="006E73D9">
        <w:rPr>
          <w:rFonts w:ascii="Palatino Linotype" w:hAnsi="Palatino Linotype"/>
          <w:sz w:val="24"/>
          <w:szCs w:val="24"/>
        </w:rPr>
        <w:t>)</w:t>
      </w:r>
      <w:r w:rsidRPr="00067CAC" w:rsidR="002A3336">
        <w:rPr>
          <w:rFonts w:ascii="Palatino Linotype" w:hAnsi="Palatino Linotype"/>
          <w:sz w:val="24"/>
          <w:szCs w:val="24"/>
        </w:rPr>
        <w:t xml:space="preserve"> </w:t>
      </w:r>
      <w:r w:rsidRPr="00366D74" w:rsidR="00366D74">
        <w:rPr>
          <w:rFonts w:ascii="Palatino Linotype" w:hAnsi="Palatino Linotype"/>
          <w:sz w:val="24"/>
          <w:szCs w:val="24"/>
        </w:rPr>
        <w:t>Incumbent Local Exchange Carrier</w:t>
      </w:r>
      <w:r w:rsidR="00366D74">
        <w:rPr>
          <w:rFonts w:ascii="Palatino Linotype" w:hAnsi="Palatino Linotype"/>
          <w:sz w:val="24"/>
          <w:szCs w:val="24"/>
        </w:rPr>
        <w:t>s (</w:t>
      </w:r>
      <w:r w:rsidRPr="00067CAC" w:rsidR="002A3336">
        <w:rPr>
          <w:rFonts w:ascii="Palatino Linotype" w:hAnsi="Palatino Linotype"/>
          <w:sz w:val="24"/>
          <w:szCs w:val="24"/>
        </w:rPr>
        <w:t>ILECs</w:t>
      </w:r>
      <w:r w:rsidR="00366D74">
        <w:rPr>
          <w:rFonts w:ascii="Palatino Linotype" w:hAnsi="Palatino Linotype"/>
          <w:sz w:val="24"/>
          <w:szCs w:val="24"/>
        </w:rPr>
        <w:t>)</w:t>
      </w:r>
      <w:r w:rsidRPr="00067CAC" w:rsidR="002A3336">
        <w:rPr>
          <w:rFonts w:ascii="Palatino Linotype" w:hAnsi="Palatino Linotype"/>
          <w:sz w:val="24"/>
          <w:szCs w:val="24"/>
        </w:rPr>
        <w:t xml:space="preserve">.  </w:t>
      </w:r>
    </w:p>
    <w:p w:rsidR="00DE7C71" w:rsidP="00F86AD5" w:rsidRDefault="00DE7C71" w14:paraId="2D7CE126" w14:textId="77777777">
      <w:pPr>
        <w:tabs>
          <w:tab w:val="left" w:pos="3600"/>
        </w:tabs>
        <w:rPr>
          <w:rFonts w:ascii="Palatino Linotype" w:hAnsi="Palatino Linotype"/>
          <w:sz w:val="24"/>
          <w:szCs w:val="24"/>
        </w:rPr>
      </w:pPr>
    </w:p>
    <w:p w:rsidR="0016038D" w:rsidP="0016038D" w:rsidRDefault="0016038D" w14:paraId="44E68D0A" w14:textId="0348E815">
      <w:pPr>
        <w:spacing w:before="120" w:after="120"/>
        <w:rPr>
          <w:rFonts w:ascii="Palatino Linotype" w:hAnsi="Palatino Linotype"/>
          <w:sz w:val="24"/>
          <w:szCs w:val="24"/>
        </w:rPr>
      </w:pPr>
      <w:r>
        <w:rPr>
          <w:rFonts w:ascii="Palatino Linotype" w:hAnsi="Palatino Linotype"/>
          <w:sz w:val="24"/>
          <w:szCs w:val="24"/>
        </w:rPr>
        <w:t xml:space="preserve">All carriers in this resolution </w:t>
      </w:r>
      <w:r w:rsidRPr="00755E15">
        <w:rPr>
          <w:rFonts w:ascii="Palatino Linotype" w:hAnsi="Palatino Linotype"/>
          <w:sz w:val="24"/>
          <w:szCs w:val="24"/>
        </w:rPr>
        <w:t xml:space="preserve">met the </w:t>
      </w:r>
      <w:r>
        <w:rPr>
          <w:rFonts w:ascii="Palatino Linotype" w:hAnsi="Palatino Linotype"/>
          <w:i/>
          <w:sz w:val="24"/>
          <w:szCs w:val="24"/>
        </w:rPr>
        <w:t>Installation Interval</w:t>
      </w:r>
      <w:r w:rsidRPr="00755E15">
        <w:rPr>
          <w:rFonts w:ascii="Palatino Linotype" w:hAnsi="Palatino Linotype"/>
          <w:i/>
          <w:sz w:val="24"/>
          <w:szCs w:val="24"/>
        </w:rPr>
        <w:t xml:space="preserve"> </w:t>
      </w:r>
      <w:r w:rsidRPr="00755E15">
        <w:rPr>
          <w:rFonts w:ascii="Palatino Linotype" w:hAnsi="Palatino Linotype"/>
          <w:sz w:val="24"/>
          <w:szCs w:val="24"/>
        </w:rPr>
        <w:t>standard</w:t>
      </w:r>
      <w:r>
        <w:rPr>
          <w:rFonts w:ascii="Palatino Linotype" w:hAnsi="Palatino Linotype"/>
          <w:sz w:val="24"/>
          <w:szCs w:val="24"/>
        </w:rPr>
        <w:t xml:space="preserve"> during 2025</w:t>
      </w:r>
      <w:r w:rsidRPr="00755E15">
        <w:rPr>
          <w:rFonts w:ascii="Palatino Linotype" w:hAnsi="Palatino Linotype"/>
          <w:sz w:val="24"/>
          <w:szCs w:val="24"/>
        </w:rPr>
        <w:t>.</w:t>
      </w:r>
    </w:p>
    <w:p w:rsidRPr="0009367F" w:rsidR="005B281B" w:rsidP="00F86AD5" w:rsidRDefault="005B281B" w14:paraId="2AD63996" w14:textId="77777777">
      <w:pPr>
        <w:pStyle w:val="ListParagraph"/>
        <w:numPr>
          <w:ilvl w:val="0"/>
          <w:numId w:val="15"/>
        </w:numPr>
        <w:tabs>
          <w:tab w:val="left" w:pos="3600"/>
        </w:tabs>
        <w:ind w:left="1080"/>
        <w:rPr>
          <w:rFonts w:ascii="Palatino Linotype" w:hAnsi="Palatino Linotype"/>
          <w:sz w:val="24"/>
          <w:szCs w:val="24"/>
        </w:rPr>
      </w:pPr>
      <w:r w:rsidRPr="0009367F">
        <w:rPr>
          <w:rFonts w:ascii="Palatino Linotype" w:hAnsi="Palatino Linotype"/>
          <w:b/>
          <w:i/>
          <w:sz w:val="24"/>
          <w:szCs w:val="24"/>
          <w:u w:val="single"/>
        </w:rPr>
        <w:t>Installation Commitments</w:t>
      </w:r>
    </w:p>
    <w:p w:rsidR="002B4E8F" w:rsidP="00755E15" w:rsidRDefault="00677A00" w14:paraId="776BED9B" w14:textId="77777777">
      <w:pPr>
        <w:tabs>
          <w:tab w:val="left" w:pos="3600"/>
        </w:tabs>
        <w:spacing w:after="0" w:line="240" w:lineRule="auto"/>
        <w:rPr>
          <w:rFonts w:ascii="Palatino Linotype" w:hAnsi="Palatino Linotype"/>
          <w:sz w:val="24"/>
          <w:szCs w:val="24"/>
        </w:rPr>
      </w:pPr>
      <w:r w:rsidRPr="0009367F">
        <w:rPr>
          <w:rFonts w:ascii="Palatino Linotype" w:hAnsi="Palatino Linotype"/>
          <w:sz w:val="24"/>
          <w:szCs w:val="24"/>
        </w:rPr>
        <w:t xml:space="preserve">The standard for </w:t>
      </w:r>
      <w:r w:rsidRPr="0009367F">
        <w:rPr>
          <w:rFonts w:ascii="Palatino Linotype" w:hAnsi="Palatino Linotype"/>
          <w:i/>
          <w:sz w:val="24"/>
          <w:szCs w:val="24"/>
        </w:rPr>
        <w:t>Installation Commitments</w:t>
      </w:r>
      <w:r w:rsidRPr="0009367F" w:rsidR="009350CD">
        <w:rPr>
          <w:rFonts w:ascii="Palatino Linotype" w:hAnsi="Palatino Linotype"/>
          <w:sz w:val="24"/>
          <w:szCs w:val="24"/>
        </w:rPr>
        <w:t xml:space="preserve">, </w:t>
      </w:r>
      <w:r w:rsidR="00B06F8C">
        <w:rPr>
          <w:rFonts w:ascii="Palatino Linotype" w:hAnsi="Palatino Linotype"/>
          <w:sz w:val="24"/>
          <w:szCs w:val="24"/>
        </w:rPr>
        <w:t xml:space="preserve">as </w:t>
      </w:r>
      <w:r w:rsidRPr="0009367F" w:rsidR="009350CD">
        <w:rPr>
          <w:rFonts w:ascii="Palatino Linotype" w:hAnsi="Palatino Linotype"/>
          <w:sz w:val="24"/>
          <w:szCs w:val="24"/>
        </w:rPr>
        <w:t>defined in § 3.2,</w:t>
      </w:r>
      <w:r w:rsidRPr="0009367F" w:rsidR="00035821">
        <w:rPr>
          <w:rFonts w:ascii="Palatino Linotype" w:hAnsi="Palatino Linotype"/>
          <w:sz w:val="24"/>
          <w:szCs w:val="24"/>
        </w:rPr>
        <w:t xml:space="preserve"> </w:t>
      </w:r>
      <w:r w:rsidR="00B06F8C">
        <w:rPr>
          <w:rFonts w:ascii="Palatino Linotype" w:hAnsi="Palatino Linotype"/>
          <w:sz w:val="24"/>
          <w:szCs w:val="24"/>
        </w:rPr>
        <w:t>assesses</w:t>
      </w:r>
      <w:r w:rsidRPr="0009367F" w:rsidR="00035821">
        <w:rPr>
          <w:rFonts w:ascii="Palatino Linotype" w:hAnsi="Palatino Linotype"/>
          <w:sz w:val="24"/>
          <w:szCs w:val="24"/>
        </w:rPr>
        <w:t xml:space="preserve"> a carrier’s ability to fulfill customer requests</w:t>
      </w:r>
      <w:r w:rsidRPr="0009367F" w:rsidR="004B5AF0">
        <w:rPr>
          <w:rFonts w:ascii="Palatino Linotype" w:hAnsi="Palatino Linotype"/>
          <w:sz w:val="24"/>
          <w:szCs w:val="24"/>
        </w:rPr>
        <w:t xml:space="preserve"> </w:t>
      </w:r>
      <w:r w:rsidR="00C831DC">
        <w:rPr>
          <w:rFonts w:ascii="Palatino Linotype" w:hAnsi="Palatino Linotype"/>
          <w:sz w:val="24"/>
          <w:szCs w:val="24"/>
        </w:rPr>
        <w:t>for</w:t>
      </w:r>
      <w:r w:rsidRPr="0009367F" w:rsidR="004B5AF0">
        <w:rPr>
          <w:rFonts w:ascii="Palatino Linotype" w:hAnsi="Palatino Linotype"/>
          <w:sz w:val="24"/>
          <w:szCs w:val="24"/>
        </w:rPr>
        <w:t xml:space="preserve"> basic telephone service</w:t>
      </w:r>
      <w:r w:rsidR="00C831DC">
        <w:rPr>
          <w:rFonts w:ascii="Palatino Linotype" w:hAnsi="Palatino Linotype"/>
          <w:sz w:val="24"/>
          <w:szCs w:val="24"/>
        </w:rPr>
        <w:t xml:space="preserve"> installation</w:t>
      </w:r>
      <w:r w:rsidRPr="0009367F" w:rsidR="004B5AF0">
        <w:rPr>
          <w:rFonts w:ascii="Palatino Linotype" w:hAnsi="Palatino Linotype"/>
          <w:sz w:val="24"/>
          <w:szCs w:val="24"/>
        </w:rPr>
        <w:t xml:space="preserve">. </w:t>
      </w:r>
      <w:r w:rsidRPr="0009367F" w:rsidR="008A31BF">
        <w:rPr>
          <w:rFonts w:ascii="Palatino Linotype" w:hAnsi="Palatino Linotype"/>
          <w:sz w:val="24"/>
          <w:szCs w:val="24"/>
        </w:rPr>
        <w:t xml:space="preserve"> It measures </w:t>
      </w:r>
      <w:r w:rsidRPr="0009367F" w:rsidR="00364FB5">
        <w:rPr>
          <w:rFonts w:ascii="Palatino Linotype" w:hAnsi="Palatino Linotype"/>
          <w:sz w:val="24"/>
          <w:szCs w:val="24"/>
        </w:rPr>
        <w:t xml:space="preserve">the </w:t>
      </w:r>
      <w:r w:rsidR="00335C6A">
        <w:rPr>
          <w:rFonts w:ascii="Palatino Linotype" w:hAnsi="Palatino Linotype"/>
          <w:sz w:val="24"/>
          <w:szCs w:val="24"/>
        </w:rPr>
        <w:t xml:space="preserve">total </w:t>
      </w:r>
      <w:r w:rsidRPr="0009367F" w:rsidR="00364FB5">
        <w:rPr>
          <w:rFonts w:ascii="Palatino Linotype" w:hAnsi="Palatino Linotype"/>
          <w:sz w:val="24"/>
          <w:szCs w:val="24"/>
        </w:rPr>
        <w:t xml:space="preserve">monthly </w:t>
      </w:r>
      <w:r w:rsidRPr="0009367F" w:rsidR="004F13F9">
        <w:rPr>
          <w:rFonts w:ascii="Palatino Linotype" w:hAnsi="Palatino Linotype"/>
          <w:sz w:val="24"/>
          <w:szCs w:val="24"/>
        </w:rPr>
        <w:t>commitments</w:t>
      </w:r>
      <w:r w:rsidR="00300F39">
        <w:rPr>
          <w:rFonts w:ascii="Palatino Linotype" w:hAnsi="Palatino Linotype"/>
          <w:sz w:val="24"/>
          <w:szCs w:val="24"/>
        </w:rPr>
        <w:t xml:space="preserve"> made</w:t>
      </w:r>
      <w:r w:rsidRPr="0009367F" w:rsidR="004F13F9">
        <w:rPr>
          <w:rFonts w:ascii="Palatino Linotype" w:hAnsi="Palatino Linotype"/>
          <w:sz w:val="24"/>
          <w:szCs w:val="24"/>
        </w:rPr>
        <w:t>,</w:t>
      </w:r>
      <w:r w:rsidRPr="0009367F" w:rsidR="00364FB5">
        <w:rPr>
          <w:rFonts w:ascii="Palatino Linotype" w:hAnsi="Palatino Linotype"/>
          <w:sz w:val="24"/>
          <w:szCs w:val="24"/>
        </w:rPr>
        <w:t xml:space="preserve"> and the number of commitments </w:t>
      </w:r>
      <w:r w:rsidR="004A1092">
        <w:rPr>
          <w:rFonts w:ascii="Palatino Linotype" w:hAnsi="Palatino Linotype"/>
          <w:sz w:val="24"/>
          <w:szCs w:val="24"/>
        </w:rPr>
        <w:t xml:space="preserve">that were </w:t>
      </w:r>
      <w:r w:rsidR="00076D39">
        <w:rPr>
          <w:rFonts w:ascii="Palatino Linotype" w:hAnsi="Palatino Linotype"/>
          <w:sz w:val="24"/>
          <w:szCs w:val="24"/>
        </w:rPr>
        <w:t>not fulfilled</w:t>
      </w:r>
      <w:r w:rsidRPr="0009367F" w:rsidR="00364FB5">
        <w:rPr>
          <w:rFonts w:ascii="Palatino Linotype" w:hAnsi="Palatino Linotype"/>
          <w:sz w:val="24"/>
          <w:szCs w:val="24"/>
        </w:rPr>
        <w:t>.</w:t>
      </w:r>
      <w:r w:rsidRPr="0009367F" w:rsidR="00C226A4">
        <w:rPr>
          <w:rFonts w:ascii="Palatino Linotype" w:hAnsi="Palatino Linotype"/>
          <w:sz w:val="24"/>
          <w:szCs w:val="24"/>
        </w:rPr>
        <w:t xml:space="preserve"> </w:t>
      </w:r>
      <w:r w:rsidRPr="0009367F" w:rsidR="009350CD">
        <w:rPr>
          <w:rFonts w:ascii="Palatino Linotype" w:hAnsi="Palatino Linotype"/>
          <w:sz w:val="24"/>
          <w:szCs w:val="24"/>
        </w:rPr>
        <w:t xml:space="preserve"> </w:t>
      </w:r>
      <w:r w:rsidRPr="0009367F" w:rsidR="00336054">
        <w:rPr>
          <w:rFonts w:ascii="Palatino Linotype" w:hAnsi="Palatino Linotype"/>
          <w:sz w:val="24"/>
          <w:szCs w:val="24"/>
        </w:rPr>
        <w:t xml:space="preserve">The standard </w:t>
      </w:r>
      <w:r w:rsidRPr="0009367F">
        <w:rPr>
          <w:rFonts w:ascii="Palatino Linotype" w:hAnsi="Palatino Linotype"/>
          <w:sz w:val="24"/>
          <w:szCs w:val="24"/>
        </w:rPr>
        <w:t>appl</w:t>
      </w:r>
      <w:r w:rsidRPr="0009367F" w:rsidR="009350CD">
        <w:rPr>
          <w:rFonts w:ascii="Palatino Linotype" w:hAnsi="Palatino Linotype"/>
          <w:sz w:val="24"/>
          <w:szCs w:val="24"/>
        </w:rPr>
        <w:t>ies</w:t>
      </w:r>
      <w:r w:rsidRPr="0009367F">
        <w:rPr>
          <w:rFonts w:ascii="Palatino Linotype" w:hAnsi="Palatino Linotype"/>
          <w:sz w:val="24"/>
          <w:szCs w:val="24"/>
        </w:rPr>
        <w:t xml:space="preserve"> </w:t>
      </w:r>
      <w:r w:rsidRPr="0009367F" w:rsidR="00C01AE0">
        <w:rPr>
          <w:rFonts w:ascii="Palatino Linotype" w:hAnsi="Palatino Linotype"/>
          <w:sz w:val="24"/>
          <w:szCs w:val="24"/>
        </w:rPr>
        <w:t xml:space="preserve">only to </w:t>
      </w:r>
      <w:r w:rsidRPr="0009367F">
        <w:rPr>
          <w:rFonts w:ascii="Palatino Linotype" w:hAnsi="Palatino Linotype"/>
          <w:sz w:val="24"/>
          <w:szCs w:val="24"/>
        </w:rPr>
        <w:t>GRC ILECs</w:t>
      </w:r>
      <w:r w:rsidRPr="0009367F" w:rsidR="00C01AE0">
        <w:rPr>
          <w:rFonts w:ascii="Palatino Linotype" w:hAnsi="Palatino Linotype"/>
          <w:sz w:val="24"/>
          <w:szCs w:val="24"/>
        </w:rPr>
        <w:t xml:space="preserve">.  </w:t>
      </w:r>
      <w:r w:rsidRPr="0009367F" w:rsidR="00006944">
        <w:rPr>
          <w:rFonts w:ascii="Palatino Linotype" w:hAnsi="Palatino Linotype"/>
          <w:sz w:val="24"/>
          <w:szCs w:val="24"/>
        </w:rPr>
        <w:t xml:space="preserve">The Minimum Standard Reporting Level for </w:t>
      </w:r>
      <w:r w:rsidRPr="0009367F" w:rsidR="00006944">
        <w:rPr>
          <w:rFonts w:ascii="Palatino Linotype" w:hAnsi="Palatino Linotype"/>
          <w:i/>
          <w:sz w:val="24"/>
          <w:szCs w:val="24"/>
        </w:rPr>
        <w:t>Installation Commitments</w:t>
      </w:r>
      <w:r w:rsidRPr="0009367F" w:rsidR="00006944">
        <w:rPr>
          <w:rFonts w:ascii="Palatino Linotype" w:hAnsi="Palatino Linotype"/>
          <w:sz w:val="24"/>
          <w:szCs w:val="24"/>
        </w:rPr>
        <w:t xml:space="preserve"> is </w:t>
      </w:r>
      <w:r w:rsidR="00076D39">
        <w:rPr>
          <w:rFonts w:ascii="Palatino Linotype" w:hAnsi="Palatino Linotype"/>
          <w:sz w:val="24"/>
          <w:szCs w:val="24"/>
        </w:rPr>
        <w:t>established</w:t>
      </w:r>
      <w:r w:rsidR="00B2075C">
        <w:rPr>
          <w:rFonts w:ascii="Palatino Linotype" w:hAnsi="Palatino Linotype"/>
          <w:sz w:val="24"/>
          <w:szCs w:val="24"/>
        </w:rPr>
        <w:t xml:space="preserve"> at</w:t>
      </w:r>
      <w:r w:rsidRPr="0009367F" w:rsidR="00006944">
        <w:rPr>
          <w:rFonts w:ascii="Palatino Linotype" w:hAnsi="Palatino Linotype"/>
          <w:sz w:val="24"/>
          <w:szCs w:val="24"/>
        </w:rPr>
        <w:t xml:space="preserve"> 95% of commitments </w:t>
      </w:r>
      <w:r w:rsidR="00516B9D">
        <w:rPr>
          <w:rFonts w:ascii="Palatino Linotype" w:hAnsi="Palatino Linotype"/>
          <w:sz w:val="24"/>
          <w:szCs w:val="24"/>
        </w:rPr>
        <w:t>fulfilled</w:t>
      </w:r>
      <w:r w:rsidRPr="0009367F" w:rsidR="00006944">
        <w:rPr>
          <w:rFonts w:ascii="Palatino Linotype" w:hAnsi="Palatino Linotype"/>
          <w:sz w:val="24"/>
          <w:szCs w:val="24"/>
        </w:rPr>
        <w:t>.</w:t>
      </w:r>
    </w:p>
    <w:p w:rsidR="004A2BC8" w:rsidP="00755E15" w:rsidRDefault="004A2BC8" w14:paraId="02874368" w14:textId="77777777">
      <w:pPr>
        <w:tabs>
          <w:tab w:val="left" w:pos="3600"/>
        </w:tabs>
        <w:spacing w:after="0" w:line="240" w:lineRule="auto"/>
        <w:rPr>
          <w:rFonts w:ascii="Palatino Linotype" w:hAnsi="Palatino Linotype"/>
          <w:sz w:val="24"/>
          <w:szCs w:val="24"/>
        </w:rPr>
      </w:pPr>
    </w:p>
    <w:p w:rsidR="003E42C4" w:rsidP="00D92C00" w:rsidRDefault="004A2BC8" w14:paraId="1A319612" w14:textId="40C73B62">
      <w:pPr>
        <w:spacing w:before="120" w:after="120"/>
        <w:rPr>
          <w:rFonts w:ascii="Palatino Linotype" w:hAnsi="Palatino Linotype"/>
          <w:sz w:val="24"/>
          <w:szCs w:val="24"/>
        </w:rPr>
      </w:pPr>
      <w:r>
        <w:rPr>
          <w:rFonts w:ascii="Palatino Linotype" w:hAnsi="Palatino Linotype"/>
          <w:sz w:val="24"/>
          <w:szCs w:val="24"/>
        </w:rPr>
        <w:t xml:space="preserve">All carriers in this resolution </w:t>
      </w:r>
      <w:r w:rsidRPr="00755E15">
        <w:rPr>
          <w:rFonts w:ascii="Palatino Linotype" w:hAnsi="Palatino Linotype"/>
          <w:sz w:val="24"/>
          <w:szCs w:val="24"/>
        </w:rPr>
        <w:t xml:space="preserve">met the </w:t>
      </w:r>
      <w:r>
        <w:rPr>
          <w:rFonts w:ascii="Palatino Linotype" w:hAnsi="Palatino Linotype"/>
          <w:i/>
          <w:sz w:val="24"/>
          <w:szCs w:val="24"/>
        </w:rPr>
        <w:t>Installation Commitments</w:t>
      </w:r>
      <w:r w:rsidRPr="00755E15">
        <w:rPr>
          <w:rFonts w:ascii="Palatino Linotype" w:hAnsi="Palatino Linotype"/>
          <w:i/>
          <w:sz w:val="24"/>
          <w:szCs w:val="24"/>
        </w:rPr>
        <w:t xml:space="preserve"> </w:t>
      </w:r>
      <w:r w:rsidRPr="00755E15">
        <w:rPr>
          <w:rFonts w:ascii="Palatino Linotype" w:hAnsi="Palatino Linotype"/>
          <w:sz w:val="24"/>
          <w:szCs w:val="24"/>
        </w:rPr>
        <w:t>standard</w:t>
      </w:r>
      <w:r>
        <w:rPr>
          <w:rFonts w:ascii="Palatino Linotype" w:hAnsi="Palatino Linotype"/>
          <w:sz w:val="24"/>
          <w:szCs w:val="24"/>
        </w:rPr>
        <w:t xml:space="preserve"> during </w:t>
      </w:r>
      <w:r w:rsidR="000F6D13">
        <w:rPr>
          <w:rFonts w:ascii="Palatino Linotype" w:hAnsi="Palatino Linotype"/>
          <w:sz w:val="24"/>
          <w:szCs w:val="24"/>
        </w:rPr>
        <w:t>2025</w:t>
      </w:r>
      <w:r w:rsidRPr="00755E15">
        <w:rPr>
          <w:rFonts w:ascii="Palatino Linotype" w:hAnsi="Palatino Linotype"/>
          <w:sz w:val="24"/>
          <w:szCs w:val="24"/>
        </w:rPr>
        <w:t>.</w:t>
      </w:r>
    </w:p>
    <w:p w:rsidR="00DE7C71" w:rsidP="00DE7C71" w:rsidRDefault="00DE7C71" w14:paraId="7B56E73C" w14:textId="77777777">
      <w:pPr>
        <w:pStyle w:val="ListParagraph"/>
        <w:tabs>
          <w:tab w:val="left" w:pos="3600"/>
        </w:tabs>
        <w:spacing w:before="120" w:after="120"/>
        <w:rPr>
          <w:rFonts w:ascii="Palatino Linotype" w:hAnsi="Palatino Linotype"/>
          <w:b/>
          <w:sz w:val="24"/>
          <w:szCs w:val="24"/>
        </w:rPr>
      </w:pPr>
    </w:p>
    <w:p w:rsidRPr="00F34271" w:rsidR="005B281B" w:rsidP="00FD749F" w:rsidRDefault="005B281B" w14:paraId="4FF1F091" w14:textId="77777777">
      <w:pPr>
        <w:pStyle w:val="ListParagraph"/>
        <w:numPr>
          <w:ilvl w:val="0"/>
          <w:numId w:val="14"/>
        </w:numPr>
        <w:tabs>
          <w:tab w:val="left" w:pos="3600"/>
        </w:tabs>
        <w:spacing w:before="120" w:after="120"/>
        <w:ind w:left="720"/>
        <w:rPr>
          <w:rFonts w:ascii="Palatino Linotype" w:hAnsi="Palatino Linotype"/>
          <w:b/>
          <w:sz w:val="24"/>
          <w:szCs w:val="24"/>
        </w:rPr>
      </w:pPr>
      <w:r w:rsidRPr="00F34271">
        <w:rPr>
          <w:rFonts w:ascii="Palatino Linotype" w:hAnsi="Palatino Linotype"/>
          <w:b/>
          <w:sz w:val="24"/>
          <w:szCs w:val="24"/>
        </w:rPr>
        <w:t>Total Fine Amount per Carrier</w:t>
      </w:r>
    </w:p>
    <w:p w:rsidR="00636D61" w:rsidP="00DE7C71" w:rsidRDefault="00064AF6" w14:paraId="0FA6C99D" w14:textId="43223442">
      <w:pPr>
        <w:tabs>
          <w:tab w:val="left" w:pos="3600"/>
        </w:tabs>
        <w:spacing w:after="0" w:line="240" w:lineRule="auto"/>
        <w:rPr>
          <w:rFonts w:ascii="Palatino Linotype" w:hAnsi="Palatino Linotype"/>
          <w:sz w:val="24"/>
          <w:szCs w:val="24"/>
        </w:rPr>
      </w:pPr>
      <w:r>
        <w:rPr>
          <w:rFonts w:ascii="Palatino Linotype" w:hAnsi="Palatino Linotype"/>
          <w:sz w:val="24"/>
          <w:szCs w:val="24"/>
        </w:rPr>
        <w:lastRenderedPageBreak/>
        <w:t xml:space="preserve">In </w:t>
      </w:r>
      <w:r w:rsidR="000F6D13">
        <w:rPr>
          <w:rFonts w:ascii="Palatino Linotype" w:hAnsi="Palatino Linotype"/>
          <w:sz w:val="24"/>
          <w:szCs w:val="24"/>
        </w:rPr>
        <w:t>2025</w:t>
      </w:r>
      <w:r>
        <w:rPr>
          <w:rFonts w:ascii="Palatino Linotype" w:hAnsi="Palatino Linotype"/>
          <w:sz w:val="24"/>
          <w:szCs w:val="24"/>
        </w:rPr>
        <w:t xml:space="preserve">, </w:t>
      </w:r>
      <w:r w:rsidRPr="003465C6" w:rsidR="003465C6">
        <w:rPr>
          <w:rFonts w:ascii="Palatino Linotype" w:hAnsi="Palatino Linotype"/>
          <w:sz w:val="24"/>
          <w:szCs w:val="24"/>
        </w:rPr>
        <w:t>the total fines levied against all carriers</w:t>
      </w:r>
      <w:r w:rsidR="003465C6">
        <w:rPr>
          <w:rFonts w:ascii="Palatino Linotype" w:hAnsi="Palatino Linotype"/>
          <w:sz w:val="24"/>
          <w:szCs w:val="24"/>
        </w:rPr>
        <w:t xml:space="preserve"> un</w:t>
      </w:r>
      <w:r w:rsidR="00763C14">
        <w:rPr>
          <w:rFonts w:ascii="Palatino Linotype" w:hAnsi="Palatino Linotype"/>
          <w:sz w:val="24"/>
          <w:szCs w:val="24"/>
        </w:rPr>
        <w:t xml:space="preserve">der </w:t>
      </w:r>
      <w:r w:rsidR="00895B87">
        <w:rPr>
          <w:rFonts w:ascii="Palatino Linotype" w:hAnsi="Palatino Linotype"/>
          <w:sz w:val="24"/>
          <w:szCs w:val="24"/>
        </w:rPr>
        <w:t xml:space="preserve">G.O 133-D </w:t>
      </w:r>
      <w:r w:rsidR="00763C14">
        <w:rPr>
          <w:rFonts w:ascii="Palatino Linotype" w:hAnsi="Palatino Linotype"/>
          <w:sz w:val="24"/>
          <w:szCs w:val="24"/>
        </w:rPr>
        <w:t xml:space="preserve">for failing to meet </w:t>
      </w:r>
      <w:r w:rsidR="00895B87">
        <w:rPr>
          <w:rFonts w:ascii="Palatino Linotype" w:hAnsi="Palatino Linotype"/>
          <w:sz w:val="24"/>
          <w:szCs w:val="24"/>
        </w:rPr>
        <w:t xml:space="preserve">service quality </w:t>
      </w:r>
      <w:r w:rsidR="00763C14">
        <w:rPr>
          <w:rFonts w:ascii="Palatino Linotype" w:hAnsi="Palatino Linotype"/>
          <w:sz w:val="24"/>
          <w:szCs w:val="24"/>
        </w:rPr>
        <w:t xml:space="preserve">standards </w:t>
      </w:r>
      <w:r w:rsidR="00067192">
        <w:rPr>
          <w:rFonts w:ascii="Palatino Linotype" w:hAnsi="Palatino Linotype"/>
          <w:sz w:val="24"/>
          <w:szCs w:val="24"/>
        </w:rPr>
        <w:t>amounted to</w:t>
      </w:r>
      <w:r w:rsidR="00895B87">
        <w:rPr>
          <w:rFonts w:ascii="Palatino Linotype" w:hAnsi="Palatino Linotype"/>
          <w:sz w:val="24"/>
          <w:szCs w:val="24"/>
        </w:rPr>
        <w:t xml:space="preserve"> </w:t>
      </w:r>
      <w:r w:rsidRPr="00895B87" w:rsidR="00895B87">
        <w:rPr>
          <w:rFonts w:ascii="Palatino Linotype" w:hAnsi="Palatino Linotype"/>
          <w:sz w:val="24"/>
          <w:szCs w:val="24"/>
        </w:rPr>
        <w:t>$</w:t>
      </w:r>
      <w:r w:rsidR="001C08AB">
        <w:rPr>
          <w:rFonts w:ascii="Palatino Linotype" w:hAnsi="Palatino Linotype"/>
          <w:sz w:val="24"/>
          <w:szCs w:val="24"/>
        </w:rPr>
        <w:t>2,975</w:t>
      </w:r>
      <w:r w:rsidRPr="00895B87" w:rsidR="00895B87">
        <w:rPr>
          <w:rFonts w:ascii="Palatino Linotype" w:hAnsi="Palatino Linotype"/>
          <w:sz w:val="24"/>
          <w:szCs w:val="24"/>
        </w:rPr>
        <w:t xml:space="preserve">. </w:t>
      </w:r>
      <w:r w:rsidR="00895B87">
        <w:rPr>
          <w:rFonts w:ascii="Palatino Linotype" w:hAnsi="Palatino Linotype"/>
          <w:sz w:val="24"/>
          <w:szCs w:val="24"/>
        </w:rPr>
        <w:t xml:space="preserve"> </w:t>
      </w:r>
      <w:r w:rsidRPr="00324366" w:rsidR="00324366">
        <w:rPr>
          <w:rFonts w:ascii="Palatino Linotype" w:hAnsi="Palatino Linotype"/>
          <w:sz w:val="24"/>
          <w:szCs w:val="24"/>
        </w:rPr>
        <w:t xml:space="preserve">These fines were calculated </w:t>
      </w:r>
      <w:r w:rsidR="00324366">
        <w:rPr>
          <w:rFonts w:ascii="Palatino Linotype" w:hAnsi="Palatino Linotype"/>
          <w:sz w:val="24"/>
          <w:szCs w:val="24"/>
        </w:rPr>
        <w:t>using specific</w:t>
      </w:r>
      <w:r w:rsidRPr="00755E15" w:rsidR="005B281B">
        <w:rPr>
          <w:rFonts w:ascii="Palatino Linotype" w:hAnsi="Palatino Linotype"/>
          <w:sz w:val="24"/>
          <w:szCs w:val="24"/>
        </w:rPr>
        <w:t xml:space="preserve"> scaling factors and the number of months </w:t>
      </w:r>
      <w:r w:rsidR="003B7AEC">
        <w:rPr>
          <w:rFonts w:ascii="Palatino Linotype" w:hAnsi="Palatino Linotype"/>
          <w:sz w:val="24"/>
          <w:szCs w:val="24"/>
        </w:rPr>
        <w:t>that</w:t>
      </w:r>
      <w:r w:rsidRPr="00755E15" w:rsidR="005B281B">
        <w:rPr>
          <w:rFonts w:ascii="Palatino Linotype" w:hAnsi="Palatino Linotype"/>
          <w:sz w:val="24"/>
          <w:szCs w:val="24"/>
        </w:rPr>
        <w:t xml:space="preserve"> </w:t>
      </w:r>
      <w:r w:rsidR="00895B87">
        <w:rPr>
          <w:rFonts w:ascii="Palatino Linotype" w:hAnsi="Palatino Linotype"/>
          <w:sz w:val="24"/>
          <w:szCs w:val="24"/>
        </w:rPr>
        <w:t>carriers</w:t>
      </w:r>
      <w:r w:rsidRPr="00755E15" w:rsidR="00632E66">
        <w:rPr>
          <w:rFonts w:ascii="Palatino Linotype" w:hAnsi="Palatino Linotype"/>
          <w:sz w:val="24"/>
          <w:szCs w:val="24"/>
        </w:rPr>
        <w:t xml:space="preserve"> failed</w:t>
      </w:r>
      <w:r w:rsidRPr="00755E15" w:rsidR="005B281B">
        <w:rPr>
          <w:rFonts w:ascii="Palatino Linotype" w:hAnsi="Palatino Linotype"/>
          <w:sz w:val="24"/>
          <w:szCs w:val="24"/>
        </w:rPr>
        <w:t xml:space="preserve"> to meet the </w:t>
      </w:r>
      <w:r w:rsidR="00350199">
        <w:rPr>
          <w:rFonts w:ascii="Palatino Linotype" w:hAnsi="Palatino Linotype"/>
          <w:sz w:val="24"/>
          <w:szCs w:val="24"/>
        </w:rPr>
        <w:t xml:space="preserve">established </w:t>
      </w:r>
      <w:r w:rsidRPr="00755E15" w:rsidR="005B281B">
        <w:rPr>
          <w:rFonts w:ascii="Palatino Linotype" w:hAnsi="Palatino Linotype"/>
          <w:sz w:val="24"/>
          <w:szCs w:val="24"/>
        </w:rPr>
        <w:t>minimum service quality standards</w:t>
      </w:r>
      <w:r w:rsidR="00350199">
        <w:rPr>
          <w:rFonts w:ascii="Palatino Linotype" w:hAnsi="Palatino Linotype"/>
          <w:sz w:val="24"/>
          <w:szCs w:val="24"/>
        </w:rPr>
        <w:t xml:space="preserve">. </w:t>
      </w:r>
      <w:r w:rsidRPr="006C00E6" w:rsidR="006C00E6">
        <w:rPr>
          <w:rFonts w:ascii="Palatino Linotype" w:hAnsi="Palatino Linotype"/>
          <w:sz w:val="24"/>
          <w:szCs w:val="24"/>
        </w:rPr>
        <w:t xml:space="preserve">A detailed </w:t>
      </w:r>
      <w:r w:rsidRPr="001C08AB" w:rsidR="006C00E6">
        <w:rPr>
          <w:rFonts w:ascii="Palatino Linotype" w:hAnsi="Palatino Linotype"/>
          <w:sz w:val="24"/>
          <w:szCs w:val="24"/>
        </w:rPr>
        <w:t>breakdown of</w:t>
      </w:r>
      <w:r w:rsidRPr="001C08AB" w:rsidR="005B281B">
        <w:rPr>
          <w:rFonts w:ascii="Palatino Linotype" w:hAnsi="Palatino Linotype"/>
          <w:sz w:val="24"/>
          <w:szCs w:val="24"/>
        </w:rPr>
        <w:t xml:space="preserve"> </w:t>
      </w:r>
      <w:r w:rsidRPr="001C08AB" w:rsidR="00632E66">
        <w:rPr>
          <w:rFonts w:ascii="Palatino Linotype" w:hAnsi="Palatino Linotype"/>
          <w:sz w:val="24"/>
          <w:szCs w:val="24"/>
        </w:rPr>
        <w:t xml:space="preserve">the </w:t>
      </w:r>
      <w:r w:rsidRPr="001C08AB" w:rsidR="008C1CDA">
        <w:rPr>
          <w:rFonts w:ascii="Palatino Linotype" w:hAnsi="Palatino Linotype"/>
          <w:sz w:val="24"/>
          <w:szCs w:val="24"/>
        </w:rPr>
        <w:t>$</w:t>
      </w:r>
      <w:r w:rsidRPr="001C08AB" w:rsidR="001C08AB">
        <w:rPr>
          <w:rFonts w:ascii="Palatino Linotype" w:hAnsi="Palatino Linotype"/>
          <w:sz w:val="24"/>
          <w:szCs w:val="24"/>
        </w:rPr>
        <w:t>2,975</w:t>
      </w:r>
      <w:r w:rsidR="00034FA8">
        <w:rPr>
          <w:rFonts w:ascii="Palatino Linotype" w:hAnsi="Palatino Linotype"/>
          <w:sz w:val="24"/>
          <w:szCs w:val="24"/>
        </w:rPr>
        <w:t xml:space="preserve"> in total fines</w:t>
      </w:r>
      <w:r w:rsidRPr="00755E15" w:rsidR="00632E66">
        <w:rPr>
          <w:rFonts w:ascii="Palatino Linotype" w:hAnsi="Palatino Linotype"/>
          <w:sz w:val="24"/>
          <w:szCs w:val="24"/>
        </w:rPr>
        <w:t xml:space="preserve"> </w:t>
      </w:r>
      <w:r w:rsidR="006C00E6">
        <w:rPr>
          <w:rFonts w:ascii="Palatino Linotype" w:hAnsi="Palatino Linotype"/>
          <w:sz w:val="24"/>
          <w:szCs w:val="24"/>
        </w:rPr>
        <w:t>related to</w:t>
      </w:r>
      <w:r w:rsidRPr="00755E15" w:rsidR="00632E66">
        <w:rPr>
          <w:rFonts w:ascii="Palatino Linotype" w:hAnsi="Palatino Linotype"/>
          <w:sz w:val="24"/>
          <w:szCs w:val="24"/>
        </w:rPr>
        <w:t xml:space="preserve"> service quality performance </w:t>
      </w:r>
      <w:r w:rsidR="00384D40">
        <w:rPr>
          <w:rFonts w:ascii="Palatino Linotype" w:hAnsi="Palatino Linotype"/>
          <w:sz w:val="24"/>
          <w:szCs w:val="24"/>
        </w:rPr>
        <w:t>for</w:t>
      </w:r>
      <w:r w:rsidRPr="00755E15" w:rsidR="00632E66">
        <w:rPr>
          <w:rFonts w:ascii="Palatino Linotype" w:hAnsi="Palatino Linotype"/>
          <w:sz w:val="24"/>
          <w:szCs w:val="24"/>
        </w:rPr>
        <w:t xml:space="preserve"> </w:t>
      </w:r>
      <w:r w:rsidRPr="00755E15" w:rsidR="005E1776">
        <w:rPr>
          <w:rFonts w:ascii="Palatino Linotype" w:hAnsi="Palatino Linotype"/>
          <w:sz w:val="24"/>
          <w:szCs w:val="24"/>
        </w:rPr>
        <w:t xml:space="preserve">the </w:t>
      </w:r>
      <w:r w:rsidRPr="00755E15" w:rsidR="00632E66">
        <w:rPr>
          <w:rFonts w:ascii="Palatino Linotype" w:hAnsi="Palatino Linotype"/>
          <w:sz w:val="24"/>
          <w:szCs w:val="24"/>
        </w:rPr>
        <w:t xml:space="preserve">Year </w:t>
      </w:r>
      <w:r w:rsidR="000F6D13">
        <w:rPr>
          <w:rFonts w:ascii="Palatino Linotype" w:hAnsi="Palatino Linotype"/>
          <w:sz w:val="24"/>
          <w:szCs w:val="24"/>
        </w:rPr>
        <w:t>2025</w:t>
      </w:r>
      <w:r w:rsidRPr="00755E15" w:rsidR="00632E66">
        <w:rPr>
          <w:rFonts w:ascii="Palatino Linotype" w:hAnsi="Palatino Linotype"/>
          <w:sz w:val="24"/>
          <w:szCs w:val="24"/>
        </w:rPr>
        <w:t xml:space="preserve"> </w:t>
      </w:r>
      <w:r w:rsidR="00034FA8">
        <w:rPr>
          <w:rFonts w:ascii="Palatino Linotype" w:hAnsi="Palatino Linotype"/>
          <w:sz w:val="24"/>
          <w:szCs w:val="24"/>
        </w:rPr>
        <w:t>for each carrier is</w:t>
      </w:r>
      <w:r w:rsidRPr="00755E15" w:rsidR="00632E66">
        <w:rPr>
          <w:rFonts w:ascii="Palatino Linotype" w:hAnsi="Palatino Linotype"/>
          <w:sz w:val="24"/>
          <w:szCs w:val="24"/>
        </w:rPr>
        <w:t xml:space="preserve"> </w:t>
      </w:r>
      <w:r w:rsidR="00384D40">
        <w:rPr>
          <w:rFonts w:ascii="Palatino Linotype" w:hAnsi="Palatino Linotype"/>
          <w:sz w:val="24"/>
          <w:szCs w:val="24"/>
        </w:rPr>
        <w:t xml:space="preserve">detailed </w:t>
      </w:r>
      <w:r w:rsidR="0040134F">
        <w:rPr>
          <w:rFonts w:ascii="Palatino Linotype" w:hAnsi="Palatino Linotype"/>
          <w:sz w:val="24"/>
          <w:szCs w:val="24"/>
        </w:rPr>
        <w:t>in Table 7 below</w:t>
      </w:r>
      <w:r w:rsidRPr="00755E15" w:rsidR="00632E66">
        <w:rPr>
          <w:rFonts w:ascii="Palatino Linotype" w:hAnsi="Palatino Linotype"/>
          <w:sz w:val="24"/>
          <w:szCs w:val="24"/>
        </w:rPr>
        <w:t>:</w:t>
      </w:r>
    </w:p>
    <w:p w:rsidR="00426238" w:rsidP="00DE7C71" w:rsidRDefault="00426238" w14:paraId="0C9144D6" w14:textId="77777777">
      <w:pPr>
        <w:tabs>
          <w:tab w:val="left" w:pos="3600"/>
        </w:tabs>
        <w:spacing w:after="0" w:line="240" w:lineRule="auto"/>
        <w:rPr>
          <w:rFonts w:ascii="Palatino Linotype" w:hAnsi="Palatino Linotype"/>
          <w:sz w:val="24"/>
          <w:szCs w:val="24"/>
        </w:rPr>
      </w:pPr>
    </w:p>
    <w:p w:rsidR="00DE7C71" w:rsidP="00DE7C71" w:rsidRDefault="00DE7C71" w14:paraId="3C0A6D15" w14:textId="77777777">
      <w:pPr>
        <w:tabs>
          <w:tab w:val="left" w:pos="3600"/>
        </w:tabs>
        <w:spacing w:after="0" w:line="240" w:lineRule="auto"/>
        <w:rPr>
          <w:rFonts w:ascii="Palatino Linotype" w:hAnsi="Palatino Linotype"/>
          <w:sz w:val="24"/>
          <w:szCs w:val="24"/>
        </w:rPr>
      </w:pPr>
    </w:p>
    <w:p w:rsidR="00583BCD" w:rsidP="001A1050" w:rsidRDefault="00583BCD" w14:paraId="77077FF7" w14:textId="77777777">
      <w:pPr>
        <w:tabs>
          <w:tab w:val="right" w:pos="10080"/>
        </w:tabs>
        <w:jc w:val="center"/>
        <w:rPr>
          <w:rFonts w:ascii="Palatino Linotype" w:hAnsi="Palatino Linotype"/>
          <w:sz w:val="24"/>
          <w:szCs w:val="24"/>
        </w:rPr>
      </w:pPr>
      <w:r w:rsidRPr="001A1050">
        <w:rPr>
          <w:rFonts w:ascii="Palatino Linotype" w:hAnsi="Palatino Linotype"/>
          <w:b/>
          <w:sz w:val="24"/>
          <w:szCs w:val="24"/>
        </w:rPr>
        <w:t xml:space="preserve">TABLE </w:t>
      </w:r>
      <w:r w:rsidRPr="001A1050" w:rsidR="00C53CCA">
        <w:rPr>
          <w:rFonts w:ascii="Palatino Linotype" w:hAnsi="Palatino Linotype"/>
          <w:b/>
          <w:sz w:val="24"/>
          <w:szCs w:val="24"/>
        </w:rPr>
        <w:t>7</w:t>
      </w:r>
      <w:r w:rsidRPr="001A1050">
        <w:rPr>
          <w:rFonts w:ascii="Palatino Linotype" w:hAnsi="Palatino Linotype"/>
          <w:b/>
          <w:sz w:val="24"/>
          <w:szCs w:val="24"/>
        </w:rPr>
        <w:t>:</w:t>
      </w:r>
      <w:r w:rsidRPr="001A1050" w:rsidR="0040134F">
        <w:rPr>
          <w:rFonts w:ascii="Palatino Linotype" w:hAnsi="Palatino Linotype"/>
          <w:b/>
          <w:sz w:val="24"/>
          <w:szCs w:val="24"/>
        </w:rPr>
        <w:t xml:space="preserve"> GO 133-D Service Quality Fines by Carrier.</w:t>
      </w:r>
      <w:r w:rsidRPr="001A1050">
        <w:rPr>
          <w:rFonts w:ascii="Palatino Linotype" w:hAnsi="Palatino Linotype"/>
          <w:b/>
          <w:sz w:val="24"/>
          <w:szCs w:val="24"/>
        </w:rPr>
        <w:t xml:space="preserve">   </w:t>
      </w:r>
    </w:p>
    <w:tbl>
      <w:tblPr>
        <w:tblStyle w:val="TableGrid"/>
        <w:tblW w:w="0" w:type="auto"/>
        <w:jc w:val="center"/>
        <w:tblLook w:val="04A0" w:firstRow="1" w:lastRow="0" w:firstColumn="1" w:lastColumn="0" w:noHBand="0" w:noVBand="1"/>
      </w:tblPr>
      <w:tblGrid>
        <w:gridCol w:w="1933"/>
        <w:gridCol w:w="1934"/>
        <w:gridCol w:w="1934"/>
        <w:gridCol w:w="1934"/>
      </w:tblGrid>
      <w:tr>
        <w:trPr>
          <w:jc w:val="center"/>
        </w:trPr>
        <w:tc>
          <w:tcPr>
            <w:tcW w:w="7735" w:type="dxa"/>
            <w:gridSpan w:val="4"/>
          </w:tcPr>
          <w:p w:rsidRPr="001A1050" w:rsidR="003E42C4" w:rsidP="009657FC" w:rsidRDefault="000F6D13" w14:paraId="75C50F8D" w14:textId="540D7C3F">
            <w:pPr>
              <w:spacing w:before="240" w:after="120"/>
              <w:jc w:val="center"/>
              <w:rPr>
                <w:rFonts w:ascii="Palatino Linotype" w:hAnsi="Palatino Linotype"/>
                <w:sz w:val="24"/>
                <w:szCs w:val="24"/>
              </w:rPr>
            </w:pPr>
            <w:r>
              <w:rPr>
                <w:rFonts w:ascii="Palatino Linotype" w:hAnsi="Palatino Linotype"/>
                <w:sz w:val="24"/>
                <w:szCs w:val="24"/>
              </w:rPr>
              <w:t>2025</w:t>
            </w:r>
            <w:r w:rsidRPr="001A1050" w:rsidR="003E42C4">
              <w:rPr>
                <w:rFonts w:ascii="Palatino Linotype" w:hAnsi="Palatino Linotype"/>
                <w:sz w:val="24"/>
                <w:szCs w:val="24"/>
              </w:rPr>
              <w:t xml:space="preserve"> G</w:t>
            </w:r>
            <w:r w:rsidRPr="001A1050" w:rsidR="0040134F">
              <w:rPr>
                <w:rFonts w:ascii="Palatino Linotype" w:hAnsi="Palatino Linotype"/>
                <w:sz w:val="24"/>
                <w:szCs w:val="24"/>
              </w:rPr>
              <w:t>O</w:t>
            </w:r>
            <w:r w:rsidRPr="001A1050" w:rsidR="003E42C4">
              <w:rPr>
                <w:rFonts w:ascii="Palatino Linotype" w:hAnsi="Palatino Linotype"/>
                <w:sz w:val="24"/>
                <w:szCs w:val="24"/>
              </w:rPr>
              <w:t xml:space="preserve"> 133-D Service Quality Fines by Carrier</w:t>
            </w:r>
          </w:p>
        </w:tc>
      </w:tr>
      <w:tr>
        <w:trPr>
          <w:jc w:val="center"/>
        </w:trPr>
        <w:tc>
          <w:tcPr>
            <w:tcW w:w="1933" w:type="dxa"/>
          </w:tcPr>
          <w:p w:rsidRPr="009657FC" w:rsidR="006D51E2" w:rsidP="009657FC" w:rsidRDefault="006D51E2" w14:paraId="2CE16396"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Service Quality Standard</w:t>
            </w:r>
          </w:p>
        </w:tc>
        <w:tc>
          <w:tcPr>
            <w:tcW w:w="1934" w:type="dxa"/>
          </w:tcPr>
          <w:p w:rsidRPr="009657FC" w:rsidR="006D51E2" w:rsidP="009657FC" w:rsidRDefault="006D51E2" w14:paraId="20362108"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Frontier SW</w:t>
            </w:r>
          </w:p>
        </w:tc>
        <w:tc>
          <w:tcPr>
            <w:tcW w:w="1934" w:type="dxa"/>
          </w:tcPr>
          <w:p w:rsidRPr="009657FC" w:rsidR="006D51E2" w:rsidP="009657FC" w:rsidRDefault="006D51E2" w14:paraId="579DEFAB"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Consolidated</w:t>
            </w:r>
          </w:p>
        </w:tc>
        <w:tc>
          <w:tcPr>
            <w:tcW w:w="1934" w:type="dxa"/>
          </w:tcPr>
          <w:p w:rsidRPr="009657FC" w:rsidR="006D51E2" w:rsidP="009657FC" w:rsidRDefault="006D51E2" w14:paraId="61006310" w14:textId="77777777">
            <w:pPr>
              <w:spacing w:before="240" w:after="120"/>
              <w:jc w:val="center"/>
              <w:rPr>
                <w:rFonts w:ascii="Palatino Linotype" w:hAnsi="Palatino Linotype"/>
                <w:b/>
                <w:bCs/>
                <w:sz w:val="18"/>
                <w:szCs w:val="18"/>
              </w:rPr>
            </w:pPr>
            <w:r w:rsidRPr="009657FC">
              <w:rPr>
                <w:rFonts w:ascii="Palatino Linotype" w:hAnsi="Palatino Linotype"/>
                <w:b/>
                <w:bCs/>
                <w:sz w:val="18"/>
                <w:szCs w:val="18"/>
              </w:rPr>
              <w:t>Happy Valley</w:t>
            </w:r>
          </w:p>
        </w:tc>
      </w:tr>
      <w:tr>
        <w:trPr>
          <w:jc w:val="center"/>
        </w:trPr>
        <w:tc>
          <w:tcPr>
            <w:tcW w:w="1933" w:type="dxa"/>
          </w:tcPr>
          <w:p w:rsidRPr="009657FC" w:rsidR="006D51E2" w:rsidP="002953E3" w:rsidRDefault="006D51E2" w14:paraId="04909DC6" w14:textId="77777777">
            <w:pPr>
              <w:spacing w:before="240" w:after="120"/>
              <w:rPr>
                <w:rFonts w:ascii="Palatino Linotype" w:hAnsi="Palatino Linotype"/>
                <w:b/>
                <w:bCs/>
                <w:sz w:val="18"/>
                <w:szCs w:val="18"/>
              </w:rPr>
            </w:pPr>
            <w:r w:rsidRPr="009657FC">
              <w:rPr>
                <w:rFonts w:ascii="Palatino Linotype" w:hAnsi="Palatino Linotype"/>
                <w:b/>
                <w:bCs/>
                <w:sz w:val="18"/>
                <w:szCs w:val="18"/>
              </w:rPr>
              <w:t>Out of Service Repair Interval</w:t>
            </w:r>
          </w:p>
        </w:tc>
        <w:tc>
          <w:tcPr>
            <w:tcW w:w="1934" w:type="dxa"/>
          </w:tcPr>
          <w:p w:rsidRPr="00B019B3" w:rsidR="006D51E2" w:rsidP="009657FC" w:rsidRDefault="006D51E2" w14:paraId="1632F626" w14:textId="42B3DAC8">
            <w:pPr>
              <w:spacing w:before="240" w:after="120"/>
              <w:jc w:val="center"/>
              <w:rPr>
                <w:rFonts w:ascii="Palatino Linotype" w:hAnsi="Palatino Linotype"/>
                <w:sz w:val="18"/>
                <w:szCs w:val="18"/>
              </w:rPr>
            </w:pPr>
            <w:r w:rsidRPr="00B019B3">
              <w:rPr>
                <w:rFonts w:ascii="Palatino Linotype" w:hAnsi="Palatino Linotype"/>
                <w:sz w:val="18"/>
                <w:szCs w:val="18"/>
              </w:rPr>
              <w:t>$1,</w:t>
            </w:r>
            <w:r w:rsidR="00F128B0">
              <w:rPr>
                <w:rFonts w:ascii="Palatino Linotype" w:hAnsi="Palatino Linotype"/>
                <w:sz w:val="18"/>
                <w:szCs w:val="18"/>
              </w:rPr>
              <w:t>350</w:t>
            </w:r>
          </w:p>
        </w:tc>
        <w:tc>
          <w:tcPr>
            <w:tcW w:w="1934" w:type="dxa"/>
          </w:tcPr>
          <w:p w:rsidRPr="00B019B3" w:rsidR="006D51E2" w:rsidP="009657FC" w:rsidRDefault="006D51E2" w14:paraId="3C19D9D6" w14:textId="59EBE4B0">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0</w:t>
            </w:r>
          </w:p>
        </w:tc>
        <w:tc>
          <w:tcPr>
            <w:tcW w:w="1934" w:type="dxa"/>
          </w:tcPr>
          <w:p w:rsidRPr="00B019B3" w:rsidR="006D51E2" w:rsidP="009657FC" w:rsidRDefault="006D51E2" w14:paraId="46C6ABE7" w14:textId="2BD71521">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1,125</w:t>
            </w:r>
          </w:p>
        </w:tc>
      </w:tr>
      <w:tr>
        <w:trPr>
          <w:jc w:val="center"/>
        </w:trPr>
        <w:tc>
          <w:tcPr>
            <w:tcW w:w="1933" w:type="dxa"/>
          </w:tcPr>
          <w:p w:rsidRPr="009657FC" w:rsidR="006D51E2" w:rsidP="002953E3" w:rsidRDefault="006D51E2" w14:paraId="5850990A" w14:textId="77777777">
            <w:pPr>
              <w:spacing w:before="240" w:after="120"/>
              <w:rPr>
                <w:rFonts w:ascii="Palatino Linotype" w:hAnsi="Palatino Linotype"/>
                <w:b/>
                <w:bCs/>
                <w:sz w:val="18"/>
                <w:szCs w:val="18"/>
              </w:rPr>
            </w:pPr>
            <w:r w:rsidRPr="009657FC">
              <w:rPr>
                <w:rFonts w:ascii="Palatino Linotype" w:hAnsi="Palatino Linotype"/>
                <w:b/>
                <w:bCs/>
                <w:sz w:val="18"/>
                <w:szCs w:val="18"/>
              </w:rPr>
              <w:t>Answer Time</w:t>
            </w:r>
          </w:p>
        </w:tc>
        <w:tc>
          <w:tcPr>
            <w:tcW w:w="1934" w:type="dxa"/>
          </w:tcPr>
          <w:p w:rsidRPr="00B019B3" w:rsidR="006D51E2" w:rsidP="009657FC" w:rsidRDefault="006D51E2" w14:paraId="04CF88C6" w14:textId="6E902C12">
            <w:pPr>
              <w:spacing w:before="240" w:after="120"/>
              <w:jc w:val="center"/>
              <w:rPr>
                <w:rFonts w:ascii="Palatino Linotype" w:hAnsi="Palatino Linotype"/>
                <w:sz w:val="18"/>
                <w:szCs w:val="18"/>
              </w:rPr>
            </w:pPr>
            <w:r w:rsidRPr="00B019B3">
              <w:rPr>
                <w:rFonts w:ascii="Palatino Linotype" w:hAnsi="Palatino Linotype"/>
                <w:sz w:val="18"/>
                <w:szCs w:val="18"/>
              </w:rPr>
              <w:t>$</w:t>
            </w:r>
            <w:r w:rsidR="00F128B0">
              <w:rPr>
                <w:rFonts w:ascii="Palatino Linotype" w:hAnsi="Palatino Linotype"/>
                <w:sz w:val="18"/>
                <w:szCs w:val="18"/>
              </w:rPr>
              <w:t>0</w:t>
            </w:r>
          </w:p>
        </w:tc>
        <w:tc>
          <w:tcPr>
            <w:tcW w:w="1934" w:type="dxa"/>
          </w:tcPr>
          <w:p w:rsidRPr="00B019B3" w:rsidR="006D51E2" w:rsidP="009657FC" w:rsidRDefault="006D51E2" w14:paraId="28BEBC2B" w14:textId="79F476C6">
            <w:pPr>
              <w:spacing w:before="240" w:after="120"/>
              <w:jc w:val="center"/>
              <w:rPr>
                <w:rFonts w:ascii="Palatino Linotype" w:hAnsi="Palatino Linotype"/>
                <w:sz w:val="18"/>
                <w:szCs w:val="18"/>
              </w:rPr>
            </w:pPr>
            <w:r w:rsidRPr="00B019B3">
              <w:rPr>
                <w:rFonts w:ascii="Palatino Linotype" w:hAnsi="Palatino Linotype"/>
                <w:sz w:val="18"/>
                <w:szCs w:val="18"/>
              </w:rPr>
              <w:t>$</w:t>
            </w:r>
            <w:r w:rsidR="00E01859">
              <w:rPr>
                <w:rFonts w:ascii="Palatino Linotype" w:hAnsi="Palatino Linotype"/>
                <w:sz w:val="18"/>
                <w:szCs w:val="18"/>
              </w:rPr>
              <w:t>500</w:t>
            </w:r>
          </w:p>
        </w:tc>
        <w:tc>
          <w:tcPr>
            <w:tcW w:w="1934" w:type="dxa"/>
          </w:tcPr>
          <w:p w:rsidRPr="00B019B3" w:rsidR="006D51E2" w:rsidP="009657FC" w:rsidRDefault="006D51E2" w14:paraId="384585DA" w14:textId="77777777">
            <w:pPr>
              <w:spacing w:before="240" w:after="120"/>
              <w:jc w:val="center"/>
              <w:rPr>
                <w:rFonts w:ascii="Palatino Linotype" w:hAnsi="Palatino Linotype"/>
                <w:sz w:val="18"/>
                <w:szCs w:val="18"/>
              </w:rPr>
            </w:pPr>
            <w:r w:rsidRPr="00B019B3">
              <w:rPr>
                <w:rFonts w:ascii="Palatino Linotype" w:hAnsi="Palatino Linotype"/>
                <w:sz w:val="18"/>
                <w:szCs w:val="18"/>
              </w:rPr>
              <w:t>$0</w:t>
            </w:r>
          </w:p>
        </w:tc>
      </w:tr>
      <w:tr>
        <w:trPr>
          <w:jc w:val="center"/>
        </w:trPr>
        <w:tc>
          <w:tcPr>
            <w:tcW w:w="1933" w:type="dxa"/>
          </w:tcPr>
          <w:p w:rsidRPr="009657FC" w:rsidR="006D51E2" w:rsidP="002953E3" w:rsidRDefault="006D51E2" w14:paraId="383AE87B" w14:textId="77777777">
            <w:pPr>
              <w:spacing w:before="240" w:after="120"/>
              <w:rPr>
                <w:rFonts w:ascii="Palatino Linotype" w:hAnsi="Palatino Linotype"/>
                <w:b/>
                <w:bCs/>
                <w:sz w:val="18"/>
                <w:szCs w:val="18"/>
              </w:rPr>
            </w:pPr>
            <w:r w:rsidRPr="009657FC">
              <w:rPr>
                <w:rFonts w:ascii="Palatino Linotype" w:hAnsi="Palatino Linotype"/>
                <w:b/>
                <w:bCs/>
                <w:sz w:val="18"/>
                <w:szCs w:val="18"/>
              </w:rPr>
              <w:t xml:space="preserve">Total </w:t>
            </w:r>
          </w:p>
        </w:tc>
        <w:tc>
          <w:tcPr>
            <w:tcW w:w="1934" w:type="dxa"/>
          </w:tcPr>
          <w:p w:rsidRPr="00B019B3" w:rsidR="006D51E2" w:rsidP="009657FC" w:rsidRDefault="006D51E2" w14:paraId="001847F4" w14:textId="5FFB6F91">
            <w:pPr>
              <w:spacing w:before="240" w:after="120"/>
              <w:jc w:val="center"/>
              <w:rPr>
                <w:rFonts w:ascii="Palatino Linotype" w:hAnsi="Palatino Linotype"/>
                <w:b/>
                <w:bCs/>
                <w:sz w:val="18"/>
                <w:szCs w:val="18"/>
              </w:rPr>
            </w:pPr>
            <w:r w:rsidRPr="00B019B3">
              <w:rPr>
                <w:rFonts w:ascii="Palatino Linotype" w:hAnsi="Palatino Linotype"/>
                <w:b/>
                <w:bCs/>
                <w:sz w:val="18"/>
                <w:szCs w:val="18"/>
              </w:rPr>
              <w:t>$1,</w:t>
            </w:r>
            <w:r w:rsidR="00F128B0">
              <w:rPr>
                <w:rFonts w:ascii="Palatino Linotype" w:hAnsi="Palatino Linotype"/>
                <w:b/>
                <w:bCs/>
                <w:sz w:val="18"/>
                <w:szCs w:val="18"/>
              </w:rPr>
              <w:t>350</w:t>
            </w:r>
          </w:p>
        </w:tc>
        <w:tc>
          <w:tcPr>
            <w:tcW w:w="1934" w:type="dxa"/>
          </w:tcPr>
          <w:p w:rsidRPr="00B019B3" w:rsidR="006D51E2" w:rsidP="009657FC" w:rsidRDefault="006D51E2" w14:paraId="3E8CFBB6" w14:textId="7285D51C">
            <w:pPr>
              <w:spacing w:before="240" w:after="120"/>
              <w:jc w:val="center"/>
              <w:rPr>
                <w:rFonts w:ascii="Palatino Linotype" w:hAnsi="Palatino Linotype"/>
                <w:b/>
                <w:bCs/>
                <w:sz w:val="18"/>
                <w:szCs w:val="18"/>
              </w:rPr>
            </w:pPr>
            <w:r w:rsidRPr="00B019B3">
              <w:rPr>
                <w:rFonts w:ascii="Palatino Linotype" w:hAnsi="Palatino Linotype"/>
                <w:b/>
                <w:bCs/>
                <w:sz w:val="18"/>
                <w:szCs w:val="18"/>
              </w:rPr>
              <w:t>$</w:t>
            </w:r>
            <w:r w:rsidR="00E01859">
              <w:rPr>
                <w:rFonts w:ascii="Palatino Linotype" w:hAnsi="Palatino Linotype"/>
                <w:b/>
                <w:bCs/>
                <w:sz w:val="18"/>
                <w:szCs w:val="18"/>
              </w:rPr>
              <w:t>500</w:t>
            </w:r>
          </w:p>
        </w:tc>
        <w:tc>
          <w:tcPr>
            <w:tcW w:w="1934" w:type="dxa"/>
          </w:tcPr>
          <w:p w:rsidRPr="00B019B3" w:rsidR="006D51E2" w:rsidP="009657FC" w:rsidRDefault="006D51E2" w14:paraId="41A14511" w14:textId="5A72A594">
            <w:pPr>
              <w:spacing w:before="240" w:after="120"/>
              <w:jc w:val="center"/>
              <w:rPr>
                <w:rFonts w:ascii="Palatino Linotype" w:hAnsi="Palatino Linotype"/>
                <w:b/>
                <w:bCs/>
                <w:sz w:val="18"/>
                <w:szCs w:val="18"/>
              </w:rPr>
            </w:pPr>
            <w:r w:rsidRPr="00B019B3">
              <w:rPr>
                <w:rFonts w:ascii="Palatino Linotype" w:hAnsi="Palatino Linotype"/>
                <w:b/>
                <w:bCs/>
                <w:sz w:val="18"/>
                <w:szCs w:val="18"/>
              </w:rPr>
              <w:t>$</w:t>
            </w:r>
            <w:r w:rsidR="00F128B0">
              <w:rPr>
                <w:rFonts w:ascii="Palatino Linotype" w:hAnsi="Palatino Linotype"/>
                <w:b/>
                <w:bCs/>
                <w:sz w:val="18"/>
                <w:szCs w:val="18"/>
              </w:rPr>
              <w:t>1,125</w:t>
            </w:r>
          </w:p>
        </w:tc>
      </w:tr>
    </w:tbl>
    <w:p w:rsidR="00F34271" w:rsidP="00480DA4" w:rsidRDefault="00F34271" w14:paraId="4C4DFB22" w14:textId="77777777">
      <w:pPr>
        <w:spacing w:after="0" w:line="240" w:lineRule="auto"/>
        <w:rPr>
          <w:rFonts w:ascii="Palatino Linotype" w:hAnsi="Palatino Linotype"/>
          <w:sz w:val="24"/>
          <w:szCs w:val="24"/>
        </w:rPr>
      </w:pPr>
    </w:p>
    <w:p w:rsidR="00085F4D" w:rsidP="00480DA4" w:rsidRDefault="00085F4D" w14:paraId="66A81BB8" w14:textId="77777777">
      <w:pPr>
        <w:spacing w:after="0" w:line="240" w:lineRule="auto"/>
        <w:rPr>
          <w:rFonts w:ascii="Palatino Linotype" w:hAnsi="Palatino Linotype"/>
          <w:sz w:val="24"/>
          <w:szCs w:val="24"/>
        </w:rPr>
      </w:pPr>
    </w:p>
    <w:p w:rsidR="00300705" w:rsidP="00480DA4" w:rsidRDefault="00D55686" w14:paraId="5A3C4FEA" w14:textId="5BB4979E">
      <w:pPr>
        <w:spacing w:after="0" w:line="240" w:lineRule="auto"/>
        <w:rPr>
          <w:rFonts w:ascii="Palatino Linotype" w:hAnsi="Palatino Linotype"/>
          <w:sz w:val="24"/>
          <w:szCs w:val="24"/>
        </w:rPr>
      </w:pPr>
      <w:r>
        <w:rPr>
          <w:rFonts w:ascii="Palatino Linotype" w:hAnsi="Palatino Linotype"/>
          <w:sz w:val="24"/>
          <w:szCs w:val="24"/>
        </w:rPr>
        <w:t>F</w:t>
      </w:r>
      <w:r w:rsidRPr="00755E15" w:rsidR="00300705">
        <w:rPr>
          <w:rFonts w:ascii="Palatino Linotype" w:hAnsi="Palatino Linotype"/>
          <w:sz w:val="24"/>
          <w:szCs w:val="24"/>
        </w:rPr>
        <w:t xml:space="preserve">ines must be paid </w:t>
      </w:r>
      <w:r w:rsidR="00815618">
        <w:rPr>
          <w:rFonts w:ascii="Palatino Linotype" w:hAnsi="Palatino Linotype"/>
          <w:sz w:val="24"/>
          <w:szCs w:val="24"/>
        </w:rPr>
        <w:t>w</w:t>
      </w:r>
      <w:r w:rsidRPr="00755E15" w:rsidR="00815618">
        <w:rPr>
          <w:rFonts w:ascii="Palatino Linotype" w:hAnsi="Palatino Linotype"/>
          <w:sz w:val="24"/>
          <w:szCs w:val="24"/>
        </w:rPr>
        <w:t>ithin</w:t>
      </w:r>
      <w:r w:rsidRPr="00755E15" w:rsidR="00575ED3">
        <w:rPr>
          <w:rFonts w:ascii="Palatino Linotype" w:hAnsi="Palatino Linotype"/>
          <w:sz w:val="24"/>
          <w:szCs w:val="24"/>
        </w:rPr>
        <w:t xml:space="preserve"> 30 days of </w:t>
      </w:r>
      <w:r w:rsidR="002F48B6">
        <w:rPr>
          <w:rFonts w:ascii="Palatino Linotype" w:hAnsi="Palatino Linotype"/>
          <w:sz w:val="24"/>
          <w:szCs w:val="24"/>
        </w:rPr>
        <w:t>the</w:t>
      </w:r>
      <w:r w:rsidRPr="00755E15" w:rsidR="00815618">
        <w:rPr>
          <w:rFonts w:ascii="Palatino Linotype" w:hAnsi="Palatino Linotype"/>
          <w:sz w:val="24"/>
          <w:szCs w:val="24"/>
        </w:rPr>
        <w:t xml:space="preserve"> </w:t>
      </w:r>
      <w:r w:rsidRPr="00755E15" w:rsidR="00575ED3">
        <w:rPr>
          <w:rFonts w:ascii="Palatino Linotype" w:hAnsi="Palatino Linotype"/>
          <w:sz w:val="24"/>
          <w:szCs w:val="24"/>
        </w:rPr>
        <w:t>adoption date</w:t>
      </w:r>
      <w:r w:rsidR="002F48B6">
        <w:rPr>
          <w:rFonts w:ascii="Palatino Linotype" w:hAnsi="Palatino Linotype"/>
          <w:sz w:val="24"/>
          <w:szCs w:val="24"/>
        </w:rPr>
        <w:t xml:space="preserve"> of the Resolution. Payment</w:t>
      </w:r>
      <w:r w:rsidR="00FA609F">
        <w:rPr>
          <w:rFonts w:ascii="Palatino Linotype" w:hAnsi="Palatino Linotype"/>
          <w:sz w:val="24"/>
          <w:szCs w:val="24"/>
        </w:rPr>
        <w:t>s should be made</w:t>
      </w:r>
      <w:r w:rsidRPr="00755E15" w:rsidR="00815618">
        <w:rPr>
          <w:rFonts w:ascii="Palatino Linotype" w:hAnsi="Palatino Linotype"/>
          <w:sz w:val="24"/>
          <w:szCs w:val="24"/>
        </w:rPr>
        <w:t xml:space="preserve"> </w:t>
      </w:r>
      <w:r w:rsidRPr="00755E15" w:rsidR="00300705">
        <w:rPr>
          <w:rFonts w:ascii="Palatino Linotype" w:hAnsi="Palatino Linotype"/>
          <w:sz w:val="24"/>
          <w:szCs w:val="24"/>
        </w:rPr>
        <w:t>by check or money order</w:t>
      </w:r>
      <w:r w:rsidR="00FA609F">
        <w:rPr>
          <w:rFonts w:ascii="Palatino Linotype" w:hAnsi="Palatino Linotype"/>
          <w:sz w:val="24"/>
          <w:szCs w:val="24"/>
        </w:rPr>
        <w:t>,</w:t>
      </w:r>
      <w:r w:rsidRPr="00755E15" w:rsidR="00300705">
        <w:rPr>
          <w:rFonts w:ascii="Palatino Linotype" w:hAnsi="Palatino Linotype"/>
          <w:sz w:val="24"/>
          <w:szCs w:val="24"/>
        </w:rPr>
        <w:t xml:space="preserve"> payable to the </w:t>
      </w:r>
      <w:r w:rsidRPr="00755E15" w:rsidR="00300705">
        <w:rPr>
          <w:rFonts w:ascii="Palatino Linotype" w:hAnsi="Palatino Linotype"/>
          <w:sz w:val="24"/>
          <w:szCs w:val="24"/>
          <w:u w:val="single"/>
        </w:rPr>
        <w:t>California Public Utilities Commission</w:t>
      </w:r>
      <w:r w:rsidRPr="00755E15" w:rsidR="00300705">
        <w:rPr>
          <w:rFonts w:ascii="Palatino Linotype" w:hAnsi="Palatino Linotype"/>
          <w:sz w:val="24"/>
          <w:szCs w:val="24"/>
        </w:rPr>
        <w:t xml:space="preserve"> </w:t>
      </w:r>
      <w:r w:rsidR="00163B16">
        <w:rPr>
          <w:rFonts w:ascii="Palatino Linotype" w:hAnsi="Palatino Linotype"/>
          <w:sz w:val="24"/>
          <w:szCs w:val="24"/>
        </w:rPr>
        <w:t>via</w:t>
      </w:r>
      <w:r w:rsidRPr="00755E15" w:rsidR="00300705">
        <w:rPr>
          <w:rFonts w:ascii="Palatino Linotype" w:hAnsi="Palatino Linotype"/>
          <w:sz w:val="24"/>
          <w:szCs w:val="24"/>
        </w:rPr>
        <w:t xml:space="preserve"> mail or </w:t>
      </w:r>
      <w:r w:rsidR="00163B16">
        <w:rPr>
          <w:rFonts w:ascii="Palatino Linotype" w:hAnsi="Palatino Linotype"/>
          <w:sz w:val="24"/>
          <w:szCs w:val="24"/>
        </w:rPr>
        <w:t>in person</w:t>
      </w:r>
      <w:r w:rsidR="0045398B">
        <w:rPr>
          <w:rFonts w:ascii="Palatino Linotype" w:hAnsi="Palatino Linotype"/>
          <w:sz w:val="24"/>
          <w:szCs w:val="24"/>
        </w:rPr>
        <w:t xml:space="preserve"> </w:t>
      </w:r>
      <w:r w:rsidR="004B52BC">
        <w:rPr>
          <w:rFonts w:ascii="Palatino Linotype" w:hAnsi="Palatino Linotype"/>
          <w:sz w:val="24"/>
          <w:szCs w:val="24"/>
        </w:rPr>
        <w:t>at</w:t>
      </w:r>
      <w:r w:rsidR="0045398B">
        <w:rPr>
          <w:rFonts w:ascii="Palatino Linotype" w:hAnsi="Palatino Linotype"/>
          <w:sz w:val="24"/>
          <w:szCs w:val="24"/>
        </w:rPr>
        <w:t xml:space="preserve"> the following address</w:t>
      </w:r>
      <w:r w:rsidRPr="00755E15" w:rsidR="00300705">
        <w:rPr>
          <w:rFonts w:ascii="Palatino Linotype" w:hAnsi="Palatino Linotype"/>
          <w:sz w:val="24"/>
          <w:szCs w:val="24"/>
        </w:rPr>
        <w:t>:</w:t>
      </w:r>
    </w:p>
    <w:p w:rsidRPr="00755E15" w:rsidR="00480DA4" w:rsidP="00755E15" w:rsidRDefault="00480DA4" w14:paraId="56D29754" w14:textId="77777777">
      <w:pPr>
        <w:spacing w:after="0" w:line="240" w:lineRule="auto"/>
        <w:rPr>
          <w:rFonts w:ascii="Palatino Linotype" w:hAnsi="Palatino Linotype"/>
          <w:sz w:val="24"/>
          <w:szCs w:val="24"/>
        </w:rPr>
      </w:pPr>
    </w:p>
    <w:p w:rsidR="00426238" w:rsidP="009F1A1D" w:rsidRDefault="00426238" w14:paraId="68044AC1" w14:textId="77777777">
      <w:pPr>
        <w:spacing w:after="0"/>
        <w:ind w:left="2880"/>
        <w:rPr>
          <w:rFonts w:ascii="Palatino Linotype" w:hAnsi="Palatino Linotype"/>
          <w:sz w:val="24"/>
          <w:szCs w:val="24"/>
        </w:rPr>
      </w:pPr>
    </w:p>
    <w:p w:rsidRPr="00755E15" w:rsidR="00300705" w:rsidP="009F1A1D" w:rsidRDefault="00300705" w14:paraId="07B4B4C5" w14:textId="77777777">
      <w:pPr>
        <w:spacing w:after="0"/>
        <w:ind w:left="2880"/>
        <w:rPr>
          <w:rFonts w:ascii="Palatino Linotype" w:hAnsi="Palatino Linotype"/>
          <w:sz w:val="24"/>
          <w:szCs w:val="24"/>
        </w:rPr>
      </w:pPr>
      <w:r w:rsidRPr="00755E15">
        <w:rPr>
          <w:rFonts w:ascii="Palatino Linotype" w:hAnsi="Palatino Linotype"/>
          <w:sz w:val="24"/>
          <w:szCs w:val="24"/>
        </w:rPr>
        <w:t>California Public Utilities Commission</w:t>
      </w:r>
    </w:p>
    <w:p w:rsidRPr="00755E15" w:rsidR="00300705" w:rsidP="009F1A1D" w:rsidRDefault="00300705" w14:paraId="3A879733" w14:textId="77777777">
      <w:pPr>
        <w:spacing w:after="0"/>
        <w:ind w:left="2880"/>
        <w:rPr>
          <w:rFonts w:ascii="Palatino Linotype" w:hAnsi="Palatino Linotype"/>
          <w:sz w:val="24"/>
          <w:szCs w:val="24"/>
        </w:rPr>
      </w:pPr>
      <w:r w:rsidRPr="00755E15">
        <w:rPr>
          <w:rFonts w:ascii="Palatino Linotype" w:hAnsi="Palatino Linotype"/>
          <w:sz w:val="24"/>
          <w:szCs w:val="24"/>
        </w:rPr>
        <w:t>Fiscal Office</w:t>
      </w:r>
    </w:p>
    <w:p w:rsidRPr="00755E15" w:rsidR="00300705" w:rsidP="009F1A1D" w:rsidRDefault="00300705" w14:paraId="7EC04AC0" w14:textId="77777777">
      <w:pPr>
        <w:spacing w:after="0"/>
        <w:ind w:left="2880"/>
        <w:rPr>
          <w:rFonts w:ascii="Palatino Linotype" w:hAnsi="Palatino Linotype"/>
          <w:sz w:val="24"/>
          <w:szCs w:val="24"/>
        </w:rPr>
      </w:pPr>
      <w:r w:rsidRPr="00755E15">
        <w:rPr>
          <w:rFonts w:ascii="Palatino Linotype" w:hAnsi="Palatino Linotype"/>
          <w:sz w:val="24"/>
          <w:szCs w:val="24"/>
        </w:rPr>
        <w:t>505 Van Ness Avenue, Room 3000</w:t>
      </w:r>
    </w:p>
    <w:p w:rsidRPr="00755E15" w:rsidR="00300705" w:rsidP="009F1A1D" w:rsidRDefault="00300705" w14:paraId="3200B60A" w14:textId="77777777">
      <w:pPr>
        <w:spacing w:after="0"/>
        <w:ind w:left="2880"/>
        <w:rPr>
          <w:rFonts w:ascii="Palatino Linotype" w:hAnsi="Palatino Linotype"/>
          <w:sz w:val="24"/>
          <w:szCs w:val="24"/>
        </w:rPr>
      </w:pPr>
      <w:r w:rsidRPr="00755E15">
        <w:rPr>
          <w:rFonts w:ascii="Palatino Linotype" w:hAnsi="Palatino Linotype"/>
          <w:sz w:val="24"/>
          <w:szCs w:val="24"/>
        </w:rPr>
        <w:t>San Francisco, CA 94102</w:t>
      </w:r>
    </w:p>
    <w:p w:rsidR="004D73A8" w:rsidP="00480DA4" w:rsidRDefault="004D73A8" w14:paraId="60547513" w14:textId="77777777">
      <w:pPr>
        <w:tabs>
          <w:tab w:val="left" w:pos="240"/>
          <w:tab w:val="left" w:pos="720"/>
          <w:tab w:val="right" w:pos="10080"/>
        </w:tabs>
        <w:spacing w:after="0" w:line="240" w:lineRule="auto"/>
        <w:jc w:val="both"/>
        <w:rPr>
          <w:rFonts w:ascii="Palatino Linotype" w:hAnsi="Palatino Linotype"/>
          <w:sz w:val="24"/>
          <w:szCs w:val="24"/>
        </w:rPr>
      </w:pPr>
    </w:p>
    <w:p w:rsidR="00300705" w:rsidP="00480DA4" w:rsidRDefault="00300705" w14:paraId="231C32C5" w14:textId="77777777">
      <w:pPr>
        <w:tabs>
          <w:tab w:val="left" w:pos="240"/>
          <w:tab w:val="left" w:pos="720"/>
          <w:tab w:val="right" w:pos="10080"/>
        </w:tabs>
        <w:spacing w:after="0" w:line="240" w:lineRule="auto"/>
        <w:jc w:val="both"/>
        <w:rPr>
          <w:rFonts w:ascii="Palatino Linotype" w:hAnsi="Palatino Linotype"/>
          <w:sz w:val="24"/>
          <w:szCs w:val="24"/>
        </w:rPr>
      </w:pPr>
      <w:r w:rsidRPr="00755E15">
        <w:rPr>
          <w:rFonts w:ascii="Palatino Linotype" w:hAnsi="Palatino Linotype"/>
          <w:sz w:val="24"/>
          <w:szCs w:val="24"/>
        </w:rPr>
        <w:t>Carriers should write on the face of the check or money order:</w:t>
      </w:r>
    </w:p>
    <w:p w:rsidRPr="00755E15" w:rsidR="00480DA4" w:rsidP="00755E15" w:rsidRDefault="00480DA4" w14:paraId="0BD47361" w14:textId="77777777">
      <w:pPr>
        <w:tabs>
          <w:tab w:val="left" w:pos="240"/>
          <w:tab w:val="left" w:pos="720"/>
          <w:tab w:val="right" w:pos="10080"/>
        </w:tabs>
        <w:spacing w:after="0" w:line="240" w:lineRule="auto"/>
        <w:jc w:val="both"/>
        <w:rPr>
          <w:rFonts w:ascii="Palatino Linotype" w:hAnsi="Palatino Linotype"/>
          <w:sz w:val="24"/>
          <w:szCs w:val="24"/>
        </w:rPr>
      </w:pPr>
    </w:p>
    <w:p w:rsidRPr="00755E15" w:rsidR="00300705" w:rsidP="00755E15" w:rsidRDefault="00300705" w14:paraId="705B1279" w14:textId="499CE20F">
      <w:pPr>
        <w:tabs>
          <w:tab w:val="left" w:pos="240"/>
          <w:tab w:val="left" w:pos="720"/>
          <w:tab w:val="right" w:pos="10080"/>
        </w:tabs>
        <w:spacing w:after="0" w:line="240" w:lineRule="auto"/>
        <w:ind w:left="240"/>
        <w:jc w:val="both"/>
        <w:rPr>
          <w:rFonts w:ascii="Palatino Linotype" w:hAnsi="Palatino Linotype"/>
          <w:sz w:val="24"/>
          <w:szCs w:val="24"/>
        </w:rPr>
      </w:pPr>
      <w:r w:rsidRPr="00755E15">
        <w:rPr>
          <w:rFonts w:ascii="Palatino Linotype" w:hAnsi="Palatino Linotype"/>
          <w:sz w:val="24"/>
          <w:szCs w:val="24"/>
        </w:rPr>
        <w:tab/>
        <w:t xml:space="preserve">“For deposit to the State of California General Fund, per Resolution </w:t>
      </w:r>
      <w:r w:rsidR="00EC05FD">
        <w:rPr>
          <w:rFonts w:ascii="Palatino Linotype" w:hAnsi="Palatino Linotype"/>
          <w:sz w:val="24"/>
          <w:szCs w:val="24"/>
        </w:rPr>
        <w:t>T-17917</w:t>
      </w:r>
      <w:r w:rsidRPr="00755E15">
        <w:rPr>
          <w:rFonts w:ascii="Palatino Linotype" w:hAnsi="Palatino Linotype"/>
          <w:sz w:val="24"/>
          <w:szCs w:val="24"/>
        </w:rPr>
        <w:t>.”</w:t>
      </w:r>
    </w:p>
    <w:p w:rsidRPr="00755E15" w:rsidR="009F1A1D" w:rsidP="00E52F4C" w:rsidRDefault="009F1A1D" w14:paraId="70E09BAC" w14:textId="77777777">
      <w:pPr>
        <w:tabs>
          <w:tab w:val="right" w:pos="10080"/>
        </w:tabs>
        <w:rPr>
          <w:rFonts w:ascii="Palatino Linotype" w:hAnsi="Palatino Linotype"/>
          <w:b/>
          <w:sz w:val="24"/>
          <w:szCs w:val="24"/>
          <w:u w:val="single"/>
        </w:rPr>
      </w:pPr>
    </w:p>
    <w:p w:rsidRPr="00755E15" w:rsidR="00B81BF7" w:rsidP="00E52F4C" w:rsidRDefault="00B81BF7" w14:paraId="73C10F17" w14:textId="77777777">
      <w:pPr>
        <w:tabs>
          <w:tab w:val="right" w:pos="10080"/>
        </w:tabs>
        <w:rPr>
          <w:rFonts w:ascii="Palatino Linotype" w:hAnsi="Palatino Linotype"/>
          <w:b/>
          <w:sz w:val="24"/>
          <w:szCs w:val="24"/>
          <w:u w:val="single"/>
        </w:rPr>
      </w:pPr>
      <w:r w:rsidRPr="00755E15">
        <w:rPr>
          <w:rFonts w:ascii="Palatino Linotype" w:hAnsi="Palatino Linotype"/>
          <w:b/>
          <w:sz w:val="24"/>
          <w:szCs w:val="24"/>
          <w:u w:val="single"/>
        </w:rPr>
        <w:lastRenderedPageBreak/>
        <w:t>S</w:t>
      </w:r>
      <w:r w:rsidRPr="00755E15" w:rsidR="005B5135">
        <w:rPr>
          <w:rFonts w:ascii="Palatino Linotype" w:hAnsi="Palatino Linotype"/>
          <w:b/>
          <w:sz w:val="24"/>
          <w:szCs w:val="24"/>
          <w:u w:val="single"/>
        </w:rPr>
        <w:t>AFETY CONSIDERATIONS</w:t>
      </w:r>
    </w:p>
    <w:p w:rsidRPr="00755E15" w:rsidR="009760D2" w:rsidP="00755E15" w:rsidRDefault="00A80508" w14:paraId="506CDE10" w14:textId="77777777">
      <w:pPr>
        <w:tabs>
          <w:tab w:val="right" w:pos="10080"/>
        </w:tabs>
        <w:spacing w:after="0" w:line="240" w:lineRule="auto"/>
        <w:rPr>
          <w:rFonts w:ascii="Palatino Linotype" w:hAnsi="Palatino Linotype"/>
          <w:b/>
          <w:sz w:val="24"/>
          <w:szCs w:val="24"/>
          <w:u w:val="single"/>
        </w:rPr>
      </w:pPr>
      <w:r w:rsidRPr="00755E15">
        <w:rPr>
          <w:rFonts w:ascii="Palatino Linotype" w:hAnsi="Palatino Linotype"/>
          <w:sz w:val="24"/>
          <w:szCs w:val="24"/>
        </w:rPr>
        <w:t xml:space="preserve">Failure to meet GO 133-D service quality standards limits customers’ ability to call 9-1-1 and other emergency services </w:t>
      </w:r>
      <w:r w:rsidRPr="00755E15" w:rsidR="0088789B">
        <w:rPr>
          <w:rFonts w:ascii="Palatino Linotype" w:hAnsi="Palatino Linotype"/>
          <w:sz w:val="24"/>
          <w:szCs w:val="24"/>
        </w:rPr>
        <w:t>and</w:t>
      </w:r>
      <w:r w:rsidRPr="00755E15">
        <w:rPr>
          <w:rFonts w:ascii="Palatino Linotype" w:hAnsi="Palatino Linotype"/>
          <w:sz w:val="24"/>
          <w:szCs w:val="24"/>
        </w:rPr>
        <w:t xml:space="preserve"> restricts public safety personnel from communicating with each other during emergencies or disasters.</w:t>
      </w:r>
    </w:p>
    <w:p w:rsidR="00B95E00" w:rsidP="00755E15" w:rsidRDefault="00B95E00" w14:paraId="7B8FFDA0" w14:textId="77777777">
      <w:pPr>
        <w:tabs>
          <w:tab w:val="right" w:pos="10080"/>
        </w:tabs>
        <w:spacing w:after="0" w:line="240" w:lineRule="auto"/>
        <w:rPr>
          <w:rFonts w:ascii="Palatino Linotype" w:hAnsi="Palatino Linotype"/>
          <w:b/>
          <w:sz w:val="24"/>
          <w:szCs w:val="24"/>
        </w:rPr>
      </w:pPr>
    </w:p>
    <w:p w:rsidRPr="008C3FE9" w:rsidR="00DB6D9A" w:rsidP="00094A89" w:rsidRDefault="00DB6D9A" w14:paraId="5E01DFF4" w14:textId="77777777">
      <w:pPr>
        <w:tabs>
          <w:tab w:val="right" w:pos="10080"/>
        </w:tabs>
        <w:rPr>
          <w:rFonts w:ascii="Palatino Linotype" w:hAnsi="Palatino Linotype"/>
          <w:b/>
          <w:sz w:val="24"/>
          <w:szCs w:val="24"/>
          <w:u w:val="single"/>
        </w:rPr>
      </w:pPr>
      <w:r w:rsidRPr="008C3FE9">
        <w:rPr>
          <w:rFonts w:ascii="Palatino Linotype" w:hAnsi="Palatino Linotype"/>
          <w:b/>
          <w:sz w:val="24"/>
          <w:szCs w:val="24"/>
          <w:u w:val="single"/>
        </w:rPr>
        <w:t>C</w:t>
      </w:r>
      <w:r w:rsidRPr="008C3FE9" w:rsidR="005B5135">
        <w:rPr>
          <w:rFonts w:ascii="Palatino Linotype" w:hAnsi="Palatino Linotype"/>
          <w:b/>
          <w:sz w:val="24"/>
          <w:szCs w:val="24"/>
          <w:u w:val="single"/>
        </w:rPr>
        <w:t>ONCLUSIONS</w:t>
      </w:r>
    </w:p>
    <w:p w:rsidR="00E7212B" w:rsidP="00755E15" w:rsidRDefault="00DB6D9A" w14:paraId="08F98529" w14:textId="6B4C9AC2">
      <w:pPr>
        <w:spacing w:after="0" w:line="240" w:lineRule="auto"/>
        <w:rPr>
          <w:rFonts w:ascii="Palatino Linotype" w:hAnsi="Palatino Linotype"/>
          <w:sz w:val="24"/>
          <w:szCs w:val="24"/>
        </w:rPr>
      </w:pPr>
      <w:r w:rsidRPr="00895B87">
        <w:rPr>
          <w:rFonts w:ascii="Palatino Linotype" w:hAnsi="Palatino Linotype"/>
          <w:sz w:val="24"/>
          <w:szCs w:val="24"/>
        </w:rPr>
        <w:t xml:space="preserve">Staff </w:t>
      </w:r>
      <w:r w:rsidRPr="00895B87" w:rsidR="00B26F82">
        <w:rPr>
          <w:rFonts w:ascii="Palatino Linotype" w:hAnsi="Palatino Linotype"/>
          <w:sz w:val="24"/>
          <w:szCs w:val="24"/>
        </w:rPr>
        <w:t>recommend</w:t>
      </w:r>
      <w:r w:rsidRPr="00895B87">
        <w:rPr>
          <w:rFonts w:ascii="Palatino Linotype" w:hAnsi="Palatino Linotype"/>
          <w:sz w:val="24"/>
          <w:szCs w:val="24"/>
        </w:rPr>
        <w:t xml:space="preserve"> </w:t>
      </w:r>
      <w:r w:rsidR="005954EC">
        <w:rPr>
          <w:rFonts w:ascii="Palatino Linotype" w:hAnsi="Palatino Linotype"/>
          <w:sz w:val="24"/>
          <w:szCs w:val="24"/>
        </w:rPr>
        <w:t xml:space="preserve">that the </w:t>
      </w:r>
      <w:r w:rsidRPr="00895B87">
        <w:rPr>
          <w:rFonts w:ascii="Palatino Linotype" w:hAnsi="Palatino Linotype"/>
          <w:sz w:val="24"/>
          <w:szCs w:val="24"/>
        </w:rPr>
        <w:t>Commission approv</w:t>
      </w:r>
      <w:r w:rsidR="005954EC">
        <w:rPr>
          <w:rFonts w:ascii="Palatino Linotype" w:hAnsi="Palatino Linotype"/>
          <w:sz w:val="24"/>
          <w:szCs w:val="24"/>
        </w:rPr>
        <w:t>e</w:t>
      </w:r>
      <w:r w:rsidRPr="00895B87">
        <w:rPr>
          <w:rFonts w:ascii="Palatino Linotype" w:hAnsi="Palatino Linotype"/>
          <w:sz w:val="24"/>
          <w:szCs w:val="24"/>
        </w:rPr>
        <w:t xml:space="preserve"> th</w:t>
      </w:r>
      <w:r w:rsidRPr="00895B87" w:rsidR="0064373B">
        <w:rPr>
          <w:rFonts w:ascii="Palatino Linotype" w:hAnsi="Palatino Linotype"/>
          <w:sz w:val="24"/>
          <w:szCs w:val="24"/>
        </w:rPr>
        <w:t>e</w:t>
      </w:r>
      <w:r w:rsidRPr="00895B87">
        <w:rPr>
          <w:rFonts w:ascii="Palatino Linotype" w:hAnsi="Palatino Linotype"/>
          <w:sz w:val="24"/>
          <w:szCs w:val="24"/>
        </w:rPr>
        <w:t xml:space="preserve"> advice letters</w:t>
      </w:r>
      <w:r w:rsidRPr="00895B87" w:rsidR="0064373B">
        <w:rPr>
          <w:rFonts w:ascii="Palatino Linotype" w:hAnsi="Palatino Linotype"/>
          <w:sz w:val="24"/>
          <w:szCs w:val="24"/>
        </w:rPr>
        <w:t xml:space="preserve"> and estimated fines</w:t>
      </w:r>
      <w:r w:rsidRPr="00895B87" w:rsidR="008B6F0B">
        <w:rPr>
          <w:rFonts w:ascii="Palatino Linotype" w:hAnsi="Palatino Linotype"/>
          <w:sz w:val="24"/>
          <w:szCs w:val="24"/>
        </w:rPr>
        <w:t xml:space="preserve"> filed by </w:t>
      </w:r>
      <w:r w:rsidRPr="00895B87" w:rsidR="0064373B">
        <w:rPr>
          <w:rFonts w:ascii="Palatino Linotype" w:hAnsi="Palatino Linotype"/>
          <w:sz w:val="24"/>
          <w:szCs w:val="24"/>
        </w:rPr>
        <w:t>Frontier Communications of the Southwest,</w:t>
      </w:r>
      <w:r w:rsidRPr="00895B87" w:rsidR="0072637A">
        <w:rPr>
          <w:rFonts w:ascii="Palatino Linotype" w:hAnsi="Palatino Linotype"/>
          <w:sz w:val="24"/>
          <w:szCs w:val="24"/>
        </w:rPr>
        <w:t xml:space="preserve"> </w:t>
      </w:r>
      <w:r w:rsidRPr="00895B87" w:rsidR="00E052A4">
        <w:rPr>
          <w:rFonts w:ascii="Palatino Linotype" w:hAnsi="Palatino Linotype"/>
          <w:sz w:val="24"/>
          <w:szCs w:val="24"/>
        </w:rPr>
        <w:t>Consolidated</w:t>
      </w:r>
      <w:r w:rsidRPr="00895B87" w:rsidR="00BA6125">
        <w:rPr>
          <w:rFonts w:ascii="Palatino Linotype" w:hAnsi="Palatino Linotype"/>
          <w:sz w:val="24"/>
          <w:szCs w:val="24"/>
        </w:rPr>
        <w:t xml:space="preserve"> Communications</w:t>
      </w:r>
      <w:r w:rsidRPr="00895B87" w:rsidR="00E052A4">
        <w:rPr>
          <w:rFonts w:ascii="Palatino Linotype" w:hAnsi="Palatino Linotype"/>
          <w:sz w:val="24"/>
          <w:szCs w:val="24"/>
        </w:rPr>
        <w:t>,</w:t>
      </w:r>
      <w:r w:rsidRPr="00895B87" w:rsidR="00895B87">
        <w:rPr>
          <w:rFonts w:ascii="Palatino Linotype" w:hAnsi="Palatino Linotype"/>
          <w:sz w:val="24"/>
          <w:szCs w:val="24"/>
        </w:rPr>
        <w:t xml:space="preserve"> and </w:t>
      </w:r>
      <w:r w:rsidRPr="00895B87" w:rsidR="008B6F0B">
        <w:rPr>
          <w:rFonts w:ascii="Palatino Linotype" w:hAnsi="Palatino Linotype"/>
          <w:sz w:val="24"/>
          <w:szCs w:val="24"/>
        </w:rPr>
        <w:t>Happy Valley</w:t>
      </w:r>
      <w:r w:rsidRPr="00895B87" w:rsidR="0064373B">
        <w:rPr>
          <w:rFonts w:ascii="Palatino Linotype" w:hAnsi="Palatino Linotype"/>
          <w:sz w:val="24"/>
          <w:szCs w:val="24"/>
        </w:rPr>
        <w:t xml:space="preserve"> Telephone</w:t>
      </w:r>
      <w:r w:rsidR="003F73D5">
        <w:rPr>
          <w:rFonts w:ascii="Palatino Linotype" w:hAnsi="Palatino Linotype"/>
          <w:sz w:val="24"/>
          <w:szCs w:val="24"/>
        </w:rPr>
        <w:t>.  These companies have failed to</w:t>
      </w:r>
      <w:r w:rsidRPr="00895B87" w:rsidR="0064373B">
        <w:rPr>
          <w:rFonts w:ascii="Palatino Linotype" w:hAnsi="Palatino Linotype"/>
          <w:sz w:val="24"/>
          <w:szCs w:val="24"/>
        </w:rPr>
        <w:t xml:space="preserve"> </w:t>
      </w:r>
      <w:r w:rsidR="003F73D5">
        <w:rPr>
          <w:rFonts w:ascii="Palatino Linotype" w:hAnsi="Palatino Linotype"/>
          <w:sz w:val="24"/>
          <w:szCs w:val="24"/>
        </w:rPr>
        <w:t>meet</w:t>
      </w:r>
      <w:r w:rsidRPr="00895B87" w:rsidR="0064373B">
        <w:rPr>
          <w:rFonts w:ascii="Palatino Linotype" w:hAnsi="Palatino Linotype"/>
          <w:sz w:val="24"/>
          <w:szCs w:val="24"/>
        </w:rPr>
        <w:t xml:space="preserve"> </w:t>
      </w:r>
      <w:r w:rsidR="003F73D5">
        <w:rPr>
          <w:rFonts w:ascii="Palatino Linotype" w:hAnsi="Palatino Linotype"/>
          <w:sz w:val="24"/>
          <w:szCs w:val="24"/>
        </w:rPr>
        <w:t xml:space="preserve">the </w:t>
      </w:r>
      <w:r w:rsidRPr="00895B87" w:rsidR="008B6F0B">
        <w:rPr>
          <w:rFonts w:ascii="Palatino Linotype" w:hAnsi="Palatino Linotype"/>
          <w:sz w:val="24"/>
          <w:szCs w:val="24"/>
        </w:rPr>
        <w:t xml:space="preserve">minimum service quality standards and reporting requirements </w:t>
      </w:r>
      <w:r w:rsidR="003F73D5">
        <w:rPr>
          <w:rFonts w:ascii="Palatino Linotype" w:hAnsi="Palatino Linotype"/>
          <w:sz w:val="24"/>
          <w:szCs w:val="24"/>
        </w:rPr>
        <w:t xml:space="preserve">set forth in </w:t>
      </w:r>
      <w:r w:rsidRPr="00895B87" w:rsidR="003F73D5">
        <w:rPr>
          <w:rFonts w:ascii="Palatino Linotype" w:hAnsi="Palatino Linotype"/>
          <w:sz w:val="24"/>
          <w:szCs w:val="24"/>
        </w:rPr>
        <w:t xml:space="preserve">General Order 133-D </w:t>
      </w:r>
      <w:r w:rsidRPr="00895B87">
        <w:rPr>
          <w:rFonts w:ascii="Palatino Linotype" w:hAnsi="Palatino Linotype"/>
          <w:sz w:val="24"/>
          <w:szCs w:val="24"/>
        </w:rPr>
        <w:t>for</w:t>
      </w:r>
      <w:r w:rsidRPr="00895B87" w:rsidR="00243A08">
        <w:rPr>
          <w:rFonts w:ascii="Palatino Linotype" w:hAnsi="Palatino Linotype"/>
          <w:sz w:val="24"/>
          <w:szCs w:val="24"/>
        </w:rPr>
        <w:t xml:space="preserve"> the Year </w:t>
      </w:r>
      <w:r w:rsidR="000F6D13">
        <w:rPr>
          <w:rFonts w:ascii="Palatino Linotype" w:hAnsi="Palatino Linotype"/>
          <w:sz w:val="24"/>
          <w:szCs w:val="24"/>
        </w:rPr>
        <w:t>2025</w:t>
      </w:r>
      <w:r w:rsidRPr="00895B87" w:rsidR="00A80508">
        <w:rPr>
          <w:rFonts w:ascii="Palatino Linotype" w:hAnsi="Palatino Linotype"/>
          <w:sz w:val="24"/>
          <w:szCs w:val="24"/>
        </w:rPr>
        <w:t>.</w:t>
      </w:r>
      <w:r w:rsidRPr="00895B87" w:rsidR="008B6F0B">
        <w:rPr>
          <w:rFonts w:ascii="Palatino Linotype" w:hAnsi="Palatino Linotype"/>
          <w:sz w:val="24"/>
          <w:szCs w:val="24"/>
        </w:rPr>
        <w:t xml:space="preserve">  The total </w:t>
      </w:r>
      <w:r w:rsidR="00DF66ED">
        <w:rPr>
          <w:rFonts w:ascii="Palatino Linotype" w:hAnsi="Palatino Linotype"/>
          <w:sz w:val="24"/>
          <w:szCs w:val="24"/>
        </w:rPr>
        <w:t xml:space="preserve">fines </w:t>
      </w:r>
      <w:r w:rsidR="00997C2E">
        <w:rPr>
          <w:rFonts w:ascii="Palatino Linotype" w:hAnsi="Palatino Linotype"/>
          <w:sz w:val="24"/>
          <w:szCs w:val="24"/>
        </w:rPr>
        <w:t>for all these carriers</w:t>
      </w:r>
      <w:r w:rsidR="00DF66ED">
        <w:rPr>
          <w:rFonts w:ascii="Palatino Linotype" w:hAnsi="Palatino Linotype"/>
          <w:sz w:val="24"/>
          <w:szCs w:val="24"/>
        </w:rPr>
        <w:t xml:space="preserve"> for </w:t>
      </w:r>
      <w:r w:rsidRPr="009A4C0B" w:rsidR="009A4C0B">
        <w:rPr>
          <w:rFonts w:ascii="Palatino Linotype" w:hAnsi="Palatino Linotype"/>
          <w:sz w:val="24"/>
          <w:szCs w:val="24"/>
        </w:rPr>
        <w:t>non-compliance with</w:t>
      </w:r>
      <w:r w:rsidRPr="00895B87" w:rsidR="008B6F0B">
        <w:rPr>
          <w:rFonts w:ascii="Palatino Linotype" w:hAnsi="Palatino Linotype"/>
          <w:sz w:val="24"/>
          <w:szCs w:val="24"/>
        </w:rPr>
        <w:t xml:space="preserve"> GO 133-D for the year </w:t>
      </w:r>
      <w:r w:rsidRPr="001C08AB" w:rsidR="000F6D13">
        <w:rPr>
          <w:rFonts w:ascii="Palatino Linotype" w:hAnsi="Palatino Linotype"/>
          <w:sz w:val="24"/>
          <w:szCs w:val="24"/>
        </w:rPr>
        <w:t>2025</w:t>
      </w:r>
      <w:r w:rsidRPr="001C08AB" w:rsidR="008B6F0B">
        <w:rPr>
          <w:rFonts w:ascii="Palatino Linotype" w:hAnsi="Palatino Linotype"/>
          <w:sz w:val="24"/>
          <w:szCs w:val="24"/>
        </w:rPr>
        <w:t xml:space="preserve"> is </w:t>
      </w:r>
      <w:r w:rsidRPr="001C08AB" w:rsidR="00895B87">
        <w:rPr>
          <w:rFonts w:ascii="Palatino Linotype" w:hAnsi="Palatino Linotype"/>
          <w:b/>
          <w:bCs/>
          <w:sz w:val="24"/>
          <w:szCs w:val="24"/>
        </w:rPr>
        <w:t>$</w:t>
      </w:r>
      <w:r w:rsidRPr="001C08AB" w:rsidR="001C08AB">
        <w:rPr>
          <w:rFonts w:ascii="Palatino Linotype" w:hAnsi="Palatino Linotype"/>
          <w:b/>
          <w:bCs/>
          <w:sz w:val="24"/>
          <w:szCs w:val="24"/>
        </w:rPr>
        <w:t>2.975</w:t>
      </w:r>
      <w:r w:rsidRPr="001C08AB" w:rsidR="008B6F0B">
        <w:rPr>
          <w:rFonts w:ascii="Palatino Linotype" w:hAnsi="Palatino Linotype"/>
          <w:sz w:val="24"/>
          <w:szCs w:val="24"/>
        </w:rPr>
        <w:t>.</w:t>
      </w:r>
      <w:r w:rsidRPr="00755E15" w:rsidR="008B6F0B">
        <w:rPr>
          <w:rFonts w:ascii="Palatino Linotype" w:hAnsi="Palatino Linotype"/>
          <w:sz w:val="24"/>
          <w:szCs w:val="24"/>
        </w:rPr>
        <w:t xml:space="preserve">  </w:t>
      </w:r>
    </w:p>
    <w:p w:rsidRPr="00755E15" w:rsidR="005A1DC3" w:rsidP="00755E15" w:rsidRDefault="005A1DC3" w14:paraId="6776307D" w14:textId="77777777">
      <w:pPr>
        <w:spacing w:after="0" w:line="240" w:lineRule="auto"/>
        <w:rPr>
          <w:rFonts w:ascii="Palatino Linotype" w:hAnsi="Palatino Linotype"/>
          <w:sz w:val="24"/>
          <w:szCs w:val="24"/>
        </w:rPr>
      </w:pPr>
    </w:p>
    <w:p w:rsidRPr="0053279C" w:rsidR="003B1DBD" w:rsidP="00E52F4C" w:rsidRDefault="003B1DBD" w14:paraId="3C2F06E6" w14:textId="77777777">
      <w:pPr>
        <w:pStyle w:val="Heading1"/>
        <w:spacing w:before="120" w:after="120"/>
        <w:jc w:val="both"/>
        <w:rPr>
          <w:rFonts w:ascii="Palatino Linotype" w:hAnsi="Palatino Linotype"/>
          <w:b/>
          <w:bCs/>
          <w:sz w:val="24"/>
          <w:szCs w:val="24"/>
          <w:u w:val="single"/>
        </w:rPr>
      </w:pPr>
      <w:r w:rsidRPr="0053279C">
        <w:rPr>
          <w:rFonts w:ascii="Palatino Linotype" w:hAnsi="Palatino Linotype"/>
          <w:b/>
          <w:bCs/>
          <w:sz w:val="24"/>
          <w:szCs w:val="24"/>
          <w:u w:val="single"/>
        </w:rPr>
        <w:t>COMMENTS</w:t>
      </w:r>
    </w:p>
    <w:p w:rsidR="002120CC" w:rsidP="00A24128" w:rsidRDefault="00E5117F" w14:paraId="1551DAF6" w14:textId="2685E9BF">
      <w:pPr>
        <w:tabs>
          <w:tab w:val="right" w:pos="10080"/>
        </w:tabs>
        <w:spacing w:after="0" w:line="240" w:lineRule="auto"/>
        <w:rPr>
          <w:rFonts w:ascii="Palatino Linotype" w:hAnsi="Palatino Linotype"/>
          <w:sz w:val="24"/>
          <w:szCs w:val="24"/>
        </w:rPr>
      </w:pPr>
      <w:r w:rsidRPr="0053279C">
        <w:rPr>
          <w:rFonts w:ascii="Palatino Linotype" w:hAnsi="Palatino Linotype"/>
          <w:sz w:val="24"/>
          <w:szCs w:val="24"/>
        </w:rPr>
        <w:t>In compliance with Public Utility</w:t>
      </w:r>
      <w:r w:rsidRPr="0053279C" w:rsidR="00595B51">
        <w:rPr>
          <w:rFonts w:ascii="Palatino Linotype" w:hAnsi="Palatino Linotype"/>
          <w:sz w:val="24"/>
          <w:szCs w:val="24"/>
        </w:rPr>
        <w:t xml:space="preserve"> Code §</w:t>
      </w:r>
      <w:r w:rsidRPr="0053279C" w:rsidR="003B1DBD">
        <w:rPr>
          <w:rFonts w:ascii="Palatino Linotype" w:hAnsi="Palatino Linotype"/>
          <w:sz w:val="24"/>
          <w:szCs w:val="24"/>
        </w:rPr>
        <w:t xml:space="preserve"> 311(g)</w:t>
      </w:r>
      <w:r w:rsidRPr="0053279C" w:rsidR="00595B51">
        <w:rPr>
          <w:rFonts w:ascii="Palatino Linotype" w:hAnsi="Palatino Linotype"/>
          <w:sz w:val="24"/>
          <w:szCs w:val="24"/>
        </w:rPr>
        <w:t xml:space="preserve">, the Commission emailed a letter on </w:t>
      </w:r>
      <w:r w:rsidR="0053279C">
        <w:rPr>
          <w:rFonts w:ascii="Palatino Linotype" w:hAnsi="Palatino Linotype"/>
          <w:sz w:val="24"/>
          <w:szCs w:val="24"/>
        </w:rPr>
        <w:t>May 8</w:t>
      </w:r>
      <w:r w:rsidRPr="0053279C" w:rsidR="002C0FA3">
        <w:rPr>
          <w:rFonts w:ascii="Palatino Linotype" w:hAnsi="Palatino Linotype"/>
          <w:sz w:val="24"/>
          <w:szCs w:val="24"/>
        </w:rPr>
        <w:t>,</w:t>
      </w:r>
      <w:r w:rsidRPr="0053279C" w:rsidR="0030743C">
        <w:rPr>
          <w:rFonts w:ascii="Palatino Linotype" w:hAnsi="Palatino Linotype"/>
          <w:sz w:val="24"/>
          <w:szCs w:val="24"/>
        </w:rPr>
        <w:t xml:space="preserve"> 202</w:t>
      </w:r>
      <w:r w:rsidR="0053279C">
        <w:rPr>
          <w:rFonts w:ascii="Palatino Linotype" w:hAnsi="Palatino Linotype"/>
          <w:sz w:val="24"/>
          <w:szCs w:val="24"/>
        </w:rPr>
        <w:t>6</w:t>
      </w:r>
      <w:r w:rsidRPr="0053279C" w:rsidR="007E6051">
        <w:rPr>
          <w:rFonts w:ascii="Palatino Linotype" w:hAnsi="Palatino Linotype"/>
          <w:sz w:val="24"/>
          <w:szCs w:val="24"/>
        </w:rPr>
        <w:t>,</w:t>
      </w:r>
      <w:r w:rsidRPr="0053279C" w:rsidR="00595B51">
        <w:rPr>
          <w:rFonts w:ascii="Palatino Linotype" w:hAnsi="Palatino Linotype"/>
          <w:sz w:val="24"/>
          <w:szCs w:val="24"/>
        </w:rPr>
        <w:t xml:space="preserve"> </w:t>
      </w:r>
      <w:r w:rsidRPr="0053279C" w:rsidR="002657E2">
        <w:rPr>
          <w:rFonts w:ascii="Palatino Linotype" w:hAnsi="Palatino Linotype"/>
          <w:sz w:val="24"/>
          <w:szCs w:val="24"/>
        </w:rPr>
        <w:t xml:space="preserve">notifying </w:t>
      </w:r>
      <w:r w:rsidRPr="0053279C" w:rsidR="00595B51">
        <w:rPr>
          <w:rFonts w:ascii="Palatino Linotype" w:hAnsi="Palatino Linotype"/>
          <w:sz w:val="24"/>
          <w:szCs w:val="24"/>
        </w:rPr>
        <w:t xml:space="preserve">all parties on the </w:t>
      </w:r>
      <w:r w:rsidRPr="0053279C" w:rsidR="008D5DBF">
        <w:rPr>
          <w:rFonts w:ascii="Palatino Linotype" w:hAnsi="Palatino Linotype"/>
          <w:sz w:val="24"/>
          <w:szCs w:val="24"/>
        </w:rPr>
        <w:t>general</w:t>
      </w:r>
      <w:r w:rsidRPr="0053279C" w:rsidR="00595B51">
        <w:rPr>
          <w:rFonts w:ascii="Palatino Linotype" w:hAnsi="Palatino Linotype"/>
          <w:sz w:val="24"/>
          <w:szCs w:val="24"/>
        </w:rPr>
        <w:t xml:space="preserve"> service list of the availability of this Resolution for public comments at the Commis</w:t>
      </w:r>
      <w:r w:rsidRPr="0053279C" w:rsidR="00E03E83">
        <w:rPr>
          <w:rFonts w:ascii="Palatino Linotype" w:hAnsi="Palatino Linotype"/>
          <w:sz w:val="24"/>
          <w:szCs w:val="24"/>
        </w:rPr>
        <w:t>s</w:t>
      </w:r>
      <w:r w:rsidRPr="0053279C" w:rsidR="00595B51">
        <w:rPr>
          <w:rFonts w:ascii="Palatino Linotype" w:hAnsi="Palatino Linotype"/>
          <w:sz w:val="24"/>
          <w:szCs w:val="24"/>
        </w:rPr>
        <w:t xml:space="preserve">ion’s website </w:t>
      </w:r>
      <w:hyperlink w:history="1" r:id="rId11">
        <w:r w:rsidRPr="0053279C" w:rsidR="00817490">
          <w:rPr>
            <w:rStyle w:val="Hyperlink"/>
            <w:rFonts w:ascii="Palatino Linotype" w:hAnsi="Palatino Linotype"/>
            <w:sz w:val="24"/>
            <w:szCs w:val="24"/>
          </w:rPr>
          <w:t>cpuc.ca.gov</w:t>
        </w:r>
      </w:hyperlink>
      <w:r w:rsidRPr="0053279C" w:rsidR="00595B51">
        <w:rPr>
          <w:rFonts w:ascii="Palatino Linotype" w:hAnsi="Palatino Linotype"/>
          <w:sz w:val="24"/>
          <w:szCs w:val="24"/>
        </w:rPr>
        <w:t>.  Th</w:t>
      </w:r>
      <w:r w:rsidRPr="0053279C" w:rsidR="00A518F4">
        <w:rPr>
          <w:rFonts w:ascii="Palatino Linotype" w:hAnsi="Palatino Linotype"/>
          <w:sz w:val="24"/>
          <w:szCs w:val="24"/>
        </w:rPr>
        <w:t>is</w:t>
      </w:r>
      <w:r w:rsidRPr="0053279C" w:rsidR="00901BAE">
        <w:rPr>
          <w:rFonts w:ascii="Palatino Linotype" w:hAnsi="Palatino Linotype"/>
          <w:sz w:val="24"/>
          <w:szCs w:val="24"/>
        </w:rPr>
        <w:t xml:space="preserve"> </w:t>
      </w:r>
      <w:r w:rsidRPr="0053279C" w:rsidR="00595B51">
        <w:rPr>
          <w:rFonts w:ascii="Palatino Linotype" w:hAnsi="Palatino Linotype"/>
          <w:sz w:val="24"/>
          <w:szCs w:val="24"/>
        </w:rPr>
        <w:t xml:space="preserve">letter also informed parties that the final conformed resolution adopted by the Commission will be posted and available </w:t>
      </w:r>
      <w:r w:rsidRPr="0053279C" w:rsidR="00D73654">
        <w:rPr>
          <w:rFonts w:ascii="Palatino Linotype" w:hAnsi="Palatino Linotype"/>
          <w:sz w:val="24"/>
          <w:szCs w:val="24"/>
        </w:rPr>
        <w:t xml:space="preserve">on </w:t>
      </w:r>
      <w:r w:rsidRPr="0053279C" w:rsidR="00595B51">
        <w:rPr>
          <w:rFonts w:ascii="Palatino Linotype" w:hAnsi="Palatino Linotype"/>
          <w:sz w:val="24"/>
          <w:szCs w:val="24"/>
        </w:rPr>
        <w:t>this same website.</w:t>
      </w:r>
      <w:r w:rsidRPr="0053279C" w:rsidR="005F50D9">
        <w:rPr>
          <w:rFonts w:ascii="Palatino Linotype" w:hAnsi="Palatino Linotype"/>
          <w:sz w:val="24"/>
          <w:szCs w:val="24"/>
        </w:rPr>
        <w:t xml:space="preserve">  </w:t>
      </w:r>
    </w:p>
    <w:p w:rsidR="00A24128" w:rsidP="00A24128" w:rsidRDefault="00A24128" w14:paraId="1182488F" w14:textId="77777777">
      <w:pPr>
        <w:tabs>
          <w:tab w:val="right" w:pos="10080"/>
        </w:tabs>
        <w:spacing w:after="0" w:line="240" w:lineRule="auto"/>
        <w:rPr>
          <w:rFonts w:ascii="Palatino Linotype" w:hAnsi="Palatino Linotype"/>
          <w:sz w:val="24"/>
          <w:szCs w:val="24"/>
        </w:rPr>
      </w:pPr>
    </w:p>
    <w:p w:rsidR="00A24128" w:rsidP="00AA0863" w:rsidRDefault="00A24128" w14:paraId="2DE476A5" w14:textId="0C1081BE">
      <w:pPr>
        <w:tabs>
          <w:tab w:val="right" w:pos="10080"/>
        </w:tabs>
        <w:rPr>
          <w:rFonts w:ascii="Palatino Linotype" w:hAnsi="Palatino Linotype"/>
          <w:sz w:val="24"/>
          <w:szCs w:val="24"/>
        </w:rPr>
      </w:pPr>
      <w:r w:rsidRPr="00755E15">
        <w:rPr>
          <w:rFonts w:ascii="Palatino Linotype" w:hAnsi="Palatino Linotype"/>
          <w:sz w:val="24"/>
          <w:szCs w:val="24"/>
        </w:rPr>
        <w:t>The Commission received</w:t>
      </w:r>
      <w:r>
        <w:rPr>
          <w:rFonts w:ascii="Palatino Linotype" w:hAnsi="Palatino Linotype"/>
          <w:sz w:val="24"/>
          <w:szCs w:val="24"/>
        </w:rPr>
        <w:t xml:space="preserve"> no </w:t>
      </w:r>
      <w:r w:rsidRPr="00755E15">
        <w:rPr>
          <w:rFonts w:ascii="Palatino Linotype" w:hAnsi="Palatino Linotype"/>
          <w:sz w:val="24"/>
          <w:szCs w:val="24"/>
        </w:rPr>
        <w:t>public comments on this Resolution.</w:t>
      </w:r>
    </w:p>
    <w:p w:rsidRPr="00CD088D" w:rsidR="003B1DBD" w:rsidP="00E5117F" w:rsidRDefault="003B1DBD" w14:paraId="315D5C26" w14:textId="77777777">
      <w:pPr>
        <w:pStyle w:val="Heading1"/>
        <w:spacing w:before="120" w:after="120"/>
        <w:jc w:val="both"/>
        <w:rPr>
          <w:rFonts w:ascii="Palatino Linotype" w:hAnsi="Palatino Linotype"/>
          <w:b/>
          <w:bCs/>
          <w:sz w:val="24"/>
          <w:szCs w:val="24"/>
          <w:u w:val="single"/>
        </w:rPr>
      </w:pPr>
      <w:r w:rsidRPr="00CD088D">
        <w:rPr>
          <w:rFonts w:ascii="Palatino Linotype" w:hAnsi="Palatino Linotype"/>
          <w:b/>
          <w:bCs/>
          <w:sz w:val="24"/>
          <w:szCs w:val="24"/>
          <w:u w:val="single"/>
        </w:rPr>
        <w:t>FINDINGS</w:t>
      </w:r>
    </w:p>
    <w:p w:rsidRPr="005E409C" w:rsidR="00355476" w:rsidP="00420151" w:rsidRDefault="00080114" w14:paraId="65A4E655" w14:textId="77777777">
      <w:pPr>
        <w:numPr>
          <w:ilvl w:val="0"/>
          <w:numId w:val="1"/>
        </w:numPr>
        <w:spacing w:after="0" w:line="240" w:lineRule="auto"/>
        <w:ind w:left="0" w:firstLine="0"/>
        <w:rPr>
          <w:rFonts w:ascii="Palatino Linotype" w:hAnsi="Palatino Linotype"/>
          <w:sz w:val="24"/>
          <w:szCs w:val="24"/>
        </w:rPr>
      </w:pPr>
      <w:r w:rsidRPr="004C285E">
        <w:rPr>
          <w:rFonts w:ascii="Palatino Linotype" w:hAnsi="Palatino Linotype" w:eastAsia="Arial"/>
          <w:spacing w:val="-4"/>
          <w:sz w:val="24"/>
          <w:szCs w:val="24"/>
        </w:rPr>
        <w:t xml:space="preserve">General Order 133-D, Section 9.6 </w:t>
      </w:r>
      <w:r w:rsidR="003D1480">
        <w:rPr>
          <w:rFonts w:ascii="Palatino Linotype" w:hAnsi="Palatino Linotype" w:eastAsia="Arial"/>
          <w:spacing w:val="-4"/>
          <w:sz w:val="24"/>
          <w:szCs w:val="24"/>
        </w:rPr>
        <w:t>requires</w:t>
      </w:r>
      <w:r w:rsidRPr="004C285E">
        <w:rPr>
          <w:rFonts w:ascii="Palatino Linotype" w:hAnsi="Palatino Linotype" w:eastAsia="Arial"/>
          <w:spacing w:val="-4"/>
          <w:sz w:val="24"/>
          <w:szCs w:val="24"/>
        </w:rPr>
        <w:t xml:space="preserve"> any </w:t>
      </w:r>
      <w:r w:rsidRPr="004C285E">
        <w:rPr>
          <w:rFonts w:ascii="Palatino Linotype" w:hAnsi="Palatino Linotype" w:eastAsia="Arial"/>
          <w:sz w:val="24"/>
          <w:szCs w:val="24"/>
        </w:rPr>
        <w:t>tele</w:t>
      </w:r>
      <w:r w:rsidRPr="004C285E">
        <w:rPr>
          <w:rFonts w:ascii="Palatino Linotype" w:hAnsi="Palatino Linotype" w:eastAsia="Arial"/>
          <w:spacing w:val="2"/>
          <w:sz w:val="24"/>
          <w:szCs w:val="24"/>
        </w:rPr>
        <w:t>ph</w:t>
      </w:r>
      <w:r w:rsidRPr="004C285E">
        <w:rPr>
          <w:rFonts w:ascii="Palatino Linotype" w:hAnsi="Palatino Linotype" w:eastAsia="Arial"/>
          <w:sz w:val="24"/>
          <w:szCs w:val="24"/>
        </w:rPr>
        <w:t>one corporat</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on</w:t>
      </w:r>
      <w:r w:rsidRPr="004C285E">
        <w:rPr>
          <w:rFonts w:ascii="Palatino Linotype" w:hAnsi="Palatino Linotype" w:eastAsia="Arial"/>
          <w:spacing w:val="-13"/>
          <w:sz w:val="24"/>
          <w:szCs w:val="24"/>
        </w:rPr>
        <w:t xml:space="preserve"> </w:t>
      </w:r>
      <w:r w:rsidR="003D1480">
        <w:rPr>
          <w:rFonts w:ascii="Palatino Linotype" w:hAnsi="Palatino Linotype" w:eastAsia="Arial"/>
          <w:spacing w:val="-13"/>
          <w:sz w:val="24"/>
          <w:szCs w:val="24"/>
        </w:rPr>
        <w:t>that fail</w:t>
      </w:r>
      <w:r w:rsidR="0030134B">
        <w:rPr>
          <w:rFonts w:ascii="Palatino Linotype" w:hAnsi="Palatino Linotype" w:eastAsia="Arial"/>
          <w:spacing w:val="-13"/>
          <w:sz w:val="24"/>
          <w:szCs w:val="24"/>
        </w:rPr>
        <w:t xml:space="preserve">s to </w:t>
      </w:r>
      <w:r w:rsidRPr="004C285E">
        <w:rPr>
          <w:rFonts w:ascii="Palatino Linotype" w:hAnsi="Palatino Linotype" w:eastAsia="Arial"/>
          <w:sz w:val="24"/>
          <w:szCs w:val="24"/>
        </w:rPr>
        <w:t>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et</w:t>
      </w:r>
      <w:r w:rsidRPr="004C285E">
        <w:rPr>
          <w:rFonts w:ascii="Palatino Linotype" w:hAnsi="Palatino Linotype" w:eastAsia="Arial"/>
          <w:spacing w:val="-6"/>
          <w:sz w:val="24"/>
          <w:szCs w:val="24"/>
        </w:rPr>
        <w:t xml:space="preserve"> </w:t>
      </w:r>
      <w:r w:rsidRPr="004C285E">
        <w:rPr>
          <w:rFonts w:ascii="Palatino Linotype" w:hAnsi="Palatino Linotype" w:eastAsia="Arial"/>
          <w:sz w:val="24"/>
          <w:szCs w:val="24"/>
        </w:rPr>
        <w:t>the</w:t>
      </w:r>
      <w:r w:rsidRPr="004C285E">
        <w:rPr>
          <w:rFonts w:ascii="Palatino Linotype" w:hAnsi="Palatino Linotype" w:eastAsia="Arial"/>
          <w:spacing w:val="-2"/>
          <w:sz w:val="24"/>
          <w:szCs w:val="24"/>
        </w:rPr>
        <w:t xml:space="preserve"> </w:t>
      </w:r>
      <w:r w:rsidRPr="004C285E">
        <w:rPr>
          <w:rFonts w:ascii="Palatino Linotype" w:hAnsi="Palatino Linotype" w:eastAsia="Arial"/>
          <w:sz w:val="24"/>
          <w:szCs w:val="24"/>
        </w:rPr>
        <w:t>mini</w:t>
      </w:r>
      <w:r w:rsidRPr="004C285E">
        <w:rPr>
          <w:rFonts w:ascii="Palatino Linotype" w:hAnsi="Palatino Linotype" w:eastAsia="Arial"/>
          <w:spacing w:val="2"/>
          <w:sz w:val="24"/>
          <w:szCs w:val="24"/>
        </w:rPr>
        <w:t>mu</w:t>
      </w:r>
      <w:r w:rsidRPr="004C285E">
        <w:rPr>
          <w:rFonts w:ascii="Palatino Linotype" w:hAnsi="Palatino Linotype" w:eastAsia="Arial"/>
          <w:sz w:val="24"/>
          <w:szCs w:val="24"/>
        </w:rPr>
        <w:t>m</w:t>
      </w:r>
      <w:r w:rsidRPr="004C285E">
        <w:rPr>
          <w:rFonts w:ascii="Palatino Linotype" w:hAnsi="Palatino Linotype" w:eastAsia="Arial"/>
          <w:spacing w:val="-11"/>
          <w:sz w:val="24"/>
          <w:szCs w:val="24"/>
        </w:rPr>
        <w:t xml:space="preserve"> </w:t>
      </w:r>
      <w:r w:rsidR="0030134B">
        <w:rPr>
          <w:rFonts w:ascii="Palatino Linotype" w:hAnsi="Palatino Linotype" w:eastAsia="Arial"/>
          <w:spacing w:val="-11"/>
          <w:sz w:val="24"/>
          <w:szCs w:val="24"/>
        </w:rPr>
        <w:t xml:space="preserve">performance </w:t>
      </w:r>
      <w:r w:rsidRPr="004C285E">
        <w:rPr>
          <w:rFonts w:ascii="Palatino Linotype" w:hAnsi="Palatino Linotype" w:eastAsia="Arial"/>
          <w:sz w:val="24"/>
          <w:szCs w:val="24"/>
        </w:rPr>
        <w:t>stan</w:t>
      </w:r>
      <w:r w:rsidRPr="004C285E">
        <w:rPr>
          <w:rFonts w:ascii="Palatino Linotype" w:hAnsi="Palatino Linotype" w:eastAsia="Arial"/>
          <w:spacing w:val="2"/>
          <w:sz w:val="24"/>
          <w:szCs w:val="24"/>
        </w:rPr>
        <w:t>d</w:t>
      </w:r>
      <w:r w:rsidRPr="004C285E">
        <w:rPr>
          <w:rFonts w:ascii="Palatino Linotype" w:hAnsi="Palatino Linotype" w:eastAsia="Arial"/>
          <w:sz w:val="24"/>
          <w:szCs w:val="24"/>
        </w:rPr>
        <w:t>ards</w:t>
      </w:r>
      <w:r w:rsidRPr="004C285E">
        <w:rPr>
          <w:rFonts w:ascii="Palatino Linotype" w:hAnsi="Palatino Linotype" w:eastAsia="Arial"/>
          <w:spacing w:val="-11"/>
          <w:sz w:val="24"/>
          <w:szCs w:val="24"/>
        </w:rPr>
        <w:t xml:space="preserve"> </w:t>
      </w:r>
      <w:r w:rsidRPr="004C285E" w:rsidR="00677A00">
        <w:rPr>
          <w:rFonts w:ascii="Palatino Linotype" w:hAnsi="Palatino Linotype" w:eastAsia="Arial"/>
          <w:spacing w:val="2"/>
          <w:sz w:val="24"/>
          <w:szCs w:val="24"/>
        </w:rPr>
        <w:t>to</w:t>
      </w:r>
      <w:r w:rsidRPr="004C285E" w:rsidR="00677A00">
        <w:rPr>
          <w:rFonts w:ascii="Palatino Linotype" w:hAnsi="Palatino Linotype" w:eastAsia="Arial"/>
          <w:spacing w:val="-5"/>
          <w:sz w:val="24"/>
          <w:szCs w:val="24"/>
        </w:rPr>
        <w:t xml:space="preserve"> </w:t>
      </w:r>
      <w:r w:rsidRPr="004C285E">
        <w:rPr>
          <w:rFonts w:ascii="Palatino Linotype" w:hAnsi="Palatino Linotype" w:eastAsia="Arial"/>
          <w:sz w:val="24"/>
          <w:szCs w:val="24"/>
        </w:rPr>
        <w:t>s</w:t>
      </w:r>
      <w:r w:rsidRPr="004C285E">
        <w:rPr>
          <w:rFonts w:ascii="Palatino Linotype" w:hAnsi="Palatino Linotype" w:eastAsia="Arial"/>
          <w:spacing w:val="2"/>
          <w:sz w:val="24"/>
          <w:szCs w:val="24"/>
        </w:rPr>
        <w:t>u</w:t>
      </w:r>
      <w:r w:rsidRPr="004C285E">
        <w:rPr>
          <w:rFonts w:ascii="Palatino Linotype" w:hAnsi="Palatino Linotype" w:eastAsia="Arial"/>
          <w:sz w:val="24"/>
          <w:szCs w:val="24"/>
        </w:rPr>
        <w:t xml:space="preserve">bmit </w:t>
      </w:r>
      <w:r w:rsidR="00C40E9C">
        <w:rPr>
          <w:rFonts w:ascii="Palatino Linotype" w:hAnsi="Palatino Linotype" w:eastAsia="Arial"/>
          <w:sz w:val="24"/>
          <w:szCs w:val="24"/>
        </w:rPr>
        <w:t xml:space="preserve">an </w:t>
      </w:r>
      <w:r w:rsidRPr="004C285E">
        <w:rPr>
          <w:rFonts w:ascii="Palatino Linotype" w:hAnsi="Palatino Linotype" w:eastAsia="Arial"/>
          <w:sz w:val="24"/>
          <w:szCs w:val="24"/>
        </w:rPr>
        <w:t>annual</w:t>
      </w:r>
      <w:r w:rsidRPr="004C285E">
        <w:rPr>
          <w:rFonts w:ascii="Palatino Linotype" w:hAnsi="Palatino Linotype" w:eastAsia="Arial"/>
          <w:spacing w:val="-10"/>
          <w:sz w:val="24"/>
          <w:szCs w:val="24"/>
        </w:rPr>
        <w:t xml:space="preserve"> </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ier</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II</w:t>
      </w:r>
      <w:r w:rsidRPr="004C285E">
        <w:rPr>
          <w:rFonts w:ascii="Palatino Linotype" w:hAnsi="Palatino Linotype" w:eastAsia="Arial"/>
          <w:spacing w:val="1"/>
          <w:sz w:val="24"/>
          <w:szCs w:val="24"/>
        </w:rPr>
        <w:t xml:space="preserve"> </w:t>
      </w:r>
      <w:r w:rsidRPr="004C285E">
        <w:rPr>
          <w:rFonts w:ascii="Palatino Linotype" w:hAnsi="Palatino Linotype" w:eastAsia="Arial"/>
          <w:sz w:val="24"/>
          <w:szCs w:val="24"/>
        </w:rPr>
        <w:t>A</w:t>
      </w:r>
      <w:r w:rsidRPr="004C285E">
        <w:rPr>
          <w:rFonts w:ascii="Palatino Linotype" w:hAnsi="Palatino Linotype" w:eastAsia="Arial"/>
          <w:spacing w:val="2"/>
          <w:sz w:val="24"/>
          <w:szCs w:val="24"/>
        </w:rPr>
        <w:t>d</w:t>
      </w:r>
      <w:r w:rsidRPr="004C285E">
        <w:rPr>
          <w:rFonts w:ascii="Palatino Linotype" w:hAnsi="Palatino Linotype" w:eastAsia="Arial"/>
          <w:spacing w:val="-2"/>
          <w:sz w:val="24"/>
          <w:szCs w:val="24"/>
        </w:rPr>
        <w:t>v</w:t>
      </w:r>
      <w:r w:rsidRPr="004C285E">
        <w:rPr>
          <w:rFonts w:ascii="Palatino Linotype" w:hAnsi="Palatino Linotype" w:eastAsia="Arial"/>
          <w:sz w:val="24"/>
          <w:szCs w:val="24"/>
        </w:rPr>
        <w:t>ice</w:t>
      </w:r>
      <w:r w:rsidRPr="004C285E">
        <w:rPr>
          <w:rFonts w:ascii="Palatino Linotype" w:hAnsi="Palatino Linotype" w:eastAsia="Arial"/>
          <w:spacing w:val="-6"/>
          <w:sz w:val="24"/>
          <w:szCs w:val="24"/>
        </w:rPr>
        <w:t xml:space="preserve"> </w:t>
      </w:r>
      <w:r w:rsidRPr="004C285E">
        <w:rPr>
          <w:rFonts w:ascii="Palatino Linotype" w:hAnsi="Palatino Linotype" w:eastAsia="Arial"/>
          <w:sz w:val="24"/>
          <w:szCs w:val="24"/>
        </w:rPr>
        <w:t>Letter</w:t>
      </w:r>
      <w:r>
        <w:rPr>
          <w:rFonts w:ascii="Palatino Linotype" w:hAnsi="Palatino Linotype" w:eastAsia="Arial"/>
          <w:sz w:val="24"/>
          <w:szCs w:val="24"/>
        </w:rPr>
        <w:t xml:space="preserve"> </w:t>
      </w:r>
      <w:r w:rsidRPr="004C285E" w:rsidR="00C40E9C">
        <w:rPr>
          <w:rFonts w:ascii="Palatino Linotype" w:hAnsi="Palatino Linotype" w:eastAsia="Arial"/>
          <w:spacing w:val="2"/>
          <w:sz w:val="24"/>
          <w:szCs w:val="24"/>
        </w:rPr>
        <w:t>b</w:t>
      </w:r>
      <w:r w:rsidRPr="004C285E" w:rsidR="00C40E9C">
        <w:rPr>
          <w:rFonts w:ascii="Palatino Linotype" w:hAnsi="Palatino Linotype" w:eastAsia="Arial"/>
          <w:sz w:val="24"/>
          <w:szCs w:val="24"/>
        </w:rPr>
        <w:t>y</w:t>
      </w:r>
      <w:r w:rsidRPr="004C285E" w:rsidR="00C40E9C">
        <w:rPr>
          <w:rFonts w:ascii="Palatino Linotype" w:hAnsi="Palatino Linotype" w:eastAsia="Arial"/>
          <w:spacing w:val="-5"/>
          <w:sz w:val="24"/>
          <w:szCs w:val="24"/>
        </w:rPr>
        <w:t xml:space="preserve"> </w:t>
      </w:r>
      <w:r w:rsidRPr="004C285E" w:rsidR="00C40E9C">
        <w:rPr>
          <w:rFonts w:ascii="Palatino Linotype" w:hAnsi="Palatino Linotype" w:eastAsia="Arial"/>
          <w:spacing w:val="2"/>
          <w:sz w:val="24"/>
          <w:szCs w:val="24"/>
        </w:rPr>
        <w:t>F</w:t>
      </w:r>
      <w:r w:rsidRPr="004C285E" w:rsidR="00C40E9C">
        <w:rPr>
          <w:rFonts w:ascii="Palatino Linotype" w:hAnsi="Palatino Linotype" w:eastAsia="Arial"/>
          <w:sz w:val="24"/>
          <w:szCs w:val="24"/>
        </w:rPr>
        <w:t>ebru</w:t>
      </w:r>
      <w:r w:rsidRPr="004C285E" w:rsidR="00C40E9C">
        <w:rPr>
          <w:rFonts w:ascii="Palatino Linotype" w:hAnsi="Palatino Linotype" w:eastAsia="Arial"/>
          <w:spacing w:val="2"/>
          <w:sz w:val="24"/>
          <w:szCs w:val="24"/>
        </w:rPr>
        <w:t>ar</w:t>
      </w:r>
      <w:r w:rsidRPr="004C285E" w:rsidR="00C40E9C">
        <w:rPr>
          <w:rFonts w:ascii="Palatino Linotype" w:hAnsi="Palatino Linotype" w:eastAsia="Arial"/>
          <w:sz w:val="24"/>
          <w:szCs w:val="24"/>
        </w:rPr>
        <w:t>y</w:t>
      </w:r>
      <w:r w:rsidRPr="004C285E" w:rsidR="00C40E9C">
        <w:rPr>
          <w:rFonts w:ascii="Palatino Linotype" w:hAnsi="Palatino Linotype" w:eastAsia="Arial"/>
          <w:spacing w:val="-10"/>
          <w:sz w:val="24"/>
          <w:szCs w:val="24"/>
        </w:rPr>
        <w:t xml:space="preserve"> </w:t>
      </w:r>
      <w:r w:rsidRPr="004C285E" w:rsidR="00C40E9C">
        <w:rPr>
          <w:rFonts w:ascii="Palatino Linotype" w:hAnsi="Palatino Linotype" w:eastAsia="Arial"/>
          <w:sz w:val="24"/>
          <w:szCs w:val="24"/>
        </w:rPr>
        <w:t>15</w:t>
      </w:r>
      <w:r w:rsidRPr="004C285E" w:rsidR="00C40E9C">
        <w:rPr>
          <w:rFonts w:ascii="Palatino Linotype" w:hAnsi="Palatino Linotype" w:eastAsia="Arial"/>
          <w:spacing w:val="-3"/>
          <w:sz w:val="24"/>
          <w:szCs w:val="24"/>
        </w:rPr>
        <w:t xml:space="preserve"> </w:t>
      </w:r>
      <w:r w:rsidRPr="004C285E" w:rsidR="00C40E9C">
        <w:rPr>
          <w:rFonts w:ascii="Palatino Linotype" w:hAnsi="Palatino Linotype" w:eastAsia="Arial"/>
          <w:sz w:val="24"/>
          <w:szCs w:val="24"/>
        </w:rPr>
        <w:t>of</w:t>
      </w:r>
      <w:r w:rsidRPr="004C285E" w:rsidR="00C40E9C">
        <w:rPr>
          <w:rFonts w:ascii="Palatino Linotype" w:hAnsi="Palatino Linotype" w:eastAsia="Arial"/>
          <w:spacing w:val="-2"/>
          <w:sz w:val="24"/>
          <w:szCs w:val="24"/>
        </w:rPr>
        <w:t xml:space="preserve"> </w:t>
      </w:r>
      <w:r w:rsidRPr="004C285E" w:rsidR="00C40E9C">
        <w:rPr>
          <w:rFonts w:ascii="Palatino Linotype" w:hAnsi="Palatino Linotype" w:eastAsia="Arial"/>
          <w:spacing w:val="2"/>
          <w:sz w:val="24"/>
          <w:szCs w:val="24"/>
        </w:rPr>
        <w:t>t</w:t>
      </w:r>
      <w:r w:rsidRPr="004C285E" w:rsidR="00C40E9C">
        <w:rPr>
          <w:rFonts w:ascii="Palatino Linotype" w:hAnsi="Palatino Linotype" w:eastAsia="Arial"/>
          <w:sz w:val="24"/>
          <w:szCs w:val="24"/>
        </w:rPr>
        <w:t>he</w:t>
      </w:r>
      <w:r w:rsidRPr="004C285E" w:rsidR="00C40E9C">
        <w:rPr>
          <w:rFonts w:ascii="Palatino Linotype" w:hAnsi="Palatino Linotype" w:eastAsia="Arial"/>
          <w:spacing w:val="-4"/>
          <w:sz w:val="24"/>
          <w:szCs w:val="24"/>
        </w:rPr>
        <w:t xml:space="preserve"> </w:t>
      </w:r>
      <w:r w:rsidRPr="004C285E" w:rsidR="00C40E9C">
        <w:rPr>
          <w:rFonts w:ascii="Palatino Linotype" w:hAnsi="Palatino Linotype" w:eastAsia="Arial"/>
          <w:sz w:val="24"/>
          <w:szCs w:val="24"/>
        </w:rPr>
        <w:t>fo</w:t>
      </w:r>
      <w:r w:rsidRPr="004C285E" w:rsidR="00C40E9C">
        <w:rPr>
          <w:rFonts w:ascii="Palatino Linotype" w:hAnsi="Palatino Linotype" w:eastAsia="Arial"/>
          <w:spacing w:val="2"/>
          <w:sz w:val="24"/>
          <w:szCs w:val="24"/>
        </w:rPr>
        <w:t>l</w:t>
      </w:r>
      <w:r w:rsidRPr="004C285E" w:rsidR="00C40E9C">
        <w:rPr>
          <w:rFonts w:ascii="Palatino Linotype" w:hAnsi="Palatino Linotype" w:eastAsia="Arial"/>
          <w:sz w:val="24"/>
          <w:szCs w:val="24"/>
        </w:rPr>
        <w:t>l</w:t>
      </w:r>
      <w:r w:rsidRPr="004C285E" w:rsidR="00C40E9C">
        <w:rPr>
          <w:rFonts w:ascii="Palatino Linotype" w:hAnsi="Palatino Linotype" w:eastAsia="Arial"/>
          <w:spacing w:val="2"/>
          <w:sz w:val="24"/>
          <w:szCs w:val="24"/>
        </w:rPr>
        <w:t>o</w:t>
      </w:r>
      <w:r w:rsidRPr="004C285E" w:rsidR="00C40E9C">
        <w:rPr>
          <w:rFonts w:ascii="Palatino Linotype" w:hAnsi="Palatino Linotype" w:eastAsia="Arial"/>
          <w:spacing w:val="-2"/>
          <w:sz w:val="24"/>
          <w:szCs w:val="24"/>
        </w:rPr>
        <w:t>w</w:t>
      </w:r>
      <w:r w:rsidRPr="004C285E" w:rsidR="00C40E9C">
        <w:rPr>
          <w:rFonts w:ascii="Palatino Linotype" w:hAnsi="Palatino Linotype" w:eastAsia="Arial"/>
          <w:sz w:val="24"/>
          <w:szCs w:val="24"/>
        </w:rPr>
        <w:t>ing</w:t>
      </w:r>
      <w:r w:rsidRPr="004C285E" w:rsidR="00C40E9C">
        <w:rPr>
          <w:rFonts w:ascii="Palatino Linotype" w:hAnsi="Palatino Linotype" w:eastAsia="Arial"/>
          <w:spacing w:val="-6"/>
          <w:sz w:val="24"/>
          <w:szCs w:val="24"/>
        </w:rPr>
        <w:t xml:space="preserve"> </w:t>
      </w:r>
      <w:r w:rsidRPr="004C285E" w:rsidR="00C40E9C">
        <w:rPr>
          <w:rFonts w:ascii="Palatino Linotype" w:hAnsi="Palatino Linotype" w:eastAsia="Arial"/>
          <w:spacing w:val="-2"/>
          <w:sz w:val="24"/>
          <w:szCs w:val="24"/>
        </w:rPr>
        <w:t>y</w:t>
      </w:r>
      <w:r w:rsidRPr="004C285E" w:rsidR="00C40E9C">
        <w:rPr>
          <w:rFonts w:ascii="Palatino Linotype" w:hAnsi="Palatino Linotype" w:eastAsia="Arial"/>
          <w:spacing w:val="2"/>
          <w:sz w:val="24"/>
          <w:szCs w:val="24"/>
        </w:rPr>
        <w:t>e</w:t>
      </w:r>
      <w:r w:rsidRPr="004C285E" w:rsidR="00C40E9C">
        <w:rPr>
          <w:rFonts w:ascii="Palatino Linotype" w:hAnsi="Palatino Linotype" w:eastAsia="Arial"/>
          <w:spacing w:val="4"/>
          <w:sz w:val="24"/>
          <w:szCs w:val="24"/>
        </w:rPr>
        <w:t>a</w:t>
      </w:r>
      <w:r w:rsidRPr="004C285E" w:rsidR="00C40E9C">
        <w:rPr>
          <w:rFonts w:ascii="Palatino Linotype" w:hAnsi="Palatino Linotype" w:eastAsia="Arial"/>
          <w:sz w:val="24"/>
          <w:szCs w:val="24"/>
        </w:rPr>
        <w:t>r</w:t>
      </w:r>
      <w:r w:rsidR="001B6DAA">
        <w:rPr>
          <w:rFonts w:ascii="Palatino Linotype" w:hAnsi="Palatino Linotype" w:eastAsia="Arial"/>
          <w:spacing w:val="-7"/>
          <w:sz w:val="24"/>
          <w:szCs w:val="24"/>
        </w:rPr>
        <w:t xml:space="preserve">. </w:t>
      </w:r>
      <w:r w:rsidR="00EC7706">
        <w:rPr>
          <w:rFonts w:ascii="Palatino Linotype" w:hAnsi="Palatino Linotype" w:eastAsia="Arial"/>
          <w:spacing w:val="-7"/>
          <w:sz w:val="24"/>
          <w:szCs w:val="24"/>
        </w:rPr>
        <w:t xml:space="preserve"> T</w:t>
      </w:r>
      <w:r w:rsidR="001B6DAA">
        <w:rPr>
          <w:rFonts w:ascii="Palatino Linotype" w:hAnsi="Palatino Linotype" w:eastAsia="Arial"/>
          <w:spacing w:val="-7"/>
          <w:sz w:val="24"/>
          <w:szCs w:val="24"/>
        </w:rPr>
        <w:t xml:space="preserve">his </w:t>
      </w:r>
      <w:r w:rsidR="00EC7706">
        <w:rPr>
          <w:rFonts w:ascii="Palatino Linotype" w:hAnsi="Palatino Linotype" w:eastAsia="Arial"/>
          <w:spacing w:val="-7"/>
          <w:sz w:val="24"/>
          <w:szCs w:val="24"/>
        </w:rPr>
        <w:t xml:space="preserve">Advice Letter must include </w:t>
      </w:r>
      <w:r w:rsidR="00956820">
        <w:rPr>
          <w:rFonts w:ascii="Palatino Linotype" w:hAnsi="Palatino Linotype" w:eastAsia="Arial"/>
          <w:spacing w:val="2"/>
          <w:sz w:val="24"/>
          <w:szCs w:val="24"/>
        </w:rPr>
        <w:t>the</w:t>
      </w:r>
      <w:r w:rsidRPr="004C285E">
        <w:rPr>
          <w:rFonts w:ascii="Palatino Linotype" w:hAnsi="Palatino Linotype" w:eastAsia="Arial"/>
          <w:spacing w:val="-6"/>
          <w:sz w:val="24"/>
          <w:szCs w:val="24"/>
        </w:rPr>
        <w:t xml:space="preserve"> </w:t>
      </w:r>
      <w:r w:rsidRPr="004C285E" w:rsidR="00D30D43">
        <w:rPr>
          <w:rFonts w:ascii="Palatino Linotype" w:hAnsi="Palatino Linotype" w:eastAsia="Arial"/>
          <w:spacing w:val="-6"/>
          <w:sz w:val="24"/>
          <w:szCs w:val="24"/>
        </w:rPr>
        <w:t>month</w:t>
      </w:r>
      <w:r w:rsidR="00956820">
        <w:rPr>
          <w:rFonts w:ascii="Palatino Linotype" w:hAnsi="Palatino Linotype" w:eastAsia="Arial"/>
          <w:spacing w:val="-6"/>
          <w:sz w:val="24"/>
          <w:szCs w:val="24"/>
        </w:rPr>
        <w:t>ly</w:t>
      </w:r>
      <w:r w:rsidRPr="004C285E" w:rsidR="00D30D43">
        <w:rPr>
          <w:rFonts w:ascii="Palatino Linotype" w:hAnsi="Palatino Linotype" w:eastAsia="Arial"/>
          <w:spacing w:val="-6"/>
          <w:sz w:val="24"/>
          <w:szCs w:val="24"/>
        </w:rPr>
        <w:t xml:space="preserve"> </w:t>
      </w:r>
      <w:r w:rsidRPr="004C285E" w:rsidR="00907D33">
        <w:rPr>
          <w:rFonts w:ascii="Palatino Linotype" w:hAnsi="Palatino Linotype" w:eastAsia="Arial"/>
          <w:sz w:val="24"/>
          <w:szCs w:val="24"/>
        </w:rPr>
        <w:t>s</w:t>
      </w:r>
      <w:r w:rsidRPr="004C285E">
        <w:rPr>
          <w:rFonts w:ascii="Palatino Linotype" w:hAnsi="Palatino Linotype" w:eastAsia="Arial"/>
          <w:sz w:val="24"/>
          <w:szCs w:val="24"/>
        </w:rPr>
        <w:t>e</w:t>
      </w:r>
      <w:r w:rsidRPr="004C285E">
        <w:rPr>
          <w:rFonts w:ascii="Palatino Linotype" w:hAnsi="Palatino Linotype" w:eastAsia="Arial"/>
          <w:spacing w:val="2"/>
          <w:sz w:val="24"/>
          <w:szCs w:val="24"/>
        </w:rPr>
        <w:t>r</w:t>
      </w:r>
      <w:r w:rsidRPr="004C285E">
        <w:rPr>
          <w:rFonts w:ascii="Palatino Linotype" w:hAnsi="Palatino Linotype" w:eastAsia="Arial"/>
          <w:spacing w:val="-2"/>
          <w:sz w:val="24"/>
          <w:szCs w:val="24"/>
        </w:rPr>
        <w:t>v</w:t>
      </w:r>
      <w:r w:rsidRPr="004C285E">
        <w:rPr>
          <w:rFonts w:ascii="Palatino Linotype" w:hAnsi="Palatino Linotype" w:eastAsia="Arial"/>
          <w:sz w:val="24"/>
          <w:szCs w:val="24"/>
        </w:rPr>
        <w:t>i</w:t>
      </w:r>
      <w:r w:rsidRPr="004C285E">
        <w:rPr>
          <w:rFonts w:ascii="Palatino Linotype" w:hAnsi="Palatino Linotype" w:eastAsia="Arial"/>
          <w:spacing w:val="2"/>
          <w:sz w:val="24"/>
          <w:szCs w:val="24"/>
        </w:rPr>
        <w:t>c</w:t>
      </w:r>
      <w:r w:rsidRPr="004C285E">
        <w:rPr>
          <w:rFonts w:ascii="Palatino Linotype" w:hAnsi="Palatino Linotype" w:eastAsia="Arial"/>
          <w:sz w:val="24"/>
          <w:szCs w:val="24"/>
        </w:rPr>
        <w:t>e</w:t>
      </w:r>
      <w:r w:rsidRPr="004C285E">
        <w:rPr>
          <w:rFonts w:ascii="Palatino Linotype" w:hAnsi="Palatino Linotype" w:eastAsia="Arial"/>
          <w:spacing w:val="-9"/>
          <w:sz w:val="24"/>
          <w:szCs w:val="24"/>
        </w:rPr>
        <w:t xml:space="preserve"> </w:t>
      </w:r>
      <w:r w:rsidRPr="004C285E" w:rsidR="00907D33">
        <w:rPr>
          <w:rFonts w:ascii="Palatino Linotype" w:hAnsi="Palatino Linotype" w:eastAsia="Arial"/>
          <w:sz w:val="24"/>
          <w:szCs w:val="24"/>
        </w:rPr>
        <w:t>q</w:t>
      </w:r>
      <w:r w:rsidRPr="004C285E">
        <w:rPr>
          <w:rFonts w:ascii="Palatino Linotype" w:hAnsi="Palatino Linotype" w:eastAsia="Arial"/>
          <w:sz w:val="24"/>
          <w:szCs w:val="24"/>
        </w:rPr>
        <w:t>ua</w:t>
      </w:r>
      <w:r w:rsidRPr="004C285E">
        <w:rPr>
          <w:rFonts w:ascii="Palatino Linotype" w:hAnsi="Palatino Linotype" w:eastAsia="Arial"/>
          <w:spacing w:val="2"/>
          <w:sz w:val="24"/>
          <w:szCs w:val="24"/>
        </w:rPr>
        <w:t>l</w:t>
      </w:r>
      <w:r w:rsidRPr="004C285E">
        <w:rPr>
          <w:rFonts w:ascii="Palatino Linotype" w:hAnsi="Palatino Linotype" w:eastAsia="Arial"/>
          <w:sz w:val="24"/>
          <w:szCs w:val="24"/>
        </w:rPr>
        <w:t>i</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y</w:t>
      </w:r>
      <w:r w:rsidRPr="004C285E">
        <w:rPr>
          <w:rFonts w:ascii="Palatino Linotype" w:hAnsi="Palatino Linotype" w:eastAsia="Arial"/>
          <w:spacing w:val="-10"/>
          <w:sz w:val="24"/>
          <w:szCs w:val="24"/>
        </w:rPr>
        <w:t xml:space="preserve"> </w:t>
      </w:r>
      <w:r w:rsidRPr="004C285E">
        <w:rPr>
          <w:rFonts w:ascii="Palatino Linotype" w:hAnsi="Palatino Linotype" w:eastAsia="Arial"/>
          <w:sz w:val="24"/>
          <w:szCs w:val="24"/>
        </w:rPr>
        <w:t>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asurem</w:t>
      </w:r>
      <w:r w:rsidRPr="004C285E">
        <w:rPr>
          <w:rFonts w:ascii="Palatino Linotype" w:hAnsi="Palatino Linotype" w:eastAsia="Arial"/>
          <w:spacing w:val="2"/>
          <w:sz w:val="24"/>
          <w:szCs w:val="24"/>
        </w:rPr>
        <w:t>e</w:t>
      </w:r>
      <w:r w:rsidRPr="004C285E">
        <w:rPr>
          <w:rFonts w:ascii="Palatino Linotype" w:hAnsi="Palatino Linotype" w:eastAsia="Arial"/>
          <w:sz w:val="24"/>
          <w:szCs w:val="24"/>
        </w:rPr>
        <w:t>nt</w:t>
      </w:r>
      <w:r w:rsidR="00956820">
        <w:rPr>
          <w:rFonts w:ascii="Palatino Linotype" w:hAnsi="Palatino Linotype" w:eastAsia="Arial"/>
          <w:sz w:val="24"/>
          <w:szCs w:val="24"/>
        </w:rPr>
        <w:t>s</w:t>
      </w:r>
      <w:r w:rsidRPr="004C285E">
        <w:rPr>
          <w:rFonts w:ascii="Palatino Linotype" w:hAnsi="Palatino Linotype" w:eastAsia="Arial"/>
          <w:spacing w:val="-16"/>
          <w:sz w:val="24"/>
          <w:szCs w:val="24"/>
        </w:rPr>
        <w:t xml:space="preserve"> </w:t>
      </w:r>
      <w:r w:rsidRPr="004C285E">
        <w:rPr>
          <w:rFonts w:ascii="Palatino Linotype" w:hAnsi="Palatino Linotype" w:eastAsia="Arial"/>
          <w:sz w:val="24"/>
          <w:szCs w:val="24"/>
        </w:rPr>
        <w:t>th</w:t>
      </w:r>
      <w:r w:rsidRPr="004C285E">
        <w:rPr>
          <w:rFonts w:ascii="Palatino Linotype" w:hAnsi="Palatino Linotype" w:eastAsia="Arial"/>
          <w:spacing w:val="2"/>
          <w:sz w:val="24"/>
          <w:szCs w:val="24"/>
        </w:rPr>
        <w:t>a</w:t>
      </w:r>
      <w:r w:rsidRPr="004C285E">
        <w:rPr>
          <w:rFonts w:ascii="Palatino Linotype" w:hAnsi="Palatino Linotype" w:eastAsia="Arial"/>
          <w:sz w:val="24"/>
          <w:szCs w:val="24"/>
        </w:rPr>
        <w:t>t</w:t>
      </w:r>
      <w:r w:rsidR="00D17800">
        <w:rPr>
          <w:rFonts w:ascii="Palatino Linotype" w:hAnsi="Palatino Linotype" w:eastAsia="Arial"/>
          <w:spacing w:val="-1"/>
          <w:sz w:val="24"/>
          <w:szCs w:val="24"/>
        </w:rPr>
        <w:t xml:space="preserve"> </w:t>
      </w:r>
      <w:r w:rsidRPr="004C285E">
        <w:rPr>
          <w:rFonts w:ascii="Palatino Linotype" w:hAnsi="Palatino Linotype" w:eastAsia="Arial"/>
          <w:sz w:val="24"/>
          <w:szCs w:val="24"/>
        </w:rPr>
        <w:t>d</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d</w:t>
      </w:r>
      <w:r w:rsidRPr="004C285E">
        <w:rPr>
          <w:rFonts w:ascii="Palatino Linotype" w:hAnsi="Palatino Linotype" w:eastAsia="Arial"/>
          <w:spacing w:val="-1"/>
          <w:sz w:val="24"/>
          <w:szCs w:val="24"/>
        </w:rPr>
        <w:t xml:space="preserve"> </w:t>
      </w:r>
      <w:r w:rsidRPr="004C285E">
        <w:rPr>
          <w:rFonts w:ascii="Palatino Linotype" w:hAnsi="Palatino Linotype" w:eastAsia="Arial"/>
          <w:sz w:val="24"/>
          <w:szCs w:val="24"/>
        </w:rPr>
        <w:t>not</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me</w:t>
      </w:r>
      <w:r w:rsidRPr="004C285E">
        <w:rPr>
          <w:rFonts w:ascii="Palatino Linotype" w:hAnsi="Palatino Linotype" w:eastAsia="Arial"/>
          <w:spacing w:val="1"/>
          <w:sz w:val="24"/>
          <w:szCs w:val="24"/>
        </w:rPr>
        <w:t>e</w:t>
      </w:r>
      <w:r w:rsidRPr="004C285E">
        <w:rPr>
          <w:rFonts w:ascii="Palatino Linotype" w:hAnsi="Palatino Linotype" w:eastAsia="Arial"/>
          <w:sz w:val="24"/>
          <w:szCs w:val="24"/>
        </w:rPr>
        <w:t>t the</w:t>
      </w:r>
      <w:r w:rsidRPr="004C285E">
        <w:rPr>
          <w:rFonts w:ascii="Palatino Linotype" w:hAnsi="Palatino Linotype" w:eastAsia="Arial"/>
          <w:spacing w:val="-4"/>
          <w:sz w:val="24"/>
          <w:szCs w:val="24"/>
        </w:rPr>
        <w:t xml:space="preserve"> </w:t>
      </w:r>
      <w:r w:rsidRPr="004C285E">
        <w:rPr>
          <w:rFonts w:ascii="Palatino Linotype" w:hAnsi="Palatino Linotype" w:eastAsia="Arial"/>
          <w:sz w:val="24"/>
          <w:szCs w:val="24"/>
        </w:rPr>
        <w:t>min</w:t>
      </w:r>
      <w:r w:rsidRPr="004C285E">
        <w:rPr>
          <w:rFonts w:ascii="Palatino Linotype" w:hAnsi="Palatino Linotype" w:eastAsia="Arial"/>
          <w:spacing w:val="2"/>
          <w:sz w:val="24"/>
          <w:szCs w:val="24"/>
        </w:rPr>
        <w:t>i</w:t>
      </w:r>
      <w:r w:rsidRPr="004C285E">
        <w:rPr>
          <w:rFonts w:ascii="Palatino Linotype" w:hAnsi="Palatino Linotype" w:eastAsia="Arial"/>
          <w:sz w:val="24"/>
          <w:szCs w:val="24"/>
        </w:rPr>
        <w:t>mum</w:t>
      </w:r>
      <w:r w:rsidRPr="004C285E">
        <w:rPr>
          <w:rFonts w:ascii="Palatino Linotype" w:hAnsi="Palatino Linotype" w:eastAsia="Arial"/>
          <w:spacing w:val="-11"/>
          <w:sz w:val="24"/>
          <w:szCs w:val="24"/>
        </w:rPr>
        <w:t xml:space="preserve"> </w:t>
      </w:r>
      <w:r w:rsidRPr="004C285E">
        <w:rPr>
          <w:rFonts w:ascii="Palatino Linotype" w:hAnsi="Palatino Linotype" w:eastAsia="Arial"/>
          <w:sz w:val="24"/>
          <w:szCs w:val="24"/>
        </w:rPr>
        <w:t>s</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anda</w:t>
      </w:r>
      <w:r w:rsidRPr="004C285E">
        <w:rPr>
          <w:rFonts w:ascii="Palatino Linotype" w:hAnsi="Palatino Linotype" w:eastAsia="Arial"/>
          <w:spacing w:val="2"/>
          <w:sz w:val="24"/>
          <w:szCs w:val="24"/>
        </w:rPr>
        <w:t>r</w:t>
      </w:r>
      <w:r w:rsidRPr="004C285E">
        <w:rPr>
          <w:rFonts w:ascii="Palatino Linotype" w:hAnsi="Palatino Linotype" w:eastAsia="Arial"/>
          <w:sz w:val="24"/>
          <w:szCs w:val="24"/>
        </w:rPr>
        <w:t>ds</w:t>
      </w:r>
      <w:r w:rsidR="00D17800">
        <w:rPr>
          <w:rFonts w:ascii="Palatino Linotype" w:hAnsi="Palatino Linotype" w:eastAsia="Arial"/>
          <w:sz w:val="24"/>
          <w:szCs w:val="24"/>
        </w:rPr>
        <w:t>, along with</w:t>
      </w:r>
      <w:r w:rsidRPr="004C285E">
        <w:rPr>
          <w:rFonts w:ascii="Palatino Linotype" w:hAnsi="Palatino Linotype" w:eastAsia="Arial"/>
          <w:spacing w:val="-11"/>
          <w:sz w:val="24"/>
          <w:szCs w:val="24"/>
        </w:rPr>
        <w:t xml:space="preserve"> </w:t>
      </w:r>
      <w:r w:rsidRPr="004C285E">
        <w:rPr>
          <w:rFonts w:ascii="Palatino Linotype" w:hAnsi="Palatino Linotype" w:eastAsia="Arial"/>
          <w:spacing w:val="2"/>
          <w:sz w:val="24"/>
          <w:szCs w:val="24"/>
        </w:rPr>
        <w:t>t</w:t>
      </w:r>
      <w:r w:rsidRPr="004C285E">
        <w:rPr>
          <w:rFonts w:ascii="Palatino Linotype" w:hAnsi="Palatino Linotype" w:eastAsia="Arial"/>
          <w:sz w:val="24"/>
          <w:szCs w:val="24"/>
        </w:rPr>
        <w:t>he</w:t>
      </w:r>
      <w:r w:rsidRPr="004C285E">
        <w:rPr>
          <w:rFonts w:ascii="Palatino Linotype" w:hAnsi="Palatino Linotype" w:eastAsia="Arial"/>
          <w:spacing w:val="-4"/>
          <w:sz w:val="24"/>
          <w:szCs w:val="24"/>
        </w:rPr>
        <w:t xml:space="preserve"> </w:t>
      </w:r>
      <w:r w:rsidR="00D17800">
        <w:rPr>
          <w:rFonts w:ascii="Palatino Linotype" w:hAnsi="Palatino Linotype" w:eastAsia="Arial"/>
          <w:spacing w:val="2"/>
          <w:sz w:val="24"/>
          <w:szCs w:val="24"/>
        </w:rPr>
        <w:t>correspond</w:t>
      </w:r>
      <w:r w:rsidR="00C40E9C">
        <w:rPr>
          <w:rFonts w:ascii="Palatino Linotype" w:hAnsi="Palatino Linotype" w:eastAsia="Arial"/>
          <w:spacing w:val="2"/>
          <w:sz w:val="24"/>
          <w:szCs w:val="24"/>
        </w:rPr>
        <w:t>ing</w:t>
      </w:r>
      <w:r w:rsidRPr="004C285E" w:rsidR="00D17800">
        <w:rPr>
          <w:rFonts w:ascii="Palatino Linotype" w:hAnsi="Palatino Linotype" w:eastAsia="Arial"/>
          <w:spacing w:val="-12"/>
          <w:sz w:val="24"/>
          <w:szCs w:val="24"/>
        </w:rPr>
        <w:t xml:space="preserve"> </w:t>
      </w:r>
      <w:r w:rsidRPr="004C285E">
        <w:rPr>
          <w:rFonts w:ascii="Palatino Linotype" w:hAnsi="Palatino Linotype" w:eastAsia="Arial"/>
          <w:sz w:val="24"/>
          <w:szCs w:val="24"/>
        </w:rPr>
        <w:t>fine</w:t>
      </w:r>
      <w:r w:rsidR="00C40E9C">
        <w:rPr>
          <w:rFonts w:ascii="Palatino Linotype" w:hAnsi="Palatino Linotype" w:eastAsia="Arial"/>
          <w:sz w:val="24"/>
          <w:szCs w:val="24"/>
        </w:rPr>
        <w:t>s</w:t>
      </w:r>
      <w:r w:rsidRPr="004C285E" w:rsidR="00B27918">
        <w:rPr>
          <w:rFonts w:ascii="Palatino Linotype" w:hAnsi="Palatino Linotype" w:eastAsia="Arial"/>
          <w:sz w:val="24"/>
          <w:szCs w:val="24"/>
        </w:rPr>
        <w:t>.</w:t>
      </w:r>
    </w:p>
    <w:p w:rsidR="00420151" w:rsidP="00FF07C8" w:rsidRDefault="00420151" w14:paraId="0225447E" w14:textId="77777777">
      <w:pPr>
        <w:spacing w:after="0" w:line="240" w:lineRule="auto"/>
        <w:rPr>
          <w:rFonts w:ascii="Palatino Linotype" w:hAnsi="Palatino Linotype"/>
          <w:sz w:val="24"/>
          <w:szCs w:val="24"/>
        </w:rPr>
      </w:pPr>
    </w:p>
    <w:p w:rsidRPr="001C08AB" w:rsidR="00420151" w:rsidRDefault="00420151" w14:paraId="6AC141AE" w14:textId="144A6FCB">
      <w:pPr>
        <w:numPr>
          <w:ilvl w:val="0"/>
          <w:numId w:val="1"/>
        </w:numPr>
        <w:spacing w:after="0" w:line="240" w:lineRule="auto"/>
        <w:ind w:left="0" w:firstLine="0"/>
        <w:rPr>
          <w:rFonts w:ascii="Palatino Linotype" w:hAnsi="Palatino Linotype"/>
          <w:sz w:val="24"/>
          <w:szCs w:val="24"/>
        </w:rPr>
      </w:pPr>
      <w:r w:rsidRPr="00DB260F">
        <w:rPr>
          <w:rFonts w:ascii="Palatino Linotype" w:hAnsi="Palatino Linotype"/>
          <w:sz w:val="24"/>
          <w:szCs w:val="24"/>
        </w:rPr>
        <w:t>Frontier Communications of the Southwest (Frontier SW), Consolidated Communications, and Happy Valley Telephone</w:t>
      </w:r>
      <w:r w:rsidRPr="00DB260F" w:rsidR="007F7CA8">
        <w:rPr>
          <w:rFonts w:ascii="Palatino Linotype" w:hAnsi="Palatino Linotype"/>
          <w:sz w:val="24"/>
          <w:szCs w:val="24"/>
        </w:rPr>
        <w:t xml:space="preserve"> filed </w:t>
      </w:r>
      <w:r w:rsidRPr="00DB260F" w:rsidR="008F4022">
        <w:rPr>
          <w:rFonts w:ascii="Palatino Linotype" w:hAnsi="Palatino Linotype"/>
          <w:sz w:val="24"/>
          <w:szCs w:val="24"/>
        </w:rPr>
        <w:t xml:space="preserve">their </w:t>
      </w:r>
      <w:r w:rsidRPr="00DB260F" w:rsidR="007F7CA8">
        <w:rPr>
          <w:rFonts w:ascii="Palatino Linotype" w:hAnsi="Palatino Linotype"/>
          <w:sz w:val="24"/>
          <w:szCs w:val="24"/>
        </w:rPr>
        <w:t>Advice Letters</w:t>
      </w:r>
      <w:r w:rsidRPr="00DB260F" w:rsidR="008F4022">
        <w:rPr>
          <w:rFonts w:ascii="Palatino Linotype" w:hAnsi="Palatino Linotype"/>
          <w:sz w:val="24"/>
          <w:szCs w:val="24"/>
        </w:rPr>
        <w:t xml:space="preserve">, </w:t>
      </w:r>
      <w:r w:rsidRPr="00DB260F" w:rsidR="00DB260F">
        <w:rPr>
          <w:rFonts w:ascii="Palatino Linotype" w:hAnsi="Palatino Linotype"/>
          <w:sz w:val="24"/>
          <w:szCs w:val="24"/>
        </w:rPr>
        <w:t xml:space="preserve">accompanied </w:t>
      </w:r>
      <w:r w:rsidRPr="001C08AB" w:rsidR="00DB260F">
        <w:rPr>
          <w:rFonts w:ascii="Palatino Linotype" w:hAnsi="Palatino Linotype"/>
          <w:sz w:val="24"/>
          <w:szCs w:val="24"/>
        </w:rPr>
        <w:t>by their proposed calculations for General Order (GO) 133-D fines, amounting to a total of $</w:t>
      </w:r>
      <w:r w:rsidRPr="001C08AB" w:rsidR="00DF4E54">
        <w:rPr>
          <w:rFonts w:ascii="Palatino Linotype" w:hAnsi="Palatino Linotype"/>
          <w:sz w:val="24"/>
          <w:szCs w:val="24"/>
        </w:rPr>
        <w:t>2,9</w:t>
      </w:r>
      <w:r w:rsidRPr="001C08AB" w:rsidR="001C08AB">
        <w:rPr>
          <w:rFonts w:ascii="Palatino Linotype" w:hAnsi="Palatino Linotype"/>
          <w:sz w:val="24"/>
          <w:szCs w:val="24"/>
        </w:rPr>
        <w:t>75</w:t>
      </w:r>
      <w:r w:rsidRPr="001C08AB" w:rsidR="00DB260F">
        <w:rPr>
          <w:rFonts w:ascii="Palatino Linotype" w:hAnsi="Palatino Linotype"/>
          <w:sz w:val="24"/>
          <w:szCs w:val="24"/>
        </w:rPr>
        <w:t>.</w:t>
      </w:r>
    </w:p>
    <w:p w:rsidRPr="00F67EB0" w:rsidR="00730145" w:rsidP="00F67EB0" w:rsidRDefault="00730145" w14:paraId="03447DAC" w14:textId="77777777">
      <w:pPr>
        <w:rPr>
          <w:rFonts w:ascii="Palatino Linotype" w:hAnsi="Palatino Linotype"/>
          <w:color w:val="FF0000"/>
          <w:sz w:val="24"/>
          <w:szCs w:val="24"/>
        </w:rPr>
      </w:pPr>
    </w:p>
    <w:p w:rsidRPr="009E5202" w:rsidR="00730145" w:rsidP="00730145" w:rsidRDefault="00730145" w14:paraId="7595E01C" w14:textId="72510D15">
      <w:pPr>
        <w:numPr>
          <w:ilvl w:val="0"/>
          <w:numId w:val="1"/>
        </w:numPr>
        <w:spacing w:after="0" w:line="240" w:lineRule="auto"/>
        <w:ind w:left="0" w:firstLine="0"/>
        <w:rPr>
          <w:rFonts w:ascii="Palatino Linotype" w:hAnsi="Palatino Linotype"/>
          <w:sz w:val="24"/>
          <w:szCs w:val="24"/>
        </w:rPr>
      </w:pPr>
      <w:r w:rsidRPr="009E5202">
        <w:rPr>
          <w:rFonts w:ascii="Palatino Linotype" w:hAnsi="Palatino Linotype"/>
          <w:sz w:val="24"/>
          <w:szCs w:val="24"/>
        </w:rPr>
        <w:lastRenderedPageBreak/>
        <w:t>Frontier Communications of the Southwest (U-10</w:t>
      </w:r>
      <w:r w:rsidRPr="009E5202" w:rsidR="00E140EE">
        <w:rPr>
          <w:rFonts w:ascii="Palatino Linotype" w:hAnsi="Palatino Linotype"/>
          <w:sz w:val="24"/>
          <w:szCs w:val="24"/>
        </w:rPr>
        <w:t>26</w:t>
      </w:r>
      <w:r w:rsidRPr="009E5202">
        <w:rPr>
          <w:rFonts w:ascii="Palatino Linotype" w:hAnsi="Palatino Linotype"/>
          <w:sz w:val="24"/>
          <w:szCs w:val="24"/>
        </w:rPr>
        <w:t xml:space="preserve">-C) filed Advice Letter </w:t>
      </w:r>
      <w:r w:rsidR="00253B91">
        <w:rPr>
          <w:rFonts w:ascii="Palatino Linotype" w:hAnsi="Palatino Linotype"/>
          <w:sz w:val="24"/>
          <w:szCs w:val="24"/>
        </w:rPr>
        <w:t>238</w:t>
      </w:r>
      <w:r w:rsidRPr="009E5202">
        <w:rPr>
          <w:rFonts w:ascii="Palatino Linotype" w:hAnsi="Palatino Linotype"/>
          <w:sz w:val="24"/>
          <w:szCs w:val="24"/>
        </w:rPr>
        <w:t xml:space="preserve"> on February 1</w:t>
      </w:r>
      <w:r w:rsidR="00427D63">
        <w:rPr>
          <w:rFonts w:ascii="Palatino Linotype" w:hAnsi="Palatino Linotype"/>
          <w:sz w:val="24"/>
          <w:szCs w:val="24"/>
        </w:rPr>
        <w:t>3</w:t>
      </w:r>
      <w:r w:rsidRPr="009E5202">
        <w:rPr>
          <w:rFonts w:ascii="Palatino Linotype" w:hAnsi="Palatino Linotype"/>
          <w:sz w:val="24"/>
          <w:szCs w:val="24"/>
        </w:rPr>
        <w:t xml:space="preserve">, </w:t>
      </w:r>
      <w:r w:rsidRPr="009E5202" w:rsidR="00E140EE">
        <w:rPr>
          <w:rFonts w:ascii="Palatino Linotype" w:hAnsi="Palatino Linotype"/>
          <w:sz w:val="24"/>
          <w:szCs w:val="24"/>
        </w:rPr>
        <w:t>202</w:t>
      </w:r>
      <w:r w:rsidR="00427D63">
        <w:rPr>
          <w:rFonts w:ascii="Palatino Linotype" w:hAnsi="Palatino Linotype"/>
          <w:sz w:val="24"/>
          <w:szCs w:val="24"/>
        </w:rPr>
        <w:t>6</w:t>
      </w:r>
      <w:r w:rsidRPr="009E5202" w:rsidR="00E140EE">
        <w:rPr>
          <w:rFonts w:ascii="Palatino Linotype" w:hAnsi="Palatino Linotype"/>
          <w:sz w:val="24"/>
          <w:szCs w:val="24"/>
        </w:rPr>
        <w:t>,</w:t>
      </w:r>
      <w:r w:rsidRPr="009E5202">
        <w:rPr>
          <w:rFonts w:ascii="Palatino Linotype" w:hAnsi="Palatino Linotype"/>
          <w:sz w:val="24"/>
          <w:szCs w:val="24"/>
        </w:rPr>
        <w:t xml:space="preserve"> with proposed fines </w:t>
      </w:r>
      <w:r w:rsidRPr="001C08AB">
        <w:rPr>
          <w:rFonts w:ascii="Palatino Linotype" w:hAnsi="Palatino Linotype"/>
          <w:sz w:val="24"/>
          <w:szCs w:val="24"/>
        </w:rPr>
        <w:t>totaling $</w:t>
      </w:r>
      <w:r w:rsidRPr="001C08AB" w:rsidR="009E5202">
        <w:rPr>
          <w:rFonts w:ascii="Palatino Linotype" w:hAnsi="Palatino Linotype"/>
          <w:sz w:val="24"/>
          <w:szCs w:val="24"/>
        </w:rPr>
        <w:t>1,</w:t>
      </w:r>
      <w:r w:rsidRPr="001C08AB" w:rsidR="00DF4E54">
        <w:rPr>
          <w:rFonts w:ascii="Palatino Linotype" w:hAnsi="Palatino Linotype"/>
          <w:sz w:val="24"/>
          <w:szCs w:val="24"/>
        </w:rPr>
        <w:t>350</w:t>
      </w:r>
      <w:r w:rsidRPr="001C08AB">
        <w:rPr>
          <w:rFonts w:ascii="Palatino Linotype" w:hAnsi="Palatino Linotype"/>
          <w:sz w:val="24"/>
          <w:szCs w:val="24"/>
        </w:rPr>
        <w:t xml:space="preserve"> for </w:t>
      </w:r>
      <w:r w:rsidRPr="001C08AB" w:rsidR="00243C55">
        <w:rPr>
          <w:rFonts w:ascii="Palatino Linotype" w:hAnsi="Palatino Linotype"/>
          <w:sz w:val="24"/>
          <w:szCs w:val="24"/>
        </w:rPr>
        <w:t xml:space="preserve">falling </w:t>
      </w:r>
      <w:r w:rsidRPr="001C08AB" w:rsidR="00BF0583">
        <w:rPr>
          <w:rFonts w:ascii="Palatino Linotype" w:hAnsi="Palatino Linotype"/>
          <w:sz w:val="24"/>
          <w:szCs w:val="24"/>
        </w:rPr>
        <w:t>to meet the</w:t>
      </w:r>
      <w:r w:rsidRPr="001C08AB" w:rsidR="00243C55">
        <w:rPr>
          <w:rFonts w:ascii="Palatino Linotype" w:hAnsi="Palatino Linotype"/>
          <w:sz w:val="24"/>
          <w:szCs w:val="24"/>
        </w:rPr>
        <w:t xml:space="preserve"> </w:t>
      </w:r>
      <w:r w:rsidRPr="001C08AB">
        <w:rPr>
          <w:rFonts w:ascii="Palatino Linotype" w:hAnsi="Palatino Linotype"/>
          <w:i/>
          <w:sz w:val="24"/>
          <w:szCs w:val="24"/>
        </w:rPr>
        <w:t xml:space="preserve">Out of Service Repair Interval </w:t>
      </w:r>
      <w:r w:rsidRPr="001C08AB">
        <w:rPr>
          <w:rFonts w:ascii="Palatino Linotype" w:hAnsi="Palatino Linotype"/>
          <w:sz w:val="24"/>
          <w:szCs w:val="24"/>
        </w:rPr>
        <w:t>minimum standards</w:t>
      </w:r>
      <w:r w:rsidRPr="001C08AB" w:rsidR="00243C55">
        <w:rPr>
          <w:rFonts w:ascii="Palatino Linotype" w:hAnsi="Palatino Linotype"/>
          <w:sz w:val="24"/>
          <w:szCs w:val="24"/>
        </w:rPr>
        <w:t xml:space="preserve"> in </w:t>
      </w:r>
      <w:r w:rsidRPr="001C08AB" w:rsidR="000F6D13">
        <w:rPr>
          <w:rFonts w:ascii="Palatino Linotype" w:hAnsi="Palatino Linotype"/>
          <w:sz w:val="24"/>
          <w:szCs w:val="24"/>
        </w:rPr>
        <w:t>2025</w:t>
      </w:r>
      <w:r w:rsidRPr="001C08AB">
        <w:rPr>
          <w:rFonts w:ascii="Palatino Linotype" w:hAnsi="Palatino Linotype"/>
          <w:sz w:val="24"/>
          <w:szCs w:val="24"/>
        </w:rPr>
        <w:t>.</w:t>
      </w:r>
      <w:r w:rsidRPr="009E5202">
        <w:rPr>
          <w:rFonts w:ascii="Palatino Linotype" w:hAnsi="Palatino Linotype"/>
          <w:sz w:val="24"/>
          <w:szCs w:val="24"/>
        </w:rPr>
        <w:t xml:space="preserve"> </w:t>
      </w:r>
    </w:p>
    <w:p w:rsidRPr="00A93E9E" w:rsidR="00AF0909" w:rsidP="00AF0909" w:rsidRDefault="00AF0909" w14:paraId="11C38DF5" w14:textId="77777777">
      <w:pPr>
        <w:pStyle w:val="ListParagraph"/>
        <w:rPr>
          <w:rFonts w:ascii="Palatino Linotype" w:hAnsi="Palatino Linotype"/>
          <w:color w:val="FF0000"/>
          <w:sz w:val="24"/>
          <w:szCs w:val="24"/>
        </w:rPr>
      </w:pPr>
    </w:p>
    <w:p w:rsidRPr="0011014E" w:rsidR="00730145" w:rsidP="0076345E" w:rsidRDefault="00AF0909" w14:paraId="1629BD42" w14:textId="0484BD09">
      <w:pPr>
        <w:numPr>
          <w:ilvl w:val="0"/>
          <w:numId w:val="1"/>
        </w:numPr>
        <w:spacing w:after="0" w:line="240" w:lineRule="auto"/>
        <w:ind w:left="0" w:firstLine="0"/>
        <w:rPr>
          <w:rFonts w:ascii="Palatino Linotype" w:hAnsi="Palatino Linotype"/>
          <w:sz w:val="24"/>
          <w:szCs w:val="24"/>
        </w:rPr>
      </w:pPr>
      <w:r w:rsidRPr="0011014E">
        <w:rPr>
          <w:rFonts w:ascii="Palatino Linotype" w:hAnsi="Palatino Linotype"/>
          <w:sz w:val="24"/>
          <w:szCs w:val="24"/>
        </w:rPr>
        <w:t xml:space="preserve">Consolidated Communications (U-1015-C) filed advice letter </w:t>
      </w:r>
      <w:r w:rsidR="00845974">
        <w:rPr>
          <w:rFonts w:ascii="Palatino Linotype" w:hAnsi="Palatino Linotype"/>
          <w:sz w:val="24"/>
          <w:szCs w:val="24"/>
        </w:rPr>
        <w:t>2105</w:t>
      </w:r>
      <w:r w:rsidRPr="0011014E">
        <w:rPr>
          <w:rFonts w:ascii="Palatino Linotype" w:hAnsi="Palatino Linotype"/>
          <w:sz w:val="24"/>
          <w:szCs w:val="24"/>
        </w:rPr>
        <w:t xml:space="preserve"> on March </w:t>
      </w:r>
      <w:r w:rsidR="00581485">
        <w:rPr>
          <w:rFonts w:ascii="Palatino Linotype" w:hAnsi="Palatino Linotype"/>
          <w:sz w:val="24"/>
          <w:szCs w:val="24"/>
        </w:rPr>
        <w:t>11</w:t>
      </w:r>
      <w:r w:rsidRPr="0011014E">
        <w:rPr>
          <w:rFonts w:ascii="Palatino Linotype" w:hAnsi="Palatino Linotype"/>
          <w:sz w:val="24"/>
          <w:szCs w:val="24"/>
        </w:rPr>
        <w:t xml:space="preserve">, </w:t>
      </w:r>
      <w:r w:rsidRPr="0011014E" w:rsidR="00E140EE">
        <w:rPr>
          <w:rFonts w:ascii="Palatino Linotype" w:hAnsi="Palatino Linotype"/>
          <w:sz w:val="24"/>
          <w:szCs w:val="24"/>
        </w:rPr>
        <w:t>202</w:t>
      </w:r>
      <w:r w:rsidR="00581485">
        <w:rPr>
          <w:rFonts w:ascii="Palatino Linotype" w:hAnsi="Palatino Linotype"/>
          <w:sz w:val="24"/>
          <w:szCs w:val="24"/>
        </w:rPr>
        <w:t>6</w:t>
      </w:r>
      <w:r w:rsidRPr="0011014E" w:rsidR="00E140EE">
        <w:rPr>
          <w:rFonts w:ascii="Palatino Linotype" w:hAnsi="Palatino Linotype"/>
          <w:sz w:val="24"/>
          <w:szCs w:val="24"/>
        </w:rPr>
        <w:t>,</w:t>
      </w:r>
      <w:r w:rsidRPr="0011014E">
        <w:rPr>
          <w:rFonts w:ascii="Palatino Linotype" w:hAnsi="Palatino Linotype"/>
          <w:sz w:val="24"/>
          <w:szCs w:val="24"/>
        </w:rPr>
        <w:t xml:space="preserve"> with proposed fines totaling</w:t>
      </w:r>
      <w:r w:rsidRPr="0011014E" w:rsidR="00E140EE">
        <w:rPr>
          <w:rFonts w:ascii="Palatino Linotype" w:hAnsi="Palatino Linotype"/>
          <w:sz w:val="24"/>
          <w:szCs w:val="24"/>
        </w:rPr>
        <w:t xml:space="preserve"> $</w:t>
      </w:r>
      <w:r w:rsidRPr="0011014E" w:rsidR="0011014E">
        <w:rPr>
          <w:rFonts w:ascii="Palatino Linotype" w:hAnsi="Palatino Linotype"/>
          <w:sz w:val="24"/>
          <w:szCs w:val="24"/>
        </w:rPr>
        <w:t>500</w:t>
      </w:r>
      <w:r w:rsidRPr="0011014E" w:rsidR="00E140EE">
        <w:rPr>
          <w:rFonts w:ascii="Palatino Linotype" w:hAnsi="Palatino Linotype"/>
          <w:sz w:val="24"/>
          <w:szCs w:val="24"/>
        </w:rPr>
        <w:t xml:space="preserve"> for </w:t>
      </w:r>
      <w:r w:rsidR="00BF0583">
        <w:rPr>
          <w:rFonts w:ascii="Palatino Linotype" w:hAnsi="Palatino Linotype"/>
          <w:sz w:val="24"/>
          <w:szCs w:val="24"/>
        </w:rPr>
        <w:t xml:space="preserve">failing to </w:t>
      </w:r>
      <w:r w:rsidRPr="0011014E" w:rsidR="00E140EE">
        <w:rPr>
          <w:rFonts w:ascii="Palatino Linotype" w:hAnsi="Palatino Linotype"/>
          <w:sz w:val="24"/>
          <w:szCs w:val="24"/>
        </w:rPr>
        <w:t xml:space="preserve">meet the </w:t>
      </w:r>
      <w:r w:rsidRPr="0011014E" w:rsidR="00E140EE">
        <w:rPr>
          <w:rFonts w:ascii="Palatino Linotype" w:hAnsi="Palatino Linotype"/>
          <w:i/>
          <w:iCs/>
          <w:sz w:val="24"/>
          <w:szCs w:val="24"/>
        </w:rPr>
        <w:t>Answer Time</w:t>
      </w:r>
      <w:r w:rsidRPr="0011014E" w:rsidR="00E140EE">
        <w:rPr>
          <w:rFonts w:ascii="Palatino Linotype" w:hAnsi="Palatino Linotype"/>
          <w:sz w:val="24"/>
          <w:szCs w:val="24"/>
        </w:rPr>
        <w:t xml:space="preserve"> minimum standards in </w:t>
      </w:r>
      <w:r w:rsidR="000F6D13">
        <w:rPr>
          <w:rFonts w:ascii="Palatino Linotype" w:hAnsi="Palatino Linotype"/>
          <w:sz w:val="24"/>
          <w:szCs w:val="24"/>
        </w:rPr>
        <w:t>2025</w:t>
      </w:r>
      <w:r w:rsidRPr="0011014E" w:rsidR="00E140EE">
        <w:rPr>
          <w:rFonts w:ascii="Palatino Linotype" w:hAnsi="Palatino Linotype"/>
          <w:sz w:val="24"/>
          <w:szCs w:val="24"/>
        </w:rPr>
        <w:t xml:space="preserve">. </w:t>
      </w:r>
    </w:p>
    <w:p w:rsidRPr="0011014E" w:rsidR="00355476" w:rsidP="00755E15" w:rsidRDefault="00355476" w14:paraId="5A4E4ADE" w14:textId="77777777">
      <w:pPr>
        <w:spacing w:after="0" w:line="240" w:lineRule="auto"/>
        <w:rPr>
          <w:rFonts w:ascii="Palatino Linotype" w:hAnsi="Palatino Linotype"/>
          <w:sz w:val="24"/>
          <w:szCs w:val="24"/>
        </w:rPr>
      </w:pPr>
    </w:p>
    <w:p w:rsidRPr="0011014E" w:rsidR="000E57B3" w:rsidP="00355476" w:rsidRDefault="00D04F84" w14:paraId="089B01D7" w14:textId="23713237">
      <w:pPr>
        <w:numPr>
          <w:ilvl w:val="0"/>
          <w:numId w:val="1"/>
        </w:numPr>
        <w:spacing w:after="0" w:line="240" w:lineRule="auto"/>
        <w:ind w:left="0" w:firstLine="0"/>
        <w:rPr>
          <w:rFonts w:ascii="Palatino Linotype" w:hAnsi="Palatino Linotype"/>
          <w:sz w:val="24"/>
          <w:szCs w:val="24"/>
        </w:rPr>
      </w:pPr>
      <w:r w:rsidRPr="0011014E">
        <w:rPr>
          <w:rFonts w:ascii="Palatino Linotype" w:hAnsi="Palatino Linotype"/>
          <w:sz w:val="24"/>
          <w:szCs w:val="24"/>
        </w:rPr>
        <w:t>Happy Valley Telephone (U-1010-C) filed</w:t>
      </w:r>
      <w:r w:rsidRPr="0011014E" w:rsidR="00AF0909">
        <w:rPr>
          <w:rFonts w:ascii="Palatino Linotype" w:hAnsi="Palatino Linotype"/>
          <w:sz w:val="24"/>
          <w:szCs w:val="24"/>
        </w:rPr>
        <w:t xml:space="preserve"> </w:t>
      </w:r>
      <w:r w:rsidRPr="0011014E">
        <w:rPr>
          <w:rFonts w:ascii="Palatino Linotype" w:hAnsi="Palatino Linotype"/>
          <w:sz w:val="24"/>
          <w:szCs w:val="24"/>
        </w:rPr>
        <w:t xml:space="preserve">advice letter </w:t>
      </w:r>
      <w:r w:rsidR="00DD0374">
        <w:rPr>
          <w:rFonts w:ascii="Palatino Linotype" w:hAnsi="Palatino Linotype"/>
          <w:sz w:val="24"/>
          <w:szCs w:val="24"/>
        </w:rPr>
        <w:t>417</w:t>
      </w:r>
      <w:r w:rsidRPr="0011014E" w:rsidR="00243C55">
        <w:rPr>
          <w:rFonts w:ascii="Palatino Linotype" w:hAnsi="Palatino Linotype"/>
          <w:sz w:val="24"/>
          <w:szCs w:val="24"/>
        </w:rPr>
        <w:t xml:space="preserve"> on </w:t>
      </w:r>
      <w:r w:rsidRPr="0011014E" w:rsidR="00E140EE">
        <w:rPr>
          <w:rFonts w:ascii="Palatino Linotype" w:hAnsi="Palatino Linotype"/>
          <w:sz w:val="24"/>
          <w:szCs w:val="24"/>
        </w:rPr>
        <w:t xml:space="preserve">February </w:t>
      </w:r>
      <w:r w:rsidR="00581485">
        <w:rPr>
          <w:rFonts w:ascii="Palatino Linotype" w:hAnsi="Palatino Linotype"/>
          <w:sz w:val="24"/>
          <w:szCs w:val="24"/>
        </w:rPr>
        <w:t>12</w:t>
      </w:r>
      <w:r w:rsidRPr="0011014E" w:rsidR="00243C55">
        <w:rPr>
          <w:rFonts w:ascii="Palatino Linotype" w:hAnsi="Palatino Linotype"/>
          <w:sz w:val="24"/>
          <w:szCs w:val="24"/>
        </w:rPr>
        <w:t xml:space="preserve">, </w:t>
      </w:r>
      <w:r w:rsidRPr="0011014E" w:rsidR="00E140EE">
        <w:rPr>
          <w:rFonts w:ascii="Palatino Linotype" w:hAnsi="Palatino Linotype"/>
          <w:sz w:val="24"/>
          <w:szCs w:val="24"/>
        </w:rPr>
        <w:t>202</w:t>
      </w:r>
      <w:r w:rsidR="00581485">
        <w:rPr>
          <w:rFonts w:ascii="Palatino Linotype" w:hAnsi="Palatino Linotype"/>
          <w:sz w:val="24"/>
          <w:szCs w:val="24"/>
        </w:rPr>
        <w:t>6</w:t>
      </w:r>
      <w:r w:rsidRPr="0011014E" w:rsidR="00E140EE">
        <w:rPr>
          <w:rFonts w:ascii="Palatino Linotype" w:hAnsi="Palatino Linotype"/>
          <w:sz w:val="24"/>
          <w:szCs w:val="24"/>
        </w:rPr>
        <w:t>,</w:t>
      </w:r>
      <w:r w:rsidRPr="0011014E" w:rsidR="00243C55">
        <w:rPr>
          <w:rFonts w:ascii="Palatino Linotype" w:hAnsi="Palatino Linotype"/>
          <w:sz w:val="24"/>
          <w:szCs w:val="24"/>
        </w:rPr>
        <w:t xml:space="preserve"> </w:t>
      </w:r>
      <w:r w:rsidRPr="0011014E">
        <w:rPr>
          <w:rFonts w:ascii="Palatino Linotype" w:hAnsi="Palatino Linotype"/>
          <w:sz w:val="24"/>
          <w:szCs w:val="24"/>
        </w:rPr>
        <w:t xml:space="preserve">with proposed fines </w:t>
      </w:r>
      <w:r w:rsidRPr="0011014E" w:rsidR="00243C55">
        <w:rPr>
          <w:rFonts w:ascii="Palatino Linotype" w:hAnsi="Palatino Linotype"/>
          <w:sz w:val="24"/>
          <w:szCs w:val="24"/>
        </w:rPr>
        <w:t>totaling $</w:t>
      </w:r>
      <w:r w:rsidR="005278BF">
        <w:rPr>
          <w:rFonts w:ascii="Palatino Linotype" w:hAnsi="Palatino Linotype"/>
          <w:sz w:val="24"/>
          <w:szCs w:val="24"/>
        </w:rPr>
        <w:t>1,125</w:t>
      </w:r>
      <w:r w:rsidRPr="0011014E" w:rsidR="00243C55">
        <w:rPr>
          <w:rFonts w:ascii="Palatino Linotype" w:hAnsi="Palatino Linotype"/>
          <w:sz w:val="24"/>
          <w:szCs w:val="24"/>
        </w:rPr>
        <w:t xml:space="preserve"> </w:t>
      </w:r>
      <w:r w:rsidRPr="0011014E">
        <w:rPr>
          <w:rFonts w:ascii="Palatino Linotype" w:hAnsi="Palatino Linotype"/>
          <w:sz w:val="24"/>
          <w:szCs w:val="24"/>
        </w:rPr>
        <w:t xml:space="preserve">for </w:t>
      </w:r>
      <w:r w:rsidRPr="009E5202" w:rsidR="00BF0583">
        <w:rPr>
          <w:rFonts w:ascii="Palatino Linotype" w:hAnsi="Palatino Linotype"/>
          <w:sz w:val="24"/>
          <w:szCs w:val="24"/>
        </w:rPr>
        <w:t xml:space="preserve">falling </w:t>
      </w:r>
      <w:r w:rsidR="00BF0583">
        <w:rPr>
          <w:rFonts w:ascii="Palatino Linotype" w:hAnsi="Palatino Linotype"/>
          <w:sz w:val="24"/>
          <w:szCs w:val="24"/>
        </w:rPr>
        <w:t>to meet</w:t>
      </w:r>
      <w:r w:rsidRPr="0011014E" w:rsidR="0011014E">
        <w:rPr>
          <w:rFonts w:ascii="Palatino Linotype" w:hAnsi="Palatino Linotype"/>
          <w:sz w:val="24"/>
          <w:szCs w:val="24"/>
        </w:rPr>
        <w:t xml:space="preserve"> the </w:t>
      </w:r>
      <w:r w:rsidR="005278BF">
        <w:rPr>
          <w:rFonts w:ascii="Palatino Linotype" w:hAnsi="Palatino Linotype"/>
          <w:i/>
          <w:sz w:val="24"/>
          <w:szCs w:val="24"/>
        </w:rPr>
        <w:t>Out of Service Repair</w:t>
      </w:r>
      <w:r w:rsidRPr="0011014E" w:rsidR="009760D2">
        <w:rPr>
          <w:rFonts w:ascii="Palatino Linotype" w:hAnsi="Palatino Linotype"/>
          <w:i/>
          <w:sz w:val="24"/>
          <w:szCs w:val="24"/>
        </w:rPr>
        <w:t xml:space="preserve"> Interval</w:t>
      </w:r>
      <w:r w:rsidRPr="0011014E" w:rsidR="00243C55">
        <w:rPr>
          <w:rFonts w:ascii="Palatino Linotype" w:hAnsi="Palatino Linotype"/>
          <w:i/>
          <w:sz w:val="24"/>
          <w:szCs w:val="24"/>
        </w:rPr>
        <w:t xml:space="preserve"> </w:t>
      </w:r>
      <w:r w:rsidRPr="0011014E" w:rsidR="00243C55">
        <w:rPr>
          <w:rFonts w:ascii="Palatino Linotype" w:hAnsi="Palatino Linotype"/>
          <w:iCs/>
          <w:sz w:val="24"/>
          <w:szCs w:val="24"/>
        </w:rPr>
        <w:t>minimum</w:t>
      </w:r>
      <w:r w:rsidRPr="0011014E" w:rsidR="00DB6D9A">
        <w:rPr>
          <w:rFonts w:ascii="Palatino Linotype" w:hAnsi="Palatino Linotype"/>
          <w:sz w:val="24"/>
          <w:szCs w:val="24"/>
        </w:rPr>
        <w:t xml:space="preserve"> </w:t>
      </w:r>
      <w:r w:rsidRPr="0011014E" w:rsidR="00B27918">
        <w:rPr>
          <w:rFonts w:ascii="Palatino Linotype" w:hAnsi="Palatino Linotype"/>
          <w:sz w:val="24"/>
          <w:szCs w:val="24"/>
        </w:rPr>
        <w:t>standard</w:t>
      </w:r>
      <w:r w:rsidRPr="0011014E" w:rsidR="00DB6D9A">
        <w:rPr>
          <w:rFonts w:ascii="Palatino Linotype" w:hAnsi="Palatino Linotype"/>
          <w:sz w:val="24"/>
          <w:szCs w:val="24"/>
        </w:rPr>
        <w:t>s</w:t>
      </w:r>
      <w:r w:rsidRPr="0011014E" w:rsidR="00243C55">
        <w:rPr>
          <w:rFonts w:ascii="Palatino Linotype" w:hAnsi="Palatino Linotype"/>
          <w:sz w:val="24"/>
          <w:szCs w:val="24"/>
        </w:rPr>
        <w:t xml:space="preserve"> in </w:t>
      </w:r>
      <w:r w:rsidR="000F6D13">
        <w:rPr>
          <w:rFonts w:ascii="Palatino Linotype" w:hAnsi="Palatino Linotype"/>
          <w:sz w:val="24"/>
          <w:szCs w:val="24"/>
        </w:rPr>
        <w:t>2025</w:t>
      </w:r>
      <w:r w:rsidRPr="0011014E" w:rsidR="00B27918">
        <w:rPr>
          <w:rFonts w:ascii="Palatino Linotype" w:hAnsi="Palatino Linotype"/>
          <w:sz w:val="24"/>
          <w:szCs w:val="24"/>
        </w:rPr>
        <w:t xml:space="preserve">. </w:t>
      </w:r>
    </w:p>
    <w:p w:rsidRPr="00A93E9E" w:rsidR="00C773C0" w:rsidP="00C773C0" w:rsidRDefault="00C773C0" w14:paraId="3DA24AC1" w14:textId="77777777">
      <w:pPr>
        <w:pStyle w:val="ListParagraph"/>
        <w:rPr>
          <w:rFonts w:ascii="Palatino Linotype" w:hAnsi="Palatino Linotype"/>
          <w:color w:val="FF0000"/>
          <w:sz w:val="24"/>
          <w:szCs w:val="24"/>
        </w:rPr>
      </w:pPr>
    </w:p>
    <w:p w:rsidRPr="00243C55" w:rsidR="0094400D" w:rsidP="00C773C0" w:rsidRDefault="0094400D" w14:paraId="161AAA0E" w14:textId="77777777">
      <w:pPr>
        <w:numPr>
          <w:ilvl w:val="0"/>
          <w:numId w:val="1"/>
        </w:numPr>
        <w:spacing w:after="0" w:line="240" w:lineRule="auto"/>
        <w:ind w:left="0" w:firstLine="0"/>
        <w:rPr>
          <w:rFonts w:ascii="Palatino Linotype" w:hAnsi="Palatino Linotype"/>
          <w:sz w:val="24"/>
          <w:szCs w:val="24"/>
        </w:rPr>
      </w:pPr>
      <w:r w:rsidRPr="00243C55">
        <w:rPr>
          <w:rFonts w:ascii="Palatino Linotype" w:hAnsi="Palatino Linotype"/>
          <w:sz w:val="24"/>
          <w:szCs w:val="24"/>
        </w:rPr>
        <w:t>Staff reviewed the carriers’ advice letters and accepted their respective proposed fine calculations</w:t>
      </w:r>
      <w:r w:rsidR="00A075A6">
        <w:rPr>
          <w:rFonts w:ascii="Palatino Linotype" w:hAnsi="Palatino Linotype"/>
          <w:sz w:val="24"/>
          <w:szCs w:val="24"/>
        </w:rPr>
        <w:t xml:space="preserve">, which </w:t>
      </w:r>
      <w:r w:rsidR="005700B2">
        <w:rPr>
          <w:rFonts w:ascii="Palatino Linotype" w:hAnsi="Palatino Linotype"/>
          <w:sz w:val="24"/>
          <w:szCs w:val="24"/>
        </w:rPr>
        <w:t>were</w:t>
      </w:r>
      <w:r w:rsidRPr="00243C55">
        <w:rPr>
          <w:rFonts w:ascii="Palatino Linotype" w:hAnsi="Palatino Linotype"/>
          <w:sz w:val="24"/>
          <w:szCs w:val="24"/>
        </w:rPr>
        <w:t xml:space="preserve"> based on the methodology </w:t>
      </w:r>
      <w:r w:rsidR="008F32B0">
        <w:rPr>
          <w:rFonts w:ascii="Palatino Linotype" w:hAnsi="Palatino Linotype"/>
          <w:sz w:val="24"/>
          <w:szCs w:val="24"/>
        </w:rPr>
        <w:t>specified</w:t>
      </w:r>
      <w:r w:rsidRPr="00243C55">
        <w:rPr>
          <w:rFonts w:ascii="Palatino Linotype" w:hAnsi="Palatino Linotype"/>
          <w:sz w:val="24"/>
          <w:szCs w:val="24"/>
        </w:rPr>
        <w:t xml:space="preserve"> in General Order 133-D, Section 9.</w:t>
      </w:r>
    </w:p>
    <w:p w:rsidRPr="00243C55" w:rsidR="0094400D" w:rsidP="0094400D" w:rsidRDefault="0094400D" w14:paraId="17FA89B2" w14:textId="77777777">
      <w:pPr>
        <w:pStyle w:val="ListParagraph"/>
        <w:rPr>
          <w:rFonts w:ascii="Palatino Linotype" w:hAnsi="Palatino Linotype"/>
          <w:sz w:val="24"/>
          <w:szCs w:val="24"/>
        </w:rPr>
      </w:pPr>
    </w:p>
    <w:p w:rsidR="005C7F24" w:rsidRDefault="0094400D" w14:paraId="01812465" w14:textId="77777777">
      <w:pPr>
        <w:numPr>
          <w:ilvl w:val="0"/>
          <w:numId w:val="1"/>
        </w:numPr>
        <w:spacing w:after="0" w:line="240" w:lineRule="auto"/>
        <w:ind w:left="0" w:firstLine="0"/>
        <w:rPr>
          <w:rFonts w:ascii="Palatino Linotype" w:hAnsi="Palatino Linotype"/>
          <w:sz w:val="24"/>
          <w:szCs w:val="24"/>
        </w:rPr>
      </w:pPr>
      <w:r w:rsidRPr="004D73A8">
        <w:rPr>
          <w:rFonts w:ascii="Palatino Linotype" w:hAnsi="Palatino Linotype"/>
          <w:sz w:val="24"/>
          <w:szCs w:val="24"/>
        </w:rPr>
        <w:t xml:space="preserve">The carriers </w:t>
      </w:r>
      <w:r w:rsidR="003F523C">
        <w:rPr>
          <w:rFonts w:ascii="Palatino Linotype" w:hAnsi="Palatino Linotype"/>
          <w:sz w:val="24"/>
          <w:szCs w:val="24"/>
        </w:rPr>
        <w:t>must</w:t>
      </w:r>
      <w:r w:rsidRPr="004D73A8">
        <w:rPr>
          <w:rFonts w:ascii="Palatino Linotype" w:hAnsi="Palatino Linotype"/>
          <w:sz w:val="24"/>
          <w:szCs w:val="24"/>
        </w:rPr>
        <w:t xml:space="preserve"> remit fines to the Commission within 30 days of this Resolution’s adoption date. </w:t>
      </w:r>
    </w:p>
    <w:p w:rsidR="005C7F24" w:rsidP="00FF07C8" w:rsidRDefault="005C7F24" w14:paraId="525DE90B" w14:textId="77777777">
      <w:pPr>
        <w:spacing w:after="0" w:line="240" w:lineRule="auto"/>
        <w:rPr>
          <w:rFonts w:ascii="Palatino Linotype" w:hAnsi="Palatino Linotype"/>
          <w:sz w:val="24"/>
          <w:szCs w:val="24"/>
        </w:rPr>
      </w:pPr>
    </w:p>
    <w:p w:rsidRPr="00776095" w:rsidR="004D73A8" w:rsidRDefault="005C7F24" w14:paraId="77C2273B" w14:textId="77777777">
      <w:pPr>
        <w:numPr>
          <w:ilvl w:val="0"/>
          <w:numId w:val="1"/>
        </w:numPr>
        <w:spacing w:after="0" w:line="240" w:lineRule="auto"/>
        <w:ind w:left="0" w:firstLine="0"/>
        <w:rPr>
          <w:rFonts w:ascii="Palatino Linotype" w:hAnsi="Palatino Linotype"/>
          <w:sz w:val="24"/>
          <w:szCs w:val="24"/>
        </w:rPr>
      </w:pPr>
      <w:r w:rsidRPr="00776095">
        <w:rPr>
          <w:rFonts w:ascii="Palatino Linotype" w:hAnsi="Palatino Linotype"/>
          <w:sz w:val="24"/>
          <w:szCs w:val="24"/>
        </w:rPr>
        <w:t>F</w:t>
      </w:r>
      <w:r w:rsidRPr="00776095" w:rsidR="0094400D">
        <w:rPr>
          <w:rFonts w:ascii="Palatino Linotype" w:hAnsi="Palatino Linotype"/>
          <w:sz w:val="24"/>
          <w:szCs w:val="24"/>
        </w:rPr>
        <w:t>ine payment</w:t>
      </w:r>
      <w:r w:rsidRPr="00776095" w:rsidR="00EB478A">
        <w:rPr>
          <w:rFonts w:ascii="Palatino Linotype" w:hAnsi="Palatino Linotype"/>
          <w:sz w:val="24"/>
          <w:szCs w:val="24"/>
        </w:rPr>
        <w:t>s should be deposited</w:t>
      </w:r>
      <w:r w:rsidRPr="00776095" w:rsidR="0094400D">
        <w:rPr>
          <w:rFonts w:ascii="Palatino Linotype" w:hAnsi="Palatino Linotype"/>
          <w:sz w:val="24"/>
          <w:szCs w:val="24"/>
        </w:rPr>
        <w:t xml:space="preserve"> into the California General Fund. </w:t>
      </w:r>
    </w:p>
    <w:p w:rsidRPr="004D73A8" w:rsidR="004D73A8" w:rsidP="004D73A8" w:rsidRDefault="004D73A8" w14:paraId="6E67FEBD" w14:textId="77777777">
      <w:pPr>
        <w:spacing w:after="0" w:line="240" w:lineRule="auto"/>
        <w:rPr>
          <w:rFonts w:ascii="Palatino Linotype" w:hAnsi="Palatino Linotype"/>
          <w:sz w:val="24"/>
          <w:szCs w:val="24"/>
        </w:rPr>
      </w:pPr>
    </w:p>
    <w:p w:rsidRPr="00A24128" w:rsidR="00146A9A" w:rsidP="00A24128" w:rsidRDefault="00DF786D" w14:paraId="0FC3537D" w14:textId="33C1A28E">
      <w:pPr>
        <w:tabs>
          <w:tab w:val="right" w:pos="10080"/>
        </w:tabs>
        <w:rPr>
          <w:rFonts w:ascii="Palatino Linotype" w:hAnsi="Palatino Linotype"/>
          <w:sz w:val="24"/>
          <w:szCs w:val="24"/>
        </w:rPr>
      </w:pPr>
      <w:r>
        <w:rPr>
          <w:rFonts w:ascii="Palatino Linotype" w:hAnsi="Palatino Linotype"/>
          <w:sz w:val="24"/>
          <w:szCs w:val="24"/>
        </w:rPr>
        <w:t xml:space="preserve">10. </w:t>
      </w:r>
      <w:r w:rsidRPr="00DF786D" w:rsidR="0094400D">
        <w:rPr>
          <w:rFonts w:ascii="Palatino Linotype" w:hAnsi="Palatino Linotype"/>
          <w:sz w:val="24"/>
          <w:szCs w:val="24"/>
        </w:rPr>
        <w:t>On</w:t>
      </w:r>
      <w:r w:rsidR="004B32FC">
        <w:rPr>
          <w:rFonts w:ascii="Palatino Linotype" w:hAnsi="Palatino Linotype"/>
          <w:sz w:val="24"/>
          <w:szCs w:val="24"/>
        </w:rPr>
        <w:t xml:space="preserve"> </w:t>
      </w:r>
      <w:r w:rsidR="00FF18DE">
        <w:rPr>
          <w:rFonts w:ascii="Palatino Linotype" w:hAnsi="Palatino Linotype"/>
          <w:sz w:val="24"/>
          <w:szCs w:val="24"/>
        </w:rPr>
        <w:t>May</w:t>
      </w:r>
      <w:r>
        <w:rPr>
          <w:rFonts w:ascii="Palatino Linotype" w:hAnsi="Palatino Linotype"/>
          <w:sz w:val="24"/>
          <w:szCs w:val="24"/>
        </w:rPr>
        <w:t xml:space="preserve"> </w:t>
      </w:r>
      <w:r w:rsidR="00FF18DE">
        <w:rPr>
          <w:rFonts w:ascii="Palatino Linotype" w:hAnsi="Palatino Linotype"/>
          <w:sz w:val="24"/>
          <w:szCs w:val="24"/>
        </w:rPr>
        <w:t>8</w:t>
      </w:r>
      <w:r>
        <w:rPr>
          <w:rFonts w:ascii="Palatino Linotype" w:hAnsi="Palatino Linotype"/>
          <w:sz w:val="24"/>
          <w:szCs w:val="24"/>
        </w:rPr>
        <w:t xml:space="preserve">, </w:t>
      </w:r>
      <w:r w:rsidRPr="00DF786D" w:rsidR="0094400D">
        <w:rPr>
          <w:rFonts w:ascii="Palatino Linotype" w:hAnsi="Palatino Linotype"/>
          <w:sz w:val="24"/>
          <w:szCs w:val="24"/>
        </w:rPr>
        <w:t>202</w:t>
      </w:r>
      <w:r w:rsidR="00FF18DE">
        <w:rPr>
          <w:rFonts w:ascii="Palatino Linotype" w:hAnsi="Palatino Linotype"/>
          <w:sz w:val="24"/>
          <w:szCs w:val="24"/>
        </w:rPr>
        <w:t>6</w:t>
      </w:r>
      <w:r w:rsidRPr="00DF786D" w:rsidR="0094400D">
        <w:rPr>
          <w:rFonts w:ascii="Palatino Linotype" w:hAnsi="Palatino Linotype"/>
          <w:sz w:val="24"/>
          <w:szCs w:val="24"/>
        </w:rPr>
        <w:t xml:space="preserve">, the Commission emailed a draft of this Resolution to all parties in the general service list for public comments. </w:t>
      </w:r>
      <w:r w:rsidRPr="00755E15" w:rsidR="00A24128">
        <w:rPr>
          <w:rFonts w:ascii="Palatino Linotype" w:hAnsi="Palatino Linotype"/>
          <w:sz w:val="24"/>
          <w:szCs w:val="24"/>
        </w:rPr>
        <w:t>The Commission received</w:t>
      </w:r>
      <w:r w:rsidR="00A24128">
        <w:rPr>
          <w:rFonts w:ascii="Palatino Linotype" w:hAnsi="Palatino Linotype"/>
          <w:sz w:val="24"/>
          <w:szCs w:val="24"/>
        </w:rPr>
        <w:t xml:space="preserve"> no </w:t>
      </w:r>
      <w:r w:rsidRPr="00755E15" w:rsidR="00A24128">
        <w:rPr>
          <w:rFonts w:ascii="Palatino Linotype" w:hAnsi="Palatino Linotype"/>
          <w:sz w:val="24"/>
          <w:szCs w:val="24"/>
        </w:rPr>
        <w:t>public comments on this Resolution.</w:t>
      </w:r>
    </w:p>
    <w:p w:rsidRPr="00DF786D" w:rsidR="00DF786D" w:rsidP="00DF786D" w:rsidRDefault="00DF786D" w14:paraId="231505AE" w14:textId="77777777">
      <w:pPr>
        <w:spacing w:after="0" w:line="240" w:lineRule="auto"/>
        <w:rPr>
          <w:rFonts w:ascii="Palatino Linotype" w:hAnsi="Palatino Linotype"/>
          <w:color w:val="FF0000"/>
          <w:sz w:val="24"/>
          <w:szCs w:val="24"/>
        </w:rPr>
      </w:pPr>
    </w:p>
    <w:p w:rsidRPr="00755E15" w:rsidR="003B1DBD" w:rsidP="00755E15" w:rsidRDefault="003B1DBD" w14:paraId="7887AA57" w14:textId="77777777">
      <w:pPr>
        <w:pStyle w:val="Heading1"/>
        <w:spacing w:before="120" w:after="120"/>
        <w:ind w:left="-288"/>
        <w:rPr>
          <w:rFonts w:ascii="Palatino Linotype" w:hAnsi="Palatino Linotype"/>
          <w:b/>
          <w:bCs/>
          <w:sz w:val="24"/>
          <w:szCs w:val="24"/>
        </w:rPr>
      </w:pPr>
      <w:r w:rsidRPr="00755E15">
        <w:rPr>
          <w:rFonts w:ascii="Palatino Linotype" w:hAnsi="Palatino Linotype"/>
          <w:b/>
          <w:bCs/>
          <w:sz w:val="24"/>
          <w:szCs w:val="24"/>
        </w:rPr>
        <w:t>THER</w:t>
      </w:r>
      <w:r w:rsidRPr="00755E15" w:rsidR="00CA3ABB">
        <w:rPr>
          <w:rFonts w:ascii="Palatino Linotype" w:hAnsi="Palatino Linotype"/>
          <w:b/>
          <w:bCs/>
          <w:sz w:val="24"/>
          <w:szCs w:val="24"/>
        </w:rPr>
        <w:t>E</w:t>
      </w:r>
      <w:r w:rsidRPr="00755E15">
        <w:rPr>
          <w:rFonts w:ascii="Palatino Linotype" w:hAnsi="Palatino Linotype"/>
          <w:b/>
          <w:bCs/>
          <w:sz w:val="24"/>
          <w:szCs w:val="24"/>
        </w:rPr>
        <w:t>FORE, IT IS ORDERED that:</w:t>
      </w:r>
    </w:p>
    <w:p w:rsidRPr="00ED35FD" w:rsidR="00606E77" w:rsidP="00372A7C" w:rsidRDefault="00BC467A" w14:paraId="079ECC69" w14:textId="76534C40">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w:t>
      </w:r>
      <w:r w:rsidRPr="00ED35FD" w:rsidR="00F206DE">
        <w:rPr>
          <w:rFonts w:ascii="Palatino Linotype" w:hAnsi="Palatino Linotype"/>
          <w:sz w:val="24"/>
          <w:szCs w:val="24"/>
        </w:rPr>
        <w:t>A</w:t>
      </w:r>
      <w:r w:rsidRPr="00ED35FD" w:rsidR="00080114">
        <w:rPr>
          <w:rFonts w:ascii="Palatino Linotype" w:hAnsi="Palatino Linotype"/>
          <w:sz w:val="24"/>
          <w:szCs w:val="24"/>
        </w:rPr>
        <w:t xml:space="preserve">dvice </w:t>
      </w:r>
      <w:r w:rsidRPr="00ED35FD" w:rsidR="00F206DE">
        <w:rPr>
          <w:rFonts w:ascii="Palatino Linotype" w:hAnsi="Palatino Linotype"/>
          <w:sz w:val="24"/>
          <w:szCs w:val="24"/>
        </w:rPr>
        <w:t>L</w:t>
      </w:r>
      <w:r w:rsidRPr="00ED35FD" w:rsidR="00080114">
        <w:rPr>
          <w:rFonts w:ascii="Palatino Linotype" w:hAnsi="Palatino Linotype"/>
          <w:sz w:val="24"/>
          <w:szCs w:val="24"/>
        </w:rPr>
        <w:t xml:space="preserve">etters </w:t>
      </w:r>
      <w:r w:rsidRPr="00ED35FD" w:rsidR="00704765">
        <w:rPr>
          <w:rFonts w:ascii="Palatino Linotype" w:hAnsi="Palatino Linotype"/>
          <w:sz w:val="24"/>
          <w:szCs w:val="24"/>
        </w:rPr>
        <w:t xml:space="preserve">filed </w:t>
      </w:r>
      <w:r w:rsidRPr="00ED35FD" w:rsidR="00680F68">
        <w:rPr>
          <w:rFonts w:ascii="Palatino Linotype" w:hAnsi="Palatino Linotype"/>
          <w:sz w:val="24"/>
          <w:szCs w:val="24"/>
        </w:rPr>
        <w:t>by</w:t>
      </w:r>
      <w:r w:rsidRPr="00ED35FD" w:rsidR="00080114">
        <w:rPr>
          <w:rFonts w:ascii="Palatino Linotype" w:hAnsi="Palatino Linotype"/>
          <w:sz w:val="24"/>
          <w:szCs w:val="24"/>
        </w:rPr>
        <w:t xml:space="preserve"> </w:t>
      </w:r>
      <w:r w:rsidRPr="00ED35FD" w:rsidR="00306079">
        <w:rPr>
          <w:rFonts w:ascii="Palatino Linotype" w:hAnsi="Palatino Linotype"/>
          <w:sz w:val="24"/>
          <w:szCs w:val="24"/>
        </w:rPr>
        <w:t xml:space="preserve">Frontier Communications of the Southwest (U-1026 -C), Consolidated Communications (U-1015-C), </w:t>
      </w:r>
      <w:r w:rsidRPr="00ED35FD" w:rsidR="001921D5">
        <w:rPr>
          <w:rFonts w:ascii="Palatino Linotype" w:hAnsi="Palatino Linotype"/>
          <w:sz w:val="24"/>
          <w:szCs w:val="24"/>
        </w:rPr>
        <w:t xml:space="preserve">and </w:t>
      </w:r>
      <w:r w:rsidRPr="00ED35FD" w:rsidR="00C545D1">
        <w:rPr>
          <w:rFonts w:ascii="Palatino Linotype" w:hAnsi="Palatino Linotype"/>
          <w:sz w:val="24"/>
          <w:szCs w:val="24"/>
        </w:rPr>
        <w:t>Happy Valley</w:t>
      </w:r>
      <w:r w:rsidRPr="00ED35FD" w:rsidR="005A2618">
        <w:rPr>
          <w:rFonts w:ascii="Palatino Linotype" w:hAnsi="Palatino Linotype"/>
          <w:sz w:val="24"/>
          <w:szCs w:val="24"/>
        </w:rPr>
        <w:t xml:space="preserve"> Telephone</w:t>
      </w:r>
      <w:r w:rsidRPr="00ED35FD" w:rsidR="00C773C0">
        <w:rPr>
          <w:rFonts w:ascii="Palatino Linotype" w:hAnsi="Palatino Linotype"/>
          <w:sz w:val="24"/>
          <w:szCs w:val="24"/>
        </w:rPr>
        <w:t xml:space="preserve"> </w:t>
      </w:r>
      <w:r w:rsidRPr="00ED35FD" w:rsidR="00DB2D0F">
        <w:rPr>
          <w:rFonts w:ascii="Palatino Linotype" w:hAnsi="Palatino Linotype"/>
          <w:sz w:val="24"/>
          <w:szCs w:val="24"/>
        </w:rPr>
        <w:t xml:space="preserve">with </w:t>
      </w:r>
      <w:r w:rsidRPr="00ED35FD" w:rsidR="006A4D84">
        <w:rPr>
          <w:rFonts w:ascii="Palatino Linotype" w:hAnsi="Palatino Linotype"/>
          <w:sz w:val="24"/>
          <w:szCs w:val="24"/>
        </w:rPr>
        <w:t xml:space="preserve">a </w:t>
      </w:r>
      <w:r w:rsidRPr="00ED35FD" w:rsidR="00F04AEE">
        <w:rPr>
          <w:rFonts w:ascii="Palatino Linotype" w:hAnsi="Palatino Linotype"/>
          <w:sz w:val="24"/>
          <w:szCs w:val="24"/>
        </w:rPr>
        <w:t>total fine</w:t>
      </w:r>
      <w:r w:rsidRPr="00ED35FD" w:rsidR="006A4D84">
        <w:rPr>
          <w:rFonts w:ascii="Palatino Linotype" w:hAnsi="Palatino Linotype"/>
          <w:sz w:val="24"/>
          <w:szCs w:val="24"/>
        </w:rPr>
        <w:t xml:space="preserve"> </w:t>
      </w:r>
      <w:r w:rsidRPr="002637E1" w:rsidR="006A4D84">
        <w:rPr>
          <w:rFonts w:ascii="Palatino Linotype" w:hAnsi="Palatino Linotype"/>
          <w:sz w:val="24"/>
          <w:szCs w:val="24"/>
        </w:rPr>
        <w:t>of $</w:t>
      </w:r>
      <w:r w:rsidRPr="002637E1" w:rsidR="002637E1">
        <w:rPr>
          <w:rFonts w:ascii="Palatino Linotype" w:hAnsi="Palatino Linotype"/>
          <w:sz w:val="24"/>
          <w:szCs w:val="24"/>
        </w:rPr>
        <w:t>2</w:t>
      </w:r>
      <w:r w:rsidR="002637E1">
        <w:rPr>
          <w:rFonts w:ascii="Palatino Linotype" w:hAnsi="Palatino Linotype"/>
          <w:sz w:val="24"/>
          <w:szCs w:val="24"/>
        </w:rPr>
        <w:t>,975</w:t>
      </w:r>
      <w:r w:rsidRPr="00ED35FD" w:rsidR="006A4D84">
        <w:rPr>
          <w:rFonts w:ascii="Palatino Linotype" w:hAnsi="Palatino Linotype"/>
          <w:sz w:val="24"/>
          <w:szCs w:val="24"/>
        </w:rPr>
        <w:t xml:space="preserve"> are approved. </w:t>
      </w:r>
      <w:r w:rsidRPr="00ED35FD" w:rsidR="005D0EAD">
        <w:rPr>
          <w:rFonts w:ascii="Palatino Linotype" w:hAnsi="Palatino Linotype"/>
          <w:sz w:val="24"/>
          <w:szCs w:val="24"/>
        </w:rPr>
        <w:t>These fines are a consequence of substandard</w:t>
      </w:r>
      <w:r w:rsidRPr="00ED35FD" w:rsidR="00080114">
        <w:rPr>
          <w:rFonts w:ascii="Palatino Linotype" w:hAnsi="Palatino Linotype"/>
          <w:sz w:val="24"/>
          <w:szCs w:val="24"/>
        </w:rPr>
        <w:t xml:space="preserve"> service quality </w:t>
      </w:r>
      <w:r w:rsidRPr="00ED35FD" w:rsidR="005D0EAD">
        <w:rPr>
          <w:rFonts w:ascii="Palatino Linotype" w:hAnsi="Palatino Linotype"/>
          <w:sz w:val="24"/>
          <w:szCs w:val="24"/>
        </w:rPr>
        <w:t xml:space="preserve">performance in the year </w:t>
      </w:r>
      <w:r w:rsidR="000F6D13">
        <w:rPr>
          <w:rFonts w:ascii="Palatino Linotype" w:hAnsi="Palatino Linotype"/>
          <w:sz w:val="24"/>
          <w:szCs w:val="24"/>
        </w:rPr>
        <w:t>2025</w:t>
      </w:r>
      <w:r w:rsidRPr="00ED35FD" w:rsidR="005D0EAD">
        <w:rPr>
          <w:rFonts w:ascii="Palatino Linotype" w:hAnsi="Palatino Linotype"/>
          <w:sz w:val="24"/>
          <w:szCs w:val="24"/>
        </w:rPr>
        <w:t>, in accordance with the California Public Utilities Commission’s (CPUC)</w:t>
      </w:r>
      <w:r w:rsidRPr="00ED35FD" w:rsidR="00080114">
        <w:rPr>
          <w:rFonts w:ascii="Palatino Linotype" w:hAnsi="Palatino Linotype"/>
          <w:sz w:val="24"/>
          <w:szCs w:val="24"/>
        </w:rPr>
        <w:t xml:space="preserve"> General Order 133-D</w:t>
      </w:r>
      <w:r w:rsidRPr="00ED35FD" w:rsidR="005A2618">
        <w:rPr>
          <w:rFonts w:ascii="Palatino Linotype" w:hAnsi="Palatino Linotype"/>
          <w:sz w:val="24"/>
          <w:szCs w:val="24"/>
        </w:rPr>
        <w:t xml:space="preserve"> for </w:t>
      </w:r>
      <w:r w:rsidRPr="00ED35FD" w:rsidR="00A80508">
        <w:rPr>
          <w:rFonts w:ascii="Palatino Linotype" w:hAnsi="Palatino Linotype"/>
          <w:sz w:val="24"/>
          <w:szCs w:val="24"/>
        </w:rPr>
        <w:t xml:space="preserve">the </w:t>
      </w:r>
      <w:r w:rsidRPr="00ED35FD" w:rsidR="000A365F">
        <w:rPr>
          <w:rFonts w:ascii="Palatino Linotype" w:hAnsi="Palatino Linotype"/>
          <w:sz w:val="24"/>
          <w:szCs w:val="24"/>
        </w:rPr>
        <w:t xml:space="preserve">Year </w:t>
      </w:r>
      <w:r w:rsidR="000F6D13">
        <w:rPr>
          <w:rFonts w:ascii="Palatino Linotype" w:hAnsi="Palatino Linotype"/>
          <w:sz w:val="24"/>
          <w:szCs w:val="24"/>
        </w:rPr>
        <w:t>2025</w:t>
      </w:r>
      <w:r w:rsidRPr="00ED35FD" w:rsidR="002A6369">
        <w:rPr>
          <w:rFonts w:ascii="Palatino Linotype" w:hAnsi="Palatino Linotype"/>
          <w:sz w:val="24"/>
          <w:szCs w:val="24"/>
        </w:rPr>
        <w:t xml:space="preserve">.  </w:t>
      </w:r>
    </w:p>
    <w:p w:rsidRPr="001921D5" w:rsidR="000A365F" w:rsidP="00755E15" w:rsidRDefault="002A6369" w14:paraId="721494E9" w14:textId="25469E8B">
      <w:pPr>
        <w:numPr>
          <w:ilvl w:val="0"/>
          <w:numId w:val="7"/>
        </w:numPr>
        <w:spacing w:before="120" w:after="120"/>
        <w:ind w:left="72"/>
        <w:rPr>
          <w:rFonts w:ascii="Palatino Linotype" w:hAnsi="Palatino Linotype"/>
          <w:sz w:val="24"/>
          <w:szCs w:val="24"/>
        </w:rPr>
      </w:pPr>
      <w:r w:rsidRPr="001921D5">
        <w:rPr>
          <w:rFonts w:ascii="Palatino Linotype" w:hAnsi="Palatino Linotype"/>
          <w:sz w:val="24"/>
          <w:szCs w:val="24"/>
        </w:rPr>
        <w:t xml:space="preserve">The carriers </w:t>
      </w:r>
      <w:r w:rsidR="00704765">
        <w:rPr>
          <w:rFonts w:ascii="Palatino Linotype" w:hAnsi="Palatino Linotype"/>
          <w:sz w:val="24"/>
          <w:szCs w:val="24"/>
        </w:rPr>
        <w:t xml:space="preserve">mentioned in this Resolution </w:t>
      </w:r>
      <w:r w:rsidRPr="001921D5">
        <w:rPr>
          <w:rFonts w:ascii="Palatino Linotype" w:hAnsi="Palatino Linotype"/>
          <w:sz w:val="24"/>
          <w:szCs w:val="24"/>
        </w:rPr>
        <w:t xml:space="preserve">are required to pay </w:t>
      </w:r>
      <w:r w:rsidR="00A44685">
        <w:rPr>
          <w:rFonts w:ascii="Palatino Linotype" w:hAnsi="Palatino Linotype"/>
          <w:sz w:val="24"/>
          <w:szCs w:val="24"/>
        </w:rPr>
        <w:t xml:space="preserve">a total </w:t>
      </w:r>
      <w:r w:rsidRPr="001921D5">
        <w:rPr>
          <w:rFonts w:ascii="Palatino Linotype" w:hAnsi="Palatino Linotype"/>
          <w:sz w:val="24"/>
          <w:szCs w:val="24"/>
        </w:rPr>
        <w:t>fine</w:t>
      </w:r>
      <w:r w:rsidR="00A44685">
        <w:rPr>
          <w:rFonts w:ascii="Palatino Linotype" w:hAnsi="Palatino Linotype"/>
          <w:sz w:val="24"/>
          <w:szCs w:val="24"/>
        </w:rPr>
        <w:t xml:space="preserve"> of </w:t>
      </w:r>
      <w:r w:rsidRPr="002637E1" w:rsidR="002637E1">
        <w:rPr>
          <w:rFonts w:ascii="Palatino Linotype" w:hAnsi="Palatino Linotype"/>
          <w:sz w:val="24"/>
          <w:szCs w:val="24"/>
        </w:rPr>
        <w:t>$2</w:t>
      </w:r>
      <w:r w:rsidR="002637E1">
        <w:rPr>
          <w:rFonts w:ascii="Palatino Linotype" w:hAnsi="Palatino Linotype"/>
          <w:sz w:val="24"/>
          <w:szCs w:val="24"/>
        </w:rPr>
        <w:t xml:space="preserve">,975 </w:t>
      </w:r>
      <w:r w:rsidRPr="001921D5">
        <w:rPr>
          <w:rFonts w:ascii="Palatino Linotype" w:hAnsi="Palatino Linotype"/>
          <w:sz w:val="24"/>
          <w:szCs w:val="24"/>
        </w:rPr>
        <w:t>as set forth in this Resolution</w:t>
      </w:r>
      <w:r w:rsidR="00E53160">
        <w:rPr>
          <w:rFonts w:ascii="Palatino Linotype" w:hAnsi="Palatino Linotype"/>
          <w:sz w:val="24"/>
          <w:szCs w:val="24"/>
        </w:rPr>
        <w:t xml:space="preserve"> and depicted in Table 8</w:t>
      </w:r>
      <w:r w:rsidRPr="001921D5">
        <w:rPr>
          <w:rFonts w:ascii="Palatino Linotype" w:hAnsi="Palatino Linotype"/>
          <w:sz w:val="24"/>
          <w:szCs w:val="24"/>
        </w:rPr>
        <w:t xml:space="preserve">. </w:t>
      </w:r>
    </w:p>
    <w:p w:rsidR="00B57B05" w:rsidP="00FF07C8" w:rsidRDefault="00B57B05" w14:paraId="6C900B47" w14:textId="77777777">
      <w:pPr>
        <w:spacing w:before="120" w:after="120"/>
        <w:ind w:left="72"/>
        <w:jc w:val="center"/>
        <w:rPr>
          <w:rFonts w:ascii="Palatino Linotype" w:hAnsi="Palatino Linotype"/>
          <w:b/>
          <w:bCs/>
          <w:sz w:val="24"/>
          <w:szCs w:val="24"/>
        </w:rPr>
      </w:pPr>
    </w:p>
    <w:p w:rsidRPr="001A1050" w:rsidR="007E39EF" w:rsidP="00FF07C8" w:rsidRDefault="00E53160" w14:paraId="1AA19466" w14:textId="7D742A84">
      <w:pPr>
        <w:spacing w:before="120" w:after="120"/>
        <w:ind w:left="72"/>
        <w:jc w:val="center"/>
        <w:rPr>
          <w:rFonts w:ascii="Palatino Linotype" w:hAnsi="Palatino Linotype"/>
          <w:b/>
          <w:bCs/>
          <w:sz w:val="24"/>
          <w:szCs w:val="24"/>
        </w:rPr>
      </w:pPr>
      <w:r w:rsidRPr="001A1050">
        <w:rPr>
          <w:rFonts w:ascii="Palatino Linotype" w:hAnsi="Palatino Linotype"/>
          <w:b/>
          <w:bCs/>
          <w:sz w:val="24"/>
          <w:szCs w:val="24"/>
        </w:rPr>
        <w:lastRenderedPageBreak/>
        <w:t xml:space="preserve">Table 8: </w:t>
      </w:r>
      <w:r w:rsidR="000F6D13">
        <w:rPr>
          <w:rFonts w:ascii="Palatino Linotype" w:hAnsi="Palatino Linotype"/>
          <w:b/>
          <w:bCs/>
          <w:sz w:val="24"/>
          <w:szCs w:val="24"/>
        </w:rPr>
        <w:t>2025</w:t>
      </w:r>
      <w:r w:rsidRPr="001A1050" w:rsidR="006741CA">
        <w:rPr>
          <w:rFonts w:ascii="Palatino Linotype" w:hAnsi="Palatino Linotype"/>
          <w:b/>
          <w:bCs/>
          <w:sz w:val="24"/>
          <w:szCs w:val="24"/>
        </w:rPr>
        <w:t xml:space="preserve"> GO 133-D Fines by Carrier</w:t>
      </w:r>
    </w:p>
    <w:tbl>
      <w:tblPr>
        <w:tblW w:w="9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5"/>
        <w:gridCol w:w="2633"/>
        <w:gridCol w:w="1656"/>
        <w:gridCol w:w="1594"/>
        <w:gridCol w:w="1876"/>
      </w:tblGrid>
      <w:tr>
        <w:trPr>
          <w:trHeight w:val="396"/>
          <w:jc w:val="center"/>
        </w:trPr>
        <w:tc>
          <w:tcPr>
            <w:tcW w:w="1435" w:type="dxa"/>
            <w:shd w:val="clear" w:color="auto" w:fill="F2F2F2" w:themeFill="background1" w:themeFillShade="F2"/>
            <w:vAlign w:val="center"/>
          </w:tcPr>
          <w:p w:rsidRPr="009F5533" w:rsidR="007E39EF" w:rsidRDefault="007E39EF" w14:paraId="43C6DA4E"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Advice Letter No.</w:t>
            </w:r>
          </w:p>
        </w:tc>
        <w:tc>
          <w:tcPr>
            <w:tcW w:w="2633" w:type="dxa"/>
            <w:shd w:val="clear" w:color="auto" w:fill="F2F2F2" w:themeFill="background1" w:themeFillShade="F2"/>
            <w:vAlign w:val="center"/>
          </w:tcPr>
          <w:p w:rsidRPr="009F5533" w:rsidR="007E39EF" w:rsidRDefault="007E39EF" w14:paraId="3EB1C697"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Filed By</w:t>
            </w:r>
          </w:p>
        </w:tc>
        <w:tc>
          <w:tcPr>
            <w:tcW w:w="1656" w:type="dxa"/>
            <w:shd w:val="clear" w:color="auto" w:fill="F2F2F2" w:themeFill="background1" w:themeFillShade="F2"/>
            <w:vAlign w:val="center"/>
          </w:tcPr>
          <w:p w:rsidRPr="009F5533" w:rsidR="007E39EF" w:rsidRDefault="007E39EF" w14:paraId="451C6A0B"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Utility No.</w:t>
            </w:r>
          </w:p>
        </w:tc>
        <w:tc>
          <w:tcPr>
            <w:tcW w:w="1594" w:type="dxa"/>
            <w:shd w:val="clear" w:color="auto" w:fill="F2F2F2" w:themeFill="background1" w:themeFillShade="F2"/>
            <w:vAlign w:val="center"/>
          </w:tcPr>
          <w:p w:rsidRPr="009F5533" w:rsidR="007E39EF" w:rsidRDefault="007E39EF" w14:paraId="6E1D0401"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Date Filed</w:t>
            </w:r>
          </w:p>
        </w:tc>
        <w:tc>
          <w:tcPr>
            <w:tcW w:w="1876" w:type="dxa"/>
            <w:shd w:val="clear" w:color="auto" w:fill="F2F2F2" w:themeFill="background1" w:themeFillShade="F2"/>
            <w:vAlign w:val="center"/>
          </w:tcPr>
          <w:p w:rsidRPr="009F5533" w:rsidR="007E39EF" w:rsidRDefault="007E39EF" w14:paraId="6A2F9CA9" w14:textId="77777777">
            <w:pPr>
              <w:tabs>
                <w:tab w:val="left" w:pos="240"/>
                <w:tab w:val="left" w:pos="720"/>
                <w:tab w:val="right" w:pos="10080"/>
              </w:tabs>
              <w:spacing w:after="0" w:line="240" w:lineRule="auto"/>
              <w:jc w:val="both"/>
              <w:rPr>
                <w:rFonts w:ascii="Palatino Linotype" w:hAnsi="Palatino Linotype"/>
                <w:b/>
                <w:sz w:val="24"/>
                <w:szCs w:val="24"/>
              </w:rPr>
            </w:pPr>
            <w:r w:rsidRPr="009F5533">
              <w:rPr>
                <w:rFonts w:ascii="Palatino Linotype" w:hAnsi="Palatino Linotype"/>
                <w:b/>
                <w:sz w:val="24"/>
                <w:szCs w:val="24"/>
              </w:rPr>
              <w:t>Proposed Fine</w:t>
            </w:r>
          </w:p>
        </w:tc>
      </w:tr>
      <w:tr>
        <w:trPr>
          <w:trHeight w:val="386"/>
          <w:jc w:val="center"/>
        </w:trPr>
        <w:tc>
          <w:tcPr>
            <w:tcW w:w="1435" w:type="dxa"/>
            <w:vAlign w:val="center"/>
          </w:tcPr>
          <w:p w:rsidRPr="009F5533" w:rsidR="007E39EF" w:rsidRDefault="00253B91" w14:paraId="09EE77CD" w14:textId="10311C6C">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238</w:t>
            </w:r>
          </w:p>
        </w:tc>
        <w:tc>
          <w:tcPr>
            <w:tcW w:w="2633" w:type="dxa"/>
            <w:vAlign w:val="center"/>
          </w:tcPr>
          <w:p w:rsidRPr="009F5533" w:rsidR="007E39EF" w:rsidRDefault="007E39EF" w14:paraId="1C76A946"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Frontier Southwest</w:t>
            </w:r>
          </w:p>
        </w:tc>
        <w:tc>
          <w:tcPr>
            <w:tcW w:w="1656" w:type="dxa"/>
            <w:vAlign w:val="center"/>
          </w:tcPr>
          <w:p w:rsidRPr="009F5533" w:rsidR="007E39EF" w:rsidRDefault="007E39EF" w14:paraId="0F48A5F2"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U-1026-C</w:t>
            </w:r>
          </w:p>
        </w:tc>
        <w:tc>
          <w:tcPr>
            <w:tcW w:w="1594" w:type="dxa"/>
          </w:tcPr>
          <w:p w:rsidRPr="009F5533" w:rsidR="007E39EF" w:rsidRDefault="007E39EF" w14:paraId="7112DB46" w14:textId="2FB93211">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2/1</w:t>
            </w:r>
            <w:r w:rsidR="006C6A8F">
              <w:rPr>
                <w:rFonts w:ascii="Palatino Linotype" w:hAnsi="Palatino Linotype"/>
                <w:sz w:val="24"/>
                <w:szCs w:val="24"/>
              </w:rPr>
              <w:t>3</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7B730CA1" w14:textId="14D40AA3">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 xml:space="preserve"> $</w:t>
            </w:r>
            <w:r w:rsidR="003813E2">
              <w:rPr>
                <w:rFonts w:ascii="Palatino Linotype" w:hAnsi="Palatino Linotype"/>
                <w:sz w:val="24"/>
                <w:szCs w:val="24"/>
              </w:rPr>
              <w:t>1,350</w:t>
            </w:r>
          </w:p>
        </w:tc>
      </w:tr>
      <w:tr>
        <w:trPr>
          <w:trHeight w:val="386"/>
          <w:jc w:val="center"/>
        </w:trPr>
        <w:tc>
          <w:tcPr>
            <w:tcW w:w="1435" w:type="dxa"/>
            <w:vAlign w:val="center"/>
          </w:tcPr>
          <w:p w:rsidRPr="009F5533" w:rsidR="007E39EF" w:rsidRDefault="00845974" w14:paraId="4A5DF204" w14:textId="251F0A9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2105</w:t>
            </w:r>
          </w:p>
        </w:tc>
        <w:tc>
          <w:tcPr>
            <w:tcW w:w="2633" w:type="dxa"/>
            <w:vAlign w:val="center"/>
          </w:tcPr>
          <w:p w:rsidRPr="009F5533" w:rsidR="007E39EF" w:rsidRDefault="007E39EF" w14:paraId="111A5487" w14:textId="7777777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Consolidated</w:t>
            </w:r>
          </w:p>
        </w:tc>
        <w:tc>
          <w:tcPr>
            <w:tcW w:w="1656" w:type="dxa"/>
            <w:vAlign w:val="center"/>
          </w:tcPr>
          <w:p w:rsidRPr="009F5533" w:rsidR="007E39EF" w:rsidRDefault="007E39EF" w14:paraId="3A29870D" w14:textId="77777777">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U-1015-C</w:t>
            </w:r>
          </w:p>
        </w:tc>
        <w:tc>
          <w:tcPr>
            <w:tcW w:w="1594" w:type="dxa"/>
          </w:tcPr>
          <w:p w:rsidRPr="009F5533" w:rsidR="007E39EF" w:rsidRDefault="007E39EF" w14:paraId="662EC68D" w14:textId="3A1A95A2">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3/</w:t>
            </w:r>
            <w:r w:rsidR="006C6A8F">
              <w:rPr>
                <w:rFonts w:ascii="Palatino Linotype" w:hAnsi="Palatino Linotype"/>
                <w:sz w:val="24"/>
                <w:szCs w:val="24"/>
              </w:rPr>
              <w:t>11</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2B83FE58" w14:textId="6889A335">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w:t>
            </w:r>
            <w:r w:rsidR="00715588">
              <w:rPr>
                <w:rFonts w:ascii="Palatino Linotype" w:hAnsi="Palatino Linotype"/>
                <w:sz w:val="24"/>
                <w:szCs w:val="24"/>
              </w:rPr>
              <w:t>500</w:t>
            </w:r>
          </w:p>
        </w:tc>
      </w:tr>
      <w:tr>
        <w:trPr>
          <w:trHeight w:val="386"/>
          <w:jc w:val="center"/>
        </w:trPr>
        <w:tc>
          <w:tcPr>
            <w:tcW w:w="1435" w:type="dxa"/>
            <w:vAlign w:val="center"/>
          </w:tcPr>
          <w:p w:rsidRPr="009F5533" w:rsidR="007E39EF" w:rsidRDefault="00DD0374" w14:paraId="6C84D362" w14:textId="726CED1D">
            <w:pPr>
              <w:tabs>
                <w:tab w:val="left" w:pos="240"/>
                <w:tab w:val="left" w:pos="720"/>
                <w:tab w:val="right" w:pos="10080"/>
              </w:tabs>
              <w:spacing w:after="0" w:line="240" w:lineRule="auto"/>
              <w:jc w:val="both"/>
              <w:rPr>
                <w:rFonts w:ascii="Palatino Linotype" w:hAnsi="Palatino Linotype"/>
                <w:sz w:val="24"/>
                <w:szCs w:val="24"/>
              </w:rPr>
            </w:pPr>
            <w:r>
              <w:rPr>
                <w:rFonts w:ascii="Palatino Linotype" w:hAnsi="Palatino Linotype"/>
                <w:sz w:val="24"/>
                <w:szCs w:val="24"/>
              </w:rPr>
              <w:t>417</w:t>
            </w:r>
          </w:p>
        </w:tc>
        <w:tc>
          <w:tcPr>
            <w:tcW w:w="2633" w:type="dxa"/>
            <w:vAlign w:val="center"/>
          </w:tcPr>
          <w:p w:rsidRPr="009F5533" w:rsidR="007E39EF" w:rsidRDefault="007E39EF" w14:paraId="3EAE4280"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Happy Valley</w:t>
            </w:r>
          </w:p>
        </w:tc>
        <w:tc>
          <w:tcPr>
            <w:tcW w:w="1656" w:type="dxa"/>
            <w:vAlign w:val="center"/>
          </w:tcPr>
          <w:p w:rsidRPr="009F5533" w:rsidR="007E39EF" w:rsidRDefault="007E39EF" w14:paraId="3E3A08A2" w14:textId="77777777">
            <w:pPr>
              <w:tabs>
                <w:tab w:val="left" w:pos="240"/>
                <w:tab w:val="left" w:pos="720"/>
                <w:tab w:val="right" w:pos="10080"/>
              </w:tabs>
              <w:spacing w:after="0" w:line="240" w:lineRule="auto"/>
              <w:jc w:val="both"/>
              <w:rPr>
                <w:rFonts w:ascii="Palatino Linotype" w:hAnsi="Palatino Linotype"/>
                <w:sz w:val="24"/>
                <w:szCs w:val="24"/>
              </w:rPr>
            </w:pPr>
            <w:r w:rsidRPr="009F5533">
              <w:rPr>
                <w:rFonts w:ascii="Palatino Linotype" w:hAnsi="Palatino Linotype"/>
                <w:sz w:val="24"/>
                <w:szCs w:val="24"/>
              </w:rPr>
              <w:t>U-1010-C</w:t>
            </w:r>
          </w:p>
        </w:tc>
        <w:tc>
          <w:tcPr>
            <w:tcW w:w="1594" w:type="dxa"/>
          </w:tcPr>
          <w:p w:rsidRPr="009F5533" w:rsidR="007E39EF" w:rsidRDefault="007E39EF" w14:paraId="536A0A6A" w14:textId="44591BF5">
            <w:pPr>
              <w:tabs>
                <w:tab w:val="left" w:pos="240"/>
                <w:tab w:val="left" w:pos="720"/>
                <w:tab w:val="right" w:pos="10080"/>
              </w:tabs>
              <w:spacing w:after="0" w:line="240" w:lineRule="auto"/>
              <w:jc w:val="center"/>
              <w:rPr>
                <w:rFonts w:ascii="Palatino Linotype" w:hAnsi="Palatino Linotype"/>
                <w:sz w:val="24"/>
                <w:szCs w:val="24"/>
              </w:rPr>
            </w:pPr>
            <w:r>
              <w:rPr>
                <w:rFonts w:ascii="Palatino Linotype" w:hAnsi="Palatino Linotype"/>
                <w:sz w:val="24"/>
                <w:szCs w:val="24"/>
              </w:rPr>
              <w:t>2/</w:t>
            </w:r>
            <w:r w:rsidR="006C6A8F">
              <w:rPr>
                <w:rFonts w:ascii="Palatino Linotype" w:hAnsi="Palatino Linotype"/>
                <w:sz w:val="24"/>
                <w:szCs w:val="24"/>
              </w:rPr>
              <w:t>12</w:t>
            </w:r>
            <w:r>
              <w:rPr>
                <w:rFonts w:ascii="Palatino Linotype" w:hAnsi="Palatino Linotype"/>
                <w:sz w:val="24"/>
                <w:szCs w:val="24"/>
              </w:rPr>
              <w:t>/2</w:t>
            </w:r>
            <w:r w:rsidR="006C6A8F">
              <w:rPr>
                <w:rFonts w:ascii="Palatino Linotype" w:hAnsi="Palatino Linotype"/>
                <w:sz w:val="24"/>
                <w:szCs w:val="24"/>
              </w:rPr>
              <w:t>6</w:t>
            </w:r>
          </w:p>
        </w:tc>
        <w:tc>
          <w:tcPr>
            <w:tcW w:w="1876" w:type="dxa"/>
            <w:vAlign w:val="center"/>
          </w:tcPr>
          <w:p w:rsidRPr="00D92FD1" w:rsidR="007E39EF" w:rsidRDefault="007E39EF" w14:paraId="261E5D00" w14:textId="7E8B242C">
            <w:pPr>
              <w:tabs>
                <w:tab w:val="left" w:pos="240"/>
                <w:tab w:val="left" w:pos="720"/>
                <w:tab w:val="right" w:pos="10080"/>
              </w:tabs>
              <w:spacing w:after="0" w:line="240" w:lineRule="auto"/>
              <w:jc w:val="right"/>
              <w:rPr>
                <w:rFonts w:ascii="Palatino Linotype" w:hAnsi="Palatino Linotype"/>
                <w:sz w:val="24"/>
                <w:szCs w:val="24"/>
              </w:rPr>
            </w:pPr>
            <w:r w:rsidRPr="00D92FD1">
              <w:rPr>
                <w:rFonts w:ascii="Palatino Linotype" w:hAnsi="Palatino Linotype"/>
                <w:sz w:val="24"/>
                <w:szCs w:val="24"/>
              </w:rPr>
              <w:t xml:space="preserve"> $</w:t>
            </w:r>
            <w:r w:rsidR="00DA1D04">
              <w:rPr>
                <w:rFonts w:ascii="Palatino Linotype" w:hAnsi="Palatino Linotype"/>
                <w:sz w:val="24"/>
                <w:szCs w:val="24"/>
              </w:rPr>
              <w:t>1,125</w:t>
            </w:r>
          </w:p>
        </w:tc>
      </w:tr>
      <w:tr>
        <w:trPr>
          <w:trHeight w:val="386"/>
          <w:jc w:val="center"/>
        </w:trPr>
        <w:tc>
          <w:tcPr>
            <w:tcW w:w="7318" w:type="dxa"/>
            <w:gridSpan w:val="4"/>
            <w:vAlign w:val="center"/>
          </w:tcPr>
          <w:p w:rsidRPr="009F5533" w:rsidR="007E39EF" w:rsidRDefault="007E39EF" w14:paraId="0FC7E3B9" w14:textId="77777777">
            <w:pPr>
              <w:tabs>
                <w:tab w:val="left" w:pos="240"/>
                <w:tab w:val="left" w:pos="720"/>
                <w:tab w:val="right" w:pos="10080"/>
              </w:tabs>
              <w:spacing w:after="0" w:line="240" w:lineRule="auto"/>
              <w:jc w:val="both"/>
              <w:rPr>
                <w:rFonts w:ascii="Palatino Linotype" w:hAnsi="Palatino Linotype"/>
                <w:b/>
                <w:bCs/>
                <w:sz w:val="24"/>
                <w:szCs w:val="24"/>
              </w:rPr>
            </w:pPr>
            <w:r w:rsidRPr="009F5533">
              <w:rPr>
                <w:rFonts w:ascii="Palatino Linotype" w:hAnsi="Palatino Linotype"/>
                <w:b/>
                <w:bCs/>
                <w:sz w:val="24"/>
                <w:szCs w:val="24"/>
              </w:rPr>
              <w:t xml:space="preserve">                                                                 TOTAL PROPOSED FINES</w:t>
            </w:r>
          </w:p>
        </w:tc>
        <w:tc>
          <w:tcPr>
            <w:tcW w:w="1876" w:type="dxa"/>
            <w:vAlign w:val="center"/>
          </w:tcPr>
          <w:p w:rsidRPr="00D92FD1" w:rsidR="007E39EF" w:rsidRDefault="007E39EF" w14:paraId="0277F7C5" w14:textId="27222A1E">
            <w:pPr>
              <w:tabs>
                <w:tab w:val="left" w:pos="240"/>
                <w:tab w:val="left" w:pos="720"/>
                <w:tab w:val="right" w:pos="10080"/>
              </w:tabs>
              <w:spacing w:after="0" w:line="240" w:lineRule="auto"/>
              <w:jc w:val="right"/>
              <w:rPr>
                <w:rFonts w:ascii="Palatino Linotype" w:hAnsi="Palatino Linotype"/>
                <w:b/>
                <w:bCs/>
                <w:sz w:val="24"/>
                <w:szCs w:val="24"/>
              </w:rPr>
            </w:pPr>
            <w:r w:rsidRPr="00D92FD1">
              <w:rPr>
                <w:rFonts w:ascii="Palatino Linotype" w:hAnsi="Palatino Linotype"/>
                <w:b/>
                <w:bCs/>
                <w:sz w:val="24"/>
                <w:szCs w:val="24"/>
              </w:rPr>
              <w:t>$</w:t>
            </w:r>
            <w:r w:rsidR="00DA1D04">
              <w:rPr>
                <w:rFonts w:ascii="Palatino Linotype" w:hAnsi="Palatino Linotype"/>
                <w:b/>
                <w:bCs/>
                <w:sz w:val="24"/>
                <w:szCs w:val="24"/>
              </w:rPr>
              <w:t>2,9</w:t>
            </w:r>
            <w:r w:rsidR="00715588">
              <w:rPr>
                <w:rFonts w:ascii="Palatino Linotype" w:hAnsi="Palatino Linotype"/>
                <w:b/>
                <w:bCs/>
                <w:sz w:val="24"/>
                <w:szCs w:val="24"/>
              </w:rPr>
              <w:t>75</w:t>
            </w:r>
            <w:r w:rsidR="00DA1D04">
              <w:rPr>
                <w:rFonts w:ascii="Palatino Linotype" w:hAnsi="Palatino Linotype"/>
                <w:b/>
                <w:bCs/>
                <w:sz w:val="24"/>
                <w:szCs w:val="24"/>
              </w:rPr>
              <w:t>.</w:t>
            </w:r>
            <w:r w:rsidR="00715588">
              <w:rPr>
                <w:rFonts w:ascii="Palatino Linotype" w:hAnsi="Palatino Linotype"/>
                <w:b/>
                <w:bCs/>
                <w:sz w:val="24"/>
                <w:szCs w:val="24"/>
              </w:rPr>
              <w:t>0</w:t>
            </w:r>
            <w:r w:rsidR="00DA1D04">
              <w:rPr>
                <w:rFonts w:ascii="Palatino Linotype" w:hAnsi="Palatino Linotype"/>
                <w:b/>
                <w:bCs/>
                <w:sz w:val="24"/>
                <w:szCs w:val="24"/>
              </w:rPr>
              <w:t>0</w:t>
            </w:r>
          </w:p>
        </w:tc>
      </w:tr>
    </w:tbl>
    <w:p w:rsidRPr="001921D5" w:rsidR="007E39EF" w:rsidP="007E39EF" w:rsidRDefault="007E39EF" w14:paraId="05565EFB" w14:textId="77777777">
      <w:pPr>
        <w:spacing w:before="120" w:after="120"/>
        <w:ind w:left="72"/>
        <w:rPr>
          <w:rFonts w:ascii="Palatino Linotype" w:hAnsi="Palatino Linotype"/>
          <w:sz w:val="24"/>
          <w:szCs w:val="24"/>
        </w:rPr>
      </w:pPr>
    </w:p>
    <w:p w:rsidR="00606E77" w:rsidP="00372A7C" w:rsidRDefault="00080114" w14:paraId="5D86735C" w14:textId="77777777">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carriers shall pay their assessed fines </w:t>
      </w:r>
      <w:r w:rsidRPr="00ED35FD" w:rsidR="004B467A">
        <w:rPr>
          <w:rFonts w:ascii="Palatino Linotype" w:hAnsi="Palatino Linotype"/>
          <w:sz w:val="24"/>
          <w:szCs w:val="24"/>
        </w:rPr>
        <w:t xml:space="preserve">as specified in </w:t>
      </w:r>
      <w:r w:rsidRPr="00ED35FD">
        <w:rPr>
          <w:rFonts w:ascii="Palatino Linotype" w:hAnsi="Palatino Linotype"/>
          <w:sz w:val="24"/>
          <w:szCs w:val="24"/>
        </w:rPr>
        <w:t>their advice letters within 30 days of adoption date</w:t>
      </w:r>
      <w:r w:rsidRPr="00ED35FD" w:rsidR="00C165C6">
        <w:rPr>
          <w:rFonts w:ascii="Palatino Linotype" w:hAnsi="Palatino Linotype"/>
          <w:sz w:val="24"/>
          <w:szCs w:val="24"/>
        </w:rPr>
        <w:t xml:space="preserve"> of this Resolution</w:t>
      </w:r>
      <w:r w:rsidRPr="00ED35FD" w:rsidR="00BC1965">
        <w:rPr>
          <w:rFonts w:ascii="Palatino Linotype" w:hAnsi="Palatino Linotype"/>
          <w:sz w:val="24"/>
          <w:szCs w:val="24"/>
        </w:rPr>
        <w:t xml:space="preserve">. </w:t>
      </w:r>
    </w:p>
    <w:p w:rsidRPr="00ED35FD" w:rsidR="00ED35FD" w:rsidP="00ED35FD" w:rsidRDefault="00ED35FD" w14:paraId="0A0488C3" w14:textId="77777777">
      <w:pPr>
        <w:spacing w:before="120" w:after="120"/>
        <w:ind w:left="72"/>
        <w:rPr>
          <w:rFonts w:ascii="Palatino Linotype" w:hAnsi="Palatino Linotype"/>
          <w:sz w:val="24"/>
          <w:szCs w:val="24"/>
        </w:rPr>
      </w:pPr>
    </w:p>
    <w:p w:rsidRPr="00ED35FD" w:rsidR="00ED35FD" w:rsidP="00372A7C" w:rsidRDefault="004B467A" w14:paraId="6AFF4960" w14:textId="77777777">
      <w:pPr>
        <w:numPr>
          <w:ilvl w:val="0"/>
          <w:numId w:val="7"/>
        </w:numPr>
        <w:spacing w:before="120" w:after="120"/>
        <w:ind w:left="72"/>
        <w:rPr>
          <w:rFonts w:ascii="Palatino Linotype" w:hAnsi="Palatino Linotype"/>
          <w:sz w:val="24"/>
          <w:szCs w:val="24"/>
        </w:rPr>
      </w:pPr>
      <w:r w:rsidRPr="00ED35FD">
        <w:rPr>
          <w:rFonts w:ascii="Palatino Linotype" w:hAnsi="Palatino Linotype"/>
          <w:sz w:val="24"/>
          <w:szCs w:val="24"/>
        </w:rPr>
        <w:t xml:space="preserve">The </w:t>
      </w:r>
      <w:r w:rsidRPr="00ED35FD" w:rsidR="00A00470">
        <w:rPr>
          <w:rFonts w:ascii="Palatino Linotype" w:hAnsi="Palatino Linotype"/>
          <w:sz w:val="24"/>
          <w:szCs w:val="24"/>
        </w:rPr>
        <w:t>fine payments</w:t>
      </w:r>
      <w:r w:rsidRPr="00ED35FD">
        <w:rPr>
          <w:rFonts w:ascii="Palatino Linotype" w:hAnsi="Palatino Linotype"/>
          <w:sz w:val="24"/>
          <w:szCs w:val="24"/>
        </w:rPr>
        <w:t xml:space="preserve"> </w:t>
      </w:r>
      <w:r w:rsidRPr="00ED35FD" w:rsidR="002566A4">
        <w:rPr>
          <w:rFonts w:ascii="Palatino Linotype" w:hAnsi="Palatino Linotype"/>
          <w:sz w:val="24"/>
          <w:szCs w:val="24"/>
        </w:rPr>
        <w:t>shall be deposited</w:t>
      </w:r>
      <w:r w:rsidRPr="00ED35FD">
        <w:rPr>
          <w:rFonts w:ascii="Palatino Linotype" w:hAnsi="Palatino Linotype"/>
          <w:sz w:val="24"/>
          <w:szCs w:val="24"/>
        </w:rPr>
        <w:t xml:space="preserve"> </w:t>
      </w:r>
      <w:r w:rsidRPr="00ED35FD" w:rsidR="00A00470">
        <w:rPr>
          <w:rFonts w:ascii="Palatino Linotype" w:hAnsi="Palatino Linotype"/>
          <w:sz w:val="24"/>
          <w:szCs w:val="24"/>
        </w:rPr>
        <w:t>in</w:t>
      </w:r>
      <w:r w:rsidRPr="00ED35FD">
        <w:rPr>
          <w:rFonts w:ascii="Palatino Linotype" w:hAnsi="Palatino Linotype"/>
          <w:sz w:val="24"/>
          <w:szCs w:val="24"/>
        </w:rPr>
        <w:t>to the California General Fund.</w:t>
      </w:r>
    </w:p>
    <w:p w:rsidRPr="00ED35FD" w:rsidR="00ED35FD" w:rsidP="00ED35FD" w:rsidRDefault="00ED35FD" w14:paraId="5EAECBFA" w14:textId="77777777">
      <w:pPr>
        <w:spacing w:before="120" w:after="120"/>
        <w:ind w:left="72"/>
        <w:rPr>
          <w:rFonts w:ascii="Palatino Linotype" w:hAnsi="Palatino Linotype"/>
          <w:sz w:val="24"/>
          <w:szCs w:val="24"/>
        </w:rPr>
      </w:pPr>
    </w:p>
    <w:p w:rsidRPr="00755E15" w:rsidR="002D4D92" w:rsidP="00755E15" w:rsidRDefault="00606E77" w14:paraId="72D4296F" w14:textId="77777777">
      <w:pPr>
        <w:numPr>
          <w:ilvl w:val="0"/>
          <w:numId w:val="7"/>
        </w:numPr>
        <w:spacing w:before="120" w:after="120"/>
        <w:ind w:left="72"/>
        <w:rPr>
          <w:rFonts w:ascii="Palatino Linotype" w:hAnsi="Palatino Linotype"/>
          <w:sz w:val="24"/>
          <w:szCs w:val="24"/>
        </w:rPr>
      </w:pPr>
      <w:r>
        <w:rPr>
          <w:rFonts w:ascii="Palatino Linotype" w:hAnsi="Palatino Linotype"/>
          <w:sz w:val="24"/>
          <w:szCs w:val="24"/>
        </w:rPr>
        <w:t xml:space="preserve">Fine Payments should be made by check or money order, payable to the </w:t>
      </w:r>
      <w:r w:rsidRPr="00606E77">
        <w:rPr>
          <w:rFonts w:ascii="Palatino Linotype" w:hAnsi="Palatino Linotype"/>
          <w:sz w:val="24"/>
          <w:szCs w:val="24"/>
          <w:u w:val="single"/>
        </w:rPr>
        <w:t>California Public Utilities Commission</w:t>
      </w:r>
      <w:r>
        <w:rPr>
          <w:rFonts w:ascii="Palatino Linotype" w:hAnsi="Palatino Linotype"/>
          <w:sz w:val="24"/>
          <w:szCs w:val="24"/>
        </w:rPr>
        <w:t xml:space="preserve"> via mail or in person at the following address:</w:t>
      </w:r>
    </w:p>
    <w:p w:rsidR="00606E77" w:rsidP="00755E15" w:rsidRDefault="00606E77" w14:paraId="50466B94" w14:textId="77777777">
      <w:pPr>
        <w:spacing w:after="0" w:line="240" w:lineRule="auto"/>
        <w:ind w:left="2880"/>
        <w:rPr>
          <w:rFonts w:ascii="Palatino Linotype" w:hAnsi="Palatino Linotype"/>
          <w:sz w:val="24"/>
          <w:szCs w:val="24"/>
        </w:rPr>
      </w:pPr>
    </w:p>
    <w:p w:rsidRPr="00755E15" w:rsidR="00080114" w:rsidP="00755E15" w:rsidRDefault="00080114" w14:paraId="3899E81B"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California Public Utilities Commission</w:t>
      </w:r>
    </w:p>
    <w:p w:rsidRPr="00755E15" w:rsidR="00080114" w:rsidP="00755E15" w:rsidRDefault="00080114" w14:paraId="036A1766"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Fiscal Office</w:t>
      </w:r>
    </w:p>
    <w:p w:rsidRPr="00755E15" w:rsidR="00080114" w:rsidP="00755E15" w:rsidRDefault="00080114" w14:paraId="18105164" w14:textId="77777777">
      <w:pPr>
        <w:spacing w:after="0" w:line="240" w:lineRule="auto"/>
        <w:ind w:left="2880"/>
        <w:rPr>
          <w:rFonts w:ascii="Palatino Linotype" w:hAnsi="Palatino Linotype"/>
          <w:sz w:val="24"/>
          <w:szCs w:val="24"/>
        </w:rPr>
      </w:pPr>
      <w:r w:rsidRPr="00755E15">
        <w:rPr>
          <w:rFonts w:ascii="Palatino Linotype" w:hAnsi="Palatino Linotype"/>
          <w:sz w:val="24"/>
          <w:szCs w:val="24"/>
        </w:rPr>
        <w:t>505 Van Ness Avenue, Room 3000</w:t>
      </w:r>
    </w:p>
    <w:p w:rsidRPr="00755E15" w:rsidR="0030743C" w:rsidP="0030743C" w:rsidRDefault="00080114" w14:paraId="450F18AF" w14:textId="77777777">
      <w:pPr>
        <w:ind w:left="2880"/>
        <w:rPr>
          <w:rFonts w:ascii="Palatino Linotype" w:hAnsi="Palatino Linotype"/>
          <w:sz w:val="24"/>
          <w:szCs w:val="24"/>
        </w:rPr>
      </w:pPr>
      <w:r w:rsidRPr="00755E15">
        <w:rPr>
          <w:rFonts w:ascii="Palatino Linotype" w:hAnsi="Palatino Linotype"/>
          <w:sz w:val="24"/>
          <w:szCs w:val="24"/>
        </w:rPr>
        <w:t>San Francisco, CA 94102</w:t>
      </w:r>
    </w:p>
    <w:p w:rsidRPr="00755E15" w:rsidR="00605564" w:rsidP="00755E15" w:rsidRDefault="00080114" w14:paraId="6F32C39E" w14:textId="77777777">
      <w:pPr>
        <w:tabs>
          <w:tab w:val="left" w:pos="240"/>
          <w:tab w:val="left" w:pos="720"/>
          <w:tab w:val="right" w:pos="10080"/>
        </w:tabs>
        <w:spacing w:after="0" w:line="240" w:lineRule="auto"/>
        <w:jc w:val="both"/>
        <w:rPr>
          <w:rFonts w:ascii="Palatino Linotype" w:hAnsi="Palatino Linotype"/>
          <w:sz w:val="24"/>
          <w:szCs w:val="24"/>
        </w:rPr>
      </w:pPr>
      <w:r w:rsidRPr="00755E15">
        <w:rPr>
          <w:rFonts w:ascii="Palatino Linotype" w:hAnsi="Palatino Linotype"/>
          <w:sz w:val="24"/>
          <w:szCs w:val="24"/>
        </w:rPr>
        <w:t>The telephone corporation should write on the fa</w:t>
      </w:r>
      <w:r w:rsidRPr="00755E15" w:rsidR="00605564">
        <w:rPr>
          <w:rFonts w:ascii="Palatino Linotype" w:hAnsi="Palatino Linotype"/>
          <w:sz w:val="24"/>
          <w:szCs w:val="24"/>
        </w:rPr>
        <w:t>ce of the check or money order:</w:t>
      </w:r>
    </w:p>
    <w:p w:rsidR="0085749C" w:rsidP="00755E15" w:rsidRDefault="00080114" w14:paraId="098780A2" w14:textId="68FB5EF1">
      <w:pPr>
        <w:tabs>
          <w:tab w:val="left" w:pos="240"/>
          <w:tab w:val="left" w:pos="720"/>
          <w:tab w:val="right" w:pos="10080"/>
        </w:tabs>
        <w:spacing w:after="0" w:line="240" w:lineRule="auto"/>
        <w:jc w:val="both"/>
        <w:rPr>
          <w:rFonts w:ascii="Palatino Linotype" w:hAnsi="Palatino Linotype"/>
          <w:sz w:val="24"/>
          <w:szCs w:val="24"/>
        </w:rPr>
      </w:pPr>
      <w:r w:rsidRPr="2D163785">
        <w:rPr>
          <w:rFonts w:ascii="Palatino Linotype" w:hAnsi="Palatino Linotype"/>
          <w:sz w:val="24"/>
          <w:szCs w:val="24"/>
        </w:rPr>
        <w:t>“</w:t>
      </w:r>
      <w:r w:rsidRPr="2D163785">
        <w:rPr>
          <w:rFonts w:ascii="Palatino Linotype" w:hAnsi="Palatino Linotype"/>
          <w:b/>
          <w:bCs/>
          <w:sz w:val="24"/>
          <w:szCs w:val="24"/>
        </w:rPr>
        <w:t xml:space="preserve">For deposit to the State of California General Fund, per Resolution </w:t>
      </w:r>
      <w:r w:rsidR="00EC05FD">
        <w:rPr>
          <w:rFonts w:ascii="Palatino Linotype" w:hAnsi="Palatino Linotype"/>
          <w:b/>
          <w:bCs/>
          <w:sz w:val="24"/>
          <w:szCs w:val="24"/>
        </w:rPr>
        <w:t>T-17917</w:t>
      </w:r>
      <w:r w:rsidRPr="2D163785" w:rsidR="0030743C">
        <w:rPr>
          <w:rFonts w:ascii="Palatino Linotype" w:hAnsi="Palatino Linotype"/>
          <w:sz w:val="24"/>
          <w:szCs w:val="24"/>
        </w:rPr>
        <w:t>.”</w:t>
      </w:r>
    </w:p>
    <w:p w:rsidR="009F5533" w:rsidP="00755E15" w:rsidRDefault="009F5533" w14:paraId="2E5E809F" w14:textId="77777777">
      <w:pPr>
        <w:tabs>
          <w:tab w:val="left" w:pos="240"/>
          <w:tab w:val="left" w:pos="720"/>
          <w:tab w:val="right" w:pos="10080"/>
        </w:tabs>
        <w:spacing w:after="0" w:line="240" w:lineRule="auto"/>
        <w:jc w:val="both"/>
        <w:rPr>
          <w:rFonts w:ascii="Palatino Linotype" w:hAnsi="Palatino Linotype"/>
          <w:sz w:val="24"/>
          <w:szCs w:val="24"/>
        </w:rPr>
      </w:pPr>
    </w:p>
    <w:p w:rsidRPr="006D202A" w:rsidR="00583BCD" w:rsidP="00FF07C8" w:rsidRDefault="00583BCD" w14:paraId="7A792F52" w14:textId="77777777">
      <w:pPr>
        <w:tabs>
          <w:tab w:val="right" w:pos="10080"/>
        </w:tabs>
        <w:rPr>
          <w:rFonts w:ascii="Palatino Linotype" w:hAnsi="Palatino Linotype"/>
          <w:bCs/>
          <w:sz w:val="24"/>
          <w:szCs w:val="24"/>
        </w:rPr>
      </w:pPr>
      <w:r>
        <w:rPr>
          <w:rFonts w:ascii="Palatino Linotype" w:hAnsi="Palatino Linotype"/>
          <w:bCs/>
          <w:sz w:val="24"/>
          <w:szCs w:val="24"/>
        </w:rPr>
        <w:t xml:space="preserve"> </w:t>
      </w:r>
    </w:p>
    <w:p w:rsidRPr="00755E15" w:rsidR="009F5533" w:rsidP="00755E15" w:rsidRDefault="009F5533" w14:paraId="16195BA5" w14:textId="77777777">
      <w:pPr>
        <w:tabs>
          <w:tab w:val="left" w:pos="240"/>
          <w:tab w:val="left" w:pos="720"/>
          <w:tab w:val="right" w:pos="10080"/>
        </w:tabs>
        <w:spacing w:after="0" w:line="240" w:lineRule="auto"/>
        <w:jc w:val="both"/>
        <w:rPr>
          <w:rFonts w:ascii="Palatino Linotype" w:hAnsi="Palatino Linotype"/>
          <w:sz w:val="24"/>
          <w:szCs w:val="24"/>
        </w:rPr>
        <w:sectPr w:rsidRPr="00755E15" w:rsidR="009F5533" w:rsidSect="00C864A9">
          <w:headerReference w:type="default" r:id="rId12"/>
          <w:footerReference w:type="default" r:id="rId13"/>
          <w:headerReference w:type="first" r:id="rId14"/>
          <w:footerReference w:type="first" r:id="rId15"/>
          <w:pgSz w:w="12240" w:h="15840"/>
          <w:pgMar w:top="1728" w:right="1170" w:bottom="1440" w:left="1440" w:header="720" w:footer="576" w:gutter="0"/>
          <w:cols w:space="720"/>
          <w:titlePg/>
          <w:docGrid w:linePitch="360"/>
        </w:sectPr>
      </w:pPr>
    </w:p>
    <w:p w:rsidR="00902484" w:rsidP="000D09D6" w:rsidRDefault="00902484" w14:paraId="65DD9059" w14:textId="77777777">
      <w:pPr>
        <w:spacing w:line="329" w:lineRule="auto"/>
        <w:ind w:right="4457"/>
        <w:rPr>
          <w:rFonts w:ascii="Palatino Linotype" w:hAnsi="Palatino Linotype" w:eastAsia="Palatino Linotype" w:cs="Palatino Linotype"/>
          <w:sz w:val="24"/>
          <w:szCs w:val="24"/>
        </w:rPr>
      </w:pPr>
    </w:p>
    <w:p w:rsidRPr="00755E15" w:rsidR="000D09D6" w:rsidP="000D09D6" w:rsidRDefault="000D09D6" w14:paraId="7FF78424" w14:textId="77777777">
      <w:pPr>
        <w:spacing w:line="329" w:lineRule="auto"/>
        <w:ind w:right="4457"/>
        <w:rPr>
          <w:rFonts w:ascii="Palatino Linotype" w:hAnsi="Palatino Linotype" w:eastAsia="Palatino Linotype" w:cs="Palatino Linotype"/>
          <w:sz w:val="24"/>
          <w:szCs w:val="24"/>
        </w:rPr>
      </w:pPr>
      <w:r w:rsidRPr="00755E15">
        <w:rPr>
          <w:rFonts w:ascii="Palatino Linotype" w:hAnsi="Palatino Linotype" w:eastAsia="Palatino Linotype" w:cs="Palatino Linotype"/>
          <w:sz w:val="24"/>
          <w:szCs w:val="24"/>
        </w:rPr>
        <w:t>T</w:t>
      </w:r>
      <w:r w:rsidRPr="00755E15">
        <w:rPr>
          <w:rFonts w:ascii="Palatino Linotype" w:hAnsi="Palatino Linotype" w:eastAsia="Palatino Linotype" w:cs="Palatino Linotype"/>
          <w:spacing w:val="1"/>
          <w:sz w:val="24"/>
          <w:szCs w:val="24"/>
        </w:rPr>
        <w:t>h</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Resol</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2"/>
          <w:sz w:val="24"/>
          <w:szCs w:val="24"/>
        </w:rPr>
        <w:t xml:space="preserve"> </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2"/>
          <w:sz w:val="24"/>
          <w:szCs w:val="24"/>
        </w:rPr>
        <w:t>f</w:t>
      </w:r>
      <w:r w:rsidRPr="00755E15">
        <w:rPr>
          <w:rFonts w:ascii="Palatino Linotype" w:hAnsi="Palatino Linotype" w:eastAsia="Palatino Linotype" w:cs="Palatino Linotype"/>
          <w:sz w:val="24"/>
          <w:szCs w:val="24"/>
        </w:rPr>
        <w:t>fe</w:t>
      </w:r>
      <w:r w:rsidRPr="00755E15">
        <w:rPr>
          <w:rFonts w:ascii="Palatino Linotype" w:hAnsi="Palatino Linotype" w:eastAsia="Palatino Linotype" w:cs="Palatino Linotype"/>
          <w:spacing w:val="1"/>
          <w:sz w:val="24"/>
          <w:szCs w:val="24"/>
        </w:rPr>
        <w:t>ct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v</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to</w:t>
      </w:r>
      <w:r w:rsidRPr="00755E15">
        <w:rPr>
          <w:rFonts w:ascii="Palatino Linotype" w:hAnsi="Palatino Linotype" w:eastAsia="Palatino Linotype" w:cs="Palatino Linotype"/>
          <w:sz w:val="24"/>
          <w:szCs w:val="24"/>
        </w:rPr>
        <w:t>day.</w:t>
      </w:r>
    </w:p>
    <w:p w:rsidRPr="0088527B" w:rsidR="000D09D6" w:rsidP="0088527B" w:rsidRDefault="000D09D6" w14:paraId="559542CD" w14:textId="39504A7C">
      <w:pPr>
        <w:spacing w:after="0" w:line="240" w:lineRule="auto"/>
        <w:ind w:right="173"/>
        <w:rPr>
          <w:rFonts w:ascii="Palatino Linotype" w:hAnsi="Palatino Linotype" w:eastAsia="Palatino Linotype" w:cs="Palatino Linotype"/>
          <w:spacing w:val="5"/>
          <w:sz w:val="24"/>
          <w:szCs w:val="24"/>
        </w:rPr>
      </w:pPr>
      <w:r w:rsidRPr="00755E15">
        <w:rPr>
          <w:rFonts w:ascii="Palatino Linotype" w:hAnsi="Palatino Linotype" w:eastAsia="Palatino Linotype" w:cs="Palatino Linotype"/>
          <w:sz w:val="24"/>
          <w:szCs w:val="24"/>
        </w:rPr>
        <w:t xml:space="preserve">I </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rt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 xml:space="preserve">fy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hat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he </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pacing w:val="1"/>
          <w:sz w:val="24"/>
          <w:szCs w:val="24"/>
        </w:rPr>
        <w:t>or</w:t>
      </w:r>
      <w:r w:rsidRPr="00755E15">
        <w:rPr>
          <w:rFonts w:ascii="Palatino Linotype" w:hAnsi="Palatino Linotype" w:eastAsia="Palatino Linotype" w:cs="Palatino Linotype"/>
          <w:spacing w:val="-2"/>
          <w:sz w:val="24"/>
          <w:szCs w:val="24"/>
        </w:rPr>
        <w:t>e</w:t>
      </w:r>
      <w:r w:rsidRPr="00755E15">
        <w:rPr>
          <w:rFonts w:ascii="Palatino Linotype" w:hAnsi="Palatino Linotype" w:eastAsia="Palatino Linotype" w:cs="Palatino Linotype"/>
          <w:spacing w:val="1"/>
          <w:sz w:val="24"/>
          <w:szCs w:val="24"/>
        </w:rPr>
        <w:t>g</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w:t>
      </w:r>
      <w:r w:rsidRPr="00755E15">
        <w:rPr>
          <w:rFonts w:ascii="Palatino Linotype" w:hAnsi="Palatino Linotype" w:eastAsia="Palatino Linotype" w:cs="Palatino Linotype"/>
          <w:spacing w:val="3"/>
          <w:sz w:val="24"/>
          <w:szCs w:val="24"/>
        </w:rPr>
        <w:t xml:space="preserve"> </w:t>
      </w:r>
      <w:r w:rsidRPr="00755E15">
        <w:rPr>
          <w:rFonts w:ascii="Palatino Linotype" w:hAnsi="Palatino Linotype" w:eastAsia="Palatino Linotype" w:cs="Palatino Linotype"/>
          <w:sz w:val="24"/>
          <w:szCs w:val="24"/>
        </w:rPr>
        <w:t>Resol</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n </w:t>
      </w:r>
      <w:r w:rsidRPr="00755E15">
        <w:rPr>
          <w:rFonts w:ascii="Palatino Linotype" w:hAnsi="Palatino Linotype" w:eastAsia="Palatino Linotype" w:cs="Palatino Linotype"/>
          <w:spacing w:val="-1"/>
          <w:sz w:val="24"/>
          <w:szCs w:val="24"/>
        </w:rPr>
        <w:t>w</w:t>
      </w:r>
      <w:r w:rsidRPr="00755E15">
        <w:rPr>
          <w:rFonts w:ascii="Palatino Linotype" w:hAnsi="Palatino Linotype" w:eastAsia="Palatino Linotype" w:cs="Palatino Linotype"/>
          <w:sz w:val="24"/>
          <w:szCs w:val="24"/>
        </w:rPr>
        <w:t>as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2"/>
          <w:sz w:val="24"/>
          <w:szCs w:val="24"/>
        </w:rPr>
        <w:t>d</w:t>
      </w:r>
      <w:r w:rsidRPr="00755E15">
        <w:rPr>
          <w:rFonts w:ascii="Palatino Linotype" w:hAnsi="Palatino Linotype" w:eastAsia="Palatino Linotype" w:cs="Palatino Linotype"/>
          <w:spacing w:val="-1"/>
          <w:sz w:val="24"/>
          <w:szCs w:val="24"/>
        </w:rPr>
        <w:t>u</w:t>
      </w:r>
      <w:r w:rsidRPr="00755E15">
        <w:rPr>
          <w:rFonts w:ascii="Palatino Linotype" w:hAnsi="Palatino Linotype" w:eastAsia="Palatino Linotype" w:cs="Palatino Linotype"/>
          <w:spacing w:val="2"/>
          <w:sz w:val="24"/>
          <w:szCs w:val="24"/>
        </w:rPr>
        <w:t>l</w:t>
      </w:r>
      <w:r w:rsidRPr="00755E15">
        <w:rPr>
          <w:rFonts w:ascii="Palatino Linotype" w:hAnsi="Palatino Linotype" w:eastAsia="Palatino Linotype" w:cs="Palatino Linotype"/>
          <w:sz w:val="24"/>
          <w:szCs w:val="24"/>
        </w:rPr>
        <w:t>y</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nt</w:t>
      </w:r>
      <w:r w:rsidRPr="00755E15">
        <w:rPr>
          <w:rFonts w:ascii="Palatino Linotype" w:hAnsi="Palatino Linotype" w:eastAsia="Palatino Linotype" w:cs="Palatino Linotype"/>
          <w:spacing w:val="1"/>
          <w:sz w:val="24"/>
          <w:szCs w:val="24"/>
        </w:rPr>
        <w:t>ro</w:t>
      </w:r>
      <w:r w:rsidRPr="00755E15">
        <w:rPr>
          <w:rFonts w:ascii="Palatino Linotype" w:hAnsi="Palatino Linotype" w:eastAsia="Palatino Linotype" w:cs="Palatino Linotype"/>
          <w:sz w:val="24"/>
          <w:szCs w:val="24"/>
        </w:rPr>
        <w:t>d</w:t>
      </w:r>
      <w:r w:rsidRPr="00755E15">
        <w:rPr>
          <w:rFonts w:ascii="Palatino Linotype" w:hAnsi="Palatino Linotype" w:eastAsia="Palatino Linotype" w:cs="Palatino Linotype"/>
          <w:spacing w:val="-1"/>
          <w:sz w:val="24"/>
          <w:szCs w:val="24"/>
        </w:rPr>
        <w:t>uc</w:t>
      </w:r>
      <w:r w:rsidRPr="00755E15">
        <w:rPr>
          <w:rFonts w:ascii="Palatino Linotype" w:hAnsi="Palatino Linotype" w:eastAsia="Palatino Linotype" w:cs="Palatino Linotype"/>
          <w:sz w:val="24"/>
          <w:szCs w:val="24"/>
        </w:rPr>
        <w:t>ed, pa</w:t>
      </w:r>
      <w:r w:rsidRPr="00755E15">
        <w:rPr>
          <w:rFonts w:ascii="Palatino Linotype" w:hAnsi="Palatino Linotype" w:eastAsia="Palatino Linotype" w:cs="Palatino Linotype"/>
          <w:spacing w:val="-1"/>
          <w:sz w:val="24"/>
          <w:szCs w:val="24"/>
        </w:rPr>
        <w:t>ss</w:t>
      </w:r>
      <w:r w:rsidRPr="00755E15">
        <w:rPr>
          <w:rFonts w:ascii="Palatino Linotype" w:hAnsi="Palatino Linotype" w:eastAsia="Palatino Linotype" w:cs="Palatino Linotype"/>
          <w:sz w:val="24"/>
          <w:szCs w:val="24"/>
        </w:rPr>
        <w:t xml:space="preserve">ed, </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z w:val="24"/>
          <w:szCs w:val="24"/>
        </w:rPr>
        <w:t>nd</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adop</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ed at</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 xml:space="preserve">a </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en</w:t>
      </w:r>
      <w:r w:rsidRPr="00755E15">
        <w:rPr>
          <w:rFonts w:ascii="Palatino Linotype" w:hAnsi="Palatino Linotype" w:eastAsia="Palatino Linotype" w:cs="Palatino Linotype"/>
          <w:spacing w:val="-1"/>
          <w:sz w:val="24"/>
          <w:szCs w:val="24"/>
        </w:rPr>
        <w:t>c</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f the </w:t>
      </w:r>
      <w:r w:rsidRPr="00755E15">
        <w:rPr>
          <w:rFonts w:ascii="Palatino Linotype" w:hAnsi="Palatino Linotype" w:eastAsia="Palatino Linotype" w:cs="Palatino Linotype"/>
          <w:spacing w:val="-1"/>
          <w:sz w:val="24"/>
          <w:szCs w:val="24"/>
        </w:rPr>
        <w:t>P</w:t>
      </w:r>
      <w:r w:rsidRPr="00755E15">
        <w:rPr>
          <w:rFonts w:ascii="Palatino Linotype" w:hAnsi="Palatino Linotype" w:eastAsia="Palatino Linotype" w:cs="Palatino Linotype"/>
          <w:sz w:val="24"/>
          <w:szCs w:val="24"/>
        </w:rPr>
        <w:t>ub</w:t>
      </w:r>
      <w:r w:rsidRPr="00755E15">
        <w:rPr>
          <w:rFonts w:ascii="Palatino Linotype" w:hAnsi="Palatino Linotype" w:eastAsia="Palatino Linotype" w:cs="Palatino Linotype"/>
          <w:spacing w:val="1"/>
          <w:sz w:val="24"/>
          <w:szCs w:val="24"/>
        </w:rPr>
        <w:t>l</w:t>
      </w:r>
      <w:r w:rsidRPr="00755E15">
        <w:rPr>
          <w:rFonts w:ascii="Palatino Linotype" w:hAnsi="Palatino Linotype" w:eastAsia="Palatino Linotype" w:cs="Palatino Linotype"/>
          <w:sz w:val="24"/>
          <w:szCs w:val="24"/>
        </w:rPr>
        <w:t>ic</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z w:val="24"/>
          <w:szCs w:val="24"/>
        </w:rPr>
        <w:t>U</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2"/>
          <w:sz w:val="24"/>
          <w:szCs w:val="24"/>
        </w:rPr>
        <w:t>l</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3"/>
          <w:sz w:val="24"/>
          <w:szCs w:val="24"/>
        </w:rPr>
        <w:t>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es Com</w:t>
      </w:r>
      <w:r w:rsidRPr="00755E15">
        <w:rPr>
          <w:rFonts w:ascii="Palatino Linotype" w:hAnsi="Palatino Linotype" w:eastAsia="Palatino Linotype" w:cs="Palatino Linotype"/>
          <w:spacing w:val="1"/>
          <w:sz w:val="24"/>
          <w:szCs w:val="24"/>
        </w:rPr>
        <w:t>m</w:t>
      </w:r>
      <w:r w:rsidRPr="00755E15">
        <w:rPr>
          <w:rFonts w:ascii="Palatino Linotype" w:hAnsi="Palatino Linotype" w:eastAsia="Palatino Linotype" w:cs="Palatino Linotype"/>
          <w:sz w:val="24"/>
          <w:szCs w:val="24"/>
        </w:rPr>
        <w:t>i</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2"/>
          <w:sz w:val="24"/>
          <w:szCs w:val="24"/>
        </w:rPr>
        <w:t xml:space="preserv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 xml:space="preserve">f the </w:t>
      </w:r>
      <w:r w:rsidRPr="00755E15">
        <w:rPr>
          <w:rFonts w:ascii="Palatino Linotype" w:hAnsi="Palatino Linotype" w:eastAsia="Palatino Linotype" w:cs="Palatino Linotype"/>
          <w:spacing w:val="1"/>
          <w:sz w:val="24"/>
          <w:szCs w:val="24"/>
        </w:rPr>
        <w:t>St</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f Ca</w:t>
      </w:r>
      <w:r w:rsidRPr="00755E15">
        <w:rPr>
          <w:rFonts w:ascii="Palatino Linotype" w:hAnsi="Palatino Linotype" w:eastAsia="Palatino Linotype" w:cs="Palatino Linotype"/>
          <w:spacing w:val="-1"/>
          <w:sz w:val="24"/>
          <w:szCs w:val="24"/>
        </w:rPr>
        <w:t>l</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fo</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a held</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r w:rsidRPr="00755E15">
        <w:rPr>
          <w:rFonts w:ascii="Palatino Linotype" w:hAnsi="Palatino Linotype" w:eastAsia="Palatino Linotype" w:cs="Palatino Linotype"/>
          <w:spacing w:val="5"/>
          <w:sz w:val="24"/>
          <w:szCs w:val="24"/>
        </w:rPr>
        <w:t xml:space="preserve"> </w:t>
      </w:r>
      <w:r w:rsidR="00113A39">
        <w:rPr>
          <w:rFonts w:ascii="Palatino Linotype" w:hAnsi="Palatino Linotype" w:eastAsia="Palatino Linotype" w:cs="Palatino Linotype"/>
          <w:spacing w:val="5"/>
          <w:sz w:val="24"/>
          <w:szCs w:val="24"/>
        </w:rPr>
        <w:t>June</w:t>
      </w:r>
      <w:r w:rsidR="00437AC3">
        <w:rPr>
          <w:rFonts w:ascii="Palatino Linotype" w:hAnsi="Palatino Linotype" w:eastAsia="Palatino Linotype" w:cs="Palatino Linotype"/>
          <w:spacing w:val="5"/>
          <w:sz w:val="24"/>
          <w:szCs w:val="24"/>
        </w:rPr>
        <w:t xml:space="preserve"> 1</w:t>
      </w:r>
      <w:r w:rsidR="00113A39">
        <w:rPr>
          <w:rFonts w:ascii="Palatino Linotype" w:hAnsi="Palatino Linotype" w:eastAsia="Palatino Linotype" w:cs="Palatino Linotype"/>
          <w:spacing w:val="5"/>
          <w:sz w:val="24"/>
          <w:szCs w:val="24"/>
        </w:rPr>
        <w:t>1</w:t>
      </w:r>
      <w:r w:rsidR="00950ADF">
        <w:rPr>
          <w:rFonts w:ascii="Palatino Linotype" w:hAnsi="Palatino Linotype" w:eastAsia="Palatino Linotype" w:cs="Palatino Linotype"/>
          <w:spacing w:val="5"/>
          <w:sz w:val="24"/>
          <w:szCs w:val="24"/>
        </w:rPr>
        <w:t>, 202</w:t>
      </w:r>
      <w:r w:rsidR="00113A39">
        <w:rPr>
          <w:rFonts w:ascii="Palatino Linotype" w:hAnsi="Palatino Linotype" w:eastAsia="Palatino Linotype" w:cs="Palatino Linotype"/>
          <w:spacing w:val="5"/>
          <w:sz w:val="24"/>
          <w:szCs w:val="24"/>
        </w:rPr>
        <w:t>6</w:t>
      </w:r>
      <w:r w:rsidR="00950ADF">
        <w:rPr>
          <w:rFonts w:ascii="Palatino Linotype" w:hAnsi="Palatino Linotype" w:eastAsia="Palatino Linotype" w:cs="Palatino Linotype"/>
          <w:spacing w:val="5"/>
          <w:sz w:val="24"/>
          <w:szCs w:val="24"/>
        </w:rPr>
        <w:t>,</w:t>
      </w:r>
      <w:r w:rsidRPr="00755E15">
        <w:rPr>
          <w:rFonts w:ascii="Palatino Linotype" w:hAnsi="Palatino Linotype" w:eastAsia="Palatino Linotype" w:cs="Palatino Linotype"/>
          <w:sz w:val="24"/>
          <w:szCs w:val="24"/>
        </w:rPr>
        <w:t xml:space="preserve">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 xml:space="preserve">he </w:t>
      </w:r>
      <w:r w:rsidRPr="00755E15">
        <w:rPr>
          <w:rFonts w:ascii="Palatino Linotype" w:hAnsi="Palatino Linotype" w:eastAsia="Palatino Linotype" w:cs="Palatino Linotype"/>
          <w:spacing w:val="-1"/>
          <w:sz w:val="24"/>
          <w:szCs w:val="24"/>
        </w:rPr>
        <w:t>f</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llow</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 C</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m</w:t>
      </w:r>
      <w:r w:rsidRPr="00755E15">
        <w:rPr>
          <w:rFonts w:ascii="Palatino Linotype" w:hAnsi="Palatino Linotype" w:eastAsia="Palatino Linotype" w:cs="Palatino Linotype"/>
          <w:spacing w:val="1"/>
          <w:sz w:val="24"/>
          <w:szCs w:val="24"/>
        </w:rPr>
        <w:t>m</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1"/>
          <w:sz w:val="24"/>
          <w:szCs w:val="24"/>
        </w:rPr>
        <w:t>s</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s</w:t>
      </w:r>
      <w:r w:rsidRPr="00755E15">
        <w:rPr>
          <w:rFonts w:ascii="Palatino Linotype" w:hAnsi="Palatino Linotype" w:eastAsia="Palatino Linotype" w:cs="Palatino Linotype"/>
          <w:spacing w:val="-1"/>
          <w:sz w:val="24"/>
          <w:szCs w:val="24"/>
        </w:rPr>
        <w:t xml:space="preserve"> </w:t>
      </w:r>
      <w:r w:rsidRPr="00755E15">
        <w:rPr>
          <w:rFonts w:ascii="Palatino Linotype" w:hAnsi="Palatino Linotype" w:eastAsia="Palatino Linotype" w:cs="Palatino Linotype"/>
          <w:spacing w:val="1"/>
          <w:sz w:val="24"/>
          <w:szCs w:val="24"/>
        </w:rPr>
        <w:t>vot</w:t>
      </w:r>
      <w:r w:rsidRPr="00755E15">
        <w:rPr>
          <w:rFonts w:ascii="Palatino Linotype" w:hAnsi="Palatino Linotype" w:eastAsia="Palatino Linotype" w:cs="Palatino Linotype"/>
          <w:spacing w:val="-3"/>
          <w:sz w:val="24"/>
          <w:szCs w:val="24"/>
        </w:rPr>
        <w:t>i</w:t>
      </w:r>
      <w:r w:rsidRPr="00755E15">
        <w:rPr>
          <w:rFonts w:ascii="Palatino Linotype" w:hAnsi="Palatino Linotype" w:eastAsia="Palatino Linotype" w:cs="Palatino Linotype"/>
          <w:sz w:val="24"/>
          <w:szCs w:val="24"/>
        </w:rPr>
        <w:t>ng f</w:t>
      </w:r>
      <w:r w:rsidRPr="00755E15">
        <w:rPr>
          <w:rFonts w:ascii="Palatino Linotype" w:hAnsi="Palatino Linotype" w:eastAsia="Palatino Linotype" w:cs="Palatino Linotype"/>
          <w:spacing w:val="2"/>
          <w:sz w:val="24"/>
          <w:szCs w:val="24"/>
        </w:rPr>
        <w:t>a</w:t>
      </w:r>
      <w:r w:rsidRPr="00755E15">
        <w:rPr>
          <w:rFonts w:ascii="Palatino Linotype" w:hAnsi="Palatino Linotype" w:eastAsia="Palatino Linotype" w:cs="Palatino Linotype"/>
          <w:spacing w:val="1"/>
          <w:sz w:val="24"/>
          <w:szCs w:val="24"/>
        </w:rPr>
        <w:t>vor</w:t>
      </w:r>
      <w:r w:rsidRPr="00755E15">
        <w:rPr>
          <w:rFonts w:ascii="Palatino Linotype" w:hAnsi="Palatino Linotype" w:eastAsia="Palatino Linotype" w:cs="Palatino Linotype"/>
          <w:sz w:val="24"/>
          <w:szCs w:val="24"/>
        </w:rPr>
        <w:t>a</w:t>
      </w:r>
      <w:r w:rsidRPr="00755E15">
        <w:rPr>
          <w:rFonts w:ascii="Palatino Linotype" w:hAnsi="Palatino Linotype" w:eastAsia="Palatino Linotype" w:cs="Palatino Linotype"/>
          <w:spacing w:val="-1"/>
          <w:sz w:val="24"/>
          <w:szCs w:val="24"/>
        </w:rPr>
        <w:t>b</w:t>
      </w:r>
      <w:r w:rsidRPr="00755E15">
        <w:rPr>
          <w:rFonts w:ascii="Palatino Linotype" w:hAnsi="Palatino Linotype" w:eastAsia="Palatino Linotype" w:cs="Palatino Linotype"/>
          <w:sz w:val="24"/>
          <w:szCs w:val="24"/>
        </w:rPr>
        <w:t xml:space="preserve">le </w:t>
      </w:r>
      <w:r w:rsidRPr="00755E15">
        <w:rPr>
          <w:rFonts w:ascii="Palatino Linotype" w:hAnsi="Palatino Linotype" w:eastAsia="Palatino Linotype" w:cs="Palatino Linotype"/>
          <w:spacing w:val="1"/>
          <w:sz w:val="24"/>
          <w:szCs w:val="24"/>
        </w:rPr>
        <w:t>t</w:t>
      </w:r>
      <w:r w:rsidRPr="00755E15">
        <w:rPr>
          <w:rFonts w:ascii="Palatino Linotype" w:hAnsi="Palatino Linotype" w:eastAsia="Palatino Linotype" w:cs="Palatino Linotype"/>
          <w:sz w:val="24"/>
          <w:szCs w:val="24"/>
        </w:rPr>
        <w:t>h</w:t>
      </w:r>
      <w:r w:rsidRPr="00755E15">
        <w:rPr>
          <w:rFonts w:ascii="Palatino Linotype" w:hAnsi="Palatino Linotype" w:eastAsia="Palatino Linotype" w:cs="Palatino Linotype"/>
          <w:spacing w:val="-3"/>
          <w:sz w:val="24"/>
          <w:szCs w:val="24"/>
        </w:rPr>
        <w:t>e</w:t>
      </w:r>
      <w:r w:rsidRPr="00755E15">
        <w:rPr>
          <w:rFonts w:ascii="Palatino Linotype" w:hAnsi="Palatino Linotype" w:eastAsia="Palatino Linotype" w:cs="Palatino Linotype"/>
          <w:spacing w:val="1"/>
          <w:sz w:val="24"/>
          <w:szCs w:val="24"/>
        </w:rPr>
        <w:t>r</w:t>
      </w:r>
      <w:r w:rsidRPr="00755E15">
        <w:rPr>
          <w:rFonts w:ascii="Palatino Linotype" w:hAnsi="Palatino Linotype" w:eastAsia="Palatino Linotype" w:cs="Palatino Linotype"/>
          <w:sz w:val="24"/>
          <w:szCs w:val="24"/>
        </w:rPr>
        <w:t>e</w:t>
      </w:r>
      <w:r w:rsidRPr="00755E15">
        <w:rPr>
          <w:rFonts w:ascii="Palatino Linotype" w:hAnsi="Palatino Linotype" w:eastAsia="Palatino Linotype" w:cs="Palatino Linotype"/>
          <w:spacing w:val="1"/>
          <w:sz w:val="24"/>
          <w:szCs w:val="24"/>
        </w:rPr>
        <w:t>o</w:t>
      </w:r>
      <w:r w:rsidRPr="00755E15">
        <w:rPr>
          <w:rFonts w:ascii="Palatino Linotype" w:hAnsi="Palatino Linotype" w:eastAsia="Palatino Linotype" w:cs="Palatino Linotype"/>
          <w:sz w:val="24"/>
          <w:szCs w:val="24"/>
        </w:rPr>
        <w:t>n:</w:t>
      </w:r>
    </w:p>
    <w:p w:rsidR="00AF7635" w:rsidP="000D09D6" w:rsidRDefault="00AF7635" w14:paraId="5A3097B3" w14:textId="77777777">
      <w:pPr>
        <w:ind w:right="177"/>
        <w:rPr>
          <w:rFonts w:ascii="Palatino Linotype" w:hAnsi="Palatino Linotype" w:eastAsia="Palatino Linotype" w:cs="Palatino Linotype"/>
          <w:sz w:val="24"/>
          <w:szCs w:val="24"/>
        </w:rPr>
      </w:pPr>
    </w:p>
    <w:p w:rsidRPr="00611F37" w:rsidR="00B57B05" w:rsidP="00B57B05" w:rsidRDefault="00AF7635" w14:paraId="3E781CE9" w14:textId="77777777">
      <w:pPr>
        <w:keepNext/>
        <w:tabs>
          <w:tab w:val="left" w:pos="720"/>
          <w:tab w:val="left" w:pos="1296"/>
          <w:tab w:val="left" w:pos="2016"/>
          <w:tab w:val="left" w:pos="2736"/>
          <w:tab w:val="left" w:pos="3456"/>
          <w:tab w:val="left" w:pos="4176"/>
          <w:tab w:val="left" w:pos="5760"/>
        </w:tabs>
        <w:ind w:left="2880"/>
        <w:rPr>
          <w:rFonts w:ascii="Palatino Linotype" w:hAnsi="Palatino Linotype"/>
        </w:rPr>
      </w:pPr>
      <w:r>
        <w:rPr>
          <w:rFonts w:ascii="Palatino Linotype" w:hAnsi="Palatino Linotype"/>
        </w:rPr>
        <w:tab/>
      </w:r>
      <w:r w:rsidR="00B57B05">
        <w:rPr>
          <w:rFonts w:ascii="Palatino Linotype" w:hAnsi="Palatino Linotype"/>
          <w:noProof/>
        </w:rPr>
        <mc:AlternateContent>
          <mc:Choice Requires="wps">
            <w:drawing>
              <wp:anchor distT="0" distB="0" distL="114300" distR="114300" simplePos="0" relativeHeight="251659264" behindDoc="0" locked="0" layoutInCell="1" allowOverlap="1" wp14:editId="12C52EB2" wp14:anchorId="49105622">
                <wp:simplePos x="0" y="0"/>
                <wp:positionH relativeFrom="column">
                  <wp:posOffset>3625850</wp:posOffset>
                </wp:positionH>
                <wp:positionV relativeFrom="paragraph">
                  <wp:posOffset>205105</wp:posOffset>
                </wp:positionV>
                <wp:extent cx="2254250" cy="0"/>
                <wp:effectExtent l="0" t="0" r="0" b="0"/>
                <wp:wrapNone/>
                <wp:docPr id="1055994235" name="Straight Connector 1"/>
                <wp:cNvGraphicFramePr/>
                <a:graphic xmlns:a="http://schemas.openxmlformats.org/drawingml/2006/main">
                  <a:graphicData uri="http://schemas.microsoft.com/office/word/2010/wordprocessingShape">
                    <wps:wsp>
                      <wps:cNvCnPr/>
                      <wps:spPr>
                        <a:xfrm>
                          <a:off x="0" y="0"/>
                          <a:ext cx="225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85.5pt,16.15pt" to="463pt,16.15pt" w14:anchorId="68B63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">
                <v:stroke joinstyle="miter"/>
              </v:line>
            </w:pict>
          </mc:Fallback>
        </mc:AlternateContent>
      </w:r>
      <w:r w:rsidRPr="00611F37" w:rsidR="00B57B05">
        <w:rPr>
          <w:rFonts w:ascii="Palatino Linotype" w:hAnsi="Palatino Linotype"/>
        </w:rPr>
        <w:t xml:space="preserve">                                                         /s/LEUWAM TESFAI </w:t>
      </w:r>
    </w:p>
    <w:p w:rsidR="00B57B05" w:rsidP="00B57B05" w:rsidRDefault="00B57B05" w14:paraId="08E09E64" w14:textId="77777777">
      <w:pPr>
        <w:keepNext/>
        <w:tabs>
          <w:tab w:val="left" w:pos="720"/>
          <w:tab w:val="left" w:pos="1296"/>
          <w:tab w:val="left" w:pos="2016"/>
          <w:tab w:val="left" w:pos="2736"/>
          <w:tab w:val="left" w:pos="3456"/>
          <w:tab w:val="left" w:pos="4176"/>
          <w:tab w:val="left" w:pos="5760"/>
        </w:tabs>
        <w:ind w:left="720"/>
      </w:pPr>
      <w:r>
        <w:t xml:space="preserve">                                                                                                                             </w:t>
      </w:r>
      <w:r>
        <w:rPr>
          <w:rFonts w:ascii="Palatino Linotype" w:hAnsi="Palatino Linotype"/>
        </w:rPr>
        <w:t>Leuwam Tesfai</w:t>
      </w:r>
      <w:r>
        <w:br/>
      </w:r>
      <w:r w:rsidRPr="00611F37">
        <w:rPr>
          <w:rFonts w:ascii="Palatino Linotype" w:hAnsi="Palatino Linotype"/>
        </w:rPr>
        <w:t xml:space="preserve">                                                                                                            </w:t>
      </w:r>
      <w:r>
        <w:rPr>
          <w:rFonts w:ascii="Palatino Linotype" w:hAnsi="Palatino Linotype"/>
        </w:rPr>
        <w:t xml:space="preserve">  </w:t>
      </w:r>
      <w:r w:rsidRPr="00611F37">
        <w:rPr>
          <w:rFonts w:ascii="Palatino Linotype" w:hAnsi="Palatino Linotype"/>
        </w:rPr>
        <w:t>Executive Director</w:t>
      </w:r>
      <w:r w:rsidRPr="00333256">
        <w:t xml:space="preserve"> </w:t>
      </w:r>
      <w:r>
        <w:br/>
        <w:t xml:space="preserve">              </w:t>
      </w:r>
    </w:p>
    <w:p w:rsidR="00B57B05" w:rsidP="00B57B05" w:rsidRDefault="00B57B05" w14:paraId="2FFE918C" w14:textId="70BE615B">
      <w:pPr>
        <w:keepNext/>
        <w:tabs>
          <w:tab w:val="left" w:pos="720"/>
          <w:tab w:val="left" w:pos="1296"/>
          <w:tab w:val="left" w:pos="2016"/>
          <w:tab w:val="left" w:pos="2736"/>
          <w:tab w:val="left" w:pos="3456"/>
          <w:tab w:val="left" w:pos="4176"/>
          <w:tab w:val="left" w:pos="5760"/>
        </w:tabs>
        <w:ind w:left="720"/>
        <w:jc w:val="center"/>
        <w:rPr>
          <w:rFonts w:ascii="Palatino Linotype" w:hAnsi="Palatino Linotype"/>
        </w:rPr>
      </w:pPr>
      <w:r>
        <w:rPr>
          <w:rFonts w:ascii="Palatino Linotype" w:hAnsi="Palatino Linotype"/>
        </w:rPr>
        <w:t xml:space="preserve">                                                                                         </w:t>
      </w:r>
      <w:r w:rsidRPr="00611F37">
        <w:rPr>
          <w:rFonts w:ascii="Palatino Linotype" w:hAnsi="Palatino Linotype"/>
        </w:rPr>
        <w:t xml:space="preserve">JOHN REYNOLDS </w:t>
      </w:r>
      <w:r w:rsidRPr="00611F37">
        <w:rPr>
          <w:rFonts w:ascii="Palatino Linotype" w:hAnsi="Palatino Linotype"/>
        </w:rPr>
        <w:br/>
        <w:t xml:space="preserve">         </w:t>
      </w:r>
      <w:r>
        <w:rPr>
          <w:rFonts w:ascii="Palatino Linotype" w:hAnsi="Palatino Linotype"/>
        </w:rPr>
        <w:t xml:space="preserve"> </w:t>
      </w:r>
      <w:r w:rsidRPr="00611F37">
        <w:rPr>
          <w:rFonts w:ascii="Palatino Linotype" w:hAnsi="Palatino Linotype"/>
        </w:rPr>
        <w:t xml:space="preserve"> </w:t>
      </w:r>
      <w:r>
        <w:rPr>
          <w:rFonts w:ascii="Palatino Linotype" w:hAnsi="Palatino Linotype"/>
        </w:rPr>
        <w:t xml:space="preserve">                                                                            </w:t>
      </w:r>
      <w:r w:rsidRPr="00611F37">
        <w:rPr>
          <w:rFonts w:ascii="Palatino Linotype" w:hAnsi="Palatino Linotype"/>
        </w:rPr>
        <w:t xml:space="preserve">President </w:t>
      </w:r>
      <w:r w:rsidRPr="00611F37">
        <w:rPr>
          <w:rFonts w:ascii="Palatino Linotype" w:hAnsi="Palatino Linotype"/>
        </w:rPr>
        <w:br/>
      </w:r>
      <w:r>
        <w:rPr>
          <w:rFonts w:ascii="Palatino Linotype" w:hAnsi="Palatino Linotype"/>
        </w:rPr>
        <w:t xml:space="preserve">                                                                                        </w:t>
      </w:r>
      <w:r w:rsidRPr="00611F37">
        <w:rPr>
          <w:rFonts w:ascii="Palatino Linotype" w:hAnsi="Palatino Linotype"/>
        </w:rPr>
        <w:t xml:space="preserve">DARCIE L. HOUCK </w:t>
      </w:r>
      <w:r w:rsidRPr="00611F37">
        <w:rPr>
          <w:rFonts w:ascii="Palatino Linotype" w:hAnsi="Palatino Linotype"/>
        </w:rPr>
        <w:br/>
      </w:r>
      <w:r>
        <w:rPr>
          <w:rFonts w:ascii="Palatino Linotype" w:hAnsi="Palatino Linotype"/>
        </w:rPr>
        <w:t xml:space="preserve">                                                                                       </w:t>
      </w:r>
      <w:r w:rsidRPr="00611F37">
        <w:rPr>
          <w:rFonts w:ascii="Palatino Linotype" w:hAnsi="Palatino Linotype"/>
        </w:rPr>
        <w:t xml:space="preserve">CHRISTINE HARADA </w:t>
      </w:r>
      <w:r w:rsidRPr="00611F37">
        <w:rPr>
          <w:rFonts w:ascii="Palatino Linotype" w:hAnsi="Palatino Linotype"/>
        </w:rPr>
        <w:br/>
      </w:r>
      <w:r>
        <w:rPr>
          <w:rFonts w:ascii="Palatino Linotype" w:hAnsi="Palatino Linotype"/>
        </w:rPr>
        <w:t xml:space="preserve">                                                                                       </w:t>
      </w:r>
      <w:r w:rsidRPr="00611F37">
        <w:rPr>
          <w:rFonts w:ascii="Palatino Linotype" w:hAnsi="Palatino Linotype"/>
        </w:rPr>
        <w:t xml:space="preserve">KAREN DOUGLAS </w:t>
      </w:r>
      <w:r w:rsidRPr="00611F37">
        <w:rPr>
          <w:rFonts w:ascii="Palatino Linotype" w:hAnsi="Palatino Linotype"/>
        </w:rPr>
        <w:br/>
      </w:r>
      <w:r>
        <w:rPr>
          <w:rFonts w:ascii="Palatino Linotype" w:hAnsi="Palatino Linotype"/>
        </w:rPr>
        <w:t xml:space="preserve">                                                                                      </w:t>
      </w:r>
      <w:r w:rsidRPr="00611F37">
        <w:rPr>
          <w:rFonts w:ascii="Palatino Linotype" w:hAnsi="Palatino Linotype"/>
        </w:rPr>
        <w:t xml:space="preserve">MATTHEW BAKER </w:t>
      </w:r>
      <w:r w:rsidRPr="00611F37">
        <w:rPr>
          <w:rFonts w:ascii="Palatino Linotype" w:hAnsi="Palatino Linotype"/>
        </w:rPr>
        <w:br/>
        <w:t xml:space="preserve">    </w:t>
      </w:r>
      <w:r>
        <w:rPr>
          <w:rFonts w:ascii="Palatino Linotype" w:hAnsi="Palatino Linotype"/>
        </w:rPr>
        <w:t xml:space="preserve">                                                                                  </w:t>
      </w:r>
      <w:r w:rsidRPr="00611F37">
        <w:rPr>
          <w:rFonts w:ascii="Palatino Linotype" w:hAnsi="Palatino Linotype"/>
        </w:rPr>
        <w:t xml:space="preserve"> Commissioners</w:t>
      </w:r>
    </w:p>
    <w:p w:rsidR="00B57B05" w:rsidP="00B57B05" w:rsidRDefault="00B57B05" w14:paraId="081878DD" w14:textId="77777777">
      <w:pPr>
        <w:keepNext/>
        <w:tabs>
          <w:tab w:val="left" w:pos="720"/>
          <w:tab w:val="left" w:pos="1296"/>
          <w:tab w:val="left" w:pos="2016"/>
          <w:tab w:val="left" w:pos="2736"/>
          <w:tab w:val="left" w:pos="3456"/>
          <w:tab w:val="left" w:pos="4176"/>
          <w:tab w:val="left" w:pos="5760"/>
        </w:tabs>
        <w:ind w:left="720"/>
        <w:jc w:val="center"/>
        <w:rPr>
          <w:rFonts w:ascii="Palatino Linotype" w:hAnsi="Palatino Linotype"/>
        </w:rPr>
      </w:pPr>
    </w:p>
    <w:p w:rsidRPr="00B57B05" w:rsidR="00B57B05" w:rsidP="00B57B05" w:rsidRDefault="00B57B05" w14:paraId="6FCD0C9B" w14:textId="4F5206F6">
      <w:pPr>
        <w:keepNext/>
        <w:tabs>
          <w:tab w:val="left" w:pos="720"/>
          <w:tab w:val="left" w:pos="1296"/>
          <w:tab w:val="left" w:pos="2016"/>
          <w:tab w:val="left" w:pos="2736"/>
          <w:tab w:val="left" w:pos="3456"/>
          <w:tab w:val="left" w:pos="4176"/>
          <w:tab w:val="left" w:pos="5760"/>
        </w:tabs>
        <w:rPr>
          <w:sz w:val="24"/>
          <w:szCs w:val="24"/>
        </w:rPr>
      </w:pPr>
      <w:r w:rsidRPr="00B57B05">
        <w:rPr>
          <w:rFonts w:ascii="Palatino Linotype" w:hAnsi="Palatino Linotype" w:eastAsia="Palatino Linotype" w:cs="Times New Roman"/>
          <w:sz w:val="24"/>
          <w:szCs w:val="24"/>
        </w:rPr>
        <w:t>Dated June 11, 2026, at Sacramento, California</w:t>
      </w:r>
    </w:p>
    <w:p w:rsidRPr="00755E15" w:rsidR="00AF7635" w:rsidP="00B57B05" w:rsidRDefault="00AF7635" w14:paraId="61FE17FB" w14:textId="542275DC">
      <w:pPr>
        <w:tabs>
          <w:tab w:val="right" w:pos="8640"/>
        </w:tabs>
        <w:spacing w:after="0" w:line="240" w:lineRule="auto"/>
        <w:jc w:val="both"/>
        <w:rPr>
          <w:rFonts w:ascii="Palatino Linotype" w:hAnsi="Palatino Linotype" w:eastAsia="Palatino Linotype" w:cs="Palatino Linotype"/>
          <w:sz w:val="24"/>
          <w:szCs w:val="24"/>
        </w:rPr>
      </w:pPr>
      <w:r w:rsidRPr="008B09B9">
        <w:rPr>
          <w:rFonts w:ascii="Palatino Linotype" w:hAnsi="Palatino Linotype"/>
        </w:rPr>
        <w:t xml:space="preserve"> </w:t>
      </w:r>
    </w:p>
    <w:p w:rsidR="000D09D6" w:rsidP="000D09D6" w:rsidRDefault="000D09D6" w14:paraId="6BEAEC18" w14:textId="77777777">
      <w:pPr>
        <w:spacing w:before="6" w:line="180" w:lineRule="exact"/>
        <w:rPr>
          <w:sz w:val="19"/>
          <w:szCs w:val="19"/>
        </w:rPr>
      </w:pPr>
    </w:p>
    <w:p w:rsidR="000D09D6" w:rsidP="000D09D6" w:rsidRDefault="000D09D6" w14:paraId="2E7054D9" w14:textId="77777777">
      <w:pPr>
        <w:spacing w:line="200" w:lineRule="exact"/>
      </w:pPr>
    </w:p>
    <w:p w:rsidR="00867DDA" w:rsidP="000D09D6" w:rsidRDefault="000D09D6" w14:paraId="51601778" w14:textId="77777777">
      <w:pPr>
        <w:spacing w:line="200" w:lineRule="exact"/>
        <w:rPr>
          <w:rFonts w:ascii="Palatino Linotype" w:hAnsi="Palatino Linotype" w:eastAsia="Palatino Linotype" w:cs="Palatino Linotype"/>
        </w:rPr>
      </w:pPr>
      <w:r>
        <w:tab/>
      </w:r>
      <w:r>
        <w:tab/>
      </w:r>
      <w:r>
        <w:tab/>
      </w:r>
      <w:r>
        <w:tab/>
      </w:r>
      <w:r>
        <w:tab/>
      </w:r>
      <w:r>
        <w:tab/>
      </w:r>
      <w:r>
        <w:rPr>
          <w:rFonts w:ascii="Palatino Linotype" w:hAnsi="Palatino Linotype" w:eastAsia="Palatino Linotype" w:cs="Palatino Linotype"/>
        </w:rPr>
        <w:t xml:space="preserve">           </w:t>
      </w:r>
    </w:p>
    <w:p w:rsidR="000D09D6" w:rsidP="000D09D6" w:rsidRDefault="000D09D6" w14:paraId="6E714749" w14:textId="77777777">
      <w:pPr>
        <w:spacing w:line="200" w:lineRule="exact"/>
        <w:rPr>
          <w:rFonts w:ascii="Palatino Linotype" w:hAnsi="Palatino Linotype" w:eastAsia="Palatino Linotype" w:cs="Palatino Linotype"/>
        </w:rPr>
      </w:pPr>
    </w:p>
    <w:p w:rsidRPr="007D340A" w:rsidR="007D340A" w:rsidP="00867DDA" w:rsidRDefault="007D340A" w14:paraId="0AC89C8E" w14:textId="77777777">
      <w:pPr>
        <w:tabs>
          <w:tab w:val="left" w:pos="5985"/>
        </w:tabs>
        <w:rPr>
          <w:rFonts w:ascii="Palatino Linotype" w:hAnsi="Palatino Linotype"/>
        </w:rPr>
      </w:pPr>
    </w:p>
    <w:p w:rsidRPr="007D340A" w:rsidR="007D340A" w:rsidP="007D340A" w:rsidRDefault="007D340A" w14:paraId="4D2AAFC1" w14:textId="77777777">
      <w:pPr>
        <w:rPr>
          <w:rFonts w:ascii="Palatino Linotype" w:hAnsi="Palatino Linotype"/>
        </w:rPr>
      </w:pPr>
    </w:p>
    <w:p w:rsidRPr="007D340A" w:rsidR="007D340A" w:rsidP="007D340A" w:rsidRDefault="007D340A" w14:paraId="79A5537B" w14:textId="77777777">
      <w:pPr>
        <w:rPr>
          <w:rFonts w:ascii="Palatino Linotype" w:hAnsi="Palatino Linotype"/>
        </w:rPr>
      </w:pPr>
    </w:p>
    <w:p w:rsidRPr="007D340A" w:rsidR="007D340A" w:rsidP="007D340A" w:rsidRDefault="007D340A" w14:paraId="568083C1" w14:textId="77777777">
      <w:pPr>
        <w:rPr>
          <w:rFonts w:ascii="Palatino Linotype" w:hAnsi="Palatino Linotype"/>
        </w:rPr>
      </w:pPr>
    </w:p>
    <w:p w:rsidRPr="007D340A" w:rsidR="007D340A" w:rsidP="007D340A" w:rsidRDefault="007D340A" w14:paraId="1B4B5683" w14:textId="77777777">
      <w:pPr>
        <w:rPr>
          <w:rFonts w:ascii="Palatino Linotype" w:hAnsi="Palatino Linotype"/>
        </w:rPr>
      </w:pPr>
    </w:p>
    <w:p w:rsidRPr="007D340A" w:rsidR="007D340A" w:rsidP="0020168D" w:rsidRDefault="007D340A" w14:paraId="3442996F" w14:textId="77777777">
      <w:pPr>
        <w:jc w:val="center"/>
        <w:rPr>
          <w:rFonts w:ascii="Palatino Linotype" w:hAnsi="Palatino Linotype"/>
        </w:rPr>
      </w:pPr>
    </w:p>
    <w:sectPr w:rsidRPr="007D340A" w:rsidR="007D340A" w:rsidSect="000E37EF">
      <w:headerReference w:type="default" r:id="rId16"/>
      <w:footerReference w:type="default" r:id="rId17"/>
      <w:headerReference w:type="first" r:id="rId18"/>
      <w:footerReference w:type="first" r:id="rId19"/>
      <w:pgSz w:w="12240" w:h="15840"/>
      <w:pgMar w:top="1728" w:right="117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94B4" w14:textId="77777777" w:rsidR="006D23A6" w:rsidRDefault="006D23A6">
      <w:r>
        <w:separator/>
      </w:r>
    </w:p>
  </w:endnote>
  <w:endnote w:type="continuationSeparator" w:id="0">
    <w:p w14:paraId="11EF8B8A" w14:textId="77777777" w:rsidR="006D23A6" w:rsidRDefault="006D23A6">
      <w:r>
        <w:continuationSeparator/>
      </w:r>
    </w:p>
  </w:endnote>
  <w:endnote w:type="continuationNotice" w:id="1">
    <w:p w14:paraId="0F0CEA75" w14:textId="77777777" w:rsidR="006D23A6" w:rsidRDefault="006D2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22811"/>
      <w:docPartObj>
        <w:docPartGallery w:val="Page Numbers (Bottom of Page)"/>
        <w:docPartUnique/>
      </w:docPartObj>
    </w:sdtPr>
    <w:sdtEndPr>
      <w:rPr>
        <w:noProof/>
      </w:rPr>
    </w:sdtEndPr>
    <w:sdtContent>
      <w:p w14:paraId="2F29CDC2" w14:textId="33EC33F5" w:rsidR="00487C59" w:rsidRDefault="00487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BC87E" w14:textId="4D5468DC" w:rsidR="00537E03" w:rsidRPr="00802025" w:rsidRDefault="00537E03" w:rsidP="00802025">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trPr>
        <w:trHeight w:val="300"/>
      </w:trPr>
      <w:tc>
        <w:tcPr>
          <w:tcW w:w="3210" w:type="dxa"/>
        </w:tcPr>
        <w:p w14:paraId="381C11DA" w14:textId="040103E9" w:rsidR="615AF634" w:rsidRDefault="615AF634" w:rsidP="615AF634">
          <w:pPr>
            <w:pStyle w:val="Header"/>
            <w:ind w:left="-115"/>
          </w:pPr>
        </w:p>
      </w:tc>
      <w:tc>
        <w:tcPr>
          <w:tcW w:w="3210" w:type="dxa"/>
        </w:tcPr>
        <w:p w14:paraId="27E59BB5" w14:textId="77777777" w:rsidR="615AF634" w:rsidRDefault="615AF634" w:rsidP="615AF634">
          <w:pPr>
            <w:pStyle w:val="Header"/>
            <w:jc w:val="center"/>
          </w:pPr>
        </w:p>
      </w:tc>
      <w:tc>
        <w:tcPr>
          <w:tcW w:w="3210" w:type="dxa"/>
        </w:tcPr>
        <w:p w14:paraId="2E933B7B" w14:textId="77777777" w:rsidR="615AF634" w:rsidRDefault="615AF634" w:rsidP="615AF634">
          <w:pPr>
            <w:pStyle w:val="Header"/>
            <w:ind w:right="-115"/>
            <w:jc w:val="right"/>
          </w:pPr>
        </w:p>
      </w:tc>
    </w:tr>
  </w:tbl>
  <w:p w14:paraId="6356615A" w14:textId="0BE84346" w:rsidR="00A44353" w:rsidRDefault="00C12DBD" w:rsidP="004E703C">
    <w:pPr>
      <w:pStyle w:val="Footer"/>
    </w:pPr>
    <w:r w:rsidRPr="00C12DBD">
      <w:rPr>
        <w:rFonts w:ascii="Palatino Linotype" w:hAnsi="Palatino Linotype"/>
      </w:rPr>
      <w:t>609096900  </w:t>
    </w:r>
    <w:r w:rsidR="00B57B05" w:rsidRPr="00B57B05">
      <w:rPr>
        <w:rFonts w:ascii="Palatino Linotype" w:hAnsi="Palatino Linotype"/>
      </w:rPr>
      <w:t>  </w:t>
    </w:r>
    <w:r w:rsidR="00C864A9" w:rsidRPr="00C864A9">
      <w:rPr>
        <w:rFonts w:ascii="Palatino Linotype" w:hAnsi="Palatino Linotype"/>
      </w:rPr>
      <w:t> </w:t>
    </w:r>
    <w:r w:rsidR="00364C44">
      <w:tab/>
      <w:t xml:space="preserv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B433" w14:textId="0516BE2F" w:rsidR="00537E03" w:rsidRDefault="00537E03" w:rsidP="003B1DBD">
    <w:pPr>
      <w:pStyle w:val="Footer"/>
      <w:rPr>
        <w:rStyle w:val="PageNumber"/>
      </w:rPr>
    </w:pPr>
    <w:r>
      <w:tab/>
    </w:r>
    <w:r w:rsidR="0020168D">
      <w:rPr>
        <w:rStyle w:val="PageNumber"/>
        <w:noProof/>
      </w:rPr>
      <w:t>14</w:t>
    </w:r>
  </w:p>
  <w:p w14:paraId="6988FF49" w14:textId="77777777" w:rsidR="00537E03" w:rsidRDefault="00537E03" w:rsidP="003B1DBD">
    <w:pPr>
      <w:pStyle w:val="Footer"/>
      <w:rPr>
        <w:rStyle w:val="PageNumber"/>
      </w:rPr>
    </w:pPr>
  </w:p>
  <w:p w14:paraId="47B68FFA" w14:textId="77777777" w:rsidR="00537E03" w:rsidRPr="003B1DBD" w:rsidRDefault="00537E03" w:rsidP="003B1D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474A" w14:textId="77777777" w:rsidR="00537E03" w:rsidRDefault="0053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F013" w14:textId="77777777" w:rsidR="006D23A6" w:rsidRDefault="006D23A6">
      <w:r>
        <w:separator/>
      </w:r>
    </w:p>
  </w:footnote>
  <w:footnote w:type="continuationSeparator" w:id="0">
    <w:p w14:paraId="5853407C" w14:textId="77777777" w:rsidR="006D23A6" w:rsidRDefault="006D23A6">
      <w:r>
        <w:continuationSeparator/>
      </w:r>
    </w:p>
  </w:footnote>
  <w:footnote w:type="continuationNotice" w:id="1">
    <w:p w14:paraId="2F06D216" w14:textId="77777777" w:rsidR="006D23A6" w:rsidRDefault="006D23A6"/>
  </w:footnote>
  <w:footnote w:id="2">
    <w:p w14:paraId="67F0B36D" w14:textId="3123AE94" w:rsidR="00021FE8" w:rsidRPr="0096459B" w:rsidRDefault="007D428D" w:rsidP="007D428D">
      <w:pPr>
        <w:pStyle w:val="FootnoteText"/>
        <w:spacing w:after="0" w:line="240" w:lineRule="auto"/>
        <w:rPr>
          <w:rFonts w:ascii="Palatino Linotype" w:hAnsi="Palatino Linotype" w:cs="Times New Roman"/>
          <w:sz w:val="18"/>
          <w:szCs w:val="18"/>
        </w:rPr>
      </w:pPr>
      <w:r w:rsidRPr="00057B00">
        <w:rPr>
          <w:rStyle w:val="FootnoteReference"/>
          <w:rFonts w:ascii="Palatino Linotype" w:hAnsi="Palatino Linotype" w:cs="Times New Roman"/>
          <w:sz w:val="18"/>
          <w:szCs w:val="18"/>
        </w:rPr>
        <w:footnoteRef/>
      </w:r>
      <w:r w:rsidRPr="00057B00">
        <w:rPr>
          <w:rFonts w:ascii="Palatino Linotype" w:hAnsi="Palatino Linotype" w:cs="Times New Roman"/>
          <w:sz w:val="18"/>
          <w:szCs w:val="18"/>
        </w:rPr>
        <w:t xml:space="preserve"> </w:t>
      </w:r>
      <w:r w:rsidR="001B0214" w:rsidRPr="00057B00">
        <w:rPr>
          <w:rFonts w:ascii="Palatino Linotype" w:hAnsi="Palatino Linotype" w:cs="Times New Roman"/>
          <w:sz w:val="18"/>
          <w:szCs w:val="18"/>
        </w:rPr>
        <w:t>Frontier Communications of the Southwest (U-1026-C) AL #</w:t>
      </w:r>
      <w:r w:rsidR="00AE3D11" w:rsidRPr="00057B00">
        <w:rPr>
          <w:rFonts w:ascii="Palatino Linotype" w:hAnsi="Palatino Linotype" w:cs="Times New Roman"/>
          <w:sz w:val="18"/>
          <w:szCs w:val="18"/>
        </w:rPr>
        <w:t>2</w:t>
      </w:r>
      <w:r w:rsidR="00057B00" w:rsidRPr="00057B00">
        <w:rPr>
          <w:rFonts w:ascii="Palatino Linotype" w:hAnsi="Palatino Linotype" w:cs="Times New Roman"/>
          <w:sz w:val="18"/>
          <w:szCs w:val="18"/>
        </w:rPr>
        <w:t>3</w:t>
      </w:r>
      <w:r w:rsidR="00AE3D11" w:rsidRPr="00057B00">
        <w:rPr>
          <w:rFonts w:ascii="Palatino Linotype" w:hAnsi="Palatino Linotype" w:cs="Times New Roman"/>
          <w:sz w:val="18"/>
          <w:szCs w:val="18"/>
        </w:rPr>
        <w:t>8</w:t>
      </w:r>
      <w:r w:rsidR="001B0214" w:rsidRPr="00057B00">
        <w:rPr>
          <w:rFonts w:ascii="Palatino Linotype" w:hAnsi="Palatino Linotype" w:cs="Times New Roman"/>
          <w:sz w:val="18"/>
          <w:szCs w:val="18"/>
        </w:rPr>
        <w:t xml:space="preserve">, </w:t>
      </w:r>
      <w:r w:rsidR="009B346D" w:rsidRPr="00057B00">
        <w:rPr>
          <w:rFonts w:ascii="Palatino Linotype" w:hAnsi="Palatino Linotype" w:cs="Times New Roman"/>
          <w:sz w:val="18"/>
          <w:szCs w:val="18"/>
        </w:rPr>
        <w:t>Consolidated Communications (U-1015-C) AL #</w:t>
      </w:r>
      <w:r w:rsidR="00764177" w:rsidRPr="00057B00">
        <w:rPr>
          <w:rFonts w:ascii="Palatino Linotype" w:hAnsi="Palatino Linotype" w:cs="Times New Roman"/>
          <w:sz w:val="18"/>
          <w:szCs w:val="18"/>
        </w:rPr>
        <w:t>210</w:t>
      </w:r>
      <w:r w:rsidR="00057B00" w:rsidRPr="00057B00">
        <w:rPr>
          <w:rFonts w:ascii="Palatino Linotype" w:hAnsi="Palatino Linotype" w:cs="Times New Roman"/>
          <w:sz w:val="18"/>
          <w:szCs w:val="18"/>
        </w:rPr>
        <w:t>5</w:t>
      </w:r>
      <w:r w:rsidR="009B346D" w:rsidRPr="00057B00">
        <w:rPr>
          <w:rFonts w:ascii="Palatino Linotype" w:hAnsi="Palatino Linotype" w:cs="Times New Roman"/>
          <w:sz w:val="18"/>
          <w:szCs w:val="18"/>
        </w:rPr>
        <w:t xml:space="preserve">, </w:t>
      </w:r>
      <w:r w:rsidR="00AE3D11" w:rsidRPr="00057B00">
        <w:rPr>
          <w:rFonts w:ascii="Palatino Linotype" w:hAnsi="Palatino Linotype" w:cs="Times New Roman"/>
          <w:sz w:val="18"/>
          <w:szCs w:val="18"/>
        </w:rPr>
        <w:t xml:space="preserve">and </w:t>
      </w:r>
      <w:r w:rsidRPr="00057B00">
        <w:rPr>
          <w:rFonts w:ascii="Palatino Linotype" w:hAnsi="Palatino Linotype" w:cs="Times New Roman"/>
          <w:sz w:val="18"/>
          <w:szCs w:val="18"/>
        </w:rPr>
        <w:t>Happy Valley Telephone (U-1010-C) AL #</w:t>
      </w:r>
      <w:r w:rsidR="001C175E" w:rsidRPr="00057B00">
        <w:rPr>
          <w:rFonts w:ascii="Palatino Linotype" w:hAnsi="Palatino Linotype" w:cs="Times New Roman"/>
          <w:sz w:val="18"/>
          <w:szCs w:val="18"/>
        </w:rPr>
        <w:t>4</w:t>
      </w:r>
      <w:r w:rsidR="00AE3D11" w:rsidRPr="00057B00">
        <w:rPr>
          <w:rFonts w:ascii="Palatino Linotype" w:hAnsi="Palatino Linotype" w:cs="Times New Roman"/>
          <w:sz w:val="18"/>
          <w:szCs w:val="18"/>
        </w:rPr>
        <w:t>1</w:t>
      </w:r>
      <w:r w:rsidR="0032103A" w:rsidRPr="00057B00">
        <w:rPr>
          <w:rFonts w:ascii="Palatino Linotype" w:hAnsi="Palatino Linotype" w:cs="Times New Roman"/>
          <w:sz w:val="18"/>
          <w:szCs w:val="18"/>
        </w:rPr>
        <w:t>7</w:t>
      </w:r>
      <w:r w:rsidR="00AE3D11" w:rsidRPr="00057B00">
        <w:rPr>
          <w:rFonts w:ascii="Palatino Linotype" w:hAnsi="Palatino Linotype" w:cs="Times New Roman"/>
          <w:sz w:val="18"/>
          <w:szCs w:val="18"/>
        </w:rPr>
        <w:t>.</w:t>
      </w:r>
      <w:r w:rsidR="001B0214" w:rsidRPr="0096459B">
        <w:rPr>
          <w:rFonts w:ascii="Palatino Linotype" w:hAnsi="Palatino Linotype" w:cs="Times New Roman"/>
          <w:sz w:val="18"/>
          <w:szCs w:val="18"/>
        </w:rPr>
        <w:t xml:space="preserve"> </w:t>
      </w:r>
    </w:p>
  </w:footnote>
  <w:footnote w:id="3">
    <w:p w14:paraId="18205A2E" w14:textId="77777777" w:rsidR="00740C6B" w:rsidRPr="00EF02DB" w:rsidRDefault="00740C6B">
      <w:pPr>
        <w:pStyle w:val="FootnoteText"/>
        <w:rPr>
          <w:rFonts w:ascii="Times New Roman" w:hAnsi="Times New Roman" w:cs="Times New Roman"/>
        </w:rPr>
      </w:pPr>
      <w:r w:rsidRPr="0096459B">
        <w:rPr>
          <w:rStyle w:val="FootnoteReference"/>
          <w:rFonts w:ascii="Palatino Linotype" w:hAnsi="Palatino Linotype"/>
          <w:sz w:val="18"/>
          <w:szCs w:val="18"/>
        </w:rPr>
        <w:footnoteRef/>
      </w:r>
      <w:r w:rsidRPr="0096459B">
        <w:rPr>
          <w:rFonts w:ascii="Palatino Linotype" w:hAnsi="Palatino Linotype"/>
          <w:sz w:val="18"/>
          <w:szCs w:val="18"/>
        </w:rPr>
        <w:t xml:space="preserve"> </w:t>
      </w:r>
      <w:r w:rsidR="00016E7A" w:rsidRPr="0096459B">
        <w:rPr>
          <w:rFonts w:ascii="Palatino Linotype" w:hAnsi="Palatino Linotype" w:cs="Times New Roman"/>
          <w:sz w:val="18"/>
          <w:szCs w:val="18"/>
        </w:rPr>
        <w:t xml:space="preserve">Advice Letter Tabulating Fine. The performance of any telephone corporation </w:t>
      </w:r>
      <w:r w:rsidR="008366BC" w:rsidRPr="0096459B">
        <w:rPr>
          <w:rFonts w:ascii="Palatino Linotype" w:hAnsi="Palatino Linotype" w:cs="Times New Roman"/>
          <w:sz w:val="18"/>
          <w:szCs w:val="18"/>
        </w:rPr>
        <w:t>subject to GO 133-D</w:t>
      </w:r>
      <w:r w:rsidR="00016E7A" w:rsidRPr="0096459B">
        <w:rPr>
          <w:rFonts w:ascii="Palatino Linotype" w:hAnsi="Palatino Linotype" w:cs="Times New Roman"/>
          <w:sz w:val="18"/>
          <w:szCs w:val="18"/>
        </w:rPr>
        <w:t xml:space="preserve"> that does not meet the minimum standards shall submit annually, by February 15 of the following year, a Tier II Advice Letter that shows by month each Service Quality measurement that it did not meet the minimum standards and the applicable fine.</w:t>
      </w:r>
    </w:p>
  </w:footnote>
  <w:footnote w:id="4">
    <w:p w14:paraId="2C305AAC"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 xml:space="preserve">See </w:t>
      </w:r>
      <w:r w:rsidRPr="00734113">
        <w:rPr>
          <w:rFonts w:ascii="Palatino Linotype" w:hAnsi="Palatino Linotype" w:cs="Times New Roman"/>
          <w:sz w:val="18"/>
          <w:szCs w:val="18"/>
        </w:rPr>
        <w:t xml:space="preserve">Pub. Util. Code § 2896 (“The [C]omission shall require telephone corporations to provide customer service to telecommunication customers that includes, but is not limited to,…(c) Reasonable statewide service quality standards, including but not limited to, standards regarding network technical quality, customer service, installation, repair, and billing. …”);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also GO 133-D, § 1.1(a). </w:t>
      </w:r>
    </w:p>
  </w:footnote>
  <w:footnote w:id="5">
    <w:p w14:paraId="561348A8" w14:textId="77777777" w:rsidR="00537E03" w:rsidRPr="00734113" w:rsidRDefault="00537E03" w:rsidP="00755E15">
      <w:pPr>
        <w:pStyle w:val="FootnoteText"/>
        <w:spacing w:after="0" w:line="240" w:lineRule="auto"/>
        <w:rPr>
          <w:rFonts w:ascii="Palatino Linotype" w:hAnsi="Palatino Linotype"/>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The Commission approved GO 133-C in Decision (D).09-07-019 (July 9, 2009).</w:t>
      </w:r>
    </w:p>
  </w:footnote>
  <w:footnote w:id="6">
    <w:p w14:paraId="3CD73C82"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D.16-10-019 corrects minor errors in the original version of GO 133-D.    </w:t>
      </w:r>
    </w:p>
  </w:footnote>
  <w:footnote w:id="7">
    <w:p w14:paraId="28391B26" w14:textId="77777777" w:rsidR="00537E03" w:rsidRPr="00755E15" w:rsidRDefault="00537E03" w:rsidP="00755E15">
      <w:pPr>
        <w:pStyle w:val="FootnoteText"/>
        <w:spacing w:after="0" w:line="240" w:lineRule="auto"/>
        <w:rPr>
          <w:rFonts w:ascii="Times New Roman" w:hAnsi="Times New Roman" w:cs="Times New Roman"/>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 9.</w:t>
      </w:r>
      <w:r w:rsidRPr="00755E15">
        <w:rPr>
          <w:rFonts w:ascii="Times New Roman" w:hAnsi="Times New Roman" w:cs="Times New Roman"/>
        </w:rPr>
        <w:t>1.</w:t>
      </w:r>
    </w:p>
  </w:footnote>
  <w:footnote w:id="8">
    <w:p w14:paraId="31D34511"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55E15">
        <w:rPr>
          <w:rStyle w:val="FootnoteReference"/>
          <w:rFonts w:ascii="Times New Roman" w:hAnsi="Times New Roman" w:cs="Times New Roman"/>
        </w:rPr>
        <w:footnoteRef/>
      </w:r>
      <w:r w:rsidRPr="00755E15">
        <w:rPr>
          <w:rFonts w:ascii="Times New Roman" w:hAnsi="Times New Roman" w:cs="Times New Roman"/>
        </w:rPr>
        <w:t xml:space="preserve">  </w:t>
      </w:r>
      <w:r w:rsidRPr="00734113">
        <w:rPr>
          <w:rFonts w:ascii="Palatino Linotype" w:hAnsi="Palatino Linotype" w:cs="Times New Roman"/>
          <w:i/>
          <w:sz w:val="18"/>
          <w:szCs w:val="18"/>
        </w:rPr>
        <w:t xml:space="preserve">See </w:t>
      </w:r>
      <w:r w:rsidRPr="00734113">
        <w:rPr>
          <w:rFonts w:ascii="Palatino Linotype" w:hAnsi="Palatino Linotype" w:cs="Times New Roman"/>
          <w:sz w:val="18"/>
          <w:szCs w:val="18"/>
        </w:rPr>
        <w:t>§§ 3.1(e), 3.2(e),3.3(e), 3.4(e), and 3.5(e) in both GO 133-C and GO 133-D.</w:t>
      </w:r>
    </w:p>
  </w:footnote>
  <w:footnote w:id="9">
    <w:p w14:paraId="110D62DD" w14:textId="78C4BEBA"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GO 133-C, Rule 8 (“8. FORM The attached form is a template for reporting GO 133-C Service Quality Standards.  The staff may change this form as necessary.”;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also GO 133-D, Rule 10 (“10. FORM The attached form is a template for reporting GO 133-D Service Quality Standards.  The staff may change this form as necessary.  Additional</w:t>
      </w:r>
      <w:r w:rsidRPr="00734113">
        <w:rPr>
          <w:rFonts w:ascii="Palatino Linotype" w:hAnsi="Palatino Linotype"/>
          <w:sz w:val="18"/>
          <w:szCs w:val="18"/>
        </w:rPr>
        <w:t xml:space="preserve"> </w:t>
      </w:r>
      <w:r w:rsidRPr="00734113">
        <w:rPr>
          <w:rFonts w:ascii="Palatino Linotype" w:hAnsi="Palatino Linotype" w:cs="Times New Roman"/>
          <w:sz w:val="18"/>
          <w:szCs w:val="18"/>
        </w:rPr>
        <w:t xml:space="preserve">information can be found on the Commission’s website.”)  The form can be found at </w:t>
      </w:r>
      <w:hyperlink r:id="rId1" w:history="1">
        <w:r w:rsidR="008F1FCA">
          <w:rPr>
            <w:rStyle w:val="Hyperlink"/>
          </w:rPr>
          <w:t>https://www.cpuc.ca.gov/industries-and-topics/internet-and-phone/network-performance-and-public-safety/service-quality</w:t>
        </w:r>
      </w:hyperlink>
      <w:r w:rsidR="008F1FCA" w:rsidRPr="00BF1E02">
        <w:t>.</w:t>
      </w:r>
      <w:r w:rsidRPr="00734113">
        <w:rPr>
          <w:rFonts w:ascii="Palatino Linotype" w:hAnsi="Palatino Linotype" w:cs="Times New Roman"/>
          <w:sz w:val="18"/>
          <w:szCs w:val="18"/>
        </w:rPr>
        <w:t xml:space="preserve"> </w:t>
      </w:r>
    </w:p>
  </w:footnote>
  <w:footnote w:id="10">
    <w:p w14:paraId="499668EA" w14:textId="486CEEEA"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sz w:val="18"/>
          <w:szCs w:val="18"/>
        </w:rPr>
        <w:t>See</w:t>
      </w:r>
      <w:r w:rsidRPr="00734113">
        <w:rPr>
          <w:rFonts w:ascii="Palatino Linotype" w:hAnsi="Palatino Linotype" w:cs="Times New Roman"/>
          <w:sz w:val="18"/>
          <w:szCs w:val="18"/>
        </w:rPr>
        <w:t xml:space="preserve"> </w:t>
      </w:r>
      <w:hyperlink r:id="rId2" w:history="1">
        <w:r w:rsidR="00AF6D57">
          <w:rPr>
            <w:rStyle w:val="Hyperlink"/>
          </w:rPr>
          <w:t>https://www.cpuc.ca.gov/industries-and-topics/internet-and-phone/network-performance-and-public-safety/telecommunications-carriers-service-quality-reports</w:t>
        </w:r>
      </w:hyperlink>
      <w:r w:rsidR="00AF6D57">
        <w:t xml:space="preserve">. </w:t>
      </w:r>
      <w:r w:rsidRPr="00734113">
        <w:rPr>
          <w:rFonts w:ascii="Palatino Linotype" w:hAnsi="Palatino Linotype" w:cs="Times New Roman"/>
          <w:sz w:val="18"/>
          <w:szCs w:val="18"/>
        </w:rPr>
        <w:t>The Commission’s Communications Division posts on its webpage all reporting carriers’ Quarterly Service Quality Reports (</w:t>
      </w:r>
      <w:r w:rsidRPr="00734113">
        <w:rPr>
          <w:rFonts w:ascii="Palatino Linotype" w:hAnsi="Palatino Linotype" w:cs="Times New Roman"/>
          <w:i/>
          <w:sz w:val="18"/>
          <w:szCs w:val="18"/>
        </w:rPr>
        <w:t>i.e</w:t>
      </w:r>
      <w:r w:rsidRPr="00734113">
        <w:rPr>
          <w:rFonts w:ascii="Palatino Linotype" w:hAnsi="Palatino Linotype" w:cs="Times New Roman"/>
          <w:iCs/>
          <w:sz w:val="18"/>
          <w:szCs w:val="18"/>
        </w:rPr>
        <w:t>.</w:t>
      </w:r>
      <w:r w:rsidRPr="00734113">
        <w:rPr>
          <w:rFonts w:ascii="Palatino Linotype" w:hAnsi="Palatino Linotype" w:cs="Times New Roman"/>
          <w:i/>
          <w:sz w:val="18"/>
          <w:szCs w:val="18"/>
        </w:rPr>
        <w:t>,</w:t>
      </w:r>
      <w:r w:rsidRPr="00734113">
        <w:rPr>
          <w:rFonts w:ascii="Palatino Linotype" w:hAnsi="Palatino Linotype" w:cs="Times New Roman"/>
          <w:sz w:val="18"/>
          <w:szCs w:val="18"/>
        </w:rPr>
        <w:t xml:space="preserve"> service quality report cards) from 201</w:t>
      </w:r>
      <w:r w:rsidR="00734113">
        <w:rPr>
          <w:rFonts w:ascii="Palatino Linotype" w:hAnsi="Palatino Linotype" w:cs="Times New Roman"/>
          <w:sz w:val="18"/>
          <w:szCs w:val="18"/>
        </w:rPr>
        <w:t>6</w:t>
      </w:r>
      <w:r w:rsidRPr="00734113">
        <w:rPr>
          <w:rFonts w:ascii="Palatino Linotype" w:hAnsi="Palatino Linotype" w:cs="Times New Roman"/>
          <w:sz w:val="18"/>
          <w:szCs w:val="18"/>
        </w:rPr>
        <w:t xml:space="preserve"> to present.   </w:t>
      </w:r>
    </w:p>
  </w:footnote>
  <w:footnote w:id="11">
    <w:p w14:paraId="2A43AE6D"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defines time division multiplexing (TDM)-based voice service as “traditional telephone service.”</w:t>
      </w:r>
    </w:p>
  </w:footnote>
  <w:footnote w:id="12">
    <w:p w14:paraId="01876823"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GO 133-D, § 9.1.</w:t>
      </w:r>
    </w:p>
  </w:footnote>
  <w:footnote w:id="13">
    <w:p w14:paraId="42B2C6B4" w14:textId="77777777" w:rsidR="00537E03" w:rsidRPr="00734113" w:rsidRDefault="00537E03" w:rsidP="00755E15">
      <w:pPr>
        <w:pStyle w:val="FootnoteText"/>
        <w:spacing w:after="0" w:line="240" w:lineRule="auto"/>
        <w:rPr>
          <w:rFonts w:ascii="Palatino Linotype" w:hAnsi="Palatino Linotype" w:cs="Times New Roman"/>
          <w:sz w:val="18"/>
          <w:szCs w:val="18"/>
        </w:rPr>
      </w:pPr>
      <w:r w:rsidRPr="00734113">
        <w:rPr>
          <w:rStyle w:val="FootnoteReference"/>
          <w:rFonts w:ascii="Palatino Linotype" w:hAnsi="Palatino Linotype" w:cs="Times New Roman"/>
          <w:sz w:val="18"/>
          <w:szCs w:val="18"/>
        </w:rPr>
        <w:footnoteRef/>
      </w:r>
      <w:r w:rsidRPr="00734113">
        <w:rPr>
          <w:rFonts w:ascii="Palatino Linotype" w:hAnsi="Palatino Linotype" w:cs="Times New Roman"/>
          <w:sz w:val="18"/>
          <w:szCs w:val="18"/>
        </w:rPr>
        <w:t xml:space="preserve"> </w:t>
      </w:r>
      <w:r w:rsidRPr="00734113">
        <w:rPr>
          <w:rFonts w:ascii="Palatino Linotype" w:hAnsi="Palatino Linotype" w:cs="Times New Roman"/>
          <w:i/>
          <w:iCs/>
          <w:sz w:val="18"/>
          <w:szCs w:val="18"/>
        </w:rPr>
        <w:t>Ibid</w:t>
      </w:r>
      <w:r w:rsidRPr="00734113">
        <w:rPr>
          <w:rFonts w:ascii="Palatino Linotype" w:hAnsi="Palatino Linotype" w:cs="Times New Roman"/>
          <w:sz w:val="18"/>
          <w:szCs w:val="18"/>
        </w:rPr>
        <w:t>.</w:t>
      </w:r>
    </w:p>
  </w:footnote>
  <w:footnote w:id="14">
    <w:p w14:paraId="5F7DC5E0" w14:textId="77777777" w:rsidR="00537E03" w:rsidRPr="00755E15" w:rsidRDefault="00537E03" w:rsidP="00755E15">
      <w:pPr>
        <w:pStyle w:val="FootnoteText"/>
        <w:spacing w:after="0" w:line="240" w:lineRule="auto"/>
        <w:rPr>
          <w:rFonts w:ascii="Times New Roman" w:hAnsi="Times New Roman" w:cs="Times New Roman"/>
        </w:rPr>
      </w:pPr>
      <w:r w:rsidRPr="00755E15">
        <w:rPr>
          <w:rStyle w:val="FootnoteReference"/>
          <w:rFonts w:ascii="Times New Roman" w:hAnsi="Times New Roman" w:cs="Times New Roman"/>
        </w:rPr>
        <w:footnoteRef/>
      </w:r>
      <w:r w:rsidRPr="00755E15">
        <w:rPr>
          <w:rFonts w:ascii="Times New Roman" w:hAnsi="Times New Roman" w:cs="Times New Roman"/>
        </w:rPr>
        <w:t xml:space="preserve"> </w:t>
      </w:r>
      <w:r w:rsidRPr="001C2DB7">
        <w:rPr>
          <w:rFonts w:ascii="Palatino Linotype" w:hAnsi="Palatino Linotype" w:cs="Times New Roman"/>
          <w:sz w:val="18"/>
          <w:szCs w:val="18"/>
        </w:rPr>
        <w:t>GO 133-D, § 9.6.  Section 9.6 became effective January 1, 2017</w:t>
      </w:r>
    </w:p>
  </w:footnote>
  <w:footnote w:id="15">
    <w:p w14:paraId="771D098C" w14:textId="13822BCB" w:rsidR="00537E03" w:rsidRPr="001C2DB7" w:rsidRDefault="00537E03" w:rsidP="00755E15">
      <w:pPr>
        <w:pStyle w:val="FootnoteText"/>
        <w:spacing w:after="0" w:line="240" w:lineRule="auto"/>
        <w:rPr>
          <w:rFonts w:ascii="Palatino Linotype" w:hAnsi="Palatino Linotype" w:cs="Times New Roman"/>
          <w:sz w:val="18"/>
          <w:szCs w:val="18"/>
        </w:rPr>
      </w:pPr>
      <w:r w:rsidRPr="001C2DB7">
        <w:rPr>
          <w:rStyle w:val="FootnoteReference"/>
          <w:rFonts w:ascii="Palatino Linotype" w:hAnsi="Palatino Linotype" w:cs="Times New Roman"/>
          <w:sz w:val="18"/>
          <w:szCs w:val="18"/>
        </w:rPr>
        <w:footnoteRef/>
      </w:r>
      <w:r w:rsidRPr="001C2DB7">
        <w:rPr>
          <w:rFonts w:ascii="Palatino Linotype" w:hAnsi="Palatino Linotype" w:cs="Times New Roman"/>
          <w:sz w:val="18"/>
          <w:szCs w:val="18"/>
        </w:rPr>
        <w:t xml:space="preserve"> Annually, the Communications Division prepares a list of the total number of working telephone </w:t>
      </w:r>
      <w:r w:rsidR="00DB2905">
        <w:rPr>
          <w:rFonts w:ascii="Palatino Linotype" w:hAnsi="Palatino Linotype" w:cs="Times New Roman"/>
          <w:sz w:val="18"/>
          <w:szCs w:val="18"/>
        </w:rPr>
        <w:t>working</w:t>
      </w:r>
      <w:r w:rsidRPr="001C2DB7">
        <w:rPr>
          <w:rFonts w:ascii="Palatino Linotype" w:hAnsi="Palatino Linotype" w:cs="Times New Roman"/>
          <w:sz w:val="18"/>
          <w:szCs w:val="18"/>
        </w:rPr>
        <w:t xml:space="preserve"> lines in California from carriers subject to GO 133-D requirements.  Based on carrier size relative to the number of </w:t>
      </w:r>
      <w:r w:rsidR="007B75AB">
        <w:rPr>
          <w:rFonts w:ascii="Palatino Linotype" w:hAnsi="Palatino Linotype" w:cs="Times New Roman"/>
          <w:sz w:val="18"/>
          <w:szCs w:val="18"/>
        </w:rPr>
        <w:t>w</w:t>
      </w:r>
      <w:r w:rsidR="00DB2905">
        <w:rPr>
          <w:rFonts w:ascii="Palatino Linotype" w:hAnsi="Palatino Linotype" w:cs="Times New Roman"/>
          <w:sz w:val="18"/>
          <w:szCs w:val="18"/>
        </w:rPr>
        <w:t>orking</w:t>
      </w:r>
      <w:r w:rsidRPr="001C2DB7">
        <w:rPr>
          <w:rFonts w:ascii="Palatino Linotype" w:hAnsi="Palatino Linotype" w:cs="Times New Roman"/>
          <w:sz w:val="18"/>
          <w:szCs w:val="18"/>
        </w:rPr>
        <w:t xml:space="preserve"> lines it serves at the end of June in the reporting year, a carrier receives its unique Scaling Factor, the percentage of its customers relative to all California telephone customers.  The table of carriers, working lines, and the percentage of working lines served by each carrier appears as a PDF document titled </w:t>
      </w:r>
      <w:r w:rsidRPr="001C2DB7">
        <w:rPr>
          <w:rFonts w:ascii="Palatino Linotype" w:hAnsi="Palatino Linotype" w:cs="Times New Roman"/>
          <w:i/>
          <w:sz w:val="18"/>
          <w:szCs w:val="18"/>
        </w:rPr>
        <w:t xml:space="preserve">Total Number of </w:t>
      </w:r>
      <w:r w:rsidR="00DB2905">
        <w:rPr>
          <w:rFonts w:ascii="Palatino Linotype" w:hAnsi="Palatino Linotype" w:cs="Times New Roman"/>
          <w:i/>
          <w:sz w:val="18"/>
          <w:szCs w:val="18"/>
        </w:rPr>
        <w:t>Working</w:t>
      </w:r>
      <w:r w:rsidRPr="001C2DB7">
        <w:rPr>
          <w:rFonts w:ascii="Palatino Linotype" w:hAnsi="Palatino Linotype" w:cs="Times New Roman"/>
          <w:i/>
          <w:sz w:val="18"/>
          <w:szCs w:val="18"/>
        </w:rPr>
        <w:t xml:space="preserve"> Lines in California for June 20</w:t>
      </w:r>
      <w:r w:rsidR="00756591" w:rsidRPr="001C2DB7">
        <w:rPr>
          <w:rFonts w:ascii="Palatino Linotype" w:hAnsi="Palatino Linotype" w:cs="Times New Roman"/>
          <w:i/>
          <w:sz w:val="18"/>
          <w:szCs w:val="18"/>
        </w:rPr>
        <w:t>2</w:t>
      </w:r>
      <w:r w:rsidR="00DF785C">
        <w:rPr>
          <w:rFonts w:ascii="Palatino Linotype" w:hAnsi="Palatino Linotype" w:cs="Times New Roman"/>
          <w:i/>
          <w:sz w:val="18"/>
          <w:szCs w:val="18"/>
        </w:rPr>
        <w:t>5</w:t>
      </w:r>
      <w:r w:rsidRPr="001C2DB7">
        <w:rPr>
          <w:rFonts w:ascii="Palatino Linotype" w:hAnsi="Palatino Linotype" w:cs="Times New Roman"/>
          <w:i/>
          <w:sz w:val="18"/>
          <w:szCs w:val="18"/>
        </w:rPr>
        <w:t xml:space="preserve"> from Carriers Reporting Under GO 133-D</w:t>
      </w:r>
      <w:r w:rsidRPr="001C2DB7">
        <w:rPr>
          <w:rFonts w:ascii="Palatino Linotype" w:hAnsi="Palatino Linotype" w:cs="Times New Roman"/>
          <w:sz w:val="18"/>
          <w:szCs w:val="18"/>
        </w:rPr>
        <w:t xml:space="preserve"> found under </w:t>
      </w:r>
      <w:r w:rsidRPr="001C2DB7">
        <w:rPr>
          <w:rFonts w:ascii="Palatino Linotype" w:hAnsi="Palatino Linotype" w:cs="Times New Roman"/>
          <w:i/>
          <w:sz w:val="18"/>
          <w:szCs w:val="18"/>
        </w:rPr>
        <w:t>Reference Information</w:t>
      </w:r>
      <w:r w:rsidRPr="001C2DB7">
        <w:rPr>
          <w:rFonts w:ascii="Palatino Linotype" w:hAnsi="Palatino Linotype" w:cs="Times New Roman"/>
          <w:sz w:val="18"/>
          <w:szCs w:val="18"/>
        </w:rPr>
        <w:t xml:space="preserve"> at</w:t>
      </w:r>
      <w:r w:rsidR="00477973" w:rsidRPr="001C2DB7">
        <w:rPr>
          <w:rFonts w:ascii="Palatino Linotype" w:hAnsi="Palatino Linotype" w:cs="Times New Roman"/>
          <w:sz w:val="18"/>
          <w:szCs w:val="18"/>
        </w:rPr>
        <w:t>:</w:t>
      </w:r>
      <w:r w:rsidR="00756591" w:rsidRPr="001C2DB7">
        <w:rPr>
          <w:rFonts w:ascii="Palatino Linotype" w:hAnsi="Palatino Linotype" w:cs="Times New Roman"/>
          <w:sz w:val="18"/>
          <w:szCs w:val="18"/>
        </w:rPr>
        <w:t xml:space="preserve"> </w:t>
      </w:r>
      <w:hyperlink r:id="rId3" w:history="1">
        <w:r w:rsidR="00DF785C">
          <w:rPr>
            <w:rStyle w:val="Hyperlink"/>
            <w:rFonts w:ascii="Palatino Linotype" w:hAnsi="Palatino Linotype" w:cs="Times New Roman"/>
            <w:sz w:val="18"/>
            <w:szCs w:val="18"/>
          </w:rPr>
          <w:t>https://www.cpuc.ca.gov/-/media/cpuc-website/divisions/communications-division/documents/service-quality/june-30-2021-go-133-d-carrier-line-counts.pdf</w:t>
        </w:r>
      </w:hyperlink>
      <w:r w:rsidR="00DF785C">
        <w:t>.</w:t>
      </w:r>
    </w:p>
  </w:footnote>
  <w:footnote w:id="16">
    <w:p w14:paraId="300444A2" w14:textId="77777777" w:rsidR="00537E03" w:rsidRPr="00510032" w:rsidRDefault="00537E03">
      <w:pPr>
        <w:pStyle w:val="FootnoteText"/>
        <w:rPr>
          <w:rFonts w:ascii="Palatino Linotype" w:hAnsi="Palatino Linotype"/>
          <w:sz w:val="18"/>
          <w:szCs w:val="18"/>
        </w:rPr>
      </w:pPr>
      <w:r w:rsidRPr="00510032">
        <w:rPr>
          <w:rStyle w:val="FootnoteReference"/>
          <w:rFonts w:ascii="Palatino Linotype" w:hAnsi="Palatino Linotype"/>
          <w:sz w:val="18"/>
          <w:szCs w:val="18"/>
        </w:rPr>
        <w:footnoteRef/>
      </w:r>
      <w:r w:rsidRPr="00510032">
        <w:rPr>
          <w:rFonts w:ascii="Palatino Linotype" w:hAnsi="Palatino Linotype"/>
          <w:sz w:val="18"/>
          <w:szCs w:val="18"/>
        </w:rPr>
        <w:t xml:space="preserve"> </w:t>
      </w:r>
      <w:r w:rsidR="001F3746" w:rsidRPr="00510032">
        <w:rPr>
          <w:rFonts w:ascii="Palatino Linotype" w:hAnsi="Palatino Linotype"/>
          <w:sz w:val="18"/>
          <w:szCs w:val="18"/>
        </w:rPr>
        <w:t>M</w:t>
      </w:r>
      <w:r w:rsidRPr="00510032">
        <w:rPr>
          <w:rFonts w:ascii="Palatino Linotype" w:hAnsi="Palatino Linotype"/>
          <w:sz w:val="18"/>
          <w:szCs w:val="18"/>
        </w:rPr>
        <w:t>onth</w:t>
      </w:r>
      <w:r w:rsidR="001F3746" w:rsidRPr="00510032">
        <w:rPr>
          <w:rFonts w:ascii="Palatino Linotype" w:hAnsi="Palatino Linotype"/>
          <w:sz w:val="18"/>
          <w:szCs w:val="18"/>
        </w:rPr>
        <w:t>s</w:t>
      </w:r>
      <w:r w:rsidRPr="00510032">
        <w:rPr>
          <w:rFonts w:ascii="Palatino Linotype" w:hAnsi="Palatino Linotype"/>
          <w:sz w:val="18"/>
          <w:szCs w:val="18"/>
        </w:rPr>
        <w:t xml:space="preserve"> that </w:t>
      </w:r>
      <w:r w:rsidR="00FF41AC" w:rsidRPr="00510032">
        <w:rPr>
          <w:rFonts w:ascii="Palatino Linotype" w:hAnsi="Palatino Linotype"/>
          <w:sz w:val="18"/>
          <w:szCs w:val="18"/>
        </w:rPr>
        <w:t>fell below the min</w:t>
      </w:r>
      <w:r w:rsidR="003E1AF7" w:rsidRPr="00510032">
        <w:rPr>
          <w:rFonts w:ascii="Palatino Linotype" w:hAnsi="Palatino Linotype"/>
          <w:sz w:val="18"/>
          <w:szCs w:val="18"/>
        </w:rPr>
        <w:t xml:space="preserve">imum standard show the percentage in red, and months that </w:t>
      </w:r>
      <w:r w:rsidRPr="00510032">
        <w:rPr>
          <w:rFonts w:ascii="Palatino Linotype" w:hAnsi="Palatino Linotype"/>
          <w:sz w:val="18"/>
          <w:szCs w:val="18"/>
        </w:rPr>
        <w:t>incurred a fine</w:t>
      </w:r>
      <w:r w:rsidR="00FF41AC" w:rsidRPr="00510032">
        <w:rPr>
          <w:rFonts w:ascii="Palatino Linotype" w:hAnsi="Palatino Linotype"/>
          <w:sz w:val="18"/>
          <w:szCs w:val="18"/>
        </w:rPr>
        <w:t xml:space="preserve"> are marked with an asterisk</w:t>
      </w:r>
      <w:r w:rsidR="003E1AF7" w:rsidRPr="00510032">
        <w:rPr>
          <w:rFonts w:ascii="Palatino Linotype" w:hAnsi="Palatino Linotype"/>
          <w:sz w:val="18"/>
          <w:szCs w:val="18"/>
        </w:rPr>
        <w:t>.</w:t>
      </w:r>
    </w:p>
  </w:footnote>
  <w:footnote w:id="17">
    <w:p w14:paraId="2EC9CF99" w14:textId="77777777" w:rsidR="009538CB" w:rsidRDefault="009538CB" w:rsidP="009538CB">
      <w:pPr>
        <w:pStyle w:val="FootnoteText"/>
      </w:pPr>
      <w:r>
        <w:rPr>
          <w:rStyle w:val="FootnoteReference"/>
        </w:rPr>
        <w:footnoteRef/>
      </w:r>
      <w:r>
        <w:t xml:space="preserve"> </w:t>
      </w:r>
      <w:r w:rsidRPr="001C2DB7">
        <w:rPr>
          <w:rFonts w:ascii="Palatino Linotype" w:hAnsi="Palatino Linotype" w:cs="Times New Roman"/>
          <w:sz w:val="18"/>
          <w:szCs w:val="18"/>
        </w:rPr>
        <w:t>GO 133-D, § 9.</w:t>
      </w:r>
      <w:r>
        <w:rPr>
          <w:rFonts w:ascii="Palatino Linotype" w:hAnsi="Palatino Linotype" w:cs="Times New Roman"/>
          <w:sz w:val="18"/>
          <w:szCs w:val="18"/>
        </w:rPr>
        <w:t xml:space="preserve">5.  The initial base fine is $500 per day (1 to 3 months), which will escalate to the highest daily fine of $2,000 per day (12 months or longer). </w:t>
      </w:r>
    </w:p>
  </w:footnote>
  <w:footnote w:id="18">
    <w:p w14:paraId="6EAE1847" w14:textId="77777777" w:rsidR="005764DE" w:rsidRDefault="005764DE" w:rsidP="005764DE">
      <w:pPr>
        <w:pStyle w:val="FootnoteText"/>
      </w:pPr>
      <w:r>
        <w:rPr>
          <w:rStyle w:val="FootnoteReference"/>
        </w:rPr>
        <w:footnoteRef/>
      </w:r>
      <w:r>
        <w:t xml:space="preserve"> </w:t>
      </w:r>
      <w:r w:rsidRPr="001C2DB7">
        <w:rPr>
          <w:rFonts w:ascii="Palatino Linotype" w:hAnsi="Palatino Linotype" w:cs="Times New Roman"/>
          <w:sz w:val="18"/>
          <w:szCs w:val="18"/>
        </w:rPr>
        <w:t>GO 133-D, § 9.</w:t>
      </w:r>
      <w:r>
        <w:rPr>
          <w:rFonts w:ascii="Palatino Linotype" w:hAnsi="Palatino Linotype" w:cs="Times New Roman"/>
          <w:sz w:val="18"/>
          <w:szCs w:val="18"/>
        </w:rPr>
        <w:t xml:space="preserve">6.  The minimum annual fine shall be no lower than the registration fee for a CPCN.  The CPCN registration fee is $500 per P.U. Code </w:t>
      </w:r>
      <w:r w:rsidRPr="001C2DB7">
        <w:rPr>
          <w:rFonts w:ascii="Palatino Linotype" w:hAnsi="Palatino Linotype" w:cs="Times New Roman"/>
          <w:sz w:val="18"/>
          <w:szCs w:val="18"/>
        </w:rPr>
        <w:t>§</w:t>
      </w:r>
      <w:r>
        <w:rPr>
          <w:rFonts w:ascii="Palatino Linotype" w:hAnsi="Palatino Linotype" w:cs="Times New Roman"/>
          <w:sz w:val="18"/>
          <w:szCs w:val="18"/>
        </w:rPr>
        <w:t>1001.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2265" w14:textId="588D72E2" w:rsidR="00537E03" w:rsidRPr="004F5237" w:rsidRDefault="00537E03" w:rsidP="008D5791">
    <w:pPr>
      <w:pStyle w:val="Header"/>
      <w:tabs>
        <w:tab w:val="clear" w:pos="4320"/>
        <w:tab w:val="clear" w:pos="8640"/>
        <w:tab w:val="left" w:pos="0"/>
        <w:tab w:val="center" w:pos="4410"/>
        <w:tab w:val="right" w:pos="9360"/>
      </w:tabs>
      <w:rPr>
        <w:rFonts w:ascii="Palatino Linotype" w:hAnsi="Palatino Linotype"/>
        <w:sz w:val="24"/>
        <w:szCs w:val="24"/>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4D1F" w14:textId="4F3571AB" w:rsidR="00537E03" w:rsidRPr="00287772" w:rsidRDefault="00996321" w:rsidP="007B603D">
    <w:pPr>
      <w:pStyle w:val="Header"/>
      <w:spacing w:after="0" w:line="240" w:lineRule="auto"/>
      <w:rPr>
        <w:rFonts w:ascii="Palatino Linotype" w:hAnsi="Palatino Linotype"/>
        <w:sz w:val="24"/>
        <w:szCs w:val="24"/>
      </w:rPr>
    </w:pPr>
    <w:r w:rsidRPr="00287772">
      <w:rPr>
        <w:rFonts w:ascii="Palatino Linotype" w:hAnsi="Palatino Linotype"/>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0D19" w14:textId="35C96BFD" w:rsidR="00537E03" w:rsidRDefault="00537E03" w:rsidP="00755E15">
    <w:pPr>
      <w:pStyle w:val="Header"/>
      <w:tabs>
        <w:tab w:val="clear" w:pos="4320"/>
        <w:tab w:val="clear" w:pos="8640"/>
        <w:tab w:val="left" w:pos="0"/>
        <w:tab w:val="center" w:pos="4410"/>
        <w:tab w:val="right" w:pos="9360"/>
      </w:tabs>
      <w:spacing w:after="0" w:line="240" w:lineRule="auto"/>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6F98" w14:textId="77777777" w:rsidR="00537E03" w:rsidRPr="00966429" w:rsidRDefault="00537E03" w:rsidP="00966429">
    <w:pPr>
      <w:pStyle w:val="Header"/>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CC7"/>
    <w:multiLevelType w:val="hybridMultilevel"/>
    <w:tmpl w:val="41801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DB7819"/>
    <w:multiLevelType w:val="singleLevel"/>
    <w:tmpl w:val="0409000F"/>
    <w:lvl w:ilvl="0">
      <w:start w:val="1"/>
      <w:numFmt w:val="decimal"/>
      <w:lvlText w:val="%1."/>
      <w:lvlJc w:val="left"/>
      <w:pPr>
        <w:ind w:left="360" w:hanging="360"/>
      </w:pPr>
    </w:lvl>
  </w:abstractNum>
  <w:abstractNum w:abstractNumId="3" w15:restartNumberingAfterBreak="0">
    <w:nsid w:val="114420F1"/>
    <w:multiLevelType w:val="hybridMultilevel"/>
    <w:tmpl w:val="B546E9B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FB5EE0"/>
    <w:multiLevelType w:val="hybridMultilevel"/>
    <w:tmpl w:val="8F4AA8B8"/>
    <w:lvl w:ilvl="0" w:tplc="5C86DAB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5702D"/>
    <w:multiLevelType w:val="hybridMultilevel"/>
    <w:tmpl w:val="F8AEF05C"/>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1F56664"/>
    <w:multiLevelType w:val="hybridMultilevel"/>
    <w:tmpl w:val="9830DAFC"/>
    <w:lvl w:ilvl="0" w:tplc="A364E1EE">
      <w:start w:val="1"/>
      <w:numFmt w:val="bullet"/>
      <w:lvlText w:val=""/>
      <w:lvlJc w:val="left"/>
      <w:pPr>
        <w:ind w:left="2160" w:hanging="360"/>
      </w:pPr>
      <w:rPr>
        <w:rFonts w:ascii="Symbol" w:hAnsi="Symbol"/>
      </w:rPr>
    </w:lvl>
    <w:lvl w:ilvl="1" w:tplc="E632C6C2">
      <w:start w:val="1"/>
      <w:numFmt w:val="bullet"/>
      <w:lvlText w:val=""/>
      <w:lvlJc w:val="left"/>
      <w:pPr>
        <w:ind w:left="2160" w:hanging="360"/>
      </w:pPr>
      <w:rPr>
        <w:rFonts w:ascii="Symbol" w:hAnsi="Symbol"/>
      </w:rPr>
    </w:lvl>
    <w:lvl w:ilvl="2" w:tplc="910E695E">
      <w:start w:val="1"/>
      <w:numFmt w:val="bullet"/>
      <w:lvlText w:val=""/>
      <w:lvlJc w:val="left"/>
      <w:pPr>
        <w:ind w:left="2160" w:hanging="360"/>
      </w:pPr>
      <w:rPr>
        <w:rFonts w:ascii="Symbol" w:hAnsi="Symbol"/>
      </w:rPr>
    </w:lvl>
    <w:lvl w:ilvl="3" w:tplc="B6AC8556">
      <w:start w:val="1"/>
      <w:numFmt w:val="bullet"/>
      <w:lvlText w:val=""/>
      <w:lvlJc w:val="left"/>
      <w:pPr>
        <w:ind w:left="2160" w:hanging="360"/>
      </w:pPr>
      <w:rPr>
        <w:rFonts w:ascii="Symbol" w:hAnsi="Symbol"/>
      </w:rPr>
    </w:lvl>
    <w:lvl w:ilvl="4" w:tplc="CB8A0712">
      <w:start w:val="1"/>
      <w:numFmt w:val="bullet"/>
      <w:lvlText w:val=""/>
      <w:lvlJc w:val="left"/>
      <w:pPr>
        <w:ind w:left="2160" w:hanging="360"/>
      </w:pPr>
      <w:rPr>
        <w:rFonts w:ascii="Symbol" w:hAnsi="Symbol"/>
      </w:rPr>
    </w:lvl>
    <w:lvl w:ilvl="5" w:tplc="8786B93A">
      <w:start w:val="1"/>
      <w:numFmt w:val="bullet"/>
      <w:lvlText w:val=""/>
      <w:lvlJc w:val="left"/>
      <w:pPr>
        <w:ind w:left="2160" w:hanging="360"/>
      </w:pPr>
      <w:rPr>
        <w:rFonts w:ascii="Symbol" w:hAnsi="Symbol"/>
      </w:rPr>
    </w:lvl>
    <w:lvl w:ilvl="6" w:tplc="8CC2854C">
      <w:start w:val="1"/>
      <w:numFmt w:val="bullet"/>
      <w:lvlText w:val=""/>
      <w:lvlJc w:val="left"/>
      <w:pPr>
        <w:ind w:left="2160" w:hanging="360"/>
      </w:pPr>
      <w:rPr>
        <w:rFonts w:ascii="Symbol" w:hAnsi="Symbol"/>
      </w:rPr>
    </w:lvl>
    <w:lvl w:ilvl="7" w:tplc="1A2A3470">
      <w:start w:val="1"/>
      <w:numFmt w:val="bullet"/>
      <w:lvlText w:val=""/>
      <w:lvlJc w:val="left"/>
      <w:pPr>
        <w:ind w:left="2160" w:hanging="360"/>
      </w:pPr>
      <w:rPr>
        <w:rFonts w:ascii="Symbol" w:hAnsi="Symbol"/>
      </w:rPr>
    </w:lvl>
    <w:lvl w:ilvl="8" w:tplc="18BE9F5E">
      <w:start w:val="1"/>
      <w:numFmt w:val="bullet"/>
      <w:lvlText w:val=""/>
      <w:lvlJc w:val="left"/>
      <w:pPr>
        <w:ind w:left="2160" w:hanging="360"/>
      </w:pPr>
      <w:rPr>
        <w:rFonts w:ascii="Symbol" w:hAnsi="Symbol"/>
      </w:rPr>
    </w:lvl>
  </w:abstractNum>
  <w:abstractNum w:abstractNumId="7" w15:restartNumberingAfterBreak="0">
    <w:nsid w:val="292773B9"/>
    <w:multiLevelType w:val="hybridMultilevel"/>
    <w:tmpl w:val="861A1720"/>
    <w:lvl w:ilvl="0" w:tplc="A12C8BD8">
      <w:start w:val="1"/>
      <w:numFmt w:val="upperLetter"/>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60055A"/>
    <w:multiLevelType w:val="hybridMultilevel"/>
    <w:tmpl w:val="3A5C32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C31EE4"/>
    <w:multiLevelType w:val="hybridMultilevel"/>
    <w:tmpl w:val="CF3845EA"/>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E377945"/>
    <w:multiLevelType w:val="hybridMultilevel"/>
    <w:tmpl w:val="83E8C4DE"/>
    <w:lvl w:ilvl="0" w:tplc="00586D38">
      <w:start w:val="1"/>
      <w:numFmt w:val="decimal"/>
      <w:lvlText w:val="%1."/>
      <w:lvlJc w:val="left"/>
      <w:pPr>
        <w:tabs>
          <w:tab w:val="num" w:pos="240"/>
        </w:tabs>
        <w:ind w:left="240" w:hanging="600"/>
      </w:pPr>
      <w:rPr>
        <w:rFonts w:hint="default"/>
        <w:color w:val="auto"/>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437E7CF8"/>
    <w:multiLevelType w:val="hybridMultilevel"/>
    <w:tmpl w:val="55C01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C3212"/>
    <w:multiLevelType w:val="hybridMultilevel"/>
    <w:tmpl w:val="3B849852"/>
    <w:lvl w:ilvl="0" w:tplc="A99A1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3E5C68"/>
    <w:multiLevelType w:val="hybridMultilevel"/>
    <w:tmpl w:val="B15A3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986941"/>
    <w:multiLevelType w:val="multilevel"/>
    <w:tmpl w:val="62B8B3EE"/>
    <w:lvl w:ilvl="0">
      <w:numFmt w:val="decimal"/>
      <w:lvlText w:val="(%1."/>
      <w:lvlJc w:val="left"/>
      <w:pPr>
        <w:ind w:left="880" w:hanging="880"/>
      </w:pPr>
      <w:rPr>
        <w:rFonts w:hint="default"/>
      </w:rPr>
    </w:lvl>
    <w:lvl w:ilvl="1">
      <w:start w:val="1"/>
      <w:numFmt w:val="decimalZero"/>
      <w:lvlText w:val="(%1.%2)"/>
      <w:lvlJc w:val="left"/>
      <w:pPr>
        <w:ind w:left="1600" w:hanging="880"/>
      </w:pPr>
      <w:rPr>
        <w:rFonts w:hint="default"/>
      </w:rPr>
    </w:lvl>
    <w:lvl w:ilvl="2">
      <w:start w:val="1"/>
      <w:numFmt w:val="decimal"/>
      <w:lvlText w:val="(%1.%2)%3."/>
      <w:lvlJc w:val="left"/>
      <w:pPr>
        <w:ind w:left="2320" w:hanging="8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6" w15:restartNumberingAfterBreak="0">
    <w:nsid w:val="585F0096"/>
    <w:multiLevelType w:val="hybridMultilevel"/>
    <w:tmpl w:val="E4EA6AE4"/>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51702EB"/>
    <w:multiLevelType w:val="hybridMultilevel"/>
    <w:tmpl w:val="C44C243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AD945C3"/>
    <w:multiLevelType w:val="hybridMultilevel"/>
    <w:tmpl w:val="33220DF4"/>
    <w:lvl w:ilvl="0" w:tplc="A99A12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AA5868"/>
    <w:multiLevelType w:val="hybridMultilevel"/>
    <w:tmpl w:val="6D5CFC86"/>
    <w:lvl w:ilvl="0" w:tplc="98D807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2B67A14"/>
    <w:multiLevelType w:val="hybridMultilevel"/>
    <w:tmpl w:val="09C2990C"/>
    <w:lvl w:ilvl="0" w:tplc="D936959A">
      <w:start w:val="1"/>
      <w:numFmt w:val="upperLetter"/>
      <w:lvlText w:val="%1."/>
      <w:lvlJc w:val="left"/>
      <w:pPr>
        <w:ind w:left="2520" w:hanging="360"/>
      </w:pPr>
      <w:rPr>
        <w:rFonts w:hint="default"/>
        <w:i w:val="0"/>
        <w:i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60919104">
    <w:abstractNumId w:val="10"/>
  </w:num>
  <w:num w:numId="2" w16cid:durableId="51344285">
    <w:abstractNumId w:val="1"/>
  </w:num>
  <w:num w:numId="3" w16cid:durableId="1470433864">
    <w:abstractNumId w:val="0"/>
  </w:num>
  <w:num w:numId="4" w16cid:durableId="457334305">
    <w:abstractNumId w:val="11"/>
  </w:num>
  <w:num w:numId="5" w16cid:durableId="506676724">
    <w:abstractNumId w:val="18"/>
  </w:num>
  <w:num w:numId="6" w16cid:durableId="2052529525">
    <w:abstractNumId w:val="15"/>
  </w:num>
  <w:num w:numId="7" w16cid:durableId="1392536971">
    <w:abstractNumId w:val="2"/>
  </w:num>
  <w:num w:numId="8" w16cid:durableId="1233739103">
    <w:abstractNumId w:val="12"/>
  </w:num>
  <w:num w:numId="9" w16cid:durableId="1963220767">
    <w:abstractNumId w:val="8"/>
  </w:num>
  <w:num w:numId="10" w16cid:durableId="825508993">
    <w:abstractNumId w:val="7"/>
  </w:num>
  <w:num w:numId="11" w16cid:durableId="1913658223">
    <w:abstractNumId w:val="14"/>
  </w:num>
  <w:num w:numId="12" w16cid:durableId="236716611">
    <w:abstractNumId w:val="13"/>
  </w:num>
  <w:num w:numId="13" w16cid:durableId="1506819610">
    <w:abstractNumId w:val="4"/>
  </w:num>
  <w:num w:numId="14" w16cid:durableId="934245945">
    <w:abstractNumId w:val="3"/>
  </w:num>
  <w:num w:numId="15" w16cid:durableId="155654830">
    <w:abstractNumId w:val="20"/>
  </w:num>
  <w:num w:numId="16" w16cid:durableId="1233275790">
    <w:abstractNumId w:val="9"/>
  </w:num>
  <w:num w:numId="17" w16cid:durableId="900679284">
    <w:abstractNumId w:val="5"/>
  </w:num>
  <w:num w:numId="18" w16cid:durableId="2002272155">
    <w:abstractNumId w:val="16"/>
  </w:num>
  <w:num w:numId="19" w16cid:durableId="2033914563">
    <w:abstractNumId w:val="19"/>
  </w:num>
  <w:num w:numId="20" w16cid:durableId="1765808524">
    <w:abstractNumId w:val="17"/>
  </w:num>
  <w:num w:numId="21" w16cid:durableId="5294918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18D8"/>
    <w:rsid w:val="00002676"/>
    <w:rsid w:val="00003B52"/>
    <w:rsid w:val="00003D8A"/>
    <w:rsid w:val="0000410B"/>
    <w:rsid w:val="00004458"/>
    <w:rsid w:val="00005A55"/>
    <w:rsid w:val="00006481"/>
    <w:rsid w:val="00006944"/>
    <w:rsid w:val="0000760D"/>
    <w:rsid w:val="00012D69"/>
    <w:rsid w:val="00013029"/>
    <w:rsid w:val="00013DE0"/>
    <w:rsid w:val="00014301"/>
    <w:rsid w:val="00014683"/>
    <w:rsid w:val="00014BA9"/>
    <w:rsid w:val="000156EC"/>
    <w:rsid w:val="00015BB0"/>
    <w:rsid w:val="00015C7E"/>
    <w:rsid w:val="00015EB0"/>
    <w:rsid w:val="00016336"/>
    <w:rsid w:val="0001663A"/>
    <w:rsid w:val="00016E7A"/>
    <w:rsid w:val="0001742D"/>
    <w:rsid w:val="00021C9C"/>
    <w:rsid w:val="00021D1D"/>
    <w:rsid w:val="00021FE8"/>
    <w:rsid w:val="000230B0"/>
    <w:rsid w:val="00023A7C"/>
    <w:rsid w:val="00024AFF"/>
    <w:rsid w:val="00024FBE"/>
    <w:rsid w:val="00025A1C"/>
    <w:rsid w:val="0002740D"/>
    <w:rsid w:val="0002755E"/>
    <w:rsid w:val="000279D2"/>
    <w:rsid w:val="00027B4B"/>
    <w:rsid w:val="00030604"/>
    <w:rsid w:val="00031292"/>
    <w:rsid w:val="00031560"/>
    <w:rsid w:val="00032651"/>
    <w:rsid w:val="000328F9"/>
    <w:rsid w:val="00032AD8"/>
    <w:rsid w:val="00033467"/>
    <w:rsid w:val="00034FA8"/>
    <w:rsid w:val="00035409"/>
    <w:rsid w:val="00035821"/>
    <w:rsid w:val="00035EF6"/>
    <w:rsid w:val="000364BB"/>
    <w:rsid w:val="00036CDD"/>
    <w:rsid w:val="000405FD"/>
    <w:rsid w:val="00040BED"/>
    <w:rsid w:val="00040F85"/>
    <w:rsid w:val="0004177E"/>
    <w:rsid w:val="00042171"/>
    <w:rsid w:val="00042335"/>
    <w:rsid w:val="00044A4C"/>
    <w:rsid w:val="00045062"/>
    <w:rsid w:val="000451C0"/>
    <w:rsid w:val="000455B7"/>
    <w:rsid w:val="00045C40"/>
    <w:rsid w:val="000462B4"/>
    <w:rsid w:val="000478D3"/>
    <w:rsid w:val="00047FF1"/>
    <w:rsid w:val="0005023F"/>
    <w:rsid w:val="0005091D"/>
    <w:rsid w:val="00050AB7"/>
    <w:rsid w:val="00050B03"/>
    <w:rsid w:val="00053EED"/>
    <w:rsid w:val="000545BE"/>
    <w:rsid w:val="000559CD"/>
    <w:rsid w:val="00055A75"/>
    <w:rsid w:val="00055A86"/>
    <w:rsid w:val="000570B3"/>
    <w:rsid w:val="00057B00"/>
    <w:rsid w:val="0006023A"/>
    <w:rsid w:val="00060ABA"/>
    <w:rsid w:val="00061891"/>
    <w:rsid w:val="00061C68"/>
    <w:rsid w:val="00062791"/>
    <w:rsid w:val="00062966"/>
    <w:rsid w:val="0006338B"/>
    <w:rsid w:val="00063659"/>
    <w:rsid w:val="00064AF6"/>
    <w:rsid w:val="0006543E"/>
    <w:rsid w:val="00065CA3"/>
    <w:rsid w:val="00066807"/>
    <w:rsid w:val="00066B61"/>
    <w:rsid w:val="00066D31"/>
    <w:rsid w:val="00067039"/>
    <w:rsid w:val="00067192"/>
    <w:rsid w:val="00067CAC"/>
    <w:rsid w:val="00067D39"/>
    <w:rsid w:val="00071297"/>
    <w:rsid w:val="00073373"/>
    <w:rsid w:val="0007379A"/>
    <w:rsid w:val="00073EC5"/>
    <w:rsid w:val="00075B1E"/>
    <w:rsid w:val="00075FA1"/>
    <w:rsid w:val="00076162"/>
    <w:rsid w:val="0007642F"/>
    <w:rsid w:val="00076B51"/>
    <w:rsid w:val="00076D39"/>
    <w:rsid w:val="00076DF7"/>
    <w:rsid w:val="00077642"/>
    <w:rsid w:val="00077CEE"/>
    <w:rsid w:val="000800CC"/>
    <w:rsid w:val="00080114"/>
    <w:rsid w:val="0008020F"/>
    <w:rsid w:val="0008068C"/>
    <w:rsid w:val="00080D6D"/>
    <w:rsid w:val="00082101"/>
    <w:rsid w:val="000827F0"/>
    <w:rsid w:val="00083A24"/>
    <w:rsid w:val="00084C73"/>
    <w:rsid w:val="00085712"/>
    <w:rsid w:val="000859EC"/>
    <w:rsid w:val="00085F4D"/>
    <w:rsid w:val="00086175"/>
    <w:rsid w:val="0008653C"/>
    <w:rsid w:val="00087431"/>
    <w:rsid w:val="00087AFA"/>
    <w:rsid w:val="00087C41"/>
    <w:rsid w:val="000902F2"/>
    <w:rsid w:val="00092868"/>
    <w:rsid w:val="00092F18"/>
    <w:rsid w:val="0009322B"/>
    <w:rsid w:val="0009367F"/>
    <w:rsid w:val="00093C21"/>
    <w:rsid w:val="00094470"/>
    <w:rsid w:val="00094A89"/>
    <w:rsid w:val="00095502"/>
    <w:rsid w:val="00095725"/>
    <w:rsid w:val="00095A83"/>
    <w:rsid w:val="000978C4"/>
    <w:rsid w:val="000979D9"/>
    <w:rsid w:val="000A059A"/>
    <w:rsid w:val="000A08C2"/>
    <w:rsid w:val="000A0C02"/>
    <w:rsid w:val="000A18DF"/>
    <w:rsid w:val="000A1D9F"/>
    <w:rsid w:val="000A23E3"/>
    <w:rsid w:val="000A2836"/>
    <w:rsid w:val="000A365F"/>
    <w:rsid w:val="000A4B1E"/>
    <w:rsid w:val="000A4BFA"/>
    <w:rsid w:val="000A6E9E"/>
    <w:rsid w:val="000A77DF"/>
    <w:rsid w:val="000B1EDE"/>
    <w:rsid w:val="000B2C74"/>
    <w:rsid w:val="000B47B3"/>
    <w:rsid w:val="000B4D28"/>
    <w:rsid w:val="000B57FA"/>
    <w:rsid w:val="000B5A0D"/>
    <w:rsid w:val="000B5BA3"/>
    <w:rsid w:val="000B6749"/>
    <w:rsid w:val="000B67A4"/>
    <w:rsid w:val="000B686E"/>
    <w:rsid w:val="000B7070"/>
    <w:rsid w:val="000C0B92"/>
    <w:rsid w:val="000C0BC3"/>
    <w:rsid w:val="000C2A9E"/>
    <w:rsid w:val="000C2EB3"/>
    <w:rsid w:val="000C2FAB"/>
    <w:rsid w:val="000C3528"/>
    <w:rsid w:val="000C47C2"/>
    <w:rsid w:val="000C5C2E"/>
    <w:rsid w:val="000C6055"/>
    <w:rsid w:val="000C6803"/>
    <w:rsid w:val="000C6FD0"/>
    <w:rsid w:val="000C70EF"/>
    <w:rsid w:val="000C76E7"/>
    <w:rsid w:val="000D00B8"/>
    <w:rsid w:val="000D09D6"/>
    <w:rsid w:val="000D0EC5"/>
    <w:rsid w:val="000D106B"/>
    <w:rsid w:val="000D1240"/>
    <w:rsid w:val="000D1702"/>
    <w:rsid w:val="000D1C66"/>
    <w:rsid w:val="000D1C7B"/>
    <w:rsid w:val="000D1EED"/>
    <w:rsid w:val="000D2598"/>
    <w:rsid w:val="000D25E4"/>
    <w:rsid w:val="000D2D3D"/>
    <w:rsid w:val="000D35E3"/>
    <w:rsid w:val="000D377B"/>
    <w:rsid w:val="000D3F63"/>
    <w:rsid w:val="000D41D5"/>
    <w:rsid w:val="000D4A96"/>
    <w:rsid w:val="000D55C3"/>
    <w:rsid w:val="000D5CDC"/>
    <w:rsid w:val="000D5F7F"/>
    <w:rsid w:val="000D6531"/>
    <w:rsid w:val="000D7233"/>
    <w:rsid w:val="000D79E7"/>
    <w:rsid w:val="000E0402"/>
    <w:rsid w:val="000E0614"/>
    <w:rsid w:val="000E2021"/>
    <w:rsid w:val="000E26CC"/>
    <w:rsid w:val="000E31E8"/>
    <w:rsid w:val="000E37EF"/>
    <w:rsid w:val="000E3BD1"/>
    <w:rsid w:val="000E3EDA"/>
    <w:rsid w:val="000E4644"/>
    <w:rsid w:val="000E4F47"/>
    <w:rsid w:val="000E503E"/>
    <w:rsid w:val="000E557B"/>
    <w:rsid w:val="000E57B3"/>
    <w:rsid w:val="000E59D4"/>
    <w:rsid w:val="000E660D"/>
    <w:rsid w:val="000E696D"/>
    <w:rsid w:val="000E75B5"/>
    <w:rsid w:val="000F0161"/>
    <w:rsid w:val="000F0F95"/>
    <w:rsid w:val="000F11B6"/>
    <w:rsid w:val="000F1ABD"/>
    <w:rsid w:val="000F3054"/>
    <w:rsid w:val="000F32F8"/>
    <w:rsid w:val="000F344A"/>
    <w:rsid w:val="000F4506"/>
    <w:rsid w:val="000F4F5D"/>
    <w:rsid w:val="000F5608"/>
    <w:rsid w:val="000F58D1"/>
    <w:rsid w:val="000F63FA"/>
    <w:rsid w:val="000F6D13"/>
    <w:rsid w:val="0010055A"/>
    <w:rsid w:val="00100C10"/>
    <w:rsid w:val="00100C5F"/>
    <w:rsid w:val="0010113E"/>
    <w:rsid w:val="00101211"/>
    <w:rsid w:val="00101624"/>
    <w:rsid w:val="00102405"/>
    <w:rsid w:val="0010336B"/>
    <w:rsid w:val="00103570"/>
    <w:rsid w:val="0010358E"/>
    <w:rsid w:val="00104186"/>
    <w:rsid w:val="00104BE3"/>
    <w:rsid w:val="00106A00"/>
    <w:rsid w:val="00106AFB"/>
    <w:rsid w:val="00106C6C"/>
    <w:rsid w:val="00106DB1"/>
    <w:rsid w:val="00107A21"/>
    <w:rsid w:val="0011014E"/>
    <w:rsid w:val="00110237"/>
    <w:rsid w:val="00110B18"/>
    <w:rsid w:val="00110B51"/>
    <w:rsid w:val="00111A19"/>
    <w:rsid w:val="00112CA0"/>
    <w:rsid w:val="001137FC"/>
    <w:rsid w:val="00113A39"/>
    <w:rsid w:val="00113B18"/>
    <w:rsid w:val="00114600"/>
    <w:rsid w:val="00115DB6"/>
    <w:rsid w:val="00116323"/>
    <w:rsid w:val="00116F74"/>
    <w:rsid w:val="00117B3E"/>
    <w:rsid w:val="00117ED0"/>
    <w:rsid w:val="001201C6"/>
    <w:rsid w:val="001203CF"/>
    <w:rsid w:val="0012047A"/>
    <w:rsid w:val="00120F38"/>
    <w:rsid w:val="00120FAC"/>
    <w:rsid w:val="00121866"/>
    <w:rsid w:val="00121D49"/>
    <w:rsid w:val="001222D7"/>
    <w:rsid w:val="001229E3"/>
    <w:rsid w:val="00122B37"/>
    <w:rsid w:val="00124831"/>
    <w:rsid w:val="001269A2"/>
    <w:rsid w:val="001269D6"/>
    <w:rsid w:val="001273CE"/>
    <w:rsid w:val="001276D7"/>
    <w:rsid w:val="00130339"/>
    <w:rsid w:val="001305B0"/>
    <w:rsid w:val="00131F8D"/>
    <w:rsid w:val="00132663"/>
    <w:rsid w:val="00132B3B"/>
    <w:rsid w:val="00135607"/>
    <w:rsid w:val="00135B1E"/>
    <w:rsid w:val="00135FA2"/>
    <w:rsid w:val="00136198"/>
    <w:rsid w:val="00136CE6"/>
    <w:rsid w:val="00140B72"/>
    <w:rsid w:val="00140CB0"/>
    <w:rsid w:val="00141594"/>
    <w:rsid w:val="00141F58"/>
    <w:rsid w:val="001428E8"/>
    <w:rsid w:val="00143642"/>
    <w:rsid w:val="00143BFA"/>
    <w:rsid w:val="0014432E"/>
    <w:rsid w:val="0014447C"/>
    <w:rsid w:val="00144A2A"/>
    <w:rsid w:val="00145844"/>
    <w:rsid w:val="00146237"/>
    <w:rsid w:val="00146276"/>
    <w:rsid w:val="00146354"/>
    <w:rsid w:val="00146A9A"/>
    <w:rsid w:val="00146F8B"/>
    <w:rsid w:val="00150598"/>
    <w:rsid w:val="001514BA"/>
    <w:rsid w:val="00152714"/>
    <w:rsid w:val="001531B2"/>
    <w:rsid w:val="00153425"/>
    <w:rsid w:val="00153665"/>
    <w:rsid w:val="00154B09"/>
    <w:rsid w:val="00154C57"/>
    <w:rsid w:val="001557C1"/>
    <w:rsid w:val="00155D31"/>
    <w:rsid w:val="001566BE"/>
    <w:rsid w:val="0015670C"/>
    <w:rsid w:val="001572D8"/>
    <w:rsid w:val="001601F9"/>
    <w:rsid w:val="0016038D"/>
    <w:rsid w:val="00160E45"/>
    <w:rsid w:val="001618B7"/>
    <w:rsid w:val="001621BD"/>
    <w:rsid w:val="00162322"/>
    <w:rsid w:val="00162B96"/>
    <w:rsid w:val="00163250"/>
    <w:rsid w:val="001634B1"/>
    <w:rsid w:val="001639D6"/>
    <w:rsid w:val="00163B16"/>
    <w:rsid w:val="00163B1C"/>
    <w:rsid w:val="001640E9"/>
    <w:rsid w:val="00165740"/>
    <w:rsid w:val="0016617C"/>
    <w:rsid w:val="001661B8"/>
    <w:rsid w:val="001662FB"/>
    <w:rsid w:val="001671AB"/>
    <w:rsid w:val="00167A40"/>
    <w:rsid w:val="00167DDC"/>
    <w:rsid w:val="00171701"/>
    <w:rsid w:val="00172F35"/>
    <w:rsid w:val="0017318F"/>
    <w:rsid w:val="00174A2A"/>
    <w:rsid w:val="0017584D"/>
    <w:rsid w:val="001766F3"/>
    <w:rsid w:val="00177BBE"/>
    <w:rsid w:val="00180011"/>
    <w:rsid w:val="00180470"/>
    <w:rsid w:val="00181715"/>
    <w:rsid w:val="00181752"/>
    <w:rsid w:val="00181A72"/>
    <w:rsid w:val="00182DB2"/>
    <w:rsid w:val="00182EBA"/>
    <w:rsid w:val="00183FA7"/>
    <w:rsid w:val="00184806"/>
    <w:rsid w:val="00185A5C"/>
    <w:rsid w:val="00186D8F"/>
    <w:rsid w:val="00187F43"/>
    <w:rsid w:val="00190B50"/>
    <w:rsid w:val="00190C96"/>
    <w:rsid w:val="00192048"/>
    <w:rsid w:val="001921D5"/>
    <w:rsid w:val="00192745"/>
    <w:rsid w:val="00192D5B"/>
    <w:rsid w:val="00193202"/>
    <w:rsid w:val="0019367E"/>
    <w:rsid w:val="00193DF5"/>
    <w:rsid w:val="001949E5"/>
    <w:rsid w:val="00195530"/>
    <w:rsid w:val="00195AD8"/>
    <w:rsid w:val="001974DE"/>
    <w:rsid w:val="001A1050"/>
    <w:rsid w:val="001A1B03"/>
    <w:rsid w:val="001A1E18"/>
    <w:rsid w:val="001A2549"/>
    <w:rsid w:val="001A30BF"/>
    <w:rsid w:val="001A3767"/>
    <w:rsid w:val="001A3951"/>
    <w:rsid w:val="001A511D"/>
    <w:rsid w:val="001A57F1"/>
    <w:rsid w:val="001A5863"/>
    <w:rsid w:val="001A62D9"/>
    <w:rsid w:val="001A6DE6"/>
    <w:rsid w:val="001A7294"/>
    <w:rsid w:val="001A7E74"/>
    <w:rsid w:val="001B0214"/>
    <w:rsid w:val="001B11E8"/>
    <w:rsid w:val="001B1C70"/>
    <w:rsid w:val="001B1CBB"/>
    <w:rsid w:val="001B23AF"/>
    <w:rsid w:val="001B282F"/>
    <w:rsid w:val="001B2A28"/>
    <w:rsid w:val="001B2F83"/>
    <w:rsid w:val="001B3E27"/>
    <w:rsid w:val="001B60C6"/>
    <w:rsid w:val="001B6DAA"/>
    <w:rsid w:val="001B76D0"/>
    <w:rsid w:val="001C08AB"/>
    <w:rsid w:val="001C0B3A"/>
    <w:rsid w:val="001C1175"/>
    <w:rsid w:val="001C175E"/>
    <w:rsid w:val="001C1B10"/>
    <w:rsid w:val="001C21AA"/>
    <w:rsid w:val="001C2DB7"/>
    <w:rsid w:val="001C306E"/>
    <w:rsid w:val="001C3C6A"/>
    <w:rsid w:val="001C44DB"/>
    <w:rsid w:val="001C4AF9"/>
    <w:rsid w:val="001C5005"/>
    <w:rsid w:val="001C7D09"/>
    <w:rsid w:val="001D0707"/>
    <w:rsid w:val="001D0C19"/>
    <w:rsid w:val="001D0E03"/>
    <w:rsid w:val="001D1AFD"/>
    <w:rsid w:val="001D27A9"/>
    <w:rsid w:val="001D378B"/>
    <w:rsid w:val="001D393B"/>
    <w:rsid w:val="001D399B"/>
    <w:rsid w:val="001D3B46"/>
    <w:rsid w:val="001D44F7"/>
    <w:rsid w:val="001D4A9D"/>
    <w:rsid w:val="001D4D97"/>
    <w:rsid w:val="001D5232"/>
    <w:rsid w:val="001D5353"/>
    <w:rsid w:val="001D68DB"/>
    <w:rsid w:val="001D6A8A"/>
    <w:rsid w:val="001D7E07"/>
    <w:rsid w:val="001E03B0"/>
    <w:rsid w:val="001E06E7"/>
    <w:rsid w:val="001E2397"/>
    <w:rsid w:val="001E3493"/>
    <w:rsid w:val="001E441B"/>
    <w:rsid w:val="001E5083"/>
    <w:rsid w:val="001E703C"/>
    <w:rsid w:val="001E706D"/>
    <w:rsid w:val="001E722C"/>
    <w:rsid w:val="001E7482"/>
    <w:rsid w:val="001F0970"/>
    <w:rsid w:val="001F0E6F"/>
    <w:rsid w:val="001F15DA"/>
    <w:rsid w:val="001F1A0F"/>
    <w:rsid w:val="001F2E75"/>
    <w:rsid w:val="001F3746"/>
    <w:rsid w:val="001F48E8"/>
    <w:rsid w:val="001F6980"/>
    <w:rsid w:val="001F6D0B"/>
    <w:rsid w:val="001F75F7"/>
    <w:rsid w:val="001F763D"/>
    <w:rsid w:val="001F7895"/>
    <w:rsid w:val="0020091E"/>
    <w:rsid w:val="002012B2"/>
    <w:rsid w:val="0020168D"/>
    <w:rsid w:val="00201DE8"/>
    <w:rsid w:val="00202407"/>
    <w:rsid w:val="00202B68"/>
    <w:rsid w:val="00202C71"/>
    <w:rsid w:val="00202F0F"/>
    <w:rsid w:val="00203F20"/>
    <w:rsid w:val="00204B2E"/>
    <w:rsid w:val="0020535F"/>
    <w:rsid w:val="0020547C"/>
    <w:rsid w:val="00206249"/>
    <w:rsid w:val="002074B6"/>
    <w:rsid w:val="00207D8D"/>
    <w:rsid w:val="00207E5D"/>
    <w:rsid w:val="002103DF"/>
    <w:rsid w:val="00210670"/>
    <w:rsid w:val="0021124C"/>
    <w:rsid w:val="00211DF2"/>
    <w:rsid w:val="002120CC"/>
    <w:rsid w:val="002139EE"/>
    <w:rsid w:val="00213DA2"/>
    <w:rsid w:val="0021464F"/>
    <w:rsid w:val="00214D4D"/>
    <w:rsid w:val="002156E5"/>
    <w:rsid w:val="002166C8"/>
    <w:rsid w:val="00216928"/>
    <w:rsid w:val="00216FE5"/>
    <w:rsid w:val="00217FDE"/>
    <w:rsid w:val="002207C0"/>
    <w:rsid w:val="002215CC"/>
    <w:rsid w:val="0022189F"/>
    <w:rsid w:val="00222355"/>
    <w:rsid w:val="0022299F"/>
    <w:rsid w:val="002247B5"/>
    <w:rsid w:val="0022674E"/>
    <w:rsid w:val="00226A7E"/>
    <w:rsid w:val="00226EED"/>
    <w:rsid w:val="00231BA6"/>
    <w:rsid w:val="00231E4C"/>
    <w:rsid w:val="00232130"/>
    <w:rsid w:val="00232764"/>
    <w:rsid w:val="00232EAF"/>
    <w:rsid w:val="00233B92"/>
    <w:rsid w:val="00234B3B"/>
    <w:rsid w:val="0023547A"/>
    <w:rsid w:val="00235E9D"/>
    <w:rsid w:val="00236EC0"/>
    <w:rsid w:val="00237742"/>
    <w:rsid w:val="00240E6F"/>
    <w:rsid w:val="00241354"/>
    <w:rsid w:val="002413BA"/>
    <w:rsid w:val="00241F38"/>
    <w:rsid w:val="0024265C"/>
    <w:rsid w:val="002429DF"/>
    <w:rsid w:val="00242C36"/>
    <w:rsid w:val="00243A08"/>
    <w:rsid w:val="00243C55"/>
    <w:rsid w:val="00244584"/>
    <w:rsid w:val="002448EB"/>
    <w:rsid w:val="00244AAB"/>
    <w:rsid w:val="00244B94"/>
    <w:rsid w:val="002455AF"/>
    <w:rsid w:val="0024592A"/>
    <w:rsid w:val="00246267"/>
    <w:rsid w:val="00247D33"/>
    <w:rsid w:val="00247E4C"/>
    <w:rsid w:val="00251521"/>
    <w:rsid w:val="002517FE"/>
    <w:rsid w:val="00251BF9"/>
    <w:rsid w:val="00251C41"/>
    <w:rsid w:val="00251F94"/>
    <w:rsid w:val="00252BB1"/>
    <w:rsid w:val="00253B91"/>
    <w:rsid w:val="00253F1A"/>
    <w:rsid w:val="002559C6"/>
    <w:rsid w:val="00255A75"/>
    <w:rsid w:val="002566A4"/>
    <w:rsid w:val="002576DD"/>
    <w:rsid w:val="002607BF"/>
    <w:rsid w:val="0026163A"/>
    <w:rsid w:val="0026237F"/>
    <w:rsid w:val="002636A4"/>
    <w:rsid w:val="002637E1"/>
    <w:rsid w:val="00264221"/>
    <w:rsid w:val="002643E3"/>
    <w:rsid w:val="0026475D"/>
    <w:rsid w:val="00264E2F"/>
    <w:rsid w:val="002657E2"/>
    <w:rsid w:val="002661BE"/>
    <w:rsid w:val="0026641C"/>
    <w:rsid w:val="00266CB7"/>
    <w:rsid w:val="00266D56"/>
    <w:rsid w:val="002677E7"/>
    <w:rsid w:val="00267F00"/>
    <w:rsid w:val="00270458"/>
    <w:rsid w:val="00270E32"/>
    <w:rsid w:val="00272421"/>
    <w:rsid w:val="002727FD"/>
    <w:rsid w:val="00272CF9"/>
    <w:rsid w:val="0027317C"/>
    <w:rsid w:val="002737C6"/>
    <w:rsid w:val="00274190"/>
    <w:rsid w:val="00274665"/>
    <w:rsid w:val="0027525B"/>
    <w:rsid w:val="00275E55"/>
    <w:rsid w:val="00276717"/>
    <w:rsid w:val="00276A63"/>
    <w:rsid w:val="00276DBB"/>
    <w:rsid w:val="00277F5E"/>
    <w:rsid w:val="0028078D"/>
    <w:rsid w:val="00280E57"/>
    <w:rsid w:val="00280F79"/>
    <w:rsid w:val="002810E1"/>
    <w:rsid w:val="00282263"/>
    <w:rsid w:val="00282AF6"/>
    <w:rsid w:val="00282D23"/>
    <w:rsid w:val="00283CB9"/>
    <w:rsid w:val="00284976"/>
    <w:rsid w:val="00284A40"/>
    <w:rsid w:val="00284D5E"/>
    <w:rsid w:val="00286995"/>
    <w:rsid w:val="00287373"/>
    <w:rsid w:val="00287772"/>
    <w:rsid w:val="00291E92"/>
    <w:rsid w:val="00294495"/>
    <w:rsid w:val="002945FC"/>
    <w:rsid w:val="00295158"/>
    <w:rsid w:val="002953E3"/>
    <w:rsid w:val="0029642E"/>
    <w:rsid w:val="002965F6"/>
    <w:rsid w:val="00296859"/>
    <w:rsid w:val="00296AA4"/>
    <w:rsid w:val="00296B11"/>
    <w:rsid w:val="002A0945"/>
    <w:rsid w:val="002A2154"/>
    <w:rsid w:val="002A3336"/>
    <w:rsid w:val="002A59E5"/>
    <w:rsid w:val="002A6369"/>
    <w:rsid w:val="002A6A19"/>
    <w:rsid w:val="002A7141"/>
    <w:rsid w:val="002A77D8"/>
    <w:rsid w:val="002A79A8"/>
    <w:rsid w:val="002A7A94"/>
    <w:rsid w:val="002A7BB6"/>
    <w:rsid w:val="002A7D53"/>
    <w:rsid w:val="002B0A85"/>
    <w:rsid w:val="002B0E96"/>
    <w:rsid w:val="002B19AA"/>
    <w:rsid w:val="002B1B55"/>
    <w:rsid w:val="002B2B9A"/>
    <w:rsid w:val="002B33B7"/>
    <w:rsid w:val="002B3913"/>
    <w:rsid w:val="002B3B9C"/>
    <w:rsid w:val="002B4810"/>
    <w:rsid w:val="002B4E8F"/>
    <w:rsid w:val="002B56E0"/>
    <w:rsid w:val="002B665F"/>
    <w:rsid w:val="002B6872"/>
    <w:rsid w:val="002B6AD7"/>
    <w:rsid w:val="002C051F"/>
    <w:rsid w:val="002C0FA3"/>
    <w:rsid w:val="002C1BBA"/>
    <w:rsid w:val="002C1CB2"/>
    <w:rsid w:val="002C1CC0"/>
    <w:rsid w:val="002C2D22"/>
    <w:rsid w:val="002C2FF3"/>
    <w:rsid w:val="002C30BA"/>
    <w:rsid w:val="002C3563"/>
    <w:rsid w:val="002C4017"/>
    <w:rsid w:val="002C4345"/>
    <w:rsid w:val="002C44CF"/>
    <w:rsid w:val="002C5A42"/>
    <w:rsid w:val="002C5C4D"/>
    <w:rsid w:val="002C6527"/>
    <w:rsid w:val="002C77A1"/>
    <w:rsid w:val="002C7C4E"/>
    <w:rsid w:val="002D10C7"/>
    <w:rsid w:val="002D14FC"/>
    <w:rsid w:val="002D1F69"/>
    <w:rsid w:val="002D330A"/>
    <w:rsid w:val="002D3441"/>
    <w:rsid w:val="002D3F76"/>
    <w:rsid w:val="002D4436"/>
    <w:rsid w:val="002D4D92"/>
    <w:rsid w:val="002D4E6B"/>
    <w:rsid w:val="002D5666"/>
    <w:rsid w:val="002D5A3D"/>
    <w:rsid w:val="002D5B98"/>
    <w:rsid w:val="002D5C5E"/>
    <w:rsid w:val="002D6FB4"/>
    <w:rsid w:val="002E14B8"/>
    <w:rsid w:val="002E1677"/>
    <w:rsid w:val="002E1790"/>
    <w:rsid w:val="002E1AAF"/>
    <w:rsid w:val="002E1C8A"/>
    <w:rsid w:val="002E3409"/>
    <w:rsid w:val="002E37E3"/>
    <w:rsid w:val="002E3C90"/>
    <w:rsid w:val="002E4377"/>
    <w:rsid w:val="002E485B"/>
    <w:rsid w:val="002E4977"/>
    <w:rsid w:val="002E4E35"/>
    <w:rsid w:val="002E4F00"/>
    <w:rsid w:val="002E600A"/>
    <w:rsid w:val="002E669B"/>
    <w:rsid w:val="002E66FD"/>
    <w:rsid w:val="002E6853"/>
    <w:rsid w:val="002E76AF"/>
    <w:rsid w:val="002F0C5B"/>
    <w:rsid w:val="002F0E02"/>
    <w:rsid w:val="002F0E17"/>
    <w:rsid w:val="002F1447"/>
    <w:rsid w:val="002F2634"/>
    <w:rsid w:val="002F28FD"/>
    <w:rsid w:val="002F42C1"/>
    <w:rsid w:val="002F4305"/>
    <w:rsid w:val="002F48B6"/>
    <w:rsid w:val="002F5113"/>
    <w:rsid w:val="002F6439"/>
    <w:rsid w:val="002F6CEC"/>
    <w:rsid w:val="002F743A"/>
    <w:rsid w:val="002F7682"/>
    <w:rsid w:val="003003A7"/>
    <w:rsid w:val="00300617"/>
    <w:rsid w:val="00300705"/>
    <w:rsid w:val="00300F39"/>
    <w:rsid w:val="0030134B"/>
    <w:rsid w:val="00301697"/>
    <w:rsid w:val="00302981"/>
    <w:rsid w:val="00302DB6"/>
    <w:rsid w:val="00303127"/>
    <w:rsid w:val="00303DB3"/>
    <w:rsid w:val="003044BB"/>
    <w:rsid w:val="00305CEA"/>
    <w:rsid w:val="00306079"/>
    <w:rsid w:val="003063D8"/>
    <w:rsid w:val="00307160"/>
    <w:rsid w:val="0030733F"/>
    <w:rsid w:val="0030743C"/>
    <w:rsid w:val="00307C38"/>
    <w:rsid w:val="00310E43"/>
    <w:rsid w:val="0031182A"/>
    <w:rsid w:val="003135A8"/>
    <w:rsid w:val="00313C3C"/>
    <w:rsid w:val="003141C7"/>
    <w:rsid w:val="00314C76"/>
    <w:rsid w:val="00315D92"/>
    <w:rsid w:val="00316014"/>
    <w:rsid w:val="00316426"/>
    <w:rsid w:val="00316FA6"/>
    <w:rsid w:val="0031798A"/>
    <w:rsid w:val="00317FFC"/>
    <w:rsid w:val="0032025F"/>
    <w:rsid w:val="0032077E"/>
    <w:rsid w:val="00320F01"/>
    <w:rsid w:val="0032103A"/>
    <w:rsid w:val="00324366"/>
    <w:rsid w:val="00325212"/>
    <w:rsid w:val="00325496"/>
    <w:rsid w:val="00325D76"/>
    <w:rsid w:val="0033177F"/>
    <w:rsid w:val="00332E3F"/>
    <w:rsid w:val="00332EB8"/>
    <w:rsid w:val="003339BD"/>
    <w:rsid w:val="00333AC3"/>
    <w:rsid w:val="00334742"/>
    <w:rsid w:val="00334CC0"/>
    <w:rsid w:val="003351B8"/>
    <w:rsid w:val="00335508"/>
    <w:rsid w:val="0033584B"/>
    <w:rsid w:val="00335C6A"/>
    <w:rsid w:val="00336054"/>
    <w:rsid w:val="0033658D"/>
    <w:rsid w:val="0033772A"/>
    <w:rsid w:val="0033784B"/>
    <w:rsid w:val="00337AAE"/>
    <w:rsid w:val="003403CA"/>
    <w:rsid w:val="00340741"/>
    <w:rsid w:val="00341174"/>
    <w:rsid w:val="003425B6"/>
    <w:rsid w:val="003428E4"/>
    <w:rsid w:val="00342B2F"/>
    <w:rsid w:val="00343261"/>
    <w:rsid w:val="00343992"/>
    <w:rsid w:val="00343BA7"/>
    <w:rsid w:val="00343D51"/>
    <w:rsid w:val="00344F40"/>
    <w:rsid w:val="00344FC1"/>
    <w:rsid w:val="00345528"/>
    <w:rsid w:val="0034588B"/>
    <w:rsid w:val="003465C6"/>
    <w:rsid w:val="00346A0A"/>
    <w:rsid w:val="00346D08"/>
    <w:rsid w:val="00347354"/>
    <w:rsid w:val="00350199"/>
    <w:rsid w:val="003505CE"/>
    <w:rsid w:val="0035261D"/>
    <w:rsid w:val="00353649"/>
    <w:rsid w:val="00353776"/>
    <w:rsid w:val="00355476"/>
    <w:rsid w:val="00356BD8"/>
    <w:rsid w:val="0035742E"/>
    <w:rsid w:val="003604CA"/>
    <w:rsid w:val="003604E9"/>
    <w:rsid w:val="00360950"/>
    <w:rsid w:val="00360F8D"/>
    <w:rsid w:val="003617FD"/>
    <w:rsid w:val="0036206C"/>
    <w:rsid w:val="0036307D"/>
    <w:rsid w:val="00363711"/>
    <w:rsid w:val="00364C44"/>
    <w:rsid w:val="00364CDC"/>
    <w:rsid w:val="00364FB5"/>
    <w:rsid w:val="00365860"/>
    <w:rsid w:val="00365E36"/>
    <w:rsid w:val="00366D74"/>
    <w:rsid w:val="00367CBE"/>
    <w:rsid w:val="00370F87"/>
    <w:rsid w:val="00372A7C"/>
    <w:rsid w:val="00373866"/>
    <w:rsid w:val="00374C1A"/>
    <w:rsid w:val="00374C4C"/>
    <w:rsid w:val="003768E1"/>
    <w:rsid w:val="003778BF"/>
    <w:rsid w:val="0037791A"/>
    <w:rsid w:val="00377A83"/>
    <w:rsid w:val="00377CE8"/>
    <w:rsid w:val="003813E2"/>
    <w:rsid w:val="00381C0C"/>
    <w:rsid w:val="00381DF2"/>
    <w:rsid w:val="003832D0"/>
    <w:rsid w:val="00383885"/>
    <w:rsid w:val="003841F1"/>
    <w:rsid w:val="00384B7B"/>
    <w:rsid w:val="00384D40"/>
    <w:rsid w:val="00384E20"/>
    <w:rsid w:val="0038504D"/>
    <w:rsid w:val="00385735"/>
    <w:rsid w:val="00385E1E"/>
    <w:rsid w:val="003863B5"/>
    <w:rsid w:val="0038649F"/>
    <w:rsid w:val="00386B33"/>
    <w:rsid w:val="00387605"/>
    <w:rsid w:val="00387CE9"/>
    <w:rsid w:val="00387D85"/>
    <w:rsid w:val="00392B8A"/>
    <w:rsid w:val="00393248"/>
    <w:rsid w:val="0039325E"/>
    <w:rsid w:val="0039363C"/>
    <w:rsid w:val="00394ACC"/>
    <w:rsid w:val="0039516B"/>
    <w:rsid w:val="0039669C"/>
    <w:rsid w:val="003A0BC6"/>
    <w:rsid w:val="003A1AF8"/>
    <w:rsid w:val="003A2DCE"/>
    <w:rsid w:val="003A3CF3"/>
    <w:rsid w:val="003A3E92"/>
    <w:rsid w:val="003A47D2"/>
    <w:rsid w:val="003A4A78"/>
    <w:rsid w:val="003A5008"/>
    <w:rsid w:val="003A5049"/>
    <w:rsid w:val="003A55F7"/>
    <w:rsid w:val="003A5CB0"/>
    <w:rsid w:val="003A63DD"/>
    <w:rsid w:val="003A6C2D"/>
    <w:rsid w:val="003B03F4"/>
    <w:rsid w:val="003B0851"/>
    <w:rsid w:val="003B0CDF"/>
    <w:rsid w:val="003B128B"/>
    <w:rsid w:val="003B1863"/>
    <w:rsid w:val="003B19EF"/>
    <w:rsid w:val="003B1DBD"/>
    <w:rsid w:val="003B2581"/>
    <w:rsid w:val="003B2A63"/>
    <w:rsid w:val="003B31E6"/>
    <w:rsid w:val="003B3A8D"/>
    <w:rsid w:val="003B4995"/>
    <w:rsid w:val="003B4BE0"/>
    <w:rsid w:val="003B5839"/>
    <w:rsid w:val="003B6073"/>
    <w:rsid w:val="003B642F"/>
    <w:rsid w:val="003B69FE"/>
    <w:rsid w:val="003B6F92"/>
    <w:rsid w:val="003B6FA7"/>
    <w:rsid w:val="003B7AEC"/>
    <w:rsid w:val="003C03CF"/>
    <w:rsid w:val="003C0E55"/>
    <w:rsid w:val="003C0F5B"/>
    <w:rsid w:val="003C209E"/>
    <w:rsid w:val="003C2945"/>
    <w:rsid w:val="003C29FD"/>
    <w:rsid w:val="003C3340"/>
    <w:rsid w:val="003C4421"/>
    <w:rsid w:val="003C4A68"/>
    <w:rsid w:val="003C5A0C"/>
    <w:rsid w:val="003C6FB3"/>
    <w:rsid w:val="003D0760"/>
    <w:rsid w:val="003D08E5"/>
    <w:rsid w:val="003D125C"/>
    <w:rsid w:val="003D1480"/>
    <w:rsid w:val="003D16A6"/>
    <w:rsid w:val="003D17C3"/>
    <w:rsid w:val="003D2031"/>
    <w:rsid w:val="003D23A4"/>
    <w:rsid w:val="003D28CE"/>
    <w:rsid w:val="003D519C"/>
    <w:rsid w:val="003D5772"/>
    <w:rsid w:val="003D6CA2"/>
    <w:rsid w:val="003D7151"/>
    <w:rsid w:val="003D7DC2"/>
    <w:rsid w:val="003D7FB4"/>
    <w:rsid w:val="003E0200"/>
    <w:rsid w:val="003E0382"/>
    <w:rsid w:val="003E0CE6"/>
    <w:rsid w:val="003E17DC"/>
    <w:rsid w:val="003E1AF7"/>
    <w:rsid w:val="003E3266"/>
    <w:rsid w:val="003E3F4C"/>
    <w:rsid w:val="003E42C4"/>
    <w:rsid w:val="003E471E"/>
    <w:rsid w:val="003E4903"/>
    <w:rsid w:val="003E63D3"/>
    <w:rsid w:val="003E790E"/>
    <w:rsid w:val="003E7A0E"/>
    <w:rsid w:val="003E7F73"/>
    <w:rsid w:val="003F1580"/>
    <w:rsid w:val="003F32B9"/>
    <w:rsid w:val="003F3A9F"/>
    <w:rsid w:val="003F4798"/>
    <w:rsid w:val="003F523C"/>
    <w:rsid w:val="003F531F"/>
    <w:rsid w:val="003F6369"/>
    <w:rsid w:val="003F6910"/>
    <w:rsid w:val="003F726F"/>
    <w:rsid w:val="003F73D5"/>
    <w:rsid w:val="003F7D43"/>
    <w:rsid w:val="004004ED"/>
    <w:rsid w:val="0040134F"/>
    <w:rsid w:val="00401BE8"/>
    <w:rsid w:val="00401CF4"/>
    <w:rsid w:val="00401D40"/>
    <w:rsid w:val="004027C6"/>
    <w:rsid w:val="00402E6E"/>
    <w:rsid w:val="004034A9"/>
    <w:rsid w:val="00403EA9"/>
    <w:rsid w:val="00404411"/>
    <w:rsid w:val="004049C6"/>
    <w:rsid w:val="0040641C"/>
    <w:rsid w:val="0040671E"/>
    <w:rsid w:val="004068F8"/>
    <w:rsid w:val="00406A7C"/>
    <w:rsid w:val="004075CF"/>
    <w:rsid w:val="0040798B"/>
    <w:rsid w:val="00410CD8"/>
    <w:rsid w:val="0041124C"/>
    <w:rsid w:val="004114DC"/>
    <w:rsid w:val="00411619"/>
    <w:rsid w:val="004117C5"/>
    <w:rsid w:val="004124C6"/>
    <w:rsid w:val="00412A3B"/>
    <w:rsid w:val="00412F0C"/>
    <w:rsid w:val="0041320D"/>
    <w:rsid w:val="00413955"/>
    <w:rsid w:val="00413F83"/>
    <w:rsid w:val="00413F9D"/>
    <w:rsid w:val="00414329"/>
    <w:rsid w:val="00414877"/>
    <w:rsid w:val="00416BCE"/>
    <w:rsid w:val="00416CC2"/>
    <w:rsid w:val="004177A4"/>
    <w:rsid w:val="00420151"/>
    <w:rsid w:val="004208A4"/>
    <w:rsid w:val="004237A1"/>
    <w:rsid w:val="00424559"/>
    <w:rsid w:val="00425405"/>
    <w:rsid w:val="0042558D"/>
    <w:rsid w:val="00426238"/>
    <w:rsid w:val="00426336"/>
    <w:rsid w:val="004270D4"/>
    <w:rsid w:val="00427D63"/>
    <w:rsid w:val="00430F6B"/>
    <w:rsid w:val="004311FB"/>
    <w:rsid w:val="004313BE"/>
    <w:rsid w:val="004313D9"/>
    <w:rsid w:val="00431CC0"/>
    <w:rsid w:val="00431E97"/>
    <w:rsid w:val="00432E27"/>
    <w:rsid w:val="0043348D"/>
    <w:rsid w:val="00434F84"/>
    <w:rsid w:val="00435C63"/>
    <w:rsid w:val="004365BB"/>
    <w:rsid w:val="00437A54"/>
    <w:rsid w:val="00437AC3"/>
    <w:rsid w:val="004405C8"/>
    <w:rsid w:val="00440616"/>
    <w:rsid w:val="0044071A"/>
    <w:rsid w:val="00440882"/>
    <w:rsid w:val="00441080"/>
    <w:rsid w:val="00441652"/>
    <w:rsid w:val="004449E9"/>
    <w:rsid w:val="00444F59"/>
    <w:rsid w:val="004461AA"/>
    <w:rsid w:val="00447354"/>
    <w:rsid w:val="0044745E"/>
    <w:rsid w:val="00447757"/>
    <w:rsid w:val="00451EB6"/>
    <w:rsid w:val="004525D5"/>
    <w:rsid w:val="004535EE"/>
    <w:rsid w:val="0045398B"/>
    <w:rsid w:val="0045473F"/>
    <w:rsid w:val="00454E8B"/>
    <w:rsid w:val="0045636D"/>
    <w:rsid w:val="004565FD"/>
    <w:rsid w:val="00456C0B"/>
    <w:rsid w:val="00457BCE"/>
    <w:rsid w:val="00460840"/>
    <w:rsid w:val="00460948"/>
    <w:rsid w:val="00460A96"/>
    <w:rsid w:val="004618CF"/>
    <w:rsid w:val="00461DB1"/>
    <w:rsid w:val="00463BD3"/>
    <w:rsid w:val="00463CA2"/>
    <w:rsid w:val="00463E24"/>
    <w:rsid w:val="00464AA3"/>
    <w:rsid w:val="00465FC4"/>
    <w:rsid w:val="00467A46"/>
    <w:rsid w:val="00470433"/>
    <w:rsid w:val="004705AD"/>
    <w:rsid w:val="00470B99"/>
    <w:rsid w:val="00470FD2"/>
    <w:rsid w:val="0047125F"/>
    <w:rsid w:val="0047135B"/>
    <w:rsid w:val="00471C19"/>
    <w:rsid w:val="00471F18"/>
    <w:rsid w:val="0047228D"/>
    <w:rsid w:val="004729BD"/>
    <w:rsid w:val="00472FA8"/>
    <w:rsid w:val="00473483"/>
    <w:rsid w:val="004735CB"/>
    <w:rsid w:val="00473698"/>
    <w:rsid w:val="00474696"/>
    <w:rsid w:val="00475465"/>
    <w:rsid w:val="004756A6"/>
    <w:rsid w:val="004766F5"/>
    <w:rsid w:val="00476817"/>
    <w:rsid w:val="00477973"/>
    <w:rsid w:val="004804B2"/>
    <w:rsid w:val="00480DA4"/>
    <w:rsid w:val="00480DAB"/>
    <w:rsid w:val="00481631"/>
    <w:rsid w:val="0048173A"/>
    <w:rsid w:val="00481BE0"/>
    <w:rsid w:val="00482EFC"/>
    <w:rsid w:val="00483261"/>
    <w:rsid w:val="004841AF"/>
    <w:rsid w:val="004850E3"/>
    <w:rsid w:val="00485D3A"/>
    <w:rsid w:val="0048741E"/>
    <w:rsid w:val="0048786B"/>
    <w:rsid w:val="00487964"/>
    <w:rsid w:val="00487C1A"/>
    <w:rsid w:val="00487C59"/>
    <w:rsid w:val="0049085A"/>
    <w:rsid w:val="0049177B"/>
    <w:rsid w:val="00491DF0"/>
    <w:rsid w:val="00492425"/>
    <w:rsid w:val="00493888"/>
    <w:rsid w:val="00493F9A"/>
    <w:rsid w:val="004946FB"/>
    <w:rsid w:val="0049516B"/>
    <w:rsid w:val="0049629F"/>
    <w:rsid w:val="00496A96"/>
    <w:rsid w:val="00497432"/>
    <w:rsid w:val="00497803"/>
    <w:rsid w:val="00497BF7"/>
    <w:rsid w:val="004A025A"/>
    <w:rsid w:val="004A1092"/>
    <w:rsid w:val="004A1E6E"/>
    <w:rsid w:val="004A21B4"/>
    <w:rsid w:val="004A2BC8"/>
    <w:rsid w:val="004A3BEA"/>
    <w:rsid w:val="004A4359"/>
    <w:rsid w:val="004A49F8"/>
    <w:rsid w:val="004A4A27"/>
    <w:rsid w:val="004A4F27"/>
    <w:rsid w:val="004A592E"/>
    <w:rsid w:val="004A61AF"/>
    <w:rsid w:val="004A6864"/>
    <w:rsid w:val="004A74AA"/>
    <w:rsid w:val="004B0D49"/>
    <w:rsid w:val="004B1825"/>
    <w:rsid w:val="004B2653"/>
    <w:rsid w:val="004B2C64"/>
    <w:rsid w:val="004B2EAD"/>
    <w:rsid w:val="004B301D"/>
    <w:rsid w:val="004B3034"/>
    <w:rsid w:val="004B32FC"/>
    <w:rsid w:val="004B3623"/>
    <w:rsid w:val="004B37E0"/>
    <w:rsid w:val="004B43EC"/>
    <w:rsid w:val="004B467A"/>
    <w:rsid w:val="004B4716"/>
    <w:rsid w:val="004B52BC"/>
    <w:rsid w:val="004B5306"/>
    <w:rsid w:val="004B540E"/>
    <w:rsid w:val="004B5705"/>
    <w:rsid w:val="004B5AF0"/>
    <w:rsid w:val="004B6773"/>
    <w:rsid w:val="004B73AB"/>
    <w:rsid w:val="004B7E00"/>
    <w:rsid w:val="004C0206"/>
    <w:rsid w:val="004C052B"/>
    <w:rsid w:val="004C1388"/>
    <w:rsid w:val="004C1907"/>
    <w:rsid w:val="004C1E71"/>
    <w:rsid w:val="004C2098"/>
    <w:rsid w:val="004C285E"/>
    <w:rsid w:val="004C2884"/>
    <w:rsid w:val="004C2A18"/>
    <w:rsid w:val="004C38FB"/>
    <w:rsid w:val="004C3F8D"/>
    <w:rsid w:val="004C55AA"/>
    <w:rsid w:val="004C5D85"/>
    <w:rsid w:val="004D011F"/>
    <w:rsid w:val="004D0355"/>
    <w:rsid w:val="004D0A1E"/>
    <w:rsid w:val="004D0EA2"/>
    <w:rsid w:val="004D157C"/>
    <w:rsid w:val="004D172C"/>
    <w:rsid w:val="004D4CD4"/>
    <w:rsid w:val="004D4FBA"/>
    <w:rsid w:val="004D516E"/>
    <w:rsid w:val="004D5ACD"/>
    <w:rsid w:val="004D5FE9"/>
    <w:rsid w:val="004D61B2"/>
    <w:rsid w:val="004D73A8"/>
    <w:rsid w:val="004D7E0C"/>
    <w:rsid w:val="004E017C"/>
    <w:rsid w:val="004E0444"/>
    <w:rsid w:val="004E0D87"/>
    <w:rsid w:val="004E11A4"/>
    <w:rsid w:val="004E193B"/>
    <w:rsid w:val="004E2FD3"/>
    <w:rsid w:val="004E3452"/>
    <w:rsid w:val="004E3FFF"/>
    <w:rsid w:val="004E4376"/>
    <w:rsid w:val="004E703C"/>
    <w:rsid w:val="004F077E"/>
    <w:rsid w:val="004F1269"/>
    <w:rsid w:val="004F13F9"/>
    <w:rsid w:val="004F148D"/>
    <w:rsid w:val="004F1B47"/>
    <w:rsid w:val="004F3562"/>
    <w:rsid w:val="004F5237"/>
    <w:rsid w:val="004F5439"/>
    <w:rsid w:val="004F5BD8"/>
    <w:rsid w:val="004F61FA"/>
    <w:rsid w:val="004F63CB"/>
    <w:rsid w:val="004F7125"/>
    <w:rsid w:val="005001BA"/>
    <w:rsid w:val="00500405"/>
    <w:rsid w:val="00500891"/>
    <w:rsid w:val="00500897"/>
    <w:rsid w:val="00501E23"/>
    <w:rsid w:val="00502078"/>
    <w:rsid w:val="005031EC"/>
    <w:rsid w:val="00504A6A"/>
    <w:rsid w:val="005054F4"/>
    <w:rsid w:val="005060B0"/>
    <w:rsid w:val="00510032"/>
    <w:rsid w:val="005101E4"/>
    <w:rsid w:val="005105A4"/>
    <w:rsid w:val="005116DE"/>
    <w:rsid w:val="005119D4"/>
    <w:rsid w:val="00511B94"/>
    <w:rsid w:val="00511E14"/>
    <w:rsid w:val="005125F9"/>
    <w:rsid w:val="005139F5"/>
    <w:rsid w:val="00513C1E"/>
    <w:rsid w:val="0051468C"/>
    <w:rsid w:val="00514690"/>
    <w:rsid w:val="005148BD"/>
    <w:rsid w:val="00514C74"/>
    <w:rsid w:val="00515C8A"/>
    <w:rsid w:val="00516452"/>
    <w:rsid w:val="0051673F"/>
    <w:rsid w:val="00516B9D"/>
    <w:rsid w:val="005206EF"/>
    <w:rsid w:val="00520814"/>
    <w:rsid w:val="00520C68"/>
    <w:rsid w:val="00520FBA"/>
    <w:rsid w:val="005212A8"/>
    <w:rsid w:val="005214D8"/>
    <w:rsid w:val="005216E0"/>
    <w:rsid w:val="00522680"/>
    <w:rsid w:val="0052333C"/>
    <w:rsid w:val="00523E6A"/>
    <w:rsid w:val="00524941"/>
    <w:rsid w:val="00524F11"/>
    <w:rsid w:val="0052596C"/>
    <w:rsid w:val="00525A45"/>
    <w:rsid w:val="00525D07"/>
    <w:rsid w:val="005278BF"/>
    <w:rsid w:val="0053038B"/>
    <w:rsid w:val="00530433"/>
    <w:rsid w:val="00530884"/>
    <w:rsid w:val="005321E1"/>
    <w:rsid w:val="00532554"/>
    <w:rsid w:val="0053279C"/>
    <w:rsid w:val="005329AE"/>
    <w:rsid w:val="00532A5E"/>
    <w:rsid w:val="00532A90"/>
    <w:rsid w:val="00536317"/>
    <w:rsid w:val="00536CB0"/>
    <w:rsid w:val="00537DD0"/>
    <w:rsid w:val="00537E03"/>
    <w:rsid w:val="00542B20"/>
    <w:rsid w:val="00542D44"/>
    <w:rsid w:val="00542E7F"/>
    <w:rsid w:val="00543925"/>
    <w:rsid w:val="00543A4B"/>
    <w:rsid w:val="005457A7"/>
    <w:rsid w:val="005457E1"/>
    <w:rsid w:val="00545E23"/>
    <w:rsid w:val="005465B5"/>
    <w:rsid w:val="005500D5"/>
    <w:rsid w:val="005524BC"/>
    <w:rsid w:val="00553545"/>
    <w:rsid w:val="00553548"/>
    <w:rsid w:val="00553573"/>
    <w:rsid w:val="00553D9B"/>
    <w:rsid w:val="0055427B"/>
    <w:rsid w:val="005542E8"/>
    <w:rsid w:val="00554B7E"/>
    <w:rsid w:val="00555078"/>
    <w:rsid w:val="00555192"/>
    <w:rsid w:val="00555741"/>
    <w:rsid w:val="00555911"/>
    <w:rsid w:val="00555C5A"/>
    <w:rsid w:val="005579F2"/>
    <w:rsid w:val="00557C93"/>
    <w:rsid w:val="00557DA8"/>
    <w:rsid w:val="00557FCE"/>
    <w:rsid w:val="005602C2"/>
    <w:rsid w:val="00560555"/>
    <w:rsid w:val="00560D67"/>
    <w:rsid w:val="00561383"/>
    <w:rsid w:val="0056241A"/>
    <w:rsid w:val="00563326"/>
    <w:rsid w:val="00564F1E"/>
    <w:rsid w:val="00565154"/>
    <w:rsid w:val="0056563B"/>
    <w:rsid w:val="00565876"/>
    <w:rsid w:val="00566A90"/>
    <w:rsid w:val="0056702C"/>
    <w:rsid w:val="00567BDF"/>
    <w:rsid w:val="00567E61"/>
    <w:rsid w:val="005700B2"/>
    <w:rsid w:val="005702E4"/>
    <w:rsid w:val="00570A36"/>
    <w:rsid w:val="00571827"/>
    <w:rsid w:val="005725DE"/>
    <w:rsid w:val="005728AF"/>
    <w:rsid w:val="0057339F"/>
    <w:rsid w:val="00573A21"/>
    <w:rsid w:val="00573A99"/>
    <w:rsid w:val="00573CAE"/>
    <w:rsid w:val="0057404D"/>
    <w:rsid w:val="00575067"/>
    <w:rsid w:val="0057507E"/>
    <w:rsid w:val="00575BC4"/>
    <w:rsid w:val="00575CC7"/>
    <w:rsid w:val="00575ED3"/>
    <w:rsid w:val="005764DE"/>
    <w:rsid w:val="0057732C"/>
    <w:rsid w:val="00577DB8"/>
    <w:rsid w:val="0058004F"/>
    <w:rsid w:val="00580760"/>
    <w:rsid w:val="00580B08"/>
    <w:rsid w:val="00581485"/>
    <w:rsid w:val="0058150B"/>
    <w:rsid w:val="00582907"/>
    <w:rsid w:val="00582C9D"/>
    <w:rsid w:val="00583768"/>
    <w:rsid w:val="00583885"/>
    <w:rsid w:val="00583BCD"/>
    <w:rsid w:val="00584070"/>
    <w:rsid w:val="00584072"/>
    <w:rsid w:val="005841B6"/>
    <w:rsid w:val="00585BDC"/>
    <w:rsid w:val="00586EE9"/>
    <w:rsid w:val="00587891"/>
    <w:rsid w:val="005911BA"/>
    <w:rsid w:val="00591AE7"/>
    <w:rsid w:val="00592EF8"/>
    <w:rsid w:val="0059375A"/>
    <w:rsid w:val="00593A8A"/>
    <w:rsid w:val="005953D1"/>
    <w:rsid w:val="005954EC"/>
    <w:rsid w:val="00595B51"/>
    <w:rsid w:val="00595FAB"/>
    <w:rsid w:val="005966E8"/>
    <w:rsid w:val="0059708F"/>
    <w:rsid w:val="005973D3"/>
    <w:rsid w:val="00597874"/>
    <w:rsid w:val="005A0227"/>
    <w:rsid w:val="005A04F5"/>
    <w:rsid w:val="005A0672"/>
    <w:rsid w:val="005A0C67"/>
    <w:rsid w:val="005A11DF"/>
    <w:rsid w:val="005A121F"/>
    <w:rsid w:val="005A130D"/>
    <w:rsid w:val="005A1DC3"/>
    <w:rsid w:val="005A2607"/>
    <w:rsid w:val="005A2618"/>
    <w:rsid w:val="005A2A49"/>
    <w:rsid w:val="005A2BB3"/>
    <w:rsid w:val="005A3A52"/>
    <w:rsid w:val="005A447C"/>
    <w:rsid w:val="005A4649"/>
    <w:rsid w:val="005A480F"/>
    <w:rsid w:val="005A4A84"/>
    <w:rsid w:val="005A5ED2"/>
    <w:rsid w:val="005B0CF6"/>
    <w:rsid w:val="005B100B"/>
    <w:rsid w:val="005B149E"/>
    <w:rsid w:val="005B1F37"/>
    <w:rsid w:val="005B23C6"/>
    <w:rsid w:val="005B281B"/>
    <w:rsid w:val="005B29EF"/>
    <w:rsid w:val="005B3B0D"/>
    <w:rsid w:val="005B3BCE"/>
    <w:rsid w:val="005B5135"/>
    <w:rsid w:val="005B577D"/>
    <w:rsid w:val="005B7094"/>
    <w:rsid w:val="005C01F4"/>
    <w:rsid w:val="005C0244"/>
    <w:rsid w:val="005C14FC"/>
    <w:rsid w:val="005C21A8"/>
    <w:rsid w:val="005C2F37"/>
    <w:rsid w:val="005C3120"/>
    <w:rsid w:val="005C3365"/>
    <w:rsid w:val="005C6667"/>
    <w:rsid w:val="005C76B5"/>
    <w:rsid w:val="005C7838"/>
    <w:rsid w:val="005C7F24"/>
    <w:rsid w:val="005D0EAD"/>
    <w:rsid w:val="005D3898"/>
    <w:rsid w:val="005D4041"/>
    <w:rsid w:val="005D4379"/>
    <w:rsid w:val="005D5790"/>
    <w:rsid w:val="005D5D73"/>
    <w:rsid w:val="005D609E"/>
    <w:rsid w:val="005D7462"/>
    <w:rsid w:val="005D7987"/>
    <w:rsid w:val="005D7F2D"/>
    <w:rsid w:val="005E0418"/>
    <w:rsid w:val="005E0E43"/>
    <w:rsid w:val="005E1776"/>
    <w:rsid w:val="005E18AA"/>
    <w:rsid w:val="005E1F14"/>
    <w:rsid w:val="005E2630"/>
    <w:rsid w:val="005E3607"/>
    <w:rsid w:val="005E409C"/>
    <w:rsid w:val="005E4BF0"/>
    <w:rsid w:val="005E5539"/>
    <w:rsid w:val="005F0298"/>
    <w:rsid w:val="005F2002"/>
    <w:rsid w:val="005F304F"/>
    <w:rsid w:val="005F3758"/>
    <w:rsid w:val="005F481B"/>
    <w:rsid w:val="005F50D9"/>
    <w:rsid w:val="005F53EC"/>
    <w:rsid w:val="005F5779"/>
    <w:rsid w:val="005F57DF"/>
    <w:rsid w:val="005F586A"/>
    <w:rsid w:val="005F60FD"/>
    <w:rsid w:val="005F73CD"/>
    <w:rsid w:val="005F75ED"/>
    <w:rsid w:val="006000AA"/>
    <w:rsid w:val="0060028D"/>
    <w:rsid w:val="00600340"/>
    <w:rsid w:val="00600F05"/>
    <w:rsid w:val="00601112"/>
    <w:rsid w:val="006011D9"/>
    <w:rsid w:val="006020B5"/>
    <w:rsid w:val="0060214B"/>
    <w:rsid w:val="006022AD"/>
    <w:rsid w:val="0060266F"/>
    <w:rsid w:val="00602AD5"/>
    <w:rsid w:val="00603A57"/>
    <w:rsid w:val="006047C8"/>
    <w:rsid w:val="00604FD5"/>
    <w:rsid w:val="00605564"/>
    <w:rsid w:val="00605CC0"/>
    <w:rsid w:val="00606ACD"/>
    <w:rsid w:val="00606E77"/>
    <w:rsid w:val="006102BA"/>
    <w:rsid w:val="006113BE"/>
    <w:rsid w:val="00611B10"/>
    <w:rsid w:val="00611E96"/>
    <w:rsid w:val="00612E15"/>
    <w:rsid w:val="00613BA2"/>
    <w:rsid w:val="0061440D"/>
    <w:rsid w:val="00614E4B"/>
    <w:rsid w:val="006150A9"/>
    <w:rsid w:val="00615ADB"/>
    <w:rsid w:val="00615B1A"/>
    <w:rsid w:val="00616B96"/>
    <w:rsid w:val="006206A6"/>
    <w:rsid w:val="006226DC"/>
    <w:rsid w:val="00622CEA"/>
    <w:rsid w:val="00622D7F"/>
    <w:rsid w:val="006230BA"/>
    <w:rsid w:val="00623EA6"/>
    <w:rsid w:val="00625C96"/>
    <w:rsid w:val="00625DB3"/>
    <w:rsid w:val="006264FD"/>
    <w:rsid w:val="006265AF"/>
    <w:rsid w:val="00626A1C"/>
    <w:rsid w:val="0063092E"/>
    <w:rsid w:val="00630B0A"/>
    <w:rsid w:val="006319A8"/>
    <w:rsid w:val="00631C58"/>
    <w:rsid w:val="00632B48"/>
    <w:rsid w:val="00632E66"/>
    <w:rsid w:val="00634567"/>
    <w:rsid w:val="00635434"/>
    <w:rsid w:val="00635E65"/>
    <w:rsid w:val="0063634A"/>
    <w:rsid w:val="006365FD"/>
    <w:rsid w:val="00636D61"/>
    <w:rsid w:val="006400C4"/>
    <w:rsid w:val="006420F3"/>
    <w:rsid w:val="00642B4F"/>
    <w:rsid w:val="0064373B"/>
    <w:rsid w:val="006451AE"/>
    <w:rsid w:val="0064661A"/>
    <w:rsid w:val="006468E0"/>
    <w:rsid w:val="006504C0"/>
    <w:rsid w:val="00651145"/>
    <w:rsid w:val="00651727"/>
    <w:rsid w:val="00651785"/>
    <w:rsid w:val="006528FD"/>
    <w:rsid w:val="00653237"/>
    <w:rsid w:val="00653F06"/>
    <w:rsid w:val="00654010"/>
    <w:rsid w:val="0065401E"/>
    <w:rsid w:val="006559C8"/>
    <w:rsid w:val="00655D56"/>
    <w:rsid w:val="00657A52"/>
    <w:rsid w:val="006602E7"/>
    <w:rsid w:val="0066115B"/>
    <w:rsid w:val="00661AEE"/>
    <w:rsid w:val="00661E9E"/>
    <w:rsid w:val="00662AE9"/>
    <w:rsid w:val="00662D96"/>
    <w:rsid w:val="00662E16"/>
    <w:rsid w:val="0066317A"/>
    <w:rsid w:val="00663907"/>
    <w:rsid w:val="00664560"/>
    <w:rsid w:val="00664920"/>
    <w:rsid w:val="00664B75"/>
    <w:rsid w:val="00665375"/>
    <w:rsid w:val="006675B3"/>
    <w:rsid w:val="006679E2"/>
    <w:rsid w:val="00670DFA"/>
    <w:rsid w:val="006720BB"/>
    <w:rsid w:val="00672A30"/>
    <w:rsid w:val="00674184"/>
    <w:rsid w:val="006741CA"/>
    <w:rsid w:val="00675476"/>
    <w:rsid w:val="00675D29"/>
    <w:rsid w:val="00677582"/>
    <w:rsid w:val="00677931"/>
    <w:rsid w:val="00677A00"/>
    <w:rsid w:val="00680670"/>
    <w:rsid w:val="00680F68"/>
    <w:rsid w:val="0068148A"/>
    <w:rsid w:val="00685548"/>
    <w:rsid w:val="00686056"/>
    <w:rsid w:val="00686953"/>
    <w:rsid w:val="00686BEF"/>
    <w:rsid w:val="00686C01"/>
    <w:rsid w:val="00687FC7"/>
    <w:rsid w:val="00690387"/>
    <w:rsid w:val="00690D01"/>
    <w:rsid w:val="00690E20"/>
    <w:rsid w:val="006917D5"/>
    <w:rsid w:val="00693B4A"/>
    <w:rsid w:val="00693F91"/>
    <w:rsid w:val="0069416C"/>
    <w:rsid w:val="0069557F"/>
    <w:rsid w:val="00695ECC"/>
    <w:rsid w:val="00695F7D"/>
    <w:rsid w:val="006975B5"/>
    <w:rsid w:val="006A1B14"/>
    <w:rsid w:val="006A1EA8"/>
    <w:rsid w:val="006A21B1"/>
    <w:rsid w:val="006A24BC"/>
    <w:rsid w:val="006A2D79"/>
    <w:rsid w:val="006A2DC0"/>
    <w:rsid w:val="006A4B70"/>
    <w:rsid w:val="006A4D84"/>
    <w:rsid w:val="006A57FA"/>
    <w:rsid w:val="006A5A78"/>
    <w:rsid w:val="006A5DB7"/>
    <w:rsid w:val="006A6334"/>
    <w:rsid w:val="006A74C6"/>
    <w:rsid w:val="006A7506"/>
    <w:rsid w:val="006A7695"/>
    <w:rsid w:val="006A7C10"/>
    <w:rsid w:val="006A7D90"/>
    <w:rsid w:val="006B310A"/>
    <w:rsid w:val="006B329B"/>
    <w:rsid w:val="006B38CB"/>
    <w:rsid w:val="006B5441"/>
    <w:rsid w:val="006B5EC0"/>
    <w:rsid w:val="006B5FF3"/>
    <w:rsid w:val="006B6EA6"/>
    <w:rsid w:val="006B74FF"/>
    <w:rsid w:val="006B7B58"/>
    <w:rsid w:val="006C00E6"/>
    <w:rsid w:val="006C03CE"/>
    <w:rsid w:val="006C114D"/>
    <w:rsid w:val="006C1471"/>
    <w:rsid w:val="006C1E8D"/>
    <w:rsid w:val="006C240B"/>
    <w:rsid w:val="006C26C4"/>
    <w:rsid w:val="006C40D3"/>
    <w:rsid w:val="006C4293"/>
    <w:rsid w:val="006C56A9"/>
    <w:rsid w:val="006C69AF"/>
    <w:rsid w:val="006C6A8F"/>
    <w:rsid w:val="006C6C41"/>
    <w:rsid w:val="006C730B"/>
    <w:rsid w:val="006C7B18"/>
    <w:rsid w:val="006D0D55"/>
    <w:rsid w:val="006D1150"/>
    <w:rsid w:val="006D14DF"/>
    <w:rsid w:val="006D1661"/>
    <w:rsid w:val="006D17BA"/>
    <w:rsid w:val="006D202A"/>
    <w:rsid w:val="006D23A6"/>
    <w:rsid w:val="006D34C6"/>
    <w:rsid w:val="006D3CAE"/>
    <w:rsid w:val="006D51E2"/>
    <w:rsid w:val="006D52B3"/>
    <w:rsid w:val="006D7007"/>
    <w:rsid w:val="006D74BE"/>
    <w:rsid w:val="006D7953"/>
    <w:rsid w:val="006D7C7C"/>
    <w:rsid w:val="006E08F7"/>
    <w:rsid w:val="006E1097"/>
    <w:rsid w:val="006E2253"/>
    <w:rsid w:val="006E2E6D"/>
    <w:rsid w:val="006E3152"/>
    <w:rsid w:val="006E37A5"/>
    <w:rsid w:val="006E38C7"/>
    <w:rsid w:val="006E4FDF"/>
    <w:rsid w:val="006E55BA"/>
    <w:rsid w:val="006E5A9A"/>
    <w:rsid w:val="006E6253"/>
    <w:rsid w:val="006E6405"/>
    <w:rsid w:val="006E70A4"/>
    <w:rsid w:val="006E73D9"/>
    <w:rsid w:val="006F0413"/>
    <w:rsid w:val="006F05C2"/>
    <w:rsid w:val="006F292D"/>
    <w:rsid w:val="006F2FE5"/>
    <w:rsid w:val="006F36FE"/>
    <w:rsid w:val="006F433A"/>
    <w:rsid w:val="006F480B"/>
    <w:rsid w:val="006F49F6"/>
    <w:rsid w:val="006F4D57"/>
    <w:rsid w:val="006F4F76"/>
    <w:rsid w:val="006F52F1"/>
    <w:rsid w:val="006F5337"/>
    <w:rsid w:val="006F6321"/>
    <w:rsid w:val="006F6843"/>
    <w:rsid w:val="006F737A"/>
    <w:rsid w:val="006F7AB8"/>
    <w:rsid w:val="00700077"/>
    <w:rsid w:val="0070015F"/>
    <w:rsid w:val="00700D8B"/>
    <w:rsid w:val="00704180"/>
    <w:rsid w:val="00704765"/>
    <w:rsid w:val="00704901"/>
    <w:rsid w:val="00706A85"/>
    <w:rsid w:val="00706FC5"/>
    <w:rsid w:val="00707303"/>
    <w:rsid w:val="00710E26"/>
    <w:rsid w:val="00711609"/>
    <w:rsid w:val="00712C03"/>
    <w:rsid w:val="00713E77"/>
    <w:rsid w:val="007142A3"/>
    <w:rsid w:val="007144BB"/>
    <w:rsid w:val="00714EB2"/>
    <w:rsid w:val="00715588"/>
    <w:rsid w:val="007174B2"/>
    <w:rsid w:val="007175FE"/>
    <w:rsid w:val="00717889"/>
    <w:rsid w:val="00717E93"/>
    <w:rsid w:val="007205CD"/>
    <w:rsid w:val="00721292"/>
    <w:rsid w:val="00722105"/>
    <w:rsid w:val="00722927"/>
    <w:rsid w:val="00722F91"/>
    <w:rsid w:val="00723228"/>
    <w:rsid w:val="00723302"/>
    <w:rsid w:val="00723905"/>
    <w:rsid w:val="0072547C"/>
    <w:rsid w:val="0072574D"/>
    <w:rsid w:val="00725A3C"/>
    <w:rsid w:val="0072637A"/>
    <w:rsid w:val="00726883"/>
    <w:rsid w:val="00726B32"/>
    <w:rsid w:val="0072736B"/>
    <w:rsid w:val="00727D63"/>
    <w:rsid w:val="00730145"/>
    <w:rsid w:val="00730158"/>
    <w:rsid w:val="00731A94"/>
    <w:rsid w:val="00731AC7"/>
    <w:rsid w:val="00732908"/>
    <w:rsid w:val="00732EAA"/>
    <w:rsid w:val="0073310E"/>
    <w:rsid w:val="00733A9C"/>
    <w:rsid w:val="00734113"/>
    <w:rsid w:val="0073445C"/>
    <w:rsid w:val="007349B8"/>
    <w:rsid w:val="007363F2"/>
    <w:rsid w:val="00740189"/>
    <w:rsid w:val="00740C6B"/>
    <w:rsid w:val="00740E4D"/>
    <w:rsid w:val="0074116E"/>
    <w:rsid w:val="0074556C"/>
    <w:rsid w:val="00745B49"/>
    <w:rsid w:val="00745B57"/>
    <w:rsid w:val="0074602E"/>
    <w:rsid w:val="007462C9"/>
    <w:rsid w:val="00746D9D"/>
    <w:rsid w:val="00751CF8"/>
    <w:rsid w:val="00752629"/>
    <w:rsid w:val="0075279F"/>
    <w:rsid w:val="00752C55"/>
    <w:rsid w:val="007536A2"/>
    <w:rsid w:val="007538A5"/>
    <w:rsid w:val="007538F6"/>
    <w:rsid w:val="007541DC"/>
    <w:rsid w:val="0075540D"/>
    <w:rsid w:val="00755E15"/>
    <w:rsid w:val="0075623F"/>
    <w:rsid w:val="0075631F"/>
    <w:rsid w:val="00756591"/>
    <w:rsid w:val="00756A96"/>
    <w:rsid w:val="0075712E"/>
    <w:rsid w:val="0076007B"/>
    <w:rsid w:val="007600F4"/>
    <w:rsid w:val="00761132"/>
    <w:rsid w:val="00761AF9"/>
    <w:rsid w:val="0076220F"/>
    <w:rsid w:val="007627F3"/>
    <w:rsid w:val="00762859"/>
    <w:rsid w:val="0076345E"/>
    <w:rsid w:val="00763B25"/>
    <w:rsid w:val="00763C14"/>
    <w:rsid w:val="00763E51"/>
    <w:rsid w:val="00764177"/>
    <w:rsid w:val="00764250"/>
    <w:rsid w:val="00765239"/>
    <w:rsid w:val="007658A1"/>
    <w:rsid w:val="00766030"/>
    <w:rsid w:val="00767241"/>
    <w:rsid w:val="00767CF4"/>
    <w:rsid w:val="007702AC"/>
    <w:rsid w:val="007709DE"/>
    <w:rsid w:val="00771F09"/>
    <w:rsid w:val="00772A1E"/>
    <w:rsid w:val="00773638"/>
    <w:rsid w:val="007747F7"/>
    <w:rsid w:val="00774D5B"/>
    <w:rsid w:val="00774E0A"/>
    <w:rsid w:val="00774F3F"/>
    <w:rsid w:val="00776095"/>
    <w:rsid w:val="007767BD"/>
    <w:rsid w:val="00776993"/>
    <w:rsid w:val="00776A17"/>
    <w:rsid w:val="00777696"/>
    <w:rsid w:val="007778BE"/>
    <w:rsid w:val="00780D86"/>
    <w:rsid w:val="007813FC"/>
    <w:rsid w:val="00781CA2"/>
    <w:rsid w:val="00783975"/>
    <w:rsid w:val="007843EC"/>
    <w:rsid w:val="00784754"/>
    <w:rsid w:val="00785B06"/>
    <w:rsid w:val="00790C13"/>
    <w:rsid w:val="007911DA"/>
    <w:rsid w:val="00792928"/>
    <w:rsid w:val="0079326B"/>
    <w:rsid w:val="007947D9"/>
    <w:rsid w:val="00794F18"/>
    <w:rsid w:val="00794F7A"/>
    <w:rsid w:val="00795159"/>
    <w:rsid w:val="007972AA"/>
    <w:rsid w:val="00797AA5"/>
    <w:rsid w:val="007A0BE4"/>
    <w:rsid w:val="007A2013"/>
    <w:rsid w:val="007A22B5"/>
    <w:rsid w:val="007A27D2"/>
    <w:rsid w:val="007A3D24"/>
    <w:rsid w:val="007A5141"/>
    <w:rsid w:val="007A7030"/>
    <w:rsid w:val="007A71A0"/>
    <w:rsid w:val="007B0E7D"/>
    <w:rsid w:val="007B168D"/>
    <w:rsid w:val="007B187C"/>
    <w:rsid w:val="007B2A3E"/>
    <w:rsid w:val="007B2D15"/>
    <w:rsid w:val="007B36F7"/>
    <w:rsid w:val="007B41CE"/>
    <w:rsid w:val="007B43E9"/>
    <w:rsid w:val="007B4704"/>
    <w:rsid w:val="007B4CCE"/>
    <w:rsid w:val="007B5D39"/>
    <w:rsid w:val="007B603D"/>
    <w:rsid w:val="007B75AB"/>
    <w:rsid w:val="007C01F3"/>
    <w:rsid w:val="007C0865"/>
    <w:rsid w:val="007C132B"/>
    <w:rsid w:val="007C2985"/>
    <w:rsid w:val="007C29C1"/>
    <w:rsid w:val="007C33E6"/>
    <w:rsid w:val="007C345C"/>
    <w:rsid w:val="007C4906"/>
    <w:rsid w:val="007C495E"/>
    <w:rsid w:val="007C4AA5"/>
    <w:rsid w:val="007C4CEC"/>
    <w:rsid w:val="007C4E65"/>
    <w:rsid w:val="007C5062"/>
    <w:rsid w:val="007C50B0"/>
    <w:rsid w:val="007C514A"/>
    <w:rsid w:val="007C53F5"/>
    <w:rsid w:val="007C558F"/>
    <w:rsid w:val="007C5605"/>
    <w:rsid w:val="007C5F0C"/>
    <w:rsid w:val="007C62B2"/>
    <w:rsid w:val="007D0B1F"/>
    <w:rsid w:val="007D162B"/>
    <w:rsid w:val="007D1BCB"/>
    <w:rsid w:val="007D25B5"/>
    <w:rsid w:val="007D2C67"/>
    <w:rsid w:val="007D340A"/>
    <w:rsid w:val="007D3633"/>
    <w:rsid w:val="007D3920"/>
    <w:rsid w:val="007D3C37"/>
    <w:rsid w:val="007D428D"/>
    <w:rsid w:val="007D464D"/>
    <w:rsid w:val="007D492D"/>
    <w:rsid w:val="007D4E83"/>
    <w:rsid w:val="007D51BB"/>
    <w:rsid w:val="007E0DCE"/>
    <w:rsid w:val="007E0E3E"/>
    <w:rsid w:val="007E1525"/>
    <w:rsid w:val="007E15A6"/>
    <w:rsid w:val="007E2886"/>
    <w:rsid w:val="007E3688"/>
    <w:rsid w:val="007E380E"/>
    <w:rsid w:val="007E39EF"/>
    <w:rsid w:val="007E3D1C"/>
    <w:rsid w:val="007E55D8"/>
    <w:rsid w:val="007E5635"/>
    <w:rsid w:val="007E56CF"/>
    <w:rsid w:val="007E6051"/>
    <w:rsid w:val="007E6FF1"/>
    <w:rsid w:val="007F02B3"/>
    <w:rsid w:val="007F0A62"/>
    <w:rsid w:val="007F136A"/>
    <w:rsid w:val="007F1BE4"/>
    <w:rsid w:val="007F217B"/>
    <w:rsid w:val="007F27DA"/>
    <w:rsid w:val="007F5E6D"/>
    <w:rsid w:val="007F6BA7"/>
    <w:rsid w:val="007F7190"/>
    <w:rsid w:val="007F7CA8"/>
    <w:rsid w:val="007F7F69"/>
    <w:rsid w:val="008004CD"/>
    <w:rsid w:val="00801313"/>
    <w:rsid w:val="00801471"/>
    <w:rsid w:val="00802025"/>
    <w:rsid w:val="008021DB"/>
    <w:rsid w:val="0080396E"/>
    <w:rsid w:val="008041D0"/>
    <w:rsid w:val="0080435C"/>
    <w:rsid w:val="00804A0D"/>
    <w:rsid w:val="00804BD7"/>
    <w:rsid w:val="00804D5E"/>
    <w:rsid w:val="008052B7"/>
    <w:rsid w:val="00805512"/>
    <w:rsid w:val="0080613C"/>
    <w:rsid w:val="00806691"/>
    <w:rsid w:val="008077E4"/>
    <w:rsid w:val="00810973"/>
    <w:rsid w:val="00810CFD"/>
    <w:rsid w:val="00812FA8"/>
    <w:rsid w:val="00813BE9"/>
    <w:rsid w:val="00813DA1"/>
    <w:rsid w:val="00813E41"/>
    <w:rsid w:val="00814701"/>
    <w:rsid w:val="00814E1E"/>
    <w:rsid w:val="00815068"/>
    <w:rsid w:val="00815185"/>
    <w:rsid w:val="008154CC"/>
    <w:rsid w:val="00815618"/>
    <w:rsid w:val="00817490"/>
    <w:rsid w:val="00822BEC"/>
    <w:rsid w:val="00822FD6"/>
    <w:rsid w:val="008235FF"/>
    <w:rsid w:val="00823D04"/>
    <w:rsid w:val="00823FB7"/>
    <w:rsid w:val="00824D51"/>
    <w:rsid w:val="00824ED2"/>
    <w:rsid w:val="00826404"/>
    <w:rsid w:val="00827D88"/>
    <w:rsid w:val="00830034"/>
    <w:rsid w:val="00830F69"/>
    <w:rsid w:val="008319C9"/>
    <w:rsid w:val="00831DCF"/>
    <w:rsid w:val="0083205D"/>
    <w:rsid w:val="00832108"/>
    <w:rsid w:val="00832B91"/>
    <w:rsid w:val="008333C4"/>
    <w:rsid w:val="00833E06"/>
    <w:rsid w:val="00834C29"/>
    <w:rsid w:val="00834C44"/>
    <w:rsid w:val="00834CD0"/>
    <w:rsid w:val="00835641"/>
    <w:rsid w:val="0083598B"/>
    <w:rsid w:val="00835A29"/>
    <w:rsid w:val="008361FD"/>
    <w:rsid w:val="008366BC"/>
    <w:rsid w:val="00836861"/>
    <w:rsid w:val="00836931"/>
    <w:rsid w:val="0083724E"/>
    <w:rsid w:val="00840D82"/>
    <w:rsid w:val="00841DC2"/>
    <w:rsid w:val="0084416A"/>
    <w:rsid w:val="008449A9"/>
    <w:rsid w:val="00845974"/>
    <w:rsid w:val="008469D5"/>
    <w:rsid w:val="008472AE"/>
    <w:rsid w:val="008473CD"/>
    <w:rsid w:val="00847BFF"/>
    <w:rsid w:val="00847F3D"/>
    <w:rsid w:val="008505A1"/>
    <w:rsid w:val="00850BC2"/>
    <w:rsid w:val="008522AC"/>
    <w:rsid w:val="008523BB"/>
    <w:rsid w:val="00852801"/>
    <w:rsid w:val="00852AF3"/>
    <w:rsid w:val="008530E2"/>
    <w:rsid w:val="0085377D"/>
    <w:rsid w:val="00853EA7"/>
    <w:rsid w:val="00854168"/>
    <w:rsid w:val="008552B4"/>
    <w:rsid w:val="008559F2"/>
    <w:rsid w:val="00857103"/>
    <w:rsid w:val="0085749C"/>
    <w:rsid w:val="00857D28"/>
    <w:rsid w:val="008600FE"/>
    <w:rsid w:val="00860474"/>
    <w:rsid w:val="00860652"/>
    <w:rsid w:val="00860DE6"/>
    <w:rsid w:val="00862617"/>
    <w:rsid w:val="0086480E"/>
    <w:rsid w:val="00865756"/>
    <w:rsid w:val="008659B5"/>
    <w:rsid w:val="0086600D"/>
    <w:rsid w:val="00866A1E"/>
    <w:rsid w:val="0086712A"/>
    <w:rsid w:val="008678E5"/>
    <w:rsid w:val="00867DDA"/>
    <w:rsid w:val="0087015C"/>
    <w:rsid w:val="00870568"/>
    <w:rsid w:val="008707A7"/>
    <w:rsid w:val="00870973"/>
    <w:rsid w:val="0087174D"/>
    <w:rsid w:val="008722AB"/>
    <w:rsid w:val="00872858"/>
    <w:rsid w:val="00874149"/>
    <w:rsid w:val="008748DB"/>
    <w:rsid w:val="00875986"/>
    <w:rsid w:val="00875DED"/>
    <w:rsid w:val="00875ECA"/>
    <w:rsid w:val="0087606D"/>
    <w:rsid w:val="00876619"/>
    <w:rsid w:val="00876E85"/>
    <w:rsid w:val="008773E2"/>
    <w:rsid w:val="00877722"/>
    <w:rsid w:val="00877FB6"/>
    <w:rsid w:val="0088098E"/>
    <w:rsid w:val="008810E2"/>
    <w:rsid w:val="00881128"/>
    <w:rsid w:val="008811DC"/>
    <w:rsid w:val="00881DAD"/>
    <w:rsid w:val="00881EA8"/>
    <w:rsid w:val="00882711"/>
    <w:rsid w:val="00882A46"/>
    <w:rsid w:val="00883291"/>
    <w:rsid w:val="00883BBD"/>
    <w:rsid w:val="008840D1"/>
    <w:rsid w:val="0088475C"/>
    <w:rsid w:val="00884F26"/>
    <w:rsid w:val="0088527B"/>
    <w:rsid w:val="008855FD"/>
    <w:rsid w:val="00886625"/>
    <w:rsid w:val="0088789B"/>
    <w:rsid w:val="00887A5F"/>
    <w:rsid w:val="00890ADB"/>
    <w:rsid w:val="00890B97"/>
    <w:rsid w:val="008911F1"/>
    <w:rsid w:val="00891DA0"/>
    <w:rsid w:val="00893952"/>
    <w:rsid w:val="00894406"/>
    <w:rsid w:val="00894BFD"/>
    <w:rsid w:val="00895099"/>
    <w:rsid w:val="00895B87"/>
    <w:rsid w:val="00895F92"/>
    <w:rsid w:val="008964F2"/>
    <w:rsid w:val="008966C3"/>
    <w:rsid w:val="00897054"/>
    <w:rsid w:val="00897DA9"/>
    <w:rsid w:val="008A0BE7"/>
    <w:rsid w:val="008A16B2"/>
    <w:rsid w:val="008A1816"/>
    <w:rsid w:val="008A1BF0"/>
    <w:rsid w:val="008A2D8D"/>
    <w:rsid w:val="008A31BF"/>
    <w:rsid w:val="008A39CA"/>
    <w:rsid w:val="008A4A25"/>
    <w:rsid w:val="008A5134"/>
    <w:rsid w:val="008A57C8"/>
    <w:rsid w:val="008A5BF0"/>
    <w:rsid w:val="008A613A"/>
    <w:rsid w:val="008A7187"/>
    <w:rsid w:val="008A7891"/>
    <w:rsid w:val="008B0890"/>
    <w:rsid w:val="008B0974"/>
    <w:rsid w:val="008B1240"/>
    <w:rsid w:val="008B198C"/>
    <w:rsid w:val="008B40C3"/>
    <w:rsid w:val="008B54FF"/>
    <w:rsid w:val="008B5956"/>
    <w:rsid w:val="008B5B02"/>
    <w:rsid w:val="008B6F0B"/>
    <w:rsid w:val="008B7BE7"/>
    <w:rsid w:val="008B7C5E"/>
    <w:rsid w:val="008B7E67"/>
    <w:rsid w:val="008C124F"/>
    <w:rsid w:val="008C198C"/>
    <w:rsid w:val="008C1CDA"/>
    <w:rsid w:val="008C2670"/>
    <w:rsid w:val="008C3B07"/>
    <w:rsid w:val="008C3FE9"/>
    <w:rsid w:val="008C4181"/>
    <w:rsid w:val="008C456A"/>
    <w:rsid w:val="008C4E27"/>
    <w:rsid w:val="008C5AB7"/>
    <w:rsid w:val="008C613D"/>
    <w:rsid w:val="008C7435"/>
    <w:rsid w:val="008C75DB"/>
    <w:rsid w:val="008D016C"/>
    <w:rsid w:val="008D1410"/>
    <w:rsid w:val="008D1E4D"/>
    <w:rsid w:val="008D2F68"/>
    <w:rsid w:val="008D304A"/>
    <w:rsid w:val="008D3EDF"/>
    <w:rsid w:val="008D5426"/>
    <w:rsid w:val="008D5791"/>
    <w:rsid w:val="008D5A37"/>
    <w:rsid w:val="008D5DBF"/>
    <w:rsid w:val="008D667C"/>
    <w:rsid w:val="008D6AAE"/>
    <w:rsid w:val="008D6EAB"/>
    <w:rsid w:val="008D753A"/>
    <w:rsid w:val="008D7A56"/>
    <w:rsid w:val="008D7E5C"/>
    <w:rsid w:val="008E0B39"/>
    <w:rsid w:val="008E1083"/>
    <w:rsid w:val="008E2620"/>
    <w:rsid w:val="008E2624"/>
    <w:rsid w:val="008E2D1A"/>
    <w:rsid w:val="008E35DD"/>
    <w:rsid w:val="008E44B5"/>
    <w:rsid w:val="008E4EC4"/>
    <w:rsid w:val="008E5B94"/>
    <w:rsid w:val="008E6E9A"/>
    <w:rsid w:val="008E70B2"/>
    <w:rsid w:val="008F02C2"/>
    <w:rsid w:val="008F0A2A"/>
    <w:rsid w:val="008F0EAA"/>
    <w:rsid w:val="008F1672"/>
    <w:rsid w:val="008F1AA6"/>
    <w:rsid w:val="008F1FCA"/>
    <w:rsid w:val="008F2B1B"/>
    <w:rsid w:val="008F2C79"/>
    <w:rsid w:val="008F303C"/>
    <w:rsid w:val="008F32B0"/>
    <w:rsid w:val="008F38E7"/>
    <w:rsid w:val="008F3E58"/>
    <w:rsid w:val="008F4022"/>
    <w:rsid w:val="008F4507"/>
    <w:rsid w:val="008F453E"/>
    <w:rsid w:val="008F7740"/>
    <w:rsid w:val="008F7AF4"/>
    <w:rsid w:val="00900A6E"/>
    <w:rsid w:val="00901BAE"/>
    <w:rsid w:val="009022C4"/>
    <w:rsid w:val="00902484"/>
    <w:rsid w:val="00902667"/>
    <w:rsid w:val="009030CB"/>
    <w:rsid w:val="0090473C"/>
    <w:rsid w:val="00904831"/>
    <w:rsid w:val="00905594"/>
    <w:rsid w:val="00905F9C"/>
    <w:rsid w:val="0090613A"/>
    <w:rsid w:val="00907850"/>
    <w:rsid w:val="00907C14"/>
    <w:rsid w:val="00907D33"/>
    <w:rsid w:val="00911B2A"/>
    <w:rsid w:val="009132F6"/>
    <w:rsid w:val="009144E1"/>
    <w:rsid w:val="009145E2"/>
    <w:rsid w:val="00914F1A"/>
    <w:rsid w:val="00915024"/>
    <w:rsid w:val="0091507A"/>
    <w:rsid w:val="009153A5"/>
    <w:rsid w:val="009156C1"/>
    <w:rsid w:val="00915BBA"/>
    <w:rsid w:val="00917373"/>
    <w:rsid w:val="00917D08"/>
    <w:rsid w:val="00920722"/>
    <w:rsid w:val="00921164"/>
    <w:rsid w:val="00921B34"/>
    <w:rsid w:val="00922025"/>
    <w:rsid w:val="00922C60"/>
    <w:rsid w:val="00922C8E"/>
    <w:rsid w:val="00922DD2"/>
    <w:rsid w:val="009233A1"/>
    <w:rsid w:val="009240BC"/>
    <w:rsid w:val="009248E0"/>
    <w:rsid w:val="009249A5"/>
    <w:rsid w:val="00924A49"/>
    <w:rsid w:val="00924B05"/>
    <w:rsid w:val="0092518C"/>
    <w:rsid w:val="00925239"/>
    <w:rsid w:val="009262FF"/>
    <w:rsid w:val="00926780"/>
    <w:rsid w:val="009275F3"/>
    <w:rsid w:val="0092760C"/>
    <w:rsid w:val="009279C8"/>
    <w:rsid w:val="00930BA0"/>
    <w:rsid w:val="00930F1C"/>
    <w:rsid w:val="00930F93"/>
    <w:rsid w:val="0093242D"/>
    <w:rsid w:val="00932D8C"/>
    <w:rsid w:val="00932ED3"/>
    <w:rsid w:val="00933232"/>
    <w:rsid w:val="00933608"/>
    <w:rsid w:val="00933E59"/>
    <w:rsid w:val="009347C0"/>
    <w:rsid w:val="0093499E"/>
    <w:rsid w:val="009350CD"/>
    <w:rsid w:val="00935147"/>
    <w:rsid w:val="009358B4"/>
    <w:rsid w:val="00935E50"/>
    <w:rsid w:val="00935E7A"/>
    <w:rsid w:val="009360B7"/>
    <w:rsid w:val="00936508"/>
    <w:rsid w:val="009367A2"/>
    <w:rsid w:val="00940145"/>
    <w:rsid w:val="00941A31"/>
    <w:rsid w:val="00942A64"/>
    <w:rsid w:val="00942BA9"/>
    <w:rsid w:val="009433D6"/>
    <w:rsid w:val="0094400D"/>
    <w:rsid w:val="00944152"/>
    <w:rsid w:val="00944333"/>
    <w:rsid w:val="0094449E"/>
    <w:rsid w:val="00944609"/>
    <w:rsid w:val="00944FEA"/>
    <w:rsid w:val="00945345"/>
    <w:rsid w:val="0094568F"/>
    <w:rsid w:val="00946DF3"/>
    <w:rsid w:val="009506DB"/>
    <w:rsid w:val="00950ADF"/>
    <w:rsid w:val="00950BBE"/>
    <w:rsid w:val="00951AB8"/>
    <w:rsid w:val="00951BC6"/>
    <w:rsid w:val="0095266D"/>
    <w:rsid w:val="009526E4"/>
    <w:rsid w:val="009529CB"/>
    <w:rsid w:val="00952A17"/>
    <w:rsid w:val="00952B6F"/>
    <w:rsid w:val="009530D6"/>
    <w:rsid w:val="009538CB"/>
    <w:rsid w:val="00953C7C"/>
    <w:rsid w:val="00954E74"/>
    <w:rsid w:val="00955D48"/>
    <w:rsid w:val="00956000"/>
    <w:rsid w:val="00956129"/>
    <w:rsid w:val="00956185"/>
    <w:rsid w:val="0095677D"/>
    <w:rsid w:val="009567DC"/>
    <w:rsid w:val="00956820"/>
    <w:rsid w:val="00956990"/>
    <w:rsid w:val="00957EB5"/>
    <w:rsid w:val="00962079"/>
    <w:rsid w:val="00962F7C"/>
    <w:rsid w:val="009644A8"/>
    <w:rsid w:val="0096459B"/>
    <w:rsid w:val="0096485B"/>
    <w:rsid w:val="00964D03"/>
    <w:rsid w:val="009650D4"/>
    <w:rsid w:val="009657FC"/>
    <w:rsid w:val="00966429"/>
    <w:rsid w:val="00966584"/>
    <w:rsid w:val="00966A5C"/>
    <w:rsid w:val="00966A9A"/>
    <w:rsid w:val="0096772C"/>
    <w:rsid w:val="00970177"/>
    <w:rsid w:val="00971CA2"/>
    <w:rsid w:val="00972455"/>
    <w:rsid w:val="00972DEE"/>
    <w:rsid w:val="0097528D"/>
    <w:rsid w:val="00975CC9"/>
    <w:rsid w:val="00975ECF"/>
    <w:rsid w:val="009760D2"/>
    <w:rsid w:val="00976282"/>
    <w:rsid w:val="009772E7"/>
    <w:rsid w:val="0098031E"/>
    <w:rsid w:val="009829DB"/>
    <w:rsid w:val="00982EF5"/>
    <w:rsid w:val="0098337A"/>
    <w:rsid w:val="009836CA"/>
    <w:rsid w:val="0098374E"/>
    <w:rsid w:val="00984146"/>
    <w:rsid w:val="009844B8"/>
    <w:rsid w:val="00987E10"/>
    <w:rsid w:val="009909BF"/>
    <w:rsid w:val="00990BCE"/>
    <w:rsid w:val="009912EC"/>
    <w:rsid w:val="00991622"/>
    <w:rsid w:val="00991968"/>
    <w:rsid w:val="009919A9"/>
    <w:rsid w:val="00992673"/>
    <w:rsid w:val="00992861"/>
    <w:rsid w:val="00993E09"/>
    <w:rsid w:val="00994E11"/>
    <w:rsid w:val="00994E73"/>
    <w:rsid w:val="00996321"/>
    <w:rsid w:val="00996668"/>
    <w:rsid w:val="009979BA"/>
    <w:rsid w:val="00997B34"/>
    <w:rsid w:val="00997C2E"/>
    <w:rsid w:val="009A0643"/>
    <w:rsid w:val="009A19CA"/>
    <w:rsid w:val="009A1D50"/>
    <w:rsid w:val="009A2881"/>
    <w:rsid w:val="009A317A"/>
    <w:rsid w:val="009A3D15"/>
    <w:rsid w:val="009A46F7"/>
    <w:rsid w:val="009A4C0B"/>
    <w:rsid w:val="009A68B6"/>
    <w:rsid w:val="009A6A5E"/>
    <w:rsid w:val="009A73EB"/>
    <w:rsid w:val="009A749A"/>
    <w:rsid w:val="009A7500"/>
    <w:rsid w:val="009A7CB1"/>
    <w:rsid w:val="009B03DB"/>
    <w:rsid w:val="009B077A"/>
    <w:rsid w:val="009B07D0"/>
    <w:rsid w:val="009B1FAF"/>
    <w:rsid w:val="009B26D8"/>
    <w:rsid w:val="009B2C5D"/>
    <w:rsid w:val="009B346D"/>
    <w:rsid w:val="009B489E"/>
    <w:rsid w:val="009B51AA"/>
    <w:rsid w:val="009B6CCC"/>
    <w:rsid w:val="009C0068"/>
    <w:rsid w:val="009C02C5"/>
    <w:rsid w:val="009C1673"/>
    <w:rsid w:val="009C17EA"/>
    <w:rsid w:val="009C1E88"/>
    <w:rsid w:val="009C1F5C"/>
    <w:rsid w:val="009C2505"/>
    <w:rsid w:val="009C27B7"/>
    <w:rsid w:val="009C3373"/>
    <w:rsid w:val="009C3939"/>
    <w:rsid w:val="009C3D7C"/>
    <w:rsid w:val="009C48E3"/>
    <w:rsid w:val="009C4FA6"/>
    <w:rsid w:val="009C6082"/>
    <w:rsid w:val="009C6301"/>
    <w:rsid w:val="009D0CDB"/>
    <w:rsid w:val="009D1C51"/>
    <w:rsid w:val="009D1D7D"/>
    <w:rsid w:val="009D2719"/>
    <w:rsid w:val="009D2B72"/>
    <w:rsid w:val="009D2FEF"/>
    <w:rsid w:val="009D3850"/>
    <w:rsid w:val="009D573D"/>
    <w:rsid w:val="009D634B"/>
    <w:rsid w:val="009D6F1E"/>
    <w:rsid w:val="009D75FD"/>
    <w:rsid w:val="009D77B6"/>
    <w:rsid w:val="009E0332"/>
    <w:rsid w:val="009E1427"/>
    <w:rsid w:val="009E14EB"/>
    <w:rsid w:val="009E161E"/>
    <w:rsid w:val="009E1731"/>
    <w:rsid w:val="009E3034"/>
    <w:rsid w:val="009E30B4"/>
    <w:rsid w:val="009E3DDD"/>
    <w:rsid w:val="009E5202"/>
    <w:rsid w:val="009E5238"/>
    <w:rsid w:val="009E7FA8"/>
    <w:rsid w:val="009F036A"/>
    <w:rsid w:val="009F12F4"/>
    <w:rsid w:val="009F170D"/>
    <w:rsid w:val="009F1A1D"/>
    <w:rsid w:val="009F2202"/>
    <w:rsid w:val="009F25FF"/>
    <w:rsid w:val="009F342E"/>
    <w:rsid w:val="009F3B34"/>
    <w:rsid w:val="009F51D9"/>
    <w:rsid w:val="009F5533"/>
    <w:rsid w:val="009F59B5"/>
    <w:rsid w:val="009F5DCA"/>
    <w:rsid w:val="009F6645"/>
    <w:rsid w:val="009F68C5"/>
    <w:rsid w:val="00A00470"/>
    <w:rsid w:val="00A00EE3"/>
    <w:rsid w:val="00A02644"/>
    <w:rsid w:val="00A028C5"/>
    <w:rsid w:val="00A0313D"/>
    <w:rsid w:val="00A031C6"/>
    <w:rsid w:val="00A038AB"/>
    <w:rsid w:val="00A03978"/>
    <w:rsid w:val="00A068A0"/>
    <w:rsid w:val="00A06E34"/>
    <w:rsid w:val="00A075A6"/>
    <w:rsid w:val="00A0781C"/>
    <w:rsid w:val="00A10583"/>
    <w:rsid w:val="00A112B6"/>
    <w:rsid w:val="00A11A44"/>
    <w:rsid w:val="00A1213F"/>
    <w:rsid w:val="00A124E3"/>
    <w:rsid w:val="00A13596"/>
    <w:rsid w:val="00A13DB9"/>
    <w:rsid w:val="00A16899"/>
    <w:rsid w:val="00A16BE1"/>
    <w:rsid w:val="00A16C01"/>
    <w:rsid w:val="00A16EF4"/>
    <w:rsid w:val="00A22C86"/>
    <w:rsid w:val="00A24128"/>
    <w:rsid w:val="00A2416E"/>
    <w:rsid w:val="00A25099"/>
    <w:rsid w:val="00A25B8F"/>
    <w:rsid w:val="00A26361"/>
    <w:rsid w:val="00A304DB"/>
    <w:rsid w:val="00A305D1"/>
    <w:rsid w:val="00A308C0"/>
    <w:rsid w:val="00A3147E"/>
    <w:rsid w:val="00A31830"/>
    <w:rsid w:val="00A31CDB"/>
    <w:rsid w:val="00A3268E"/>
    <w:rsid w:val="00A326B0"/>
    <w:rsid w:val="00A32D61"/>
    <w:rsid w:val="00A334F4"/>
    <w:rsid w:val="00A33B39"/>
    <w:rsid w:val="00A33B8A"/>
    <w:rsid w:val="00A343E0"/>
    <w:rsid w:val="00A34799"/>
    <w:rsid w:val="00A34E5E"/>
    <w:rsid w:val="00A35255"/>
    <w:rsid w:val="00A36411"/>
    <w:rsid w:val="00A366FE"/>
    <w:rsid w:val="00A36846"/>
    <w:rsid w:val="00A37945"/>
    <w:rsid w:val="00A37AFF"/>
    <w:rsid w:val="00A37CDD"/>
    <w:rsid w:val="00A40BDC"/>
    <w:rsid w:val="00A415D4"/>
    <w:rsid w:val="00A4181C"/>
    <w:rsid w:val="00A41F35"/>
    <w:rsid w:val="00A420DC"/>
    <w:rsid w:val="00A42F80"/>
    <w:rsid w:val="00A43517"/>
    <w:rsid w:val="00A44353"/>
    <w:rsid w:val="00A44685"/>
    <w:rsid w:val="00A44942"/>
    <w:rsid w:val="00A44A35"/>
    <w:rsid w:val="00A455A6"/>
    <w:rsid w:val="00A47241"/>
    <w:rsid w:val="00A47F9D"/>
    <w:rsid w:val="00A5018C"/>
    <w:rsid w:val="00A50961"/>
    <w:rsid w:val="00A5131C"/>
    <w:rsid w:val="00A515AB"/>
    <w:rsid w:val="00A518F4"/>
    <w:rsid w:val="00A5227B"/>
    <w:rsid w:val="00A52794"/>
    <w:rsid w:val="00A539C9"/>
    <w:rsid w:val="00A547B0"/>
    <w:rsid w:val="00A54F67"/>
    <w:rsid w:val="00A556AF"/>
    <w:rsid w:val="00A55AE5"/>
    <w:rsid w:val="00A56471"/>
    <w:rsid w:val="00A567DF"/>
    <w:rsid w:val="00A61631"/>
    <w:rsid w:val="00A616A3"/>
    <w:rsid w:val="00A61F1F"/>
    <w:rsid w:val="00A62691"/>
    <w:rsid w:val="00A632DD"/>
    <w:rsid w:val="00A633DD"/>
    <w:rsid w:val="00A644F5"/>
    <w:rsid w:val="00A657A0"/>
    <w:rsid w:val="00A65D2B"/>
    <w:rsid w:val="00A65ECE"/>
    <w:rsid w:val="00A66291"/>
    <w:rsid w:val="00A675D0"/>
    <w:rsid w:val="00A67601"/>
    <w:rsid w:val="00A677B1"/>
    <w:rsid w:val="00A6783C"/>
    <w:rsid w:val="00A70342"/>
    <w:rsid w:val="00A72EA8"/>
    <w:rsid w:val="00A743D9"/>
    <w:rsid w:val="00A750C8"/>
    <w:rsid w:val="00A7520A"/>
    <w:rsid w:val="00A75E46"/>
    <w:rsid w:val="00A77B4B"/>
    <w:rsid w:val="00A77DC9"/>
    <w:rsid w:val="00A77E4B"/>
    <w:rsid w:val="00A80508"/>
    <w:rsid w:val="00A8215B"/>
    <w:rsid w:val="00A8310B"/>
    <w:rsid w:val="00A83211"/>
    <w:rsid w:val="00A835BA"/>
    <w:rsid w:val="00A840AE"/>
    <w:rsid w:val="00A843E5"/>
    <w:rsid w:val="00A8520F"/>
    <w:rsid w:val="00A8710A"/>
    <w:rsid w:val="00A8712D"/>
    <w:rsid w:val="00A87233"/>
    <w:rsid w:val="00A87A39"/>
    <w:rsid w:val="00A90AFA"/>
    <w:rsid w:val="00A910BF"/>
    <w:rsid w:val="00A92180"/>
    <w:rsid w:val="00A939A6"/>
    <w:rsid w:val="00A93E9E"/>
    <w:rsid w:val="00A95450"/>
    <w:rsid w:val="00A95A4C"/>
    <w:rsid w:val="00A95BDD"/>
    <w:rsid w:val="00A976D1"/>
    <w:rsid w:val="00A97DC3"/>
    <w:rsid w:val="00A97F7D"/>
    <w:rsid w:val="00AA00AB"/>
    <w:rsid w:val="00AA0863"/>
    <w:rsid w:val="00AA0953"/>
    <w:rsid w:val="00AA2180"/>
    <w:rsid w:val="00AA235F"/>
    <w:rsid w:val="00AA312E"/>
    <w:rsid w:val="00AA54C9"/>
    <w:rsid w:val="00AA60C1"/>
    <w:rsid w:val="00AA6190"/>
    <w:rsid w:val="00AA7A5B"/>
    <w:rsid w:val="00AB01E7"/>
    <w:rsid w:val="00AB04CD"/>
    <w:rsid w:val="00AB0CE9"/>
    <w:rsid w:val="00AB0ECF"/>
    <w:rsid w:val="00AB1B8A"/>
    <w:rsid w:val="00AB2438"/>
    <w:rsid w:val="00AB3838"/>
    <w:rsid w:val="00AB43B4"/>
    <w:rsid w:val="00AB43C5"/>
    <w:rsid w:val="00AB5837"/>
    <w:rsid w:val="00AB779A"/>
    <w:rsid w:val="00AC1090"/>
    <w:rsid w:val="00AC11B1"/>
    <w:rsid w:val="00AC22A1"/>
    <w:rsid w:val="00AC2308"/>
    <w:rsid w:val="00AC25D0"/>
    <w:rsid w:val="00AC3F08"/>
    <w:rsid w:val="00AC49CF"/>
    <w:rsid w:val="00AC5976"/>
    <w:rsid w:val="00AC6F36"/>
    <w:rsid w:val="00AC79E1"/>
    <w:rsid w:val="00AD0291"/>
    <w:rsid w:val="00AD0F72"/>
    <w:rsid w:val="00AD10F8"/>
    <w:rsid w:val="00AD12B5"/>
    <w:rsid w:val="00AD244D"/>
    <w:rsid w:val="00AD29EB"/>
    <w:rsid w:val="00AD2DC9"/>
    <w:rsid w:val="00AD47A8"/>
    <w:rsid w:val="00AD4848"/>
    <w:rsid w:val="00AD4EF0"/>
    <w:rsid w:val="00AD5C63"/>
    <w:rsid w:val="00AD79F2"/>
    <w:rsid w:val="00AE00DF"/>
    <w:rsid w:val="00AE0190"/>
    <w:rsid w:val="00AE14E1"/>
    <w:rsid w:val="00AE1DBA"/>
    <w:rsid w:val="00AE2830"/>
    <w:rsid w:val="00AE294E"/>
    <w:rsid w:val="00AE301E"/>
    <w:rsid w:val="00AE3D11"/>
    <w:rsid w:val="00AE3F78"/>
    <w:rsid w:val="00AE4CC2"/>
    <w:rsid w:val="00AE546C"/>
    <w:rsid w:val="00AE5828"/>
    <w:rsid w:val="00AE5C6F"/>
    <w:rsid w:val="00AE5CDE"/>
    <w:rsid w:val="00AE61FB"/>
    <w:rsid w:val="00AE628A"/>
    <w:rsid w:val="00AE6929"/>
    <w:rsid w:val="00AE7215"/>
    <w:rsid w:val="00AF0909"/>
    <w:rsid w:val="00AF171E"/>
    <w:rsid w:val="00AF1BEF"/>
    <w:rsid w:val="00AF2B07"/>
    <w:rsid w:val="00AF472E"/>
    <w:rsid w:val="00AF5452"/>
    <w:rsid w:val="00AF6377"/>
    <w:rsid w:val="00AF6D57"/>
    <w:rsid w:val="00AF7635"/>
    <w:rsid w:val="00AF7658"/>
    <w:rsid w:val="00AF7F41"/>
    <w:rsid w:val="00B00154"/>
    <w:rsid w:val="00B01586"/>
    <w:rsid w:val="00B016A8"/>
    <w:rsid w:val="00B019B3"/>
    <w:rsid w:val="00B02FCC"/>
    <w:rsid w:val="00B03420"/>
    <w:rsid w:val="00B03E3E"/>
    <w:rsid w:val="00B04461"/>
    <w:rsid w:val="00B048CB"/>
    <w:rsid w:val="00B04A57"/>
    <w:rsid w:val="00B0602A"/>
    <w:rsid w:val="00B0638C"/>
    <w:rsid w:val="00B06F8C"/>
    <w:rsid w:val="00B074F3"/>
    <w:rsid w:val="00B106E2"/>
    <w:rsid w:val="00B10711"/>
    <w:rsid w:val="00B10833"/>
    <w:rsid w:val="00B119F9"/>
    <w:rsid w:val="00B1224A"/>
    <w:rsid w:val="00B132B6"/>
    <w:rsid w:val="00B1484D"/>
    <w:rsid w:val="00B14B69"/>
    <w:rsid w:val="00B14F4B"/>
    <w:rsid w:val="00B15CB7"/>
    <w:rsid w:val="00B162DF"/>
    <w:rsid w:val="00B177AF"/>
    <w:rsid w:val="00B17D45"/>
    <w:rsid w:val="00B17FE8"/>
    <w:rsid w:val="00B20232"/>
    <w:rsid w:val="00B2075C"/>
    <w:rsid w:val="00B207F1"/>
    <w:rsid w:val="00B21475"/>
    <w:rsid w:val="00B21A86"/>
    <w:rsid w:val="00B22338"/>
    <w:rsid w:val="00B2289C"/>
    <w:rsid w:val="00B23F3D"/>
    <w:rsid w:val="00B24BD4"/>
    <w:rsid w:val="00B25080"/>
    <w:rsid w:val="00B25250"/>
    <w:rsid w:val="00B25B8F"/>
    <w:rsid w:val="00B25EFF"/>
    <w:rsid w:val="00B26ADF"/>
    <w:rsid w:val="00B26F82"/>
    <w:rsid w:val="00B27918"/>
    <w:rsid w:val="00B3130D"/>
    <w:rsid w:val="00B32424"/>
    <w:rsid w:val="00B3296D"/>
    <w:rsid w:val="00B32A50"/>
    <w:rsid w:val="00B3301D"/>
    <w:rsid w:val="00B33F21"/>
    <w:rsid w:val="00B34B5D"/>
    <w:rsid w:val="00B34C03"/>
    <w:rsid w:val="00B35B3A"/>
    <w:rsid w:val="00B360C0"/>
    <w:rsid w:val="00B36491"/>
    <w:rsid w:val="00B37F6D"/>
    <w:rsid w:val="00B406B2"/>
    <w:rsid w:val="00B415CE"/>
    <w:rsid w:val="00B417E0"/>
    <w:rsid w:val="00B41A0A"/>
    <w:rsid w:val="00B42FE3"/>
    <w:rsid w:val="00B43E05"/>
    <w:rsid w:val="00B45172"/>
    <w:rsid w:val="00B473D6"/>
    <w:rsid w:val="00B475F5"/>
    <w:rsid w:val="00B47808"/>
    <w:rsid w:val="00B511A5"/>
    <w:rsid w:val="00B51723"/>
    <w:rsid w:val="00B52570"/>
    <w:rsid w:val="00B53483"/>
    <w:rsid w:val="00B53AA8"/>
    <w:rsid w:val="00B54130"/>
    <w:rsid w:val="00B548ED"/>
    <w:rsid w:val="00B54C23"/>
    <w:rsid w:val="00B5556A"/>
    <w:rsid w:val="00B55E7A"/>
    <w:rsid w:val="00B55FC4"/>
    <w:rsid w:val="00B56736"/>
    <w:rsid w:val="00B56C70"/>
    <w:rsid w:val="00B56C98"/>
    <w:rsid w:val="00B579D9"/>
    <w:rsid w:val="00B57B05"/>
    <w:rsid w:val="00B57D35"/>
    <w:rsid w:val="00B606C6"/>
    <w:rsid w:val="00B616A1"/>
    <w:rsid w:val="00B61C31"/>
    <w:rsid w:val="00B61D76"/>
    <w:rsid w:val="00B62173"/>
    <w:rsid w:val="00B62647"/>
    <w:rsid w:val="00B63F8C"/>
    <w:rsid w:val="00B64AF2"/>
    <w:rsid w:val="00B65142"/>
    <w:rsid w:val="00B65A61"/>
    <w:rsid w:val="00B65D45"/>
    <w:rsid w:val="00B66BDF"/>
    <w:rsid w:val="00B66F91"/>
    <w:rsid w:val="00B6739A"/>
    <w:rsid w:val="00B67B0D"/>
    <w:rsid w:val="00B7118A"/>
    <w:rsid w:val="00B718F6"/>
    <w:rsid w:val="00B72F1B"/>
    <w:rsid w:val="00B7391A"/>
    <w:rsid w:val="00B74CD4"/>
    <w:rsid w:val="00B75490"/>
    <w:rsid w:val="00B7583E"/>
    <w:rsid w:val="00B75E9C"/>
    <w:rsid w:val="00B762B2"/>
    <w:rsid w:val="00B76929"/>
    <w:rsid w:val="00B77B88"/>
    <w:rsid w:val="00B80947"/>
    <w:rsid w:val="00B810D9"/>
    <w:rsid w:val="00B817B6"/>
    <w:rsid w:val="00B81B21"/>
    <w:rsid w:val="00B81BF7"/>
    <w:rsid w:val="00B8223A"/>
    <w:rsid w:val="00B833B0"/>
    <w:rsid w:val="00B835BE"/>
    <w:rsid w:val="00B836FA"/>
    <w:rsid w:val="00B84795"/>
    <w:rsid w:val="00B84CC4"/>
    <w:rsid w:val="00B84D8A"/>
    <w:rsid w:val="00B85A78"/>
    <w:rsid w:val="00B85C6C"/>
    <w:rsid w:val="00B85DB2"/>
    <w:rsid w:val="00B87785"/>
    <w:rsid w:val="00B877A6"/>
    <w:rsid w:val="00B87FA8"/>
    <w:rsid w:val="00B90500"/>
    <w:rsid w:val="00B909A7"/>
    <w:rsid w:val="00B90CC6"/>
    <w:rsid w:val="00B924E4"/>
    <w:rsid w:val="00B926BC"/>
    <w:rsid w:val="00B928C0"/>
    <w:rsid w:val="00B94871"/>
    <w:rsid w:val="00B95E00"/>
    <w:rsid w:val="00B9693E"/>
    <w:rsid w:val="00B97E53"/>
    <w:rsid w:val="00BA17DE"/>
    <w:rsid w:val="00BA2905"/>
    <w:rsid w:val="00BA4509"/>
    <w:rsid w:val="00BA4578"/>
    <w:rsid w:val="00BA4AE1"/>
    <w:rsid w:val="00BA508B"/>
    <w:rsid w:val="00BA6125"/>
    <w:rsid w:val="00BA62B5"/>
    <w:rsid w:val="00BA6453"/>
    <w:rsid w:val="00BA6A51"/>
    <w:rsid w:val="00BB0AC5"/>
    <w:rsid w:val="00BB0C66"/>
    <w:rsid w:val="00BB0DF2"/>
    <w:rsid w:val="00BB1FF5"/>
    <w:rsid w:val="00BB395F"/>
    <w:rsid w:val="00BB3A83"/>
    <w:rsid w:val="00BB3DC8"/>
    <w:rsid w:val="00BB5659"/>
    <w:rsid w:val="00BB62C5"/>
    <w:rsid w:val="00BB6441"/>
    <w:rsid w:val="00BB7D29"/>
    <w:rsid w:val="00BC083A"/>
    <w:rsid w:val="00BC0FF7"/>
    <w:rsid w:val="00BC151D"/>
    <w:rsid w:val="00BC1965"/>
    <w:rsid w:val="00BC19C1"/>
    <w:rsid w:val="00BC1C2B"/>
    <w:rsid w:val="00BC1E3D"/>
    <w:rsid w:val="00BC22EA"/>
    <w:rsid w:val="00BC2BE5"/>
    <w:rsid w:val="00BC3E2E"/>
    <w:rsid w:val="00BC467A"/>
    <w:rsid w:val="00BC4ADD"/>
    <w:rsid w:val="00BC4EB8"/>
    <w:rsid w:val="00BC54FB"/>
    <w:rsid w:val="00BC601B"/>
    <w:rsid w:val="00BC609B"/>
    <w:rsid w:val="00BC6F4A"/>
    <w:rsid w:val="00BC75E5"/>
    <w:rsid w:val="00BC7A95"/>
    <w:rsid w:val="00BD031E"/>
    <w:rsid w:val="00BD10B4"/>
    <w:rsid w:val="00BD1540"/>
    <w:rsid w:val="00BD17B4"/>
    <w:rsid w:val="00BD2C5E"/>
    <w:rsid w:val="00BD3059"/>
    <w:rsid w:val="00BD5B72"/>
    <w:rsid w:val="00BD73ED"/>
    <w:rsid w:val="00BD7C82"/>
    <w:rsid w:val="00BD7EDE"/>
    <w:rsid w:val="00BE015E"/>
    <w:rsid w:val="00BE029A"/>
    <w:rsid w:val="00BE0435"/>
    <w:rsid w:val="00BE070D"/>
    <w:rsid w:val="00BE0B48"/>
    <w:rsid w:val="00BE124E"/>
    <w:rsid w:val="00BE1CDE"/>
    <w:rsid w:val="00BE1E26"/>
    <w:rsid w:val="00BE239D"/>
    <w:rsid w:val="00BE29BB"/>
    <w:rsid w:val="00BE2A3F"/>
    <w:rsid w:val="00BE348A"/>
    <w:rsid w:val="00BE4846"/>
    <w:rsid w:val="00BE587D"/>
    <w:rsid w:val="00BE6264"/>
    <w:rsid w:val="00BE637C"/>
    <w:rsid w:val="00BE64FE"/>
    <w:rsid w:val="00BE6751"/>
    <w:rsid w:val="00BE6D93"/>
    <w:rsid w:val="00BE7585"/>
    <w:rsid w:val="00BF0583"/>
    <w:rsid w:val="00BF13CB"/>
    <w:rsid w:val="00BF185B"/>
    <w:rsid w:val="00BF1A1C"/>
    <w:rsid w:val="00BF1CE0"/>
    <w:rsid w:val="00BF1D67"/>
    <w:rsid w:val="00BF2115"/>
    <w:rsid w:val="00BF215A"/>
    <w:rsid w:val="00BF27C9"/>
    <w:rsid w:val="00BF28A8"/>
    <w:rsid w:val="00BF2F4E"/>
    <w:rsid w:val="00BF326B"/>
    <w:rsid w:val="00BF35AF"/>
    <w:rsid w:val="00BF48EF"/>
    <w:rsid w:val="00BF51B2"/>
    <w:rsid w:val="00BF5275"/>
    <w:rsid w:val="00BF5497"/>
    <w:rsid w:val="00BF59C1"/>
    <w:rsid w:val="00BF59FD"/>
    <w:rsid w:val="00BF5FAB"/>
    <w:rsid w:val="00BF6520"/>
    <w:rsid w:val="00BF71E4"/>
    <w:rsid w:val="00BF7BE3"/>
    <w:rsid w:val="00BF7ECC"/>
    <w:rsid w:val="00C0032C"/>
    <w:rsid w:val="00C008CE"/>
    <w:rsid w:val="00C011C8"/>
    <w:rsid w:val="00C01AE0"/>
    <w:rsid w:val="00C0253A"/>
    <w:rsid w:val="00C04F1F"/>
    <w:rsid w:val="00C05141"/>
    <w:rsid w:val="00C05493"/>
    <w:rsid w:val="00C06008"/>
    <w:rsid w:val="00C06083"/>
    <w:rsid w:val="00C070B9"/>
    <w:rsid w:val="00C07BE2"/>
    <w:rsid w:val="00C1116B"/>
    <w:rsid w:val="00C11669"/>
    <w:rsid w:val="00C11734"/>
    <w:rsid w:val="00C1182A"/>
    <w:rsid w:val="00C12093"/>
    <w:rsid w:val="00C125BE"/>
    <w:rsid w:val="00C12DBD"/>
    <w:rsid w:val="00C13190"/>
    <w:rsid w:val="00C13588"/>
    <w:rsid w:val="00C149D5"/>
    <w:rsid w:val="00C14CD7"/>
    <w:rsid w:val="00C165C6"/>
    <w:rsid w:val="00C17559"/>
    <w:rsid w:val="00C17774"/>
    <w:rsid w:val="00C17959"/>
    <w:rsid w:val="00C2111E"/>
    <w:rsid w:val="00C2168B"/>
    <w:rsid w:val="00C2194C"/>
    <w:rsid w:val="00C21B6B"/>
    <w:rsid w:val="00C22689"/>
    <w:rsid w:val="00C226A4"/>
    <w:rsid w:val="00C2281D"/>
    <w:rsid w:val="00C23A69"/>
    <w:rsid w:val="00C24388"/>
    <w:rsid w:val="00C24D2D"/>
    <w:rsid w:val="00C261DB"/>
    <w:rsid w:val="00C26EA7"/>
    <w:rsid w:val="00C272CA"/>
    <w:rsid w:val="00C2748A"/>
    <w:rsid w:val="00C27827"/>
    <w:rsid w:val="00C31358"/>
    <w:rsid w:val="00C31C73"/>
    <w:rsid w:val="00C32B8B"/>
    <w:rsid w:val="00C3380E"/>
    <w:rsid w:val="00C33E92"/>
    <w:rsid w:val="00C34B9C"/>
    <w:rsid w:val="00C34C23"/>
    <w:rsid w:val="00C35D87"/>
    <w:rsid w:val="00C35F8A"/>
    <w:rsid w:val="00C360E7"/>
    <w:rsid w:val="00C40E9C"/>
    <w:rsid w:val="00C4148C"/>
    <w:rsid w:val="00C41725"/>
    <w:rsid w:val="00C42597"/>
    <w:rsid w:val="00C43F85"/>
    <w:rsid w:val="00C441A2"/>
    <w:rsid w:val="00C45B92"/>
    <w:rsid w:val="00C465FC"/>
    <w:rsid w:val="00C469FF"/>
    <w:rsid w:val="00C478AC"/>
    <w:rsid w:val="00C5095E"/>
    <w:rsid w:val="00C511D5"/>
    <w:rsid w:val="00C512E9"/>
    <w:rsid w:val="00C51428"/>
    <w:rsid w:val="00C51A41"/>
    <w:rsid w:val="00C51CF9"/>
    <w:rsid w:val="00C52AF1"/>
    <w:rsid w:val="00C5344F"/>
    <w:rsid w:val="00C53CCA"/>
    <w:rsid w:val="00C545D1"/>
    <w:rsid w:val="00C54D23"/>
    <w:rsid w:val="00C55192"/>
    <w:rsid w:val="00C56731"/>
    <w:rsid w:val="00C56DA5"/>
    <w:rsid w:val="00C57230"/>
    <w:rsid w:val="00C57D6C"/>
    <w:rsid w:val="00C61490"/>
    <w:rsid w:val="00C62374"/>
    <w:rsid w:val="00C623D6"/>
    <w:rsid w:val="00C62631"/>
    <w:rsid w:val="00C631AB"/>
    <w:rsid w:val="00C63FAD"/>
    <w:rsid w:val="00C642A6"/>
    <w:rsid w:val="00C6529E"/>
    <w:rsid w:val="00C653F6"/>
    <w:rsid w:val="00C70517"/>
    <w:rsid w:val="00C709F1"/>
    <w:rsid w:val="00C70A4E"/>
    <w:rsid w:val="00C70D56"/>
    <w:rsid w:val="00C70DA2"/>
    <w:rsid w:val="00C71058"/>
    <w:rsid w:val="00C71333"/>
    <w:rsid w:val="00C714D1"/>
    <w:rsid w:val="00C716D0"/>
    <w:rsid w:val="00C720C2"/>
    <w:rsid w:val="00C72C6C"/>
    <w:rsid w:val="00C731E5"/>
    <w:rsid w:val="00C75555"/>
    <w:rsid w:val="00C75E3B"/>
    <w:rsid w:val="00C763AD"/>
    <w:rsid w:val="00C76B58"/>
    <w:rsid w:val="00C77022"/>
    <w:rsid w:val="00C773C0"/>
    <w:rsid w:val="00C775A0"/>
    <w:rsid w:val="00C77913"/>
    <w:rsid w:val="00C77B29"/>
    <w:rsid w:val="00C77D96"/>
    <w:rsid w:val="00C81800"/>
    <w:rsid w:val="00C831DC"/>
    <w:rsid w:val="00C83365"/>
    <w:rsid w:val="00C8524E"/>
    <w:rsid w:val="00C859A5"/>
    <w:rsid w:val="00C85E2B"/>
    <w:rsid w:val="00C864A9"/>
    <w:rsid w:val="00C86577"/>
    <w:rsid w:val="00C866AF"/>
    <w:rsid w:val="00C8699E"/>
    <w:rsid w:val="00C86F49"/>
    <w:rsid w:val="00C87049"/>
    <w:rsid w:val="00C870EA"/>
    <w:rsid w:val="00C87A8B"/>
    <w:rsid w:val="00C90225"/>
    <w:rsid w:val="00C91236"/>
    <w:rsid w:val="00C91C6E"/>
    <w:rsid w:val="00C922BA"/>
    <w:rsid w:val="00C92AD9"/>
    <w:rsid w:val="00C930EC"/>
    <w:rsid w:val="00C93390"/>
    <w:rsid w:val="00C93994"/>
    <w:rsid w:val="00C93C01"/>
    <w:rsid w:val="00C93D78"/>
    <w:rsid w:val="00C9478D"/>
    <w:rsid w:val="00C95055"/>
    <w:rsid w:val="00C953C5"/>
    <w:rsid w:val="00C9607B"/>
    <w:rsid w:val="00C9732C"/>
    <w:rsid w:val="00CA0FEA"/>
    <w:rsid w:val="00CA1EBF"/>
    <w:rsid w:val="00CA2659"/>
    <w:rsid w:val="00CA2B69"/>
    <w:rsid w:val="00CA3135"/>
    <w:rsid w:val="00CA3675"/>
    <w:rsid w:val="00CA3A6F"/>
    <w:rsid w:val="00CA3ABB"/>
    <w:rsid w:val="00CA3D58"/>
    <w:rsid w:val="00CA43A4"/>
    <w:rsid w:val="00CA4CAD"/>
    <w:rsid w:val="00CA511F"/>
    <w:rsid w:val="00CA5B1C"/>
    <w:rsid w:val="00CA5E93"/>
    <w:rsid w:val="00CA6743"/>
    <w:rsid w:val="00CA7B4F"/>
    <w:rsid w:val="00CA7DE3"/>
    <w:rsid w:val="00CB02D4"/>
    <w:rsid w:val="00CB1CDD"/>
    <w:rsid w:val="00CB3791"/>
    <w:rsid w:val="00CB4AA9"/>
    <w:rsid w:val="00CB5054"/>
    <w:rsid w:val="00CB6550"/>
    <w:rsid w:val="00CB678D"/>
    <w:rsid w:val="00CB7109"/>
    <w:rsid w:val="00CB7206"/>
    <w:rsid w:val="00CB74D1"/>
    <w:rsid w:val="00CB7567"/>
    <w:rsid w:val="00CB76AE"/>
    <w:rsid w:val="00CB7813"/>
    <w:rsid w:val="00CC12CA"/>
    <w:rsid w:val="00CC2429"/>
    <w:rsid w:val="00CC2DE2"/>
    <w:rsid w:val="00CC2FB8"/>
    <w:rsid w:val="00CC3EF6"/>
    <w:rsid w:val="00CC4974"/>
    <w:rsid w:val="00CC5F1B"/>
    <w:rsid w:val="00CC6C00"/>
    <w:rsid w:val="00CC7133"/>
    <w:rsid w:val="00CD0088"/>
    <w:rsid w:val="00CD0832"/>
    <w:rsid w:val="00CD088D"/>
    <w:rsid w:val="00CD0CCE"/>
    <w:rsid w:val="00CD10C0"/>
    <w:rsid w:val="00CD1CB9"/>
    <w:rsid w:val="00CD25D9"/>
    <w:rsid w:val="00CD2A77"/>
    <w:rsid w:val="00CD2DF4"/>
    <w:rsid w:val="00CD3C65"/>
    <w:rsid w:val="00CD4195"/>
    <w:rsid w:val="00CD4572"/>
    <w:rsid w:val="00CD461F"/>
    <w:rsid w:val="00CD464D"/>
    <w:rsid w:val="00CD49F4"/>
    <w:rsid w:val="00CD4AC9"/>
    <w:rsid w:val="00CD51DF"/>
    <w:rsid w:val="00CD5DC9"/>
    <w:rsid w:val="00CD7401"/>
    <w:rsid w:val="00CD7E73"/>
    <w:rsid w:val="00CE115C"/>
    <w:rsid w:val="00CE20C8"/>
    <w:rsid w:val="00CE24EE"/>
    <w:rsid w:val="00CE2BC0"/>
    <w:rsid w:val="00CE372E"/>
    <w:rsid w:val="00CE39E2"/>
    <w:rsid w:val="00CE3FD3"/>
    <w:rsid w:val="00CE4D3A"/>
    <w:rsid w:val="00CE5B1B"/>
    <w:rsid w:val="00CE6EBB"/>
    <w:rsid w:val="00CE709C"/>
    <w:rsid w:val="00CE7678"/>
    <w:rsid w:val="00CF008F"/>
    <w:rsid w:val="00CF0C48"/>
    <w:rsid w:val="00CF0ECD"/>
    <w:rsid w:val="00CF15AF"/>
    <w:rsid w:val="00CF1974"/>
    <w:rsid w:val="00CF23B5"/>
    <w:rsid w:val="00CF3C7E"/>
    <w:rsid w:val="00CF3D10"/>
    <w:rsid w:val="00CF69D7"/>
    <w:rsid w:val="00CF72F5"/>
    <w:rsid w:val="00D0027E"/>
    <w:rsid w:val="00D011DE"/>
    <w:rsid w:val="00D0158A"/>
    <w:rsid w:val="00D0215D"/>
    <w:rsid w:val="00D02736"/>
    <w:rsid w:val="00D04F84"/>
    <w:rsid w:val="00D05035"/>
    <w:rsid w:val="00D05F6A"/>
    <w:rsid w:val="00D066D8"/>
    <w:rsid w:val="00D06C64"/>
    <w:rsid w:val="00D06D78"/>
    <w:rsid w:val="00D072A9"/>
    <w:rsid w:val="00D076A8"/>
    <w:rsid w:val="00D0798F"/>
    <w:rsid w:val="00D105CE"/>
    <w:rsid w:val="00D10C28"/>
    <w:rsid w:val="00D149D4"/>
    <w:rsid w:val="00D15098"/>
    <w:rsid w:val="00D1519A"/>
    <w:rsid w:val="00D15BC3"/>
    <w:rsid w:val="00D1775C"/>
    <w:rsid w:val="00D17800"/>
    <w:rsid w:val="00D2011E"/>
    <w:rsid w:val="00D20360"/>
    <w:rsid w:val="00D20405"/>
    <w:rsid w:val="00D207ED"/>
    <w:rsid w:val="00D23A75"/>
    <w:rsid w:val="00D24709"/>
    <w:rsid w:val="00D2476F"/>
    <w:rsid w:val="00D24868"/>
    <w:rsid w:val="00D24909"/>
    <w:rsid w:val="00D2491C"/>
    <w:rsid w:val="00D24D67"/>
    <w:rsid w:val="00D25179"/>
    <w:rsid w:val="00D25204"/>
    <w:rsid w:val="00D25AC8"/>
    <w:rsid w:val="00D25B32"/>
    <w:rsid w:val="00D261C3"/>
    <w:rsid w:val="00D26C41"/>
    <w:rsid w:val="00D275F4"/>
    <w:rsid w:val="00D27CB6"/>
    <w:rsid w:val="00D30D43"/>
    <w:rsid w:val="00D31CD8"/>
    <w:rsid w:val="00D320D6"/>
    <w:rsid w:val="00D32AB7"/>
    <w:rsid w:val="00D34BC4"/>
    <w:rsid w:val="00D350BA"/>
    <w:rsid w:val="00D359A1"/>
    <w:rsid w:val="00D35C77"/>
    <w:rsid w:val="00D3639F"/>
    <w:rsid w:val="00D36467"/>
    <w:rsid w:val="00D36F57"/>
    <w:rsid w:val="00D40243"/>
    <w:rsid w:val="00D405AC"/>
    <w:rsid w:val="00D40B19"/>
    <w:rsid w:val="00D416BA"/>
    <w:rsid w:val="00D416BF"/>
    <w:rsid w:val="00D41A0C"/>
    <w:rsid w:val="00D431D7"/>
    <w:rsid w:val="00D439A8"/>
    <w:rsid w:val="00D444E0"/>
    <w:rsid w:val="00D452AA"/>
    <w:rsid w:val="00D45639"/>
    <w:rsid w:val="00D4579A"/>
    <w:rsid w:val="00D45963"/>
    <w:rsid w:val="00D45A3A"/>
    <w:rsid w:val="00D477D1"/>
    <w:rsid w:val="00D5091E"/>
    <w:rsid w:val="00D51440"/>
    <w:rsid w:val="00D516A2"/>
    <w:rsid w:val="00D51A00"/>
    <w:rsid w:val="00D51B87"/>
    <w:rsid w:val="00D525BD"/>
    <w:rsid w:val="00D53805"/>
    <w:rsid w:val="00D5388B"/>
    <w:rsid w:val="00D54FAC"/>
    <w:rsid w:val="00D55686"/>
    <w:rsid w:val="00D564BD"/>
    <w:rsid w:val="00D56D95"/>
    <w:rsid w:val="00D571F6"/>
    <w:rsid w:val="00D5729D"/>
    <w:rsid w:val="00D57E24"/>
    <w:rsid w:val="00D57FA9"/>
    <w:rsid w:val="00D61809"/>
    <w:rsid w:val="00D6180C"/>
    <w:rsid w:val="00D6240A"/>
    <w:rsid w:val="00D6253F"/>
    <w:rsid w:val="00D630C6"/>
    <w:rsid w:val="00D63652"/>
    <w:rsid w:val="00D64B56"/>
    <w:rsid w:val="00D64C1E"/>
    <w:rsid w:val="00D657C4"/>
    <w:rsid w:val="00D65B03"/>
    <w:rsid w:val="00D65EB4"/>
    <w:rsid w:val="00D66957"/>
    <w:rsid w:val="00D66AE9"/>
    <w:rsid w:val="00D67FCE"/>
    <w:rsid w:val="00D70BAB"/>
    <w:rsid w:val="00D71669"/>
    <w:rsid w:val="00D71ABC"/>
    <w:rsid w:val="00D71F27"/>
    <w:rsid w:val="00D722C0"/>
    <w:rsid w:val="00D72DAD"/>
    <w:rsid w:val="00D73654"/>
    <w:rsid w:val="00D73E4F"/>
    <w:rsid w:val="00D750B6"/>
    <w:rsid w:val="00D75C91"/>
    <w:rsid w:val="00D75F30"/>
    <w:rsid w:val="00D76086"/>
    <w:rsid w:val="00D76582"/>
    <w:rsid w:val="00D766C2"/>
    <w:rsid w:val="00D77098"/>
    <w:rsid w:val="00D80D40"/>
    <w:rsid w:val="00D80D62"/>
    <w:rsid w:val="00D80F1C"/>
    <w:rsid w:val="00D840C3"/>
    <w:rsid w:val="00D848D8"/>
    <w:rsid w:val="00D8627C"/>
    <w:rsid w:val="00D863D3"/>
    <w:rsid w:val="00D8650C"/>
    <w:rsid w:val="00D8753B"/>
    <w:rsid w:val="00D876F4"/>
    <w:rsid w:val="00D901CA"/>
    <w:rsid w:val="00D90311"/>
    <w:rsid w:val="00D91B1E"/>
    <w:rsid w:val="00D91FB0"/>
    <w:rsid w:val="00D92035"/>
    <w:rsid w:val="00D92C00"/>
    <w:rsid w:val="00D92E3B"/>
    <w:rsid w:val="00D92FD1"/>
    <w:rsid w:val="00D937C2"/>
    <w:rsid w:val="00D93902"/>
    <w:rsid w:val="00D93A70"/>
    <w:rsid w:val="00D96183"/>
    <w:rsid w:val="00D96B5A"/>
    <w:rsid w:val="00D96F63"/>
    <w:rsid w:val="00D97035"/>
    <w:rsid w:val="00D97E4A"/>
    <w:rsid w:val="00DA0399"/>
    <w:rsid w:val="00DA1D04"/>
    <w:rsid w:val="00DA2FE4"/>
    <w:rsid w:val="00DA3F2F"/>
    <w:rsid w:val="00DA5E37"/>
    <w:rsid w:val="00DA6C03"/>
    <w:rsid w:val="00DA7FCC"/>
    <w:rsid w:val="00DB014A"/>
    <w:rsid w:val="00DB059E"/>
    <w:rsid w:val="00DB128F"/>
    <w:rsid w:val="00DB20C3"/>
    <w:rsid w:val="00DB260F"/>
    <w:rsid w:val="00DB2905"/>
    <w:rsid w:val="00DB2D0F"/>
    <w:rsid w:val="00DB303E"/>
    <w:rsid w:val="00DB338A"/>
    <w:rsid w:val="00DB39CA"/>
    <w:rsid w:val="00DB45EA"/>
    <w:rsid w:val="00DB47E4"/>
    <w:rsid w:val="00DB4E25"/>
    <w:rsid w:val="00DB5B89"/>
    <w:rsid w:val="00DB5E25"/>
    <w:rsid w:val="00DB6045"/>
    <w:rsid w:val="00DB66CD"/>
    <w:rsid w:val="00DB6D9A"/>
    <w:rsid w:val="00DC07B4"/>
    <w:rsid w:val="00DC081C"/>
    <w:rsid w:val="00DC0EAC"/>
    <w:rsid w:val="00DC1CFE"/>
    <w:rsid w:val="00DC219E"/>
    <w:rsid w:val="00DC2814"/>
    <w:rsid w:val="00DC2903"/>
    <w:rsid w:val="00DC2B68"/>
    <w:rsid w:val="00DC2CB8"/>
    <w:rsid w:val="00DC3A5F"/>
    <w:rsid w:val="00DC3BBC"/>
    <w:rsid w:val="00DC4011"/>
    <w:rsid w:val="00DC56AE"/>
    <w:rsid w:val="00DC6A3D"/>
    <w:rsid w:val="00DC7042"/>
    <w:rsid w:val="00DD0374"/>
    <w:rsid w:val="00DD056F"/>
    <w:rsid w:val="00DD0908"/>
    <w:rsid w:val="00DD0E87"/>
    <w:rsid w:val="00DD1BDD"/>
    <w:rsid w:val="00DD1E1F"/>
    <w:rsid w:val="00DD2B50"/>
    <w:rsid w:val="00DD3076"/>
    <w:rsid w:val="00DD364A"/>
    <w:rsid w:val="00DD36E1"/>
    <w:rsid w:val="00DD439B"/>
    <w:rsid w:val="00DD481F"/>
    <w:rsid w:val="00DD4EF7"/>
    <w:rsid w:val="00DD5164"/>
    <w:rsid w:val="00DD5533"/>
    <w:rsid w:val="00DD56F2"/>
    <w:rsid w:val="00DD6524"/>
    <w:rsid w:val="00DD6BAA"/>
    <w:rsid w:val="00DD7243"/>
    <w:rsid w:val="00DE1A4E"/>
    <w:rsid w:val="00DE3199"/>
    <w:rsid w:val="00DE31DE"/>
    <w:rsid w:val="00DE356C"/>
    <w:rsid w:val="00DE51FD"/>
    <w:rsid w:val="00DE571E"/>
    <w:rsid w:val="00DE590E"/>
    <w:rsid w:val="00DE5987"/>
    <w:rsid w:val="00DE5A41"/>
    <w:rsid w:val="00DE639C"/>
    <w:rsid w:val="00DE74E4"/>
    <w:rsid w:val="00DE7C71"/>
    <w:rsid w:val="00DE7CEE"/>
    <w:rsid w:val="00DF074E"/>
    <w:rsid w:val="00DF1071"/>
    <w:rsid w:val="00DF281D"/>
    <w:rsid w:val="00DF2B46"/>
    <w:rsid w:val="00DF34D0"/>
    <w:rsid w:val="00DF36BE"/>
    <w:rsid w:val="00DF37D8"/>
    <w:rsid w:val="00DF3D56"/>
    <w:rsid w:val="00DF40FE"/>
    <w:rsid w:val="00DF491C"/>
    <w:rsid w:val="00DF4E54"/>
    <w:rsid w:val="00DF558B"/>
    <w:rsid w:val="00DF66ED"/>
    <w:rsid w:val="00DF6D71"/>
    <w:rsid w:val="00DF785C"/>
    <w:rsid w:val="00DF786D"/>
    <w:rsid w:val="00DF7B78"/>
    <w:rsid w:val="00DF7C0E"/>
    <w:rsid w:val="00E01859"/>
    <w:rsid w:val="00E024A3"/>
    <w:rsid w:val="00E03E83"/>
    <w:rsid w:val="00E04E3D"/>
    <w:rsid w:val="00E0506E"/>
    <w:rsid w:val="00E052A4"/>
    <w:rsid w:val="00E06623"/>
    <w:rsid w:val="00E066B1"/>
    <w:rsid w:val="00E068F3"/>
    <w:rsid w:val="00E06E9D"/>
    <w:rsid w:val="00E07BB6"/>
    <w:rsid w:val="00E07F03"/>
    <w:rsid w:val="00E117AB"/>
    <w:rsid w:val="00E133F8"/>
    <w:rsid w:val="00E1367C"/>
    <w:rsid w:val="00E140EE"/>
    <w:rsid w:val="00E141EE"/>
    <w:rsid w:val="00E1474E"/>
    <w:rsid w:val="00E151C0"/>
    <w:rsid w:val="00E16040"/>
    <w:rsid w:val="00E161F6"/>
    <w:rsid w:val="00E167EA"/>
    <w:rsid w:val="00E173B2"/>
    <w:rsid w:val="00E1764E"/>
    <w:rsid w:val="00E179D3"/>
    <w:rsid w:val="00E2059B"/>
    <w:rsid w:val="00E209A5"/>
    <w:rsid w:val="00E22E65"/>
    <w:rsid w:val="00E2551A"/>
    <w:rsid w:val="00E26A38"/>
    <w:rsid w:val="00E27DC0"/>
    <w:rsid w:val="00E27DE2"/>
    <w:rsid w:val="00E27FE9"/>
    <w:rsid w:val="00E30611"/>
    <w:rsid w:val="00E317E6"/>
    <w:rsid w:val="00E31F0F"/>
    <w:rsid w:val="00E31F46"/>
    <w:rsid w:val="00E31FC0"/>
    <w:rsid w:val="00E32273"/>
    <w:rsid w:val="00E33039"/>
    <w:rsid w:val="00E330A5"/>
    <w:rsid w:val="00E33539"/>
    <w:rsid w:val="00E358B1"/>
    <w:rsid w:val="00E35F76"/>
    <w:rsid w:val="00E3628A"/>
    <w:rsid w:val="00E36EEC"/>
    <w:rsid w:val="00E37B0A"/>
    <w:rsid w:val="00E4097E"/>
    <w:rsid w:val="00E414E9"/>
    <w:rsid w:val="00E41BA5"/>
    <w:rsid w:val="00E42268"/>
    <w:rsid w:val="00E4241D"/>
    <w:rsid w:val="00E430BB"/>
    <w:rsid w:val="00E43879"/>
    <w:rsid w:val="00E43A1C"/>
    <w:rsid w:val="00E440D6"/>
    <w:rsid w:val="00E44CC4"/>
    <w:rsid w:val="00E46CCD"/>
    <w:rsid w:val="00E47473"/>
    <w:rsid w:val="00E47DDB"/>
    <w:rsid w:val="00E50A3B"/>
    <w:rsid w:val="00E5117F"/>
    <w:rsid w:val="00E52C6A"/>
    <w:rsid w:val="00E52F4C"/>
    <w:rsid w:val="00E53160"/>
    <w:rsid w:val="00E53A73"/>
    <w:rsid w:val="00E54383"/>
    <w:rsid w:val="00E548A3"/>
    <w:rsid w:val="00E561AC"/>
    <w:rsid w:val="00E568C3"/>
    <w:rsid w:val="00E5693B"/>
    <w:rsid w:val="00E57B71"/>
    <w:rsid w:val="00E57DCB"/>
    <w:rsid w:val="00E616AF"/>
    <w:rsid w:val="00E62A51"/>
    <w:rsid w:val="00E62C92"/>
    <w:rsid w:val="00E637F9"/>
    <w:rsid w:val="00E63DCD"/>
    <w:rsid w:val="00E65934"/>
    <w:rsid w:val="00E65AB5"/>
    <w:rsid w:val="00E66262"/>
    <w:rsid w:val="00E66A3C"/>
    <w:rsid w:val="00E66C81"/>
    <w:rsid w:val="00E676FF"/>
    <w:rsid w:val="00E67A7D"/>
    <w:rsid w:val="00E703B9"/>
    <w:rsid w:val="00E70EB7"/>
    <w:rsid w:val="00E71BA4"/>
    <w:rsid w:val="00E7212B"/>
    <w:rsid w:val="00E73270"/>
    <w:rsid w:val="00E73A34"/>
    <w:rsid w:val="00E7495D"/>
    <w:rsid w:val="00E75305"/>
    <w:rsid w:val="00E75738"/>
    <w:rsid w:val="00E76F0E"/>
    <w:rsid w:val="00E77E37"/>
    <w:rsid w:val="00E80038"/>
    <w:rsid w:val="00E8045A"/>
    <w:rsid w:val="00E809A1"/>
    <w:rsid w:val="00E81399"/>
    <w:rsid w:val="00E81729"/>
    <w:rsid w:val="00E8192A"/>
    <w:rsid w:val="00E82050"/>
    <w:rsid w:val="00E826A2"/>
    <w:rsid w:val="00E82B8B"/>
    <w:rsid w:val="00E82EDC"/>
    <w:rsid w:val="00E83F70"/>
    <w:rsid w:val="00E8416F"/>
    <w:rsid w:val="00E844FF"/>
    <w:rsid w:val="00E8462A"/>
    <w:rsid w:val="00E84B06"/>
    <w:rsid w:val="00E852BC"/>
    <w:rsid w:val="00E85BC8"/>
    <w:rsid w:val="00E85D50"/>
    <w:rsid w:val="00E86BB3"/>
    <w:rsid w:val="00E87D00"/>
    <w:rsid w:val="00E91DBD"/>
    <w:rsid w:val="00E920EA"/>
    <w:rsid w:val="00E92997"/>
    <w:rsid w:val="00E934E1"/>
    <w:rsid w:val="00E93B63"/>
    <w:rsid w:val="00E94BB3"/>
    <w:rsid w:val="00E95C58"/>
    <w:rsid w:val="00E96C09"/>
    <w:rsid w:val="00E97A69"/>
    <w:rsid w:val="00EA0225"/>
    <w:rsid w:val="00EA0257"/>
    <w:rsid w:val="00EA058D"/>
    <w:rsid w:val="00EA0EEE"/>
    <w:rsid w:val="00EA0F20"/>
    <w:rsid w:val="00EA287F"/>
    <w:rsid w:val="00EA30C5"/>
    <w:rsid w:val="00EA341F"/>
    <w:rsid w:val="00EA4607"/>
    <w:rsid w:val="00EA50AF"/>
    <w:rsid w:val="00EA5B59"/>
    <w:rsid w:val="00EA6995"/>
    <w:rsid w:val="00EA76B5"/>
    <w:rsid w:val="00EB02FA"/>
    <w:rsid w:val="00EB0FAB"/>
    <w:rsid w:val="00EB3104"/>
    <w:rsid w:val="00EB31C1"/>
    <w:rsid w:val="00EB389F"/>
    <w:rsid w:val="00EB478A"/>
    <w:rsid w:val="00EB47B6"/>
    <w:rsid w:val="00EB480B"/>
    <w:rsid w:val="00EB49EA"/>
    <w:rsid w:val="00EB4ECF"/>
    <w:rsid w:val="00EB580B"/>
    <w:rsid w:val="00EB5B64"/>
    <w:rsid w:val="00EB6887"/>
    <w:rsid w:val="00EB68D5"/>
    <w:rsid w:val="00EB785C"/>
    <w:rsid w:val="00EB7DD4"/>
    <w:rsid w:val="00EC00BC"/>
    <w:rsid w:val="00EC0174"/>
    <w:rsid w:val="00EC05FD"/>
    <w:rsid w:val="00EC0DBD"/>
    <w:rsid w:val="00EC119F"/>
    <w:rsid w:val="00EC2292"/>
    <w:rsid w:val="00EC3B1B"/>
    <w:rsid w:val="00EC5B56"/>
    <w:rsid w:val="00EC66E8"/>
    <w:rsid w:val="00EC6B1D"/>
    <w:rsid w:val="00EC6CA8"/>
    <w:rsid w:val="00EC6F2C"/>
    <w:rsid w:val="00EC7706"/>
    <w:rsid w:val="00EC7D9A"/>
    <w:rsid w:val="00ED0159"/>
    <w:rsid w:val="00ED0969"/>
    <w:rsid w:val="00ED0D8B"/>
    <w:rsid w:val="00ED0FA4"/>
    <w:rsid w:val="00ED1197"/>
    <w:rsid w:val="00ED3573"/>
    <w:rsid w:val="00ED35FD"/>
    <w:rsid w:val="00ED3F5A"/>
    <w:rsid w:val="00ED48AE"/>
    <w:rsid w:val="00ED4A32"/>
    <w:rsid w:val="00ED5BD2"/>
    <w:rsid w:val="00ED5E0D"/>
    <w:rsid w:val="00ED61D6"/>
    <w:rsid w:val="00ED65D0"/>
    <w:rsid w:val="00ED7377"/>
    <w:rsid w:val="00EE1538"/>
    <w:rsid w:val="00EE1864"/>
    <w:rsid w:val="00EE1BDA"/>
    <w:rsid w:val="00EE25CA"/>
    <w:rsid w:val="00EE2D91"/>
    <w:rsid w:val="00EE4556"/>
    <w:rsid w:val="00EE52CB"/>
    <w:rsid w:val="00EE590D"/>
    <w:rsid w:val="00EE6185"/>
    <w:rsid w:val="00EE64EC"/>
    <w:rsid w:val="00EE6C6D"/>
    <w:rsid w:val="00EF02DB"/>
    <w:rsid w:val="00EF05A5"/>
    <w:rsid w:val="00EF1812"/>
    <w:rsid w:val="00EF206A"/>
    <w:rsid w:val="00EF237A"/>
    <w:rsid w:val="00EF26CF"/>
    <w:rsid w:val="00EF2ED8"/>
    <w:rsid w:val="00EF3248"/>
    <w:rsid w:val="00EF351A"/>
    <w:rsid w:val="00EF4640"/>
    <w:rsid w:val="00EF4B9B"/>
    <w:rsid w:val="00EF564C"/>
    <w:rsid w:val="00EF5812"/>
    <w:rsid w:val="00EF65E7"/>
    <w:rsid w:val="00EF71AC"/>
    <w:rsid w:val="00EF7317"/>
    <w:rsid w:val="00EF7AC7"/>
    <w:rsid w:val="00EF7D3A"/>
    <w:rsid w:val="00F0157E"/>
    <w:rsid w:val="00F0232C"/>
    <w:rsid w:val="00F03620"/>
    <w:rsid w:val="00F03ABA"/>
    <w:rsid w:val="00F0482E"/>
    <w:rsid w:val="00F04AEE"/>
    <w:rsid w:val="00F04BDE"/>
    <w:rsid w:val="00F04E65"/>
    <w:rsid w:val="00F05125"/>
    <w:rsid w:val="00F054B1"/>
    <w:rsid w:val="00F07939"/>
    <w:rsid w:val="00F10C91"/>
    <w:rsid w:val="00F116A1"/>
    <w:rsid w:val="00F1170F"/>
    <w:rsid w:val="00F120B4"/>
    <w:rsid w:val="00F128B0"/>
    <w:rsid w:val="00F130B8"/>
    <w:rsid w:val="00F1341E"/>
    <w:rsid w:val="00F13B09"/>
    <w:rsid w:val="00F14942"/>
    <w:rsid w:val="00F1546E"/>
    <w:rsid w:val="00F15791"/>
    <w:rsid w:val="00F15BCF"/>
    <w:rsid w:val="00F16642"/>
    <w:rsid w:val="00F172F9"/>
    <w:rsid w:val="00F1795C"/>
    <w:rsid w:val="00F17ECF"/>
    <w:rsid w:val="00F20667"/>
    <w:rsid w:val="00F206DE"/>
    <w:rsid w:val="00F223A5"/>
    <w:rsid w:val="00F229D3"/>
    <w:rsid w:val="00F23C06"/>
    <w:rsid w:val="00F23FA1"/>
    <w:rsid w:val="00F25D8F"/>
    <w:rsid w:val="00F26BDC"/>
    <w:rsid w:val="00F26F97"/>
    <w:rsid w:val="00F2719E"/>
    <w:rsid w:val="00F3099B"/>
    <w:rsid w:val="00F30B5E"/>
    <w:rsid w:val="00F329D8"/>
    <w:rsid w:val="00F34271"/>
    <w:rsid w:val="00F3498A"/>
    <w:rsid w:val="00F34E3C"/>
    <w:rsid w:val="00F34F12"/>
    <w:rsid w:val="00F34FF9"/>
    <w:rsid w:val="00F35ABD"/>
    <w:rsid w:val="00F3684D"/>
    <w:rsid w:val="00F36A16"/>
    <w:rsid w:val="00F36D3E"/>
    <w:rsid w:val="00F37DA7"/>
    <w:rsid w:val="00F37E88"/>
    <w:rsid w:val="00F40843"/>
    <w:rsid w:val="00F42234"/>
    <w:rsid w:val="00F424B6"/>
    <w:rsid w:val="00F4254D"/>
    <w:rsid w:val="00F4369B"/>
    <w:rsid w:val="00F43D76"/>
    <w:rsid w:val="00F43DEC"/>
    <w:rsid w:val="00F43E37"/>
    <w:rsid w:val="00F43EA8"/>
    <w:rsid w:val="00F45897"/>
    <w:rsid w:val="00F471B6"/>
    <w:rsid w:val="00F47278"/>
    <w:rsid w:val="00F472EC"/>
    <w:rsid w:val="00F47F47"/>
    <w:rsid w:val="00F507DF"/>
    <w:rsid w:val="00F508DF"/>
    <w:rsid w:val="00F509A0"/>
    <w:rsid w:val="00F5178B"/>
    <w:rsid w:val="00F52271"/>
    <w:rsid w:val="00F532E0"/>
    <w:rsid w:val="00F53E77"/>
    <w:rsid w:val="00F54183"/>
    <w:rsid w:val="00F54A7C"/>
    <w:rsid w:val="00F54F34"/>
    <w:rsid w:val="00F553D6"/>
    <w:rsid w:val="00F57454"/>
    <w:rsid w:val="00F61362"/>
    <w:rsid w:val="00F616A7"/>
    <w:rsid w:val="00F62444"/>
    <w:rsid w:val="00F62847"/>
    <w:rsid w:val="00F62F3D"/>
    <w:rsid w:val="00F63C06"/>
    <w:rsid w:val="00F64824"/>
    <w:rsid w:val="00F64835"/>
    <w:rsid w:val="00F6531E"/>
    <w:rsid w:val="00F65429"/>
    <w:rsid w:val="00F667C0"/>
    <w:rsid w:val="00F66A7D"/>
    <w:rsid w:val="00F66A9D"/>
    <w:rsid w:val="00F6756C"/>
    <w:rsid w:val="00F6773A"/>
    <w:rsid w:val="00F67D4F"/>
    <w:rsid w:val="00F67E95"/>
    <w:rsid w:val="00F67EB0"/>
    <w:rsid w:val="00F70621"/>
    <w:rsid w:val="00F73828"/>
    <w:rsid w:val="00F73EFD"/>
    <w:rsid w:val="00F747B1"/>
    <w:rsid w:val="00F74E49"/>
    <w:rsid w:val="00F757B3"/>
    <w:rsid w:val="00F76475"/>
    <w:rsid w:val="00F767E4"/>
    <w:rsid w:val="00F76919"/>
    <w:rsid w:val="00F76BBE"/>
    <w:rsid w:val="00F80633"/>
    <w:rsid w:val="00F811B8"/>
    <w:rsid w:val="00F82264"/>
    <w:rsid w:val="00F8289C"/>
    <w:rsid w:val="00F82ADB"/>
    <w:rsid w:val="00F85785"/>
    <w:rsid w:val="00F864FF"/>
    <w:rsid w:val="00F86AD5"/>
    <w:rsid w:val="00F87648"/>
    <w:rsid w:val="00F87AC5"/>
    <w:rsid w:val="00F87E33"/>
    <w:rsid w:val="00F903C3"/>
    <w:rsid w:val="00F90839"/>
    <w:rsid w:val="00F91676"/>
    <w:rsid w:val="00F941F4"/>
    <w:rsid w:val="00F94DD1"/>
    <w:rsid w:val="00F96D26"/>
    <w:rsid w:val="00F97097"/>
    <w:rsid w:val="00F9714B"/>
    <w:rsid w:val="00F97890"/>
    <w:rsid w:val="00FA0953"/>
    <w:rsid w:val="00FA31A1"/>
    <w:rsid w:val="00FA3534"/>
    <w:rsid w:val="00FA4832"/>
    <w:rsid w:val="00FA48EF"/>
    <w:rsid w:val="00FA4A50"/>
    <w:rsid w:val="00FA4B80"/>
    <w:rsid w:val="00FA609F"/>
    <w:rsid w:val="00FA617C"/>
    <w:rsid w:val="00FA6482"/>
    <w:rsid w:val="00FA649C"/>
    <w:rsid w:val="00FA6CEF"/>
    <w:rsid w:val="00FB2F1F"/>
    <w:rsid w:val="00FB2F7A"/>
    <w:rsid w:val="00FB2FFC"/>
    <w:rsid w:val="00FB4FA0"/>
    <w:rsid w:val="00FB6FED"/>
    <w:rsid w:val="00FC0A46"/>
    <w:rsid w:val="00FC20F8"/>
    <w:rsid w:val="00FC25F0"/>
    <w:rsid w:val="00FC3380"/>
    <w:rsid w:val="00FC3B4A"/>
    <w:rsid w:val="00FC49EE"/>
    <w:rsid w:val="00FC4A99"/>
    <w:rsid w:val="00FC5AE4"/>
    <w:rsid w:val="00FC6955"/>
    <w:rsid w:val="00FC6AE0"/>
    <w:rsid w:val="00FC7F9F"/>
    <w:rsid w:val="00FD0656"/>
    <w:rsid w:val="00FD0EB3"/>
    <w:rsid w:val="00FD1A92"/>
    <w:rsid w:val="00FD2833"/>
    <w:rsid w:val="00FD2C83"/>
    <w:rsid w:val="00FD2E42"/>
    <w:rsid w:val="00FD374C"/>
    <w:rsid w:val="00FD49AE"/>
    <w:rsid w:val="00FD633A"/>
    <w:rsid w:val="00FD6727"/>
    <w:rsid w:val="00FD6A64"/>
    <w:rsid w:val="00FD6CA3"/>
    <w:rsid w:val="00FD749F"/>
    <w:rsid w:val="00FD750D"/>
    <w:rsid w:val="00FD7597"/>
    <w:rsid w:val="00FD7E7B"/>
    <w:rsid w:val="00FE0120"/>
    <w:rsid w:val="00FE0529"/>
    <w:rsid w:val="00FE05DF"/>
    <w:rsid w:val="00FE0ACE"/>
    <w:rsid w:val="00FE0DB7"/>
    <w:rsid w:val="00FE2422"/>
    <w:rsid w:val="00FE39B0"/>
    <w:rsid w:val="00FE3A1B"/>
    <w:rsid w:val="00FE3B75"/>
    <w:rsid w:val="00FE4EF8"/>
    <w:rsid w:val="00FE4F66"/>
    <w:rsid w:val="00FE50F1"/>
    <w:rsid w:val="00FE512A"/>
    <w:rsid w:val="00FE5EC0"/>
    <w:rsid w:val="00FE6018"/>
    <w:rsid w:val="00FE7712"/>
    <w:rsid w:val="00FF07C8"/>
    <w:rsid w:val="00FF10D4"/>
    <w:rsid w:val="00FF18C8"/>
    <w:rsid w:val="00FF18DE"/>
    <w:rsid w:val="00FF22D5"/>
    <w:rsid w:val="00FF26B1"/>
    <w:rsid w:val="00FF270E"/>
    <w:rsid w:val="00FF2FD8"/>
    <w:rsid w:val="00FF41AC"/>
    <w:rsid w:val="00FF429E"/>
    <w:rsid w:val="00FF5205"/>
    <w:rsid w:val="00FF556F"/>
    <w:rsid w:val="00FF5F5C"/>
    <w:rsid w:val="00FF6345"/>
    <w:rsid w:val="00FF68C2"/>
    <w:rsid w:val="00FF68E3"/>
    <w:rsid w:val="00FF6A24"/>
    <w:rsid w:val="00FF6B0F"/>
    <w:rsid w:val="00FF72BF"/>
    <w:rsid w:val="00FF7986"/>
    <w:rsid w:val="014A3E2E"/>
    <w:rsid w:val="03829659"/>
    <w:rsid w:val="05BF0BAA"/>
    <w:rsid w:val="093AE101"/>
    <w:rsid w:val="0A9FF456"/>
    <w:rsid w:val="0AB5CA4F"/>
    <w:rsid w:val="0E4FE975"/>
    <w:rsid w:val="112673AF"/>
    <w:rsid w:val="11949212"/>
    <w:rsid w:val="131BE070"/>
    <w:rsid w:val="14BB40ED"/>
    <w:rsid w:val="157CFAF1"/>
    <w:rsid w:val="15C80B65"/>
    <w:rsid w:val="1664EEDA"/>
    <w:rsid w:val="16FF73BE"/>
    <w:rsid w:val="1AF7C36B"/>
    <w:rsid w:val="1B154420"/>
    <w:rsid w:val="1BDD98C5"/>
    <w:rsid w:val="1CB07D09"/>
    <w:rsid w:val="1DECA432"/>
    <w:rsid w:val="22735E25"/>
    <w:rsid w:val="2289F6CC"/>
    <w:rsid w:val="235D545B"/>
    <w:rsid w:val="25C1978E"/>
    <w:rsid w:val="2725152C"/>
    <w:rsid w:val="27990E8F"/>
    <w:rsid w:val="2ABBD5FA"/>
    <w:rsid w:val="2B6728B1"/>
    <w:rsid w:val="2D163785"/>
    <w:rsid w:val="2E156DB4"/>
    <w:rsid w:val="30CA4BC3"/>
    <w:rsid w:val="3314A93A"/>
    <w:rsid w:val="333DCFDD"/>
    <w:rsid w:val="34F10233"/>
    <w:rsid w:val="3C86B269"/>
    <w:rsid w:val="3EEEAF85"/>
    <w:rsid w:val="416E53F7"/>
    <w:rsid w:val="46DADC61"/>
    <w:rsid w:val="46ED1792"/>
    <w:rsid w:val="4BF14347"/>
    <w:rsid w:val="4C51A3BC"/>
    <w:rsid w:val="4D39A469"/>
    <w:rsid w:val="5356E361"/>
    <w:rsid w:val="556A16AE"/>
    <w:rsid w:val="55D59F1B"/>
    <w:rsid w:val="55F6B329"/>
    <w:rsid w:val="56AAE27C"/>
    <w:rsid w:val="5921171E"/>
    <w:rsid w:val="5AC6F375"/>
    <w:rsid w:val="5B7728C4"/>
    <w:rsid w:val="5C2E4E93"/>
    <w:rsid w:val="5D7B122A"/>
    <w:rsid w:val="60381D1C"/>
    <w:rsid w:val="615AF634"/>
    <w:rsid w:val="63F11661"/>
    <w:rsid w:val="67C0B0C1"/>
    <w:rsid w:val="68BD9ACB"/>
    <w:rsid w:val="6ABA7CC5"/>
    <w:rsid w:val="6ABF87E2"/>
    <w:rsid w:val="6B0EEA2A"/>
    <w:rsid w:val="6C694060"/>
    <w:rsid w:val="6CF32E3E"/>
    <w:rsid w:val="6DDE9F04"/>
    <w:rsid w:val="7302C30B"/>
    <w:rsid w:val="767DD00A"/>
    <w:rsid w:val="7A9017F2"/>
    <w:rsid w:val="7EA0DD24"/>
    <w:rsid w:val="7FB8046D"/>
    <w:rsid w:val="7FC5E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C133B"/>
  <w15:docId w15:val="{C048CE3B-BB77-4A6D-9B43-BFF58A5E624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F9D"/>
  </w:style>
  <w:style w:type="paragraph" w:styleId="Heading1">
    <w:name w:val="heading 1"/>
    <w:basedOn w:val="Normal"/>
    <w:next w:val="Normal"/>
    <w:link w:val="Heading1Char"/>
    <w:uiPriority w:val="9"/>
    <w:qFormat/>
    <w:rsid w:val="00413F9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13F9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413F9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413F9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413F9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413F9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13F9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13F9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13F9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1DBD"/>
    <w:pPr>
      <w:tabs>
        <w:tab w:val="center" w:pos="4320"/>
        <w:tab w:val="right" w:pos="8640"/>
      </w:tabs>
    </w:pPr>
  </w:style>
  <w:style w:type="paragraph" w:styleId="Title">
    <w:name w:val="Title"/>
    <w:basedOn w:val="Normal"/>
    <w:next w:val="Normal"/>
    <w:link w:val="TitleChar"/>
    <w:uiPriority w:val="10"/>
    <w:qFormat/>
    <w:rsid w:val="00413F9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character" w:customStyle="1" w:styleId="Heading1Char">
    <w:name w:val="Heading 1 Char"/>
    <w:basedOn w:val="DefaultParagraphFont"/>
    <w:link w:val="Heading1"/>
    <w:uiPriority w:val="9"/>
    <w:rsid w:val="00413F9D"/>
    <w:rPr>
      <w:rFonts w:asciiTheme="majorHAnsi" w:eastAsiaTheme="majorEastAsia" w:hAnsiTheme="majorHAnsi" w:cstheme="majorBidi"/>
      <w:caps/>
      <w:sz w:val="36"/>
      <w:szCs w:val="36"/>
    </w:rPr>
  </w:style>
  <w:style w:type="paragraph" w:styleId="NoSpacing">
    <w:name w:val="No Spacing"/>
    <w:uiPriority w:val="1"/>
    <w:qFormat/>
    <w:rsid w:val="00413F9D"/>
    <w:pPr>
      <w:spacing w:after="0" w:line="240" w:lineRule="auto"/>
    </w:pPr>
  </w:style>
  <w:style w:type="paragraph" w:styleId="NormalWeb">
    <w:name w:val="Normal (Web)"/>
    <w:basedOn w:val="Normal"/>
    <w:link w:val="NormalWebChar"/>
    <w:rsid w:val="004B467A"/>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rsid w:val="004B467A"/>
    <w:rPr>
      <w:rFonts w:ascii="Arial Unicode MS" w:eastAsia="Arial Unicode MS" w:hAnsi="Arial Unicode MS" w:cs="Arial Unicode MS"/>
      <w:sz w:val="24"/>
      <w:szCs w:val="24"/>
    </w:rPr>
  </w:style>
  <w:style w:type="paragraph" w:styleId="FootnoteText">
    <w:name w:val="footnote text"/>
    <w:basedOn w:val="Normal"/>
    <w:link w:val="FootnoteTextChar"/>
    <w:rsid w:val="00C763AD"/>
    <w:rPr>
      <w:sz w:val="20"/>
      <w:szCs w:val="20"/>
    </w:rPr>
  </w:style>
  <w:style w:type="character" w:customStyle="1" w:styleId="FootnoteTextChar">
    <w:name w:val="Footnote Text Char"/>
    <w:basedOn w:val="DefaultParagraphFont"/>
    <w:link w:val="FootnoteText"/>
    <w:rsid w:val="00C763AD"/>
  </w:style>
  <w:style w:type="character" w:styleId="FootnoteReference">
    <w:name w:val="footnote reference"/>
    <w:aliases w:val="o,fr,o1,o2,o3,o4,o5,o6,o11,o21,o7"/>
    <w:qFormat/>
    <w:rsid w:val="00C763AD"/>
    <w:rPr>
      <w:vertAlign w:val="superscript"/>
    </w:rPr>
  </w:style>
  <w:style w:type="character" w:customStyle="1" w:styleId="FooterChar">
    <w:name w:val="Footer Char"/>
    <w:link w:val="Footer"/>
    <w:uiPriority w:val="99"/>
    <w:rsid w:val="00202407"/>
    <w:rPr>
      <w:sz w:val="24"/>
      <w:szCs w:val="24"/>
    </w:rPr>
  </w:style>
  <w:style w:type="paragraph" w:styleId="BalloonText">
    <w:name w:val="Balloon Text"/>
    <w:basedOn w:val="Normal"/>
    <w:link w:val="BalloonTextChar"/>
    <w:rsid w:val="00202407"/>
    <w:rPr>
      <w:rFonts w:ascii="Tahoma" w:hAnsi="Tahoma" w:cs="Tahoma"/>
      <w:sz w:val="16"/>
      <w:szCs w:val="16"/>
    </w:rPr>
  </w:style>
  <w:style w:type="character" w:customStyle="1" w:styleId="BalloonTextChar">
    <w:name w:val="Balloon Text Char"/>
    <w:link w:val="BalloonText"/>
    <w:rsid w:val="00202407"/>
    <w:rPr>
      <w:rFonts w:ascii="Tahoma" w:hAnsi="Tahoma" w:cs="Tahoma"/>
      <w:sz w:val="16"/>
      <w:szCs w:val="16"/>
    </w:rPr>
  </w:style>
  <w:style w:type="character" w:styleId="Hyperlink">
    <w:name w:val="Hyperlink"/>
    <w:uiPriority w:val="99"/>
    <w:rsid w:val="00595B51"/>
    <w:rPr>
      <w:color w:val="0000FF"/>
      <w:u w:val="single"/>
    </w:rPr>
  </w:style>
  <w:style w:type="table" w:styleId="TableGrid">
    <w:name w:val="Table Grid"/>
    <w:basedOn w:val="TableNormal"/>
    <w:rsid w:val="00F37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E6F"/>
    <w:rPr>
      <w:sz w:val="16"/>
      <w:szCs w:val="16"/>
    </w:rPr>
  </w:style>
  <w:style w:type="paragraph" w:styleId="CommentText">
    <w:name w:val="annotation text"/>
    <w:basedOn w:val="Normal"/>
    <w:link w:val="CommentTextChar"/>
    <w:uiPriority w:val="99"/>
    <w:unhideWhenUsed/>
    <w:rsid w:val="001F0E6F"/>
    <w:rPr>
      <w:sz w:val="20"/>
      <w:szCs w:val="20"/>
    </w:rPr>
  </w:style>
  <w:style w:type="character" w:customStyle="1" w:styleId="CommentTextChar">
    <w:name w:val="Comment Text Char"/>
    <w:basedOn w:val="DefaultParagraphFont"/>
    <w:link w:val="CommentText"/>
    <w:uiPriority w:val="99"/>
    <w:rsid w:val="001F0E6F"/>
  </w:style>
  <w:style w:type="paragraph" w:styleId="CommentSubject">
    <w:name w:val="annotation subject"/>
    <w:basedOn w:val="CommentText"/>
    <w:next w:val="CommentText"/>
    <w:link w:val="CommentSubjectChar"/>
    <w:semiHidden/>
    <w:unhideWhenUsed/>
    <w:rsid w:val="001F0E6F"/>
    <w:rPr>
      <w:b/>
      <w:bCs/>
    </w:rPr>
  </w:style>
  <w:style w:type="character" w:customStyle="1" w:styleId="CommentSubjectChar">
    <w:name w:val="Comment Subject Char"/>
    <w:basedOn w:val="CommentTextChar"/>
    <w:link w:val="CommentSubject"/>
    <w:semiHidden/>
    <w:rsid w:val="001F0E6F"/>
    <w:rPr>
      <w:b/>
      <w:bCs/>
    </w:rPr>
  </w:style>
  <w:style w:type="character" w:customStyle="1" w:styleId="Heading2Char">
    <w:name w:val="Heading 2 Char"/>
    <w:basedOn w:val="DefaultParagraphFont"/>
    <w:link w:val="Heading2"/>
    <w:uiPriority w:val="9"/>
    <w:rsid w:val="00413F9D"/>
    <w:rPr>
      <w:rFonts w:asciiTheme="majorHAnsi" w:eastAsiaTheme="majorEastAsia" w:hAnsiTheme="majorHAnsi" w:cstheme="majorBidi"/>
      <w:caps/>
      <w:sz w:val="28"/>
      <w:szCs w:val="28"/>
    </w:rPr>
  </w:style>
  <w:style w:type="paragraph" w:styleId="Revision">
    <w:name w:val="Revision"/>
    <w:hidden/>
    <w:uiPriority w:val="99"/>
    <w:semiHidden/>
    <w:rsid w:val="00EA4607"/>
    <w:rPr>
      <w:sz w:val="24"/>
      <w:szCs w:val="24"/>
    </w:rPr>
  </w:style>
  <w:style w:type="character" w:styleId="FollowedHyperlink">
    <w:name w:val="FollowedHyperlink"/>
    <w:basedOn w:val="DefaultParagraphFont"/>
    <w:semiHidden/>
    <w:unhideWhenUsed/>
    <w:rsid w:val="004B43EC"/>
    <w:rPr>
      <w:color w:val="954F72" w:themeColor="followedHyperlink"/>
      <w:u w:val="single"/>
    </w:rPr>
  </w:style>
  <w:style w:type="character" w:customStyle="1" w:styleId="UnresolvedMention1">
    <w:name w:val="Unresolved Mention1"/>
    <w:basedOn w:val="DefaultParagraphFont"/>
    <w:uiPriority w:val="99"/>
    <w:semiHidden/>
    <w:unhideWhenUsed/>
    <w:rsid w:val="004D7E0C"/>
    <w:rPr>
      <w:color w:val="605E5C"/>
      <w:shd w:val="clear" w:color="auto" w:fill="E1DFDD"/>
    </w:rPr>
  </w:style>
  <w:style w:type="paragraph" w:styleId="ListParagraph">
    <w:name w:val="List Paragraph"/>
    <w:basedOn w:val="Normal"/>
    <w:uiPriority w:val="34"/>
    <w:qFormat/>
    <w:rsid w:val="002953E3"/>
    <w:pPr>
      <w:ind w:left="720"/>
      <w:contextualSpacing/>
    </w:pPr>
  </w:style>
  <w:style w:type="character" w:styleId="UnresolvedMention">
    <w:name w:val="Unresolved Mention"/>
    <w:basedOn w:val="DefaultParagraphFont"/>
    <w:uiPriority w:val="99"/>
    <w:unhideWhenUsed/>
    <w:rsid w:val="00BE587D"/>
    <w:rPr>
      <w:color w:val="605E5C"/>
      <w:shd w:val="clear" w:color="auto" w:fill="E1DFDD"/>
    </w:rPr>
  </w:style>
  <w:style w:type="character" w:styleId="Mention">
    <w:name w:val="Mention"/>
    <w:basedOn w:val="DefaultParagraphFont"/>
    <w:uiPriority w:val="99"/>
    <w:unhideWhenUsed/>
    <w:rsid w:val="00BE587D"/>
    <w:rPr>
      <w:color w:val="2B579A"/>
      <w:shd w:val="clear" w:color="auto" w:fill="E1DFDD"/>
    </w:rPr>
  </w:style>
  <w:style w:type="character" w:customStyle="1" w:styleId="Heading3Char">
    <w:name w:val="Heading 3 Char"/>
    <w:basedOn w:val="DefaultParagraphFont"/>
    <w:link w:val="Heading3"/>
    <w:uiPriority w:val="9"/>
    <w:semiHidden/>
    <w:rsid w:val="00413F9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413F9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413F9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413F9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13F9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13F9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13F9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13F9D"/>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413F9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413F9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413F9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413F9D"/>
    <w:rPr>
      <w:b/>
      <w:bCs/>
    </w:rPr>
  </w:style>
  <w:style w:type="character" w:styleId="Emphasis">
    <w:name w:val="Emphasis"/>
    <w:basedOn w:val="DefaultParagraphFont"/>
    <w:uiPriority w:val="20"/>
    <w:qFormat/>
    <w:rsid w:val="00413F9D"/>
    <w:rPr>
      <w:i/>
      <w:iCs/>
    </w:rPr>
  </w:style>
  <w:style w:type="paragraph" w:styleId="Quote">
    <w:name w:val="Quote"/>
    <w:basedOn w:val="Normal"/>
    <w:next w:val="Normal"/>
    <w:link w:val="QuoteChar"/>
    <w:uiPriority w:val="29"/>
    <w:qFormat/>
    <w:rsid w:val="00413F9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13F9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13F9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13F9D"/>
    <w:rPr>
      <w:color w:val="404040" w:themeColor="text1" w:themeTint="BF"/>
      <w:sz w:val="32"/>
      <w:szCs w:val="32"/>
    </w:rPr>
  </w:style>
  <w:style w:type="character" w:styleId="SubtleEmphasis">
    <w:name w:val="Subtle Emphasis"/>
    <w:basedOn w:val="DefaultParagraphFont"/>
    <w:uiPriority w:val="19"/>
    <w:qFormat/>
    <w:rsid w:val="00413F9D"/>
    <w:rPr>
      <w:i/>
      <w:iCs/>
      <w:color w:val="595959" w:themeColor="text1" w:themeTint="A6"/>
    </w:rPr>
  </w:style>
  <w:style w:type="character" w:styleId="IntenseEmphasis">
    <w:name w:val="Intense Emphasis"/>
    <w:basedOn w:val="DefaultParagraphFont"/>
    <w:uiPriority w:val="21"/>
    <w:qFormat/>
    <w:rsid w:val="00413F9D"/>
    <w:rPr>
      <w:b/>
      <w:bCs/>
      <w:i/>
      <w:iCs/>
    </w:rPr>
  </w:style>
  <w:style w:type="character" w:styleId="SubtleReference">
    <w:name w:val="Subtle Reference"/>
    <w:basedOn w:val="DefaultParagraphFont"/>
    <w:uiPriority w:val="31"/>
    <w:qFormat/>
    <w:rsid w:val="00413F9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13F9D"/>
    <w:rPr>
      <w:b/>
      <w:bCs/>
      <w:caps w:val="0"/>
      <w:smallCaps/>
      <w:color w:val="auto"/>
      <w:spacing w:val="3"/>
      <w:u w:val="single"/>
    </w:rPr>
  </w:style>
  <w:style w:type="character" w:styleId="BookTitle">
    <w:name w:val="Book Title"/>
    <w:basedOn w:val="DefaultParagraphFont"/>
    <w:uiPriority w:val="33"/>
    <w:qFormat/>
    <w:rsid w:val="00413F9D"/>
    <w:rPr>
      <w:b/>
      <w:bCs/>
      <w:smallCaps/>
      <w:spacing w:val="7"/>
    </w:rPr>
  </w:style>
  <w:style w:type="paragraph" w:styleId="TOCHeading">
    <w:name w:val="TOC Heading"/>
    <w:basedOn w:val="Heading1"/>
    <w:next w:val="Normal"/>
    <w:uiPriority w:val="39"/>
    <w:semiHidden/>
    <w:unhideWhenUsed/>
    <w:qFormat/>
    <w:rsid w:val="00413F9D"/>
    <w:pPr>
      <w:outlineLvl w:val="9"/>
    </w:pPr>
  </w:style>
  <w:style w:type="character" w:customStyle="1" w:styleId="HeaderChar">
    <w:name w:val="Header Char"/>
    <w:basedOn w:val="DefaultParagraphFont"/>
    <w:link w:val="Header"/>
    <w:uiPriority w:val="99"/>
    <w:rsid w:val="00487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7180">
      <w:bodyDiv w:val="1"/>
      <w:marLeft w:val="0"/>
      <w:marRight w:val="0"/>
      <w:marTop w:val="0"/>
      <w:marBottom w:val="0"/>
      <w:divBdr>
        <w:top w:val="none" w:sz="0" w:space="0" w:color="auto"/>
        <w:left w:val="none" w:sz="0" w:space="0" w:color="auto"/>
        <w:bottom w:val="none" w:sz="0" w:space="0" w:color="auto"/>
        <w:right w:val="none" w:sz="0" w:space="0" w:color="auto"/>
      </w:divBdr>
    </w:div>
    <w:div w:id="369646453">
      <w:bodyDiv w:val="1"/>
      <w:marLeft w:val="0"/>
      <w:marRight w:val="0"/>
      <w:marTop w:val="0"/>
      <w:marBottom w:val="0"/>
      <w:divBdr>
        <w:top w:val="none" w:sz="0" w:space="0" w:color="auto"/>
        <w:left w:val="none" w:sz="0" w:space="0" w:color="auto"/>
        <w:bottom w:val="none" w:sz="0" w:space="0" w:color="auto"/>
        <w:right w:val="none" w:sz="0" w:space="0" w:color="auto"/>
      </w:divBdr>
    </w:div>
    <w:div w:id="434207903">
      <w:bodyDiv w:val="1"/>
      <w:marLeft w:val="0"/>
      <w:marRight w:val="0"/>
      <w:marTop w:val="0"/>
      <w:marBottom w:val="0"/>
      <w:divBdr>
        <w:top w:val="none" w:sz="0" w:space="0" w:color="auto"/>
        <w:left w:val="none" w:sz="0" w:space="0" w:color="auto"/>
        <w:bottom w:val="none" w:sz="0" w:space="0" w:color="auto"/>
        <w:right w:val="none" w:sz="0" w:space="0" w:color="auto"/>
      </w:divBdr>
    </w:div>
    <w:div w:id="451020369">
      <w:bodyDiv w:val="1"/>
      <w:marLeft w:val="0"/>
      <w:marRight w:val="0"/>
      <w:marTop w:val="0"/>
      <w:marBottom w:val="0"/>
      <w:divBdr>
        <w:top w:val="none" w:sz="0" w:space="0" w:color="auto"/>
        <w:left w:val="none" w:sz="0" w:space="0" w:color="auto"/>
        <w:bottom w:val="none" w:sz="0" w:space="0" w:color="auto"/>
        <w:right w:val="none" w:sz="0" w:space="0" w:color="auto"/>
      </w:divBdr>
    </w:div>
    <w:div w:id="868376147">
      <w:bodyDiv w:val="1"/>
      <w:marLeft w:val="0"/>
      <w:marRight w:val="0"/>
      <w:marTop w:val="0"/>
      <w:marBottom w:val="0"/>
      <w:divBdr>
        <w:top w:val="none" w:sz="0" w:space="0" w:color="auto"/>
        <w:left w:val="none" w:sz="0" w:space="0" w:color="auto"/>
        <w:bottom w:val="none" w:sz="0" w:space="0" w:color="auto"/>
        <w:right w:val="none" w:sz="0" w:space="0" w:color="auto"/>
      </w:divBdr>
    </w:div>
    <w:div w:id="1099446456">
      <w:bodyDiv w:val="1"/>
      <w:marLeft w:val="0"/>
      <w:marRight w:val="0"/>
      <w:marTop w:val="0"/>
      <w:marBottom w:val="0"/>
      <w:divBdr>
        <w:top w:val="none" w:sz="0" w:space="0" w:color="auto"/>
        <w:left w:val="none" w:sz="0" w:space="0" w:color="auto"/>
        <w:bottom w:val="none" w:sz="0" w:space="0" w:color="auto"/>
        <w:right w:val="none" w:sz="0" w:space="0" w:color="auto"/>
      </w:divBdr>
    </w:div>
    <w:div w:id="1329871845">
      <w:bodyDiv w:val="1"/>
      <w:marLeft w:val="0"/>
      <w:marRight w:val="0"/>
      <w:marTop w:val="0"/>
      <w:marBottom w:val="0"/>
      <w:divBdr>
        <w:top w:val="none" w:sz="0" w:space="0" w:color="auto"/>
        <w:left w:val="none" w:sz="0" w:space="0" w:color="auto"/>
        <w:bottom w:val="none" w:sz="0" w:space="0" w:color="auto"/>
        <w:right w:val="none" w:sz="0" w:space="0" w:color="auto"/>
      </w:divBdr>
    </w:div>
    <w:div w:id="19326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puc.ca.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puc.ca.gov/-/media/cpuc-website/divisions/communications-division/documents/service-quality/june-30-2021-go-133-d-carrier-line-counts.pdf" TargetMode="External"/><Relationship Id="rId2" Type="http://schemas.openxmlformats.org/officeDocument/2006/relationships/hyperlink" Target="https://www.cpuc.ca.gov/industries-and-topics/internet-and-phone/network-performance-and-public-safety/telecommunications-carriers-service-quality-reports" TargetMode="External"/><Relationship Id="rId1" Type="http://schemas.openxmlformats.org/officeDocument/2006/relationships/hyperlink" Target="https://www.cpuc.ca.gov/industries-and-topics/internet-and-phone/network-performance-and-public-safety/servic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f0e479-8bf9-44d3-b44f-9f917981859a">
      <Terms xmlns="http://schemas.microsoft.com/office/infopath/2007/PartnerControls"/>
    </lcf76f155ced4ddcb4097134ff3c332f>
    <TaxCatchAll xmlns="fed18004-da30-46c2-9d7d-883c0ecf6668" xsi:nil="true"/>
    <SharedWithUsers xmlns="fed18004-da30-46c2-9d7d-883c0ecf6668">
      <UserInfo>
        <DisplayName>Osborn, Robert B.</DisplayName>
        <AccountId>24</AccountId>
        <AccountType/>
      </UserInfo>
      <UserInfo>
        <DisplayName>Hernandez, Risa</DisplayName>
        <AccountId>14</AccountId>
        <AccountType/>
      </UserInfo>
      <UserInfo>
        <DisplayName>Balivada, Anil</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7B9400337487B4C89F670F361479D50" ma:contentTypeVersion="16" ma:contentTypeDescription="Create a new document." ma:contentTypeScope="" ma:versionID="c55f1fb50b36d5cebae9c1eb32ab66e8">
  <xsd:schema xmlns:xsd="http://www.w3.org/2001/XMLSchema" xmlns:xs="http://www.w3.org/2001/XMLSchema" xmlns:p="http://schemas.microsoft.com/office/2006/metadata/properties" xmlns:ns2="14f0e479-8bf9-44d3-b44f-9f917981859a" xmlns:ns3="fed18004-da30-46c2-9d7d-883c0ecf6668" targetNamespace="http://schemas.microsoft.com/office/2006/metadata/properties" ma:root="true" ma:fieldsID="e6e8bfe1e6bb87ae101dcb56a48a4342" ns2:_="" ns3:_="">
    <xsd:import namespace="14f0e479-8bf9-44d3-b44f-9f917981859a"/>
    <xsd:import namespace="fed18004-da30-46c2-9d7d-883c0ecf666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0e479-8bf9-44d3-b44f-9f9179818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18004-da30-46c2-9d7d-883c0ecf66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290ed01-dfad-4d4f-83bc-28004a86a3ed}" ma:internalName="TaxCatchAll" ma:showField="CatchAllData" ma:web="fed18004-da30-46c2-9d7d-883c0ecf6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1BC7C-4146-4F64-8224-DB1476B8D211}">
  <ds:schemaRefs>
    <ds:schemaRef ds:uri="http://schemas.microsoft.com/sharepoint/v3/contenttype/forms"/>
  </ds:schemaRefs>
</ds:datastoreItem>
</file>

<file path=customXml/itemProps2.xml><?xml version="1.0" encoding="utf-8"?>
<ds:datastoreItem xmlns:ds="http://schemas.openxmlformats.org/officeDocument/2006/customXml" ds:itemID="{6F989A42-3A2C-4A66-9C74-BC09BE6B4019}">
  <ds:schemaRefs>
    <ds:schemaRef ds:uri="http://schemas.microsoft.com/office/2006/metadata/properties"/>
    <ds:schemaRef ds:uri="http://schemas.microsoft.com/office/infopath/2007/PartnerControls"/>
    <ds:schemaRef ds:uri="14f0e479-8bf9-44d3-b44f-9f917981859a"/>
    <ds:schemaRef ds:uri="fed18004-da30-46c2-9d7d-883c0ecf6668"/>
  </ds:schemaRefs>
</ds:datastoreItem>
</file>

<file path=customXml/itemProps3.xml><?xml version="1.0" encoding="utf-8"?>
<ds:datastoreItem xmlns:ds="http://schemas.openxmlformats.org/officeDocument/2006/customXml" ds:itemID="{6D548399-FFC7-4F4D-B0A0-1D1DFC31A176}">
  <ds:schemaRefs>
    <ds:schemaRef ds:uri="http://schemas.openxmlformats.org/officeDocument/2006/bibliography"/>
  </ds:schemaRefs>
</ds:datastoreItem>
</file>

<file path=customXml/itemProps4.xml><?xml version="1.0" encoding="utf-8"?>
<ds:datastoreItem xmlns:ds="http://schemas.openxmlformats.org/officeDocument/2006/customXml" ds:itemID="{B6B42CC7-575A-4887-8964-504182695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0e479-8bf9-44d3-b44f-9f917981859a"/>
    <ds:schemaRef ds:uri="fed18004-da30-46c2-9d7d-883c0ecf6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3115</ap:Words>
  <ap:Characters>17761</ap:Characters>
  <ap:Application>Microsoft Office Word</ap:Application>
  <ap:DocSecurity>0</ap:DocSecurity>
  <ap:Lines>148</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20835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2019-03-12T15:01:00Z</cp:lastPrinted>
  <dcterms:created xsi:type="dcterms:W3CDTF">2026-06-17T11:58:08Z</dcterms:created>
  <dcterms:modified xsi:type="dcterms:W3CDTF">2026-06-17T11:58:08Z</dcterms:modified>
</cp:coreProperties>
</file>