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C99" w:rsidP="007C506C" w:rsidRDefault="00EA014B" w14:paraId="502D1A4B" w14:textId="010F45A9">
      <w:pPr>
        <w:tabs>
          <w:tab w:val="right" w:pos="9360"/>
        </w:tabs>
        <w:spacing w:line="240" w:lineRule="auto"/>
        <w:ind w:firstLine="0"/>
        <w:jc w:val="both"/>
      </w:pPr>
      <w:r>
        <w:t>ALJ/LFY/</w:t>
      </w:r>
      <w:r w:rsidR="00170989">
        <w:t>nd3</w:t>
      </w:r>
      <w:r w:rsidR="00170989">
        <w:tab/>
      </w:r>
      <w:r w:rsidRPr="007C506C" w:rsidR="007C506C">
        <w:rPr>
          <w:b/>
          <w:bCs/>
        </w:rPr>
        <w:t>Date of Issuance 6/17/2026</w:t>
      </w:r>
    </w:p>
    <w:p w:rsidR="007C506C" w:rsidP="007C506C" w:rsidRDefault="007C506C" w14:paraId="53930550" w14:textId="77777777">
      <w:pPr>
        <w:tabs>
          <w:tab w:val="center" w:pos="4680"/>
          <w:tab w:val="right" w:pos="9360"/>
        </w:tabs>
        <w:spacing w:line="240" w:lineRule="auto"/>
        <w:ind w:firstLine="0"/>
        <w:jc w:val="both"/>
      </w:pPr>
    </w:p>
    <w:p w:rsidR="00A94D80" w:rsidP="006B5C99" w:rsidRDefault="00A94D80" w14:paraId="68C06252" w14:textId="77777777">
      <w:pPr>
        <w:tabs>
          <w:tab w:val="center" w:pos="4680"/>
          <w:tab w:val="right" w:pos="9360"/>
        </w:tabs>
        <w:spacing w:line="240" w:lineRule="auto"/>
        <w:ind w:firstLine="0"/>
      </w:pPr>
    </w:p>
    <w:p w:rsidR="00A94D80" w:rsidP="006B5C99" w:rsidRDefault="00A94D80" w14:paraId="1990F998" w14:textId="36550CC1">
      <w:pPr>
        <w:tabs>
          <w:tab w:val="center" w:pos="4680"/>
          <w:tab w:val="right" w:pos="9360"/>
        </w:tabs>
        <w:spacing w:line="240" w:lineRule="auto"/>
        <w:ind w:firstLine="0"/>
      </w:pPr>
      <w:r>
        <w:t xml:space="preserve">Decision </w:t>
      </w:r>
      <w:r w:rsidRPr="000E7A54" w:rsidR="007C506C">
        <w:t>26-06-015</w:t>
      </w:r>
      <w:r w:rsidR="00BD7805">
        <w:t xml:space="preserve">  June 11, 2026</w:t>
      </w:r>
    </w:p>
    <w:p w:rsidR="00A94D80" w:rsidP="006B5C99" w:rsidRDefault="00A94D80" w14:paraId="0A23DB37" w14:textId="77777777">
      <w:pPr>
        <w:tabs>
          <w:tab w:val="center" w:pos="4680"/>
          <w:tab w:val="right" w:pos="9360"/>
        </w:tabs>
        <w:spacing w:line="240" w:lineRule="auto"/>
        <w:ind w:firstLine="0"/>
      </w:pPr>
    </w:p>
    <w:p w:rsidR="00726C98" w:rsidP="006B5C99" w:rsidRDefault="00726C98" w14:paraId="015B089B" w14:textId="77777777">
      <w:pPr>
        <w:tabs>
          <w:tab w:val="center" w:pos="4680"/>
          <w:tab w:val="right" w:pos="9360"/>
        </w:tabs>
        <w:spacing w:line="240" w:lineRule="auto"/>
        <w:ind w:firstLine="0"/>
      </w:pPr>
    </w:p>
    <w:p w:rsidR="00DA7B5D" w:rsidP="00B8641B" w:rsidRDefault="00DA7B5D" w14:paraId="6D567CCB" w14:textId="778EF3CC">
      <w:pPr>
        <w:tabs>
          <w:tab w:val="center" w:pos="4680"/>
          <w:tab w:val="right" w:pos="9360"/>
        </w:tabs>
        <w:spacing w:line="240" w:lineRule="auto"/>
        <w:ind w:firstLine="0"/>
        <w:jc w:val="center"/>
        <w:rPr>
          <w:rFonts w:ascii="Arial" w:hAnsi="Arial" w:cs="Arial"/>
          <w:b/>
          <w:sz w:val="24"/>
          <w:szCs w:val="24"/>
        </w:rPr>
      </w:pPr>
      <w:bookmarkStart w:name="_Hlk48817505" w:id="0"/>
      <w:r w:rsidRPr="00DA7B5D">
        <w:rPr>
          <w:rFonts w:ascii="Arial" w:hAnsi="Arial" w:cs="Arial"/>
          <w:b/>
          <w:sz w:val="24"/>
          <w:szCs w:val="24"/>
        </w:rPr>
        <w:t>BEFORE THE PUBLIC UTILITIES COMMISSION OF THE STATE OF CALIFORNIA</w:t>
      </w:r>
    </w:p>
    <w:p w:rsidR="00B9490F" w:rsidP="00B8641B" w:rsidRDefault="00B9490F" w14:paraId="422BD8DD" w14:textId="77777777">
      <w:pPr>
        <w:tabs>
          <w:tab w:val="center" w:pos="4680"/>
          <w:tab w:val="right" w:pos="9360"/>
        </w:tabs>
        <w:spacing w:line="240" w:lineRule="auto"/>
        <w:ind w:firstLine="0"/>
        <w:jc w:val="center"/>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EA014B" w:rsidR="00CA6118" w:rsidTr="00FC472B" w14:paraId="4515541C" w14:textId="77777777">
        <w:trPr>
          <w:jc w:val="center"/>
        </w:trPr>
        <w:tc>
          <w:tcPr>
            <w:tcW w:w="5040" w:type="dxa"/>
            <w:tcBorders>
              <w:top w:val="nil"/>
              <w:left w:val="nil"/>
              <w:bottom w:val="single" w:color="auto" w:sz="4" w:space="0"/>
              <w:right w:val="single" w:color="auto" w:sz="4" w:space="0"/>
            </w:tcBorders>
          </w:tcPr>
          <w:p w:rsidR="00FC472B" w:rsidP="00780DBC" w:rsidRDefault="00FC472B" w14:paraId="772D3898" w14:textId="77777777">
            <w:pPr>
              <w:spacing w:line="240" w:lineRule="auto"/>
              <w:ind w:firstLine="0"/>
              <w:rPr>
                <w:rFonts w:cs="Arial"/>
                <w:szCs w:val="26"/>
              </w:rPr>
            </w:pPr>
            <w:r w:rsidRPr="00FC472B">
              <w:rPr>
                <w:rFonts w:cs="Arial"/>
                <w:szCs w:val="26"/>
              </w:rPr>
              <w:t>Susan Wilson,</w:t>
            </w:r>
          </w:p>
          <w:p w:rsidR="00FC472B" w:rsidP="00780DBC" w:rsidRDefault="00FC472B" w14:paraId="020F548A" w14:textId="77777777">
            <w:pPr>
              <w:spacing w:line="240" w:lineRule="auto"/>
              <w:ind w:firstLine="0"/>
              <w:rPr>
                <w:rFonts w:cs="Arial"/>
                <w:szCs w:val="26"/>
              </w:rPr>
            </w:pPr>
          </w:p>
          <w:p w:rsidR="00FC472B" w:rsidP="00FC472B" w:rsidRDefault="00FC472B" w14:paraId="0B3337A2" w14:textId="77777777">
            <w:pPr>
              <w:spacing w:line="240" w:lineRule="auto"/>
              <w:ind w:right="144" w:firstLine="0"/>
              <w:jc w:val="right"/>
              <w:rPr>
                <w:rFonts w:cs="Arial"/>
                <w:szCs w:val="26"/>
              </w:rPr>
            </w:pPr>
            <w:r w:rsidRPr="00FC472B">
              <w:rPr>
                <w:rFonts w:cs="Arial"/>
                <w:szCs w:val="26"/>
              </w:rPr>
              <w:t>Complainant</w:t>
            </w:r>
            <w:r>
              <w:rPr>
                <w:rFonts w:cs="Arial"/>
                <w:szCs w:val="26"/>
              </w:rPr>
              <w:t>,</w:t>
            </w:r>
          </w:p>
          <w:p w:rsidR="00B87068" w:rsidP="00B87068" w:rsidRDefault="00B87068" w14:paraId="7D350B53" w14:textId="77777777">
            <w:pPr>
              <w:spacing w:line="240" w:lineRule="auto"/>
              <w:ind w:firstLine="0"/>
              <w:rPr>
                <w:rFonts w:cs="Arial"/>
                <w:szCs w:val="26"/>
              </w:rPr>
            </w:pPr>
          </w:p>
          <w:p w:rsidR="00FC472B" w:rsidP="00FC472B" w:rsidRDefault="00FC472B" w14:paraId="1A2DB46E" w14:textId="77777777">
            <w:pPr>
              <w:spacing w:line="240" w:lineRule="auto"/>
              <w:ind w:left="1800" w:firstLine="0"/>
              <w:rPr>
                <w:rFonts w:cs="Arial"/>
                <w:szCs w:val="26"/>
              </w:rPr>
            </w:pPr>
            <w:r w:rsidRPr="00FC472B">
              <w:rPr>
                <w:rFonts w:cs="Arial"/>
                <w:szCs w:val="26"/>
              </w:rPr>
              <w:t>vs.</w:t>
            </w:r>
          </w:p>
          <w:p w:rsidR="00FC472B" w:rsidP="00780DBC" w:rsidRDefault="00FC472B" w14:paraId="65FE6D3D" w14:textId="77777777">
            <w:pPr>
              <w:spacing w:line="240" w:lineRule="auto"/>
              <w:ind w:firstLine="0"/>
              <w:rPr>
                <w:rFonts w:cs="Arial"/>
                <w:szCs w:val="26"/>
              </w:rPr>
            </w:pPr>
          </w:p>
          <w:p w:rsidR="00FC472B" w:rsidP="00780DBC" w:rsidRDefault="00FC472B" w14:paraId="3AF0C6EB" w14:textId="77777777">
            <w:pPr>
              <w:spacing w:line="240" w:lineRule="auto"/>
              <w:ind w:firstLine="0"/>
              <w:rPr>
                <w:rFonts w:cs="Arial"/>
                <w:szCs w:val="26"/>
              </w:rPr>
            </w:pPr>
            <w:r w:rsidRPr="00FC472B">
              <w:rPr>
                <w:rFonts w:cs="Arial"/>
                <w:szCs w:val="26"/>
              </w:rPr>
              <w:t>Havasu Water Company, Inc. (U352W),</w:t>
            </w:r>
          </w:p>
          <w:p w:rsidR="00FC472B" w:rsidP="00780DBC" w:rsidRDefault="00FC472B" w14:paraId="5DA73630" w14:textId="77777777">
            <w:pPr>
              <w:spacing w:line="240" w:lineRule="auto"/>
              <w:ind w:firstLine="0"/>
              <w:rPr>
                <w:rFonts w:cs="Arial"/>
                <w:szCs w:val="26"/>
              </w:rPr>
            </w:pPr>
          </w:p>
          <w:p w:rsidR="00FC472B" w:rsidP="00FC472B" w:rsidRDefault="00FC472B" w14:paraId="7F911A9F" w14:textId="77777777">
            <w:pPr>
              <w:spacing w:line="240" w:lineRule="auto"/>
              <w:ind w:right="144" w:firstLine="0"/>
              <w:jc w:val="right"/>
              <w:rPr>
                <w:rFonts w:cs="Arial"/>
                <w:szCs w:val="26"/>
              </w:rPr>
            </w:pPr>
            <w:r w:rsidRPr="00FC472B">
              <w:rPr>
                <w:rFonts w:cs="Arial"/>
                <w:szCs w:val="26"/>
              </w:rPr>
              <w:t>Defendant.</w:t>
            </w:r>
          </w:p>
          <w:p w:rsidRPr="00EA014B" w:rsidR="0084494C" w:rsidP="00354DF4" w:rsidRDefault="0084494C" w14:paraId="3CD46397" w14:textId="420BE6EF">
            <w:pPr>
              <w:spacing w:line="240" w:lineRule="auto"/>
              <w:ind w:right="144" w:firstLine="0"/>
              <w:rPr>
                <w:rFonts w:cs="Arial"/>
                <w:szCs w:val="26"/>
              </w:rPr>
            </w:pPr>
          </w:p>
        </w:tc>
        <w:tc>
          <w:tcPr>
            <w:tcW w:w="5040" w:type="dxa"/>
            <w:tcBorders>
              <w:top w:val="nil"/>
              <w:left w:val="single" w:color="auto" w:sz="4" w:space="0"/>
              <w:bottom w:val="nil"/>
              <w:right w:val="nil"/>
            </w:tcBorders>
            <w:vAlign w:val="center"/>
            <w:hideMark/>
          </w:tcPr>
          <w:p w:rsidRPr="008C6736" w:rsidR="00CA6118" w:rsidP="00FC472B" w:rsidRDefault="00394665" w14:paraId="3AFD6508" w14:textId="74213E76">
            <w:pPr>
              <w:spacing w:line="240" w:lineRule="auto"/>
              <w:ind w:firstLine="0"/>
              <w:jc w:val="center"/>
              <w:rPr>
                <w:rFonts w:cs="Arial"/>
                <w:szCs w:val="26"/>
              </w:rPr>
            </w:pPr>
            <w:r w:rsidRPr="008C6736">
              <w:rPr>
                <w:rFonts w:cs="Arial"/>
                <w:szCs w:val="26"/>
              </w:rPr>
              <w:t>(ECP)</w:t>
            </w:r>
          </w:p>
          <w:p w:rsidRPr="00EA014B" w:rsidR="00EA014B" w:rsidP="00FC472B" w:rsidRDefault="00771EAE" w14:paraId="2619C132" w14:textId="1B7BBDFD">
            <w:pPr>
              <w:spacing w:line="240" w:lineRule="auto"/>
              <w:ind w:firstLine="0"/>
              <w:jc w:val="center"/>
              <w:rPr>
                <w:rFonts w:cs="Arial"/>
                <w:szCs w:val="26"/>
              </w:rPr>
            </w:pPr>
            <w:bookmarkStart w:name="_Hlk181177535" w:id="1"/>
            <w:r w:rsidRPr="008C6736">
              <w:rPr>
                <w:rFonts w:eastAsia="Times New Roman"/>
              </w:rPr>
              <w:t>C</w:t>
            </w:r>
            <w:r w:rsidRPr="008C6736" w:rsidR="00394665">
              <w:rPr>
                <w:rFonts w:eastAsia="Times New Roman"/>
              </w:rPr>
              <w:t xml:space="preserve">ase </w:t>
            </w:r>
            <w:r w:rsidRPr="008C6736">
              <w:rPr>
                <w:rFonts w:eastAsia="Times New Roman"/>
              </w:rPr>
              <w:t>24</w:t>
            </w:r>
            <w:r w:rsidR="00A14C18">
              <w:rPr>
                <w:rFonts w:eastAsia="Times New Roman"/>
              </w:rPr>
              <w:noBreakHyphen/>
            </w:r>
            <w:r w:rsidRPr="008C6736" w:rsidR="008E335F">
              <w:rPr>
                <w:rFonts w:eastAsia="Times New Roman"/>
              </w:rPr>
              <w:t>1</w:t>
            </w:r>
            <w:r w:rsidRPr="008C6736">
              <w:rPr>
                <w:rFonts w:eastAsia="Times New Roman"/>
              </w:rPr>
              <w:t>0</w:t>
            </w:r>
            <w:r w:rsidR="00A14C18">
              <w:rPr>
                <w:rFonts w:eastAsia="Times New Roman"/>
              </w:rPr>
              <w:noBreakHyphen/>
            </w:r>
            <w:r w:rsidRPr="008C6736">
              <w:rPr>
                <w:rFonts w:eastAsia="Times New Roman"/>
              </w:rPr>
              <w:t>0</w:t>
            </w:r>
            <w:r w:rsidR="00C356BC">
              <w:rPr>
                <w:rFonts w:eastAsia="Times New Roman"/>
              </w:rPr>
              <w:t>17</w:t>
            </w:r>
            <w:bookmarkEnd w:id="1"/>
          </w:p>
        </w:tc>
      </w:tr>
    </w:tbl>
    <w:p w:rsidR="00EA014B" w:rsidP="00CA6118" w:rsidRDefault="00EA014B" w14:paraId="08589002" w14:textId="77777777">
      <w:pPr>
        <w:spacing w:line="240" w:lineRule="auto"/>
        <w:ind w:firstLine="0"/>
        <w:contextualSpacing/>
      </w:pPr>
    </w:p>
    <w:p w:rsidR="00170989" w:rsidP="00CA6118" w:rsidRDefault="00170989" w14:paraId="2ADB587A" w14:textId="77777777">
      <w:pPr>
        <w:spacing w:line="240" w:lineRule="auto"/>
        <w:ind w:firstLine="0"/>
        <w:contextualSpacing/>
      </w:pPr>
    </w:p>
    <w:p w:rsidR="00EA014B" w:rsidP="00170989" w:rsidRDefault="00391154" w14:paraId="5C838DC7" w14:textId="0B76FCA0">
      <w:pPr>
        <w:pStyle w:val="Main"/>
      </w:pPr>
      <w:r w:rsidRPr="00391154">
        <w:t>Decision Granting and Denying Complaint</w:t>
      </w:r>
    </w:p>
    <w:p w:rsidRPr="00246EBE" w:rsidR="00EA014B" w:rsidP="00170989" w:rsidRDefault="00EA014B" w14:paraId="3FB48963" w14:textId="77777777">
      <w:pPr>
        <w:pStyle w:val="Main"/>
        <w:jc w:val="left"/>
      </w:pPr>
    </w:p>
    <w:p w:rsidRPr="00CE66B2" w:rsidR="00CA6118" w:rsidP="00CE66B2" w:rsidRDefault="00CA6118" w14:paraId="194DFB5A" w14:textId="77777777">
      <w:pPr>
        <w:pStyle w:val="Dummy"/>
      </w:pPr>
      <w:r>
        <w:t>Summary</w:t>
      </w:r>
    </w:p>
    <w:p w:rsidR="00A402EC" w:rsidP="00B711DD" w:rsidRDefault="00CA6118" w14:paraId="7D8F07BA" w14:textId="5D62BB8A">
      <w:pPr>
        <w:pStyle w:val="Standard"/>
      </w:pPr>
      <w:r>
        <w:t xml:space="preserve">This </w:t>
      </w:r>
      <w:r w:rsidR="00391154">
        <w:t xml:space="preserve">Decision grants </w:t>
      </w:r>
      <w:r w:rsidR="00F95D18">
        <w:t>Defendant</w:t>
      </w:r>
      <w:r>
        <w:t xml:space="preserve"> </w:t>
      </w:r>
      <w:r w:rsidRPr="00705021">
        <w:t>Havasu Water Company</w:t>
      </w:r>
      <w:r w:rsidR="00A94D80">
        <w:t>,</w:t>
      </w:r>
      <w:r w:rsidRPr="00705021">
        <w:t xml:space="preserve"> Inc. (U352W)</w:t>
      </w:r>
      <w:r w:rsidR="003E7142">
        <w:t xml:space="preserve"> </w:t>
      </w:r>
      <w:r w:rsidR="002B1CA5">
        <w:t>(</w:t>
      </w:r>
      <w:r w:rsidR="00DD2505">
        <w:t>Defendant</w:t>
      </w:r>
      <w:r w:rsidR="002B1CA5">
        <w:t xml:space="preserve">) </w:t>
      </w:r>
      <w:r w:rsidR="003E7142">
        <w:t xml:space="preserve">service fees in the sum </w:t>
      </w:r>
      <w:r w:rsidRPr="00EC76CE" w:rsidR="003E7142">
        <w:t xml:space="preserve">of </w:t>
      </w:r>
      <w:r w:rsidRPr="002961E2" w:rsidR="003E7142">
        <w:t>$</w:t>
      </w:r>
      <w:r w:rsidR="002961E2">
        <w:t>82.</w:t>
      </w:r>
      <w:r w:rsidR="00A75C0E">
        <w:t>7</w:t>
      </w:r>
      <w:r w:rsidR="002961E2">
        <w:t>0</w:t>
      </w:r>
      <w:r w:rsidRPr="00EC76CE" w:rsidR="003E7142">
        <w:t xml:space="preserve"> for the</w:t>
      </w:r>
      <w:r w:rsidR="003E7142">
        <w:t xml:space="preserve"> 2022 through 2023 years as adjudicated by </w:t>
      </w:r>
      <w:r w:rsidRPr="00721C00" w:rsidR="00721C00">
        <w:t xml:space="preserve">Decision </w:t>
      </w:r>
      <w:r w:rsidR="00721C00">
        <w:t xml:space="preserve">on Rehearing </w:t>
      </w:r>
      <w:r w:rsidR="009970CC">
        <w:t>D</w:t>
      </w:r>
      <w:r w:rsidRPr="00721C00" w:rsidR="009970CC">
        <w:t>ecision</w:t>
      </w:r>
      <w:r w:rsidR="009970CC">
        <w:t> </w:t>
      </w:r>
      <w:r w:rsidRPr="00721C00" w:rsidR="00721C00">
        <w:t>24</w:t>
      </w:r>
      <w:r w:rsidR="00A14C18">
        <w:noBreakHyphen/>
      </w:r>
      <w:r w:rsidRPr="00721C00" w:rsidR="00721C00">
        <w:t>08</w:t>
      </w:r>
      <w:r w:rsidR="00A14C18">
        <w:noBreakHyphen/>
      </w:r>
      <w:r w:rsidRPr="00721C00" w:rsidR="00721C00">
        <w:t>022</w:t>
      </w:r>
      <w:r w:rsidR="00B33C1F">
        <w:rPr>
          <w:rStyle w:val="FootnoteReference"/>
        </w:rPr>
        <w:footnoteReference w:id="2"/>
      </w:r>
      <w:r w:rsidRPr="00721C00" w:rsidR="00721C00">
        <w:t xml:space="preserve"> </w:t>
      </w:r>
      <w:r w:rsidR="00721C00">
        <w:t xml:space="preserve">issued </w:t>
      </w:r>
      <w:r w:rsidR="009040F0">
        <w:t>August </w:t>
      </w:r>
      <w:r w:rsidRPr="00721C00" w:rsidR="00721C00">
        <w:t>1, 2024</w:t>
      </w:r>
      <w:r w:rsidR="009E057D">
        <w:t>.  D</w:t>
      </w:r>
      <w:r w:rsidR="000F5FA8">
        <w:t>.</w:t>
      </w:r>
      <w:r w:rsidR="009E057D">
        <w:t>24</w:t>
      </w:r>
      <w:r w:rsidR="00A14C18">
        <w:noBreakHyphen/>
      </w:r>
      <w:r w:rsidR="009E057D">
        <w:t>08</w:t>
      </w:r>
      <w:r w:rsidR="00A14C18">
        <w:noBreakHyphen/>
      </w:r>
      <w:r w:rsidR="009E057D">
        <w:t xml:space="preserve">022 was the rehearing decision of </w:t>
      </w:r>
      <w:r w:rsidR="00721C00">
        <w:t>D.</w:t>
      </w:r>
      <w:r w:rsidRPr="00721C00" w:rsidR="00721C00">
        <w:t>24</w:t>
      </w:r>
      <w:r w:rsidR="00A14C18">
        <w:noBreakHyphen/>
      </w:r>
      <w:r w:rsidRPr="00721C00" w:rsidR="00721C00">
        <w:t>03</w:t>
      </w:r>
      <w:r w:rsidR="00A14C18">
        <w:noBreakHyphen/>
      </w:r>
      <w:r w:rsidRPr="00721C00" w:rsidR="00721C00">
        <w:t>053</w:t>
      </w:r>
      <w:r w:rsidR="00E14DE8">
        <w:t xml:space="preserve"> issued</w:t>
      </w:r>
      <w:r w:rsidRPr="00721C00" w:rsidR="00721C00">
        <w:t xml:space="preserve"> </w:t>
      </w:r>
      <w:r w:rsidR="00721C00">
        <w:t xml:space="preserve">on </w:t>
      </w:r>
      <w:r w:rsidR="009040F0">
        <w:t>March </w:t>
      </w:r>
      <w:r w:rsidRPr="00721C00" w:rsidR="00721C00">
        <w:t>21, 2024</w:t>
      </w:r>
      <w:r w:rsidR="00721C00">
        <w:t>.</w:t>
      </w:r>
    </w:p>
    <w:p w:rsidR="00A402EC" w:rsidP="00044228" w:rsidRDefault="00B33C1F" w14:paraId="5E3307D5" w14:textId="1D1E4135">
      <w:pPr>
        <w:pStyle w:val="Standard"/>
      </w:pPr>
      <w:r>
        <w:t xml:space="preserve">In </w:t>
      </w:r>
      <w:r w:rsidR="00E14DE8">
        <w:t>D.</w:t>
      </w:r>
      <w:r w:rsidRPr="00721C00" w:rsidR="00E14DE8">
        <w:t>24</w:t>
      </w:r>
      <w:r w:rsidR="00A14C18">
        <w:noBreakHyphen/>
      </w:r>
      <w:r w:rsidRPr="00721C00" w:rsidR="00E14DE8">
        <w:t>08</w:t>
      </w:r>
      <w:r w:rsidR="00A14C18">
        <w:noBreakHyphen/>
      </w:r>
      <w:r w:rsidRPr="00721C00" w:rsidR="00E14DE8">
        <w:t>022</w:t>
      </w:r>
      <w:r>
        <w:t xml:space="preserve">, the Commission determined that, </w:t>
      </w:r>
      <w:r w:rsidR="009040F0">
        <w:t>“</w:t>
      </w:r>
      <w:r w:rsidR="001412A0">
        <w:t>[t]</w:t>
      </w:r>
      <w:r>
        <w:t>he 56% reduction in Complainants</w:t>
      </w:r>
      <w:r w:rsidR="009040F0">
        <w:t>’</w:t>
      </w:r>
      <w:r>
        <w:t xml:space="preserve"> water bills does not apply to the readiness</w:t>
      </w:r>
      <w:r w:rsidR="00A14C18">
        <w:noBreakHyphen/>
      </w:r>
      <w:r>
        <w:t>to</w:t>
      </w:r>
      <w:r w:rsidR="00A14C18">
        <w:noBreakHyphen/>
      </w:r>
      <w:r>
        <w:t>serve fee.</w:t>
      </w:r>
      <w:r w:rsidR="009040F0">
        <w:t>”</w:t>
      </w:r>
      <w:r>
        <w:rPr>
          <w:rStyle w:val="FootnoteReference"/>
        </w:rPr>
        <w:footnoteReference w:id="3"/>
      </w:r>
      <w:r>
        <w:t xml:space="preserve">  Th</w:t>
      </w:r>
      <w:r w:rsidR="00044228">
        <w:t>e</w:t>
      </w:r>
      <w:r>
        <w:t xml:space="preserve"> Commission interprets </w:t>
      </w:r>
      <w:r w:rsidR="00E14DE8">
        <w:t>D.</w:t>
      </w:r>
      <w:r w:rsidRPr="00721C00" w:rsidR="00E14DE8">
        <w:t>24</w:t>
      </w:r>
      <w:r w:rsidR="00A14C18">
        <w:noBreakHyphen/>
      </w:r>
      <w:r w:rsidRPr="00721C00" w:rsidR="00E14DE8">
        <w:t>08</w:t>
      </w:r>
      <w:r w:rsidR="00A14C18">
        <w:noBreakHyphen/>
      </w:r>
      <w:r w:rsidRPr="00721C00" w:rsidR="00E14DE8">
        <w:t>022</w:t>
      </w:r>
      <w:r w:rsidR="00E14DE8">
        <w:t xml:space="preserve"> </w:t>
      </w:r>
      <w:r>
        <w:t xml:space="preserve">to mean that </w:t>
      </w:r>
      <w:r w:rsidR="001A6293">
        <w:t>Complainant</w:t>
      </w:r>
      <w:r w:rsidR="006031E8">
        <w:t xml:space="preserve"> Susan Wilson</w:t>
      </w:r>
      <w:r w:rsidR="001A6293">
        <w:t xml:space="preserve"> </w:t>
      </w:r>
      <w:r>
        <w:lastRenderedPageBreak/>
        <w:t>owe</w:t>
      </w:r>
      <w:r w:rsidR="00CF6F9A">
        <w:t>s</w:t>
      </w:r>
      <w:r>
        <w:t xml:space="preserve"> the remainder of the readiness</w:t>
      </w:r>
      <w:r w:rsidR="00A14C18">
        <w:noBreakHyphen/>
      </w:r>
      <w:r>
        <w:t>to</w:t>
      </w:r>
      <w:r w:rsidR="00A14C18">
        <w:noBreakHyphen/>
      </w:r>
      <w:r>
        <w:t>serve fees of 44% of the calculated costs</w:t>
      </w:r>
      <w:r w:rsidR="00D1254E">
        <w:t xml:space="preserve"> or</w:t>
      </w:r>
      <w:r>
        <w:t xml:space="preserve"> $</w:t>
      </w:r>
      <w:r w:rsidR="002961E2">
        <w:t>82.</w:t>
      </w:r>
      <w:r w:rsidR="00A75C0E">
        <w:t>7</w:t>
      </w:r>
      <w:r w:rsidR="002961E2">
        <w:t>0</w:t>
      </w:r>
      <w:r w:rsidR="00394073">
        <w:t xml:space="preserve"> </w:t>
      </w:r>
      <w:r>
        <w:t xml:space="preserve">to be distributed </w:t>
      </w:r>
      <w:r w:rsidR="00D1254E">
        <w:t xml:space="preserve">from funds </w:t>
      </w:r>
      <w:r>
        <w:t>held in trust through the C</w:t>
      </w:r>
      <w:r w:rsidR="009A61A8">
        <w:t>ommission</w:t>
      </w:r>
      <w:r>
        <w:t xml:space="preserve"> impound account created for this </w:t>
      </w:r>
      <w:r w:rsidR="00D1254E">
        <w:t>proceeding</w:t>
      </w:r>
      <w:r>
        <w:t xml:space="preserve">.  </w:t>
      </w:r>
      <w:r w:rsidR="005E40DB">
        <w:t>The C</w:t>
      </w:r>
      <w:r w:rsidR="009A61A8">
        <w:t>ommission</w:t>
      </w:r>
      <w:r w:rsidR="005E40DB">
        <w:t xml:space="preserve"> shall </w:t>
      </w:r>
      <w:r w:rsidR="00D1254E">
        <w:t>then</w:t>
      </w:r>
      <w:r w:rsidR="001412A0">
        <w:t xml:space="preserve"> </w:t>
      </w:r>
      <w:r w:rsidR="005E40DB">
        <w:t xml:space="preserve">distribute the </w:t>
      </w:r>
      <w:r w:rsidR="00E14DE8">
        <w:t>remainder</w:t>
      </w:r>
      <w:r w:rsidR="005E40DB">
        <w:t xml:space="preserve"> of </w:t>
      </w:r>
      <w:r w:rsidR="00D1254E">
        <w:t xml:space="preserve">the funds, </w:t>
      </w:r>
      <w:r w:rsidR="005E40DB">
        <w:t xml:space="preserve">at least </w:t>
      </w:r>
      <w:r w:rsidRPr="006429E6" w:rsidR="005E40DB">
        <w:t>$</w:t>
      </w:r>
      <w:r w:rsidR="006429E6">
        <w:t>2,336.49</w:t>
      </w:r>
      <w:r w:rsidR="00D1254E">
        <w:t>,</w:t>
      </w:r>
      <w:r w:rsidR="006429E6">
        <w:rPr>
          <w:rStyle w:val="FootnoteReference"/>
        </w:rPr>
        <w:footnoteReference w:id="4"/>
      </w:r>
      <w:r w:rsidR="005E40DB">
        <w:t xml:space="preserve"> to </w:t>
      </w:r>
      <w:r w:rsidR="00F333B5">
        <w:t xml:space="preserve">Defendant </w:t>
      </w:r>
      <w:r w:rsidR="005E40DB">
        <w:t>as satisfaction of Complainants</w:t>
      </w:r>
      <w:r w:rsidR="007B456F">
        <w:t>’</w:t>
      </w:r>
      <w:r w:rsidR="005E40DB">
        <w:t xml:space="preserve"> water billing for the 2024 through 2025 year</w:t>
      </w:r>
      <w:r w:rsidR="00044228">
        <w:t>s</w:t>
      </w:r>
      <w:r w:rsidR="00EC76CE">
        <w:t>,</w:t>
      </w:r>
      <w:r w:rsidR="005E40DB">
        <w:t xml:space="preserve"> through issuance of this Decision.</w:t>
      </w:r>
      <w:r w:rsidR="00E575AE">
        <w:rPr>
          <w:rStyle w:val="FootnoteReference"/>
        </w:rPr>
        <w:footnoteReference w:id="5"/>
      </w:r>
    </w:p>
    <w:p w:rsidR="00A402EC" w:rsidP="00D364A8" w:rsidRDefault="00D364A8" w14:paraId="7E645CE3" w14:textId="701847FF">
      <w:pPr>
        <w:pStyle w:val="Standard"/>
      </w:pPr>
      <w:r>
        <w:t xml:space="preserve">All late fees, penalties, and accompanying compounded </w:t>
      </w:r>
      <w:r w:rsidR="00034819">
        <w:t>and/</w:t>
      </w:r>
      <w:r>
        <w:t xml:space="preserve">or incidental fees, charges, penalties, or other </w:t>
      </w:r>
      <w:r w:rsidR="00034819">
        <w:t xml:space="preserve">like </w:t>
      </w:r>
      <w:r>
        <w:t xml:space="preserve">fines levied by Defendant against </w:t>
      </w:r>
      <w:r w:rsidR="000E5369">
        <w:t>Complainant</w:t>
      </w:r>
      <w:r w:rsidR="00B34660">
        <w:t xml:space="preserve"> Susan Wilson and her </w:t>
      </w:r>
      <w:r>
        <w:t>residents are vacated and expunged.</w:t>
      </w:r>
    </w:p>
    <w:p w:rsidR="00A402EC" w:rsidP="00D364A8" w:rsidRDefault="00D364A8" w14:paraId="6D8E2D3F" w14:textId="77777777">
      <w:pPr>
        <w:pStyle w:val="Standard"/>
      </w:pPr>
      <w:r>
        <w:t>This proceeding is closed.</w:t>
      </w:r>
    </w:p>
    <w:p w:rsidR="00CA6118" w:rsidP="00AC6142" w:rsidRDefault="00CA6118" w14:paraId="71760A85" w14:textId="6B4C6A12">
      <w:pPr>
        <w:pStyle w:val="Heading1"/>
      </w:pPr>
      <w:r w:rsidRPr="00B711DD">
        <w:t>Procedural</w:t>
      </w:r>
      <w:r>
        <w:t xml:space="preserve"> and Factual Background</w:t>
      </w:r>
    </w:p>
    <w:p w:rsidR="00CA6118" w:rsidP="00771EAE" w:rsidRDefault="00CA6118" w14:paraId="587E7C5D" w14:textId="5E77B218">
      <w:pPr>
        <w:pStyle w:val="Standard"/>
      </w:pPr>
      <w:r>
        <w:t>Complainants Gary Chamberlin,</w:t>
      </w:r>
      <w:r w:rsidR="002B1CA5">
        <w:rPr>
          <w:rStyle w:val="FootnoteReference"/>
        </w:rPr>
        <w:footnoteReference w:id="6"/>
      </w:r>
      <w:r>
        <w:t xml:space="preserve"> Charles Ramsden</w:t>
      </w:r>
      <w:r w:rsidR="007C690C">
        <w:t>,</w:t>
      </w:r>
      <w:r w:rsidR="00014757">
        <w:rPr>
          <w:rStyle w:val="FootnoteReference"/>
        </w:rPr>
        <w:footnoteReference w:id="7"/>
      </w:r>
      <w:r>
        <w:t xml:space="preserve"> and Susan Wilson</w:t>
      </w:r>
      <w:r w:rsidR="000E5369">
        <w:rPr>
          <w:rStyle w:val="FootnoteReference"/>
        </w:rPr>
        <w:footnoteReference w:id="8"/>
      </w:r>
      <w:r>
        <w:t xml:space="preserve"> filed</w:t>
      </w:r>
      <w:r w:rsidR="00771EAE">
        <w:t xml:space="preserve"> </w:t>
      </w:r>
      <w:r>
        <w:t>action C.23</w:t>
      </w:r>
      <w:r w:rsidR="00A14C18">
        <w:noBreakHyphen/>
      </w:r>
      <w:r>
        <w:t>05</w:t>
      </w:r>
      <w:r w:rsidR="00A14C18">
        <w:noBreakHyphen/>
      </w:r>
      <w:r>
        <w:t xml:space="preserve">009 on </w:t>
      </w:r>
      <w:r w:rsidR="009040F0">
        <w:t>February </w:t>
      </w:r>
      <w:r>
        <w:t xml:space="preserve">15, 2023, alleging </w:t>
      </w:r>
      <w:r w:rsidR="0084494C">
        <w:t xml:space="preserve">Defendant </w:t>
      </w:r>
      <w:r>
        <w:t>Havasu Water Company</w:t>
      </w:r>
      <w:r w:rsidR="003B7860">
        <w:t>,</w:t>
      </w:r>
      <w:r>
        <w:t xml:space="preserve"> Inc. (U352W) </w:t>
      </w:r>
      <w:bookmarkStart w:name="_Hlk168066206" w:id="2"/>
      <w:r w:rsidR="0084494C">
        <w:t>(Havasu Water</w:t>
      </w:r>
      <w:r w:rsidR="003B7860">
        <w:t xml:space="preserve"> or Defendant</w:t>
      </w:r>
      <w:r w:rsidR="0084494C">
        <w:t xml:space="preserve">) </w:t>
      </w:r>
      <w:r>
        <w:t>erred in calculating their water billing while not providing water</w:t>
      </w:r>
      <w:r w:rsidR="00AC6268">
        <w:t>,</w:t>
      </w:r>
      <w:r>
        <w:t xml:space="preserve"> and charging unwarranted penalties </w:t>
      </w:r>
      <w:r>
        <w:lastRenderedPageBreak/>
        <w:t>and late fees</w:t>
      </w:r>
      <w:bookmarkEnd w:id="2"/>
      <w:r>
        <w:t>.</w:t>
      </w:r>
      <w:r>
        <w:rPr>
          <w:rStyle w:val="FootnoteReference"/>
        </w:rPr>
        <w:footnoteReference w:id="9"/>
      </w:r>
      <w:r w:rsidR="00142582">
        <w:t xml:space="preserve">  Susan Wilson</w:t>
      </w:r>
      <w:r w:rsidR="00FE2E98">
        <w:t xml:space="preserve"> (Complainant)</w:t>
      </w:r>
      <w:r w:rsidR="00142582">
        <w:t xml:space="preserve"> is the only named party in the instant matter, C.</w:t>
      </w:r>
      <w:r w:rsidRPr="008C6736" w:rsidR="00142582">
        <w:rPr>
          <w:rFonts w:eastAsia="Times New Roman"/>
        </w:rPr>
        <w:t>24</w:t>
      </w:r>
      <w:r w:rsidR="00A14C18">
        <w:rPr>
          <w:rFonts w:eastAsia="Times New Roman"/>
        </w:rPr>
        <w:noBreakHyphen/>
      </w:r>
      <w:r w:rsidRPr="008C6736" w:rsidR="00142582">
        <w:rPr>
          <w:rFonts w:eastAsia="Times New Roman"/>
        </w:rPr>
        <w:t>10</w:t>
      </w:r>
      <w:r w:rsidR="00A14C18">
        <w:rPr>
          <w:rFonts w:eastAsia="Times New Roman"/>
        </w:rPr>
        <w:noBreakHyphen/>
      </w:r>
      <w:r w:rsidRPr="008C6736" w:rsidR="00142582">
        <w:rPr>
          <w:rFonts w:eastAsia="Times New Roman"/>
        </w:rPr>
        <w:t>0</w:t>
      </w:r>
      <w:r w:rsidR="00142582">
        <w:rPr>
          <w:rFonts w:eastAsia="Times New Roman"/>
        </w:rPr>
        <w:t>17.</w:t>
      </w:r>
    </w:p>
    <w:p w:rsidRPr="00B72504" w:rsidR="00CA6118" w:rsidP="00B711DD" w:rsidRDefault="00CA6118" w14:paraId="0775D2EE" w14:textId="7860878F">
      <w:pPr>
        <w:pStyle w:val="Heading2"/>
      </w:pPr>
      <w:r w:rsidRPr="00B72504">
        <w:t>Cease and Desist Notice(s)</w:t>
      </w:r>
      <w:r>
        <w:t xml:space="preserve"> Issued</w:t>
      </w:r>
      <w:r w:rsidR="00DD2AE1">
        <w:br/>
      </w:r>
      <w:r>
        <w:t>Against Defendant 2023</w:t>
      </w:r>
      <w:r w:rsidR="00FD4103">
        <w:t xml:space="preserve"> for </w:t>
      </w:r>
      <w:r w:rsidRPr="00FD4103" w:rsidR="00FD4103">
        <w:t>C</w:t>
      </w:r>
      <w:r w:rsidR="008B6B0D">
        <w:t>ase</w:t>
      </w:r>
      <w:r w:rsidR="00604906">
        <w:t> </w:t>
      </w:r>
      <w:r w:rsidRPr="00FD4103" w:rsidR="00FD4103">
        <w:t>23</w:t>
      </w:r>
      <w:r w:rsidR="00A14C18">
        <w:noBreakHyphen/>
      </w:r>
      <w:r w:rsidRPr="00FD4103" w:rsidR="00FD4103">
        <w:t>0</w:t>
      </w:r>
      <w:r w:rsidR="00391154">
        <w:t>2</w:t>
      </w:r>
      <w:r w:rsidR="00A14C18">
        <w:noBreakHyphen/>
      </w:r>
      <w:r w:rsidRPr="00FD4103" w:rsidR="00FD4103">
        <w:t>009</w:t>
      </w:r>
    </w:p>
    <w:p w:rsidR="00CA6118" w:rsidP="00B711DD" w:rsidRDefault="00CA6118" w14:paraId="4E29B174" w14:textId="5CCEA19C">
      <w:pPr>
        <w:pStyle w:val="Standard"/>
      </w:pPr>
      <w:r>
        <w:t xml:space="preserve">On </w:t>
      </w:r>
      <w:r w:rsidR="009040F0">
        <w:t>February </w:t>
      </w:r>
      <w:r>
        <w:t>16, 2023, the assigned Assistant Chief Administrative Law Judge</w:t>
      </w:r>
      <w:r w:rsidR="00D1254E">
        <w:t>,</w:t>
      </w:r>
      <w:r>
        <w:t xml:space="preserve"> W.</w:t>
      </w:r>
      <w:r w:rsidR="00FC577E">
        <w:t> </w:t>
      </w:r>
      <w:r>
        <w:t>Anthony Colbert</w:t>
      </w:r>
      <w:r w:rsidR="00D1254E">
        <w:t>,</w:t>
      </w:r>
      <w:r>
        <w:t xml:space="preserve"> issued an email ruling to </w:t>
      </w:r>
      <w:r w:rsidR="00547F74">
        <w:t>Def</w:t>
      </w:r>
      <w:r>
        <w:t>endant to suspend all disconnection activity pending against Complainants during the pendency of th</w:t>
      </w:r>
      <w:r w:rsidR="00FA5B46">
        <w:t>at</w:t>
      </w:r>
      <w:r>
        <w:t xml:space="preserve"> litigation.  The assigned Administrative Law Judge (ALJ)</w:t>
      </w:r>
      <w:r w:rsidR="00D6474C">
        <w:t> </w:t>
      </w:r>
      <w:r>
        <w:t>Lena Afary codified the email</w:t>
      </w:r>
      <w:r w:rsidR="0046213F">
        <w:t xml:space="preserve"> ruling </w:t>
      </w:r>
      <w:r>
        <w:t xml:space="preserve">with a formal ruling issued on </w:t>
      </w:r>
      <w:r w:rsidR="009040F0">
        <w:t>March </w:t>
      </w:r>
      <w:r>
        <w:t>13, 2023.</w:t>
      </w:r>
    </w:p>
    <w:p w:rsidRPr="00130911" w:rsidR="00CA6118" w:rsidP="00CA6118" w:rsidRDefault="00CA6118" w14:paraId="30898370" w14:textId="54480AEB">
      <w:pPr>
        <w:pStyle w:val="Heading2"/>
      </w:pPr>
      <w:r w:rsidRPr="00130911">
        <w:t>Evidentiary Hearing(s) 2023</w:t>
      </w:r>
      <w:r w:rsidR="00F75A57">
        <w:br/>
      </w:r>
      <w:r w:rsidR="00FD4103">
        <w:t xml:space="preserve">for </w:t>
      </w:r>
      <w:r w:rsidR="00AD1C67">
        <w:t>Case </w:t>
      </w:r>
      <w:r w:rsidRPr="00FD4103" w:rsidR="00FD4103">
        <w:t>23</w:t>
      </w:r>
      <w:r w:rsidR="00A14C18">
        <w:noBreakHyphen/>
      </w:r>
      <w:r w:rsidRPr="00FD4103" w:rsidR="00FD4103">
        <w:t>0</w:t>
      </w:r>
      <w:r w:rsidR="00391154">
        <w:t>2</w:t>
      </w:r>
      <w:r w:rsidR="00A14C18">
        <w:noBreakHyphen/>
      </w:r>
      <w:r w:rsidRPr="00FD4103" w:rsidR="00FD4103">
        <w:t>009</w:t>
      </w:r>
    </w:p>
    <w:p w:rsidR="00CA6118" w:rsidP="00CA6118" w:rsidRDefault="00771EAE" w14:paraId="2684206D" w14:textId="08C49272">
      <w:pPr>
        <w:pStyle w:val="Standard"/>
      </w:pPr>
      <w:r>
        <w:t>That</w:t>
      </w:r>
      <w:r w:rsidR="00CA6118">
        <w:t xml:space="preserve"> matter </w:t>
      </w:r>
      <w:r>
        <w:t xml:space="preserve">first </w:t>
      </w:r>
      <w:r w:rsidR="00CA6118">
        <w:t xml:space="preserve">came for hearing on </w:t>
      </w:r>
      <w:r w:rsidR="009040F0">
        <w:t>May </w:t>
      </w:r>
      <w:r w:rsidR="00CA6118">
        <w:t>25, 2023</w:t>
      </w:r>
      <w:r>
        <w:t xml:space="preserve"> and</w:t>
      </w:r>
      <w:r w:rsidR="00CA6118">
        <w:t xml:space="preserve"> for supplemental hearing and testimony by Webex </w:t>
      </w:r>
      <w:r w:rsidR="00E14DE8">
        <w:t>on</w:t>
      </w:r>
      <w:r w:rsidR="00CA6118">
        <w:t xml:space="preserve"> </w:t>
      </w:r>
      <w:r w:rsidR="009040F0">
        <w:t>October </w:t>
      </w:r>
      <w:r w:rsidR="00CA6118">
        <w:t>20, 2023</w:t>
      </w:r>
      <w:r>
        <w:t xml:space="preserve"> and by supplemental testimony throughout the year</w:t>
      </w:r>
      <w:r w:rsidR="00FD4103">
        <w:t xml:space="preserve"> by email</w:t>
      </w:r>
      <w:r w:rsidR="00CA6118">
        <w:t>.</w:t>
      </w:r>
    </w:p>
    <w:p w:rsidRPr="00B72504" w:rsidR="00CA6118" w:rsidP="00CA6118" w:rsidRDefault="00CA6118" w14:paraId="35DCCD0A" w14:textId="44E4B39D">
      <w:pPr>
        <w:pStyle w:val="Heading2"/>
      </w:pPr>
      <w:r w:rsidRPr="00B72504">
        <w:t>Final Decision</w:t>
      </w:r>
      <w:r w:rsidR="006359BD">
        <w:t xml:space="preserve"> for </w:t>
      </w:r>
      <w:r w:rsidR="00AD1C67">
        <w:t>Case </w:t>
      </w:r>
      <w:r w:rsidRPr="006359BD" w:rsidR="006359BD">
        <w:t>23</w:t>
      </w:r>
      <w:r w:rsidR="00A14C18">
        <w:noBreakHyphen/>
      </w:r>
      <w:r w:rsidRPr="006359BD" w:rsidR="006359BD">
        <w:t>0</w:t>
      </w:r>
      <w:r w:rsidR="00391154">
        <w:t>2</w:t>
      </w:r>
      <w:r w:rsidR="00A14C18">
        <w:noBreakHyphen/>
      </w:r>
      <w:r w:rsidRPr="006359BD" w:rsidR="006359BD">
        <w:t>009</w:t>
      </w:r>
    </w:p>
    <w:p w:rsidR="00A402EC" w:rsidP="00FD4103" w:rsidRDefault="00CA6118" w14:paraId="53AFBEEF" w14:textId="7777B939">
      <w:pPr>
        <w:pStyle w:val="Standard"/>
      </w:pPr>
      <w:r>
        <w:t>Th</w:t>
      </w:r>
      <w:r w:rsidR="00262B67">
        <w:t>e</w:t>
      </w:r>
      <w:r>
        <w:t xml:space="preserve"> Decision in </w:t>
      </w:r>
      <w:r w:rsidRPr="00EB0AE9" w:rsidR="00EB0AE9">
        <w:t>C.23</w:t>
      </w:r>
      <w:r w:rsidR="00A14C18">
        <w:noBreakHyphen/>
      </w:r>
      <w:r w:rsidRPr="00EB0AE9" w:rsidR="00EB0AE9">
        <w:t>02</w:t>
      </w:r>
      <w:r w:rsidR="00A14C18">
        <w:noBreakHyphen/>
      </w:r>
      <w:r w:rsidRPr="00EB0AE9" w:rsidR="00EB0AE9">
        <w:t>009</w:t>
      </w:r>
      <w:r w:rsidR="00EB0AE9">
        <w:t xml:space="preserve"> </w:t>
      </w:r>
      <w:r>
        <w:t xml:space="preserve">was signed on </w:t>
      </w:r>
      <w:r w:rsidR="009040F0">
        <w:t>March </w:t>
      </w:r>
      <w:r>
        <w:t xml:space="preserve">21, 2024, and issued on </w:t>
      </w:r>
      <w:r w:rsidR="009040F0">
        <w:t>March </w:t>
      </w:r>
      <w:r>
        <w:t>25, 2024</w:t>
      </w:r>
      <w:r w:rsidR="00EB0AE9">
        <w:t>.</w:t>
      </w:r>
      <w:r>
        <w:rPr>
          <w:rStyle w:val="FootnoteReference"/>
        </w:rPr>
        <w:footnoteReference w:id="10"/>
      </w:r>
      <w:r w:rsidR="00EB0AE9">
        <w:t xml:space="preserve">  It </w:t>
      </w:r>
      <w:r>
        <w:t xml:space="preserve">required Complainants to resume payments to Havasu Water for their water consumption in lieu of paying </w:t>
      </w:r>
      <w:r w:rsidR="00000163">
        <w:t xml:space="preserve">to </w:t>
      </w:r>
      <w:r>
        <w:t>the California Public Utilities Commission (</w:t>
      </w:r>
      <w:r w:rsidR="00D36D6C">
        <w:t xml:space="preserve">Commission or </w:t>
      </w:r>
      <w:r>
        <w:t xml:space="preserve">CPUC) impound account.  The Decision </w:t>
      </w:r>
      <w:r w:rsidR="00EB0AE9">
        <w:t xml:space="preserve">also </w:t>
      </w:r>
      <w:r>
        <w:t>disbursed money in the</w:t>
      </w:r>
      <w:r w:rsidRPr="00CA6118">
        <w:t xml:space="preserve"> </w:t>
      </w:r>
      <w:r>
        <w:t>CPUC impound funds</w:t>
      </w:r>
      <w:r w:rsidR="00EB0AE9">
        <w:t xml:space="preserve"> to both parties in percentages</w:t>
      </w:r>
      <w:r w:rsidR="00771EAE">
        <w:t xml:space="preserve">.  </w:t>
      </w:r>
      <w:r>
        <w:t>Th</w:t>
      </w:r>
      <w:r w:rsidR="00771EAE">
        <w:t xml:space="preserve">at </w:t>
      </w:r>
      <w:r>
        <w:t xml:space="preserve">proceeding then closed and CPUC then returned </w:t>
      </w:r>
      <w:r w:rsidR="00771EAE">
        <w:t xml:space="preserve">outstanding </w:t>
      </w:r>
      <w:r>
        <w:t>checks</w:t>
      </w:r>
      <w:r w:rsidR="00FD4103">
        <w:t xml:space="preserve"> and disbursed</w:t>
      </w:r>
      <w:r w:rsidR="00EB0AE9">
        <w:t xml:space="preserve"> remaining</w:t>
      </w:r>
      <w:r w:rsidR="00FD4103">
        <w:t xml:space="preserve"> monies in impound accounts</w:t>
      </w:r>
      <w:r w:rsidR="00EB0AE9">
        <w:t xml:space="preserve"> to Defendant</w:t>
      </w:r>
      <w:r>
        <w:t>.</w:t>
      </w:r>
    </w:p>
    <w:p w:rsidRPr="00B72504" w:rsidR="00CA6118" w:rsidP="00CA6118" w:rsidRDefault="00CA6118" w14:paraId="35BBFB6D" w14:textId="026ABBB5">
      <w:pPr>
        <w:pStyle w:val="Heading2"/>
      </w:pPr>
      <w:r w:rsidRPr="00B72504">
        <w:t>Motion for Rehearin</w:t>
      </w:r>
      <w:r>
        <w:t xml:space="preserve">g </w:t>
      </w:r>
      <w:r w:rsidR="00FD4103">
        <w:t xml:space="preserve">for </w:t>
      </w:r>
      <w:r w:rsidR="00AD1C67">
        <w:t>Case </w:t>
      </w:r>
      <w:r w:rsidRPr="00FD4103" w:rsidR="00FD4103">
        <w:t>23</w:t>
      </w:r>
      <w:r w:rsidR="00A14C18">
        <w:noBreakHyphen/>
      </w:r>
      <w:r w:rsidRPr="00FD4103" w:rsidR="00FD4103">
        <w:t>0</w:t>
      </w:r>
      <w:r w:rsidR="00391154">
        <w:t>2</w:t>
      </w:r>
      <w:r w:rsidR="00A14C18">
        <w:noBreakHyphen/>
      </w:r>
      <w:r w:rsidRPr="00FD4103" w:rsidR="00FD4103">
        <w:t>009</w:t>
      </w:r>
    </w:p>
    <w:p w:rsidR="00A402EC" w:rsidP="00F61C1B" w:rsidRDefault="00CA6118" w14:paraId="6DC3800F" w14:textId="2CB84CBF">
      <w:pPr>
        <w:pStyle w:val="Standard"/>
      </w:pPr>
      <w:r>
        <w:t xml:space="preserve">On </w:t>
      </w:r>
      <w:r w:rsidR="009040F0">
        <w:t>April </w:t>
      </w:r>
      <w:r>
        <w:t xml:space="preserve">11, 2024, Defendant filed a </w:t>
      </w:r>
      <w:r w:rsidR="009040F0">
        <w:t>“</w:t>
      </w:r>
      <w:r>
        <w:t>motion for rehearing</w:t>
      </w:r>
      <w:r w:rsidR="00771EAE">
        <w:t>,</w:t>
      </w:r>
      <w:r w:rsidR="009040F0">
        <w:t>”</w:t>
      </w:r>
      <w:r>
        <w:t xml:space="preserve"> </w:t>
      </w:r>
      <w:r w:rsidR="00B04EB5">
        <w:t xml:space="preserve">which was adjudicated on </w:t>
      </w:r>
      <w:r w:rsidR="009040F0">
        <w:t>August </w:t>
      </w:r>
      <w:r w:rsidR="00B04EB5">
        <w:t xml:space="preserve">1, 2024.  </w:t>
      </w:r>
      <w:r w:rsidR="00507258">
        <w:t xml:space="preserve">An </w:t>
      </w:r>
      <w:r w:rsidR="00E8776F">
        <w:t xml:space="preserve">Order to Show Cause (OSC) </w:t>
      </w:r>
      <w:r w:rsidR="00D1254E">
        <w:t xml:space="preserve">was issued </w:t>
      </w:r>
      <w:r w:rsidR="00E8776F">
        <w:t xml:space="preserve">on </w:t>
      </w:r>
      <w:r w:rsidR="009040F0">
        <w:lastRenderedPageBreak/>
        <w:t>June </w:t>
      </w:r>
      <w:r w:rsidR="00E8776F">
        <w:t>27, 2024 for Defendant</w:t>
      </w:r>
      <w:r w:rsidR="009040F0">
        <w:t>’</w:t>
      </w:r>
      <w:r w:rsidR="00E8776F">
        <w:t xml:space="preserve">s alleged conduct in </w:t>
      </w:r>
      <w:r w:rsidR="00D1254E">
        <w:t>continuing to try</w:t>
      </w:r>
      <w:r w:rsidR="00E8776F">
        <w:t xml:space="preserve"> to collect the past bills</w:t>
      </w:r>
      <w:r w:rsidR="00EB0AE9">
        <w:t xml:space="preserve"> </w:t>
      </w:r>
      <w:r w:rsidR="00D1254E">
        <w:t>which the Commission had determined were not due.</w:t>
      </w:r>
      <w:r w:rsidR="00E8776F">
        <w:t xml:space="preserve">  </w:t>
      </w:r>
      <w:r w:rsidR="00CD69C6">
        <w:t>At the</w:t>
      </w:r>
      <w:r w:rsidR="00E8776F">
        <w:t xml:space="preserve"> </w:t>
      </w:r>
      <w:r w:rsidR="009040F0">
        <w:t>June </w:t>
      </w:r>
      <w:r w:rsidR="00E8776F">
        <w:t>27</w:t>
      </w:r>
      <w:r w:rsidR="002D0F0F">
        <w:t>,</w:t>
      </w:r>
      <w:r w:rsidR="00E8776F">
        <w:t xml:space="preserve"> 2024 OSC</w:t>
      </w:r>
      <w:r w:rsidR="00D1254E">
        <w:t xml:space="preserve"> hearing</w:t>
      </w:r>
      <w:r w:rsidR="002D0F0F">
        <w:t>,</w:t>
      </w:r>
      <w:r w:rsidR="00E8776F">
        <w:t xml:space="preserve"> Defendant, through Counsel, agreed to remove such charges and late fees from Complainant</w:t>
      </w:r>
      <w:r w:rsidR="009040F0">
        <w:t>’</w:t>
      </w:r>
      <w:r w:rsidR="00E8776F">
        <w:t>s bills pending determination of the Motion for Rehearing</w:t>
      </w:r>
      <w:r w:rsidR="00EB0AE9">
        <w:t>, and later did so</w:t>
      </w:r>
      <w:r w:rsidR="00E8776F">
        <w:t>.</w:t>
      </w:r>
    </w:p>
    <w:p w:rsidR="00A402EC" w:rsidP="008F0536" w:rsidRDefault="00B04EB5" w14:paraId="6A248002" w14:textId="3600167A">
      <w:pPr>
        <w:pStyle w:val="Standard"/>
      </w:pPr>
      <w:r>
        <w:t xml:space="preserve">In the </w:t>
      </w:r>
      <w:r w:rsidR="009040F0">
        <w:t>“</w:t>
      </w:r>
      <w:r>
        <w:t xml:space="preserve">Order Clarifying Certain Holdings of </w:t>
      </w:r>
      <w:r w:rsidR="00307347">
        <w:t>Decision </w:t>
      </w:r>
      <w:r>
        <w:t>24</w:t>
      </w:r>
      <w:r w:rsidR="00A14C18">
        <w:noBreakHyphen/>
      </w:r>
      <w:r>
        <w:t>03</w:t>
      </w:r>
      <w:r w:rsidR="00A14C18">
        <w:noBreakHyphen/>
      </w:r>
      <w:r>
        <w:t>053 and Denying Rehearing of the Decision</w:t>
      </w:r>
      <w:r w:rsidR="009040F0">
        <w:t>”</w:t>
      </w:r>
      <w:r>
        <w:t xml:space="preserve"> </w:t>
      </w:r>
      <w:r w:rsidR="00FD4103">
        <w:t>(Order Clarifying Decision</w:t>
      </w:r>
      <w:r w:rsidR="00D1254E">
        <w:t xml:space="preserve">, Rehearing </w:t>
      </w:r>
      <w:r w:rsidR="00284719">
        <w:t>Decision</w:t>
      </w:r>
      <w:r w:rsidR="00FD4103">
        <w:t xml:space="preserve">) </w:t>
      </w:r>
      <w:r>
        <w:t xml:space="preserve">the Commission carefully considered all the arguments presented by the rehearing applicant and did not find grounds for granting rehearing or oral argument. </w:t>
      </w:r>
      <w:r w:rsidR="00292192">
        <w:t xml:space="preserve"> </w:t>
      </w:r>
      <w:r>
        <w:t>The Commission did, however, clarify a portion of the Decision related to the readiness</w:t>
      </w:r>
      <w:r w:rsidR="00A14C18">
        <w:noBreakHyphen/>
      </w:r>
      <w:r>
        <w:t>to</w:t>
      </w:r>
      <w:r w:rsidR="00A14C18">
        <w:noBreakHyphen/>
      </w:r>
      <w:r>
        <w:t xml:space="preserve">serve charge. </w:t>
      </w:r>
      <w:r w:rsidR="00FD4103">
        <w:t xml:space="preserve"> </w:t>
      </w:r>
      <w:r w:rsidR="0044524A">
        <w:t>The readiness</w:t>
      </w:r>
      <w:r w:rsidR="00680987">
        <w:t xml:space="preserve"> </w:t>
      </w:r>
      <w:r w:rsidR="0044524A">
        <w:t>to</w:t>
      </w:r>
      <w:r w:rsidR="00680987">
        <w:t xml:space="preserve"> </w:t>
      </w:r>
      <w:r w:rsidR="0044524A">
        <w:t xml:space="preserve">serve fee is a flat service fee on each monthly bill.  </w:t>
      </w:r>
      <w:r w:rsidR="00F61C1B">
        <w:t xml:space="preserve">In short, the Commission determined that </w:t>
      </w:r>
      <w:r w:rsidR="009040F0">
        <w:t>“</w:t>
      </w:r>
      <w:r w:rsidR="00F61C1B">
        <w:t>the 56% reduction to Complainants</w:t>
      </w:r>
      <w:r w:rsidR="009040F0">
        <w:t>’</w:t>
      </w:r>
      <w:r w:rsidR="00F61C1B">
        <w:t xml:space="preserve"> water bill</w:t>
      </w:r>
      <w:r w:rsidR="006359BD">
        <w:t>s</w:t>
      </w:r>
      <w:r w:rsidR="00F61C1B">
        <w:t xml:space="preserve"> is not applicable to the readiness</w:t>
      </w:r>
      <w:r w:rsidR="00680987">
        <w:t xml:space="preserve"> </w:t>
      </w:r>
      <w:r w:rsidR="00F61C1B">
        <w:t>to</w:t>
      </w:r>
      <w:r w:rsidR="00680987">
        <w:t xml:space="preserve"> </w:t>
      </w:r>
      <w:r w:rsidR="00F61C1B">
        <w:t>serve fee</w:t>
      </w:r>
      <w:r w:rsidR="009040F0">
        <w:t>”</w:t>
      </w:r>
      <w:r w:rsidR="00F61C1B">
        <w:t xml:space="preserve"> in that matter</w:t>
      </w:r>
      <w:r w:rsidR="00FD4103">
        <w:t xml:space="preserve">, </w:t>
      </w:r>
      <w:r w:rsidRPr="00FD4103" w:rsidR="00FD4103">
        <w:t>C.23</w:t>
      </w:r>
      <w:r w:rsidR="00A14C18">
        <w:noBreakHyphen/>
      </w:r>
      <w:r w:rsidRPr="00FD4103" w:rsidR="00FD4103">
        <w:t>0</w:t>
      </w:r>
      <w:r w:rsidR="00146E37">
        <w:t>2</w:t>
      </w:r>
      <w:r w:rsidR="00A14C18">
        <w:noBreakHyphen/>
      </w:r>
      <w:r w:rsidRPr="00FD4103" w:rsidR="00FD4103">
        <w:t>009</w:t>
      </w:r>
      <w:r w:rsidR="00034819">
        <w:t xml:space="preserve">, noting, </w:t>
      </w:r>
      <w:r w:rsidR="009040F0">
        <w:t>“</w:t>
      </w:r>
      <w:r w:rsidR="00034819">
        <w:t>we clarify that our reduction of Complainants</w:t>
      </w:r>
      <w:r w:rsidR="009040F0">
        <w:t>’</w:t>
      </w:r>
      <w:r w:rsidR="00034819">
        <w:t xml:space="preserve"> water bills by 56% only applies to the metered charges and charges that are predicted on the metered rates, and</w:t>
      </w:r>
      <w:r w:rsidR="008F0536">
        <w:t xml:space="preserve"> </w:t>
      </w:r>
      <w:r w:rsidR="00034819">
        <w:t>not to the readiness</w:t>
      </w:r>
      <w:r w:rsidR="00680987">
        <w:t xml:space="preserve"> </w:t>
      </w:r>
      <w:r w:rsidR="00034819">
        <w:t>to</w:t>
      </w:r>
      <w:r w:rsidR="00680987">
        <w:t xml:space="preserve"> </w:t>
      </w:r>
      <w:r w:rsidR="00034819">
        <w:t>serve fee.</w:t>
      </w:r>
      <w:r w:rsidR="009040F0">
        <w:t>”</w:t>
      </w:r>
      <w:r w:rsidR="00034819">
        <w:rPr>
          <w:rStyle w:val="FootnoteReference"/>
        </w:rPr>
        <w:footnoteReference w:id="11"/>
      </w:r>
      <w:r w:rsidR="00E41993">
        <w:t xml:space="preserve"> </w:t>
      </w:r>
      <w:r w:rsidR="00F61C1B">
        <w:t xml:space="preserve"> </w:t>
      </w:r>
      <w:r w:rsidR="00EB0AE9">
        <w:t>Defendant then sought reimbursement for the remaining</w:t>
      </w:r>
      <w:r w:rsidR="00E14DE8">
        <w:t xml:space="preserve"> service</w:t>
      </w:r>
      <w:r w:rsidR="00EB0AE9">
        <w:t xml:space="preserve"> fees.</w:t>
      </w:r>
    </w:p>
    <w:p w:rsidR="00A402EC" w:rsidP="006359BD" w:rsidRDefault="0012363D" w14:paraId="76136485" w14:textId="183CA8CD">
      <w:pPr>
        <w:pStyle w:val="Heading1"/>
      </w:pPr>
      <w:r>
        <w:t>Discussion</w:t>
      </w:r>
    </w:p>
    <w:p w:rsidRPr="0012363D" w:rsidR="0012363D" w:rsidP="0012363D" w:rsidRDefault="0012363D" w14:paraId="110FF926" w14:textId="3AE7F0AA">
      <w:pPr>
        <w:pStyle w:val="Heading2"/>
      </w:pPr>
      <w:r>
        <w:t>Complainant</w:t>
      </w:r>
      <w:r w:rsidR="009040F0">
        <w:t>’</w:t>
      </w:r>
      <w:r w:rsidR="00FE2E98">
        <w:t>s</w:t>
      </w:r>
      <w:r>
        <w:t xml:space="preserve"> Contentions</w:t>
      </w:r>
      <w:r w:rsidR="00717390">
        <w:br/>
      </w:r>
      <w:r w:rsidR="00CA53D0">
        <w:t xml:space="preserve">in </w:t>
      </w:r>
      <w:r w:rsidR="00AD1C67">
        <w:t>Case </w:t>
      </w:r>
      <w:r w:rsidRPr="00CA53D0" w:rsidR="00CA53D0">
        <w:t>24</w:t>
      </w:r>
      <w:r w:rsidR="00A14C18">
        <w:noBreakHyphen/>
      </w:r>
      <w:r w:rsidRPr="00CA53D0" w:rsidR="00CA53D0">
        <w:t>10</w:t>
      </w:r>
      <w:r w:rsidR="00A14C18">
        <w:noBreakHyphen/>
      </w:r>
      <w:r w:rsidRPr="00CA53D0" w:rsidR="00CA53D0">
        <w:t>01</w:t>
      </w:r>
      <w:r w:rsidR="00FE2E98">
        <w:t>7</w:t>
      </w:r>
    </w:p>
    <w:p w:rsidR="00A402EC" w:rsidP="00FE2E98" w:rsidRDefault="00146E37" w14:paraId="7AEBE079" w14:textId="5C927135">
      <w:pPr>
        <w:pStyle w:val="Standard"/>
      </w:pPr>
      <w:r>
        <w:t>Complainant</w:t>
      </w:r>
      <w:r w:rsidR="00E8776F">
        <w:t xml:space="preserve"> filed the instant action on or about Friday </w:t>
      </w:r>
      <w:r w:rsidR="009040F0">
        <w:t>October </w:t>
      </w:r>
      <w:r w:rsidR="00E8776F">
        <w:t>2</w:t>
      </w:r>
      <w:r w:rsidR="00FE2E98">
        <w:t>8</w:t>
      </w:r>
      <w:r w:rsidR="00E8776F">
        <w:t>, 2024</w:t>
      </w:r>
      <w:r w:rsidR="00FE2E98">
        <w:t xml:space="preserve">, and an Amended Complaint on </w:t>
      </w:r>
      <w:r w:rsidR="009040F0">
        <w:t>October </w:t>
      </w:r>
      <w:r w:rsidR="00FE2E98">
        <w:t>29, 2024</w:t>
      </w:r>
      <w:r w:rsidR="00E8776F">
        <w:t xml:space="preserve"> alleging Havasu Water has improperly calculated the readiness to serve flat service fee in their past monthly bills with respect to the Order Clarifying Decision</w:t>
      </w:r>
      <w:r w:rsidR="005F7191">
        <w:t> </w:t>
      </w:r>
      <w:r w:rsidRPr="00034819" w:rsidR="00034819">
        <w:t>24</w:t>
      </w:r>
      <w:r w:rsidR="00A14C18">
        <w:noBreakHyphen/>
      </w:r>
      <w:r w:rsidRPr="00034819" w:rsidR="00034819">
        <w:t>08</w:t>
      </w:r>
      <w:r w:rsidR="00A14C18">
        <w:noBreakHyphen/>
      </w:r>
      <w:r w:rsidRPr="00034819" w:rsidR="00034819">
        <w:t>022</w:t>
      </w:r>
      <w:r w:rsidR="00034819">
        <w:t xml:space="preserve"> in the underlying matter, </w:t>
      </w:r>
      <w:r w:rsidRPr="00FD4103">
        <w:t>C.23</w:t>
      </w:r>
      <w:r w:rsidR="00A14C18">
        <w:noBreakHyphen/>
      </w:r>
      <w:r w:rsidRPr="00FD4103">
        <w:t>0</w:t>
      </w:r>
      <w:r>
        <w:t>2</w:t>
      </w:r>
      <w:r w:rsidR="00A14C18">
        <w:noBreakHyphen/>
      </w:r>
      <w:r w:rsidRPr="00FD4103">
        <w:t>009</w:t>
      </w:r>
      <w:r w:rsidR="00680987">
        <w:t>,</w:t>
      </w:r>
      <w:r>
        <w:t xml:space="preserve"> arguing that </w:t>
      </w:r>
      <w:r w:rsidR="00C460CF">
        <w:t xml:space="preserve">it is alternatively not applicable having been </w:t>
      </w:r>
      <w:r w:rsidR="00C460CF">
        <w:lastRenderedPageBreak/>
        <w:t xml:space="preserve">paid, that </w:t>
      </w:r>
      <w:r>
        <w:t>it too should have been reduced as calculated in the original and earlier Decisions</w:t>
      </w:r>
      <w:r w:rsidR="00357035">
        <w:t>, and finally that if Complainant owe</w:t>
      </w:r>
      <w:r w:rsidR="00FE2E98">
        <w:t>s</w:t>
      </w:r>
      <w:r w:rsidR="00357035">
        <w:t xml:space="preserve"> anything it is only the remaining 44% of the 56%/44% split of the earlier decision (having paid the original 56%)</w:t>
      </w:r>
      <w:r w:rsidR="00E8776F">
        <w:t xml:space="preserve">.  </w:t>
      </w:r>
      <w:r w:rsidR="00357035">
        <w:t xml:space="preserve">Complainant further </w:t>
      </w:r>
      <w:r w:rsidR="00E8776F">
        <w:t>allege</w:t>
      </w:r>
      <w:r w:rsidR="00FE2E98">
        <w:t>s</w:t>
      </w:r>
      <w:r w:rsidR="00E8776F">
        <w:t xml:space="preserve"> Defendant told </w:t>
      </w:r>
      <w:r w:rsidR="00FE2E98">
        <w:t>her</w:t>
      </w:r>
      <w:r w:rsidR="00E8776F">
        <w:t xml:space="preserve"> they will shut off their water for failure to pay th</w:t>
      </w:r>
      <w:r w:rsidR="009E1EED">
        <w:t>at</w:t>
      </w:r>
      <w:r w:rsidR="00E8776F">
        <w:t xml:space="preserve"> full amount</w:t>
      </w:r>
      <w:r w:rsidR="00FE2E98">
        <w:t xml:space="preserve"> in dispute</w:t>
      </w:r>
      <w:r w:rsidR="00E8776F">
        <w:t>.</w:t>
      </w:r>
    </w:p>
    <w:p w:rsidR="00EB0AE9" w:rsidP="00EB0AE9" w:rsidRDefault="00EB0AE9" w14:paraId="5346AB7C" w14:textId="3CABC9E6">
      <w:pPr>
        <w:pStyle w:val="Heading2"/>
      </w:pPr>
      <w:r>
        <w:t>Second Cease and Desist</w:t>
      </w:r>
      <w:r w:rsidR="00A16870">
        <w:br/>
        <w:t>f</w:t>
      </w:r>
      <w:r>
        <w:t xml:space="preserve">or </w:t>
      </w:r>
      <w:r w:rsidR="00AD1C67">
        <w:t>Case </w:t>
      </w:r>
      <w:r w:rsidRPr="00EB0AE9">
        <w:t>24</w:t>
      </w:r>
      <w:r w:rsidR="00A14C18">
        <w:noBreakHyphen/>
      </w:r>
      <w:r w:rsidRPr="00EB0AE9">
        <w:t>10</w:t>
      </w:r>
      <w:r w:rsidR="00A14C18">
        <w:noBreakHyphen/>
      </w:r>
      <w:r w:rsidRPr="00EB0AE9">
        <w:t>01</w:t>
      </w:r>
      <w:r w:rsidR="00FE2E98">
        <w:t>7</w:t>
      </w:r>
      <w:r w:rsidR="00FE2E98">
        <w:rPr>
          <w:rStyle w:val="FootnoteReference"/>
        </w:rPr>
        <w:footnoteReference w:id="12"/>
      </w:r>
    </w:p>
    <w:p w:rsidR="00A402EC" w:rsidP="00927D81" w:rsidRDefault="00F77E16" w14:paraId="31A39611" w14:textId="74B7D6D2">
      <w:pPr>
        <w:pStyle w:val="Standard"/>
      </w:pPr>
      <w:r>
        <w:t xml:space="preserve">On </w:t>
      </w:r>
      <w:r w:rsidR="009040F0">
        <w:t>October </w:t>
      </w:r>
      <w:r>
        <w:t xml:space="preserve">30, 2024, </w:t>
      </w:r>
      <w:r w:rsidR="00FC577E">
        <w:t>t</w:t>
      </w:r>
      <w:r>
        <w:t>he ALJ assigned to this matter issued a Cease</w:t>
      </w:r>
      <w:r w:rsidR="00680987">
        <w:t xml:space="preserve"> </w:t>
      </w:r>
      <w:r>
        <w:t>and</w:t>
      </w:r>
      <w:r w:rsidR="00680987">
        <w:t xml:space="preserve"> </w:t>
      </w:r>
      <w:r>
        <w:t xml:space="preserve">Desist notice, ordering </w:t>
      </w:r>
      <w:r w:rsidR="009040F0">
        <w:t>“</w:t>
      </w:r>
      <w:r w:rsidR="00927D81">
        <w:t>Defendant Havasu Water is Ordered to Cease and Desist all collections or attempted collections for bills addressed in the instant matter, C.24</w:t>
      </w:r>
      <w:r w:rsidR="00A14C18">
        <w:noBreakHyphen/>
      </w:r>
      <w:r w:rsidR="00927D81">
        <w:t>10</w:t>
      </w:r>
      <w:r w:rsidR="00A14C18">
        <w:noBreakHyphen/>
      </w:r>
      <w:r w:rsidR="00927D81">
        <w:t>017, and keep the water on, pending final adjudication</w:t>
      </w:r>
      <w:r w:rsidR="007B045F">
        <w:t>.</w:t>
      </w:r>
      <w:r w:rsidR="009040F0">
        <w:t>”</w:t>
      </w:r>
      <w:r w:rsidR="007B045F">
        <w:rPr>
          <w:rStyle w:val="FootnoteReference"/>
        </w:rPr>
        <w:footnoteReference w:id="13"/>
      </w:r>
      <w:r>
        <w:t xml:space="preserve"> </w:t>
      </w:r>
      <w:r w:rsidR="00E41993">
        <w:t xml:space="preserve"> </w:t>
      </w:r>
      <w:r>
        <w:t>That order is still in effect.</w:t>
      </w:r>
    </w:p>
    <w:p w:rsidR="00A402EC" w:rsidP="0012363D" w:rsidRDefault="0012363D" w14:paraId="5DC52F7E" w14:textId="32155421">
      <w:pPr>
        <w:pStyle w:val="Heading2"/>
      </w:pPr>
      <w:r>
        <w:t>Defendant</w:t>
      </w:r>
      <w:r w:rsidR="009040F0">
        <w:t>’</w:t>
      </w:r>
      <w:r>
        <w:t>s Contentions</w:t>
      </w:r>
      <w:r w:rsidR="00CA53D0">
        <w:t xml:space="preserve"> in </w:t>
      </w:r>
      <w:r w:rsidR="00AD1C67">
        <w:t>Case </w:t>
      </w:r>
      <w:r w:rsidRPr="00CA53D0" w:rsidR="00CA53D0">
        <w:t>24</w:t>
      </w:r>
      <w:r w:rsidR="00A14C18">
        <w:noBreakHyphen/>
      </w:r>
      <w:r w:rsidRPr="00CA53D0" w:rsidR="00CA53D0">
        <w:t>10</w:t>
      </w:r>
      <w:r w:rsidR="00A14C18">
        <w:noBreakHyphen/>
      </w:r>
      <w:r w:rsidRPr="00CA53D0" w:rsidR="00CA53D0">
        <w:t>01</w:t>
      </w:r>
      <w:r w:rsidR="00E235AD">
        <w:t>7</w:t>
      </w:r>
    </w:p>
    <w:p w:rsidR="00A402EC" w:rsidP="009E1EED" w:rsidRDefault="00762F76" w14:paraId="70E3A3D7" w14:textId="1A7EBB0B">
      <w:pPr>
        <w:pStyle w:val="Standard"/>
      </w:pPr>
      <w:r>
        <w:t xml:space="preserve">On </w:t>
      </w:r>
      <w:r w:rsidR="009040F0">
        <w:t>December </w:t>
      </w:r>
      <w:r w:rsidR="00E235AD">
        <w:t>3</w:t>
      </w:r>
      <w:r>
        <w:t>, 2024</w:t>
      </w:r>
      <w:r w:rsidR="00167ABD">
        <w:t>,</w:t>
      </w:r>
      <w:r>
        <w:t xml:space="preserve"> Defendant late filed their Answer.  In that Answer </w:t>
      </w:r>
      <w:r w:rsidR="00C460CF">
        <w:t xml:space="preserve">Defendant rejects </w:t>
      </w:r>
      <w:r>
        <w:t>Complainant</w:t>
      </w:r>
      <w:r w:rsidR="009040F0">
        <w:t>’</w:t>
      </w:r>
      <w:r>
        <w:t>s</w:t>
      </w:r>
      <w:r w:rsidR="00C460CF">
        <w:t xml:space="preserve"> assessment </w:t>
      </w:r>
      <w:r>
        <w:t>of a</w:t>
      </w:r>
      <w:r w:rsidR="00F33742">
        <w:t>n</w:t>
      </w:r>
      <w:r>
        <w:t xml:space="preserve"> applicable reduction in the ready</w:t>
      </w:r>
      <w:r w:rsidR="00956A8A">
        <w:t xml:space="preserve"> </w:t>
      </w:r>
      <w:r>
        <w:t>to</w:t>
      </w:r>
      <w:r w:rsidR="00956A8A">
        <w:t xml:space="preserve"> </w:t>
      </w:r>
      <w:r>
        <w:t xml:space="preserve">serve fees, </w:t>
      </w:r>
      <w:r w:rsidR="00C460CF">
        <w:t xml:space="preserve">citing </w:t>
      </w:r>
      <w:r w:rsidR="005F7191">
        <w:t>D.</w:t>
      </w:r>
      <w:r w:rsidRPr="00034819" w:rsidR="00C460CF">
        <w:t>24</w:t>
      </w:r>
      <w:r w:rsidR="00A14C18">
        <w:noBreakHyphen/>
      </w:r>
      <w:r w:rsidRPr="00034819" w:rsidR="00C460CF">
        <w:t>08</w:t>
      </w:r>
      <w:r w:rsidR="00A14C18">
        <w:noBreakHyphen/>
      </w:r>
      <w:r w:rsidRPr="00034819" w:rsidR="00C460CF">
        <w:t>022</w:t>
      </w:r>
      <w:r w:rsidR="00C460CF">
        <w:t xml:space="preserve">.  </w:t>
      </w:r>
      <w:r>
        <w:t>Defendant maintains they are entitled to the remaining 44% of the ready</w:t>
      </w:r>
      <w:r w:rsidR="00956A8A">
        <w:t xml:space="preserve"> </w:t>
      </w:r>
      <w:r>
        <w:t>to</w:t>
      </w:r>
      <w:r w:rsidR="00956A8A">
        <w:t xml:space="preserve"> </w:t>
      </w:r>
      <w:r>
        <w:t>serve fees for 2022 through 2023 and for late penalties, charges, and compounded fees stemming from Complainants</w:t>
      </w:r>
      <w:r w:rsidR="009040F0">
        <w:t>’</w:t>
      </w:r>
      <w:r>
        <w:t xml:space="preserve"> failure to pay during this time period and throughout the pendency of this suit.</w:t>
      </w:r>
    </w:p>
    <w:p w:rsidR="00A402EC" w:rsidP="00C460CF" w:rsidRDefault="00F95D18" w14:paraId="59CAEA31" w14:textId="32CA9A51">
      <w:pPr>
        <w:pStyle w:val="Heading2"/>
      </w:pPr>
      <w:r>
        <w:lastRenderedPageBreak/>
        <w:t xml:space="preserve">Evidentiary Hearing of </w:t>
      </w:r>
      <w:r w:rsidR="009040F0">
        <w:t>December </w:t>
      </w:r>
      <w:r>
        <w:t>10, 2024</w:t>
      </w:r>
      <w:r w:rsidR="00B82C40">
        <w:br/>
      </w:r>
      <w:r>
        <w:t xml:space="preserve">for </w:t>
      </w:r>
      <w:r w:rsidR="00AD1C67">
        <w:t>Case </w:t>
      </w:r>
      <w:r w:rsidRPr="006359BD">
        <w:t>24</w:t>
      </w:r>
      <w:r w:rsidR="00A14C18">
        <w:noBreakHyphen/>
      </w:r>
      <w:r>
        <w:t>1</w:t>
      </w:r>
      <w:r w:rsidRPr="006359BD">
        <w:t>0</w:t>
      </w:r>
      <w:r w:rsidR="00A14C18">
        <w:noBreakHyphen/>
      </w:r>
      <w:r w:rsidRPr="006359BD">
        <w:t>016</w:t>
      </w:r>
      <w:r w:rsidR="00E235AD">
        <w:t xml:space="preserve"> and</w:t>
      </w:r>
      <w:r w:rsidR="00356AC8">
        <w:br/>
      </w:r>
      <w:r w:rsidR="00AD1C67">
        <w:t>Case </w:t>
      </w:r>
      <w:r w:rsidR="00E235AD">
        <w:t>24</w:t>
      </w:r>
      <w:r w:rsidR="00A14C18">
        <w:noBreakHyphen/>
      </w:r>
      <w:r w:rsidR="00E235AD">
        <w:t>10</w:t>
      </w:r>
      <w:r w:rsidR="00A14C18">
        <w:noBreakHyphen/>
      </w:r>
      <w:r w:rsidR="00E235AD">
        <w:t>017</w:t>
      </w:r>
      <w:r w:rsidR="00356AC8">
        <w:t xml:space="preserve"> </w:t>
      </w:r>
      <w:r w:rsidR="00E235AD">
        <w:t>Combined</w:t>
      </w:r>
    </w:p>
    <w:p w:rsidR="00A402EC" w:rsidP="00A070D1" w:rsidRDefault="00F95D18" w14:paraId="58C8EA3C" w14:textId="52C51148">
      <w:pPr>
        <w:pStyle w:val="Standard"/>
      </w:pPr>
      <w:r>
        <w:t xml:space="preserve">This matter came before the </w:t>
      </w:r>
      <w:r w:rsidR="00D1254E">
        <w:t xml:space="preserve">assigned </w:t>
      </w:r>
      <w:r>
        <w:t xml:space="preserve">ALJ for evidentiary hearing on </w:t>
      </w:r>
      <w:r w:rsidR="009040F0">
        <w:t>December </w:t>
      </w:r>
      <w:r>
        <w:t>10, 2024.  Parties</w:t>
      </w:r>
      <w:r w:rsidR="004653A8">
        <w:rPr>
          <w:rStyle w:val="FootnoteReference"/>
        </w:rPr>
        <w:footnoteReference w:id="14"/>
      </w:r>
      <w:r>
        <w:t xml:space="preserve"> appeared remotely by </w:t>
      </w:r>
      <w:r w:rsidR="00AD1C67">
        <w:t>Webex</w:t>
      </w:r>
      <w:r>
        <w:t xml:space="preserve"> audio.</w:t>
      </w:r>
      <w:r>
        <w:rPr>
          <w:rStyle w:val="FootnoteReference"/>
        </w:rPr>
        <w:footnoteReference w:id="15"/>
      </w:r>
      <w:r w:rsidR="00FA5B46">
        <w:t xml:space="preserve">  </w:t>
      </w:r>
      <w:r w:rsidR="009E1EED">
        <w:t xml:space="preserve">On that date, </w:t>
      </w:r>
      <w:r w:rsidR="00547F74">
        <w:t>C</w:t>
      </w:r>
      <w:r w:rsidR="009E1EED">
        <w:t xml:space="preserve">omplainant raised </w:t>
      </w:r>
      <w:r w:rsidR="00E235AD">
        <w:t>he</w:t>
      </w:r>
      <w:r w:rsidR="009E1EED">
        <w:t>r concerns that Defendant</w:t>
      </w:r>
      <w:r w:rsidR="00D6560E">
        <w:t>,</w:t>
      </w:r>
      <w:r w:rsidR="009E1EED">
        <w:t xml:space="preserve"> through </w:t>
      </w:r>
      <w:r w:rsidR="00890BC2">
        <w:t>Chief Executive Officer (</w:t>
      </w:r>
      <w:r w:rsidR="009E1EED">
        <w:t>CEO</w:t>
      </w:r>
      <w:r w:rsidR="00890BC2">
        <w:t>)</w:t>
      </w:r>
      <w:r w:rsidR="009E1EED">
        <w:t xml:space="preserve"> Jennifer Hodges</w:t>
      </w:r>
      <w:r w:rsidR="00D6560E">
        <w:t>,</w:t>
      </w:r>
      <w:r w:rsidR="009E1EED">
        <w:t xml:space="preserve"> again improperly billed </w:t>
      </w:r>
      <w:r w:rsidR="00E235AD">
        <w:t>her</w:t>
      </w:r>
      <w:r w:rsidR="009E1EED">
        <w:t xml:space="preserve"> for the water shortages of 2022 through 2023.</w:t>
      </w:r>
    </w:p>
    <w:p w:rsidR="00A402EC" w:rsidP="00ED339D" w:rsidRDefault="009E1EED" w14:paraId="52F7DB83" w14:textId="73AAD529">
      <w:pPr>
        <w:pStyle w:val="Standard"/>
      </w:pPr>
      <w:r>
        <w:t xml:space="preserve">The </w:t>
      </w:r>
      <w:r w:rsidR="009E057D">
        <w:t xml:space="preserve">assigned </w:t>
      </w:r>
      <w:r>
        <w:t>ALJ explained the Commission</w:t>
      </w:r>
      <w:r w:rsidR="009040F0">
        <w:t>’</w:t>
      </w:r>
      <w:r>
        <w:t xml:space="preserve">s decision in </w:t>
      </w:r>
      <w:r w:rsidR="005F7191">
        <w:t>D.</w:t>
      </w:r>
      <w:r w:rsidRPr="00034819">
        <w:t>24</w:t>
      </w:r>
      <w:r w:rsidR="00A14C18">
        <w:noBreakHyphen/>
      </w:r>
      <w:r w:rsidRPr="00034819">
        <w:t>08</w:t>
      </w:r>
      <w:r w:rsidR="00A14C18">
        <w:noBreakHyphen/>
      </w:r>
      <w:r w:rsidRPr="00034819">
        <w:t>022</w:t>
      </w:r>
      <w:r>
        <w:t xml:space="preserve"> and specifically that the Commission determined the </w:t>
      </w:r>
      <w:r w:rsidR="00720522">
        <w:t>ready</w:t>
      </w:r>
      <w:r w:rsidR="00956A8A">
        <w:t xml:space="preserve"> </w:t>
      </w:r>
      <w:r w:rsidR="00720522">
        <w:t>to</w:t>
      </w:r>
      <w:r w:rsidR="00956A8A">
        <w:t xml:space="preserve"> </w:t>
      </w:r>
      <w:r w:rsidR="00720522">
        <w:t>serve</w:t>
      </w:r>
      <w:r>
        <w:t xml:space="preserve"> fees of $86.78</w:t>
      </w:r>
      <w:r w:rsidR="00E235AD">
        <w:rPr>
          <w:rStyle w:val="FootnoteReference"/>
        </w:rPr>
        <w:footnoteReference w:id="16"/>
      </w:r>
      <w:r w:rsidR="00E14DE8">
        <w:t xml:space="preserve"> per month</w:t>
      </w:r>
      <w:r>
        <w:t xml:space="preserve"> calculated over the months</w:t>
      </w:r>
      <w:r w:rsidR="00720522">
        <w:t xml:space="preserve"> of 2022 through 2023</w:t>
      </w:r>
      <w:r>
        <w:t xml:space="preserve"> </w:t>
      </w:r>
      <w:r w:rsidR="00720522">
        <w:t>were</w:t>
      </w:r>
      <w:r>
        <w:t xml:space="preserve"> nonnegotiable fee</w:t>
      </w:r>
      <w:r w:rsidR="00720522">
        <w:t>s</w:t>
      </w:r>
      <w:r>
        <w:t xml:space="preserve"> that could not be reduced.  </w:t>
      </w:r>
      <w:r w:rsidR="00E235AD">
        <w:t xml:space="preserve">Complainant was to </w:t>
      </w:r>
      <w:r w:rsidR="00720522">
        <w:t xml:space="preserve">pay them in full.  The </w:t>
      </w:r>
      <w:r w:rsidR="009E057D">
        <w:t xml:space="preserve">assigned </w:t>
      </w:r>
      <w:r w:rsidR="00720522">
        <w:t>ALJ advised</w:t>
      </w:r>
      <w:r w:rsidR="00ED339D">
        <w:rPr>
          <w:rStyle w:val="FootnoteReference"/>
        </w:rPr>
        <w:footnoteReference w:id="17"/>
      </w:r>
      <w:r w:rsidR="00720522">
        <w:t xml:space="preserve"> the</w:t>
      </w:r>
      <w:r w:rsidR="004F26EB">
        <w:t xml:space="preserve"> Parties that the</w:t>
      </w:r>
      <w:r w:rsidR="00720522">
        <w:t xml:space="preserve"> Commission </w:t>
      </w:r>
      <w:r w:rsidR="00C460CF">
        <w:t xml:space="preserve">has authority to </w:t>
      </w:r>
      <w:r w:rsidR="00720522">
        <w:t xml:space="preserve">vacate and expunge all other accompanying late fees, penalties, and compounded </w:t>
      </w:r>
      <w:r w:rsidR="00A070D1">
        <w:t xml:space="preserve">interest. </w:t>
      </w:r>
      <w:r w:rsidR="00ED339D">
        <w:t xml:space="preserve"> At this point, we take opportunity to discuss what </w:t>
      </w:r>
      <w:r w:rsidR="009040F0">
        <w:t>“</w:t>
      </w:r>
      <w:r w:rsidR="00ED339D">
        <w:t>in full</w:t>
      </w:r>
      <w:r w:rsidR="009040F0">
        <w:t>”</w:t>
      </w:r>
      <w:r w:rsidR="00ED339D">
        <w:t xml:space="preserve"> means.</w:t>
      </w:r>
    </w:p>
    <w:p w:rsidR="00604906" w:rsidP="00AB6FF1" w:rsidRDefault="00DD37A5" w14:paraId="752481B2" w14:textId="77777777">
      <w:pPr>
        <w:pStyle w:val="Heading1"/>
      </w:pPr>
      <w:r>
        <w:lastRenderedPageBreak/>
        <w:t>Analysis</w:t>
      </w:r>
    </w:p>
    <w:p w:rsidR="00F02066" w:rsidP="009841CE" w:rsidRDefault="000546CB" w14:paraId="53582F16" w14:textId="674AB005">
      <w:pPr>
        <w:pStyle w:val="Standard"/>
      </w:pPr>
      <w:r>
        <w:t>C.</w:t>
      </w:r>
      <w:r w:rsidRPr="00693A61" w:rsidR="00653349">
        <w:t>24</w:t>
      </w:r>
      <w:r w:rsidR="00A14C18">
        <w:noBreakHyphen/>
      </w:r>
      <w:r w:rsidRPr="00693A61" w:rsidR="00653349">
        <w:t>10</w:t>
      </w:r>
      <w:r w:rsidR="00A14C18">
        <w:noBreakHyphen/>
      </w:r>
      <w:r w:rsidRPr="00693A61" w:rsidR="00653349">
        <w:t>01</w:t>
      </w:r>
      <w:r w:rsidR="007863F7">
        <w:t>7</w:t>
      </w:r>
      <w:r w:rsidR="00653349">
        <w:t xml:space="preserve"> is now ready for final decision.  </w:t>
      </w:r>
      <w:r w:rsidRPr="00E575AE" w:rsidR="00E575AE">
        <w:t xml:space="preserve">The Parties agree that Defendant billed </w:t>
      </w:r>
      <w:r w:rsidRPr="00541117" w:rsidR="00E575AE">
        <w:t>Complainant $</w:t>
      </w:r>
      <w:r w:rsidRPr="00541117" w:rsidR="00541117">
        <w:t>955.06</w:t>
      </w:r>
      <w:r w:rsidRPr="00541117" w:rsidR="00E575AE">
        <w:t xml:space="preserve"> through </w:t>
      </w:r>
      <w:r w:rsidR="009040F0">
        <w:t>September </w:t>
      </w:r>
      <w:r w:rsidRPr="00541117" w:rsidR="00541117">
        <w:t>25, 2</w:t>
      </w:r>
      <w:r w:rsidRPr="00541117" w:rsidR="00E575AE">
        <w:t>024</w:t>
      </w:r>
      <w:r w:rsidRPr="00E575AE" w:rsidR="00E575AE">
        <w:t>.</w:t>
      </w:r>
      <w:r w:rsidR="00D54AAA">
        <w:rPr>
          <w:rStyle w:val="FootnoteReference"/>
        </w:rPr>
        <w:footnoteReference w:id="18"/>
      </w:r>
      <w:r w:rsidRPr="00E575AE" w:rsidR="00E575AE">
        <w:t xml:space="preserve">  </w:t>
      </w:r>
      <w:r w:rsidR="00A07464">
        <w:t xml:space="preserve">At issue is whether that is the correct amount, or </w:t>
      </w:r>
      <w:r w:rsidR="009B5F8C">
        <w:t xml:space="preserve">whether the correct bill amount is </w:t>
      </w:r>
      <w:r w:rsidR="00A07464">
        <w:t>something lower.</w:t>
      </w:r>
    </w:p>
    <w:p w:rsidR="00A402EC" w:rsidP="00F02066" w:rsidRDefault="00F02066" w14:paraId="7FB9FD83" w14:textId="5F431F5F">
      <w:pPr>
        <w:pStyle w:val="Heading2"/>
      </w:pPr>
      <w:r>
        <w:t>Complainants</w:t>
      </w:r>
      <w:r w:rsidR="009040F0">
        <w:t>’</w:t>
      </w:r>
      <w:r>
        <w:t xml:space="preserve"> Contentions</w:t>
      </w:r>
    </w:p>
    <w:p w:rsidR="00A402EC" w:rsidP="009841CE" w:rsidRDefault="00F02066" w14:paraId="3AF9F03A" w14:textId="68116E1B">
      <w:pPr>
        <w:pStyle w:val="Standard"/>
      </w:pPr>
      <w:r>
        <w:t>Complainant alleges Defendant improperly calculated the payments and reduction</w:t>
      </w:r>
      <w:r w:rsidR="00541117">
        <w:t>.  Complainant maintains she owes</w:t>
      </w:r>
      <w:r w:rsidR="00A07464">
        <w:t xml:space="preserve"> less, something closer to</w:t>
      </w:r>
      <w:r w:rsidR="00541117">
        <w:t xml:space="preserve"> </w:t>
      </w:r>
      <w:r>
        <w:t>$583.20</w:t>
      </w:r>
      <w:r w:rsidR="00A07464">
        <w:rPr>
          <w:rStyle w:val="FootnoteReference"/>
        </w:rPr>
        <w:footnoteReference w:id="19"/>
      </w:r>
      <w:r w:rsidR="00357035">
        <w:t xml:space="preserve"> </w:t>
      </w:r>
      <w:r w:rsidR="00A07464">
        <w:t>(</w:t>
      </w:r>
      <w:r w:rsidR="00357035">
        <w:t xml:space="preserve">having already paid </w:t>
      </w:r>
      <w:r w:rsidR="00A07464">
        <w:t>a portion of the service fee</w:t>
      </w:r>
      <w:r w:rsidR="00541117">
        <w:t xml:space="preserve"> as adjudicated in the original decision</w:t>
      </w:r>
      <w:r w:rsidR="00357035">
        <w:t>)</w:t>
      </w:r>
      <w:r w:rsidR="00541117">
        <w:t xml:space="preserve"> and does not owe the remaining in late fees, penalties, and calculations resulting in the bill of $955.06</w:t>
      </w:r>
      <w:r>
        <w:t>.</w:t>
      </w:r>
      <w:r>
        <w:rPr>
          <w:rStyle w:val="FootnoteReference"/>
        </w:rPr>
        <w:footnoteReference w:id="20"/>
      </w:r>
    </w:p>
    <w:p w:rsidR="00A402EC" w:rsidP="00F02066" w:rsidRDefault="00F02066" w14:paraId="291886F1" w14:textId="77F61362">
      <w:pPr>
        <w:pStyle w:val="Heading2"/>
      </w:pPr>
      <w:r>
        <w:t>Defendant</w:t>
      </w:r>
      <w:r w:rsidR="009040F0">
        <w:t>’</w:t>
      </w:r>
      <w:r>
        <w:t>s Contentions</w:t>
      </w:r>
    </w:p>
    <w:p w:rsidR="00A402EC" w:rsidP="00C2451B" w:rsidRDefault="00F02066" w14:paraId="0911ACA4" w14:textId="7BC07768">
      <w:pPr>
        <w:pStyle w:val="Standard"/>
      </w:pPr>
      <w:r>
        <w:t>Defendant maintains Complainants owe them</w:t>
      </w:r>
      <w:r w:rsidR="00357035">
        <w:t xml:space="preserve"> the full</w:t>
      </w:r>
      <w:r>
        <w:t xml:space="preserve"> $</w:t>
      </w:r>
      <w:r w:rsidR="00C2451B">
        <w:t>955.06 of service fees, penalties, and late fees</w:t>
      </w:r>
      <w:r>
        <w:t xml:space="preserve"> as reflected on their </w:t>
      </w:r>
      <w:r w:rsidR="009040F0">
        <w:t>September </w:t>
      </w:r>
      <w:r w:rsidR="00C2451B">
        <w:t>25, 2024</w:t>
      </w:r>
      <w:r>
        <w:t xml:space="preserve"> bill</w:t>
      </w:r>
      <w:r w:rsidR="00C2451B">
        <w:t>, 10</w:t>
      </w:r>
      <w:r w:rsidR="00A14C18">
        <w:noBreakHyphen/>
      </w:r>
      <w:r w:rsidR="00C2451B">
        <w:t>day notice for disconnection and</w:t>
      </w:r>
      <w:r>
        <w:t xml:space="preserve"> billing history.</w:t>
      </w:r>
      <w:r>
        <w:rPr>
          <w:rStyle w:val="FootnoteReference"/>
        </w:rPr>
        <w:footnoteReference w:id="21"/>
      </w:r>
      <w:r>
        <w:t xml:space="preserve"> </w:t>
      </w:r>
      <w:r w:rsidR="00CF40D4">
        <w:t xml:space="preserve"> </w:t>
      </w:r>
      <w:r w:rsidRPr="00E575AE" w:rsidR="00E575AE">
        <w:t xml:space="preserve">Defendant </w:t>
      </w:r>
      <w:r w:rsidR="00052103">
        <w:t xml:space="preserve">initially billed Complainants </w:t>
      </w:r>
      <w:r w:rsidRPr="00052103" w:rsidR="00052103">
        <w:t>$</w:t>
      </w:r>
      <w:r w:rsidR="00C2451B">
        <w:t>9</w:t>
      </w:r>
      <w:r w:rsidR="00932678">
        <w:t>5</w:t>
      </w:r>
      <w:r w:rsidR="00C2451B">
        <w:t>5.06</w:t>
      </w:r>
      <w:r w:rsidR="00052103">
        <w:t>.</w:t>
      </w:r>
      <w:r w:rsidR="00932678">
        <w:rPr>
          <w:rStyle w:val="FootnoteReference"/>
        </w:rPr>
        <w:footnoteReference w:id="22"/>
      </w:r>
      <w:r w:rsidR="00052103">
        <w:t xml:space="preserve">  Complainant paid</w:t>
      </w:r>
      <w:r w:rsidR="00A07464">
        <w:t xml:space="preserve"> </w:t>
      </w:r>
      <w:r w:rsidR="00C2451B">
        <w:t>$375.00</w:t>
      </w:r>
      <w:r w:rsidR="00A07464">
        <w:t xml:space="preserve"> through funds maintained in her name through the CPUC impound fund</w:t>
      </w:r>
      <w:r w:rsidR="00052103">
        <w:t>, reducing the sum</w:t>
      </w:r>
      <w:r w:rsidR="00A14C18">
        <w:noBreakHyphen/>
      </w:r>
      <w:r w:rsidR="00C2451B">
        <w:t>total</w:t>
      </w:r>
      <w:r w:rsidR="00052103">
        <w:t>.</w:t>
      </w:r>
    </w:p>
    <w:p w:rsidR="00A402EC" w:rsidP="00A07464" w:rsidRDefault="009841CE" w14:paraId="7CA6FCC9" w14:textId="619F29FF">
      <w:pPr>
        <w:pStyle w:val="Standard"/>
      </w:pPr>
      <w:r>
        <w:t xml:space="preserve">Defendant alleges </w:t>
      </w:r>
      <w:r w:rsidR="00C2451B">
        <w:t>that</w:t>
      </w:r>
      <w:r>
        <w:t xml:space="preserve">, </w:t>
      </w:r>
      <w:r w:rsidR="009040F0">
        <w:t>“</w:t>
      </w:r>
      <w:r w:rsidR="00C2451B">
        <w:t>[a]</w:t>
      </w:r>
      <w:proofErr w:type="spellStart"/>
      <w:r w:rsidR="00C2451B">
        <w:t>ccording</w:t>
      </w:r>
      <w:proofErr w:type="spellEnd"/>
      <w:r w:rsidR="00C2451B">
        <w:t xml:space="preserve"> to the 8/1/24 ruling the 56% reduction in fees for March 2022 to March 2023 should not have been applied to the readiness to serve fee, so 12 months at $86.78 at 56% should be added back to </w:t>
      </w:r>
      <w:r w:rsidR="00C2451B">
        <w:lastRenderedPageBreak/>
        <w:t>the customer</w:t>
      </w:r>
      <w:r w:rsidR="00D1254E">
        <w:t>’</w:t>
      </w:r>
      <w:r w:rsidR="00C2451B">
        <w:t>s account</w:t>
      </w:r>
      <w:r w:rsidR="00A07464">
        <w:t>,</w:t>
      </w:r>
      <w:r w:rsidR="009040F0">
        <w:t>”</w:t>
      </w:r>
      <w:r w:rsidR="00C2451B">
        <w:t xml:space="preserve"> plus what appears to be a penalty of $34.56</w:t>
      </w:r>
      <w:r w:rsidR="00E41993">
        <w:t>.</w:t>
      </w:r>
      <w:r>
        <w:rPr>
          <w:rStyle w:val="FootnoteReference"/>
        </w:rPr>
        <w:footnoteReference w:id="23"/>
      </w:r>
      <w:r>
        <w:t xml:space="preserve">  </w:t>
      </w:r>
      <w:r w:rsidR="006E3366">
        <w:t xml:space="preserve">Defendant alleges </w:t>
      </w:r>
      <w:r w:rsidR="00F02066">
        <w:t>that leaves a remaining balance</w:t>
      </w:r>
      <w:r w:rsidR="00C2451B">
        <w:t xml:space="preserve"> unpaid</w:t>
      </w:r>
      <w:r w:rsidR="00F02066">
        <w:t>.</w:t>
      </w:r>
    </w:p>
    <w:p w:rsidR="00A402EC" w:rsidP="00052103" w:rsidRDefault="00A459AB" w14:paraId="16B981CB" w14:textId="2B4D2FE2">
      <w:pPr>
        <w:pStyle w:val="Standard"/>
      </w:pPr>
      <w:r>
        <w:t xml:space="preserve">The parties agree that </w:t>
      </w:r>
      <w:r w:rsidR="00A07464">
        <w:t xml:space="preserve">the service fee is $86.78 per month.  </w:t>
      </w:r>
      <w:r w:rsidR="00EA38BA">
        <w:t xml:space="preserve">Both parties are incorrect as to whether the remainder is to be calculated at 56% or 44%.  </w:t>
      </w:r>
      <w:r>
        <w:t xml:space="preserve">At issue </w:t>
      </w:r>
      <w:r w:rsidR="00A07464">
        <w:t xml:space="preserve">is the correct </w:t>
      </w:r>
      <w:r w:rsidR="00EA38BA">
        <w:t xml:space="preserve">percentage to be calculated and the correct </w:t>
      </w:r>
      <w:r w:rsidR="00A07464">
        <w:t>amount owed</w:t>
      </w:r>
      <w:r>
        <w:t>.</w:t>
      </w:r>
    </w:p>
    <w:p w:rsidR="008E4C40" w:rsidP="008E4C40" w:rsidRDefault="008E4C40" w14:paraId="49FD9C04" w14:textId="2CFD913C">
      <w:pPr>
        <w:pStyle w:val="Heading1"/>
      </w:pPr>
      <w:r>
        <w:t>Remaining 44% of Outstanding Balance</w:t>
      </w:r>
      <w:r w:rsidR="00FB2CAD">
        <w:br/>
      </w:r>
      <w:r>
        <w:t xml:space="preserve">per </w:t>
      </w:r>
      <w:r w:rsidR="005F7191">
        <w:t>Decision </w:t>
      </w:r>
      <w:r w:rsidRPr="008E4C40">
        <w:t>24</w:t>
      </w:r>
      <w:r w:rsidR="00A14C18">
        <w:noBreakHyphen/>
      </w:r>
      <w:r w:rsidRPr="008E4C40">
        <w:t>03</w:t>
      </w:r>
      <w:r w:rsidR="00A14C18">
        <w:noBreakHyphen/>
      </w:r>
      <w:r w:rsidRPr="008E4C40">
        <w:t>053</w:t>
      </w:r>
      <w:r w:rsidR="007450C7">
        <w:t xml:space="preserve"> is $</w:t>
      </w:r>
      <w:r w:rsidR="00C04CA7">
        <w:t>82.</w:t>
      </w:r>
      <w:r w:rsidR="00A75C0E">
        <w:t>7</w:t>
      </w:r>
      <w:r w:rsidR="00C04CA7">
        <w:t>0</w:t>
      </w:r>
    </w:p>
    <w:p w:rsidR="00A402EC" w:rsidP="005069B5" w:rsidRDefault="005E40DB" w14:paraId="08488080" w14:textId="516C09DD">
      <w:pPr>
        <w:pStyle w:val="Standard"/>
      </w:pPr>
      <w:r>
        <w:t>Defendant is correct in their assessment that Complainants owe</w:t>
      </w:r>
      <w:r w:rsidR="00044228">
        <w:t>d</w:t>
      </w:r>
      <w:r>
        <w:t xml:space="preserve"> the </w:t>
      </w:r>
      <w:r w:rsidR="005069B5">
        <w:t xml:space="preserve">remainder of the </w:t>
      </w:r>
      <w:r>
        <w:t xml:space="preserve">service fees.  </w:t>
      </w:r>
      <w:r w:rsidR="00357035">
        <w:t xml:space="preserve">Complainant </w:t>
      </w:r>
      <w:r w:rsidR="005069B5">
        <w:t>is</w:t>
      </w:r>
      <w:r w:rsidR="00357035">
        <w:t xml:space="preserve"> correct </w:t>
      </w:r>
      <w:r w:rsidR="005069B5">
        <w:t xml:space="preserve">that </w:t>
      </w:r>
      <w:r w:rsidR="00357035">
        <w:t xml:space="preserve">if </w:t>
      </w:r>
      <w:r w:rsidR="005069B5">
        <w:t>she</w:t>
      </w:r>
      <w:r w:rsidR="00357035">
        <w:t xml:space="preserve"> owe</w:t>
      </w:r>
      <w:r w:rsidR="005069B5">
        <w:t>s</w:t>
      </w:r>
      <w:r w:rsidR="00357035">
        <w:t xml:space="preserve"> anything to Defendant for the 2022</w:t>
      </w:r>
      <w:r w:rsidR="00A14C18">
        <w:noBreakHyphen/>
      </w:r>
      <w:r w:rsidR="00357035">
        <w:t>2023 year, it is only</w:t>
      </w:r>
      <w:r w:rsidR="005069B5">
        <w:t xml:space="preserve"> the remaining portion </w:t>
      </w:r>
      <w:r w:rsidR="00357035">
        <w:t>of the outstanding service fees</w:t>
      </w:r>
      <w:r w:rsidR="00F3143C">
        <w:t>,</w:t>
      </w:r>
      <w:r w:rsidR="00357035">
        <w:t xml:space="preserve"> having already paid </w:t>
      </w:r>
      <w:r w:rsidR="00F3143C">
        <w:t xml:space="preserve">the </w:t>
      </w:r>
      <w:r w:rsidR="005069B5">
        <w:t>initial portion</w:t>
      </w:r>
      <w:r w:rsidR="00357035">
        <w:t xml:space="preserve"> earlier in the year per </w:t>
      </w:r>
      <w:r w:rsidR="005F7191">
        <w:t>D.</w:t>
      </w:r>
      <w:r w:rsidRPr="008E4C40" w:rsidR="008E4C40">
        <w:t>24</w:t>
      </w:r>
      <w:r w:rsidR="00A14C18">
        <w:noBreakHyphen/>
      </w:r>
      <w:r w:rsidRPr="008E4C40" w:rsidR="008E4C40">
        <w:t>03</w:t>
      </w:r>
      <w:r w:rsidR="00A14C18">
        <w:noBreakHyphen/>
      </w:r>
      <w:r w:rsidRPr="008E4C40" w:rsidR="008E4C40">
        <w:t>053</w:t>
      </w:r>
      <w:r w:rsidR="008E4C40">
        <w:t xml:space="preserve">.  </w:t>
      </w:r>
      <w:r w:rsidR="000E7781">
        <w:t>As noted, b</w:t>
      </w:r>
      <w:r w:rsidR="005069B5">
        <w:t xml:space="preserve">oth parties are incorrect in their assessment of what percentage is owed.  Complainant owes 44% of the remaining service fees, not 56%.  The 56% was calculated and paid out through the sums held in her name </w:t>
      </w:r>
      <w:r w:rsidR="00172880">
        <w:t>in the</w:t>
      </w:r>
      <w:r w:rsidR="005069B5">
        <w:t xml:space="preserve"> CPUC impound fund</w:t>
      </w:r>
      <w:r w:rsidR="000E7781">
        <w:t xml:space="preserve"> at the conclusion of </w:t>
      </w:r>
      <w:r w:rsidRPr="000E7781" w:rsidR="000E7781">
        <w:t>C.23</w:t>
      </w:r>
      <w:r w:rsidR="00A14C18">
        <w:noBreakHyphen/>
      </w:r>
      <w:r w:rsidRPr="000E7781" w:rsidR="000E7781">
        <w:t>02</w:t>
      </w:r>
      <w:r w:rsidR="00A14C18">
        <w:noBreakHyphen/>
      </w:r>
      <w:r w:rsidRPr="000E7781" w:rsidR="000E7781">
        <w:t>009</w:t>
      </w:r>
      <w:r w:rsidR="005069B5">
        <w:t xml:space="preserve">.  We now take opportunity to </w:t>
      </w:r>
      <w:r w:rsidR="008E4C40">
        <w:t xml:space="preserve">determine what </w:t>
      </w:r>
      <w:r w:rsidR="00052103">
        <w:t xml:space="preserve">amount, if anything, </w:t>
      </w:r>
      <w:r w:rsidR="005069B5">
        <w:t>that amount is</w:t>
      </w:r>
      <w:r w:rsidR="008E4C40">
        <w:t>.</w:t>
      </w:r>
    </w:p>
    <w:p w:rsidR="00A402EC" w:rsidP="00FB3362" w:rsidRDefault="00052103" w14:paraId="378E3185" w14:textId="77777777">
      <w:pPr>
        <w:pStyle w:val="Standard"/>
      </w:pPr>
      <w:r>
        <w:t xml:space="preserve">The parties seemingly agree on </w:t>
      </w:r>
      <w:r w:rsidRPr="00F02066">
        <w:t>$</w:t>
      </w:r>
      <w:r w:rsidR="00EA38BA">
        <w:t>86.70</w:t>
      </w:r>
      <w:r w:rsidR="00172880">
        <w:rPr>
          <w:rStyle w:val="FootnoteReference"/>
        </w:rPr>
        <w:footnoteReference w:id="24"/>
      </w:r>
      <w:r>
        <w:t xml:space="preserve"> as an accurate </w:t>
      </w:r>
      <w:r w:rsidR="00EA38BA">
        <w:t xml:space="preserve">monthly </w:t>
      </w:r>
      <w:r>
        <w:t>statement for the readiness to serve fees of 2022 through 2023</w:t>
      </w:r>
      <w:r w:rsidR="00172880">
        <w:t>.  Complainant stated she owed 12 months.  Defendant stated Complainant owed 11 months.  We use 12 months as a base term</w:t>
      </w:r>
      <w:r>
        <w:t xml:space="preserve">.  </w:t>
      </w:r>
      <w:r w:rsidRPr="00D7228F" w:rsidR="00D7228F">
        <w:t>$86.70</w:t>
      </w:r>
      <w:r w:rsidR="00FB2CAD">
        <w:t xml:space="preserve"> x </w:t>
      </w:r>
      <w:r w:rsidRPr="00D7228F" w:rsidR="00D7228F">
        <w:t>12</w:t>
      </w:r>
      <w:r w:rsidR="00D7228F">
        <w:t xml:space="preserve"> months</w:t>
      </w:r>
      <w:r w:rsidR="00FB2CAD">
        <w:t xml:space="preserve"> = </w:t>
      </w:r>
      <w:r w:rsidRPr="000E7781" w:rsidR="00D7228F">
        <w:t>$1,040.40.</w:t>
      </w:r>
    </w:p>
    <w:p w:rsidR="00604906" w:rsidP="00FB3362" w:rsidRDefault="000E5FEF" w14:paraId="03E40AFE" w14:textId="5F0C1C25">
      <w:pPr>
        <w:pStyle w:val="Standard"/>
      </w:pPr>
      <w:r>
        <w:t xml:space="preserve">Forty-four percent </w:t>
      </w:r>
      <w:r w:rsidR="00052103">
        <w:t>of $</w:t>
      </w:r>
      <w:r w:rsidR="00D7228F">
        <w:t>1,040.40</w:t>
      </w:r>
      <w:r w:rsidR="00FB2CAD">
        <w:t xml:space="preserve"> = </w:t>
      </w:r>
      <w:r w:rsidR="00D7228F">
        <w:t>$457.78</w:t>
      </w:r>
      <w:r w:rsidR="00052103">
        <w:t xml:space="preserve">.  </w:t>
      </w:r>
      <w:r w:rsidR="008E4C40">
        <w:t>T</w:t>
      </w:r>
      <w:r w:rsidR="00F02066">
        <w:t xml:space="preserve">he parties agree Complainant </w:t>
      </w:r>
      <w:r w:rsidR="001A7667">
        <w:t xml:space="preserve">then </w:t>
      </w:r>
      <w:r w:rsidR="00F02066">
        <w:t xml:space="preserve">paid </w:t>
      </w:r>
      <w:r w:rsidR="001A7667">
        <w:t xml:space="preserve">an additional </w:t>
      </w:r>
      <w:r w:rsidR="00F54837">
        <w:t>$375</w:t>
      </w:r>
      <w:r w:rsidR="00F02066">
        <w:t xml:space="preserve"> towards the remaining readiness to serve fees of </w:t>
      </w:r>
      <w:r w:rsidR="00CF40D4">
        <w:t>2022</w:t>
      </w:r>
      <w:r w:rsidR="00CF40D4">
        <w:noBreakHyphen/>
        <w:t>2023</w:t>
      </w:r>
      <w:r w:rsidR="00FB3362">
        <w:t xml:space="preserve">.  </w:t>
      </w:r>
      <w:r w:rsidR="00F54837">
        <w:t>This leaves a balance of $82</w:t>
      </w:r>
      <w:r w:rsidR="000E7781">
        <w:t>.78</w:t>
      </w:r>
      <w:r w:rsidR="00F54837">
        <w:t xml:space="preserve">.  </w:t>
      </w:r>
      <w:r w:rsidR="00FB3362">
        <w:t xml:space="preserve">Defendant alleges </w:t>
      </w:r>
      <w:r w:rsidR="00F54837">
        <w:t xml:space="preserve">Complainant owes </w:t>
      </w:r>
      <w:r w:rsidR="00EA38BA">
        <w:t xml:space="preserve">another </w:t>
      </w:r>
      <w:r w:rsidR="00654597">
        <w:t xml:space="preserve">much larger </w:t>
      </w:r>
      <w:r w:rsidR="00F54837">
        <w:t>remaining sum totaling $955.06</w:t>
      </w:r>
      <w:r w:rsidR="00FB3362">
        <w:t xml:space="preserve"> </w:t>
      </w:r>
      <w:r w:rsidR="00F54837">
        <w:t xml:space="preserve">for the 12 months of service </w:t>
      </w:r>
      <w:r w:rsidR="00F54837">
        <w:lastRenderedPageBreak/>
        <w:t xml:space="preserve">fees in </w:t>
      </w:r>
      <w:r w:rsidR="00CF40D4">
        <w:t>2022</w:t>
      </w:r>
      <w:r w:rsidR="00CF40D4">
        <w:noBreakHyphen/>
        <w:t>2023</w:t>
      </w:r>
      <w:r w:rsidR="00F54837">
        <w:t xml:space="preserve"> and the last months of 2024 in which Complainant was to pay the fees in full</w:t>
      </w:r>
      <w:r w:rsidR="00FB3362">
        <w:t xml:space="preserve">. </w:t>
      </w:r>
      <w:r w:rsidR="000E7781">
        <w:t xml:space="preserve"> Defendant</w:t>
      </w:r>
      <w:r w:rsidR="009040F0">
        <w:t>’</w:t>
      </w:r>
      <w:r w:rsidR="000E7781">
        <w:t xml:space="preserve">s </w:t>
      </w:r>
      <w:r w:rsidR="00D139DE">
        <w:t xml:space="preserve">argument seemingly </w:t>
      </w:r>
      <w:r w:rsidR="00654597">
        <w:t xml:space="preserve">compounds </w:t>
      </w:r>
      <w:r w:rsidR="00D139DE">
        <w:t>an additional 56</w:t>
      </w:r>
      <w:r w:rsidR="00B53EF2">
        <w:t>%</w:t>
      </w:r>
      <w:r w:rsidR="00D139DE">
        <w:t xml:space="preserve"> owed on top of the </w:t>
      </w:r>
      <w:r w:rsidR="00654597">
        <w:t xml:space="preserve">44% sum owed, plus </w:t>
      </w:r>
      <w:r w:rsidR="00A75C0E">
        <w:t xml:space="preserve">late </w:t>
      </w:r>
      <w:r w:rsidR="00654597">
        <w:t>penalties.</w:t>
      </w:r>
    </w:p>
    <w:p w:rsidR="00A402EC" w:rsidP="00FB3362" w:rsidRDefault="00EC76CE" w14:paraId="5FADF34D" w14:textId="2D25948D">
      <w:pPr>
        <w:pStyle w:val="Standard"/>
      </w:pPr>
      <w:r>
        <w:t>D</w:t>
      </w:r>
      <w:r w:rsidR="00FB3362">
        <w:t>efendant is incorrect</w:t>
      </w:r>
      <w:r w:rsidR="00F54837">
        <w:t xml:space="preserve"> as to what Complainant owed for the </w:t>
      </w:r>
      <w:r w:rsidR="00CF40D4">
        <w:t>2022</w:t>
      </w:r>
      <w:r w:rsidR="00CF40D4">
        <w:noBreakHyphen/>
        <w:t>2023</w:t>
      </w:r>
      <w:r w:rsidR="00F54837">
        <w:t xml:space="preserve"> service fees</w:t>
      </w:r>
      <w:r w:rsidR="00FB3362">
        <w:t>.  Complainant owe</w:t>
      </w:r>
      <w:r w:rsidR="00F54837">
        <w:t>s</w:t>
      </w:r>
      <w:r w:rsidR="00FB3362">
        <w:t xml:space="preserve"> </w:t>
      </w:r>
      <w:r w:rsidR="00044228">
        <w:t xml:space="preserve">a remainder balance of </w:t>
      </w:r>
      <w:r w:rsidR="00F54837">
        <w:t>$82.</w:t>
      </w:r>
      <w:r w:rsidR="008E1E95">
        <w:t>7</w:t>
      </w:r>
      <w:r w:rsidR="00F54837">
        <w:t>0 for March 2022</w:t>
      </w:r>
      <w:r w:rsidR="00A14C18">
        <w:noBreakHyphen/>
      </w:r>
      <w:r w:rsidR="00F54837">
        <w:t>2023</w:t>
      </w:r>
      <w:r w:rsidR="00A75C0E">
        <w:t xml:space="preserve"> having paid the $375</w:t>
      </w:r>
      <w:r w:rsidR="00FB3362">
        <w:t>.</w:t>
      </w:r>
    </w:p>
    <w:p w:rsidR="00A402EC" w:rsidP="00FB3362" w:rsidRDefault="000D7D26" w14:paraId="6A935002" w14:textId="05A8BB1D">
      <w:pPr>
        <w:pStyle w:val="Standard"/>
      </w:pPr>
      <w:r>
        <w:t>The C</w:t>
      </w:r>
      <w:r w:rsidR="009A61A8">
        <w:t>ommission</w:t>
      </w:r>
      <w:r>
        <w:t xml:space="preserve"> shall distribute $</w:t>
      </w:r>
      <w:r w:rsidR="00C04CA7">
        <w:t>82.</w:t>
      </w:r>
      <w:r w:rsidR="00B66FED">
        <w:t>7</w:t>
      </w:r>
      <w:r w:rsidR="00C04CA7">
        <w:t>0</w:t>
      </w:r>
      <w:r>
        <w:t xml:space="preserve"> to Havasu Water to satisfy Complainant</w:t>
      </w:r>
      <w:r w:rsidR="009040F0">
        <w:t>’</w:t>
      </w:r>
      <w:r w:rsidR="00C04CA7">
        <w:t>s</w:t>
      </w:r>
      <w:r>
        <w:t xml:space="preserve"> remaining service fees balance </w:t>
      </w:r>
      <w:r w:rsidR="00C04CA7">
        <w:t>for the</w:t>
      </w:r>
      <w:r>
        <w:t xml:space="preserve"> 2022</w:t>
      </w:r>
      <w:r w:rsidR="00A14C18">
        <w:noBreakHyphen/>
      </w:r>
      <w:r>
        <w:t>2023</w:t>
      </w:r>
      <w:r w:rsidR="00C04CA7">
        <w:t xml:space="preserve"> years</w:t>
      </w:r>
      <w:r>
        <w:t xml:space="preserve">.  </w:t>
      </w:r>
      <w:r w:rsidR="00F20DA5">
        <w:t>The Commission find that</w:t>
      </w:r>
      <w:r>
        <w:t xml:space="preserve"> this sum </w:t>
      </w:r>
      <w:r w:rsidR="00F20DA5">
        <w:t>constitutes</w:t>
      </w:r>
      <w:r>
        <w:t xml:space="preserve"> full satisfaction of the fees</w:t>
      </w:r>
      <w:r w:rsidR="00FB3362">
        <w:t xml:space="preserve"> for the 2022</w:t>
      </w:r>
      <w:r w:rsidR="00A14C18">
        <w:noBreakHyphen/>
      </w:r>
      <w:r w:rsidR="00FB3362">
        <w:t>2023 years</w:t>
      </w:r>
      <w:r>
        <w:t xml:space="preserve">.  </w:t>
      </w:r>
      <w:r w:rsidR="004E2BE8">
        <w:t xml:space="preserve">This money will be taken from the monies presently </w:t>
      </w:r>
      <w:r w:rsidR="00F20DA5">
        <w:t>held</w:t>
      </w:r>
      <w:r w:rsidR="004E2BE8">
        <w:t xml:space="preserve"> in the CPUC impound account created for this rehearing matter.</w:t>
      </w:r>
    </w:p>
    <w:p w:rsidR="00A402EC" w:rsidP="007450C7" w:rsidRDefault="007450C7" w14:paraId="042734C1" w14:textId="77777777">
      <w:pPr>
        <w:pStyle w:val="Heading1"/>
      </w:pPr>
      <w:r>
        <w:t>Remaining Balance in CPUC Impound Account to</w:t>
      </w:r>
      <w:r w:rsidR="003F5A2A">
        <w:br/>
      </w:r>
      <w:r>
        <w:t>Satisfy 2024</w:t>
      </w:r>
      <w:r w:rsidR="00A14C18">
        <w:noBreakHyphen/>
      </w:r>
      <w:r>
        <w:t>202</w:t>
      </w:r>
      <w:r w:rsidR="00C04CA7">
        <w:t>6</w:t>
      </w:r>
      <w:r>
        <w:t xml:space="preserve"> Water Bills in Absence of Billing</w:t>
      </w:r>
    </w:p>
    <w:p w:rsidR="00A402EC" w:rsidP="00693A61" w:rsidRDefault="00547F74" w14:paraId="6ABD5ED8" w14:textId="351EFF5C">
      <w:pPr>
        <w:pStyle w:val="Standard"/>
      </w:pPr>
      <w:r>
        <w:t>Comp</w:t>
      </w:r>
      <w:r w:rsidR="007450C7">
        <w:t>lainant ha</w:t>
      </w:r>
      <w:r w:rsidR="00C04CA7">
        <w:t>s</w:t>
      </w:r>
      <w:r w:rsidR="007450C7">
        <w:t xml:space="preserve"> continued to deposit money into the open CPUC impound account created for this matter throughout the 2024</w:t>
      </w:r>
      <w:r w:rsidR="00C04CA7">
        <w:t xml:space="preserve"> through</w:t>
      </w:r>
      <w:r w:rsidR="007450C7">
        <w:t xml:space="preserve"> 202</w:t>
      </w:r>
      <w:r w:rsidR="00C04CA7">
        <w:t>6</w:t>
      </w:r>
      <w:r w:rsidR="007450C7">
        <w:t xml:space="preserve"> </w:t>
      </w:r>
      <w:r w:rsidR="00132072">
        <w:t xml:space="preserve">timeframe.  </w:t>
      </w:r>
      <w:r w:rsidR="00C04CA7">
        <w:t xml:space="preserve">She </w:t>
      </w:r>
      <w:r w:rsidR="00132072">
        <w:t>ha</w:t>
      </w:r>
      <w:r w:rsidR="00A75C0E">
        <w:t>s</w:t>
      </w:r>
      <w:r w:rsidR="00132072">
        <w:t xml:space="preserve"> noted </w:t>
      </w:r>
      <w:r w:rsidR="002A7DB8">
        <w:t>that</w:t>
      </w:r>
      <w:r w:rsidR="00132072">
        <w:t xml:space="preserve"> Defendant has not billed </w:t>
      </w:r>
      <w:r w:rsidR="002A7DB8">
        <w:t xml:space="preserve">her </w:t>
      </w:r>
      <w:r w:rsidR="001C46CC">
        <w:t xml:space="preserve">since this filing </w:t>
      </w:r>
      <w:r w:rsidR="00132072">
        <w:t>and</w:t>
      </w:r>
      <w:r w:rsidR="00A75C0E">
        <w:t xml:space="preserve"> </w:t>
      </w:r>
      <w:r w:rsidR="00132072">
        <w:t xml:space="preserve"> </w:t>
      </w:r>
      <w:r w:rsidR="002A7DB8">
        <w:t>is</w:t>
      </w:r>
      <w:r w:rsidR="00132072">
        <w:t xml:space="preserve"> estimating the correct billing by depositing monies into the impound account created for this amount.  </w:t>
      </w:r>
      <w:r w:rsidRPr="00984A4D" w:rsidR="00132072">
        <w:t xml:space="preserve">As of </w:t>
      </w:r>
      <w:r w:rsidR="009040F0">
        <w:t>March </w:t>
      </w:r>
      <w:r w:rsidR="00A75C0E">
        <w:t>18, 2026</w:t>
      </w:r>
      <w:r w:rsidR="00132072">
        <w:t>, there is $</w:t>
      </w:r>
      <w:r w:rsidR="00A75C0E">
        <w:t>2,418.49</w:t>
      </w:r>
      <w:r w:rsidR="009E0ECE">
        <w:t xml:space="preserve"> in th</w:t>
      </w:r>
      <w:r w:rsidR="00F20DA5">
        <w:t>e impound</w:t>
      </w:r>
      <w:r w:rsidR="009E0ECE">
        <w:t xml:space="preserve"> account</w:t>
      </w:r>
      <w:r w:rsidR="003F5A2A">
        <w:t>.</w:t>
      </w:r>
      <w:r w:rsidR="00214504">
        <w:rPr>
          <w:rStyle w:val="FootnoteReference"/>
        </w:rPr>
        <w:footnoteReference w:id="25"/>
      </w:r>
      <w:r w:rsidR="009E0ECE">
        <w:t xml:space="preserve">  </w:t>
      </w:r>
      <w:r w:rsidR="00A75C0E">
        <w:t xml:space="preserve">The remainder of this </w:t>
      </w:r>
      <w:r w:rsidRPr="00A75C0E" w:rsidR="00A75C0E">
        <w:t>amount</w:t>
      </w:r>
      <w:r w:rsidR="00F20DA5">
        <w:t xml:space="preserve">, minus the ready to serve fee balance of </w:t>
      </w:r>
      <w:r w:rsidRPr="00F20DA5" w:rsidR="00F20DA5">
        <w:t>$82.70</w:t>
      </w:r>
      <w:r w:rsidR="00F20DA5">
        <w:t>,</w:t>
      </w:r>
      <w:r w:rsidRPr="00A75C0E" w:rsidR="00A75C0E">
        <w:t xml:space="preserve"> $2,336.49,</w:t>
      </w:r>
      <w:r w:rsidR="00454DD6">
        <w:t xml:space="preserve"> is to be distributed to Defendant for full and final satisfaction of Complainant Susan Wilson</w:t>
      </w:r>
      <w:r w:rsidR="009040F0">
        <w:t>’</w:t>
      </w:r>
      <w:r w:rsidR="00454DD6">
        <w:t xml:space="preserve">s balance for the 2024 through 2026 years inclusive of this decision date.  </w:t>
      </w:r>
      <w:r w:rsidR="00136AAB">
        <w:t>All late penalties and bills are vacated</w:t>
      </w:r>
      <w:r w:rsidR="009A3A7C">
        <w:t xml:space="preserve"> and dismissed</w:t>
      </w:r>
      <w:r w:rsidR="00136AAB">
        <w:t>.</w:t>
      </w:r>
    </w:p>
    <w:p w:rsidR="00DD37A5" w:rsidP="00DD37A5" w:rsidRDefault="00DD37A5" w14:paraId="22BA33C9" w14:textId="6B79B9FF">
      <w:pPr>
        <w:pStyle w:val="Heading1"/>
      </w:pPr>
      <w:r>
        <w:lastRenderedPageBreak/>
        <w:t>Defendant</w:t>
      </w:r>
      <w:r w:rsidR="009040F0">
        <w:t>’</w:t>
      </w:r>
      <w:r>
        <w:t xml:space="preserve">s </w:t>
      </w:r>
      <w:r w:rsidR="007C530E">
        <w:t xml:space="preserve">Attributed </w:t>
      </w:r>
      <w:r>
        <w:t>Contention That</w:t>
      </w:r>
      <w:r w:rsidR="0039644D">
        <w:br/>
      </w:r>
      <w:r>
        <w:t xml:space="preserve">This </w:t>
      </w:r>
      <w:r w:rsidR="008F05CD">
        <w:t>Decision</w:t>
      </w:r>
      <w:r>
        <w:t xml:space="preserve"> </w:t>
      </w:r>
      <w:r w:rsidR="0039644D">
        <w:t xml:space="preserve">Is </w:t>
      </w:r>
      <w:r>
        <w:t xml:space="preserve">Untimely </w:t>
      </w:r>
      <w:r w:rsidR="0039644D">
        <w:t xml:space="preserve">Is </w:t>
      </w:r>
      <w:r>
        <w:t>Without Merit</w:t>
      </w:r>
    </w:p>
    <w:p w:rsidR="00A402EC" w:rsidP="006852B4" w:rsidRDefault="000D3621" w14:paraId="73BF0245" w14:textId="03C59F7A">
      <w:pPr>
        <w:pStyle w:val="Standard"/>
      </w:pPr>
      <w:r>
        <w:t xml:space="preserve">The unconsolidated Havasu Water matters before the Commission and other </w:t>
      </w:r>
      <w:r w:rsidR="009A3A7C">
        <w:t>c</w:t>
      </w:r>
      <w:r>
        <w:t>ourts present an interesting organizational</w:t>
      </w:r>
      <w:r w:rsidR="006852B4">
        <w:t>, legal,</w:t>
      </w:r>
      <w:r>
        <w:t xml:space="preserve"> and communication challenge.  </w:t>
      </w:r>
      <w:r w:rsidR="006852B4">
        <w:t>In March of 2022, Havasu Water had many water outages.  Several local families brough</w:t>
      </w:r>
      <w:r w:rsidR="00DD4927">
        <w:t>t</w:t>
      </w:r>
      <w:r w:rsidR="006852B4">
        <w:t xml:space="preserve"> independent unconsolidated complaints against </w:t>
      </w:r>
      <w:r w:rsidR="002869AE">
        <w:t>Defendant</w:t>
      </w:r>
      <w:r w:rsidR="006852B4">
        <w:t>.</w:t>
      </w:r>
      <w:r w:rsidR="006852B4">
        <w:rPr>
          <w:rStyle w:val="FootnoteReference"/>
        </w:rPr>
        <w:footnoteReference w:id="26"/>
      </w:r>
      <w:r w:rsidR="006852B4">
        <w:t xml:space="preserve">  </w:t>
      </w:r>
      <w:r w:rsidR="00C9532C">
        <w:t>Defendant</w:t>
      </w:r>
      <w:r w:rsidR="00086DD7">
        <w:t xml:space="preserve"> </w:t>
      </w:r>
      <w:r w:rsidR="006852B4">
        <w:t xml:space="preserve">in turn brought challenges against these same families in the </w:t>
      </w:r>
      <w:r w:rsidR="001940FB">
        <w:t>San </w:t>
      </w:r>
      <w:r w:rsidR="006852B4">
        <w:t>Bernardino Superior Court.</w:t>
      </w:r>
    </w:p>
    <w:p w:rsidR="00A402EC" w:rsidP="006852B4" w:rsidRDefault="006852B4" w14:paraId="493F803B" w14:textId="4F83B8E0">
      <w:pPr>
        <w:pStyle w:val="Standard"/>
      </w:pPr>
      <w:r>
        <w:t>D</w:t>
      </w:r>
      <w:r w:rsidR="000D3621">
        <w:t>efendant</w:t>
      </w:r>
      <w:r w:rsidR="00F20DA5">
        <w:t>,</w:t>
      </w:r>
      <w:r>
        <w:t xml:space="preserve"> </w:t>
      </w:r>
      <w:r w:rsidR="00F20DA5">
        <w:t xml:space="preserve">in the person of its </w:t>
      </w:r>
      <w:r>
        <w:t>CEO Jennifer Hodges</w:t>
      </w:r>
      <w:r w:rsidR="00F20DA5">
        <w:t>,</w:t>
      </w:r>
      <w:r w:rsidR="000D3621">
        <w:t xml:space="preserve"> has been brought before this Commission and other courts</w:t>
      </w:r>
      <w:r>
        <w:t xml:space="preserve"> in her personal and professional capacity</w:t>
      </w:r>
      <w:r w:rsidR="000D3621">
        <w:t xml:space="preserve"> for numerous and consistent determined and alleged violations in the</w:t>
      </w:r>
      <w:r>
        <w:t xml:space="preserve"> water company</w:t>
      </w:r>
      <w:r w:rsidR="009040F0">
        <w:t>’</w:t>
      </w:r>
      <w:r>
        <w:t xml:space="preserve">s </w:t>
      </w:r>
      <w:r w:rsidR="000D3621">
        <w:t xml:space="preserve">management of the </w:t>
      </w:r>
      <w:r>
        <w:t>district</w:t>
      </w:r>
      <w:r w:rsidR="009040F0">
        <w:t>’</w:t>
      </w:r>
      <w:r>
        <w:t xml:space="preserve">s </w:t>
      </w:r>
      <w:r w:rsidR="000D3621">
        <w:t xml:space="preserve">water.  At least three separate </w:t>
      </w:r>
      <w:r w:rsidR="00B47835">
        <w:t>ALJ</w:t>
      </w:r>
      <w:r w:rsidR="000D3621">
        <w:t>s at CPUC, one Assistant Chief, s</w:t>
      </w:r>
      <w:r w:rsidR="009A61A8">
        <w:t xml:space="preserve">taff </w:t>
      </w:r>
      <w:r w:rsidR="000D3621">
        <w:t>the C</w:t>
      </w:r>
      <w:r w:rsidR="009A61A8">
        <w:t>ommission</w:t>
      </w:r>
      <w:r w:rsidR="009040F0">
        <w:t>’</w:t>
      </w:r>
      <w:r w:rsidR="009A61A8">
        <w:t>s</w:t>
      </w:r>
      <w:r w:rsidR="000D3621">
        <w:t xml:space="preserve"> Water Division </w:t>
      </w:r>
      <w:r w:rsidR="009A61A8">
        <w:t>and</w:t>
      </w:r>
      <w:r w:rsidR="000D3621">
        <w:t xml:space="preserve"> Legal Division, one Superior Court Judge, a</w:t>
      </w:r>
      <w:r w:rsidR="009A61A8">
        <w:t>s</w:t>
      </w:r>
      <w:r w:rsidR="000D3621">
        <w:t xml:space="preserve"> </w:t>
      </w:r>
      <w:r w:rsidR="009A61A8">
        <w:t>well as</w:t>
      </w:r>
      <w:r w:rsidR="000D3621">
        <w:t xml:space="preserve"> residents in the Havasu </w:t>
      </w:r>
      <w:r w:rsidR="000D3621">
        <w:lastRenderedPageBreak/>
        <w:t xml:space="preserve">Lake community have been directly involved in these matters.  </w:t>
      </w:r>
      <w:r>
        <w:t>We now take judicial notice of the existence of those records, inclusive dates, and communications.</w:t>
      </w:r>
      <w:r>
        <w:rPr>
          <w:rStyle w:val="FootnoteReference"/>
        </w:rPr>
        <w:footnoteReference w:id="27"/>
      </w:r>
    </w:p>
    <w:p w:rsidR="00A402EC" w:rsidP="006852B4" w:rsidRDefault="006852B4" w14:paraId="10ED3856" w14:textId="26881BD1">
      <w:pPr>
        <w:pStyle w:val="Standard"/>
      </w:pPr>
      <w:r>
        <w:t>We make note of this</w:t>
      </w:r>
      <w:r w:rsidR="008605FA">
        <w:t xml:space="preserve"> complex web of matters</w:t>
      </w:r>
      <w:r>
        <w:t xml:space="preserve"> because </w:t>
      </w:r>
      <w:r w:rsidR="008605FA">
        <w:t xml:space="preserve">the various parties, including Defendant through </w:t>
      </w:r>
      <w:r w:rsidR="00426F98">
        <w:t>CEO </w:t>
      </w:r>
      <w:r w:rsidR="008605FA">
        <w:t>Hodges,</w:t>
      </w:r>
      <w:r w:rsidR="00B83C2D">
        <w:t xml:space="preserve"> often communicate through email with the various </w:t>
      </w:r>
      <w:r w:rsidR="00844F55">
        <w:t>ALJs</w:t>
      </w:r>
      <w:r w:rsidR="00B83C2D">
        <w:t xml:space="preserve">, lawyers, Water Division experts, clerks, complainants and others, sometimes without referencing which </w:t>
      </w:r>
      <w:r w:rsidR="00AF207A">
        <w:t>case number</w:t>
      </w:r>
      <w:r w:rsidR="00B83C2D">
        <w:t xml:space="preserve"> </w:t>
      </w:r>
      <w:r w:rsidR="008605FA">
        <w:t>they are</w:t>
      </w:r>
      <w:r w:rsidR="00B83C2D">
        <w:t xml:space="preserve"> referring to</w:t>
      </w:r>
      <w:r w:rsidR="008605FA">
        <w:t>, and sometimes commenting on different matters</w:t>
      </w:r>
      <w:r w:rsidR="00B83C2D">
        <w:t xml:space="preserve">.  </w:t>
      </w:r>
      <w:r w:rsidR="009E18B9">
        <w:t xml:space="preserve">As the subject of the suits are nearly identical, and the parties are the same in several cases, we </w:t>
      </w:r>
      <w:r w:rsidR="00D61C9E">
        <w:t>anticipate</w:t>
      </w:r>
      <w:r w:rsidR="009E18B9">
        <w:t xml:space="preserve"> Defendant</w:t>
      </w:r>
      <w:r w:rsidR="009040F0">
        <w:t>’</w:t>
      </w:r>
      <w:r w:rsidR="009E18B9">
        <w:t>s contention made through email and written response in other such</w:t>
      </w:r>
      <w:r w:rsidR="005E5EAC">
        <w:t xml:space="preserve"> matters</w:t>
      </w:r>
      <w:r w:rsidR="009E18B9">
        <w:t xml:space="preserve"> that this matter is untimely</w:t>
      </w:r>
      <w:r w:rsidR="00D61C9E">
        <w:t xml:space="preserve"> and take </w:t>
      </w:r>
      <w:r w:rsidR="009E18B9">
        <w:t>opportunity to preemptively address this issue.</w:t>
      </w:r>
    </w:p>
    <w:p w:rsidR="00185A42" w:rsidP="00185A42" w:rsidRDefault="00DD37A5" w14:paraId="42307199" w14:textId="030C5C06">
      <w:pPr>
        <w:pStyle w:val="Standard"/>
      </w:pPr>
      <w:r>
        <w:t>In November 2025</w:t>
      </w:r>
      <w:r w:rsidR="00DD4927">
        <w:t>,</w:t>
      </w:r>
      <w:r>
        <w:t xml:space="preserve"> the assigned </w:t>
      </w:r>
      <w:r w:rsidR="00B47835">
        <w:t>ALJ</w:t>
      </w:r>
      <w:r>
        <w:t xml:space="preserve"> issued notice for parties in C.24</w:t>
      </w:r>
      <w:r w:rsidR="00A14C18">
        <w:noBreakHyphen/>
      </w:r>
      <w:r>
        <w:t>10</w:t>
      </w:r>
      <w:r w:rsidR="00A14C18">
        <w:noBreakHyphen/>
      </w:r>
      <w:r>
        <w:t>016 Gary and Karen Chamberlain, the Parties of the original suit</w:t>
      </w:r>
      <w:r w:rsidR="00F33742">
        <w:t xml:space="preserve"> </w:t>
      </w:r>
      <w:r w:rsidRPr="00F33742" w:rsidR="00F33742">
        <w:t>C.23</w:t>
      </w:r>
      <w:r w:rsidR="00A14C18">
        <w:noBreakHyphen/>
      </w:r>
      <w:r w:rsidRPr="00F33742" w:rsidR="00F33742">
        <w:t>02</w:t>
      </w:r>
      <w:r w:rsidR="00A14C18">
        <w:noBreakHyphen/>
      </w:r>
      <w:r w:rsidRPr="00F33742" w:rsidR="00F33742">
        <w:t>009</w:t>
      </w:r>
      <w:r w:rsidR="00185A42">
        <w:t xml:space="preserve"> (along with Susan Wilson)</w:t>
      </w:r>
      <w:r w:rsidR="00F33742">
        <w:t xml:space="preserve"> to appear by </w:t>
      </w:r>
      <w:r w:rsidR="00AD1C67">
        <w:t>Webex</w:t>
      </w:r>
      <w:r w:rsidR="00F33742">
        <w:t xml:space="preserve"> for final comments.  </w:t>
      </w:r>
      <w:r w:rsidR="00185A42">
        <w:t>C.24</w:t>
      </w:r>
      <w:r w:rsidR="00A14C18">
        <w:noBreakHyphen/>
      </w:r>
      <w:r w:rsidR="00185A42">
        <w:t>10</w:t>
      </w:r>
      <w:r w:rsidR="00A14C18">
        <w:noBreakHyphen/>
      </w:r>
      <w:r w:rsidR="00185A42">
        <w:t>016 and C.24</w:t>
      </w:r>
      <w:r w:rsidR="00A14C18">
        <w:noBreakHyphen/>
      </w:r>
      <w:r w:rsidR="00185A42">
        <w:t>10</w:t>
      </w:r>
      <w:r w:rsidR="00A14C18">
        <w:noBreakHyphen/>
      </w:r>
      <w:r w:rsidR="00185A42">
        <w:t xml:space="preserve">017 are nearly identical in their issues barring the inclusion of Susan Wilson and additional water damage alleged by the Chamberlain family.  Both matters address the reissuance of the surcharge as addressed in Order Clarifying </w:t>
      </w:r>
      <w:r w:rsidR="00307347">
        <w:t>Decision </w:t>
      </w:r>
      <w:r w:rsidR="00185A42">
        <w:t>24</w:t>
      </w:r>
      <w:r w:rsidR="00A14C18">
        <w:noBreakHyphen/>
      </w:r>
      <w:r w:rsidR="00185A42">
        <w:t>03</w:t>
      </w:r>
      <w:r w:rsidR="00A14C18">
        <w:noBreakHyphen/>
      </w:r>
      <w:r w:rsidR="00185A42">
        <w:t>053.</w:t>
      </w:r>
    </w:p>
    <w:p w:rsidR="008F05CD" w:rsidP="008F05CD" w:rsidRDefault="00F33742" w14:paraId="5C691B89" w14:textId="735669CB">
      <w:pPr>
        <w:pStyle w:val="Standard"/>
      </w:pPr>
      <w:r>
        <w:t xml:space="preserve">Defendant responded by email </w:t>
      </w:r>
      <w:r w:rsidR="00F20DA5">
        <w:t xml:space="preserve">that </w:t>
      </w:r>
      <w:r>
        <w:t>they believed the Commission no longer had jurisdiction</w:t>
      </w:r>
      <w:r w:rsidR="00D040EF">
        <w:t>, and that the matter was</w:t>
      </w:r>
      <w:r>
        <w:t xml:space="preserve"> untimely</w:t>
      </w:r>
      <w:r w:rsidR="00A679E7">
        <w:t xml:space="preserve"> and did not appear for that hearing.  </w:t>
      </w:r>
      <w:r w:rsidR="008F05CD">
        <w:t xml:space="preserve">Defendant also made this identical argument in the motion for rehearing in </w:t>
      </w:r>
      <w:r w:rsidRPr="008F05CD" w:rsidR="008F05CD">
        <w:rPr>
          <w:i/>
          <w:iCs/>
        </w:rPr>
        <w:t>Osuna</w:t>
      </w:r>
      <w:r w:rsidR="00F909CD">
        <w:rPr>
          <w:i/>
          <w:iCs/>
        </w:rPr>
        <w:t xml:space="preserve"> v. </w:t>
      </w:r>
      <w:r w:rsidRPr="008F05CD" w:rsidR="008F05CD">
        <w:rPr>
          <w:i/>
          <w:iCs/>
        </w:rPr>
        <w:t>Havasu</w:t>
      </w:r>
      <w:r w:rsidR="00EA1096">
        <w:t>,</w:t>
      </w:r>
      <w:r w:rsidR="008F05CD">
        <w:t xml:space="preserve"> </w:t>
      </w:r>
      <w:r w:rsidRPr="008F05CD" w:rsidR="008F05CD">
        <w:t>D</w:t>
      </w:r>
      <w:r w:rsidR="00EA1096">
        <w:t>.</w:t>
      </w:r>
      <w:r w:rsidRPr="008F05CD" w:rsidR="008F05CD">
        <w:t>26</w:t>
      </w:r>
      <w:r w:rsidR="00A14C18">
        <w:noBreakHyphen/>
      </w:r>
      <w:r w:rsidRPr="008F05CD" w:rsidR="008F05CD">
        <w:t>01</w:t>
      </w:r>
      <w:r w:rsidR="00A14C18">
        <w:noBreakHyphen/>
      </w:r>
      <w:r w:rsidRPr="008F05CD" w:rsidR="008F05CD">
        <w:t>024</w:t>
      </w:r>
      <w:r w:rsidR="008F05CD">
        <w:t xml:space="preserve"> issued </w:t>
      </w:r>
      <w:r w:rsidR="009040F0">
        <w:t>January </w:t>
      </w:r>
      <w:r w:rsidRPr="008F05CD" w:rsidR="008F05CD">
        <w:t>15, 2026</w:t>
      </w:r>
      <w:r w:rsidR="00357298">
        <w:t xml:space="preserve">.  </w:t>
      </w:r>
      <w:r w:rsidR="008F05CD">
        <w:t xml:space="preserve">In </w:t>
      </w:r>
      <w:r w:rsidRPr="008F05CD" w:rsidR="008F05CD">
        <w:rPr>
          <w:i/>
          <w:iCs/>
        </w:rPr>
        <w:t>Osuna</w:t>
      </w:r>
      <w:r w:rsidR="008F05CD">
        <w:t xml:space="preserve">, </w:t>
      </w:r>
      <w:r w:rsidR="00EC489A">
        <w:lastRenderedPageBreak/>
        <w:t>Defendant</w:t>
      </w:r>
      <w:r w:rsidR="00F3624E">
        <w:t xml:space="preserve"> Havasu</w:t>
      </w:r>
      <w:r w:rsidR="009A3A7C">
        <w:rPr>
          <w:rStyle w:val="FootnoteReference"/>
        </w:rPr>
        <w:footnoteReference w:id="28"/>
      </w:r>
      <w:r w:rsidR="008F05CD">
        <w:t xml:space="preserve"> also argued the Decision is untimely per the Expedited Complaint Procedure, which according to </w:t>
      </w:r>
      <w:r w:rsidR="00570413">
        <w:t xml:space="preserve">Defendant </w:t>
      </w:r>
      <w:r w:rsidR="008F05CD">
        <w:t>Havasu is limited to 12 months and requires a hearing within 30 days of the filing of the answer</w:t>
      </w:r>
      <w:r w:rsidR="00357298">
        <w:t xml:space="preserve">.  </w:t>
      </w:r>
      <w:r w:rsidR="008F05CD">
        <w:t>(App. Reh.</w:t>
      </w:r>
      <w:r w:rsidR="00935982">
        <w:t xml:space="preserve"> at </w:t>
      </w:r>
      <w:r w:rsidR="008F05CD">
        <w:t xml:space="preserve">3 citing </w:t>
      </w:r>
      <w:r w:rsidR="00C371D6">
        <w:t>Rule </w:t>
      </w:r>
      <w:r w:rsidR="008F05CD">
        <w:t>4.6(d)</w:t>
      </w:r>
      <w:r w:rsidR="00C371D6">
        <w:t xml:space="preserve"> </w:t>
      </w:r>
      <w:r w:rsidRPr="001636DD" w:rsidR="00C371D6">
        <w:t>of the Commission</w:t>
      </w:r>
      <w:r w:rsidR="009040F0">
        <w:t>’</w:t>
      </w:r>
      <w:r w:rsidRPr="001636DD" w:rsidR="00C371D6">
        <w:t>s Rules of Practice and Procedure</w:t>
      </w:r>
      <w:r w:rsidR="00C371D6">
        <w:t xml:space="preserve"> (</w:t>
      </w:r>
      <w:r w:rsidR="0099249F">
        <w:t>Rules</w:t>
      </w:r>
      <w:r w:rsidR="00C371D6">
        <w:t>)</w:t>
      </w:r>
      <w:r w:rsidR="008F05CD">
        <w:t xml:space="preserve">.) </w:t>
      </w:r>
      <w:r w:rsidR="00D93A21">
        <w:t xml:space="preserve"> </w:t>
      </w:r>
      <w:r w:rsidR="00EC489A">
        <w:t>Defendant</w:t>
      </w:r>
      <w:r w:rsidR="008F05CD">
        <w:t xml:space="preserve"> </w:t>
      </w:r>
      <w:r w:rsidR="00570413">
        <w:t xml:space="preserve">Havasu </w:t>
      </w:r>
      <w:r w:rsidR="008F05CD">
        <w:t>contended that since the Commission rendered the Decision beyond the Commission</w:t>
      </w:r>
      <w:r w:rsidR="009040F0">
        <w:t>’</w:t>
      </w:r>
      <w:r w:rsidR="008F05CD">
        <w:t>s 12</w:t>
      </w:r>
      <w:r w:rsidR="00A14C18">
        <w:noBreakHyphen/>
      </w:r>
      <w:r w:rsidR="008F05CD">
        <w:t>month jurisdiction over Expedited Complaint Procedure cases, the Commission should have re</w:t>
      </w:r>
      <w:r w:rsidR="00A14C18">
        <w:noBreakHyphen/>
      </w:r>
      <w:r w:rsidR="008F05CD">
        <w:t>calendared the case under the Commission</w:t>
      </w:r>
      <w:r w:rsidR="009040F0">
        <w:t>’</w:t>
      </w:r>
      <w:r w:rsidR="008F05CD">
        <w:t>s regular hearing procedure</w:t>
      </w:r>
      <w:r w:rsidR="00357298">
        <w:t xml:space="preserve">.  </w:t>
      </w:r>
      <w:r w:rsidR="008F05CD">
        <w:t>(App. Reh.</w:t>
      </w:r>
      <w:r w:rsidR="00935982">
        <w:t xml:space="preserve"> at </w:t>
      </w:r>
      <w:r w:rsidR="008F05CD">
        <w:t>3</w:t>
      </w:r>
      <w:r w:rsidR="00A14C18">
        <w:noBreakHyphen/>
      </w:r>
      <w:r w:rsidR="008F05CD">
        <w:t>4.)</w:t>
      </w:r>
    </w:p>
    <w:p w:rsidR="00A402EC" w:rsidP="00122CC3" w:rsidRDefault="00EC489A" w14:paraId="7747B85F" w14:textId="1E89142A">
      <w:pPr>
        <w:pStyle w:val="Standard"/>
      </w:pPr>
      <w:r>
        <w:t>Defendant</w:t>
      </w:r>
      <w:r w:rsidR="008F05CD">
        <w:t xml:space="preserve"> </w:t>
      </w:r>
      <w:r w:rsidR="00570413">
        <w:t xml:space="preserve">Havasu </w:t>
      </w:r>
      <w:r w:rsidR="008F05CD">
        <w:t>pointed to no authority that requires an Expedited Complaint Procedure Case to be resolved within 12 months or mandates that an Expedited Complaint Procedure Case be converted to a regular case if not resolved within 12</w:t>
      </w:r>
      <w:r w:rsidR="00054A3C">
        <w:t xml:space="preserve"> </w:t>
      </w:r>
      <w:r w:rsidR="008F05CD">
        <w:t>months</w:t>
      </w:r>
      <w:r w:rsidR="007F47B6">
        <w:t>.</w:t>
      </w:r>
      <w:r w:rsidR="00054A3C">
        <w:t xml:space="preserve"> </w:t>
      </w:r>
      <w:r w:rsidR="00B3434A">
        <w:t xml:space="preserve"> </w:t>
      </w:r>
      <w:r w:rsidR="00D10982">
        <w:t xml:space="preserve">Defendant </w:t>
      </w:r>
      <w:r w:rsidR="008F05CD">
        <w:t>Havasu</w:t>
      </w:r>
      <w:r w:rsidR="00A44CBB">
        <w:t xml:space="preserve"> </w:t>
      </w:r>
      <w:r w:rsidR="007F47B6">
        <w:t xml:space="preserve">has </w:t>
      </w:r>
      <w:r w:rsidR="008F05CD">
        <w:t xml:space="preserve">cited to </w:t>
      </w:r>
      <w:r w:rsidR="00C371D6">
        <w:t>Rule </w:t>
      </w:r>
      <w:r w:rsidR="008F05CD">
        <w:t xml:space="preserve">4.6(d), but this rule merely requires a hearing to be held within 30 days of the filing of the answer.  </w:t>
      </w:r>
      <w:r w:rsidR="007C530E">
        <w:t xml:space="preserve">Moreover, </w:t>
      </w:r>
      <w:r w:rsidR="00D93A21">
        <w:t xml:space="preserve">as noted in the Commission Decision and restated here, </w:t>
      </w:r>
      <w:r w:rsidR="007F47B6">
        <w:t>it can be argued</w:t>
      </w:r>
      <w:r w:rsidR="007C530E">
        <w:t xml:space="preserve"> that </w:t>
      </w:r>
      <w:r>
        <w:t>Defendant</w:t>
      </w:r>
      <w:r w:rsidR="00570413">
        <w:t xml:space="preserve"> Havasu</w:t>
      </w:r>
      <w:r w:rsidR="009040F0">
        <w:t>’</w:t>
      </w:r>
      <w:r w:rsidR="00D93A21">
        <w:t>s</w:t>
      </w:r>
      <w:r w:rsidR="007C530E">
        <w:t xml:space="preserve"> </w:t>
      </w:r>
      <w:r w:rsidR="007F47B6">
        <w:t xml:space="preserve">conduct and posture in these proceedings has significantly contributed to the </w:t>
      </w:r>
      <w:r w:rsidR="007C530E">
        <w:t xml:space="preserve">delays </w:t>
      </w:r>
      <w:r w:rsidR="007F47B6">
        <w:t xml:space="preserve">and </w:t>
      </w:r>
      <w:r w:rsidR="007C530E">
        <w:t xml:space="preserve">final adjudication of these matters.  </w:t>
      </w:r>
      <w:r w:rsidR="008F05CD">
        <w:t xml:space="preserve">The Commission </w:t>
      </w:r>
      <w:r w:rsidR="007F47B6">
        <w:t xml:space="preserve">has </w:t>
      </w:r>
      <w:r w:rsidR="008F05CD">
        <w:t>complied with th</w:t>
      </w:r>
      <w:r w:rsidR="00122CC3">
        <w:t>e</w:t>
      </w:r>
      <w:r w:rsidR="008F05CD">
        <w:t xml:space="preserve"> requirement</w:t>
      </w:r>
      <w:r w:rsidR="00122CC3">
        <w:t xml:space="preserve">s </w:t>
      </w:r>
      <w:r w:rsidR="003F1D3D">
        <w:t>o</w:t>
      </w:r>
      <w:r w:rsidR="00122CC3">
        <w:t xml:space="preserve">f </w:t>
      </w:r>
      <w:r w:rsidR="00C371D6">
        <w:t>Rule </w:t>
      </w:r>
      <w:r w:rsidR="00122CC3">
        <w:t>4.6(d)</w:t>
      </w:r>
      <w:r w:rsidR="008F05CD">
        <w:t xml:space="preserve">, holding the </w:t>
      </w:r>
      <w:r w:rsidR="00122CC3">
        <w:t xml:space="preserve">evidentiary </w:t>
      </w:r>
      <w:r w:rsidR="008F05CD">
        <w:t xml:space="preserve">hearing on </w:t>
      </w:r>
      <w:r w:rsidR="009040F0">
        <w:t>December </w:t>
      </w:r>
      <w:r w:rsidR="00BA3A78">
        <w:t>10, 2024</w:t>
      </w:r>
      <w:r w:rsidR="008F05CD">
        <w:t xml:space="preserve">, which was </w:t>
      </w:r>
      <w:r w:rsidR="00BA3A78">
        <w:t xml:space="preserve">well </w:t>
      </w:r>
      <w:r w:rsidR="008F05CD">
        <w:t xml:space="preserve">within 30 days of the filing of </w:t>
      </w:r>
      <w:r w:rsidR="001F29CE">
        <w:t xml:space="preserve">Defendant </w:t>
      </w:r>
      <w:r w:rsidR="00A44CBB">
        <w:t>Havasu</w:t>
      </w:r>
      <w:r w:rsidR="009040F0">
        <w:t>’</w:t>
      </w:r>
      <w:r w:rsidR="008F05CD">
        <w:t xml:space="preserve">s Answer </w:t>
      </w:r>
      <w:r w:rsidR="00BA3A78">
        <w:t xml:space="preserve">on </w:t>
      </w:r>
      <w:r w:rsidR="009040F0">
        <w:t>December </w:t>
      </w:r>
      <w:r w:rsidR="00BA3A78">
        <w:t>3, 2024</w:t>
      </w:r>
      <w:r w:rsidR="008F05CD">
        <w:t>.</w:t>
      </w:r>
    </w:p>
    <w:p w:rsidRPr="00DD37A5" w:rsidR="00DD37A5" w:rsidP="00DD37A5" w:rsidRDefault="00DD37A5" w14:paraId="0185590A" w14:textId="7797027F">
      <w:pPr>
        <w:pStyle w:val="Heading1"/>
      </w:pPr>
      <w:r>
        <w:t>Conclusion</w:t>
      </w:r>
    </w:p>
    <w:p w:rsidR="00A402EC" w:rsidP="002961E2" w:rsidRDefault="002961E2" w14:paraId="5F001A8A" w14:textId="569B49AF">
      <w:pPr>
        <w:pStyle w:val="Standard"/>
      </w:pPr>
      <w:r>
        <w:t>To reiterate, the parties do not disagree as to whether</w:t>
      </w:r>
      <w:r w:rsidR="003F1D3D">
        <w:t xml:space="preserve"> Complainant owes money to Defendant.  We calculate</w:t>
      </w:r>
      <w:r>
        <w:t xml:space="preserve"> $1,040.40 is the correct calculated amount for </w:t>
      </w:r>
      <w:r>
        <w:lastRenderedPageBreak/>
        <w:t>service fees in the 2022</w:t>
      </w:r>
      <w:r w:rsidR="00A14C18">
        <w:noBreakHyphen/>
      </w:r>
      <w:r>
        <w:t>2023 year</w:t>
      </w:r>
      <w:r w:rsidR="003F1D3D">
        <w:t xml:space="preserve"> at 100%</w:t>
      </w:r>
      <w:r>
        <w:t xml:space="preserve">.  Therefore, 44% of $1,040.40 is $457.78.  </w:t>
      </w:r>
      <w:r w:rsidR="00F20DA5">
        <w:t xml:space="preserve">and the </w:t>
      </w:r>
      <w:r w:rsidR="001259D8">
        <w:t xml:space="preserve">Complainant </w:t>
      </w:r>
      <w:r w:rsidR="00F20DA5">
        <w:t xml:space="preserve">has </w:t>
      </w:r>
      <w:r w:rsidR="001259D8">
        <w:t xml:space="preserve">paid $375.00.  </w:t>
      </w:r>
      <w:r>
        <w:t>The remainder between $457.78 and $375 is $82.</w:t>
      </w:r>
      <w:r w:rsidR="001259D8">
        <w:t>7</w:t>
      </w:r>
      <w:r>
        <w:t xml:space="preserve">0.  </w:t>
      </w:r>
      <w:r w:rsidR="00F20DA5">
        <w:t xml:space="preserve">As stated, </w:t>
      </w:r>
      <w:r w:rsidR="00F20DA5">
        <w:rPr>
          <w:i/>
          <w:iCs/>
        </w:rPr>
        <w:t>supra,</w:t>
      </w:r>
      <w:r w:rsidR="00F20DA5">
        <w:t xml:space="preserve"> we find that the </w:t>
      </w:r>
      <w:r>
        <w:t>Complainant owes Defendant $82.</w:t>
      </w:r>
      <w:r w:rsidR="00B66FED">
        <w:t>7</w:t>
      </w:r>
      <w:r>
        <w:t>0 to satisfy any remaining readiness</w:t>
      </w:r>
      <w:r w:rsidR="00D90FE2">
        <w:t xml:space="preserve"> </w:t>
      </w:r>
      <w:r>
        <w:t>to</w:t>
      </w:r>
      <w:r w:rsidR="00D90FE2">
        <w:t xml:space="preserve"> </w:t>
      </w:r>
      <w:r>
        <w:t>serve fee outstanding from the 2022 through 2023 years, to be distributed through the money held in trust through the CPUC impound account created for this matter in her name.</w:t>
      </w:r>
    </w:p>
    <w:p w:rsidR="00A402EC" w:rsidP="00693A61" w:rsidRDefault="0025419E" w14:paraId="02CA1EF3" w14:textId="2E0F0EBB">
      <w:pPr>
        <w:pStyle w:val="Standard"/>
      </w:pPr>
      <w:r>
        <w:t>The C</w:t>
      </w:r>
      <w:r w:rsidR="007F47B6">
        <w:t>ommission</w:t>
      </w:r>
      <w:r>
        <w:t xml:space="preserve"> shall distribute </w:t>
      </w:r>
      <w:r w:rsidR="000D7D26">
        <w:t xml:space="preserve">the remaining </w:t>
      </w:r>
      <w:r w:rsidR="00FB3362">
        <w:t>money</w:t>
      </w:r>
      <w:r w:rsidR="000D7D26">
        <w:t xml:space="preserve"> of at </w:t>
      </w:r>
      <w:r w:rsidRPr="00D47ABF" w:rsidR="000D7D26">
        <w:t xml:space="preserve">least </w:t>
      </w:r>
      <w:r w:rsidR="001259D8">
        <w:t>$</w:t>
      </w:r>
      <w:r w:rsidRPr="001259D8" w:rsidR="001259D8">
        <w:t>2,336.49</w:t>
      </w:r>
      <w:r w:rsidR="001259D8">
        <w:t xml:space="preserve"> </w:t>
      </w:r>
      <w:r w:rsidR="000D7D26">
        <w:t xml:space="preserve">to </w:t>
      </w:r>
      <w:r w:rsidR="001259D8">
        <w:t xml:space="preserve">Defendant </w:t>
      </w:r>
      <w:r w:rsidR="000D7D26">
        <w:t xml:space="preserve">as </w:t>
      </w:r>
      <w:r w:rsidR="001259D8">
        <w:t xml:space="preserve">full and complete </w:t>
      </w:r>
      <w:r w:rsidR="000D7D26">
        <w:t>satisfaction of Complainant</w:t>
      </w:r>
      <w:r w:rsidR="009040F0">
        <w:t>’</w:t>
      </w:r>
      <w:r w:rsidR="000D7D26">
        <w:t>s water billing for the 2024 through 202</w:t>
      </w:r>
      <w:r w:rsidR="00D47ABF">
        <w:t>6</w:t>
      </w:r>
      <w:r w:rsidR="000D7D26">
        <w:t xml:space="preserve"> year</w:t>
      </w:r>
      <w:r w:rsidR="00214504">
        <w:t>s</w:t>
      </w:r>
      <w:r w:rsidR="000D7D26">
        <w:t>, through issuance of this Decision.</w:t>
      </w:r>
    </w:p>
    <w:p w:rsidR="00A402EC" w:rsidP="00693A61" w:rsidRDefault="00D6560E" w14:paraId="274FE64C" w14:textId="130223AD">
      <w:pPr>
        <w:pStyle w:val="Standard"/>
      </w:pPr>
      <w:r>
        <w:t xml:space="preserve">Havasu Water is </w:t>
      </w:r>
      <w:r w:rsidR="001726C8">
        <w:t>O</w:t>
      </w:r>
      <w:r>
        <w:t xml:space="preserve">rdered to accept that payment for </w:t>
      </w:r>
      <w:r w:rsidR="001259D8">
        <w:t>Susan</w:t>
      </w:r>
      <w:r w:rsidR="003D72C9">
        <w:t xml:space="preserve"> Wilson</w:t>
      </w:r>
      <w:r w:rsidR="009040F0">
        <w:t>’</w:t>
      </w:r>
      <w:r w:rsidR="003D72C9">
        <w:t xml:space="preserve">s </w:t>
      </w:r>
      <w:r>
        <w:t>water usage</w:t>
      </w:r>
      <w:r w:rsidR="001726C8">
        <w:t xml:space="preserve"> through </w:t>
      </w:r>
      <w:r w:rsidR="00FB3362">
        <w:t xml:space="preserve">the </w:t>
      </w:r>
      <w:r w:rsidR="001726C8">
        <w:t>present</w:t>
      </w:r>
      <w:r w:rsidR="00FB3362">
        <w:t xml:space="preserve"> issuance of the Decision</w:t>
      </w:r>
      <w:r>
        <w:t xml:space="preserve">. </w:t>
      </w:r>
      <w:r w:rsidR="00AB6F3F">
        <w:t xml:space="preserve"> </w:t>
      </w:r>
      <w:r w:rsidR="0025419E">
        <w:t>All other charges, penalties, late fees, compounded fees and interest</w:t>
      </w:r>
      <w:r w:rsidR="001259D8">
        <w:t>, deposits, administrative fees,</w:t>
      </w:r>
      <w:r w:rsidR="0025419E">
        <w:t xml:space="preserve"> and other </w:t>
      </w:r>
      <w:r w:rsidR="001259D8">
        <w:t>fines</w:t>
      </w:r>
      <w:r w:rsidR="0025419E">
        <w:t xml:space="preserve"> </w:t>
      </w:r>
      <w:r>
        <w:t xml:space="preserve">levied by Defendant against Complainant </w:t>
      </w:r>
      <w:r w:rsidR="0025419E">
        <w:t>are vacated and expunged.  This proceeding is closed.</w:t>
      </w:r>
    </w:p>
    <w:p w:rsidR="00284BB3" w:rsidP="00284BB3" w:rsidRDefault="00284BB3" w14:paraId="5C61B8A2" w14:textId="6F1F8576">
      <w:pPr>
        <w:pStyle w:val="Heading1"/>
      </w:pPr>
      <w:bookmarkStart w:name="_Toc190169779" w:id="3"/>
      <w:r w:rsidRPr="006857AB">
        <w:t>Assignment</w:t>
      </w:r>
      <w:r>
        <w:t xml:space="preserve"> of Proceeding</w:t>
      </w:r>
      <w:bookmarkEnd w:id="3"/>
    </w:p>
    <w:p w:rsidR="00284BB3" w:rsidP="00284BB3" w:rsidRDefault="00105AFC" w14:paraId="2BF4FD6A" w14:textId="354571CB">
      <w:pPr>
        <w:pStyle w:val="Standard"/>
      </w:pPr>
      <w:r>
        <w:t>Christine Harada</w:t>
      </w:r>
      <w:r w:rsidR="00284BB3">
        <w:t xml:space="preserve"> </w:t>
      </w:r>
      <w:r w:rsidRPr="005C4721" w:rsidR="00284BB3">
        <w:t xml:space="preserve">is the </w:t>
      </w:r>
      <w:r w:rsidR="00284BB3">
        <w:t>a</w:t>
      </w:r>
      <w:r w:rsidRPr="005C4721" w:rsidR="00284BB3">
        <w:t xml:space="preserve">ssigned Commissioner and </w:t>
      </w:r>
      <w:r w:rsidR="00284BB3">
        <w:t>Lena Afary</w:t>
      </w:r>
      <w:r w:rsidRPr="005C4721" w:rsidR="00284BB3">
        <w:t xml:space="preserve"> is the assigned </w:t>
      </w:r>
      <w:r w:rsidR="00F20DA5">
        <w:t>Administrative Law Judge</w:t>
      </w:r>
      <w:r w:rsidRPr="005C4721" w:rsidR="00284BB3">
        <w:t xml:space="preserve"> </w:t>
      </w:r>
      <w:r w:rsidR="00284BB3">
        <w:t xml:space="preserve">and Presiding Officer </w:t>
      </w:r>
      <w:r w:rsidRPr="005C4721" w:rsidR="00284BB3">
        <w:t>in this proceeding.</w:t>
      </w:r>
    </w:p>
    <w:p w:rsidRPr="00A636C7" w:rsidR="00284BB3" w:rsidP="00284BB3" w:rsidRDefault="00284BB3" w14:paraId="70AA87D3" w14:textId="77777777">
      <w:pPr>
        <w:pStyle w:val="Heading1"/>
      </w:pPr>
      <w:bookmarkStart w:name="_Toc190169780" w:id="4"/>
      <w:r w:rsidRPr="007D4E80">
        <w:t xml:space="preserve">Waiver </w:t>
      </w:r>
      <w:r w:rsidRPr="006857AB">
        <w:t>of</w:t>
      </w:r>
      <w:r w:rsidRPr="007D4E80">
        <w:t xml:space="preserve"> Comment Period</w:t>
      </w:r>
      <w:bookmarkEnd w:id="4"/>
    </w:p>
    <w:p w:rsidRPr="00394665" w:rsidR="00284BB3" w:rsidP="00284BB3" w:rsidRDefault="00284BB3" w14:paraId="60DB6940" w14:textId="6CD58150">
      <w:pPr>
        <w:pStyle w:val="Standard"/>
      </w:pPr>
      <w:r w:rsidRPr="001636DD">
        <w:t xml:space="preserve">Pursuant to </w:t>
      </w:r>
      <w:r w:rsidR="00C371D6">
        <w:t>Rule </w:t>
      </w:r>
      <w:r w:rsidRPr="001636DD">
        <w:t>14.</w:t>
      </w:r>
      <w:r>
        <w:t>7(b)</w:t>
      </w:r>
      <w:r w:rsidRPr="001636DD">
        <w:t>, the 30</w:t>
      </w:r>
      <w:r w:rsidR="00A14C18">
        <w:noBreakHyphen/>
      </w:r>
      <w:r w:rsidRPr="001636DD">
        <w:t>day public review and comment period required by Section</w:t>
      </w:r>
      <w:r w:rsidR="00112856">
        <w:t> </w:t>
      </w:r>
      <w:r w:rsidRPr="001636DD">
        <w:t>311</w:t>
      </w:r>
      <w:r>
        <w:t xml:space="preserve"> </w:t>
      </w:r>
      <w:r w:rsidRPr="001636DD">
        <w:t>of the Public Utilities Code and the opportunity to file comments on the proposed decision</w:t>
      </w:r>
      <w:r>
        <w:t xml:space="preserve"> is not applicable in Expedited Complaint Proceedings.</w:t>
      </w:r>
      <w:r w:rsidRPr="001636DD">
        <w:t xml:space="preserve">  Accordingly, this matter was placed on the Commission</w:t>
      </w:r>
      <w:r w:rsidR="009040F0">
        <w:t>’</w:t>
      </w:r>
      <w:r w:rsidRPr="001636DD">
        <w:t>s agenda directly for prompt action</w:t>
      </w:r>
      <w:r w:rsidR="001726C8">
        <w:t>.</w:t>
      </w:r>
    </w:p>
    <w:p w:rsidR="006359BD" w:rsidP="00CE66B2" w:rsidRDefault="00CE66B2" w14:paraId="1E9B6244" w14:textId="7A53204B">
      <w:pPr>
        <w:pStyle w:val="Mainex"/>
      </w:pPr>
      <w:r>
        <w:t>ORDER</w:t>
      </w:r>
    </w:p>
    <w:p w:rsidR="00A402EC" w:rsidP="000D7D26" w:rsidRDefault="000D7D26" w14:paraId="7C847A7C" w14:textId="6084B118">
      <w:pPr>
        <w:pStyle w:val="OP"/>
      </w:pPr>
      <w:r>
        <w:t>Complainant</w:t>
      </w:r>
      <w:r w:rsidR="00D47ABF">
        <w:t xml:space="preserve"> Susan Wilson is </w:t>
      </w:r>
      <w:r>
        <w:t>ordered to pay Defendant Havasu Water</w:t>
      </w:r>
      <w:r w:rsidR="00BD19B1">
        <w:t xml:space="preserve"> Company,</w:t>
      </w:r>
      <w:r>
        <w:t xml:space="preserve"> Inc. the sum </w:t>
      </w:r>
      <w:r w:rsidRPr="0025419E">
        <w:t xml:space="preserve">of </w:t>
      </w:r>
      <w:r>
        <w:t>$</w:t>
      </w:r>
      <w:r w:rsidR="00D47ABF">
        <w:t>82.</w:t>
      </w:r>
      <w:r w:rsidR="001259D8">
        <w:t>7</w:t>
      </w:r>
      <w:r w:rsidR="00D47ABF">
        <w:t>0</w:t>
      </w:r>
      <w:r>
        <w:t xml:space="preserve"> from money presently held in trust in the </w:t>
      </w:r>
      <w:r w:rsidR="00C85ADE">
        <w:lastRenderedPageBreak/>
        <w:t xml:space="preserve">California Public Utilities Commission </w:t>
      </w:r>
      <w:r>
        <w:t>impound account created for this matter for satisfaction of the 2022</w:t>
      </w:r>
      <w:r w:rsidR="00A14C18">
        <w:noBreakHyphen/>
      </w:r>
      <w:r>
        <w:t xml:space="preserve">2023 </w:t>
      </w:r>
      <w:r w:rsidR="00EC76CE">
        <w:t>readiness</w:t>
      </w:r>
      <w:r w:rsidR="00D90FE2">
        <w:t xml:space="preserve"> </w:t>
      </w:r>
      <w:r w:rsidR="00EC76CE">
        <w:t>to</w:t>
      </w:r>
      <w:r w:rsidR="00D90FE2">
        <w:t xml:space="preserve"> </w:t>
      </w:r>
      <w:r w:rsidR="00EC76CE">
        <w:t xml:space="preserve">serve </w:t>
      </w:r>
      <w:r>
        <w:t>fees</w:t>
      </w:r>
      <w:r w:rsidR="00214504">
        <w:t xml:space="preserve"> as </w:t>
      </w:r>
      <w:r w:rsidRPr="00214504" w:rsidR="00214504">
        <w:t xml:space="preserve">adjudicated by Decision on Rehearing </w:t>
      </w:r>
      <w:r w:rsidR="007E6156">
        <w:t>Decision </w:t>
      </w:r>
      <w:r w:rsidRPr="00214504" w:rsidR="00214504">
        <w:t>24</w:t>
      </w:r>
      <w:r w:rsidR="00A14C18">
        <w:noBreakHyphen/>
      </w:r>
      <w:r w:rsidRPr="00214504" w:rsidR="00214504">
        <w:t>08</w:t>
      </w:r>
      <w:r w:rsidR="00A14C18">
        <w:noBreakHyphen/>
      </w:r>
      <w:r w:rsidRPr="00214504" w:rsidR="00214504">
        <w:t xml:space="preserve">022 issued </w:t>
      </w:r>
      <w:r w:rsidR="009040F0">
        <w:t>August </w:t>
      </w:r>
      <w:r w:rsidRPr="00214504" w:rsidR="00214504">
        <w:t>1, 2024</w:t>
      </w:r>
      <w:r w:rsidR="00F8187D">
        <w:t>,</w:t>
      </w:r>
      <w:r w:rsidRPr="00214504" w:rsidR="00214504">
        <w:t xml:space="preserve"> pertaining to Decision</w:t>
      </w:r>
      <w:r w:rsidR="00F0404B">
        <w:t> </w:t>
      </w:r>
      <w:r w:rsidRPr="00214504" w:rsidR="00214504">
        <w:t>24</w:t>
      </w:r>
      <w:r w:rsidR="00A14C18">
        <w:noBreakHyphen/>
      </w:r>
      <w:r w:rsidRPr="00214504" w:rsidR="00214504">
        <w:t>03</w:t>
      </w:r>
      <w:r w:rsidR="00A14C18">
        <w:noBreakHyphen/>
      </w:r>
      <w:r w:rsidRPr="00214504" w:rsidR="00214504">
        <w:t xml:space="preserve">053 issued on </w:t>
      </w:r>
      <w:r w:rsidR="009040F0">
        <w:t>March </w:t>
      </w:r>
      <w:r w:rsidRPr="00214504" w:rsidR="00214504">
        <w:t>21, 2024</w:t>
      </w:r>
      <w:r>
        <w:t>.</w:t>
      </w:r>
    </w:p>
    <w:p w:rsidR="00A402EC" w:rsidP="000D7D26" w:rsidRDefault="000D7D26" w14:paraId="3F1684BD" w14:textId="2F4B1DF7">
      <w:pPr>
        <w:pStyle w:val="OP"/>
      </w:pPr>
      <w:r>
        <w:t>The C</w:t>
      </w:r>
      <w:r w:rsidR="009E057D">
        <w:t>alifornia Public Utilities Commission</w:t>
      </w:r>
      <w:r>
        <w:t xml:space="preserve"> </w:t>
      </w:r>
      <w:r w:rsidR="001C3A7B">
        <w:t xml:space="preserve">(CPUC) </w:t>
      </w:r>
      <w:r>
        <w:t>shall distribute $</w:t>
      </w:r>
      <w:r w:rsidR="00D47ABF">
        <w:t>82.</w:t>
      </w:r>
      <w:r w:rsidR="001259D8">
        <w:t>7</w:t>
      </w:r>
      <w:r w:rsidR="00D47ABF">
        <w:t>0</w:t>
      </w:r>
      <w:r>
        <w:t xml:space="preserve"> to </w:t>
      </w:r>
      <w:r w:rsidR="004B5F9D">
        <w:t xml:space="preserve">Defendant </w:t>
      </w:r>
      <w:r>
        <w:t xml:space="preserve">Havasu Water </w:t>
      </w:r>
      <w:r w:rsidR="00287C85">
        <w:t xml:space="preserve">Company, Inc. </w:t>
      </w:r>
      <w:r w:rsidR="004B5F9D">
        <w:t xml:space="preserve">(Defendant) </w:t>
      </w:r>
      <w:r>
        <w:t xml:space="preserve">to satisfy </w:t>
      </w:r>
      <w:r w:rsidR="00D47ABF">
        <w:t>this</w:t>
      </w:r>
      <w:r>
        <w:t xml:space="preserve"> remaining </w:t>
      </w:r>
      <w:r w:rsidR="00EC76CE">
        <w:t>readiness</w:t>
      </w:r>
      <w:r w:rsidR="00D90FE2">
        <w:t xml:space="preserve"> </w:t>
      </w:r>
      <w:r w:rsidR="00EC76CE">
        <w:t>to</w:t>
      </w:r>
      <w:r w:rsidR="00D90FE2">
        <w:t xml:space="preserve"> </w:t>
      </w:r>
      <w:r w:rsidR="00EC76CE">
        <w:t>serve</w:t>
      </w:r>
      <w:r>
        <w:t xml:space="preserve"> fees balance of 2022</w:t>
      </w:r>
      <w:r w:rsidR="00A14C18">
        <w:noBreakHyphen/>
      </w:r>
      <w:r>
        <w:t>2023</w:t>
      </w:r>
      <w:r w:rsidR="00214504">
        <w:t xml:space="preserve"> </w:t>
      </w:r>
      <w:r w:rsidRPr="00214504" w:rsidR="00214504">
        <w:t>as adjudicated by Decision on Rehearing D</w:t>
      </w:r>
      <w:r w:rsidR="00633509">
        <w:t>ecision </w:t>
      </w:r>
      <w:r w:rsidRPr="00214504" w:rsidR="00214504">
        <w:t>24</w:t>
      </w:r>
      <w:r w:rsidR="00A14C18">
        <w:noBreakHyphen/>
      </w:r>
      <w:r w:rsidRPr="00214504" w:rsidR="00214504">
        <w:t>08</w:t>
      </w:r>
      <w:r w:rsidR="00A14C18">
        <w:noBreakHyphen/>
      </w:r>
      <w:r w:rsidRPr="00214504" w:rsidR="00214504">
        <w:t xml:space="preserve">022 issued </w:t>
      </w:r>
      <w:r w:rsidR="009040F0">
        <w:t>August </w:t>
      </w:r>
      <w:r w:rsidRPr="00214504" w:rsidR="00214504">
        <w:t>1, 2024</w:t>
      </w:r>
      <w:r w:rsidR="00633509">
        <w:t>,</w:t>
      </w:r>
      <w:r w:rsidRPr="00214504" w:rsidR="00214504">
        <w:t xml:space="preserve"> pertaining to Decision</w:t>
      </w:r>
      <w:r w:rsidR="00633509">
        <w:t> </w:t>
      </w:r>
      <w:r w:rsidRPr="00214504" w:rsidR="00214504">
        <w:t>24</w:t>
      </w:r>
      <w:r w:rsidR="00A14C18">
        <w:noBreakHyphen/>
      </w:r>
      <w:r w:rsidRPr="00214504" w:rsidR="00214504">
        <w:t>03</w:t>
      </w:r>
      <w:r w:rsidR="00A14C18">
        <w:noBreakHyphen/>
      </w:r>
      <w:r w:rsidRPr="00214504" w:rsidR="00214504">
        <w:t xml:space="preserve">053 issued on </w:t>
      </w:r>
      <w:r w:rsidR="009040F0">
        <w:t>March </w:t>
      </w:r>
      <w:r w:rsidRPr="00214504" w:rsidR="00214504">
        <w:t>21, 2024</w:t>
      </w:r>
      <w:r w:rsidR="001E2C78">
        <w:t>,</w:t>
      </w:r>
      <w:r w:rsidR="00D47ABF">
        <w:t xml:space="preserve"> on behalf of</w:t>
      </w:r>
      <w:r w:rsidR="008C2B6B">
        <w:t xml:space="preserve"> Complainant</w:t>
      </w:r>
      <w:r w:rsidR="00D47ABF">
        <w:t xml:space="preserve"> Susan Wilson</w:t>
      </w:r>
      <w:r>
        <w:t xml:space="preserve">.  Defendant shall accept this sum as full </w:t>
      </w:r>
      <w:r w:rsidR="001259D8">
        <w:t xml:space="preserve">and final </w:t>
      </w:r>
      <w:r>
        <w:t>satisfaction of these fees.  This money will be taken from the monies presently in place in the CPUC impound account created for this rehearing matter.</w:t>
      </w:r>
    </w:p>
    <w:p w:rsidR="00A402EC" w:rsidP="00E14DE8" w:rsidRDefault="00E14DE8" w14:paraId="10943B63" w14:textId="794DCED4">
      <w:pPr>
        <w:pStyle w:val="OP"/>
      </w:pPr>
      <w:r w:rsidRPr="00E032B8">
        <w:t xml:space="preserve">The </w:t>
      </w:r>
      <w:r w:rsidRPr="007F47B6" w:rsidR="007F47B6">
        <w:t xml:space="preserve">California Public Utilities </w:t>
      </w:r>
      <w:r w:rsidRPr="00E032B8">
        <w:t>Commission</w:t>
      </w:r>
      <w:r w:rsidR="009040F0">
        <w:t>’</w:t>
      </w:r>
      <w:r w:rsidRPr="00E032B8">
        <w:t xml:space="preserve">s Fiscal Office is hereby directed to release to Defendant Havasu Water Company, Inc. </w:t>
      </w:r>
      <w:r>
        <w:t>one check for $</w:t>
      </w:r>
      <w:r w:rsidR="00D47ABF">
        <w:t>82.</w:t>
      </w:r>
      <w:r w:rsidR="001259D8">
        <w:t>7</w:t>
      </w:r>
      <w:r w:rsidR="00D47ABF">
        <w:t>0</w:t>
      </w:r>
      <w:r>
        <w:t xml:space="preserve"> and one check as remainder in at least an amount of </w:t>
      </w:r>
      <w:r w:rsidRPr="001259D8">
        <w:t>$</w:t>
      </w:r>
      <w:r w:rsidR="001259D8">
        <w:t>2,336.49</w:t>
      </w:r>
      <w:r>
        <w:t xml:space="preserve"> for satisfaction of bills incurred by Complainant</w:t>
      </w:r>
      <w:r w:rsidR="00D47ABF">
        <w:t xml:space="preserve"> Susan Wilson </w:t>
      </w:r>
      <w:r>
        <w:t>for 2022 through the issuance of this Decision.</w:t>
      </w:r>
    </w:p>
    <w:p w:rsidR="00A402EC" w:rsidP="001259D8" w:rsidRDefault="001259D8" w14:paraId="03C79454" w14:textId="5DEF0D18">
      <w:pPr>
        <w:pStyle w:val="OP"/>
      </w:pPr>
      <w:r>
        <w:t xml:space="preserve">The </w:t>
      </w:r>
      <w:r w:rsidRPr="007F47B6" w:rsidR="007F47B6">
        <w:t xml:space="preserve">California Public Utilities </w:t>
      </w:r>
      <w:r>
        <w:t>Commission vacates and expunges all other charges, penalties, late fees, compounded fees and interest, deposits, administrative fees, and other fines associated with the 2022</w:t>
      </w:r>
      <w:r w:rsidR="00A14C18">
        <w:noBreakHyphen/>
      </w:r>
      <w:r>
        <w:t>2026 water service fees alleged to be owed by Complainant Susan Wilson to Defendant</w:t>
      </w:r>
      <w:r w:rsidR="004F29FC">
        <w:t xml:space="preserve"> Havasu Water Company, Inc.</w:t>
      </w:r>
    </w:p>
    <w:p w:rsidR="00A402EC" w:rsidP="00C63C08" w:rsidRDefault="000D7D26" w14:paraId="589D02DB" w14:textId="77777777">
      <w:pPr>
        <w:pStyle w:val="OP"/>
      </w:pPr>
      <w:r>
        <w:t xml:space="preserve">Any remainder held in the </w:t>
      </w:r>
      <w:r w:rsidRPr="009E057D" w:rsidR="009E057D">
        <w:t xml:space="preserve">California Public Utilities Commission </w:t>
      </w:r>
      <w:r>
        <w:t xml:space="preserve"> impound account </w:t>
      </w:r>
      <w:r w:rsidR="00420CA8">
        <w:t xml:space="preserve">created for this matter </w:t>
      </w:r>
      <w:r>
        <w:t xml:space="preserve">shall be distributed to </w:t>
      </w:r>
      <w:r w:rsidR="004F29FC">
        <w:t xml:space="preserve">Defendant </w:t>
      </w:r>
      <w:r>
        <w:t xml:space="preserve">Havasu Water </w:t>
      </w:r>
      <w:r w:rsidR="004F29FC">
        <w:t xml:space="preserve">Company, Inc. </w:t>
      </w:r>
      <w:r>
        <w:t xml:space="preserve">as satisfaction for </w:t>
      </w:r>
      <w:r w:rsidR="00420CA8">
        <w:t>the billing cycle after issuance of this Decision</w:t>
      </w:r>
      <w:r w:rsidR="00D47ABF">
        <w:t xml:space="preserve"> for services provided to </w:t>
      </w:r>
      <w:r w:rsidR="004F29FC">
        <w:t xml:space="preserve">Complainant </w:t>
      </w:r>
      <w:r w:rsidR="00D47ABF">
        <w:t>Susan Wilson</w:t>
      </w:r>
      <w:r w:rsidR="00420CA8">
        <w:t>.</w:t>
      </w:r>
    </w:p>
    <w:p w:rsidR="00420CA8" w:rsidP="00C63C08" w:rsidRDefault="00420CA8" w14:paraId="6F6309A5" w14:textId="518E3BE8">
      <w:pPr>
        <w:pStyle w:val="OP"/>
      </w:pPr>
      <w:r>
        <w:lastRenderedPageBreak/>
        <w:t>Complainant</w:t>
      </w:r>
      <w:r w:rsidR="00D47ABF">
        <w:t xml:space="preserve"> </w:t>
      </w:r>
      <w:r w:rsidR="009B259F">
        <w:t xml:space="preserve">Susan Wilson </w:t>
      </w:r>
      <w:r w:rsidR="00D47ABF">
        <w:t xml:space="preserve">is </w:t>
      </w:r>
      <w:r>
        <w:t xml:space="preserve">ordered to resume payments to </w:t>
      </w:r>
      <w:r w:rsidR="009B259F">
        <w:t xml:space="preserve">Defendant </w:t>
      </w:r>
      <w:r>
        <w:t>Havasu Water</w:t>
      </w:r>
      <w:r w:rsidR="00732342">
        <w:t xml:space="preserve"> </w:t>
      </w:r>
      <w:r w:rsidR="009B259F">
        <w:t xml:space="preserve">Company, Inc. (Havasu Water) </w:t>
      </w:r>
      <w:r w:rsidR="00732342">
        <w:t>rather than to the C</w:t>
      </w:r>
      <w:r w:rsidR="009E057D">
        <w:t>alifornia Public Utilities Commission</w:t>
      </w:r>
      <w:r>
        <w:t xml:space="preserve"> should </w:t>
      </w:r>
      <w:r w:rsidR="00D47ABF">
        <w:t>she</w:t>
      </w:r>
      <w:r>
        <w:t xml:space="preserve"> choose to continue purchasing water from Havasu Water.</w:t>
      </w:r>
    </w:p>
    <w:p w:rsidR="00A402EC" w:rsidP="00982FA9" w:rsidRDefault="0025419E" w14:paraId="3D461231" w14:textId="77777777">
      <w:pPr>
        <w:pStyle w:val="OP"/>
        <w:keepNext/>
      </w:pPr>
      <w:r>
        <w:t>This proceeding is closed.</w:t>
      </w:r>
    </w:p>
    <w:bookmarkEnd w:id="0"/>
    <w:p w:rsidR="00A402EC" w:rsidP="00982FA9" w:rsidRDefault="008D1485" w14:paraId="38203C74" w14:textId="77777777">
      <w:pPr>
        <w:pStyle w:val="Standard"/>
        <w:keepNext/>
      </w:pPr>
      <w:r w:rsidRPr="005E6FFA">
        <w:t>This order is effective today.</w:t>
      </w:r>
    </w:p>
    <w:p w:rsidRPr="005E6FFA" w:rsidR="008D1485" w:rsidP="00982FA9" w:rsidRDefault="008D1485" w14:paraId="71C811D0" w14:textId="52B6E2AD">
      <w:pPr>
        <w:pStyle w:val="Standard"/>
        <w:keepNext/>
      </w:pPr>
      <w:r w:rsidRPr="005E6FFA">
        <w:t xml:space="preserve">Dated </w:t>
      </w:r>
      <w:r w:rsidRPr="00BD7805" w:rsidR="00BD7805">
        <w:t>June 11, 2026</w:t>
      </w:r>
      <w:r w:rsidRPr="005E6FFA">
        <w:t xml:space="preserve">, at </w:t>
      </w:r>
      <w:r w:rsidR="00D72A69">
        <w:t>Sacramento</w:t>
      </w:r>
      <w:r w:rsidRPr="005E6FFA">
        <w:t>, California.</w:t>
      </w:r>
    </w:p>
    <w:p w:rsidRPr="00132251" w:rsidR="005A2494" w:rsidP="005A2494" w:rsidRDefault="005A2494" w14:paraId="61A898D9" w14:textId="77777777">
      <w:pPr>
        <w:pStyle w:val="SigSpaceBA"/>
      </w:pPr>
      <w:bookmarkStart w:name="_Hlk125015643" w:id="5"/>
    </w:p>
    <w:p w:rsidRPr="00132251" w:rsidR="005A2494" w:rsidP="005A2494" w:rsidRDefault="005A2494" w14:paraId="1BFCB7F2" w14:textId="77777777">
      <w:pPr>
        <w:pStyle w:val="SigBlockBA-Cmr"/>
      </w:pPr>
      <w:r w:rsidRPr="00132251">
        <w:t>JOHN REYNOLDS</w:t>
      </w:r>
    </w:p>
    <w:p w:rsidRPr="00132251" w:rsidR="005A2494" w:rsidP="005A2494" w:rsidRDefault="005A2494" w14:paraId="492973BD" w14:textId="77777777">
      <w:pPr>
        <w:pStyle w:val="SigBlockBA-Title"/>
      </w:pPr>
      <w:r w:rsidRPr="00132251">
        <w:t>President</w:t>
      </w:r>
    </w:p>
    <w:p w:rsidRPr="00132251" w:rsidR="005A2494" w:rsidP="005A2494" w:rsidRDefault="005A2494" w14:paraId="5649F5AC" w14:textId="77777777">
      <w:pPr>
        <w:pStyle w:val="SigBlockBA-Cmr"/>
      </w:pPr>
      <w:r w:rsidRPr="00132251">
        <w:t>DARCIE L. HOUCK</w:t>
      </w:r>
    </w:p>
    <w:p w:rsidRPr="00132251" w:rsidR="005A2494" w:rsidP="005A2494" w:rsidRDefault="005A2494" w14:paraId="6E62A36B" w14:textId="77777777">
      <w:pPr>
        <w:pStyle w:val="SigBlockBA-Cmr"/>
      </w:pPr>
      <w:r w:rsidRPr="001A0FB9">
        <w:t>KAREN DOUGLAS</w:t>
      </w:r>
    </w:p>
    <w:p w:rsidR="005A2494" w:rsidP="005A2494" w:rsidRDefault="005A2494" w14:paraId="59243B34" w14:textId="77777777">
      <w:pPr>
        <w:pStyle w:val="SigBlockBA-Cmr"/>
      </w:pPr>
      <w:r>
        <w:t>MATTHEW BAKER</w:t>
      </w:r>
    </w:p>
    <w:p w:rsidRPr="00132251" w:rsidR="005A2494" w:rsidP="005A2494" w:rsidRDefault="005A2494" w14:paraId="5E001321" w14:textId="77777777">
      <w:pPr>
        <w:pStyle w:val="SigBlockBA-Cmr"/>
      </w:pPr>
      <w:r>
        <w:t>CHRISTINE HARADA</w:t>
      </w:r>
    </w:p>
    <w:p w:rsidR="00CD1D1F" w:rsidP="005A2494" w:rsidRDefault="005A2494" w14:paraId="034737E4" w14:textId="3E46ABD8">
      <w:pPr>
        <w:pStyle w:val="SigBlockBA-Title"/>
      </w:pPr>
      <w:r w:rsidRPr="00132251">
        <w:t>Commissioners</w:t>
      </w:r>
      <w:bookmarkEnd w:id="5"/>
    </w:p>
    <w:sectPr w:rsidR="00CD1D1F" w:rsidSect="00A9285B">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8AD5" w14:textId="77777777" w:rsidR="006432E6" w:rsidRDefault="006432E6" w:rsidP="0098138E">
      <w:pPr>
        <w:spacing w:line="240" w:lineRule="auto"/>
      </w:pPr>
      <w:r>
        <w:separator/>
      </w:r>
    </w:p>
  </w:endnote>
  <w:endnote w:type="continuationSeparator" w:id="0">
    <w:p w14:paraId="24AF00F2" w14:textId="77777777" w:rsidR="006432E6" w:rsidRDefault="006432E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DB40" w14:textId="229E8852" w:rsidR="00EE4315" w:rsidRDefault="00A14C18" w:rsidP="00CD1D1F">
    <w:pPr>
      <w:tabs>
        <w:tab w:val="left" w:pos="600"/>
        <w:tab w:val="center" w:pos="4680"/>
      </w:tabs>
      <w:spacing w:line="240" w:lineRule="auto"/>
      <w:ind w:firstLine="0"/>
      <w:jc w:val="center"/>
    </w:pPr>
    <w:r>
      <w:noBreakHyphen/>
    </w:r>
    <w:r w:rsidR="00EE4315">
      <w:t xml:space="preserve"> </w:t>
    </w:r>
    <w:sdt>
      <w:sdtPr>
        <w:id w:val="1935164809"/>
        <w:docPartObj>
          <w:docPartGallery w:val="Page Numbers (Bottom of Page)"/>
          <w:docPartUnique/>
        </w:docPartObj>
      </w:sdtPr>
      <w:sdtEndPr>
        <w:rPr>
          <w:noProof/>
        </w:rPr>
      </w:sdtEndPr>
      <w:sdtContent>
        <w:r w:rsidR="00EE4315">
          <w:fldChar w:fldCharType="begin"/>
        </w:r>
        <w:r w:rsidR="00EE4315">
          <w:instrText xml:space="preserve"> PAGE   \* MERGEFORMAT </w:instrText>
        </w:r>
        <w:r w:rsidR="00EE4315">
          <w:fldChar w:fldCharType="separate"/>
        </w:r>
        <w:r w:rsidR="00470C72">
          <w:rPr>
            <w:noProof/>
          </w:rPr>
          <w:t>7</w:t>
        </w:r>
        <w:r w:rsidR="00EE4315">
          <w:rPr>
            <w:noProof/>
          </w:rPr>
          <w:fldChar w:fldCharType="end"/>
        </w:r>
        <w:r w:rsidR="00EE4315">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3D18" w14:textId="593D9F47" w:rsidR="009660A9" w:rsidRDefault="00AF5ED1" w:rsidP="00D44D28">
    <w:pPr>
      <w:pStyle w:val="Footer"/>
      <w:ind w:firstLine="0"/>
    </w:pPr>
    <w:r w:rsidRPr="00AF5ED1">
      <w:rPr>
        <w:sz w:val="16"/>
        <w:szCs w:val="16"/>
      </w:rPr>
      <w:t>609102635</w:t>
    </w:r>
    <w:r w:rsidR="009660A9">
      <w:rPr>
        <w:sz w:val="16"/>
        <w:szCs w:val="16"/>
      </w:rPr>
      <w:tab/>
    </w:r>
    <w:r w:rsidR="00A14C18">
      <w:rPr>
        <w:szCs w:val="26"/>
      </w:rPr>
      <w:noBreakHyphen/>
    </w:r>
    <w:r w:rsidR="009660A9" w:rsidRPr="009660A9">
      <w:rPr>
        <w:szCs w:val="26"/>
      </w:rPr>
      <w:t xml:space="preserve"> 1 </w:t>
    </w:r>
    <w:r w:rsidR="00A14C18">
      <w:rPr>
        <w:szCs w:val="26"/>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1759" w14:textId="77777777" w:rsidR="006432E6" w:rsidRDefault="006432E6" w:rsidP="00DF58E7">
      <w:pPr>
        <w:spacing w:line="240" w:lineRule="auto"/>
        <w:ind w:firstLine="0"/>
      </w:pPr>
      <w:r>
        <w:separator/>
      </w:r>
    </w:p>
  </w:footnote>
  <w:footnote w:type="continuationSeparator" w:id="0">
    <w:p w14:paraId="4CE892AC" w14:textId="77777777" w:rsidR="006432E6" w:rsidRDefault="006432E6" w:rsidP="00DF58E7">
      <w:pPr>
        <w:spacing w:line="240" w:lineRule="auto"/>
        <w:ind w:firstLine="0"/>
      </w:pPr>
      <w:r>
        <w:continuationSeparator/>
      </w:r>
    </w:p>
  </w:footnote>
  <w:footnote w:type="continuationNotice" w:id="1">
    <w:p w14:paraId="36B395EE" w14:textId="77777777" w:rsidR="006432E6" w:rsidRPr="00DF58E7" w:rsidRDefault="006432E6" w:rsidP="00DF58E7">
      <w:pPr>
        <w:spacing w:line="240" w:lineRule="auto"/>
        <w:ind w:firstLine="0"/>
        <w:jc w:val="right"/>
        <w:rPr>
          <w:i/>
          <w:sz w:val="22"/>
        </w:rPr>
      </w:pPr>
      <w:r w:rsidRPr="00DF58E7">
        <w:rPr>
          <w:i/>
          <w:sz w:val="22"/>
        </w:rPr>
        <w:t>Footnote continued on next page.</w:t>
      </w:r>
    </w:p>
  </w:footnote>
  <w:footnote w:id="2">
    <w:p w14:paraId="73D5A2B5" w14:textId="57CD0A69" w:rsidR="00B33C1F" w:rsidRDefault="00B33C1F" w:rsidP="00B33C1F">
      <w:pPr>
        <w:pStyle w:val="FootnoteText"/>
      </w:pPr>
      <w:r>
        <w:rPr>
          <w:rStyle w:val="FootnoteReference"/>
        </w:rPr>
        <w:footnoteRef/>
      </w:r>
      <w:r>
        <w:t xml:space="preserve"> </w:t>
      </w:r>
      <w:r w:rsidR="00FD1317">
        <w:t>Exhibit </w:t>
      </w:r>
      <w:r>
        <w:t xml:space="preserve">1, </w:t>
      </w:r>
      <w:r w:rsidR="00307347">
        <w:t>Decision</w:t>
      </w:r>
      <w:r w:rsidR="00A51307">
        <w:t xml:space="preserve"> (D.)</w:t>
      </w:r>
      <w:r w:rsidR="00307347">
        <w:t> </w:t>
      </w:r>
      <w:r w:rsidRPr="00D364A8">
        <w:t>24</w:t>
      </w:r>
      <w:r w:rsidR="00A14C18">
        <w:noBreakHyphen/>
      </w:r>
      <w:r w:rsidRPr="00D364A8">
        <w:t>08</w:t>
      </w:r>
      <w:r w:rsidR="00A14C18">
        <w:noBreakHyphen/>
      </w:r>
      <w:r w:rsidRPr="00D364A8">
        <w:t>022</w:t>
      </w:r>
      <w:r>
        <w:t>.</w:t>
      </w:r>
    </w:p>
  </w:footnote>
  <w:footnote w:id="3">
    <w:p w14:paraId="02435773" w14:textId="5CEFF65E" w:rsidR="00B33C1F" w:rsidRDefault="00B33C1F">
      <w:pPr>
        <w:pStyle w:val="FootnoteText"/>
      </w:pPr>
      <w:r>
        <w:rPr>
          <w:rStyle w:val="FootnoteReference"/>
        </w:rPr>
        <w:footnoteRef/>
      </w:r>
      <w:r>
        <w:t xml:space="preserve"> </w:t>
      </w:r>
      <w:r w:rsidRPr="00721C00">
        <w:t xml:space="preserve">Decision </w:t>
      </w:r>
      <w:r>
        <w:t xml:space="preserve">on Rehearing </w:t>
      </w:r>
      <w:r w:rsidR="009970CC">
        <w:t>Decision </w:t>
      </w:r>
      <w:r w:rsidRPr="00721C00">
        <w:t>24</w:t>
      </w:r>
      <w:r w:rsidR="00A14C18">
        <w:noBreakHyphen/>
      </w:r>
      <w:r w:rsidRPr="00721C00">
        <w:t>08</w:t>
      </w:r>
      <w:r w:rsidR="00A14C18">
        <w:noBreakHyphen/>
      </w:r>
      <w:r w:rsidRPr="00721C00">
        <w:t xml:space="preserve">022 </w:t>
      </w:r>
      <w:r>
        <w:t xml:space="preserve">issued </w:t>
      </w:r>
      <w:r w:rsidR="009040F0">
        <w:t>August </w:t>
      </w:r>
      <w:r w:rsidRPr="00721C00">
        <w:t>1, 2024</w:t>
      </w:r>
      <w:r w:rsidR="00935982">
        <w:t xml:space="preserve"> at </w:t>
      </w:r>
      <w:r>
        <w:t>12.</w:t>
      </w:r>
    </w:p>
  </w:footnote>
  <w:footnote w:id="4">
    <w:p w14:paraId="0558C92D" w14:textId="3AB072AC" w:rsidR="006429E6" w:rsidRDefault="006429E6">
      <w:pPr>
        <w:pStyle w:val="FootnoteText"/>
      </w:pPr>
      <w:r>
        <w:rPr>
          <w:rStyle w:val="FootnoteReference"/>
        </w:rPr>
        <w:footnoteRef/>
      </w:r>
      <w:r>
        <w:t xml:space="preserve"> $2,418.49</w:t>
      </w:r>
      <w:r w:rsidR="0089618D">
        <w:t xml:space="preserve"> - </w:t>
      </w:r>
      <w:r>
        <w:t>$82.</w:t>
      </w:r>
      <w:r w:rsidR="008E1E95">
        <w:t>7</w:t>
      </w:r>
      <w:r>
        <w:t>0</w:t>
      </w:r>
      <w:r w:rsidR="00FB2CAD">
        <w:t xml:space="preserve"> = </w:t>
      </w:r>
      <w:r>
        <w:t xml:space="preserve">$2,336.49 (per CPUC impound account balance of </w:t>
      </w:r>
      <w:r w:rsidR="009040F0">
        <w:t>March </w:t>
      </w:r>
      <w:r>
        <w:t>18, 2026).</w:t>
      </w:r>
    </w:p>
  </w:footnote>
  <w:footnote w:id="5">
    <w:p w14:paraId="02D26C25" w14:textId="21DA0DC9" w:rsidR="00E575AE" w:rsidRDefault="00E575AE">
      <w:pPr>
        <w:pStyle w:val="FootnoteText"/>
      </w:pPr>
      <w:r>
        <w:rPr>
          <w:rStyle w:val="FootnoteReference"/>
        </w:rPr>
        <w:footnoteRef/>
      </w:r>
      <w:r>
        <w:t xml:space="preserve"> Answer</w:t>
      </w:r>
      <w:r w:rsidR="00935982">
        <w:t xml:space="preserve"> at </w:t>
      </w:r>
      <w:r>
        <w:t>1.</w:t>
      </w:r>
    </w:p>
  </w:footnote>
  <w:footnote w:id="6">
    <w:p w14:paraId="737C3923" w14:textId="6009FCD1" w:rsidR="002B1CA5" w:rsidRDefault="002B1CA5" w:rsidP="002B1CA5">
      <w:pPr>
        <w:pStyle w:val="FootnoteText"/>
      </w:pPr>
      <w:r>
        <w:rPr>
          <w:rStyle w:val="FootnoteReference"/>
        </w:rPr>
        <w:footnoteRef/>
      </w:r>
      <w:r>
        <w:t xml:space="preserve"> Karen Chamberlain was not specifically named in C</w:t>
      </w:r>
      <w:r w:rsidR="00D53B59">
        <w:t>ase (C.) </w:t>
      </w:r>
      <w:r>
        <w:t>23</w:t>
      </w:r>
      <w:r w:rsidR="00A14C18">
        <w:noBreakHyphen/>
      </w:r>
      <w:r>
        <w:t>02</w:t>
      </w:r>
      <w:r w:rsidR="00A14C18">
        <w:noBreakHyphen/>
      </w:r>
      <w:r>
        <w:t>009 but was directly impacted.  Karen Chamberlain is a named party in this matter, C.</w:t>
      </w:r>
      <w:r w:rsidRPr="00014757">
        <w:t>24</w:t>
      </w:r>
      <w:r w:rsidR="00A14C18">
        <w:noBreakHyphen/>
      </w:r>
      <w:r w:rsidRPr="00014757">
        <w:t>10</w:t>
      </w:r>
      <w:r w:rsidR="00A14C18">
        <w:noBreakHyphen/>
      </w:r>
      <w:r w:rsidRPr="00014757">
        <w:t>016</w:t>
      </w:r>
      <w:r>
        <w:t>.  Gary and Karen Chamberlain are spouses</w:t>
      </w:r>
      <w:r w:rsidR="00357298">
        <w:t xml:space="preserve">.  </w:t>
      </w:r>
      <w:r>
        <w:t xml:space="preserve">The Chamberlains filed a separate matter which was </w:t>
      </w:r>
      <w:r w:rsidRPr="006429E6">
        <w:t>adjudicated on</w:t>
      </w:r>
      <w:r>
        <w:t xml:space="preserve"> </w:t>
      </w:r>
      <w:r w:rsidR="009040F0">
        <w:t>December </w:t>
      </w:r>
      <w:r>
        <w:t>4, 2025.</w:t>
      </w:r>
    </w:p>
  </w:footnote>
  <w:footnote w:id="7">
    <w:p w14:paraId="572C2C31" w14:textId="358F5F1A" w:rsidR="00014757" w:rsidRDefault="00014757">
      <w:pPr>
        <w:pStyle w:val="FootnoteText"/>
      </w:pPr>
      <w:r>
        <w:rPr>
          <w:rStyle w:val="FootnoteReference"/>
        </w:rPr>
        <w:footnoteRef/>
      </w:r>
      <w:r>
        <w:t xml:space="preserve"> Charles Ramsden is not a named Complainant in </w:t>
      </w:r>
      <w:r w:rsidR="000546CB">
        <w:t>C.</w:t>
      </w:r>
      <w:r w:rsidRPr="00014757">
        <w:t>24</w:t>
      </w:r>
      <w:r w:rsidR="00A14C18">
        <w:noBreakHyphen/>
      </w:r>
      <w:r w:rsidRPr="00014757">
        <w:t>10</w:t>
      </w:r>
      <w:r w:rsidR="00A14C18">
        <w:noBreakHyphen/>
      </w:r>
      <w:r w:rsidRPr="00014757">
        <w:t>016</w:t>
      </w:r>
      <w:r>
        <w:t>.</w:t>
      </w:r>
    </w:p>
  </w:footnote>
  <w:footnote w:id="8">
    <w:p w14:paraId="4E59C939" w14:textId="27A46A11" w:rsidR="000E5369" w:rsidRDefault="000E5369">
      <w:pPr>
        <w:pStyle w:val="FootnoteText"/>
      </w:pPr>
      <w:r>
        <w:rPr>
          <w:rStyle w:val="FootnoteReference"/>
        </w:rPr>
        <w:footnoteRef/>
      </w:r>
      <w:r>
        <w:t xml:space="preserve"> Susan Wilson is not a named Complainant in </w:t>
      </w:r>
      <w:r w:rsidR="000546CB">
        <w:t>C.</w:t>
      </w:r>
      <w:r w:rsidR="00262B67" w:rsidRPr="00262B67">
        <w:t>24</w:t>
      </w:r>
      <w:r w:rsidR="00A14C18">
        <w:noBreakHyphen/>
      </w:r>
      <w:r w:rsidR="00262B67" w:rsidRPr="00262B67">
        <w:t>10</w:t>
      </w:r>
      <w:r w:rsidR="00A14C18">
        <w:noBreakHyphen/>
      </w:r>
      <w:r w:rsidR="00262B67" w:rsidRPr="00262B67">
        <w:t>016</w:t>
      </w:r>
      <w:r w:rsidR="00357298">
        <w:t xml:space="preserve">.  </w:t>
      </w:r>
      <w:r w:rsidR="00886157">
        <w:t xml:space="preserve">Susan </w:t>
      </w:r>
      <w:r>
        <w:t xml:space="preserve">Wilson has brought a separate claim </w:t>
      </w:r>
      <w:r w:rsidR="000546CB">
        <w:t>C.</w:t>
      </w:r>
      <w:r w:rsidRPr="000E5369">
        <w:t>24</w:t>
      </w:r>
      <w:r w:rsidR="00A14C18">
        <w:noBreakHyphen/>
      </w:r>
      <w:r w:rsidRPr="000E5369">
        <w:t>10</w:t>
      </w:r>
      <w:r w:rsidR="00A14C18">
        <w:noBreakHyphen/>
      </w:r>
      <w:r w:rsidRPr="000E5369">
        <w:t>01</w:t>
      </w:r>
      <w:r>
        <w:t xml:space="preserve">7 alleging similar facts under a separate action.  </w:t>
      </w:r>
      <w:r w:rsidR="000546CB">
        <w:t>C.</w:t>
      </w:r>
      <w:r w:rsidRPr="000E5369">
        <w:t>24</w:t>
      </w:r>
      <w:r w:rsidR="00A14C18">
        <w:noBreakHyphen/>
      </w:r>
      <w:r w:rsidRPr="000E5369">
        <w:t>10</w:t>
      </w:r>
      <w:r w:rsidR="00A14C18">
        <w:noBreakHyphen/>
      </w:r>
      <w:r w:rsidRPr="000E5369">
        <w:t>01</w:t>
      </w:r>
      <w:r>
        <w:t xml:space="preserve">7 will be adjudicated </w:t>
      </w:r>
      <w:r w:rsidR="00262B67">
        <w:t>independently</w:t>
      </w:r>
      <w:r>
        <w:t xml:space="preserve"> from </w:t>
      </w:r>
      <w:r w:rsidR="000546CB">
        <w:t>C.</w:t>
      </w:r>
      <w:r w:rsidRPr="000E5369">
        <w:t>24</w:t>
      </w:r>
      <w:r w:rsidR="00A14C18">
        <w:noBreakHyphen/>
      </w:r>
      <w:r w:rsidRPr="000E5369">
        <w:t>10</w:t>
      </w:r>
      <w:r w:rsidR="00A14C18">
        <w:noBreakHyphen/>
      </w:r>
      <w:r w:rsidRPr="000E5369">
        <w:t>016</w:t>
      </w:r>
      <w:r w:rsidR="00357298">
        <w:t xml:space="preserve">.  </w:t>
      </w:r>
      <w:r w:rsidR="00236CF8">
        <w:t xml:space="preserve">The Commission takes judicial notice of the companion matter to this Complaint, </w:t>
      </w:r>
      <w:r w:rsidR="000546CB">
        <w:t>C.</w:t>
      </w:r>
      <w:r w:rsidR="00236CF8" w:rsidRPr="004653A8">
        <w:t>24</w:t>
      </w:r>
      <w:r w:rsidR="00A14C18">
        <w:noBreakHyphen/>
      </w:r>
      <w:r w:rsidR="00236CF8" w:rsidRPr="004653A8">
        <w:t>10</w:t>
      </w:r>
      <w:r w:rsidR="00A14C18">
        <w:noBreakHyphen/>
      </w:r>
      <w:r w:rsidR="00236CF8" w:rsidRPr="004653A8">
        <w:t>01</w:t>
      </w:r>
      <w:r w:rsidR="00236CF8">
        <w:t xml:space="preserve">7 </w:t>
      </w:r>
      <w:r w:rsidR="007457D7">
        <w:t>(</w:t>
      </w:r>
      <w:r w:rsidR="00236CF8" w:rsidRPr="00E14DE8">
        <w:rPr>
          <w:i/>
          <w:iCs/>
        </w:rPr>
        <w:t>Susan Wilson</w:t>
      </w:r>
      <w:r w:rsidR="00F909CD">
        <w:rPr>
          <w:i/>
          <w:iCs/>
        </w:rPr>
        <w:t xml:space="preserve"> v. </w:t>
      </w:r>
      <w:r w:rsidR="00236CF8" w:rsidRPr="00E14DE8">
        <w:rPr>
          <w:i/>
          <w:iCs/>
        </w:rPr>
        <w:t>Havasu Water</w:t>
      </w:r>
      <w:r w:rsidR="007457D7" w:rsidRPr="007457D7">
        <w:t>)</w:t>
      </w:r>
      <w:r w:rsidR="009F5EDA">
        <w:t>,</w:t>
      </w:r>
      <w:r w:rsidR="00236CF8">
        <w:t xml:space="preserve"> pursuant to California Evidence Code Section</w:t>
      </w:r>
      <w:r w:rsidR="00FE0286">
        <w:t> </w:t>
      </w:r>
      <w:r w:rsidR="00236CF8">
        <w:t>452 et seq</w:t>
      </w:r>
      <w:r w:rsidR="00357298">
        <w:t xml:space="preserve">.  </w:t>
      </w:r>
      <w:r w:rsidR="00FE0286">
        <w:t>(</w:t>
      </w:r>
      <w:r w:rsidR="00236CF8">
        <w:t>Cal. Code Evid. §</w:t>
      </w:r>
      <w:r w:rsidR="00FE0286">
        <w:t> </w:t>
      </w:r>
      <w:r w:rsidR="00236CF8">
        <w:t>452 et seq.</w:t>
      </w:r>
      <w:r w:rsidR="00FE0286">
        <w:t>)</w:t>
      </w:r>
    </w:p>
  </w:footnote>
  <w:footnote w:id="9">
    <w:p w14:paraId="2693B5DD" w14:textId="1C0E261E" w:rsidR="00CA6118" w:rsidRDefault="00CA6118" w:rsidP="00CA6118">
      <w:pPr>
        <w:pStyle w:val="FootnoteText"/>
        <w:rPr>
          <w:szCs w:val="22"/>
        </w:rPr>
      </w:pPr>
      <w:r>
        <w:rPr>
          <w:rStyle w:val="FootnoteReference"/>
          <w:szCs w:val="22"/>
        </w:rPr>
        <w:footnoteRef/>
      </w:r>
      <w:r>
        <w:rPr>
          <w:szCs w:val="22"/>
        </w:rPr>
        <w:t xml:space="preserve"> </w:t>
      </w:r>
      <w:r>
        <w:rPr>
          <w:i/>
          <w:iCs/>
          <w:szCs w:val="22"/>
        </w:rPr>
        <w:t>See generally</w:t>
      </w:r>
      <w:r>
        <w:rPr>
          <w:szCs w:val="22"/>
        </w:rPr>
        <w:t xml:space="preserve">, </w:t>
      </w:r>
      <w:r w:rsidR="00771EAE" w:rsidRPr="00771EAE">
        <w:rPr>
          <w:szCs w:val="22"/>
        </w:rPr>
        <w:t>C.23</w:t>
      </w:r>
      <w:r w:rsidR="00A14C18">
        <w:rPr>
          <w:szCs w:val="22"/>
        </w:rPr>
        <w:noBreakHyphen/>
      </w:r>
      <w:r w:rsidR="00771EAE" w:rsidRPr="00771EAE">
        <w:rPr>
          <w:szCs w:val="22"/>
        </w:rPr>
        <w:t>05</w:t>
      </w:r>
      <w:r w:rsidR="00A14C18">
        <w:rPr>
          <w:szCs w:val="22"/>
        </w:rPr>
        <w:noBreakHyphen/>
      </w:r>
      <w:r w:rsidR="00771EAE" w:rsidRPr="00771EAE">
        <w:rPr>
          <w:szCs w:val="22"/>
        </w:rPr>
        <w:t xml:space="preserve">009 </w:t>
      </w:r>
      <w:r>
        <w:rPr>
          <w:szCs w:val="22"/>
        </w:rPr>
        <w:t>Complaint</w:t>
      </w:r>
      <w:r w:rsidR="00935982">
        <w:rPr>
          <w:szCs w:val="22"/>
        </w:rPr>
        <w:t xml:space="preserve"> at </w:t>
      </w:r>
      <w:r>
        <w:rPr>
          <w:szCs w:val="22"/>
        </w:rPr>
        <w:t>1</w:t>
      </w:r>
      <w:r w:rsidR="00A14C18">
        <w:rPr>
          <w:szCs w:val="22"/>
        </w:rPr>
        <w:noBreakHyphen/>
      </w:r>
      <w:r>
        <w:rPr>
          <w:szCs w:val="22"/>
        </w:rPr>
        <w:t>5.</w:t>
      </w:r>
    </w:p>
  </w:footnote>
  <w:footnote w:id="10">
    <w:p w14:paraId="0BB49EE7" w14:textId="6A6C9EA5" w:rsidR="00CA6118" w:rsidRDefault="00CA6118" w:rsidP="00CA6118">
      <w:pPr>
        <w:pStyle w:val="FootnoteText"/>
      </w:pPr>
      <w:r>
        <w:rPr>
          <w:rStyle w:val="FootnoteReference"/>
        </w:rPr>
        <w:footnoteRef/>
      </w:r>
      <w:r>
        <w:t xml:space="preserve"> </w:t>
      </w:r>
      <w:r w:rsidRPr="009C2714">
        <w:rPr>
          <w:i/>
          <w:iCs/>
        </w:rPr>
        <w:t xml:space="preserve">See </w:t>
      </w:r>
      <w:r>
        <w:t>Decision (D.)</w:t>
      </w:r>
      <w:r w:rsidR="00307347">
        <w:t> </w:t>
      </w:r>
      <w:r>
        <w:t>24</w:t>
      </w:r>
      <w:r w:rsidR="00A14C18">
        <w:noBreakHyphen/>
      </w:r>
      <w:r>
        <w:t>03</w:t>
      </w:r>
      <w:r w:rsidR="00A14C18">
        <w:noBreakHyphen/>
      </w:r>
      <w:r>
        <w:t xml:space="preserve">053 </w:t>
      </w:r>
      <w:r w:rsidR="009040F0">
        <w:t>March </w:t>
      </w:r>
      <w:r>
        <w:t>21, 2024 (Date of Issuance 3/25/2024).</w:t>
      </w:r>
    </w:p>
  </w:footnote>
  <w:footnote w:id="11">
    <w:p w14:paraId="1554F221" w14:textId="503DFC90" w:rsidR="00034819" w:rsidRDefault="00034819">
      <w:pPr>
        <w:pStyle w:val="FootnoteText"/>
      </w:pPr>
      <w:r>
        <w:rPr>
          <w:rStyle w:val="FootnoteReference"/>
        </w:rPr>
        <w:footnoteRef/>
      </w:r>
      <w:r>
        <w:t xml:space="preserve"> </w:t>
      </w:r>
      <w:r w:rsidR="00307347">
        <w:t>D.</w:t>
      </w:r>
      <w:r w:rsidRPr="00034819">
        <w:t>24</w:t>
      </w:r>
      <w:r w:rsidR="00A14C18">
        <w:noBreakHyphen/>
      </w:r>
      <w:r w:rsidRPr="00034819">
        <w:t>08</w:t>
      </w:r>
      <w:r w:rsidR="00A14C18">
        <w:noBreakHyphen/>
      </w:r>
      <w:r w:rsidRPr="00034819">
        <w:t>022</w:t>
      </w:r>
      <w:r w:rsidR="00935982">
        <w:t xml:space="preserve"> at </w:t>
      </w:r>
      <w:r>
        <w:t xml:space="preserve">11 and </w:t>
      </w:r>
      <w:r w:rsidR="003836F2">
        <w:t>footnote </w:t>
      </w:r>
      <w:r>
        <w:t>1.</w:t>
      </w:r>
    </w:p>
  </w:footnote>
  <w:footnote w:id="12">
    <w:p w14:paraId="711D7D3D" w14:textId="70FB477B" w:rsidR="00FE2E98" w:rsidRDefault="00FE2E98">
      <w:pPr>
        <w:pStyle w:val="FootnoteText"/>
      </w:pPr>
      <w:r>
        <w:rPr>
          <w:rStyle w:val="FootnoteReference"/>
        </w:rPr>
        <w:footnoteRef/>
      </w:r>
      <w:r>
        <w:t xml:space="preserve"> There is a companion case, C.24</w:t>
      </w:r>
      <w:r w:rsidR="00A14C18">
        <w:noBreakHyphen/>
      </w:r>
      <w:r>
        <w:t>10</w:t>
      </w:r>
      <w:r w:rsidR="00A14C18">
        <w:noBreakHyphen/>
      </w:r>
      <w:r>
        <w:t xml:space="preserve">016 </w:t>
      </w:r>
      <w:r w:rsidR="00167ABD">
        <w:t>(</w:t>
      </w:r>
      <w:r w:rsidRPr="00167ABD">
        <w:rPr>
          <w:i/>
          <w:iCs/>
        </w:rPr>
        <w:t>Gary and Karen Chamberlain</w:t>
      </w:r>
      <w:r w:rsidR="00F909CD" w:rsidRPr="00167ABD">
        <w:rPr>
          <w:i/>
          <w:iCs/>
        </w:rPr>
        <w:t xml:space="preserve"> v. </w:t>
      </w:r>
      <w:r w:rsidRPr="00167ABD">
        <w:rPr>
          <w:i/>
          <w:iCs/>
        </w:rPr>
        <w:t>Havasu</w:t>
      </w:r>
      <w:r w:rsidR="00167ABD">
        <w:rPr>
          <w:i/>
          <w:iCs/>
        </w:rPr>
        <w:t>)</w:t>
      </w:r>
      <w:r>
        <w:t>.  The assigned ALJ issued a nearly identical cease and desist for the Chamberlains within days of the instant matter</w:t>
      </w:r>
      <w:r w:rsidR="00927D81">
        <w:t xml:space="preserve"> for similar conduct by </w:t>
      </w:r>
      <w:r w:rsidR="00547F74">
        <w:t>Def</w:t>
      </w:r>
      <w:r w:rsidR="00927D81">
        <w:t>endant</w:t>
      </w:r>
      <w:r>
        <w:t>.</w:t>
      </w:r>
    </w:p>
  </w:footnote>
  <w:footnote w:id="13">
    <w:p w14:paraId="5A8FAEC4" w14:textId="5E59D0E7" w:rsidR="007B045F" w:rsidRDefault="007B045F">
      <w:pPr>
        <w:pStyle w:val="FootnoteText"/>
      </w:pPr>
      <w:r>
        <w:rPr>
          <w:rStyle w:val="FootnoteReference"/>
        </w:rPr>
        <w:footnoteRef/>
      </w:r>
      <w:r>
        <w:t xml:space="preserve"> </w:t>
      </w:r>
      <w:r w:rsidR="009040F0">
        <w:t>October </w:t>
      </w:r>
      <w:r>
        <w:t>30, 2024 Cease and Desist notice</w:t>
      </w:r>
      <w:r w:rsidR="00935982">
        <w:t xml:space="preserve"> at </w:t>
      </w:r>
      <w:r>
        <w:t>3.</w:t>
      </w:r>
    </w:p>
  </w:footnote>
  <w:footnote w:id="14">
    <w:p w14:paraId="6E60A941" w14:textId="508CB7D5" w:rsidR="004653A8" w:rsidRDefault="004653A8">
      <w:pPr>
        <w:pStyle w:val="FootnoteText"/>
      </w:pPr>
      <w:r>
        <w:rPr>
          <w:rStyle w:val="FootnoteReference"/>
        </w:rPr>
        <w:footnoteRef/>
      </w:r>
      <w:r>
        <w:t xml:space="preserve"> </w:t>
      </w:r>
      <w:r w:rsidR="007B045F">
        <w:t xml:space="preserve">Gary and Karen Chamberlain appeared as witness for Susan Wilson on that date.  </w:t>
      </w:r>
      <w:r>
        <w:t>Susan Wilson appeared as witness for Gary and Karen Chamberlain</w:t>
      </w:r>
      <w:r w:rsidR="007B045F">
        <w:t xml:space="preserve"> om that same date, in the same joint hearing</w:t>
      </w:r>
      <w:r>
        <w:t>.</w:t>
      </w:r>
    </w:p>
  </w:footnote>
  <w:footnote w:id="15">
    <w:p w14:paraId="23944B67" w14:textId="41753787" w:rsidR="00F95D18" w:rsidRDefault="00F95D18">
      <w:pPr>
        <w:pStyle w:val="FootnoteText"/>
      </w:pPr>
      <w:r>
        <w:rPr>
          <w:rStyle w:val="FootnoteReference"/>
        </w:rPr>
        <w:footnoteRef/>
      </w:r>
      <w:r>
        <w:t xml:space="preserve">  </w:t>
      </w:r>
      <w:r w:rsidR="00AD1C67">
        <w:t>Webex</w:t>
      </w:r>
      <w:r>
        <w:t xml:space="preserve"> video was in</w:t>
      </w:r>
      <w:r w:rsidR="00A14C18">
        <w:noBreakHyphen/>
      </w:r>
      <w:r>
        <w:t xml:space="preserve">operational for all parties for unknown reasons.  The hearing continued by </w:t>
      </w:r>
      <w:r w:rsidR="00AD1C67">
        <w:t>Webex</w:t>
      </w:r>
      <w:r w:rsidR="00D6560E">
        <w:t xml:space="preserve"> </w:t>
      </w:r>
      <w:r>
        <w:t>audio.</w:t>
      </w:r>
    </w:p>
  </w:footnote>
  <w:footnote w:id="16">
    <w:p w14:paraId="0CD47FAF" w14:textId="1C09596D" w:rsidR="00E235AD" w:rsidRDefault="00E235AD">
      <w:pPr>
        <w:pStyle w:val="FootnoteText"/>
      </w:pPr>
      <w:r>
        <w:rPr>
          <w:rStyle w:val="FootnoteReference"/>
        </w:rPr>
        <w:footnoteRef/>
      </w:r>
      <w:r>
        <w:t xml:space="preserve"> </w:t>
      </w:r>
      <w:r w:rsidRPr="00E235AD">
        <w:rPr>
          <w:i/>
          <w:iCs/>
        </w:rPr>
        <w:t xml:space="preserve">See </w:t>
      </w:r>
      <w:r>
        <w:t>Amended Complaint</w:t>
      </w:r>
      <w:r w:rsidR="00935982">
        <w:t xml:space="preserve"> at </w:t>
      </w:r>
      <w:r>
        <w:t>2.</w:t>
      </w:r>
    </w:p>
  </w:footnote>
  <w:footnote w:id="17">
    <w:p w14:paraId="2D889862" w14:textId="0CC4FED9" w:rsidR="00ED339D" w:rsidRDefault="00ED339D">
      <w:pPr>
        <w:pStyle w:val="FootnoteText"/>
      </w:pPr>
      <w:r>
        <w:rPr>
          <w:rStyle w:val="FootnoteReference"/>
        </w:rPr>
        <w:footnoteRef/>
      </w:r>
      <w:r>
        <w:t xml:space="preserve"> </w:t>
      </w:r>
      <w:r w:rsidRPr="00ED339D">
        <w:t xml:space="preserve">In late December 2024 and early January 2025, the </w:t>
      </w:r>
      <w:r>
        <w:t>Chamberlains in C.24</w:t>
      </w:r>
      <w:r w:rsidR="00A14C18">
        <w:noBreakHyphen/>
      </w:r>
      <w:r>
        <w:t>10</w:t>
      </w:r>
      <w:r w:rsidR="00A14C18">
        <w:noBreakHyphen/>
      </w:r>
      <w:r>
        <w:t xml:space="preserve">017 </w:t>
      </w:r>
      <w:r w:rsidRPr="00ED339D">
        <w:t>informed the ALJ by email that there was a water leak under the Chamberlain property, specifically the driveway.  This issue does not directly relate to any issue previously raised in the C.23</w:t>
      </w:r>
      <w:r w:rsidR="00A14C18">
        <w:noBreakHyphen/>
      </w:r>
      <w:r w:rsidRPr="00ED339D">
        <w:t>02</w:t>
      </w:r>
      <w:r w:rsidR="00A14C18">
        <w:noBreakHyphen/>
      </w:r>
      <w:r w:rsidRPr="00ED339D">
        <w:t>009 or C.24</w:t>
      </w:r>
      <w:r w:rsidR="00A14C18">
        <w:noBreakHyphen/>
      </w:r>
      <w:r w:rsidRPr="00ED339D">
        <w:t>10</w:t>
      </w:r>
      <w:r w:rsidR="00A14C18">
        <w:noBreakHyphen/>
      </w:r>
      <w:r w:rsidRPr="00ED339D">
        <w:t>01</w:t>
      </w:r>
      <w:r>
        <w:t>6 or even C.24</w:t>
      </w:r>
      <w:r w:rsidR="00A14C18">
        <w:noBreakHyphen/>
      </w:r>
      <w:r>
        <w:t>10</w:t>
      </w:r>
      <w:r w:rsidR="00A14C18">
        <w:noBreakHyphen/>
      </w:r>
      <w:r>
        <w:t>017</w:t>
      </w:r>
      <w:r w:rsidRPr="00ED339D">
        <w:t xml:space="preserve"> matters</w:t>
      </w:r>
      <w:r>
        <w:t>,</w:t>
      </w:r>
      <w:r w:rsidRPr="00ED339D">
        <w:t xml:space="preserve"> but does involve the </w:t>
      </w:r>
      <w:r>
        <w:t>some of the same parties and witnesses and is known to the community</w:t>
      </w:r>
      <w:r w:rsidRPr="00ED339D">
        <w:t xml:space="preserve">.  </w:t>
      </w:r>
      <w:r>
        <w:t xml:space="preserve">The </w:t>
      </w:r>
      <w:r w:rsidRPr="00ED339D">
        <w:t>leak has since been repaired and as it is not the subject of this proceeding.</w:t>
      </w:r>
      <w:r>
        <w:t xml:space="preserve">  We make note of this as this issue caused delay in adjudicating the instant matter, C.24</w:t>
      </w:r>
      <w:r w:rsidR="00A14C18">
        <w:noBreakHyphen/>
      </w:r>
      <w:r>
        <w:t>10</w:t>
      </w:r>
      <w:r w:rsidR="00A14C18">
        <w:noBreakHyphen/>
      </w:r>
      <w:r>
        <w:t>017.</w:t>
      </w:r>
    </w:p>
  </w:footnote>
  <w:footnote w:id="18">
    <w:p w14:paraId="5E144E03" w14:textId="4EFD83E3" w:rsidR="00D54AAA" w:rsidRDefault="00D54AAA">
      <w:pPr>
        <w:pStyle w:val="FootnoteText"/>
      </w:pPr>
      <w:r>
        <w:rPr>
          <w:rStyle w:val="FootnoteReference"/>
        </w:rPr>
        <w:footnoteRef/>
      </w:r>
      <w:r>
        <w:t xml:space="preserve"> </w:t>
      </w:r>
      <w:r w:rsidR="00C2451B">
        <w:t xml:space="preserve">Amended </w:t>
      </w:r>
      <w:r>
        <w:t>Complaint</w:t>
      </w:r>
      <w:r w:rsidR="00935982">
        <w:t xml:space="preserve"> at </w:t>
      </w:r>
      <w:r w:rsidR="00C2451B">
        <w:t>2</w:t>
      </w:r>
      <w:r>
        <w:t xml:space="preserve"> and Answer</w:t>
      </w:r>
      <w:r w:rsidR="00935982">
        <w:t xml:space="preserve"> at </w:t>
      </w:r>
      <w:r>
        <w:t>1.</w:t>
      </w:r>
    </w:p>
  </w:footnote>
  <w:footnote w:id="19">
    <w:p w14:paraId="31FA9DA9" w14:textId="060E5033" w:rsidR="00A07464" w:rsidRDefault="00A07464">
      <w:pPr>
        <w:pStyle w:val="FootnoteText"/>
      </w:pPr>
      <w:r>
        <w:rPr>
          <w:rStyle w:val="FootnoteReference"/>
        </w:rPr>
        <w:footnoteRef/>
      </w:r>
      <w:r>
        <w:t xml:space="preserve"> Monthly service fees for </w:t>
      </w:r>
      <w:r w:rsidR="00172880">
        <w:t>Complainant</w:t>
      </w:r>
      <w:r w:rsidR="009040F0">
        <w:t>’</w:t>
      </w:r>
      <w:r w:rsidR="00172880">
        <w:t>s</w:t>
      </w:r>
      <w:r>
        <w:t xml:space="preserve"> home is $86.70</w:t>
      </w:r>
      <w:r w:rsidR="005476F7">
        <w:t> </w:t>
      </w:r>
      <w:r>
        <w:t>x 12</w:t>
      </w:r>
      <w:r w:rsidR="005476F7">
        <w:t> </w:t>
      </w:r>
      <w:r>
        <w:t>= $1,040.40</w:t>
      </w:r>
      <w:r w:rsidR="005476F7">
        <w:t> </w:t>
      </w:r>
      <w:r>
        <w:t>x 0.56</w:t>
      </w:r>
      <w:r w:rsidR="005476F7">
        <w:t> </w:t>
      </w:r>
      <w:r>
        <w:t>= $582.40</w:t>
      </w:r>
      <w:r w:rsidR="005476F7">
        <w:t>.</w:t>
      </w:r>
    </w:p>
  </w:footnote>
  <w:footnote w:id="20">
    <w:p w14:paraId="2DD95D32" w14:textId="4E5FDE6B" w:rsidR="00F02066" w:rsidRDefault="00F02066" w:rsidP="00F02066">
      <w:pPr>
        <w:pStyle w:val="FootnoteText"/>
      </w:pPr>
      <w:r>
        <w:rPr>
          <w:rStyle w:val="FootnoteReference"/>
        </w:rPr>
        <w:footnoteRef/>
      </w:r>
      <w:r>
        <w:t xml:space="preserve"> </w:t>
      </w:r>
      <w:r w:rsidR="00C2451B">
        <w:t xml:space="preserve">Amended </w:t>
      </w:r>
      <w:r>
        <w:t>Complaint</w:t>
      </w:r>
      <w:r w:rsidR="00935982">
        <w:t xml:space="preserve"> at </w:t>
      </w:r>
      <w:r>
        <w:t>1</w:t>
      </w:r>
      <w:r w:rsidR="00A14C18">
        <w:noBreakHyphen/>
      </w:r>
      <w:r w:rsidR="00C2451B">
        <w:t>6</w:t>
      </w:r>
      <w:r>
        <w:t>; Answer</w:t>
      </w:r>
      <w:r w:rsidR="00935982">
        <w:t xml:space="preserve"> at </w:t>
      </w:r>
      <w:r>
        <w:t>1.</w:t>
      </w:r>
    </w:p>
  </w:footnote>
  <w:footnote w:id="21">
    <w:p w14:paraId="0DDADC13" w14:textId="30B3BBE9" w:rsidR="00F02066" w:rsidRDefault="00F02066" w:rsidP="00F02066">
      <w:pPr>
        <w:pStyle w:val="FootnoteText"/>
      </w:pPr>
      <w:r>
        <w:rPr>
          <w:rStyle w:val="FootnoteReference"/>
        </w:rPr>
        <w:footnoteRef/>
      </w:r>
      <w:r>
        <w:t xml:space="preserve"> Answer</w:t>
      </w:r>
      <w:r w:rsidR="00935982">
        <w:t xml:space="preserve"> at </w:t>
      </w:r>
      <w:r>
        <w:t>1.</w:t>
      </w:r>
    </w:p>
  </w:footnote>
  <w:footnote w:id="22">
    <w:p w14:paraId="68EC1D72" w14:textId="123FEB4A" w:rsidR="00932678" w:rsidRDefault="00932678">
      <w:pPr>
        <w:pStyle w:val="FootnoteText"/>
      </w:pPr>
      <w:r>
        <w:rPr>
          <w:rStyle w:val="FootnoteReference"/>
        </w:rPr>
        <w:footnoteRef/>
      </w:r>
      <w:r>
        <w:t xml:space="preserve"> Amended Complaint at 1-2.</w:t>
      </w:r>
    </w:p>
  </w:footnote>
  <w:footnote w:id="23">
    <w:p w14:paraId="651A9525" w14:textId="04657D3E" w:rsidR="009841CE" w:rsidRDefault="009841CE">
      <w:pPr>
        <w:pStyle w:val="FootnoteText"/>
      </w:pPr>
      <w:r>
        <w:rPr>
          <w:rStyle w:val="FootnoteReference"/>
        </w:rPr>
        <w:footnoteRef/>
      </w:r>
      <w:r>
        <w:t xml:space="preserve"> Answer</w:t>
      </w:r>
      <w:r w:rsidR="00935982">
        <w:t xml:space="preserve"> at </w:t>
      </w:r>
      <w:r>
        <w:t>1.</w:t>
      </w:r>
    </w:p>
  </w:footnote>
  <w:footnote w:id="24">
    <w:p w14:paraId="7888AF52" w14:textId="78D93F84" w:rsidR="00172880" w:rsidRDefault="00172880">
      <w:pPr>
        <w:pStyle w:val="FootnoteText"/>
      </w:pPr>
      <w:r>
        <w:rPr>
          <w:rStyle w:val="FootnoteReference"/>
        </w:rPr>
        <w:footnoteRef/>
      </w:r>
      <w:r>
        <w:t xml:space="preserve"> Monthly service fees for Complainant</w:t>
      </w:r>
      <w:r w:rsidR="009040F0">
        <w:t>’</w:t>
      </w:r>
      <w:r>
        <w:t>s home is $86.70</w:t>
      </w:r>
      <w:r w:rsidR="00FB2CAD">
        <w:t xml:space="preserve"> x </w:t>
      </w:r>
      <w:r>
        <w:t>12 months</w:t>
      </w:r>
      <w:r w:rsidR="00FB2CAD">
        <w:t xml:space="preserve"> = </w:t>
      </w:r>
      <w:r>
        <w:t>$1,040.40 total (100%)</w:t>
      </w:r>
      <w:r w:rsidR="00D7228F">
        <w:t>.</w:t>
      </w:r>
    </w:p>
  </w:footnote>
  <w:footnote w:id="25">
    <w:p w14:paraId="4F95D092" w14:textId="5A9F3135" w:rsidR="00214504" w:rsidRDefault="00214504">
      <w:pPr>
        <w:pStyle w:val="FootnoteText"/>
      </w:pPr>
      <w:r>
        <w:rPr>
          <w:rStyle w:val="FootnoteReference"/>
        </w:rPr>
        <w:footnoteRef/>
      </w:r>
      <w:r>
        <w:t xml:space="preserve"> </w:t>
      </w:r>
      <w:r w:rsidRPr="009A3A7C">
        <w:rPr>
          <w:i/>
          <w:iCs/>
        </w:rPr>
        <w:t xml:space="preserve">See </w:t>
      </w:r>
      <w:r>
        <w:t xml:space="preserve">Impound Notice of </w:t>
      </w:r>
      <w:r w:rsidR="009040F0">
        <w:t>March </w:t>
      </w:r>
      <w:r w:rsidR="009A3A7C">
        <w:t>18, 2026</w:t>
      </w:r>
      <w:r>
        <w:t>.</w:t>
      </w:r>
    </w:p>
  </w:footnote>
  <w:footnote w:id="26">
    <w:p w14:paraId="79D74062" w14:textId="10037C4D" w:rsidR="006852B4" w:rsidRDefault="006852B4" w:rsidP="006852B4">
      <w:pPr>
        <w:pStyle w:val="FootnoteText"/>
      </w:pPr>
      <w:r>
        <w:rPr>
          <w:rStyle w:val="FootnoteReference"/>
        </w:rPr>
        <w:footnoteRef/>
      </w:r>
      <w:r>
        <w:t xml:space="preserve"> This Commission takes judicial notice pursuant to California Evidence Code Section</w:t>
      </w:r>
      <w:r w:rsidR="00FC577E">
        <w:t> </w:t>
      </w:r>
      <w:r>
        <w:t xml:space="preserve">452(d)(1) </w:t>
      </w:r>
      <w:r w:rsidR="009040F0">
        <w:t>“</w:t>
      </w:r>
      <w:r w:rsidRPr="00EE406C">
        <w:t>Records of</w:t>
      </w:r>
      <w:r>
        <w:t xml:space="preserve">… </w:t>
      </w:r>
      <w:r w:rsidRPr="00EE406C">
        <w:t>any court of this state</w:t>
      </w:r>
      <w:r>
        <w:t>,</w:t>
      </w:r>
      <w:r w:rsidR="009040F0">
        <w:t>”</w:t>
      </w:r>
      <w:r>
        <w:t xml:space="preserve"> of proceedings:</w:t>
      </w:r>
    </w:p>
    <w:p w14:paraId="51CDD7C0" w14:textId="4D73DD8B" w:rsidR="006852B4" w:rsidRDefault="006852B4" w:rsidP="005F4851">
      <w:pPr>
        <w:pStyle w:val="FootnoteText"/>
        <w:ind w:left="720" w:right="1440"/>
      </w:pPr>
      <w:r w:rsidRPr="006771EA">
        <w:t>C</w:t>
      </w:r>
      <w:r w:rsidR="00711CBE">
        <w:t>.</w:t>
      </w:r>
      <w:r w:rsidRPr="006771EA">
        <w:t>23</w:t>
      </w:r>
      <w:r w:rsidR="00711CBE">
        <w:t>-</w:t>
      </w:r>
      <w:r w:rsidRPr="006771EA">
        <w:t>02</w:t>
      </w:r>
      <w:r w:rsidR="00711CBE">
        <w:t>-</w:t>
      </w:r>
      <w:r w:rsidRPr="006771EA">
        <w:t>008</w:t>
      </w:r>
      <w:r>
        <w:t xml:space="preserve"> </w:t>
      </w:r>
      <w:r w:rsidRPr="006771EA">
        <w:t xml:space="preserve">(ECP) </w:t>
      </w:r>
      <w:r w:rsidRPr="00EE406C">
        <w:rPr>
          <w:i/>
          <w:iCs/>
        </w:rPr>
        <w:t xml:space="preserve">Marion Jaramillo and Susan Newton d/b/a </w:t>
      </w:r>
      <w:proofErr w:type="spellStart"/>
      <w:r w:rsidRPr="00EE406C">
        <w:rPr>
          <w:i/>
          <w:iCs/>
        </w:rPr>
        <w:t>Firebells</w:t>
      </w:r>
      <w:proofErr w:type="spellEnd"/>
      <w:r w:rsidRPr="00EE406C">
        <w:rPr>
          <w:i/>
          <w:iCs/>
        </w:rPr>
        <w:t>, Complainants</w:t>
      </w:r>
      <w:r w:rsidR="008E54F1">
        <w:rPr>
          <w:i/>
          <w:iCs/>
        </w:rPr>
        <w:t xml:space="preserve"> v. </w:t>
      </w:r>
      <w:r w:rsidRPr="00EE406C">
        <w:rPr>
          <w:i/>
          <w:iCs/>
        </w:rPr>
        <w:t>Havasu Water Company, Inc</w:t>
      </w:r>
      <w:r w:rsidR="00AB7383">
        <w:t>. (</w:t>
      </w:r>
      <w:r w:rsidRPr="006771EA">
        <w:t>U352W), Defendant</w:t>
      </w:r>
      <w:r w:rsidR="00357298">
        <w:t xml:space="preserve">.  </w:t>
      </w:r>
      <w:r w:rsidRPr="006771EA">
        <w:t>[Charging allegation is billing error.]</w:t>
      </w:r>
      <w:r>
        <w:t>;</w:t>
      </w:r>
    </w:p>
    <w:p w14:paraId="60DACD2B" w14:textId="3493212C" w:rsidR="006852B4" w:rsidRDefault="006852B4" w:rsidP="005F4851">
      <w:pPr>
        <w:pStyle w:val="FootnoteText"/>
        <w:ind w:left="720" w:right="1440"/>
      </w:pPr>
      <w:r w:rsidRPr="00EE406C">
        <w:t>C</w:t>
      </w:r>
      <w:r w:rsidR="00711CBE">
        <w:t>.</w:t>
      </w:r>
      <w:r w:rsidRPr="00EE406C">
        <w:t>23</w:t>
      </w:r>
      <w:r w:rsidR="00711CBE">
        <w:t>-</w:t>
      </w:r>
      <w:r w:rsidRPr="00EE406C">
        <w:t>02</w:t>
      </w:r>
      <w:r w:rsidR="00711CBE">
        <w:t>-</w:t>
      </w:r>
      <w:r w:rsidRPr="00EE406C">
        <w:t>009</w:t>
      </w:r>
      <w:r>
        <w:t xml:space="preserve"> </w:t>
      </w:r>
      <w:r w:rsidRPr="00EE406C">
        <w:t xml:space="preserve">(ECP) </w:t>
      </w:r>
      <w:r w:rsidRPr="00EE406C">
        <w:rPr>
          <w:i/>
          <w:iCs/>
        </w:rPr>
        <w:t>Gary Chamberlin, Charles Ramsden and Susan Wilson, Complainants</w:t>
      </w:r>
      <w:r w:rsidR="008E54F1">
        <w:rPr>
          <w:i/>
          <w:iCs/>
        </w:rPr>
        <w:t xml:space="preserve"> v. </w:t>
      </w:r>
      <w:r w:rsidRPr="00EE406C">
        <w:rPr>
          <w:i/>
          <w:iCs/>
        </w:rPr>
        <w:t>Havasu Water Company, Inc</w:t>
      </w:r>
      <w:r w:rsidR="00AB7383">
        <w:t>. (</w:t>
      </w:r>
      <w:r w:rsidRPr="00EE406C">
        <w:t>U352W), Defendant</w:t>
      </w:r>
      <w:r w:rsidR="00357298">
        <w:t xml:space="preserve">.  </w:t>
      </w:r>
      <w:r w:rsidRPr="00EE406C">
        <w:t>[Charging allegation is billing error.]</w:t>
      </w:r>
      <w:r>
        <w:t>;</w:t>
      </w:r>
    </w:p>
    <w:p w14:paraId="44FDE474" w14:textId="0460F88F" w:rsidR="006852B4" w:rsidRDefault="006852B4" w:rsidP="005F4851">
      <w:pPr>
        <w:pStyle w:val="FootnoteText"/>
        <w:ind w:left="720" w:right="1440"/>
      </w:pPr>
      <w:r w:rsidRPr="00D81E81">
        <w:t>C</w:t>
      </w:r>
      <w:r w:rsidR="00711CBE">
        <w:t>.</w:t>
      </w:r>
      <w:r w:rsidRPr="00D81E81">
        <w:t>23</w:t>
      </w:r>
      <w:r w:rsidR="00711CBE">
        <w:t>-</w:t>
      </w:r>
      <w:r w:rsidRPr="00D81E81">
        <w:t>05</w:t>
      </w:r>
      <w:r w:rsidR="00711CBE">
        <w:t>-</w:t>
      </w:r>
      <w:r w:rsidRPr="00D81E81">
        <w:t>011</w:t>
      </w:r>
      <w:r>
        <w:t xml:space="preserve"> </w:t>
      </w:r>
      <w:r w:rsidRPr="00D81E81">
        <w:t xml:space="preserve">(ECP) </w:t>
      </w:r>
      <w:r w:rsidR="000F0880">
        <w:rPr>
          <w:i/>
          <w:iCs/>
        </w:rPr>
        <w:t>Sammy R.</w:t>
      </w:r>
      <w:r w:rsidRPr="00D81E81">
        <w:rPr>
          <w:i/>
          <w:iCs/>
        </w:rPr>
        <w:t xml:space="preserve"> Hernandez, Complainant</w:t>
      </w:r>
      <w:r w:rsidR="008E54F1">
        <w:rPr>
          <w:i/>
          <w:iCs/>
        </w:rPr>
        <w:t xml:space="preserve"> v. </w:t>
      </w:r>
      <w:r w:rsidRPr="00D81E81">
        <w:rPr>
          <w:i/>
          <w:iCs/>
        </w:rPr>
        <w:t>Havasu Water Company, Inc.</w:t>
      </w:r>
      <w:r w:rsidRPr="00D81E81">
        <w:t xml:space="preserve"> (U352W), Defendant</w:t>
      </w:r>
      <w:r w:rsidR="00357298">
        <w:t xml:space="preserve">.  </w:t>
      </w:r>
      <w:r w:rsidRPr="00D81E81">
        <w:t>[Charging allegation is failure to provide safe and reliable service and billing error.]</w:t>
      </w:r>
      <w:r>
        <w:t>;</w:t>
      </w:r>
    </w:p>
    <w:p w14:paraId="5B321D51" w14:textId="142898DA" w:rsidR="006852B4" w:rsidRDefault="006852B4" w:rsidP="005F4851">
      <w:pPr>
        <w:pStyle w:val="FootnoteText"/>
        <w:ind w:left="720" w:right="1440"/>
      </w:pPr>
      <w:r w:rsidRPr="00C81599">
        <w:t>C</w:t>
      </w:r>
      <w:r w:rsidR="00711CBE">
        <w:t>.</w:t>
      </w:r>
      <w:r w:rsidRPr="00C81599">
        <w:t>23</w:t>
      </w:r>
      <w:r w:rsidR="00711CBE">
        <w:t>-</w:t>
      </w:r>
      <w:r w:rsidRPr="00C81599">
        <w:t>06</w:t>
      </w:r>
      <w:r w:rsidR="00711CBE">
        <w:t>-</w:t>
      </w:r>
      <w:r w:rsidRPr="00C81599">
        <w:t>006</w:t>
      </w:r>
      <w:r>
        <w:t xml:space="preserve"> </w:t>
      </w:r>
      <w:r w:rsidRPr="00C81599">
        <w:t xml:space="preserve">(ECP) </w:t>
      </w:r>
      <w:r w:rsidRPr="00C81599">
        <w:rPr>
          <w:i/>
          <w:iCs/>
        </w:rPr>
        <w:t>Gabriel and Kathy Venegas, Complainants</w:t>
      </w:r>
      <w:r w:rsidR="008E54F1">
        <w:rPr>
          <w:i/>
          <w:iCs/>
        </w:rPr>
        <w:t xml:space="preserve"> v. </w:t>
      </w:r>
      <w:r w:rsidRPr="00C81599">
        <w:rPr>
          <w:i/>
          <w:iCs/>
        </w:rPr>
        <w:t>Havasu Water Company, Inc</w:t>
      </w:r>
      <w:r w:rsidRPr="00C81599">
        <w:t>.</w:t>
      </w:r>
      <w:r w:rsidR="00BE26BA">
        <w:t xml:space="preserve"> </w:t>
      </w:r>
      <w:r w:rsidRPr="00C81599">
        <w:t>(U352W), Defendant</w:t>
      </w:r>
      <w:r w:rsidR="00357298">
        <w:t xml:space="preserve">.  </w:t>
      </w:r>
      <w:r w:rsidRPr="00C81599">
        <w:t>[Charging allegation is failure to provide safe and reliable service and billing error.]</w:t>
      </w:r>
      <w:r w:rsidR="00CF0502">
        <w:t>; and</w:t>
      </w:r>
    </w:p>
    <w:p w14:paraId="2C9B8AD6" w14:textId="0E545B65" w:rsidR="006852B4" w:rsidRDefault="006852B4" w:rsidP="00CF0502">
      <w:pPr>
        <w:pStyle w:val="FootnoteText"/>
        <w:ind w:left="720" w:right="1440"/>
      </w:pPr>
      <w:r>
        <w:t xml:space="preserve">SCNS 2300008 </w:t>
      </w:r>
      <w:r w:rsidRPr="00BC72E1">
        <w:rPr>
          <w:i/>
          <w:iCs/>
        </w:rPr>
        <w:t>Havasu Water Company</w:t>
      </w:r>
      <w:r w:rsidR="008E54F1">
        <w:rPr>
          <w:i/>
          <w:iCs/>
        </w:rPr>
        <w:t xml:space="preserve">, Inc. v. </w:t>
      </w:r>
      <w:r w:rsidRPr="00BC72E1">
        <w:rPr>
          <w:i/>
          <w:iCs/>
        </w:rPr>
        <w:t>Louis and Vicki Osuna</w:t>
      </w:r>
      <w:r>
        <w:t xml:space="preserve"> (</w:t>
      </w:r>
      <w:r w:rsidR="00764EDE">
        <w:t>s</w:t>
      </w:r>
      <w:r>
        <w:t xml:space="preserve">ee Statement of Decision, filed </w:t>
      </w:r>
      <w:r w:rsidR="009040F0">
        <w:t>April </w:t>
      </w:r>
      <w:r>
        <w:t xml:space="preserve">3, 2024 </w:t>
      </w:r>
      <w:r w:rsidR="001940FB">
        <w:t>San </w:t>
      </w:r>
      <w:r>
        <w:t xml:space="preserve">Bernardino County Superior Court.) [Small claims action brought by Havasu Water Co. against </w:t>
      </w:r>
      <w:proofErr w:type="spellStart"/>
      <w:r>
        <w:t>Osunas</w:t>
      </w:r>
      <w:proofErr w:type="spellEnd"/>
      <w:r>
        <w:t xml:space="preserve"> for damage to meter, judgment for Havasu Water $225</w:t>
      </w:r>
      <w:r w:rsidR="00711CBE">
        <w:t>.</w:t>
      </w:r>
      <w:r w:rsidR="007019BE">
        <w:t>].</w:t>
      </w:r>
    </w:p>
  </w:footnote>
  <w:footnote w:id="27">
    <w:p w14:paraId="02BA89DB" w14:textId="6EDD45EA" w:rsidR="006852B4" w:rsidRDefault="006852B4" w:rsidP="006852B4">
      <w:pPr>
        <w:pStyle w:val="FootnoteText"/>
      </w:pPr>
      <w:r>
        <w:rPr>
          <w:rStyle w:val="FootnoteReference"/>
        </w:rPr>
        <w:footnoteRef/>
      </w:r>
      <w:r>
        <w:t xml:space="preserve"> Cal. Code Evid. §§</w:t>
      </w:r>
      <w:r w:rsidR="00FC577E">
        <w:t> </w:t>
      </w:r>
      <w:r>
        <w:t>452</w:t>
      </w:r>
      <w:r w:rsidR="00A14C18">
        <w:noBreakHyphen/>
      </w:r>
      <w:r>
        <w:t>453</w:t>
      </w:r>
      <w:r w:rsidR="00357298">
        <w:t xml:space="preserve">.  </w:t>
      </w:r>
      <w:r w:rsidRPr="005D7361">
        <w:rPr>
          <w:i/>
          <w:iCs/>
        </w:rPr>
        <w:t>See also</w:t>
      </w:r>
      <w:r>
        <w:t xml:space="preserve"> accompanying Exhibits.</w:t>
      </w:r>
    </w:p>
  </w:footnote>
  <w:footnote w:id="28">
    <w:p w14:paraId="753710A9" w14:textId="78455EEB" w:rsidR="009A3A7C" w:rsidRDefault="009A3A7C">
      <w:pPr>
        <w:pStyle w:val="FootnoteText"/>
      </w:pPr>
      <w:r>
        <w:rPr>
          <w:rStyle w:val="FootnoteReference"/>
        </w:rPr>
        <w:footnoteRef/>
      </w:r>
      <w:r>
        <w:t xml:space="preserve"> Defendant in this matter is identical to that in the </w:t>
      </w:r>
      <w:r w:rsidRPr="00A402EC">
        <w:rPr>
          <w:i/>
          <w:iCs/>
        </w:rPr>
        <w:t>Osuna</w:t>
      </w:r>
      <w:r w:rsidR="00F909CD" w:rsidRPr="00A402EC">
        <w:rPr>
          <w:i/>
          <w:iCs/>
        </w:rPr>
        <w:t xml:space="preserve"> v. </w:t>
      </w:r>
      <w:r w:rsidRPr="00A402EC">
        <w:rPr>
          <w:i/>
          <w:iCs/>
        </w:rPr>
        <w:t>Havasu</w:t>
      </w:r>
      <w:r>
        <w:t xml:space="preserve"> matter.  To distinguish what they said in each matter we refer to this party as Defendant Havasu for reference in the </w:t>
      </w:r>
      <w:r w:rsidRPr="00A402EC">
        <w:rPr>
          <w:i/>
          <w:iCs/>
        </w:rPr>
        <w:t>Osuna</w:t>
      </w:r>
      <w:r w:rsidR="00F909CD" w:rsidRPr="00A402EC">
        <w:rPr>
          <w:i/>
          <w:iCs/>
        </w:rPr>
        <w:t xml:space="preserve"> v. </w:t>
      </w:r>
      <w:r w:rsidRPr="00A402EC">
        <w:rPr>
          <w:i/>
          <w:iCs/>
        </w:rPr>
        <w:t>Havasu</w:t>
      </w:r>
      <w:r>
        <w:t xml:space="preserve"> discussion.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75F" w14:textId="28BB2CD5" w:rsidR="005D5BB5" w:rsidRPr="00A51C42" w:rsidRDefault="00EA014B" w:rsidP="00A51C42">
    <w:pPr>
      <w:pStyle w:val="Header"/>
      <w:tabs>
        <w:tab w:val="clear" w:pos="4680"/>
      </w:tabs>
      <w:ind w:firstLine="0"/>
      <w:rPr>
        <w:iCs/>
      </w:rPr>
    </w:pPr>
    <w:r w:rsidRPr="00EA014B">
      <w:rPr>
        <w:iCs/>
      </w:rPr>
      <w:t>C.24</w:t>
    </w:r>
    <w:r w:rsidR="00A14C18">
      <w:rPr>
        <w:iCs/>
      </w:rPr>
      <w:noBreakHyphen/>
    </w:r>
    <w:r w:rsidRPr="00EA014B">
      <w:rPr>
        <w:iCs/>
      </w:rPr>
      <w:t>10</w:t>
    </w:r>
    <w:r w:rsidR="00A14C18">
      <w:rPr>
        <w:iCs/>
      </w:rPr>
      <w:noBreakHyphen/>
    </w:r>
    <w:r w:rsidRPr="00EA014B">
      <w:rPr>
        <w:iCs/>
      </w:rPr>
      <w:t>01</w:t>
    </w:r>
    <w:r w:rsidR="00DD37A5">
      <w:rPr>
        <w:iCs/>
      </w:rPr>
      <w:t>7</w:t>
    </w:r>
    <w:r>
      <w:rPr>
        <w:iCs/>
      </w:rPr>
      <w:t xml:space="preserve">  </w:t>
    </w:r>
    <w:r w:rsidR="00202BA1">
      <w:rPr>
        <w:iCs/>
      </w:rPr>
      <w:t>ALJ/LFY/</w:t>
    </w:r>
    <w:r w:rsidR="00CD1D1F">
      <w:rPr>
        <w:iCs/>
      </w:rPr>
      <w:t>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58F9" w14:textId="77777777" w:rsidR="005D5BB5" w:rsidRPr="00CB272B" w:rsidRDefault="005D5BB5" w:rsidP="00CB272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2E4355"/>
    <w:multiLevelType w:val="hybridMultilevel"/>
    <w:tmpl w:val="4C6EB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74E3DAD"/>
    <w:multiLevelType w:val="hybridMultilevel"/>
    <w:tmpl w:val="6C824D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44E6"/>
    <w:multiLevelType w:val="multilevel"/>
    <w:tmpl w:val="E6D4107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E2242C9"/>
    <w:multiLevelType w:val="multilevel"/>
    <w:tmpl w:val="70AAB8E6"/>
    <w:numStyleLink w:val="Headings"/>
  </w:abstractNum>
  <w:abstractNum w:abstractNumId="7" w15:restartNumberingAfterBreak="0">
    <w:nsid w:val="20AB05DC"/>
    <w:multiLevelType w:val="hybridMultilevel"/>
    <w:tmpl w:val="D79E5C1A"/>
    <w:lvl w:ilvl="0" w:tplc="27D2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FF73FF"/>
    <w:multiLevelType w:val="hybridMultilevel"/>
    <w:tmpl w:val="94DC5584"/>
    <w:lvl w:ilvl="0" w:tplc="1A0697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4750F0"/>
    <w:multiLevelType w:val="hybridMultilevel"/>
    <w:tmpl w:val="9064D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F6D42"/>
    <w:multiLevelType w:val="multilevel"/>
    <w:tmpl w:val="70AAB8E6"/>
    <w:styleLink w:val="Headings"/>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1B035BF"/>
    <w:multiLevelType w:val="multilevel"/>
    <w:tmpl w:val="BCACC0BC"/>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47AB3939"/>
    <w:multiLevelType w:val="singleLevel"/>
    <w:tmpl w:val="2FB6A734"/>
    <w:lvl w:ilvl="0">
      <w:start w:val="1"/>
      <w:numFmt w:val="decimal"/>
      <w:lvlText w:val="%1."/>
      <w:legacy w:legacy="1" w:legacySpace="144" w:legacyIndent="0"/>
      <w:lvlJc w:val="left"/>
    </w:lvl>
  </w:abstractNum>
  <w:abstractNum w:abstractNumId="13" w15:restartNumberingAfterBreak="0">
    <w:nsid w:val="48C31D3C"/>
    <w:multiLevelType w:val="hybridMultilevel"/>
    <w:tmpl w:val="781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86B94"/>
    <w:multiLevelType w:val="hybridMultilevel"/>
    <w:tmpl w:val="AE0A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72FBB"/>
    <w:multiLevelType w:val="hybridMultilevel"/>
    <w:tmpl w:val="95AEB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042D7"/>
    <w:multiLevelType w:val="multilevel"/>
    <w:tmpl w:val="18F4A5AC"/>
    <w:numStyleLink w:val="FoFCoLOP"/>
  </w:abstractNum>
  <w:abstractNum w:abstractNumId="17"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22537E"/>
    <w:multiLevelType w:val="multilevel"/>
    <w:tmpl w:val="70AAB8E6"/>
    <w:numStyleLink w:val="Headings"/>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8420BD"/>
    <w:multiLevelType w:val="hybridMultilevel"/>
    <w:tmpl w:val="D79E5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9A0AFE"/>
    <w:multiLevelType w:val="multilevel"/>
    <w:tmpl w:val="18F4A5AC"/>
    <w:numStyleLink w:val="FoFCoLOP"/>
  </w:abstractNum>
  <w:abstractNum w:abstractNumId="23" w15:restartNumberingAfterBreak="0">
    <w:nsid w:val="7A613A62"/>
    <w:multiLevelType w:val="hybridMultilevel"/>
    <w:tmpl w:val="94DC5584"/>
    <w:lvl w:ilvl="0" w:tplc="1A0697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52011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880506">
    <w:abstractNumId w:val="2"/>
  </w:num>
  <w:num w:numId="3" w16cid:durableId="1220553476">
    <w:abstractNumId w:val="16"/>
  </w:num>
  <w:num w:numId="4" w16cid:durableId="958494491">
    <w:abstractNumId w:val="3"/>
  </w:num>
  <w:num w:numId="5" w16cid:durableId="202137648">
    <w:abstractNumId w:val="22"/>
  </w:num>
  <w:num w:numId="6" w16cid:durableId="921139207">
    <w:abstractNumId w:val="10"/>
  </w:num>
  <w:num w:numId="7" w16cid:durableId="158694353">
    <w:abstractNumId w:val="6"/>
  </w:num>
  <w:num w:numId="8" w16cid:durableId="127557799">
    <w:abstractNumId w:val="19"/>
  </w:num>
  <w:num w:numId="9" w16cid:durableId="515467675">
    <w:abstractNumId w:val="0"/>
  </w:num>
  <w:num w:numId="10" w16cid:durableId="539052623">
    <w:abstractNumId w:val="18"/>
  </w:num>
  <w:num w:numId="11" w16cid:durableId="873618334">
    <w:abstractNumId w:val="20"/>
  </w:num>
  <w:num w:numId="12" w16cid:durableId="110127472">
    <w:abstractNumId w:val="11"/>
  </w:num>
  <w:num w:numId="13" w16cid:durableId="833186400">
    <w:abstractNumId w:val="9"/>
  </w:num>
  <w:num w:numId="14" w16cid:durableId="2070374115">
    <w:abstractNumId w:val="13"/>
  </w:num>
  <w:num w:numId="15" w16cid:durableId="1357807057">
    <w:abstractNumId w:val="15"/>
  </w:num>
  <w:num w:numId="16" w16cid:durableId="199900838">
    <w:abstractNumId w:val="8"/>
  </w:num>
  <w:num w:numId="17" w16cid:durableId="1762875565">
    <w:abstractNumId w:val="23"/>
  </w:num>
  <w:num w:numId="18" w16cid:durableId="2144229769">
    <w:abstractNumId w:val="14"/>
  </w:num>
  <w:num w:numId="19" w16cid:durableId="1144858685">
    <w:abstractNumId w:val="12"/>
  </w:num>
  <w:num w:numId="20" w16cid:durableId="1613709064">
    <w:abstractNumId w:val="16"/>
    <w:lvlOverride w:ilvl="0">
      <w:lvl w:ilvl="0">
        <w:start w:val="1"/>
        <w:numFmt w:val="decimal"/>
        <w:pStyle w:val="FoF"/>
        <w:lvlText w:val="%1."/>
        <w:lvlJc w:val="right"/>
        <w:pPr>
          <w:ind w:left="0" w:firstLine="540"/>
        </w:pPr>
        <w:rPr>
          <w:rFonts w:hint="default"/>
        </w:rPr>
      </w:lvl>
    </w:lvlOverride>
  </w:num>
  <w:num w:numId="21" w16cid:durableId="452554259">
    <w:abstractNumId w:val="4"/>
  </w:num>
  <w:num w:numId="22" w16cid:durableId="742877077">
    <w:abstractNumId w:val="5"/>
  </w:num>
  <w:num w:numId="23" w16cid:durableId="962610825">
    <w:abstractNumId w:val="7"/>
  </w:num>
  <w:num w:numId="24" w16cid:durableId="1435856580">
    <w:abstractNumId w:val="21"/>
  </w:num>
  <w:num w:numId="25" w16cid:durableId="149136419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15"/>
    <w:rsid w:val="00000163"/>
    <w:rsid w:val="00000F6A"/>
    <w:rsid w:val="00014757"/>
    <w:rsid w:val="00034819"/>
    <w:rsid w:val="00044228"/>
    <w:rsid w:val="00050D4C"/>
    <w:rsid w:val="00052103"/>
    <w:rsid w:val="00054151"/>
    <w:rsid w:val="000546CB"/>
    <w:rsid w:val="00054A3C"/>
    <w:rsid w:val="00064445"/>
    <w:rsid w:val="0007115A"/>
    <w:rsid w:val="000730A7"/>
    <w:rsid w:val="00086DD7"/>
    <w:rsid w:val="000958D1"/>
    <w:rsid w:val="000973C8"/>
    <w:rsid w:val="00097DEF"/>
    <w:rsid w:val="000A2AA9"/>
    <w:rsid w:val="000A56F2"/>
    <w:rsid w:val="000A6E05"/>
    <w:rsid w:val="000B12FA"/>
    <w:rsid w:val="000B7B87"/>
    <w:rsid w:val="000C08BF"/>
    <w:rsid w:val="000C3B9A"/>
    <w:rsid w:val="000D25A8"/>
    <w:rsid w:val="000D3621"/>
    <w:rsid w:val="000D7D26"/>
    <w:rsid w:val="000E0A1B"/>
    <w:rsid w:val="000E4C53"/>
    <w:rsid w:val="000E5369"/>
    <w:rsid w:val="000E5FEF"/>
    <w:rsid w:val="000E7781"/>
    <w:rsid w:val="000F0880"/>
    <w:rsid w:val="000F5FA8"/>
    <w:rsid w:val="001008E8"/>
    <w:rsid w:val="00105AFC"/>
    <w:rsid w:val="001104EC"/>
    <w:rsid w:val="001115E6"/>
    <w:rsid w:val="00112856"/>
    <w:rsid w:val="00120F61"/>
    <w:rsid w:val="00121089"/>
    <w:rsid w:val="00122CC3"/>
    <w:rsid w:val="0012363D"/>
    <w:rsid w:val="001259D8"/>
    <w:rsid w:val="001265E2"/>
    <w:rsid w:val="00132072"/>
    <w:rsid w:val="001355B5"/>
    <w:rsid w:val="00136AAB"/>
    <w:rsid w:val="00140181"/>
    <w:rsid w:val="001412A0"/>
    <w:rsid w:val="00142582"/>
    <w:rsid w:val="00142DA1"/>
    <w:rsid w:val="00146E37"/>
    <w:rsid w:val="0015052A"/>
    <w:rsid w:val="00166C42"/>
    <w:rsid w:val="00167ABD"/>
    <w:rsid w:val="00170989"/>
    <w:rsid w:val="001726C8"/>
    <w:rsid w:val="00172880"/>
    <w:rsid w:val="00185A42"/>
    <w:rsid w:val="00186222"/>
    <w:rsid w:val="00191A11"/>
    <w:rsid w:val="00191B51"/>
    <w:rsid w:val="001940FB"/>
    <w:rsid w:val="001A31B3"/>
    <w:rsid w:val="001A6293"/>
    <w:rsid w:val="001A7667"/>
    <w:rsid w:val="001B1DBD"/>
    <w:rsid w:val="001B67FD"/>
    <w:rsid w:val="001C363F"/>
    <w:rsid w:val="001C3A7B"/>
    <w:rsid w:val="001C46CC"/>
    <w:rsid w:val="001D2722"/>
    <w:rsid w:val="001D4C69"/>
    <w:rsid w:val="001E124C"/>
    <w:rsid w:val="001E1B45"/>
    <w:rsid w:val="001E2A62"/>
    <w:rsid w:val="001E2C78"/>
    <w:rsid w:val="001F0AC6"/>
    <w:rsid w:val="001F2819"/>
    <w:rsid w:val="001F29CE"/>
    <w:rsid w:val="001F43DE"/>
    <w:rsid w:val="001F5ED5"/>
    <w:rsid w:val="00202BA1"/>
    <w:rsid w:val="002043EC"/>
    <w:rsid w:val="00211ECD"/>
    <w:rsid w:val="00214504"/>
    <w:rsid w:val="00225964"/>
    <w:rsid w:val="0022616A"/>
    <w:rsid w:val="00236CF8"/>
    <w:rsid w:val="00243DC0"/>
    <w:rsid w:val="00247477"/>
    <w:rsid w:val="0025419E"/>
    <w:rsid w:val="00254F25"/>
    <w:rsid w:val="00262B67"/>
    <w:rsid w:val="002631F9"/>
    <w:rsid w:val="00270440"/>
    <w:rsid w:val="00284719"/>
    <w:rsid w:val="00284BB3"/>
    <w:rsid w:val="00285465"/>
    <w:rsid w:val="00285C1F"/>
    <w:rsid w:val="002869AE"/>
    <w:rsid w:val="00287C85"/>
    <w:rsid w:val="00287D5E"/>
    <w:rsid w:val="00292192"/>
    <w:rsid w:val="00293DEE"/>
    <w:rsid w:val="002961E2"/>
    <w:rsid w:val="00296A45"/>
    <w:rsid w:val="002A53A6"/>
    <w:rsid w:val="002A7DB8"/>
    <w:rsid w:val="002B0265"/>
    <w:rsid w:val="002B1CA5"/>
    <w:rsid w:val="002B1D8E"/>
    <w:rsid w:val="002B39C2"/>
    <w:rsid w:val="002B4A2E"/>
    <w:rsid w:val="002B5458"/>
    <w:rsid w:val="002B7BFA"/>
    <w:rsid w:val="002C2F5A"/>
    <w:rsid w:val="002C7FE9"/>
    <w:rsid w:val="002D0F0F"/>
    <w:rsid w:val="002D4EFD"/>
    <w:rsid w:val="002D7D82"/>
    <w:rsid w:val="002E1208"/>
    <w:rsid w:val="002E3DD3"/>
    <w:rsid w:val="002E5D47"/>
    <w:rsid w:val="002E71A6"/>
    <w:rsid w:val="002F04C6"/>
    <w:rsid w:val="002F0A0A"/>
    <w:rsid w:val="002F217E"/>
    <w:rsid w:val="002F3004"/>
    <w:rsid w:val="003033E9"/>
    <w:rsid w:val="00307347"/>
    <w:rsid w:val="00316071"/>
    <w:rsid w:val="00330205"/>
    <w:rsid w:val="0033149D"/>
    <w:rsid w:val="00343E5C"/>
    <w:rsid w:val="00345F33"/>
    <w:rsid w:val="003472FA"/>
    <w:rsid w:val="00354DF4"/>
    <w:rsid w:val="00356AC8"/>
    <w:rsid w:val="00357035"/>
    <w:rsid w:val="00357298"/>
    <w:rsid w:val="0036017B"/>
    <w:rsid w:val="00362755"/>
    <w:rsid w:val="00363E64"/>
    <w:rsid w:val="00373466"/>
    <w:rsid w:val="00373B93"/>
    <w:rsid w:val="00381CF2"/>
    <w:rsid w:val="003836F2"/>
    <w:rsid w:val="003860DD"/>
    <w:rsid w:val="00390D53"/>
    <w:rsid w:val="00391154"/>
    <w:rsid w:val="0039341D"/>
    <w:rsid w:val="00394073"/>
    <w:rsid w:val="00394665"/>
    <w:rsid w:val="0039589A"/>
    <w:rsid w:val="0039644D"/>
    <w:rsid w:val="003A7BFA"/>
    <w:rsid w:val="003B31E5"/>
    <w:rsid w:val="003B43F4"/>
    <w:rsid w:val="003B4E90"/>
    <w:rsid w:val="003B7860"/>
    <w:rsid w:val="003D060C"/>
    <w:rsid w:val="003D72C9"/>
    <w:rsid w:val="003E3B91"/>
    <w:rsid w:val="003E7142"/>
    <w:rsid w:val="003F1D3D"/>
    <w:rsid w:val="003F4329"/>
    <w:rsid w:val="003F5A2A"/>
    <w:rsid w:val="00404B55"/>
    <w:rsid w:val="00412C83"/>
    <w:rsid w:val="00416A6B"/>
    <w:rsid w:val="00420CA8"/>
    <w:rsid w:val="0042442F"/>
    <w:rsid w:val="00426014"/>
    <w:rsid w:val="00426F98"/>
    <w:rsid w:val="004304E9"/>
    <w:rsid w:val="0043739C"/>
    <w:rsid w:val="004409FF"/>
    <w:rsid w:val="00444F68"/>
    <w:rsid w:val="0044524A"/>
    <w:rsid w:val="004540A5"/>
    <w:rsid w:val="00454DD6"/>
    <w:rsid w:val="00460B7D"/>
    <w:rsid w:val="0046213F"/>
    <w:rsid w:val="004653A8"/>
    <w:rsid w:val="004678CF"/>
    <w:rsid w:val="00470C72"/>
    <w:rsid w:val="00475992"/>
    <w:rsid w:val="00480CB0"/>
    <w:rsid w:val="0049256F"/>
    <w:rsid w:val="004B34EA"/>
    <w:rsid w:val="004B5494"/>
    <w:rsid w:val="004B5F9D"/>
    <w:rsid w:val="004C7D3A"/>
    <w:rsid w:val="004D064D"/>
    <w:rsid w:val="004E2BE8"/>
    <w:rsid w:val="004E4BFA"/>
    <w:rsid w:val="004E6249"/>
    <w:rsid w:val="004F0018"/>
    <w:rsid w:val="004F1797"/>
    <w:rsid w:val="004F26EB"/>
    <w:rsid w:val="004F29FC"/>
    <w:rsid w:val="004F6D02"/>
    <w:rsid w:val="005018A8"/>
    <w:rsid w:val="00505A39"/>
    <w:rsid w:val="0050643B"/>
    <w:rsid w:val="005069B5"/>
    <w:rsid w:val="00507258"/>
    <w:rsid w:val="005109D6"/>
    <w:rsid w:val="005240BF"/>
    <w:rsid w:val="00541117"/>
    <w:rsid w:val="005476F7"/>
    <w:rsid w:val="00547F74"/>
    <w:rsid w:val="00551103"/>
    <w:rsid w:val="00565899"/>
    <w:rsid w:val="00570413"/>
    <w:rsid w:val="005708F2"/>
    <w:rsid w:val="0057578C"/>
    <w:rsid w:val="00575CA7"/>
    <w:rsid w:val="00582C32"/>
    <w:rsid w:val="00585390"/>
    <w:rsid w:val="005939A5"/>
    <w:rsid w:val="00596D83"/>
    <w:rsid w:val="005A148C"/>
    <w:rsid w:val="005A2494"/>
    <w:rsid w:val="005A687A"/>
    <w:rsid w:val="005A7A89"/>
    <w:rsid w:val="005D5BB5"/>
    <w:rsid w:val="005E40DB"/>
    <w:rsid w:val="005E5EAC"/>
    <w:rsid w:val="005E6FFA"/>
    <w:rsid w:val="005F4851"/>
    <w:rsid w:val="005F603F"/>
    <w:rsid w:val="005F7191"/>
    <w:rsid w:val="006022A8"/>
    <w:rsid w:val="006031E8"/>
    <w:rsid w:val="00604906"/>
    <w:rsid w:val="00607DB2"/>
    <w:rsid w:val="006250BB"/>
    <w:rsid w:val="00631D58"/>
    <w:rsid w:val="00632207"/>
    <w:rsid w:val="00633509"/>
    <w:rsid w:val="0063491C"/>
    <w:rsid w:val="006359BD"/>
    <w:rsid w:val="00636DB7"/>
    <w:rsid w:val="0063733D"/>
    <w:rsid w:val="006429E6"/>
    <w:rsid w:val="00642B08"/>
    <w:rsid w:val="006432E6"/>
    <w:rsid w:val="00643CE4"/>
    <w:rsid w:val="0064652C"/>
    <w:rsid w:val="00653349"/>
    <w:rsid w:val="00654597"/>
    <w:rsid w:val="00656444"/>
    <w:rsid w:val="00680987"/>
    <w:rsid w:val="006852B4"/>
    <w:rsid w:val="00693A61"/>
    <w:rsid w:val="006B09E7"/>
    <w:rsid w:val="006B2074"/>
    <w:rsid w:val="006B3C2F"/>
    <w:rsid w:val="006B5AED"/>
    <w:rsid w:val="006B5C99"/>
    <w:rsid w:val="006C5286"/>
    <w:rsid w:val="006D3BF3"/>
    <w:rsid w:val="006D51F2"/>
    <w:rsid w:val="006D528D"/>
    <w:rsid w:val="006D60B7"/>
    <w:rsid w:val="006E2BCB"/>
    <w:rsid w:val="006E3366"/>
    <w:rsid w:val="006E5E28"/>
    <w:rsid w:val="006E6574"/>
    <w:rsid w:val="006F5293"/>
    <w:rsid w:val="006F7128"/>
    <w:rsid w:val="007019BE"/>
    <w:rsid w:val="00705301"/>
    <w:rsid w:val="00711CBE"/>
    <w:rsid w:val="007124C4"/>
    <w:rsid w:val="00713E2C"/>
    <w:rsid w:val="00714CF2"/>
    <w:rsid w:val="007156B9"/>
    <w:rsid w:val="00717390"/>
    <w:rsid w:val="00720522"/>
    <w:rsid w:val="00720817"/>
    <w:rsid w:val="00721C00"/>
    <w:rsid w:val="00722850"/>
    <w:rsid w:val="00726C98"/>
    <w:rsid w:val="007300EE"/>
    <w:rsid w:val="00732342"/>
    <w:rsid w:val="00732F95"/>
    <w:rsid w:val="0073353F"/>
    <w:rsid w:val="00742E45"/>
    <w:rsid w:val="007447AF"/>
    <w:rsid w:val="007450C7"/>
    <w:rsid w:val="007457D7"/>
    <w:rsid w:val="0074613B"/>
    <w:rsid w:val="00750816"/>
    <w:rsid w:val="007515BB"/>
    <w:rsid w:val="00752639"/>
    <w:rsid w:val="00761D61"/>
    <w:rsid w:val="00762F76"/>
    <w:rsid w:val="007636D3"/>
    <w:rsid w:val="00764EDE"/>
    <w:rsid w:val="007657C1"/>
    <w:rsid w:val="00771EAE"/>
    <w:rsid w:val="0078228D"/>
    <w:rsid w:val="007837A3"/>
    <w:rsid w:val="007863F7"/>
    <w:rsid w:val="007A406D"/>
    <w:rsid w:val="007A62B0"/>
    <w:rsid w:val="007B045F"/>
    <w:rsid w:val="007B456F"/>
    <w:rsid w:val="007B54E2"/>
    <w:rsid w:val="007B7E02"/>
    <w:rsid w:val="007C18BC"/>
    <w:rsid w:val="007C506C"/>
    <w:rsid w:val="007C530E"/>
    <w:rsid w:val="007C5A0C"/>
    <w:rsid w:val="007C690C"/>
    <w:rsid w:val="007E0FEE"/>
    <w:rsid w:val="007E126D"/>
    <w:rsid w:val="007E6156"/>
    <w:rsid w:val="007F2017"/>
    <w:rsid w:val="007F2406"/>
    <w:rsid w:val="007F3D1B"/>
    <w:rsid w:val="007F47B6"/>
    <w:rsid w:val="007F69DD"/>
    <w:rsid w:val="007F7358"/>
    <w:rsid w:val="0080263E"/>
    <w:rsid w:val="00817950"/>
    <w:rsid w:val="008339BB"/>
    <w:rsid w:val="0084494C"/>
    <w:rsid w:val="00844F55"/>
    <w:rsid w:val="008604EA"/>
    <w:rsid w:val="008605FA"/>
    <w:rsid w:val="00863CBD"/>
    <w:rsid w:val="0086419A"/>
    <w:rsid w:val="0087023B"/>
    <w:rsid w:val="00875CF0"/>
    <w:rsid w:val="0088118C"/>
    <w:rsid w:val="00886157"/>
    <w:rsid w:val="00890BC2"/>
    <w:rsid w:val="0089618D"/>
    <w:rsid w:val="008A179F"/>
    <w:rsid w:val="008A3551"/>
    <w:rsid w:val="008B0864"/>
    <w:rsid w:val="008B6237"/>
    <w:rsid w:val="008B6B0D"/>
    <w:rsid w:val="008C2B6B"/>
    <w:rsid w:val="008C6736"/>
    <w:rsid w:val="008C7413"/>
    <w:rsid w:val="008D1485"/>
    <w:rsid w:val="008D16B7"/>
    <w:rsid w:val="008D190E"/>
    <w:rsid w:val="008D3586"/>
    <w:rsid w:val="008E1E95"/>
    <w:rsid w:val="008E335F"/>
    <w:rsid w:val="008E4C40"/>
    <w:rsid w:val="008E54F1"/>
    <w:rsid w:val="008E6AE6"/>
    <w:rsid w:val="008F0116"/>
    <w:rsid w:val="008F0536"/>
    <w:rsid w:val="008F05CD"/>
    <w:rsid w:val="008F11F4"/>
    <w:rsid w:val="008F143D"/>
    <w:rsid w:val="008F29DA"/>
    <w:rsid w:val="009040F0"/>
    <w:rsid w:val="00912D84"/>
    <w:rsid w:val="00923D98"/>
    <w:rsid w:val="00925ED2"/>
    <w:rsid w:val="00927D81"/>
    <w:rsid w:val="00932678"/>
    <w:rsid w:val="00932865"/>
    <w:rsid w:val="009338AA"/>
    <w:rsid w:val="00935982"/>
    <w:rsid w:val="00936A19"/>
    <w:rsid w:val="00946207"/>
    <w:rsid w:val="00956A8A"/>
    <w:rsid w:val="009604DC"/>
    <w:rsid w:val="0096272A"/>
    <w:rsid w:val="009660A9"/>
    <w:rsid w:val="00970626"/>
    <w:rsid w:val="00971BD8"/>
    <w:rsid w:val="0098138E"/>
    <w:rsid w:val="00981BD9"/>
    <w:rsid w:val="00982FA9"/>
    <w:rsid w:val="00983763"/>
    <w:rsid w:val="009841CE"/>
    <w:rsid w:val="00984A4D"/>
    <w:rsid w:val="0098655A"/>
    <w:rsid w:val="00987C6A"/>
    <w:rsid w:val="00991D4A"/>
    <w:rsid w:val="0099249F"/>
    <w:rsid w:val="009970CC"/>
    <w:rsid w:val="009A1AAD"/>
    <w:rsid w:val="009A3A7C"/>
    <w:rsid w:val="009A61A8"/>
    <w:rsid w:val="009A75F5"/>
    <w:rsid w:val="009B259F"/>
    <w:rsid w:val="009B5F8C"/>
    <w:rsid w:val="009C63C7"/>
    <w:rsid w:val="009D744B"/>
    <w:rsid w:val="009D7ED4"/>
    <w:rsid w:val="009E057D"/>
    <w:rsid w:val="009E0ECE"/>
    <w:rsid w:val="009E18B9"/>
    <w:rsid w:val="009E1EED"/>
    <w:rsid w:val="009E7C7F"/>
    <w:rsid w:val="009F5EDA"/>
    <w:rsid w:val="00A03F51"/>
    <w:rsid w:val="00A04C71"/>
    <w:rsid w:val="00A060BB"/>
    <w:rsid w:val="00A070D1"/>
    <w:rsid w:val="00A07464"/>
    <w:rsid w:val="00A14C18"/>
    <w:rsid w:val="00A15611"/>
    <w:rsid w:val="00A16870"/>
    <w:rsid w:val="00A17CE0"/>
    <w:rsid w:val="00A264D7"/>
    <w:rsid w:val="00A3544A"/>
    <w:rsid w:val="00A35CA9"/>
    <w:rsid w:val="00A402EC"/>
    <w:rsid w:val="00A411D2"/>
    <w:rsid w:val="00A42306"/>
    <w:rsid w:val="00A44CBB"/>
    <w:rsid w:val="00A459AB"/>
    <w:rsid w:val="00A51307"/>
    <w:rsid w:val="00A51C42"/>
    <w:rsid w:val="00A54B29"/>
    <w:rsid w:val="00A55ACD"/>
    <w:rsid w:val="00A56520"/>
    <w:rsid w:val="00A677F6"/>
    <w:rsid w:val="00A679E7"/>
    <w:rsid w:val="00A7189D"/>
    <w:rsid w:val="00A75C0E"/>
    <w:rsid w:val="00A84767"/>
    <w:rsid w:val="00A9285B"/>
    <w:rsid w:val="00A94D80"/>
    <w:rsid w:val="00AA0B39"/>
    <w:rsid w:val="00AB3F4B"/>
    <w:rsid w:val="00AB5D40"/>
    <w:rsid w:val="00AB6725"/>
    <w:rsid w:val="00AB6F3F"/>
    <w:rsid w:val="00AB6FF1"/>
    <w:rsid w:val="00AB7383"/>
    <w:rsid w:val="00AC1709"/>
    <w:rsid w:val="00AC6142"/>
    <w:rsid w:val="00AC6268"/>
    <w:rsid w:val="00AD1C67"/>
    <w:rsid w:val="00AD7F32"/>
    <w:rsid w:val="00AF207A"/>
    <w:rsid w:val="00AF5ED1"/>
    <w:rsid w:val="00AF7314"/>
    <w:rsid w:val="00B01F7E"/>
    <w:rsid w:val="00B04EB5"/>
    <w:rsid w:val="00B04EDA"/>
    <w:rsid w:val="00B20092"/>
    <w:rsid w:val="00B20810"/>
    <w:rsid w:val="00B3087D"/>
    <w:rsid w:val="00B33C1F"/>
    <w:rsid w:val="00B3434A"/>
    <w:rsid w:val="00B34660"/>
    <w:rsid w:val="00B34794"/>
    <w:rsid w:val="00B371B9"/>
    <w:rsid w:val="00B42FC4"/>
    <w:rsid w:val="00B43885"/>
    <w:rsid w:val="00B47835"/>
    <w:rsid w:val="00B53EF2"/>
    <w:rsid w:val="00B60421"/>
    <w:rsid w:val="00B65334"/>
    <w:rsid w:val="00B66FED"/>
    <w:rsid w:val="00B711DD"/>
    <w:rsid w:val="00B767E7"/>
    <w:rsid w:val="00B82C40"/>
    <w:rsid w:val="00B83C2D"/>
    <w:rsid w:val="00B8641B"/>
    <w:rsid w:val="00B87068"/>
    <w:rsid w:val="00B9490F"/>
    <w:rsid w:val="00BA3A78"/>
    <w:rsid w:val="00BB00C8"/>
    <w:rsid w:val="00BB0243"/>
    <w:rsid w:val="00BB1C80"/>
    <w:rsid w:val="00BC144B"/>
    <w:rsid w:val="00BC716E"/>
    <w:rsid w:val="00BC75E6"/>
    <w:rsid w:val="00BD1068"/>
    <w:rsid w:val="00BD19B1"/>
    <w:rsid w:val="00BD5A87"/>
    <w:rsid w:val="00BD5AD6"/>
    <w:rsid w:val="00BD7805"/>
    <w:rsid w:val="00BE26BA"/>
    <w:rsid w:val="00C04CA7"/>
    <w:rsid w:val="00C10B5F"/>
    <w:rsid w:val="00C13163"/>
    <w:rsid w:val="00C2451B"/>
    <w:rsid w:val="00C2456A"/>
    <w:rsid w:val="00C356BC"/>
    <w:rsid w:val="00C371D6"/>
    <w:rsid w:val="00C457C7"/>
    <w:rsid w:val="00C460CF"/>
    <w:rsid w:val="00C550E4"/>
    <w:rsid w:val="00C56415"/>
    <w:rsid w:val="00C6118F"/>
    <w:rsid w:val="00C63C08"/>
    <w:rsid w:val="00C6526A"/>
    <w:rsid w:val="00C72EBC"/>
    <w:rsid w:val="00C77306"/>
    <w:rsid w:val="00C81870"/>
    <w:rsid w:val="00C85ADE"/>
    <w:rsid w:val="00C913A1"/>
    <w:rsid w:val="00C9532C"/>
    <w:rsid w:val="00CA53D0"/>
    <w:rsid w:val="00CA6118"/>
    <w:rsid w:val="00CB272B"/>
    <w:rsid w:val="00CB63C1"/>
    <w:rsid w:val="00CC1F0C"/>
    <w:rsid w:val="00CC3513"/>
    <w:rsid w:val="00CC408F"/>
    <w:rsid w:val="00CC6A99"/>
    <w:rsid w:val="00CC6D1B"/>
    <w:rsid w:val="00CD1D1F"/>
    <w:rsid w:val="00CD5203"/>
    <w:rsid w:val="00CD69C6"/>
    <w:rsid w:val="00CE305D"/>
    <w:rsid w:val="00CE37BC"/>
    <w:rsid w:val="00CE66B2"/>
    <w:rsid w:val="00CF0502"/>
    <w:rsid w:val="00CF1ED8"/>
    <w:rsid w:val="00CF21AA"/>
    <w:rsid w:val="00CF40D4"/>
    <w:rsid w:val="00CF6F9A"/>
    <w:rsid w:val="00D00AA3"/>
    <w:rsid w:val="00D040EF"/>
    <w:rsid w:val="00D07F73"/>
    <w:rsid w:val="00D10982"/>
    <w:rsid w:val="00D11059"/>
    <w:rsid w:val="00D1254E"/>
    <w:rsid w:val="00D139DE"/>
    <w:rsid w:val="00D15422"/>
    <w:rsid w:val="00D2041C"/>
    <w:rsid w:val="00D25ADE"/>
    <w:rsid w:val="00D27ADC"/>
    <w:rsid w:val="00D307D4"/>
    <w:rsid w:val="00D30C09"/>
    <w:rsid w:val="00D31081"/>
    <w:rsid w:val="00D35241"/>
    <w:rsid w:val="00D364A8"/>
    <w:rsid w:val="00D36D6C"/>
    <w:rsid w:val="00D379C7"/>
    <w:rsid w:val="00D43297"/>
    <w:rsid w:val="00D433D5"/>
    <w:rsid w:val="00D44D28"/>
    <w:rsid w:val="00D44DB6"/>
    <w:rsid w:val="00D4536B"/>
    <w:rsid w:val="00D47ABF"/>
    <w:rsid w:val="00D50119"/>
    <w:rsid w:val="00D505DD"/>
    <w:rsid w:val="00D53B59"/>
    <w:rsid w:val="00D54AAA"/>
    <w:rsid w:val="00D60A5B"/>
    <w:rsid w:val="00D61C9E"/>
    <w:rsid w:val="00D6474C"/>
    <w:rsid w:val="00D6560E"/>
    <w:rsid w:val="00D7228F"/>
    <w:rsid w:val="00D72815"/>
    <w:rsid w:val="00D72A69"/>
    <w:rsid w:val="00D73D3C"/>
    <w:rsid w:val="00D80657"/>
    <w:rsid w:val="00D818C0"/>
    <w:rsid w:val="00D82A43"/>
    <w:rsid w:val="00D8587C"/>
    <w:rsid w:val="00D87DD8"/>
    <w:rsid w:val="00D90FE2"/>
    <w:rsid w:val="00D93746"/>
    <w:rsid w:val="00D93A21"/>
    <w:rsid w:val="00DA6BA9"/>
    <w:rsid w:val="00DA7B5D"/>
    <w:rsid w:val="00DB2A2F"/>
    <w:rsid w:val="00DD2505"/>
    <w:rsid w:val="00DD2629"/>
    <w:rsid w:val="00DD2AE1"/>
    <w:rsid w:val="00DD37A5"/>
    <w:rsid w:val="00DD4927"/>
    <w:rsid w:val="00DD721F"/>
    <w:rsid w:val="00DE0ED0"/>
    <w:rsid w:val="00DE67E2"/>
    <w:rsid w:val="00DF4B62"/>
    <w:rsid w:val="00DF58E7"/>
    <w:rsid w:val="00DF5962"/>
    <w:rsid w:val="00DF67F8"/>
    <w:rsid w:val="00E0080F"/>
    <w:rsid w:val="00E032B8"/>
    <w:rsid w:val="00E07031"/>
    <w:rsid w:val="00E11876"/>
    <w:rsid w:val="00E119D9"/>
    <w:rsid w:val="00E13EF1"/>
    <w:rsid w:val="00E14DE8"/>
    <w:rsid w:val="00E1582C"/>
    <w:rsid w:val="00E165A3"/>
    <w:rsid w:val="00E1699B"/>
    <w:rsid w:val="00E20DAC"/>
    <w:rsid w:val="00E235AD"/>
    <w:rsid w:val="00E23CBB"/>
    <w:rsid w:val="00E25CE6"/>
    <w:rsid w:val="00E34B47"/>
    <w:rsid w:val="00E37B59"/>
    <w:rsid w:val="00E41993"/>
    <w:rsid w:val="00E41CD7"/>
    <w:rsid w:val="00E50562"/>
    <w:rsid w:val="00E575AE"/>
    <w:rsid w:val="00E578D8"/>
    <w:rsid w:val="00E61E0D"/>
    <w:rsid w:val="00E65E59"/>
    <w:rsid w:val="00E66775"/>
    <w:rsid w:val="00E673DB"/>
    <w:rsid w:val="00E7252D"/>
    <w:rsid w:val="00E8026E"/>
    <w:rsid w:val="00E8776F"/>
    <w:rsid w:val="00E95863"/>
    <w:rsid w:val="00EA014B"/>
    <w:rsid w:val="00EA1096"/>
    <w:rsid w:val="00EA36C6"/>
    <w:rsid w:val="00EA38BA"/>
    <w:rsid w:val="00EA4206"/>
    <w:rsid w:val="00EA4FFD"/>
    <w:rsid w:val="00EB0AE9"/>
    <w:rsid w:val="00EB6ECE"/>
    <w:rsid w:val="00EC489A"/>
    <w:rsid w:val="00EC71F9"/>
    <w:rsid w:val="00EC76CE"/>
    <w:rsid w:val="00ED339D"/>
    <w:rsid w:val="00ED5725"/>
    <w:rsid w:val="00ED7031"/>
    <w:rsid w:val="00EE3060"/>
    <w:rsid w:val="00EE4315"/>
    <w:rsid w:val="00EF2310"/>
    <w:rsid w:val="00EF702C"/>
    <w:rsid w:val="00F02066"/>
    <w:rsid w:val="00F02DBC"/>
    <w:rsid w:val="00F0366D"/>
    <w:rsid w:val="00F0404B"/>
    <w:rsid w:val="00F10DFB"/>
    <w:rsid w:val="00F20DA5"/>
    <w:rsid w:val="00F26ED3"/>
    <w:rsid w:val="00F3143C"/>
    <w:rsid w:val="00F333B5"/>
    <w:rsid w:val="00F33742"/>
    <w:rsid w:val="00F3624E"/>
    <w:rsid w:val="00F410FE"/>
    <w:rsid w:val="00F467D9"/>
    <w:rsid w:val="00F54837"/>
    <w:rsid w:val="00F61C1B"/>
    <w:rsid w:val="00F62B7A"/>
    <w:rsid w:val="00F6397D"/>
    <w:rsid w:val="00F7293E"/>
    <w:rsid w:val="00F75A57"/>
    <w:rsid w:val="00F76650"/>
    <w:rsid w:val="00F77E16"/>
    <w:rsid w:val="00F8128D"/>
    <w:rsid w:val="00F8187D"/>
    <w:rsid w:val="00F87370"/>
    <w:rsid w:val="00F87533"/>
    <w:rsid w:val="00F909CD"/>
    <w:rsid w:val="00F9187B"/>
    <w:rsid w:val="00F92385"/>
    <w:rsid w:val="00F95D18"/>
    <w:rsid w:val="00FA1B4F"/>
    <w:rsid w:val="00FA2744"/>
    <w:rsid w:val="00FA38DB"/>
    <w:rsid w:val="00FA5B46"/>
    <w:rsid w:val="00FB2CAD"/>
    <w:rsid w:val="00FB3362"/>
    <w:rsid w:val="00FB7B70"/>
    <w:rsid w:val="00FC472B"/>
    <w:rsid w:val="00FC47F9"/>
    <w:rsid w:val="00FC577E"/>
    <w:rsid w:val="00FC67DA"/>
    <w:rsid w:val="00FD07DB"/>
    <w:rsid w:val="00FD1317"/>
    <w:rsid w:val="00FD1E0A"/>
    <w:rsid w:val="00FD4103"/>
    <w:rsid w:val="00FD57AA"/>
    <w:rsid w:val="00FE0286"/>
    <w:rsid w:val="00FE1B71"/>
    <w:rsid w:val="00FE2E98"/>
    <w:rsid w:val="00FE5580"/>
    <w:rsid w:val="00FF110C"/>
    <w:rsid w:val="00FF190A"/>
    <w:rsid w:val="00FF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7C87"/>
  <w15:docId w15:val="{89EAECED-09B5-4CD9-845F-528D1E571C3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rsid w:val="007657C1"/>
    <w:rPr>
      <w:rFonts w:ascii="Book Antiqua" w:hAnsi="Book Antiqua"/>
      <w:szCs w:val="20"/>
    </w:rPr>
  </w:style>
  <w:style w:type="character" w:styleId="FootnoteReference">
    <w:name w:val="footnote reference"/>
    <w:aliases w:val="o,fr,Style 3,o1,o2,o3,o4,o5,o6,o11,o21,o7,o + Times New Roman,Style 58"/>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paragraph" w:styleId="ListParagraph">
    <w:name w:val="List Paragraph"/>
    <w:basedOn w:val="Normal"/>
    <w:uiPriority w:val="34"/>
    <w:qFormat/>
    <w:rsid w:val="000B7B87"/>
    <w:pPr>
      <w:ind w:left="720"/>
      <w:contextualSpacing/>
    </w:pPr>
  </w:style>
  <w:style w:type="paragraph" w:styleId="Revision">
    <w:name w:val="Revision"/>
    <w:hidden/>
    <w:uiPriority w:val="99"/>
    <w:semiHidden/>
    <w:rsid w:val="00BB00C8"/>
    <w:pPr>
      <w:spacing w:after="0" w:line="240" w:lineRule="auto"/>
    </w:pPr>
    <w:rPr>
      <w:rFonts w:ascii="Book Antiqua" w:hAnsi="Book Antiqua"/>
      <w:sz w:val="26"/>
    </w:rPr>
  </w:style>
  <w:style w:type="paragraph" w:customStyle="1" w:styleId="paragraph">
    <w:name w:val="paragraph"/>
    <w:basedOn w:val="Normal"/>
    <w:rsid w:val="008D1485"/>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8D1485"/>
  </w:style>
  <w:style w:type="character" w:customStyle="1" w:styleId="eop">
    <w:name w:val="eop"/>
    <w:basedOn w:val="DefaultParagraphFont"/>
    <w:rsid w:val="008D1485"/>
  </w:style>
  <w:style w:type="character" w:styleId="CommentReference">
    <w:name w:val="annotation reference"/>
    <w:basedOn w:val="DefaultParagraphFont"/>
    <w:uiPriority w:val="99"/>
    <w:semiHidden/>
    <w:unhideWhenUsed/>
    <w:rsid w:val="007F47B6"/>
    <w:rPr>
      <w:sz w:val="16"/>
      <w:szCs w:val="16"/>
    </w:rPr>
  </w:style>
  <w:style w:type="paragraph" w:styleId="CommentText">
    <w:name w:val="annotation text"/>
    <w:basedOn w:val="Normal"/>
    <w:link w:val="CommentTextChar"/>
    <w:uiPriority w:val="99"/>
    <w:unhideWhenUsed/>
    <w:rsid w:val="007F47B6"/>
    <w:pPr>
      <w:spacing w:line="240" w:lineRule="auto"/>
    </w:pPr>
    <w:rPr>
      <w:sz w:val="20"/>
      <w:szCs w:val="20"/>
    </w:rPr>
  </w:style>
  <w:style w:type="character" w:customStyle="1" w:styleId="CommentTextChar">
    <w:name w:val="Comment Text Char"/>
    <w:basedOn w:val="DefaultParagraphFont"/>
    <w:link w:val="CommentText"/>
    <w:uiPriority w:val="99"/>
    <w:rsid w:val="007F47B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F47B6"/>
    <w:rPr>
      <w:b/>
      <w:bCs/>
    </w:rPr>
  </w:style>
  <w:style w:type="character" w:customStyle="1" w:styleId="CommentSubjectChar">
    <w:name w:val="Comment Subject Char"/>
    <w:basedOn w:val="CommentTextChar"/>
    <w:link w:val="CommentSubject"/>
    <w:uiPriority w:val="99"/>
    <w:semiHidden/>
    <w:rsid w:val="007F47B6"/>
    <w:rPr>
      <w:rFonts w:ascii="Book Antiqua" w:hAnsi="Book Antiqua"/>
      <w:b/>
      <w:bCs/>
      <w:sz w:val="20"/>
      <w:szCs w:val="20"/>
    </w:rPr>
  </w:style>
  <w:style w:type="paragraph" w:customStyle="1" w:styleId="BoxCheck1">
    <w:name w:val="Box&amp;Check1"/>
    <w:basedOn w:val="Normal"/>
    <w:qFormat/>
    <w:rsid w:val="005D5BB5"/>
    <w:pPr>
      <w:spacing w:line="240" w:lineRule="exact"/>
      <w:ind w:left="288" w:hanging="288"/>
    </w:pPr>
    <w:rPr>
      <w:rFonts w:ascii="Times New Roman" w:hAnsi="Times New Roman"/>
      <w:sz w:val="24"/>
    </w:rPr>
  </w:style>
  <w:style w:type="paragraph" w:customStyle="1" w:styleId="SigBlockBA-Cmr">
    <w:name w:val="SigBlockBA-Cmr"/>
    <w:basedOn w:val="Normal"/>
    <w:qFormat/>
    <w:rsid w:val="005A2494"/>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5A2494"/>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5A2494"/>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EB0345788E4686025D8D57F1F3D6" ma:contentTypeVersion="11" ma:contentTypeDescription="Create a new document." ma:contentTypeScope="" ma:versionID="5b20ceecaf65a8eabbb009185ec812c6">
  <xsd:schema xmlns:xsd="http://www.w3.org/2001/XMLSchema" xmlns:xs="http://www.w3.org/2001/XMLSchema" xmlns:p="http://schemas.microsoft.com/office/2006/metadata/properties" xmlns:ns2="fd401c2c-9287-43ab-a293-354c814ae0f9" xmlns:ns3="005d1024-2fde-4134-9d52-de97a2b1c5ac" targetNamespace="http://schemas.microsoft.com/office/2006/metadata/properties" ma:root="true" ma:fieldsID="f904c0a13844b1da02fb4313c82a9cdf" ns2:_="" ns3:_="">
    <xsd:import namespace="fd401c2c-9287-43ab-a293-354c814ae0f9"/>
    <xsd:import namespace="005d1024-2fde-4134-9d52-de97a2b1c5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1c2c-9287-43ab-a293-354c814a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d1024-2fde-4134-9d52-de97a2b1c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b5b1f-8528-4fe2-a0c5-abaabff58d80}" ma:internalName="TaxCatchAll" ma:showField="CatchAllData" ma:web="005d1024-2fde-4134-9d52-de97a2b1c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5d1024-2fde-4134-9d52-de97a2b1c5ac" xsi:nil="true"/>
    <lcf76f155ced4ddcb4097134ff3c332f xmlns="fd401c2c-9287-43ab-a293-354c814ae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D1FA2-CCFD-4342-A356-F26D76CA4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1c2c-9287-43ab-a293-354c814ae0f9"/>
    <ds:schemaRef ds:uri="005d1024-2fde-4134-9d52-de97a2b1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64902-6F6F-4A48-A5ED-0532F0A1E076}">
  <ds:schemaRefs>
    <ds:schemaRef ds:uri="http://schemas.microsoft.com/sharepoint/v3/contenttype/forms"/>
  </ds:schemaRefs>
</ds:datastoreItem>
</file>

<file path=customXml/itemProps3.xml><?xml version="1.0" encoding="utf-8"?>
<ds:datastoreItem xmlns:ds="http://schemas.openxmlformats.org/officeDocument/2006/customXml" ds:itemID="{1509AB22-CABE-4B1F-8A35-EE58EE4502AA}">
  <ds:schemaRefs>
    <ds:schemaRef ds:uri="http://schemas.openxmlformats.org/officeDocument/2006/bibliography"/>
  </ds:schemaRefs>
</ds:datastoreItem>
</file>

<file path=customXml/itemProps4.xml><?xml version="1.0" encoding="utf-8"?>
<ds:datastoreItem xmlns:ds="http://schemas.openxmlformats.org/officeDocument/2006/customXml" ds:itemID="{21A07C52-A596-49A1-B1F7-FEAFB034CDBB}">
  <ds:schemaRefs>
    <ds:schemaRef ds:uri="http://schemas.microsoft.com/office/2006/metadata/properties"/>
    <ds:schemaRef ds:uri="http://schemas.microsoft.com/office/infopath/2007/PartnerControls"/>
    <ds:schemaRef ds:uri="005d1024-2fde-4134-9d52-de97a2b1c5ac"/>
    <ds:schemaRef ds:uri="fd401c2c-9287-43ab-a293-354c814ae0f9"/>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2953</ap:Words>
  <ap:Characters>16834</ap:Characters>
  <ap:Application>Microsoft Office Word</ap:Application>
  <ap:DocSecurity>0</ap:DocSecurity>
  <ap:Lines>140</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19748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2026-06-17T12:25:36Z</dcterms:created>
  <dcterms:modified xsi:type="dcterms:W3CDTF">2026-06-17T12:25:36Z</dcterms:modified>
</cp:coreProperties>
</file>