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33573" w:rsidR="00F33573" w:rsidP="00F33573" w:rsidRDefault="00F33573" w14:paraId="6EBF052E" w14:textId="726EF31A">
      <w:pPr>
        <w:suppressAutoHyphens/>
        <w:rPr>
          <w:b/>
          <w:bCs/>
          <w:color w:val="000000"/>
        </w:rPr>
      </w:pPr>
      <w:r w:rsidRPr="00F33573">
        <w:rPr>
          <w:color w:val="000000"/>
        </w:rPr>
        <w:t>ALJ/KWZ/vj4</w:t>
      </w:r>
      <w:r w:rsidRPr="00F33573">
        <w:rPr>
          <w:color w:val="000000"/>
        </w:rPr>
        <w:tab/>
      </w:r>
      <w:r w:rsidRPr="00F33573">
        <w:rPr>
          <w:color w:val="000000"/>
        </w:rPr>
        <w:tab/>
      </w:r>
      <w:r w:rsidRPr="00F33573">
        <w:rPr>
          <w:color w:val="000000"/>
        </w:rPr>
        <w:tab/>
      </w:r>
      <w:r w:rsidRPr="00F33573">
        <w:rPr>
          <w:color w:val="000000"/>
        </w:rPr>
        <w:tab/>
      </w:r>
      <w:r w:rsidRPr="00F33573">
        <w:rPr>
          <w:color w:val="000000"/>
        </w:rPr>
        <w:tab/>
      </w:r>
      <w:r w:rsidRPr="00F33573">
        <w:rPr>
          <w:color w:val="000000"/>
        </w:rPr>
        <w:tab/>
        <w:t xml:space="preserve">    </w:t>
      </w:r>
      <w:r w:rsidR="00FB250A">
        <w:rPr>
          <w:color w:val="000000"/>
        </w:rPr>
        <w:tab/>
      </w:r>
      <w:r w:rsidR="00FB250A">
        <w:rPr>
          <w:color w:val="000000"/>
        </w:rPr>
        <w:tab/>
      </w:r>
      <w:r w:rsidRPr="00F33573">
        <w:rPr>
          <w:color w:val="000000"/>
        </w:rPr>
        <w:t xml:space="preserve"> </w:t>
      </w:r>
      <w:r w:rsidR="00FB250A">
        <w:rPr>
          <w:b/>
          <w:bCs/>
          <w:color w:val="000000"/>
        </w:rPr>
        <w:t>Date of Issuance 6/17/2026</w:t>
      </w:r>
    </w:p>
    <w:p w:rsidRPr="00F33573" w:rsidR="00F33573" w:rsidP="00F33573" w:rsidRDefault="00F33573" w14:paraId="31369878" w14:textId="059458FF">
      <w:pPr>
        <w:suppressAutoHyphens/>
        <w:rPr>
          <w:b/>
          <w:bCs/>
          <w:color w:val="000000"/>
        </w:rPr>
      </w:pPr>
      <w:r w:rsidRPr="00F33573">
        <w:rPr>
          <w:b/>
          <w:bCs/>
          <w:color w:val="000000"/>
        </w:rPr>
        <w:tab/>
      </w:r>
      <w:r w:rsidRPr="00F33573">
        <w:rPr>
          <w:b/>
          <w:bCs/>
          <w:color w:val="000000"/>
        </w:rPr>
        <w:tab/>
      </w:r>
      <w:r w:rsidRPr="00F33573">
        <w:rPr>
          <w:b/>
          <w:bCs/>
          <w:color w:val="000000"/>
        </w:rPr>
        <w:tab/>
      </w:r>
      <w:r w:rsidRPr="00F33573">
        <w:rPr>
          <w:b/>
          <w:bCs/>
          <w:color w:val="000000"/>
        </w:rPr>
        <w:tab/>
      </w:r>
      <w:r w:rsidRPr="00F33573">
        <w:rPr>
          <w:b/>
          <w:bCs/>
          <w:color w:val="000000"/>
        </w:rPr>
        <w:tab/>
      </w:r>
      <w:r w:rsidRPr="00F33573">
        <w:rPr>
          <w:b/>
          <w:bCs/>
          <w:color w:val="000000"/>
        </w:rPr>
        <w:tab/>
      </w:r>
      <w:r w:rsidRPr="00F33573">
        <w:rPr>
          <w:b/>
          <w:bCs/>
          <w:color w:val="000000"/>
        </w:rPr>
        <w:tab/>
      </w:r>
      <w:r w:rsidRPr="00F33573">
        <w:rPr>
          <w:b/>
          <w:bCs/>
          <w:color w:val="000000"/>
        </w:rPr>
        <w:tab/>
      </w:r>
      <w:r w:rsidRPr="00F33573">
        <w:rPr>
          <w:b/>
          <w:bCs/>
          <w:color w:val="000000"/>
        </w:rPr>
        <w:tab/>
      </w:r>
      <w:r w:rsidRPr="00F33573">
        <w:rPr>
          <w:b/>
          <w:bCs/>
          <w:color w:val="000000"/>
        </w:rPr>
        <w:tab/>
      </w:r>
      <w:r w:rsidRPr="00F33573">
        <w:rPr>
          <w:b/>
          <w:bCs/>
          <w:color w:val="000000"/>
        </w:rPr>
        <w:tab/>
        <w:t xml:space="preserve">   </w:t>
      </w:r>
    </w:p>
    <w:p w:rsidR="00F33573" w:rsidP="00625B30" w:rsidRDefault="00F33573" w14:paraId="02753DAB" w14:textId="77777777">
      <w:pPr>
        <w:suppressAutoHyphens/>
        <w:rPr>
          <w:color w:val="000000"/>
        </w:rPr>
      </w:pPr>
    </w:p>
    <w:p w:rsidR="00F33573" w:rsidP="00625B30" w:rsidRDefault="00F33573" w14:paraId="24B78AF1" w14:textId="77777777">
      <w:pPr>
        <w:suppressAutoHyphens/>
        <w:rPr>
          <w:color w:val="000000"/>
        </w:rPr>
      </w:pPr>
    </w:p>
    <w:p w:rsidRPr="006756BC" w:rsidR="00625B30" w:rsidP="00625B30" w:rsidRDefault="00625B30" w14:paraId="25D36F66" w14:textId="77BCF8E7">
      <w:pPr>
        <w:suppressAutoHyphens/>
        <w:rPr>
          <w:color w:val="000000"/>
        </w:rPr>
      </w:pPr>
      <w:r w:rsidRPr="006756BC">
        <w:rPr>
          <w:color w:val="000000"/>
        </w:rPr>
        <w:t>Decision</w:t>
      </w:r>
      <w:r w:rsidRPr="009716ED">
        <w:rPr>
          <w:color w:val="000000"/>
        </w:rPr>
        <w:t xml:space="preserve"> </w:t>
      </w:r>
      <w:r w:rsidRPr="009716ED" w:rsidR="009716ED">
        <w:rPr>
          <w:color w:val="000000"/>
        </w:rPr>
        <w:t>26-06-</w:t>
      </w:r>
      <w:proofErr w:type="gramStart"/>
      <w:r w:rsidRPr="009716ED" w:rsidR="009716ED">
        <w:rPr>
          <w:color w:val="000000"/>
        </w:rPr>
        <w:t>028  June</w:t>
      </w:r>
      <w:proofErr w:type="gramEnd"/>
      <w:r w:rsidRPr="009716ED" w:rsidR="009716ED">
        <w:rPr>
          <w:color w:val="000000"/>
        </w:rPr>
        <w:t xml:space="preserve"> 11, 2026</w:t>
      </w:r>
    </w:p>
    <w:p w:rsidRPr="006756BC" w:rsidR="00625B30" w:rsidP="00430F78" w:rsidRDefault="00430F78" w14:paraId="3B656E07" w14:textId="316981F1">
      <w:pPr>
        <w:pStyle w:val="titlebar"/>
        <w:tabs>
          <w:tab w:val="left" w:pos="3612"/>
        </w:tabs>
        <w:jc w:val="left"/>
        <w:rPr>
          <w:rFonts w:ascii="Times New Roman" w:hAnsi="Times New Roman"/>
          <w:color w:val="000000"/>
          <w:sz w:val="24"/>
          <w:szCs w:val="24"/>
        </w:rPr>
      </w:pPr>
      <w:r>
        <w:rPr>
          <w:rFonts w:ascii="Times New Roman" w:hAnsi="Times New Roman"/>
          <w:color w:val="000000"/>
          <w:sz w:val="24"/>
          <w:szCs w:val="24"/>
        </w:rPr>
        <w:tab/>
      </w:r>
    </w:p>
    <w:p w:rsidRPr="006756BC" w:rsidR="00625B30" w:rsidP="00625B30" w:rsidRDefault="00625B30" w14:paraId="3D3AD171" w14:textId="77777777">
      <w:pPr>
        <w:pStyle w:val="titlebar"/>
        <w:rPr>
          <w:rFonts w:ascii="Times New Roman" w:hAnsi="Times New Roman"/>
          <w:color w:val="000000"/>
          <w:sz w:val="24"/>
          <w:szCs w:val="24"/>
        </w:rPr>
      </w:pPr>
    </w:p>
    <w:p w:rsidRPr="006756BC" w:rsidR="00625B30" w:rsidP="00625B30" w:rsidRDefault="00625B30" w14:paraId="1481C028" w14:textId="77777777">
      <w:pPr>
        <w:pStyle w:val="titlebar"/>
        <w:rPr>
          <w:rFonts w:ascii="Times New Roman" w:hAnsi="Times New Roman"/>
          <w:color w:val="000000"/>
          <w:sz w:val="24"/>
          <w:szCs w:val="24"/>
        </w:rPr>
      </w:pPr>
      <w:r w:rsidRPr="006756BC">
        <w:rPr>
          <w:rFonts w:ascii="Times New Roman" w:hAnsi="Times New Roman"/>
          <w:color w:val="000000"/>
          <w:sz w:val="24"/>
          <w:szCs w:val="24"/>
        </w:rPr>
        <w:t>BEFORE THE PUBLIC UTILITIES COMMISSION OF THE STATE OF CALIFORNIA</w:t>
      </w:r>
    </w:p>
    <w:p w:rsidRPr="006756BC" w:rsidR="00625B30" w:rsidP="00625B30" w:rsidRDefault="00625B30" w14:paraId="50B58BC8" w14:textId="77777777">
      <w:pPr>
        <w:suppressAutoHyphens/>
        <w:rPr>
          <w:color w:val="000000"/>
        </w:rPr>
      </w:pPr>
    </w:p>
    <w:tbl>
      <w:tblPr>
        <w:tblW w:w="9828" w:type="dxa"/>
        <w:tblBorders>
          <w:bottom w:val="single" w:color="auto" w:sz="4" w:space="0"/>
          <w:insideH w:val="single" w:color="auto" w:sz="4" w:space="0"/>
          <w:insideV w:val="single" w:color="auto" w:sz="4" w:space="0"/>
        </w:tblBorders>
        <w:shd w:val="clear" w:color="auto" w:fill="CCFFCC"/>
        <w:tblLayout w:type="fixed"/>
        <w:tblLook w:val="0000" w:firstRow="0" w:lastRow="0" w:firstColumn="0" w:lastColumn="0" w:noHBand="0" w:noVBand="0"/>
      </w:tblPr>
      <w:tblGrid>
        <w:gridCol w:w="5958"/>
        <w:gridCol w:w="3870"/>
      </w:tblGrid>
      <w:tr w:rsidRPr="006756BC" w:rsidR="00625B30" w:rsidTr="00590DB2" w14:paraId="3118FF93" w14:textId="77777777">
        <w:tc>
          <w:tcPr>
            <w:tcW w:w="5958" w:type="dxa"/>
          </w:tcPr>
          <w:p w:rsidRPr="006756BC" w:rsidR="00625B30" w:rsidP="00EF6BA2" w:rsidRDefault="00EF6BA2" w14:paraId="7192D4D4" w14:textId="4212515E">
            <w:r w:rsidRPr="006756BC">
              <w:t>Application of Pacific Gas and Electric Company for Approval of Zonal Electrification Pilot Project (U 39G)</w:t>
            </w:r>
          </w:p>
        </w:tc>
        <w:tc>
          <w:tcPr>
            <w:tcW w:w="3870" w:type="dxa"/>
            <w:tcBorders>
              <w:top w:val="nil"/>
              <w:bottom w:val="nil"/>
            </w:tcBorders>
            <w:vAlign w:val="center"/>
          </w:tcPr>
          <w:p w:rsidRPr="006756BC" w:rsidR="00625B30" w:rsidP="0036244B" w:rsidRDefault="00625B30" w14:paraId="28FBCB65" w14:textId="78ED3739">
            <w:pPr>
              <w:tabs>
                <w:tab w:val="left" w:pos="1440"/>
                <w:tab w:val="left" w:pos="3600"/>
              </w:tabs>
              <w:jc w:val="center"/>
              <w:rPr>
                <w:color w:val="000000"/>
              </w:rPr>
            </w:pPr>
            <w:r w:rsidRPr="006756BC">
              <w:rPr>
                <w:color w:val="000000"/>
              </w:rPr>
              <w:t xml:space="preserve">Application </w:t>
            </w:r>
            <w:r w:rsidRPr="006756BC" w:rsidR="00EF6BA2">
              <w:rPr>
                <w:color w:val="000000"/>
              </w:rPr>
              <w:t>22</w:t>
            </w:r>
            <w:r w:rsidRPr="006756BC">
              <w:rPr>
                <w:color w:val="000000"/>
              </w:rPr>
              <w:t>-</w:t>
            </w:r>
            <w:r w:rsidRPr="006756BC" w:rsidR="00EF6BA2">
              <w:rPr>
                <w:color w:val="000000"/>
              </w:rPr>
              <w:t>08</w:t>
            </w:r>
            <w:r w:rsidRPr="006756BC">
              <w:rPr>
                <w:color w:val="000000"/>
              </w:rPr>
              <w:t>-</w:t>
            </w:r>
            <w:r w:rsidRPr="006756BC" w:rsidR="00EF6BA2">
              <w:rPr>
                <w:color w:val="000000"/>
              </w:rPr>
              <w:t>003</w:t>
            </w:r>
          </w:p>
          <w:p w:rsidRPr="006756BC" w:rsidR="00625B30" w:rsidP="0036244B" w:rsidRDefault="00625B30" w14:paraId="5EB69743" w14:textId="55924FFD">
            <w:pPr>
              <w:tabs>
                <w:tab w:val="left" w:pos="1440"/>
                <w:tab w:val="left" w:pos="3600"/>
              </w:tabs>
              <w:jc w:val="center"/>
              <w:rPr>
                <w:color w:val="000000"/>
              </w:rPr>
            </w:pPr>
            <w:r w:rsidRPr="006756BC">
              <w:rPr>
                <w:color w:val="000000"/>
              </w:rPr>
              <w:t>(</w:t>
            </w:r>
            <w:bookmarkStart w:name="OLE_LINK1" w:id="0"/>
            <w:bookmarkStart w:name="OLE_LINK2" w:id="1"/>
            <w:r w:rsidRPr="006756BC">
              <w:rPr>
                <w:color w:val="000000"/>
              </w:rPr>
              <w:t xml:space="preserve">Filed </w:t>
            </w:r>
            <w:bookmarkEnd w:id="0"/>
            <w:bookmarkEnd w:id="1"/>
            <w:r w:rsidRPr="006756BC" w:rsidR="00EF6BA2">
              <w:rPr>
                <w:color w:val="000000"/>
              </w:rPr>
              <w:t>August 10, 2022</w:t>
            </w:r>
            <w:r w:rsidRPr="006756BC">
              <w:rPr>
                <w:color w:val="000000"/>
              </w:rPr>
              <w:t>)</w:t>
            </w:r>
          </w:p>
          <w:p w:rsidRPr="006756BC" w:rsidR="00625B30" w:rsidP="0036244B" w:rsidRDefault="00625B30" w14:paraId="1DD5E0AD" w14:textId="77777777">
            <w:pPr>
              <w:jc w:val="center"/>
              <w:rPr>
                <w:color w:val="000000"/>
              </w:rPr>
            </w:pPr>
          </w:p>
        </w:tc>
      </w:tr>
    </w:tbl>
    <w:p w:rsidRPr="006756BC" w:rsidR="00625B30" w:rsidP="00625B30" w:rsidRDefault="00625B30" w14:paraId="2711831F" w14:textId="77777777">
      <w:pPr>
        <w:jc w:val="center"/>
        <w:rPr>
          <w:b/>
          <w:color w:val="000000"/>
        </w:rPr>
      </w:pPr>
    </w:p>
    <w:p w:rsidRPr="00C954ED" w:rsidR="00C954ED" w:rsidP="00C954ED" w:rsidRDefault="00C954ED" w14:paraId="403AB45C" w14:textId="28C82D4A">
      <w:pPr>
        <w:widowControl w:val="0"/>
        <w:jc w:val="center"/>
        <w:rPr>
          <w:b/>
          <w:color w:val="000000"/>
          <w:lang w:eastAsia="ja-JP"/>
        </w:rPr>
      </w:pPr>
      <w:r w:rsidRPr="00C954ED">
        <w:rPr>
          <w:b/>
          <w:color w:val="000000"/>
          <w:lang w:eastAsia="ja-JP"/>
        </w:rPr>
        <w:t xml:space="preserve">DECISION GRANTING COMPENSATION TO THE UTILITY REFORM NETWORK FOR SUBSTANTIAL CONTRIBUTION TO DECISION </w:t>
      </w:r>
      <w:r w:rsidR="007D1F2F">
        <w:rPr>
          <w:b/>
          <w:color w:val="000000"/>
          <w:lang w:eastAsia="ja-JP"/>
        </w:rPr>
        <w:t xml:space="preserve">(D.) </w:t>
      </w:r>
      <w:r w:rsidRPr="00C954ED">
        <w:rPr>
          <w:b/>
          <w:color w:val="000000"/>
          <w:lang w:eastAsia="ja-JP"/>
        </w:rPr>
        <w:t>25-</w:t>
      </w:r>
      <w:r>
        <w:rPr>
          <w:b/>
          <w:color w:val="000000"/>
          <w:lang w:eastAsia="ja-JP"/>
        </w:rPr>
        <w:t>11-004</w:t>
      </w:r>
    </w:p>
    <w:p w:rsidRPr="006756BC" w:rsidR="00625B30" w:rsidP="00625B30" w:rsidRDefault="00625B30" w14:paraId="1D4406A6" w14:textId="77777777">
      <w:pPr>
        <w:suppressAutoHyphens/>
        <w:rPr>
          <w:color w:val="000000"/>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3957"/>
        <w:gridCol w:w="5403"/>
      </w:tblGrid>
      <w:tr w:rsidRPr="006756BC" w:rsidR="00625B30" w:rsidTr="001B587E" w14:paraId="0E272B2D" w14:textId="77777777">
        <w:tc>
          <w:tcPr>
            <w:tcW w:w="3957" w:type="dxa"/>
          </w:tcPr>
          <w:p w:rsidRPr="006756BC" w:rsidR="00625B30" w:rsidP="0036244B" w:rsidRDefault="00625B30" w14:paraId="55BFC873" w14:textId="7EF720B9">
            <w:pPr>
              <w:tabs>
                <w:tab w:val="left" w:pos="1620"/>
                <w:tab w:val="right" w:pos="4500"/>
              </w:tabs>
              <w:rPr>
                <w:color w:val="000000"/>
              </w:rPr>
            </w:pPr>
            <w:r w:rsidRPr="006756BC">
              <w:rPr>
                <w:b/>
                <w:color w:val="000000"/>
              </w:rPr>
              <w:t>Intervenor</w:t>
            </w:r>
            <w:proofErr w:type="gramStart"/>
            <w:r w:rsidRPr="006756BC">
              <w:rPr>
                <w:b/>
                <w:color w:val="000000"/>
              </w:rPr>
              <w:t xml:space="preserve">: </w:t>
            </w:r>
            <w:r w:rsidRPr="006756BC" w:rsidR="00EF6BA2">
              <w:rPr>
                <w:b/>
                <w:color w:val="000000"/>
              </w:rPr>
              <w:t xml:space="preserve"> </w:t>
            </w:r>
            <w:r w:rsidRPr="006756BC">
              <w:rPr>
                <w:bCs/>
                <w:color w:val="000000"/>
              </w:rPr>
              <w:t>The</w:t>
            </w:r>
            <w:proofErr w:type="gramEnd"/>
            <w:r w:rsidRPr="006756BC">
              <w:rPr>
                <w:bCs/>
                <w:color w:val="000000"/>
              </w:rPr>
              <w:t xml:space="preserve"> Utility Reform Network (TURN)</w:t>
            </w:r>
          </w:p>
        </w:tc>
        <w:tc>
          <w:tcPr>
            <w:tcW w:w="5403" w:type="dxa"/>
          </w:tcPr>
          <w:p w:rsidRPr="006756BC" w:rsidR="00625B30" w:rsidP="0036244B" w:rsidRDefault="00625B30" w14:paraId="3979BBD2" w14:textId="025AB85B">
            <w:pPr>
              <w:tabs>
                <w:tab w:val="left" w:pos="1872"/>
                <w:tab w:val="right" w:pos="3672"/>
              </w:tabs>
              <w:rPr>
                <w:b/>
                <w:color w:val="000000"/>
              </w:rPr>
            </w:pPr>
            <w:r w:rsidRPr="006756BC">
              <w:rPr>
                <w:b/>
                <w:color w:val="000000"/>
              </w:rPr>
              <w:t xml:space="preserve">For contribution to </w:t>
            </w:r>
            <w:r w:rsidRPr="006756BC" w:rsidR="00EF6BA2">
              <w:rPr>
                <w:b/>
                <w:color w:val="000000"/>
              </w:rPr>
              <w:t>Decision (D.) 25-11-004</w:t>
            </w:r>
            <w:r w:rsidRPr="006756BC">
              <w:rPr>
                <w:b/>
                <w:color w:val="000000"/>
              </w:rPr>
              <w:t xml:space="preserve"> </w:t>
            </w:r>
          </w:p>
        </w:tc>
      </w:tr>
      <w:tr w:rsidRPr="006756BC" w:rsidR="00625B30" w:rsidTr="001B587E" w14:paraId="3BAE7DD6" w14:textId="77777777">
        <w:tc>
          <w:tcPr>
            <w:tcW w:w="3957" w:type="dxa"/>
          </w:tcPr>
          <w:p w:rsidRPr="006756BC" w:rsidR="00625B30" w:rsidP="0036244B" w:rsidRDefault="00625B30" w14:paraId="0FB0268E" w14:textId="57567907">
            <w:pPr>
              <w:tabs>
                <w:tab w:val="left" w:pos="1620"/>
                <w:tab w:val="right" w:pos="4500"/>
              </w:tabs>
              <w:rPr>
                <w:b/>
                <w:color w:val="000000"/>
              </w:rPr>
            </w:pPr>
            <w:r w:rsidRPr="006756BC">
              <w:rPr>
                <w:b/>
                <w:color w:val="000000"/>
              </w:rPr>
              <w:t xml:space="preserve">Claimed:  </w:t>
            </w:r>
            <w:r w:rsidR="005E5778">
              <w:t>$133,691.88</w:t>
            </w:r>
          </w:p>
        </w:tc>
        <w:tc>
          <w:tcPr>
            <w:tcW w:w="5403" w:type="dxa"/>
            <w:tcBorders>
              <w:bottom w:val="single" w:color="auto" w:sz="4" w:space="0"/>
            </w:tcBorders>
          </w:tcPr>
          <w:p w:rsidRPr="006756BC" w:rsidR="00625B30" w:rsidP="0036244B" w:rsidRDefault="00625B30" w14:paraId="73C3DAD1" w14:textId="4EBF3B34">
            <w:pPr>
              <w:tabs>
                <w:tab w:val="left" w:pos="1872"/>
                <w:tab w:val="right" w:pos="3672"/>
              </w:tabs>
              <w:rPr>
                <w:b/>
                <w:color w:val="000000"/>
                <w:u w:val="single"/>
              </w:rPr>
            </w:pPr>
            <w:r w:rsidRPr="006756BC">
              <w:rPr>
                <w:b/>
                <w:color w:val="000000"/>
              </w:rPr>
              <w:t xml:space="preserve">Awarded:  </w:t>
            </w:r>
            <w:r w:rsidRPr="00495DC9" w:rsidR="001B587E">
              <w:rPr>
                <w:bCs/>
                <w:color w:val="000000"/>
              </w:rPr>
              <w:t>$133,691.88</w:t>
            </w:r>
          </w:p>
        </w:tc>
      </w:tr>
      <w:tr w:rsidRPr="006756BC" w:rsidR="00625B30" w:rsidTr="001B587E" w14:paraId="243EB11B" w14:textId="77777777">
        <w:tc>
          <w:tcPr>
            <w:tcW w:w="3957" w:type="dxa"/>
          </w:tcPr>
          <w:p w:rsidRPr="006756BC" w:rsidR="00625B30" w:rsidP="0036244B" w:rsidRDefault="00625B30" w14:paraId="301E429A" w14:textId="687B24AD">
            <w:pPr>
              <w:tabs>
                <w:tab w:val="left" w:pos="3060"/>
                <w:tab w:val="right" w:pos="4500"/>
              </w:tabs>
              <w:rPr>
                <w:color w:val="000000"/>
                <w:u w:val="single"/>
              </w:rPr>
            </w:pPr>
            <w:r w:rsidRPr="006756BC">
              <w:rPr>
                <w:b/>
                <w:color w:val="000000"/>
              </w:rPr>
              <w:t xml:space="preserve">Assigned Commissioner: </w:t>
            </w:r>
            <w:r w:rsidRPr="006756BC" w:rsidR="00EF6BA2">
              <w:rPr>
                <w:b/>
                <w:color w:val="000000"/>
              </w:rPr>
              <w:t xml:space="preserve"> </w:t>
            </w:r>
            <w:r w:rsidRPr="006756BC" w:rsidR="00EF6BA2">
              <w:rPr>
                <w:bCs/>
                <w:color w:val="000000"/>
              </w:rPr>
              <w:t>John Reynolds</w:t>
            </w:r>
          </w:p>
        </w:tc>
        <w:tc>
          <w:tcPr>
            <w:tcW w:w="5403" w:type="dxa"/>
          </w:tcPr>
          <w:p w:rsidRPr="006756BC" w:rsidR="00625B30" w:rsidP="0036244B" w:rsidRDefault="00625B30" w14:paraId="13EDC8D8" w14:textId="62CE9677">
            <w:pPr>
              <w:tabs>
                <w:tab w:val="left" w:pos="1872"/>
                <w:tab w:val="right" w:pos="3672"/>
              </w:tabs>
              <w:rPr>
                <w:color w:val="000000"/>
                <w:u w:val="single"/>
              </w:rPr>
            </w:pPr>
            <w:r w:rsidRPr="006756BC">
              <w:rPr>
                <w:b/>
                <w:color w:val="000000"/>
              </w:rPr>
              <w:t xml:space="preserve">Assigned ALJ: </w:t>
            </w:r>
            <w:r w:rsidRPr="006756BC" w:rsidR="00EF6BA2">
              <w:rPr>
                <w:b/>
                <w:color w:val="000000"/>
              </w:rPr>
              <w:t xml:space="preserve"> </w:t>
            </w:r>
            <w:r w:rsidRPr="006756BC" w:rsidR="00EF6BA2">
              <w:rPr>
                <w:bCs/>
                <w:color w:val="000000"/>
              </w:rPr>
              <w:t>Camille Watts-Zagha</w:t>
            </w:r>
          </w:p>
        </w:tc>
      </w:tr>
    </w:tbl>
    <w:p w:rsidRPr="006756BC" w:rsidR="00625B30" w:rsidP="00590DB2" w:rsidRDefault="00625B30" w14:paraId="2B9B63D7" w14:textId="3FC3207F">
      <w:pPr>
        <w:keepNext/>
        <w:spacing w:before="360"/>
        <w:jc w:val="center"/>
        <w:rPr>
          <w:b/>
          <w:color w:val="000000"/>
        </w:rPr>
      </w:pPr>
      <w:r w:rsidRPr="006756BC">
        <w:rPr>
          <w:b/>
          <w:color w:val="000000"/>
        </w:rPr>
        <w:t>PART I</w:t>
      </w:r>
      <w:proofErr w:type="gramStart"/>
      <w:r w:rsidRPr="006756BC">
        <w:rPr>
          <w:b/>
          <w:color w:val="000000"/>
        </w:rPr>
        <w:t>:  PROCEDURAL</w:t>
      </w:r>
      <w:proofErr w:type="gramEnd"/>
      <w:r w:rsidRPr="006756BC">
        <w:rPr>
          <w:b/>
          <w:color w:val="000000"/>
        </w:rPr>
        <w:t xml:space="preserve"> ISSUES</w:t>
      </w:r>
    </w:p>
    <w:p w:rsidRPr="006756BC" w:rsidR="00625B30" w:rsidP="00625B30" w:rsidRDefault="00625B30" w14:paraId="4FA04D13" w14:textId="77777777">
      <w:pPr>
        <w:keepNext/>
        <w:jc w:val="center"/>
        <w:rPr>
          <w:i/>
          <w:color w:val="000000"/>
          <w:u w:val="single"/>
        </w:rPr>
      </w:pPr>
    </w:p>
    <w:tbl>
      <w:tblPr>
        <w:tblpPr w:leftFromText="187" w:rightFromText="187" w:vertAnchor="text" w:tblpY="1"/>
        <w:tblOverlap w:val="neve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708"/>
        <w:gridCol w:w="5647"/>
      </w:tblGrid>
      <w:tr w:rsidRPr="006756BC" w:rsidR="00625B30" w:rsidTr="00C8115F" w14:paraId="23E65303" w14:textId="77777777">
        <w:tc>
          <w:tcPr>
            <w:tcW w:w="3708" w:type="dxa"/>
          </w:tcPr>
          <w:p w:rsidRPr="006756BC" w:rsidR="00625B30" w:rsidP="00ED55FC" w:rsidRDefault="00625B30" w14:paraId="7EF356D2" w14:textId="77777777">
            <w:pPr>
              <w:rPr>
                <w:b/>
                <w:color w:val="000000"/>
              </w:rPr>
            </w:pPr>
            <w:r w:rsidRPr="006756BC">
              <w:rPr>
                <w:b/>
                <w:color w:val="000000"/>
              </w:rPr>
              <w:t xml:space="preserve">A.  Brief description of Decision: </w:t>
            </w:r>
          </w:p>
        </w:tc>
        <w:tc>
          <w:tcPr>
            <w:tcW w:w="5647" w:type="dxa"/>
          </w:tcPr>
          <w:p w:rsidRPr="006756BC" w:rsidR="00625B30" w:rsidP="00F71EE8" w:rsidRDefault="00EF6BA2" w14:paraId="0ED531DB" w14:textId="7D20C68C">
            <w:pPr>
              <w:rPr>
                <w:color w:val="000000"/>
              </w:rPr>
            </w:pPr>
            <w:r w:rsidRPr="006756BC">
              <w:rPr>
                <w:color w:val="000000"/>
              </w:rPr>
              <w:t xml:space="preserve">In D.25-11-004, the Commission granted Pacific Gas and Electric Company’s (PG&amp;E’s) motion to withdraw this application for a zonal building electrification project at California State University Monterey Bay (CSU Monterey Bay), which would </w:t>
            </w:r>
            <w:r w:rsidRPr="006756BC" w:rsidR="00CF46F9">
              <w:rPr>
                <w:color w:val="000000"/>
              </w:rPr>
              <w:t xml:space="preserve">have </w:t>
            </w:r>
            <w:r w:rsidRPr="006756BC">
              <w:rPr>
                <w:color w:val="000000"/>
              </w:rPr>
              <w:t>allow</w:t>
            </w:r>
            <w:r w:rsidRPr="006756BC" w:rsidR="00CF46F9">
              <w:rPr>
                <w:color w:val="000000"/>
              </w:rPr>
              <w:t>ed</w:t>
            </w:r>
            <w:r w:rsidRPr="006756BC">
              <w:rPr>
                <w:color w:val="000000"/>
              </w:rPr>
              <w:t xml:space="preserve"> PG&amp;E to retire, instead of replace, a gas distribution pipeline in need of repair.  </w:t>
            </w:r>
            <w:r w:rsidRPr="006756BC" w:rsidR="00CF46F9">
              <w:rPr>
                <w:color w:val="000000"/>
              </w:rPr>
              <w:t>While granting PG&amp;E’s motion, t</w:t>
            </w:r>
            <w:r w:rsidRPr="006756BC">
              <w:rPr>
                <w:color w:val="000000"/>
              </w:rPr>
              <w:t xml:space="preserve">he Commission also </w:t>
            </w:r>
            <w:r w:rsidRPr="006756BC" w:rsidR="001A594B">
              <w:rPr>
                <w:color w:val="000000"/>
              </w:rPr>
              <w:t xml:space="preserve">recognized the value of the voluminous record developed before PG&amp;E filed its motion to </w:t>
            </w:r>
            <w:proofErr w:type="gramStart"/>
            <w:r w:rsidRPr="006756BC" w:rsidR="001A594B">
              <w:rPr>
                <w:color w:val="000000"/>
              </w:rPr>
              <w:t xml:space="preserve">withdraw, </w:t>
            </w:r>
            <w:r w:rsidRPr="006756BC" w:rsidR="001A594B">
              <w:t>and</w:t>
            </w:r>
            <w:proofErr w:type="gramEnd"/>
            <w:r w:rsidRPr="006756BC" w:rsidR="001A594B">
              <w:t xml:space="preserve"> took steps to ensure the record will be made available for future use, if relevant to future proceedings.  </w:t>
            </w:r>
            <w:r w:rsidRPr="006756BC" w:rsidR="00CF46F9">
              <w:t>Further, the Commission ordered PG&amp;E to prepare and file a “Lessons Learned” report, with input from all parties, to memorialize</w:t>
            </w:r>
            <w:r w:rsidRPr="006756BC" w:rsidR="001A594B">
              <w:t xml:space="preserve"> </w:t>
            </w:r>
            <w:r w:rsidRPr="006756BC" w:rsidR="00CF46F9">
              <w:t>policy, cost and ratepayer impacts, and operational experiences with the CSU Monterey Bay project.</w:t>
            </w:r>
          </w:p>
        </w:tc>
      </w:tr>
    </w:tbl>
    <w:p w:rsidRPr="006756BC" w:rsidR="00625B30" w:rsidRDefault="00625B30" w14:paraId="4D3561B0" w14:textId="77777777"/>
    <w:p w:rsidRPr="006756BC" w:rsidR="00625B30" w:rsidRDefault="00625B30" w14:paraId="3074DED3" w14:textId="77777777"/>
    <w:p w:rsidRPr="006756BC" w:rsidR="00625B30" w:rsidP="00625B30" w:rsidRDefault="00625B30" w14:paraId="6916740E" w14:textId="77777777">
      <w:pPr>
        <w:keepNext/>
        <w:numPr>
          <w:ilvl w:val="0"/>
          <w:numId w:val="1"/>
        </w:numPr>
        <w:spacing w:before="240" w:after="240"/>
        <w:rPr>
          <w:b/>
          <w:color w:val="000000"/>
        </w:rPr>
      </w:pPr>
      <w:r w:rsidRPr="006756BC">
        <w:rPr>
          <w:b/>
          <w:color w:val="000000"/>
        </w:rPr>
        <w:lastRenderedPageBreak/>
        <w:t>Intervenor must satisfy intervenor compensation requirements set forth in Pub. Util. Code §§ 1801-1812</w:t>
      </w:r>
      <w:r w:rsidRPr="006756BC">
        <w:rPr>
          <w:rStyle w:val="FootnoteReference"/>
          <w:rFonts w:eastAsiaTheme="majorEastAsia"/>
          <w:b/>
          <w:color w:val="000000"/>
        </w:rPr>
        <w:footnoteReference w:id="1"/>
      </w:r>
      <w:r w:rsidRPr="006756BC">
        <w:rPr>
          <w:b/>
          <w:color w:val="000000"/>
        </w:rPr>
        <w:t>:</w:t>
      </w:r>
    </w:p>
    <w:tbl>
      <w:tblPr>
        <w:tblpPr w:leftFromText="187" w:rightFromText="187" w:vertAnchor="text" w:tblpY="1"/>
        <w:tblOverlap w:val="neve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4817"/>
        <w:gridCol w:w="2267"/>
        <w:gridCol w:w="2276"/>
      </w:tblGrid>
      <w:tr w:rsidRPr="006756BC" w:rsidR="00625B30" w:rsidTr="00ED55FC" w14:paraId="399A957E" w14:textId="77777777">
        <w:trPr>
          <w:tblHeader/>
        </w:trPr>
        <w:tc>
          <w:tcPr>
            <w:tcW w:w="4817" w:type="dxa"/>
            <w:tcBorders>
              <w:bottom w:val="single" w:color="auto" w:sz="4" w:space="0"/>
            </w:tcBorders>
          </w:tcPr>
          <w:p w:rsidRPr="006756BC" w:rsidR="00625B30" w:rsidP="00ED55FC" w:rsidRDefault="00625B30" w14:paraId="1D6F2E4E" w14:textId="77777777">
            <w:pPr>
              <w:tabs>
                <w:tab w:val="left" w:pos="360"/>
              </w:tabs>
              <w:jc w:val="center"/>
              <w:rPr>
                <w:color w:val="000000"/>
              </w:rPr>
            </w:pPr>
          </w:p>
        </w:tc>
        <w:tc>
          <w:tcPr>
            <w:tcW w:w="2267" w:type="dxa"/>
            <w:tcBorders>
              <w:bottom w:val="single" w:color="auto" w:sz="4" w:space="0"/>
            </w:tcBorders>
          </w:tcPr>
          <w:p w:rsidRPr="006756BC" w:rsidR="00625B30" w:rsidP="00ED55FC" w:rsidRDefault="00625B30" w14:paraId="4D502B6B" w14:textId="77777777">
            <w:pPr>
              <w:tabs>
                <w:tab w:val="left" w:pos="360"/>
              </w:tabs>
              <w:jc w:val="center"/>
              <w:rPr>
                <w:b/>
                <w:color w:val="000000"/>
              </w:rPr>
            </w:pPr>
            <w:r w:rsidRPr="006756BC">
              <w:rPr>
                <w:b/>
                <w:color w:val="000000"/>
              </w:rPr>
              <w:t>Intervenor</w:t>
            </w:r>
          </w:p>
        </w:tc>
        <w:tc>
          <w:tcPr>
            <w:tcW w:w="2276" w:type="dxa"/>
            <w:tcBorders>
              <w:bottom w:val="single" w:color="auto" w:sz="4" w:space="0"/>
            </w:tcBorders>
          </w:tcPr>
          <w:p w:rsidRPr="006756BC" w:rsidR="00625B30" w:rsidP="00ED55FC" w:rsidRDefault="00625B30" w14:paraId="179E93D8" w14:textId="77777777">
            <w:pPr>
              <w:tabs>
                <w:tab w:val="left" w:pos="360"/>
              </w:tabs>
              <w:jc w:val="center"/>
              <w:rPr>
                <w:b/>
                <w:color w:val="000000"/>
              </w:rPr>
            </w:pPr>
            <w:r w:rsidRPr="006756BC">
              <w:rPr>
                <w:b/>
                <w:color w:val="000000"/>
              </w:rPr>
              <w:t>CPUC Verification</w:t>
            </w:r>
          </w:p>
        </w:tc>
      </w:tr>
      <w:tr w:rsidRPr="006756BC" w:rsidR="00625B30" w:rsidTr="00ED55FC" w14:paraId="30C1C53A"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6756BC" w:rsidR="00625B30" w:rsidP="00ED55FC" w:rsidRDefault="00625B30" w14:paraId="7A65DC4F" w14:textId="77777777">
            <w:pPr>
              <w:keepNext/>
              <w:tabs>
                <w:tab w:val="left" w:pos="360"/>
              </w:tabs>
              <w:jc w:val="center"/>
              <w:rPr>
                <w:b/>
              </w:rPr>
            </w:pPr>
            <w:r w:rsidRPr="006756BC">
              <w:rPr>
                <w:b/>
              </w:rPr>
              <w:t>Timely filing of notice of intent to claim compensation (NOI) (§ 1804(a)):</w:t>
            </w:r>
          </w:p>
        </w:tc>
      </w:tr>
      <w:tr w:rsidRPr="006756BC" w:rsidR="00625B30" w:rsidTr="00C954ED" w14:paraId="29C972CE" w14:textId="77777777">
        <w:tc>
          <w:tcPr>
            <w:tcW w:w="4817" w:type="dxa"/>
            <w:tcBorders>
              <w:top w:val="single" w:color="auto" w:sz="4" w:space="0"/>
            </w:tcBorders>
          </w:tcPr>
          <w:p w:rsidRPr="006756BC" w:rsidR="00625B30" w:rsidP="00ED55FC" w:rsidRDefault="00625B30" w14:paraId="14B80595" w14:textId="77777777">
            <w:pPr>
              <w:keepNext/>
              <w:tabs>
                <w:tab w:val="left" w:pos="360"/>
              </w:tabs>
              <w:ind w:left="360" w:hanging="360"/>
              <w:rPr>
                <w:color w:val="000000"/>
              </w:rPr>
            </w:pPr>
            <w:r w:rsidRPr="006756BC">
              <w:rPr>
                <w:color w:val="000000"/>
              </w:rPr>
              <w:t>1.</w:t>
            </w:r>
            <w:r w:rsidRPr="006756BC">
              <w:rPr>
                <w:color w:val="000000"/>
              </w:rPr>
              <w:tab/>
              <w:t>Date of Prehearing Conference:</w:t>
            </w:r>
          </w:p>
        </w:tc>
        <w:tc>
          <w:tcPr>
            <w:tcW w:w="2267" w:type="dxa"/>
            <w:tcBorders>
              <w:top w:val="single" w:color="auto" w:sz="4" w:space="0"/>
            </w:tcBorders>
          </w:tcPr>
          <w:p w:rsidRPr="006756BC" w:rsidR="00625B30" w:rsidP="00ED55FC" w:rsidRDefault="001A594B" w14:paraId="72BAF1DA" w14:textId="137AD510">
            <w:pPr>
              <w:keepNext/>
              <w:keepLines/>
              <w:tabs>
                <w:tab w:val="left" w:pos="360"/>
              </w:tabs>
              <w:ind w:left="360" w:hanging="360"/>
              <w:rPr>
                <w:color w:val="000000"/>
              </w:rPr>
            </w:pPr>
            <w:r w:rsidRPr="006756BC">
              <w:rPr>
                <w:color w:val="000000"/>
              </w:rPr>
              <w:t>9/29/22</w:t>
            </w:r>
          </w:p>
        </w:tc>
        <w:tc>
          <w:tcPr>
            <w:tcW w:w="2276" w:type="dxa"/>
            <w:tcBorders>
              <w:top w:val="single" w:color="auto" w:sz="4" w:space="0"/>
            </w:tcBorders>
          </w:tcPr>
          <w:p w:rsidRPr="006756BC" w:rsidR="00625B30" w:rsidP="00C954ED" w:rsidRDefault="00C954ED" w14:paraId="08DD3867" w14:textId="16739843">
            <w:pPr>
              <w:keepNext/>
              <w:tabs>
                <w:tab w:val="left" w:pos="360"/>
              </w:tabs>
              <w:jc w:val="center"/>
              <w:rPr>
                <w:color w:val="000000"/>
              </w:rPr>
            </w:pPr>
            <w:r>
              <w:rPr>
                <w:color w:val="000000"/>
              </w:rPr>
              <w:t>Verified</w:t>
            </w:r>
          </w:p>
        </w:tc>
      </w:tr>
      <w:tr w:rsidRPr="006756BC" w:rsidR="00625B30" w:rsidTr="00C954ED" w14:paraId="4988EACE" w14:textId="77777777">
        <w:tc>
          <w:tcPr>
            <w:tcW w:w="4817" w:type="dxa"/>
          </w:tcPr>
          <w:p w:rsidRPr="006756BC" w:rsidR="00625B30" w:rsidP="00ED55FC" w:rsidRDefault="00625B30" w14:paraId="304602D5" w14:textId="77777777">
            <w:pPr>
              <w:tabs>
                <w:tab w:val="left" w:pos="360"/>
              </w:tabs>
              <w:ind w:left="360" w:hanging="360"/>
              <w:rPr>
                <w:color w:val="000000"/>
              </w:rPr>
            </w:pPr>
            <w:r w:rsidRPr="006756BC">
              <w:rPr>
                <w:color w:val="000000"/>
              </w:rPr>
              <w:t>2.</w:t>
            </w:r>
            <w:r w:rsidRPr="006756BC">
              <w:rPr>
                <w:color w:val="000000"/>
              </w:rPr>
              <w:tab/>
              <w:t>Other specified date for NOI:</w:t>
            </w:r>
          </w:p>
        </w:tc>
        <w:tc>
          <w:tcPr>
            <w:tcW w:w="2267" w:type="dxa"/>
          </w:tcPr>
          <w:p w:rsidRPr="006756BC" w:rsidR="00625B30" w:rsidP="00ED55FC" w:rsidRDefault="00625B30" w14:paraId="08E76F7D" w14:textId="001CA364">
            <w:pPr>
              <w:keepNext/>
              <w:keepLines/>
              <w:tabs>
                <w:tab w:val="left" w:pos="360"/>
              </w:tabs>
              <w:ind w:left="360" w:hanging="360"/>
              <w:rPr>
                <w:color w:val="000000"/>
              </w:rPr>
            </w:pPr>
          </w:p>
        </w:tc>
        <w:tc>
          <w:tcPr>
            <w:tcW w:w="2276" w:type="dxa"/>
          </w:tcPr>
          <w:p w:rsidRPr="006756BC" w:rsidR="00625B30" w:rsidP="00C954ED" w:rsidRDefault="00625B30" w14:paraId="31ACB42D" w14:textId="77777777">
            <w:pPr>
              <w:tabs>
                <w:tab w:val="left" w:pos="360"/>
              </w:tabs>
              <w:jc w:val="center"/>
              <w:rPr>
                <w:color w:val="000000"/>
              </w:rPr>
            </w:pPr>
          </w:p>
        </w:tc>
      </w:tr>
      <w:tr w:rsidRPr="006756BC" w:rsidR="00625B30" w:rsidTr="00C954ED" w14:paraId="62DE5447" w14:textId="77777777">
        <w:tc>
          <w:tcPr>
            <w:tcW w:w="4817" w:type="dxa"/>
          </w:tcPr>
          <w:p w:rsidRPr="006756BC" w:rsidR="00625B30" w:rsidP="00ED55FC" w:rsidRDefault="00625B30" w14:paraId="24A4AD1D" w14:textId="77777777">
            <w:pPr>
              <w:tabs>
                <w:tab w:val="left" w:pos="360"/>
              </w:tabs>
              <w:ind w:left="360" w:hanging="360"/>
              <w:rPr>
                <w:color w:val="000000"/>
              </w:rPr>
            </w:pPr>
            <w:r w:rsidRPr="006756BC">
              <w:rPr>
                <w:color w:val="000000"/>
              </w:rPr>
              <w:t>3.</w:t>
            </w:r>
            <w:r w:rsidRPr="006756BC">
              <w:rPr>
                <w:color w:val="000000"/>
              </w:rPr>
              <w:tab/>
              <w:t>Date NOI filed:</w:t>
            </w:r>
          </w:p>
        </w:tc>
        <w:tc>
          <w:tcPr>
            <w:tcW w:w="2267" w:type="dxa"/>
            <w:tcBorders>
              <w:bottom w:val="single" w:color="auto" w:sz="4" w:space="0"/>
            </w:tcBorders>
          </w:tcPr>
          <w:p w:rsidRPr="006756BC" w:rsidR="00625B30" w:rsidP="00ED55FC" w:rsidRDefault="001A594B" w14:paraId="5C9207ED" w14:textId="5F9BCFBB">
            <w:pPr>
              <w:keepNext/>
              <w:keepLines/>
              <w:tabs>
                <w:tab w:val="left" w:pos="360"/>
              </w:tabs>
              <w:ind w:left="360" w:hanging="360"/>
              <w:rPr>
                <w:color w:val="000000"/>
              </w:rPr>
            </w:pPr>
            <w:r w:rsidRPr="006756BC">
              <w:rPr>
                <w:color w:val="000000"/>
              </w:rPr>
              <w:t>10/27/22</w:t>
            </w:r>
          </w:p>
        </w:tc>
        <w:tc>
          <w:tcPr>
            <w:tcW w:w="2276" w:type="dxa"/>
            <w:tcBorders>
              <w:bottom w:val="single" w:color="auto" w:sz="4" w:space="0"/>
            </w:tcBorders>
          </w:tcPr>
          <w:p w:rsidRPr="006756BC" w:rsidR="00625B30" w:rsidP="00C954ED" w:rsidRDefault="00C954ED" w14:paraId="6946F97E" w14:textId="262AFB0C">
            <w:pPr>
              <w:tabs>
                <w:tab w:val="left" w:pos="360"/>
              </w:tabs>
              <w:jc w:val="center"/>
              <w:rPr>
                <w:color w:val="000000"/>
              </w:rPr>
            </w:pPr>
            <w:r>
              <w:rPr>
                <w:color w:val="000000"/>
              </w:rPr>
              <w:t>Verified</w:t>
            </w:r>
          </w:p>
        </w:tc>
      </w:tr>
      <w:tr w:rsidRPr="006756BC" w:rsidR="00625B30" w:rsidTr="00ED55FC" w14:paraId="69CAF72E" w14:textId="77777777">
        <w:tc>
          <w:tcPr>
            <w:tcW w:w="7084" w:type="dxa"/>
            <w:gridSpan w:val="2"/>
            <w:tcBorders>
              <w:bottom w:val="single" w:color="auto" w:sz="4" w:space="0"/>
            </w:tcBorders>
          </w:tcPr>
          <w:p w:rsidRPr="006756BC" w:rsidR="00625B30" w:rsidP="00ED55FC" w:rsidRDefault="00625B30" w14:paraId="06540B27" w14:textId="77777777">
            <w:pPr>
              <w:tabs>
                <w:tab w:val="left" w:pos="360"/>
              </w:tabs>
              <w:ind w:left="360" w:hanging="360"/>
              <w:rPr>
                <w:color w:val="000000"/>
              </w:rPr>
            </w:pPr>
            <w:r w:rsidRPr="006756BC">
              <w:rPr>
                <w:color w:val="000000"/>
              </w:rPr>
              <w:t>4.</w:t>
            </w:r>
            <w:r w:rsidRPr="006756BC">
              <w:rPr>
                <w:color w:val="000000"/>
              </w:rPr>
              <w:tab/>
              <w:t>Was the NOI timely filed?</w:t>
            </w:r>
          </w:p>
        </w:tc>
        <w:tc>
          <w:tcPr>
            <w:tcW w:w="2276" w:type="dxa"/>
            <w:tcBorders>
              <w:bottom w:val="single" w:color="auto" w:sz="4" w:space="0"/>
            </w:tcBorders>
          </w:tcPr>
          <w:p w:rsidRPr="006756BC" w:rsidR="00625B30" w:rsidP="00C954ED" w:rsidRDefault="00C954ED" w14:paraId="613C8519" w14:textId="655A4C2F">
            <w:pPr>
              <w:tabs>
                <w:tab w:val="left" w:pos="360"/>
              </w:tabs>
              <w:jc w:val="center"/>
              <w:rPr>
                <w:color w:val="000000"/>
              </w:rPr>
            </w:pPr>
            <w:r>
              <w:rPr>
                <w:color w:val="000000"/>
              </w:rPr>
              <w:t>Yes</w:t>
            </w:r>
          </w:p>
        </w:tc>
      </w:tr>
      <w:tr w:rsidRPr="006756BC" w:rsidR="00625B30" w:rsidTr="00ED55FC" w14:paraId="132BA11A"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Pr="006756BC" w:rsidR="00625B30" w:rsidP="00ED55FC" w:rsidRDefault="00625B30" w14:paraId="2A799D84" w14:textId="77777777">
            <w:pPr>
              <w:keepNext/>
              <w:keepLines/>
              <w:tabs>
                <w:tab w:val="left" w:pos="360"/>
              </w:tabs>
              <w:jc w:val="center"/>
              <w:rPr>
                <w:b/>
                <w:color w:val="000000"/>
              </w:rPr>
            </w:pPr>
            <w:r w:rsidRPr="006756BC">
              <w:rPr>
                <w:b/>
                <w:color w:val="000000"/>
              </w:rPr>
              <w:t>Showing of eligible customer status (§ 1802(b))</w:t>
            </w:r>
          </w:p>
          <w:p w:rsidRPr="006756BC" w:rsidR="00625B30" w:rsidP="00ED55FC" w:rsidRDefault="00625B30" w14:paraId="169CA9D2" w14:textId="77777777">
            <w:pPr>
              <w:keepNext/>
              <w:keepLines/>
              <w:tabs>
                <w:tab w:val="left" w:pos="360"/>
              </w:tabs>
              <w:jc w:val="center"/>
              <w:rPr>
                <w:b/>
                <w:color w:val="000000"/>
              </w:rPr>
            </w:pPr>
            <w:r w:rsidRPr="006756BC">
              <w:rPr>
                <w:b/>
                <w:color w:val="000000"/>
              </w:rPr>
              <w:t xml:space="preserve"> or eligible local government entity status (§§ 1802(d), 1802.4):</w:t>
            </w:r>
          </w:p>
        </w:tc>
      </w:tr>
      <w:tr w:rsidRPr="006756BC" w:rsidR="00625B30" w:rsidTr="00C954ED" w14:paraId="4D9BC127" w14:textId="77777777">
        <w:tc>
          <w:tcPr>
            <w:tcW w:w="4817" w:type="dxa"/>
            <w:tcBorders>
              <w:top w:val="single" w:color="auto" w:sz="4" w:space="0"/>
            </w:tcBorders>
          </w:tcPr>
          <w:p w:rsidRPr="006756BC" w:rsidR="00625B30" w:rsidP="00ED55FC" w:rsidRDefault="00625B30" w14:paraId="0BD024AF" w14:textId="77777777">
            <w:pPr>
              <w:keepNext/>
              <w:keepLines/>
              <w:ind w:left="360" w:hanging="360"/>
              <w:rPr>
                <w:color w:val="000000"/>
              </w:rPr>
            </w:pPr>
            <w:r w:rsidRPr="006756BC">
              <w:rPr>
                <w:color w:val="000000"/>
              </w:rPr>
              <w:t>5.</w:t>
            </w:r>
            <w:r w:rsidRPr="006756BC">
              <w:rPr>
                <w:color w:val="000000"/>
              </w:rPr>
              <w:tab/>
              <w:t>Based on ALJ ruling issued in proceeding   number:</w:t>
            </w:r>
          </w:p>
        </w:tc>
        <w:tc>
          <w:tcPr>
            <w:tcW w:w="2267" w:type="dxa"/>
            <w:tcBorders>
              <w:top w:val="single" w:color="auto" w:sz="4" w:space="0"/>
            </w:tcBorders>
          </w:tcPr>
          <w:p w:rsidRPr="006756BC" w:rsidR="00625B30" w:rsidP="00ED55FC" w:rsidRDefault="001A594B" w14:paraId="4B1C16EE" w14:textId="10D9BA91">
            <w:pPr>
              <w:keepNext/>
              <w:keepLines/>
              <w:tabs>
                <w:tab w:val="left" w:pos="360"/>
              </w:tabs>
              <w:ind w:left="360" w:hanging="360"/>
              <w:rPr>
                <w:color w:val="000000"/>
              </w:rPr>
            </w:pPr>
            <w:r w:rsidRPr="006756BC">
              <w:rPr>
                <w:color w:val="000000"/>
              </w:rPr>
              <w:t>A.21-12-007</w:t>
            </w:r>
          </w:p>
        </w:tc>
        <w:tc>
          <w:tcPr>
            <w:tcW w:w="2276" w:type="dxa"/>
            <w:tcBorders>
              <w:top w:val="single" w:color="auto" w:sz="4" w:space="0"/>
            </w:tcBorders>
          </w:tcPr>
          <w:p w:rsidRPr="006756BC" w:rsidR="00625B30" w:rsidP="00C954ED" w:rsidRDefault="00C954ED" w14:paraId="0FA87BA2" w14:textId="67212E00">
            <w:pPr>
              <w:keepNext/>
              <w:keepLines/>
              <w:tabs>
                <w:tab w:val="left" w:pos="360"/>
              </w:tabs>
              <w:jc w:val="center"/>
              <w:rPr>
                <w:color w:val="000000"/>
              </w:rPr>
            </w:pPr>
            <w:r>
              <w:rPr>
                <w:color w:val="000000"/>
              </w:rPr>
              <w:t>Verified</w:t>
            </w:r>
          </w:p>
        </w:tc>
      </w:tr>
      <w:tr w:rsidRPr="006756BC" w:rsidR="00625B30" w:rsidTr="00C954ED" w14:paraId="0DD8BF7E" w14:textId="77777777">
        <w:tc>
          <w:tcPr>
            <w:tcW w:w="4817" w:type="dxa"/>
          </w:tcPr>
          <w:p w:rsidRPr="006756BC" w:rsidR="00625B30" w:rsidP="00ED55FC" w:rsidRDefault="00625B30" w14:paraId="6B4DE40F" w14:textId="77777777">
            <w:pPr>
              <w:tabs>
                <w:tab w:val="left" w:pos="360"/>
              </w:tabs>
              <w:ind w:left="360" w:hanging="360"/>
              <w:rPr>
                <w:color w:val="000000"/>
              </w:rPr>
            </w:pPr>
            <w:r w:rsidRPr="006756BC">
              <w:rPr>
                <w:color w:val="000000"/>
              </w:rPr>
              <w:t>6.</w:t>
            </w:r>
            <w:r w:rsidRPr="006756BC">
              <w:rPr>
                <w:color w:val="000000"/>
              </w:rPr>
              <w:tab/>
              <w:t>Date of ALJ ruling:</w:t>
            </w:r>
          </w:p>
        </w:tc>
        <w:tc>
          <w:tcPr>
            <w:tcW w:w="2267" w:type="dxa"/>
          </w:tcPr>
          <w:p w:rsidRPr="006756BC" w:rsidR="00625B30" w:rsidP="00ED55FC" w:rsidRDefault="001A594B" w14:paraId="26330D0F" w14:textId="00B019A2">
            <w:pPr>
              <w:tabs>
                <w:tab w:val="left" w:pos="360"/>
              </w:tabs>
              <w:ind w:left="360" w:hanging="360"/>
              <w:rPr>
                <w:color w:val="000000"/>
              </w:rPr>
            </w:pPr>
            <w:r w:rsidRPr="006756BC">
              <w:rPr>
                <w:color w:val="000000"/>
              </w:rPr>
              <w:t>5/31/22</w:t>
            </w:r>
          </w:p>
        </w:tc>
        <w:tc>
          <w:tcPr>
            <w:tcW w:w="2276" w:type="dxa"/>
          </w:tcPr>
          <w:p w:rsidRPr="006756BC" w:rsidR="00625B30" w:rsidP="00C954ED" w:rsidRDefault="00C954ED" w14:paraId="0F88CACC" w14:textId="599B452D">
            <w:pPr>
              <w:tabs>
                <w:tab w:val="left" w:pos="360"/>
              </w:tabs>
              <w:jc w:val="center"/>
              <w:rPr>
                <w:color w:val="000000"/>
              </w:rPr>
            </w:pPr>
            <w:r>
              <w:rPr>
                <w:color w:val="000000"/>
              </w:rPr>
              <w:t>Verified</w:t>
            </w:r>
          </w:p>
        </w:tc>
      </w:tr>
      <w:tr w:rsidRPr="006756BC" w:rsidR="00625B30" w:rsidTr="00C954ED" w14:paraId="29CED8DF" w14:textId="77777777">
        <w:tc>
          <w:tcPr>
            <w:tcW w:w="4817" w:type="dxa"/>
          </w:tcPr>
          <w:p w:rsidRPr="006756BC" w:rsidR="00625B30" w:rsidP="00ED55FC" w:rsidRDefault="00625B30" w14:paraId="4F36EDE9" w14:textId="77777777">
            <w:pPr>
              <w:tabs>
                <w:tab w:val="left" w:pos="360"/>
              </w:tabs>
              <w:ind w:left="360" w:hanging="360"/>
              <w:rPr>
                <w:color w:val="000000"/>
              </w:rPr>
            </w:pPr>
            <w:r w:rsidRPr="006756BC">
              <w:rPr>
                <w:color w:val="000000"/>
              </w:rPr>
              <w:t>7.</w:t>
            </w:r>
            <w:r w:rsidRPr="006756BC">
              <w:rPr>
                <w:color w:val="000000"/>
              </w:rPr>
              <w:tab/>
              <w:t>Based on another CPUC determination (specify):</w:t>
            </w:r>
          </w:p>
        </w:tc>
        <w:tc>
          <w:tcPr>
            <w:tcW w:w="2267" w:type="dxa"/>
            <w:tcBorders>
              <w:bottom w:val="single" w:color="auto" w:sz="4" w:space="0"/>
            </w:tcBorders>
          </w:tcPr>
          <w:p w:rsidRPr="006756BC" w:rsidR="00625B30" w:rsidP="00ED55FC" w:rsidRDefault="00625B30" w14:paraId="0951D2C6" w14:textId="77777777">
            <w:pPr>
              <w:tabs>
                <w:tab w:val="left" w:pos="360"/>
              </w:tabs>
              <w:ind w:left="360" w:hanging="360"/>
              <w:rPr>
                <w:color w:val="000000"/>
              </w:rPr>
            </w:pPr>
          </w:p>
        </w:tc>
        <w:tc>
          <w:tcPr>
            <w:tcW w:w="2276" w:type="dxa"/>
            <w:tcBorders>
              <w:bottom w:val="single" w:color="auto" w:sz="4" w:space="0"/>
            </w:tcBorders>
          </w:tcPr>
          <w:p w:rsidRPr="006756BC" w:rsidR="00625B30" w:rsidP="00C954ED" w:rsidRDefault="00625B30" w14:paraId="230FA237" w14:textId="77777777">
            <w:pPr>
              <w:tabs>
                <w:tab w:val="left" w:pos="360"/>
              </w:tabs>
              <w:jc w:val="center"/>
              <w:rPr>
                <w:color w:val="000000"/>
              </w:rPr>
            </w:pPr>
          </w:p>
        </w:tc>
      </w:tr>
      <w:tr w:rsidRPr="006756BC" w:rsidR="00625B30" w:rsidTr="00ED55FC" w14:paraId="31F5B12F" w14:textId="77777777">
        <w:tc>
          <w:tcPr>
            <w:tcW w:w="7084" w:type="dxa"/>
            <w:gridSpan w:val="2"/>
            <w:tcBorders>
              <w:bottom w:val="single" w:color="auto" w:sz="4" w:space="0"/>
            </w:tcBorders>
          </w:tcPr>
          <w:p w:rsidRPr="006756BC" w:rsidR="00625B30" w:rsidP="00ED55FC" w:rsidRDefault="00625B30" w14:paraId="7F62A206" w14:textId="77777777">
            <w:pPr>
              <w:tabs>
                <w:tab w:val="left" w:pos="360"/>
              </w:tabs>
              <w:ind w:left="360" w:hanging="360"/>
              <w:rPr>
                <w:color w:val="000000"/>
              </w:rPr>
            </w:pPr>
            <w:r w:rsidRPr="006756BC">
              <w:rPr>
                <w:color w:val="000000"/>
              </w:rPr>
              <w:t>8.</w:t>
            </w:r>
            <w:r w:rsidRPr="006756BC">
              <w:rPr>
                <w:color w:val="000000"/>
              </w:rPr>
              <w:tab/>
              <w:t xml:space="preserve">Has the Intervenor demonstrated </w:t>
            </w:r>
            <w:r w:rsidRPr="006756BC">
              <w:t>customer</w:t>
            </w:r>
            <w:r w:rsidRPr="006756BC">
              <w:rPr>
                <w:color w:val="000000"/>
              </w:rPr>
              <w:t xml:space="preserve"> status or eligible government entity status?</w:t>
            </w:r>
          </w:p>
        </w:tc>
        <w:tc>
          <w:tcPr>
            <w:tcW w:w="2276" w:type="dxa"/>
            <w:tcBorders>
              <w:bottom w:val="single" w:color="auto" w:sz="4" w:space="0"/>
            </w:tcBorders>
          </w:tcPr>
          <w:p w:rsidRPr="006756BC" w:rsidR="00625B30" w:rsidP="00C954ED" w:rsidRDefault="00C954ED" w14:paraId="05EEB72B" w14:textId="35787D77">
            <w:pPr>
              <w:tabs>
                <w:tab w:val="left" w:pos="360"/>
              </w:tabs>
              <w:jc w:val="center"/>
              <w:rPr>
                <w:color w:val="000000"/>
              </w:rPr>
            </w:pPr>
            <w:r>
              <w:rPr>
                <w:color w:val="000000"/>
              </w:rPr>
              <w:t>Yes</w:t>
            </w:r>
          </w:p>
        </w:tc>
      </w:tr>
      <w:tr w:rsidRPr="006756BC" w:rsidR="00625B30" w:rsidTr="00ED55FC" w14:paraId="0D3F0494"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Pr="006756BC" w:rsidR="00625B30" w:rsidP="00ED55FC" w:rsidRDefault="00625B30" w14:paraId="399B1345" w14:textId="77777777">
            <w:pPr>
              <w:keepNext/>
              <w:tabs>
                <w:tab w:val="left" w:pos="360"/>
              </w:tabs>
              <w:jc w:val="center"/>
              <w:rPr>
                <w:color w:val="000000"/>
              </w:rPr>
            </w:pPr>
            <w:r w:rsidRPr="006756BC">
              <w:rPr>
                <w:b/>
                <w:color w:val="000000"/>
              </w:rPr>
              <w:t>Showing of “significant financial hardship” (§1802(h) or §1803.1(b)):</w:t>
            </w:r>
          </w:p>
        </w:tc>
      </w:tr>
      <w:tr w:rsidRPr="006756BC" w:rsidR="001A594B" w:rsidTr="00C954ED" w14:paraId="565C1DE7" w14:textId="77777777">
        <w:tc>
          <w:tcPr>
            <w:tcW w:w="4817" w:type="dxa"/>
            <w:tcBorders>
              <w:top w:val="single" w:color="auto" w:sz="4" w:space="0"/>
            </w:tcBorders>
          </w:tcPr>
          <w:p w:rsidRPr="006756BC" w:rsidR="001A594B" w:rsidP="001A594B" w:rsidRDefault="001A594B" w14:paraId="459F5252" w14:textId="77777777">
            <w:pPr>
              <w:tabs>
                <w:tab w:val="left" w:pos="315"/>
              </w:tabs>
              <w:ind w:left="360" w:hanging="360"/>
              <w:rPr>
                <w:color w:val="000000"/>
              </w:rPr>
            </w:pPr>
            <w:r w:rsidRPr="006756BC">
              <w:rPr>
                <w:color w:val="000000"/>
              </w:rPr>
              <w:t>9.</w:t>
            </w:r>
            <w:r w:rsidRPr="006756BC">
              <w:rPr>
                <w:color w:val="000000"/>
              </w:rPr>
              <w:tab/>
              <w:t>Based on ALJ ruling issued in proceeding number:</w:t>
            </w:r>
          </w:p>
        </w:tc>
        <w:tc>
          <w:tcPr>
            <w:tcW w:w="2267" w:type="dxa"/>
            <w:tcBorders>
              <w:top w:val="single" w:color="auto" w:sz="4" w:space="0"/>
            </w:tcBorders>
          </w:tcPr>
          <w:p w:rsidRPr="006756BC" w:rsidR="001A594B" w:rsidP="001A594B" w:rsidRDefault="001A594B" w14:paraId="0C25E23E" w14:textId="3C81A14E">
            <w:pPr>
              <w:tabs>
                <w:tab w:val="left" w:pos="360"/>
              </w:tabs>
              <w:ind w:left="360" w:hanging="360"/>
              <w:rPr>
                <w:color w:val="000000"/>
              </w:rPr>
            </w:pPr>
            <w:r w:rsidRPr="006756BC">
              <w:rPr>
                <w:color w:val="000000"/>
              </w:rPr>
              <w:t>A.21-12-007</w:t>
            </w:r>
          </w:p>
        </w:tc>
        <w:tc>
          <w:tcPr>
            <w:tcW w:w="2276" w:type="dxa"/>
            <w:tcBorders>
              <w:top w:val="single" w:color="auto" w:sz="4" w:space="0"/>
            </w:tcBorders>
          </w:tcPr>
          <w:p w:rsidRPr="006756BC" w:rsidR="001A594B" w:rsidP="00C954ED" w:rsidRDefault="00C954ED" w14:paraId="24651ED2" w14:textId="3B5F8923">
            <w:pPr>
              <w:tabs>
                <w:tab w:val="left" w:pos="360"/>
              </w:tabs>
              <w:jc w:val="center"/>
              <w:rPr>
                <w:color w:val="000000"/>
              </w:rPr>
            </w:pPr>
            <w:r>
              <w:rPr>
                <w:color w:val="000000"/>
              </w:rPr>
              <w:t>Verified</w:t>
            </w:r>
          </w:p>
        </w:tc>
      </w:tr>
      <w:tr w:rsidRPr="006756BC" w:rsidR="001A594B" w:rsidTr="00C954ED" w14:paraId="58ECF57D" w14:textId="77777777">
        <w:tc>
          <w:tcPr>
            <w:tcW w:w="4817" w:type="dxa"/>
          </w:tcPr>
          <w:p w:rsidRPr="006756BC" w:rsidR="001A594B" w:rsidP="001A594B" w:rsidRDefault="001A594B" w14:paraId="26F408ED" w14:textId="77777777">
            <w:pPr>
              <w:ind w:left="360" w:hanging="360"/>
              <w:rPr>
                <w:color w:val="000000"/>
              </w:rPr>
            </w:pPr>
            <w:r w:rsidRPr="006756BC">
              <w:rPr>
                <w:color w:val="000000"/>
              </w:rPr>
              <w:t>10.</w:t>
            </w:r>
            <w:r w:rsidRPr="006756BC">
              <w:rPr>
                <w:color w:val="000000"/>
              </w:rPr>
              <w:tab/>
              <w:t>Date of ALJ ruling:</w:t>
            </w:r>
          </w:p>
        </w:tc>
        <w:tc>
          <w:tcPr>
            <w:tcW w:w="2267" w:type="dxa"/>
          </w:tcPr>
          <w:p w:rsidRPr="006756BC" w:rsidR="001A594B" w:rsidP="001A594B" w:rsidRDefault="001A594B" w14:paraId="7B07360C" w14:textId="541609B9">
            <w:pPr>
              <w:tabs>
                <w:tab w:val="left" w:pos="360"/>
              </w:tabs>
              <w:ind w:left="360" w:hanging="360"/>
              <w:rPr>
                <w:color w:val="000000"/>
              </w:rPr>
            </w:pPr>
            <w:r w:rsidRPr="006756BC">
              <w:rPr>
                <w:color w:val="000000"/>
              </w:rPr>
              <w:t>5/31/22</w:t>
            </w:r>
          </w:p>
        </w:tc>
        <w:tc>
          <w:tcPr>
            <w:tcW w:w="2276" w:type="dxa"/>
          </w:tcPr>
          <w:p w:rsidRPr="006756BC" w:rsidR="001A594B" w:rsidP="00C954ED" w:rsidRDefault="00C954ED" w14:paraId="5EB17546" w14:textId="7B77BFBA">
            <w:pPr>
              <w:tabs>
                <w:tab w:val="left" w:pos="360"/>
              </w:tabs>
              <w:jc w:val="center"/>
              <w:rPr>
                <w:color w:val="000000"/>
              </w:rPr>
            </w:pPr>
            <w:r>
              <w:rPr>
                <w:color w:val="000000"/>
              </w:rPr>
              <w:t>Verified</w:t>
            </w:r>
          </w:p>
        </w:tc>
      </w:tr>
      <w:tr w:rsidRPr="006756BC" w:rsidR="00625B30" w:rsidTr="00C954ED" w14:paraId="40DCBBF0" w14:textId="77777777">
        <w:tc>
          <w:tcPr>
            <w:tcW w:w="4817" w:type="dxa"/>
          </w:tcPr>
          <w:p w:rsidRPr="006756BC" w:rsidR="00625B30" w:rsidP="00ED55FC" w:rsidRDefault="00625B30" w14:paraId="1592AE4E" w14:textId="77777777">
            <w:pPr>
              <w:ind w:left="360" w:hanging="360"/>
              <w:rPr>
                <w:color w:val="000000"/>
              </w:rPr>
            </w:pPr>
            <w:r w:rsidRPr="006756BC">
              <w:rPr>
                <w:color w:val="000000"/>
              </w:rPr>
              <w:t>11.</w:t>
            </w:r>
            <w:r w:rsidRPr="006756BC">
              <w:rPr>
                <w:color w:val="000000"/>
              </w:rPr>
              <w:tab/>
              <w:t>Based on another CPUC determination (specify):</w:t>
            </w:r>
          </w:p>
        </w:tc>
        <w:tc>
          <w:tcPr>
            <w:tcW w:w="2267" w:type="dxa"/>
          </w:tcPr>
          <w:p w:rsidRPr="006756BC" w:rsidR="00625B30" w:rsidP="00ED55FC" w:rsidRDefault="00625B30" w14:paraId="37359D69" w14:textId="77777777">
            <w:pPr>
              <w:tabs>
                <w:tab w:val="left" w:pos="360"/>
              </w:tabs>
              <w:ind w:left="360" w:hanging="360"/>
              <w:rPr>
                <w:color w:val="000000"/>
              </w:rPr>
            </w:pPr>
          </w:p>
        </w:tc>
        <w:tc>
          <w:tcPr>
            <w:tcW w:w="2276" w:type="dxa"/>
          </w:tcPr>
          <w:p w:rsidRPr="006756BC" w:rsidR="00625B30" w:rsidP="00C954ED" w:rsidRDefault="00625B30" w14:paraId="1EE48C07" w14:textId="77777777">
            <w:pPr>
              <w:tabs>
                <w:tab w:val="left" w:pos="360"/>
              </w:tabs>
              <w:jc w:val="center"/>
              <w:rPr>
                <w:color w:val="000000"/>
              </w:rPr>
            </w:pPr>
          </w:p>
        </w:tc>
      </w:tr>
      <w:tr w:rsidRPr="006756BC" w:rsidR="00625B30" w:rsidTr="00ED55FC" w14:paraId="457CA627" w14:textId="77777777">
        <w:tc>
          <w:tcPr>
            <w:tcW w:w="7084" w:type="dxa"/>
            <w:gridSpan w:val="2"/>
            <w:tcBorders>
              <w:bottom w:val="single" w:color="auto" w:sz="4" w:space="0"/>
            </w:tcBorders>
          </w:tcPr>
          <w:p w:rsidRPr="006756BC" w:rsidR="00625B30" w:rsidP="00ED55FC" w:rsidRDefault="00625B30" w14:paraId="6F22C665" w14:textId="77777777">
            <w:pPr>
              <w:tabs>
                <w:tab w:val="left" w:pos="360"/>
              </w:tabs>
              <w:ind w:left="360" w:hanging="360"/>
              <w:rPr>
                <w:color w:val="000000"/>
              </w:rPr>
            </w:pPr>
            <w:r w:rsidRPr="006756BC">
              <w:rPr>
                <w:color w:val="000000"/>
              </w:rPr>
              <w:t>12.</w:t>
            </w:r>
            <w:r w:rsidRPr="006756BC">
              <w:rPr>
                <w:color w:val="000000"/>
              </w:rPr>
              <w:tab/>
              <w:t>Has the Intervenor demonstrated significant financial hardship?</w:t>
            </w:r>
          </w:p>
        </w:tc>
        <w:tc>
          <w:tcPr>
            <w:tcW w:w="2276" w:type="dxa"/>
            <w:tcBorders>
              <w:bottom w:val="single" w:color="auto" w:sz="4" w:space="0"/>
            </w:tcBorders>
          </w:tcPr>
          <w:p w:rsidRPr="006756BC" w:rsidR="00625B30" w:rsidP="00C954ED" w:rsidRDefault="00C954ED" w14:paraId="2421F339" w14:textId="4B3B5BF6">
            <w:pPr>
              <w:tabs>
                <w:tab w:val="left" w:pos="360"/>
              </w:tabs>
              <w:jc w:val="center"/>
              <w:rPr>
                <w:color w:val="000000"/>
              </w:rPr>
            </w:pPr>
            <w:r>
              <w:rPr>
                <w:color w:val="000000"/>
              </w:rPr>
              <w:t>Yes</w:t>
            </w:r>
          </w:p>
        </w:tc>
      </w:tr>
      <w:tr w:rsidRPr="006756BC" w:rsidR="00625B30" w:rsidTr="00ED55FC" w14:paraId="2503D1AC"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Pr="006756BC" w:rsidR="00625B30" w:rsidP="00ED55FC" w:rsidRDefault="00625B30" w14:paraId="59FEF4D7" w14:textId="77777777">
            <w:pPr>
              <w:keepNext/>
              <w:tabs>
                <w:tab w:val="left" w:pos="360"/>
              </w:tabs>
              <w:jc w:val="center"/>
              <w:rPr>
                <w:color w:val="000000"/>
              </w:rPr>
            </w:pPr>
            <w:r w:rsidRPr="006756BC">
              <w:rPr>
                <w:b/>
                <w:color w:val="000000"/>
              </w:rPr>
              <w:t>Timely request for compensation (§ 1804(c)):</w:t>
            </w:r>
          </w:p>
        </w:tc>
      </w:tr>
      <w:tr w:rsidRPr="006756BC" w:rsidR="00625B30" w:rsidTr="00C954ED" w14:paraId="52477DCC" w14:textId="77777777">
        <w:tc>
          <w:tcPr>
            <w:tcW w:w="4817" w:type="dxa"/>
            <w:tcBorders>
              <w:top w:val="single" w:color="auto" w:sz="4" w:space="0"/>
            </w:tcBorders>
          </w:tcPr>
          <w:p w:rsidRPr="006756BC" w:rsidR="00625B30" w:rsidP="00ED55FC" w:rsidRDefault="00625B30" w14:paraId="1E8F66BD" w14:textId="77777777">
            <w:pPr>
              <w:keepNext/>
              <w:tabs>
                <w:tab w:val="left" w:pos="612"/>
              </w:tabs>
              <w:ind w:left="360" w:hanging="360"/>
              <w:rPr>
                <w:color w:val="000000"/>
              </w:rPr>
            </w:pPr>
            <w:r w:rsidRPr="006756BC">
              <w:rPr>
                <w:color w:val="000000"/>
              </w:rPr>
              <w:t>13.</w:t>
            </w:r>
            <w:r w:rsidRPr="006756BC">
              <w:rPr>
                <w:color w:val="000000"/>
              </w:rPr>
              <w:tab/>
              <w:t>Identify Final Decision:</w:t>
            </w:r>
          </w:p>
        </w:tc>
        <w:tc>
          <w:tcPr>
            <w:tcW w:w="2267" w:type="dxa"/>
            <w:tcBorders>
              <w:top w:val="single" w:color="auto" w:sz="4" w:space="0"/>
            </w:tcBorders>
          </w:tcPr>
          <w:p w:rsidRPr="006756BC" w:rsidR="00625B30" w:rsidP="00ED55FC" w:rsidRDefault="001A594B" w14:paraId="7E651D6C" w14:textId="19EAA981">
            <w:pPr>
              <w:tabs>
                <w:tab w:val="left" w:pos="360"/>
              </w:tabs>
              <w:rPr>
                <w:color w:val="000000"/>
              </w:rPr>
            </w:pPr>
            <w:r w:rsidRPr="006756BC">
              <w:rPr>
                <w:color w:val="000000"/>
              </w:rPr>
              <w:t>D.25-11-004</w:t>
            </w:r>
          </w:p>
        </w:tc>
        <w:tc>
          <w:tcPr>
            <w:tcW w:w="2276" w:type="dxa"/>
            <w:tcBorders>
              <w:top w:val="single" w:color="auto" w:sz="4" w:space="0"/>
            </w:tcBorders>
          </w:tcPr>
          <w:p w:rsidRPr="006756BC" w:rsidR="00625B30" w:rsidP="00C954ED" w:rsidRDefault="00C954ED" w14:paraId="0826C45B" w14:textId="4079B600">
            <w:pPr>
              <w:tabs>
                <w:tab w:val="left" w:pos="360"/>
              </w:tabs>
              <w:jc w:val="center"/>
              <w:rPr>
                <w:color w:val="000000"/>
              </w:rPr>
            </w:pPr>
            <w:r>
              <w:rPr>
                <w:color w:val="000000"/>
              </w:rPr>
              <w:t>Verified</w:t>
            </w:r>
          </w:p>
        </w:tc>
      </w:tr>
      <w:tr w:rsidRPr="006756BC" w:rsidR="00625B30" w:rsidTr="00C954ED" w14:paraId="1C4A82D2" w14:textId="77777777">
        <w:tc>
          <w:tcPr>
            <w:tcW w:w="4817" w:type="dxa"/>
          </w:tcPr>
          <w:p w:rsidRPr="006756BC" w:rsidR="00625B30" w:rsidP="00ED55FC" w:rsidRDefault="00625B30" w14:paraId="1BB1D16E" w14:textId="77777777">
            <w:pPr>
              <w:tabs>
                <w:tab w:val="left" w:pos="612"/>
              </w:tabs>
              <w:ind w:left="360" w:hanging="360"/>
              <w:rPr>
                <w:color w:val="000000"/>
              </w:rPr>
            </w:pPr>
            <w:r w:rsidRPr="006756BC">
              <w:rPr>
                <w:color w:val="000000"/>
              </w:rPr>
              <w:t>14.</w:t>
            </w:r>
            <w:r w:rsidRPr="006756BC">
              <w:rPr>
                <w:color w:val="000000"/>
              </w:rPr>
              <w:tab/>
              <w:t xml:space="preserve">Date of issuance of Final Order or Decision:    </w:t>
            </w:r>
          </w:p>
        </w:tc>
        <w:tc>
          <w:tcPr>
            <w:tcW w:w="2267" w:type="dxa"/>
          </w:tcPr>
          <w:p w:rsidRPr="006756BC" w:rsidR="00625B30" w:rsidP="00ED55FC" w:rsidRDefault="001A594B" w14:paraId="0FBC2608" w14:textId="1FEA59A0">
            <w:pPr>
              <w:tabs>
                <w:tab w:val="left" w:pos="360"/>
              </w:tabs>
              <w:rPr>
                <w:color w:val="000000"/>
              </w:rPr>
            </w:pPr>
            <w:r w:rsidRPr="006756BC">
              <w:rPr>
                <w:color w:val="000000"/>
              </w:rPr>
              <w:t>11/25/25</w:t>
            </w:r>
          </w:p>
        </w:tc>
        <w:tc>
          <w:tcPr>
            <w:tcW w:w="2276" w:type="dxa"/>
          </w:tcPr>
          <w:p w:rsidRPr="006756BC" w:rsidR="00625B30" w:rsidP="00C954ED" w:rsidRDefault="00C954ED" w14:paraId="400BB5CE" w14:textId="262B9484">
            <w:pPr>
              <w:tabs>
                <w:tab w:val="left" w:pos="360"/>
              </w:tabs>
              <w:jc w:val="center"/>
              <w:rPr>
                <w:color w:val="000000"/>
              </w:rPr>
            </w:pPr>
            <w:r>
              <w:rPr>
                <w:color w:val="000000"/>
              </w:rPr>
              <w:t>Verified</w:t>
            </w:r>
          </w:p>
        </w:tc>
      </w:tr>
      <w:tr w:rsidRPr="006756BC" w:rsidR="00625B30" w:rsidTr="00C954ED" w14:paraId="1CDFC2D4" w14:textId="77777777">
        <w:tc>
          <w:tcPr>
            <w:tcW w:w="4817" w:type="dxa"/>
          </w:tcPr>
          <w:p w:rsidRPr="006756BC" w:rsidR="00625B30" w:rsidP="00ED55FC" w:rsidRDefault="00625B30" w14:paraId="718963BD" w14:textId="77777777">
            <w:pPr>
              <w:tabs>
                <w:tab w:val="left" w:pos="612"/>
              </w:tabs>
              <w:ind w:left="360" w:hanging="360"/>
              <w:rPr>
                <w:color w:val="000000"/>
              </w:rPr>
            </w:pPr>
            <w:r w:rsidRPr="006756BC">
              <w:rPr>
                <w:color w:val="000000"/>
              </w:rPr>
              <w:t>15.</w:t>
            </w:r>
            <w:r w:rsidRPr="006756BC">
              <w:rPr>
                <w:color w:val="000000"/>
              </w:rPr>
              <w:tab/>
              <w:t>File date of compensation request:</w:t>
            </w:r>
          </w:p>
        </w:tc>
        <w:tc>
          <w:tcPr>
            <w:tcW w:w="2267" w:type="dxa"/>
          </w:tcPr>
          <w:p w:rsidRPr="006756BC" w:rsidR="00625B30" w:rsidP="00ED55FC" w:rsidRDefault="001A594B" w14:paraId="3EC4455E" w14:textId="61AA8498">
            <w:pPr>
              <w:tabs>
                <w:tab w:val="left" w:pos="360"/>
              </w:tabs>
              <w:rPr>
                <w:color w:val="000000"/>
              </w:rPr>
            </w:pPr>
            <w:r w:rsidRPr="00D470E2">
              <w:rPr>
                <w:color w:val="000000"/>
              </w:rPr>
              <w:t>1/</w:t>
            </w:r>
            <w:r w:rsidRPr="00D470E2" w:rsidR="00D470E2">
              <w:rPr>
                <w:color w:val="000000"/>
              </w:rPr>
              <w:t>23</w:t>
            </w:r>
            <w:r w:rsidRPr="00D470E2">
              <w:rPr>
                <w:color w:val="000000"/>
              </w:rPr>
              <w:t>/26</w:t>
            </w:r>
          </w:p>
        </w:tc>
        <w:tc>
          <w:tcPr>
            <w:tcW w:w="2276" w:type="dxa"/>
          </w:tcPr>
          <w:p w:rsidRPr="006756BC" w:rsidR="00625B30" w:rsidP="00C954ED" w:rsidRDefault="00C954ED" w14:paraId="0AA5FCCC" w14:textId="35A689ED">
            <w:pPr>
              <w:tabs>
                <w:tab w:val="left" w:pos="360"/>
              </w:tabs>
              <w:jc w:val="center"/>
              <w:rPr>
                <w:color w:val="000000"/>
              </w:rPr>
            </w:pPr>
            <w:r>
              <w:rPr>
                <w:color w:val="000000"/>
              </w:rPr>
              <w:t>Verified</w:t>
            </w:r>
          </w:p>
        </w:tc>
      </w:tr>
      <w:tr w:rsidRPr="006756BC" w:rsidR="00625B30" w:rsidTr="00ED55FC" w14:paraId="7F31CB95" w14:textId="77777777">
        <w:tc>
          <w:tcPr>
            <w:tcW w:w="7084" w:type="dxa"/>
            <w:gridSpan w:val="2"/>
          </w:tcPr>
          <w:p w:rsidRPr="006756BC" w:rsidR="00625B30" w:rsidP="00ED55FC" w:rsidRDefault="00625B30" w14:paraId="4F41F2A4" w14:textId="77777777">
            <w:pPr>
              <w:tabs>
                <w:tab w:val="left" w:pos="360"/>
              </w:tabs>
              <w:ind w:left="360" w:hanging="360"/>
              <w:rPr>
                <w:color w:val="000000"/>
              </w:rPr>
            </w:pPr>
            <w:r w:rsidRPr="006756BC">
              <w:rPr>
                <w:color w:val="000000"/>
              </w:rPr>
              <w:t>16.</w:t>
            </w:r>
            <w:r w:rsidRPr="006756BC">
              <w:rPr>
                <w:color w:val="000000"/>
              </w:rPr>
              <w:tab/>
              <w:t>Was the request for compensation timely?</w:t>
            </w:r>
          </w:p>
        </w:tc>
        <w:tc>
          <w:tcPr>
            <w:tcW w:w="2276" w:type="dxa"/>
          </w:tcPr>
          <w:p w:rsidRPr="006756BC" w:rsidR="00625B30" w:rsidP="00C954ED" w:rsidRDefault="00C954ED" w14:paraId="30065D30" w14:textId="0D474F64">
            <w:pPr>
              <w:tabs>
                <w:tab w:val="left" w:pos="360"/>
              </w:tabs>
              <w:jc w:val="center"/>
              <w:rPr>
                <w:color w:val="000000"/>
              </w:rPr>
            </w:pPr>
            <w:r>
              <w:rPr>
                <w:color w:val="000000"/>
              </w:rPr>
              <w:t>Yes</w:t>
            </w:r>
          </w:p>
        </w:tc>
      </w:tr>
    </w:tbl>
    <w:p w:rsidRPr="006756BC" w:rsidR="00625B30" w:rsidRDefault="00625B30" w14:paraId="703FDAC3" w14:textId="77777777"/>
    <w:p w:rsidRPr="006756BC" w:rsidR="00625B30" w:rsidRDefault="00625B30" w14:paraId="29FAD63A" w14:textId="77777777"/>
    <w:p w:rsidR="003C54D1" w:rsidP="003C54D1" w:rsidRDefault="003C54D1" w14:paraId="0C28500E" w14:textId="77777777">
      <w:pPr>
        <w:keepLines/>
        <w:adjustRightInd w:val="0"/>
        <w:snapToGrid w:val="0"/>
        <w:contextualSpacing/>
        <w:jc w:val="center"/>
        <w:rPr>
          <w:b/>
          <w:color w:val="000000"/>
        </w:rPr>
      </w:pPr>
    </w:p>
    <w:p w:rsidR="003C54D1" w:rsidP="003C54D1" w:rsidRDefault="003C54D1" w14:paraId="536E8FB0" w14:textId="77777777">
      <w:pPr>
        <w:keepLines/>
        <w:adjustRightInd w:val="0"/>
        <w:snapToGrid w:val="0"/>
        <w:contextualSpacing/>
        <w:jc w:val="center"/>
        <w:rPr>
          <w:b/>
          <w:color w:val="000000"/>
        </w:rPr>
      </w:pPr>
    </w:p>
    <w:p w:rsidRPr="006756BC" w:rsidR="0017721C" w:rsidP="00590DB2" w:rsidRDefault="00625B30" w14:paraId="23C0FB3B" w14:textId="69C1C981">
      <w:pPr>
        <w:adjustRightInd w:val="0"/>
        <w:snapToGrid w:val="0"/>
        <w:contextualSpacing/>
        <w:jc w:val="center"/>
        <w:rPr>
          <w:b/>
          <w:color w:val="000000"/>
        </w:rPr>
      </w:pPr>
      <w:r w:rsidRPr="006756BC">
        <w:rPr>
          <w:b/>
          <w:color w:val="000000"/>
        </w:rPr>
        <w:lastRenderedPageBreak/>
        <w:t>PART II</w:t>
      </w:r>
      <w:proofErr w:type="gramStart"/>
      <w:r w:rsidRPr="006756BC">
        <w:rPr>
          <w:b/>
          <w:color w:val="000000"/>
        </w:rPr>
        <w:t>:  SUBSTANTIAL</w:t>
      </w:r>
      <w:proofErr w:type="gramEnd"/>
      <w:r w:rsidRPr="006756BC">
        <w:rPr>
          <w:b/>
          <w:color w:val="000000"/>
        </w:rPr>
        <w:t xml:space="preserve"> CONTRIBUTION</w:t>
      </w:r>
    </w:p>
    <w:p w:rsidRPr="006756BC" w:rsidR="00625B30" w:rsidP="00590DB2" w:rsidRDefault="00625B30" w14:paraId="25032CE2" w14:textId="3D72DA0E">
      <w:pPr>
        <w:numPr>
          <w:ilvl w:val="0"/>
          <w:numId w:val="2"/>
        </w:numPr>
        <w:adjustRightInd w:val="0"/>
        <w:snapToGrid w:val="0"/>
        <w:spacing w:after="240"/>
        <w:contextualSpacing/>
        <w:rPr>
          <w:b/>
          <w:color w:val="000000"/>
        </w:rPr>
      </w:pPr>
      <w:r w:rsidRPr="006756BC">
        <w:rPr>
          <w:b/>
          <w:color w:val="000000"/>
        </w:rPr>
        <w:t>Did the Intervenor substantially contribute to the final decision (</w:t>
      </w:r>
      <w:r w:rsidRPr="006756BC">
        <w:rPr>
          <w:b/>
          <w:i/>
          <w:color w:val="000000"/>
        </w:rPr>
        <w:t>see</w:t>
      </w:r>
      <w:r w:rsidRPr="006756BC">
        <w:rPr>
          <w:b/>
          <w:color w:val="000000"/>
        </w:rPr>
        <w:t xml:space="preserve"> § 1802(j), </w:t>
      </w:r>
      <w:r w:rsidRPr="006756BC">
        <w:rPr>
          <w:b/>
          <w:color w:val="000000"/>
        </w:rPr>
        <w:br/>
        <w:t xml:space="preserve">§ 1803(a), 1803.1(a) and D.98-04-059):  </w:t>
      </w:r>
    </w:p>
    <w:p w:rsidRPr="006756BC" w:rsidR="00625B30" w:rsidP="00590DB2" w:rsidRDefault="00625B30" w14:paraId="2118400C" w14:textId="77777777">
      <w:pPr>
        <w:adjustRightInd w:val="0"/>
        <w:snapToGrid w:val="0"/>
        <w:spacing w:after="240"/>
        <w:ind w:left="360"/>
        <w:contextualSpacing/>
        <w:rPr>
          <w:b/>
          <w:color w:val="000000"/>
        </w:rPr>
      </w:pPr>
    </w:p>
    <w:tbl>
      <w:tblPr>
        <w:tblStyle w:val="TableGrid"/>
        <w:tblpPr w:leftFromText="187" w:rightFromText="187" w:vertAnchor="text" w:tblpY="1"/>
        <w:tblOverlap w:val="never"/>
        <w:tblW w:w="0" w:type="auto"/>
        <w:tblLook w:val="04A0" w:firstRow="1" w:lastRow="0" w:firstColumn="1" w:lastColumn="0" w:noHBand="0" w:noVBand="1"/>
      </w:tblPr>
      <w:tblGrid>
        <w:gridCol w:w="4135"/>
        <w:gridCol w:w="2880"/>
        <w:gridCol w:w="2335"/>
      </w:tblGrid>
      <w:tr w:rsidRPr="006756BC" w:rsidR="00625B30" w:rsidTr="00E41820" w14:paraId="31A23EE0" w14:textId="77777777">
        <w:tc>
          <w:tcPr>
            <w:tcW w:w="4135" w:type="dxa"/>
            <w:shd w:val="clear" w:color="auto" w:fill="DFDFDF"/>
          </w:tcPr>
          <w:p w:rsidRPr="006756BC" w:rsidR="00625B30" w:rsidP="00E613DE" w:rsidRDefault="00625B30" w14:paraId="7590F04D" w14:textId="3327489E">
            <w:pPr>
              <w:jc w:val="center"/>
              <w:rPr>
                <w:sz w:val="24"/>
                <w:szCs w:val="24"/>
              </w:rPr>
            </w:pPr>
            <w:r w:rsidRPr="006756BC">
              <w:rPr>
                <w:b/>
                <w:color w:val="000000"/>
                <w:sz w:val="24"/>
                <w:szCs w:val="24"/>
              </w:rPr>
              <w:t>Intervenor’s Claimed Contribution(s)</w:t>
            </w:r>
          </w:p>
        </w:tc>
        <w:tc>
          <w:tcPr>
            <w:tcW w:w="2880" w:type="dxa"/>
            <w:shd w:val="clear" w:color="auto" w:fill="DFDFDF"/>
          </w:tcPr>
          <w:p w:rsidRPr="006756BC" w:rsidR="00625B30" w:rsidP="00E613DE" w:rsidRDefault="00625B30" w14:paraId="545FB0CF" w14:textId="3C0E687D">
            <w:pPr>
              <w:jc w:val="center"/>
              <w:rPr>
                <w:sz w:val="24"/>
                <w:szCs w:val="24"/>
              </w:rPr>
            </w:pPr>
            <w:r w:rsidRPr="006756BC">
              <w:rPr>
                <w:b/>
                <w:color w:val="000000"/>
                <w:sz w:val="24"/>
                <w:szCs w:val="24"/>
              </w:rPr>
              <w:t>Specific References to Intervenor’s Claimed Contribution(s)</w:t>
            </w:r>
          </w:p>
        </w:tc>
        <w:tc>
          <w:tcPr>
            <w:tcW w:w="2335" w:type="dxa"/>
            <w:shd w:val="clear" w:color="auto" w:fill="DFDFDF"/>
          </w:tcPr>
          <w:p w:rsidRPr="006756BC" w:rsidR="00625B30" w:rsidP="00E613DE" w:rsidRDefault="00625B30" w14:paraId="760ED22F" w14:textId="59714282">
            <w:pPr>
              <w:jc w:val="center"/>
              <w:rPr>
                <w:sz w:val="24"/>
                <w:szCs w:val="24"/>
              </w:rPr>
            </w:pPr>
            <w:r w:rsidRPr="006756BC">
              <w:rPr>
                <w:b/>
                <w:color w:val="000000"/>
                <w:sz w:val="24"/>
                <w:szCs w:val="24"/>
              </w:rPr>
              <w:t>CPUC Discussion</w:t>
            </w:r>
          </w:p>
        </w:tc>
      </w:tr>
      <w:tr w:rsidRPr="006756BC" w:rsidR="00625B30" w:rsidTr="0081117F" w14:paraId="2CAFF356" w14:textId="77777777">
        <w:tc>
          <w:tcPr>
            <w:tcW w:w="4135" w:type="dxa"/>
          </w:tcPr>
          <w:p w:rsidRPr="006756BC" w:rsidR="00CF46F9" w:rsidP="00CF46F9" w:rsidRDefault="00CF46F9" w14:paraId="2B6EF12A" w14:textId="2E9DE2C6">
            <w:pPr>
              <w:rPr>
                <w:b/>
                <w:bCs/>
                <w:sz w:val="24"/>
                <w:szCs w:val="24"/>
              </w:rPr>
            </w:pPr>
            <w:r w:rsidRPr="006756BC">
              <w:rPr>
                <w:b/>
                <w:bCs/>
                <w:sz w:val="24"/>
                <w:szCs w:val="24"/>
              </w:rPr>
              <w:t>TURN contributed to the Commission’s review of PG&amp;E’s motion to withdraw its application</w:t>
            </w:r>
            <w:r w:rsidRPr="006756BC" w:rsidR="00791853">
              <w:rPr>
                <w:b/>
                <w:bCs/>
                <w:sz w:val="24"/>
                <w:szCs w:val="24"/>
              </w:rPr>
              <w:t xml:space="preserve"> in D.25-11-004</w:t>
            </w:r>
            <w:r w:rsidRPr="006756BC">
              <w:rPr>
                <w:b/>
                <w:bCs/>
                <w:sz w:val="24"/>
                <w:szCs w:val="24"/>
              </w:rPr>
              <w:t>.</w:t>
            </w:r>
          </w:p>
          <w:p w:rsidRPr="006756BC" w:rsidR="00B45851" w:rsidP="00CF46F9" w:rsidRDefault="00B45851" w14:paraId="28745377" w14:textId="77777777">
            <w:pPr>
              <w:rPr>
                <w:sz w:val="24"/>
                <w:szCs w:val="24"/>
              </w:rPr>
            </w:pPr>
          </w:p>
          <w:p w:rsidRPr="006756BC" w:rsidR="00B45851" w:rsidP="00CF46F9" w:rsidRDefault="003005DC" w14:paraId="12755D1D" w14:textId="69C15F5E">
            <w:pPr>
              <w:rPr>
                <w:sz w:val="24"/>
                <w:szCs w:val="24"/>
              </w:rPr>
            </w:pPr>
            <w:r w:rsidRPr="006756BC">
              <w:rPr>
                <w:sz w:val="24"/>
                <w:szCs w:val="24"/>
              </w:rPr>
              <w:t xml:space="preserve">TURN articulated the standard of review when an applicant moves to withdraw </w:t>
            </w:r>
            <w:r w:rsidRPr="006756BC" w:rsidR="00E71AD2">
              <w:rPr>
                <w:sz w:val="24"/>
                <w:szCs w:val="24"/>
              </w:rPr>
              <w:t xml:space="preserve">its application.  The Commission incorporated </w:t>
            </w:r>
            <w:r w:rsidRPr="006756BC" w:rsidR="00D70433">
              <w:rPr>
                <w:sz w:val="24"/>
                <w:szCs w:val="24"/>
              </w:rPr>
              <w:t>the legal standard TURN suggested nearly verbatim in D.25-</w:t>
            </w:r>
            <w:r w:rsidRPr="006756BC" w:rsidR="00D920E9">
              <w:rPr>
                <w:sz w:val="24"/>
                <w:szCs w:val="24"/>
              </w:rPr>
              <w:t>11-004.</w:t>
            </w:r>
          </w:p>
          <w:p w:rsidRPr="006756BC" w:rsidR="001907B8" w:rsidP="00CF46F9" w:rsidRDefault="001907B8" w14:paraId="29165512" w14:textId="77777777">
            <w:pPr>
              <w:rPr>
                <w:sz w:val="24"/>
                <w:szCs w:val="24"/>
              </w:rPr>
            </w:pPr>
          </w:p>
          <w:p w:rsidR="0029135A" w:rsidP="00CF46F9" w:rsidRDefault="00792873" w14:paraId="18D5E91B" w14:textId="6E7E7B15">
            <w:pPr>
              <w:rPr>
                <w:sz w:val="24"/>
                <w:szCs w:val="24"/>
              </w:rPr>
            </w:pPr>
            <w:r w:rsidRPr="006756BC">
              <w:rPr>
                <w:sz w:val="24"/>
                <w:szCs w:val="24"/>
              </w:rPr>
              <w:t>TURN demonstrated that PG&amp;E’s motion was poorly supported</w:t>
            </w:r>
            <w:r w:rsidRPr="006756BC" w:rsidR="00B005D6">
              <w:rPr>
                <w:sz w:val="24"/>
                <w:szCs w:val="24"/>
              </w:rPr>
              <w:t>.  TURN</w:t>
            </w:r>
            <w:r w:rsidR="008F030B">
              <w:rPr>
                <w:sz w:val="24"/>
                <w:szCs w:val="24"/>
              </w:rPr>
              <w:t xml:space="preserve">, and others, </w:t>
            </w:r>
            <w:r w:rsidRPr="006756BC" w:rsidR="00B005D6">
              <w:rPr>
                <w:sz w:val="24"/>
                <w:szCs w:val="24"/>
              </w:rPr>
              <w:t>pointed to PG&amp;E’s failure to explain why the procedural schedule adopted in July 2024 created new safety concerns</w:t>
            </w:r>
            <w:r w:rsidRPr="006756BC" w:rsidR="0029135A">
              <w:rPr>
                <w:sz w:val="24"/>
                <w:szCs w:val="24"/>
              </w:rPr>
              <w:t>, among other deficiencies</w:t>
            </w:r>
            <w:r w:rsidRPr="006756BC" w:rsidR="00B005D6">
              <w:rPr>
                <w:sz w:val="24"/>
                <w:szCs w:val="24"/>
              </w:rPr>
              <w:t>.</w:t>
            </w:r>
            <w:r w:rsidR="00E10128">
              <w:rPr>
                <w:sz w:val="24"/>
                <w:szCs w:val="24"/>
              </w:rPr>
              <w:t xml:space="preserve"> </w:t>
            </w:r>
            <w:r w:rsidR="008F030B">
              <w:rPr>
                <w:sz w:val="24"/>
                <w:szCs w:val="24"/>
              </w:rPr>
              <w:t xml:space="preserve"> PG&amp;E supplemented its explanation in subsequent filings defending its motion to withdraw.  The Commission agreed with TURN et al. that PG&amp;E’s motion was vague and unspe</w:t>
            </w:r>
            <w:r w:rsidR="00FC6D2E">
              <w:rPr>
                <w:sz w:val="24"/>
                <w:szCs w:val="24"/>
              </w:rPr>
              <w:t xml:space="preserve">cific, though it found PG&amp;E’s expanded explanation </w:t>
            </w:r>
            <w:r w:rsidR="00BA6E53">
              <w:rPr>
                <w:sz w:val="24"/>
                <w:szCs w:val="24"/>
              </w:rPr>
              <w:t>adequate and ultimately concluded that PG&amp;E should be permitted to withdraw its application.</w:t>
            </w:r>
          </w:p>
          <w:p w:rsidR="00B67FE8" w:rsidP="00CF46F9" w:rsidRDefault="00B67FE8" w14:paraId="0731304C" w14:textId="77777777">
            <w:pPr>
              <w:rPr>
                <w:sz w:val="24"/>
                <w:szCs w:val="24"/>
              </w:rPr>
            </w:pPr>
          </w:p>
          <w:p w:rsidRPr="006756BC" w:rsidR="00B67FE8" w:rsidP="00CF46F9" w:rsidRDefault="00B67FE8" w14:paraId="4F3766E9" w14:textId="4C82BCFA">
            <w:pPr>
              <w:rPr>
                <w:sz w:val="24"/>
                <w:szCs w:val="24"/>
              </w:rPr>
            </w:pPr>
            <w:r>
              <w:rPr>
                <w:sz w:val="24"/>
                <w:szCs w:val="24"/>
              </w:rPr>
              <w:t xml:space="preserve">TURN, and others, </w:t>
            </w:r>
            <w:r w:rsidR="00A239F6">
              <w:rPr>
                <w:sz w:val="24"/>
                <w:szCs w:val="24"/>
              </w:rPr>
              <w:t xml:space="preserve">argued that the electrification project offered benefits consistent with the public interest.  The Commission agreed </w:t>
            </w:r>
            <w:r w:rsidR="00964515">
              <w:rPr>
                <w:sz w:val="24"/>
                <w:szCs w:val="24"/>
              </w:rPr>
              <w:t>while granting PG&amp;E’s motion.</w:t>
            </w:r>
          </w:p>
          <w:p w:rsidRPr="006756BC" w:rsidR="001907B8" w:rsidP="00CF46F9" w:rsidRDefault="001907B8" w14:paraId="6471E658" w14:textId="1CF061AE">
            <w:pPr>
              <w:rPr>
                <w:sz w:val="24"/>
                <w:szCs w:val="24"/>
              </w:rPr>
            </w:pPr>
          </w:p>
          <w:p w:rsidRPr="006756BC" w:rsidR="00625B30" w:rsidP="00CF46F9" w:rsidRDefault="00625B30" w14:paraId="3852DD22" w14:textId="5A26B432">
            <w:pPr>
              <w:keepNext/>
              <w:keepLines/>
              <w:tabs>
                <w:tab w:val="left" w:pos="2211"/>
              </w:tabs>
              <w:adjustRightInd w:val="0"/>
              <w:snapToGrid w:val="0"/>
              <w:rPr>
                <w:sz w:val="24"/>
                <w:szCs w:val="24"/>
              </w:rPr>
            </w:pPr>
          </w:p>
        </w:tc>
        <w:tc>
          <w:tcPr>
            <w:tcW w:w="2880" w:type="dxa"/>
          </w:tcPr>
          <w:p w:rsidRPr="006756BC" w:rsidR="00625B30" w:rsidP="00177AEC" w:rsidRDefault="004012CD" w14:paraId="00B3FB3C" w14:textId="51EEA3E4">
            <w:pPr>
              <w:pStyle w:val="ListParagraph"/>
              <w:framePr w:hSpace="0" w:wrap="auto" w:vAnchor="margin" w:yAlign="inline"/>
              <w:suppressOverlap w:val="0"/>
              <w:rPr>
                <w:sz w:val="24"/>
                <w:szCs w:val="24"/>
              </w:rPr>
            </w:pPr>
            <w:r w:rsidRPr="006756BC">
              <w:rPr>
                <w:sz w:val="24"/>
                <w:szCs w:val="24"/>
              </w:rPr>
              <w:t>T</w:t>
            </w:r>
            <w:r w:rsidRPr="006756BC" w:rsidR="00454260">
              <w:rPr>
                <w:sz w:val="24"/>
                <w:szCs w:val="24"/>
              </w:rPr>
              <w:t>URN Resp. to PG&amp;E Motion to Withdraw Application, 1/29/25, pp. 3-4</w:t>
            </w:r>
          </w:p>
          <w:p w:rsidRPr="006756BC" w:rsidR="004012CD" w:rsidP="00177AEC" w:rsidRDefault="004012CD" w14:paraId="4FC55498" w14:textId="77777777">
            <w:pPr>
              <w:pStyle w:val="ListParagraph"/>
              <w:framePr w:hSpace="0" w:wrap="auto" w:vAnchor="margin" w:yAlign="inline"/>
              <w:suppressOverlap w:val="0"/>
              <w:rPr>
                <w:sz w:val="24"/>
                <w:szCs w:val="24"/>
              </w:rPr>
            </w:pPr>
            <w:r w:rsidRPr="006756BC">
              <w:rPr>
                <w:sz w:val="24"/>
                <w:szCs w:val="24"/>
              </w:rPr>
              <w:t>D.25-11-004, pp. 7-8</w:t>
            </w:r>
          </w:p>
          <w:p w:rsidRPr="006756BC" w:rsidR="0029135A" w:rsidP="0029135A" w:rsidRDefault="0029135A" w14:paraId="604B2B93" w14:textId="77777777">
            <w:pPr>
              <w:pStyle w:val="ListParagraph"/>
              <w:framePr w:hSpace="0" w:wrap="auto" w:vAnchor="margin" w:yAlign="inline"/>
              <w:numPr>
                <w:ilvl w:val="0"/>
                <w:numId w:val="0"/>
              </w:numPr>
              <w:ind w:left="371"/>
              <w:suppressOverlap w:val="0"/>
              <w:rPr>
                <w:sz w:val="24"/>
                <w:szCs w:val="24"/>
              </w:rPr>
            </w:pPr>
          </w:p>
          <w:p w:rsidRPr="006756BC" w:rsidR="0029135A" w:rsidP="0029135A" w:rsidRDefault="0029135A" w14:paraId="07D3E906" w14:textId="77777777">
            <w:pPr>
              <w:pStyle w:val="ListParagraph"/>
              <w:framePr w:hSpace="0" w:wrap="auto" w:vAnchor="margin" w:yAlign="inline"/>
              <w:numPr>
                <w:ilvl w:val="0"/>
                <w:numId w:val="0"/>
              </w:numPr>
              <w:ind w:left="371"/>
              <w:suppressOverlap w:val="0"/>
              <w:rPr>
                <w:sz w:val="24"/>
                <w:szCs w:val="24"/>
              </w:rPr>
            </w:pPr>
          </w:p>
          <w:p w:rsidRPr="006756BC" w:rsidR="0029135A" w:rsidP="0029135A" w:rsidRDefault="0029135A" w14:paraId="679F307E" w14:textId="77777777">
            <w:pPr>
              <w:pStyle w:val="ListParagraph"/>
              <w:framePr w:hSpace="0" w:wrap="auto" w:vAnchor="margin" w:yAlign="inline"/>
              <w:numPr>
                <w:ilvl w:val="0"/>
                <w:numId w:val="0"/>
              </w:numPr>
              <w:ind w:left="371"/>
              <w:suppressOverlap w:val="0"/>
              <w:rPr>
                <w:sz w:val="24"/>
                <w:szCs w:val="24"/>
              </w:rPr>
            </w:pPr>
          </w:p>
          <w:p w:rsidRPr="006756BC" w:rsidR="0029135A" w:rsidP="0029135A" w:rsidRDefault="0029135A" w14:paraId="3BFDFA86" w14:textId="4000EDAA">
            <w:pPr>
              <w:pStyle w:val="ListParagraph"/>
              <w:framePr w:hSpace="0" w:wrap="auto" w:vAnchor="margin" w:yAlign="inline"/>
              <w:suppressOverlap w:val="0"/>
              <w:rPr>
                <w:sz w:val="24"/>
                <w:szCs w:val="24"/>
              </w:rPr>
            </w:pPr>
            <w:r w:rsidRPr="006756BC">
              <w:rPr>
                <w:sz w:val="24"/>
                <w:szCs w:val="24"/>
              </w:rPr>
              <w:t>TURN Resp. to PG&amp;E Motion to Withdraw Application, 1/29/25, pp. 5-7</w:t>
            </w:r>
          </w:p>
          <w:p w:rsidR="0029135A" w:rsidP="0029135A" w:rsidRDefault="0029135A" w14:paraId="11E6CD8D" w14:textId="77777777">
            <w:pPr>
              <w:pStyle w:val="ListParagraph"/>
              <w:framePr w:hSpace="0" w:wrap="auto" w:vAnchor="margin" w:yAlign="inline"/>
              <w:suppressOverlap w:val="0"/>
              <w:rPr>
                <w:sz w:val="24"/>
                <w:szCs w:val="24"/>
              </w:rPr>
            </w:pPr>
            <w:r w:rsidRPr="006756BC">
              <w:rPr>
                <w:sz w:val="24"/>
                <w:szCs w:val="24"/>
              </w:rPr>
              <w:t xml:space="preserve">D.25-11-004, p. </w:t>
            </w:r>
            <w:r w:rsidRPr="006756BC" w:rsidR="00135F68">
              <w:rPr>
                <w:sz w:val="24"/>
                <w:szCs w:val="24"/>
              </w:rPr>
              <w:t>11</w:t>
            </w:r>
          </w:p>
          <w:p w:rsidR="00964515" w:rsidP="00964515" w:rsidRDefault="00964515" w14:paraId="5E684C20" w14:textId="77777777">
            <w:pPr>
              <w:pStyle w:val="ListParagraph"/>
              <w:framePr w:hSpace="0" w:wrap="auto" w:vAnchor="margin" w:yAlign="inline"/>
              <w:numPr>
                <w:ilvl w:val="0"/>
                <w:numId w:val="0"/>
              </w:numPr>
              <w:ind w:left="374"/>
              <w:suppressOverlap w:val="0"/>
            </w:pPr>
          </w:p>
          <w:p w:rsidR="00CD6025" w:rsidP="00964515" w:rsidRDefault="00CD6025" w14:paraId="07864160" w14:textId="77777777">
            <w:pPr>
              <w:pStyle w:val="ListParagraph"/>
              <w:framePr w:hSpace="0" w:wrap="auto" w:vAnchor="margin" w:yAlign="inline"/>
              <w:numPr>
                <w:ilvl w:val="0"/>
                <w:numId w:val="0"/>
              </w:numPr>
              <w:ind w:left="374"/>
              <w:suppressOverlap w:val="0"/>
            </w:pPr>
          </w:p>
          <w:p w:rsidRPr="006756BC" w:rsidR="00964515" w:rsidP="00964515" w:rsidRDefault="00964515" w14:paraId="7DDE9C7E" w14:textId="76AC1F5F">
            <w:pPr>
              <w:pStyle w:val="ListParagraph"/>
              <w:framePr w:hSpace="0" w:wrap="auto" w:vAnchor="margin" w:yAlign="inline"/>
              <w:suppressOverlap w:val="0"/>
              <w:rPr>
                <w:sz w:val="24"/>
                <w:szCs w:val="24"/>
              </w:rPr>
            </w:pPr>
            <w:r w:rsidRPr="006756BC">
              <w:rPr>
                <w:sz w:val="24"/>
                <w:szCs w:val="24"/>
              </w:rPr>
              <w:t xml:space="preserve">TURN Resp. to PG&amp;E Motion to Withdraw Application, 1/29/25, p. </w:t>
            </w:r>
            <w:r w:rsidR="00BC3ACA">
              <w:rPr>
                <w:sz w:val="24"/>
                <w:szCs w:val="24"/>
              </w:rPr>
              <w:t>2</w:t>
            </w:r>
          </w:p>
          <w:p w:rsidRPr="006756BC" w:rsidR="00964515" w:rsidP="00964515" w:rsidRDefault="00964515" w14:paraId="60267E77" w14:textId="4CA15596">
            <w:pPr>
              <w:ind w:left="374" w:hanging="360"/>
            </w:pPr>
          </w:p>
          <w:p w:rsidRPr="006756BC" w:rsidR="00964515" w:rsidP="00964515" w:rsidRDefault="00964515" w14:paraId="5DFA3F4F" w14:textId="05832FFC">
            <w:pPr>
              <w:pStyle w:val="ListParagraph"/>
              <w:framePr w:hSpace="0" w:wrap="auto" w:vAnchor="margin" w:yAlign="inline"/>
              <w:suppressOverlap w:val="0"/>
              <w:rPr>
                <w:sz w:val="24"/>
                <w:szCs w:val="24"/>
              </w:rPr>
            </w:pPr>
            <w:r w:rsidRPr="006756BC">
              <w:rPr>
                <w:sz w:val="24"/>
                <w:szCs w:val="24"/>
              </w:rPr>
              <w:t>D.25-11-004, p. 1</w:t>
            </w:r>
            <w:r>
              <w:rPr>
                <w:sz w:val="24"/>
                <w:szCs w:val="24"/>
              </w:rPr>
              <w:t>3</w:t>
            </w:r>
          </w:p>
        </w:tc>
        <w:tc>
          <w:tcPr>
            <w:tcW w:w="2335" w:type="dxa"/>
          </w:tcPr>
          <w:p w:rsidR="00625B30" w:rsidP="00F649C5" w:rsidRDefault="00625B30" w14:paraId="0D472527" w14:textId="77777777">
            <w:pPr>
              <w:jc w:val="center"/>
              <w:rPr>
                <w:sz w:val="24"/>
                <w:szCs w:val="24"/>
              </w:rPr>
            </w:pPr>
          </w:p>
          <w:p w:rsidR="00762478" w:rsidP="00F649C5" w:rsidRDefault="00762478" w14:paraId="7F8889BD" w14:textId="77777777">
            <w:pPr>
              <w:jc w:val="center"/>
              <w:rPr>
                <w:sz w:val="24"/>
                <w:szCs w:val="24"/>
              </w:rPr>
            </w:pPr>
          </w:p>
          <w:p w:rsidR="00F649C5" w:rsidP="00F649C5" w:rsidRDefault="00F649C5" w14:paraId="71C9467C" w14:textId="34F3942E">
            <w:pPr>
              <w:jc w:val="center"/>
              <w:rPr>
                <w:sz w:val="24"/>
                <w:szCs w:val="24"/>
              </w:rPr>
            </w:pPr>
            <w:r>
              <w:rPr>
                <w:sz w:val="24"/>
                <w:szCs w:val="24"/>
              </w:rPr>
              <w:t>Verified</w:t>
            </w:r>
          </w:p>
          <w:p w:rsidR="00F649C5" w:rsidP="00F649C5" w:rsidRDefault="00F649C5" w14:paraId="50777395" w14:textId="77777777">
            <w:pPr>
              <w:jc w:val="center"/>
              <w:rPr>
                <w:sz w:val="24"/>
                <w:szCs w:val="24"/>
              </w:rPr>
            </w:pPr>
          </w:p>
          <w:p w:rsidR="00F649C5" w:rsidP="00F649C5" w:rsidRDefault="00F649C5" w14:paraId="5985C935" w14:textId="77777777">
            <w:pPr>
              <w:jc w:val="center"/>
              <w:rPr>
                <w:sz w:val="24"/>
                <w:szCs w:val="24"/>
              </w:rPr>
            </w:pPr>
          </w:p>
          <w:p w:rsidR="00F649C5" w:rsidP="00F649C5" w:rsidRDefault="00F649C5" w14:paraId="0D35E5A5" w14:textId="77777777">
            <w:pPr>
              <w:jc w:val="center"/>
              <w:rPr>
                <w:sz w:val="24"/>
                <w:szCs w:val="24"/>
              </w:rPr>
            </w:pPr>
          </w:p>
          <w:p w:rsidR="00F649C5" w:rsidP="00F649C5" w:rsidRDefault="00F649C5" w14:paraId="51295C20" w14:textId="77777777">
            <w:pPr>
              <w:jc w:val="center"/>
              <w:rPr>
                <w:sz w:val="24"/>
                <w:szCs w:val="24"/>
              </w:rPr>
            </w:pPr>
          </w:p>
          <w:p w:rsidR="00762478" w:rsidP="00F649C5" w:rsidRDefault="00762478" w14:paraId="79906EB2" w14:textId="77777777">
            <w:pPr>
              <w:jc w:val="center"/>
              <w:rPr>
                <w:sz w:val="24"/>
                <w:szCs w:val="24"/>
              </w:rPr>
            </w:pPr>
          </w:p>
          <w:p w:rsidR="00F649C5" w:rsidP="00F649C5" w:rsidRDefault="00F649C5" w14:paraId="78677180" w14:textId="77777777">
            <w:pPr>
              <w:jc w:val="center"/>
              <w:rPr>
                <w:sz w:val="24"/>
                <w:szCs w:val="24"/>
              </w:rPr>
            </w:pPr>
          </w:p>
          <w:p w:rsidR="00F649C5" w:rsidP="00F649C5" w:rsidRDefault="00F649C5" w14:paraId="6FF2E0EF" w14:textId="77777777">
            <w:pPr>
              <w:jc w:val="center"/>
              <w:rPr>
                <w:sz w:val="24"/>
                <w:szCs w:val="24"/>
              </w:rPr>
            </w:pPr>
          </w:p>
          <w:p w:rsidR="00F649C5" w:rsidP="00F649C5" w:rsidRDefault="00F649C5" w14:paraId="0C697354" w14:textId="77777777">
            <w:pPr>
              <w:jc w:val="center"/>
              <w:rPr>
                <w:sz w:val="24"/>
                <w:szCs w:val="24"/>
              </w:rPr>
            </w:pPr>
          </w:p>
          <w:p w:rsidR="00F649C5" w:rsidP="00F649C5" w:rsidRDefault="00F649C5" w14:paraId="1D0CADDE" w14:textId="77777777">
            <w:pPr>
              <w:jc w:val="center"/>
              <w:rPr>
                <w:sz w:val="24"/>
                <w:szCs w:val="24"/>
              </w:rPr>
            </w:pPr>
          </w:p>
          <w:p w:rsidR="00F649C5" w:rsidP="00F649C5" w:rsidRDefault="00F649C5" w14:paraId="0B5B6923" w14:textId="77777777">
            <w:pPr>
              <w:jc w:val="center"/>
              <w:rPr>
                <w:sz w:val="24"/>
                <w:szCs w:val="24"/>
              </w:rPr>
            </w:pPr>
          </w:p>
          <w:p w:rsidR="00F649C5" w:rsidP="00F649C5" w:rsidRDefault="00F649C5" w14:paraId="58EF230D" w14:textId="77777777">
            <w:pPr>
              <w:jc w:val="center"/>
              <w:rPr>
                <w:sz w:val="24"/>
                <w:szCs w:val="24"/>
              </w:rPr>
            </w:pPr>
          </w:p>
          <w:p w:rsidR="00F649C5" w:rsidP="00F649C5" w:rsidRDefault="00F649C5" w14:paraId="42FFDC3C" w14:textId="77777777">
            <w:pPr>
              <w:jc w:val="center"/>
              <w:rPr>
                <w:sz w:val="24"/>
                <w:szCs w:val="24"/>
              </w:rPr>
            </w:pPr>
            <w:r>
              <w:rPr>
                <w:sz w:val="24"/>
                <w:szCs w:val="24"/>
              </w:rPr>
              <w:t>Verified</w:t>
            </w:r>
          </w:p>
          <w:p w:rsidR="00762478" w:rsidP="00F649C5" w:rsidRDefault="00762478" w14:paraId="544B3604" w14:textId="77777777">
            <w:pPr>
              <w:jc w:val="center"/>
              <w:rPr>
                <w:sz w:val="24"/>
                <w:szCs w:val="24"/>
              </w:rPr>
            </w:pPr>
          </w:p>
          <w:p w:rsidR="00762478" w:rsidP="00F649C5" w:rsidRDefault="00762478" w14:paraId="6E87F573" w14:textId="77777777">
            <w:pPr>
              <w:jc w:val="center"/>
              <w:rPr>
                <w:sz w:val="24"/>
                <w:szCs w:val="24"/>
              </w:rPr>
            </w:pPr>
          </w:p>
          <w:p w:rsidR="00762478" w:rsidP="00F649C5" w:rsidRDefault="00762478" w14:paraId="635CD447" w14:textId="77777777">
            <w:pPr>
              <w:jc w:val="center"/>
              <w:rPr>
                <w:sz w:val="24"/>
                <w:szCs w:val="24"/>
              </w:rPr>
            </w:pPr>
          </w:p>
          <w:p w:rsidR="00762478" w:rsidP="00F649C5" w:rsidRDefault="00762478" w14:paraId="28EF6686" w14:textId="77777777">
            <w:pPr>
              <w:jc w:val="center"/>
              <w:rPr>
                <w:sz w:val="24"/>
                <w:szCs w:val="24"/>
              </w:rPr>
            </w:pPr>
          </w:p>
          <w:p w:rsidR="00762478" w:rsidP="00F649C5" w:rsidRDefault="00762478" w14:paraId="52FE6B07" w14:textId="77777777">
            <w:pPr>
              <w:jc w:val="center"/>
              <w:rPr>
                <w:sz w:val="24"/>
                <w:szCs w:val="24"/>
              </w:rPr>
            </w:pPr>
          </w:p>
          <w:p w:rsidR="00762478" w:rsidP="00F649C5" w:rsidRDefault="00762478" w14:paraId="51B9F889" w14:textId="77777777">
            <w:pPr>
              <w:jc w:val="center"/>
              <w:rPr>
                <w:sz w:val="24"/>
                <w:szCs w:val="24"/>
              </w:rPr>
            </w:pPr>
          </w:p>
          <w:p w:rsidR="00762478" w:rsidP="00F649C5" w:rsidRDefault="00762478" w14:paraId="6C3BAB05" w14:textId="77777777">
            <w:pPr>
              <w:jc w:val="center"/>
              <w:rPr>
                <w:sz w:val="24"/>
                <w:szCs w:val="24"/>
              </w:rPr>
            </w:pPr>
          </w:p>
          <w:p w:rsidR="00762478" w:rsidP="00F649C5" w:rsidRDefault="00762478" w14:paraId="138E180E" w14:textId="77777777">
            <w:pPr>
              <w:jc w:val="center"/>
              <w:rPr>
                <w:sz w:val="24"/>
                <w:szCs w:val="24"/>
              </w:rPr>
            </w:pPr>
          </w:p>
          <w:p w:rsidR="00762478" w:rsidP="00F649C5" w:rsidRDefault="00762478" w14:paraId="4F1E56F0" w14:textId="77777777">
            <w:pPr>
              <w:jc w:val="center"/>
              <w:rPr>
                <w:sz w:val="24"/>
                <w:szCs w:val="24"/>
              </w:rPr>
            </w:pPr>
          </w:p>
          <w:p w:rsidRPr="006756BC" w:rsidR="00762478" w:rsidP="00F649C5" w:rsidRDefault="00762478" w14:paraId="645BB15C" w14:textId="5E65001C">
            <w:pPr>
              <w:jc w:val="center"/>
              <w:rPr>
                <w:sz w:val="24"/>
                <w:szCs w:val="24"/>
              </w:rPr>
            </w:pPr>
            <w:r>
              <w:rPr>
                <w:sz w:val="24"/>
                <w:szCs w:val="24"/>
              </w:rPr>
              <w:t>Verified</w:t>
            </w:r>
          </w:p>
        </w:tc>
      </w:tr>
      <w:tr w:rsidRPr="006756BC" w:rsidR="00625B30" w:rsidTr="0081117F" w14:paraId="6744E886" w14:textId="77777777">
        <w:tc>
          <w:tcPr>
            <w:tcW w:w="4135" w:type="dxa"/>
          </w:tcPr>
          <w:p w:rsidRPr="006756BC" w:rsidR="00CF46F9" w:rsidP="00CF46F9" w:rsidRDefault="00CF46F9" w14:paraId="2356CACF" w14:textId="4CED2060">
            <w:pPr>
              <w:rPr>
                <w:b/>
                <w:bCs/>
                <w:sz w:val="24"/>
                <w:szCs w:val="24"/>
              </w:rPr>
            </w:pPr>
            <w:r w:rsidRPr="006756BC">
              <w:rPr>
                <w:b/>
                <w:bCs/>
                <w:sz w:val="24"/>
                <w:szCs w:val="24"/>
              </w:rPr>
              <w:t xml:space="preserve">TURN demonstrated that the Commission should ensure the record of this proceeding will be made </w:t>
            </w:r>
            <w:r w:rsidRPr="006756BC">
              <w:rPr>
                <w:b/>
                <w:bCs/>
                <w:sz w:val="24"/>
                <w:szCs w:val="24"/>
              </w:rPr>
              <w:lastRenderedPageBreak/>
              <w:t>available for use</w:t>
            </w:r>
            <w:r w:rsidRPr="006756BC" w:rsidR="00787EA2">
              <w:rPr>
                <w:b/>
                <w:bCs/>
                <w:sz w:val="24"/>
                <w:szCs w:val="24"/>
              </w:rPr>
              <w:t xml:space="preserve"> in relevant</w:t>
            </w:r>
            <w:r w:rsidRPr="006756BC">
              <w:rPr>
                <w:b/>
                <w:bCs/>
                <w:sz w:val="24"/>
                <w:szCs w:val="24"/>
              </w:rPr>
              <w:t xml:space="preserve"> future proceedings.  </w:t>
            </w:r>
          </w:p>
          <w:p w:rsidRPr="006756BC" w:rsidR="001907B8" w:rsidP="00CF46F9" w:rsidRDefault="001907B8" w14:paraId="07F8E5B7" w14:textId="77777777">
            <w:pPr>
              <w:rPr>
                <w:b/>
                <w:bCs/>
                <w:sz w:val="24"/>
                <w:szCs w:val="24"/>
              </w:rPr>
            </w:pPr>
          </w:p>
          <w:p w:rsidR="00694180" w:rsidP="00CF46F9" w:rsidRDefault="00D21727" w14:paraId="52E9EEB1" w14:textId="11A22602">
            <w:pPr>
              <w:rPr>
                <w:sz w:val="24"/>
                <w:szCs w:val="24"/>
              </w:rPr>
            </w:pPr>
            <w:r w:rsidRPr="006756BC">
              <w:rPr>
                <w:sz w:val="24"/>
                <w:szCs w:val="24"/>
              </w:rPr>
              <w:t>TURN argued that if the Commission granted PG&amp;E’s motion to withdraw the application, the Commission</w:t>
            </w:r>
            <w:r w:rsidRPr="006756BC" w:rsidR="006A1F17">
              <w:rPr>
                <w:sz w:val="24"/>
                <w:szCs w:val="24"/>
              </w:rPr>
              <w:t xml:space="preserve"> should</w:t>
            </w:r>
            <w:r w:rsidRPr="006756BC">
              <w:rPr>
                <w:sz w:val="24"/>
                <w:szCs w:val="24"/>
              </w:rPr>
              <w:t xml:space="preserve"> </w:t>
            </w:r>
            <w:r w:rsidRPr="006756BC" w:rsidR="006A1F17">
              <w:rPr>
                <w:sz w:val="24"/>
                <w:szCs w:val="24"/>
              </w:rPr>
              <w:t xml:space="preserve">preserve the record here for use in other relevant proceedings. </w:t>
            </w:r>
            <w:r w:rsidRPr="006756BC" w:rsidR="005E050C">
              <w:rPr>
                <w:sz w:val="24"/>
                <w:szCs w:val="24"/>
              </w:rPr>
              <w:t xml:space="preserve"> </w:t>
            </w:r>
            <w:r w:rsidRPr="006756BC" w:rsidR="00AA3268">
              <w:rPr>
                <w:sz w:val="24"/>
                <w:szCs w:val="24"/>
              </w:rPr>
              <w:t xml:space="preserve">To this end, </w:t>
            </w:r>
            <w:r w:rsidRPr="006756BC" w:rsidR="005E050C">
              <w:rPr>
                <w:sz w:val="24"/>
                <w:szCs w:val="24"/>
              </w:rPr>
              <w:t>TURN specifically recommended that the Commission</w:t>
            </w:r>
            <w:r w:rsidRPr="006756BC" w:rsidR="00694180">
              <w:rPr>
                <w:sz w:val="24"/>
                <w:szCs w:val="24"/>
              </w:rPr>
              <w:t>:</w:t>
            </w:r>
          </w:p>
          <w:p w:rsidRPr="006756BC" w:rsidR="006756BC" w:rsidP="00CF46F9" w:rsidRDefault="006756BC" w14:paraId="74729506" w14:textId="77777777">
            <w:pPr>
              <w:rPr>
                <w:sz w:val="24"/>
                <w:szCs w:val="24"/>
              </w:rPr>
            </w:pPr>
          </w:p>
          <w:p w:rsidRPr="006756BC" w:rsidR="004E5BC6" w:rsidP="004E5BC6" w:rsidRDefault="004E5BC6" w14:paraId="6F54ED93" w14:textId="18C5751C">
            <w:pPr>
              <w:pStyle w:val="ListBullet"/>
              <w:numPr>
                <w:ilvl w:val="0"/>
                <w:numId w:val="14"/>
              </w:numPr>
              <w:rPr>
                <w:sz w:val="24"/>
                <w:szCs w:val="24"/>
              </w:rPr>
            </w:pPr>
            <w:r w:rsidRPr="006756BC">
              <w:rPr>
                <w:sz w:val="24"/>
                <w:szCs w:val="24"/>
              </w:rPr>
              <w:t>D</w:t>
            </w:r>
            <w:r w:rsidRPr="006756BC" w:rsidR="006A1F17">
              <w:rPr>
                <w:sz w:val="24"/>
                <w:szCs w:val="24"/>
              </w:rPr>
              <w:t>irect PG&amp;E to disclose the existence of this application, the record developed here, and the Commission’s decision in all future PG&amp;E zonal building electrification proposals, including but not limited to SB 1221 projects</w:t>
            </w:r>
            <w:r w:rsidRPr="006756BC" w:rsidR="00694180">
              <w:rPr>
                <w:sz w:val="24"/>
                <w:szCs w:val="24"/>
              </w:rPr>
              <w:t>;</w:t>
            </w:r>
          </w:p>
          <w:p w:rsidRPr="006756BC" w:rsidR="00694180" w:rsidP="004E5BC6" w:rsidRDefault="004E5BC6" w14:paraId="51C170F0" w14:textId="7BA77252">
            <w:pPr>
              <w:pStyle w:val="ListBullet"/>
              <w:numPr>
                <w:ilvl w:val="0"/>
                <w:numId w:val="14"/>
              </w:numPr>
              <w:rPr>
                <w:sz w:val="24"/>
                <w:szCs w:val="24"/>
              </w:rPr>
            </w:pPr>
            <w:r w:rsidRPr="006756BC">
              <w:rPr>
                <w:sz w:val="24"/>
                <w:szCs w:val="24"/>
              </w:rPr>
              <w:t>C</w:t>
            </w:r>
            <w:r w:rsidRPr="006756BC" w:rsidR="00694180">
              <w:rPr>
                <w:sz w:val="24"/>
                <w:szCs w:val="24"/>
              </w:rPr>
              <w:t xml:space="preserve">larify that the entire record of this proceeding shall be available for potential use in future Commission proceedings to which it may be relevant.  </w:t>
            </w:r>
          </w:p>
          <w:p w:rsidRPr="006756BC" w:rsidR="005E050C" w:rsidP="00694180" w:rsidRDefault="005E050C" w14:paraId="44403930" w14:textId="05169855">
            <w:pPr>
              <w:pStyle w:val="ListParagraph"/>
              <w:framePr w:hSpace="0" w:wrap="auto" w:vAnchor="margin" w:yAlign="inline"/>
              <w:numPr>
                <w:ilvl w:val="0"/>
                <w:numId w:val="0"/>
              </w:numPr>
              <w:ind w:left="720"/>
              <w:suppressOverlap w:val="0"/>
              <w:rPr>
                <w:sz w:val="24"/>
                <w:szCs w:val="24"/>
              </w:rPr>
            </w:pPr>
          </w:p>
          <w:p w:rsidR="00625B30" w:rsidP="00ED4186" w:rsidRDefault="001F1B2B" w14:paraId="2C5D5715" w14:textId="77777777">
            <w:pPr>
              <w:pStyle w:val="SubstantialContribution"/>
              <w:framePr w:hSpace="0" w:wrap="auto" w:vAnchor="margin" w:yAlign="inline"/>
              <w:suppressOverlap w:val="0"/>
              <w:rPr>
                <w:sz w:val="24"/>
                <w:szCs w:val="24"/>
              </w:rPr>
            </w:pPr>
            <w:r w:rsidRPr="006756BC">
              <w:rPr>
                <w:sz w:val="24"/>
                <w:szCs w:val="24"/>
              </w:rPr>
              <w:t xml:space="preserve">The Commission agreed in D.25-11-004 </w:t>
            </w:r>
            <w:r w:rsidRPr="006756BC" w:rsidR="0017312B">
              <w:rPr>
                <w:sz w:val="24"/>
                <w:szCs w:val="24"/>
              </w:rPr>
              <w:t>that the evidentiary record in this proceeding could be helpful to future Commission proceedings addressing zonal electrification projects or decarbonization policies</w:t>
            </w:r>
            <w:r w:rsidR="006756BC">
              <w:rPr>
                <w:sz w:val="24"/>
                <w:szCs w:val="24"/>
              </w:rPr>
              <w:t xml:space="preserve">.  The Commission also agreed </w:t>
            </w:r>
            <w:r w:rsidRPr="006756BC" w:rsidR="00ED4BF5">
              <w:rPr>
                <w:sz w:val="24"/>
                <w:szCs w:val="24"/>
              </w:rPr>
              <w:t xml:space="preserve">that </w:t>
            </w:r>
            <w:r w:rsidRPr="006756BC" w:rsidR="005138BD">
              <w:rPr>
                <w:sz w:val="24"/>
                <w:szCs w:val="24"/>
              </w:rPr>
              <w:t>parties should be permitted to seek to bring work done in this proceeding into other relevant proceedings</w:t>
            </w:r>
            <w:r w:rsidRPr="006756BC" w:rsidR="0017312B">
              <w:rPr>
                <w:sz w:val="24"/>
                <w:szCs w:val="24"/>
              </w:rPr>
              <w:t xml:space="preserve">.  The Commission accordingly </w:t>
            </w:r>
            <w:r w:rsidRPr="006756BC" w:rsidR="006756BC">
              <w:rPr>
                <w:sz w:val="24"/>
                <w:szCs w:val="24"/>
              </w:rPr>
              <w:t>required PG&amp;E to disclose the existence of the record of this proceeding in any future applications or comments on Orders Instituting Rulemaking relating to zonal electrification or decarbonization policy filed within three years of the issuance date of this decision.</w:t>
            </w:r>
          </w:p>
          <w:p w:rsidRPr="006756BC" w:rsidR="006B55D5" w:rsidP="00ED4186" w:rsidRDefault="006B55D5" w14:paraId="7516E6B5" w14:textId="3FBCB608">
            <w:pPr>
              <w:pStyle w:val="SubstantialContribution"/>
              <w:framePr w:hSpace="0" w:wrap="auto" w:vAnchor="margin" w:yAlign="inline"/>
              <w:suppressOverlap w:val="0"/>
              <w:rPr>
                <w:sz w:val="24"/>
                <w:szCs w:val="24"/>
              </w:rPr>
            </w:pPr>
          </w:p>
        </w:tc>
        <w:tc>
          <w:tcPr>
            <w:tcW w:w="2880" w:type="dxa"/>
          </w:tcPr>
          <w:p w:rsidRPr="006756BC" w:rsidR="006B55D5" w:rsidP="006B55D5" w:rsidRDefault="006B55D5" w14:paraId="05EA2046" w14:textId="77777777">
            <w:pPr>
              <w:pStyle w:val="ListParagraph"/>
              <w:framePr w:hSpace="0" w:wrap="auto" w:vAnchor="margin" w:yAlign="inline"/>
              <w:numPr>
                <w:ilvl w:val="0"/>
                <w:numId w:val="0"/>
              </w:numPr>
              <w:ind w:left="371"/>
              <w:suppressOverlap w:val="0"/>
              <w:rPr>
                <w:sz w:val="24"/>
                <w:szCs w:val="24"/>
              </w:rPr>
            </w:pPr>
          </w:p>
          <w:p w:rsidR="006B55D5" w:rsidP="006B55D5" w:rsidRDefault="006B55D5" w14:paraId="483DFE47" w14:textId="77777777">
            <w:pPr>
              <w:pStyle w:val="ListParagraph"/>
              <w:framePr w:hSpace="0" w:wrap="auto" w:vAnchor="margin" w:yAlign="inline"/>
              <w:suppressOverlap w:val="0"/>
              <w:rPr>
                <w:sz w:val="24"/>
                <w:szCs w:val="24"/>
              </w:rPr>
            </w:pPr>
            <w:r w:rsidRPr="006756BC">
              <w:rPr>
                <w:sz w:val="24"/>
                <w:szCs w:val="24"/>
              </w:rPr>
              <w:t xml:space="preserve">TURN Resp. to PG&amp;E Motion to Withdraw </w:t>
            </w:r>
            <w:r w:rsidRPr="006756BC">
              <w:rPr>
                <w:sz w:val="24"/>
                <w:szCs w:val="24"/>
              </w:rPr>
              <w:lastRenderedPageBreak/>
              <w:t xml:space="preserve">Application, 1/29/25, p. </w:t>
            </w:r>
            <w:r w:rsidRPr="006B55D5">
              <w:rPr>
                <w:sz w:val="24"/>
                <w:szCs w:val="24"/>
              </w:rPr>
              <w:t>12</w:t>
            </w:r>
          </w:p>
          <w:p w:rsidRPr="006B55D5" w:rsidR="00625B30" w:rsidP="006B55D5" w:rsidRDefault="006B55D5" w14:paraId="0A9D9E00" w14:textId="585822DB">
            <w:pPr>
              <w:pStyle w:val="ListParagraph"/>
              <w:framePr w:hSpace="0" w:wrap="auto" w:vAnchor="margin" w:yAlign="inline"/>
              <w:suppressOverlap w:val="0"/>
              <w:rPr>
                <w:sz w:val="24"/>
                <w:szCs w:val="24"/>
              </w:rPr>
            </w:pPr>
            <w:r w:rsidRPr="006B55D5">
              <w:rPr>
                <w:sz w:val="24"/>
                <w:szCs w:val="24"/>
              </w:rPr>
              <w:t>D.25-11-004, pp. 15-16; Finding of Fact 2; Conclusion of Law 2; Ordering Paragraph 2</w:t>
            </w:r>
          </w:p>
        </w:tc>
        <w:tc>
          <w:tcPr>
            <w:tcW w:w="2335" w:type="dxa"/>
          </w:tcPr>
          <w:p w:rsidR="00625B30" w:rsidP="00F649C5" w:rsidRDefault="00625B30" w14:paraId="2AE86C00" w14:textId="77777777">
            <w:pPr>
              <w:jc w:val="center"/>
              <w:rPr>
                <w:sz w:val="24"/>
                <w:szCs w:val="24"/>
              </w:rPr>
            </w:pPr>
          </w:p>
          <w:p w:rsidR="00762478" w:rsidP="00F649C5" w:rsidRDefault="00762478" w14:paraId="2E72A264" w14:textId="77777777">
            <w:pPr>
              <w:jc w:val="center"/>
              <w:rPr>
                <w:sz w:val="24"/>
                <w:szCs w:val="24"/>
              </w:rPr>
            </w:pPr>
          </w:p>
          <w:p w:rsidR="00762478" w:rsidP="00F649C5" w:rsidRDefault="00762478" w14:paraId="08D7E99D" w14:textId="77777777">
            <w:pPr>
              <w:jc w:val="center"/>
              <w:rPr>
                <w:sz w:val="24"/>
                <w:szCs w:val="24"/>
              </w:rPr>
            </w:pPr>
          </w:p>
          <w:p w:rsidR="00762478" w:rsidP="00F649C5" w:rsidRDefault="00762478" w14:paraId="4BDCD1A2" w14:textId="77777777">
            <w:pPr>
              <w:jc w:val="center"/>
              <w:rPr>
                <w:sz w:val="24"/>
                <w:szCs w:val="24"/>
              </w:rPr>
            </w:pPr>
            <w:r>
              <w:rPr>
                <w:sz w:val="24"/>
                <w:szCs w:val="24"/>
              </w:rPr>
              <w:t>Verified</w:t>
            </w:r>
          </w:p>
          <w:p w:rsidR="00762478" w:rsidP="00F649C5" w:rsidRDefault="00762478" w14:paraId="7FC93434" w14:textId="77777777">
            <w:pPr>
              <w:jc w:val="center"/>
              <w:rPr>
                <w:sz w:val="24"/>
                <w:szCs w:val="24"/>
              </w:rPr>
            </w:pPr>
          </w:p>
          <w:p w:rsidR="00762478" w:rsidP="00F649C5" w:rsidRDefault="00762478" w14:paraId="3240D2EF" w14:textId="77777777">
            <w:pPr>
              <w:jc w:val="center"/>
              <w:rPr>
                <w:sz w:val="24"/>
                <w:szCs w:val="24"/>
              </w:rPr>
            </w:pPr>
          </w:p>
          <w:p w:rsidR="00762478" w:rsidP="00F649C5" w:rsidRDefault="00762478" w14:paraId="3301CF4D" w14:textId="77777777">
            <w:pPr>
              <w:jc w:val="center"/>
              <w:rPr>
                <w:sz w:val="24"/>
                <w:szCs w:val="24"/>
              </w:rPr>
            </w:pPr>
          </w:p>
          <w:p w:rsidRPr="006756BC" w:rsidR="00762478" w:rsidP="00F649C5" w:rsidRDefault="00762478" w14:paraId="5BC31D39" w14:textId="4BDC3515">
            <w:pPr>
              <w:jc w:val="center"/>
              <w:rPr>
                <w:sz w:val="24"/>
                <w:szCs w:val="24"/>
              </w:rPr>
            </w:pPr>
            <w:r>
              <w:rPr>
                <w:sz w:val="24"/>
                <w:szCs w:val="24"/>
              </w:rPr>
              <w:t>Verified</w:t>
            </w:r>
          </w:p>
        </w:tc>
      </w:tr>
      <w:tr w:rsidRPr="006756BC" w:rsidR="00625B30" w:rsidTr="0081117F" w14:paraId="041EC0D5" w14:textId="77777777">
        <w:tc>
          <w:tcPr>
            <w:tcW w:w="4135" w:type="dxa"/>
          </w:tcPr>
          <w:p w:rsidRPr="00063795" w:rsidR="00CF46F9" w:rsidP="00CF46F9" w:rsidRDefault="00CF46F9" w14:paraId="2E7304A7" w14:textId="60682D9B">
            <w:pPr>
              <w:rPr>
                <w:b/>
                <w:bCs/>
                <w:sz w:val="24"/>
                <w:szCs w:val="24"/>
              </w:rPr>
            </w:pPr>
            <w:r w:rsidRPr="00063795">
              <w:rPr>
                <w:b/>
                <w:bCs/>
                <w:sz w:val="24"/>
                <w:szCs w:val="24"/>
              </w:rPr>
              <w:lastRenderedPageBreak/>
              <w:t xml:space="preserve">TURN demonstrated that the Commission should require PG&amp;E to prepare and file a Lessons Learned </w:t>
            </w:r>
            <w:r w:rsidRPr="00063795">
              <w:rPr>
                <w:b/>
                <w:bCs/>
                <w:sz w:val="24"/>
                <w:szCs w:val="24"/>
              </w:rPr>
              <w:lastRenderedPageBreak/>
              <w:t>report with input from all interested parties.</w:t>
            </w:r>
          </w:p>
          <w:p w:rsidR="002C2278" w:rsidP="00CF46F9" w:rsidRDefault="002C2278" w14:paraId="491AC28B" w14:textId="77777777">
            <w:pPr>
              <w:rPr>
                <w:sz w:val="24"/>
                <w:szCs w:val="24"/>
              </w:rPr>
            </w:pPr>
          </w:p>
          <w:p w:rsidR="00734EA0" w:rsidP="00CF46F9" w:rsidRDefault="00063795" w14:paraId="2732A7F5" w14:textId="75836E2B">
            <w:pPr>
              <w:rPr>
                <w:sz w:val="24"/>
                <w:szCs w:val="24"/>
              </w:rPr>
            </w:pPr>
            <w:r w:rsidRPr="006756BC">
              <w:rPr>
                <w:sz w:val="24"/>
                <w:szCs w:val="24"/>
              </w:rPr>
              <w:t>TURN argued that if the Commission granted PG&amp;E’s motion to w</w:t>
            </w:r>
            <w:r w:rsidRPr="0061358C">
              <w:rPr>
                <w:sz w:val="24"/>
                <w:szCs w:val="24"/>
              </w:rPr>
              <w:t>ithdraw the application, the Commission should</w:t>
            </w:r>
            <w:r w:rsidRPr="0061358C" w:rsidR="00734EA0">
              <w:rPr>
                <w:sz w:val="24"/>
                <w:szCs w:val="24"/>
              </w:rPr>
              <w:t xml:space="preserve"> require PG&amp;E to publicly memorialize its lessons learned from experience with the CSUMB electrification project by preparing a report, with input from all interested parties, on this ambitious but ultimately unsuccessful zonal building electrification pilot program.</w:t>
            </w:r>
          </w:p>
          <w:p w:rsidRPr="0036013F" w:rsidR="0061358C" w:rsidP="00CF46F9" w:rsidRDefault="0061358C" w14:paraId="042E5ABA" w14:textId="77777777">
            <w:pPr>
              <w:rPr>
                <w:sz w:val="24"/>
                <w:szCs w:val="24"/>
              </w:rPr>
            </w:pPr>
          </w:p>
          <w:p w:rsidRPr="0036013F" w:rsidR="0061358C" w:rsidP="00CF46F9" w:rsidRDefault="009240A9" w14:paraId="26CABFA5" w14:textId="5F24C017">
            <w:pPr>
              <w:rPr>
                <w:sz w:val="24"/>
                <w:szCs w:val="24"/>
              </w:rPr>
            </w:pPr>
            <w:r w:rsidRPr="0036013F">
              <w:rPr>
                <w:sz w:val="24"/>
                <w:szCs w:val="24"/>
              </w:rPr>
              <w:t xml:space="preserve">When the proposed decision preceding D.25-11-004 required PG&amp;E to submit a Lessons Learned report without requiring PG&amp;E to obtain input from all interested parties, TURN (and others) advocated modification of the PD to make this requirement explicit.  </w:t>
            </w:r>
          </w:p>
          <w:p w:rsidRPr="0036013F" w:rsidR="0006083C" w:rsidP="00CF46F9" w:rsidRDefault="0006083C" w14:paraId="27A71762" w14:textId="77777777">
            <w:pPr>
              <w:rPr>
                <w:sz w:val="24"/>
                <w:szCs w:val="24"/>
              </w:rPr>
            </w:pPr>
          </w:p>
          <w:p w:rsidR="0006083C" w:rsidP="00CF46F9" w:rsidRDefault="0006083C" w14:paraId="3041E480" w14:textId="2139D168">
            <w:pPr>
              <w:rPr>
                <w:sz w:val="24"/>
                <w:szCs w:val="24"/>
              </w:rPr>
            </w:pPr>
            <w:r w:rsidRPr="0036013F">
              <w:rPr>
                <w:sz w:val="24"/>
                <w:szCs w:val="24"/>
              </w:rPr>
              <w:t xml:space="preserve">The Commission </w:t>
            </w:r>
            <w:r w:rsidRPr="0036013F" w:rsidR="0036013F">
              <w:rPr>
                <w:sz w:val="24"/>
                <w:szCs w:val="24"/>
              </w:rPr>
              <w:t xml:space="preserve">in D.25-11-004 </w:t>
            </w:r>
            <w:r w:rsidRPr="0036013F">
              <w:rPr>
                <w:sz w:val="24"/>
                <w:szCs w:val="24"/>
              </w:rPr>
              <w:t xml:space="preserve">modified the proposed decision as suggested by TURN et al. and ordered PG&amp;E to </w:t>
            </w:r>
            <w:r w:rsidRPr="0036013F" w:rsidR="0013263F">
              <w:rPr>
                <w:sz w:val="24"/>
                <w:szCs w:val="24"/>
              </w:rPr>
              <w:t xml:space="preserve">seek input from parties and collaboratively </w:t>
            </w:r>
            <w:r w:rsidRPr="0036013F" w:rsidR="0036013F">
              <w:rPr>
                <w:sz w:val="24"/>
                <w:szCs w:val="24"/>
              </w:rPr>
              <w:t>draft a ‘lessons learned’ report summarizing policy, cost and ratepayer impacts, and operational experiences with this project and to file the report in R.24-09-012 and in R.19-01-011.</w:t>
            </w:r>
          </w:p>
          <w:p w:rsidR="00732B75" w:rsidP="00CF46F9" w:rsidRDefault="00732B75" w14:paraId="0BC92C03" w14:textId="77777777">
            <w:pPr>
              <w:rPr>
                <w:sz w:val="24"/>
                <w:szCs w:val="24"/>
              </w:rPr>
            </w:pPr>
          </w:p>
          <w:p w:rsidRPr="0036013F" w:rsidR="00732B75" w:rsidP="00CF46F9" w:rsidRDefault="00760D51" w14:paraId="7ED73101" w14:textId="6BE686E8">
            <w:pPr>
              <w:rPr>
                <w:sz w:val="24"/>
                <w:szCs w:val="24"/>
              </w:rPr>
            </w:pPr>
            <w:r>
              <w:rPr>
                <w:sz w:val="24"/>
                <w:szCs w:val="24"/>
              </w:rPr>
              <w:t xml:space="preserve">In compliance with D.25-11-004, PG&amp;E provided a draft Lessons Learned report to parties </w:t>
            </w:r>
            <w:r w:rsidR="00F40F0B">
              <w:rPr>
                <w:sz w:val="24"/>
                <w:szCs w:val="24"/>
              </w:rPr>
              <w:t xml:space="preserve">on December 23, 2005, </w:t>
            </w:r>
            <w:r>
              <w:rPr>
                <w:sz w:val="24"/>
                <w:szCs w:val="24"/>
              </w:rPr>
              <w:t xml:space="preserve">for feedback.  </w:t>
            </w:r>
            <w:r w:rsidR="00021031">
              <w:rPr>
                <w:sz w:val="24"/>
                <w:szCs w:val="24"/>
              </w:rPr>
              <w:t xml:space="preserve">TURN </w:t>
            </w:r>
            <w:r w:rsidR="00F40F0B">
              <w:rPr>
                <w:sz w:val="24"/>
                <w:szCs w:val="24"/>
              </w:rPr>
              <w:t>provided</w:t>
            </w:r>
            <w:r w:rsidR="00021031">
              <w:rPr>
                <w:sz w:val="24"/>
                <w:szCs w:val="24"/>
              </w:rPr>
              <w:t xml:space="preserve"> written feedback </w:t>
            </w:r>
            <w:r w:rsidR="00F40F0B">
              <w:rPr>
                <w:sz w:val="24"/>
                <w:szCs w:val="24"/>
              </w:rPr>
              <w:t>to</w:t>
            </w:r>
            <w:r w:rsidR="00021031">
              <w:rPr>
                <w:sz w:val="24"/>
                <w:szCs w:val="24"/>
              </w:rPr>
              <w:t xml:space="preserve"> PG&amp;E to incorporate into the final Lessons Learned report</w:t>
            </w:r>
            <w:r w:rsidR="00073EAD">
              <w:rPr>
                <w:sz w:val="24"/>
                <w:szCs w:val="24"/>
              </w:rPr>
              <w:t xml:space="preserve">, which will be filed by PG&amp;E by January 26, </w:t>
            </w:r>
            <w:proofErr w:type="gramStart"/>
            <w:r w:rsidR="00073EAD">
              <w:rPr>
                <w:sz w:val="24"/>
                <w:szCs w:val="24"/>
              </w:rPr>
              <w:t>2026</w:t>
            </w:r>
            <w:proofErr w:type="gramEnd"/>
            <w:r w:rsidR="00073EAD">
              <w:rPr>
                <w:sz w:val="24"/>
                <w:szCs w:val="24"/>
              </w:rPr>
              <w:t xml:space="preserve"> pursuant to Ordering Paragraph </w:t>
            </w:r>
            <w:r w:rsidR="00BE30B1">
              <w:rPr>
                <w:sz w:val="24"/>
                <w:szCs w:val="24"/>
              </w:rPr>
              <w:t>4 of D.25-11-004</w:t>
            </w:r>
            <w:r w:rsidR="00DF22C4">
              <w:rPr>
                <w:sz w:val="24"/>
                <w:szCs w:val="24"/>
              </w:rPr>
              <w:t xml:space="preserve">.  TURN’s contribution to the Lessons Learned report contributes to the implementation of D.25-11-004, and specifically </w:t>
            </w:r>
            <w:r w:rsidR="00732B75">
              <w:rPr>
                <w:sz w:val="24"/>
                <w:szCs w:val="24"/>
              </w:rPr>
              <w:t xml:space="preserve">the Commission’s recognition of the value </w:t>
            </w:r>
            <w:r w:rsidR="00732B75">
              <w:rPr>
                <w:sz w:val="24"/>
                <w:szCs w:val="24"/>
              </w:rPr>
              <w:lastRenderedPageBreak/>
              <w:t>of a Lessons Learned report reflecting the perspectives of all stakeholders, not just PG&amp;E</w:t>
            </w:r>
            <w:r w:rsidR="00FC474F">
              <w:rPr>
                <w:sz w:val="24"/>
                <w:szCs w:val="24"/>
              </w:rPr>
              <w:t>.</w:t>
            </w:r>
            <w:r>
              <w:rPr>
                <w:sz w:val="24"/>
                <w:szCs w:val="24"/>
              </w:rPr>
              <w:t xml:space="preserve"> </w:t>
            </w:r>
          </w:p>
          <w:p w:rsidR="009240A9" w:rsidP="00CF46F9" w:rsidRDefault="009240A9" w14:paraId="70B78DC6" w14:textId="77777777"/>
          <w:p w:rsidRPr="006756BC" w:rsidR="00625B30" w:rsidP="00CF46F9" w:rsidRDefault="00625B30" w14:paraId="7EF3C91C" w14:textId="61F748CB">
            <w:pPr>
              <w:jc w:val="right"/>
              <w:rPr>
                <w:sz w:val="24"/>
                <w:szCs w:val="24"/>
              </w:rPr>
            </w:pPr>
          </w:p>
        </w:tc>
        <w:tc>
          <w:tcPr>
            <w:tcW w:w="2880" w:type="dxa"/>
          </w:tcPr>
          <w:p w:rsidR="009240A9" w:rsidP="009240A9" w:rsidRDefault="009240A9" w14:paraId="0B82BF30" w14:textId="77777777">
            <w:pPr>
              <w:pStyle w:val="ListParagraph"/>
              <w:framePr w:hSpace="0" w:wrap="auto" w:vAnchor="margin" w:yAlign="inline"/>
              <w:numPr>
                <w:ilvl w:val="0"/>
                <w:numId w:val="0"/>
              </w:numPr>
              <w:ind w:left="371"/>
              <w:suppressOverlap w:val="0"/>
              <w:rPr>
                <w:sz w:val="24"/>
                <w:szCs w:val="24"/>
              </w:rPr>
            </w:pPr>
          </w:p>
          <w:p w:rsidR="009240A9" w:rsidP="009240A9" w:rsidRDefault="009240A9" w14:paraId="34537A5B" w14:textId="15983700">
            <w:pPr>
              <w:pStyle w:val="ListParagraph"/>
              <w:framePr w:hSpace="0" w:wrap="auto" w:vAnchor="margin" w:yAlign="inline"/>
              <w:suppressOverlap w:val="0"/>
              <w:rPr>
                <w:sz w:val="24"/>
                <w:szCs w:val="24"/>
              </w:rPr>
            </w:pPr>
            <w:r w:rsidRPr="006756BC">
              <w:rPr>
                <w:sz w:val="24"/>
                <w:szCs w:val="24"/>
              </w:rPr>
              <w:lastRenderedPageBreak/>
              <w:t xml:space="preserve">TURN Resp. to PG&amp;E Motion to Withdraw Application, 1/29/25, p. </w:t>
            </w:r>
            <w:r w:rsidRPr="006B55D5">
              <w:rPr>
                <w:sz w:val="24"/>
                <w:szCs w:val="24"/>
              </w:rPr>
              <w:t>12</w:t>
            </w:r>
          </w:p>
          <w:p w:rsidR="008528B2" w:rsidP="008528B2" w:rsidRDefault="008528B2" w14:paraId="7DD61F45" w14:textId="77777777">
            <w:pPr>
              <w:pStyle w:val="ListParagraph"/>
              <w:framePr w:hSpace="0" w:wrap="auto" w:vAnchor="margin" w:yAlign="inline"/>
              <w:numPr>
                <w:ilvl w:val="0"/>
                <w:numId w:val="0"/>
              </w:numPr>
              <w:ind w:left="371"/>
              <w:suppressOverlap w:val="0"/>
              <w:rPr>
                <w:sz w:val="24"/>
                <w:szCs w:val="24"/>
              </w:rPr>
            </w:pPr>
          </w:p>
          <w:p w:rsidRPr="008528B2" w:rsidR="009240A9" w:rsidP="009240A9" w:rsidRDefault="009240A9" w14:paraId="789BDA47" w14:textId="030C0CEA">
            <w:pPr>
              <w:pStyle w:val="ListParagraph"/>
              <w:framePr w:hSpace="0" w:wrap="auto" w:vAnchor="margin" w:yAlign="inline"/>
              <w:suppressOverlap w:val="0"/>
              <w:rPr>
                <w:sz w:val="24"/>
                <w:szCs w:val="24"/>
              </w:rPr>
            </w:pPr>
            <w:r w:rsidRPr="008528B2">
              <w:rPr>
                <w:sz w:val="24"/>
                <w:szCs w:val="24"/>
              </w:rPr>
              <w:t xml:space="preserve">TURN </w:t>
            </w:r>
            <w:r w:rsidRPr="008528B2" w:rsidR="00C72FD2">
              <w:rPr>
                <w:sz w:val="24"/>
                <w:szCs w:val="24"/>
              </w:rPr>
              <w:t>Reply Cmts. on PD, 10/27/25, pp. 1, 3</w:t>
            </w:r>
          </w:p>
          <w:p w:rsidR="00C72FD2" w:rsidP="008528B2" w:rsidRDefault="00C72FD2" w14:paraId="4D5963F3" w14:textId="77777777"/>
          <w:p w:rsidRPr="006C652E" w:rsidR="008528B2" w:rsidP="008528B2" w:rsidRDefault="008528B2" w14:paraId="147B93A3" w14:textId="3E8298AE">
            <w:pPr>
              <w:pStyle w:val="ListParagraph"/>
              <w:framePr w:hSpace="0" w:wrap="auto" w:vAnchor="margin" w:yAlign="inline"/>
              <w:suppressOverlap w:val="0"/>
              <w:rPr>
                <w:sz w:val="24"/>
                <w:szCs w:val="24"/>
              </w:rPr>
            </w:pPr>
            <w:r w:rsidRPr="006C652E">
              <w:rPr>
                <w:sz w:val="24"/>
                <w:szCs w:val="24"/>
              </w:rPr>
              <w:t>Proposed Decision, Rev. 1, REDLINE, p. 16</w:t>
            </w:r>
          </w:p>
          <w:p w:rsidRPr="006C652E" w:rsidR="008528B2" w:rsidP="006C652E" w:rsidRDefault="008528B2" w14:paraId="27756623" w14:textId="77777777">
            <w:pPr>
              <w:pStyle w:val="ListParagraph"/>
              <w:framePr w:hSpace="0" w:wrap="auto" w:vAnchor="margin" w:yAlign="inline"/>
              <w:numPr>
                <w:ilvl w:val="0"/>
                <w:numId w:val="0"/>
              </w:numPr>
              <w:ind w:left="371"/>
              <w:suppressOverlap w:val="0"/>
              <w:rPr>
                <w:sz w:val="24"/>
                <w:szCs w:val="24"/>
              </w:rPr>
            </w:pPr>
          </w:p>
          <w:p w:rsidR="00625B30" w:rsidP="008528B2" w:rsidRDefault="009240A9" w14:paraId="75396E80" w14:textId="77777777">
            <w:pPr>
              <w:pStyle w:val="ListParagraph"/>
              <w:framePr w:hSpace="0" w:wrap="auto" w:vAnchor="margin" w:yAlign="inline"/>
              <w:suppressOverlap w:val="0"/>
              <w:rPr>
                <w:sz w:val="24"/>
                <w:szCs w:val="24"/>
              </w:rPr>
            </w:pPr>
            <w:r w:rsidRPr="006B55D5">
              <w:rPr>
                <w:sz w:val="24"/>
                <w:szCs w:val="24"/>
              </w:rPr>
              <w:t xml:space="preserve">D.25-11-004, </w:t>
            </w:r>
            <w:r w:rsidR="006C652E">
              <w:rPr>
                <w:sz w:val="24"/>
                <w:szCs w:val="24"/>
              </w:rPr>
              <w:t xml:space="preserve">p. </w:t>
            </w:r>
            <w:r w:rsidRPr="006B55D5">
              <w:rPr>
                <w:sz w:val="24"/>
                <w:szCs w:val="24"/>
              </w:rPr>
              <w:t xml:space="preserve">16; Conclusion of Law </w:t>
            </w:r>
            <w:r w:rsidR="006C652E">
              <w:rPr>
                <w:sz w:val="24"/>
                <w:szCs w:val="24"/>
              </w:rPr>
              <w:t>3</w:t>
            </w:r>
            <w:r w:rsidRPr="006B55D5">
              <w:rPr>
                <w:sz w:val="24"/>
                <w:szCs w:val="24"/>
              </w:rPr>
              <w:t>; Ordering Paragraph</w:t>
            </w:r>
            <w:r w:rsidR="00364EB3">
              <w:rPr>
                <w:sz w:val="24"/>
                <w:szCs w:val="24"/>
              </w:rPr>
              <w:t>s</w:t>
            </w:r>
            <w:r w:rsidRPr="006B55D5">
              <w:rPr>
                <w:sz w:val="24"/>
                <w:szCs w:val="24"/>
              </w:rPr>
              <w:t xml:space="preserve"> </w:t>
            </w:r>
            <w:r w:rsidR="00364EB3">
              <w:rPr>
                <w:sz w:val="24"/>
                <w:szCs w:val="24"/>
              </w:rPr>
              <w:t>3, 4</w:t>
            </w:r>
          </w:p>
          <w:p w:rsidR="00F81370" w:rsidP="00F81370" w:rsidRDefault="00F81370" w14:paraId="14F2CE7F" w14:textId="77777777">
            <w:pPr>
              <w:pStyle w:val="ListParagraph"/>
              <w:framePr w:hSpace="0" w:wrap="auto" w:vAnchor="margin" w:yAlign="inline"/>
              <w:numPr>
                <w:ilvl w:val="0"/>
                <w:numId w:val="0"/>
              </w:numPr>
              <w:ind w:left="374"/>
              <w:suppressOverlap w:val="0"/>
            </w:pPr>
          </w:p>
          <w:p w:rsidR="00F81370" w:rsidP="00F81370" w:rsidRDefault="00F81370" w14:paraId="1ADC6A9D" w14:textId="77777777">
            <w:pPr>
              <w:ind w:left="14"/>
            </w:pPr>
          </w:p>
          <w:p w:rsidRPr="00A44FA1" w:rsidR="00D41F08" w:rsidP="00394E1F" w:rsidRDefault="00394E1F" w14:paraId="69773D24" w14:textId="11040B6F">
            <w:pPr>
              <w:pStyle w:val="ListParagraph"/>
              <w:framePr w:hSpace="0" w:wrap="auto" w:vAnchor="margin" w:yAlign="inline"/>
              <w:suppressOverlap w:val="0"/>
              <w:rPr>
                <w:sz w:val="24"/>
                <w:szCs w:val="24"/>
              </w:rPr>
            </w:pPr>
            <w:r w:rsidRPr="00A44FA1">
              <w:rPr>
                <w:sz w:val="24"/>
                <w:szCs w:val="24"/>
              </w:rPr>
              <w:t>Feedback of The Utility Reform Network (TURN) on PG&amp;E’s Draft A.22-08-003 “Lessons Learned” Report, 1/14/26</w:t>
            </w:r>
            <w:r w:rsidRPr="00A44FA1" w:rsidR="00A44FA1">
              <w:rPr>
                <w:sz w:val="24"/>
                <w:szCs w:val="24"/>
              </w:rPr>
              <w:t xml:space="preserve"> (See Attachment 4 to this Claim)</w:t>
            </w:r>
          </w:p>
        </w:tc>
        <w:tc>
          <w:tcPr>
            <w:tcW w:w="2335" w:type="dxa"/>
          </w:tcPr>
          <w:p w:rsidR="00625B30" w:rsidP="00F649C5" w:rsidRDefault="00625B30" w14:paraId="7DF18BB6" w14:textId="77777777">
            <w:pPr>
              <w:jc w:val="center"/>
              <w:rPr>
                <w:sz w:val="24"/>
                <w:szCs w:val="24"/>
              </w:rPr>
            </w:pPr>
          </w:p>
          <w:p w:rsidR="00762478" w:rsidP="00F649C5" w:rsidRDefault="00762478" w14:paraId="5CA90073" w14:textId="77777777">
            <w:pPr>
              <w:jc w:val="center"/>
              <w:rPr>
                <w:sz w:val="24"/>
                <w:szCs w:val="24"/>
              </w:rPr>
            </w:pPr>
          </w:p>
          <w:p w:rsidR="00762478" w:rsidP="00F649C5" w:rsidRDefault="00762478" w14:paraId="75FA50DD" w14:textId="77777777">
            <w:pPr>
              <w:jc w:val="center"/>
              <w:rPr>
                <w:sz w:val="24"/>
                <w:szCs w:val="24"/>
              </w:rPr>
            </w:pPr>
          </w:p>
          <w:p w:rsidR="00762478" w:rsidP="00F649C5" w:rsidRDefault="00762478" w14:paraId="70A871D8" w14:textId="77777777">
            <w:pPr>
              <w:jc w:val="center"/>
              <w:rPr>
                <w:sz w:val="24"/>
                <w:szCs w:val="24"/>
              </w:rPr>
            </w:pPr>
          </w:p>
          <w:p w:rsidR="00762478" w:rsidP="00F649C5" w:rsidRDefault="00762478" w14:paraId="5255390F" w14:textId="5AAB478B">
            <w:pPr>
              <w:jc w:val="center"/>
              <w:rPr>
                <w:sz w:val="24"/>
                <w:szCs w:val="24"/>
              </w:rPr>
            </w:pPr>
            <w:r>
              <w:rPr>
                <w:sz w:val="24"/>
                <w:szCs w:val="24"/>
              </w:rPr>
              <w:t>Verified</w:t>
            </w:r>
          </w:p>
          <w:p w:rsidR="00762478" w:rsidP="00F649C5" w:rsidRDefault="00762478" w14:paraId="14A4F7AF" w14:textId="77777777">
            <w:pPr>
              <w:jc w:val="center"/>
              <w:rPr>
                <w:sz w:val="24"/>
                <w:szCs w:val="24"/>
              </w:rPr>
            </w:pPr>
          </w:p>
          <w:p w:rsidR="00762478" w:rsidP="00F649C5" w:rsidRDefault="00762478" w14:paraId="075BD6BF" w14:textId="77777777">
            <w:pPr>
              <w:jc w:val="center"/>
              <w:rPr>
                <w:sz w:val="24"/>
                <w:szCs w:val="24"/>
              </w:rPr>
            </w:pPr>
          </w:p>
          <w:p w:rsidR="00762478" w:rsidP="00F649C5" w:rsidRDefault="00762478" w14:paraId="570E9BA2" w14:textId="77777777">
            <w:pPr>
              <w:jc w:val="center"/>
              <w:rPr>
                <w:sz w:val="24"/>
                <w:szCs w:val="24"/>
              </w:rPr>
            </w:pPr>
          </w:p>
          <w:p w:rsidR="00762478" w:rsidP="00F649C5" w:rsidRDefault="00762478" w14:paraId="42282C86" w14:textId="77777777">
            <w:pPr>
              <w:jc w:val="center"/>
              <w:rPr>
                <w:sz w:val="24"/>
                <w:szCs w:val="24"/>
              </w:rPr>
            </w:pPr>
          </w:p>
          <w:p w:rsidR="00762478" w:rsidP="00F649C5" w:rsidRDefault="00762478" w14:paraId="4909EFA0" w14:textId="77777777">
            <w:pPr>
              <w:jc w:val="center"/>
              <w:rPr>
                <w:sz w:val="24"/>
                <w:szCs w:val="24"/>
              </w:rPr>
            </w:pPr>
          </w:p>
          <w:p w:rsidR="00762478" w:rsidP="00F649C5" w:rsidRDefault="009E2D4F" w14:paraId="6C9D34FD" w14:textId="63C0968A">
            <w:pPr>
              <w:jc w:val="center"/>
              <w:rPr>
                <w:sz w:val="24"/>
                <w:szCs w:val="24"/>
              </w:rPr>
            </w:pPr>
            <w:r>
              <w:rPr>
                <w:sz w:val="24"/>
                <w:szCs w:val="24"/>
              </w:rPr>
              <w:t>Verified</w:t>
            </w:r>
          </w:p>
          <w:p w:rsidR="009E2D4F" w:rsidP="00F649C5" w:rsidRDefault="009E2D4F" w14:paraId="5C8BC58C" w14:textId="77777777">
            <w:pPr>
              <w:jc w:val="center"/>
              <w:rPr>
                <w:sz w:val="24"/>
                <w:szCs w:val="24"/>
              </w:rPr>
            </w:pPr>
          </w:p>
          <w:p w:rsidR="009E2D4F" w:rsidP="00F649C5" w:rsidRDefault="009E2D4F" w14:paraId="552EA6A0" w14:textId="77777777">
            <w:pPr>
              <w:jc w:val="center"/>
              <w:rPr>
                <w:sz w:val="24"/>
                <w:szCs w:val="24"/>
              </w:rPr>
            </w:pPr>
          </w:p>
          <w:p w:rsidR="009E2D4F" w:rsidP="00F649C5" w:rsidRDefault="009E2D4F" w14:paraId="1A71D9A6" w14:textId="77777777">
            <w:pPr>
              <w:jc w:val="center"/>
              <w:rPr>
                <w:sz w:val="24"/>
                <w:szCs w:val="24"/>
              </w:rPr>
            </w:pPr>
          </w:p>
          <w:p w:rsidR="009E2D4F" w:rsidP="00F649C5" w:rsidRDefault="0081117F" w14:paraId="434711D0" w14:textId="63BA5660">
            <w:pPr>
              <w:jc w:val="center"/>
              <w:rPr>
                <w:sz w:val="24"/>
                <w:szCs w:val="24"/>
              </w:rPr>
            </w:pPr>
            <w:r>
              <w:rPr>
                <w:sz w:val="24"/>
                <w:szCs w:val="24"/>
              </w:rPr>
              <w:t>Verified</w:t>
            </w:r>
          </w:p>
          <w:p w:rsidR="0081117F" w:rsidP="00F649C5" w:rsidRDefault="0081117F" w14:paraId="07A99131" w14:textId="77777777">
            <w:pPr>
              <w:jc w:val="center"/>
              <w:rPr>
                <w:sz w:val="24"/>
                <w:szCs w:val="24"/>
              </w:rPr>
            </w:pPr>
          </w:p>
          <w:p w:rsidR="0081117F" w:rsidP="00F649C5" w:rsidRDefault="0081117F" w14:paraId="4D56D74B" w14:textId="77777777">
            <w:pPr>
              <w:jc w:val="center"/>
              <w:rPr>
                <w:sz w:val="24"/>
                <w:szCs w:val="24"/>
              </w:rPr>
            </w:pPr>
          </w:p>
          <w:p w:rsidR="0081117F" w:rsidP="00F649C5" w:rsidRDefault="0081117F" w14:paraId="46047D94" w14:textId="77777777">
            <w:pPr>
              <w:jc w:val="center"/>
              <w:rPr>
                <w:sz w:val="24"/>
                <w:szCs w:val="24"/>
              </w:rPr>
            </w:pPr>
          </w:p>
          <w:p w:rsidR="0081117F" w:rsidP="00F649C5" w:rsidRDefault="0081117F" w14:paraId="3477D5D9" w14:textId="77777777">
            <w:pPr>
              <w:jc w:val="center"/>
              <w:rPr>
                <w:sz w:val="24"/>
                <w:szCs w:val="24"/>
              </w:rPr>
            </w:pPr>
          </w:p>
          <w:p w:rsidR="0081117F" w:rsidP="00F649C5" w:rsidRDefault="0081117F" w14:paraId="48E4DE13" w14:textId="77777777">
            <w:pPr>
              <w:jc w:val="center"/>
              <w:rPr>
                <w:sz w:val="24"/>
                <w:szCs w:val="24"/>
              </w:rPr>
            </w:pPr>
          </w:p>
          <w:p w:rsidR="0081117F" w:rsidP="00F649C5" w:rsidRDefault="0081117F" w14:paraId="19D5C337" w14:textId="1503B171">
            <w:pPr>
              <w:jc w:val="center"/>
              <w:rPr>
                <w:sz w:val="24"/>
                <w:szCs w:val="24"/>
              </w:rPr>
            </w:pPr>
            <w:r>
              <w:rPr>
                <w:sz w:val="24"/>
                <w:szCs w:val="24"/>
              </w:rPr>
              <w:t>Verified</w:t>
            </w:r>
          </w:p>
          <w:p w:rsidR="0081117F" w:rsidP="00F649C5" w:rsidRDefault="0081117F" w14:paraId="24A352C9" w14:textId="77777777">
            <w:pPr>
              <w:jc w:val="center"/>
              <w:rPr>
                <w:sz w:val="24"/>
                <w:szCs w:val="24"/>
              </w:rPr>
            </w:pPr>
          </w:p>
          <w:p w:rsidR="0081117F" w:rsidP="00F649C5" w:rsidRDefault="0081117F" w14:paraId="5C09B583" w14:textId="77777777">
            <w:pPr>
              <w:jc w:val="center"/>
              <w:rPr>
                <w:sz w:val="24"/>
                <w:szCs w:val="24"/>
              </w:rPr>
            </w:pPr>
          </w:p>
          <w:p w:rsidR="0081117F" w:rsidP="00F649C5" w:rsidRDefault="0081117F" w14:paraId="4406FBA1" w14:textId="77777777">
            <w:pPr>
              <w:jc w:val="center"/>
              <w:rPr>
                <w:sz w:val="24"/>
                <w:szCs w:val="24"/>
              </w:rPr>
            </w:pPr>
          </w:p>
          <w:p w:rsidR="0081117F" w:rsidP="00F649C5" w:rsidRDefault="0081117F" w14:paraId="4AD5C888" w14:textId="77777777">
            <w:pPr>
              <w:jc w:val="center"/>
              <w:rPr>
                <w:sz w:val="24"/>
                <w:szCs w:val="24"/>
              </w:rPr>
            </w:pPr>
          </w:p>
          <w:p w:rsidR="0081117F" w:rsidP="00F649C5" w:rsidRDefault="0081117F" w14:paraId="341EF18B" w14:textId="77777777">
            <w:pPr>
              <w:jc w:val="center"/>
              <w:rPr>
                <w:sz w:val="24"/>
                <w:szCs w:val="24"/>
              </w:rPr>
            </w:pPr>
          </w:p>
          <w:p w:rsidR="0081117F" w:rsidP="00F649C5" w:rsidRDefault="0081117F" w14:paraId="05855068" w14:textId="77777777">
            <w:pPr>
              <w:jc w:val="center"/>
              <w:rPr>
                <w:sz w:val="24"/>
                <w:szCs w:val="24"/>
              </w:rPr>
            </w:pPr>
          </w:p>
          <w:p w:rsidR="0081117F" w:rsidP="00F649C5" w:rsidRDefault="0081117F" w14:paraId="1898CE88" w14:textId="77777777">
            <w:pPr>
              <w:jc w:val="center"/>
              <w:rPr>
                <w:sz w:val="24"/>
                <w:szCs w:val="24"/>
              </w:rPr>
            </w:pPr>
          </w:p>
          <w:p w:rsidR="0081117F" w:rsidP="00F649C5" w:rsidRDefault="0081117F" w14:paraId="327123CF" w14:textId="77777777">
            <w:pPr>
              <w:jc w:val="center"/>
              <w:rPr>
                <w:sz w:val="24"/>
                <w:szCs w:val="24"/>
              </w:rPr>
            </w:pPr>
          </w:p>
          <w:p w:rsidR="0081117F" w:rsidP="00F649C5" w:rsidRDefault="0081117F" w14:paraId="383D37EA" w14:textId="7D8E91CC">
            <w:pPr>
              <w:jc w:val="center"/>
              <w:rPr>
                <w:sz w:val="24"/>
                <w:szCs w:val="24"/>
              </w:rPr>
            </w:pPr>
            <w:r>
              <w:rPr>
                <w:sz w:val="24"/>
                <w:szCs w:val="24"/>
              </w:rPr>
              <w:t>Verified</w:t>
            </w:r>
          </w:p>
          <w:p w:rsidRPr="006756BC" w:rsidR="00762478" w:rsidP="00F649C5" w:rsidRDefault="00762478" w14:paraId="1E718597" w14:textId="77777777">
            <w:pPr>
              <w:jc w:val="center"/>
              <w:rPr>
                <w:sz w:val="24"/>
                <w:szCs w:val="24"/>
              </w:rPr>
            </w:pPr>
          </w:p>
        </w:tc>
      </w:tr>
      <w:tr w:rsidRPr="006756BC" w:rsidR="00625B30" w:rsidTr="002230BA" w14:paraId="7704AAD5" w14:textId="77777777">
        <w:tc>
          <w:tcPr>
            <w:tcW w:w="4135" w:type="dxa"/>
          </w:tcPr>
          <w:p w:rsidRPr="00147396" w:rsidR="00747CB4" w:rsidP="00625B30" w:rsidRDefault="00303713" w14:paraId="7288DC8F" w14:textId="72DAB52B">
            <w:pPr>
              <w:rPr>
                <w:b/>
                <w:bCs/>
                <w:sz w:val="24"/>
                <w:szCs w:val="24"/>
              </w:rPr>
            </w:pPr>
            <w:r w:rsidRPr="00147396">
              <w:rPr>
                <w:b/>
                <w:bCs/>
                <w:sz w:val="24"/>
                <w:szCs w:val="24"/>
              </w:rPr>
              <w:lastRenderedPageBreak/>
              <w:t xml:space="preserve">TURN contributed </w:t>
            </w:r>
            <w:r w:rsidRPr="00147396" w:rsidR="00FF7D16">
              <w:rPr>
                <w:b/>
                <w:bCs/>
                <w:sz w:val="24"/>
                <w:szCs w:val="24"/>
              </w:rPr>
              <w:t xml:space="preserve">information and analysis </w:t>
            </w:r>
            <w:r w:rsidRPr="00147396" w:rsidR="00282C5A">
              <w:rPr>
                <w:b/>
                <w:bCs/>
                <w:sz w:val="24"/>
                <w:szCs w:val="24"/>
              </w:rPr>
              <w:t xml:space="preserve">to the record </w:t>
            </w:r>
            <w:r w:rsidRPr="00147396" w:rsidR="00D343BF">
              <w:rPr>
                <w:b/>
                <w:bCs/>
                <w:sz w:val="24"/>
                <w:szCs w:val="24"/>
              </w:rPr>
              <w:t>that the Commission recognized as valuable</w:t>
            </w:r>
            <w:r w:rsidRPr="00147396" w:rsidR="00791853">
              <w:rPr>
                <w:b/>
                <w:bCs/>
                <w:sz w:val="24"/>
                <w:szCs w:val="24"/>
              </w:rPr>
              <w:t xml:space="preserve"> in D.25-11-004</w:t>
            </w:r>
            <w:r w:rsidR="00D67A73">
              <w:rPr>
                <w:b/>
                <w:bCs/>
                <w:sz w:val="24"/>
                <w:szCs w:val="24"/>
              </w:rPr>
              <w:t xml:space="preserve"> and which informed the Commission’s orders therein.  </w:t>
            </w:r>
          </w:p>
          <w:p w:rsidRPr="006756BC" w:rsidR="00747CB4" w:rsidP="00625B30" w:rsidRDefault="00747CB4" w14:paraId="2D25AECC" w14:textId="77777777">
            <w:pPr>
              <w:rPr>
                <w:sz w:val="24"/>
                <w:szCs w:val="24"/>
              </w:rPr>
            </w:pPr>
          </w:p>
          <w:p w:rsidR="004B6F20" w:rsidP="00A62E8A" w:rsidRDefault="00A62E8A" w14:paraId="5FD203F7" w14:textId="4FC46A82">
            <w:pPr>
              <w:rPr>
                <w:sz w:val="24"/>
                <w:szCs w:val="24"/>
              </w:rPr>
            </w:pPr>
            <w:r w:rsidRPr="006756BC">
              <w:rPr>
                <w:sz w:val="24"/>
                <w:szCs w:val="24"/>
              </w:rPr>
              <w:t>The Commission’s order requiring PG&amp;E to reference the record here in future related requests</w:t>
            </w:r>
            <w:r w:rsidR="004B6F20">
              <w:rPr>
                <w:sz w:val="24"/>
                <w:szCs w:val="24"/>
              </w:rPr>
              <w:t>, discussed above,</w:t>
            </w:r>
            <w:r w:rsidRPr="006756BC">
              <w:rPr>
                <w:sz w:val="24"/>
                <w:szCs w:val="24"/>
              </w:rPr>
              <w:t xml:space="preserve"> recognizes the value of parties’ contributions, including TURN’s.  </w:t>
            </w:r>
            <w:r>
              <w:rPr>
                <w:sz w:val="24"/>
                <w:szCs w:val="24"/>
              </w:rPr>
              <w:t>Similarly, t</w:t>
            </w:r>
            <w:r w:rsidRPr="006756BC">
              <w:rPr>
                <w:sz w:val="24"/>
                <w:szCs w:val="24"/>
              </w:rPr>
              <w:t>he Commission’s order requiring PG&amp;E to collaborate with the active parties in preparing and submitting a Lessons Learned report based on this proceeding</w:t>
            </w:r>
            <w:r w:rsidR="004B6F20">
              <w:rPr>
                <w:sz w:val="24"/>
                <w:szCs w:val="24"/>
              </w:rPr>
              <w:t>, discussed above,</w:t>
            </w:r>
            <w:r w:rsidRPr="006756BC">
              <w:rPr>
                <w:sz w:val="24"/>
                <w:szCs w:val="24"/>
              </w:rPr>
              <w:t xml:space="preserve"> recognizes the value of parties contributions to the proceeding learnings. </w:t>
            </w:r>
            <w:r>
              <w:rPr>
                <w:sz w:val="24"/>
                <w:szCs w:val="24"/>
              </w:rPr>
              <w:t xml:space="preserve"> </w:t>
            </w:r>
          </w:p>
          <w:p w:rsidR="004B6F20" w:rsidP="00A62E8A" w:rsidRDefault="004B6F20" w14:paraId="696B4839" w14:textId="77777777">
            <w:pPr>
              <w:rPr>
                <w:sz w:val="24"/>
                <w:szCs w:val="24"/>
              </w:rPr>
            </w:pPr>
          </w:p>
          <w:p w:rsidR="003C5090" w:rsidP="00A62E8A" w:rsidRDefault="0081763C" w14:paraId="1F7D6215" w14:textId="16EEFCF7">
            <w:pPr>
              <w:rPr>
                <w:sz w:val="24"/>
                <w:szCs w:val="24"/>
              </w:rPr>
            </w:pPr>
            <w:r w:rsidRPr="00AA0154">
              <w:rPr>
                <w:sz w:val="24"/>
                <w:szCs w:val="24"/>
              </w:rPr>
              <w:t xml:space="preserve">TURN actively participated in this proceeding </w:t>
            </w:r>
            <w:r w:rsidR="00CC54B4">
              <w:rPr>
                <w:sz w:val="24"/>
                <w:szCs w:val="24"/>
              </w:rPr>
              <w:t>from its inception in</w:t>
            </w:r>
            <w:r w:rsidRPr="00AA0154">
              <w:rPr>
                <w:sz w:val="24"/>
                <w:szCs w:val="24"/>
              </w:rPr>
              <w:t xml:space="preserve"> September 2022</w:t>
            </w:r>
            <w:r w:rsidR="00CC54B4">
              <w:rPr>
                <w:sz w:val="24"/>
                <w:szCs w:val="24"/>
              </w:rPr>
              <w:t xml:space="preserve"> until its abrupt termination</w:t>
            </w:r>
            <w:r w:rsidR="00A62E8A">
              <w:rPr>
                <w:sz w:val="24"/>
                <w:szCs w:val="24"/>
              </w:rPr>
              <w:t xml:space="preserve"> and contributed in substantial ways to the proceeding record and lessons learned</w:t>
            </w:r>
            <w:r w:rsidRPr="00AA0154">
              <w:rPr>
                <w:sz w:val="24"/>
                <w:szCs w:val="24"/>
              </w:rPr>
              <w:t xml:space="preserve">.  </w:t>
            </w:r>
          </w:p>
          <w:p w:rsidR="003C5090" w:rsidP="00625B30" w:rsidRDefault="003C5090" w14:paraId="3804A8BC" w14:textId="77777777">
            <w:pPr>
              <w:rPr>
                <w:sz w:val="24"/>
                <w:szCs w:val="24"/>
              </w:rPr>
            </w:pPr>
          </w:p>
          <w:p w:rsidR="00212AD9" w:rsidP="00625B30" w:rsidRDefault="0081763C" w14:paraId="3370F9F5" w14:textId="48DA550D">
            <w:pPr>
              <w:rPr>
                <w:sz w:val="24"/>
                <w:szCs w:val="24"/>
              </w:rPr>
            </w:pPr>
            <w:r w:rsidRPr="00AA0154">
              <w:rPr>
                <w:sz w:val="24"/>
                <w:szCs w:val="24"/>
              </w:rPr>
              <w:t>TURN conducted extensive discovery on PG&amp;E’s proposed CSU</w:t>
            </w:r>
            <w:r w:rsidRPr="00AA0154" w:rsidR="00FD3EC0">
              <w:rPr>
                <w:sz w:val="24"/>
                <w:szCs w:val="24"/>
              </w:rPr>
              <w:t xml:space="preserve"> Monterey Bay</w:t>
            </w:r>
            <w:r w:rsidRPr="00AA0154">
              <w:rPr>
                <w:sz w:val="24"/>
                <w:szCs w:val="24"/>
              </w:rPr>
              <w:t xml:space="preserve"> electrification </w:t>
            </w:r>
            <w:r w:rsidRPr="00AA0154" w:rsidR="00FD3EC0">
              <w:rPr>
                <w:sz w:val="24"/>
                <w:szCs w:val="24"/>
              </w:rPr>
              <w:t xml:space="preserve">project </w:t>
            </w:r>
            <w:r w:rsidR="000002C1">
              <w:rPr>
                <w:sz w:val="24"/>
                <w:szCs w:val="24"/>
              </w:rPr>
              <w:t xml:space="preserve">and  </w:t>
            </w:r>
            <w:r w:rsidRPr="00AA0154" w:rsidR="000002C1">
              <w:rPr>
                <w:sz w:val="24"/>
                <w:szCs w:val="24"/>
              </w:rPr>
              <w:t>submitted three volumes of testimony</w:t>
            </w:r>
            <w:r w:rsidR="000002C1">
              <w:rPr>
                <w:sz w:val="24"/>
                <w:szCs w:val="24"/>
              </w:rPr>
              <w:t xml:space="preserve"> addressing:  </w:t>
            </w:r>
            <w:r w:rsidR="005836C3">
              <w:rPr>
                <w:sz w:val="24"/>
                <w:szCs w:val="24"/>
              </w:rPr>
              <w:t xml:space="preserve">(1) </w:t>
            </w:r>
            <w:r w:rsidR="00885DA4">
              <w:rPr>
                <w:sz w:val="24"/>
                <w:szCs w:val="24"/>
              </w:rPr>
              <w:t>the need for the gas pipeline replacement project,</w:t>
            </w:r>
            <w:r w:rsidR="00A62E8A">
              <w:rPr>
                <w:sz w:val="24"/>
                <w:szCs w:val="24"/>
              </w:rPr>
              <w:t xml:space="preserve"> which was not fully supported by PG&amp;E’s application;</w:t>
            </w:r>
            <w:r w:rsidR="00885DA4">
              <w:rPr>
                <w:sz w:val="24"/>
                <w:szCs w:val="24"/>
              </w:rPr>
              <w:t xml:space="preserve"> </w:t>
            </w:r>
            <w:r w:rsidR="005836C3">
              <w:rPr>
                <w:sz w:val="24"/>
                <w:szCs w:val="24"/>
              </w:rPr>
              <w:t xml:space="preserve">(2) </w:t>
            </w:r>
            <w:r w:rsidR="00885DA4">
              <w:rPr>
                <w:sz w:val="24"/>
                <w:szCs w:val="24"/>
              </w:rPr>
              <w:t>cost estimates for the gas pipeline project and electrification project</w:t>
            </w:r>
            <w:r w:rsidR="00A62E8A">
              <w:rPr>
                <w:sz w:val="24"/>
                <w:szCs w:val="24"/>
              </w:rPr>
              <w:t>;</w:t>
            </w:r>
            <w:r w:rsidR="00885DA4">
              <w:rPr>
                <w:sz w:val="24"/>
                <w:szCs w:val="24"/>
              </w:rPr>
              <w:t xml:space="preserve"> </w:t>
            </w:r>
            <w:r w:rsidR="005836C3">
              <w:rPr>
                <w:sz w:val="24"/>
                <w:szCs w:val="24"/>
              </w:rPr>
              <w:t xml:space="preserve">(3) </w:t>
            </w:r>
            <w:r w:rsidR="00081489">
              <w:rPr>
                <w:sz w:val="24"/>
                <w:szCs w:val="24"/>
              </w:rPr>
              <w:t xml:space="preserve">PG&amp;E’s Net Present Value (NPV) </w:t>
            </w:r>
            <w:r w:rsidR="00FA3B7E">
              <w:rPr>
                <w:sz w:val="24"/>
                <w:szCs w:val="24"/>
              </w:rPr>
              <w:t>methodolog</w:t>
            </w:r>
            <w:r w:rsidR="00081489">
              <w:rPr>
                <w:sz w:val="24"/>
                <w:szCs w:val="24"/>
              </w:rPr>
              <w:t>y</w:t>
            </w:r>
            <w:r w:rsidR="00FA3B7E">
              <w:rPr>
                <w:sz w:val="24"/>
                <w:szCs w:val="24"/>
              </w:rPr>
              <w:t xml:space="preserve"> for evaluating cost-effectiveness and impact of the proposed project on ratepayers,</w:t>
            </w:r>
            <w:r w:rsidR="00081489">
              <w:rPr>
                <w:sz w:val="24"/>
                <w:szCs w:val="24"/>
              </w:rPr>
              <w:t xml:space="preserve"> as well as other methodologies (</w:t>
            </w:r>
            <w:r w:rsidR="0039583C">
              <w:rPr>
                <w:sz w:val="24"/>
                <w:szCs w:val="24"/>
              </w:rPr>
              <w:t>Present Value of Revenue Requirements (PVRR)</w:t>
            </w:r>
            <w:r w:rsidR="00A62E8A">
              <w:rPr>
                <w:sz w:val="24"/>
                <w:szCs w:val="24"/>
              </w:rPr>
              <w:t>;</w:t>
            </w:r>
            <w:r w:rsidR="00FA3B7E">
              <w:rPr>
                <w:sz w:val="24"/>
                <w:szCs w:val="24"/>
              </w:rPr>
              <w:t xml:space="preserve"> </w:t>
            </w:r>
            <w:r w:rsidR="005836C3">
              <w:rPr>
                <w:sz w:val="24"/>
                <w:szCs w:val="24"/>
              </w:rPr>
              <w:t>(</w:t>
            </w:r>
            <w:r w:rsidR="00D37F4B">
              <w:rPr>
                <w:sz w:val="24"/>
                <w:szCs w:val="24"/>
              </w:rPr>
              <w:t>4</w:t>
            </w:r>
            <w:r w:rsidR="005836C3">
              <w:rPr>
                <w:sz w:val="24"/>
                <w:szCs w:val="24"/>
              </w:rPr>
              <w:t xml:space="preserve">) </w:t>
            </w:r>
            <w:r w:rsidR="00A86454">
              <w:rPr>
                <w:sz w:val="24"/>
                <w:szCs w:val="24"/>
              </w:rPr>
              <w:lastRenderedPageBreak/>
              <w:t>cost containment approaches to ensure ratepayer neutrality</w:t>
            </w:r>
            <w:r w:rsidR="00A62E8A">
              <w:rPr>
                <w:sz w:val="24"/>
                <w:szCs w:val="24"/>
              </w:rPr>
              <w:t xml:space="preserve"> if not net benefit;</w:t>
            </w:r>
            <w:r w:rsidR="00A86454">
              <w:rPr>
                <w:sz w:val="24"/>
                <w:szCs w:val="24"/>
              </w:rPr>
              <w:t xml:space="preserve"> (5) </w:t>
            </w:r>
            <w:r w:rsidRPr="00AA0154">
              <w:rPr>
                <w:sz w:val="24"/>
                <w:szCs w:val="24"/>
              </w:rPr>
              <w:t>cost recovery and ratemaking</w:t>
            </w:r>
            <w:r w:rsidR="00A62E8A">
              <w:rPr>
                <w:sz w:val="24"/>
                <w:szCs w:val="24"/>
              </w:rPr>
              <w:t>;</w:t>
            </w:r>
            <w:r w:rsidR="00583965">
              <w:rPr>
                <w:sz w:val="24"/>
                <w:szCs w:val="24"/>
              </w:rPr>
              <w:t xml:space="preserve"> and (</w:t>
            </w:r>
            <w:r w:rsidR="00A86454">
              <w:rPr>
                <w:sz w:val="24"/>
                <w:szCs w:val="24"/>
              </w:rPr>
              <w:t>6</w:t>
            </w:r>
            <w:r w:rsidR="00583965">
              <w:rPr>
                <w:sz w:val="24"/>
                <w:szCs w:val="24"/>
              </w:rPr>
              <w:t xml:space="preserve">) data collection and reporting requirements to ensure </w:t>
            </w:r>
            <w:r w:rsidR="006D5D4D">
              <w:rPr>
                <w:sz w:val="24"/>
                <w:szCs w:val="24"/>
              </w:rPr>
              <w:t xml:space="preserve">the </w:t>
            </w:r>
            <w:r w:rsidR="00A62E8A">
              <w:rPr>
                <w:sz w:val="24"/>
                <w:szCs w:val="24"/>
              </w:rPr>
              <w:t>electrification</w:t>
            </w:r>
            <w:r w:rsidR="006D5D4D">
              <w:rPr>
                <w:sz w:val="24"/>
                <w:szCs w:val="24"/>
              </w:rPr>
              <w:t xml:space="preserve"> pilot provided important information to inform future policy and projects</w:t>
            </w:r>
            <w:r w:rsidR="00D37F4B">
              <w:rPr>
                <w:sz w:val="24"/>
                <w:szCs w:val="24"/>
              </w:rPr>
              <w:t xml:space="preserve">.  </w:t>
            </w:r>
          </w:p>
          <w:p w:rsidR="00E41820" w:rsidP="00625B30" w:rsidRDefault="00E41820" w14:paraId="695581B4" w14:textId="77777777">
            <w:pPr>
              <w:rPr>
                <w:sz w:val="24"/>
                <w:szCs w:val="24"/>
              </w:rPr>
            </w:pPr>
          </w:p>
          <w:p w:rsidR="00EA1EAA" w:rsidP="00625B30" w:rsidRDefault="00905ABF" w14:paraId="0EAF1A21" w14:textId="24BE3164">
            <w:pPr>
              <w:rPr>
                <w:sz w:val="24"/>
                <w:szCs w:val="24"/>
              </w:rPr>
            </w:pPr>
            <w:r>
              <w:rPr>
                <w:sz w:val="24"/>
                <w:szCs w:val="24"/>
              </w:rPr>
              <w:t xml:space="preserve">Once PG&amp;E re-started proceeding activities in mid-2024 after the year-long hiatus during </w:t>
            </w:r>
            <w:r w:rsidR="00EA1EAA">
              <w:rPr>
                <w:sz w:val="24"/>
                <w:szCs w:val="24"/>
              </w:rPr>
              <w:t>negot</w:t>
            </w:r>
            <w:r w:rsidR="006F7EA7">
              <w:rPr>
                <w:sz w:val="24"/>
                <w:szCs w:val="24"/>
              </w:rPr>
              <w:t>i</w:t>
            </w:r>
            <w:r w:rsidR="00EA1EAA">
              <w:rPr>
                <w:sz w:val="24"/>
                <w:szCs w:val="24"/>
              </w:rPr>
              <w:t xml:space="preserve">ations between PG&amp;E and CSU Monterey Bay, </w:t>
            </w:r>
            <w:r w:rsidRPr="00AA0154" w:rsidR="0081763C">
              <w:rPr>
                <w:sz w:val="24"/>
                <w:szCs w:val="24"/>
              </w:rPr>
              <w:t xml:space="preserve">TURN </w:t>
            </w:r>
            <w:r w:rsidR="00EA1EAA">
              <w:rPr>
                <w:sz w:val="24"/>
                <w:szCs w:val="24"/>
              </w:rPr>
              <w:t xml:space="preserve">joined </w:t>
            </w:r>
            <w:r w:rsidRPr="00AA0154" w:rsidR="00EA1EAA">
              <w:rPr>
                <w:sz w:val="24"/>
                <w:szCs w:val="24"/>
              </w:rPr>
              <w:t>PG&amp;E representatives</w:t>
            </w:r>
            <w:r w:rsidR="00EA1EAA">
              <w:rPr>
                <w:sz w:val="24"/>
                <w:szCs w:val="24"/>
              </w:rPr>
              <w:t xml:space="preserve">, other intervenors, and Commission staff </w:t>
            </w:r>
            <w:r w:rsidRPr="00AA0154" w:rsidR="0081763C">
              <w:rPr>
                <w:sz w:val="24"/>
                <w:szCs w:val="24"/>
              </w:rPr>
              <w:t>in a site visit to the CSU Monterey Bay campus on July 29, 2024</w:t>
            </w:r>
            <w:r w:rsidR="00A62E8A">
              <w:rPr>
                <w:sz w:val="24"/>
                <w:szCs w:val="24"/>
              </w:rPr>
              <w:t>, which helped to inform TURN’s subsequent analysis and supplemental testimony</w:t>
            </w:r>
            <w:r w:rsidRPr="00AA0154" w:rsidR="0081763C">
              <w:rPr>
                <w:sz w:val="24"/>
                <w:szCs w:val="24"/>
              </w:rPr>
              <w:t xml:space="preserve">.  </w:t>
            </w:r>
          </w:p>
          <w:p w:rsidR="00EA1EAA" w:rsidP="00625B30" w:rsidRDefault="00EA1EAA" w14:paraId="45482428" w14:textId="77777777">
            <w:pPr>
              <w:rPr>
                <w:sz w:val="24"/>
                <w:szCs w:val="24"/>
              </w:rPr>
            </w:pPr>
          </w:p>
          <w:p w:rsidR="00147396" w:rsidP="00625B30" w:rsidRDefault="00693C46" w14:paraId="02F75564" w14:textId="53F37EF5">
            <w:pPr>
              <w:rPr>
                <w:sz w:val="24"/>
                <w:szCs w:val="24"/>
              </w:rPr>
            </w:pPr>
            <w:r>
              <w:rPr>
                <w:sz w:val="24"/>
                <w:szCs w:val="24"/>
              </w:rPr>
              <w:t xml:space="preserve">TURN participated in a series of meetings </w:t>
            </w:r>
            <w:r w:rsidR="006F7EA7">
              <w:rPr>
                <w:sz w:val="24"/>
                <w:szCs w:val="24"/>
              </w:rPr>
              <w:t xml:space="preserve">over the course of the two-year proceeding </w:t>
            </w:r>
            <w:r>
              <w:rPr>
                <w:sz w:val="24"/>
                <w:szCs w:val="24"/>
              </w:rPr>
              <w:t>with PG&amp;E and other parties to explore potential settlement of disputed issues</w:t>
            </w:r>
            <w:r w:rsidR="005271A1">
              <w:rPr>
                <w:sz w:val="24"/>
                <w:szCs w:val="24"/>
              </w:rPr>
              <w:t xml:space="preserve">.  Once a </w:t>
            </w:r>
            <w:r w:rsidR="007C561B">
              <w:rPr>
                <w:sz w:val="24"/>
                <w:szCs w:val="24"/>
              </w:rPr>
              <w:t xml:space="preserve">global </w:t>
            </w:r>
            <w:r w:rsidR="005271A1">
              <w:rPr>
                <w:sz w:val="24"/>
                <w:szCs w:val="24"/>
              </w:rPr>
              <w:t>settlement appeared unlikely, parties’</w:t>
            </w:r>
            <w:r w:rsidR="007C561B">
              <w:rPr>
                <w:sz w:val="24"/>
                <w:szCs w:val="24"/>
              </w:rPr>
              <w:t xml:space="preserve"> </w:t>
            </w:r>
            <w:r w:rsidR="005271A1">
              <w:rPr>
                <w:sz w:val="24"/>
                <w:szCs w:val="24"/>
              </w:rPr>
              <w:t xml:space="preserve">focus shifted to </w:t>
            </w:r>
            <w:r w:rsidR="007C561B">
              <w:rPr>
                <w:sz w:val="24"/>
                <w:szCs w:val="24"/>
              </w:rPr>
              <w:t xml:space="preserve">the potential for factual stipulations.  </w:t>
            </w:r>
            <w:r w:rsidRPr="00AA0154" w:rsidR="0081763C">
              <w:rPr>
                <w:sz w:val="24"/>
                <w:szCs w:val="24"/>
              </w:rPr>
              <w:t>TURN actively participated in the negotiation of 43 factual stipulations contained in parties’ joint motion filed on December 13, 2024, to reduce the extent of disputes before briefing.</w:t>
            </w:r>
            <w:r w:rsidR="00D67A73">
              <w:rPr>
                <w:sz w:val="24"/>
                <w:szCs w:val="24"/>
              </w:rPr>
              <w:t xml:space="preserve">  These stipulations provide value to the record and lessons learned, as highlighted below.  </w:t>
            </w:r>
          </w:p>
          <w:p w:rsidR="00BB4BD6" w:rsidP="00625B30" w:rsidRDefault="00BB4BD6" w14:paraId="3B1C324B" w14:textId="77777777">
            <w:pPr>
              <w:rPr>
                <w:sz w:val="24"/>
                <w:szCs w:val="24"/>
              </w:rPr>
            </w:pPr>
          </w:p>
          <w:p w:rsidR="00AF6E04" w:rsidP="00BB4BD6" w:rsidRDefault="00D67A73" w14:paraId="7436B75F" w14:textId="4BC10830">
            <w:pPr>
              <w:rPr>
                <w:sz w:val="24"/>
                <w:szCs w:val="24"/>
              </w:rPr>
            </w:pPr>
            <w:r>
              <w:rPr>
                <w:sz w:val="24"/>
                <w:szCs w:val="24"/>
              </w:rPr>
              <w:t>In</w:t>
            </w:r>
            <w:r w:rsidR="00152BEC">
              <w:rPr>
                <w:sz w:val="24"/>
                <w:szCs w:val="24"/>
              </w:rPr>
              <w:t xml:space="preserve"> </w:t>
            </w:r>
            <w:r w:rsidRPr="00A62E8A" w:rsidR="00152BEC">
              <w:rPr>
                <w:sz w:val="24"/>
                <w:szCs w:val="24"/>
              </w:rPr>
              <w:t xml:space="preserve">Ex. TURN-01, TURN-02, and TURN-03, </w:t>
            </w:r>
            <w:r w:rsidRPr="00A62E8A" w:rsidR="00BB4BD6">
              <w:rPr>
                <w:sz w:val="24"/>
                <w:szCs w:val="24"/>
              </w:rPr>
              <w:t>TURN</w:t>
            </w:r>
            <w:r w:rsidR="00BB4BD6">
              <w:rPr>
                <w:sz w:val="24"/>
                <w:szCs w:val="24"/>
              </w:rPr>
              <w:t xml:space="preserve"> demonstrated that PG&amp;E’s cost estimate for the gas pipeline project was too high because it assumed a unit cost that blended plastic pipe and steel pipe, when a </w:t>
            </w:r>
            <w:r w:rsidR="00AF6E04">
              <w:rPr>
                <w:sz w:val="24"/>
                <w:szCs w:val="24"/>
              </w:rPr>
              <w:t xml:space="preserve">lower </w:t>
            </w:r>
            <w:r w:rsidR="00BB4BD6">
              <w:rPr>
                <w:sz w:val="24"/>
                <w:szCs w:val="24"/>
              </w:rPr>
              <w:t xml:space="preserve">plastic pipe unit cost should be used.  </w:t>
            </w:r>
            <w:r w:rsidR="0094652A">
              <w:rPr>
                <w:sz w:val="24"/>
                <w:szCs w:val="24"/>
              </w:rPr>
              <w:t>TURN recommended a</w:t>
            </w:r>
            <w:r w:rsidR="00BB4BD6">
              <w:rPr>
                <w:sz w:val="24"/>
                <w:szCs w:val="24"/>
              </w:rPr>
              <w:t xml:space="preserve"> </w:t>
            </w:r>
            <w:r w:rsidR="0073710E">
              <w:rPr>
                <w:sz w:val="24"/>
                <w:szCs w:val="24"/>
              </w:rPr>
              <w:t>unit cost of $5</w:t>
            </w:r>
            <w:r w:rsidR="007B65D8">
              <w:rPr>
                <w:sz w:val="24"/>
                <w:szCs w:val="24"/>
              </w:rPr>
              <w:t>7</w:t>
            </w:r>
            <w:r w:rsidR="0073710E">
              <w:rPr>
                <w:sz w:val="24"/>
                <w:szCs w:val="24"/>
              </w:rPr>
              <w:t>8/mile</w:t>
            </w:r>
            <w:r w:rsidR="007B65D8">
              <w:rPr>
                <w:sz w:val="24"/>
                <w:szCs w:val="24"/>
              </w:rPr>
              <w:t xml:space="preserve"> in TURN’s Supplemental Testimony</w:t>
            </w:r>
            <w:r w:rsidR="00AF6E04">
              <w:rPr>
                <w:sz w:val="24"/>
                <w:szCs w:val="24"/>
              </w:rPr>
              <w:t xml:space="preserve">, </w:t>
            </w:r>
            <w:r w:rsidR="00AF6E04">
              <w:rPr>
                <w:sz w:val="24"/>
                <w:szCs w:val="24"/>
              </w:rPr>
              <w:lastRenderedPageBreak/>
              <w:t xml:space="preserve">which PG&amp;E ultimately stipulated to in the </w:t>
            </w:r>
            <w:r w:rsidRPr="007B65D8" w:rsidR="00AF6E04">
              <w:rPr>
                <w:sz w:val="24"/>
                <w:szCs w:val="24"/>
              </w:rPr>
              <w:t>Joint Parties Stipulations.</w:t>
            </w:r>
            <w:r w:rsidR="007B65D8">
              <w:rPr>
                <w:sz w:val="24"/>
                <w:szCs w:val="24"/>
              </w:rPr>
              <w:t xml:space="preserve">  </w:t>
            </w:r>
          </w:p>
          <w:p w:rsidR="00AF6E04" w:rsidP="00BB4BD6" w:rsidRDefault="00AF6E04" w14:paraId="284B642A" w14:textId="77777777">
            <w:pPr>
              <w:rPr>
                <w:sz w:val="24"/>
                <w:szCs w:val="24"/>
              </w:rPr>
            </w:pPr>
          </w:p>
          <w:p w:rsidR="004767E2" w:rsidP="00BB4BD6" w:rsidRDefault="00AF6E04" w14:paraId="1D828FBD" w14:textId="41072FC9">
            <w:pPr>
              <w:rPr>
                <w:sz w:val="24"/>
                <w:szCs w:val="24"/>
              </w:rPr>
            </w:pPr>
            <w:r>
              <w:rPr>
                <w:sz w:val="24"/>
                <w:szCs w:val="24"/>
              </w:rPr>
              <w:t>TURN also called into question</w:t>
            </w:r>
            <w:r w:rsidR="00152BEC">
              <w:rPr>
                <w:sz w:val="24"/>
                <w:szCs w:val="24"/>
              </w:rPr>
              <w:t xml:space="preserve"> PG&amp;E’s cost estimate for the electrification project</w:t>
            </w:r>
            <w:r w:rsidR="00BD5844">
              <w:rPr>
                <w:sz w:val="24"/>
                <w:szCs w:val="24"/>
              </w:rPr>
              <w:t xml:space="preserve"> in </w:t>
            </w:r>
            <w:r w:rsidRPr="00A62E8A" w:rsidR="00BD5844">
              <w:rPr>
                <w:sz w:val="24"/>
                <w:szCs w:val="24"/>
              </w:rPr>
              <w:t>Ex. TURN-03</w:t>
            </w:r>
            <w:r w:rsidRPr="00A62E8A" w:rsidR="00152BEC">
              <w:rPr>
                <w:sz w:val="24"/>
                <w:szCs w:val="24"/>
              </w:rPr>
              <w:t>.</w:t>
            </w:r>
            <w:r w:rsidR="00152BEC">
              <w:rPr>
                <w:sz w:val="24"/>
                <w:szCs w:val="24"/>
              </w:rPr>
              <w:t xml:space="preserve"> </w:t>
            </w:r>
            <w:r w:rsidR="00BD5844">
              <w:rPr>
                <w:sz w:val="24"/>
                <w:szCs w:val="24"/>
              </w:rPr>
              <w:t xml:space="preserve"> </w:t>
            </w:r>
            <w:r w:rsidR="00EC496C">
              <w:rPr>
                <w:sz w:val="24"/>
                <w:szCs w:val="24"/>
              </w:rPr>
              <w:t xml:space="preserve">PG&amp;E modified its electrification cost estimate several times, and ultimately, </w:t>
            </w:r>
            <w:r w:rsidR="00B64123">
              <w:rPr>
                <w:sz w:val="24"/>
                <w:szCs w:val="24"/>
              </w:rPr>
              <w:t xml:space="preserve">PG&amp;E stipulated to there being significant uncertainty in the cost estimate.  </w:t>
            </w:r>
          </w:p>
          <w:p w:rsidR="004767E2" w:rsidP="00BB4BD6" w:rsidRDefault="004767E2" w14:paraId="549B6FB7" w14:textId="77777777">
            <w:pPr>
              <w:rPr>
                <w:sz w:val="24"/>
                <w:szCs w:val="24"/>
              </w:rPr>
            </w:pPr>
          </w:p>
          <w:p w:rsidR="007B65D8" w:rsidP="007B65D8" w:rsidRDefault="0087196D" w14:paraId="5BFB7D92" w14:textId="324CA29D">
            <w:pPr>
              <w:rPr>
                <w:sz w:val="24"/>
                <w:szCs w:val="24"/>
              </w:rPr>
            </w:pPr>
            <w:r w:rsidRPr="00A62E8A">
              <w:rPr>
                <w:sz w:val="24"/>
                <w:szCs w:val="24"/>
              </w:rPr>
              <w:t xml:space="preserve">In Ex. TURN-01, TURN-02, and TURN-03, </w:t>
            </w:r>
            <w:r w:rsidRPr="00A62E8A" w:rsidR="0094652A">
              <w:rPr>
                <w:sz w:val="24"/>
                <w:szCs w:val="24"/>
              </w:rPr>
              <w:t>TURN recommended</w:t>
            </w:r>
            <w:r w:rsidR="0094652A">
              <w:rPr>
                <w:sz w:val="24"/>
                <w:szCs w:val="24"/>
              </w:rPr>
              <w:t xml:space="preserve"> a project cost cap</w:t>
            </w:r>
            <w:r w:rsidR="007B65D8">
              <w:rPr>
                <w:sz w:val="24"/>
                <w:szCs w:val="24"/>
              </w:rPr>
              <w:t xml:space="preserve"> tied to TURN’s cost estimate for the gas pipeline replacement program, to ensure ratepayer neutrality from the electrification project</w:t>
            </w:r>
            <w:r w:rsidR="009D4679">
              <w:rPr>
                <w:sz w:val="24"/>
                <w:szCs w:val="24"/>
              </w:rPr>
              <w:t>, with any additional costs funded through the site owner</w:t>
            </w:r>
            <w:r w:rsidR="007B65D8">
              <w:rPr>
                <w:sz w:val="24"/>
                <w:szCs w:val="24"/>
              </w:rPr>
              <w:t>.  TURN’s final cost cap was</w:t>
            </w:r>
            <w:r w:rsidR="0094652A">
              <w:rPr>
                <w:sz w:val="24"/>
                <w:szCs w:val="24"/>
              </w:rPr>
              <w:t xml:space="preserve"> $12.6 million</w:t>
            </w:r>
            <w:r w:rsidR="00B72D10">
              <w:rPr>
                <w:sz w:val="24"/>
                <w:szCs w:val="24"/>
              </w:rPr>
              <w:t xml:space="preserve">, </w:t>
            </w:r>
            <w:r w:rsidR="007B65D8">
              <w:rPr>
                <w:sz w:val="24"/>
                <w:szCs w:val="24"/>
              </w:rPr>
              <w:t xml:space="preserve">based on a $578/mile unit cost.  </w:t>
            </w:r>
            <w:r w:rsidR="0097187A">
              <w:rPr>
                <w:sz w:val="24"/>
                <w:szCs w:val="24"/>
              </w:rPr>
              <w:t xml:space="preserve">PG&amp;E ultimately </w:t>
            </w:r>
            <w:proofErr w:type="gramStart"/>
            <w:r w:rsidR="0097187A">
              <w:rPr>
                <w:sz w:val="24"/>
                <w:szCs w:val="24"/>
              </w:rPr>
              <w:t>stipulated to</w:t>
            </w:r>
            <w:proofErr w:type="gramEnd"/>
            <w:r w:rsidR="0097187A">
              <w:rPr>
                <w:sz w:val="24"/>
                <w:szCs w:val="24"/>
              </w:rPr>
              <w:t xml:space="preserve"> an even lower cost cap of $</w:t>
            </w:r>
            <w:r w:rsidR="007B65D8">
              <w:rPr>
                <w:sz w:val="24"/>
                <w:szCs w:val="24"/>
              </w:rPr>
              <w:t>11.267 million</w:t>
            </w:r>
            <w:r w:rsidR="0097187A">
              <w:rPr>
                <w:sz w:val="24"/>
                <w:szCs w:val="24"/>
              </w:rPr>
              <w:t xml:space="preserve">, based on its </w:t>
            </w:r>
            <w:r w:rsidR="007B65D8">
              <w:rPr>
                <w:sz w:val="24"/>
                <w:szCs w:val="24"/>
              </w:rPr>
              <w:t>final</w:t>
            </w:r>
            <w:r w:rsidR="0097187A">
              <w:rPr>
                <w:sz w:val="24"/>
                <w:szCs w:val="24"/>
              </w:rPr>
              <w:t xml:space="preserve"> electrification cost estimate, </w:t>
            </w:r>
            <w:r w:rsidR="007B65D8">
              <w:rPr>
                <w:sz w:val="24"/>
                <w:szCs w:val="24"/>
              </w:rPr>
              <w:t xml:space="preserve">signaling </w:t>
            </w:r>
            <w:r w:rsidR="0097187A">
              <w:rPr>
                <w:sz w:val="24"/>
                <w:szCs w:val="24"/>
              </w:rPr>
              <w:t xml:space="preserve">PG&amp;E’s willingness to be bound by its estimate, despite uncertainties.  </w:t>
            </w:r>
          </w:p>
          <w:p w:rsidR="00BB4BD6" w:rsidP="00BB4BD6" w:rsidRDefault="00BB4BD6" w14:paraId="77403FFA" w14:textId="5A0D2347">
            <w:pPr>
              <w:rPr>
                <w:sz w:val="24"/>
                <w:szCs w:val="24"/>
              </w:rPr>
            </w:pPr>
          </w:p>
          <w:p w:rsidR="00BB4BD6" w:rsidP="00625B30" w:rsidRDefault="009D4679" w14:paraId="0B1D1F23" w14:textId="79D66E26">
            <w:pPr>
              <w:rPr>
                <w:sz w:val="24"/>
                <w:szCs w:val="24"/>
              </w:rPr>
            </w:pPr>
            <w:r w:rsidRPr="00D906E1">
              <w:rPr>
                <w:sz w:val="24"/>
                <w:szCs w:val="24"/>
              </w:rPr>
              <w:t>In Ex. TURN-01</w:t>
            </w:r>
            <w:r w:rsidRPr="00D906E1" w:rsidR="00D906E1">
              <w:rPr>
                <w:sz w:val="24"/>
                <w:szCs w:val="24"/>
              </w:rPr>
              <w:t xml:space="preserve"> and Ex.</w:t>
            </w:r>
            <w:r w:rsidRPr="00D906E1">
              <w:rPr>
                <w:sz w:val="24"/>
                <w:szCs w:val="24"/>
              </w:rPr>
              <w:t xml:space="preserve"> TURN-02</w:t>
            </w:r>
            <w:r w:rsidRPr="00D906E1" w:rsidR="00D906E1">
              <w:rPr>
                <w:sz w:val="24"/>
                <w:szCs w:val="24"/>
              </w:rPr>
              <w:t>, T</w:t>
            </w:r>
            <w:r w:rsidRPr="00D906E1">
              <w:rPr>
                <w:sz w:val="24"/>
                <w:szCs w:val="24"/>
              </w:rPr>
              <w:t>URN addressed</w:t>
            </w:r>
            <w:r>
              <w:rPr>
                <w:sz w:val="24"/>
                <w:szCs w:val="24"/>
              </w:rPr>
              <w:t xml:space="preserve"> </w:t>
            </w:r>
            <w:r w:rsidR="00D906E1">
              <w:rPr>
                <w:sz w:val="24"/>
                <w:szCs w:val="24"/>
              </w:rPr>
              <w:t xml:space="preserve">PG&amp;E’s </w:t>
            </w:r>
            <w:r>
              <w:rPr>
                <w:sz w:val="24"/>
                <w:szCs w:val="24"/>
              </w:rPr>
              <w:t>methodology for determining electrification project cost-effectiveness</w:t>
            </w:r>
            <w:r w:rsidR="00D906E1">
              <w:rPr>
                <w:sz w:val="24"/>
                <w:szCs w:val="24"/>
              </w:rPr>
              <w:t xml:space="preserve">.  TURN raised concerns with PG&amp;E’s NPV analysis </w:t>
            </w:r>
            <w:proofErr w:type="gramStart"/>
            <w:r w:rsidR="00D906E1">
              <w:rPr>
                <w:sz w:val="24"/>
                <w:szCs w:val="24"/>
              </w:rPr>
              <w:t>and also</w:t>
            </w:r>
            <w:proofErr w:type="gramEnd"/>
            <w:r w:rsidR="00D906E1">
              <w:rPr>
                <w:sz w:val="24"/>
                <w:szCs w:val="24"/>
              </w:rPr>
              <w:t xml:space="preserve"> agreed with other intervenors that a PVRR analysis most closely reflects the project impact on utility ratepayers.  Parties were unable to reach consensus on the best methodology for assessing electrification project cost-effectiveness, a cautionary tale for future zonal electrification projects.  </w:t>
            </w:r>
          </w:p>
          <w:p w:rsidR="009D4679" w:rsidP="00625B30" w:rsidRDefault="009D4679" w14:paraId="57BC5610" w14:textId="77777777">
            <w:pPr>
              <w:rPr>
                <w:sz w:val="24"/>
                <w:szCs w:val="24"/>
              </w:rPr>
            </w:pPr>
          </w:p>
          <w:p w:rsidR="004A3E19" w:rsidP="00625B30" w:rsidRDefault="00D906E1" w14:paraId="12913B50" w14:textId="7829E22A">
            <w:pPr>
              <w:rPr>
                <w:sz w:val="24"/>
                <w:szCs w:val="24"/>
              </w:rPr>
            </w:pPr>
            <w:r>
              <w:rPr>
                <w:sz w:val="24"/>
                <w:szCs w:val="24"/>
              </w:rPr>
              <w:t>In Ex. TURN-01, Ex. TURN-02, and Ex. TURN-03, TURN addressed the importance of meaning</w:t>
            </w:r>
            <w:r w:rsidR="008C5E36">
              <w:rPr>
                <w:sz w:val="24"/>
                <w:szCs w:val="24"/>
              </w:rPr>
              <w:t>ful</w:t>
            </w:r>
            <w:r>
              <w:rPr>
                <w:sz w:val="24"/>
                <w:szCs w:val="24"/>
              </w:rPr>
              <w:t xml:space="preserve"> data collection and reporting </w:t>
            </w:r>
            <w:r w:rsidR="008C5E36">
              <w:rPr>
                <w:sz w:val="24"/>
                <w:szCs w:val="24"/>
              </w:rPr>
              <w:t xml:space="preserve">to inform future </w:t>
            </w:r>
            <w:r w:rsidR="008C5E36">
              <w:rPr>
                <w:sz w:val="24"/>
                <w:szCs w:val="24"/>
              </w:rPr>
              <w:lastRenderedPageBreak/>
              <w:t xml:space="preserve">zonal electrification projects.  TURN specifically urged the inclusion of pre- and post-electrification participant bill impacts.  TURN also supported calls by other intervenors for indoor air quality </w:t>
            </w:r>
            <w:proofErr w:type="gramStart"/>
            <w:r w:rsidR="008C5E36">
              <w:rPr>
                <w:sz w:val="24"/>
                <w:szCs w:val="24"/>
              </w:rPr>
              <w:t>monitoring, but</w:t>
            </w:r>
            <w:proofErr w:type="gramEnd"/>
            <w:r w:rsidR="008C5E36">
              <w:rPr>
                <w:sz w:val="24"/>
                <w:szCs w:val="24"/>
              </w:rPr>
              <w:t xml:space="preserve"> cautioned that such monitoring should be conducted by a qualified environmental consulting firm and paid for through PG&amp;E’s RD&amp;D funds or third-party funding.  PG&amp;E ultimately agreed to collect many data points recommended by intervenors, including bill impacts, for inclusion in a Final Project Report.  PG&amp;E also agreed to propose the use of $50,000 in RD&amp;D funding for third-party indoor air quality monitoring and seek contributions to cost from third parties.  These efforts by TURN and other parties to develop data collection and reporting requirements </w:t>
            </w:r>
            <w:r w:rsidR="00E80A2F">
              <w:rPr>
                <w:sz w:val="24"/>
                <w:szCs w:val="24"/>
              </w:rPr>
              <w:t xml:space="preserve">can benefit future zonal electrification projects.  </w:t>
            </w:r>
          </w:p>
          <w:p w:rsidR="008C5E36" w:rsidP="00625B30" w:rsidRDefault="008C5E36" w14:paraId="4935E088" w14:textId="77777777">
            <w:pPr>
              <w:rPr>
                <w:sz w:val="24"/>
                <w:szCs w:val="24"/>
              </w:rPr>
            </w:pPr>
          </w:p>
          <w:p w:rsidR="00E80A2F" w:rsidP="00625B30" w:rsidRDefault="00D67A73" w14:paraId="7CA21F5A" w14:textId="22AA3E6F">
            <w:pPr>
              <w:rPr>
                <w:sz w:val="24"/>
                <w:szCs w:val="24"/>
              </w:rPr>
            </w:pPr>
            <w:r>
              <w:rPr>
                <w:sz w:val="24"/>
                <w:szCs w:val="24"/>
              </w:rPr>
              <w:t>The</w:t>
            </w:r>
            <w:r w:rsidR="00E80A2F">
              <w:rPr>
                <w:sz w:val="24"/>
                <w:szCs w:val="24"/>
              </w:rPr>
              <w:t xml:space="preserve"> most contentious issue in this proceeding was cost recovery, which offers a </w:t>
            </w:r>
            <w:proofErr w:type="gramStart"/>
            <w:r w:rsidR="00E80A2F">
              <w:rPr>
                <w:sz w:val="24"/>
                <w:szCs w:val="24"/>
              </w:rPr>
              <w:t>lesson in itself</w:t>
            </w:r>
            <w:proofErr w:type="gramEnd"/>
            <w:r w:rsidR="00E80A2F">
              <w:rPr>
                <w:sz w:val="24"/>
                <w:szCs w:val="24"/>
              </w:rPr>
              <w:t xml:space="preserve">.  TURN demonstrated in its protest and all three volumes of testimony why the Commission should reject PG&amp;E’s request for regulatory asset treatment for behind-the-meter </w:t>
            </w:r>
            <w:r w:rsidR="00A62E8A">
              <w:rPr>
                <w:sz w:val="24"/>
                <w:szCs w:val="24"/>
              </w:rPr>
              <w:t xml:space="preserve">(BTM) </w:t>
            </w:r>
            <w:r w:rsidR="00E80A2F">
              <w:rPr>
                <w:sz w:val="24"/>
                <w:szCs w:val="24"/>
              </w:rPr>
              <w:t xml:space="preserve">project costs on a policy basis.  TURN also provided analysis comparing the impact on ratepayers of treating BTM costs as O&amp;M expense versus </w:t>
            </w:r>
            <w:r w:rsidR="00A62E8A">
              <w:rPr>
                <w:sz w:val="24"/>
                <w:szCs w:val="24"/>
              </w:rPr>
              <w:t xml:space="preserve">a </w:t>
            </w:r>
            <w:r w:rsidR="00E80A2F">
              <w:rPr>
                <w:sz w:val="24"/>
                <w:szCs w:val="24"/>
              </w:rPr>
              <w:t xml:space="preserve">regulatory asset, which showed better electrification project economics without regulatory asset treatment.  Parties did not reach agreement on cost recovery issues, which underscores the importance of Commission resolution of this issue to allow stakeholders to focus on other aspect of zonal electrification in the future.  </w:t>
            </w:r>
          </w:p>
          <w:p w:rsidR="00E80A2F" w:rsidP="00625B30" w:rsidRDefault="00E80A2F" w14:paraId="10FEB9BC" w14:textId="77777777">
            <w:pPr>
              <w:rPr>
                <w:sz w:val="24"/>
                <w:szCs w:val="24"/>
              </w:rPr>
            </w:pPr>
          </w:p>
          <w:p w:rsidR="008C5E36" w:rsidP="00625B30" w:rsidRDefault="00D320D6" w14:paraId="4971B0B6" w14:textId="3BBA9311">
            <w:pPr>
              <w:rPr>
                <w:sz w:val="24"/>
                <w:szCs w:val="24"/>
              </w:rPr>
            </w:pPr>
            <w:r>
              <w:rPr>
                <w:sz w:val="24"/>
                <w:szCs w:val="24"/>
              </w:rPr>
              <w:lastRenderedPageBreak/>
              <w:t xml:space="preserve">The Commission recently recounted the California Court of Appeal’s interpretation of the intervenor compensation statutes in </w:t>
            </w:r>
            <w:r>
              <w:rPr>
                <w:i/>
                <w:iCs/>
                <w:sz w:val="24"/>
                <w:szCs w:val="24"/>
              </w:rPr>
              <w:t>New Cingular Wireless II</w:t>
            </w:r>
            <w:r>
              <w:rPr>
                <w:sz w:val="24"/>
                <w:szCs w:val="24"/>
              </w:rPr>
              <w:t>.  As the Commission explained in D.25-12-045:</w:t>
            </w:r>
          </w:p>
          <w:p w:rsidR="00D320D6" w:rsidP="00625B30" w:rsidRDefault="00D320D6" w14:paraId="764B4EB9" w14:textId="77777777">
            <w:pPr>
              <w:rPr>
                <w:sz w:val="24"/>
                <w:szCs w:val="24"/>
              </w:rPr>
            </w:pPr>
          </w:p>
          <w:p w:rsidR="00D320D6" w:rsidP="00D320D6" w:rsidRDefault="00D320D6" w14:paraId="2EC68FE5" w14:textId="1F5FDD54">
            <w:pPr>
              <w:rPr>
                <w:sz w:val="24"/>
                <w:szCs w:val="24"/>
              </w:rPr>
            </w:pPr>
            <w:r>
              <w:rPr>
                <w:sz w:val="24"/>
                <w:szCs w:val="24"/>
              </w:rPr>
              <w:t>“</w:t>
            </w:r>
            <w:r w:rsidRPr="00D320D6">
              <w:rPr>
                <w:sz w:val="24"/>
                <w:szCs w:val="24"/>
              </w:rPr>
              <w:t xml:space="preserve">The </w:t>
            </w:r>
            <w:r w:rsidRPr="00D320D6">
              <w:rPr>
                <w:i/>
                <w:iCs/>
                <w:sz w:val="24"/>
                <w:szCs w:val="24"/>
              </w:rPr>
              <w:t xml:space="preserve">New Cingular Wireless II </w:t>
            </w:r>
            <w:r w:rsidRPr="00D320D6">
              <w:rPr>
                <w:sz w:val="24"/>
                <w:szCs w:val="24"/>
              </w:rPr>
              <w:t>court</w:t>
            </w:r>
            <w:r>
              <w:rPr>
                <w:sz w:val="24"/>
                <w:szCs w:val="24"/>
              </w:rPr>
              <w:t xml:space="preserve"> </w:t>
            </w:r>
            <w:r w:rsidRPr="00D320D6">
              <w:rPr>
                <w:sz w:val="24"/>
                <w:szCs w:val="24"/>
              </w:rPr>
              <w:t>states that to show a substantial</w:t>
            </w:r>
            <w:r>
              <w:rPr>
                <w:sz w:val="24"/>
                <w:szCs w:val="24"/>
              </w:rPr>
              <w:t xml:space="preserve"> </w:t>
            </w:r>
            <w:r w:rsidRPr="00D320D6">
              <w:rPr>
                <w:sz w:val="24"/>
                <w:szCs w:val="24"/>
              </w:rPr>
              <w:t>contribution: “[B]y the plain terms of</w:t>
            </w:r>
            <w:r>
              <w:rPr>
                <w:sz w:val="24"/>
                <w:szCs w:val="24"/>
              </w:rPr>
              <w:t xml:space="preserve"> </w:t>
            </w:r>
            <w:r w:rsidRPr="00D320D6">
              <w:rPr>
                <w:sz w:val="24"/>
                <w:szCs w:val="24"/>
              </w:rPr>
              <w:t>the statute there must be some demonstrable link</w:t>
            </w:r>
            <w:r>
              <w:rPr>
                <w:sz w:val="24"/>
                <w:szCs w:val="24"/>
              </w:rPr>
              <w:t xml:space="preserve"> </w:t>
            </w:r>
            <w:r w:rsidRPr="00D320D6">
              <w:rPr>
                <w:sz w:val="24"/>
                <w:szCs w:val="24"/>
              </w:rPr>
              <w:t>between a position</w:t>
            </w:r>
            <w:r>
              <w:rPr>
                <w:sz w:val="24"/>
                <w:szCs w:val="24"/>
              </w:rPr>
              <w:t xml:space="preserve"> </w:t>
            </w:r>
            <w:r w:rsidRPr="00D320D6">
              <w:rPr>
                <w:sz w:val="24"/>
                <w:szCs w:val="24"/>
              </w:rPr>
              <w:t xml:space="preserve">the intervener </w:t>
            </w:r>
            <w:proofErr w:type="gramStart"/>
            <w:r w:rsidRPr="00D320D6">
              <w:rPr>
                <w:sz w:val="24"/>
                <w:szCs w:val="24"/>
              </w:rPr>
              <w:t>took</w:t>
            </w:r>
            <w:proofErr w:type="gramEnd"/>
            <w:r w:rsidRPr="00D320D6">
              <w:rPr>
                <w:sz w:val="24"/>
                <w:szCs w:val="24"/>
              </w:rPr>
              <w:t xml:space="preserve"> and a specific ‘order</w:t>
            </w:r>
            <w:r>
              <w:rPr>
                <w:sz w:val="24"/>
                <w:szCs w:val="24"/>
              </w:rPr>
              <w:t xml:space="preserve"> </w:t>
            </w:r>
            <w:r w:rsidRPr="00D320D6">
              <w:rPr>
                <w:sz w:val="24"/>
                <w:szCs w:val="24"/>
              </w:rPr>
              <w:t>or decision’ adopted by the</w:t>
            </w:r>
            <w:r>
              <w:rPr>
                <w:sz w:val="24"/>
                <w:szCs w:val="24"/>
              </w:rPr>
              <w:t xml:space="preserve"> </w:t>
            </w:r>
            <w:r w:rsidRPr="00D320D6">
              <w:rPr>
                <w:sz w:val="24"/>
                <w:szCs w:val="24"/>
              </w:rPr>
              <w:t>CPUC.” (</w:t>
            </w:r>
            <w:r w:rsidRPr="00D320D6">
              <w:rPr>
                <w:i/>
                <w:iCs/>
                <w:sz w:val="24"/>
                <w:szCs w:val="24"/>
              </w:rPr>
              <w:t>New Cingular Wireless II</w:t>
            </w:r>
            <w:r w:rsidRPr="00D320D6">
              <w:rPr>
                <w:sz w:val="24"/>
                <w:szCs w:val="24"/>
              </w:rPr>
              <w:t>, supra, 21 Cal.App.5th at 1203.) The Public</w:t>
            </w:r>
            <w:r>
              <w:rPr>
                <w:sz w:val="24"/>
                <w:szCs w:val="24"/>
              </w:rPr>
              <w:t xml:space="preserve"> </w:t>
            </w:r>
            <w:r w:rsidRPr="00D320D6">
              <w:rPr>
                <w:sz w:val="24"/>
                <w:szCs w:val="24"/>
              </w:rPr>
              <w:t>Utilities</w:t>
            </w:r>
            <w:r>
              <w:rPr>
                <w:sz w:val="24"/>
                <w:szCs w:val="24"/>
              </w:rPr>
              <w:t xml:space="preserve"> </w:t>
            </w:r>
            <w:r w:rsidRPr="00D320D6">
              <w:rPr>
                <w:sz w:val="24"/>
                <w:szCs w:val="24"/>
              </w:rPr>
              <w:t>Code thus provides for</w:t>
            </w:r>
            <w:r>
              <w:rPr>
                <w:sz w:val="24"/>
                <w:szCs w:val="24"/>
              </w:rPr>
              <w:t xml:space="preserve"> </w:t>
            </w:r>
            <w:r w:rsidRPr="00D320D6">
              <w:rPr>
                <w:sz w:val="24"/>
                <w:szCs w:val="24"/>
              </w:rPr>
              <w:t>compensation where the intervenor</w:t>
            </w:r>
            <w:r>
              <w:rPr>
                <w:sz w:val="24"/>
                <w:szCs w:val="24"/>
              </w:rPr>
              <w:t xml:space="preserve"> </w:t>
            </w:r>
            <w:r w:rsidRPr="00D320D6">
              <w:rPr>
                <w:sz w:val="24"/>
                <w:szCs w:val="24"/>
              </w:rPr>
              <w:t>made a substantial</w:t>
            </w:r>
            <w:r>
              <w:rPr>
                <w:sz w:val="24"/>
                <w:szCs w:val="24"/>
              </w:rPr>
              <w:t xml:space="preserve"> </w:t>
            </w:r>
            <w:r w:rsidRPr="00D320D6">
              <w:rPr>
                <w:sz w:val="24"/>
                <w:szCs w:val="24"/>
              </w:rPr>
              <w:t>contribution, in</w:t>
            </w:r>
            <w:r>
              <w:rPr>
                <w:sz w:val="24"/>
                <w:szCs w:val="24"/>
              </w:rPr>
              <w:t xml:space="preserve"> </w:t>
            </w:r>
            <w:r w:rsidRPr="00D320D6">
              <w:rPr>
                <w:sz w:val="24"/>
                <w:szCs w:val="24"/>
              </w:rPr>
              <w:t>whole or in part, to the Commission’s</w:t>
            </w:r>
            <w:r>
              <w:rPr>
                <w:sz w:val="24"/>
                <w:szCs w:val="24"/>
              </w:rPr>
              <w:t xml:space="preserve"> </w:t>
            </w:r>
            <w:r w:rsidRPr="00D320D6">
              <w:rPr>
                <w:sz w:val="24"/>
                <w:szCs w:val="24"/>
              </w:rPr>
              <w:t>order or decision (section 1803(a)).</w:t>
            </w:r>
            <w:r>
              <w:rPr>
                <w:sz w:val="24"/>
                <w:szCs w:val="24"/>
              </w:rPr>
              <w:t xml:space="preserve"> </w:t>
            </w:r>
            <w:r w:rsidRPr="00D320D6">
              <w:rPr>
                <w:i/>
                <w:iCs/>
                <w:sz w:val="24"/>
                <w:szCs w:val="24"/>
              </w:rPr>
              <w:t xml:space="preserve">New Cingular </w:t>
            </w:r>
            <w:proofErr w:type="gramStart"/>
            <w:r w:rsidRPr="00D320D6">
              <w:rPr>
                <w:i/>
                <w:iCs/>
                <w:sz w:val="24"/>
                <w:szCs w:val="24"/>
              </w:rPr>
              <w:t>Wireless I</w:t>
            </w:r>
            <w:proofErr w:type="gramEnd"/>
            <w:r w:rsidRPr="00D320D6">
              <w:rPr>
                <w:sz w:val="24"/>
                <w:szCs w:val="24"/>
              </w:rPr>
              <w:t xml:space="preserve"> states that awards</w:t>
            </w:r>
            <w:r>
              <w:rPr>
                <w:sz w:val="24"/>
                <w:szCs w:val="24"/>
              </w:rPr>
              <w:t xml:space="preserve"> </w:t>
            </w:r>
            <w:r w:rsidRPr="00D320D6">
              <w:rPr>
                <w:sz w:val="24"/>
                <w:szCs w:val="24"/>
              </w:rPr>
              <w:t>may be made based on procedural</w:t>
            </w:r>
            <w:r>
              <w:rPr>
                <w:sz w:val="24"/>
                <w:szCs w:val="24"/>
              </w:rPr>
              <w:t xml:space="preserve"> </w:t>
            </w:r>
            <w:r w:rsidRPr="00D320D6">
              <w:rPr>
                <w:sz w:val="24"/>
                <w:szCs w:val="24"/>
              </w:rPr>
              <w:t>recommendations as well. (</w:t>
            </w:r>
            <w:r w:rsidRPr="00D320D6">
              <w:rPr>
                <w:i/>
                <w:iCs/>
                <w:sz w:val="24"/>
                <w:szCs w:val="24"/>
              </w:rPr>
              <w:t>New Cingular Wireless I</w:t>
            </w:r>
            <w:r w:rsidRPr="00D320D6">
              <w:rPr>
                <w:sz w:val="24"/>
                <w:szCs w:val="24"/>
              </w:rPr>
              <w:t>, supra, 246</w:t>
            </w:r>
            <w:r>
              <w:rPr>
                <w:sz w:val="24"/>
                <w:szCs w:val="24"/>
              </w:rPr>
              <w:t xml:space="preserve"> </w:t>
            </w:r>
            <w:r w:rsidRPr="00D320D6">
              <w:rPr>
                <w:sz w:val="24"/>
                <w:szCs w:val="24"/>
              </w:rPr>
              <w:t>Cal.App.4th at 819.)</w:t>
            </w:r>
            <w:r>
              <w:rPr>
                <w:sz w:val="24"/>
                <w:szCs w:val="24"/>
              </w:rPr>
              <w:t>” [D.25-12-045, p. 4]</w:t>
            </w:r>
          </w:p>
          <w:p w:rsidR="008C5E36" w:rsidP="00625B30" w:rsidRDefault="008C5E36" w14:paraId="01A1DAA8" w14:textId="77777777">
            <w:pPr>
              <w:rPr>
                <w:sz w:val="24"/>
                <w:szCs w:val="24"/>
              </w:rPr>
            </w:pPr>
          </w:p>
          <w:p w:rsidR="00D320D6" w:rsidP="00625B30" w:rsidRDefault="00D320D6" w14:paraId="5C0039CE" w14:textId="1246EF6F">
            <w:pPr>
              <w:rPr>
                <w:sz w:val="24"/>
                <w:szCs w:val="24"/>
              </w:rPr>
            </w:pPr>
            <w:r>
              <w:rPr>
                <w:sz w:val="24"/>
                <w:szCs w:val="24"/>
              </w:rPr>
              <w:t>TURN submits that TURN’s analysis and recommendations</w:t>
            </w:r>
            <w:r w:rsidR="00D67A73">
              <w:rPr>
                <w:sz w:val="24"/>
                <w:szCs w:val="24"/>
              </w:rPr>
              <w:t xml:space="preserve">, </w:t>
            </w:r>
            <w:r w:rsidR="00E52BA0">
              <w:rPr>
                <w:sz w:val="24"/>
                <w:szCs w:val="24"/>
              </w:rPr>
              <w:t>coupled with</w:t>
            </w:r>
            <w:r w:rsidR="00D67A73">
              <w:rPr>
                <w:sz w:val="24"/>
                <w:szCs w:val="24"/>
              </w:rPr>
              <w:t xml:space="preserve"> the Joint Parties Stipulations</w:t>
            </w:r>
            <w:r w:rsidR="00095A09">
              <w:rPr>
                <w:sz w:val="24"/>
                <w:szCs w:val="24"/>
              </w:rPr>
              <w:t xml:space="preserve">, </w:t>
            </w:r>
            <w:r w:rsidR="00646B49">
              <w:rPr>
                <w:sz w:val="24"/>
                <w:szCs w:val="24"/>
              </w:rPr>
              <w:t xml:space="preserve">highlighted </w:t>
            </w:r>
            <w:r w:rsidR="00095A09">
              <w:rPr>
                <w:sz w:val="24"/>
                <w:szCs w:val="24"/>
              </w:rPr>
              <w:t xml:space="preserve">above, contributed to the rich record in this proceeding that led the Commission to order in D.25-11-004 that this record be made available for future related proceedings, and the lessons learned by PG&amp;E and other parties be memorialized through a formally filed Lessons Learned report.  </w:t>
            </w:r>
            <w:r w:rsidR="00D67A73">
              <w:rPr>
                <w:sz w:val="24"/>
                <w:szCs w:val="24"/>
              </w:rPr>
              <w:t>The Commission should accordingly find a demonstrable link between TURN’s work and the Commission’s orders in D.25-11-004.</w:t>
            </w:r>
          </w:p>
          <w:p w:rsidR="004A3E19" w:rsidP="004A3E19" w:rsidRDefault="004A3E19" w14:paraId="56C54156" w14:textId="1EC3261E">
            <w:pPr>
              <w:rPr>
                <w:sz w:val="24"/>
                <w:szCs w:val="24"/>
              </w:rPr>
            </w:pPr>
          </w:p>
          <w:p w:rsidRPr="006756BC" w:rsidR="00934A62" w:rsidP="00625B30" w:rsidRDefault="00934A62" w14:paraId="19BF0A85" w14:textId="7914B0F8">
            <w:pPr>
              <w:rPr>
                <w:sz w:val="24"/>
                <w:szCs w:val="24"/>
              </w:rPr>
            </w:pPr>
          </w:p>
        </w:tc>
        <w:tc>
          <w:tcPr>
            <w:tcW w:w="2880" w:type="dxa"/>
          </w:tcPr>
          <w:p w:rsidR="00625B30" w:rsidP="00625B30" w:rsidRDefault="00D67A73" w14:paraId="6E3CE351" w14:textId="37EE1547">
            <w:pPr>
              <w:rPr>
                <w:sz w:val="24"/>
                <w:szCs w:val="24"/>
              </w:rPr>
            </w:pPr>
            <w:r>
              <w:rPr>
                <w:i/>
                <w:iCs/>
                <w:sz w:val="24"/>
                <w:szCs w:val="24"/>
              </w:rPr>
              <w:lastRenderedPageBreak/>
              <w:t>See, generally</w:t>
            </w:r>
            <w:r>
              <w:rPr>
                <w:sz w:val="24"/>
                <w:szCs w:val="24"/>
              </w:rPr>
              <w:t>:</w:t>
            </w:r>
          </w:p>
          <w:p w:rsidRPr="00D67A73" w:rsidR="00D67A73" w:rsidP="00625B30" w:rsidRDefault="00D67A73" w14:paraId="4A51B706" w14:textId="2F6B9087">
            <w:pPr>
              <w:rPr>
                <w:sz w:val="24"/>
                <w:szCs w:val="24"/>
              </w:rPr>
            </w:pPr>
          </w:p>
          <w:p w:rsidR="004B6F20" w:rsidP="000B4840" w:rsidRDefault="004B6F20" w14:paraId="4AFC1E63" w14:textId="4526A7A3">
            <w:pPr>
              <w:pStyle w:val="ListParagraph"/>
              <w:framePr w:hSpace="0" w:wrap="auto" w:vAnchor="margin" w:yAlign="inline"/>
              <w:suppressOverlap w:val="0"/>
              <w:rPr>
                <w:sz w:val="24"/>
                <w:szCs w:val="24"/>
              </w:rPr>
            </w:pPr>
            <w:r w:rsidRPr="006B55D5">
              <w:rPr>
                <w:sz w:val="24"/>
                <w:szCs w:val="24"/>
              </w:rPr>
              <w:t>D.25-11-004, pp. 15-16; Finding of Fact 2; Conclusion of Law 2; Ordering Paragraph 2</w:t>
            </w:r>
          </w:p>
          <w:p w:rsidR="004B6F20" w:rsidP="000B4840" w:rsidRDefault="004B6F20" w14:paraId="6DE1B397" w14:textId="15776A36">
            <w:pPr>
              <w:pStyle w:val="ListParagraph"/>
              <w:framePr w:hSpace="0" w:wrap="auto" w:vAnchor="margin" w:yAlign="inline"/>
              <w:suppressOverlap w:val="0"/>
              <w:rPr>
                <w:sz w:val="24"/>
                <w:szCs w:val="24"/>
              </w:rPr>
            </w:pPr>
            <w:r w:rsidRPr="006B55D5">
              <w:rPr>
                <w:sz w:val="24"/>
                <w:szCs w:val="24"/>
              </w:rPr>
              <w:t xml:space="preserve">D.25-11-004, </w:t>
            </w:r>
            <w:r>
              <w:rPr>
                <w:sz w:val="24"/>
                <w:szCs w:val="24"/>
              </w:rPr>
              <w:t xml:space="preserve">p. </w:t>
            </w:r>
            <w:r w:rsidRPr="006B55D5">
              <w:rPr>
                <w:sz w:val="24"/>
                <w:szCs w:val="24"/>
              </w:rPr>
              <w:t xml:space="preserve">16; Conclusion of Law </w:t>
            </w:r>
            <w:r>
              <w:rPr>
                <w:sz w:val="24"/>
                <w:szCs w:val="24"/>
              </w:rPr>
              <w:t>3</w:t>
            </w:r>
            <w:r w:rsidRPr="006B55D5">
              <w:rPr>
                <w:sz w:val="24"/>
                <w:szCs w:val="24"/>
              </w:rPr>
              <w:t>; Ordering Paragraph</w:t>
            </w:r>
            <w:r>
              <w:rPr>
                <w:sz w:val="24"/>
                <w:szCs w:val="24"/>
              </w:rPr>
              <w:t>s</w:t>
            </w:r>
            <w:r w:rsidRPr="006B55D5">
              <w:rPr>
                <w:sz w:val="24"/>
                <w:szCs w:val="24"/>
              </w:rPr>
              <w:t xml:space="preserve"> </w:t>
            </w:r>
            <w:r>
              <w:rPr>
                <w:sz w:val="24"/>
                <w:szCs w:val="24"/>
              </w:rPr>
              <w:t>3, 4</w:t>
            </w:r>
          </w:p>
          <w:p w:rsidRPr="004B6F20" w:rsidR="00B75C73" w:rsidP="004B6F20" w:rsidRDefault="00470C7B" w14:paraId="2C674BA7" w14:textId="400D052F">
            <w:pPr>
              <w:pStyle w:val="ListParagraph"/>
              <w:framePr w:hSpace="0" w:wrap="auto" w:vAnchor="margin" w:yAlign="inline"/>
              <w:suppressOverlap w:val="0"/>
              <w:rPr>
                <w:sz w:val="24"/>
                <w:szCs w:val="24"/>
              </w:rPr>
            </w:pPr>
            <w:r w:rsidRPr="000B4840">
              <w:rPr>
                <w:sz w:val="24"/>
                <w:szCs w:val="24"/>
              </w:rPr>
              <w:t>Ex. TURN-01</w:t>
            </w:r>
            <w:r w:rsidR="00D67A73">
              <w:rPr>
                <w:sz w:val="24"/>
                <w:szCs w:val="24"/>
              </w:rPr>
              <w:t xml:space="preserve"> (TURN Testimony, 2/17/23)</w:t>
            </w:r>
            <w:r w:rsidRPr="000B4840">
              <w:rPr>
                <w:sz w:val="24"/>
                <w:szCs w:val="24"/>
              </w:rPr>
              <w:t>, Ex. TURN-02</w:t>
            </w:r>
            <w:r w:rsidR="00D67A73">
              <w:rPr>
                <w:sz w:val="24"/>
                <w:szCs w:val="24"/>
              </w:rPr>
              <w:t xml:space="preserve"> (TURN Rebuttal Testimony, 3/17/23)</w:t>
            </w:r>
            <w:r w:rsidRPr="000B4840">
              <w:rPr>
                <w:sz w:val="24"/>
                <w:szCs w:val="24"/>
              </w:rPr>
              <w:t>, and Ex. TURN-03</w:t>
            </w:r>
            <w:r w:rsidR="00D67A73">
              <w:rPr>
                <w:sz w:val="24"/>
                <w:szCs w:val="24"/>
              </w:rPr>
              <w:t xml:space="preserve"> (TURN Supplemental Testimony, 9/30/24</w:t>
            </w:r>
            <w:proofErr w:type="gramStart"/>
            <w:r w:rsidR="00D67A73">
              <w:rPr>
                <w:sz w:val="24"/>
                <w:szCs w:val="24"/>
              </w:rPr>
              <w:t xml:space="preserve">) </w:t>
            </w:r>
            <w:r w:rsidRPr="000B4840">
              <w:rPr>
                <w:sz w:val="24"/>
                <w:szCs w:val="24"/>
              </w:rPr>
              <w:t xml:space="preserve"> (</w:t>
            </w:r>
            <w:proofErr w:type="gramEnd"/>
            <w:r w:rsidRPr="000B4840">
              <w:rPr>
                <w:sz w:val="24"/>
                <w:szCs w:val="24"/>
              </w:rPr>
              <w:t xml:space="preserve">identified in PG&amp;E Motion for Admission of Exhibits </w:t>
            </w:r>
            <w:proofErr w:type="gramStart"/>
            <w:r w:rsidRPr="000B4840">
              <w:rPr>
                <w:sz w:val="24"/>
                <w:szCs w:val="24"/>
              </w:rPr>
              <w:t>Into</w:t>
            </w:r>
            <w:proofErr w:type="gramEnd"/>
            <w:r w:rsidRPr="000B4840">
              <w:rPr>
                <w:sz w:val="24"/>
                <w:szCs w:val="24"/>
              </w:rPr>
              <w:t xml:space="preserve"> Evidence, 12/13/24, and admitted into evidence via 12/22/24 </w:t>
            </w:r>
            <w:r w:rsidRPr="000B4840">
              <w:rPr>
                <w:i/>
                <w:iCs/>
                <w:sz w:val="24"/>
                <w:szCs w:val="24"/>
              </w:rPr>
              <w:t>Email Ruling Addressing Evidentiary Issues</w:t>
            </w:r>
            <w:r w:rsidRPr="000B4840">
              <w:rPr>
                <w:sz w:val="24"/>
                <w:szCs w:val="24"/>
              </w:rPr>
              <w:t>)</w:t>
            </w:r>
          </w:p>
          <w:p w:rsidR="00AA0154" w:rsidP="000B4840" w:rsidRDefault="00B75C73" w14:paraId="25E6BB53" w14:textId="0E89CF31">
            <w:pPr>
              <w:pStyle w:val="ListParagraph"/>
              <w:framePr w:hSpace="0" w:wrap="auto" w:vAnchor="margin" w:yAlign="inline"/>
              <w:suppressOverlap w:val="0"/>
              <w:rPr>
                <w:sz w:val="24"/>
                <w:szCs w:val="24"/>
              </w:rPr>
            </w:pPr>
            <w:r w:rsidRPr="000B4840">
              <w:rPr>
                <w:sz w:val="24"/>
                <w:szCs w:val="24"/>
              </w:rPr>
              <w:t>Motion of PG&amp;E to Adopt Joint Parties’ Briefing Outline and Stipulations, 12/13/24</w:t>
            </w:r>
            <w:r w:rsidRPr="000B4840" w:rsidR="00464DAD">
              <w:rPr>
                <w:sz w:val="24"/>
                <w:szCs w:val="24"/>
              </w:rPr>
              <w:t>, as clarified by PG&amp;E on December 27, 2024</w:t>
            </w:r>
            <w:r w:rsidR="004B6F20">
              <w:rPr>
                <w:sz w:val="24"/>
                <w:szCs w:val="24"/>
              </w:rPr>
              <w:t xml:space="preserve">, Attachment </w:t>
            </w:r>
            <w:r w:rsidR="0042269A">
              <w:rPr>
                <w:sz w:val="24"/>
                <w:szCs w:val="24"/>
              </w:rPr>
              <w:t>A</w:t>
            </w:r>
          </w:p>
          <w:p w:rsidR="00B75C73" w:rsidP="000B4840" w:rsidRDefault="00AA0154" w14:paraId="6FF5718D" w14:textId="77777777">
            <w:pPr>
              <w:pStyle w:val="ListParagraph"/>
              <w:framePr w:hSpace="0" w:wrap="auto" w:vAnchor="margin" w:yAlign="inline"/>
              <w:suppressOverlap w:val="0"/>
              <w:rPr>
                <w:sz w:val="24"/>
                <w:szCs w:val="24"/>
              </w:rPr>
            </w:pPr>
            <w:r w:rsidRPr="00AA0154">
              <w:rPr>
                <w:i/>
                <w:iCs/>
                <w:sz w:val="24"/>
                <w:szCs w:val="24"/>
              </w:rPr>
              <w:t xml:space="preserve">Email Ruling of ALJ Camille Watts-Zagha Granting Motion to </w:t>
            </w:r>
            <w:r w:rsidRPr="00AA0154">
              <w:rPr>
                <w:i/>
                <w:iCs/>
                <w:sz w:val="24"/>
                <w:szCs w:val="24"/>
              </w:rPr>
              <w:lastRenderedPageBreak/>
              <w:t>Adopt Stipulations</w:t>
            </w:r>
            <w:r>
              <w:rPr>
                <w:sz w:val="24"/>
                <w:szCs w:val="24"/>
              </w:rPr>
              <w:t>, 7/18/25</w:t>
            </w:r>
            <w:r w:rsidRPr="000B4840" w:rsidR="00464DAD">
              <w:rPr>
                <w:sz w:val="24"/>
                <w:szCs w:val="24"/>
              </w:rPr>
              <w:t xml:space="preserve"> </w:t>
            </w:r>
          </w:p>
          <w:p w:rsidR="00D67A73" w:rsidP="00D67A73" w:rsidRDefault="00D67A73" w14:paraId="36122F06" w14:textId="77777777">
            <w:pPr>
              <w:pStyle w:val="ListParagraph"/>
              <w:framePr w:hSpace="0" w:wrap="auto" w:vAnchor="margin" w:yAlign="inline"/>
              <w:numPr>
                <w:ilvl w:val="0"/>
                <w:numId w:val="0"/>
              </w:numPr>
              <w:ind w:left="371"/>
              <w:suppressOverlap w:val="0"/>
            </w:pPr>
          </w:p>
          <w:p w:rsidR="004B6F20" w:rsidP="004B6F20" w:rsidRDefault="004B6F20" w14:paraId="37F4B0B6" w14:textId="77777777">
            <w:pPr>
              <w:ind w:left="371" w:hanging="360"/>
            </w:pPr>
          </w:p>
          <w:p w:rsidRPr="004B6F20" w:rsidR="004B6F20" w:rsidP="004B6F20" w:rsidRDefault="004B6F20" w14:paraId="14956F75" w14:textId="6B83BCF3">
            <w:pPr>
              <w:ind w:left="371" w:hanging="360"/>
              <w:rPr>
                <w:i/>
                <w:iCs/>
                <w:sz w:val="24"/>
                <w:szCs w:val="24"/>
              </w:rPr>
            </w:pPr>
            <w:r w:rsidRPr="004B6F20">
              <w:rPr>
                <w:i/>
                <w:iCs/>
                <w:sz w:val="24"/>
                <w:szCs w:val="24"/>
              </w:rPr>
              <w:t>Gas Pipeline Project Costs</w:t>
            </w:r>
          </w:p>
          <w:p w:rsidRPr="004B6F20" w:rsidR="004B6F20" w:rsidP="004B6F20" w:rsidRDefault="004B6F20" w14:paraId="5147C8DE" w14:textId="77777777">
            <w:pPr>
              <w:ind w:left="371" w:hanging="360"/>
              <w:rPr>
                <w:sz w:val="24"/>
                <w:szCs w:val="24"/>
              </w:rPr>
            </w:pPr>
          </w:p>
          <w:p w:rsidRPr="004B6F20" w:rsidR="004B6F20" w:rsidP="004B6F20" w:rsidRDefault="004B6F20" w14:paraId="11ABE6FB" w14:textId="2BCE655B">
            <w:pPr>
              <w:pStyle w:val="ListParagraph"/>
              <w:framePr w:hSpace="0" w:wrap="auto" w:vAnchor="margin" w:yAlign="inline"/>
              <w:numPr>
                <w:ilvl w:val="0"/>
                <w:numId w:val="17"/>
              </w:numPr>
              <w:ind w:left="338"/>
              <w:suppressOverlap w:val="0"/>
              <w:rPr>
                <w:sz w:val="24"/>
                <w:szCs w:val="24"/>
              </w:rPr>
            </w:pPr>
            <w:r w:rsidRPr="004B6F20">
              <w:rPr>
                <w:i/>
                <w:iCs/>
                <w:sz w:val="24"/>
                <w:szCs w:val="24"/>
              </w:rPr>
              <w:t xml:space="preserve">See, e.g., </w:t>
            </w:r>
            <w:r w:rsidRPr="004B6F20">
              <w:rPr>
                <w:sz w:val="24"/>
                <w:szCs w:val="24"/>
              </w:rPr>
              <w:t>Ex. TURN-03, pp. 1-3</w:t>
            </w:r>
          </w:p>
          <w:p w:rsidRPr="004B6F20" w:rsidR="004B6F20" w:rsidP="004B6F20" w:rsidRDefault="004B6F20" w14:paraId="7B4A7646" w14:textId="281325CF">
            <w:pPr>
              <w:pStyle w:val="ListParagraph"/>
              <w:framePr w:hSpace="0" w:wrap="auto" w:vAnchor="margin" w:yAlign="inline"/>
              <w:numPr>
                <w:ilvl w:val="0"/>
                <w:numId w:val="17"/>
              </w:numPr>
              <w:ind w:left="338"/>
              <w:suppressOverlap w:val="0"/>
              <w:rPr>
                <w:sz w:val="24"/>
                <w:szCs w:val="24"/>
              </w:rPr>
            </w:pPr>
            <w:r w:rsidRPr="004B6F20">
              <w:rPr>
                <w:sz w:val="24"/>
                <w:szCs w:val="24"/>
              </w:rPr>
              <w:t xml:space="preserve">Joint Parties </w:t>
            </w:r>
            <w:proofErr w:type="gramStart"/>
            <w:r w:rsidRPr="004B6F20">
              <w:rPr>
                <w:sz w:val="24"/>
                <w:szCs w:val="24"/>
              </w:rPr>
              <w:t>Stipulations, #</w:t>
            </w:r>
            <w:proofErr w:type="gramEnd"/>
            <w:r w:rsidRPr="004B6F20">
              <w:rPr>
                <w:sz w:val="24"/>
                <w:szCs w:val="24"/>
              </w:rPr>
              <w:t xml:space="preserve"> 19</w:t>
            </w:r>
          </w:p>
          <w:p w:rsidR="004B6F20" w:rsidP="004B6F20" w:rsidRDefault="004B6F20" w14:paraId="5B07FEB4" w14:textId="77777777">
            <w:pPr>
              <w:ind w:left="371" w:hanging="360"/>
              <w:rPr>
                <w:sz w:val="24"/>
                <w:szCs w:val="24"/>
              </w:rPr>
            </w:pPr>
          </w:p>
          <w:p w:rsidRPr="004B6F20" w:rsidR="0042269A" w:rsidP="004B6F20" w:rsidRDefault="0042269A" w14:paraId="6A3CB05F" w14:textId="77777777">
            <w:pPr>
              <w:ind w:left="371" w:hanging="360"/>
              <w:rPr>
                <w:sz w:val="24"/>
                <w:szCs w:val="24"/>
              </w:rPr>
            </w:pPr>
          </w:p>
          <w:p w:rsidRPr="004B6F20" w:rsidR="004B6F20" w:rsidP="004B6F20" w:rsidRDefault="004B6F20" w14:paraId="43A5FE5D" w14:textId="79DD2BAD">
            <w:pPr>
              <w:ind w:firstLine="11"/>
              <w:rPr>
                <w:i/>
                <w:iCs/>
                <w:sz w:val="24"/>
                <w:szCs w:val="24"/>
              </w:rPr>
            </w:pPr>
            <w:r w:rsidRPr="004B6F20">
              <w:rPr>
                <w:i/>
                <w:iCs/>
                <w:sz w:val="24"/>
                <w:szCs w:val="24"/>
              </w:rPr>
              <w:t>Electrification Project Costs</w:t>
            </w:r>
          </w:p>
          <w:p w:rsidRPr="004B6F20" w:rsidR="004B6F20" w:rsidP="004B6F20" w:rsidRDefault="004B6F20" w14:paraId="371D885E" w14:textId="77777777">
            <w:pPr>
              <w:ind w:left="371" w:hanging="360"/>
              <w:rPr>
                <w:sz w:val="24"/>
                <w:szCs w:val="24"/>
              </w:rPr>
            </w:pPr>
          </w:p>
          <w:p w:rsidRPr="004B6F20" w:rsidR="004B6F20" w:rsidP="004B6F20" w:rsidRDefault="004B6F20" w14:paraId="67B57432" w14:textId="019E3033">
            <w:pPr>
              <w:pStyle w:val="ListParagraph"/>
              <w:framePr w:hSpace="0" w:wrap="auto" w:vAnchor="margin" w:yAlign="inline"/>
              <w:numPr>
                <w:ilvl w:val="0"/>
                <w:numId w:val="18"/>
              </w:numPr>
              <w:ind w:left="338"/>
              <w:suppressOverlap w:val="0"/>
              <w:rPr>
                <w:sz w:val="24"/>
                <w:szCs w:val="24"/>
              </w:rPr>
            </w:pPr>
            <w:r w:rsidRPr="004B6F20">
              <w:rPr>
                <w:sz w:val="24"/>
                <w:szCs w:val="24"/>
              </w:rPr>
              <w:t xml:space="preserve">Ex. TURN-03, pp. 1-2 </w:t>
            </w:r>
          </w:p>
          <w:p w:rsidRPr="004B6F20" w:rsidR="004B6F20" w:rsidP="004B6F20" w:rsidRDefault="004B6F20" w14:paraId="4103B9B0" w14:textId="52C8FB32">
            <w:pPr>
              <w:pStyle w:val="ListParagraph"/>
              <w:framePr w:hSpace="0" w:wrap="auto" w:vAnchor="margin" w:yAlign="inline"/>
              <w:numPr>
                <w:ilvl w:val="0"/>
                <w:numId w:val="18"/>
              </w:numPr>
              <w:ind w:left="338"/>
              <w:suppressOverlap w:val="0"/>
              <w:rPr>
                <w:sz w:val="24"/>
                <w:szCs w:val="24"/>
              </w:rPr>
            </w:pPr>
            <w:r w:rsidRPr="004B6F20">
              <w:rPr>
                <w:sz w:val="24"/>
                <w:szCs w:val="24"/>
              </w:rPr>
              <w:t xml:space="preserve">Joint Parties </w:t>
            </w:r>
            <w:proofErr w:type="gramStart"/>
            <w:r w:rsidRPr="004B6F20">
              <w:rPr>
                <w:sz w:val="24"/>
                <w:szCs w:val="24"/>
              </w:rPr>
              <w:t>Stipulations, #</w:t>
            </w:r>
            <w:proofErr w:type="gramEnd"/>
            <w:r w:rsidRPr="004B6F20">
              <w:rPr>
                <w:sz w:val="24"/>
                <w:szCs w:val="24"/>
              </w:rPr>
              <w:t xml:space="preserve"> 18, 20      </w:t>
            </w:r>
          </w:p>
          <w:p w:rsidR="004B6F20" w:rsidP="004B6F20" w:rsidRDefault="004B6F20" w14:paraId="7C80D3F0" w14:textId="77777777">
            <w:pPr>
              <w:ind w:left="371" w:hanging="360"/>
              <w:rPr>
                <w:sz w:val="24"/>
                <w:szCs w:val="24"/>
              </w:rPr>
            </w:pPr>
          </w:p>
          <w:p w:rsidRPr="004B6F20" w:rsidR="0042269A" w:rsidP="004B6F20" w:rsidRDefault="0042269A" w14:paraId="024CAB0B" w14:textId="77777777">
            <w:pPr>
              <w:ind w:left="371" w:hanging="360"/>
              <w:rPr>
                <w:sz w:val="24"/>
                <w:szCs w:val="24"/>
              </w:rPr>
            </w:pPr>
          </w:p>
          <w:p w:rsidRPr="004B6F20" w:rsidR="004B6F20" w:rsidP="004B6F20" w:rsidRDefault="004B6F20" w14:paraId="06E19472" w14:textId="0CD501F6">
            <w:pPr>
              <w:ind w:left="371" w:hanging="360"/>
              <w:rPr>
                <w:i/>
                <w:iCs/>
                <w:sz w:val="24"/>
                <w:szCs w:val="24"/>
              </w:rPr>
            </w:pPr>
            <w:r w:rsidRPr="004B6F20">
              <w:rPr>
                <w:i/>
                <w:iCs/>
                <w:sz w:val="24"/>
                <w:szCs w:val="24"/>
              </w:rPr>
              <w:t>Cost Cap</w:t>
            </w:r>
          </w:p>
          <w:p w:rsidRPr="004B6F20" w:rsidR="004B6F20" w:rsidP="004B6F20" w:rsidRDefault="004B6F20" w14:paraId="69C8DD50" w14:textId="77777777">
            <w:pPr>
              <w:ind w:left="371" w:hanging="360"/>
              <w:rPr>
                <w:sz w:val="24"/>
                <w:szCs w:val="24"/>
              </w:rPr>
            </w:pPr>
          </w:p>
          <w:p w:rsidRPr="0042269A" w:rsidR="004B6F20" w:rsidP="0042269A" w:rsidRDefault="004B6F20" w14:paraId="19A8102B" w14:textId="69D7000A">
            <w:pPr>
              <w:pStyle w:val="ListParagraph"/>
              <w:framePr w:hSpace="0" w:wrap="auto" w:vAnchor="margin" w:yAlign="inline"/>
              <w:numPr>
                <w:ilvl w:val="0"/>
                <w:numId w:val="18"/>
              </w:numPr>
              <w:ind w:left="338"/>
              <w:suppressOverlap w:val="0"/>
              <w:rPr>
                <w:sz w:val="24"/>
                <w:szCs w:val="24"/>
              </w:rPr>
            </w:pPr>
            <w:r w:rsidRPr="004B6F20">
              <w:rPr>
                <w:sz w:val="24"/>
                <w:szCs w:val="24"/>
              </w:rPr>
              <w:t xml:space="preserve">Ex. TURN-01, p. 8; Ex. TURN-02, pp. 4-5; Ex. TURN-03, p. 1 </w:t>
            </w:r>
          </w:p>
          <w:p w:rsidRPr="004B6F20" w:rsidR="004B6F20" w:rsidP="004B6F20" w:rsidRDefault="004B6F20" w14:paraId="6421C12F" w14:textId="7DF4412C">
            <w:pPr>
              <w:pStyle w:val="ListParagraph"/>
              <w:framePr w:hSpace="0" w:wrap="auto" w:vAnchor="margin" w:yAlign="inline"/>
              <w:numPr>
                <w:ilvl w:val="0"/>
                <w:numId w:val="18"/>
              </w:numPr>
              <w:ind w:left="338"/>
              <w:suppressOverlap w:val="0"/>
              <w:rPr>
                <w:sz w:val="24"/>
                <w:szCs w:val="24"/>
              </w:rPr>
            </w:pPr>
            <w:r w:rsidRPr="004B6F20">
              <w:rPr>
                <w:sz w:val="24"/>
                <w:szCs w:val="24"/>
              </w:rPr>
              <w:t xml:space="preserve">Joint Parties </w:t>
            </w:r>
            <w:proofErr w:type="gramStart"/>
            <w:r w:rsidRPr="004B6F20">
              <w:rPr>
                <w:sz w:val="24"/>
                <w:szCs w:val="24"/>
              </w:rPr>
              <w:t>Stipulations, #</w:t>
            </w:r>
            <w:proofErr w:type="gramEnd"/>
            <w:r w:rsidRPr="004B6F20">
              <w:rPr>
                <w:sz w:val="24"/>
                <w:szCs w:val="24"/>
              </w:rPr>
              <w:t xml:space="preserve"> 30       </w:t>
            </w:r>
          </w:p>
          <w:p w:rsidR="004B6F20" w:rsidP="004B6F20" w:rsidRDefault="004B6F20" w14:paraId="46717A4D" w14:textId="77777777">
            <w:pPr>
              <w:ind w:firstLine="11"/>
              <w:rPr>
                <w:i/>
                <w:iCs/>
                <w:sz w:val="24"/>
                <w:szCs w:val="24"/>
              </w:rPr>
            </w:pPr>
          </w:p>
          <w:p w:rsidR="0042269A" w:rsidP="004B6F20" w:rsidRDefault="0042269A" w14:paraId="0BA6A689" w14:textId="77777777">
            <w:pPr>
              <w:ind w:firstLine="11"/>
              <w:rPr>
                <w:i/>
                <w:iCs/>
                <w:sz w:val="24"/>
                <w:szCs w:val="24"/>
              </w:rPr>
            </w:pPr>
          </w:p>
          <w:p w:rsidRPr="004B6F20" w:rsidR="004B6F20" w:rsidP="004B6F20" w:rsidRDefault="004B6F20" w14:paraId="73BA0091" w14:textId="62287DDD">
            <w:pPr>
              <w:ind w:firstLine="11"/>
              <w:rPr>
                <w:i/>
                <w:iCs/>
                <w:sz w:val="24"/>
                <w:szCs w:val="24"/>
              </w:rPr>
            </w:pPr>
            <w:r w:rsidRPr="004B6F20">
              <w:rPr>
                <w:i/>
                <w:iCs/>
                <w:sz w:val="24"/>
                <w:szCs w:val="24"/>
              </w:rPr>
              <w:t>Electrification Project Cost-Effectiveness Evaluation</w:t>
            </w:r>
          </w:p>
          <w:p w:rsidRPr="004B6F20" w:rsidR="004B6F20" w:rsidP="004B6F20" w:rsidRDefault="004B6F20" w14:paraId="032D1042" w14:textId="77777777">
            <w:pPr>
              <w:ind w:left="371" w:hanging="360"/>
              <w:rPr>
                <w:sz w:val="24"/>
                <w:szCs w:val="24"/>
              </w:rPr>
            </w:pPr>
          </w:p>
          <w:p w:rsidRPr="004B6F20" w:rsidR="004B6F20" w:rsidP="004B6F20" w:rsidRDefault="004B6F20" w14:paraId="34FD8194" w14:textId="7C60DE28">
            <w:pPr>
              <w:pStyle w:val="ListParagraph"/>
              <w:framePr w:hSpace="0" w:wrap="auto" w:vAnchor="margin" w:yAlign="inline"/>
              <w:numPr>
                <w:ilvl w:val="0"/>
                <w:numId w:val="18"/>
              </w:numPr>
              <w:ind w:left="338"/>
              <w:suppressOverlap w:val="0"/>
              <w:rPr>
                <w:sz w:val="24"/>
                <w:szCs w:val="24"/>
              </w:rPr>
            </w:pPr>
            <w:r w:rsidRPr="004B6F20">
              <w:rPr>
                <w:sz w:val="24"/>
                <w:szCs w:val="24"/>
              </w:rPr>
              <w:t>Ex. TURN-01, pp. 1-2; TURN-02, pp. 2-4</w:t>
            </w:r>
          </w:p>
          <w:p w:rsidR="004B6F20" w:rsidP="004B6F20" w:rsidRDefault="004B6F20" w14:paraId="7EB82CC7" w14:textId="77777777">
            <w:pPr>
              <w:ind w:left="371" w:hanging="360"/>
              <w:rPr>
                <w:sz w:val="24"/>
                <w:szCs w:val="24"/>
              </w:rPr>
            </w:pPr>
          </w:p>
          <w:p w:rsidRPr="004B6F20" w:rsidR="0042269A" w:rsidP="004B6F20" w:rsidRDefault="0042269A" w14:paraId="6CEC6C15" w14:textId="77777777">
            <w:pPr>
              <w:ind w:left="371" w:hanging="360"/>
              <w:rPr>
                <w:sz w:val="24"/>
                <w:szCs w:val="24"/>
              </w:rPr>
            </w:pPr>
          </w:p>
          <w:p w:rsidRPr="004B6F20" w:rsidR="004B6F20" w:rsidP="004B6F20" w:rsidRDefault="004B6F20" w14:paraId="2104A378" w14:textId="48A9556D">
            <w:pPr>
              <w:ind w:firstLine="11"/>
              <w:rPr>
                <w:i/>
                <w:iCs/>
                <w:sz w:val="24"/>
                <w:szCs w:val="24"/>
              </w:rPr>
            </w:pPr>
            <w:r w:rsidRPr="004B6F20">
              <w:rPr>
                <w:i/>
                <w:iCs/>
                <w:sz w:val="24"/>
                <w:szCs w:val="24"/>
              </w:rPr>
              <w:t>Data Collection and Reporting</w:t>
            </w:r>
          </w:p>
          <w:p w:rsidRPr="004B6F20" w:rsidR="004B6F20" w:rsidP="004B6F20" w:rsidRDefault="004B6F20" w14:paraId="3F1CC1DF" w14:textId="77777777">
            <w:pPr>
              <w:ind w:left="371" w:hanging="360"/>
              <w:rPr>
                <w:sz w:val="24"/>
                <w:szCs w:val="24"/>
              </w:rPr>
            </w:pPr>
          </w:p>
          <w:p w:rsidRPr="004B6F20" w:rsidR="004B6F20" w:rsidP="004B6F20" w:rsidRDefault="004B6F20" w14:paraId="253AF728" w14:textId="1E7543A6">
            <w:pPr>
              <w:pStyle w:val="ListParagraph"/>
              <w:framePr w:hSpace="0" w:wrap="auto" w:vAnchor="margin" w:yAlign="inline"/>
              <w:numPr>
                <w:ilvl w:val="0"/>
                <w:numId w:val="18"/>
              </w:numPr>
              <w:ind w:left="338"/>
              <w:suppressOverlap w:val="0"/>
              <w:rPr>
                <w:sz w:val="24"/>
                <w:szCs w:val="24"/>
              </w:rPr>
            </w:pPr>
            <w:r w:rsidRPr="004B6F20">
              <w:rPr>
                <w:sz w:val="24"/>
                <w:szCs w:val="24"/>
              </w:rPr>
              <w:lastRenderedPageBreak/>
              <w:t xml:space="preserve">Ex. TURN-01, p. 2; Ex. TURN-02, p. 6; Ex. TURN-03, pp. 2, 8   </w:t>
            </w:r>
          </w:p>
          <w:p w:rsidRPr="004B6F20" w:rsidR="004B6F20" w:rsidP="004B6F20" w:rsidRDefault="004B6F20" w14:paraId="273F0BA1" w14:textId="131D3CAD">
            <w:pPr>
              <w:pStyle w:val="ListParagraph"/>
              <w:framePr w:hSpace="0" w:wrap="auto" w:vAnchor="margin" w:yAlign="inline"/>
              <w:numPr>
                <w:ilvl w:val="0"/>
                <w:numId w:val="18"/>
              </w:numPr>
              <w:ind w:left="338"/>
              <w:suppressOverlap w:val="0"/>
              <w:rPr>
                <w:sz w:val="24"/>
                <w:szCs w:val="24"/>
              </w:rPr>
            </w:pPr>
            <w:r w:rsidRPr="004B6F20">
              <w:rPr>
                <w:sz w:val="24"/>
                <w:szCs w:val="24"/>
              </w:rPr>
              <w:t>Joint Parties Stipulations #40, 42 (data collection and reporting</w:t>
            </w:r>
            <w:r>
              <w:rPr>
                <w:sz w:val="24"/>
                <w:szCs w:val="24"/>
              </w:rPr>
              <w:t xml:space="preserve"> </w:t>
            </w:r>
            <w:r w:rsidRPr="004B6F20">
              <w:rPr>
                <w:sz w:val="24"/>
                <w:szCs w:val="24"/>
              </w:rPr>
              <w:t>requirements</w:t>
            </w:r>
            <w:proofErr w:type="gramStart"/>
            <w:r w:rsidRPr="004B6F20">
              <w:rPr>
                <w:sz w:val="24"/>
                <w:szCs w:val="24"/>
              </w:rPr>
              <w:t>); #</w:t>
            </w:r>
            <w:proofErr w:type="gramEnd"/>
            <w:r w:rsidRPr="004B6F20">
              <w:rPr>
                <w:sz w:val="24"/>
                <w:szCs w:val="24"/>
              </w:rPr>
              <w:t>37-39 (indoor air quality monitoring)</w:t>
            </w:r>
          </w:p>
          <w:p w:rsidR="004B6F20" w:rsidP="004B6F20" w:rsidRDefault="004B6F20" w14:paraId="2063F706" w14:textId="77777777">
            <w:pPr>
              <w:ind w:left="371" w:hanging="360"/>
              <w:rPr>
                <w:sz w:val="24"/>
                <w:szCs w:val="24"/>
              </w:rPr>
            </w:pPr>
          </w:p>
          <w:p w:rsidRPr="004B6F20" w:rsidR="0042269A" w:rsidP="004B6F20" w:rsidRDefault="0042269A" w14:paraId="79722ABB" w14:textId="77777777">
            <w:pPr>
              <w:ind w:left="371" w:hanging="360"/>
              <w:rPr>
                <w:sz w:val="24"/>
                <w:szCs w:val="24"/>
              </w:rPr>
            </w:pPr>
          </w:p>
          <w:p w:rsidRPr="004B6F20" w:rsidR="004B6F20" w:rsidP="004B6F20" w:rsidRDefault="004B6F20" w14:paraId="7C3C5951" w14:textId="6FBAC0E7">
            <w:pPr>
              <w:ind w:left="371" w:hanging="360"/>
              <w:rPr>
                <w:i/>
                <w:iCs/>
                <w:sz w:val="24"/>
                <w:szCs w:val="24"/>
              </w:rPr>
            </w:pPr>
            <w:r w:rsidRPr="004B6F20">
              <w:rPr>
                <w:i/>
                <w:iCs/>
                <w:sz w:val="24"/>
                <w:szCs w:val="24"/>
              </w:rPr>
              <w:t>Cost Recovery</w:t>
            </w:r>
          </w:p>
          <w:p w:rsidRPr="004B6F20" w:rsidR="00D67A73" w:rsidP="00D67A73" w:rsidRDefault="00D67A73" w14:paraId="2C4F0B9B" w14:textId="77777777"/>
          <w:p w:rsidRPr="004B6F20" w:rsidR="00D67A73" w:rsidP="004B6F20" w:rsidRDefault="004B6F20" w14:paraId="2AE47B08" w14:textId="63AD691A">
            <w:pPr>
              <w:pStyle w:val="ListParagraph"/>
              <w:framePr w:hSpace="0" w:wrap="auto" w:vAnchor="margin" w:yAlign="inline"/>
              <w:numPr>
                <w:ilvl w:val="0"/>
                <w:numId w:val="18"/>
              </w:numPr>
              <w:ind w:left="338"/>
              <w:suppressOverlap w:val="0"/>
              <w:rPr>
                <w:sz w:val="24"/>
                <w:szCs w:val="24"/>
              </w:rPr>
            </w:pPr>
            <w:r w:rsidRPr="004B6F20">
              <w:rPr>
                <w:sz w:val="24"/>
                <w:szCs w:val="24"/>
              </w:rPr>
              <w:t>TURN Protest, pp. 3, 6-7; Ex. TURN-01, pp. 7-16; Ex TURN-02, pp. 5-6; Ex. TURN-03, pp. 7-8</w:t>
            </w:r>
          </w:p>
          <w:p w:rsidRPr="006756BC" w:rsidR="00D67A73" w:rsidP="00D67A73" w:rsidRDefault="00D67A73" w14:paraId="51035C11" w14:textId="25244C22"/>
        </w:tc>
        <w:tc>
          <w:tcPr>
            <w:tcW w:w="2335" w:type="dxa"/>
          </w:tcPr>
          <w:p w:rsidR="00625B30" w:rsidP="00F649C5" w:rsidRDefault="00625B30" w14:paraId="7359D70D" w14:textId="77777777">
            <w:pPr>
              <w:jc w:val="center"/>
              <w:rPr>
                <w:sz w:val="24"/>
                <w:szCs w:val="24"/>
              </w:rPr>
            </w:pPr>
          </w:p>
          <w:p w:rsidR="0081117F" w:rsidP="00F649C5" w:rsidRDefault="0081117F" w14:paraId="766D27CE" w14:textId="77777777">
            <w:pPr>
              <w:jc w:val="center"/>
              <w:rPr>
                <w:sz w:val="24"/>
                <w:szCs w:val="24"/>
              </w:rPr>
            </w:pPr>
          </w:p>
          <w:p w:rsidR="0081117F" w:rsidP="00F649C5" w:rsidRDefault="0081117F" w14:paraId="2463B850" w14:textId="77777777">
            <w:pPr>
              <w:jc w:val="center"/>
              <w:rPr>
                <w:sz w:val="24"/>
                <w:szCs w:val="24"/>
              </w:rPr>
            </w:pPr>
          </w:p>
          <w:p w:rsidR="0081117F" w:rsidP="00F649C5" w:rsidRDefault="0081117F" w14:paraId="73FB4F62" w14:textId="77777777">
            <w:pPr>
              <w:jc w:val="center"/>
              <w:rPr>
                <w:sz w:val="24"/>
                <w:szCs w:val="24"/>
              </w:rPr>
            </w:pPr>
            <w:r>
              <w:rPr>
                <w:sz w:val="24"/>
                <w:szCs w:val="24"/>
              </w:rPr>
              <w:t>Verified</w:t>
            </w:r>
          </w:p>
          <w:p w:rsidR="0081117F" w:rsidP="00F649C5" w:rsidRDefault="0081117F" w14:paraId="1AF22959" w14:textId="77777777">
            <w:pPr>
              <w:jc w:val="center"/>
              <w:rPr>
                <w:sz w:val="24"/>
                <w:szCs w:val="24"/>
              </w:rPr>
            </w:pPr>
          </w:p>
          <w:p w:rsidR="0081117F" w:rsidP="00F649C5" w:rsidRDefault="0081117F" w14:paraId="587DEB73" w14:textId="77777777">
            <w:pPr>
              <w:jc w:val="center"/>
              <w:rPr>
                <w:sz w:val="24"/>
                <w:szCs w:val="24"/>
              </w:rPr>
            </w:pPr>
          </w:p>
          <w:p w:rsidR="0081117F" w:rsidP="00F649C5" w:rsidRDefault="0081117F" w14:paraId="31700FE0" w14:textId="77777777">
            <w:pPr>
              <w:jc w:val="center"/>
              <w:rPr>
                <w:sz w:val="24"/>
                <w:szCs w:val="24"/>
              </w:rPr>
            </w:pPr>
          </w:p>
          <w:p w:rsidR="0081117F" w:rsidP="00F649C5" w:rsidRDefault="0081117F" w14:paraId="795549D2" w14:textId="77777777">
            <w:pPr>
              <w:jc w:val="center"/>
              <w:rPr>
                <w:sz w:val="24"/>
                <w:szCs w:val="24"/>
              </w:rPr>
            </w:pPr>
            <w:r>
              <w:rPr>
                <w:sz w:val="24"/>
                <w:szCs w:val="24"/>
              </w:rPr>
              <w:t>Verified</w:t>
            </w:r>
          </w:p>
          <w:p w:rsidR="0081117F" w:rsidP="00F649C5" w:rsidRDefault="0081117F" w14:paraId="45F29C85" w14:textId="77777777">
            <w:pPr>
              <w:jc w:val="center"/>
              <w:rPr>
                <w:sz w:val="24"/>
                <w:szCs w:val="24"/>
              </w:rPr>
            </w:pPr>
          </w:p>
          <w:p w:rsidR="0081117F" w:rsidP="00F649C5" w:rsidRDefault="0081117F" w14:paraId="414E08F4" w14:textId="77777777">
            <w:pPr>
              <w:jc w:val="center"/>
              <w:rPr>
                <w:sz w:val="24"/>
                <w:szCs w:val="24"/>
              </w:rPr>
            </w:pPr>
          </w:p>
          <w:p w:rsidR="0081117F" w:rsidP="00F649C5" w:rsidRDefault="0081117F" w14:paraId="29ED0206" w14:textId="77777777">
            <w:pPr>
              <w:jc w:val="center"/>
              <w:rPr>
                <w:sz w:val="24"/>
                <w:szCs w:val="24"/>
              </w:rPr>
            </w:pPr>
          </w:p>
          <w:p w:rsidR="0081117F" w:rsidP="00F649C5" w:rsidRDefault="0081117F" w14:paraId="5B149AE5" w14:textId="77777777">
            <w:pPr>
              <w:jc w:val="center"/>
              <w:rPr>
                <w:sz w:val="24"/>
                <w:szCs w:val="24"/>
              </w:rPr>
            </w:pPr>
          </w:p>
          <w:p w:rsidR="0081117F" w:rsidP="00F649C5" w:rsidRDefault="0081117F" w14:paraId="1CECD100" w14:textId="77777777">
            <w:pPr>
              <w:jc w:val="center"/>
              <w:rPr>
                <w:sz w:val="24"/>
                <w:szCs w:val="24"/>
              </w:rPr>
            </w:pPr>
          </w:p>
          <w:p w:rsidR="0081117F" w:rsidP="00F649C5" w:rsidRDefault="0081117F" w14:paraId="4DF84991" w14:textId="77777777">
            <w:pPr>
              <w:jc w:val="center"/>
              <w:rPr>
                <w:sz w:val="24"/>
                <w:szCs w:val="24"/>
              </w:rPr>
            </w:pPr>
          </w:p>
          <w:p w:rsidR="0081117F" w:rsidP="00F649C5" w:rsidRDefault="0081117F" w14:paraId="177B77BD" w14:textId="77777777">
            <w:pPr>
              <w:jc w:val="center"/>
              <w:rPr>
                <w:sz w:val="24"/>
                <w:szCs w:val="24"/>
              </w:rPr>
            </w:pPr>
          </w:p>
          <w:p w:rsidR="0081117F" w:rsidP="00F649C5" w:rsidRDefault="0081117F" w14:paraId="6F834F11" w14:textId="77777777">
            <w:pPr>
              <w:jc w:val="center"/>
              <w:rPr>
                <w:sz w:val="24"/>
                <w:szCs w:val="24"/>
              </w:rPr>
            </w:pPr>
          </w:p>
          <w:p w:rsidR="0081117F" w:rsidP="00F649C5" w:rsidRDefault="0081117F" w14:paraId="2B6EA698" w14:textId="77777777">
            <w:pPr>
              <w:jc w:val="center"/>
              <w:rPr>
                <w:sz w:val="24"/>
                <w:szCs w:val="24"/>
              </w:rPr>
            </w:pPr>
          </w:p>
          <w:p w:rsidR="0081117F" w:rsidP="00F649C5" w:rsidRDefault="0081117F" w14:paraId="67343AC1" w14:textId="77777777">
            <w:pPr>
              <w:jc w:val="center"/>
              <w:rPr>
                <w:sz w:val="24"/>
                <w:szCs w:val="24"/>
              </w:rPr>
            </w:pPr>
            <w:r>
              <w:rPr>
                <w:sz w:val="24"/>
                <w:szCs w:val="24"/>
              </w:rPr>
              <w:t>Verified</w:t>
            </w:r>
          </w:p>
          <w:p w:rsidR="0081117F" w:rsidP="00F649C5" w:rsidRDefault="0081117F" w14:paraId="09B19A57" w14:textId="77777777">
            <w:pPr>
              <w:jc w:val="center"/>
              <w:rPr>
                <w:sz w:val="24"/>
                <w:szCs w:val="24"/>
              </w:rPr>
            </w:pPr>
          </w:p>
          <w:p w:rsidR="0081117F" w:rsidP="00F649C5" w:rsidRDefault="0081117F" w14:paraId="69954807" w14:textId="77777777">
            <w:pPr>
              <w:jc w:val="center"/>
              <w:rPr>
                <w:sz w:val="24"/>
                <w:szCs w:val="24"/>
              </w:rPr>
            </w:pPr>
          </w:p>
          <w:p w:rsidR="0081117F" w:rsidP="00F649C5" w:rsidRDefault="0081117F" w14:paraId="56ABF49D" w14:textId="77777777">
            <w:pPr>
              <w:jc w:val="center"/>
              <w:rPr>
                <w:sz w:val="24"/>
                <w:szCs w:val="24"/>
              </w:rPr>
            </w:pPr>
          </w:p>
          <w:p w:rsidR="0081117F" w:rsidP="00F649C5" w:rsidRDefault="0081117F" w14:paraId="6AF109DA" w14:textId="77777777">
            <w:pPr>
              <w:jc w:val="center"/>
              <w:rPr>
                <w:sz w:val="24"/>
                <w:szCs w:val="24"/>
              </w:rPr>
            </w:pPr>
          </w:p>
          <w:p w:rsidR="0081117F" w:rsidP="00F649C5" w:rsidRDefault="0081117F" w14:paraId="642848BB" w14:textId="77777777">
            <w:pPr>
              <w:jc w:val="center"/>
              <w:rPr>
                <w:sz w:val="24"/>
                <w:szCs w:val="24"/>
              </w:rPr>
            </w:pPr>
          </w:p>
          <w:p w:rsidR="0081117F" w:rsidP="00F649C5" w:rsidRDefault="0081117F" w14:paraId="257E0ABB" w14:textId="77777777">
            <w:pPr>
              <w:jc w:val="center"/>
              <w:rPr>
                <w:sz w:val="24"/>
                <w:szCs w:val="24"/>
              </w:rPr>
            </w:pPr>
          </w:p>
          <w:p w:rsidR="0081117F" w:rsidP="00F649C5" w:rsidRDefault="0081117F" w14:paraId="78B8512D" w14:textId="77777777">
            <w:pPr>
              <w:jc w:val="center"/>
              <w:rPr>
                <w:sz w:val="24"/>
                <w:szCs w:val="24"/>
              </w:rPr>
            </w:pPr>
          </w:p>
          <w:p w:rsidR="0081117F" w:rsidP="00F649C5" w:rsidRDefault="0081117F" w14:paraId="271E3EFA" w14:textId="77777777">
            <w:pPr>
              <w:jc w:val="center"/>
              <w:rPr>
                <w:sz w:val="24"/>
                <w:szCs w:val="24"/>
              </w:rPr>
            </w:pPr>
          </w:p>
          <w:p w:rsidR="0081117F" w:rsidP="00F649C5" w:rsidRDefault="0081117F" w14:paraId="3E3FA0AF" w14:textId="77777777">
            <w:pPr>
              <w:jc w:val="center"/>
              <w:rPr>
                <w:sz w:val="24"/>
                <w:szCs w:val="24"/>
              </w:rPr>
            </w:pPr>
          </w:p>
          <w:p w:rsidR="0081117F" w:rsidP="00F649C5" w:rsidRDefault="0081117F" w14:paraId="7BD6B677" w14:textId="77777777">
            <w:pPr>
              <w:jc w:val="center"/>
              <w:rPr>
                <w:sz w:val="24"/>
                <w:szCs w:val="24"/>
              </w:rPr>
            </w:pPr>
          </w:p>
          <w:p w:rsidR="0081117F" w:rsidP="00F649C5" w:rsidRDefault="0081117F" w14:paraId="10E4F20A" w14:textId="77777777">
            <w:pPr>
              <w:jc w:val="center"/>
              <w:rPr>
                <w:sz w:val="24"/>
                <w:szCs w:val="24"/>
              </w:rPr>
            </w:pPr>
          </w:p>
          <w:p w:rsidR="0081117F" w:rsidP="00F649C5" w:rsidRDefault="0081117F" w14:paraId="6553F487" w14:textId="77777777">
            <w:pPr>
              <w:jc w:val="center"/>
              <w:rPr>
                <w:sz w:val="24"/>
                <w:szCs w:val="24"/>
              </w:rPr>
            </w:pPr>
          </w:p>
          <w:p w:rsidR="0081117F" w:rsidP="00F649C5" w:rsidRDefault="0081117F" w14:paraId="79C89344" w14:textId="77777777">
            <w:pPr>
              <w:jc w:val="center"/>
              <w:rPr>
                <w:sz w:val="24"/>
                <w:szCs w:val="24"/>
              </w:rPr>
            </w:pPr>
          </w:p>
          <w:p w:rsidR="0081117F" w:rsidP="00F649C5" w:rsidRDefault="0081117F" w14:paraId="40269A6A" w14:textId="77777777">
            <w:pPr>
              <w:jc w:val="center"/>
              <w:rPr>
                <w:sz w:val="24"/>
                <w:szCs w:val="24"/>
              </w:rPr>
            </w:pPr>
          </w:p>
          <w:p w:rsidR="0081117F" w:rsidP="00F649C5" w:rsidRDefault="0081117F" w14:paraId="063AB0C6" w14:textId="77777777">
            <w:pPr>
              <w:jc w:val="center"/>
              <w:rPr>
                <w:sz w:val="24"/>
                <w:szCs w:val="24"/>
              </w:rPr>
            </w:pPr>
            <w:r>
              <w:rPr>
                <w:sz w:val="24"/>
                <w:szCs w:val="24"/>
              </w:rPr>
              <w:t>Verified</w:t>
            </w:r>
          </w:p>
          <w:p w:rsidR="00423D91" w:rsidP="00F649C5" w:rsidRDefault="00423D91" w14:paraId="49887282" w14:textId="77777777">
            <w:pPr>
              <w:jc w:val="center"/>
              <w:rPr>
                <w:sz w:val="24"/>
                <w:szCs w:val="24"/>
              </w:rPr>
            </w:pPr>
          </w:p>
          <w:p w:rsidR="00423D91" w:rsidP="00F649C5" w:rsidRDefault="00423D91" w14:paraId="4889C2EB" w14:textId="77777777">
            <w:pPr>
              <w:jc w:val="center"/>
              <w:rPr>
                <w:sz w:val="24"/>
                <w:szCs w:val="24"/>
              </w:rPr>
            </w:pPr>
          </w:p>
          <w:p w:rsidR="00423D91" w:rsidP="00F649C5" w:rsidRDefault="00423D91" w14:paraId="19E0253F" w14:textId="77777777">
            <w:pPr>
              <w:jc w:val="center"/>
              <w:rPr>
                <w:sz w:val="24"/>
                <w:szCs w:val="24"/>
              </w:rPr>
            </w:pPr>
          </w:p>
          <w:p w:rsidR="00423D91" w:rsidP="00F649C5" w:rsidRDefault="00423D91" w14:paraId="22CEC254" w14:textId="77777777">
            <w:pPr>
              <w:jc w:val="center"/>
              <w:rPr>
                <w:sz w:val="24"/>
                <w:szCs w:val="24"/>
              </w:rPr>
            </w:pPr>
          </w:p>
          <w:p w:rsidR="00423D91" w:rsidP="00F649C5" w:rsidRDefault="00423D91" w14:paraId="70D91E9E" w14:textId="77777777">
            <w:pPr>
              <w:jc w:val="center"/>
              <w:rPr>
                <w:sz w:val="24"/>
                <w:szCs w:val="24"/>
              </w:rPr>
            </w:pPr>
          </w:p>
          <w:p w:rsidR="00423D91" w:rsidP="00F649C5" w:rsidRDefault="00423D91" w14:paraId="24B6F33A" w14:textId="77777777">
            <w:pPr>
              <w:jc w:val="center"/>
              <w:rPr>
                <w:sz w:val="24"/>
                <w:szCs w:val="24"/>
              </w:rPr>
            </w:pPr>
            <w:r>
              <w:rPr>
                <w:sz w:val="24"/>
                <w:szCs w:val="24"/>
              </w:rPr>
              <w:t>Verified</w:t>
            </w:r>
          </w:p>
          <w:p w:rsidR="00423D91" w:rsidP="00F649C5" w:rsidRDefault="00423D91" w14:paraId="51E77EBA" w14:textId="77777777">
            <w:pPr>
              <w:jc w:val="center"/>
              <w:rPr>
                <w:sz w:val="24"/>
                <w:szCs w:val="24"/>
              </w:rPr>
            </w:pPr>
          </w:p>
          <w:p w:rsidR="00423D91" w:rsidP="00F649C5" w:rsidRDefault="00423D91" w14:paraId="3F2DF969" w14:textId="77777777">
            <w:pPr>
              <w:jc w:val="center"/>
              <w:rPr>
                <w:sz w:val="24"/>
                <w:szCs w:val="24"/>
              </w:rPr>
            </w:pPr>
          </w:p>
          <w:p w:rsidR="00423D91" w:rsidP="00F649C5" w:rsidRDefault="00423D91" w14:paraId="0302755B" w14:textId="77777777">
            <w:pPr>
              <w:jc w:val="center"/>
              <w:rPr>
                <w:sz w:val="24"/>
                <w:szCs w:val="24"/>
              </w:rPr>
            </w:pPr>
          </w:p>
          <w:p w:rsidR="00423D91" w:rsidP="00F649C5" w:rsidRDefault="00423D91" w14:paraId="54DF5347" w14:textId="77777777">
            <w:pPr>
              <w:jc w:val="center"/>
              <w:rPr>
                <w:sz w:val="24"/>
                <w:szCs w:val="24"/>
              </w:rPr>
            </w:pPr>
          </w:p>
          <w:p w:rsidR="00423D91" w:rsidP="00F649C5" w:rsidRDefault="00423D91" w14:paraId="636CC365" w14:textId="77777777">
            <w:pPr>
              <w:jc w:val="center"/>
              <w:rPr>
                <w:sz w:val="24"/>
                <w:szCs w:val="24"/>
              </w:rPr>
            </w:pPr>
          </w:p>
          <w:p w:rsidR="00423D91" w:rsidP="00F649C5" w:rsidRDefault="00423D91" w14:paraId="79D2A33E" w14:textId="77777777">
            <w:pPr>
              <w:jc w:val="center"/>
              <w:rPr>
                <w:sz w:val="24"/>
                <w:szCs w:val="24"/>
              </w:rPr>
            </w:pPr>
          </w:p>
          <w:p w:rsidR="00423D91" w:rsidP="00F649C5" w:rsidRDefault="00423D91" w14:paraId="03C0734F" w14:textId="77777777">
            <w:pPr>
              <w:jc w:val="center"/>
              <w:rPr>
                <w:sz w:val="24"/>
                <w:szCs w:val="24"/>
              </w:rPr>
            </w:pPr>
          </w:p>
          <w:p w:rsidR="00423D91" w:rsidP="00F649C5" w:rsidRDefault="00423D91" w14:paraId="6ADCE421" w14:textId="77777777">
            <w:pPr>
              <w:jc w:val="center"/>
              <w:rPr>
                <w:sz w:val="24"/>
                <w:szCs w:val="24"/>
              </w:rPr>
            </w:pPr>
          </w:p>
          <w:p w:rsidR="00423D91" w:rsidP="00F649C5" w:rsidRDefault="00423D91" w14:paraId="31AFBE7A" w14:textId="77777777">
            <w:pPr>
              <w:jc w:val="center"/>
              <w:rPr>
                <w:sz w:val="24"/>
                <w:szCs w:val="24"/>
              </w:rPr>
            </w:pPr>
          </w:p>
          <w:p w:rsidR="00423D91" w:rsidP="00F649C5" w:rsidRDefault="00423D91" w14:paraId="18F29B98" w14:textId="77777777">
            <w:pPr>
              <w:jc w:val="center"/>
              <w:rPr>
                <w:sz w:val="24"/>
                <w:szCs w:val="24"/>
              </w:rPr>
            </w:pPr>
          </w:p>
          <w:p w:rsidR="00423D91" w:rsidP="00F649C5" w:rsidRDefault="00423D91" w14:paraId="160B4111" w14:textId="77777777">
            <w:pPr>
              <w:jc w:val="center"/>
              <w:rPr>
                <w:sz w:val="24"/>
                <w:szCs w:val="24"/>
              </w:rPr>
            </w:pPr>
          </w:p>
          <w:p w:rsidR="00423D91" w:rsidP="00F649C5" w:rsidRDefault="00423D91" w14:paraId="52DC41CF" w14:textId="670200E0">
            <w:pPr>
              <w:jc w:val="center"/>
              <w:rPr>
                <w:sz w:val="24"/>
                <w:szCs w:val="24"/>
              </w:rPr>
            </w:pPr>
            <w:r>
              <w:rPr>
                <w:sz w:val="24"/>
                <w:szCs w:val="24"/>
              </w:rPr>
              <w:t>Verified</w:t>
            </w:r>
          </w:p>
          <w:p w:rsidR="00423D91" w:rsidP="00F649C5" w:rsidRDefault="00423D91" w14:paraId="3AB35FA7" w14:textId="77777777">
            <w:pPr>
              <w:jc w:val="center"/>
              <w:rPr>
                <w:sz w:val="24"/>
                <w:szCs w:val="24"/>
              </w:rPr>
            </w:pPr>
          </w:p>
          <w:p w:rsidR="00423D91" w:rsidP="00F649C5" w:rsidRDefault="00423D91" w14:paraId="7963A331" w14:textId="77777777">
            <w:pPr>
              <w:jc w:val="center"/>
              <w:rPr>
                <w:sz w:val="24"/>
                <w:szCs w:val="24"/>
              </w:rPr>
            </w:pPr>
          </w:p>
          <w:p w:rsidR="00423D91" w:rsidP="00F649C5" w:rsidRDefault="00423D91" w14:paraId="71FBEC24" w14:textId="77777777">
            <w:pPr>
              <w:jc w:val="center"/>
              <w:rPr>
                <w:sz w:val="24"/>
                <w:szCs w:val="24"/>
              </w:rPr>
            </w:pPr>
          </w:p>
          <w:p w:rsidR="00423D91" w:rsidP="00F649C5" w:rsidRDefault="00423D91" w14:paraId="3BFA96D6" w14:textId="77777777">
            <w:pPr>
              <w:jc w:val="center"/>
              <w:rPr>
                <w:sz w:val="24"/>
                <w:szCs w:val="24"/>
              </w:rPr>
            </w:pPr>
          </w:p>
          <w:p w:rsidR="00423D91" w:rsidP="00F649C5" w:rsidRDefault="00423D91" w14:paraId="24AC8F25" w14:textId="77777777">
            <w:pPr>
              <w:jc w:val="center"/>
              <w:rPr>
                <w:sz w:val="24"/>
                <w:szCs w:val="24"/>
              </w:rPr>
            </w:pPr>
          </w:p>
          <w:p w:rsidR="00423D91" w:rsidP="00F649C5" w:rsidRDefault="00423D91" w14:paraId="0913AA89" w14:textId="77777777">
            <w:pPr>
              <w:jc w:val="center"/>
              <w:rPr>
                <w:sz w:val="24"/>
                <w:szCs w:val="24"/>
              </w:rPr>
            </w:pPr>
          </w:p>
          <w:p w:rsidR="00423D91" w:rsidP="00F649C5" w:rsidRDefault="00423D91" w14:paraId="6252AF3C" w14:textId="77777777">
            <w:pPr>
              <w:jc w:val="center"/>
              <w:rPr>
                <w:sz w:val="24"/>
                <w:szCs w:val="24"/>
              </w:rPr>
            </w:pPr>
          </w:p>
          <w:p w:rsidR="00423D91" w:rsidP="00F649C5" w:rsidRDefault="00423D91" w14:paraId="01C6023E" w14:textId="77777777">
            <w:pPr>
              <w:jc w:val="center"/>
              <w:rPr>
                <w:sz w:val="24"/>
                <w:szCs w:val="24"/>
              </w:rPr>
            </w:pPr>
          </w:p>
          <w:p w:rsidR="00423D91" w:rsidP="00F649C5" w:rsidRDefault="00423D91" w14:paraId="44FAE8D7" w14:textId="77777777">
            <w:pPr>
              <w:jc w:val="center"/>
              <w:rPr>
                <w:sz w:val="24"/>
                <w:szCs w:val="24"/>
              </w:rPr>
            </w:pPr>
          </w:p>
          <w:p w:rsidR="00423D91" w:rsidP="00F649C5" w:rsidRDefault="00423D91" w14:paraId="2C1BCB08" w14:textId="77777777">
            <w:pPr>
              <w:jc w:val="center"/>
              <w:rPr>
                <w:sz w:val="24"/>
                <w:szCs w:val="24"/>
              </w:rPr>
            </w:pPr>
          </w:p>
          <w:p w:rsidR="00423D91" w:rsidP="00F649C5" w:rsidRDefault="00423D91" w14:paraId="1F757ECE" w14:textId="77777777">
            <w:pPr>
              <w:jc w:val="center"/>
              <w:rPr>
                <w:sz w:val="24"/>
                <w:szCs w:val="24"/>
              </w:rPr>
            </w:pPr>
          </w:p>
          <w:p w:rsidR="00423D91" w:rsidP="00F649C5" w:rsidRDefault="00423D91" w14:paraId="6637B737" w14:textId="5AE42164">
            <w:pPr>
              <w:jc w:val="center"/>
              <w:rPr>
                <w:sz w:val="24"/>
                <w:szCs w:val="24"/>
              </w:rPr>
            </w:pPr>
            <w:r>
              <w:rPr>
                <w:sz w:val="24"/>
                <w:szCs w:val="24"/>
              </w:rPr>
              <w:t>Verified</w:t>
            </w:r>
          </w:p>
          <w:p w:rsidR="00423D91" w:rsidP="00F649C5" w:rsidRDefault="00423D91" w14:paraId="02CA381E" w14:textId="77777777">
            <w:pPr>
              <w:jc w:val="center"/>
              <w:rPr>
                <w:sz w:val="24"/>
                <w:szCs w:val="24"/>
              </w:rPr>
            </w:pPr>
          </w:p>
          <w:p w:rsidR="00423D91" w:rsidP="00F649C5" w:rsidRDefault="00423D91" w14:paraId="43B041DB" w14:textId="77777777">
            <w:pPr>
              <w:jc w:val="center"/>
              <w:rPr>
                <w:sz w:val="24"/>
                <w:szCs w:val="24"/>
              </w:rPr>
            </w:pPr>
          </w:p>
          <w:p w:rsidR="00423D91" w:rsidP="00F649C5" w:rsidRDefault="00423D91" w14:paraId="08C28838" w14:textId="77777777">
            <w:pPr>
              <w:jc w:val="center"/>
              <w:rPr>
                <w:sz w:val="24"/>
                <w:szCs w:val="24"/>
              </w:rPr>
            </w:pPr>
          </w:p>
          <w:p w:rsidR="00423D91" w:rsidP="00F649C5" w:rsidRDefault="00423D91" w14:paraId="0A338F2A" w14:textId="77777777">
            <w:pPr>
              <w:jc w:val="center"/>
              <w:rPr>
                <w:sz w:val="24"/>
                <w:szCs w:val="24"/>
              </w:rPr>
            </w:pPr>
          </w:p>
          <w:p w:rsidR="00423D91" w:rsidP="00F649C5" w:rsidRDefault="00423D91" w14:paraId="05C07742" w14:textId="77777777">
            <w:pPr>
              <w:jc w:val="center"/>
              <w:rPr>
                <w:sz w:val="24"/>
                <w:szCs w:val="24"/>
              </w:rPr>
            </w:pPr>
          </w:p>
          <w:p w:rsidR="00423D91" w:rsidP="00F649C5" w:rsidRDefault="00423D91" w14:paraId="32D4F0E2" w14:textId="77777777">
            <w:pPr>
              <w:jc w:val="center"/>
              <w:rPr>
                <w:sz w:val="24"/>
                <w:szCs w:val="24"/>
              </w:rPr>
            </w:pPr>
          </w:p>
          <w:p w:rsidR="00423D91" w:rsidP="00F649C5" w:rsidRDefault="00423D91" w14:paraId="145E4C25" w14:textId="215EC40A">
            <w:pPr>
              <w:jc w:val="center"/>
              <w:rPr>
                <w:sz w:val="24"/>
                <w:szCs w:val="24"/>
              </w:rPr>
            </w:pPr>
            <w:r>
              <w:rPr>
                <w:sz w:val="24"/>
                <w:szCs w:val="24"/>
              </w:rPr>
              <w:t>Verified</w:t>
            </w:r>
          </w:p>
          <w:p w:rsidR="00423D91" w:rsidP="00F649C5" w:rsidRDefault="00423D91" w14:paraId="744E67A8" w14:textId="77777777">
            <w:pPr>
              <w:jc w:val="center"/>
              <w:rPr>
                <w:sz w:val="24"/>
                <w:szCs w:val="24"/>
              </w:rPr>
            </w:pPr>
          </w:p>
          <w:p w:rsidR="00423D91" w:rsidP="00F649C5" w:rsidRDefault="00423D91" w14:paraId="2C030C96" w14:textId="77777777">
            <w:pPr>
              <w:jc w:val="center"/>
              <w:rPr>
                <w:sz w:val="24"/>
                <w:szCs w:val="24"/>
              </w:rPr>
            </w:pPr>
          </w:p>
          <w:p w:rsidR="00423D91" w:rsidP="00F649C5" w:rsidRDefault="00423D91" w14:paraId="769F0A72" w14:textId="77777777">
            <w:pPr>
              <w:jc w:val="center"/>
              <w:rPr>
                <w:sz w:val="24"/>
                <w:szCs w:val="24"/>
              </w:rPr>
            </w:pPr>
          </w:p>
          <w:p w:rsidR="00423D91" w:rsidP="00F649C5" w:rsidRDefault="00423D91" w14:paraId="6EB342AE" w14:textId="77777777">
            <w:pPr>
              <w:jc w:val="center"/>
              <w:rPr>
                <w:sz w:val="24"/>
                <w:szCs w:val="24"/>
              </w:rPr>
            </w:pPr>
          </w:p>
          <w:p w:rsidR="00423D91" w:rsidP="00F649C5" w:rsidRDefault="00423D91" w14:paraId="4157FE32" w14:textId="77777777">
            <w:pPr>
              <w:jc w:val="center"/>
              <w:rPr>
                <w:sz w:val="24"/>
                <w:szCs w:val="24"/>
              </w:rPr>
            </w:pPr>
          </w:p>
          <w:p w:rsidR="00423D91" w:rsidP="00F649C5" w:rsidRDefault="00423D91" w14:paraId="3B6871B1" w14:textId="77777777">
            <w:pPr>
              <w:jc w:val="center"/>
              <w:rPr>
                <w:sz w:val="24"/>
                <w:szCs w:val="24"/>
              </w:rPr>
            </w:pPr>
          </w:p>
          <w:p w:rsidR="00423D91" w:rsidP="00F649C5" w:rsidRDefault="00423D91" w14:paraId="61DF7ACC" w14:textId="77777777">
            <w:pPr>
              <w:jc w:val="center"/>
              <w:rPr>
                <w:sz w:val="24"/>
                <w:szCs w:val="24"/>
              </w:rPr>
            </w:pPr>
          </w:p>
          <w:p w:rsidR="00423D91" w:rsidP="00F649C5" w:rsidRDefault="00423D91" w14:paraId="4AC03E27" w14:textId="77777777">
            <w:pPr>
              <w:jc w:val="center"/>
              <w:rPr>
                <w:sz w:val="24"/>
                <w:szCs w:val="24"/>
              </w:rPr>
            </w:pPr>
          </w:p>
          <w:p w:rsidR="00423D91" w:rsidP="00F649C5" w:rsidRDefault="00423D91" w14:paraId="169BC62E" w14:textId="77777777">
            <w:pPr>
              <w:jc w:val="center"/>
              <w:rPr>
                <w:sz w:val="24"/>
                <w:szCs w:val="24"/>
              </w:rPr>
            </w:pPr>
          </w:p>
          <w:p w:rsidR="00423D91" w:rsidP="00F649C5" w:rsidRDefault="00423D91" w14:paraId="55C8AAE7" w14:textId="77777777">
            <w:pPr>
              <w:jc w:val="center"/>
              <w:rPr>
                <w:sz w:val="24"/>
                <w:szCs w:val="24"/>
              </w:rPr>
            </w:pPr>
          </w:p>
          <w:p w:rsidR="00423D91" w:rsidP="00F649C5" w:rsidRDefault="00423D91" w14:paraId="5C302403" w14:textId="77777777">
            <w:pPr>
              <w:jc w:val="center"/>
              <w:rPr>
                <w:sz w:val="24"/>
                <w:szCs w:val="24"/>
              </w:rPr>
            </w:pPr>
          </w:p>
          <w:p w:rsidR="00423D91" w:rsidP="00F649C5" w:rsidRDefault="00423D91" w14:paraId="30BE9B5C" w14:textId="0115C3BE">
            <w:pPr>
              <w:jc w:val="center"/>
              <w:rPr>
                <w:sz w:val="24"/>
                <w:szCs w:val="24"/>
              </w:rPr>
            </w:pPr>
            <w:r>
              <w:rPr>
                <w:sz w:val="24"/>
                <w:szCs w:val="24"/>
              </w:rPr>
              <w:t>Verified</w:t>
            </w:r>
          </w:p>
          <w:p w:rsidR="002230BA" w:rsidP="00F649C5" w:rsidRDefault="002230BA" w14:paraId="25E7F342" w14:textId="1ED6D08F">
            <w:pPr>
              <w:jc w:val="center"/>
              <w:rPr>
                <w:sz w:val="24"/>
                <w:szCs w:val="24"/>
              </w:rPr>
            </w:pPr>
          </w:p>
          <w:p w:rsidR="002230BA" w:rsidP="00F649C5" w:rsidRDefault="002230BA" w14:paraId="09C7248D" w14:textId="77777777">
            <w:pPr>
              <w:jc w:val="center"/>
              <w:rPr>
                <w:sz w:val="24"/>
                <w:szCs w:val="24"/>
              </w:rPr>
            </w:pPr>
          </w:p>
          <w:p w:rsidR="002230BA" w:rsidP="00F649C5" w:rsidRDefault="002230BA" w14:paraId="0CDB758E" w14:textId="77777777">
            <w:pPr>
              <w:jc w:val="center"/>
              <w:rPr>
                <w:sz w:val="24"/>
                <w:szCs w:val="24"/>
              </w:rPr>
            </w:pPr>
          </w:p>
          <w:p w:rsidR="002230BA" w:rsidP="00F649C5" w:rsidRDefault="002230BA" w14:paraId="68F7B364" w14:textId="77777777">
            <w:pPr>
              <w:jc w:val="center"/>
              <w:rPr>
                <w:sz w:val="24"/>
                <w:szCs w:val="24"/>
              </w:rPr>
            </w:pPr>
          </w:p>
          <w:p w:rsidR="002230BA" w:rsidP="00F649C5" w:rsidRDefault="002230BA" w14:paraId="6DBE9EF8" w14:textId="77777777">
            <w:pPr>
              <w:jc w:val="center"/>
              <w:rPr>
                <w:sz w:val="24"/>
                <w:szCs w:val="24"/>
              </w:rPr>
            </w:pPr>
          </w:p>
          <w:p w:rsidR="002230BA" w:rsidP="00F649C5" w:rsidRDefault="002230BA" w14:paraId="356D75DD" w14:textId="77777777">
            <w:pPr>
              <w:jc w:val="center"/>
              <w:rPr>
                <w:sz w:val="24"/>
                <w:szCs w:val="24"/>
              </w:rPr>
            </w:pPr>
          </w:p>
          <w:p w:rsidR="002230BA" w:rsidP="00F649C5" w:rsidRDefault="002230BA" w14:paraId="5BC3E856" w14:textId="3153F9E9">
            <w:pPr>
              <w:jc w:val="center"/>
              <w:rPr>
                <w:sz w:val="24"/>
                <w:szCs w:val="24"/>
              </w:rPr>
            </w:pPr>
            <w:r>
              <w:rPr>
                <w:sz w:val="24"/>
                <w:szCs w:val="24"/>
              </w:rPr>
              <w:lastRenderedPageBreak/>
              <w:t>Verified</w:t>
            </w:r>
          </w:p>
          <w:p w:rsidR="002230BA" w:rsidP="00F649C5" w:rsidRDefault="002230BA" w14:paraId="0F476A69" w14:textId="77777777">
            <w:pPr>
              <w:jc w:val="center"/>
              <w:rPr>
                <w:sz w:val="24"/>
                <w:szCs w:val="24"/>
              </w:rPr>
            </w:pPr>
          </w:p>
          <w:p w:rsidR="002230BA" w:rsidP="00F649C5" w:rsidRDefault="002230BA" w14:paraId="79F401B1" w14:textId="77777777">
            <w:pPr>
              <w:jc w:val="center"/>
              <w:rPr>
                <w:sz w:val="24"/>
                <w:szCs w:val="24"/>
              </w:rPr>
            </w:pPr>
          </w:p>
          <w:p w:rsidR="002230BA" w:rsidP="00F649C5" w:rsidRDefault="002230BA" w14:paraId="78C333DA" w14:textId="77777777">
            <w:pPr>
              <w:jc w:val="center"/>
              <w:rPr>
                <w:sz w:val="24"/>
                <w:szCs w:val="24"/>
              </w:rPr>
            </w:pPr>
          </w:p>
          <w:p w:rsidR="002230BA" w:rsidP="00F649C5" w:rsidRDefault="002230BA" w14:paraId="3AF6FC49" w14:textId="77777777">
            <w:pPr>
              <w:jc w:val="center"/>
              <w:rPr>
                <w:sz w:val="24"/>
                <w:szCs w:val="24"/>
              </w:rPr>
            </w:pPr>
          </w:p>
          <w:p w:rsidR="002230BA" w:rsidP="00F649C5" w:rsidRDefault="002230BA" w14:paraId="2187E68C" w14:textId="77777777">
            <w:pPr>
              <w:jc w:val="center"/>
              <w:rPr>
                <w:sz w:val="24"/>
                <w:szCs w:val="24"/>
              </w:rPr>
            </w:pPr>
          </w:p>
          <w:p w:rsidR="002230BA" w:rsidP="00F649C5" w:rsidRDefault="002230BA" w14:paraId="3997364F" w14:textId="77777777">
            <w:pPr>
              <w:jc w:val="center"/>
              <w:rPr>
                <w:sz w:val="24"/>
                <w:szCs w:val="24"/>
              </w:rPr>
            </w:pPr>
          </w:p>
          <w:p w:rsidR="002230BA" w:rsidP="00F649C5" w:rsidRDefault="002230BA" w14:paraId="42D949E8" w14:textId="00714B04">
            <w:pPr>
              <w:jc w:val="center"/>
              <w:rPr>
                <w:sz w:val="24"/>
                <w:szCs w:val="24"/>
              </w:rPr>
            </w:pPr>
            <w:r>
              <w:rPr>
                <w:sz w:val="24"/>
                <w:szCs w:val="24"/>
              </w:rPr>
              <w:t>Verified</w:t>
            </w:r>
          </w:p>
          <w:p w:rsidR="002230BA" w:rsidP="00F649C5" w:rsidRDefault="002230BA" w14:paraId="5A695D97" w14:textId="77777777">
            <w:pPr>
              <w:jc w:val="center"/>
              <w:rPr>
                <w:sz w:val="24"/>
                <w:szCs w:val="24"/>
              </w:rPr>
            </w:pPr>
          </w:p>
          <w:p w:rsidR="002230BA" w:rsidP="00F649C5" w:rsidRDefault="002230BA" w14:paraId="666E2F81" w14:textId="77777777">
            <w:pPr>
              <w:jc w:val="center"/>
              <w:rPr>
                <w:sz w:val="24"/>
                <w:szCs w:val="24"/>
              </w:rPr>
            </w:pPr>
          </w:p>
          <w:p w:rsidR="002230BA" w:rsidP="00F649C5" w:rsidRDefault="002230BA" w14:paraId="1777334D" w14:textId="77777777">
            <w:pPr>
              <w:jc w:val="center"/>
              <w:rPr>
                <w:sz w:val="24"/>
                <w:szCs w:val="24"/>
              </w:rPr>
            </w:pPr>
          </w:p>
          <w:p w:rsidR="002230BA" w:rsidP="00F649C5" w:rsidRDefault="002230BA" w14:paraId="0723F6D9" w14:textId="77777777">
            <w:pPr>
              <w:jc w:val="center"/>
              <w:rPr>
                <w:sz w:val="24"/>
                <w:szCs w:val="24"/>
              </w:rPr>
            </w:pPr>
          </w:p>
          <w:p w:rsidR="002230BA" w:rsidP="00F649C5" w:rsidRDefault="002230BA" w14:paraId="63B89A79" w14:textId="77777777">
            <w:pPr>
              <w:jc w:val="center"/>
              <w:rPr>
                <w:sz w:val="24"/>
                <w:szCs w:val="24"/>
              </w:rPr>
            </w:pPr>
          </w:p>
          <w:p w:rsidR="002230BA" w:rsidP="00F649C5" w:rsidRDefault="002230BA" w14:paraId="0AECB5CD" w14:textId="77777777">
            <w:pPr>
              <w:jc w:val="center"/>
              <w:rPr>
                <w:sz w:val="24"/>
                <w:szCs w:val="24"/>
              </w:rPr>
            </w:pPr>
          </w:p>
          <w:p w:rsidR="002230BA" w:rsidP="00F649C5" w:rsidRDefault="002230BA" w14:paraId="4D682B89" w14:textId="77777777">
            <w:pPr>
              <w:jc w:val="center"/>
              <w:rPr>
                <w:sz w:val="24"/>
                <w:szCs w:val="24"/>
              </w:rPr>
            </w:pPr>
          </w:p>
          <w:p w:rsidR="002230BA" w:rsidP="00F649C5" w:rsidRDefault="002230BA" w14:paraId="2C5607D0" w14:textId="77777777">
            <w:pPr>
              <w:jc w:val="center"/>
              <w:rPr>
                <w:sz w:val="24"/>
                <w:szCs w:val="24"/>
              </w:rPr>
            </w:pPr>
          </w:p>
          <w:p w:rsidR="002230BA" w:rsidP="00F649C5" w:rsidRDefault="002230BA" w14:paraId="0D861CFE" w14:textId="77777777">
            <w:pPr>
              <w:jc w:val="center"/>
              <w:rPr>
                <w:sz w:val="24"/>
                <w:szCs w:val="24"/>
              </w:rPr>
            </w:pPr>
          </w:p>
          <w:p w:rsidR="002230BA" w:rsidP="00F649C5" w:rsidRDefault="002230BA" w14:paraId="09CC72B4" w14:textId="77777777">
            <w:pPr>
              <w:jc w:val="center"/>
              <w:rPr>
                <w:sz w:val="24"/>
                <w:szCs w:val="24"/>
              </w:rPr>
            </w:pPr>
          </w:p>
          <w:p w:rsidR="002230BA" w:rsidP="00F649C5" w:rsidRDefault="002230BA" w14:paraId="0B0B9D1E" w14:textId="3FD9FEBF">
            <w:pPr>
              <w:jc w:val="center"/>
              <w:rPr>
                <w:sz w:val="24"/>
                <w:szCs w:val="24"/>
              </w:rPr>
            </w:pPr>
            <w:r>
              <w:rPr>
                <w:sz w:val="24"/>
                <w:szCs w:val="24"/>
              </w:rPr>
              <w:t>Verified</w:t>
            </w:r>
          </w:p>
          <w:p w:rsidR="00423D91" w:rsidP="00F649C5" w:rsidRDefault="00423D91" w14:paraId="28C7A901" w14:textId="77777777">
            <w:pPr>
              <w:jc w:val="center"/>
              <w:rPr>
                <w:sz w:val="24"/>
                <w:szCs w:val="24"/>
              </w:rPr>
            </w:pPr>
          </w:p>
          <w:p w:rsidR="00423D91" w:rsidP="00F649C5" w:rsidRDefault="00423D91" w14:paraId="5B4BA7A1" w14:textId="77777777">
            <w:pPr>
              <w:jc w:val="center"/>
              <w:rPr>
                <w:sz w:val="24"/>
                <w:szCs w:val="24"/>
              </w:rPr>
            </w:pPr>
          </w:p>
          <w:p w:rsidR="00423D91" w:rsidP="00F649C5" w:rsidRDefault="00423D91" w14:paraId="179A2A94" w14:textId="77777777">
            <w:pPr>
              <w:jc w:val="center"/>
              <w:rPr>
                <w:sz w:val="24"/>
                <w:szCs w:val="24"/>
              </w:rPr>
            </w:pPr>
          </w:p>
          <w:p w:rsidR="00423D91" w:rsidP="00F649C5" w:rsidRDefault="00423D91" w14:paraId="525788A7" w14:textId="77777777">
            <w:pPr>
              <w:jc w:val="center"/>
              <w:rPr>
                <w:sz w:val="24"/>
                <w:szCs w:val="24"/>
              </w:rPr>
            </w:pPr>
          </w:p>
          <w:p w:rsidR="00423D91" w:rsidP="00F649C5" w:rsidRDefault="00423D91" w14:paraId="58F4BA60" w14:textId="77777777">
            <w:pPr>
              <w:jc w:val="center"/>
              <w:rPr>
                <w:sz w:val="24"/>
                <w:szCs w:val="24"/>
              </w:rPr>
            </w:pPr>
          </w:p>
          <w:p w:rsidR="00423D91" w:rsidP="00F649C5" w:rsidRDefault="00423D91" w14:paraId="4DEE02CE" w14:textId="77777777">
            <w:pPr>
              <w:jc w:val="center"/>
              <w:rPr>
                <w:sz w:val="24"/>
                <w:szCs w:val="24"/>
              </w:rPr>
            </w:pPr>
          </w:p>
          <w:p w:rsidR="00423D91" w:rsidP="00F649C5" w:rsidRDefault="00423D91" w14:paraId="5E0DF8DF" w14:textId="77777777">
            <w:pPr>
              <w:jc w:val="center"/>
              <w:rPr>
                <w:sz w:val="24"/>
                <w:szCs w:val="24"/>
              </w:rPr>
            </w:pPr>
          </w:p>
          <w:p w:rsidRPr="006756BC" w:rsidR="00423D91" w:rsidP="00F649C5" w:rsidRDefault="00423D91" w14:paraId="08EFEA85" w14:textId="7FD8E582">
            <w:pPr>
              <w:jc w:val="center"/>
              <w:rPr>
                <w:sz w:val="24"/>
                <w:szCs w:val="24"/>
              </w:rPr>
            </w:pPr>
          </w:p>
        </w:tc>
      </w:tr>
    </w:tbl>
    <w:p w:rsidRPr="006756BC" w:rsidR="00625B30" w:rsidRDefault="00625B30" w14:paraId="6DAC5D2E" w14:textId="77777777"/>
    <w:p w:rsidRPr="006756BC" w:rsidR="00625B30" w:rsidP="00625B30" w:rsidRDefault="00625B30" w14:paraId="47A7A716" w14:textId="415CF369">
      <w:pPr>
        <w:keepNext/>
        <w:numPr>
          <w:ilvl w:val="0"/>
          <w:numId w:val="2"/>
        </w:numPr>
        <w:spacing w:before="240" w:after="240"/>
        <w:rPr>
          <w:b/>
          <w:color w:val="000000"/>
        </w:rPr>
      </w:pPr>
      <w:r w:rsidRPr="006756BC">
        <w:rPr>
          <w:b/>
          <w:color w:val="000000"/>
        </w:rPr>
        <w:lastRenderedPageBreak/>
        <w:t>Duplication of Effort (§ 1801.3(f) and § 1802.5):</w:t>
      </w: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6048"/>
        <w:gridCol w:w="1710"/>
        <w:gridCol w:w="1980"/>
      </w:tblGrid>
      <w:tr w:rsidRPr="006756BC" w:rsidR="00625B30" w:rsidTr="00F71EE8" w14:paraId="5289BD89" w14:textId="77777777">
        <w:tc>
          <w:tcPr>
            <w:tcW w:w="6048" w:type="dxa"/>
            <w:shd w:val="clear" w:color="auto" w:fill="D9D9D9" w:themeFill="background1" w:themeFillShade="D9"/>
          </w:tcPr>
          <w:p w:rsidRPr="006756BC" w:rsidR="00625B30" w:rsidP="00625B30" w:rsidRDefault="00625B30" w14:paraId="003FE68B" w14:textId="77777777">
            <w:pPr>
              <w:keepNext/>
              <w:keepLines/>
              <w:rPr>
                <w:color w:val="000000"/>
              </w:rPr>
            </w:pPr>
          </w:p>
        </w:tc>
        <w:tc>
          <w:tcPr>
            <w:tcW w:w="1710" w:type="dxa"/>
            <w:tcBorders>
              <w:bottom w:val="single" w:color="auto" w:sz="4" w:space="0"/>
            </w:tcBorders>
            <w:shd w:val="clear" w:color="auto" w:fill="D9D9D9" w:themeFill="background1" w:themeFillShade="D9"/>
          </w:tcPr>
          <w:p w:rsidRPr="006756BC" w:rsidR="00625B30" w:rsidP="00625B30" w:rsidRDefault="00625B30" w14:paraId="2E7C1F0A" w14:textId="77777777">
            <w:pPr>
              <w:keepNext/>
              <w:keepLines/>
              <w:jc w:val="center"/>
              <w:rPr>
                <w:b/>
                <w:color w:val="000000"/>
              </w:rPr>
            </w:pPr>
            <w:r w:rsidRPr="006756BC">
              <w:rPr>
                <w:b/>
                <w:color w:val="000000"/>
              </w:rPr>
              <w:t>Intervenor’s Assertion</w:t>
            </w:r>
          </w:p>
        </w:tc>
        <w:tc>
          <w:tcPr>
            <w:tcW w:w="1980" w:type="dxa"/>
            <w:shd w:val="clear" w:color="auto" w:fill="D9D9D9" w:themeFill="background1" w:themeFillShade="D9"/>
          </w:tcPr>
          <w:p w:rsidRPr="006756BC" w:rsidR="00625B30" w:rsidP="00625B30" w:rsidRDefault="00625B30" w14:paraId="6ABF937B" w14:textId="77777777">
            <w:pPr>
              <w:keepNext/>
              <w:keepLines/>
              <w:jc w:val="center"/>
              <w:rPr>
                <w:b/>
                <w:color w:val="000000"/>
              </w:rPr>
            </w:pPr>
            <w:r w:rsidRPr="006756BC">
              <w:rPr>
                <w:b/>
                <w:color w:val="000000"/>
              </w:rPr>
              <w:t>CPUC Discussion</w:t>
            </w:r>
          </w:p>
        </w:tc>
      </w:tr>
      <w:tr w:rsidRPr="006756BC" w:rsidR="00625B30" w:rsidTr="00E82B0F" w14:paraId="0398D72D" w14:textId="77777777">
        <w:tc>
          <w:tcPr>
            <w:tcW w:w="6048" w:type="dxa"/>
          </w:tcPr>
          <w:p w:rsidRPr="006756BC" w:rsidR="00625B30" w:rsidP="00625B30" w:rsidRDefault="00625B30" w14:paraId="0939012C" w14:textId="3FE57A0B">
            <w:pPr>
              <w:keepLines/>
              <w:ind w:left="360" w:hanging="360"/>
              <w:rPr>
                <w:b/>
                <w:color w:val="000000"/>
              </w:rPr>
            </w:pPr>
            <w:r w:rsidRPr="006756BC">
              <w:rPr>
                <w:b/>
                <w:color w:val="000000"/>
              </w:rPr>
              <w:t>a.</w:t>
            </w:r>
            <w:r w:rsidRPr="006756BC">
              <w:rPr>
                <w:b/>
                <w:color w:val="000000"/>
              </w:rPr>
              <w:tab/>
            </w:r>
            <w:r w:rsidRPr="006756BC">
              <w:rPr>
                <w:b/>
              </w:rPr>
              <w:t xml:space="preserve">Was the </w:t>
            </w:r>
            <w:r w:rsidRPr="006756BC">
              <w:rPr>
                <w:b/>
                <w:color w:val="000000"/>
              </w:rPr>
              <w:t>Public Advocate’s Office of the Public Utilities Commission</w:t>
            </w:r>
            <w:r w:rsidRPr="006756BC">
              <w:rPr>
                <w:b/>
              </w:rPr>
              <w:t xml:space="preserve"> </w:t>
            </w:r>
            <w:r w:rsidRPr="006756BC">
              <w:rPr>
                <w:b/>
                <w:color w:val="000000"/>
              </w:rPr>
              <w:t>(Cal Advocates</w:t>
            </w:r>
            <w:r w:rsidRPr="006756BC">
              <w:rPr>
                <w:b/>
              </w:rPr>
              <w:t>) a party to the proceeding</w:t>
            </w:r>
            <w:r w:rsidRPr="006756BC">
              <w:rPr>
                <w:b/>
                <w:color w:val="000000"/>
              </w:rPr>
              <w:t>?</w:t>
            </w:r>
          </w:p>
        </w:tc>
        <w:tc>
          <w:tcPr>
            <w:tcW w:w="1710" w:type="dxa"/>
          </w:tcPr>
          <w:p w:rsidRPr="006756BC" w:rsidR="00625B30" w:rsidP="00625B30" w:rsidRDefault="00625B30" w14:paraId="6AEEA4A3" w14:textId="77777777">
            <w:pPr>
              <w:keepNext/>
              <w:keepLines/>
              <w:rPr>
                <w:color w:val="000000"/>
              </w:rPr>
            </w:pPr>
            <w:r w:rsidRPr="00D470E2">
              <w:rPr>
                <w:color w:val="000000"/>
              </w:rPr>
              <w:t>Yes.</w:t>
            </w:r>
          </w:p>
        </w:tc>
        <w:tc>
          <w:tcPr>
            <w:tcW w:w="1980" w:type="dxa"/>
          </w:tcPr>
          <w:p w:rsidRPr="006756BC" w:rsidR="00625B30" w:rsidP="00E82B0F" w:rsidRDefault="00E82B0F" w14:paraId="602EEF22" w14:textId="60779C7B">
            <w:pPr>
              <w:keepNext/>
              <w:keepLines/>
              <w:jc w:val="center"/>
              <w:rPr>
                <w:color w:val="000000"/>
              </w:rPr>
            </w:pPr>
            <w:r>
              <w:rPr>
                <w:color w:val="000000"/>
              </w:rPr>
              <w:t>Verified</w:t>
            </w:r>
          </w:p>
        </w:tc>
      </w:tr>
      <w:tr w:rsidRPr="006756BC" w:rsidR="00625B30" w:rsidTr="00E82B0F" w14:paraId="14CDEB43" w14:textId="77777777">
        <w:tc>
          <w:tcPr>
            <w:tcW w:w="6048" w:type="dxa"/>
          </w:tcPr>
          <w:p w:rsidRPr="006756BC" w:rsidR="00625B30" w:rsidP="00625B30" w:rsidRDefault="00625B30" w14:paraId="19839B70" w14:textId="77777777">
            <w:pPr>
              <w:tabs>
                <w:tab w:val="left" w:pos="360"/>
              </w:tabs>
              <w:ind w:left="360" w:hanging="360"/>
              <w:rPr>
                <w:b/>
                <w:color w:val="000000"/>
              </w:rPr>
            </w:pPr>
            <w:r w:rsidRPr="006756BC">
              <w:rPr>
                <w:b/>
                <w:color w:val="000000"/>
              </w:rPr>
              <w:t>b.</w:t>
            </w:r>
            <w:r w:rsidRPr="006756BC">
              <w:rPr>
                <w:b/>
                <w:color w:val="000000"/>
              </w:rPr>
              <w:tab/>
              <w:t xml:space="preserve">Were there other parties to </w:t>
            </w:r>
            <w:proofErr w:type="gramStart"/>
            <w:r w:rsidRPr="006756BC">
              <w:rPr>
                <w:b/>
                <w:color w:val="000000"/>
              </w:rPr>
              <w:t>the proceeding</w:t>
            </w:r>
            <w:proofErr w:type="gramEnd"/>
            <w:r w:rsidRPr="006756BC">
              <w:rPr>
                <w:b/>
                <w:color w:val="000000"/>
              </w:rPr>
              <w:t xml:space="preserve"> with positions </w:t>
            </w:r>
            <w:proofErr w:type="gramStart"/>
            <w:r w:rsidRPr="006756BC">
              <w:rPr>
                <w:b/>
                <w:color w:val="000000"/>
              </w:rPr>
              <w:t>similar to</w:t>
            </w:r>
            <w:proofErr w:type="gramEnd"/>
            <w:r w:rsidRPr="006756BC">
              <w:rPr>
                <w:b/>
                <w:color w:val="000000"/>
              </w:rPr>
              <w:t xml:space="preserve"> yours? </w:t>
            </w:r>
          </w:p>
        </w:tc>
        <w:tc>
          <w:tcPr>
            <w:tcW w:w="1710" w:type="dxa"/>
          </w:tcPr>
          <w:p w:rsidRPr="006756BC" w:rsidR="00625B30" w:rsidP="00625B30" w:rsidRDefault="00625B30" w14:paraId="68EED31A" w14:textId="77777777">
            <w:pPr>
              <w:rPr>
                <w:color w:val="000000"/>
              </w:rPr>
            </w:pPr>
            <w:r w:rsidRPr="00D470E2">
              <w:rPr>
                <w:color w:val="000000"/>
              </w:rPr>
              <w:t>Yes.</w:t>
            </w:r>
          </w:p>
        </w:tc>
        <w:tc>
          <w:tcPr>
            <w:tcW w:w="1980" w:type="dxa"/>
          </w:tcPr>
          <w:p w:rsidRPr="006756BC" w:rsidR="00625B30" w:rsidP="00E82B0F" w:rsidRDefault="00E82B0F" w14:paraId="2D258E39" w14:textId="73027F97">
            <w:pPr>
              <w:jc w:val="center"/>
              <w:rPr>
                <w:color w:val="000000"/>
              </w:rPr>
            </w:pPr>
            <w:r>
              <w:rPr>
                <w:color w:val="000000"/>
              </w:rPr>
              <w:t>Verified</w:t>
            </w:r>
          </w:p>
        </w:tc>
      </w:tr>
      <w:tr w:rsidRPr="006756BC" w:rsidR="00625B30" w:rsidTr="00E82B0F" w14:paraId="09B667B4" w14:textId="77777777">
        <w:tc>
          <w:tcPr>
            <w:tcW w:w="7758" w:type="dxa"/>
            <w:gridSpan w:val="2"/>
          </w:tcPr>
          <w:p w:rsidRPr="006756BC" w:rsidR="00516669" w:rsidP="00516669" w:rsidRDefault="00625B30" w14:paraId="2E3E6107" w14:textId="3279FEBB">
            <w:pPr>
              <w:ind w:left="360" w:hanging="360"/>
              <w:rPr>
                <w:color w:val="000000"/>
              </w:rPr>
            </w:pPr>
            <w:r w:rsidRPr="006756BC">
              <w:rPr>
                <w:b/>
                <w:color w:val="000000"/>
              </w:rPr>
              <w:t>c.</w:t>
            </w:r>
            <w:r w:rsidRPr="006756BC">
              <w:rPr>
                <w:b/>
                <w:color w:val="000000"/>
              </w:rPr>
              <w:tab/>
              <w:t>If so, provide name of other parties:</w:t>
            </w:r>
            <w:r w:rsidRPr="006756BC">
              <w:rPr>
                <w:color w:val="000000"/>
              </w:rPr>
              <w:t xml:space="preserve"> </w:t>
            </w:r>
            <w:r w:rsidR="00516669">
              <w:rPr>
                <w:color w:val="000000"/>
              </w:rPr>
              <w:t xml:space="preserve">  Indicated Shippers</w:t>
            </w:r>
          </w:p>
          <w:p w:rsidRPr="006756BC" w:rsidR="00625B30" w:rsidP="00F71EE8" w:rsidRDefault="00625B30" w14:paraId="1A8496F9" w14:textId="77777777">
            <w:pPr>
              <w:ind w:left="360" w:hanging="360"/>
              <w:rPr>
                <w:color w:val="000000"/>
              </w:rPr>
            </w:pPr>
          </w:p>
        </w:tc>
        <w:tc>
          <w:tcPr>
            <w:tcW w:w="1980" w:type="dxa"/>
          </w:tcPr>
          <w:p w:rsidRPr="006756BC" w:rsidR="00625B30" w:rsidP="00E82B0F" w:rsidRDefault="00E82B0F" w14:paraId="6BA08FB8" w14:textId="5B9A8C67">
            <w:pPr>
              <w:jc w:val="center"/>
              <w:rPr>
                <w:color w:val="000000"/>
              </w:rPr>
            </w:pPr>
            <w:r>
              <w:rPr>
                <w:color w:val="000000"/>
              </w:rPr>
              <w:t>Verified</w:t>
            </w:r>
          </w:p>
        </w:tc>
      </w:tr>
      <w:tr w:rsidRPr="006756BC" w:rsidR="00625B30" w:rsidTr="00E82B0F" w14:paraId="69B28CF2" w14:textId="77777777">
        <w:tc>
          <w:tcPr>
            <w:tcW w:w="7758" w:type="dxa"/>
            <w:gridSpan w:val="2"/>
          </w:tcPr>
          <w:p w:rsidRPr="006756BC" w:rsidR="00625B30" w:rsidP="00625B30" w:rsidRDefault="00625B30" w14:paraId="35B52069" w14:textId="1ADE0255">
            <w:pPr>
              <w:tabs>
                <w:tab w:val="left" w:pos="360"/>
              </w:tabs>
              <w:ind w:left="360" w:hanging="21"/>
              <w:rPr>
                <w:color w:val="000000"/>
              </w:rPr>
            </w:pPr>
            <w:r w:rsidRPr="006756BC">
              <w:rPr>
                <w:b/>
                <w:color w:val="000000"/>
              </w:rPr>
              <w:t>d.</w:t>
            </w:r>
            <w:r w:rsidRPr="006756BC">
              <w:rPr>
                <w:b/>
                <w:color w:val="000000"/>
              </w:rPr>
              <w:tab/>
              <w:t>Intervenor’s claim of non-duplication:</w:t>
            </w:r>
            <w:r w:rsidRPr="006756BC">
              <w:rPr>
                <w:color w:val="000000"/>
              </w:rPr>
              <w:t xml:space="preserve"> </w:t>
            </w:r>
          </w:p>
          <w:p w:rsidRPr="006756BC" w:rsidR="00625B30" w:rsidP="00625B30" w:rsidRDefault="00625B30" w14:paraId="00A92295" w14:textId="77777777">
            <w:pPr>
              <w:tabs>
                <w:tab w:val="left" w:pos="360"/>
              </w:tabs>
              <w:ind w:left="360" w:hanging="21"/>
              <w:rPr>
                <w:color w:val="000000"/>
              </w:rPr>
            </w:pPr>
          </w:p>
          <w:p w:rsidR="004B53EB" w:rsidP="00625B30" w:rsidRDefault="00646A8B" w14:paraId="4A0FE752" w14:textId="6FB06FB5">
            <w:pPr>
              <w:tabs>
                <w:tab w:val="left" w:pos="360"/>
              </w:tabs>
              <w:ind w:left="360" w:hanging="21"/>
              <w:rPr>
                <w:color w:val="000000"/>
              </w:rPr>
            </w:pPr>
            <w:r>
              <w:rPr>
                <w:color w:val="000000"/>
              </w:rPr>
              <w:t xml:space="preserve">Cal Advocates </w:t>
            </w:r>
            <w:r w:rsidR="009D751A">
              <w:rPr>
                <w:color w:val="000000"/>
              </w:rPr>
              <w:t>was much less active than TURN in this proceeding.  Whereas TURN submitted three volumes of testimony, Cal Advocates offered a single volume</w:t>
            </w:r>
            <w:r w:rsidR="004D1E97">
              <w:rPr>
                <w:color w:val="000000"/>
              </w:rPr>
              <w:t xml:space="preserve">, four pages long.  </w:t>
            </w:r>
            <w:r w:rsidR="007F57E8">
              <w:rPr>
                <w:color w:val="000000"/>
              </w:rPr>
              <w:t xml:space="preserve">Further, there was no overlap between Cal Advocates’ recommendations and TURN’s.  </w:t>
            </w:r>
            <w:r w:rsidR="005568AB">
              <w:rPr>
                <w:color w:val="000000"/>
              </w:rPr>
              <w:t>Cal Advocates challenge</w:t>
            </w:r>
            <w:r w:rsidR="006569CB">
              <w:rPr>
                <w:color w:val="000000"/>
              </w:rPr>
              <w:t>d</w:t>
            </w:r>
            <w:r w:rsidR="005568AB">
              <w:rPr>
                <w:color w:val="000000"/>
              </w:rPr>
              <w:t xml:space="preserve"> PG&amp;E’s cost allocation entirely to gas customers; recommended a debt rate of return on PG&amp;E’s proposed regulatory asset; and suggested the addition of a stakeholder </w:t>
            </w:r>
            <w:r w:rsidR="004B53EB">
              <w:rPr>
                <w:color w:val="000000"/>
              </w:rPr>
              <w:t xml:space="preserve">input process.  </w:t>
            </w:r>
            <w:r w:rsidR="006569CB">
              <w:rPr>
                <w:color w:val="000000"/>
              </w:rPr>
              <w:t xml:space="preserve">TURN did not oppose allocating costs to gas ratepayers if cost-effective; opposed regulatory asset treatment; and was silent on </w:t>
            </w:r>
            <w:r w:rsidR="00B31659">
              <w:rPr>
                <w:color w:val="000000"/>
              </w:rPr>
              <w:t>stakeholder participation.</w:t>
            </w:r>
          </w:p>
          <w:p w:rsidR="004B53EB" w:rsidP="00625B30" w:rsidRDefault="004B53EB" w14:paraId="69F07A22" w14:textId="77777777">
            <w:pPr>
              <w:tabs>
                <w:tab w:val="left" w:pos="360"/>
              </w:tabs>
              <w:ind w:left="360" w:hanging="21"/>
              <w:rPr>
                <w:color w:val="000000"/>
              </w:rPr>
            </w:pPr>
          </w:p>
          <w:p w:rsidR="00516669" w:rsidP="00625B30" w:rsidRDefault="00516669" w14:paraId="3E1B7239" w14:textId="498A677B">
            <w:pPr>
              <w:tabs>
                <w:tab w:val="left" w:pos="360"/>
              </w:tabs>
              <w:ind w:left="360" w:hanging="21"/>
              <w:rPr>
                <w:color w:val="000000"/>
              </w:rPr>
            </w:pPr>
            <w:r w:rsidRPr="00B31659">
              <w:rPr>
                <w:color w:val="000000"/>
              </w:rPr>
              <w:t>Indicate</w:t>
            </w:r>
            <w:r w:rsidRPr="00B31659" w:rsidR="004B53EB">
              <w:rPr>
                <w:color w:val="000000"/>
              </w:rPr>
              <w:t>d</w:t>
            </w:r>
            <w:r w:rsidRPr="00B31659">
              <w:rPr>
                <w:color w:val="000000"/>
              </w:rPr>
              <w:t xml:space="preserve"> Shippers, like TURN, challenged PG&amp;E’s </w:t>
            </w:r>
            <w:r w:rsidRPr="00B31659" w:rsidR="00421C90">
              <w:rPr>
                <w:color w:val="000000"/>
              </w:rPr>
              <w:t>cost-effectiveness calculations</w:t>
            </w:r>
            <w:r w:rsidRPr="00B31659" w:rsidR="0042269A">
              <w:rPr>
                <w:color w:val="000000"/>
              </w:rPr>
              <w:t xml:space="preserve"> and the proposed project ratemaking</w:t>
            </w:r>
            <w:r w:rsidRPr="00B31659" w:rsidR="00DE4010">
              <w:rPr>
                <w:color w:val="000000"/>
              </w:rPr>
              <w:t>.</w:t>
            </w:r>
            <w:r w:rsidRPr="00B31659" w:rsidR="00F337D7">
              <w:rPr>
                <w:color w:val="000000"/>
              </w:rPr>
              <w:t xml:space="preserve">  However, TURN and Indicated Shippers </w:t>
            </w:r>
            <w:r w:rsidRPr="00B31659" w:rsidR="0042269A">
              <w:rPr>
                <w:color w:val="000000"/>
              </w:rPr>
              <w:t>offered complementary analyses on these issues.  TURN offered a lower cost cap</w:t>
            </w:r>
            <w:r w:rsidRPr="00B31659" w:rsidR="00F337D7">
              <w:rPr>
                <w:color w:val="000000"/>
              </w:rPr>
              <w:t xml:space="preserve"> </w:t>
            </w:r>
            <w:r w:rsidRPr="00B31659" w:rsidR="0042269A">
              <w:rPr>
                <w:color w:val="000000"/>
              </w:rPr>
              <w:t xml:space="preserve">than Indicated Shippers based on TURN’s unique analysis of a reasonable estimate for the gas pipeline project.  TURN focused on issues with PG&amp;E’s NPV analysis, whereas Indicated Shippers provided a PVRR analysis to determine project cost-effectiveness.  </w:t>
            </w:r>
            <w:r w:rsidRPr="00B31659" w:rsidR="00363176">
              <w:rPr>
                <w:color w:val="000000"/>
              </w:rPr>
              <w:t>TURN support</w:t>
            </w:r>
            <w:r w:rsidRPr="00B31659" w:rsidR="0042269A">
              <w:rPr>
                <w:color w:val="000000"/>
              </w:rPr>
              <w:t>ed</w:t>
            </w:r>
            <w:r w:rsidRPr="00B31659" w:rsidR="00363176">
              <w:rPr>
                <w:color w:val="000000"/>
              </w:rPr>
              <w:t xml:space="preserve"> cost recovery </w:t>
            </w:r>
            <w:r w:rsidRPr="00B31659" w:rsidR="007E256E">
              <w:rPr>
                <w:color w:val="000000"/>
              </w:rPr>
              <w:t>from gas ratepayers</w:t>
            </w:r>
            <w:r w:rsidRPr="00B31659" w:rsidR="00363176">
              <w:rPr>
                <w:color w:val="000000"/>
              </w:rPr>
              <w:t xml:space="preserve"> if the project was cost-effective</w:t>
            </w:r>
            <w:r w:rsidRPr="00B31659" w:rsidR="0042269A">
              <w:rPr>
                <w:color w:val="000000"/>
              </w:rPr>
              <w:t xml:space="preserve"> (which would be achieved through a cost cap)</w:t>
            </w:r>
            <w:r w:rsidRPr="00B31659" w:rsidR="00363176">
              <w:rPr>
                <w:color w:val="000000"/>
              </w:rPr>
              <w:t xml:space="preserve">, while Indicated </w:t>
            </w:r>
            <w:r w:rsidRPr="00B31659" w:rsidR="007E256E">
              <w:rPr>
                <w:color w:val="000000"/>
              </w:rPr>
              <w:t>Shippers maintained that gas ratepayer</w:t>
            </w:r>
            <w:r w:rsidRPr="00B31659" w:rsidR="0042269A">
              <w:rPr>
                <w:color w:val="000000"/>
              </w:rPr>
              <w:t>s</w:t>
            </w:r>
            <w:r w:rsidRPr="00B31659" w:rsidR="007E256E">
              <w:rPr>
                <w:color w:val="000000"/>
              </w:rPr>
              <w:t xml:space="preserve"> should not pay for the CSU Monterey Bay project.</w:t>
            </w:r>
            <w:r w:rsidR="007E256E">
              <w:rPr>
                <w:color w:val="000000"/>
              </w:rPr>
              <w:t xml:space="preserve">  </w:t>
            </w:r>
          </w:p>
          <w:p w:rsidR="00516669" w:rsidP="00625B30" w:rsidRDefault="00516669" w14:paraId="336FE2CA" w14:textId="77777777">
            <w:pPr>
              <w:tabs>
                <w:tab w:val="left" w:pos="360"/>
              </w:tabs>
              <w:ind w:left="360" w:hanging="21"/>
              <w:rPr>
                <w:color w:val="000000"/>
              </w:rPr>
            </w:pPr>
          </w:p>
          <w:p w:rsidRPr="006756BC" w:rsidR="00625B30" w:rsidP="00D100BD" w:rsidRDefault="00625B30" w14:paraId="6951DA0D" w14:textId="40158BE8">
            <w:pPr>
              <w:tabs>
                <w:tab w:val="left" w:pos="360"/>
              </w:tabs>
              <w:ind w:left="360" w:hanging="21"/>
              <w:rPr>
                <w:color w:val="000000"/>
              </w:rPr>
            </w:pPr>
            <w:r w:rsidRPr="006756BC">
              <w:rPr>
                <w:color w:val="000000"/>
              </w:rPr>
              <w:t>For these reasons, TURN submits that the Commission should find no undue duplication between TURN’s participation and that of other parties.</w:t>
            </w:r>
          </w:p>
        </w:tc>
        <w:tc>
          <w:tcPr>
            <w:tcW w:w="1980" w:type="dxa"/>
          </w:tcPr>
          <w:p w:rsidR="00625B30" w:rsidP="00E82B0F" w:rsidRDefault="00625B30" w14:paraId="23232CEA" w14:textId="77777777">
            <w:pPr>
              <w:tabs>
                <w:tab w:val="left" w:pos="360"/>
              </w:tabs>
              <w:ind w:left="360" w:hanging="360"/>
              <w:jc w:val="center"/>
              <w:rPr>
                <w:color w:val="000000"/>
              </w:rPr>
            </w:pPr>
          </w:p>
          <w:p w:rsidR="00E82B0F" w:rsidP="00E82B0F" w:rsidRDefault="00E82B0F" w14:paraId="782EDE3D" w14:textId="77777777">
            <w:pPr>
              <w:tabs>
                <w:tab w:val="left" w:pos="360"/>
              </w:tabs>
              <w:ind w:left="360" w:hanging="360"/>
              <w:jc w:val="center"/>
              <w:rPr>
                <w:color w:val="000000"/>
              </w:rPr>
            </w:pPr>
          </w:p>
          <w:p w:rsidRPr="006756BC" w:rsidR="00E82B0F" w:rsidP="00E82B0F" w:rsidRDefault="00E82B0F" w14:paraId="0427108C" w14:textId="46FC251B">
            <w:pPr>
              <w:tabs>
                <w:tab w:val="left" w:pos="360"/>
              </w:tabs>
              <w:ind w:left="360" w:hanging="360"/>
              <w:jc w:val="center"/>
              <w:rPr>
                <w:color w:val="000000"/>
              </w:rPr>
            </w:pPr>
            <w:r>
              <w:rPr>
                <w:color w:val="000000"/>
              </w:rPr>
              <w:t>Noted</w:t>
            </w:r>
          </w:p>
        </w:tc>
      </w:tr>
    </w:tbl>
    <w:p w:rsidR="00E613DE" w:rsidP="00E613DE" w:rsidRDefault="00E613DE" w14:paraId="4725B8CA" w14:textId="77777777"/>
    <w:p w:rsidR="00E613DE" w:rsidP="00E613DE" w:rsidRDefault="00E613DE" w14:paraId="26B95762" w14:textId="77777777"/>
    <w:p w:rsidRPr="006756BC" w:rsidR="00E613DE" w:rsidP="00E613DE" w:rsidRDefault="00E613DE" w14:paraId="16F41897" w14:textId="77777777"/>
    <w:p w:rsidR="004A55FE" w:rsidP="00590DB2" w:rsidRDefault="004A55FE" w14:paraId="6DA98F97" w14:textId="77777777">
      <w:pPr>
        <w:keepNext/>
        <w:keepLines/>
        <w:tabs>
          <w:tab w:val="left" w:pos="1260"/>
        </w:tabs>
        <w:spacing w:before="480"/>
        <w:rPr>
          <w:b/>
          <w:color w:val="000000"/>
        </w:rPr>
      </w:pPr>
    </w:p>
    <w:p w:rsidR="00D959A1" w:rsidP="00D100BD" w:rsidRDefault="00D959A1" w14:paraId="12D22C13" w14:textId="2AD7715E">
      <w:pPr>
        <w:keepNext/>
        <w:keepLines/>
        <w:tabs>
          <w:tab w:val="left" w:pos="1260"/>
        </w:tabs>
        <w:ind w:left="1267" w:hanging="1267"/>
        <w:jc w:val="center"/>
        <w:rPr>
          <w:b/>
          <w:i/>
          <w:color w:val="000000"/>
          <w:u w:val="single"/>
        </w:rPr>
      </w:pPr>
      <w:r w:rsidRPr="00D959A1">
        <w:rPr>
          <w:b/>
          <w:color w:val="000000"/>
        </w:rPr>
        <w:t>PART III</w:t>
      </w:r>
      <w:proofErr w:type="gramStart"/>
      <w:r w:rsidRPr="00D959A1">
        <w:rPr>
          <w:b/>
          <w:color w:val="000000"/>
        </w:rPr>
        <w:t>:  REASONABLENESS</w:t>
      </w:r>
      <w:proofErr w:type="gramEnd"/>
      <w:r w:rsidRPr="00D959A1">
        <w:rPr>
          <w:b/>
          <w:color w:val="000000"/>
        </w:rPr>
        <w:t xml:space="preserve"> OF REQUESTED COMPENSATION</w:t>
      </w:r>
    </w:p>
    <w:p w:rsidRPr="00D959A1" w:rsidR="00D959A1" w:rsidP="00590DB2" w:rsidRDefault="00D959A1" w14:paraId="06068C06" w14:textId="1E53FC6C">
      <w:pPr>
        <w:pStyle w:val="ListParagraph"/>
        <w:keepNext/>
        <w:keepLines/>
        <w:framePr w:wrap="around"/>
        <w:numPr>
          <w:ilvl w:val="0"/>
          <w:numId w:val="19"/>
        </w:numPr>
        <w:tabs>
          <w:tab w:val="left" w:pos="1260"/>
        </w:tabs>
        <w:rPr>
          <w:i/>
          <w:color w:val="000000"/>
          <w:u w:val="single"/>
        </w:rPr>
      </w:pPr>
      <w:r w:rsidRPr="00D959A1">
        <w:rPr>
          <w:b/>
          <w:color w:val="000000"/>
        </w:rPr>
        <w:t>General Claim of Reasonableness (§ 1801 and § 1806)</w:t>
      </w: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7555"/>
        <w:gridCol w:w="2183"/>
      </w:tblGrid>
      <w:tr w:rsidRPr="007F620E" w:rsidR="00D959A1" w:rsidTr="00200B18" w14:paraId="0D80FE1A" w14:textId="77777777">
        <w:trPr>
          <w:tblHeader/>
        </w:trPr>
        <w:tc>
          <w:tcPr>
            <w:tcW w:w="7555" w:type="dxa"/>
            <w:tcBorders>
              <w:bottom w:val="single" w:color="auto" w:sz="4" w:space="0"/>
            </w:tcBorders>
            <w:shd w:val="clear" w:color="auto" w:fill="D9D9D9" w:themeFill="background1" w:themeFillShade="D9"/>
          </w:tcPr>
          <w:p w:rsidRPr="007F620E" w:rsidR="00D959A1" w:rsidP="00590DB2" w:rsidRDefault="00D959A1" w14:paraId="0D8ED6F4" w14:textId="77777777">
            <w:pPr>
              <w:keepNext/>
              <w:keepLines/>
              <w:rPr>
                <w:b/>
                <w:color w:val="000000"/>
              </w:rPr>
            </w:pPr>
          </w:p>
        </w:tc>
        <w:tc>
          <w:tcPr>
            <w:tcW w:w="2183" w:type="dxa"/>
            <w:shd w:val="clear" w:color="auto" w:fill="D9D9D9" w:themeFill="background1" w:themeFillShade="D9"/>
          </w:tcPr>
          <w:p w:rsidRPr="00FE3BAE" w:rsidR="00D959A1" w:rsidP="00590DB2" w:rsidRDefault="00D959A1" w14:paraId="3BD8F6CE" w14:textId="77777777">
            <w:pPr>
              <w:keepNext/>
              <w:keepLines/>
              <w:rPr>
                <w:color w:val="000000"/>
              </w:rPr>
            </w:pPr>
            <w:r w:rsidRPr="007F620E">
              <w:rPr>
                <w:b/>
                <w:color w:val="000000"/>
              </w:rPr>
              <w:t>CPUC Discussion</w:t>
            </w:r>
          </w:p>
        </w:tc>
      </w:tr>
      <w:tr w:rsidRPr="007F620E" w:rsidR="00D959A1" w:rsidTr="006B2CD7" w14:paraId="3E1545DA" w14:textId="77777777">
        <w:tc>
          <w:tcPr>
            <w:tcW w:w="7555" w:type="dxa"/>
            <w:tcBorders>
              <w:bottom w:val="single" w:color="auto" w:sz="4" w:space="0"/>
            </w:tcBorders>
          </w:tcPr>
          <w:p w:rsidR="00D959A1" w:rsidP="00200B18" w:rsidRDefault="00D959A1" w14:paraId="28A0E6F1" w14:textId="77777777">
            <w:pPr>
              <w:rPr>
                <w:color w:val="000000"/>
              </w:rPr>
            </w:pPr>
            <w:r w:rsidRPr="007F620E">
              <w:rPr>
                <w:b/>
                <w:color w:val="000000"/>
              </w:rPr>
              <w:t>a. Intervenor’s claim of cost reasonableness:</w:t>
            </w:r>
            <w:r w:rsidRPr="00E25078">
              <w:rPr>
                <w:color w:val="000000"/>
              </w:rPr>
              <w:t xml:space="preserve"> </w:t>
            </w:r>
          </w:p>
          <w:p w:rsidRPr="00E25078" w:rsidR="00D959A1" w:rsidP="00200B18" w:rsidRDefault="00D959A1" w14:paraId="3FC86792" w14:textId="77777777">
            <w:pPr>
              <w:rPr>
                <w:color w:val="000000"/>
              </w:rPr>
            </w:pPr>
          </w:p>
          <w:p w:rsidRPr="003D4455" w:rsidR="00D959A1" w:rsidP="00200B18" w:rsidRDefault="00D959A1" w14:paraId="063A127A" w14:textId="77777777">
            <w:pPr>
              <w:rPr>
                <w:color w:val="000000"/>
              </w:rPr>
            </w:pPr>
            <w:r w:rsidRPr="00194D91">
              <w:rPr>
                <w:color w:val="000000"/>
              </w:rPr>
              <w:t xml:space="preserve">This request seeks an award of $133,691.88 as the reasonable cost of our participation in this important proceeding.  These costs are reasonable </w:t>
            </w:r>
            <w:proofErr w:type="gramStart"/>
            <w:r w:rsidRPr="00194D91">
              <w:rPr>
                <w:color w:val="000000"/>
              </w:rPr>
              <w:t>in light of</w:t>
            </w:r>
            <w:proofErr w:type="gramEnd"/>
            <w:r w:rsidRPr="00194D91">
              <w:rPr>
                <w:color w:val="000000"/>
              </w:rPr>
              <w:t xml:space="preserve"> the quality of TURN’s work and TURN’s contributions to this proceeding and the final decision, as </w:t>
            </w:r>
            <w:proofErr w:type="gramStart"/>
            <w:r w:rsidRPr="00194D91">
              <w:rPr>
                <w:color w:val="000000"/>
              </w:rPr>
              <w:t>document</w:t>
            </w:r>
            <w:proofErr w:type="gramEnd"/>
            <w:r w:rsidRPr="00194D91">
              <w:rPr>
                <w:color w:val="000000"/>
              </w:rPr>
              <w:t xml:space="preserve"> above.  Further, as explained in Part III</w:t>
            </w:r>
            <w:proofErr w:type="gramStart"/>
            <w:r w:rsidRPr="00194D91">
              <w:rPr>
                <w:color w:val="000000"/>
              </w:rPr>
              <w:t>.b</w:t>
            </w:r>
            <w:proofErr w:type="gramEnd"/>
            <w:r w:rsidRPr="00194D91">
              <w:rPr>
                <w:color w:val="000000"/>
              </w:rPr>
              <w:t xml:space="preserve"> below, TURN has voluntarily excluded more than 100 hours of attorney and expert time that TURN devoted to this proceeding </w:t>
            </w:r>
            <w:proofErr w:type="gramStart"/>
            <w:r w:rsidRPr="00194D91">
              <w:rPr>
                <w:color w:val="000000"/>
              </w:rPr>
              <w:t>in order to</w:t>
            </w:r>
            <w:proofErr w:type="gramEnd"/>
            <w:r w:rsidRPr="00194D91">
              <w:rPr>
                <w:color w:val="000000"/>
              </w:rPr>
              <w:t xml:space="preserve"> keep costs reasonable under the circumstances here, where PG&amp;E withdrew its application before the completion of litigation. TURN submits that the Commission should conclude that TURN’s request is reasonable.</w:t>
            </w:r>
          </w:p>
        </w:tc>
        <w:tc>
          <w:tcPr>
            <w:tcW w:w="2183" w:type="dxa"/>
          </w:tcPr>
          <w:p w:rsidR="00D959A1" w:rsidP="00E82B0F" w:rsidRDefault="00D959A1" w14:paraId="7171B9AE" w14:textId="77777777">
            <w:pPr>
              <w:jc w:val="center"/>
              <w:rPr>
                <w:color w:val="000000"/>
              </w:rPr>
            </w:pPr>
          </w:p>
          <w:p w:rsidR="00E82B0F" w:rsidP="00E82B0F" w:rsidRDefault="00E82B0F" w14:paraId="4F962F27" w14:textId="77777777">
            <w:pPr>
              <w:jc w:val="center"/>
              <w:rPr>
                <w:color w:val="000000"/>
              </w:rPr>
            </w:pPr>
          </w:p>
          <w:p w:rsidR="00E82B0F" w:rsidP="00E82B0F" w:rsidRDefault="00E82B0F" w14:paraId="292629C4" w14:textId="77777777">
            <w:pPr>
              <w:jc w:val="center"/>
              <w:rPr>
                <w:color w:val="000000"/>
              </w:rPr>
            </w:pPr>
          </w:p>
          <w:p w:rsidRPr="00FE3BAE" w:rsidR="00E82B0F" w:rsidP="00E82B0F" w:rsidRDefault="00E82B0F" w14:paraId="7CE37BE7" w14:textId="5CBB5263">
            <w:pPr>
              <w:jc w:val="center"/>
              <w:rPr>
                <w:color w:val="000000"/>
              </w:rPr>
            </w:pPr>
            <w:r>
              <w:rPr>
                <w:color w:val="000000"/>
              </w:rPr>
              <w:t>Noted</w:t>
            </w:r>
          </w:p>
        </w:tc>
      </w:tr>
      <w:tr w:rsidRPr="007F620E" w:rsidR="00D959A1" w:rsidTr="006B2CD7" w14:paraId="559F4700" w14:textId="77777777">
        <w:tc>
          <w:tcPr>
            <w:tcW w:w="7555" w:type="dxa"/>
          </w:tcPr>
          <w:p w:rsidRPr="00E25078" w:rsidR="00D959A1" w:rsidP="00200B18" w:rsidRDefault="00D959A1" w14:paraId="51259CA1" w14:textId="77777777">
            <w:pPr>
              <w:rPr>
                <w:color w:val="000000"/>
              </w:rPr>
            </w:pPr>
            <w:r w:rsidRPr="007F620E">
              <w:rPr>
                <w:b/>
                <w:color w:val="000000"/>
              </w:rPr>
              <w:t>b. Reasonableness of hours claimed:</w:t>
            </w:r>
            <w:r w:rsidRPr="00E25078">
              <w:rPr>
                <w:color w:val="000000"/>
              </w:rPr>
              <w:t xml:space="preserve"> </w:t>
            </w:r>
          </w:p>
          <w:p w:rsidR="00D959A1" w:rsidP="00200B18" w:rsidRDefault="00D959A1" w14:paraId="2AF69D90" w14:textId="77777777">
            <w:pPr>
              <w:rPr>
                <w:color w:val="000000"/>
              </w:rPr>
            </w:pPr>
          </w:p>
          <w:p w:rsidRPr="00194D91" w:rsidR="00D959A1" w:rsidP="00200B18" w:rsidRDefault="00D959A1" w14:paraId="52076551" w14:textId="77777777">
            <w:pPr>
              <w:rPr>
                <w:color w:val="000000"/>
              </w:rPr>
            </w:pPr>
            <w:r w:rsidRPr="00194D91">
              <w:rPr>
                <w:color w:val="000000"/>
              </w:rPr>
              <w:t xml:space="preserve">TURN requests compensation for approximately 260 hours of attorney and expert time, which covers TURN’s very active participation in this multi-year proceeding.  TURN analyzed PG&amp;E’s initial application and testimony and prepared a protest.  TURN further analyzed PG&amp;E’s amended testimony required by the Scoping Memo.  Then TURN prepared Intervenor and Rebuttal Testimony on 2/17/23 and 3/17/23, respectively.  Following PG&amp;E’s restart of this proceeding after a year-long hiatus, TURN analyzed PG&amp;E’s new agreement with CSUMB and supplemental testimony.  TURN then submitted Supplemental Intervenor Testimony on 9/30/24, conducted discovery based on PG&amp;E’s rebuttal, participated in further settlement negotiations which resulted in factual stipulations, and otherwise prepared for evidentiary hearings and briefing before PG&amp;E’s decision to seek withdrawal of this application in early January 2025, just days before opening briefs were due.  </w:t>
            </w:r>
          </w:p>
          <w:p w:rsidRPr="00194D91" w:rsidR="00D959A1" w:rsidP="00200B18" w:rsidRDefault="00D959A1" w14:paraId="00C6C3A0" w14:textId="77777777">
            <w:pPr>
              <w:rPr>
                <w:color w:val="000000"/>
              </w:rPr>
            </w:pPr>
          </w:p>
          <w:p w:rsidRPr="00194D91" w:rsidR="00D959A1" w:rsidP="00200B18" w:rsidRDefault="00D959A1" w14:paraId="644B7384" w14:textId="77777777">
            <w:pPr>
              <w:rPr>
                <w:color w:val="000000"/>
              </w:rPr>
            </w:pPr>
            <w:r w:rsidRPr="00194D91">
              <w:rPr>
                <w:color w:val="000000"/>
              </w:rPr>
              <w:t xml:space="preserve">Over the course of this proceeding, TURN experienced a remarkable amount of staff turnover, which impacted staffing of this proceeding and TURN’s hours.  </w:t>
            </w:r>
          </w:p>
          <w:p w:rsidRPr="00194D91" w:rsidR="00D959A1" w:rsidP="00200B18" w:rsidRDefault="00D959A1" w14:paraId="3D9B771B" w14:textId="77777777">
            <w:pPr>
              <w:rPr>
                <w:color w:val="000000"/>
              </w:rPr>
            </w:pPr>
          </w:p>
          <w:p w:rsidR="00D959A1" w:rsidP="00200B18" w:rsidRDefault="00D959A1" w14:paraId="1035182F" w14:textId="77777777">
            <w:pPr>
              <w:rPr>
                <w:color w:val="000000"/>
              </w:rPr>
            </w:pPr>
            <w:r w:rsidRPr="00194D91">
              <w:rPr>
                <w:color w:val="000000"/>
              </w:rPr>
              <w:t xml:space="preserve">TURN Attorneys:  TURN initially assigned senior Staff Attorney Marcel Hawiger to work with more junior Staff Attorney Camille Stough.  However, Ms. Stough decided to seek employment elsewhere in the fall of 2022.  With Ms. Stough’s departure, TURN assigned junior Staff Attorney Marna Paintsil Anning to work with Mr. Hawiger.  Ms. Anning also left TURN during the pendency of this proceeding.  While at the helm, Mr. Hawiger prepared TURN’s Testimony and Rebuttal Testimony in 2023.  </w:t>
            </w:r>
            <w:r w:rsidRPr="00194D91">
              <w:rPr>
                <w:color w:val="000000"/>
              </w:rPr>
              <w:lastRenderedPageBreak/>
              <w:t>Then Mr. Hawiger left TURN in April 2023 (and subsequently returned, but that history does not impact this claim), around the time that PG&amp;E sought suspension of the schedule.  When the proceeding restarted in 2024, TURN assigned Legal Director Thomas Long to lead TURN’s work.  Finally, Mr. Long handed this case over to TURN Managing Attorney Hayley Goodson in the fall of 2024 as a matter of reallocating workload.  Ms. Goodson saw this proceeding through its surprising and eventful conclusion.</w:t>
            </w:r>
          </w:p>
          <w:p w:rsidR="00D959A1" w:rsidP="00200B18" w:rsidRDefault="00D959A1" w14:paraId="5FED8097" w14:textId="77777777">
            <w:pPr>
              <w:rPr>
                <w:color w:val="000000"/>
              </w:rPr>
            </w:pPr>
          </w:p>
          <w:p w:rsidRPr="00194D91" w:rsidR="00D959A1" w:rsidP="00200B18" w:rsidRDefault="00D959A1" w14:paraId="356AFF91" w14:textId="77777777">
            <w:pPr>
              <w:rPr>
                <w:color w:val="000000"/>
              </w:rPr>
            </w:pPr>
            <w:r w:rsidRPr="00194D91">
              <w:rPr>
                <w:color w:val="000000"/>
              </w:rPr>
              <w:t>TURN Analysts:  From the outset of this proceeding, TURN’s various attorneys were assisted by experts, particularly in evaluating PG&amp;E’s cost-effectiveness claims regarding the proposed CSUMB electrification project and otherwise in assessing ratepayer impacts associated with PG&amp;E’s proposals.  TURN Energy Policy Analyst Jennifer Dowdell provided in-house support.  TURN also received early support from Jalal Awan, who was an outside consultant to TURN at the beginning of this proceeding.  Mr. Awan joined TURN’s staff as an Energy &amp; Climate Policy Analyst in late 2023.  When Mr. Hawiger left TURN, Mr. Awan assumed the role of TURN’s expert witness and prepared TURN’s Supplemental Intervenor Testimony.  Mr. Awan continued to assist TURN’s attorneys in participating in settlement negotiations and preparing for briefing, which TURN very reasonably assumed would take place according to the adopted procedural schedule.</w:t>
            </w:r>
          </w:p>
          <w:p w:rsidRPr="00194D91" w:rsidR="00D959A1" w:rsidP="00200B18" w:rsidRDefault="00D959A1" w14:paraId="64DB27EE" w14:textId="77777777">
            <w:pPr>
              <w:rPr>
                <w:color w:val="000000"/>
              </w:rPr>
            </w:pPr>
          </w:p>
          <w:p w:rsidRPr="007F620E" w:rsidR="00D959A1" w:rsidP="00200B18" w:rsidRDefault="00D959A1" w14:paraId="4697AF86" w14:textId="77777777">
            <w:pPr>
              <w:rPr>
                <w:color w:val="000000"/>
              </w:rPr>
            </w:pPr>
            <w:r w:rsidRPr="00194D91">
              <w:rPr>
                <w:color w:val="000000"/>
              </w:rPr>
              <w:t xml:space="preserve">Voluntary Reduction in Hours:  Understandably, TURN’s timesheets included a significant amount of time associated with transitions in staffing.  Given this, as well as the proceeding’s sudden conclusion without briefing, TURN has voluntarily removed more than 100 hours of attorney and expert time from this claim.  TURN submits that the remaining hours are fully reasonable </w:t>
            </w:r>
            <w:proofErr w:type="gramStart"/>
            <w:r w:rsidRPr="00194D91">
              <w:rPr>
                <w:color w:val="000000"/>
              </w:rPr>
              <w:t>in light of</w:t>
            </w:r>
            <w:proofErr w:type="gramEnd"/>
            <w:r w:rsidRPr="00194D91">
              <w:rPr>
                <w:color w:val="000000"/>
              </w:rPr>
              <w:t xml:space="preserve"> the substantial contributions TURN made in this proceeding and the circumstances here.</w:t>
            </w:r>
          </w:p>
        </w:tc>
        <w:tc>
          <w:tcPr>
            <w:tcW w:w="2183" w:type="dxa"/>
          </w:tcPr>
          <w:p w:rsidR="00D959A1" w:rsidP="00E82B0F" w:rsidRDefault="00D959A1" w14:paraId="5A8691D9" w14:textId="77777777">
            <w:pPr>
              <w:jc w:val="center"/>
              <w:rPr>
                <w:color w:val="000000"/>
              </w:rPr>
            </w:pPr>
          </w:p>
          <w:p w:rsidR="00E82B0F" w:rsidP="00E82B0F" w:rsidRDefault="00E82B0F" w14:paraId="56162B71" w14:textId="77777777">
            <w:pPr>
              <w:jc w:val="center"/>
              <w:rPr>
                <w:color w:val="000000"/>
              </w:rPr>
            </w:pPr>
          </w:p>
          <w:p w:rsidR="00E82B0F" w:rsidP="00E82B0F" w:rsidRDefault="00E82B0F" w14:paraId="6EBFBA7E" w14:textId="77777777">
            <w:pPr>
              <w:jc w:val="center"/>
              <w:rPr>
                <w:color w:val="000000"/>
              </w:rPr>
            </w:pPr>
          </w:p>
          <w:p w:rsidR="00E82B0F" w:rsidP="00E82B0F" w:rsidRDefault="00E82B0F" w14:paraId="75C369B0" w14:textId="77777777">
            <w:pPr>
              <w:jc w:val="center"/>
              <w:rPr>
                <w:color w:val="000000"/>
              </w:rPr>
            </w:pPr>
          </w:p>
          <w:p w:rsidR="00E82B0F" w:rsidP="00E82B0F" w:rsidRDefault="00E82B0F" w14:paraId="61D1F06A" w14:textId="77777777">
            <w:pPr>
              <w:jc w:val="center"/>
              <w:rPr>
                <w:color w:val="000000"/>
              </w:rPr>
            </w:pPr>
          </w:p>
          <w:p w:rsidR="00E82B0F" w:rsidP="00E82B0F" w:rsidRDefault="00E82B0F" w14:paraId="1588F7B9" w14:textId="77777777">
            <w:pPr>
              <w:jc w:val="center"/>
              <w:rPr>
                <w:color w:val="000000"/>
              </w:rPr>
            </w:pPr>
          </w:p>
          <w:p w:rsidR="00E82B0F" w:rsidP="00E82B0F" w:rsidRDefault="00E82B0F" w14:paraId="4784249A" w14:textId="77777777">
            <w:pPr>
              <w:jc w:val="center"/>
              <w:rPr>
                <w:color w:val="000000"/>
              </w:rPr>
            </w:pPr>
          </w:p>
          <w:p w:rsidRPr="007F620E" w:rsidR="00E82B0F" w:rsidP="00E82B0F" w:rsidRDefault="00E82B0F" w14:paraId="44358E42" w14:textId="4074C744">
            <w:pPr>
              <w:jc w:val="center"/>
              <w:rPr>
                <w:color w:val="000000"/>
              </w:rPr>
            </w:pPr>
            <w:r>
              <w:rPr>
                <w:color w:val="000000"/>
              </w:rPr>
              <w:t>Noted</w:t>
            </w:r>
          </w:p>
        </w:tc>
      </w:tr>
      <w:tr w:rsidRPr="007F620E" w:rsidR="00D959A1" w:rsidTr="006B2CD7" w14:paraId="5B637504" w14:textId="77777777">
        <w:tc>
          <w:tcPr>
            <w:tcW w:w="7555" w:type="dxa"/>
          </w:tcPr>
          <w:p w:rsidRPr="00E25078" w:rsidR="00D959A1" w:rsidP="00200B18" w:rsidRDefault="00D959A1" w14:paraId="5A73C0B6" w14:textId="77777777">
            <w:pPr>
              <w:rPr>
                <w:color w:val="000000"/>
              </w:rPr>
            </w:pPr>
            <w:r w:rsidRPr="007F620E">
              <w:rPr>
                <w:b/>
                <w:color w:val="000000"/>
              </w:rPr>
              <w:t>c. Allocation of hours by issue:</w:t>
            </w:r>
            <w:r w:rsidRPr="00E25078">
              <w:rPr>
                <w:color w:val="000000"/>
              </w:rPr>
              <w:t xml:space="preserve"> </w:t>
            </w:r>
          </w:p>
          <w:p w:rsidRPr="00691528" w:rsidR="00D959A1" w:rsidP="00200B18" w:rsidRDefault="00D959A1" w14:paraId="25B4EDAC" w14:textId="77777777">
            <w:pPr>
              <w:rPr>
                <w:color w:val="000000"/>
              </w:rPr>
            </w:pPr>
          </w:p>
          <w:p w:rsidRPr="00194D91" w:rsidR="00D959A1" w:rsidP="00200B18" w:rsidRDefault="00D959A1" w14:paraId="290E9403" w14:textId="77777777">
            <w:pPr>
              <w:rPr>
                <w:color w:val="000000"/>
              </w:rPr>
            </w:pPr>
            <w:r w:rsidRPr="00194D91">
              <w:rPr>
                <w:color w:val="000000"/>
              </w:rPr>
              <w:t>The following codes relate to the issue and activity areas addressed by TURN in this proceeding.</w:t>
            </w:r>
          </w:p>
          <w:p w:rsidRPr="00194D91" w:rsidR="00D959A1" w:rsidP="00200B18" w:rsidRDefault="00D959A1" w14:paraId="2F50F73B" w14:textId="77777777">
            <w:pPr>
              <w:rPr>
                <w:color w:val="000000"/>
              </w:rPr>
            </w:pPr>
          </w:p>
          <w:tbl>
            <w:tblPr>
              <w:tblW w:w="7020" w:type="dxa"/>
              <w:tblInd w:w="235" w:type="dxa"/>
              <w:tblLook w:val="04A0" w:firstRow="1" w:lastRow="0" w:firstColumn="1" w:lastColumn="0" w:noHBand="0" w:noVBand="1"/>
            </w:tblPr>
            <w:tblGrid>
              <w:gridCol w:w="1530"/>
              <w:gridCol w:w="2700"/>
              <w:gridCol w:w="1350"/>
              <w:gridCol w:w="1440"/>
            </w:tblGrid>
            <w:tr w:rsidRPr="00194D91" w:rsidR="00D959A1" w:rsidTr="00200B18" w14:paraId="2297C46F" w14:textId="77777777">
              <w:trPr>
                <w:trHeight w:val="560"/>
              </w:trPr>
              <w:tc>
                <w:tcPr>
                  <w:tcW w:w="1530" w:type="dxa"/>
                  <w:tcBorders>
                    <w:top w:val="single" w:color="auto" w:sz="4" w:space="0"/>
                    <w:left w:val="single" w:color="auto" w:sz="4" w:space="0"/>
                    <w:bottom w:val="single" w:color="auto" w:sz="4" w:space="0"/>
                    <w:right w:val="single" w:color="auto" w:sz="4" w:space="0"/>
                  </w:tcBorders>
                  <w:hideMark/>
                </w:tcPr>
                <w:p w:rsidRPr="00194D91" w:rsidR="00D959A1" w:rsidP="00200B18" w:rsidRDefault="00D959A1" w14:paraId="5029587E" w14:textId="77777777">
                  <w:pPr>
                    <w:rPr>
                      <w:b/>
                      <w:bCs/>
                      <w:color w:val="000000"/>
                    </w:rPr>
                  </w:pPr>
                  <w:r w:rsidRPr="00194D91">
                    <w:rPr>
                      <w:b/>
                      <w:bCs/>
                      <w:color w:val="000000"/>
                    </w:rPr>
                    <w:t>Code</w:t>
                  </w:r>
                </w:p>
              </w:tc>
              <w:tc>
                <w:tcPr>
                  <w:tcW w:w="2700" w:type="dxa"/>
                  <w:tcBorders>
                    <w:top w:val="single" w:color="auto" w:sz="4" w:space="0"/>
                    <w:left w:val="nil"/>
                    <w:bottom w:val="single" w:color="auto" w:sz="4" w:space="0"/>
                    <w:right w:val="single" w:color="auto" w:sz="4" w:space="0"/>
                  </w:tcBorders>
                  <w:hideMark/>
                </w:tcPr>
                <w:p w:rsidRPr="00194D91" w:rsidR="00D959A1" w:rsidP="00200B18" w:rsidRDefault="00D959A1" w14:paraId="5D34AD3E" w14:textId="77777777">
                  <w:pPr>
                    <w:rPr>
                      <w:b/>
                      <w:bCs/>
                      <w:color w:val="000000"/>
                    </w:rPr>
                  </w:pPr>
                  <w:r w:rsidRPr="00194D91">
                    <w:rPr>
                      <w:b/>
                      <w:bCs/>
                      <w:color w:val="000000"/>
                    </w:rPr>
                    <w:t>Description</w:t>
                  </w:r>
                </w:p>
              </w:tc>
              <w:tc>
                <w:tcPr>
                  <w:tcW w:w="1350" w:type="dxa"/>
                  <w:tcBorders>
                    <w:top w:val="single" w:color="auto" w:sz="4" w:space="0"/>
                    <w:left w:val="nil"/>
                    <w:bottom w:val="single" w:color="auto" w:sz="4" w:space="0"/>
                    <w:right w:val="single" w:color="auto" w:sz="4" w:space="0"/>
                  </w:tcBorders>
                  <w:hideMark/>
                </w:tcPr>
                <w:p w:rsidRPr="00194D91" w:rsidR="00D959A1" w:rsidP="00200B18" w:rsidRDefault="00D959A1" w14:paraId="48E70AB3" w14:textId="77777777">
                  <w:pPr>
                    <w:rPr>
                      <w:b/>
                      <w:bCs/>
                      <w:color w:val="000000"/>
                    </w:rPr>
                  </w:pPr>
                  <w:r w:rsidRPr="00194D91">
                    <w:rPr>
                      <w:b/>
                      <w:bCs/>
                      <w:color w:val="000000"/>
                    </w:rPr>
                    <w:t>Allocation of Time</w:t>
                  </w:r>
                </w:p>
              </w:tc>
              <w:tc>
                <w:tcPr>
                  <w:tcW w:w="1440" w:type="dxa"/>
                  <w:tcBorders>
                    <w:top w:val="single" w:color="auto" w:sz="4" w:space="0"/>
                    <w:left w:val="nil"/>
                    <w:bottom w:val="single" w:color="auto" w:sz="4" w:space="0"/>
                    <w:right w:val="single" w:color="auto" w:sz="4" w:space="0"/>
                  </w:tcBorders>
                  <w:noWrap/>
                  <w:hideMark/>
                </w:tcPr>
                <w:p w:rsidRPr="00194D91" w:rsidR="00D959A1" w:rsidP="00200B18" w:rsidRDefault="00D959A1" w14:paraId="6292536F" w14:textId="77777777">
                  <w:pPr>
                    <w:rPr>
                      <w:b/>
                      <w:bCs/>
                      <w:color w:val="000000"/>
                    </w:rPr>
                  </w:pPr>
                  <w:r w:rsidRPr="00194D91">
                    <w:rPr>
                      <w:b/>
                      <w:bCs/>
                      <w:color w:val="000000"/>
                    </w:rPr>
                    <w:t xml:space="preserve"> Hours</w:t>
                  </w:r>
                </w:p>
              </w:tc>
            </w:tr>
            <w:tr w:rsidRPr="00194D91" w:rsidR="00D959A1" w:rsidTr="00200B18" w14:paraId="6178E558" w14:textId="77777777">
              <w:trPr>
                <w:trHeight w:val="560"/>
              </w:trPr>
              <w:tc>
                <w:tcPr>
                  <w:tcW w:w="1530" w:type="dxa"/>
                  <w:tcBorders>
                    <w:top w:val="nil"/>
                    <w:left w:val="single" w:color="auto" w:sz="4" w:space="0"/>
                    <w:bottom w:val="single" w:color="auto" w:sz="4" w:space="0"/>
                    <w:right w:val="single" w:color="auto" w:sz="4" w:space="0"/>
                  </w:tcBorders>
                  <w:hideMark/>
                </w:tcPr>
                <w:p w:rsidRPr="00194D91" w:rsidR="00D959A1" w:rsidP="00200B18" w:rsidRDefault="00D959A1" w14:paraId="33579A83" w14:textId="77777777">
                  <w:pPr>
                    <w:rPr>
                      <w:color w:val="000000"/>
                    </w:rPr>
                  </w:pPr>
                  <w:r w:rsidRPr="00194D91">
                    <w:rPr>
                      <w:color w:val="000000"/>
                    </w:rPr>
                    <w:t>Brief</w:t>
                  </w:r>
                </w:p>
              </w:tc>
              <w:tc>
                <w:tcPr>
                  <w:tcW w:w="2700" w:type="dxa"/>
                  <w:tcBorders>
                    <w:top w:val="nil"/>
                    <w:left w:val="nil"/>
                    <w:bottom w:val="nil"/>
                    <w:right w:val="nil"/>
                  </w:tcBorders>
                  <w:hideMark/>
                </w:tcPr>
                <w:p w:rsidRPr="00194D91" w:rsidR="00D959A1" w:rsidP="00200B18" w:rsidRDefault="00D959A1" w14:paraId="42CF524E" w14:textId="77777777">
                  <w:pPr>
                    <w:rPr>
                      <w:color w:val="000000"/>
                    </w:rPr>
                  </w:pPr>
                  <w:r w:rsidRPr="00194D91">
                    <w:rPr>
                      <w:color w:val="000000"/>
                    </w:rPr>
                    <w:t>Work related to the common briefing outline required by the Commission</w:t>
                  </w:r>
                </w:p>
              </w:tc>
              <w:tc>
                <w:tcPr>
                  <w:tcW w:w="1350" w:type="dxa"/>
                  <w:tcBorders>
                    <w:top w:val="nil"/>
                    <w:left w:val="single" w:color="auto" w:sz="4" w:space="0"/>
                    <w:bottom w:val="single" w:color="auto" w:sz="4" w:space="0"/>
                    <w:right w:val="single" w:color="auto" w:sz="4" w:space="0"/>
                  </w:tcBorders>
                  <w:hideMark/>
                </w:tcPr>
                <w:p w:rsidRPr="00194D91" w:rsidR="00D959A1" w:rsidP="00200B18" w:rsidRDefault="00D959A1" w14:paraId="26955573" w14:textId="77777777">
                  <w:pPr>
                    <w:rPr>
                      <w:color w:val="000000"/>
                    </w:rPr>
                  </w:pPr>
                  <w:r w:rsidRPr="00194D91">
                    <w:rPr>
                      <w:color w:val="000000"/>
                    </w:rPr>
                    <w:t>0.51%</w:t>
                  </w:r>
                </w:p>
              </w:tc>
              <w:tc>
                <w:tcPr>
                  <w:tcW w:w="1440" w:type="dxa"/>
                  <w:tcBorders>
                    <w:top w:val="nil"/>
                    <w:left w:val="nil"/>
                    <w:bottom w:val="single" w:color="auto" w:sz="4" w:space="0"/>
                    <w:right w:val="single" w:color="auto" w:sz="4" w:space="0"/>
                  </w:tcBorders>
                  <w:noWrap/>
                  <w:hideMark/>
                </w:tcPr>
                <w:p w:rsidRPr="00194D91" w:rsidR="00D959A1" w:rsidP="00200B18" w:rsidRDefault="00D959A1" w14:paraId="49FBF1D2" w14:textId="77777777">
                  <w:pPr>
                    <w:rPr>
                      <w:color w:val="000000"/>
                    </w:rPr>
                  </w:pPr>
                  <w:r w:rsidRPr="00194D91">
                    <w:rPr>
                      <w:color w:val="000000"/>
                    </w:rPr>
                    <w:t>1.25</w:t>
                  </w:r>
                </w:p>
              </w:tc>
            </w:tr>
            <w:tr w:rsidRPr="00194D91" w:rsidR="00D959A1" w:rsidTr="00200B18" w14:paraId="60B753A9" w14:textId="77777777">
              <w:trPr>
                <w:trHeight w:val="1400"/>
              </w:trPr>
              <w:tc>
                <w:tcPr>
                  <w:tcW w:w="1530" w:type="dxa"/>
                  <w:tcBorders>
                    <w:top w:val="nil"/>
                    <w:left w:val="single" w:color="auto" w:sz="4" w:space="0"/>
                    <w:bottom w:val="single" w:color="auto" w:sz="4" w:space="0"/>
                    <w:right w:val="single" w:color="auto" w:sz="4" w:space="0"/>
                  </w:tcBorders>
                  <w:hideMark/>
                </w:tcPr>
                <w:p w:rsidRPr="00194D91" w:rsidR="00D959A1" w:rsidP="00200B18" w:rsidRDefault="00D959A1" w14:paraId="76035BEC" w14:textId="77777777">
                  <w:pPr>
                    <w:rPr>
                      <w:color w:val="000000"/>
                    </w:rPr>
                  </w:pPr>
                  <w:r w:rsidRPr="00194D91">
                    <w:rPr>
                      <w:color w:val="000000"/>
                    </w:rPr>
                    <w:lastRenderedPageBreak/>
                    <w:t>CE</w:t>
                  </w:r>
                </w:p>
              </w:tc>
              <w:tc>
                <w:tcPr>
                  <w:tcW w:w="2700" w:type="dxa"/>
                  <w:tcBorders>
                    <w:top w:val="single" w:color="auto" w:sz="4" w:space="0"/>
                    <w:left w:val="nil"/>
                    <w:bottom w:val="single" w:color="auto" w:sz="4" w:space="0"/>
                    <w:right w:val="single" w:color="auto" w:sz="4" w:space="0"/>
                  </w:tcBorders>
                  <w:hideMark/>
                </w:tcPr>
                <w:p w:rsidRPr="00194D91" w:rsidR="00D959A1" w:rsidP="00200B18" w:rsidRDefault="00D959A1" w14:paraId="79EA6FB5" w14:textId="77777777">
                  <w:pPr>
                    <w:rPr>
                      <w:color w:val="000000"/>
                    </w:rPr>
                  </w:pPr>
                  <w:r w:rsidRPr="00194D91">
                    <w:rPr>
                      <w:color w:val="000000"/>
                    </w:rPr>
                    <w:t>Work related to evaluating the cost-effectiveness of the CSUMB electrification project relative to the alternative gas pipeline replacement project, including cost assumptions and valuation methodologies, like NPV and PVRR</w:t>
                  </w:r>
                </w:p>
              </w:tc>
              <w:tc>
                <w:tcPr>
                  <w:tcW w:w="1350" w:type="dxa"/>
                  <w:tcBorders>
                    <w:top w:val="nil"/>
                    <w:left w:val="nil"/>
                    <w:bottom w:val="single" w:color="auto" w:sz="4" w:space="0"/>
                    <w:right w:val="single" w:color="auto" w:sz="4" w:space="0"/>
                  </w:tcBorders>
                  <w:hideMark/>
                </w:tcPr>
                <w:p w:rsidRPr="00194D91" w:rsidR="00D959A1" w:rsidP="00200B18" w:rsidRDefault="00D959A1" w14:paraId="31CC6013" w14:textId="77777777">
                  <w:pPr>
                    <w:rPr>
                      <w:color w:val="000000"/>
                    </w:rPr>
                  </w:pPr>
                  <w:r w:rsidRPr="00194D91">
                    <w:rPr>
                      <w:color w:val="000000"/>
                    </w:rPr>
                    <w:t>28.92%</w:t>
                  </w:r>
                </w:p>
              </w:tc>
              <w:tc>
                <w:tcPr>
                  <w:tcW w:w="1440" w:type="dxa"/>
                  <w:tcBorders>
                    <w:top w:val="nil"/>
                    <w:left w:val="nil"/>
                    <w:bottom w:val="single" w:color="auto" w:sz="4" w:space="0"/>
                    <w:right w:val="single" w:color="auto" w:sz="4" w:space="0"/>
                  </w:tcBorders>
                  <w:noWrap/>
                  <w:hideMark/>
                </w:tcPr>
                <w:p w:rsidRPr="00194D91" w:rsidR="00D959A1" w:rsidP="00200B18" w:rsidRDefault="00D959A1" w14:paraId="088E9358" w14:textId="77777777">
                  <w:pPr>
                    <w:rPr>
                      <w:color w:val="000000"/>
                    </w:rPr>
                  </w:pPr>
                  <w:r w:rsidRPr="00194D91">
                    <w:rPr>
                      <w:color w:val="000000"/>
                    </w:rPr>
                    <w:t>71.00</w:t>
                  </w:r>
                </w:p>
              </w:tc>
            </w:tr>
            <w:tr w:rsidRPr="00194D91" w:rsidR="00D959A1" w:rsidTr="00200B18" w14:paraId="5655BE09" w14:textId="77777777">
              <w:trPr>
                <w:trHeight w:val="840"/>
              </w:trPr>
              <w:tc>
                <w:tcPr>
                  <w:tcW w:w="1530" w:type="dxa"/>
                  <w:tcBorders>
                    <w:top w:val="nil"/>
                    <w:left w:val="single" w:color="auto" w:sz="4" w:space="0"/>
                    <w:bottom w:val="single" w:color="auto" w:sz="4" w:space="0"/>
                    <w:right w:val="single" w:color="auto" w:sz="4" w:space="0"/>
                  </w:tcBorders>
                  <w:hideMark/>
                </w:tcPr>
                <w:p w:rsidRPr="00194D91" w:rsidR="00D959A1" w:rsidP="00200B18" w:rsidRDefault="00D959A1" w14:paraId="7411592D" w14:textId="77777777">
                  <w:pPr>
                    <w:rPr>
                      <w:color w:val="000000"/>
                    </w:rPr>
                  </w:pPr>
                  <w:r w:rsidRPr="00194D91">
                    <w:rPr>
                      <w:color w:val="000000"/>
                    </w:rPr>
                    <w:t>Coord</w:t>
                  </w:r>
                </w:p>
              </w:tc>
              <w:tc>
                <w:tcPr>
                  <w:tcW w:w="2700" w:type="dxa"/>
                  <w:tcBorders>
                    <w:top w:val="nil"/>
                    <w:left w:val="nil"/>
                    <w:bottom w:val="single" w:color="auto" w:sz="4" w:space="0"/>
                    <w:right w:val="single" w:color="auto" w:sz="4" w:space="0"/>
                  </w:tcBorders>
                  <w:hideMark/>
                </w:tcPr>
                <w:p w:rsidRPr="00194D91" w:rsidR="00D959A1" w:rsidP="00200B18" w:rsidRDefault="00D959A1" w14:paraId="58970AEF" w14:textId="77777777">
                  <w:pPr>
                    <w:rPr>
                      <w:color w:val="000000"/>
                    </w:rPr>
                  </w:pPr>
                  <w:r w:rsidRPr="00194D91">
                    <w:rPr>
                      <w:color w:val="000000"/>
                    </w:rPr>
                    <w:t>Work related to external coordination with other parties to inform TURN's efficient and</w:t>
                  </w:r>
                  <w:r w:rsidRPr="00194D91">
                    <w:rPr>
                      <w:color w:val="000000"/>
                    </w:rPr>
                    <w:br/>
                    <w:t>effective participation</w:t>
                  </w:r>
                </w:p>
              </w:tc>
              <w:tc>
                <w:tcPr>
                  <w:tcW w:w="1350" w:type="dxa"/>
                  <w:tcBorders>
                    <w:top w:val="nil"/>
                    <w:left w:val="nil"/>
                    <w:bottom w:val="single" w:color="auto" w:sz="4" w:space="0"/>
                    <w:right w:val="single" w:color="auto" w:sz="4" w:space="0"/>
                  </w:tcBorders>
                  <w:hideMark/>
                </w:tcPr>
                <w:p w:rsidRPr="00194D91" w:rsidR="00D959A1" w:rsidP="00200B18" w:rsidRDefault="00D959A1" w14:paraId="358B48C5" w14:textId="77777777">
                  <w:pPr>
                    <w:rPr>
                      <w:color w:val="000000"/>
                    </w:rPr>
                  </w:pPr>
                  <w:r w:rsidRPr="00194D91">
                    <w:rPr>
                      <w:color w:val="000000"/>
                    </w:rPr>
                    <w:t>2.44%</w:t>
                  </w:r>
                </w:p>
              </w:tc>
              <w:tc>
                <w:tcPr>
                  <w:tcW w:w="1440" w:type="dxa"/>
                  <w:tcBorders>
                    <w:top w:val="nil"/>
                    <w:left w:val="nil"/>
                    <w:bottom w:val="single" w:color="auto" w:sz="4" w:space="0"/>
                    <w:right w:val="single" w:color="auto" w:sz="4" w:space="0"/>
                  </w:tcBorders>
                  <w:noWrap/>
                  <w:hideMark/>
                </w:tcPr>
                <w:p w:rsidRPr="00194D91" w:rsidR="00D959A1" w:rsidP="00200B18" w:rsidRDefault="00D959A1" w14:paraId="3B736E28" w14:textId="77777777">
                  <w:pPr>
                    <w:rPr>
                      <w:color w:val="000000"/>
                    </w:rPr>
                  </w:pPr>
                  <w:r w:rsidRPr="00194D91">
                    <w:rPr>
                      <w:color w:val="000000"/>
                    </w:rPr>
                    <w:t>6.00</w:t>
                  </w:r>
                </w:p>
              </w:tc>
            </w:tr>
            <w:tr w:rsidRPr="00194D91" w:rsidR="00D959A1" w:rsidTr="00200B18" w14:paraId="0AD6CD5A" w14:textId="77777777">
              <w:trPr>
                <w:trHeight w:val="1120"/>
              </w:trPr>
              <w:tc>
                <w:tcPr>
                  <w:tcW w:w="1530" w:type="dxa"/>
                  <w:tcBorders>
                    <w:top w:val="nil"/>
                    <w:left w:val="single" w:color="auto" w:sz="4" w:space="0"/>
                    <w:bottom w:val="single" w:color="auto" w:sz="4" w:space="0"/>
                    <w:right w:val="single" w:color="auto" w:sz="4" w:space="0"/>
                  </w:tcBorders>
                  <w:hideMark/>
                </w:tcPr>
                <w:p w:rsidRPr="00194D91" w:rsidR="00D959A1" w:rsidP="00200B18" w:rsidRDefault="00D959A1" w14:paraId="32684061" w14:textId="77777777">
                  <w:pPr>
                    <w:rPr>
                      <w:color w:val="000000"/>
                    </w:rPr>
                  </w:pPr>
                  <w:r w:rsidRPr="00194D91">
                    <w:rPr>
                      <w:color w:val="000000"/>
                    </w:rPr>
                    <w:t>CR</w:t>
                  </w:r>
                </w:p>
              </w:tc>
              <w:tc>
                <w:tcPr>
                  <w:tcW w:w="2700" w:type="dxa"/>
                  <w:tcBorders>
                    <w:top w:val="nil"/>
                    <w:left w:val="nil"/>
                    <w:bottom w:val="single" w:color="auto" w:sz="4" w:space="0"/>
                    <w:right w:val="single" w:color="auto" w:sz="4" w:space="0"/>
                  </w:tcBorders>
                  <w:hideMark/>
                </w:tcPr>
                <w:p w:rsidRPr="00194D91" w:rsidR="00D959A1" w:rsidP="00200B18" w:rsidRDefault="00D959A1" w14:paraId="647A8C4C" w14:textId="77777777">
                  <w:pPr>
                    <w:rPr>
                      <w:color w:val="000000"/>
                    </w:rPr>
                  </w:pPr>
                  <w:r w:rsidRPr="00194D91">
                    <w:rPr>
                      <w:color w:val="000000"/>
                    </w:rPr>
                    <w:t xml:space="preserve">Work related to evaluating PG&amp;E's cost recovery proposals, particularly regulatory asset treatment for behind-the-meter costs instead of O&amp;M expense treatment </w:t>
                  </w:r>
                </w:p>
              </w:tc>
              <w:tc>
                <w:tcPr>
                  <w:tcW w:w="1350" w:type="dxa"/>
                  <w:tcBorders>
                    <w:top w:val="nil"/>
                    <w:left w:val="nil"/>
                    <w:bottom w:val="single" w:color="auto" w:sz="4" w:space="0"/>
                    <w:right w:val="single" w:color="auto" w:sz="4" w:space="0"/>
                  </w:tcBorders>
                  <w:hideMark/>
                </w:tcPr>
                <w:p w:rsidRPr="00194D91" w:rsidR="00D959A1" w:rsidP="00200B18" w:rsidRDefault="00D959A1" w14:paraId="4C652F41" w14:textId="77777777">
                  <w:pPr>
                    <w:rPr>
                      <w:color w:val="000000"/>
                    </w:rPr>
                  </w:pPr>
                  <w:r w:rsidRPr="00194D91">
                    <w:rPr>
                      <w:color w:val="000000"/>
                    </w:rPr>
                    <w:t>6.42%</w:t>
                  </w:r>
                </w:p>
              </w:tc>
              <w:tc>
                <w:tcPr>
                  <w:tcW w:w="1440" w:type="dxa"/>
                  <w:tcBorders>
                    <w:top w:val="nil"/>
                    <w:left w:val="nil"/>
                    <w:bottom w:val="single" w:color="auto" w:sz="4" w:space="0"/>
                    <w:right w:val="single" w:color="auto" w:sz="4" w:space="0"/>
                  </w:tcBorders>
                  <w:noWrap/>
                  <w:hideMark/>
                </w:tcPr>
                <w:p w:rsidRPr="00194D91" w:rsidR="00D959A1" w:rsidP="00200B18" w:rsidRDefault="00D959A1" w14:paraId="60D29CD0" w14:textId="77777777">
                  <w:pPr>
                    <w:rPr>
                      <w:color w:val="000000"/>
                    </w:rPr>
                  </w:pPr>
                  <w:r w:rsidRPr="00194D91">
                    <w:rPr>
                      <w:color w:val="000000"/>
                    </w:rPr>
                    <w:t>15.75</w:t>
                  </w:r>
                </w:p>
              </w:tc>
            </w:tr>
            <w:tr w:rsidRPr="00194D91" w:rsidR="00D959A1" w:rsidTr="00200B18" w14:paraId="24F4253F" w14:textId="77777777">
              <w:trPr>
                <w:trHeight w:val="560"/>
              </w:trPr>
              <w:tc>
                <w:tcPr>
                  <w:tcW w:w="1530" w:type="dxa"/>
                  <w:tcBorders>
                    <w:top w:val="nil"/>
                    <w:left w:val="single" w:color="auto" w:sz="4" w:space="0"/>
                    <w:bottom w:val="single" w:color="auto" w:sz="4" w:space="0"/>
                    <w:right w:val="single" w:color="auto" w:sz="4" w:space="0"/>
                  </w:tcBorders>
                  <w:hideMark/>
                </w:tcPr>
                <w:p w:rsidRPr="00194D91" w:rsidR="00D959A1" w:rsidP="00200B18" w:rsidRDefault="00D959A1" w14:paraId="6D90BDD9" w14:textId="77777777">
                  <w:pPr>
                    <w:rPr>
                      <w:color w:val="000000"/>
                    </w:rPr>
                  </w:pPr>
                  <w:r w:rsidRPr="00194D91">
                    <w:rPr>
                      <w:color w:val="000000"/>
                    </w:rPr>
                    <w:t>GP</w:t>
                  </w:r>
                </w:p>
              </w:tc>
              <w:tc>
                <w:tcPr>
                  <w:tcW w:w="2700" w:type="dxa"/>
                  <w:tcBorders>
                    <w:top w:val="nil"/>
                    <w:left w:val="nil"/>
                    <w:bottom w:val="single" w:color="auto" w:sz="4" w:space="0"/>
                    <w:right w:val="single" w:color="auto" w:sz="4" w:space="0"/>
                  </w:tcBorders>
                  <w:hideMark/>
                </w:tcPr>
                <w:p w:rsidRPr="00194D91" w:rsidR="00D959A1" w:rsidP="00200B18" w:rsidRDefault="00D959A1" w14:paraId="64D02AF6" w14:textId="77777777">
                  <w:pPr>
                    <w:rPr>
                      <w:color w:val="000000"/>
                    </w:rPr>
                  </w:pPr>
                  <w:r w:rsidRPr="00194D91">
                    <w:rPr>
                      <w:color w:val="000000"/>
                    </w:rPr>
                    <w:t>General work necessary for participation that cannot be allocated by issue</w:t>
                  </w:r>
                </w:p>
              </w:tc>
              <w:tc>
                <w:tcPr>
                  <w:tcW w:w="1350" w:type="dxa"/>
                  <w:tcBorders>
                    <w:top w:val="nil"/>
                    <w:left w:val="nil"/>
                    <w:bottom w:val="single" w:color="auto" w:sz="4" w:space="0"/>
                    <w:right w:val="single" w:color="auto" w:sz="4" w:space="0"/>
                  </w:tcBorders>
                  <w:hideMark/>
                </w:tcPr>
                <w:p w:rsidRPr="00194D91" w:rsidR="00D959A1" w:rsidP="00200B18" w:rsidRDefault="00D959A1" w14:paraId="210D0665" w14:textId="77777777">
                  <w:pPr>
                    <w:rPr>
                      <w:color w:val="000000"/>
                    </w:rPr>
                  </w:pPr>
                  <w:r w:rsidRPr="00194D91">
                    <w:rPr>
                      <w:color w:val="000000"/>
                    </w:rPr>
                    <w:t>6.62%</w:t>
                  </w:r>
                </w:p>
              </w:tc>
              <w:tc>
                <w:tcPr>
                  <w:tcW w:w="1440" w:type="dxa"/>
                  <w:tcBorders>
                    <w:top w:val="nil"/>
                    <w:left w:val="nil"/>
                    <w:bottom w:val="single" w:color="auto" w:sz="4" w:space="0"/>
                    <w:right w:val="single" w:color="auto" w:sz="4" w:space="0"/>
                  </w:tcBorders>
                  <w:noWrap/>
                  <w:hideMark/>
                </w:tcPr>
                <w:p w:rsidRPr="00194D91" w:rsidR="00D959A1" w:rsidP="00200B18" w:rsidRDefault="00D959A1" w14:paraId="0BBB212B" w14:textId="77777777">
                  <w:pPr>
                    <w:rPr>
                      <w:color w:val="000000"/>
                    </w:rPr>
                  </w:pPr>
                  <w:r w:rsidRPr="00194D91">
                    <w:rPr>
                      <w:color w:val="000000"/>
                    </w:rPr>
                    <w:t>16.25</w:t>
                  </w:r>
                </w:p>
              </w:tc>
            </w:tr>
            <w:tr w:rsidRPr="00194D91" w:rsidR="00D959A1" w:rsidTr="00200B18" w14:paraId="432EDC38" w14:textId="77777777">
              <w:trPr>
                <w:trHeight w:val="560"/>
              </w:trPr>
              <w:tc>
                <w:tcPr>
                  <w:tcW w:w="1530" w:type="dxa"/>
                  <w:tcBorders>
                    <w:top w:val="nil"/>
                    <w:left w:val="single" w:color="auto" w:sz="4" w:space="0"/>
                    <w:bottom w:val="single" w:color="auto" w:sz="4" w:space="0"/>
                    <w:right w:val="single" w:color="auto" w:sz="4" w:space="0"/>
                  </w:tcBorders>
                  <w:hideMark/>
                </w:tcPr>
                <w:p w:rsidRPr="00194D91" w:rsidR="00D959A1" w:rsidP="00200B18" w:rsidRDefault="00D959A1" w14:paraId="4545A552" w14:textId="77777777">
                  <w:pPr>
                    <w:rPr>
                      <w:color w:val="000000"/>
                    </w:rPr>
                  </w:pPr>
                  <w:r w:rsidRPr="00194D91">
                    <w:rPr>
                      <w:color w:val="000000"/>
                    </w:rPr>
                    <w:t>LLR</w:t>
                  </w:r>
                </w:p>
              </w:tc>
              <w:tc>
                <w:tcPr>
                  <w:tcW w:w="2700" w:type="dxa"/>
                  <w:tcBorders>
                    <w:top w:val="nil"/>
                    <w:left w:val="nil"/>
                    <w:bottom w:val="single" w:color="auto" w:sz="4" w:space="0"/>
                    <w:right w:val="single" w:color="auto" w:sz="4" w:space="0"/>
                  </w:tcBorders>
                  <w:hideMark/>
                </w:tcPr>
                <w:p w:rsidRPr="00194D91" w:rsidR="00D959A1" w:rsidP="00200B18" w:rsidRDefault="00D959A1" w14:paraId="1BE426EA" w14:textId="77777777">
                  <w:pPr>
                    <w:rPr>
                      <w:color w:val="000000"/>
                    </w:rPr>
                  </w:pPr>
                  <w:r w:rsidRPr="00194D91">
                    <w:rPr>
                      <w:color w:val="000000"/>
                    </w:rPr>
                    <w:t>Work related to the Lessons Learned report ordered by D.25-11-004</w:t>
                  </w:r>
                </w:p>
              </w:tc>
              <w:tc>
                <w:tcPr>
                  <w:tcW w:w="1350" w:type="dxa"/>
                  <w:tcBorders>
                    <w:top w:val="nil"/>
                    <w:left w:val="nil"/>
                    <w:bottom w:val="single" w:color="auto" w:sz="4" w:space="0"/>
                    <w:right w:val="single" w:color="auto" w:sz="4" w:space="0"/>
                  </w:tcBorders>
                  <w:hideMark/>
                </w:tcPr>
                <w:p w:rsidRPr="00194D91" w:rsidR="00D959A1" w:rsidP="00200B18" w:rsidRDefault="00D959A1" w14:paraId="1AB5969B" w14:textId="77777777">
                  <w:pPr>
                    <w:rPr>
                      <w:color w:val="000000"/>
                    </w:rPr>
                  </w:pPr>
                  <w:r w:rsidRPr="00194D91">
                    <w:rPr>
                      <w:color w:val="000000"/>
                    </w:rPr>
                    <w:t>2.44%</w:t>
                  </w:r>
                </w:p>
              </w:tc>
              <w:tc>
                <w:tcPr>
                  <w:tcW w:w="1440" w:type="dxa"/>
                  <w:tcBorders>
                    <w:top w:val="nil"/>
                    <w:left w:val="nil"/>
                    <w:bottom w:val="single" w:color="auto" w:sz="4" w:space="0"/>
                    <w:right w:val="single" w:color="auto" w:sz="4" w:space="0"/>
                  </w:tcBorders>
                  <w:noWrap/>
                  <w:hideMark/>
                </w:tcPr>
                <w:p w:rsidRPr="00194D91" w:rsidR="00D959A1" w:rsidP="00200B18" w:rsidRDefault="00D959A1" w14:paraId="435F899B" w14:textId="77777777">
                  <w:pPr>
                    <w:rPr>
                      <w:color w:val="000000"/>
                    </w:rPr>
                  </w:pPr>
                  <w:r w:rsidRPr="00194D91">
                    <w:rPr>
                      <w:color w:val="000000"/>
                    </w:rPr>
                    <w:t>6.00</w:t>
                  </w:r>
                </w:p>
              </w:tc>
            </w:tr>
            <w:tr w:rsidRPr="00194D91" w:rsidR="00D959A1" w:rsidTr="00200B18" w14:paraId="29F47022" w14:textId="77777777">
              <w:trPr>
                <w:trHeight w:val="280"/>
              </w:trPr>
              <w:tc>
                <w:tcPr>
                  <w:tcW w:w="1530" w:type="dxa"/>
                  <w:tcBorders>
                    <w:top w:val="nil"/>
                    <w:left w:val="single" w:color="auto" w:sz="4" w:space="0"/>
                    <w:bottom w:val="single" w:color="auto" w:sz="4" w:space="0"/>
                    <w:right w:val="single" w:color="auto" w:sz="4" w:space="0"/>
                  </w:tcBorders>
                  <w:hideMark/>
                </w:tcPr>
                <w:p w:rsidRPr="00194D91" w:rsidR="00D959A1" w:rsidP="00200B18" w:rsidRDefault="00D959A1" w14:paraId="77C3332C" w14:textId="77777777">
                  <w:pPr>
                    <w:rPr>
                      <w:color w:val="000000"/>
                    </w:rPr>
                  </w:pPr>
                  <w:r w:rsidRPr="00194D91">
                    <w:rPr>
                      <w:color w:val="000000"/>
                    </w:rPr>
                    <w:t>PD</w:t>
                  </w:r>
                </w:p>
              </w:tc>
              <w:tc>
                <w:tcPr>
                  <w:tcW w:w="2700" w:type="dxa"/>
                  <w:tcBorders>
                    <w:top w:val="nil"/>
                    <w:left w:val="nil"/>
                    <w:bottom w:val="single" w:color="auto" w:sz="4" w:space="0"/>
                    <w:right w:val="single" w:color="auto" w:sz="4" w:space="0"/>
                  </w:tcBorders>
                  <w:hideMark/>
                </w:tcPr>
                <w:p w:rsidRPr="00194D91" w:rsidR="00D959A1" w:rsidP="00200B18" w:rsidRDefault="00D959A1" w14:paraId="168F0F3B" w14:textId="77777777">
                  <w:pPr>
                    <w:rPr>
                      <w:color w:val="000000"/>
                    </w:rPr>
                  </w:pPr>
                  <w:r w:rsidRPr="00194D91">
                    <w:rPr>
                      <w:color w:val="000000"/>
                    </w:rPr>
                    <w:t>Work related to the PD preceding D.25-11-023</w:t>
                  </w:r>
                </w:p>
              </w:tc>
              <w:tc>
                <w:tcPr>
                  <w:tcW w:w="1350" w:type="dxa"/>
                  <w:tcBorders>
                    <w:top w:val="nil"/>
                    <w:left w:val="nil"/>
                    <w:bottom w:val="single" w:color="auto" w:sz="4" w:space="0"/>
                    <w:right w:val="single" w:color="auto" w:sz="4" w:space="0"/>
                  </w:tcBorders>
                  <w:hideMark/>
                </w:tcPr>
                <w:p w:rsidRPr="00194D91" w:rsidR="00D959A1" w:rsidP="00200B18" w:rsidRDefault="00D959A1" w14:paraId="094801CF" w14:textId="77777777">
                  <w:pPr>
                    <w:rPr>
                      <w:color w:val="000000"/>
                    </w:rPr>
                  </w:pPr>
                  <w:r w:rsidRPr="00194D91">
                    <w:rPr>
                      <w:color w:val="000000"/>
                    </w:rPr>
                    <w:t>0.71%</w:t>
                  </w:r>
                </w:p>
              </w:tc>
              <w:tc>
                <w:tcPr>
                  <w:tcW w:w="1440" w:type="dxa"/>
                  <w:tcBorders>
                    <w:top w:val="nil"/>
                    <w:left w:val="nil"/>
                    <w:bottom w:val="single" w:color="auto" w:sz="4" w:space="0"/>
                    <w:right w:val="single" w:color="auto" w:sz="4" w:space="0"/>
                  </w:tcBorders>
                  <w:noWrap/>
                  <w:hideMark/>
                </w:tcPr>
                <w:p w:rsidRPr="00194D91" w:rsidR="00D959A1" w:rsidP="00200B18" w:rsidRDefault="00D959A1" w14:paraId="2A7A1E98" w14:textId="77777777">
                  <w:pPr>
                    <w:rPr>
                      <w:color w:val="000000"/>
                    </w:rPr>
                  </w:pPr>
                  <w:r w:rsidRPr="00194D91">
                    <w:rPr>
                      <w:color w:val="000000"/>
                    </w:rPr>
                    <w:t>1.75</w:t>
                  </w:r>
                </w:p>
              </w:tc>
            </w:tr>
            <w:tr w:rsidRPr="00194D91" w:rsidR="00D959A1" w:rsidTr="00200B18" w14:paraId="58E20885" w14:textId="77777777">
              <w:trPr>
                <w:trHeight w:val="840"/>
              </w:trPr>
              <w:tc>
                <w:tcPr>
                  <w:tcW w:w="1530" w:type="dxa"/>
                  <w:tcBorders>
                    <w:top w:val="nil"/>
                    <w:left w:val="single" w:color="auto" w:sz="4" w:space="0"/>
                    <w:bottom w:val="single" w:color="auto" w:sz="4" w:space="0"/>
                    <w:right w:val="single" w:color="auto" w:sz="4" w:space="0"/>
                  </w:tcBorders>
                  <w:hideMark/>
                </w:tcPr>
                <w:p w:rsidRPr="00194D91" w:rsidR="00D959A1" w:rsidP="00200B18" w:rsidRDefault="00D959A1" w14:paraId="217E83B2" w14:textId="77777777">
                  <w:pPr>
                    <w:rPr>
                      <w:color w:val="000000"/>
                    </w:rPr>
                  </w:pPr>
                  <w:r w:rsidRPr="00194D91">
                    <w:rPr>
                      <w:color w:val="000000"/>
                    </w:rPr>
                    <w:t>Pipe</w:t>
                  </w:r>
                </w:p>
              </w:tc>
              <w:tc>
                <w:tcPr>
                  <w:tcW w:w="2700" w:type="dxa"/>
                  <w:tcBorders>
                    <w:top w:val="nil"/>
                    <w:left w:val="nil"/>
                    <w:bottom w:val="single" w:color="auto" w:sz="4" w:space="0"/>
                    <w:right w:val="single" w:color="auto" w:sz="4" w:space="0"/>
                  </w:tcBorders>
                  <w:hideMark/>
                </w:tcPr>
                <w:p w:rsidRPr="00194D91" w:rsidR="00D959A1" w:rsidP="00200B18" w:rsidRDefault="00D959A1" w14:paraId="0D8F181D" w14:textId="77777777">
                  <w:pPr>
                    <w:rPr>
                      <w:color w:val="000000"/>
                    </w:rPr>
                  </w:pPr>
                  <w:r w:rsidRPr="00194D91">
                    <w:rPr>
                      <w:color w:val="000000"/>
                    </w:rPr>
                    <w:t>Work related to PG&amp;E's gas pipeline replacement project that could be avoided by the CSUMB electrification project</w:t>
                  </w:r>
                </w:p>
              </w:tc>
              <w:tc>
                <w:tcPr>
                  <w:tcW w:w="1350" w:type="dxa"/>
                  <w:tcBorders>
                    <w:top w:val="nil"/>
                    <w:left w:val="nil"/>
                    <w:bottom w:val="single" w:color="auto" w:sz="4" w:space="0"/>
                    <w:right w:val="single" w:color="auto" w:sz="4" w:space="0"/>
                  </w:tcBorders>
                  <w:hideMark/>
                </w:tcPr>
                <w:p w:rsidRPr="00194D91" w:rsidR="00D959A1" w:rsidP="00200B18" w:rsidRDefault="00D959A1" w14:paraId="459CB8D9" w14:textId="77777777">
                  <w:pPr>
                    <w:rPr>
                      <w:color w:val="000000"/>
                    </w:rPr>
                  </w:pPr>
                  <w:r w:rsidRPr="00194D91">
                    <w:rPr>
                      <w:color w:val="000000"/>
                    </w:rPr>
                    <w:t>3.67%</w:t>
                  </w:r>
                </w:p>
              </w:tc>
              <w:tc>
                <w:tcPr>
                  <w:tcW w:w="1440" w:type="dxa"/>
                  <w:tcBorders>
                    <w:top w:val="nil"/>
                    <w:left w:val="nil"/>
                    <w:bottom w:val="single" w:color="auto" w:sz="4" w:space="0"/>
                    <w:right w:val="single" w:color="auto" w:sz="4" w:space="0"/>
                  </w:tcBorders>
                  <w:noWrap/>
                  <w:hideMark/>
                </w:tcPr>
                <w:p w:rsidRPr="00194D91" w:rsidR="00D959A1" w:rsidP="00200B18" w:rsidRDefault="00D959A1" w14:paraId="286C2C08" w14:textId="77777777">
                  <w:pPr>
                    <w:rPr>
                      <w:color w:val="000000"/>
                    </w:rPr>
                  </w:pPr>
                  <w:r w:rsidRPr="00194D91">
                    <w:rPr>
                      <w:color w:val="000000"/>
                    </w:rPr>
                    <w:t>9.00</w:t>
                  </w:r>
                </w:p>
              </w:tc>
            </w:tr>
            <w:tr w:rsidRPr="00194D91" w:rsidR="00D959A1" w:rsidTr="00200B18" w14:paraId="19393CC4" w14:textId="77777777">
              <w:trPr>
                <w:trHeight w:val="1120"/>
              </w:trPr>
              <w:tc>
                <w:tcPr>
                  <w:tcW w:w="1530" w:type="dxa"/>
                  <w:tcBorders>
                    <w:top w:val="nil"/>
                    <w:left w:val="single" w:color="auto" w:sz="4" w:space="0"/>
                    <w:bottom w:val="single" w:color="auto" w:sz="4" w:space="0"/>
                    <w:right w:val="single" w:color="auto" w:sz="4" w:space="0"/>
                  </w:tcBorders>
                  <w:hideMark/>
                </w:tcPr>
                <w:p w:rsidRPr="00194D91" w:rsidR="00D959A1" w:rsidP="00200B18" w:rsidRDefault="00D959A1" w14:paraId="726DB972" w14:textId="77777777">
                  <w:pPr>
                    <w:rPr>
                      <w:color w:val="000000"/>
                    </w:rPr>
                  </w:pPr>
                  <w:r w:rsidRPr="00194D91">
                    <w:rPr>
                      <w:color w:val="000000"/>
                    </w:rPr>
                    <w:t>Proc</w:t>
                  </w:r>
                </w:p>
              </w:tc>
              <w:tc>
                <w:tcPr>
                  <w:tcW w:w="2700" w:type="dxa"/>
                  <w:tcBorders>
                    <w:top w:val="nil"/>
                    <w:left w:val="nil"/>
                    <w:bottom w:val="single" w:color="auto" w:sz="4" w:space="0"/>
                    <w:right w:val="single" w:color="auto" w:sz="4" w:space="0"/>
                  </w:tcBorders>
                  <w:hideMark/>
                </w:tcPr>
                <w:p w:rsidRPr="00194D91" w:rsidR="00D959A1" w:rsidP="00200B18" w:rsidRDefault="00D959A1" w14:paraId="7670302A" w14:textId="77777777">
                  <w:pPr>
                    <w:rPr>
                      <w:color w:val="000000"/>
                    </w:rPr>
                  </w:pPr>
                  <w:r w:rsidRPr="00194D91">
                    <w:rPr>
                      <w:color w:val="000000"/>
                    </w:rPr>
                    <w:t xml:space="preserve">Review of CPUC rulings and time spent preparing for, and participating in the Prehearing Conference, required </w:t>
                  </w:r>
                  <w:r w:rsidRPr="00194D91">
                    <w:rPr>
                      <w:color w:val="000000"/>
                    </w:rPr>
                    <w:lastRenderedPageBreak/>
                    <w:t>Meet &amp; Confers and Status Conferences</w:t>
                  </w:r>
                </w:p>
              </w:tc>
              <w:tc>
                <w:tcPr>
                  <w:tcW w:w="1350" w:type="dxa"/>
                  <w:tcBorders>
                    <w:top w:val="nil"/>
                    <w:left w:val="nil"/>
                    <w:bottom w:val="single" w:color="auto" w:sz="4" w:space="0"/>
                    <w:right w:val="single" w:color="auto" w:sz="4" w:space="0"/>
                  </w:tcBorders>
                  <w:hideMark/>
                </w:tcPr>
                <w:p w:rsidRPr="00194D91" w:rsidR="00D959A1" w:rsidP="00200B18" w:rsidRDefault="00D959A1" w14:paraId="48F4AEDF" w14:textId="77777777">
                  <w:pPr>
                    <w:rPr>
                      <w:color w:val="000000"/>
                    </w:rPr>
                  </w:pPr>
                  <w:r w:rsidRPr="00194D91">
                    <w:rPr>
                      <w:color w:val="000000"/>
                    </w:rPr>
                    <w:lastRenderedPageBreak/>
                    <w:t>3.16%</w:t>
                  </w:r>
                </w:p>
              </w:tc>
              <w:tc>
                <w:tcPr>
                  <w:tcW w:w="1440" w:type="dxa"/>
                  <w:tcBorders>
                    <w:top w:val="nil"/>
                    <w:left w:val="nil"/>
                    <w:bottom w:val="single" w:color="auto" w:sz="4" w:space="0"/>
                    <w:right w:val="single" w:color="auto" w:sz="4" w:space="0"/>
                  </w:tcBorders>
                  <w:noWrap/>
                  <w:hideMark/>
                </w:tcPr>
                <w:p w:rsidRPr="00194D91" w:rsidR="00D959A1" w:rsidP="00200B18" w:rsidRDefault="00D959A1" w14:paraId="6DE58557" w14:textId="77777777">
                  <w:pPr>
                    <w:rPr>
                      <w:color w:val="000000"/>
                    </w:rPr>
                  </w:pPr>
                  <w:r w:rsidRPr="00194D91">
                    <w:rPr>
                      <w:color w:val="000000"/>
                    </w:rPr>
                    <w:t>7.75</w:t>
                  </w:r>
                </w:p>
              </w:tc>
            </w:tr>
            <w:tr w:rsidRPr="00194D91" w:rsidR="00D959A1" w:rsidTr="00200B18" w14:paraId="42E9EBE6" w14:textId="77777777">
              <w:trPr>
                <w:trHeight w:val="840"/>
              </w:trPr>
              <w:tc>
                <w:tcPr>
                  <w:tcW w:w="1530" w:type="dxa"/>
                  <w:tcBorders>
                    <w:top w:val="nil"/>
                    <w:left w:val="single" w:color="auto" w:sz="4" w:space="0"/>
                    <w:bottom w:val="single" w:color="auto" w:sz="4" w:space="0"/>
                    <w:right w:val="single" w:color="auto" w:sz="4" w:space="0"/>
                  </w:tcBorders>
                  <w:hideMark/>
                </w:tcPr>
                <w:p w:rsidRPr="00194D91" w:rsidR="00D959A1" w:rsidP="00200B18" w:rsidRDefault="00D959A1" w14:paraId="43DCDCE1" w14:textId="77777777">
                  <w:pPr>
                    <w:rPr>
                      <w:color w:val="000000"/>
                    </w:rPr>
                  </w:pPr>
                  <w:r w:rsidRPr="00194D91">
                    <w:rPr>
                      <w:color w:val="000000"/>
                    </w:rPr>
                    <w:t>Restart</w:t>
                  </w:r>
                </w:p>
              </w:tc>
              <w:tc>
                <w:tcPr>
                  <w:tcW w:w="2700" w:type="dxa"/>
                  <w:tcBorders>
                    <w:top w:val="nil"/>
                    <w:left w:val="nil"/>
                    <w:bottom w:val="single" w:color="auto" w:sz="4" w:space="0"/>
                    <w:right w:val="single" w:color="auto" w:sz="4" w:space="0"/>
                  </w:tcBorders>
                  <w:hideMark/>
                </w:tcPr>
                <w:p w:rsidRPr="00194D91" w:rsidR="00D959A1" w:rsidP="00200B18" w:rsidRDefault="00D959A1" w14:paraId="0B128DFD" w14:textId="77777777">
                  <w:pPr>
                    <w:rPr>
                      <w:color w:val="000000"/>
                    </w:rPr>
                  </w:pPr>
                  <w:r w:rsidRPr="00194D91">
                    <w:rPr>
                      <w:color w:val="000000"/>
                    </w:rPr>
                    <w:t>Work necessitated by PG&amp;E's request to suspend the procedural schedule pending further negotiations with CSUMB</w:t>
                  </w:r>
                </w:p>
              </w:tc>
              <w:tc>
                <w:tcPr>
                  <w:tcW w:w="1350" w:type="dxa"/>
                  <w:tcBorders>
                    <w:top w:val="nil"/>
                    <w:left w:val="nil"/>
                    <w:bottom w:val="single" w:color="auto" w:sz="4" w:space="0"/>
                    <w:right w:val="single" w:color="auto" w:sz="4" w:space="0"/>
                  </w:tcBorders>
                  <w:hideMark/>
                </w:tcPr>
                <w:p w:rsidRPr="00194D91" w:rsidR="00D959A1" w:rsidP="00200B18" w:rsidRDefault="00D959A1" w14:paraId="61DDEC1D" w14:textId="77777777">
                  <w:pPr>
                    <w:rPr>
                      <w:color w:val="000000"/>
                    </w:rPr>
                  </w:pPr>
                  <w:r w:rsidRPr="00194D91">
                    <w:rPr>
                      <w:color w:val="000000"/>
                    </w:rPr>
                    <w:t>6.01%</w:t>
                  </w:r>
                </w:p>
              </w:tc>
              <w:tc>
                <w:tcPr>
                  <w:tcW w:w="1440" w:type="dxa"/>
                  <w:tcBorders>
                    <w:top w:val="nil"/>
                    <w:left w:val="nil"/>
                    <w:bottom w:val="single" w:color="auto" w:sz="4" w:space="0"/>
                    <w:right w:val="single" w:color="auto" w:sz="4" w:space="0"/>
                  </w:tcBorders>
                  <w:noWrap/>
                  <w:hideMark/>
                </w:tcPr>
                <w:p w:rsidRPr="00194D91" w:rsidR="00D959A1" w:rsidP="00200B18" w:rsidRDefault="00D959A1" w14:paraId="19B80023" w14:textId="77777777">
                  <w:pPr>
                    <w:rPr>
                      <w:color w:val="000000"/>
                    </w:rPr>
                  </w:pPr>
                  <w:r w:rsidRPr="00194D91">
                    <w:rPr>
                      <w:color w:val="000000"/>
                    </w:rPr>
                    <w:t>14.75</w:t>
                  </w:r>
                </w:p>
              </w:tc>
            </w:tr>
            <w:tr w:rsidRPr="00194D91" w:rsidR="00D959A1" w:rsidTr="00200B18" w14:paraId="6A8D343A" w14:textId="77777777">
              <w:trPr>
                <w:trHeight w:val="840"/>
              </w:trPr>
              <w:tc>
                <w:tcPr>
                  <w:tcW w:w="1530" w:type="dxa"/>
                  <w:tcBorders>
                    <w:top w:val="nil"/>
                    <w:left w:val="single" w:color="auto" w:sz="4" w:space="0"/>
                    <w:bottom w:val="single" w:color="auto" w:sz="4" w:space="0"/>
                    <w:right w:val="single" w:color="auto" w:sz="4" w:space="0"/>
                  </w:tcBorders>
                  <w:hideMark/>
                </w:tcPr>
                <w:p w:rsidRPr="00194D91" w:rsidR="00D959A1" w:rsidP="00200B18" w:rsidRDefault="00D959A1" w14:paraId="230B9E57" w14:textId="77777777">
                  <w:pPr>
                    <w:rPr>
                      <w:color w:val="000000"/>
                    </w:rPr>
                  </w:pPr>
                  <w:r w:rsidRPr="00194D91">
                    <w:rPr>
                      <w:color w:val="000000"/>
                    </w:rPr>
                    <w:t>Sett</w:t>
                  </w:r>
                </w:p>
              </w:tc>
              <w:tc>
                <w:tcPr>
                  <w:tcW w:w="2700" w:type="dxa"/>
                  <w:tcBorders>
                    <w:top w:val="nil"/>
                    <w:left w:val="nil"/>
                    <w:bottom w:val="single" w:color="auto" w:sz="4" w:space="0"/>
                    <w:right w:val="single" w:color="auto" w:sz="4" w:space="0"/>
                  </w:tcBorders>
                  <w:hideMark/>
                </w:tcPr>
                <w:p w:rsidRPr="00194D91" w:rsidR="00D959A1" w:rsidP="00200B18" w:rsidRDefault="00D959A1" w14:paraId="0FC62389" w14:textId="77777777">
                  <w:pPr>
                    <w:rPr>
                      <w:color w:val="000000"/>
                    </w:rPr>
                  </w:pPr>
                  <w:r w:rsidRPr="00194D91">
                    <w:rPr>
                      <w:color w:val="000000"/>
                    </w:rPr>
                    <w:t>Work related to settlement negotiations and the joint parties' factual stipulations filed with the Commission</w:t>
                  </w:r>
                </w:p>
              </w:tc>
              <w:tc>
                <w:tcPr>
                  <w:tcW w:w="1350" w:type="dxa"/>
                  <w:tcBorders>
                    <w:top w:val="nil"/>
                    <w:left w:val="nil"/>
                    <w:bottom w:val="single" w:color="auto" w:sz="4" w:space="0"/>
                    <w:right w:val="single" w:color="auto" w:sz="4" w:space="0"/>
                  </w:tcBorders>
                  <w:hideMark/>
                </w:tcPr>
                <w:p w:rsidRPr="00194D91" w:rsidR="00D959A1" w:rsidP="00200B18" w:rsidRDefault="00D959A1" w14:paraId="3F4DED86" w14:textId="77777777">
                  <w:pPr>
                    <w:rPr>
                      <w:color w:val="000000"/>
                    </w:rPr>
                  </w:pPr>
                  <w:r w:rsidRPr="00194D91">
                    <w:rPr>
                      <w:color w:val="000000"/>
                    </w:rPr>
                    <w:t>13.03%</w:t>
                  </w:r>
                </w:p>
              </w:tc>
              <w:tc>
                <w:tcPr>
                  <w:tcW w:w="1440" w:type="dxa"/>
                  <w:tcBorders>
                    <w:top w:val="nil"/>
                    <w:left w:val="nil"/>
                    <w:bottom w:val="single" w:color="auto" w:sz="4" w:space="0"/>
                    <w:right w:val="single" w:color="auto" w:sz="4" w:space="0"/>
                  </w:tcBorders>
                  <w:noWrap/>
                  <w:hideMark/>
                </w:tcPr>
                <w:p w:rsidRPr="00194D91" w:rsidR="00D959A1" w:rsidP="00200B18" w:rsidRDefault="00D959A1" w14:paraId="2B9E14B5" w14:textId="77777777">
                  <w:pPr>
                    <w:rPr>
                      <w:color w:val="000000"/>
                    </w:rPr>
                  </w:pPr>
                  <w:r w:rsidRPr="00194D91">
                    <w:rPr>
                      <w:color w:val="000000"/>
                    </w:rPr>
                    <w:t>32.00</w:t>
                  </w:r>
                </w:p>
              </w:tc>
            </w:tr>
            <w:tr w:rsidRPr="00194D91" w:rsidR="00D959A1" w:rsidTr="00200B18" w14:paraId="56BAEF6B" w14:textId="77777777">
              <w:trPr>
                <w:trHeight w:val="1120"/>
              </w:trPr>
              <w:tc>
                <w:tcPr>
                  <w:tcW w:w="1530" w:type="dxa"/>
                  <w:tcBorders>
                    <w:top w:val="nil"/>
                    <w:left w:val="single" w:color="auto" w:sz="4" w:space="0"/>
                    <w:bottom w:val="single" w:color="auto" w:sz="4" w:space="0"/>
                    <w:right w:val="single" w:color="auto" w:sz="4" w:space="0"/>
                  </w:tcBorders>
                  <w:hideMark/>
                </w:tcPr>
                <w:p w:rsidRPr="00194D91" w:rsidR="00D959A1" w:rsidP="00200B18" w:rsidRDefault="00D959A1" w14:paraId="4619720E" w14:textId="77777777">
                  <w:pPr>
                    <w:rPr>
                      <w:color w:val="000000"/>
                    </w:rPr>
                  </w:pPr>
                  <w:r w:rsidRPr="00194D91">
                    <w:rPr>
                      <w:color w:val="000000"/>
                    </w:rPr>
                    <w:t>Test</w:t>
                  </w:r>
                </w:p>
              </w:tc>
              <w:tc>
                <w:tcPr>
                  <w:tcW w:w="2700" w:type="dxa"/>
                  <w:tcBorders>
                    <w:top w:val="nil"/>
                    <w:left w:val="nil"/>
                    <w:bottom w:val="single" w:color="auto" w:sz="4" w:space="0"/>
                    <w:right w:val="single" w:color="auto" w:sz="4" w:space="0"/>
                  </w:tcBorders>
                  <w:hideMark/>
                </w:tcPr>
                <w:p w:rsidRPr="00194D91" w:rsidR="00D959A1" w:rsidP="00200B18" w:rsidRDefault="00D959A1" w14:paraId="59396CE2" w14:textId="77777777">
                  <w:pPr>
                    <w:rPr>
                      <w:color w:val="000000"/>
                    </w:rPr>
                  </w:pPr>
                  <w:r w:rsidRPr="00194D91">
                    <w:rPr>
                      <w:color w:val="000000"/>
                    </w:rPr>
                    <w:t>Work related to TURN's testimony that cannot be accurately allocated to one of the specific issue areas, as well as reviewing other parties' testimony</w:t>
                  </w:r>
                </w:p>
              </w:tc>
              <w:tc>
                <w:tcPr>
                  <w:tcW w:w="1350" w:type="dxa"/>
                  <w:tcBorders>
                    <w:top w:val="nil"/>
                    <w:left w:val="nil"/>
                    <w:bottom w:val="single" w:color="auto" w:sz="4" w:space="0"/>
                    <w:right w:val="single" w:color="auto" w:sz="4" w:space="0"/>
                  </w:tcBorders>
                  <w:hideMark/>
                </w:tcPr>
                <w:p w:rsidRPr="00194D91" w:rsidR="00D959A1" w:rsidP="00200B18" w:rsidRDefault="00D959A1" w14:paraId="0B13063A" w14:textId="77777777">
                  <w:pPr>
                    <w:rPr>
                      <w:color w:val="000000"/>
                    </w:rPr>
                  </w:pPr>
                  <w:r w:rsidRPr="00194D91">
                    <w:rPr>
                      <w:color w:val="000000"/>
                    </w:rPr>
                    <w:t>15.38%</w:t>
                  </w:r>
                </w:p>
              </w:tc>
              <w:tc>
                <w:tcPr>
                  <w:tcW w:w="1440" w:type="dxa"/>
                  <w:tcBorders>
                    <w:top w:val="nil"/>
                    <w:left w:val="nil"/>
                    <w:bottom w:val="single" w:color="auto" w:sz="4" w:space="0"/>
                    <w:right w:val="single" w:color="auto" w:sz="4" w:space="0"/>
                  </w:tcBorders>
                  <w:noWrap/>
                  <w:hideMark/>
                </w:tcPr>
                <w:p w:rsidRPr="00194D91" w:rsidR="00D959A1" w:rsidP="00200B18" w:rsidRDefault="00D959A1" w14:paraId="73E296AA" w14:textId="77777777">
                  <w:pPr>
                    <w:rPr>
                      <w:color w:val="000000"/>
                    </w:rPr>
                  </w:pPr>
                  <w:r w:rsidRPr="00194D91">
                    <w:rPr>
                      <w:color w:val="000000"/>
                    </w:rPr>
                    <w:t>37.75</w:t>
                  </w:r>
                </w:p>
              </w:tc>
            </w:tr>
            <w:tr w:rsidRPr="00194D91" w:rsidR="00D959A1" w:rsidTr="00200B18" w14:paraId="3ED737EF" w14:textId="77777777">
              <w:trPr>
                <w:trHeight w:val="560"/>
              </w:trPr>
              <w:tc>
                <w:tcPr>
                  <w:tcW w:w="1530" w:type="dxa"/>
                  <w:tcBorders>
                    <w:top w:val="nil"/>
                    <w:left w:val="single" w:color="auto" w:sz="4" w:space="0"/>
                    <w:bottom w:val="single" w:color="auto" w:sz="4" w:space="0"/>
                    <w:right w:val="single" w:color="auto" w:sz="4" w:space="0"/>
                  </w:tcBorders>
                  <w:hideMark/>
                </w:tcPr>
                <w:p w:rsidRPr="00194D91" w:rsidR="00D959A1" w:rsidP="00200B18" w:rsidRDefault="00D959A1" w14:paraId="5C7FB8DB" w14:textId="77777777">
                  <w:pPr>
                    <w:rPr>
                      <w:color w:val="000000"/>
                    </w:rPr>
                  </w:pPr>
                  <w:r w:rsidRPr="00194D91">
                    <w:rPr>
                      <w:color w:val="000000"/>
                    </w:rPr>
                    <w:t>Withdraw</w:t>
                  </w:r>
                </w:p>
              </w:tc>
              <w:tc>
                <w:tcPr>
                  <w:tcW w:w="2700" w:type="dxa"/>
                  <w:tcBorders>
                    <w:top w:val="nil"/>
                    <w:left w:val="nil"/>
                    <w:bottom w:val="single" w:color="auto" w:sz="4" w:space="0"/>
                    <w:right w:val="single" w:color="auto" w:sz="4" w:space="0"/>
                  </w:tcBorders>
                  <w:hideMark/>
                </w:tcPr>
                <w:p w:rsidRPr="00194D91" w:rsidR="00D959A1" w:rsidP="00200B18" w:rsidRDefault="00D959A1" w14:paraId="2AE3935C" w14:textId="77777777">
                  <w:pPr>
                    <w:rPr>
                      <w:color w:val="000000"/>
                    </w:rPr>
                  </w:pPr>
                  <w:r w:rsidRPr="00194D91">
                    <w:rPr>
                      <w:color w:val="000000"/>
                    </w:rPr>
                    <w:t xml:space="preserve">Work related to PG&amp;E's decision to withdraw its application </w:t>
                  </w:r>
                </w:p>
              </w:tc>
              <w:tc>
                <w:tcPr>
                  <w:tcW w:w="1350" w:type="dxa"/>
                  <w:tcBorders>
                    <w:top w:val="nil"/>
                    <w:left w:val="nil"/>
                    <w:bottom w:val="single" w:color="auto" w:sz="4" w:space="0"/>
                    <w:right w:val="single" w:color="auto" w:sz="4" w:space="0"/>
                  </w:tcBorders>
                  <w:hideMark/>
                </w:tcPr>
                <w:p w:rsidRPr="00194D91" w:rsidR="00D959A1" w:rsidP="00200B18" w:rsidRDefault="00D959A1" w14:paraId="7798F62D" w14:textId="77777777">
                  <w:pPr>
                    <w:rPr>
                      <w:color w:val="000000"/>
                    </w:rPr>
                  </w:pPr>
                  <w:r w:rsidRPr="00194D91">
                    <w:rPr>
                      <w:color w:val="000000"/>
                    </w:rPr>
                    <w:t>10.69%</w:t>
                  </w:r>
                </w:p>
              </w:tc>
              <w:tc>
                <w:tcPr>
                  <w:tcW w:w="1440" w:type="dxa"/>
                  <w:tcBorders>
                    <w:top w:val="nil"/>
                    <w:left w:val="nil"/>
                    <w:bottom w:val="single" w:color="auto" w:sz="4" w:space="0"/>
                    <w:right w:val="single" w:color="auto" w:sz="4" w:space="0"/>
                  </w:tcBorders>
                  <w:noWrap/>
                  <w:hideMark/>
                </w:tcPr>
                <w:p w:rsidRPr="00194D91" w:rsidR="00D959A1" w:rsidP="00200B18" w:rsidRDefault="00D959A1" w14:paraId="422920AC" w14:textId="77777777">
                  <w:pPr>
                    <w:rPr>
                      <w:color w:val="000000"/>
                    </w:rPr>
                  </w:pPr>
                  <w:r w:rsidRPr="00194D91">
                    <w:rPr>
                      <w:color w:val="000000"/>
                    </w:rPr>
                    <w:t>26.25</w:t>
                  </w:r>
                </w:p>
              </w:tc>
            </w:tr>
            <w:tr w:rsidRPr="00194D91" w:rsidR="00D959A1" w:rsidTr="00200B18" w14:paraId="3C8C3053" w14:textId="77777777">
              <w:trPr>
                <w:trHeight w:val="280"/>
              </w:trPr>
              <w:tc>
                <w:tcPr>
                  <w:tcW w:w="1530" w:type="dxa"/>
                  <w:tcBorders>
                    <w:top w:val="nil"/>
                    <w:left w:val="single" w:color="auto" w:sz="4" w:space="0"/>
                    <w:bottom w:val="single" w:color="auto" w:sz="4" w:space="0"/>
                    <w:right w:val="single" w:color="auto" w:sz="4" w:space="0"/>
                  </w:tcBorders>
                  <w:hideMark/>
                </w:tcPr>
                <w:p w:rsidRPr="00194D91" w:rsidR="00D959A1" w:rsidP="00200B18" w:rsidRDefault="00D959A1" w14:paraId="6189904F" w14:textId="77777777">
                  <w:pPr>
                    <w:rPr>
                      <w:b/>
                      <w:bCs/>
                      <w:color w:val="000000"/>
                    </w:rPr>
                  </w:pPr>
                  <w:r w:rsidRPr="00194D91">
                    <w:rPr>
                      <w:b/>
                      <w:bCs/>
                      <w:color w:val="000000"/>
                    </w:rPr>
                    <w:t>SUBTOTAL</w:t>
                  </w:r>
                </w:p>
              </w:tc>
              <w:tc>
                <w:tcPr>
                  <w:tcW w:w="2700" w:type="dxa"/>
                  <w:tcBorders>
                    <w:top w:val="nil"/>
                    <w:left w:val="nil"/>
                    <w:bottom w:val="single" w:color="auto" w:sz="4" w:space="0"/>
                    <w:right w:val="single" w:color="auto" w:sz="4" w:space="0"/>
                  </w:tcBorders>
                  <w:hideMark/>
                </w:tcPr>
                <w:p w:rsidRPr="00194D91" w:rsidR="00D959A1" w:rsidP="00200B18" w:rsidRDefault="00D959A1" w14:paraId="75720149" w14:textId="77777777">
                  <w:pPr>
                    <w:rPr>
                      <w:color w:val="000000"/>
                    </w:rPr>
                  </w:pPr>
                  <w:r w:rsidRPr="00194D91">
                    <w:rPr>
                      <w:color w:val="000000"/>
                    </w:rPr>
                    <w:t>(excluding compensation-related time)</w:t>
                  </w:r>
                </w:p>
              </w:tc>
              <w:tc>
                <w:tcPr>
                  <w:tcW w:w="1350" w:type="dxa"/>
                  <w:tcBorders>
                    <w:top w:val="nil"/>
                    <w:left w:val="nil"/>
                    <w:bottom w:val="single" w:color="auto" w:sz="4" w:space="0"/>
                    <w:right w:val="single" w:color="auto" w:sz="4" w:space="0"/>
                  </w:tcBorders>
                  <w:hideMark/>
                </w:tcPr>
                <w:p w:rsidRPr="00194D91" w:rsidR="00D959A1" w:rsidP="00200B18" w:rsidRDefault="00D959A1" w14:paraId="31A83E83" w14:textId="77777777">
                  <w:pPr>
                    <w:rPr>
                      <w:b/>
                      <w:bCs/>
                      <w:color w:val="000000"/>
                    </w:rPr>
                  </w:pPr>
                  <w:r w:rsidRPr="00194D91">
                    <w:rPr>
                      <w:b/>
                      <w:bCs/>
                      <w:color w:val="000000"/>
                    </w:rPr>
                    <w:t>100.00%</w:t>
                  </w:r>
                </w:p>
              </w:tc>
              <w:tc>
                <w:tcPr>
                  <w:tcW w:w="1440" w:type="dxa"/>
                  <w:tcBorders>
                    <w:top w:val="nil"/>
                    <w:left w:val="nil"/>
                    <w:bottom w:val="single" w:color="auto" w:sz="4" w:space="0"/>
                    <w:right w:val="single" w:color="auto" w:sz="4" w:space="0"/>
                  </w:tcBorders>
                  <w:noWrap/>
                  <w:hideMark/>
                </w:tcPr>
                <w:p w:rsidRPr="00194D91" w:rsidR="00D959A1" w:rsidP="00200B18" w:rsidRDefault="00D959A1" w14:paraId="1E72FE22" w14:textId="77777777">
                  <w:pPr>
                    <w:rPr>
                      <w:b/>
                      <w:bCs/>
                      <w:color w:val="000000"/>
                    </w:rPr>
                  </w:pPr>
                  <w:r w:rsidRPr="00194D91">
                    <w:rPr>
                      <w:b/>
                      <w:bCs/>
                      <w:color w:val="000000"/>
                    </w:rPr>
                    <w:t>245.50</w:t>
                  </w:r>
                </w:p>
              </w:tc>
            </w:tr>
            <w:tr w:rsidRPr="00194D91" w:rsidR="00D959A1" w:rsidTr="00200B18" w14:paraId="54CC8531" w14:textId="77777777">
              <w:trPr>
                <w:trHeight w:val="840"/>
              </w:trPr>
              <w:tc>
                <w:tcPr>
                  <w:tcW w:w="1530" w:type="dxa"/>
                  <w:tcBorders>
                    <w:top w:val="nil"/>
                    <w:left w:val="single" w:color="auto" w:sz="4" w:space="0"/>
                    <w:bottom w:val="single" w:color="auto" w:sz="4" w:space="0"/>
                    <w:right w:val="single" w:color="auto" w:sz="4" w:space="0"/>
                  </w:tcBorders>
                  <w:hideMark/>
                </w:tcPr>
                <w:p w:rsidRPr="00194D91" w:rsidR="00D959A1" w:rsidP="00200B18" w:rsidRDefault="00D959A1" w14:paraId="6926AF0D" w14:textId="77777777">
                  <w:pPr>
                    <w:rPr>
                      <w:color w:val="000000"/>
                    </w:rPr>
                  </w:pPr>
                  <w:r w:rsidRPr="00194D91">
                    <w:rPr>
                      <w:color w:val="000000"/>
                    </w:rPr>
                    <w:t>Comp</w:t>
                  </w:r>
                </w:p>
              </w:tc>
              <w:tc>
                <w:tcPr>
                  <w:tcW w:w="2700" w:type="dxa"/>
                  <w:tcBorders>
                    <w:top w:val="nil"/>
                    <w:left w:val="nil"/>
                    <w:bottom w:val="single" w:color="auto" w:sz="4" w:space="0"/>
                    <w:right w:val="single" w:color="auto" w:sz="4" w:space="0"/>
                  </w:tcBorders>
                  <w:hideMark/>
                </w:tcPr>
                <w:p w:rsidRPr="00194D91" w:rsidR="00D959A1" w:rsidP="00200B18" w:rsidRDefault="00D959A1" w14:paraId="0C1669D5" w14:textId="77777777">
                  <w:pPr>
                    <w:rPr>
                      <w:color w:val="000000"/>
                    </w:rPr>
                  </w:pPr>
                  <w:r w:rsidRPr="00194D91">
                    <w:rPr>
                      <w:color w:val="000000"/>
                    </w:rPr>
                    <w:t>Work related to preparing TURN's notice of intent to claim compensation and this request for intervenor compensation.</w:t>
                  </w:r>
                </w:p>
              </w:tc>
              <w:tc>
                <w:tcPr>
                  <w:tcW w:w="1350" w:type="dxa"/>
                  <w:tcBorders>
                    <w:top w:val="nil"/>
                    <w:left w:val="nil"/>
                    <w:bottom w:val="single" w:color="auto" w:sz="4" w:space="0"/>
                    <w:right w:val="single" w:color="auto" w:sz="4" w:space="0"/>
                  </w:tcBorders>
                  <w:hideMark/>
                </w:tcPr>
                <w:p w:rsidRPr="00194D91" w:rsidR="00D959A1" w:rsidP="00200B18" w:rsidRDefault="00D959A1" w14:paraId="52E6B744" w14:textId="77777777">
                  <w:pPr>
                    <w:rPr>
                      <w:color w:val="000000"/>
                    </w:rPr>
                  </w:pPr>
                  <w:r w:rsidRPr="00194D91">
                    <w:rPr>
                      <w:color w:val="000000"/>
                    </w:rPr>
                    <w:t> </w:t>
                  </w:r>
                </w:p>
              </w:tc>
              <w:tc>
                <w:tcPr>
                  <w:tcW w:w="1440" w:type="dxa"/>
                  <w:tcBorders>
                    <w:top w:val="nil"/>
                    <w:left w:val="nil"/>
                    <w:bottom w:val="single" w:color="auto" w:sz="4" w:space="0"/>
                    <w:right w:val="single" w:color="auto" w:sz="4" w:space="0"/>
                  </w:tcBorders>
                  <w:noWrap/>
                  <w:hideMark/>
                </w:tcPr>
                <w:p w:rsidRPr="00194D91" w:rsidR="00D959A1" w:rsidP="00200B18" w:rsidRDefault="00D959A1" w14:paraId="78118FF4" w14:textId="77777777">
                  <w:pPr>
                    <w:rPr>
                      <w:color w:val="000000"/>
                    </w:rPr>
                  </w:pPr>
                  <w:r w:rsidRPr="00194D91">
                    <w:rPr>
                      <w:color w:val="000000"/>
                    </w:rPr>
                    <w:t>15.25</w:t>
                  </w:r>
                </w:p>
              </w:tc>
            </w:tr>
            <w:tr w:rsidRPr="00194D91" w:rsidR="00D959A1" w:rsidTr="00200B18" w14:paraId="22262FA9" w14:textId="77777777">
              <w:trPr>
                <w:trHeight w:val="280"/>
              </w:trPr>
              <w:tc>
                <w:tcPr>
                  <w:tcW w:w="1530" w:type="dxa"/>
                  <w:tcBorders>
                    <w:top w:val="nil"/>
                    <w:left w:val="single" w:color="auto" w:sz="4" w:space="0"/>
                    <w:bottom w:val="single" w:color="auto" w:sz="4" w:space="0"/>
                    <w:right w:val="single" w:color="auto" w:sz="4" w:space="0"/>
                  </w:tcBorders>
                  <w:hideMark/>
                </w:tcPr>
                <w:p w:rsidRPr="00194D91" w:rsidR="00D959A1" w:rsidP="00200B18" w:rsidRDefault="00D959A1" w14:paraId="451E84E3" w14:textId="77777777">
                  <w:pPr>
                    <w:rPr>
                      <w:b/>
                      <w:bCs/>
                      <w:color w:val="000000"/>
                    </w:rPr>
                  </w:pPr>
                  <w:r w:rsidRPr="00194D91">
                    <w:rPr>
                      <w:b/>
                      <w:bCs/>
                      <w:color w:val="000000"/>
                    </w:rPr>
                    <w:t>TOTAL</w:t>
                  </w:r>
                </w:p>
              </w:tc>
              <w:tc>
                <w:tcPr>
                  <w:tcW w:w="2700" w:type="dxa"/>
                  <w:tcBorders>
                    <w:top w:val="nil"/>
                    <w:left w:val="nil"/>
                    <w:bottom w:val="single" w:color="auto" w:sz="4" w:space="0"/>
                    <w:right w:val="single" w:color="auto" w:sz="4" w:space="0"/>
                  </w:tcBorders>
                  <w:hideMark/>
                </w:tcPr>
                <w:p w:rsidRPr="00194D91" w:rsidR="00D959A1" w:rsidP="00200B18" w:rsidRDefault="00D959A1" w14:paraId="3EDCDB5F" w14:textId="77777777">
                  <w:pPr>
                    <w:rPr>
                      <w:b/>
                      <w:bCs/>
                      <w:color w:val="000000"/>
                    </w:rPr>
                  </w:pPr>
                  <w:r w:rsidRPr="00194D91">
                    <w:rPr>
                      <w:b/>
                      <w:bCs/>
                      <w:color w:val="000000"/>
                    </w:rPr>
                    <w:t> </w:t>
                  </w:r>
                </w:p>
              </w:tc>
              <w:tc>
                <w:tcPr>
                  <w:tcW w:w="1350" w:type="dxa"/>
                  <w:tcBorders>
                    <w:top w:val="nil"/>
                    <w:left w:val="nil"/>
                    <w:bottom w:val="single" w:color="auto" w:sz="4" w:space="0"/>
                    <w:right w:val="single" w:color="auto" w:sz="4" w:space="0"/>
                  </w:tcBorders>
                  <w:hideMark/>
                </w:tcPr>
                <w:p w:rsidRPr="00194D91" w:rsidR="00D959A1" w:rsidP="00200B18" w:rsidRDefault="00D959A1" w14:paraId="39D89C5C" w14:textId="77777777">
                  <w:pPr>
                    <w:rPr>
                      <w:b/>
                      <w:bCs/>
                      <w:color w:val="000000"/>
                    </w:rPr>
                  </w:pPr>
                  <w:r w:rsidRPr="00194D91">
                    <w:rPr>
                      <w:b/>
                      <w:bCs/>
                      <w:color w:val="000000"/>
                    </w:rPr>
                    <w:t> </w:t>
                  </w:r>
                </w:p>
              </w:tc>
              <w:tc>
                <w:tcPr>
                  <w:tcW w:w="1440" w:type="dxa"/>
                  <w:tcBorders>
                    <w:top w:val="nil"/>
                    <w:left w:val="nil"/>
                    <w:bottom w:val="single" w:color="auto" w:sz="4" w:space="0"/>
                    <w:right w:val="single" w:color="auto" w:sz="4" w:space="0"/>
                  </w:tcBorders>
                  <w:noWrap/>
                  <w:hideMark/>
                </w:tcPr>
                <w:p w:rsidRPr="00194D91" w:rsidR="00D959A1" w:rsidP="00200B18" w:rsidRDefault="00D959A1" w14:paraId="45F34EE3" w14:textId="77777777">
                  <w:pPr>
                    <w:rPr>
                      <w:b/>
                      <w:bCs/>
                      <w:color w:val="000000"/>
                    </w:rPr>
                  </w:pPr>
                  <w:r w:rsidRPr="00194D91">
                    <w:rPr>
                      <w:b/>
                      <w:bCs/>
                      <w:color w:val="000000"/>
                    </w:rPr>
                    <w:t>260.75</w:t>
                  </w:r>
                </w:p>
              </w:tc>
            </w:tr>
          </w:tbl>
          <w:p w:rsidRPr="00194D91" w:rsidR="00D959A1" w:rsidP="00200B18" w:rsidRDefault="00D959A1" w14:paraId="2DFF2E07" w14:textId="77777777">
            <w:pPr>
              <w:rPr>
                <w:color w:val="000000"/>
              </w:rPr>
            </w:pPr>
          </w:p>
          <w:p w:rsidRPr="00194D91" w:rsidR="00D959A1" w:rsidP="00200B18" w:rsidRDefault="00D959A1" w14:paraId="31958EE5" w14:textId="77777777">
            <w:pPr>
              <w:rPr>
                <w:color w:val="000000"/>
              </w:rPr>
            </w:pPr>
            <w:r w:rsidRPr="00194D91">
              <w:rPr>
                <w:color w:val="000000"/>
              </w:rPr>
              <w:t xml:space="preserve">TURN submits that under the circumstances this information should suffice to address the allocation requirement under the Commission’s rules.  Should the Commission wish to see additional or different information on this point, TURN requests that the </w:t>
            </w:r>
            <w:proofErr w:type="gramStart"/>
            <w:r w:rsidRPr="00194D91">
              <w:rPr>
                <w:color w:val="000000"/>
              </w:rPr>
              <w:t>Commission so</w:t>
            </w:r>
            <w:proofErr w:type="gramEnd"/>
            <w:r w:rsidRPr="00194D91">
              <w:rPr>
                <w:color w:val="000000"/>
              </w:rPr>
              <w:t xml:space="preserve"> inform TURN and provide a reasonable opportunity for TURN to supplement this showing accordingly.</w:t>
            </w:r>
          </w:p>
          <w:p w:rsidRPr="003D4455" w:rsidR="00D959A1" w:rsidP="00200B18" w:rsidRDefault="00D959A1" w14:paraId="5197C48D" w14:textId="77777777">
            <w:pPr>
              <w:rPr>
                <w:color w:val="000000"/>
              </w:rPr>
            </w:pPr>
          </w:p>
        </w:tc>
        <w:tc>
          <w:tcPr>
            <w:tcW w:w="2183" w:type="dxa"/>
          </w:tcPr>
          <w:p w:rsidR="00D959A1" w:rsidP="00E82B0F" w:rsidRDefault="00D959A1" w14:paraId="298927D1" w14:textId="77777777">
            <w:pPr>
              <w:jc w:val="center"/>
              <w:rPr>
                <w:color w:val="000000"/>
              </w:rPr>
            </w:pPr>
          </w:p>
          <w:p w:rsidR="00E82B0F" w:rsidP="00E82B0F" w:rsidRDefault="00E82B0F" w14:paraId="7D57EE4C" w14:textId="77777777">
            <w:pPr>
              <w:jc w:val="center"/>
              <w:rPr>
                <w:color w:val="000000"/>
              </w:rPr>
            </w:pPr>
          </w:p>
          <w:p w:rsidR="00E82B0F" w:rsidP="00E82B0F" w:rsidRDefault="00E82B0F" w14:paraId="7900EC4D" w14:textId="77777777">
            <w:pPr>
              <w:jc w:val="center"/>
              <w:rPr>
                <w:color w:val="000000"/>
              </w:rPr>
            </w:pPr>
          </w:p>
          <w:p w:rsidR="00E82B0F" w:rsidP="00E82B0F" w:rsidRDefault="00E82B0F" w14:paraId="5D2C8A1F" w14:textId="77777777">
            <w:pPr>
              <w:jc w:val="center"/>
              <w:rPr>
                <w:color w:val="000000"/>
              </w:rPr>
            </w:pPr>
          </w:p>
          <w:p w:rsidR="00E82B0F" w:rsidP="00E82B0F" w:rsidRDefault="00E82B0F" w14:paraId="0D2825B1" w14:textId="77777777">
            <w:pPr>
              <w:jc w:val="center"/>
              <w:rPr>
                <w:color w:val="000000"/>
              </w:rPr>
            </w:pPr>
          </w:p>
          <w:p w:rsidRPr="007F620E" w:rsidR="00E82B0F" w:rsidP="00E82B0F" w:rsidRDefault="00E82B0F" w14:paraId="465C3B80" w14:textId="45A65B3C">
            <w:pPr>
              <w:jc w:val="center"/>
              <w:rPr>
                <w:color w:val="000000"/>
              </w:rPr>
            </w:pPr>
            <w:r>
              <w:rPr>
                <w:color w:val="000000"/>
              </w:rPr>
              <w:t>Noted</w:t>
            </w:r>
          </w:p>
        </w:tc>
      </w:tr>
    </w:tbl>
    <w:p w:rsidR="00625B30" w:rsidP="00625B30" w:rsidRDefault="00625B30" w14:paraId="49CCDC12" w14:textId="77777777"/>
    <w:p w:rsidR="00D959A1" w:rsidP="00625B30" w:rsidRDefault="00D959A1" w14:paraId="6711C99B" w14:textId="77777777"/>
    <w:p w:rsidRPr="00D959A1" w:rsidR="00D959A1" w:rsidP="00D959A1" w:rsidRDefault="00D959A1" w14:paraId="57E913D2" w14:textId="51A0F081">
      <w:pPr>
        <w:pStyle w:val="ListParagraph"/>
        <w:keepNext/>
        <w:framePr w:wrap="around"/>
        <w:numPr>
          <w:ilvl w:val="0"/>
          <w:numId w:val="19"/>
        </w:numPr>
        <w:spacing w:before="240" w:after="240"/>
        <w:rPr>
          <w:b/>
          <w:color w:val="000000"/>
        </w:rPr>
      </w:pPr>
      <w:r w:rsidRPr="00D959A1">
        <w:rPr>
          <w:b/>
          <w:color w:val="000000"/>
        </w:rPr>
        <w:lastRenderedPageBreak/>
        <w:t>Specific Claim:</w:t>
      </w:r>
    </w:p>
    <w:p w:rsidRPr="006756BC" w:rsidR="00D959A1" w:rsidP="00625B30" w:rsidRDefault="00D959A1" w14:paraId="5510B0A4" w14:textId="77777777"/>
    <w:tbl>
      <w:tblPr>
        <w:tblW w:w="11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25"/>
        <w:gridCol w:w="810"/>
        <w:gridCol w:w="357"/>
        <w:gridCol w:w="543"/>
        <w:gridCol w:w="1080"/>
        <w:gridCol w:w="286"/>
        <w:gridCol w:w="1244"/>
        <w:gridCol w:w="1047"/>
        <w:gridCol w:w="286"/>
        <w:gridCol w:w="17"/>
        <w:gridCol w:w="938"/>
        <w:gridCol w:w="1146"/>
        <w:gridCol w:w="1881"/>
      </w:tblGrid>
      <w:tr w:rsidRPr="006756BC" w:rsidR="00625B30" w:rsidTr="0036244B" w14:paraId="492CE97E" w14:textId="77777777">
        <w:trPr>
          <w:tblHeader/>
          <w:jc w:val="center"/>
        </w:trPr>
        <w:tc>
          <w:tcPr>
            <w:tcW w:w="7178" w:type="dxa"/>
            <w:gridSpan w:val="9"/>
            <w:tcBorders>
              <w:bottom w:val="single" w:color="auto" w:sz="4" w:space="0"/>
              <w:right w:val="single" w:color="auto" w:sz="24" w:space="0"/>
            </w:tcBorders>
          </w:tcPr>
          <w:p w:rsidRPr="006756BC" w:rsidR="00625B30" w:rsidP="00625B30" w:rsidRDefault="00625B30" w14:paraId="09235B0D" w14:textId="77777777">
            <w:pPr>
              <w:keepNext/>
              <w:keepLines/>
              <w:spacing w:before="60" w:after="60"/>
              <w:jc w:val="center"/>
              <w:rPr>
                <w:b/>
                <w:smallCaps/>
                <w:color w:val="000000"/>
              </w:rPr>
            </w:pPr>
            <w:r w:rsidRPr="006756BC">
              <w:rPr>
                <w:b/>
                <w:smallCaps/>
                <w:color w:val="000000"/>
              </w:rPr>
              <w:t>Claimed</w:t>
            </w:r>
          </w:p>
        </w:tc>
        <w:tc>
          <w:tcPr>
            <w:tcW w:w="3982" w:type="dxa"/>
            <w:gridSpan w:val="4"/>
            <w:tcBorders>
              <w:left w:val="single" w:color="auto" w:sz="24" w:space="0"/>
              <w:bottom w:val="single" w:color="auto" w:sz="4" w:space="0"/>
            </w:tcBorders>
          </w:tcPr>
          <w:p w:rsidRPr="006756BC" w:rsidR="00625B30" w:rsidP="00625B30" w:rsidRDefault="00625B30" w14:paraId="2C68BD24" w14:textId="77777777">
            <w:pPr>
              <w:keepNext/>
              <w:keepLines/>
              <w:spacing w:before="60" w:after="60"/>
              <w:jc w:val="center"/>
              <w:rPr>
                <w:b/>
                <w:smallCaps/>
                <w:color w:val="000000"/>
              </w:rPr>
            </w:pPr>
            <w:r w:rsidRPr="006756BC">
              <w:rPr>
                <w:b/>
                <w:smallCaps/>
                <w:color w:val="000000"/>
              </w:rPr>
              <w:t>CPUC Award</w:t>
            </w:r>
          </w:p>
        </w:tc>
      </w:tr>
      <w:tr w:rsidRPr="006756BC" w:rsidR="00625B30" w:rsidTr="0036244B" w14:paraId="1C6AD318" w14:textId="77777777">
        <w:trPr>
          <w:jc w:val="center"/>
        </w:trPr>
        <w:tc>
          <w:tcPr>
            <w:tcW w:w="11160" w:type="dxa"/>
            <w:gridSpan w:val="13"/>
            <w:tcBorders>
              <w:top w:val="single" w:color="auto" w:sz="4" w:space="0"/>
              <w:left w:val="single" w:color="auto" w:sz="4" w:space="0"/>
              <w:bottom w:val="single" w:color="auto" w:sz="4" w:space="0"/>
              <w:right w:val="single" w:color="auto" w:sz="4" w:space="0"/>
            </w:tcBorders>
            <w:shd w:val="clear" w:color="auto" w:fill="E6E6E6"/>
          </w:tcPr>
          <w:p w:rsidRPr="006756BC" w:rsidR="00625B30" w:rsidP="00625B30" w:rsidRDefault="00625B30" w14:paraId="5B065153" w14:textId="77777777">
            <w:pPr>
              <w:keepNext/>
              <w:keepLines/>
              <w:spacing w:before="60" w:after="60"/>
              <w:jc w:val="center"/>
              <w:rPr>
                <w:b/>
              </w:rPr>
            </w:pPr>
            <w:r w:rsidRPr="006756BC">
              <w:rPr>
                <w:b/>
              </w:rPr>
              <w:t>ATTORNEY, EXPERT, AND ADVOCATE FEES</w:t>
            </w:r>
          </w:p>
        </w:tc>
      </w:tr>
      <w:tr w:rsidRPr="006756BC" w:rsidR="00625B30" w:rsidTr="000922A7" w14:paraId="7383E4C0" w14:textId="77777777">
        <w:trPr>
          <w:jc w:val="center"/>
        </w:trPr>
        <w:tc>
          <w:tcPr>
            <w:tcW w:w="1525" w:type="dxa"/>
            <w:tcBorders>
              <w:top w:val="single" w:color="auto" w:sz="4" w:space="0"/>
              <w:bottom w:val="single" w:color="auto" w:sz="4" w:space="0"/>
            </w:tcBorders>
            <w:vAlign w:val="bottom"/>
          </w:tcPr>
          <w:p w:rsidRPr="006756BC" w:rsidR="00625B30" w:rsidP="00625B30" w:rsidRDefault="00625B30" w14:paraId="4930EF73" w14:textId="77777777">
            <w:pPr>
              <w:keepNext/>
              <w:keepLines/>
              <w:spacing w:before="60" w:after="60"/>
              <w:jc w:val="center"/>
              <w:rPr>
                <w:b/>
                <w:color w:val="000000"/>
              </w:rPr>
            </w:pPr>
            <w:r w:rsidRPr="006756BC">
              <w:rPr>
                <w:b/>
                <w:color w:val="000000"/>
              </w:rPr>
              <w:t>Item</w:t>
            </w:r>
          </w:p>
        </w:tc>
        <w:tc>
          <w:tcPr>
            <w:tcW w:w="810" w:type="dxa"/>
            <w:tcBorders>
              <w:top w:val="single" w:color="auto" w:sz="4" w:space="0"/>
              <w:bottom w:val="single" w:color="auto" w:sz="4" w:space="0"/>
            </w:tcBorders>
            <w:vAlign w:val="bottom"/>
          </w:tcPr>
          <w:p w:rsidRPr="006756BC" w:rsidR="00625B30" w:rsidP="00625B30" w:rsidRDefault="00625B30" w14:paraId="755EDD4D" w14:textId="77777777">
            <w:pPr>
              <w:keepNext/>
              <w:keepLines/>
              <w:spacing w:before="60" w:after="60"/>
              <w:jc w:val="center"/>
              <w:rPr>
                <w:b/>
                <w:color w:val="000000"/>
              </w:rPr>
            </w:pPr>
            <w:r w:rsidRPr="006756BC">
              <w:rPr>
                <w:b/>
                <w:color w:val="000000"/>
              </w:rPr>
              <w:t>Year</w:t>
            </w:r>
          </w:p>
        </w:tc>
        <w:tc>
          <w:tcPr>
            <w:tcW w:w="900" w:type="dxa"/>
            <w:gridSpan w:val="2"/>
            <w:tcBorders>
              <w:top w:val="single" w:color="auto" w:sz="4" w:space="0"/>
              <w:bottom w:val="single" w:color="auto" w:sz="4" w:space="0"/>
            </w:tcBorders>
            <w:vAlign w:val="bottom"/>
          </w:tcPr>
          <w:p w:rsidRPr="006756BC" w:rsidR="00625B30" w:rsidP="00625B30" w:rsidRDefault="00625B30" w14:paraId="535CBA99" w14:textId="77777777">
            <w:pPr>
              <w:keepNext/>
              <w:keepLines/>
              <w:spacing w:before="60" w:after="60"/>
              <w:jc w:val="center"/>
              <w:rPr>
                <w:b/>
                <w:color w:val="000000"/>
              </w:rPr>
            </w:pPr>
            <w:r w:rsidRPr="006756BC">
              <w:rPr>
                <w:b/>
                <w:color w:val="000000"/>
              </w:rPr>
              <w:t>Hours</w:t>
            </w:r>
          </w:p>
        </w:tc>
        <w:tc>
          <w:tcPr>
            <w:tcW w:w="1080" w:type="dxa"/>
            <w:tcBorders>
              <w:top w:val="single" w:color="auto" w:sz="4" w:space="0"/>
              <w:bottom w:val="single" w:color="auto" w:sz="4" w:space="0"/>
            </w:tcBorders>
            <w:vAlign w:val="bottom"/>
          </w:tcPr>
          <w:p w:rsidRPr="006756BC" w:rsidR="00625B30" w:rsidP="00625B30" w:rsidRDefault="00625B30" w14:paraId="276F6184" w14:textId="77777777">
            <w:pPr>
              <w:keepNext/>
              <w:keepLines/>
              <w:spacing w:before="60" w:after="60"/>
              <w:jc w:val="center"/>
              <w:rPr>
                <w:b/>
                <w:color w:val="000000"/>
              </w:rPr>
            </w:pPr>
            <w:r w:rsidRPr="006756BC">
              <w:rPr>
                <w:b/>
                <w:color w:val="000000"/>
              </w:rPr>
              <w:t>Rate $</w:t>
            </w:r>
          </w:p>
        </w:tc>
        <w:tc>
          <w:tcPr>
            <w:tcW w:w="1530" w:type="dxa"/>
            <w:gridSpan w:val="2"/>
            <w:tcBorders>
              <w:top w:val="single" w:color="auto" w:sz="4" w:space="0"/>
              <w:bottom w:val="single" w:color="auto" w:sz="4" w:space="0"/>
              <w:right w:val="single" w:color="auto" w:sz="4" w:space="0"/>
            </w:tcBorders>
            <w:vAlign w:val="bottom"/>
          </w:tcPr>
          <w:p w:rsidRPr="006756BC" w:rsidR="00625B30" w:rsidP="00625B30" w:rsidRDefault="00625B30" w14:paraId="76FCC7F0" w14:textId="77777777">
            <w:pPr>
              <w:keepNext/>
              <w:keepLines/>
              <w:spacing w:before="60" w:after="60"/>
              <w:jc w:val="center"/>
              <w:rPr>
                <w:b/>
                <w:color w:val="000000"/>
              </w:rPr>
            </w:pPr>
            <w:r w:rsidRPr="006756BC">
              <w:rPr>
                <w:b/>
                <w:color w:val="000000"/>
              </w:rPr>
              <w:t>Basis for Rate*</w:t>
            </w:r>
          </w:p>
        </w:tc>
        <w:tc>
          <w:tcPr>
            <w:tcW w:w="1350" w:type="dxa"/>
            <w:gridSpan w:val="3"/>
            <w:tcBorders>
              <w:top w:val="single" w:color="auto" w:sz="4" w:space="0"/>
              <w:left w:val="single" w:color="auto" w:sz="4" w:space="0"/>
              <w:bottom w:val="single" w:color="auto" w:sz="4" w:space="0"/>
              <w:right w:val="single" w:color="auto" w:sz="24" w:space="0"/>
            </w:tcBorders>
            <w:vAlign w:val="bottom"/>
          </w:tcPr>
          <w:p w:rsidRPr="006756BC" w:rsidR="00625B30" w:rsidP="00625B30" w:rsidRDefault="00625B30" w14:paraId="5A8F2ADC" w14:textId="77777777">
            <w:pPr>
              <w:keepNext/>
              <w:keepLines/>
              <w:spacing w:before="60" w:after="60"/>
              <w:jc w:val="center"/>
              <w:rPr>
                <w:b/>
                <w:color w:val="000000"/>
              </w:rPr>
            </w:pPr>
            <w:r w:rsidRPr="006756BC">
              <w:rPr>
                <w:b/>
                <w:color w:val="000000"/>
              </w:rPr>
              <w:t>Total $</w:t>
            </w:r>
          </w:p>
        </w:tc>
        <w:tc>
          <w:tcPr>
            <w:tcW w:w="938" w:type="dxa"/>
            <w:tcBorders>
              <w:top w:val="single" w:color="auto" w:sz="4" w:space="0"/>
              <w:left w:val="single" w:color="auto" w:sz="4" w:space="0"/>
            </w:tcBorders>
            <w:vAlign w:val="bottom"/>
          </w:tcPr>
          <w:p w:rsidRPr="006756BC" w:rsidR="00625B30" w:rsidP="00625B30" w:rsidRDefault="00625B30" w14:paraId="416C30AF" w14:textId="77777777">
            <w:pPr>
              <w:keepNext/>
              <w:keepLines/>
              <w:spacing w:before="60" w:after="60"/>
              <w:jc w:val="center"/>
              <w:rPr>
                <w:b/>
                <w:color w:val="000000"/>
              </w:rPr>
            </w:pPr>
            <w:r w:rsidRPr="006756BC">
              <w:rPr>
                <w:b/>
                <w:color w:val="000000"/>
              </w:rPr>
              <w:t>Hours</w:t>
            </w:r>
          </w:p>
        </w:tc>
        <w:tc>
          <w:tcPr>
            <w:tcW w:w="1146" w:type="dxa"/>
            <w:tcBorders>
              <w:top w:val="single" w:color="auto" w:sz="4" w:space="0"/>
            </w:tcBorders>
            <w:vAlign w:val="bottom"/>
          </w:tcPr>
          <w:p w:rsidRPr="006756BC" w:rsidR="00625B30" w:rsidP="00625B30" w:rsidRDefault="00625B30" w14:paraId="6E947F97" w14:textId="77777777">
            <w:pPr>
              <w:keepNext/>
              <w:keepLines/>
              <w:spacing w:before="60" w:after="60"/>
              <w:jc w:val="center"/>
              <w:rPr>
                <w:b/>
                <w:color w:val="000000"/>
              </w:rPr>
            </w:pPr>
            <w:r w:rsidRPr="006756BC">
              <w:rPr>
                <w:b/>
                <w:color w:val="000000"/>
              </w:rPr>
              <w:t>Rate $</w:t>
            </w:r>
          </w:p>
        </w:tc>
        <w:tc>
          <w:tcPr>
            <w:tcW w:w="1881" w:type="dxa"/>
            <w:tcBorders>
              <w:top w:val="single" w:color="auto" w:sz="4" w:space="0"/>
            </w:tcBorders>
            <w:vAlign w:val="bottom"/>
          </w:tcPr>
          <w:p w:rsidRPr="006756BC" w:rsidR="00625B30" w:rsidP="00625B30" w:rsidRDefault="00625B30" w14:paraId="51EFB1C6" w14:textId="77777777">
            <w:pPr>
              <w:keepNext/>
              <w:keepLines/>
              <w:spacing w:before="60" w:after="60"/>
              <w:jc w:val="center"/>
              <w:rPr>
                <w:b/>
                <w:color w:val="000000"/>
              </w:rPr>
            </w:pPr>
            <w:r w:rsidRPr="006756BC">
              <w:rPr>
                <w:b/>
                <w:color w:val="000000"/>
              </w:rPr>
              <w:t>Total $</w:t>
            </w:r>
          </w:p>
        </w:tc>
      </w:tr>
      <w:tr w:rsidRPr="006756BC" w:rsidR="002500ED" w:rsidTr="001B587E" w14:paraId="16E12E1D" w14:textId="77777777">
        <w:trPr>
          <w:jc w:val="center"/>
        </w:trPr>
        <w:tc>
          <w:tcPr>
            <w:tcW w:w="1525" w:type="dxa"/>
          </w:tcPr>
          <w:p w:rsidRPr="001E4841" w:rsidR="002500ED" w:rsidP="002500ED" w:rsidRDefault="002500ED" w14:paraId="25EB8234" w14:textId="41A664E1">
            <w:pPr>
              <w:jc w:val="center"/>
              <w:rPr>
                <w:rFonts w:ascii="Arial" w:hAnsi="Arial" w:cs="Arial"/>
                <w:color w:val="000000"/>
                <w:sz w:val="22"/>
                <w:szCs w:val="22"/>
              </w:rPr>
            </w:pPr>
            <w:r w:rsidRPr="001E4841">
              <w:rPr>
                <w:rFonts w:ascii="Arial" w:hAnsi="Arial" w:cs="Arial"/>
                <w:color w:val="000000"/>
                <w:sz w:val="22"/>
                <w:szCs w:val="22"/>
              </w:rPr>
              <w:t>Camille Stough, TURN Attorney</w:t>
            </w:r>
          </w:p>
        </w:tc>
        <w:tc>
          <w:tcPr>
            <w:tcW w:w="810" w:type="dxa"/>
          </w:tcPr>
          <w:p w:rsidRPr="001E4841" w:rsidR="002500ED" w:rsidP="002500ED" w:rsidRDefault="002500ED" w14:paraId="56EEC04F" w14:textId="2778E787">
            <w:pPr>
              <w:jc w:val="center"/>
              <w:rPr>
                <w:rFonts w:ascii="Arial" w:hAnsi="Arial" w:cs="Arial"/>
                <w:color w:val="000000"/>
                <w:sz w:val="22"/>
                <w:szCs w:val="22"/>
              </w:rPr>
            </w:pPr>
            <w:r w:rsidRPr="001E4841">
              <w:rPr>
                <w:rFonts w:ascii="Arial" w:hAnsi="Arial" w:cs="Arial"/>
                <w:color w:val="000000"/>
                <w:sz w:val="22"/>
                <w:szCs w:val="22"/>
              </w:rPr>
              <w:t>2022</w:t>
            </w:r>
          </w:p>
        </w:tc>
        <w:tc>
          <w:tcPr>
            <w:tcW w:w="900" w:type="dxa"/>
            <w:gridSpan w:val="2"/>
          </w:tcPr>
          <w:p w:rsidRPr="001E4841" w:rsidR="002500ED" w:rsidP="002500ED" w:rsidRDefault="002500ED" w14:paraId="2054721D" w14:textId="0A354CFB">
            <w:pPr>
              <w:jc w:val="center"/>
              <w:rPr>
                <w:rFonts w:ascii="Arial" w:hAnsi="Arial" w:cs="Arial"/>
                <w:color w:val="000000"/>
                <w:sz w:val="22"/>
                <w:szCs w:val="22"/>
              </w:rPr>
            </w:pPr>
            <w:r w:rsidRPr="001E4841">
              <w:rPr>
                <w:rFonts w:ascii="Arial" w:hAnsi="Arial" w:cs="Arial"/>
                <w:color w:val="000000"/>
                <w:sz w:val="22"/>
                <w:szCs w:val="22"/>
              </w:rPr>
              <w:t>11.75</w:t>
            </w:r>
          </w:p>
        </w:tc>
        <w:tc>
          <w:tcPr>
            <w:tcW w:w="1080" w:type="dxa"/>
          </w:tcPr>
          <w:p w:rsidRPr="001E4841" w:rsidR="002500ED" w:rsidP="002500ED" w:rsidRDefault="002500ED" w14:paraId="62AA8D16" w14:textId="75D1D33B">
            <w:pPr>
              <w:jc w:val="center"/>
              <w:rPr>
                <w:rFonts w:ascii="Arial" w:hAnsi="Arial" w:cs="Arial"/>
                <w:color w:val="000000"/>
                <w:sz w:val="22"/>
                <w:szCs w:val="22"/>
              </w:rPr>
            </w:pPr>
            <w:r w:rsidRPr="001E4841">
              <w:rPr>
                <w:rFonts w:ascii="Arial" w:hAnsi="Arial" w:cs="Arial"/>
                <w:color w:val="000000"/>
                <w:sz w:val="22"/>
                <w:szCs w:val="22"/>
              </w:rPr>
              <w:t>$380.00</w:t>
            </w:r>
          </w:p>
        </w:tc>
        <w:tc>
          <w:tcPr>
            <w:tcW w:w="1530" w:type="dxa"/>
            <w:gridSpan w:val="2"/>
            <w:tcBorders>
              <w:right w:val="single" w:color="auto" w:sz="4" w:space="0"/>
            </w:tcBorders>
          </w:tcPr>
          <w:p w:rsidRPr="001E4841" w:rsidR="002500ED" w:rsidP="002500ED" w:rsidRDefault="002500ED" w14:paraId="43F37AEE" w14:textId="0DA17CC4">
            <w:pPr>
              <w:jc w:val="center"/>
              <w:rPr>
                <w:rFonts w:ascii="Arial" w:hAnsi="Arial" w:cs="Arial"/>
                <w:color w:val="000000"/>
                <w:sz w:val="22"/>
                <w:szCs w:val="22"/>
              </w:rPr>
            </w:pPr>
            <w:r w:rsidRPr="001E4841">
              <w:rPr>
                <w:rFonts w:ascii="Arial" w:hAnsi="Arial" w:cs="Arial"/>
                <w:color w:val="000000"/>
                <w:sz w:val="22"/>
                <w:szCs w:val="22"/>
              </w:rPr>
              <w:t>D.23-10-017</w:t>
            </w:r>
          </w:p>
        </w:tc>
        <w:tc>
          <w:tcPr>
            <w:tcW w:w="1350" w:type="dxa"/>
            <w:gridSpan w:val="3"/>
            <w:tcBorders>
              <w:top w:val="single" w:color="auto" w:sz="4" w:space="0"/>
              <w:left w:val="single" w:color="auto" w:sz="4" w:space="0"/>
              <w:bottom w:val="single" w:color="auto" w:sz="4" w:space="0"/>
              <w:right w:val="single" w:color="auto" w:sz="24" w:space="0"/>
            </w:tcBorders>
          </w:tcPr>
          <w:p w:rsidRPr="001E4841" w:rsidR="002500ED" w:rsidP="002500ED" w:rsidRDefault="002500ED" w14:paraId="6EBFD28D" w14:textId="37CAE4F4">
            <w:pPr>
              <w:jc w:val="right"/>
              <w:rPr>
                <w:rFonts w:ascii="Arial" w:hAnsi="Arial" w:cs="Arial"/>
                <w:color w:val="000000"/>
                <w:sz w:val="22"/>
                <w:szCs w:val="22"/>
              </w:rPr>
            </w:pPr>
            <w:r w:rsidRPr="001E4841">
              <w:rPr>
                <w:rFonts w:ascii="Arial" w:hAnsi="Arial" w:cs="Arial"/>
                <w:color w:val="000000"/>
                <w:sz w:val="22"/>
                <w:szCs w:val="22"/>
              </w:rPr>
              <w:t>$4,465.00</w:t>
            </w:r>
          </w:p>
        </w:tc>
        <w:tc>
          <w:tcPr>
            <w:tcW w:w="938" w:type="dxa"/>
            <w:tcBorders>
              <w:left w:val="single" w:color="auto" w:sz="4" w:space="0"/>
            </w:tcBorders>
          </w:tcPr>
          <w:p w:rsidRPr="006756BC" w:rsidR="002500ED" w:rsidP="002500ED" w:rsidRDefault="002500ED" w14:paraId="4FFD601C" w14:textId="526E26B4">
            <w:pPr>
              <w:jc w:val="center"/>
              <w:rPr>
                <w:color w:val="000000"/>
              </w:rPr>
            </w:pPr>
            <w:r>
              <w:rPr>
                <w:color w:val="000000"/>
              </w:rPr>
              <w:t>11.75</w:t>
            </w:r>
          </w:p>
        </w:tc>
        <w:tc>
          <w:tcPr>
            <w:tcW w:w="1146" w:type="dxa"/>
          </w:tcPr>
          <w:p w:rsidRPr="006756BC" w:rsidR="002500ED" w:rsidP="002500ED" w:rsidRDefault="002500ED" w14:paraId="465CF9CC" w14:textId="2C20C1A2">
            <w:pPr>
              <w:jc w:val="center"/>
              <w:rPr>
                <w:color w:val="000000"/>
              </w:rPr>
            </w:pPr>
            <w:r>
              <w:rPr>
                <w:color w:val="000000"/>
              </w:rPr>
              <w:t>$380.00</w:t>
            </w:r>
            <w:r w:rsidR="006F6108">
              <w:rPr>
                <w:color w:val="000000"/>
              </w:rPr>
              <w:t xml:space="preserve"> [1]</w:t>
            </w:r>
          </w:p>
        </w:tc>
        <w:tc>
          <w:tcPr>
            <w:tcW w:w="1881" w:type="dxa"/>
          </w:tcPr>
          <w:p w:rsidRPr="006756BC" w:rsidR="002500ED" w:rsidP="002500ED" w:rsidRDefault="002500ED" w14:paraId="77E7E8F6" w14:textId="2847B5A8">
            <w:pPr>
              <w:jc w:val="right"/>
              <w:rPr>
                <w:color w:val="000000"/>
              </w:rPr>
            </w:pPr>
            <w:r w:rsidRPr="00C4140D">
              <w:t xml:space="preserve">$4,465.00 </w:t>
            </w:r>
          </w:p>
        </w:tc>
      </w:tr>
      <w:tr w:rsidRPr="006756BC" w:rsidR="002500ED" w:rsidTr="001B587E" w14:paraId="0DB0F52D" w14:textId="77777777">
        <w:trPr>
          <w:jc w:val="center"/>
        </w:trPr>
        <w:tc>
          <w:tcPr>
            <w:tcW w:w="1525" w:type="dxa"/>
          </w:tcPr>
          <w:p w:rsidRPr="001E4841" w:rsidR="002500ED" w:rsidP="002500ED" w:rsidRDefault="002500ED" w14:paraId="57B2D50B" w14:textId="29DBFA97">
            <w:pPr>
              <w:jc w:val="center"/>
              <w:rPr>
                <w:rFonts w:ascii="Arial" w:hAnsi="Arial" w:cs="Arial"/>
                <w:color w:val="000000"/>
                <w:sz w:val="22"/>
                <w:szCs w:val="22"/>
              </w:rPr>
            </w:pPr>
            <w:r w:rsidRPr="001E4841">
              <w:rPr>
                <w:rFonts w:ascii="Arial" w:hAnsi="Arial" w:cs="Arial"/>
                <w:color w:val="000000"/>
                <w:sz w:val="22"/>
                <w:szCs w:val="22"/>
              </w:rPr>
              <w:t>Elise Torres, TURN Attorney</w:t>
            </w:r>
          </w:p>
        </w:tc>
        <w:tc>
          <w:tcPr>
            <w:tcW w:w="810" w:type="dxa"/>
          </w:tcPr>
          <w:p w:rsidRPr="001E4841" w:rsidR="002500ED" w:rsidP="002500ED" w:rsidRDefault="002500ED" w14:paraId="02A3DDEB" w14:textId="772937B6">
            <w:pPr>
              <w:jc w:val="center"/>
              <w:rPr>
                <w:rFonts w:ascii="Arial" w:hAnsi="Arial" w:cs="Arial"/>
                <w:color w:val="000000"/>
                <w:sz w:val="22"/>
                <w:szCs w:val="22"/>
              </w:rPr>
            </w:pPr>
            <w:r w:rsidRPr="001E4841">
              <w:rPr>
                <w:rFonts w:ascii="Arial" w:hAnsi="Arial" w:cs="Arial"/>
                <w:color w:val="000000"/>
                <w:sz w:val="22"/>
                <w:szCs w:val="22"/>
              </w:rPr>
              <w:t>2023</w:t>
            </w:r>
          </w:p>
        </w:tc>
        <w:tc>
          <w:tcPr>
            <w:tcW w:w="900" w:type="dxa"/>
            <w:gridSpan w:val="2"/>
          </w:tcPr>
          <w:p w:rsidRPr="001E4841" w:rsidR="002500ED" w:rsidP="002500ED" w:rsidRDefault="002500ED" w14:paraId="63852875" w14:textId="54E696E2">
            <w:pPr>
              <w:jc w:val="center"/>
              <w:rPr>
                <w:rFonts w:ascii="Arial" w:hAnsi="Arial" w:cs="Arial"/>
                <w:color w:val="000000"/>
                <w:sz w:val="22"/>
                <w:szCs w:val="22"/>
              </w:rPr>
            </w:pPr>
            <w:r w:rsidRPr="001E4841">
              <w:rPr>
                <w:rFonts w:ascii="Arial" w:hAnsi="Arial" w:cs="Arial"/>
                <w:color w:val="000000"/>
                <w:sz w:val="22"/>
                <w:szCs w:val="22"/>
              </w:rPr>
              <w:t>1.25</w:t>
            </w:r>
          </w:p>
        </w:tc>
        <w:tc>
          <w:tcPr>
            <w:tcW w:w="1080" w:type="dxa"/>
          </w:tcPr>
          <w:p w:rsidRPr="001E4841" w:rsidR="002500ED" w:rsidP="002500ED" w:rsidRDefault="002500ED" w14:paraId="066DF12B" w14:textId="78AB5D3E">
            <w:pPr>
              <w:jc w:val="center"/>
              <w:rPr>
                <w:rFonts w:ascii="Arial" w:hAnsi="Arial" w:cs="Arial"/>
                <w:color w:val="000000"/>
                <w:sz w:val="22"/>
                <w:szCs w:val="22"/>
              </w:rPr>
            </w:pPr>
            <w:r w:rsidRPr="001E4841">
              <w:rPr>
                <w:rFonts w:ascii="Arial" w:hAnsi="Arial" w:cs="Arial"/>
                <w:color w:val="000000"/>
                <w:sz w:val="22"/>
                <w:szCs w:val="22"/>
              </w:rPr>
              <w:t>$510.00</w:t>
            </w:r>
          </w:p>
        </w:tc>
        <w:tc>
          <w:tcPr>
            <w:tcW w:w="1530" w:type="dxa"/>
            <w:gridSpan w:val="2"/>
            <w:tcBorders>
              <w:right w:val="single" w:color="auto" w:sz="4" w:space="0"/>
            </w:tcBorders>
          </w:tcPr>
          <w:p w:rsidRPr="001E4841" w:rsidR="002500ED" w:rsidP="002500ED" w:rsidRDefault="002500ED" w14:paraId="42C9AEE0" w14:textId="6125124E">
            <w:pPr>
              <w:jc w:val="center"/>
              <w:rPr>
                <w:rFonts w:ascii="Arial" w:hAnsi="Arial" w:cs="Arial"/>
                <w:color w:val="000000"/>
                <w:sz w:val="22"/>
                <w:szCs w:val="22"/>
              </w:rPr>
            </w:pPr>
            <w:r w:rsidRPr="001E4841">
              <w:rPr>
                <w:rFonts w:ascii="Arial" w:hAnsi="Arial" w:cs="Arial"/>
                <w:color w:val="000000"/>
                <w:sz w:val="22"/>
                <w:szCs w:val="22"/>
              </w:rPr>
              <w:t>D.24-01-045</w:t>
            </w:r>
          </w:p>
        </w:tc>
        <w:tc>
          <w:tcPr>
            <w:tcW w:w="1350" w:type="dxa"/>
            <w:gridSpan w:val="3"/>
            <w:tcBorders>
              <w:top w:val="single" w:color="auto" w:sz="4" w:space="0"/>
              <w:left w:val="single" w:color="auto" w:sz="4" w:space="0"/>
              <w:bottom w:val="single" w:color="auto" w:sz="4" w:space="0"/>
              <w:right w:val="single" w:color="auto" w:sz="24" w:space="0"/>
            </w:tcBorders>
          </w:tcPr>
          <w:p w:rsidRPr="001E4841" w:rsidR="002500ED" w:rsidP="002500ED" w:rsidRDefault="002500ED" w14:paraId="4E46A050" w14:textId="0F272A10">
            <w:pPr>
              <w:jc w:val="right"/>
              <w:rPr>
                <w:rFonts w:ascii="Arial" w:hAnsi="Arial" w:cs="Arial"/>
                <w:color w:val="000000"/>
                <w:sz w:val="22"/>
                <w:szCs w:val="22"/>
              </w:rPr>
            </w:pPr>
            <w:r w:rsidRPr="001E4841">
              <w:rPr>
                <w:rFonts w:ascii="Arial" w:hAnsi="Arial" w:cs="Arial"/>
                <w:color w:val="000000"/>
                <w:sz w:val="22"/>
                <w:szCs w:val="22"/>
              </w:rPr>
              <w:t>$637.50</w:t>
            </w:r>
          </w:p>
        </w:tc>
        <w:tc>
          <w:tcPr>
            <w:tcW w:w="938" w:type="dxa"/>
            <w:tcBorders>
              <w:left w:val="single" w:color="auto" w:sz="4" w:space="0"/>
            </w:tcBorders>
          </w:tcPr>
          <w:p w:rsidRPr="006756BC" w:rsidR="002500ED" w:rsidP="002500ED" w:rsidRDefault="002500ED" w14:paraId="06810E35" w14:textId="1617C78B">
            <w:pPr>
              <w:jc w:val="center"/>
              <w:rPr>
                <w:color w:val="000000"/>
              </w:rPr>
            </w:pPr>
            <w:r>
              <w:rPr>
                <w:color w:val="000000"/>
              </w:rPr>
              <w:t>1.25</w:t>
            </w:r>
          </w:p>
        </w:tc>
        <w:tc>
          <w:tcPr>
            <w:tcW w:w="1146" w:type="dxa"/>
          </w:tcPr>
          <w:p w:rsidRPr="006756BC" w:rsidR="002500ED" w:rsidP="002500ED" w:rsidRDefault="002500ED" w14:paraId="200AC55F" w14:textId="10B2323B">
            <w:pPr>
              <w:jc w:val="center"/>
              <w:rPr>
                <w:color w:val="000000"/>
              </w:rPr>
            </w:pPr>
            <w:r>
              <w:rPr>
                <w:color w:val="000000"/>
              </w:rPr>
              <w:t>$510.00</w:t>
            </w:r>
            <w:r w:rsidR="006F6108">
              <w:rPr>
                <w:color w:val="000000"/>
              </w:rPr>
              <w:t xml:space="preserve"> [2]</w:t>
            </w:r>
          </w:p>
        </w:tc>
        <w:tc>
          <w:tcPr>
            <w:tcW w:w="1881" w:type="dxa"/>
          </w:tcPr>
          <w:p w:rsidRPr="006756BC" w:rsidR="002500ED" w:rsidP="002500ED" w:rsidRDefault="002500ED" w14:paraId="5842973D" w14:textId="6210C47F">
            <w:pPr>
              <w:jc w:val="right"/>
              <w:rPr>
                <w:color w:val="000000"/>
              </w:rPr>
            </w:pPr>
            <w:r w:rsidRPr="00C4140D">
              <w:t xml:space="preserve">$637.50 </w:t>
            </w:r>
          </w:p>
        </w:tc>
      </w:tr>
      <w:tr w:rsidRPr="006756BC" w:rsidR="002500ED" w:rsidTr="001B587E" w14:paraId="0BF84921" w14:textId="77777777">
        <w:trPr>
          <w:jc w:val="center"/>
        </w:trPr>
        <w:tc>
          <w:tcPr>
            <w:tcW w:w="1525" w:type="dxa"/>
          </w:tcPr>
          <w:p w:rsidRPr="001E4841" w:rsidR="002500ED" w:rsidP="002500ED" w:rsidRDefault="002500ED" w14:paraId="58BA760B" w14:textId="297D186B">
            <w:pPr>
              <w:jc w:val="center"/>
              <w:rPr>
                <w:rFonts w:ascii="Arial" w:hAnsi="Arial" w:cs="Arial"/>
                <w:color w:val="000000"/>
                <w:sz w:val="22"/>
                <w:szCs w:val="22"/>
              </w:rPr>
            </w:pPr>
            <w:r w:rsidRPr="001E4841">
              <w:rPr>
                <w:rFonts w:ascii="Arial" w:hAnsi="Arial" w:cs="Arial"/>
                <w:color w:val="000000"/>
                <w:sz w:val="22"/>
                <w:szCs w:val="22"/>
              </w:rPr>
              <w:t>Hayley Goodson, TURN Attorney</w:t>
            </w:r>
          </w:p>
        </w:tc>
        <w:tc>
          <w:tcPr>
            <w:tcW w:w="810" w:type="dxa"/>
          </w:tcPr>
          <w:p w:rsidRPr="001E4841" w:rsidR="002500ED" w:rsidP="002500ED" w:rsidRDefault="002500ED" w14:paraId="044F74C4" w14:textId="3F1E8CEC">
            <w:pPr>
              <w:jc w:val="center"/>
              <w:rPr>
                <w:rFonts w:ascii="Arial" w:hAnsi="Arial" w:cs="Arial"/>
                <w:color w:val="000000"/>
                <w:sz w:val="22"/>
                <w:szCs w:val="22"/>
              </w:rPr>
            </w:pPr>
            <w:r w:rsidRPr="001E4841">
              <w:rPr>
                <w:rFonts w:ascii="Arial" w:hAnsi="Arial" w:cs="Arial"/>
                <w:color w:val="000000"/>
                <w:sz w:val="22"/>
                <w:szCs w:val="22"/>
              </w:rPr>
              <w:t>2024</w:t>
            </w:r>
          </w:p>
        </w:tc>
        <w:tc>
          <w:tcPr>
            <w:tcW w:w="900" w:type="dxa"/>
            <w:gridSpan w:val="2"/>
          </w:tcPr>
          <w:p w:rsidRPr="001E4841" w:rsidR="002500ED" w:rsidP="002500ED" w:rsidRDefault="002500ED" w14:paraId="773F44D6" w14:textId="1C7D908E">
            <w:pPr>
              <w:jc w:val="center"/>
              <w:rPr>
                <w:rFonts w:ascii="Arial" w:hAnsi="Arial" w:cs="Arial"/>
                <w:color w:val="000000"/>
                <w:sz w:val="22"/>
                <w:szCs w:val="22"/>
              </w:rPr>
            </w:pPr>
            <w:r w:rsidRPr="001E4841">
              <w:rPr>
                <w:rFonts w:ascii="Arial" w:hAnsi="Arial" w:cs="Arial"/>
                <w:color w:val="000000"/>
                <w:sz w:val="22"/>
                <w:szCs w:val="22"/>
              </w:rPr>
              <w:t>14.00</w:t>
            </w:r>
          </w:p>
        </w:tc>
        <w:tc>
          <w:tcPr>
            <w:tcW w:w="1080" w:type="dxa"/>
          </w:tcPr>
          <w:p w:rsidRPr="001E4841" w:rsidR="002500ED" w:rsidP="002500ED" w:rsidRDefault="002500ED" w14:paraId="5140CA71" w14:textId="364247E4">
            <w:pPr>
              <w:jc w:val="center"/>
              <w:rPr>
                <w:rFonts w:ascii="Arial" w:hAnsi="Arial" w:cs="Arial"/>
                <w:color w:val="000000"/>
                <w:sz w:val="22"/>
                <w:szCs w:val="22"/>
              </w:rPr>
            </w:pPr>
            <w:r w:rsidRPr="001E4841">
              <w:rPr>
                <w:rFonts w:ascii="Arial" w:hAnsi="Arial" w:cs="Arial"/>
                <w:color w:val="000000"/>
                <w:sz w:val="22"/>
                <w:szCs w:val="22"/>
              </w:rPr>
              <w:t>$680.00</w:t>
            </w:r>
          </w:p>
        </w:tc>
        <w:tc>
          <w:tcPr>
            <w:tcW w:w="1530" w:type="dxa"/>
            <w:gridSpan w:val="2"/>
            <w:tcBorders>
              <w:right w:val="single" w:color="auto" w:sz="4" w:space="0"/>
            </w:tcBorders>
          </w:tcPr>
          <w:p w:rsidRPr="001E4841" w:rsidR="002500ED" w:rsidP="002500ED" w:rsidRDefault="002500ED" w14:paraId="3DA31EE7" w14:textId="27CCCBD9">
            <w:pPr>
              <w:jc w:val="center"/>
              <w:rPr>
                <w:rFonts w:ascii="Arial" w:hAnsi="Arial" w:cs="Arial"/>
                <w:color w:val="000000"/>
                <w:sz w:val="22"/>
                <w:szCs w:val="22"/>
              </w:rPr>
            </w:pPr>
            <w:r w:rsidRPr="001E4841">
              <w:rPr>
                <w:rFonts w:ascii="Arial" w:hAnsi="Arial" w:cs="Arial"/>
                <w:color w:val="000000"/>
                <w:sz w:val="22"/>
                <w:szCs w:val="22"/>
              </w:rPr>
              <w:t>D.24-09-017</w:t>
            </w:r>
          </w:p>
        </w:tc>
        <w:tc>
          <w:tcPr>
            <w:tcW w:w="1350" w:type="dxa"/>
            <w:gridSpan w:val="3"/>
            <w:tcBorders>
              <w:top w:val="single" w:color="auto" w:sz="4" w:space="0"/>
              <w:left w:val="single" w:color="auto" w:sz="4" w:space="0"/>
              <w:bottom w:val="single" w:color="auto" w:sz="4" w:space="0"/>
              <w:right w:val="single" w:color="auto" w:sz="24" w:space="0"/>
            </w:tcBorders>
          </w:tcPr>
          <w:p w:rsidRPr="001E4841" w:rsidR="002500ED" w:rsidP="002500ED" w:rsidRDefault="002500ED" w14:paraId="35E55331" w14:textId="74DCC5DB">
            <w:pPr>
              <w:jc w:val="right"/>
              <w:rPr>
                <w:rFonts w:ascii="Arial" w:hAnsi="Arial" w:cs="Arial"/>
                <w:color w:val="000000"/>
                <w:sz w:val="22"/>
                <w:szCs w:val="22"/>
              </w:rPr>
            </w:pPr>
            <w:r>
              <w:rPr>
                <w:rFonts w:ascii="Arial" w:hAnsi="Arial" w:cs="Arial"/>
                <w:color w:val="000000"/>
                <w:sz w:val="22"/>
                <w:szCs w:val="22"/>
              </w:rPr>
              <w:t>$</w:t>
            </w:r>
            <w:r w:rsidRPr="001E4841">
              <w:rPr>
                <w:rFonts w:ascii="Arial" w:hAnsi="Arial" w:cs="Arial"/>
                <w:color w:val="000000"/>
                <w:sz w:val="22"/>
                <w:szCs w:val="22"/>
              </w:rPr>
              <w:t>9,520.00</w:t>
            </w:r>
          </w:p>
        </w:tc>
        <w:tc>
          <w:tcPr>
            <w:tcW w:w="938" w:type="dxa"/>
            <w:tcBorders>
              <w:left w:val="single" w:color="auto" w:sz="4" w:space="0"/>
            </w:tcBorders>
          </w:tcPr>
          <w:p w:rsidRPr="006756BC" w:rsidR="002500ED" w:rsidP="002500ED" w:rsidRDefault="002500ED" w14:paraId="39B55F62" w14:textId="71D8FCC8">
            <w:pPr>
              <w:jc w:val="center"/>
              <w:rPr>
                <w:color w:val="000000"/>
              </w:rPr>
            </w:pPr>
            <w:r>
              <w:rPr>
                <w:color w:val="000000"/>
              </w:rPr>
              <w:t>14.00</w:t>
            </w:r>
          </w:p>
        </w:tc>
        <w:tc>
          <w:tcPr>
            <w:tcW w:w="1146" w:type="dxa"/>
          </w:tcPr>
          <w:p w:rsidRPr="006756BC" w:rsidR="002500ED" w:rsidP="002500ED" w:rsidRDefault="002500ED" w14:paraId="7E19119B" w14:textId="28EDE5E5">
            <w:pPr>
              <w:jc w:val="center"/>
              <w:rPr>
                <w:color w:val="000000"/>
              </w:rPr>
            </w:pPr>
            <w:r>
              <w:rPr>
                <w:color w:val="000000"/>
              </w:rPr>
              <w:t>$680.00</w:t>
            </w:r>
          </w:p>
        </w:tc>
        <w:tc>
          <w:tcPr>
            <w:tcW w:w="1881" w:type="dxa"/>
          </w:tcPr>
          <w:p w:rsidRPr="006756BC" w:rsidR="002500ED" w:rsidP="002500ED" w:rsidRDefault="002500ED" w14:paraId="22C573CD" w14:textId="384F2D81">
            <w:pPr>
              <w:jc w:val="right"/>
              <w:rPr>
                <w:color w:val="000000"/>
              </w:rPr>
            </w:pPr>
            <w:r w:rsidRPr="00C4140D">
              <w:t xml:space="preserve">$9,520.00 </w:t>
            </w:r>
          </w:p>
        </w:tc>
      </w:tr>
      <w:tr w:rsidRPr="006756BC" w:rsidR="002500ED" w:rsidTr="001B587E" w14:paraId="4782421B" w14:textId="77777777">
        <w:trPr>
          <w:jc w:val="center"/>
        </w:trPr>
        <w:tc>
          <w:tcPr>
            <w:tcW w:w="1525" w:type="dxa"/>
          </w:tcPr>
          <w:p w:rsidRPr="001E4841" w:rsidR="002500ED" w:rsidP="002500ED" w:rsidRDefault="002500ED" w14:paraId="773E4C24" w14:textId="1A82C0B7">
            <w:pPr>
              <w:jc w:val="center"/>
              <w:rPr>
                <w:rFonts w:ascii="Arial" w:hAnsi="Arial" w:cs="Arial"/>
                <w:color w:val="000000"/>
                <w:sz w:val="22"/>
                <w:szCs w:val="22"/>
              </w:rPr>
            </w:pPr>
            <w:r w:rsidRPr="001E4841">
              <w:rPr>
                <w:rFonts w:ascii="Arial" w:hAnsi="Arial" w:cs="Arial"/>
                <w:color w:val="000000"/>
                <w:sz w:val="22"/>
                <w:szCs w:val="22"/>
              </w:rPr>
              <w:t>Hayley Goodson, TURN Attorney</w:t>
            </w:r>
          </w:p>
        </w:tc>
        <w:tc>
          <w:tcPr>
            <w:tcW w:w="810" w:type="dxa"/>
          </w:tcPr>
          <w:p w:rsidRPr="001E4841" w:rsidR="002500ED" w:rsidP="002500ED" w:rsidRDefault="002500ED" w14:paraId="2BFBF36C" w14:textId="2527E79A">
            <w:pPr>
              <w:jc w:val="center"/>
              <w:rPr>
                <w:rFonts w:ascii="Arial" w:hAnsi="Arial" w:cs="Arial"/>
                <w:color w:val="000000"/>
                <w:sz w:val="22"/>
                <w:szCs w:val="22"/>
              </w:rPr>
            </w:pPr>
            <w:r w:rsidRPr="001E4841">
              <w:rPr>
                <w:rFonts w:ascii="Arial" w:hAnsi="Arial" w:cs="Arial"/>
                <w:color w:val="000000"/>
                <w:sz w:val="22"/>
                <w:szCs w:val="22"/>
              </w:rPr>
              <w:t>2025</w:t>
            </w:r>
          </w:p>
        </w:tc>
        <w:tc>
          <w:tcPr>
            <w:tcW w:w="900" w:type="dxa"/>
            <w:gridSpan w:val="2"/>
          </w:tcPr>
          <w:p w:rsidRPr="001E4841" w:rsidR="002500ED" w:rsidP="002500ED" w:rsidRDefault="002500ED" w14:paraId="7BB630C0" w14:textId="7F2DAC75">
            <w:pPr>
              <w:jc w:val="center"/>
              <w:rPr>
                <w:rFonts w:ascii="Arial" w:hAnsi="Arial" w:cs="Arial"/>
                <w:color w:val="000000"/>
                <w:sz w:val="22"/>
                <w:szCs w:val="22"/>
              </w:rPr>
            </w:pPr>
            <w:r w:rsidRPr="001E4841">
              <w:rPr>
                <w:rFonts w:ascii="Arial" w:hAnsi="Arial" w:cs="Arial"/>
                <w:color w:val="000000"/>
                <w:sz w:val="22"/>
                <w:szCs w:val="22"/>
              </w:rPr>
              <w:t>17.50</w:t>
            </w:r>
          </w:p>
        </w:tc>
        <w:tc>
          <w:tcPr>
            <w:tcW w:w="1080" w:type="dxa"/>
          </w:tcPr>
          <w:p w:rsidRPr="001E4841" w:rsidR="002500ED" w:rsidP="002500ED" w:rsidRDefault="002500ED" w14:paraId="177930A3" w14:textId="43547616">
            <w:pPr>
              <w:jc w:val="center"/>
              <w:rPr>
                <w:rFonts w:ascii="Arial" w:hAnsi="Arial" w:cs="Arial"/>
                <w:color w:val="000000"/>
                <w:sz w:val="22"/>
                <w:szCs w:val="22"/>
              </w:rPr>
            </w:pPr>
            <w:r w:rsidRPr="001E4841">
              <w:rPr>
                <w:rFonts w:ascii="Arial" w:hAnsi="Arial" w:cs="Arial"/>
                <w:color w:val="000000"/>
                <w:sz w:val="22"/>
                <w:szCs w:val="22"/>
              </w:rPr>
              <w:t>$705.00</w:t>
            </w:r>
          </w:p>
        </w:tc>
        <w:tc>
          <w:tcPr>
            <w:tcW w:w="1530" w:type="dxa"/>
            <w:gridSpan w:val="2"/>
            <w:tcBorders>
              <w:right w:val="single" w:color="auto" w:sz="4" w:space="0"/>
            </w:tcBorders>
          </w:tcPr>
          <w:p w:rsidRPr="001E4841" w:rsidR="002500ED" w:rsidP="002500ED" w:rsidRDefault="002500ED" w14:paraId="1F4B8C7F" w14:textId="1A42F812">
            <w:pPr>
              <w:jc w:val="center"/>
              <w:rPr>
                <w:rFonts w:ascii="Arial" w:hAnsi="Arial" w:cs="Arial"/>
                <w:color w:val="000000"/>
                <w:sz w:val="22"/>
                <w:szCs w:val="22"/>
              </w:rPr>
            </w:pPr>
            <w:r w:rsidRPr="001E4841">
              <w:rPr>
                <w:rFonts w:ascii="Arial" w:hAnsi="Arial" w:cs="Arial"/>
                <w:color w:val="000000"/>
                <w:sz w:val="22"/>
                <w:szCs w:val="22"/>
              </w:rPr>
              <w:t>D.25-07-034</w:t>
            </w:r>
          </w:p>
        </w:tc>
        <w:tc>
          <w:tcPr>
            <w:tcW w:w="1350" w:type="dxa"/>
            <w:gridSpan w:val="3"/>
            <w:tcBorders>
              <w:top w:val="single" w:color="auto" w:sz="4" w:space="0"/>
              <w:left w:val="single" w:color="auto" w:sz="4" w:space="0"/>
              <w:bottom w:val="single" w:color="auto" w:sz="4" w:space="0"/>
              <w:right w:val="single" w:color="auto" w:sz="24" w:space="0"/>
            </w:tcBorders>
          </w:tcPr>
          <w:p w:rsidRPr="001E4841" w:rsidR="002500ED" w:rsidP="002500ED" w:rsidRDefault="002500ED" w14:paraId="3059AF37" w14:textId="549F5F50">
            <w:pPr>
              <w:jc w:val="right"/>
              <w:rPr>
                <w:rFonts w:ascii="Arial" w:hAnsi="Arial" w:cs="Arial"/>
                <w:color w:val="000000"/>
                <w:sz w:val="22"/>
                <w:szCs w:val="22"/>
              </w:rPr>
            </w:pPr>
            <w:r>
              <w:rPr>
                <w:rFonts w:ascii="Arial" w:hAnsi="Arial" w:cs="Arial"/>
                <w:color w:val="000000"/>
                <w:sz w:val="22"/>
                <w:szCs w:val="22"/>
              </w:rPr>
              <w:t>$</w:t>
            </w:r>
            <w:r w:rsidRPr="001E4841">
              <w:rPr>
                <w:rFonts w:ascii="Arial" w:hAnsi="Arial" w:cs="Arial"/>
                <w:color w:val="000000"/>
                <w:sz w:val="22"/>
                <w:szCs w:val="22"/>
              </w:rPr>
              <w:t>12,337.50</w:t>
            </w:r>
          </w:p>
        </w:tc>
        <w:tc>
          <w:tcPr>
            <w:tcW w:w="938" w:type="dxa"/>
            <w:tcBorders>
              <w:left w:val="single" w:color="auto" w:sz="4" w:space="0"/>
            </w:tcBorders>
          </w:tcPr>
          <w:p w:rsidRPr="006756BC" w:rsidR="002500ED" w:rsidP="002500ED" w:rsidRDefault="002500ED" w14:paraId="7BA3AAF7" w14:textId="1ACB275A">
            <w:pPr>
              <w:jc w:val="center"/>
              <w:rPr>
                <w:color w:val="000000"/>
              </w:rPr>
            </w:pPr>
            <w:r>
              <w:rPr>
                <w:color w:val="000000"/>
              </w:rPr>
              <w:t>17.50</w:t>
            </w:r>
          </w:p>
        </w:tc>
        <w:tc>
          <w:tcPr>
            <w:tcW w:w="1146" w:type="dxa"/>
          </w:tcPr>
          <w:p w:rsidRPr="006756BC" w:rsidR="002500ED" w:rsidP="002500ED" w:rsidRDefault="002500ED" w14:paraId="50E2CBB4" w14:textId="70BAD25B">
            <w:pPr>
              <w:jc w:val="center"/>
              <w:rPr>
                <w:color w:val="000000"/>
              </w:rPr>
            </w:pPr>
            <w:r>
              <w:rPr>
                <w:color w:val="000000"/>
              </w:rPr>
              <w:t>$705.00</w:t>
            </w:r>
          </w:p>
        </w:tc>
        <w:tc>
          <w:tcPr>
            <w:tcW w:w="1881" w:type="dxa"/>
          </w:tcPr>
          <w:p w:rsidRPr="006756BC" w:rsidR="002500ED" w:rsidP="002500ED" w:rsidRDefault="002500ED" w14:paraId="27AD898A" w14:textId="509180E2">
            <w:pPr>
              <w:jc w:val="right"/>
              <w:rPr>
                <w:color w:val="000000"/>
              </w:rPr>
            </w:pPr>
            <w:r w:rsidRPr="00C4140D">
              <w:t xml:space="preserve">$12,337.50 </w:t>
            </w:r>
          </w:p>
        </w:tc>
      </w:tr>
      <w:tr w:rsidRPr="006756BC" w:rsidR="002500ED" w:rsidTr="001B587E" w14:paraId="47FB95B2" w14:textId="77777777">
        <w:trPr>
          <w:jc w:val="center"/>
        </w:trPr>
        <w:tc>
          <w:tcPr>
            <w:tcW w:w="1525" w:type="dxa"/>
          </w:tcPr>
          <w:p w:rsidRPr="001E4841" w:rsidR="002500ED" w:rsidP="002500ED" w:rsidRDefault="002500ED" w14:paraId="318A0A5A" w14:textId="5202DF47">
            <w:pPr>
              <w:jc w:val="center"/>
              <w:rPr>
                <w:rFonts w:ascii="Arial" w:hAnsi="Arial" w:cs="Arial"/>
                <w:color w:val="000000"/>
                <w:sz w:val="22"/>
                <w:szCs w:val="22"/>
              </w:rPr>
            </w:pPr>
            <w:r w:rsidRPr="001E4841">
              <w:rPr>
                <w:rFonts w:ascii="Arial" w:hAnsi="Arial" w:cs="Arial"/>
                <w:color w:val="000000"/>
                <w:sz w:val="22"/>
                <w:szCs w:val="22"/>
              </w:rPr>
              <w:t>Hayley Goodson, TURN Attorney</w:t>
            </w:r>
          </w:p>
        </w:tc>
        <w:tc>
          <w:tcPr>
            <w:tcW w:w="810" w:type="dxa"/>
          </w:tcPr>
          <w:p w:rsidRPr="001E4841" w:rsidR="002500ED" w:rsidP="002500ED" w:rsidRDefault="002500ED" w14:paraId="17BBFEC2" w14:textId="533C86ED">
            <w:pPr>
              <w:jc w:val="center"/>
              <w:rPr>
                <w:rFonts w:ascii="Arial" w:hAnsi="Arial" w:cs="Arial"/>
                <w:color w:val="000000"/>
                <w:sz w:val="22"/>
                <w:szCs w:val="22"/>
              </w:rPr>
            </w:pPr>
            <w:r w:rsidRPr="001E4841">
              <w:rPr>
                <w:rFonts w:ascii="Arial" w:hAnsi="Arial" w:cs="Arial"/>
                <w:color w:val="000000"/>
                <w:sz w:val="22"/>
                <w:szCs w:val="22"/>
              </w:rPr>
              <w:t>2026</w:t>
            </w:r>
          </w:p>
        </w:tc>
        <w:tc>
          <w:tcPr>
            <w:tcW w:w="900" w:type="dxa"/>
            <w:gridSpan w:val="2"/>
          </w:tcPr>
          <w:p w:rsidRPr="001E4841" w:rsidR="002500ED" w:rsidP="002500ED" w:rsidRDefault="002500ED" w14:paraId="222906B6" w14:textId="7B416C52">
            <w:pPr>
              <w:jc w:val="center"/>
              <w:rPr>
                <w:rFonts w:ascii="Arial" w:hAnsi="Arial" w:cs="Arial"/>
                <w:color w:val="000000"/>
                <w:sz w:val="22"/>
                <w:szCs w:val="22"/>
              </w:rPr>
            </w:pPr>
            <w:r w:rsidRPr="001E4841">
              <w:rPr>
                <w:rFonts w:ascii="Arial" w:hAnsi="Arial" w:cs="Arial"/>
                <w:color w:val="000000"/>
                <w:sz w:val="22"/>
                <w:szCs w:val="22"/>
              </w:rPr>
              <w:t>2.25</w:t>
            </w:r>
          </w:p>
        </w:tc>
        <w:tc>
          <w:tcPr>
            <w:tcW w:w="1080" w:type="dxa"/>
          </w:tcPr>
          <w:p w:rsidRPr="001E4841" w:rsidR="002500ED" w:rsidP="002500ED" w:rsidRDefault="002500ED" w14:paraId="1AF32A5E" w14:textId="2D45E4E3">
            <w:pPr>
              <w:jc w:val="center"/>
              <w:rPr>
                <w:rFonts w:ascii="Arial" w:hAnsi="Arial" w:cs="Arial"/>
                <w:color w:val="000000"/>
                <w:sz w:val="22"/>
                <w:szCs w:val="22"/>
              </w:rPr>
            </w:pPr>
            <w:r w:rsidRPr="001E4841">
              <w:rPr>
                <w:rFonts w:ascii="Arial" w:hAnsi="Arial" w:cs="Arial"/>
                <w:color w:val="000000"/>
                <w:sz w:val="22"/>
                <w:szCs w:val="22"/>
              </w:rPr>
              <w:t>$730.00</w:t>
            </w:r>
          </w:p>
        </w:tc>
        <w:tc>
          <w:tcPr>
            <w:tcW w:w="1530" w:type="dxa"/>
            <w:gridSpan w:val="2"/>
            <w:tcBorders>
              <w:right w:val="single" w:color="auto" w:sz="4" w:space="0"/>
            </w:tcBorders>
          </w:tcPr>
          <w:p w:rsidRPr="001E4841" w:rsidR="002500ED" w:rsidP="002500ED" w:rsidRDefault="002500ED" w14:paraId="7DAD1F1A" w14:textId="22442724">
            <w:pPr>
              <w:jc w:val="center"/>
              <w:rPr>
                <w:rFonts w:ascii="Arial" w:hAnsi="Arial" w:cs="Arial"/>
                <w:color w:val="000000"/>
                <w:sz w:val="22"/>
                <w:szCs w:val="22"/>
              </w:rPr>
            </w:pPr>
            <w:r w:rsidRPr="001E4841">
              <w:rPr>
                <w:rFonts w:ascii="Arial" w:hAnsi="Arial" w:cs="Arial"/>
                <w:sz w:val="22"/>
                <w:szCs w:val="22"/>
              </w:rPr>
              <w:t>See Comment #1</w:t>
            </w:r>
          </w:p>
        </w:tc>
        <w:tc>
          <w:tcPr>
            <w:tcW w:w="1350" w:type="dxa"/>
            <w:gridSpan w:val="3"/>
            <w:tcBorders>
              <w:top w:val="single" w:color="auto" w:sz="4" w:space="0"/>
              <w:left w:val="single" w:color="auto" w:sz="4" w:space="0"/>
              <w:bottom w:val="single" w:color="auto" w:sz="4" w:space="0"/>
              <w:right w:val="single" w:color="auto" w:sz="24" w:space="0"/>
            </w:tcBorders>
          </w:tcPr>
          <w:p w:rsidRPr="001E4841" w:rsidR="002500ED" w:rsidP="002500ED" w:rsidRDefault="002500ED" w14:paraId="758F292B" w14:textId="01186A8A">
            <w:pPr>
              <w:jc w:val="right"/>
              <w:rPr>
                <w:rFonts w:ascii="Arial" w:hAnsi="Arial" w:cs="Arial"/>
                <w:color w:val="000000"/>
                <w:sz w:val="22"/>
                <w:szCs w:val="22"/>
              </w:rPr>
            </w:pPr>
            <w:r>
              <w:rPr>
                <w:rFonts w:ascii="Arial" w:hAnsi="Arial" w:cs="Arial"/>
                <w:color w:val="000000"/>
                <w:sz w:val="22"/>
                <w:szCs w:val="22"/>
              </w:rPr>
              <w:t>$</w:t>
            </w:r>
            <w:r w:rsidRPr="001E4841">
              <w:rPr>
                <w:rFonts w:ascii="Arial" w:hAnsi="Arial" w:cs="Arial"/>
                <w:color w:val="000000"/>
                <w:sz w:val="22"/>
                <w:szCs w:val="22"/>
              </w:rPr>
              <w:t>1,642.50</w:t>
            </w:r>
          </w:p>
        </w:tc>
        <w:tc>
          <w:tcPr>
            <w:tcW w:w="938" w:type="dxa"/>
            <w:tcBorders>
              <w:left w:val="single" w:color="auto" w:sz="4" w:space="0"/>
            </w:tcBorders>
          </w:tcPr>
          <w:p w:rsidRPr="006756BC" w:rsidR="002500ED" w:rsidP="002500ED" w:rsidRDefault="002500ED" w14:paraId="102B5913" w14:textId="0B5589F4">
            <w:pPr>
              <w:jc w:val="center"/>
              <w:rPr>
                <w:color w:val="000000"/>
              </w:rPr>
            </w:pPr>
            <w:r>
              <w:rPr>
                <w:color w:val="000000"/>
              </w:rPr>
              <w:t>2.25</w:t>
            </w:r>
          </w:p>
        </w:tc>
        <w:tc>
          <w:tcPr>
            <w:tcW w:w="1146" w:type="dxa"/>
          </w:tcPr>
          <w:p w:rsidRPr="006756BC" w:rsidR="002500ED" w:rsidP="002500ED" w:rsidRDefault="002500ED" w14:paraId="6A04EA84" w14:textId="61E0CB05">
            <w:pPr>
              <w:jc w:val="center"/>
              <w:rPr>
                <w:color w:val="000000"/>
              </w:rPr>
            </w:pPr>
            <w:r>
              <w:rPr>
                <w:color w:val="000000"/>
              </w:rPr>
              <w:t>$730.00</w:t>
            </w:r>
            <w:r w:rsidR="006F6108">
              <w:rPr>
                <w:color w:val="000000"/>
              </w:rPr>
              <w:t xml:space="preserve"> [3]</w:t>
            </w:r>
          </w:p>
        </w:tc>
        <w:tc>
          <w:tcPr>
            <w:tcW w:w="1881" w:type="dxa"/>
          </w:tcPr>
          <w:p w:rsidRPr="006756BC" w:rsidR="002500ED" w:rsidP="002500ED" w:rsidRDefault="002500ED" w14:paraId="59A5C822" w14:textId="790A41D4">
            <w:pPr>
              <w:jc w:val="right"/>
              <w:rPr>
                <w:color w:val="000000"/>
              </w:rPr>
            </w:pPr>
            <w:r w:rsidRPr="00C4140D">
              <w:t xml:space="preserve">$1,642.50 </w:t>
            </w:r>
          </w:p>
        </w:tc>
      </w:tr>
      <w:tr w:rsidRPr="006756BC" w:rsidR="002500ED" w:rsidTr="001B587E" w14:paraId="7E170F14" w14:textId="77777777">
        <w:trPr>
          <w:jc w:val="center"/>
        </w:trPr>
        <w:tc>
          <w:tcPr>
            <w:tcW w:w="1525" w:type="dxa"/>
          </w:tcPr>
          <w:p w:rsidRPr="001E4841" w:rsidR="002500ED" w:rsidP="002500ED" w:rsidRDefault="002500ED" w14:paraId="50EDDC5D" w14:textId="2C7FF733">
            <w:pPr>
              <w:jc w:val="center"/>
              <w:rPr>
                <w:rFonts w:ascii="Arial" w:hAnsi="Arial" w:cs="Arial"/>
                <w:color w:val="000000"/>
                <w:sz w:val="22"/>
                <w:szCs w:val="22"/>
              </w:rPr>
            </w:pPr>
            <w:r w:rsidRPr="001E4841">
              <w:rPr>
                <w:rFonts w:ascii="Arial" w:hAnsi="Arial" w:cs="Arial"/>
                <w:color w:val="000000"/>
                <w:sz w:val="22"/>
                <w:szCs w:val="22"/>
              </w:rPr>
              <w:t>Jalal Awan, TURN Energy Policy Analyst</w:t>
            </w:r>
          </w:p>
        </w:tc>
        <w:tc>
          <w:tcPr>
            <w:tcW w:w="810" w:type="dxa"/>
          </w:tcPr>
          <w:p w:rsidRPr="001E4841" w:rsidR="002500ED" w:rsidP="002500ED" w:rsidRDefault="002500ED" w14:paraId="502BB0C1" w14:textId="443B24E9">
            <w:pPr>
              <w:jc w:val="center"/>
              <w:rPr>
                <w:rFonts w:ascii="Arial" w:hAnsi="Arial" w:cs="Arial"/>
                <w:color w:val="000000"/>
                <w:sz w:val="22"/>
                <w:szCs w:val="22"/>
              </w:rPr>
            </w:pPr>
            <w:r w:rsidRPr="001E4841">
              <w:rPr>
                <w:rFonts w:ascii="Arial" w:hAnsi="Arial" w:cs="Arial"/>
                <w:color w:val="000000"/>
                <w:sz w:val="22"/>
                <w:szCs w:val="22"/>
              </w:rPr>
              <w:t>2024</w:t>
            </w:r>
          </w:p>
        </w:tc>
        <w:tc>
          <w:tcPr>
            <w:tcW w:w="900" w:type="dxa"/>
            <w:gridSpan w:val="2"/>
          </w:tcPr>
          <w:p w:rsidRPr="001E4841" w:rsidR="002500ED" w:rsidP="002500ED" w:rsidRDefault="002500ED" w14:paraId="3728B534" w14:textId="31437CA4">
            <w:pPr>
              <w:jc w:val="center"/>
              <w:rPr>
                <w:rFonts w:ascii="Arial" w:hAnsi="Arial" w:cs="Arial"/>
                <w:color w:val="000000"/>
                <w:sz w:val="22"/>
                <w:szCs w:val="22"/>
              </w:rPr>
            </w:pPr>
            <w:r w:rsidRPr="001E4841">
              <w:rPr>
                <w:rFonts w:ascii="Arial" w:hAnsi="Arial" w:cs="Arial"/>
                <w:color w:val="000000"/>
                <w:sz w:val="22"/>
                <w:szCs w:val="22"/>
              </w:rPr>
              <w:t>92.25</w:t>
            </w:r>
          </w:p>
        </w:tc>
        <w:tc>
          <w:tcPr>
            <w:tcW w:w="1080" w:type="dxa"/>
          </w:tcPr>
          <w:p w:rsidRPr="001E4841" w:rsidR="002500ED" w:rsidP="002500ED" w:rsidRDefault="002500ED" w14:paraId="2FBC649B" w14:textId="2BBA1187">
            <w:pPr>
              <w:jc w:val="center"/>
              <w:rPr>
                <w:rFonts w:ascii="Arial" w:hAnsi="Arial" w:cs="Arial"/>
                <w:color w:val="000000"/>
                <w:sz w:val="22"/>
                <w:szCs w:val="22"/>
              </w:rPr>
            </w:pPr>
            <w:r w:rsidRPr="001E4841">
              <w:rPr>
                <w:rFonts w:ascii="Arial" w:hAnsi="Arial" w:cs="Arial"/>
                <w:color w:val="000000"/>
                <w:sz w:val="22"/>
                <w:szCs w:val="22"/>
              </w:rPr>
              <w:t>$325.00</w:t>
            </w:r>
          </w:p>
        </w:tc>
        <w:tc>
          <w:tcPr>
            <w:tcW w:w="1530" w:type="dxa"/>
            <w:gridSpan w:val="2"/>
            <w:tcBorders>
              <w:right w:val="single" w:color="auto" w:sz="4" w:space="0"/>
            </w:tcBorders>
          </w:tcPr>
          <w:p w:rsidRPr="001E4841" w:rsidR="002500ED" w:rsidP="002500ED" w:rsidRDefault="002500ED" w14:paraId="696C6A8B" w14:textId="1C3F4315">
            <w:pPr>
              <w:jc w:val="center"/>
              <w:rPr>
                <w:rFonts w:ascii="Arial" w:hAnsi="Arial" w:cs="Arial"/>
                <w:color w:val="000000"/>
                <w:sz w:val="22"/>
                <w:szCs w:val="22"/>
              </w:rPr>
            </w:pPr>
            <w:r w:rsidRPr="001E4841">
              <w:rPr>
                <w:rFonts w:ascii="Arial" w:hAnsi="Arial" w:cs="Arial"/>
                <w:color w:val="000000"/>
                <w:sz w:val="22"/>
                <w:szCs w:val="22"/>
              </w:rPr>
              <w:t>See Comment #3</w:t>
            </w:r>
          </w:p>
        </w:tc>
        <w:tc>
          <w:tcPr>
            <w:tcW w:w="1350" w:type="dxa"/>
            <w:gridSpan w:val="3"/>
            <w:tcBorders>
              <w:top w:val="single" w:color="auto" w:sz="4" w:space="0"/>
              <w:left w:val="single" w:color="auto" w:sz="4" w:space="0"/>
              <w:bottom w:val="single" w:color="auto" w:sz="4" w:space="0"/>
              <w:right w:val="single" w:color="auto" w:sz="24" w:space="0"/>
            </w:tcBorders>
          </w:tcPr>
          <w:p w:rsidRPr="001E4841" w:rsidR="002500ED" w:rsidP="002500ED" w:rsidRDefault="002500ED" w14:paraId="7F404756" w14:textId="20BBE7E2">
            <w:pPr>
              <w:jc w:val="right"/>
              <w:rPr>
                <w:rFonts w:ascii="Arial" w:hAnsi="Arial" w:cs="Arial"/>
                <w:color w:val="000000"/>
                <w:sz w:val="22"/>
                <w:szCs w:val="22"/>
              </w:rPr>
            </w:pPr>
            <w:r>
              <w:rPr>
                <w:rFonts w:ascii="Arial" w:hAnsi="Arial" w:cs="Arial"/>
                <w:color w:val="000000"/>
                <w:sz w:val="22"/>
                <w:szCs w:val="22"/>
              </w:rPr>
              <w:t>$</w:t>
            </w:r>
            <w:r w:rsidRPr="001E4841">
              <w:rPr>
                <w:rFonts w:ascii="Arial" w:hAnsi="Arial" w:cs="Arial"/>
                <w:color w:val="000000"/>
                <w:sz w:val="22"/>
                <w:szCs w:val="22"/>
              </w:rPr>
              <w:t>29,981.25</w:t>
            </w:r>
          </w:p>
        </w:tc>
        <w:tc>
          <w:tcPr>
            <w:tcW w:w="938" w:type="dxa"/>
            <w:tcBorders>
              <w:left w:val="single" w:color="auto" w:sz="4" w:space="0"/>
            </w:tcBorders>
          </w:tcPr>
          <w:p w:rsidRPr="006756BC" w:rsidR="002500ED" w:rsidP="002500ED" w:rsidRDefault="002500ED" w14:paraId="5FFD9D36" w14:textId="03926BBD">
            <w:pPr>
              <w:jc w:val="center"/>
              <w:rPr>
                <w:color w:val="000000"/>
              </w:rPr>
            </w:pPr>
            <w:r>
              <w:rPr>
                <w:color w:val="000000"/>
              </w:rPr>
              <w:t>92.25</w:t>
            </w:r>
          </w:p>
        </w:tc>
        <w:tc>
          <w:tcPr>
            <w:tcW w:w="1146" w:type="dxa"/>
          </w:tcPr>
          <w:p w:rsidRPr="006756BC" w:rsidR="002500ED" w:rsidP="002500ED" w:rsidRDefault="002500ED" w14:paraId="1F84FAE8" w14:textId="3348EE22">
            <w:pPr>
              <w:jc w:val="center"/>
              <w:rPr>
                <w:color w:val="000000"/>
              </w:rPr>
            </w:pPr>
            <w:r>
              <w:rPr>
                <w:color w:val="000000"/>
              </w:rPr>
              <w:t>$325.00</w:t>
            </w:r>
            <w:r w:rsidR="00C44D77">
              <w:rPr>
                <w:color w:val="000000"/>
              </w:rPr>
              <w:t xml:space="preserve"> [4]</w:t>
            </w:r>
          </w:p>
        </w:tc>
        <w:tc>
          <w:tcPr>
            <w:tcW w:w="1881" w:type="dxa"/>
          </w:tcPr>
          <w:p w:rsidRPr="006756BC" w:rsidR="002500ED" w:rsidP="002500ED" w:rsidRDefault="002500ED" w14:paraId="4B9A6B66" w14:textId="198C5927">
            <w:pPr>
              <w:jc w:val="right"/>
              <w:rPr>
                <w:color w:val="000000"/>
              </w:rPr>
            </w:pPr>
            <w:r w:rsidRPr="00C4140D">
              <w:t xml:space="preserve">$29,981.25 </w:t>
            </w:r>
          </w:p>
        </w:tc>
      </w:tr>
      <w:tr w:rsidRPr="006756BC" w:rsidR="002500ED" w:rsidTr="001B587E" w14:paraId="5A9F4EA7" w14:textId="77777777">
        <w:trPr>
          <w:jc w:val="center"/>
        </w:trPr>
        <w:tc>
          <w:tcPr>
            <w:tcW w:w="1525" w:type="dxa"/>
          </w:tcPr>
          <w:p w:rsidRPr="001E4841" w:rsidR="002500ED" w:rsidP="002500ED" w:rsidRDefault="002500ED" w14:paraId="3124A1D8" w14:textId="2D27BF92">
            <w:pPr>
              <w:jc w:val="center"/>
              <w:rPr>
                <w:rFonts w:ascii="Arial" w:hAnsi="Arial" w:cs="Arial"/>
                <w:color w:val="000000"/>
                <w:sz w:val="22"/>
                <w:szCs w:val="22"/>
              </w:rPr>
            </w:pPr>
            <w:r w:rsidRPr="001E4841">
              <w:rPr>
                <w:rFonts w:ascii="Arial" w:hAnsi="Arial" w:cs="Arial"/>
                <w:color w:val="000000"/>
                <w:sz w:val="22"/>
                <w:szCs w:val="22"/>
              </w:rPr>
              <w:t>Jalal Awan, TURN Energy Policy Analyst</w:t>
            </w:r>
          </w:p>
        </w:tc>
        <w:tc>
          <w:tcPr>
            <w:tcW w:w="810" w:type="dxa"/>
          </w:tcPr>
          <w:p w:rsidRPr="001E4841" w:rsidR="002500ED" w:rsidP="002500ED" w:rsidRDefault="002500ED" w14:paraId="6561B049" w14:textId="68ED1842">
            <w:pPr>
              <w:jc w:val="center"/>
              <w:rPr>
                <w:rFonts w:ascii="Arial" w:hAnsi="Arial" w:cs="Arial"/>
                <w:color w:val="000000"/>
                <w:sz w:val="22"/>
                <w:szCs w:val="22"/>
              </w:rPr>
            </w:pPr>
            <w:r w:rsidRPr="001E4841">
              <w:rPr>
                <w:rFonts w:ascii="Arial" w:hAnsi="Arial" w:cs="Arial"/>
                <w:color w:val="000000"/>
                <w:sz w:val="22"/>
                <w:szCs w:val="22"/>
              </w:rPr>
              <w:t>2025</w:t>
            </w:r>
          </w:p>
        </w:tc>
        <w:tc>
          <w:tcPr>
            <w:tcW w:w="900" w:type="dxa"/>
            <w:gridSpan w:val="2"/>
          </w:tcPr>
          <w:p w:rsidRPr="001E4841" w:rsidR="002500ED" w:rsidP="002500ED" w:rsidRDefault="002500ED" w14:paraId="6FB4D209" w14:textId="29EDE728">
            <w:pPr>
              <w:jc w:val="center"/>
              <w:rPr>
                <w:rFonts w:ascii="Arial" w:hAnsi="Arial" w:cs="Arial"/>
                <w:color w:val="000000"/>
                <w:sz w:val="22"/>
                <w:szCs w:val="22"/>
              </w:rPr>
            </w:pPr>
            <w:r w:rsidRPr="001E4841">
              <w:rPr>
                <w:rFonts w:ascii="Arial" w:hAnsi="Arial" w:cs="Arial"/>
                <w:color w:val="000000"/>
                <w:sz w:val="22"/>
                <w:szCs w:val="22"/>
              </w:rPr>
              <w:t>11.75</w:t>
            </w:r>
          </w:p>
        </w:tc>
        <w:tc>
          <w:tcPr>
            <w:tcW w:w="1080" w:type="dxa"/>
          </w:tcPr>
          <w:p w:rsidRPr="001E4841" w:rsidR="002500ED" w:rsidP="002500ED" w:rsidRDefault="002500ED" w14:paraId="06EA843B" w14:textId="284E19BC">
            <w:pPr>
              <w:jc w:val="center"/>
              <w:rPr>
                <w:rFonts w:ascii="Arial" w:hAnsi="Arial" w:cs="Arial"/>
                <w:color w:val="000000"/>
                <w:sz w:val="22"/>
                <w:szCs w:val="22"/>
              </w:rPr>
            </w:pPr>
            <w:r w:rsidRPr="001E4841">
              <w:rPr>
                <w:rFonts w:ascii="Arial" w:hAnsi="Arial" w:cs="Arial"/>
                <w:color w:val="000000"/>
                <w:sz w:val="22"/>
                <w:szCs w:val="22"/>
              </w:rPr>
              <w:t>$355.00</w:t>
            </w:r>
          </w:p>
        </w:tc>
        <w:tc>
          <w:tcPr>
            <w:tcW w:w="1530" w:type="dxa"/>
            <w:gridSpan w:val="2"/>
            <w:tcBorders>
              <w:right w:val="single" w:color="auto" w:sz="4" w:space="0"/>
            </w:tcBorders>
          </w:tcPr>
          <w:p w:rsidRPr="001E4841" w:rsidR="002500ED" w:rsidP="002500ED" w:rsidRDefault="002500ED" w14:paraId="6DDF808E" w14:textId="26C9BB51">
            <w:pPr>
              <w:jc w:val="center"/>
              <w:rPr>
                <w:rFonts w:ascii="Arial" w:hAnsi="Arial" w:cs="Arial"/>
                <w:color w:val="000000"/>
                <w:sz w:val="22"/>
                <w:szCs w:val="22"/>
              </w:rPr>
            </w:pPr>
            <w:r w:rsidRPr="001E4841">
              <w:rPr>
                <w:rFonts w:ascii="Arial" w:hAnsi="Arial" w:cs="Arial"/>
                <w:color w:val="000000"/>
                <w:sz w:val="22"/>
                <w:szCs w:val="22"/>
              </w:rPr>
              <w:t>See Comment #3</w:t>
            </w:r>
          </w:p>
        </w:tc>
        <w:tc>
          <w:tcPr>
            <w:tcW w:w="1350" w:type="dxa"/>
            <w:gridSpan w:val="3"/>
            <w:tcBorders>
              <w:top w:val="single" w:color="auto" w:sz="4" w:space="0"/>
              <w:left w:val="single" w:color="auto" w:sz="4" w:space="0"/>
              <w:bottom w:val="single" w:color="auto" w:sz="4" w:space="0"/>
              <w:right w:val="single" w:color="auto" w:sz="24" w:space="0"/>
            </w:tcBorders>
          </w:tcPr>
          <w:p w:rsidRPr="001E4841" w:rsidR="002500ED" w:rsidP="002500ED" w:rsidRDefault="002500ED" w14:paraId="3253BF79" w14:textId="63BB81F9">
            <w:pPr>
              <w:jc w:val="right"/>
              <w:rPr>
                <w:rFonts w:ascii="Arial" w:hAnsi="Arial" w:cs="Arial"/>
                <w:color w:val="000000"/>
                <w:sz w:val="22"/>
                <w:szCs w:val="22"/>
              </w:rPr>
            </w:pPr>
            <w:r>
              <w:rPr>
                <w:rFonts w:ascii="Arial" w:hAnsi="Arial" w:cs="Arial"/>
                <w:color w:val="000000"/>
                <w:sz w:val="22"/>
                <w:szCs w:val="22"/>
              </w:rPr>
              <w:t>$</w:t>
            </w:r>
            <w:r w:rsidRPr="001E4841">
              <w:rPr>
                <w:rFonts w:ascii="Arial" w:hAnsi="Arial" w:cs="Arial"/>
                <w:color w:val="000000"/>
                <w:sz w:val="22"/>
                <w:szCs w:val="22"/>
              </w:rPr>
              <w:t>4,171.25</w:t>
            </w:r>
          </w:p>
        </w:tc>
        <w:tc>
          <w:tcPr>
            <w:tcW w:w="938" w:type="dxa"/>
            <w:tcBorders>
              <w:left w:val="single" w:color="auto" w:sz="4" w:space="0"/>
            </w:tcBorders>
          </w:tcPr>
          <w:p w:rsidRPr="006756BC" w:rsidR="002500ED" w:rsidP="002500ED" w:rsidRDefault="002500ED" w14:paraId="51E55069" w14:textId="239DCA21">
            <w:pPr>
              <w:jc w:val="center"/>
              <w:rPr>
                <w:color w:val="000000"/>
              </w:rPr>
            </w:pPr>
            <w:r>
              <w:rPr>
                <w:color w:val="000000"/>
              </w:rPr>
              <w:t>11.75</w:t>
            </w:r>
          </w:p>
        </w:tc>
        <w:tc>
          <w:tcPr>
            <w:tcW w:w="1146" w:type="dxa"/>
          </w:tcPr>
          <w:p w:rsidRPr="006756BC" w:rsidR="002500ED" w:rsidP="002500ED" w:rsidRDefault="002500ED" w14:paraId="654AA29C" w14:textId="46DA6469">
            <w:pPr>
              <w:jc w:val="center"/>
              <w:rPr>
                <w:color w:val="000000"/>
              </w:rPr>
            </w:pPr>
            <w:r>
              <w:rPr>
                <w:color w:val="000000"/>
              </w:rPr>
              <w:t>$355.00</w:t>
            </w:r>
            <w:r w:rsidR="00C44D77">
              <w:rPr>
                <w:color w:val="000000"/>
              </w:rPr>
              <w:t xml:space="preserve"> [4]</w:t>
            </w:r>
          </w:p>
        </w:tc>
        <w:tc>
          <w:tcPr>
            <w:tcW w:w="1881" w:type="dxa"/>
          </w:tcPr>
          <w:p w:rsidRPr="006756BC" w:rsidR="002500ED" w:rsidP="002500ED" w:rsidRDefault="002500ED" w14:paraId="7B4D2C09" w14:textId="3844FFD1">
            <w:pPr>
              <w:jc w:val="right"/>
              <w:rPr>
                <w:color w:val="000000"/>
              </w:rPr>
            </w:pPr>
            <w:r w:rsidRPr="00C4140D">
              <w:t xml:space="preserve">$4,171.25 </w:t>
            </w:r>
          </w:p>
        </w:tc>
      </w:tr>
      <w:tr w:rsidRPr="006756BC" w:rsidR="002500ED" w:rsidTr="001B587E" w14:paraId="21B61B64" w14:textId="77777777">
        <w:trPr>
          <w:jc w:val="center"/>
        </w:trPr>
        <w:tc>
          <w:tcPr>
            <w:tcW w:w="1525" w:type="dxa"/>
          </w:tcPr>
          <w:p w:rsidRPr="001E4841" w:rsidR="002500ED" w:rsidP="002500ED" w:rsidRDefault="002500ED" w14:paraId="15B690E9" w14:textId="5CCA4052">
            <w:pPr>
              <w:jc w:val="center"/>
              <w:rPr>
                <w:rFonts w:ascii="Arial" w:hAnsi="Arial" w:cs="Arial"/>
                <w:color w:val="000000"/>
                <w:sz w:val="22"/>
                <w:szCs w:val="22"/>
              </w:rPr>
            </w:pPr>
            <w:r w:rsidRPr="001E4841">
              <w:rPr>
                <w:rFonts w:ascii="Arial" w:hAnsi="Arial" w:cs="Arial"/>
                <w:color w:val="000000"/>
                <w:sz w:val="22"/>
                <w:szCs w:val="22"/>
              </w:rPr>
              <w:t>Jalal Awan, TURN Energy Policy Analyst</w:t>
            </w:r>
          </w:p>
        </w:tc>
        <w:tc>
          <w:tcPr>
            <w:tcW w:w="810" w:type="dxa"/>
          </w:tcPr>
          <w:p w:rsidRPr="001E4841" w:rsidR="002500ED" w:rsidP="002500ED" w:rsidRDefault="002500ED" w14:paraId="17E1F0F9" w14:textId="561277A2">
            <w:pPr>
              <w:jc w:val="center"/>
              <w:rPr>
                <w:rFonts w:ascii="Arial" w:hAnsi="Arial" w:cs="Arial"/>
                <w:color w:val="000000"/>
                <w:sz w:val="22"/>
                <w:szCs w:val="22"/>
              </w:rPr>
            </w:pPr>
            <w:r w:rsidRPr="001E4841">
              <w:rPr>
                <w:rFonts w:ascii="Arial" w:hAnsi="Arial" w:cs="Arial"/>
                <w:color w:val="000000"/>
                <w:sz w:val="22"/>
                <w:szCs w:val="22"/>
              </w:rPr>
              <w:t>2026</w:t>
            </w:r>
          </w:p>
        </w:tc>
        <w:tc>
          <w:tcPr>
            <w:tcW w:w="900" w:type="dxa"/>
            <w:gridSpan w:val="2"/>
          </w:tcPr>
          <w:p w:rsidRPr="001E4841" w:rsidR="002500ED" w:rsidP="002500ED" w:rsidRDefault="002500ED" w14:paraId="51E63385" w14:textId="337D9817">
            <w:pPr>
              <w:jc w:val="center"/>
              <w:rPr>
                <w:rFonts w:ascii="Arial" w:hAnsi="Arial" w:cs="Arial"/>
                <w:color w:val="000000"/>
                <w:sz w:val="22"/>
                <w:szCs w:val="22"/>
              </w:rPr>
            </w:pPr>
            <w:r w:rsidRPr="001E4841">
              <w:rPr>
                <w:rFonts w:ascii="Arial" w:hAnsi="Arial" w:cs="Arial"/>
                <w:color w:val="000000"/>
                <w:sz w:val="22"/>
                <w:szCs w:val="22"/>
              </w:rPr>
              <w:t>2.50</w:t>
            </w:r>
          </w:p>
        </w:tc>
        <w:tc>
          <w:tcPr>
            <w:tcW w:w="1080" w:type="dxa"/>
          </w:tcPr>
          <w:p w:rsidRPr="001E4841" w:rsidR="002500ED" w:rsidP="002500ED" w:rsidRDefault="002500ED" w14:paraId="07535A36" w14:textId="7B621416">
            <w:pPr>
              <w:jc w:val="center"/>
              <w:rPr>
                <w:rFonts w:ascii="Arial" w:hAnsi="Arial" w:cs="Arial"/>
                <w:color w:val="000000"/>
                <w:sz w:val="22"/>
                <w:szCs w:val="22"/>
              </w:rPr>
            </w:pPr>
            <w:r w:rsidRPr="001E4841">
              <w:rPr>
                <w:rFonts w:ascii="Arial" w:hAnsi="Arial" w:cs="Arial"/>
                <w:color w:val="000000"/>
                <w:sz w:val="22"/>
                <w:szCs w:val="22"/>
              </w:rPr>
              <w:t>$365.00</w:t>
            </w:r>
          </w:p>
        </w:tc>
        <w:tc>
          <w:tcPr>
            <w:tcW w:w="1530" w:type="dxa"/>
            <w:gridSpan w:val="2"/>
            <w:tcBorders>
              <w:right w:val="single" w:color="auto" w:sz="4" w:space="0"/>
            </w:tcBorders>
          </w:tcPr>
          <w:p w:rsidRPr="001E4841" w:rsidR="002500ED" w:rsidP="002500ED" w:rsidRDefault="002500ED" w14:paraId="23B8802B" w14:textId="7CA99BE1">
            <w:pPr>
              <w:jc w:val="center"/>
              <w:rPr>
                <w:rFonts w:ascii="Arial" w:hAnsi="Arial" w:cs="Arial"/>
                <w:color w:val="000000"/>
                <w:sz w:val="22"/>
                <w:szCs w:val="22"/>
              </w:rPr>
            </w:pPr>
            <w:r w:rsidRPr="001E4841">
              <w:rPr>
                <w:rFonts w:ascii="Arial" w:hAnsi="Arial" w:cs="Arial"/>
                <w:color w:val="000000"/>
                <w:sz w:val="22"/>
                <w:szCs w:val="22"/>
              </w:rPr>
              <w:t>See Comment #3</w:t>
            </w:r>
          </w:p>
        </w:tc>
        <w:tc>
          <w:tcPr>
            <w:tcW w:w="1350" w:type="dxa"/>
            <w:gridSpan w:val="3"/>
            <w:tcBorders>
              <w:top w:val="single" w:color="auto" w:sz="4" w:space="0"/>
              <w:left w:val="single" w:color="auto" w:sz="4" w:space="0"/>
              <w:bottom w:val="single" w:color="auto" w:sz="4" w:space="0"/>
              <w:right w:val="single" w:color="auto" w:sz="24" w:space="0"/>
            </w:tcBorders>
          </w:tcPr>
          <w:p w:rsidRPr="001E4841" w:rsidR="002500ED" w:rsidP="002500ED" w:rsidRDefault="002500ED" w14:paraId="7819AE16" w14:textId="2B760DA1">
            <w:pPr>
              <w:jc w:val="right"/>
              <w:rPr>
                <w:rFonts w:ascii="Arial" w:hAnsi="Arial" w:cs="Arial"/>
                <w:color w:val="000000"/>
                <w:sz w:val="22"/>
                <w:szCs w:val="22"/>
              </w:rPr>
            </w:pPr>
            <w:r>
              <w:rPr>
                <w:rFonts w:ascii="Arial" w:hAnsi="Arial" w:cs="Arial"/>
                <w:color w:val="000000"/>
                <w:sz w:val="22"/>
                <w:szCs w:val="22"/>
              </w:rPr>
              <w:t>$</w:t>
            </w:r>
            <w:r w:rsidRPr="001E4841">
              <w:rPr>
                <w:rFonts w:ascii="Arial" w:hAnsi="Arial" w:cs="Arial"/>
                <w:color w:val="000000"/>
                <w:sz w:val="22"/>
                <w:szCs w:val="22"/>
              </w:rPr>
              <w:t>912.50</w:t>
            </w:r>
          </w:p>
        </w:tc>
        <w:tc>
          <w:tcPr>
            <w:tcW w:w="938" w:type="dxa"/>
            <w:tcBorders>
              <w:left w:val="single" w:color="auto" w:sz="4" w:space="0"/>
            </w:tcBorders>
          </w:tcPr>
          <w:p w:rsidRPr="006756BC" w:rsidR="002500ED" w:rsidP="002500ED" w:rsidRDefault="002500ED" w14:paraId="0C38723D" w14:textId="48E08D0B">
            <w:pPr>
              <w:jc w:val="center"/>
              <w:rPr>
                <w:color w:val="000000"/>
              </w:rPr>
            </w:pPr>
            <w:r>
              <w:rPr>
                <w:color w:val="000000"/>
              </w:rPr>
              <w:t>2.50</w:t>
            </w:r>
          </w:p>
        </w:tc>
        <w:tc>
          <w:tcPr>
            <w:tcW w:w="1146" w:type="dxa"/>
          </w:tcPr>
          <w:p w:rsidRPr="006756BC" w:rsidR="002500ED" w:rsidP="002500ED" w:rsidRDefault="002500ED" w14:paraId="6C834561" w14:textId="635E6BDB">
            <w:pPr>
              <w:jc w:val="center"/>
              <w:rPr>
                <w:color w:val="000000"/>
              </w:rPr>
            </w:pPr>
            <w:r>
              <w:rPr>
                <w:color w:val="000000"/>
              </w:rPr>
              <w:t>$365.00</w:t>
            </w:r>
            <w:r w:rsidR="00C44D77">
              <w:rPr>
                <w:color w:val="000000"/>
              </w:rPr>
              <w:t xml:space="preserve"> [4]</w:t>
            </w:r>
          </w:p>
        </w:tc>
        <w:tc>
          <w:tcPr>
            <w:tcW w:w="1881" w:type="dxa"/>
          </w:tcPr>
          <w:p w:rsidRPr="006756BC" w:rsidR="002500ED" w:rsidP="002500ED" w:rsidRDefault="002500ED" w14:paraId="0309956D" w14:textId="4A16B5D0">
            <w:pPr>
              <w:jc w:val="right"/>
              <w:rPr>
                <w:color w:val="000000"/>
              </w:rPr>
            </w:pPr>
            <w:r w:rsidRPr="00C4140D">
              <w:t xml:space="preserve">$912.50 </w:t>
            </w:r>
          </w:p>
        </w:tc>
      </w:tr>
      <w:tr w:rsidRPr="006756BC" w:rsidR="002500ED" w:rsidTr="001B587E" w14:paraId="1E9E3408" w14:textId="77777777">
        <w:trPr>
          <w:jc w:val="center"/>
        </w:trPr>
        <w:tc>
          <w:tcPr>
            <w:tcW w:w="1525" w:type="dxa"/>
          </w:tcPr>
          <w:p w:rsidRPr="001E4841" w:rsidR="002500ED" w:rsidP="002500ED" w:rsidRDefault="002500ED" w14:paraId="5EAA045C" w14:textId="28A51506">
            <w:pPr>
              <w:jc w:val="center"/>
              <w:rPr>
                <w:rFonts w:ascii="Arial" w:hAnsi="Arial" w:cs="Arial"/>
                <w:color w:val="000000"/>
                <w:sz w:val="22"/>
                <w:szCs w:val="22"/>
              </w:rPr>
            </w:pPr>
            <w:r w:rsidRPr="001E4841">
              <w:rPr>
                <w:rFonts w:ascii="Arial" w:hAnsi="Arial" w:cs="Arial"/>
                <w:color w:val="000000"/>
                <w:sz w:val="22"/>
                <w:szCs w:val="22"/>
              </w:rPr>
              <w:t>Jennifer Dowdell, TURN Energy Policy Expert</w:t>
            </w:r>
          </w:p>
        </w:tc>
        <w:tc>
          <w:tcPr>
            <w:tcW w:w="810" w:type="dxa"/>
          </w:tcPr>
          <w:p w:rsidRPr="001E4841" w:rsidR="002500ED" w:rsidP="002500ED" w:rsidRDefault="002500ED" w14:paraId="3B7614DD" w14:textId="602445F8">
            <w:pPr>
              <w:jc w:val="center"/>
              <w:rPr>
                <w:rFonts w:ascii="Arial" w:hAnsi="Arial" w:cs="Arial"/>
                <w:color w:val="000000"/>
                <w:sz w:val="22"/>
                <w:szCs w:val="22"/>
              </w:rPr>
            </w:pPr>
            <w:r w:rsidRPr="001E4841">
              <w:rPr>
                <w:rFonts w:ascii="Arial" w:hAnsi="Arial" w:cs="Arial"/>
                <w:color w:val="000000"/>
                <w:sz w:val="22"/>
                <w:szCs w:val="22"/>
              </w:rPr>
              <w:t>2022</w:t>
            </w:r>
          </w:p>
        </w:tc>
        <w:tc>
          <w:tcPr>
            <w:tcW w:w="900" w:type="dxa"/>
            <w:gridSpan w:val="2"/>
          </w:tcPr>
          <w:p w:rsidRPr="001E4841" w:rsidR="002500ED" w:rsidP="002500ED" w:rsidRDefault="002500ED" w14:paraId="3C0B3B27" w14:textId="41CCBBD7">
            <w:pPr>
              <w:jc w:val="center"/>
              <w:rPr>
                <w:rFonts w:ascii="Arial" w:hAnsi="Arial" w:cs="Arial"/>
                <w:color w:val="000000"/>
                <w:sz w:val="22"/>
                <w:szCs w:val="22"/>
              </w:rPr>
            </w:pPr>
            <w:r w:rsidRPr="001E4841">
              <w:rPr>
                <w:rFonts w:ascii="Arial" w:hAnsi="Arial" w:cs="Arial"/>
                <w:color w:val="000000"/>
                <w:sz w:val="22"/>
                <w:szCs w:val="22"/>
              </w:rPr>
              <w:t>4.00</w:t>
            </w:r>
          </w:p>
        </w:tc>
        <w:tc>
          <w:tcPr>
            <w:tcW w:w="1080" w:type="dxa"/>
          </w:tcPr>
          <w:p w:rsidRPr="001E4841" w:rsidR="002500ED" w:rsidP="002500ED" w:rsidRDefault="002500ED" w14:paraId="15E90AFB" w14:textId="28751846">
            <w:pPr>
              <w:jc w:val="center"/>
              <w:rPr>
                <w:rFonts w:ascii="Arial" w:hAnsi="Arial" w:cs="Arial"/>
                <w:color w:val="000000"/>
                <w:sz w:val="22"/>
                <w:szCs w:val="22"/>
              </w:rPr>
            </w:pPr>
            <w:r w:rsidRPr="001E4841">
              <w:rPr>
                <w:rFonts w:ascii="Arial" w:hAnsi="Arial" w:cs="Arial"/>
                <w:color w:val="000000"/>
                <w:sz w:val="22"/>
                <w:szCs w:val="22"/>
              </w:rPr>
              <w:t>$415.00</w:t>
            </w:r>
          </w:p>
        </w:tc>
        <w:tc>
          <w:tcPr>
            <w:tcW w:w="1530" w:type="dxa"/>
            <w:gridSpan w:val="2"/>
            <w:tcBorders>
              <w:right w:val="single" w:color="auto" w:sz="4" w:space="0"/>
            </w:tcBorders>
          </w:tcPr>
          <w:p w:rsidRPr="001E4841" w:rsidR="002500ED" w:rsidP="002500ED" w:rsidRDefault="002500ED" w14:paraId="2857016C" w14:textId="2F30EF80">
            <w:pPr>
              <w:jc w:val="center"/>
              <w:rPr>
                <w:rFonts w:ascii="Arial" w:hAnsi="Arial" w:cs="Arial"/>
                <w:color w:val="000000"/>
                <w:sz w:val="22"/>
                <w:szCs w:val="22"/>
              </w:rPr>
            </w:pPr>
            <w:r w:rsidRPr="001E4841">
              <w:rPr>
                <w:rFonts w:ascii="Arial" w:hAnsi="Arial" w:cs="Arial"/>
                <w:color w:val="000000"/>
                <w:sz w:val="22"/>
                <w:szCs w:val="22"/>
              </w:rPr>
              <w:t>D.23-04-022</w:t>
            </w:r>
          </w:p>
        </w:tc>
        <w:tc>
          <w:tcPr>
            <w:tcW w:w="1350" w:type="dxa"/>
            <w:gridSpan w:val="3"/>
            <w:tcBorders>
              <w:top w:val="single" w:color="auto" w:sz="4" w:space="0"/>
              <w:left w:val="single" w:color="auto" w:sz="4" w:space="0"/>
              <w:bottom w:val="single" w:color="auto" w:sz="4" w:space="0"/>
              <w:right w:val="single" w:color="auto" w:sz="24" w:space="0"/>
            </w:tcBorders>
          </w:tcPr>
          <w:p w:rsidRPr="001E4841" w:rsidR="002500ED" w:rsidP="002500ED" w:rsidRDefault="002500ED" w14:paraId="2CDE5597" w14:textId="6AF5A550">
            <w:pPr>
              <w:jc w:val="right"/>
              <w:rPr>
                <w:rFonts w:ascii="Arial" w:hAnsi="Arial" w:cs="Arial"/>
                <w:color w:val="000000"/>
                <w:sz w:val="22"/>
                <w:szCs w:val="22"/>
              </w:rPr>
            </w:pPr>
            <w:r>
              <w:rPr>
                <w:rFonts w:ascii="Arial" w:hAnsi="Arial" w:cs="Arial"/>
                <w:color w:val="000000"/>
                <w:sz w:val="22"/>
                <w:szCs w:val="22"/>
              </w:rPr>
              <w:t>$</w:t>
            </w:r>
            <w:r w:rsidRPr="001E4841">
              <w:rPr>
                <w:rFonts w:ascii="Arial" w:hAnsi="Arial" w:cs="Arial"/>
                <w:color w:val="000000"/>
                <w:sz w:val="22"/>
                <w:szCs w:val="22"/>
              </w:rPr>
              <w:t>1,660.00</w:t>
            </w:r>
          </w:p>
        </w:tc>
        <w:tc>
          <w:tcPr>
            <w:tcW w:w="938" w:type="dxa"/>
            <w:tcBorders>
              <w:left w:val="single" w:color="auto" w:sz="4" w:space="0"/>
            </w:tcBorders>
          </w:tcPr>
          <w:p w:rsidRPr="006756BC" w:rsidR="002500ED" w:rsidP="002500ED" w:rsidRDefault="002500ED" w14:paraId="68865506" w14:textId="6BBE055D">
            <w:pPr>
              <w:jc w:val="center"/>
              <w:rPr>
                <w:color w:val="000000"/>
              </w:rPr>
            </w:pPr>
            <w:r>
              <w:rPr>
                <w:color w:val="000000"/>
              </w:rPr>
              <w:t>4.00</w:t>
            </w:r>
          </w:p>
        </w:tc>
        <w:tc>
          <w:tcPr>
            <w:tcW w:w="1146" w:type="dxa"/>
          </w:tcPr>
          <w:p w:rsidRPr="006756BC" w:rsidR="002500ED" w:rsidP="002500ED" w:rsidRDefault="002500ED" w14:paraId="0478B8DA" w14:textId="06344395">
            <w:pPr>
              <w:jc w:val="center"/>
              <w:rPr>
                <w:color w:val="000000"/>
              </w:rPr>
            </w:pPr>
            <w:r>
              <w:rPr>
                <w:color w:val="000000"/>
              </w:rPr>
              <w:t>$415.00</w:t>
            </w:r>
          </w:p>
        </w:tc>
        <w:tc>
          <w:tcPr>
            <w:tcW w:w="1881" w:type="dxa"/>
          </w:tcPr>
          <w:p w:rsidRPr="006756BC" w:rsidR="002500ED" w:rsidP="002500ED" w:rsidRDefault="002500ED" w14:paraId="2658255D" w14:textId="6449D1F0">
            <w:pPr>
              <w:jc w:val="right"/>
              <w:rPr>
                <w:color w:val="000000"/>
              </w:rPr>
            </w:pPr>
            <w:r w:rsidRPr="00C4140D">
              <w:t xml:space="preserve">$1,660.00 </w:t>
            </w:r>
          </w:p>
        </w:tc>
      </w:tr>
      <w:tr w:rsidRPr="006756BC" w:rsidR="002500ED" w:rsidTr="001B587E" w14:paraId="32F751B9" w14:textId="77777777">
        <w:trPr>
          <w:jc w:val="center"/>
        </w:trPr>
        <w:tc>
          <w:tcPr>
            <w:tcW w:w="1525" w:type="dxa"/>
          </w:tcPr>
          <w:p w:rsidRPr="001E4841" w:rsidR="002500ED" w:rsidP="002500ED" w:rsidRDefault="002500ED" w14:paraId="55D4EE1F" w14:textId="347B1969">
            <w:pPr>
              <w:jc w:val="center"/>
              <w:rPr>
                <w:rFonts w:ascii="Arial" w:hAnsi="Arial" w:cs="Arial"/>
                <w:color w:val="000000"/>
                <w:sz w:val="22"/>
                <w:szCs w:val="22"/>
              </w:rPr>
            </w:pPr>
            <w:r w:rsidRPr="001E4841">
              <w:rPr>
                <w:rFonts w:ascii="Arial" w:hAnsi="Arial" w:cs="Arial"/>
                <w:color w:val="000000"/>
                <w:sz w:val="22"/>
                <w:szCs w:val="22"/>
              </w:rPr>
              <w:t xml:space="preserve">Marcel Hawiger, </w:t>
            </w:r>
            <w:r w:rsidRPr="001E4841">
              <w:rPr>
                <w:rFonts w:ascii="Arial" w:hAnsi="Arial" w:cs="Arial"/>
                <w:color w:val="000000"/>
                <w:sz w:val="22"/>
                <w:szCs w:val="22"/>
              </w:rPr>
              <w:lastRenderedPageBreak/>
              <w:t>TURN Attorney</w:t>
            </w:r>
          </w:p>
        </w:tc>
        <w:tc>
          <w:tcPr>
            <w:tcW w:w="810" w:type="dxa"/>
          </w:tcPr>
          <w:p w:rsidRPr="001E4841" w:rsidR="002500ED" w:rsidP="002500ED" w:rsidRDefault="002500ED" w14:paraId="64C00FEC" w14:textId="718A99F9">
            <w:pPr>
              <w:jc w:val="center"/>
              <w:rPr>
                <w:rFonts w:ascii="Arial" w:hAnsi="Arial" w:cs="Arial"/>
                <w:color w:val="000000"/>
                <w:sz w:val="22"/>
                <w:szCs w:val="22"/>
              </w:rPr>
            </w:pPr>
            <w:r w:rsidRPr="001E4841">
              <w:rPr>
                <w:rFonts w:ascii="Arial" w:hAnsi="Arial" w:cs="Arial"/>
                <w:color w:val="000000"/>
                <w:sz w:val="22"/>
                <w:szCs w:val="22"/>
              </w:rPr>
              <w:lastRenderedPageBreak/>
              <w:t>2022</w:t>
            </w:r>
          </w:p>
        </w:tc>
        <w:tc>
          <w:tcPr>
            <w:tcW w:w="900" w:type="dxa"/>
            <w:gridSpan w:val="2"/>
          </w:tcPr>
          <w:p w:rsidRPr="001E4841" w:rsidR="002500ED" w:rsidP="002500ED" w:rsidRDefault="002500ED" w14:paraId="372FC9D2" w14:textId="7E7E7DBE">
            <w:pPr>
              <w:jc w:val="center"/>
              <w:rPr>
                <w:rFonts w:ascii="Arial" w:hAnsi="Arial" w:cs="Arial"/>
                <w:color w:val="000000"/>
                <w:sz w:val="22"/>
                <w:szCs w:val="22"/>
              </w:rPr>
            </w:pPr>
            <w:r w:rsidRPr="001E4841">
              <w:rPr>
                <w:rFonts w:ascii="Arial" w:hAnsi="Arial" w:cs="Arial"/>
                <w:color w:val="000000"/>
                <w:sz w:val="22"/>
                <w:szCs w:val="22"/>
              </w:rPr>
              <w:t>20.25</w:t>
            </w:r>
          </w:p>
        </w:tc>
        <w:tc>
          <w:tcPr>
            <w:tcW w:w="1080" w:type="dxa"/>
          </w:tcPr>
          <w:p w:rsidRPr="001E4841" w:rsidR="002500ED" w:rsidP="002500ED" w:rsidRDefault="002500ED" w14:paraId="3F5E4525" w14:textId="1184F3A1">
            <w:pPr>
              <w:jc w:val="center"/>
              <w:rPr>
                <w:rFonts w:ascii="Arial" w:hAnsi="Arial" w:cs="Arial"/>
                <w:color w:val="000000"/>
                <w:sz w:val="22"/>
                <w:szCs w:val="22"/>
              </w:rPr>
            </w:pPr>
            <w:r w:rsidRPr="001E4841">
              <w:rPr>
                <w:rFonts w:ascii="Arial" w:hAnsi="Arial" w:cs="Arial"/>
                <w:color w:val="000000"/>
                <w:sz w:val="22"/>
                <w:szCs w:val="22"/>
              </w:rPr>
              <w:t>$670.00</w:t>
            </w:r>
          </w:p>
        </w:tc>
        <w:tc>
          <w:tcPr>
            <w:tcW w:w="1530" w:type="dxa"/>
            <w:gridSpan w:val="2"/>
            <w:tcBorders>
              <w:right w:val="single" w:color="auto" w:sz="4" w:space="0"/>
            </w:tcBorders>
          </w:tcPr>
          <w:p w:rsidRPr="001E4841" w:rsidR="002500ED" w:rsidP="002500ED" w:rsidRDefault="002500ED" w14:paraId="1E8F7DB3" w14:textId="34833471">
            <w:pPr>
              <w:jc w:val="center"/>
              <w:rPr>
                <w:rFonts w:ascii="Arial" w:hAnsi="Arial" w:cs="Arial"/>
                <w:color w:val="000000"/>
                <w:sz w:val="22"/>
                <w:szCs w:val="22"/>
              </w:rPr>
            </w:pPr>
            <w:r w:rsidRPr="001E4841">
              <w:rPr>
                <w:rFonts w:ascii="Arial" w:hAnsi="Arial" w:cs="Arial"/>
                <w:color w:val="000000"/>
                <w:sz w:val="22"/>
                <w:szCs w:val="22"/>
              </w:rPr>
              <w:t>D.23-03-042</w:t>
            </w:r>
          </w:p>
        </w:tc>
        <w:tc>
          <w:tcPr>
            <w:tcW w:w="1350" w:type="dxa"/>
            <w:gridSpan w:val="3"/>
            <w:tcBorders>
              <w:top w:val="single" w:color="auto" w:sz="4" w:space="0"/>
              <w:left w:val="single" w:color="auto" w:sz="4" w:space="0"/>
              <w:bottom w:val="single" w:color="auto" w:sz="4" w:space="0"/>
              <w:right w:val="single" w:color="auto" w:sz="24" w:space="0"/>
            </w:tcBorders>
          </w:tcPr>
          <w:p w:rsidRPr="001E4841" w:rsidR="002500ED" w:rsidP="002500ED" w:rsidRDefault="002500ED" w14:paraId="01D60D07" w14:textId="6CD3E75E">
            <w:pPr>
              <w:jc w:val="right"/>
              <w:rPr>
                <w:rFonts w:ascii="Arial" w:hAnsi="Arial" w:cs="Arial"/>
                <w:color w:val="000000"/>
                <w:sz w:val="22"/>
                <w:szCs w:val="22"/>
              </w:rPr>
            </w:pPr>
            <w:r>
              <w:rPr>
                <w:rFonts w:ascii="Arial" w:hAnsi="Arial" w:cs="Arial"/>
                <w:color w:val="000000"/>
                <w:sz w:val="22"/>
                <w:szCs w:val="22"/>
              </w:rPr>
              <w:t>$</w:t>
            </w:r>
            <w:r w:rsidRPr="001E4841">
              <w:rPr>
                <w:rFonts w:ascii="Arial" w:hAnsi="Arial" w:cs="Arial"/>
                <w:color w:val="000000"/>
                <w:sz w:val="22"/>
                <w:szCs w:val="22"/>
              </w:rPr>
              <w:t>13,567.50</w:t>
            </w:r>
          </w:p>
        </w:tc>
        <w:tc>
          <w:tcPr>
            <w:tcW w:w="938" w:type="dxa"/>
            <w:tcBorders>
              <w:left w:val="single" w:color="auto" w:sz="4" w:space="0"/>
            </w:tcBorders>
          </w:tcPr>
          <w:p w:rsidRPr="006756BC" w:rsidR="002500ED" w:rsidP="002500ED" w:rsidRDefault="002500ED" w14:paraId="0BBE8696" w14:textId="16F7C1C4">
            <w:pPr>
              <w:jc w:val="center"/>
              <w:rPr>
                <w:color w:val="000000"/>
              </w:rPr>
            </w:pPr>
            <w:r>
              <w:rPr>
                <w:color w:val="000000"/>
              </w:rPr>
              <w:t>20.25</w:t>
            </w:r>
          </w:p>
        </w:tc>
        <w:tc>
          <w:tcPr>
            <w:tcW w:w="1146" w:type="dxa"/>
          </w:tcPr>
          <w:p w:rsidRPr="006756BC" w:rsidR="002500ED" w:rsidP="002500ED" w:rsidRDefault="002500ED" w14:paraId="273DCF16" w14:textId="1990DC21">
            <w:pPr>
              <w:jc w:val="center"/>
              <w:rPr>
                <w:color w:val="000000"/>
              </w:rPr>
            </w:pPr>
            <w:r>
              <w:rPr>
                <w:color w:val="000000"/>
              </w:rPr>
              <w:t>$670.00</w:t>
            </w:r>
          </w:p>
        </w:tc>
        <w:tc>
          <w:tcPr>
            <w:tcW w:w="1881" w:type="dxa"/>
          </w:tcPr>
          <w:p w:rsidRPr="006756BC" w:rsidR="002500ED" w:rsidP="002500ED" w:rsidRDefault="002500ED" w14:paraId="093E3802" w14:textId="7F07DB2C">
            <w:pPr>
              <w:jc w:val="right"/>
              <w:rPr>
                <w:color w:val="000000"/>
              </w:rPr>
            </w:pPr>
            <w:r w:rsidRPr="00C4140D">
              <w:t xml:space="preserve">$13,567.50 </w:t>
            </w:r>
          </w:p>
        </w:tc>
      </w:tr>
      <w:tr w:rsidRPr="006756BC" w:rsidR="002500ED" w:rsidTr="001B587E" w14:paraId="5E20E01E" w14:textId="77777777">
        <w:trPr>
          <w:jc w:val="center"/>
        </w:trPr>
        <w:tc>
          <w:tcPr>
            <w:tcW w:w="1525" w:type="dxa"/>
          </w:tcPr>
          <w:p w:rsidRPr="001E4841" w:rsidR="002500ED" w:rsidP="002500ED" w:rsidRDefault="002500ED" w14:paraId="3E5E1798" w14:textId="427AB6A2">
            <w:pPr>
              <w:jc w:val="center"/>
              <w:rPr>
                <w:rFonts w:ascii="Arial" w:hAnsi="Arial" w:cs="Arial"/>
                <w:color w:val="000000"/>
                <w:sz w:val="22"/>
                <w:szCs w:val="22"/>
              </w:rPr>
            </w:pPr>
            <w:r w:rsidRPr="001E4841">
              <w:rPr>
                <w:rFonts w:ascii="Arial" w:hAnsi="Arial" w:cs="Arial"/>
                <w:color w:val="000000"/>
                <w:sz w:val="22"/>
                <w:szCs w:val="22"/>
              </w:rPr>
              <w:t>Marcel Hawiger, TURN Attorney</w:t>
            </w:r>
          </w:p>
        </w:tc>
        <w:tc>
          <w:tcPr>
            <w:tcW w:w="810" w:type="dxa"/>
          </w:tcPr>
          <w:p w:rsidRPr="001E4841" w:rsidR="002500ED" w:rsidP="002500ED" w:rsidRDefault="002500ED" w14:paraId="3ABC07D2" w14:textId="78BD3F5D">
            <w:pPr>
              <w:jc w:val="center"/>
              <w:rPr>
                <w:rFonts w:ascii="Arial" w:hAnsi="Arial" w:cs="Arial"/>
                <w:color w:val="000000"/>
                <w:sz w:val="22"/>
                <w:szCs w:val="22"/>
              </w:rPr>
            </w:pPr>
            <w:r w:rsidRPr="001E4841">
              <w:rPr>
                <w:rFonts w:ascii="Arial" w:hAnsi="Arial" w:cs="Arial"/>
                <w:color w:val="000000"/>
                <w:sz w:val="22"/>
                <w:szCs w:val="22"/>
              </w:rPr>
              <w:t>2023</w:t>
            </w:r>
          </w:p>
        </w:tc>
        <w:tc>
          <w:tcPr>
            <w:tcW w:w="900" w:type="dxa"/>
            <w:gridSpan w:val="2"/>
          </w:tcPr>
          <w:p w:rsidRPr="001E4841" w:rsidR="002500ED" w:rsidP="002500ED" w:rsidRDefault="002500ED" w14:paraId="5A84E8D1" w14:textId="67B4A1B3">
            <w:pPr>
              <w:jc w:val="center"/>
              <w:rPr>
                <w:rFonts w:ascii="Arial" w:hAnsi="Arial" w:cs="Arial"/>
                <w:color w:val="000000"/>
                <w:sz w:val="22"/>
                <w:szCs w:val="22"/>
              </w:rPr>
            </w:pPr>
            <w:r w:rsidRPr="001E4841">
              <w:rPr>
                <w:rFonts w:ascii="Arial" w:hAnsi="Arial" w:cs="Arial"/>
                <w:color w:val="000000"/>
                <w:sz w:val="22"/>
                <w:szCs w:val="22"/>
              </w:rPr>
              <w:t>35.50</w:t>
            </w:r>
          </w:p>
        </w:tc>
        <w:tc>
          <w:tcPr>
            <w:tcW w:w="1080" w:type="dxa"/>
          </w:tcPr>
          <w:p w:rsidRPr="001E4841" w:rsidR="002500ED" w:rsidP="002500ED" w:rsidRDefault="002500ED" w14:paraId="37E4787C" w14:textId="753C2BEF">
            <w:pPr>
              <w:jc w:val="center"/>
              <w:rPr>
                <w:rFonts w:ascii="Arial" w:hAnsi="Arial" w:cs="Arial"/>
                <w:color w:val="000000"/>
                <w:sz w:val="22"/>
                <w:szCs w:val="22"/>
              </w:rPr>
            </w:pPr>
            <w:r w:rsidRPr="001E4841">
              <w:rPr>
                <w:rFonts w:ascii="Arial" w:hAnsi="Arial" w:cs="Arial"/>
                <w:color w:val="000000"/>
                <w:sz w:val="22"/>
                <w:szCs w:val="22"/>
              </w:rPr>
              <w:t>$735.00</w:t>
            </w:r>
          </w:p>
        </w:tc>
        <w:tc>
          <w:tcPr>
            <w:tcW w:w="1530" w:type="dxa"/>
            <w:gridSpan w:val="2"/>
            <w:tcBorders>
              <w:right w:val="single" w:color="auto" w:sz="4" w:space="0"/>
            </w:tcBorders>
          </w:tcPr>
          <w:p w:rsidRPr="001E4841" w:rsidR="002500ED" w:rsidP="002500ED" w:rsidRDefault="002500ED" w14:paraId="52EF0FBA" w14:textId="206E6EC1">
            <w:pPr>
              <w:jc w:val="center"/>
              <w:rPr>
                <w:rFonts w:ascii="Arial" w:hAnsi="Arial" w:cs="Arial"/>
                <w:color w:val="000000"/>
                <w:sz w:val="22"/>
                <w:szCs w:val="22"/>
              </w:rPr>
            </w:pPr>
            <w:r w:rsidRPr="001E4841">
              <w:rPr>
                <w:rFonts w:ascii="Arial" w:hAnsi="Arial" w:cs="Arial"/>
                <w:color w:val="000000"/>
                <w:sz w:val="22"/>
                <w:szCs w:val="22"/>
              </w:rPr>
              <w:t>D.23-10-017</w:t>
            </w:r>
          </w:p>
        </w:tc>
        <w:tc>
          <w:tcPr>
            <w:tcW w:w="1350" w:type="dxa"/>
            <w:gridSpan w:val="3"/>
            <w:tcBorders>
              <w:top w:val="single" w:color="auto" w:sz="4" w:space="0"/>
              <w:left w:val="single" w:color="auto" w:sz="4" w:space="0"/>
              <w:bottom w:val="single" w:color="auto" w:sz="4" w:space="0"/>
              <w:right w:val="single" w:color="auto" w:sz="24" w:space="0"/>
            </w:tcBorders>
          </w:tcPr>
          <w:p w:rsidRPr="001E4841" w:rsidR="002500ED" w:rsidP="002500ED" w:rsidRDefault="002500ED" w14:paraId="383B34E1" w14:textId="29747C99">
            <w:pPr>
              <w:jc w:val="right"/>
              <w:rPr>
                <w:rFonts w:ascii="Arial" w:hAnsi="Arial" w:cs="Arial"/>
                <w:color w:val="000000"/>
                <w:sz w:val="22"/>
                <w:szCs w:val="22"/>
              </w:rPr>
            </w:pPr>
            <w:r>
              <w:rPr>
                <w:rFonts w:ascii="Arial" w:hAnsi="Arial" w:cs="Arial"/>
                <w:color w:val="000000"/>
                <w:sz w:val="22"/>
                <w:szCs w:val="22"/>
              </w:rPr>
              <w:t>$</w:t>
            </w:r>
            <w:r w:rsidRPr="001E4841">
              <w:rPr>
                <w:rFonts w:ascii="Arial" w:hAnsi="Arial" w:cs="Arial"/>
                <w:color w:val="000000"/>
                <w:sz w:val="22"/>
                <w:szCs w:val="22"/>
              </w:rPr>
              <w:t>26,092.50</w:t>
            </w:r>
          </w:p>
        </w:tc>
        <w:tc>
          <w:tcPr>
            <w:tcW w:w="938" w:type="dxa"/>
            <w:tcBorders>
              <w:left w:val="single" w:color="auto" w:sz="4" w:space="0"/>
            </w:tcBorders>
          </w:tcPr>
          <w:p w:rsidRPr="006756BC" w:rsidR="002500ED" w:rsidP="002500ED" w:rsidRDefault="002500ED" w14:paraId="52685B34" w14:textId="57C3DBC3">
            <w:pPr>
              <w:jc w:val="center"/>
              <w:rPr>
                <w:color w:val="000000"/>
              </w:rPr>
            </w:pPr>
            <w:r>
              <w:rPr>
                <w:color w:val="000000"/>
              </w:rPr>
              <w:t>35.50</w:t>
            </w:r>
          </w:p>
        </w:tc>
        <w:tc>
          <w:tcPr>
            <w:tcW w:w="1146" w:type="dxa"/>
          </w:tcPr>
          <w:p w:rsidRPr="006756BC" w:rsidR="002500ED" w:rsidP="002500ED" w:rsidRDefault="002500ED" w14:paraId="087FADF7" w14:textId="5D2C9419">
            <w:pPr>
              <w:jc w:val="center"/>
              <w:rPr>
                <w:color w:val="000000"/>
              </w:rPr>
            </w:pPr>
            <w:r>
              <w:rPr>
                <w:color w:val="000000"/>
              </w:rPr>
              <w:t>$735.00</w:t>
            </w:r>
          </w:p>
        </w:tc>
        <w:tc>
          <w:tcPr>
            <w:tcW w:w="1881" w:type="dxa"/>
          </w:tcPr>
          <w:p w:rsidRPr="006756BC" w:rsidR="002500ED" w:rsidP="002500ED" w:rsidRDefault="002500ED" w14:paraId="25418891" w14:textId="6B7011E8">
            <w:pPr>
              <w:jc w:val="right"/>
              <w:rPr>
                <w:color w:val="000000"/>
              </w:rPr>
            </w:pPr>
            <w:r w:rsidRPr="00C4140D">
              <w:t xml:space="preserve">$26,092.50 </w:t>
            </w:r>
          </w:p>
        </w:tc>
      </w:tr>
      <w:tr w:rsidRPr="006756BC" w:rsidR="002500ED" w:rsidTr="001B587E" w14:paraId="2C24AD9B" w14:textId="77777777">
        <w:trPr>
          <w:jc w:val="center"/>
        </w:trPr>
        <w:tc>
          <w:tcPr>
            <w:tcW w:w="1525" w:type="dxa"/>
          </w:tcPr>
          <w:p w:rsidRPr="001E4841" w:rsidR="002500ED" w:rsidP="002500ED" w:rsidRDefault="002500ED" w14:paraId="093763A7" w14:textId="3ACBA53B">
            <w:pPr>
              <w:jc w:val="center"/>
              <w:rPr>
                <w:rFonts w:ascii="Arial" w:hAnsi="Arial" w:cs="Arial"/>
                <w:color w:val="000000"/>
                <w:sz w:val="22"/>
                <w:szCs w:val="22"/>
              </w:rPr>
            </w:pPr>
            <w:r w:rsidRPr="001E4841">
              <w:rPr>
                <w:rFonts w:ascii="Arial" w:hAnsi="Arial" w:cs="Arial"/>
                <w:color w:val="000000"/>
                <w:sz w:val="22"/>
                <w:szCs w:val="22"/>
              </w:rPr>
              <w:t>Consultant - Marcel Hawiger</w:t>
            </w:r>
          </w:p>
        </w:tc>
        <w:tc>
          <w:tcPr>
            <w:tcW w:w="810" w:type="dxa"/>
          </w:tcPr>
          <w:p w:rsidRPr="001E4841" w:rsidR="002500ED" w:rsidP="002500ED" w:rsidRDefault="002500ED" w14:paraId="2CF6BB30" w14:textId="318E904B">
            <w:pPr>
              <w:jc w:val="center"/>
              <w:rPr>
                <w:rFonts w:ascii="Arial" w:hAnsi="Arial" w:cs="Arial"/>
                <w:color w:val="000000"/>
                <w:sz w:val="22"/>
                <w:szCs w:val="22"/>
              </w:rPr>
            </w:pPr>
            <w:r w:rsidRPr="001E4841">
              <w:rPr>
                <w:rFonts w:ascii="Arial" w:hAnsi="Arial" w:cs="Arial"/>
                <w:color w:val="000000"/>
                <w:sz w:val="22"/>
                <w:szCs w:val="22"/>
              </w:rPr>
              <w:t>2026</w:t>
            </w:r>
          </w:p>
        </w:tc>
        <w:tc>
          <w:tcPr>
            <w:tcW w:w="900" w:type="dxa"/>
            <w:gridSpan w:val="2"/>
          </w:tcPr>
          <w:p w:rsidRPr="001E4841" w:rsidR="002500ED" w:rsidP="002500ED" w:rsidRDefault="002500ED" w14:paraId="1077D8C9" w14:textId="0635C925">
            <w:pPr>
              <w:jc w:val="center"/>
              <w:rPr>
                <w:rFonts w:ascii="Arial" w:hAnsi="Arial" w:cs="Arial"/>
                <w:color w:val="000000"/>
                <w:sz w:val="22"/>
                <w:szCs w:val="22"/>
              </w:rPr>
            </w:pPr>
            <w:r w:rsidRPr="001E4841">
              <w:rPr>
                <w:rFonts w:ascii="Arial" w:hAnsi="Arial" w:cs="Arial"/>
                <w:color w:val="000000"/>
                <w:sz w:val="22"/>
                <w:szCs w:val="22"/>
              </w:rPr>
              <w:t>1.25</w:t>
            </w:r>
          </w:p>
        </w:tc>
        <w:tc>
          <w:tcPr>
            <w:tcW w:w="1080" w:type="dxa"/>
          </w:tcPr>
          <w:p w:rsidRPr="001E4841" w:rsidR="002500ED" w:rsidP="002500ED" w:rsidRDefault="002500ED" w14:paraId="60C46146" w14:textId="1AD65E14">
            <w:pPr>
              <w:jc w:val="center"/>
              <w:rPr>
                <w:rFonts w:ascii="Arial" w:hAnsi="Arial" w:cs="Arial"/>
                <w:color w:val="000000"/>
                <w:sz w:val="22"/>
                <w:szCs w:val="22"/>
              </w:rPr>
            </w:pPr>
            <w:r w:rsidRPr="001E4841">
              <w:rPr>
                <w:rFonts w:ascii="Arial" w:hAnsi="Arial" w:cs="Arial"/>
                <w:color w:val="000000"/>
                <w:sz w:val="22"/>
                <w:szCs w:val="22"/>
              </w:rPr>
              <w:t>$250.00</w:t>
            </w:r>
          </w:p>
        </w:tc>
        <w:tc>
          <w:tcPr>
            <w:tcW w:w="1530" w:type="dxa"/>
            <w:gridSpan w:val="2"/>
            <w:tcBorders>
              <w:right w:val="single" w:color="auto" w:sz="4" w:space="0"/>
            </w:tcBorders>
          </w:tcPr>
          <w:p w:rsidRPr="001E4841" w:rsidR="002500ED" w:rsidP="002500ED" w:rsidRDefault="002500ED" w14:paraId="68D4947E" w14:textId="2CE3E64E">
            <w:pPr>
              <w:jc w:val="center"/>
              <w:rPr>
                <w:rFonts w:ascii="Arial" w:hAnsi="Arial" w:cs="Arial"/>
                <w:color w:val="000000"/>
                <w:sz w:val="22"/>
                <w:szCs w:val="22"/>
              </w:rPr>
            </w:pPr>
            <w:r w:rsidRPr="001E4841">
              <w:rPr>
                <w:rFonts w:ascii="Arial" w:hAnsi="Arial" w:cs="Arial"/>
                <w:color w:val="000000"/>
                <w:sz w:val="22"/>
                <w:szCs w:val="22"/>
              </w:rPr>
              <w:t>Consultant billed rate.  See Comment #2</w:t>
            </w:r>
          </w:p>
        </w:tc>
        <w:tc>
          <w:tcPr>
            <w:tcW w:w="1350" w:type="dxa"/>
            <w:gridSpan w:val="3"/>
            <w:tcBorders>
              <w:top w:val="single" w:color="auto" w:sz="4" w:space="0"/>
              <w:left w:val="single" w:color="auto" w:sz="4" w:space="0"/>
              <w:bottom w:val="single" w:color="auto" w:sz="4" w:space="0"/>
              <w:right w:val="single" w:color="auto" w:sz="24" w:space="0"/>
            </w:tcBorders>
          </w:tcPr>
          <w:p w:rsidRPr="001E4841" w:rsidR="002500ED" w:rsidP="002500ED" w:rsidRDefault="002500ED" w14:paraId="3E518C5A" w14:textId="4F667A73">
            <w:pPr>
              <w:jc w:val="right"/>
              <w:rPr>
                <w:rFonts w:ascii="Arial" w:hAnsi="Arial" w:cs="Arial"/>
                <w:color w:val="000000"/>
                <w:sz w:val="22"/>
                <w:szCs w:val="22"/>
              </w:rPr>
            </w:pPr>
            <w:r>
              <w:rPr>
                <w:rFonts w:ascii="Arial" w:hAnsi="Arial" w:cs="Arial"/>
                <w:color w:val="000000"/>
                <w:sz w:val="22"/>
                <w:szCs w:val="22"/>
              </w:rPr>
              <w:t>$</w:t>
            </w:r>
            <w:r w:rsidRPr="001E4841">
              <w:rPr>
                <w:rFonts w:ascii="Arial" w:hAnsi="Arial" w:cs="Arial"/>
                <w:color w:val="000000"/>
                <w:sz w:val="22"/>
                <w:szCs w:val="22"/>
              </w:rPr>
              <w:t>312.50</w:t>
            </w:r>
          </w:p>
        </w:tc>
        <w:tc>
          <w:tcPr>
            <w:tcW w:w="938" w:type="dxa"/>
            <w:tcBorders>
              <w:left w:val="single" w:color="auto" w:sz="4" w:space="0"/>
            </w:tcBorders>
          </w:tcPr>
          <w:p w:rsidRPr="006756BC" w:rsidR="002500ED" w:rsidP="002500ED" w:rsidRDefault="002500ED" w14:paraId="598225B8" w14:textId="613B07DE">
            <w:pPr>
              <w:jc w:val="center"/>
              <w:rPr>
                <w:color w:val="000000"/>
              </w:rPr>
            </w:pPr>
            <w:r>
              <w:rPr>
                <w:color w:val="000000"/>
              </w:rPr>
              <w:t>1.25</w:t>
            </w:r>
          </w:p>
        </w:tc>
        <w:tc>
          <w:tcPr>
            <w:tcW w:w="1146" w:type="dxa"/>
          </w:tcPr>
          <w:p w:rsidRPr="006756BC" w:rsidR="002500ED" w:rsidP="002500ED" w:rsidRDefault="002500ED" w14:paraId="70EDF98E" w14:textId="5AF3A754">
            <w:pPr>
              <w:jc w:val="center"/>
              <w:rPr>
                <w:color w:val="000000"/>
              </w:rPr>
            </w:pPr>
            <w:r>
              <w:rPr>
                <w:color w:val="000000"/>
              </w:rPr>
              <w:t>$250.00</w:t>
            </w:r>
            <w:r w:rsidR="00C44D77">
              <w:rPr>
                <w:color w:val="000000"/>
              </w:rPr>
              <w:t xml:space="preserve"> [7</w:t>
            </w:r>
            <w:r w:rsidR="00C06509">
              <w:rPr>
                <w:color w:val="000000"/>
              </w:rPr>
              <w:t>,11</w:t>
            </w:r>
            <w:r w:rsidR="00C44D77">
              <w:rPr>
                <w:color w:val="000000"/>
              </w:rPr>
              <w:t>]</w:t>
            </w:r>
          </w:p>
        </w:tc>
        <w:tc>
          <w:tcPr>
            <w:tcW w:w="1881" w:type="dxa"/>
          </w:tcPr>
          <w:p w:rsidRPr="006756BC" w:rsidR="002500ED" w:rsidP="002500ED" w:rsidRDefault="002500ED" w14:paraId="748BA422" w14:textId="456BD2EA">
            <w:pPr>
              <w:jc w:val="right"/>
              <w:rPr>
                <w:color w:val="000000"/>
              </w:rPr>
            </w:pPr>
            <w:r w:rsidRPr="00C4140D">
              <w:t xml:space="preserve">$312.50 </w:t>
            </w:r>
          </w:p>
        </w:tc>
      </w:tr>
      <w:tr w:rsidRPr="006756BC" w:rsidR="002500ED" w:rsidTr="001B587E" w14:paraId="6FD05357" w14:textId="77777777">
        <w:trPr>
          <w:jc w:val="center"/>
        </w:trPr>
        <w:tc>
          <w:tcPr>
            <w:tcW w:w="1525" w:type="dxa"/>
          </w:tcPr>
          <w:p w:rsidRPr="001E4841" w:rsidR="002500ED" w:rsidP="002500ED" w:rsidRDefault="002500ED" w14:paraId="1060AD37" w14:textId="2F48DE44">
            <w:pPr>
              <w:jc w:val="center"/>
              <w:rPr>
                <w:rFonts w:ascii="Arial" w:hAnsi="Arial" w:cs="Arial"/>
                <w:color w:val="000000"/>
                <w:sz w:val="22"/>
                <w:szCs w:val="22"/>
              </w:rPr>
            </w:pPr>
            <w:r w:rsidRPr="001E4841">
              <w:rPr>
                <w:rFonts w:ascii="Arial" w:hAnsi="Arial" w:cs="Arial"/>
                <w:color w:val="000000"/>
                <w:sz w:val="22"/>
                <w:szCs w:val="22"/>
              </w:rPr>
              <w:t>Marna Paintsil Anning, TURN Attorney</w:t>
            </w:r>
          </w:p>
        </w:tc>
        <w:tc>
          <w:tcPr>
            <w:tcW w:w="810" w:type="dxa"/>
          </w:tcPr>
          <w:p w:rsidRPr="001E4841" w:rsidR="002500ED" w:rsidP="002500ED" w:rsidRDefault="002500ED" w14:paraId="67E1D398" w14:textId="19839C04">
            <w:pPr>
              <w:jc w:val="center"/>
              <w:rPr>
                <w:rFonts w:ascii="Arial" w:hAnsi="Arial" w:cs="Arial"/>
                <w:color w:val="000000"/>
                <w:sz w:val="22"/>
                <w:szCs w:val="22"/>
              </w:rPr>
            </w:pPr>
            <w:r w:rsidRPr="001E4841">
              <w:rPr>
                <w:rFonts w:ascii="Arial" w:hAnsi="Arial" w:cs="Arial"/>
                <w:color w:val="000000"/>
                <w:sz w:val="22"/>
                <w:szCs w:val="22"/>
              </w:rPr>
              <w:t>2022</w:t>
            </w:r>
          </w:p>
        </w:tc>
        <w:tc>
          <w:tcPr>
            <w:tcW w:w="900" w:type="dxa"/>
            <w:gridSpan w:val="2"/>
          </w:tcPr>
          <w:p w:rsidRPr="001E4841" w:rsidR="002500ED" w:rsidP="002500ED" w:rsidRDefault="002500ED" w14:paraId="5D7F6C66" w14:textId="6CA95D69">
            <w:pPr>
              <w:jc w:val="center"/>
              <w:rPr>
                <w:rFonts w:ascii="Arial" w:hAnsi="Arial" w:cs="Arial"/>
                <w:color w:val="000000"/>
                <w:sz w:val="22"/>
                <w:szCs w:val="22"/>
              </w:rPr>
            </w:pPr>
            <w:r w:rsidRPr="001E4841">
              <w:rPr>
                <w:rFonts w:ascii="Arial" w:hAnsi="Arial" w:cs="Arial"/>
                <w:color w:val="000000"/>
                <w:sz w:val="22"/>
                <w:szCs w:val="22"/>
              </w:rPr>
              <w:t>6.00</w:t>
            </w:r>
          </w:p>
        </w:tc>
        <w:tc>
          <w:tcPr>
            <w:tcW w:w="1080" w:type="dxa"/>
          </w:tcPr>
          <w:p w:rsidRPr="001E4841" w:rsidR="002500ED" w:rsidP="002500ED" w:rsidRDefault="002500ED" w14:paraId="7C6E5A65" w14:textId="7EE872F7">
            <w:pPr>
              <w:jc w:val="center"/>
              <w:rPr>
                <w:rFonts w:ascii="Arial" w:hAnsi="Arial" w:cs="Arial"/>
                <w:color w:val="000000"/>
                <w:sz w:val="22"/>
                <w:szCs w:val="22"/>
              </w:rPr>
            </w:pPr>
            <w:r w:rsidRPr="001E4841">
              <w:rPr>
                <w:rFonts w:ascii="Arial" w:hAnsi="Arial" w:cs="Arial"/>
                <w:color w:val="000000"/>
                <w:sz w:val="22"/>
                <w:szCs w:val="22"/>
              </w:rPr>
              <w:t>$275.00</w:t>
            </w:r>
          </w:p>
        </w:tc>
        <w:tc>
          <w:tcPr>
            <w:tcW w:w="1530" w:type="dxa"/>
            <w:gridSpan w:val="2"/>
            <w:tcBorders>
              <w:right w:val="single" w:color="auto" w:sz="4" w:space="0"/>
            </w:tcBorders>
          </w:tcPr>
          <w:p w:rsidRPr="001E4841" w:rsidR="002500ED" w:rsidP="002500ED" w:rsidRDefault="002500ED" w14:paraId="308ED0A0" w14:textId="368F6EC2">
            <w:pPr>
              <w:jc w:val="center"/>
              <w:rPr>
                <w:rFonts w:ascii="Arial" w:hAnsi="Arial" w:cs="Arial"/>
                <w:color w:val="000000"/>
                <w:sz w:val="22"/>
                <w:szCs w:val="22"/>
              </w:rPr>
            </w:pPr>
            <w:r w:rsidRPr="001E4841">
              <w:rPr>
                <w:rFonts w:ascii="Arial" w:hAnsi="Arial" w:cs="Arial"/>
                <w:color w:val="000000"/>
                <w:sz w:val="22"/>
                <w:szCs w:val="22"/>
              </w:rPr>
              <w:t>D.23-11-120</w:t>
            </w:r>
          </w:p>
        </w:tc>
        <w:tc>
          <w:tcPr>
            <w:tcW w:w="1350" w:type="dxa"/>
            <w:gridSpan w:val="3"/>
            <w:tcBorders>
              <w:top w:val="single" w:color="auto" w:sz="4" w:space="0"/>
              <w:left w:val="single" w:color="auto" w:sz="4" w:space="0"/>
              <w:bottom w:val="single" w:color="auto" w:sz="4" w:space="0"/>
              <w:right w:val="single" w:color="auto" w:sz="24" w:space="0"/>
            </w:tcBorders>
          </w:tcPr>
          <w:p w:rsidRPr="001E4841" w:rsidR="002500ED" w:rsidP="002500ED" w:rsidRDefault="002500ED" w14:paraId="71E64E3B" w14:textId="25447C6F">
            <w:pPr>
              <w:jc w:val="right"/>
              <w:rPr>
                <w:rFonts w:ascii="Arial" w:hAnsi="Arial" w:cs="Arial"/>
                <w:color w:val="000000"/>
                <w:sz w:val="22"/>
                <w:szCs w:val="22"/>
              </w:rPr>
            </w:pPr>
            <w:r>
              <w:rPr>
                <w:rFonts w:ascii="Arial" w:hAnsi="Arial" w:cs="Arial"/>
                <w:color w:val="000000"/>
                <w:sz w:val="22"/>
                <w:szCs w:val="22"/>
              </w:rPr>
              <w:t>$</w:t>
            </w:r>
            <w:r w:rsidRPr="001E4841">
              <w:rPr>
                <w:rFonts w:ascii="Arial" w:hAnsi="Arial" w:cs="Arial"/>
                <w:color w:val="000000"/>
                <w:sz w:val="22"/>
                <w:szCs w:val="22"/>
              </w:rPr>
              <w:t>1,650.00</w:t>
            </w:r>
          </w:p>
        </w:tc>
        <w:tc>
          <w:tcPr>
            <w:tcW w:w="938" w:type="dxa"/>
            <w:tcBorders>
              <w:left w:val="single" w:color="auto" w:sz="4" w:space="0"/>
            </w:tcBorders>
          </w:tcPr>
          <w:p w:rsidRPr="006756BC" w:rsidR="002500ED" w:rsidP="002500ED" w:rsidRDefault="002500ED" w14:paraId="2B5431E9" w14:textId="2E59E43B">
            <w:pPr>
              <w:jc w:val="center"/>
              <w:rPr>
                <w:color w:val="000000"/>
              </w:rPr>
            </w:pPr>
            <w:r w:rsidRPr="00DF3DA4">
              <w:t>6.00</w:t>
            </w:r>
          </w:p>
        </w:tc>
        <w:tc>
          <w:tcPr>
            <w:tcW w:w="1146" w:type="dxa"/>
          </w:tcPr>
          <w:p w:rsidRPr="006756BC" w:rsidR="002500ED" w:rsidP="002500ED" w:rsidRDefault="002500ED" w14:paraId="580B7084" w14:textId="76393160">
            <w:pPr>
              <w:jc w:val="center"/>
              <w:rPr>
                <w:color w:val="000000"/>
              </w:rPr>
            </w:pPr>
            <w:r>
              <w:rPr>
                <w:color w:val="000000"/>
              </w:rPr>
              <w:t>$275.00</w:t>
            </w:r>
          </w:p>
        </w:tc>
        <w:tc>
          <w:tcPr>
            <w:tcW w:w="1881" w:type="dxa"/>
          </w:tcPr>
          <w:p w:rsidRPr="006756BC" w:rsidR="002500ED" w:rsidP="002500ED" w:rsidRDefault="002500ED" w14:paraId="49E84C9F" w14:textId="5487288F">
            <w:pPr>
              <w:jc w:val="right"/>
              <w:rPr>
                <w:color w:val="000000"/>
              </w:rPr>
            </w:pPr>
            <w:r w:rsidRPr="00C4140D">
              <w:t xml:space="preserve">$1,650.00 </w:t>
            </w:r>
          </w:p>
        </w:tc>
      </w:tr>
      <w:tr w:rsidRPr="006756BC" w:rsidR="002500ED" w:rsidTr="001B587E" w14:paraId="43C810D8" w14:textId="77777777">
        <w:trPr>
          <w:jc w:val="center"/>
        </w:trPr>
        <w:tc>
          <w:tcPr>
            <w:tcW w:w="1525" w:type="dxa"/>
          </w:tcPr>
          <w:p w:rsidRPr="001E4841" w:rsidR="002500ED" w:rsidP="002500ED" w:rsidRDefault="002500ED" w14:paraId="2071DBCD" w14:textId="7DF2DD52">
            <w:pPr>
              <w:jc w:val="center"/>
              <w:rPr>
                <w:rFonts w:ascii="Arial" w:hAnsi="Arial" w:cs="Arial"/>
                <w:color w:val="000000"/>
                <w:sz w:val="22"/>
                <w:szCs w:val="22"/>
              </w:rPr>
            </w:pPr>
            <w:r w:rsidRPr="001E4841">
              <w:rPr>
                <w:rFonts w:ascii="Arial" w:hAnsi="Arial" w:cs="Arial"/>
                <w:color w:val="000000"/>
                <w:sz w:val="22"/>
                <w:szCs w:val="22"/>
              </w:rPr>
              <w:t>Robert Finkelstein, TURN General Counsel</w:t>
            </w:r>
          </w:p>
        </w:tc>
        <w:tc>
          <w:tcPr>
            <w:tcW w:w="810" w:type="dxa"/>
          </w:tcPr>
          <w:p w:rsidRPr="001E4841" w:rsidR="002500ED" w:rsidP="002500ED" w:rsidRDefault="002500ED" w14:paraId="4B0A0FDA" w14:textId="69218B7F">
            <w:pPr>
              <w:jc w:val="center"/>
              <w:rPr>
                <w:rFonts w:ascii="Arial" w:hAnsi="Arial" w:cs="Arial"/>
                <w:color w:val="000000"/>
                <w:sz w:val="22"/>
                <w:szCs w:val="22"/>
              </w:rPr>
            </w:pPr>
            <w:r w:rsidRPr="001E4841">
              <w:rPr>
                <w:rFonts w:ascii="Arial" w:hAnsi="Arial" w:cs="Arial"/>
                <w:color w:val="000000"/>
                <w:sz w:val="22"/>
                <w:szCs w:val="22"/>
              </w:rPr>
              <w:t>2022</w:t>
            </w:r>
          </w:p>
        </w:tc>
        <w:tc>
          <w:tcPr>
            <w:tcW w:w="900" w:type="dxa"/>
            <w:gridSpan w:val="2"/>
          </w:tcPr>
          <w:p w:rsidRPr="001E4841" w:rsidR="002500ED" w:rsidP="002500ED" w:rsidRDefault="002500ED" w14:paraId="5C0F09DE" w14:textId="4F0A8440">
            <w:pPr>
              <w:jc w:val="center"/>
              <w:rPr>
                <w:rFonts w:ascii="Arial" w:hAnsi="Arial" w:cs="Arial"/>
                <w:color w:val="000000"/>
                <w:sz w:val="22"/>
                <w:szCs w:val="22"/>
              </w:rPr>
            </w:pPr>
            <w:r w:rsidRPr="001E4841">
              <w:rPr>
                <w:rFonts w:ascii="Arial" w:hAnsi="Arial" w:cs="Arial"/>
                <w:color w:val="000000"/>
                <w:sz w:val="22"/>
                <w:szCs w:val="22"/>
              </w:rPr>
              <w:t>2.25</w:t>
            </w:r>
          </w:p>
        </w:tc>
        <w:tc>
          <w:tcPr>
            <w:tcW w:w="1080" w:type="dxa"/>
          </w:tcPr>
          <w:p w:rsidRPr="001E4841" w:rsidR="002500ED" w:rsidP="002500ED" w:rsidRDefault="002500ED" w14:paraId="47FA6429" w14:textId="38B9FF1C">
            <w:pPr>
              <w:jc w:val="center"/>
              <w:rPr>
                <w:rFonts w:ascii="Arial" w:hAnsi="Arial" w:cs="Arial"/>
                <w:color w:val="000000"/>
                <w:sz w:val="22"/>
                <w:szCs w:val="22"/>
              </w:rPr>
            </w:pPr>
            <w:r w:rsidRPr="001E4841">
              <w:rPr>
                <w:rFonts w:ascii="Arial" w:hAnsi="Arial" w:cs="Arial"/>
                <w:color w:val="000000"/>
                <w:sz w:val="22"/>
                <w:szCs w:val="22"/>
              </w:rPr>
              <w:t>$805.00</w:t>
            </w:r>
          </w:p>
        </w:tc>
        <w:tc>
          <w:tcPr>
            <w:tcW w:w="1530" w:type="dxa"/>
            <w:gridSpan w:val="2"/>
            <w:tcBorders>
              <w:right w:val="single" w:color="auto" w:sz="4" w:space="0"/>
            </w:tcBorders>
          </w:tcPr>
          <w:p w:rsidRPr="001E4841" w:rsidR="002500ED" w:rsidP="002500ED" w:rsidRDefault="002500ED" w14:paraId="6BE162EA" w14:textId="527CA02D">
            <w:pPr>
              <w:jc w:val="center"/>
              <w:rPr>
                <w:rFonts w:ascii="Arial" w:hAnsi="Arial" w:cs="Arial"/>
                <w:color w:val="000000"/>
                <w:sz w:val="22"/>
                <w:szCs w:val="22"/>
              </w:rPr>
            </w:pPr>
            <w:r w:rsidRPr="001E4841">
              <w:rPr>
                <w:rFonts w:ascii="Arial" w:hAnsi="Arial" w:cs="Arial"/>
                <w:color w:val="000000"/>
                <w:sz w:val="22"/>
                <w:szCs w:val="22"/>
              </w:rPr>
              <w:t>D.23-04-022</w:t>
            </w:r>
          </w:p>
        </w:tc>
        <w:tc>
          <w:tcPr>
            <w:tcW w:w="1350" w:type="dxa"/>
            <w:gridSpan w:val="3"/>
            <w:tcBorders>
              <w:top w:val="single" w:color="auto" w:sz="4" w:space="0"/>
              <w:left w:val="single" w:color="auto" w:sz="4" w:space="0"/>
              <w:bottom w:val="single" w:color="auto" w:sz="4" w:space="0"/>
              <w:right w:val="single" w:color="auto" w:sz="24" w:space="0"/>
            </w:tcBorders>
          </w:tcPr>
          <w:p w:rsidRPr="001E4841" w:rsidR="002500ED" w:rsidP="002500ED" w:rsidRDefault="002500ED" w14:paraId="409CAC09" w14:textId="54142E63">
            <w:pPr>
              <w:jc w:val="right"/>
              <w:rPr>
                <w:rFonts w:ascii="Arial" w:hAnsi="Arial" w:cs="Arial"/>
                <w:color w:val="000000"/>
                <w:sz w:val="22"/>
                <w:szCs w:val="22"/>
              </w:rPr>
            </w:pPr>
            <w:r>
              <w:rPr>
                <w:rFonts w:ascii="Arial" w:hAnsi="Arial" w:cs="Arial"/>
                <w:color w:val="000000"/>
                <w:sz w:val="22"/>
                <w:szCs w:val="22"/>
              </w:rPr>
              <w:t>$</w:t>
            </w:r>
            <w:r w:rsidRPr="001E4841">
              <w:rPr>
                <w:rFonts w:ascii="Arial" w:hAnsi="Arial" w:cs="Arial"/>
                <w:color w:val="000000"/>
                <w:sz w:val="22"/>
                <w:szCs w:val="22"/>
              </w:rPr>
              <w:t>1,811.25</w:t>
            </w:r>
          </w:p>
        </w:tc>
        <w:tc>
          <w:tcPr>
            <w:tcW w:w="938" w:type="dxa"/>
            <w:tcBorders>
              <w:left w:val="single" w:color="auto" w:sz="4" w:space="0"/>
            </w:tcBorders>
          </w:tcPr>
          <w:p w:rsidRPr="006756BC" w:rsidR="002500ED" w:rsidP="002500ED" w:rsidRDefault="002500ED" w14:paraId="5580A6DE" w14:textId="499573F7">
            <w:pPr>
              <w:jc w:val="center"/>
              <w:rPr>
                <w:color w:val="000000"/>
              </w:rPr>
            </w:pPr>
            <w:r w:rsidRPr="00DF3DA4">
              <w:t>2.25</w:t>
            </w:r>
          </w:p>
        </w:tc>
        <w:tc>
          <w:tcPr>
            <w:tcW w:w="1146" w:type="dxa"/>
          </w:tcPr>
          <w:p w:rsidRPr="006756BC" w:rsidR="002500ED" w:rsidP="002500ED" w:rsidRDefault="002500ED" w14:paraId="438E6512" w14:textId="504A98C8">
            <w:pPr>
              <w:jc w:val="center"/>
              <w:rPr>
                <w:color w:val="000000"/>
              </w:rPr>
            </w:pPr>
            <w:r>
              <w:rPr>
                <w:color w:val="000000"/>
              </w:rPr>
              <w:t>$805.00</w:t>
            </w:r>
          </w:p>
        </w:tc>
        <w:tc>
          <w:tcPr>
            <w:tcW w:w="1881" w:type="dxa"/>
          </w:tcPr>
          <w:p w:rsidRPr="006756BC" w:rsidR="002500ED" w:rsidP="002500ED" w:rsidRDefault="002500ED" w14:paraId="48C835E3" w14:textId="602BCFB6">
            <w:pPr>
              <w:jc w:val="right"/>
              <w:rPr>
                <w:color w:val="000000"/>
              </w:rPr>
            </w:pPr>
            <w:r w:rsidRPr="00C4140D">
              <w:t xml:space="preserve">$1,811.25 </w:t>
            </w:r>
          </w:p>
        </w:tc>
      </w:tr>
      <w:tr w:rsidRPr="006756BC" w:rsidR="002500ED" w:rsidTr="001B587E" w14:paraId="7A4250EF" w14:textId="77777777">
        <w:trPr>
          <w:jc w:val="center"/>
        </w:trPr>
        <w:tc>
          <w:tcPr>
            <w:tcW w:w="1525" w:type="dxa"/>
          </w:tcPr>
          <w:p w:rsidRPr="001E4841" w:rsidR="002500ED" w:rsidP="002500ED" w:rsidRDefault="002500ED" w14:paraId="6A0911A4" w14:textId="7EB646E0">
            <w:pPr>
              <w:jc w:val="center"/>
              <w:rPr>
                <w:rFonts w:ascii="Arial" w:hAnsi="Arial" w:cs="Arial"/>
                <w:color w:val="000000"/>
                <w:sz w:val="22"/>
                <w:szCs w:val="22"/>
              </w:rPr>
            </w:pPr>
            <w:r w:rsidRPr="001E4841">
              <w:rPr>
                <w:rFonts w:ascii="Arial" w:hAnsi="Arial" w:cs="Arial"/>
                <w:color w:val="000000"/>
                <w:sz w:val="22"/>
                <w:szCs w:val="22"/>
              </w:rPr>
              <w:t>Robert Finkelstein, TURN General Counsel</w:t>
            </w:r>
          </w:p>
        </w:tc>
        <w:tc>
          <w:tcPr>
            <w:tcW w:w="810" w:type="dxa"/>
          </w:tcPr>
          <w:p w:rsidRPr="001E4841" w:rsidR="002500ED" w:rsidP="002500ED" w:rsidRDefault="002500ED" w14:paraId="78F6B563" w14:textId="31C9F683">
            <w:pPr>
              <w:jc w:val="center"/>
              <w:rPr>
                <w:rFonts w:ascii="Arial" w:hAnsi="Arial" w:cs="Arial"/>
                <w:color w:val="000000"/>
                <w:sz w:val="22"/>
                <w:szCs w:val="22"/>
              </w:rPr>
            </w:pPr>
            <w:r w:rsidRPr="001E4841">
              <w:rPr>
                <w:rFonts w:ascii="Arial" w:hAnsi="Arial" w:cs="Arial"/>
                <w:color w:val="000000"/>
                <w:sz w:val="22"/>
                <w:szCs w:val="22"/>
              </w:rPr>
              <w:t>2023</w:t>
            </w:r>
          </w:p>
        </w:tc>
        <w:tc>
          <w:tcPr>
            <w:tcW w:w="900" w:type="dxa"/>
            <w:gridSpan w:val="2"/>
          </w:tcPr>
          <w:p w:rsidRPr="001E4841" w:rsidR="002500ED" w:rsidP="002500ED" w:rsidRDefault="002500ED" w14:paraId="2B999DFD" w14:textId="77F65DA3">
            <w:pPr>
              <w:jc w:val="center"/>
              <w:rPr>
                <w:rFonts w:ascii="Arial" w:hAnsi="Arial" w:cs="Arial"/>
                <w:color w:val="000000"/>
                <w:sz w:val="22"/>
                <w:szCs w:val="22"/>
              </w:rPr>
            </w:pPr>
            <w:r w:rsidRPr="001E4841">
              <w:rPr>
                <w:rFonts w:ascii="Arial" w:hAnsi="Arial" w:cs="Arial"/>
                <w:color w:val="000000"/>
                <w:sz w:val="22"/>
                <w:szCs w:val="22"/>
              </w:rPr>
              <w:t>0.50</w:t>
            </w:r>
          </w:p>
        </w:tc>
        <w:tc>
          <w:tcPr>
            <w:tcW w:w="1080" w:type="dxa"/>
          </w:tcPr>
          <w:p w:rsidRPr="001E4841" w:rsidR="002500ED" w:rsidP="002500ED" w:rsidRDefault="002500ED" w14:paraId="3F4EB286" w14:textId="03426F50">
            <w:pPr>
              <w:jc w:val="center"/>
              <w:rPr>
                <w:rFonts w:ascii="Arial" w:hAnsi="Arial" w:cs="Arial"/>
                <w:color w:val="000000"/>
                <w:sz w:val="22"/>
                <w:szCs w:val="22"/>
              </w:rPr>
            </w:pPr>
            <w:r w:rsidRPr="001E4841">
              <w:rPr>
                <w:rFonts w:ascii="Arial" w:hAnsi="Arial" w:cs="Arial"/>
                <w:color w:val="000000"/>
                <w:sz w:val="22"/>
                <w:szCs w:val="22"/>
              </w:rPr>
              <w:t>$840.00</w:t>
            </w:r>
          </w:p>
        </w:tc>
        <w:tc>
          <w:tcPr>
            <w:tcW w:w="1530" w:type="dxa"/>
            <w:gridSpan w:val="2"/>
            <w:tcBorders>
              <w:right w:val="single" w:color="auto" w:sz="4" w:space="0"/>
            </w:tcBorders>
          </w:tcPr>
          <w:p w:rsidRPr="001E4841" w:rsidR="002500ED" w:rsidP="002500ED" w:rsidRDefault="002500ED" w14:paraId="4923A0B0" w14:textId="26B4F0F5">
            <w:pPr>
              <w:jc w:val="center"/>
              <w:rPr>
                <w:rFonts w:ascii="Arial" w:hAnsi="Arial" w:cs="Arial"/>
                <w:color w:val="000000"/>
                <w:sz w:val="22"/>
                <w:szCs w:val="22"/>
              </w:rPr>
            </w:pPr>
            <w:r w:rsidRPr="001E4841">
              <w:rPr>
                <w:rFonts w:ascii="Arial" w:hAnsi="Arial" w:cs="Arial"/>
                <w:color w:val="000000"/>
                <w:sz w:val="22"/>
                <w:szCs w:val="22"/>
              </w:rPr>
              <w:t>D.24-02-040</w:t>
            </w:r>
          </w:p>
        </w:tc>
        <w:tc>
          <w:tcPr>
            <w:tcW w:w="1350" w:type="dxa"/>
            <w:gridSpan w:val="3"/>
            <w:tcBorders>
              <w:top w:val="single" w:color="auto" w:sz="4" w:space="0"/>
              <w:left w:val="single" w:color="auto" w:sz="4" w:space="0"/>
              <w:bottom w:val="single" w:color="auto" w:sz="4" w:space="0"/>
              <w:right w:val="single" w:color="auto" w:sz="24" w:space="0"/>
            </w:tcBorders>
          </w:tcPr>
          <w:p w:rsidRPr="001E4841" w:rsidR="002500ED" w:rsidP="002500ED" w:rsidRDefault="002500ED" w14:paraId="76D849E4" w14:textId="0F6295A9">
            <w:pPr>
              <w:jc w:val="right"/>
              <w:rPr>
                <w:rFonts w:ascii="Arial" w:hAnsi="Arial" w:cs="Arial"/>
                <w:color w:val="000000"/>
                <w:sz w:val="22"/>
                <w:szCs w:val="22"/>
              </w:rPr>
            </w:pPr>
            <w:r>
              <w:rPr>
                <w:rFonts w:ascii="Arial" w:hAnsi="Arial" w:cs="Arial"/>
                <w:color w:val="000000"/>
                <w:sz w:val="22"/>
                <w:szCs w:val="22"/>
              </w:rPr>
              <w:t>$</w:t>
            </w:r>
            <w:r w:rsidRPr="001E4841">
              <w:rPr>
                <w:rFonts w:ascii="Arial" w:hAnsi="Arial" w:cs="Arial"/>
                <w:color w:val="000000"/>
                <w:sz w:val="22"/>
                <w:szCs w:val="22"/>
              </w:rPr>
              <w:t>420.00</w:t>
            </w:r>
          </w:p>
        </w:tc>
        <w:tc>
          <w:tcPr>
            <w:tcW w:w="938" w:type="dxa"/>
            <w:tcBorders>
              <w:left w:val="single" w:color="auto" w:sz="4" w:space="0"/>
            </w:tcBorders>
          </w:tcPr>
          <w:p w:rsidRPr="006756BC" w:rsidR="002500ED" w:rsidP="002500ED" w:rsidRDefault="002500ED" w14:paraId="62979461" w14:textId="058E9DFB">
            <w:pPr>
              <w:jc w:val="center"/>
              <w:rPr>
                <w:color w:val="000000"/>
              </w:rPr>
            </w:pPr>
            <w:r w:rsidRPr="00DF3DA4">
              <w:t>0.50</w:t>
            </w:r>
          </w:p>
        </w:tc>
        <w:tc>
          <w:tcPr>
            <w:tcW w:w="1146" w:type="dxa"/>
          </w:tcPr>
          <w:p w:rsidRPr="006756BC" w:rsidR="002500ED" w:rsidP="002500ED" w:rsidRDefault="002500ED" w14:paraId="6C24444C" w14:textId="1CA21F05">
            <w:pPr>
              <w:jc w:val="center"/>
              <w:rPr>
                <w:color w:val="000000"/>
              </w:rPr>
            </w:pPr>
            <w:r>
              <w:rPr>
                <w:color w:val="000000"/>
              </w:rPr>
              <w:t>$840.00</w:t>
            </w:r>
            <w:r w:rsidR="00C44D77">
              <w:rPr>
                <w:color w:val="000000"/>
              </w:rPr>
              <w:t xml:space="preserve"> [9]</w:t>
            </w:r>
          </w:p>
        </w:tc>
        <w:tc>
          <w:tcPr>
            <w:tcW w:w="1881" w:type="dxa"/>
          </w:tcPr>
          <w:p w:rsidRPr="006756BC" w:rsidR="002500ED" w:rsidP="002500ED" w:rsidRDefault="002500ED" w14:paraId="465D0980" w14:textId="0BCC6A30">
            <w:pPr>
              <w:jc w:val="right"/>
              <w:rPr>
                <w:color w:val="000000"/>
              </w:rPr>
            </w:pPr>
            <w:r w:rsidRPr="00C4140D">
              <w:t xml:space="preserve">$420.00 </w:t>
            </w:r>
          </w:p>
        </w:tc>
      </w:tr>
      <w:tr w:rsidRPr="006756BC" w:rsidR="002500ED" w:rsidTr="001B587E" w14:paraId="4EA1A457" w14:textId="77777777">
        <w:trPr>
          <w:jc w:val="center"/>
        </w:trPr>
        <w:tc>
          <w:tcPr>
            <w:tcW w:w="1525" w:type="dxa"/>
          </w:tcPr>
          <w:p w:rsidRPr="001E4841" w:rsidR="002500ED" w:rsidP="002500ED" w:rsidRDefault="002500ED" w14:paraId="2FED8BB9" w14:textId="5F50B858">
            <w:pPr>
              <w:jc w:val="center"/>
              <w:rPr>
                <w:rFonts w:ascii="Arial" w:hAnsi="Arial" w:cs="Arial"/>
                <w:color w:val="000000"/>
                <w:sz w:val="22"/>
                <w:szCs w:val="22"/>
              </w:rPr>
            </w:pPr>
            <w:r w:rsidRPr="001E4841">
              <w:rPr>
                <w:rFonts w:ascii="Arial" w:hAnsi="Arial" w:cs="Arial"/>
                <w:color w:val="000000"/>
                <w:sz w:val="22"/>
                <w:szCs w:val="22"/>
              </w:rPr>
              <w:t>Thomas J. Long, TURN Director of Legal Strategy</w:t>
            </w:r>
          </w:p>
        </w:tc>
        <w:tc>
          <w:tcPr>
            <w:tcW w:w="810" w:type="dxa"/>
          </w:tcPr>
          <w:p w:rsidRPr="001E4841" w:rsidR="002500ED" w:rsidP="002500ED" w:rsidRDefault="002500ED" w14:paraId="4716054F" w14:textId="36BCE34F">
            <w:pPr>
              <w:jc w:val="center"/>
              <w:rPr>
                <w:rFonts w:ascii="Arial" w:hAnsi="Arial" w:cs="Arial"/>
                <w:color w:val="000000"/>
                <w:sz w:val="22"/>
                <w:szCs w:val="22"/>
              </w:rPr>
            </w:pPr>
            <w:r w:rsidRPr="001E4841">
              <w:rPr>
                <w:rFonts w:ascii="Arial" w:hAnsi="Arial" w:cs="Arial"/>
                <w:color w:val="000000"/>
                <w:sz w:val="22"/>
                <w:szCs w:val="22"/>
              </w:rPr>
              <w:t>2024</w:t>
            </w:r>
          </w:p>
        </w:tc>
        <w:tc>
          <w:tcPr>
            <w:tcW w:w="900" w:type="dxa"/>
            <w:gridSpan w:val="2"/>
          </w:tcPr>
          <w:p w:rsidRPr="001E4841" w:rsidR="002500ED" w:rsidP="002500ED" w:rsidRDefault="002500ED" w14:paraId="32D67E05" w14:textId="58C9A52D">
            <w:pPr>
              <w:jc w:val="center"/>
              <w:rPr>
                <w:rFonts w:ascii="Arial" w:hAnsi="Arial" w:cs="Arial"/>
                <w:color w:val="000000"/>
                <w:sz w:val="22"/>
                <w:szCs w:val="22"/>
              </w:rPr>
            </w:pPr>
            <w:r w:rsidRPr="001E4841">
              <w:rPr>
                <w:rFonts w:ascii="Arial" w:hAnsi="Arial" w:cs="Arial"/>
                <w:color w:val="000000"/>
                <w:sz w:val="22"/>
                <w:szCs w:val="22"/>
              </w:rPr>
              <w:t>22.50</w:t>
            </w:r>
          </w:p>
        </w:tc>
        <w:tc>
          <w:tcPr>
            <w:tcW w:w="1080" w:type="dxa"/>
          </w:tcPr>
          <w:p w:rsidRPr="001E4841" w:rsidR="002500ED" w:rsidP="002500ED" w:rsidRDefault="002500ED" w14:paraId="69AD42E1" w14:textId="64C8F136">
            <w:pPr>
              <w:jc w:val="center"/>
              <w:rPr>
                <w:rFonts w:ascii="Arial" w:hAnsi="Arial" w:cs="Arial"/>
                <w:color w:val="000000"/>
                <w:sz w:val="22"/>
                <w:szCs w:val="22"/>
              </w:rPr>
            </w:pPr>
            <w:r w:rsidRPr="001E4841">
              <w:rPr>
                <w:rFonts w:ascii="Arial" w:hAnsi="Arial" w:cs="Arial"/>
                <w:color w:val="000000"/>
                <w:sz w:val="22"/>
                <w:szCs w:val="22"/>
              </w:rPr>
              <w:t>$860.00</w:t>
            </w:r>
          </w:p>
        </w:tc>
        <w:tc>
          <w:tcPr>
            <w:tcW w:w="1530" w:type="dxa"/>
            <w:gridSpan w:val="2"/>
            <w:tcBorders>
              <w:right w:val="single" w:color="auto" w:sz="4" w:space="0"/>
            </w:tcBorders>
          </w:tcPr>
          <w:p w:rsidRPr="001E4841" w:rsidR="002500ED" w:rsidP="002500ED" w:rsidRDefault="002500ED" w14:paraId="36EBB35D" w14:textId="0BDAA0B4">
            <w:pPr>
              <w:jc w:val="center"/>
              <w:rPr>
                <w:rFonts w:ascii="Arial" w:hAnsi="Arial" w:cs="Arial"/>
                <w:color w:val="000000"/>
                <w:sz w:val="22"/>
                <w:szCs w:val="22"/>
              </w:rPr>
            </w:pPr>
            <w:r w:rsidRPr="001E4841">
              <w:rPr>
                <w:rFonts w:ascii="Arial" w:hAnsi="Arial" w:cs="Arial"/>
                <w:color w:val="000000"/>
                <w:sz w:val="22"/>
                <w:szCs w:val="22"/>
              </w:rPr>
              <w:t>D.24-09-016</w:t>
            </w:r>
          </w:p>
        </w:tc>
        <w:tc>
          <w:tcPr>
            <w:tcW w:w="1350" w:type="dxa"/>
            <w:gridSpan w:val="3"/>
            <w:tcBorders>
              <w:top w:val="single" w:color="auto" w:sz="4" w:space="0"/>
              <w:left w:val="single" w:color="auto" w:sz="4" w:space="0"/>
              <w:bottom w:val="single" w:color="auto" w:sz="4" w:space="0"/>
              <w:right w:val="single" w:color="auto" w:sz="24" w:space="0"/>
            </w:tcBorders>
          </w:tcPr>
          <w:p w:rsidRPr="001E4841" w:rsidR="002500ED" w:rsidP="002500ED" w:rsidRDefault="002500ED" w14:paraId="0B4CD9C5" w14:textId="1AFDA2FD">
            <w:pPr>
              <w:jc w:val="right"/>
              <w:rPr>
                <w:rFonts w:ascii="Arial" w:hAnsi="Arial" w:cs="Arial"/>
                <w:color w:val="000000"/>
                <w:sz w:val="22"/>
                <w:szCs w:val="22"/>
              </w:rPr>
            </w:pPr>
            <w:r>
              <w:rPr>
                <w:rFonts w:ascii="Arial" w:hAnsi="Arial" w:cs="Arial"/>
                <w:color w:val="000000"/>
                <w:sz w:val="22"/>
                <w:szCs w:val="22"/>
              </w:rPr>
              <w:t>$</w:t>
            </w:r>
            <w:r w:rsidRPr="001E4841">
              <w:rPr>
                <w:rFonts w:ascii="Arial" w:hAnsi="Arial" w:cs="Arial"/>
                <w:color w:val="000000"/>
                <w:sz w:val="22"/>
                <w:szCs w:val="22"/>
              </w:rPr>
              <w:t>19,350.00</w:t>
            </w:r>
          </w:p>
        </w:tc>
        <w:tc>
          <w:tcPr>
            <w:tcW w:w="938" w:type="dxa"/>
            <w:tcBorders>
              <w:left w:val="single" w:color="auto" w:sz="4" w:space="0"/>
            </w:tcBorders>
          </w:tcPr>
          <w:p w:rsidRPr="006756BC" w:rsidR="002500ED" w:rsidP="002500ED" w:rsidRDefault="002500ED" w14:paraId="1E4B0C05" w14:textId="4B4F5217">
            <w:pPr>
              <w:jc w:val="center"/>
              <w:rPr>
                <w:color w:val="000000"/>
              </w:rPr>
            </w:pPr>
            <w:r w:rsidRPr="00DF3DA4">
              <w:t>22.50</w:t>
            </w:r>
          </w:p>
        </w:tc>
        <w:tc>
          <w:tcPr>
            <w:tcW w:w="1146" w:type="dxa"/>
          </w:tcPr>
          <w:p w:rsidRPr="006756BC" w:rsidR="002500ED" w:rsidP="002500ED" w:rsidRDefault="002500ED" w14:paraId="4018F129" w14:textId="507D6E2D">
            <w:pPr>
              <w:jc w:val="center"/>
              <w:rPr>
                <w:color w:val="000000"/>
              </w:rPr>
            </w:pPr>
            <w:r>
              <w:rPr>
                <w:color w:val="000000"/>
              </w:rPr>
              <w:t>$860.00</w:t>
            </w:r>
            <w:r w:rsidR="00C44D77">
              <w:rPr>
                <w:color w:val="000000"/>
              </w:rPr>
              <w:t xml:space="preserve"> [10]</w:t>
            </w:r>
          </w:p>
        </w:tc>
        <w:tc>
          <w:tcPr>
            <w:tcW w:w="1881" w:type="dxa"/>
          </w:tcPr>
          <w:p w:rsidRPr="006756BC" w:rsidR="002500ED" w:rsidP="002500ED" w:rsidRDefault="002500ED" w14:paraId="17E88777" w14:textId="3C126A96">
            <w:pPr>
              <w:jc w:val="right"/>
              <w:rPr>
                <w:color w:val="000000"/>
              </w:rPr>
            </w:pPr>
            <w:r w:rsidRPr="00C4140D">
              <w:t xml:space="preserve">$19,350.00 </w:t>
            </w:r>
          </w:p>
        </w:tc>
      </w:tr>
      <w:tr w:rsidRPr="006756BC" w:rsidR="00625B30" w:rsidTr="00AE1E4F" w14:paraId="2C59CE5E" w14:textId="77777777">
        <w:trPr>
          <w:jc w:val="center"/>
        </w:trPr>
        <w:tc>
          <w:tcPr>
            <w:tcW w:w="7195" w:type="dxa"/>
            <w:gridSpan w:val="10"/>
            <w:tcBorders>
              <w:bottom w:val="single" w:color="auto" w:sz="4" w:space="0"/>
              <w:right w:val="single" w:color="auto" w:sz="24" w:space="0"/>
            </w:tcBorders>
            <w:vAlign w:val="bottom"/>
          </w:tcPr>
          <w:p w:rsidRPr="006756BC" w:rsidR="00625B30" w:rsidP="0017721C" w:rsidRDefault="00625B30" w14:paraId="4F1A3FAB" w14:textId="0738559D">
            <w:pPr>
              <w:tabs>
                <w:tab w:val="left" w:pos="957"/>
              </w:tabs>
              <w:spacing w:before="60" w:after="60"/>
              <w:ind w:right="162"/>
              <w:jc w:val="right"/>
              <w:rPr>
                <w:b/>
                <w:i/>
                <w:color w:val="000000"/>
              </w:rPr>
            </w:pPr>
            <w:r w:rsidRPr="006756BC">
              <w:rPr>
                <w:b/>
                <w:i/>
                <w:color w:val="000000"/>
              </w:rPr>
              <w:t xml:space="preserve">Subtotal: </w:t>
            </w:r>
            <w:r w:rsidRPr="00C64008" w:rsidR="00C64008">
              <w:rPr>
                <w:b/>
                <w:bCs/>
                <w:i/>
                <w:iCs/>
                <w:color w:val="000000"/>
              </w:rPr>
              <w:t>$128,531.25</w:t>
            </w:r>
          </w:p>
        </w:tc>
        <w:tc>
          <w:tcPr>
            <w:tcW w:w="3965" w:type="dxa"/>
            <w:gridSpan w:val="3"/>
            <w:tcBorders>
              <w:left w:val="single" w:color="auto" w:sz="24" w:space="0"/>
              <w:bottom w:val="single" w:color="auto" w:sz="4" w:space="0"/>
            </w:tcBorders>
            <w:vAlign w:val="bottom"/>
          </w:tcPr>
          <w:p w:rsidRPr="006756BC" w:rsidR="00625B30" w:rsidP="00625B30" w:rsidRDefault="00625B30" w14:paraId="3D09644E" w14:textId="4BA7923E">
            <w:pPr>
              <w:tabs>
                <w:tab w:val="left" w:pos="957"/>
              </w:tabs>
              <w:spacing w:before="60" w:after="60"/>
              <w:ind w:right="162"/>
              <w:jc w:val="right"/>
              <w:rPr>
                <w:color w:val="000000"/>
              </w:rPr>
            </w:pPr>
            <w:r w:rsidRPr="006756BC">
              <w:rPr>
                <w:b/>
                <w:i/>
                <w:color w:val="000000"/>
              </w:rPr>
              <w:t xml:space="preserve">Subtotal: </w:t>
            </w:r>
            <w:r w:rsidRPr="002500ED" w:rsidR="002500ED">
              <w:rPr>
                <w:b/>
                <w:color w:val="000000"/>
              </w:rPr>
              <w:t>$128,531.25</w:t>
            </w:r>
          </w:p>
        </w:tc>
      </w:tr>
      <w:tr w:rsidRPr="006756BC" w:rsidR="00625B30" w:rsidTr="0036244B" w14:paraId="09A7632E" w14:textId="77777777">
        <w:trPr>
          <w:jc w:val="center"/>
        </w:trPr>
        <w:tc>
          <w:tcPr>
            <w:tcW w:w="11160" w:type="dxa"/>
            <w:gridSpan w:val="13"/>
            <w:tcBorders>
              <w:top w:val="single" w:color="auto" w:sz="4" w:space="0"/>
              <w:left w:val="single" w:color="auto" w:sz="4" w:space="0"/>
              <w:bottom w:val="single" w:color="auto" w:sz="4" w:space="0"/>
              <w:right w:val="single" w:color="auto" w:sz="4" w:space="0"/>
            </w:tcBorders>
            <w:shd w:val="clear" w:color="auto" w:fill="E6E6E6"/>
          </w:tcPr>
          <w:p w:rsidRPr="006756BC" w:rsidR="00625B30" w:rsidP="00625B30" w:rsidRDefault="00625B30" w14:paraId="1AF02425" w14:textId="77777777">
            <w:pPr>
              <w:keepNext/>
              <w:spacing w:before="60" w:after="60"/>
              <w:jc w:val="center"/>
              <w:rPr>
                <w:color w:val="000000"/>
              </w:rPr>
            </w:pPr>
            <w:r w:rsidRPr="006756BC">
              <w:rPr>
                <w:b/>
                <w:color w:val="000000"/>
              </w:rPr>
              <w:t xml:space="preserve">INTERVENOR COMPENSATION CLAIM PREPARATION </w:t>
            </w:r>
            <w:r w:rsidRPr="006756BC">
              <w:rPr>
                <w:b/>
                <w:smallCaps/>
                <w:color w:val="000000"/>
              </w:rPr>
              <w:t xml:space="preserve"> **</w:t>
            </w:r>
          </w:p>
        </w:tc>
      </w:tr>
      <w:tr w:rsidRPr="006756BC" w:rsidR="00625B30" w:rsidTr="000922A7" w14:paraId="1907DE32" w14:textId="77777777">
        <w:trPr>
          <w:jc w:val="center"/>
        </w:trPr>
        <w:tc>
          <w:tcPr>
            <w:tcW w:w="1525" w:type="dxa"/>
            <w:tcBorders>
              <w:top w:val="single" w:color="auto" w:sz="4" w:space="0"/>
              <w:bottom w:val="single" w:color="auto" w:sz="4" w:space="0"/>
            </w:tcBorders>
            <w:vAlign w:val="bottom"/>
          </w:tcPr>
          <w:p w:rsidRPr="006756BC" w:rsidR="00625B30" w:rsidP="00625B30" w:rsidRDefault="00625B30" w14:paraId="759496FA" w14:textId="77777777">
            <w:pPr>
              <w:keepNext/>
              <w:spacing w:before="60" w:after="60"/>
              <w:jc w:val="center"/>
              <w:rPr>
                <w:b/>
                <w:color w:val="000000"/>
              </w:rPr>
            </w:pPr>
            <w:r w:rsidRPr="006756BC">
              <w:rPr>
                <w:b/>
                <w:color w:val="000000"/>
              </w:rPr>
              <w:t>Item</w:t>
            </w:r>
          </w:p>
        </w:tc>
        <w:tc>
          <w:tcPr>
            <w:tcW w:w="810" w:type="dxa"/>
            <w:tcBorders>
              <w:top w:val="single" w:color="auto" w:sz="4" w:space="0"/>
              <w:bottom w:val="single" w:color="auto" w:sz="4" w:space="0"/>
            </w:tcBorders>
            <w:vAlign w:val="bottom"/>
          </w:tcPr>
          <w:p w:rsidRPr="006756BC" w:rsidR="00625B30" w:rsidP="00625B30" w:rsidRDefault="00625B30" w14:paraId="6070E8A8" w14:textId="77777777">
            <w:pPr>
              <w:keepNext/>
              <w:spacing w:before="60" w:after="60"/>
              <w:jc w:val="center"/>
              <w:rPr>
                <w:b/>
                <w:color w:val="000000"/>
              </w:rPr>
            </w:pPr>
            <w:r w:rsidRPr="006756BC">
              <w:rPr>
                <w:b/>
                <w:color w:val="000000"/>
              </w:rPr>
              <w:t>Year</w:t>
            </w:r>
          </w:p>
        </w:tc>
        <w:tc>
          <w:tcPr>
            <w:tcW w:w="900" w:type="dxa"/>
            <w:gridSpan w:val="2"/>
            <w:tcBorders>
              <w:top w:val="single" w:color="auto" w:sz="4" w:space="0"/>
              <w:bottom w:val="single" w:color="auto" w:sz="4" w:space="0"/>
            </w:tcBorders>
            <w:vAlign w:val="bottom"/>
          </w:tcPr>
          <w:p w:rsidRPr="006756BC" w:rsidR="00625B30" w:rsidP="00625B30" w:rsidRDefault="00625B30" w14:paraId="669A6E30" w14:textId="77777777">
            <w:pPr>
              <w:keepNext/>
              <w:spacing w:before="60" w:after="60"/>
              <w:jc w:val="center"/>
              <w:rPr>
                <w:b/>
                <w:color w:val="000000"/>
              </w:rPr>
            </w:pPr>
            <w:r w:rsidRPr="006756BC">
              <w:rPr>
                <w:b/>
                <w:color w:val="000000"/>
              </w:rPr>
              <w:t>Hours</w:t>
            </w:r>
          </w:p>
        </w:tc>
        <w:tc>
          <w:tcPr>
            <w:tcW w:w="1080" w:type="dxa"/>
            <w:tcBorders>
              <w:top w:val="single" w:color="auto" w:sz="4" w:space="0"/>
              <w:bottom w:val="single" w:color="auto" w:sz="4" w:space="0"/>
            </w:tcBorders>
            <w:vAlign w:val="bottom"/>
          </w:tcPr>
          <w:p w:rsidRPr="006756BC" w:rsidR="00625B30" w:rsidP="00625B30" w:rsidRDefault="00625B30" w14:paraId="4D821CA0" w14:textId="77777777">
            <w:pPr>
              <w:keepNext/>
              <w:spacing w:before="60" w:after="60"/>
              <w:jc w:val="center"/>
              <w:rPr>
                <w:b/>
                <w:color w:val="000000"/>
              </w:rPr>
            </w:pPr>
            <w:r w:rsidRPr="006756BC">
              <w:rPr>
                <w:b/>
                <w:color w:val="000000"/>
              </w:rPr>
              <w:t>Rate $</w:t>
            </w:r>
          </w:p>
        </w:tc>
        <w:tc>
          <w:tcPr>
            <w:tcW w:w="1530" w:type="dxa"/>
            <w:gridSpan w:val="2"/>
            <w:tcBorders>
              <w:top w:val="single" w:color="auto" w:sz="4" w:space="0"/>
              <w:bottom w:val="single" w:color="auto" w:sz="4" w:space="0"/>
              <w:right w:val="single" w:color="auto" w:sz="4" w:space="0"/>
            </w:tcBorders>
            <w:vAlign w:val="bottom"/>
          </w:tcPr>
          <w:p w:rsidRPr="006756BC" w:rsidR="00625B30" w:rsidP="00625B30" w:rsidRDefault="00625B30" w14:paraId="13910344" w14:textId="77777777">
            <w:pPr>
              <w:keepNext/>
              <w:spacing w:before="60" w:after="60"/>
              <w:jc w:val="center"/>
              <w:rPr>
                <w:b/>
                <w:color w:val="000000"/>
              </w:rPr>
            </w:pPr>
            <w:r w:rsidRPr="006756BC">
              <w:rPr>
                <w:b/>
                <w:color w:val="000000"/>
              </w:rPr>
              <w:t>Basis for Rate*</w:t>
            </w:r>
          </w:p>
        </w:tc>
        <w:tc>
          <w:tcPr>
            <w:tcW w:w="1333" w:type="dxa"/>
            <w:gridSpan w:val="2"/>
            <w:tcBorders>
              <w:top w:val="single" w:color="auto" w:sz="4" w:space="0"/>
              <w:left w:val="single" w:color="auto" w:sz="4" w:space="0"/>
              <w:bottom w:val="single" w:color="auto" w:sz="4" w:space="0"/>
              <w:right w:val="single" w:color="auto" w:sz="24" w:space="0"/>
            </w:tcBorders>
            <w:vAlign w:val="bottom"/>
          </w:tcPr>
          <w:p w:rsidRPr="006756BC" w:rsidR="00625B30" w:rsidP="00625B30" w:rsidRDefault="00625B30" w14:paraId="3D36F2B6" w14:textId="77777777">
            <w:pPr>
              <w:keepNext/>
              <w:spacing w:before="60" w:after="60"/>
              <w:jc w:val="center"/>
              <w:rPr>
                <w:b/>
                <w:color w:val="000000"/>
              </w:rPr>
            </w:pPr>
            <w:r w:rsidRPr="006756BC">
              <w:rPr>
                <w:b/>
                <w:color w:val="000000"/>
              </w:rPr>
              <w:t>Total $</w:t>
            </w:r>
          </w:p>
        </w:tc>
        <w:tc>
          <w:tcPr>
            <w:tcW w:w="955" w:type="dxa"/>
            <w:gridSpan w:val="2"/>
            <w:tcBorders>
              <w:top w:val="single" w:color="auto" w:sz="4" w:space="0"/>
              <w:left w:val="single" w:color="auto" w:sz="4" w:space="0"/>
            </w:tcBorders>
            <w:vAlign w:val="bottom"/>
          </w:tcPr>
          <w:p w:rsidRPr="006756BC" w:rsidR="00625B30" w:rsidP="00625B30" w:rsidRDefault="00625B30" w14:paraId="000A1400" w14:textId="77777777">
            <w:pPr>
              <w:keepNext/>
              <w:spacing w:before="60" w:after="60"/>
              <w:jc w:val="center"/>
              <w:rPr>
                <w:b/>
                <w:color w:val="000000"/>
              </w:rPr>
            </w:pPr>
            <w:r w:rsidRPr="006756BC">
              <w:rPr>
                <w:b/>
                <w:color w:val="000000"/>
              </w:rPr>
              <w:t>Hours</w:t>
            </w:r>
          </w:p>
        </w:tc>
        <w:tc>
          <w:tcPr>
            <w:tcW w:w="1146" w:type="dxa"/>
            <w:tcBorders>
              <w:top w:val="single" w:color="auto" w:sz="4" w:space="0"/>
            </w:tcBorders>
            <w:vAlign w:val="bottom"/>
          </w:tcPr>
          <w:p w:rsidRPr="006756BC" w:rsidR="00625B30" w:rsidP="00625B30" w:rsidRDefault="00625B30" w14:paraId="1DADFC59" w14:textId="77777777">
            <w:pPr>
              <w:keepNext/>
              <w:spacing w:before="60" w:after="60"/>
              <w:jc w:val="center"/>
              <w:rPr>
                <w:b/>
                <w:color w:val="000000"/>
              </w:rPr>
            </w:pPr>
            <w:r w:rsidRPr="006756BC">
              <w:rPr>
                <w:b/>
                <w:color w:val="000000"/>
              </w:rPr>
              <w:t>Rate $</w:t>
            </w:r>
          </w:p>
        </w:tc>
        <w:tc>
          <w:tcPr>
            <w:tcW w:w="1881" w:type="dxa"/>
            <w:tcBorders>
              <w:top w:val="single" w:color="auto" w:sz="4" w:space="0"/>
            </w:tcBorders>
            <w:vAlign w:val="bottom"/>
          </w:tcPr>
          <w:p w:rsidRPr="006756BC" w:rsidR="00625B30" w:rsidP="00625B30" w:rsidRDefault="00625B30" w14:paraId="36B6AC97" w14:textId="77777777">
            <w:pPr>
              <w:keepNext/>
              <w:spacing w:before="60" w:after="60"/>
              <w:jc w:val="center"/>
              <w:rPr>
                <w:b/>
                <w:color w:val="000000"/>
              </w:rPr>
            </w:pPr>
            <w:r w:rsidRPr="006756BC">
              <w:rPr>
                <w:b/>
                <w:color w:val="000000"/>
              </w:rPr>
              <w:t>Total $</w:t>
            </w:r>
          </w:p>
        </w:tc>
      </w:tr>
      <w:tr w:rsidRPr="006756BC" w:rsidR="002500ED" w:rsidTr="001B587E" w14:paraId="480E051E" w14:textId="77777777">
        <w:trPr>
          <w:jc w:val="center"/>
        </w:trPr>
        <w:tc>
          <w:tcPr>
            <w:tcW w:w="1525" w:type="dxa"/>
          </w:tcPr>
          <w:p w:rsidRPr="000922A7" w:rsidR="002500ED" w:rsidP="002500ED" w:rsidRDefault="002500ED" w14:paraId="5DE3E6A0" w14:textId="1C3FE7B6">
            <w:pPr>
              <w:jc w:val="center"/>
              <w:rPr>
                <w:rFonts w:ascii="Arial" w:hAnsi="Arial" w:cs="Arial"/>
                <w:color w:val="000000"/>
                <w:sz w:val="22"/>
                <w:szCs w:val="22"/>
              </w:rPr>
            </w:pPr>
            <w:r w:rsidRPr="000922A7">
              <w:rPr>
                <w:rFonts w:ascii="Arial" w:hAnsi="Arial" w:cs="Arial"/>
                <w:color w:val="000000"/>
                <w:sz w:val="22"/>
                <w:szCs w:val="22"/>
              </w:rPr>
              <w:t>Hayley Goodson, TURN Attorney</w:t>
            </w:r>
          </w:p>
        </w:tc>
        <w:tc>
          <w:tcPr>
            <w:tcW w:w="810" w:type="dxa"/>
          </w:tcPr>
          <w:p w:rsidRPr="000922A7" w:rsidR="002500ED" w:rsidP="002500ED" w:rsidRDefault="002500ED" w14:paraId="0B136663" w14:textId="5AA8E3FE">
            <w:pPr>
              <w:jc w:val="center"/>
              <w:rPr>
                <w:rFonts w:ascii="Arial" w:hAnsi="Arial" w:cs="Arial"/>
                <w:color w:val="000000"/>
                <w:sz w:val="22"/>
                <w:szCs w:val="22"/>
              </w:rPr>
            </w:pPr>
            <w:r w:rsidRPr="000922A7">
              <w:rPr>
                <w:rFonts w:ascii="Arial" w:hAnsi="Arial" w:cs="Arial"/>
                <w:color w:val="000000"/>
                <w:sz w:val="22"/>
                <w:szCs w:val="22"/>
              </w:rPr>
              <w:t>2026</w:t>
            </w:r>
          </w:p>
        </w:tc>
        <w:tc>
          <w:tcPr>
            <w:tcW w:w="900" w:type="dxa"/>
            <w:gridSpan w:val="2"/>
          </w:tcPr>
          <w:p w:rsidRPr="000922A7" w:rsidR="002500ED" w:rsidP="002500ED" w:rsidRDefault="002500ED" w14:paraId="024BAAC7" w14:textId="5ACD4D5B">
            <w:pPr>
              <w:jc w:val="center"/>
              <w:rPr>
                <w:rFonts w:ascii="Arial" w:hAnsi="Arial" w:cs="Arial"/>
                <w:color w:val="000000"/>
                <w:sz w:val="22"/>
                <w:szCs w:val="22"/>
              </w:rPr>
            </w:pPr>
            <w:r w:rsidRPr="000922A7">
              <w:rPr>
                <w:rFonts w:ascii="Arial" w:hAnsi="Arial" w:cs="Arial"/>
                <w:color w:val="000000"/>
                <w:sz w:val="22"/>
                <w:szCs w:val="22"/>
              </w:rPr>
              <w:t>13.25</w:t>
            </w:r>
          </w:p>
        </w:tc>
        <w:tc>
          <w:tcPr>
            <w:tcW w:w="1080" w:type="dxa"/>
          </w:tcPr>
          <w:p w:rsidRPr="000922A7" w:rsidR="002500ED" w:rsidP="002500ED" w:rsidRDefault="002500ED" w14:paraId="2BE33A5C" w14:textId="4868F118">
            <w:pPr>
              <w:jc w:val="center"/>
              <w:rPr>
                <w:rFonts w:ascii="Arial" w:hAnsi="Arial" w:cs="Arial"/>
                <w:color w:val="000000"/>
                <w:sz w:val="22"/>
                <w:szCs w:val="22"/>
              </w:rPr>
            </w:pPr>
            <w:r w:rsidRPr="000922A7">
              <w:rPr>
                <w:rFonts w:ascii="Arial" w:hAnsi="Arial" w:cs="Arial"/>
                <w:color w:val="000000"/>
                <w:sz w:val="22"/>
                <w:szCs w:val="22"/>
              </w:rPr>
              <w:t>$365.00</w:t>
            </w:r>
          </w:p>
        </w:tc>
        <w:tc>
          <w:tcPr>
            <w:tcW w:w="1530" w:type="dxa"/>
            <w:gridSpan w:val="2"/>
            <w:tcBorders>
              <w:right w:val="single" w:color="auto" w:sz="4" w:space="0"/>
            </w:tcBorders>
          </w:tcPr>
          <w:p w:rsidRPr="000922A7" w:rsidR="002500ED" w:rsidP="002500ED" w:rsidRDefault="002500ED" w14:paraId="47429964" w14:textId="7CF5F0F2">
            <w:pPr>
              <w:jc w:val="center"/>
              <w:rPr>
                <w:rFonts w:ascii="Arial" w:hAnsi="Arial" w:cs="Arial"/>
                <w:color w:val="000000"/>
                <w:sz w:val="22"/>
                <w:szCs w:val="22"/>
              </w:rPr>
            </w:pPr>
            <w:r w:rsidRPr="000922A7">
              <w:rPr>
                <w:rFonts w:ascii="Arial" w:hAnsi="Arial" w:cs="Arial"/>
                <w:color w:val="000000"/>
                <w:sz w:val="22"/>
                <w:szCs w:val="22"/>
              </w:rPr>
              <w:t>50% of 2026 Rate; See Comment #1</w:t>
            </w:r>
          </w:p>
        </w:tc>
        <w:tc>
          <w:tcPr>
            <w:tcW w:w="1333" w:type="dxa"/>
            <w:gridSpan w:val="2"/>
            <w:tcBorders>
              <w:top w:val="single" w:color="auto" w:sz="4" w:space="0"/>
              <w:left w:val="single" w:color="auto" w:sz="4" w:space="0"/>
              <w:bottom w:val="single" w:color="auto" w:sz="4" w:space="0"/>
              <w:right w:val="single" w:color="auto" w:sz="24" w:space="0"/>
            </w:tcBorders>
          </w:tcPr>
          <w:p w:rsidRPr="000922A7" w:rsidR="002500ED" w:rsidP="002500ED" w:rsidRDefault="002500ED" w14:paraId="6103641F" w14:textId="6B7C4F5D">
            <w:pPr>
              <w:jc w:val="right"/>
              <w:rPr>
                <w:rFonts w:ascii="Arial" w:hAnsi="Arial" w:cs="Arial"/>
                <w:color w:val="000000"/>
                <w:sz w:val="22"/>
                <w:szCs w:val="22"/>
              </w:rPr>
            </w:pPr>
            <w:r>
              <w:rPr>
                <w:rFonts w:ascii="Arial" w:hAnsi="Arial" w:cs="Arial"/>
                <w:color w:val="000000"/>
                <w:sz w:val="22"/>
                <w:szCs w:val="22"/>
              </w:rPr>
              <w:t>$</w:t>
            </w:r>
            <w:r w:rsidRPr="000922A7">
              <w:rPr>
                <w:rFonts w:ascii="Arial" w:hAnsi="Arial" w:cs="Arial"/>
                <w:color w:val="000000"/>
                <w:sz w:val="22"/>
                <w:szCs w:val="22"/>
              </w:rPr>
              <w:t>4,836.25</w:t>
            </w:r>
          </w:p>
        </w:tc>
        <w:tc>
          <w:tcPr>
            <w:tcW w:w="955" w:type="dxa"/>
            <w:gridSpan w:val="2"/>
            <w:tcBorders>
              <w:left w:val="single" w:color="auto" w:sz="4" w:space="0"/>
              <w:right w:val="single" w:color="auto" w:sz="4" w:space="0"/>
            </w:tcBorders>
          </w:tcPr>
          <w:p w:rsidRPr="006756BC" w:rsidR="002500ED" w:rsidP="002500ED" w:rsidRDefault="002500ED" w14:paraId="5A24EE73" w14:textId="3D6C3F20">
            <w:pPr>
              <w:jc w:val="center"/>
              <w:rPr>
                <w:color w:val="000000"/>
              </w:rPr>
            </w:pPr>
            <w:r w:rsidRPr="00E019D7">
              <w:t>13.25</w:t>
            </w:r>
          </w:p>
        </w:tc>
        <w:tc>
          <w:tcPr>
            <w:tcW w:w="1146" w:type="dxa"/>
            <w:tcBorders>
              <w:left w:val="single" w:color="auto" w:sz="4" w:space="0"/>
            </w:tcBorders>
          </w:tcPr>
          <w:p w:rsidRPr="006756BC" w:rsidR="002500ED" w:rsidP="002500ED" w:rsidRDefault="002500ED" w14:paraId="55DC8EEA" w14:textId="54CA551B">
            <w:pPr>
              <w:jc w:val="center"/>
              <w:rPr>
                <w:color w:val="000000"/>
              </w:rPr>
            </w:pPr>
            <w:r>
              <w:rPr>
                <w:color w:val="000000"/>
              </w:rPr>
              <w:t>$365.00</w:t>
            </w:r>
          </w:p>
        </w:tc>
        <w:tc>
          <w:tcPr>
            <w:tcW w:w="1881" w:type="dxa"/>
          </w:tcPr>
          <w:p w:rsidRPr="006756BC" w:rsidR="002500ED" w:rsidP="002500ED" w:rsidRDefault="002500ED" w14:paraId="09637862" w14:textId="2791AFC4">
            <w:pPr>
              <w:jc w:val="right"/>
              <w:rPr>
                <w:color w:val="000000"/>
              </w:rPr>
            </w:pPr>
            <w:r w:rsidRPr="003171B3">
              <w:t xml:space="preserve">$4,836.25 </w:t>
            </w:r>
          </w:p>
        </w:tc>
      </w:tr>
      <w:tr w:rsidRPr="006756BC" w:rsidR="002500ED" w:rsidTr="001B587E" w14:paraId="215EA28F" w14:textId="77777777">
        <w:trPr>
          <w:jc w:val="center"/>
        </w:trPr>
        <w:tc>
          <w:tcPr>
            <w:tcW w:w="1525" w:type="dxa"/>
          </w:tcPr>
          <w:p w:rsidRPr="000922A7" w:rsidR="002500ED" w:rsidP="002500ED" w:rsidRDefault="002500ED" w14:paraId="15B82B9B" w14:textId="07B51E8D">
            <w:pPr>
              <w:jc w:val="center"/>
              <w:rPr>
                <w:rFonts w:ascii="Arial" w:hAnsi="Arial" w:cs="Arial"/>
                <w:color w:val="000000"/>
                <w:sz w:val="22"/>
                <w:szCs w:val="22"/>
              </w:rPr>
            </w:pPr>
            <w:r w:rsidRPr="000922A7">
              <w:rPr>
                <w:rFonts w:ascii="Arial" w:hAnsi="Arial" w:cs="Arial"/>
                <w:color w:val="000000"/>
                <w:sz w:val="22"/>
                <w:szCs w:val="22"/>
              </w:rPr>
              <w:t>Marcel Hawiger, TURN Attorney</w:t>
            </w:r>
          </w:p>
        </w:tc>
        <w:tc>
          <w:tcPr>
            <w:tcW w:w="810" w:type="dxa"/>
          </w:tcPr>
          <w:p w:rsidRPr="000922A7" w:rsidR="002500ED" w:rsidP="002500ED" w:rsidRDefault="002500ED" w14:paraId="556D921A" w14:textId="4A61B9BA">
            <w:pPr>
              <w:jc w:val="center"/>
              <w:rPr>
                <w:rFonts w:ascii="Arial" w:hAnsi="Arial" w:cs="Arial"/>
                <w:color w:val="000000"/>
                <w:sz w:val="22"/>
                <w:szCs w:val="22"/>
              </w:rPr>
            </w:pPr>
            <w:r w:rsidRPr="000922A7">
              <w:rPr>
                <w:rFonts w:ascii="Arial" w:hAnsi="Arial" w:cs="Arial"/>
                <w:color w:val="000000"/>
                <w:sz w:val="22"/>
                <w:szCs w:val="22"/>
              </w:rPr>
              <w:t>2022</w:t>
            </w:r>
          </w:p>
        </w:tc>
        <w:tc>
          <w:tcPr>
            <w:tcW w:w="900" w:type="dxa"/>
            <w:gridSpan w:val="2"/>
          </w:tcPr>
          <w:p w:rsidRPr="000922A7" w:rsidR="002500ED" w:rsidP="002500ED" w:rsidRDefault="002500ED" w14:paraId="678AE382" w14:textId="768EEA1D">
            <w:pPr>
              <w:jc w:val="center"/>
              <w:rPr>
                <w:rFonts w:ascii="Arial" w:hAnsi="Arial" w:cs="Arial"/>
                <w:color w:val="000000"/>
                <w:sz w:val="22"/>
                <w:szCs w:val="22"/>
              </w:rPr>
            </w:pPr>
            <w:r w:rsidRPr="000922A7">
              <w:rPr>
                <w:rFonts w:ascii="Arial" w:hAnsi="Arial" w:cs="Arial"/>
                <w:color w:val="000000"/>
                <w:sz w:val="22"/>
                <w:szCs w:val="22"/>
              </w:rPr>
              <w:t>0.25</w:t>
            </w:r>
          </w:p>
        </w:tc>
        <w:tc>
          <w:tcPr>
            <w:tcW w:w="1080" w:type="dxa"/>
          </w:tcPr>
          <w:p w:rsidRPr="000922A7" w:rsidR="002500ED" w:rsidP="002500ED" w:rsidRDefault="002500ED" w14:paraId="5646D9ED" w14:textId="17D20620">
            <w:pPr>
              <w:jc w:val="center"/>
              <w:rPr>
                <w:rFonts w:ascii="Arial" w:hAnsi="Arial" w:cs="Arial"/>
                <w:color w:val="000000"/>
                <w:sz w:val="22"/>
                <w:szCs w:val="22"/>
              </w:rPr>
            </w:pPr>
            <w:r w:rsidRPr="000922A7">
              <w:rPr>
                <w:rFonts w:ascii="Arial" w:hAnsi="Arial" w:cs="Arial"/>
                <w:color w:val="000000"/>
                <w:sz w:val="22"/>
                <w:szCs w:val="22"/>
              </w:rPr>
              <w:t>$335.00</w:t>
            </w:r>
          </w:p>
        </w:tc>
        <w:tc>
          <w:tcPr>
            <w:tcW w:w="1530" w:type="dxa"/>
            <w:gridSpan w:val="2"/>
            <w:tcBorders>
              <w:right w:val="single" w:color="auto" w:sz="4" w:space="0"/>
            </w:tcBorders>
          </w:tcPr>
          <w:p w:rsidRPr="000922A7" w:rsidR="002500ED" w:rsidP="002500ED" w:rsidRDefault="002500ED" w14:paraId="772341EB" w14:textId="6F41C1B4">
            <w:pPr>
              <w:jc w:val="center"/>
              <w:rPr>
                <w:rFonts w:ascii="Arial" w:hAnsi="Arial" w:cs="Arial"/>
                <w:color w:val="000000"/>
                <w:sz w:val="22"/>
                <w:szCs w:val="22"/>
              </w:rPr>
            </w:pPr>
            <w:r w:rsidRPr="000922A7">
              <w:rPr>
                <w:rFonts w:ascii="Arial" w:hAnsi="Arial" w:cs="Arial"/>
                <w:color w:val="000000"/>
                <w:sz w:val="22"/>
                <w:szCs w:val="22"/>
              </w:rPr>
              <w:t>50% of 2022 Rate</w:t>
            </w:r>
          </w:p>
        </w:tc>
        <w:tc>
          <w:tcPr>
            <w:tcW w:w="1333" w:type="dxa"/>
            <w:gridSpan w:val="2"/>
            <w:tcBorders>
              <w:top w:val="single" w:color="auto" w:sz="4" w:space="0"/>
              <w:left w:val="single" w:color="auto" w:sz="4" w:space="0"/>
              <w:bottom w:val="single" w:color="auto" w:sz="4" w:space="0"/>
              <w:right w:val="single" w:color="auto" w:sz="24" w:space="0"/>
            </w:tcBorders>
          </w:tcPr>
          <w:p w:rsidRPr="000922A7" w:rsidR="002500ED" w:rsidP="002500ED" w:rsidRDefault="002500ED" w14:paraId="1EA4D8FF" w14:textId="764FB915">
            <w:pPr>
              <w:jc w:val="right"/>
              <w:rPr>
                <w:rFonts w:ascii="Arial" w:hAnsi="Arial" w:cs="Arial"/>
                <w:color w:val="000000"/>
                <w:sz w:val="22"/>
                <w:szCs w:val="22"/>
              </w:rPr>
            </w:pPr>
            <w:r>
              <w:rPr>
                <w:rFonts w:ascii="Arial" w:hAnsi="Arial" w:cs="Arial"/>
                <w:color w:val="000000"/>
                <w:sz w:val="22"/>
                <w:szCs w:val="22"/>
              </w:rPr>
              <w:t>$</w:t>
            </w:r>
            <w:r w:rsidRPr="000922A7">
              <w:rPr>
                <w:rFonts w:ascii="Arial" w:hAnsi="Arial" w:cs="Arial"/>
                <w:color w:val="000000"/>
                <w:sz w:val="22"/>
                <w:szCs w:val="22"/>
              </w:rPr>
              <w:t>83.75</w:t>
            </w:r>
          </w:p>
        </w:tc>
        <w:tc>
          <w:tcPr>
            <w:tcW w:w="955" w:type="dxa"/>
            <w:gridSpan w:val="2"/>
            <w:tcBorders>
              <w:left w:val="single" w:color="auto" w:sz="4" w:space="0"/>
              <w:right w:val="single" w:color="auto" w:sz="4" w:space="0"/>
            </w:tcBorders>
          </w:tcPr>
          <w:p w:rsidRPr="006756BC" w:rsidR="002500ED" w:rsidP="002500ED" w:rsidRDefault="002500ED" w14:paraId="35257572" w14:textId="7CBE737B">
            <w:pPr>
              <w:jc w:val="center"/>
              <w:rPr>
                <w:color w:val="000000"/>
              </w:rPr>
            </w:pPr>
            <w:r w:rsidRPr="00E019D7">
              <w:t>0.25</w:t>
            </w:r>
          </w:p>
        </w:tc>
        <w:tc>
          <w:tcPr>
            <w:tcW w:w="1146" w:type="dxa"/>
            <w:tcBorders>
              <w:left w:val="single" w:color="auto" w:sz="4" w:space="0"/>
            </w:tcBorders>
          </w:tcPr>
          <w:p w:rsidRPr="006756BC" w:rsidR="002500ED" w:rsidP="002500ED" w:rsidRDefault="002500ED" w14:paraId="791762D6" w14:textId="5D31D6EB">
            <w:pPr>
              <w:jc w:val="center"/>
              <w:rPr>
                <w:color w:val="000000"/>
              </w:rPr>
            </w:pPr>
            <w:r>
              <w:rPr>
                <w:color w:val="000000"/>
              </w:rPr>
              <w:t>$335.00</w:t>
            </w:r>
          </w:p>
        </w:tc>
        <w:tc>
          <w:tcPr>
            <w:tcW w:w="1881" w:type="dxa"/>
          </w:tcPr>
          <w:p w:rsidRPr="006756BC" w:rsidR="002500ED" w:rsidP="002500ED" w:rsidRDefault="002500ED" w14:paraId="1137B670" w14:textId="1B10AE60">
            <w:pPr>
              <w:jc w:val="right"/>
              <w:rPr>
                <w:color w:val="000000"/>
              </w:rPr>
            </w:pPr>
            <w:r w:rsidRPr="003171B3">
              <w:t xml:space="preserve">$83.75 </w:t>
            </w:r>
          </w:p>
        </w:tc>
      </w:tr>
      <w:tr w:rsidRPr="006756BC" w:rsidR="002500ED" w:rsidTr="001B587E" w14:paraId="2D565F08" w14:textId="77777777">
        <w:trPr>
          <w:jc w:val="center"/>
        </w:trPr>
        <w:tc>
          <w:tcPr>
            <w:tcW w:w="1525" w:type="dxa"/>
          </w:tcPr>
          <w:p w:rsidRPr="000922A7" w:rsidR="002500ED" w:rsidP="002500ED" w:rsidRDefault="002500ED" w14:paraId="0E3034A0" w14:textId="4B3B684B">
            <w:pPr>
              <w:jc w:val="center"/>
              <w:rPr>
                <w:rFonts w:ascii="Arial" w:hAnsi="Arial" w:cs="Arial"/>
                <w:color w:val="000000"/>
                <w:sz w:val="22"/>
                <w:szCs w:val="22"/>
              </w:rPr>
            </w:pPr>
            <w:r w:rsidRPr="000922A7">
              <w:rPr>
                <w:rFonts w:ascii="Arial" w:hAnsi="Arial" w:cs="Arial"/>
                <w:color w:val="000000"/>
                <w:sz w:val="22"/>
                <w:szCs w:val="22"/>
              </w:rPr>
              <w:t>Marna Paintsil Anning, TURN Attorney</w:t>
            </w:r>
          </w:p>
        </w:tc>
        <w:tc>
          <w:tcPr>
            <w:tcW w:w="810" w:type="dxa"/>
          </w:tcPr>
          <w:p w:rsidRPr="000922A7" w:rsidR="002500ED" w:rsidP="002500ED" w:rsidRDefault="002500ED" w14:paraId="6A5F96D8" w14:textId="411CF4BD">
            <w:pPr>
              <w:jc w:val="center"/>
              <w:rPr>
                <w:rFonts w:ascii="Arial" w:hAnsi="Arial" w:cs="Arial"/>
                <w:color w:val="000000"/>
                <w:sz w:val="22"/>
                <w:szCs w:val="22"/>
              </w:rPr>
            </w:pPr>
            <w:r w:rsidRPr="000922A7">
              <w:rPr>
                <w:rFonts w:ascii="Arial" w:hAnsi="Arial" w:cs="Arial"/>
                <w:color w:val="000000"/>
                <w:sz w:val="22"/>
                <w:szCs w:val="22"/>
              </w:rPr>
              <w:t>2022</w:t>
            </w:r>
          </w:p>
        </w:tc>
        <w:tc>
          <w:tcPr>
            <w:tcW w:w="900" w:type="dxa"/>
            <w:gridSpan w:val="2"/>
          </w:tcPr>
          <w:p w:rsidRPr="000922A7" w:rsidR="002500ED" w:rsidP="002500ED" w:rsidRDefault="002500ED" w14:paraId="702AC990" w14:textId="47BBEB40">
            <w:pPr>
              <w:jc w:val="center"/>
              <w:rPr>
                <w:rFonts w:ascii="Arial" w:hAnsi="Arial" w:cs="Arial"/>
                <w:color w:val="000000"/>
                <w:sz w:val="22"/>
                <w:szCs w:val="22"/>
              </w:rPr>
            </w:pPr>
            <w:r w:rsidRPr="000922A7">
              <w:rPr>
                <w:rFonts w:ascii="Arial" w:hAnsi="Arial" w:cs="Arial"/>
                <w:color w:val="000000"/>
                <w:sz w:val="22"/>
                <w:szCs w:val="22"/>
              </w:rPr>
              <w:t>1.75</w:t>
            </w:r>
          </w:p>
        </w:tc>
        <w:tc>
          <w:tcPr>
            <w:tcW w:w="1080" w:type="dxa"/>
          </w:tcPr>
          <w:p w:rsidRPr="000922A7" w:rsidR="002500ED" w:rsidP="002500ED" w:rsidRDefault="002500ED" w14:paraId="34838523" w14:textId="231A7D8D">
            <w:pPr>
              <w:jc w:val="center"/>
              <w:rPr>
                <w:rFonts w:ascii="Arial" w:hAnsi="Arial" w:cs="Arial"/>
                <w:color w:val="000000"/>
                <w:sz w:val="22"/>
                <w:szCs w:val="22"/>
              </w:rPr>
            </w:pPr>
            <w:r w:rsidRPr="000922A7">
              <w:rPr>
                <w:rFonts w:ascii="Arial" w:hAnsi="Arial" w:cs="Arial"/>
                <w:color w:val="000000"/>
                <w:sz w:val="22"/>
                <w:szCs w:val="22"/>
              </w:rPr>
              <w:t>$137.50</w:t>
            </w:r>
          </w:p>
        </w:tc>
        <w:tc>
          <w:tcPr>
            <w:tcW w:w="1530" w:type="dxa"/>
            <w:gridSpan w:val="2"/>
            <w:tcBorders>
              <w:right w:val="single" w:color="auto" w:sz="4" w:space="0"/>
            </w:tcBorders>
          </w:tcPr>
          <w:p w:rsidRPr="000922A7" w:rsidR="002500ED" w:rsidP="002500ED" w:rsidRDefault="002500ED" w14:paraId="349751E1" w14:textId="4A4F51A1">
            <w:pPr>
              <w:jc w:val="center"/>
              <w:rPr>
                <w:rFonts w:ascii="Arial" w:hAnsi="Arial" w:cs="Arial"/>
                <w:color w:val="000000"/>
                <w:sz w:val="22"/>
                <w:szCs w:val="22"/>
              </w:rPr>
            </w:pPr>
            <w:r w:rsidRPr="000922A7">
              <w:rPr>
                <w:rFonts w:ascii="Arial" w:hAnsi="Arial" w:cs="Arial"/>
                <w:color w:val="000000"/>
                <w:sz w:val="22"/>
                <w:szCs w:val="22"/>
              </w:rPr>
              <w:t>50% of 2022 Rate</w:t>
            </w:r>
          </w:p>
        </w:tc>
        <w:tc>
          <w:tcPr>
            <w:tcW w:w="1333" w:type="dxa"/>
            <w:gridSpan w:val="2"/>
            <w:tcBorders>
              <w:top w:val="single" w:color="auto" w:sz="4" w:space="0"/>
              <w:left w:val="single" w:color="auto" w:sz="4" w:space="0"/>
              <w:bottom w:val="single" w:color="auto" w:sz="4" w:space="0"/>
              <w:right w:val="single" w:color="auto" w:sz="24" w:space="0"/>
            </w:tcBorders>
          </w:tcPr>
          <w:p w:rsidRPr="000922A7" w:rsidR="002500ED" w:rsidP="002500ED" w:rsidRDefault="002500ED" w14:paraId="2C2CE720" w14:textId="29E2A138">
            <w:pPr>
              <w:jc w:val="right"/>
              <w:rPr>
                <w:rFonts w:ascii="Arial" w:hAnsi="Arial" w:cs="Arial"/>
                <w:color w:val="000000"/>
                <w:sz w:val="22"/>
                <w:szCs w:val="22"/>
              </w:rPr>
            </w:pPr>
            <w:r>
              <w:rPr>
                <w:rFonts w:ascii="Arial" w:hAnsi="Arial" w:cs="Arial"/>
                <w:color w:val="000000"/>
                <w:sz w:val="22"/>
                <w:szCs w:val="22"/>
              </w:rPr>
              <w:t>$</w:t>
            </w:r>
            <w:r w:rsidRPr="000922A7">
              <w:rPr>
                <w:rFonts w:ascii="Arial" w:hAnsi="Arial" w:cs="Arial"/>
                <w:color w:val="000000"/>
                <w:sz w:val="22"/>
                <w:szCs w:val="22"/>
              </w:rPr>
              <w:t>240.63</w:t>
            </w:r>
          </w:p>
        </w:tc>
        <w:tc>
          <w:tcPr>
            <w:tcW w:w="955" w:type="dxa"/>
            <w:gridSpan w:val="2"/>
            <w:tcBorders>
              <w:left w:val="single" w:color="auto" w:sz="4" w:space="0"/>
              <w:right w:val="single" w:color="auto" w:sz="4" w:space="0"/>
            </w:tcBorders>
          </w:tcPr>
          <w:p w:rsidRPr="006756BC" w:rsidR="002500ED" w:rsidP="002500ED" w:rsidRDefault="002500ED" w14:paraId="51AB8DEA" w14:textId="3161331D">
            <w:pPr>
              <w:jc w:val="center"/>
              <w:rPr>
                <w:color w:val="000000"/>
              </w:rPr>
            </w:pPr>
            <w:r w:rsidRPr="00E019D7">
              <w:t>1.75</w:t>
            </w:r>
          </w:p>
        </w:tc>
        <w:tc>
          <w:tcPr>
            <w:tcW w:w="1146" w:type="dxa"/>
            <w:tcBorders>
              <w:left w:val="single" w:color="auto" w:sz="4" w:space="0"/>
            </w:tcBorders>
          </w:tcPr>
          <w:p w:rsidRPr="006756BC" w:rsidR="002500ED" w:rsidP="002500ED" w:rsidRDefault="002500ED" w14:paraId="3D703B4D" w14:textId="48A0795F">
            <w:pPr>
              <w:jc w:val="center"/>
              <w:rPr>
                <w:color w:val="000000"/>
              </w:rPr>
            </w:pPr>
            <w:r>
              <w:rPr>
                <w:color w:val="000000"/>
              </w:rPr>
              <w:t>$137.50</w:t>
            </w:r>
          </w:p>
        </w:tc>
        <w:tc>
          <w:tcPr>
            <w:tcW w:w="1881" w:type="dxa"/>
          </w:tcPr>
          <w:p w:rsidRPr="006756BC" w:rsidR="002500ED" w:rsidP="002500ED" w:rsidRDefault="002500ED" w14:paraId="159FC507" w14:textId="69FE46E1">
            <w:pPr>
              <w:jc w:val="right"/>
              <w:rPr>
                <w:color w:val="000000"/>
              </w:rPr>
            </w:pPr>
            <w:r w:rsidRPr="003171B3">
              <w:t xml:space="preserve">$240.63 </w:t>
            </w:r>
          </w:p>
        </w:tc>
      </w:tr>
      <w:tr w:rsidRPr="006756BC" w:rsidR="00625B30" w:rsidTr="0036244B" w14:paraId="4608BE29" w14:textId="77777777">
        <w:trPr>
          <w:jc w:val="center"/>
        </w:trPr>
        <w:tc>
          <w:tcPr>
            <w:tcW w:w="7178" w:type="dxa"/>
            <w:gridSpan w:val="9"/>
            <w:tcBorders>
              <w:bottom w:val="single" w:color="auto" w:sz="4" w:space="0"/>
              <w:right w:val="single" w:color="auto" w:sz="24" w:space="0"/>
            </w:tcBorders>
            <w:vAlign w:val="bottom"/>
          </w:tcPr>
          <w:p w:rsidRPr="006756BC" w:rsidR="00625B30" w:rsidP="00625B30" w:rsidRDefault="00625B30" w14:paraId="5CE72E9B" w14:textId="08AFFA56">
            <w:pPr>
              <w:tabs>
                <w:tab w:val="left" w:pos="957"/>
              </w:tabs>
              <w:spacing w:before="60" w:after="60"/>
              <w:ind w:right="162"/>
              <w:jc w:val="right"/>
              <w:rPr>
                <w:b/>
                <w:i/>
                <w:color w:val="000000"/>
              </w:rPr>
            </w:pPr>
            <w:r w:rsidRPr="006756BC">
              <w:rPr>
                <w:b/>
                <w:i/>
                <w:color w:val="000000"/>
              </w:rPr>
              <w:lastRenderedPageBreak/>
              <w:t>Subtotal: $</w:t>
            </w:r>
            <w:r w:rsidR="008E50D3">
              <w:rPr>
                <w:b/>
                <w:i/>
                <w:color w:val="000000"/>
              </w:rPr>
              <w:t>5,160.63</w:t>
            </w:r>
          </w:p>
        </w:tc>
        <w:tc>
          <w:tcPr>
            <w:tcW w:w="3982" w:type="dxa"/>
            <w:gridSpan w:val="4"/>
            <w:tcBorders>
              <w:left w:val="single" w:color="auto" w:sz="24" w:space="0"/>
              <w:bottom w:val="single" w:color="auto" w:sz="4" w:space="0"/>
            </w:tcBorders>
            <w:vAlign w:val="bottom"/>
          </w:tcPr>
          <w:p w:rsidRPr="006756BC" w:rsidR="00625B30" w:rsidP="00625B30" w:rsidRDefault="00625B30" w14:paraId="2BF3E0ED" w14:textId="14699868">
            <w:pPr>
              <w:tabs>
                <w:tab w:val="left" w:pos="957"/>
              </w:tabs>
              <w:spacing w:before="60" w:after="60"/>
              <w:ind w:right="162"/>
              <w:jc w:val="right"/>
              <w:rPr>
                <w:b/>
                <w:i/>
                <w:color w:val="000000"/>
              </w:rPr>
            </w:pPr>
            <w:r w:rsidRPr="006756BC">
              <w:rPr>
                <w:b/>
                <w:i/>
                <w:color w:val="000000"/>
              </w:rPr>
              <w:t xml:space="preserve">Subtotal: </w:t>
            </w:r>
            <w:r w:rsidRPr="002500ED" w:rsidR="002500ED">
              <w:rPr>
                <w:b/>
                <w:i/>
                <w:color w:val="000000"/>
              </w:rPr>
              <w:t>$5,160.63</w:t>
            </w:r>
          </w:p>
        </w:tc>
      </w:tr>
      <w:tr w:rsidRPr="006756BC" w:rsidR="00625B30" w:rsidTr="0036244B" w14:paraId="75C517AB" w14:textId="77777777">
        <w:trPr>
          <w:jc w:val="center"/>
        </w:trPr>
        <w:tc>
          <w:tcPr>
            <w:tcW w:w="7178" w:type="dxa"/>
            <w:gridSpan w:val="9"/>
            <w:tcBorders>
              <w:top w:val="single" w:color="auto" w:sz="4" w:space="0"/>
              <w:bottom w:val="single" w:color="auto" w:sz="4" w:space="0"/>
              <w:right w:val="single" w:color="auto" w:sz="24" w:space="0"/>
            </w:tcBorders>
            <w:shd w:val="clear" w:color="auto" w:fill="E6E6E6"/>
            <w:vAlign w:val="bottom"/>
          </w:tcPr>
          <w:p w:rsidRPr="006756BC" w:rsidR="00625B30" w:rsidP="00625B30" w:rsidRDefault="00625B30" w14:paraId="48F9E637" w14:textId="30ECE86C">
            <w:pPr>
              <w:tabs>
                <w:tab w:val="left" w:pos="957"/>
              </w:tabs>
              <w:spacing w:before="60" w:after="60"/>
              <w:ind w:right="72"/>
              <w:jc w:val="right"/>
              <w:rPr>
                <w:b/>
                <w:color w:val="000000"/>
              </w:rPr>
            </w:pPr>
            <w:r w:rsidRPr="006756BC">
              <w:rPr>
                <w:b/>
                <w:i/>
                <w:color w:val="000000"/>
              </w:rPr>
              <w:t>TOTAL REQUEST: $</w:t>
            </w:r>
            <w:r w:rsidR="008E50D3">
              <w:rPr>
                <w:b/>
                <w:i/>
                <w:color w:val="000000"/>
              </w:rPr>
              <w:t>133,691.88</w:t>
            </w:r>
          </w:p>
        </w:tc>
        <w:tc>
          <w:tcPr>
            <w:tcW w:w="3982" w:type="dxa"/>
            <w:gridSpan w:val="4"/>
            <w:tcBorders>
              <w:left w:val="single" w:color="auto" w:sz="24" w:space="0"/>
            </w:tcBorders>
            <w:shd w:val="clear" w:color="auto" w:fill="E6E6E6"/>
            <w:vAlign w:val="bottom"/>
          </w:tcPr>
          <w:p w:rsidRPr="006756BC" w:rsidR="00625B30" w:rsidP="00625B30" w:rsidRDefault="00625B30" w14:paraId="36019530" w14:textId="48C17444">
            <w:pPr>
              <w:tabs>
                <w:tab w:val="left" w:pos="957"/>
              </w:tabs>
              <w:spacing w:before="60" w:after="60"/>
              <w:ind w:right="72"/>
              <w:jc w:val="right"/>
              <w:rPr>
                <w:b/>
                <w:color w:val="000000"/>
              </w:rPr>
            </w:pPr>
            <w:r w:rsidRPr="006756BC">
              <w:rPr>
                <w:b/>
                <w:i/>
                <w:color w:val="000000"/>
              </w:rPr>
              <w:t xml:space="preserve">TOTAL AWARD: </w:t>
            </w:r>
            <w:r w:rsidRPr="001B587E" w:rsidR="001B587E">
              <w:rPr>
                <w:b/>
                <w:i/>
                <w:color w:val="000000"/>
              </w:rPr>
              <w:t>$133,691.88</w:t>
            </w:r>
          </w:p>
        </w:tc>
      </w:tr>
      <w:tr w:rsidRPr="006756BC" w:rsidR="00625B30" w:rsidTr="0036244B" w14:paraId="752C4918" w14:textId="77777777">
        <w:trPr>
          <w:jc w:val="center"/>
        </w:trPr>
        <w:tc>
          <w:tcPr>
            <w:tcW w:w="11160" w:type="dxa"/>
            <w:gridSpan w:val="13"/>
            <w:tcBorders>
              <w:top w:val="single" w:color="auto" w:sz="4" w:space="0"/>
              <w:bottom w:val="single" w:color="auto" w:sz="4" w:space="0"/>
            </w:tcBorders>
          </w:tcPr>
          <w:p w:rsidRPr="006756BC" w:rsidR="00625B30" w:rsidP="00625B30" w:rsidRDefault="00625B30" w14:paraId="2529F508" w14:textId="77777777">
            <w:pPr>
              <w:spacing w:before="60" w:after="60"/>
              <w:rPr>
                <w:color w:val="000000"/>
              </w:rPr>
            </w:pPr>
            <w:r w:rsidRPr="006756BC">
              <w:rPr>
                <w:color w:val="000000"/>
              </w:rPr>
              <w:t xml:space="preserve">  *We remind all intervenors that Commission staff may audit </w:t>
            </w:r>
            <w:r w:rsidRPr="006756BC">
              <w:t>the records and books of the intervenors to the extent necessary to verify the basis for the award (§1804(d)).  I</w:t>
            </w:r>
            <w:r w:rsidRPr="006756BC">
              <w:rPr>
                <w:color w:val="000000"/>
              </w:rPr>
              <w:t xml:space="preserve">ntervenors must make and retain adequate accounting and other documentation to support all claims for intervenor compensation.  Intervenor’s records should identify specific issues for which it seeks compensation, the actual time spent by each employee or consultant, the applicable hourly rates, fees paid to consultants and any other costs for which compensation was claimed.  The records pertaining to an award of compensation shall be retained for at least three years from the date of the final decision making the award. </w:t>
            </w:r>
          </w:p>
          <w:p w:rsidRPr="006756BC" w:rsidR="00625B30" w:rsidP="00625B30" w:rsidRDefault="00625B30" w14:paraId="55A9FBC3" w14:textId="77777777">
            <w:pPr>
              <w:spacing w:before="60" w:after="60"/>
              <w:rPr>
                <w:color w:val="000000"/>
              </w:rPr>
            </w:pPr>
            <w:r w:rsidRPr="006756BC">
              <w:rPr>
                <w:color w:val="000000"/>
              </w:rPr>
              <w:t>**Travel and Reasonable Claim preparation time are typically compensated at ½ of preparer’s normal hourly rate</w:t>
            </w:r>
            <w:r w:rsidRPr="006756BC" w:rsidDel="00D075B1">
              <w:rPr>
                <w:color w:val="000000"/>
              </w:rPr>
              <w:t xml:space="preserve"> </w:t>
            </w:r>
          </w:p>
        </w:tc>
      </w:tr>
      <w:tr w:rsidRPr="006756BC" w:rsidR="00625B30" w:rsidTr="0036244B" w14:paraId="0E1E87BF" w14:textId="77777777">
        <w:trPr>
          <w:jc w:val="center"/>
        </w:trPr>
        <w:tc>
          <w:tcPr>
            <w:tcW w:w="11160" w:type="dxa"/>
            <w:gridSpan w:val="1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6756BC" w:rsidR="00625B30" w:rsidP="00625B30" w:rsidRDefault="00625B30" w14:paraId="3EFD1514" w14:textId="77777777">
            <w:pPr>
              <w:keepNext/>
              <w:spacing w:before="60" w:after="60"/>
              <w:jc w:val="center"/>
              <w:rPr>
                <w:b/>
                <w:smallCaps/>
                <w:color w:val="000000"/>
              </w:rPr>
            </w:pPr>
            <w:r w:rsidRPr="006756BC">
              <w:rPr>
                <w:b/>
                <w:smallCaps/>
                <w:color w:val="000000"/>
              </w:rPr>
              <w:t>ATTORNEY INFORMATION</w:t>
            </w:r>
          </w:p>
        </w:tc>
      </w:tr>
      <w:tr w:rsidRPr="006756BC" w:rsidR="00625B30" w:rsidTr="0036244B" w14:paraId="44CA80FE" w14:textId="77777777">
        <w:trPr>
          <w:trHeight w:val="173"/>
          <w:jc w:val="center"/>
        </w:trPr>
        <w:tc>
          <w:tcPr>
            <w:tcW w:w="2692" w:type="dxa"/>
            <w:gridSpan w:val="3"/>
            <w:tcBorders>
              <w:top w:val="single" w:color="auto" w:sz="4" w:space="0"/>
              <w:bottom w:val="single" w:color="auto" w:sz="4" w:space="0"/>
            </w:tcBorders>
            <w:shd w:val="clear" w:color="auto" w:fill="FFFFFF"/>
            <w:vAlign w:val="bottom"/>
          </w:tcPr>
          <w:p w:rsidRPr="006756BC" w:rsidR="00625B30" w:rsidP="00625B30" w:rsidRDefault="00625B30" w14:paraId="444A57F1" w14:textId="77777777">
            <w:pPr>
              <w:keepNext/>
              <w:keepLines/>
              <w:spacing w:before="60" w:after="60"/>
              <w:jc w:val="center"/>
              <w:rPr>
                <w:b/>
                <w:color w:val="000000"/>
              </w:rPr>
            </w:pPr>
            <w:r w:rsidRPr="006756BC">
              <w:rPr>
                <w:b/>
              </w:rPr>
              <w:t>Attorney</w:t>
            </w:r>
          </w:p>
        </w:tc>
        <w:tc>
          <w:tcPr>
            <w:tcW w:w="1909" w:type="dxa"/>
            <w:gridSpan w:val="3"/>
            <w:tcBorders>
              <w:top w:val="single" w:color="auto" w:sz="4" w:space="0"/>
              <w:bottom w:val="single" w:color="auto" w:sz="4" w:space="0"/>
            </w:tcBorders>
            <w:shd w:val="clear" w:color="auto" w:fill="FFFFFF"/>
            <w:vAlign w:val="bottom"/>
          </w:tcPr>
          <w:p w:rsidRPr="006756BC" w:rsidR="00625B30" w:rsidP="00625B30" w:rsidRDefault="00625B30" w14:paraId="731CA32C" w14:textId="77777777">
            <w:pPr>
              <w:keepNext/>
              <w:keepLines/>
              <w:spacing w:before="60" w:after="60"/>
              <w:jc w:val="center"/>
              <w:rPr>
                <w:b/>
                <w:color w:val="000000"/>
              </w:rPr>
            </w:pPr>
            <w:r w:rsidRPr="006756BC">
              <w:rPr>
                <w:b/>
              </w:rPr>
              <w:t>Date Admitted to CA BAR</w:t>
            </w:r>
            <w:r w:rsidRPr="006756BC">
              <w:rPr>
                <w:rStyle w:val="FootnoteReference"/>
                <w:rFonts w:eastAsiaTheme="majorEastAsia"/>
                <w:b/>
              </w:rPr>
              <w:footnoteReference w:id="2"/>
            </w:r>
          </w:p>
        </w:tc>
        <w:tc>
          <w:tcPr>
            <w:tcW w:w="2291" w:type="dxa"/>
            <w:gridSpan w:val="2"/>
            <w:tcBorders>
              <w:top w:val="single" w:color="auto" w:sz="4" w:space="0"/>
              <w:bottom w:val="single" w:color="auto" w:sz="4" w:space="0"/>
            </w:tcBorders>
            <w:shd w:val="clear" w:color="auto" w:fill="FFFFFF"/>
            <w:vAlign w:val="bottom"/>
          </w:tcPr>
          <w:p w:rsidRPr="006756BC" w:rsidR="00625B30" w:rsidP="00625B30" w:rsidRDefault="00625B30" w14:paraId="2CACBB08" w14:textId="77777777">
            <w:pPr>
              <w:keepNext/>
              <w:keepLines/>
              <w:spacing w:before="60" w:after="60"/>
              <w:jc w:val="center"/>
              <w:rPr>
                <w:b/>
                <w:color w:val="000000"/>
              </w:rPr>
            </w:pPr>
            <w:r w:rsidRPr="006756BC">
              <w:rPr>
                <w:b/>
              </w:rPr>
              <w:t>Member Number</w:t>
            </w:r>
          </w:p>
        </w:tc>
        <w:tc>
          <w:tcPr>
            <w:tcW w:w="4268" w:type="dxa"/>
            <w:gridSpan w:val="5"/>
            <w:tcBorders>
              <w:top w:val="single" w:color="auto" w:sz="4" w:space="0"/>
              <w:bottom w:val="single" w:color="auto" w:sz="4" w:space="0"/>
            </w:tcBorders>
            <w:shd w:val="clear" w:color="auto" w:fill="FFFFFF"/>
            <w:vAlign w:val="bottom"/>
          </w:tcPr>
          <w:p w:rsidRPr="006756BC" w:rsidR="00625B30" w:rsidP="00625B30" w:rsidRDefault="00625B30" w14:paraId="798FF8E5" w14:textId="77777777">
            <w:pPr>
              <w:keepNext/>
              <w:keepLines/>
              <w:spacing w:before="60" w:after="60"/>
              <w:jc w:val="center"/>
              <w:rPr>
                <w:b/>
              </w:rPr>
            </w:pPr>
            <w:r w:rsidRPr="006756BC">
              <w:rPr>
                <w:b/>
              </w:rPr>
              <w:t>Actions Affecting Eligibility (Yes/No?)</w:t>
            </w:r>
          </w:p>
          <w:p w:rsidRPr="006756BC" w:rsidR="00625B30" w:rsidP="00625B30" w:rsidRDefault="00625B30" w14:paraId="234C64FA" w14:textId="77777777">
            <w:pPr>
              <w:keepNext/>
              <w:keepLines/>
              <w:spacing w:before="60" w:after="60"/>
              <w:jc w:val="center"/>
              <w:rPr>
                <w:b/>
                <w:color w:val="000000"/>
              </w:rPr>
            </w:pPr>
            <w:r w:rsidRPr="006756BC">
              <w:rPr>
                <w:b/>
              </w:rPr>
              <w:t>If “Yes”, attach explanation</w:t>
            </w:r>
          </w:p>
        </w:tc>
      </w:tr>
      <w:tr w:rsidRPr="006756BC" w:rsidR="00B91A69" w:rsidTr="00B13145" w14:paraId="139C1A00" w14:textId="77777777">
        <w:trPr>
          <w:trHeight w:val="172"/>
          <w:jc w:val="center"/>
        </w:trPr>
        <w:tc>
          <w:tcPr>
            <w:tcW w:w="2692" w:type="dxa"/>
            <w:gridSpan w:val="3"/>
            <w:tcBorders>
              <w:top w:val="single" w:color="auto" w:sz="4" w:space="0"/>
              <w:bottom w:val="single" w:color="auto" w:sz="4" w:space="0"/>
            </w:tcBorders>
          </w:tcPr>
          <w:p w:rsidRPr="006756BC" w:rsidR="00B91A69" w:rsidP="00B91A69" w:rsidRDefault="00B91A69" w14:paraId="27C376A1" w14:textId="6EFEC0F5">
            <w:pPr>
              <w:keepLines/>
              <w:spacing w:before="60" w:after="60"/>
              <w:jc w:val="center"/>
              <w:rPr>
                <w:color w:val="000000"/>
              </w:rPr>
            </w:pPr>
            <w:r>
              <w:rPr>
                <w:color w:val="000000"/>
              </w:rPr>
              <w:t>Camille Stough</w:t>
            </w:r>
          </w:p>
        </w:tc>
        <w:tc>
          <w:tcPr>
            <w:tcW w:w="1909" w:type="dxa"/>
            <w:gridSpan w:val="3"/>
            <w:tcBorders>
              <w:top w:val="single" w:color="auto" w:sz="4" w:space="0"/>
              <w:bottom w:val="single" w:color="auto" w:sz="4" w:space="0"/>
            </w:tcBorders>
            <w:vAlign w:val="bottom"/>
          </w:tcPr>
          <w:p w:rsidRPr="00605493" w:rsidR="00B91A69" w:rsidP="00B91A69" w:rsidRDefault="00B91A69" w14:paraId="10AAB69D" w14:textId="0AC277CD">
            <w:pPr>
              <w:keepLines/>
              <w:spacing w:before="60" w:after="60"/>
              <w:jc w:val="center"/>
              <w:rPr>
                <w:color w:val="000000"/>
              </w:rPr>
            </w:pPr>
            <w:r w:rsidRPr="00605493">
              <w:t>June 2016</w:t>
            </w:r>
          </w:p>
        </w:tc>
        <w:tc>
          <w:tcPr>
            <w:tcW w:w="2291" w:type="dxa"/>
            <w:gridSpan w:val="2"/>
            <w:tcBorders>
              <w:top w:val="single" w:color="auto" w:sz="4" w:space="0"/>
              <w:bottom w:val="single" w:color="auto" w:sz="4" w:space="0"/>
            </w:tcBorders>
            <w:vAlign w:val="bottom"/>
          </w:tcPr>
          <w:p w:rsidRPr="00605493" w:rsidR="00B91A69" w:rsidP="00B91A69" w:rsidRDefault="00B91A69" w14:paraId="002C5A63" w14:textId="617AB52F">
            <w:pPr>
              <w:keepLines/>
              <w:spacing w:before="60" w:after="60"/>
              <w:jc w:val="center"/>
              <w:rPr>
                <w:color w:val="000000"/>
              </w:rPr>
            </w:pPr>
            <w:r w:rsidRPr="00605493">
              <w:t>309555</w:t>
            </w:r>
          </w:p>
        </w:tc>
        <w:tc>
          <w:tcPr>
            <w:tcW w:w="4268" w:type="dxa"/>
            <w:gridSpan w:val="5"/>
            <w:tcBorders>
              <w:top w:val="single" w:color="auto" w:sz="4" w:space="0"/>
              <w:bottom w:val="single" w:color="auto" w:sz="4" w:space="0"/>
            </w:tcBorders>
            <w:vAlign w:val="bottom"/>
          </w:tcPr>
          <w:p w:rsidRPr="00605493" w:rsidR="00B91A69" w:rsidP="00B91A69" w:rsidRDefault="00B91A69" w14:paraId="40944807" w14:textId="12F29FE5">
            <w:pPr>
              <w:keepLines/>
              <w:spacing w:before="60" w:after="60"/>
              <w:jc w:val="center"/>
              <w:rPr>
                <w:color w:val="000000"/>
              </w:rPr>
            </w:pPr>
            <w:r w:rsidRPr="00605493">
              <w:t>No</w:t>
            </w:r>
          </w:p>
        </w:tc>
      </w:tr>
      <w:tr w:rsidRPr="006756BC" w:rsidR="00B91A69" w:rsidTr="00B13145" w14:paraId="655742CF" w14:textId="77777777">
        <w:trPr>
          <w:trHeight w:val="172"/>
          <w:jc w:val="center"/>
        </w:trPr>
        <w:tc>
          <w:tcPr>
            <w:tcW w:w="2692" w:type="dxa"/>
            <w:gridSpan w:val="3"/>
            <w:tcBorders>
              <w:top w:val="single" w:color="auto" w:sz="4" w:space="0"/>
              <w:bottom w:val="single" w:color="auto" w:sz="4" w:space="0"/>
            </w:tcBorders>
          </w:tcPr>
          <w:p w:rsidRPr="006756BC" w:rsidR="00B91A69" w:rsidP="00B91A69" w:rsidRDefault="00B91A69" w14:paraId="4F3E397A" w14:textId="6D40258A">
            <w:pPr>
              <w:keepLines/>
              <w:spacing w:before="60" w:after="60"/>
              <w:jc w:val="center"/>
              <w:rPr>
                <w:color w:val="000000"/>
              </w:rPr>
            </w:pPr>
            <w:r>
              <w:rPr>
                <w:color w:val="000000"/>
              </w:rPr>
              <w:t>Elise Torres</w:t>
            </w:r>
          </w:p>
        </w:tc>
        <w:tc>
          <w:tcPr>
            <w:tcW w:w="1909" w:type="dxa"/>
            <w:gridSpan w:val="3"/>
            <w:tcBorders>
              <w:top w:val="single" w:color="auto" w:sz="4" w:space="0"/>
              <w:bottom w:val="single" w:color="auto" w:sz="4" w:space="0"/>
            </w:tcBorders>
            <w:vAlign w:val="bottom"/>
          </w:tcPr>
          <w:p w:rsidRPr="00605493" w:rsidR="00B91A69" w:rsidP="00B91A69" w:rsidRDefault="00B91A69" w14:paraId="212FED1E" w14:textId="17ED844B">
            <w:pPr>
              <w:keepLines/>
              <w:spacing w:before="60" w:after="60"/>
              <w:jc w:val="center"/>
              <w:rPr>
                <w:color w:val="000000"/>
              </w:rPr>
            </w:pPr>
            <w:r w:rsidRPr="00605493">
              <w:t>December 2011</w:t>
            </w:r>
          </w:p>
        </w:tc>
        <w:tc>
          <w:tcPr>
            <w:tcW w:w="2291" w:type="dxa"/>
            <w:gridSpan w:val="2"/>
            <w:tcBorders>
              <w:top w:val="single" w:color="auto" w:sz="4" w:space="0"/>
              <w:bottom w:val="single" w:color="auto" w:sz="4" w:space="0"/>
            </w:tcBorders>
            <w:vAlign w:val="bottom"/>
          </w:tcPr>
          <w:p w:rsidRPr="00605493" w:rsidR="00B91A69" w:rsidP="00B91A69" w:rsidRDefault="00B91A69" w14:paraId="46A84BAC" w14:textId="0DF8EF37">
            <w:pPr>
              <w:keepLines/>
              <w:spacing w:before="60" w:after="60"/>
              <w:jc w:val="center"/>
              <w:rPr>
                <w:color w:val="000000"/>
              </w:rPr>
            </w:pPr>
            <w:r w:rsidRPr="00605493">
              <w:t>280443</w:t>
            </w:r>
          </w:p>
        </w:tc>
        <w:tc>
          <w:tcPr>
            <w:tcW w:w="4268" w:type="dxa"/>
            <w:gridSpan w:val="5"/>
            <w:tcBorders>
              <w:top w:val="single" w:color="auto" w:sz="4" w:space="0"/>
              <w:bottom w:val="single" w:color="auto" w:sz="4" w:space="0"/>
            </w:tcBorders>
            <w:vAlign w:val="bottom"/>
          </w:tcPr>
          <w:p w:rsidRPr="00605493" w:rsidR="00B91A69" w:rsidP="00B91A69" w:rsidRDefault="00B91A69" w14:paraId="416BF308" w14:textId="21FDCCC7">
            <w:pPr>
              <w:keepLines/>
              <w:spacing w:before="60" w:after="60"/>
              <w:jc w:val="center"/>
              <w:rPr>
                <w:color w:val="000000"/>
              </w:rPr>
            </w:pPr>
            <w:r w:rsidRPr="00605493">
              <w:t>No</w:t>
            </w:r>
          </w:p>
        </w:tc>
      </w:tr>
      <w:tr w:rsidRPr="006756BC" w:rsidR="005A2211" w:rsidTr="00B13145" w14:paraId="4AE61D7F" w14:textId="77777777">
        <w:trPr>
          <w:trHeight w:val="172"/>
          <w:jc w:val="center"/>
        </w:trPr>
        <w:tc>
          <w:tcPr>
            <w:tcW w:w="2692" w:type="dxa"/>
            <w:gridSpan w:val="3"/>
            <w:tcBorders>
              <w:top w:val="single" w:color="auto" w:sz="4" w:space="0"/>
              <w:bottom w:val="single" w:color="auto" w:sz="4" w:space="0"/>
            </w:tcBorders>
          </w:tcPr>
          <w:p w:rsidRPr="006756BC" w:rsidR="005A2211" w:rsidP="005A2211" w:rsidRDefault="005A2211" w14:paraId="513FAFF9" w14:textId="6C743FED">
            <w:pPr>
              <w:keepLines/>
              <w:spacing w:before="60" w:after="60"/>
              <w:jc w:val="center"/>
              <w:rPr>
                <w:color w:val="000000"/>
              </w:rPr>
            </w:pPr>
            <w:r>
              <w:rPr>
                <w:color w:val="000000"/>
              </w:rPr>
              <w:t>Hayley Goodson</w:t>
            </w:r>
          </w:p>
        </w:tc>
        <w:tc>
          <w:tcPr>
            <w:tcW w:w="1909" w:type="dxa"/>
            <w:gridSpan w:val="3"/>
            <w:tcBorders>
              <w:top w:val="single" w:color="auto" w:sz="4" w:space="0"/>
              <w:bottom w:val="single" w:color="auto" w:sz="4" w:space="0"/>
            </w:tcBorders>
            <w:vAlign w:val="bottom"/>
          </w:tcPr>
          <w:p w:rsidRPr="00605493" w:rsidR="005A2211" w:rsidP="005A2211" w:rsidRDefault="005A2211" w14:paraId="134EC2FE" w14:textId="42CE8E43">
            <w:pPr>
              <w:keepLines/>
              <w:spacing w:before="60" w:after="60"/>
              <w:jc w:val="center"/>
              <w:rPr>
                <w:color w:val="000000"/>
              </w:rPr>
            </w:pPr>
            <w:r w:rsidRPr="00605493">
              <w:t>December 2003</w:t>
            </w:r>
          </w:p>
        </w:tc>
        <w:tc>
          <w:tcPr>
            <w:tcW w:w="2291" w:type="dxa"/>
            <w:gridSpan w:val="2"/>
            <w:tcBorders>
              <w:top w:val="single" w:color="auto" w:sz="4" w:space="0"/>
              <w:bottom w:val="single" w:color="auto" w:sz="4" w:space="0"/>
            </w:tcBorders>
            <w:vAlign w:val="bottom"/>
          </w:tcPr>
          <w:p w:rsidRPr="00605493" w:rsidR="005A2211" w:rsidP="005A2211" w:rsidRDefault="005A2211" w14:paraId="4F9B5474" w14:textId="093488DE">
            <w:pPr>
              <w:keepLines/>
              <w:spacing w:before="60" w:after="60"/>
              <w:jc w:val="center"/>
              <w:rPr>
                <w:color w:val="000000"/>
              </w:rPr>
            </w:pPr>
            <w:r w:rsidRPr="00605493">
              <w:t>228535</w:t>
            </w:r>
          </w:p>
        </w:tc>
        <w:tc>
          <w:tcPr>
            <w:tcW w:w="4268" w:type="dxa"/>
            <w:gridSpan w:val="5"/>
            <w:tcBorders>
              <w:top w:val="single" w:color="auto" w:sz="4" w:space="0"/>
              <w:bottom w:val="single" w:color="auto" w:sz="4" w:space="0"/>
            </w:tcBorders>
            <w:vAlign w:val="bottom"/>
          </w:tcPr>
          <w:p w:rsidRPr="00605493" w:rsidR="005A2211" w:rsidP="005A2211" w:rsidRDefault="005A2211" w14:paraId="1503B93D" w14:textId="3F736F09">
            <w:pPr>
              <w:keepLines/>
              <w:spacing w:before="60" w:after="60"/>
              <w:jc w:val="center"/>
              <w:rPr>
                <w:color w:val="000000"/>
              </w:rPr>
            </w:pPr>
            <w:r w:rsidRPr="00605493">
              <w:t>No</w:t>
            </w:r>
          </w:p>
        </w:tc>
      </w:tr>
      <w:tr w:rsidRPr="006756BC" w:rsidR="005A2211" w:rsidTr="00B13145" w14:paraId="2C62FF3C" w14:textId="77777777">
        <w:trPr>
          <w:trHeight w:val="172"/>
          <w:jc w:val="center"/>
        </w:trPr>
        <w:tc>
          <w:tcPr>
            <w:tcW w:w="2692" w:type="dxa"/>
            <w:gridSpan w:val="3"/>
            <w:tcBorders>
              <w:top w:val="single" w:color="auto" w:sz="4" w:space="0"/>
              <w:bottom w:val="single" w:color="auto" w:sz="4" w:space="0"/>
            </w:tcBorders>
          </w:tcPr>
          <w:p w:rsidRPr="006756BC" w:rsidR="005A2211" w:rsidP="005A2211" w:rsidRDefault="005A2211" w14:paraId="414829DB" w14:textId="35207481">
            <w:pPr>
              <w:keepLines/>
              <w:spacing w:before="60" w:after="60"/>
              <w:jc w:val="center"/>
              <w:rPr>
                <w:color w:val="000000"/>
              </w:rPr>
            </w:pPr>
            <w:r>
              <w:rPr>
                <w:color w:val="000000"/>
              </w:rPr>
              <w:t>Marcel Hawiger</w:t>
            </w:r>
          </w:p>
        </w:tc>
        <w:tc>
          <w:tcPr>
            <w:tcW w:w="1909" w:type="dxa"/>
            <w:gridSpan w:val="3"/>
            <w:tcBorders>
              <w:top w:val="single" w:color="auto" w:sz="4" w:space="0"/>
              <w:bottom w:val="single" w:color="auto" w:sz="4" w:space="0"/>
            </w:tcBorders>
            <w:vAlign w:val="bottom"/>
          </w:tcPr>
          <w:p w:rsidRPr="00605493" w:rsidR="005A2211" w:rsidP="005A2211" w:rsidRDefault="005A2211" w14:paraId="087A96EC" w14:textId="30B99668">
            <w:pPr>
              <w:keepLines/>
              <w:spacing w:before="60" w:after="60"/>
              <w:jc w:val="center"/>
              <w:rPr>
                <w:color w:val="000000"/>
              </w:rPr>
            </w:pPr>
            <w:r w:rsidRPr="00605493">
              <w:t>January 1998</w:t>
            </w:r>
          </w:p>
        </w:tc>
        <w:tc>
          <w:tcPr>
            <w:tcW w:w="2291" w:type="dxa"/>
            <w:gridSpan w:val="2"/>
            <w:tcBorders>
              <w:top w:val="single" w:color="auto" w:sz="4" w:space="0"/>
              <w:bottom w:val="single" w:color="auto" w:sz="4" w:space="0"/>
            </w:tcBorders>
            <w:vAlign w:val="bottom"/>
          </w:tcPr>
          <w:p w:rsidRPr="00605493" w:rsidR="005A2211" w:rsidP="005A2211" w:rsidRDefault="005A2211" w14:paraId="61FC7F79" w14:textId="5ACBD172">
            <w:pPr>
              <w:keepLines/>
              <w:spacing w:before="60" w:after="60"/>
              <w:jc w:val="center"/>
              <w:rPr>
                <w:color w:val="000000"/>
              </w:rPr>
            </w:pPr>
            <w:r w:rsidRPr="00605493">
              <w:t>194244</w:t>
            </w:r>
          </w:p>
        </w:tc>
        <w:tc>
          <w:tcPr>
            <w:tcW w:w="4268" w:type="dxa"/>
            <w:gridSpan w:val="5"/>
            <w:tcBorders>
              <w:top w:val="single" w:color="auto" w:sz="4" w:space="0"/>
              <w:bottom w:val="single" w:color="auto" w:sz="4" w:space="0"/>
            </w:tcBorders>
            <w:vAlign w:val="bottom"/>
          </w:tcPr>
          <w:p w:rsidRPr="00605493" w:rsidR="005A2211" w:rsidP="005A2211" w:rsidRDefault="005A2211" w14:paraId="2EB33773" w14:textId="582EEF0F">
            <w:pPr>
              <w:keepLines/>
              <w:spacing w:before="60" w:after="60"/>
              <w:jc w:val="center"/>
              <w:rPr>
                <w:color w:val="000000"/>
              </w:rPr>
            </w:pPr>
            <w:r w:rsidRPr="00605493">
              <w:t>No</w:t>
            </w:r>
          </w:p>
        </w:tc>
      </w:tr>
      <w:tr w:rsidRPr="006756BC" w:rsidR="005A2211" w:rsidTr="00B13145" w14:paraId="0388BF30" w14:textId="77777777">
        <w:trPr>
          <w:trHeight w:val="172"/>
          <w:jc w:val="center"/>
        </w:trPr>
        <w:tc>
          <w:tcPr>
            <w:tcW w:w="2692" w:type="dxa"/>
            <w:gridSpan w:val="3"/>
            <w:tcBorders>
              <w:top w:val="single" w:color="auto" w:sz="4" w:space="0"/>
              <w:bottom w:val="single" w:color="auto" w:sz="4" w:space="0"/>
            </w:tcBorders>
          </w:tcPr>
          <w:p w:rsidRPr="006756BC" w:rsidR="005A2211" w:rsidP="005A2211" w:rsidRDefault="005A2211" w14:paraId="704426DF" w14:textId="7B098F50">
            <w:pPr>
              <w:keepLines/>
              <w:spacing w:before="60" w:after="60"/>
              <w:jc w:val="center"/>
              <w:rPr>
                <w:color w:val="000000"/>
              </w:rPr>
            </w:pPr>
            <w:r>
              <w:rPr>
                <w:color w:val="000000"/>
              </w:rPr>
              <w:t>Marna Paintsil Anning</w:t>
            </w:r>
          </w:p>
        </w:tc>
        <w:tc>
          <w:tcPr>
            <w:tcW w:w="1909" w:type="dxa"/>
            <w:gridSpan w:val="3"/>
            <w:tcBorders>
              <w:top w:val="single" w:color="auto" w:sz="4" w:space="0"/>
              <w:bottom w:val="single" w:color="auto" w:sz="4" w:space="0"/>
            </w:tcBorders>
            <w:vAlign w:val="bottom"/>
          </w:tcPr>
          <w:p w:rsidRPr="00605493" w:rsidR="005A2211" w:rsidP="005A2211" w:rsidRDefault="005A2211" w14:paraId="0194340C" w14:textId="1B95FAD4">
            <w:pPr>
              <w:keepLines/>
              <w:spacing w:before="60" w:after="60"/>
              <w:jc w:val="center"/>
              <w:rPr>
                <w:color w:val="000000"/>
              </w:rPr>
            </w:pPr>
            <w:r w:rsidRPr="00605493">
              <w:t>December 2021</w:t>
            </w:r>
          </w:p>
        </w:tc>
        <w:tc>
          <w:tcPr>
            <w:tcW w:w="2291" w:type="dxa"/>
            <w:gridSpan w:val="2"/>
            <w:tcBorders>
              <w:top w:val="single" w:color="auto" w:sz="4" w:space="0"/>
              <w:bottom w:val="single" w:color="auto" w:sz="4" w:space="0"/>
            </w:tcBorders>
            <w:vAlign w:val="bottom"/>
          </w:tcPr>
          <w:p w:rsidRPr="00605493" w:rsidR="005A2211" w:rsidP="005A2211" w:rsidRDefault="005A2211" w14:paraId="2D9D6D94" w14:textId="63C44B77">
            <w:pPr>
              <w:keepLines/>
              <w:spacing w:before="60" w:after="60"/>
              <w:jc w:val="center"/>
              <w:rPr>
                <w:color w:val="000000"/>
              </w:rPr>
            </w:pPr>
            <w:r w:rsidRPr="00605493">
              <w:t>339228</w:t>
            </w:r>
          </w:p>
        </w:tc>
        <w:tc>
          <w:tcPr>
            <w:tcW w:w="4268" w:type="dxa"/>
            <w:gridSpan w:val="5"/>
            <w:tcBorders>
              <w:top w:val="single" w:color="auto" w:sz="4" w:space="0"/>
              <w:bottom w:val="single" w:color="auto" w:sz="4" w:space="0"/>
            </w:tcBorders>
            <w:vAlign w:val="bottom"/>
          </w:tcPr>
          <w:p w:rsidRPr="00605493" w:rsidR="005A2211" w:rsidP="005A2211" w:rsidRDefault="005A2211" w14:paraId="0B81899B" w14:textId="7C8FF3C3">
            <w:pPr>
              <w:keepLines/>
              <w:spacing w:before="60" w:after="60"/>
              <w:jc w:val="center"/>
              <w:rPr>
                <w:color w:val="000000"/>
              </w:rPr>
            </w:pPr>
            <w:r w:rsidRPr="00605493">
              <w:t>No</w:t>
            </w:r>
          </w:p>
        </w:tc>
      </w:tr>
      <w:tr w:rsidRPr="006756BC" w:rsidR="00384804" w:rsidTr="00B13145" w14:paraId="0A511530" w14:textId="77777777">
        <w:trPr>
          <w:trHeight w:val="172"/>
          <w:jc w:val="center"/>
        </w:trPr>
        <w:tc>
          <w:tcPr>
            <w:tcW w:w="2692" w:type="dxa"/>
            <w:gridSpan w:val="3"/>
            <w:tcBorders>
              <w:top w:val="single" w:color="auto" w:sz="4" w:space="0"/>
              <w:bottom w:val="single" w:color="auto" w:sz="4" w:space="0"/>
            </w:tcBorders>
          </w:tcPr>
          <w:p w:rsidRPr="006756BC" w:rsidR="00384804" w:rsidP="00384804" w:rsidRDefault="00384804" w14:paraId="61EF5623" w14:textId="6D54E235">
            <w:pPr>
              <w:keepLines/>
              <w:spacing w:before="60" w:after="60"/>
              <w:jc w:val="center"/>
              <w:rPr>
                <w:color w:val="000000"/>
              </w:rPr>
            </w:pPr>
            <w:r>
              <w:rPr>
                <w:color w:val="000000"/>
              </w:rPr>
              <w:t>Robert Finkelstein</w:t>
            </w:r>
          </w:p>
        </w:tc>
        <w:tc>
          <w:tcPr>
            <w:tcW w:w="1909" w:type="dxa"/>
            <w:gridSpan w:val="3"/>
            <w:tcBorders>
              <w:top w:val="single" w:color="auto" w:sz="4" w:space="0"/>
              <w:bottom w:val="single" w:color="auto" w:sz="4" w:space="0"/>
            </w:tcBorders>
            <w:vAlign w:val="bottom"/>
          </w:tcPr>
          <w:p w:rsidRPr="00384804" w:rsidR="00384804" w:rsidP="00384804" w:rsidRDefault="00384804" w14:paraId="35C87760" w14:textId="5E742DFE">
            <w:pPr>
              <w:keepLines/>
              <w:spacing w:before="60" w:after="60"/>
              <w:jc w:val="center"/>
              <w:rPr>
                <w:color w:val="000000"/>
              </w:rPr>
            </w:pPr>
            <w:r w:rsidRPr="00384804">
              <w:t>June 1990</w:t>
            </w:r>
          </w:p>
        </w:tc>
        <w:tc>
          <w:tcPr>
            <w:tcW w:w="2291" w:type="dxa"/>
            <w:gridSpan w:val="2"/>
            <w:tcBorders>
              <w:top w:val="single" w:color="auto" w:sz="4" w:space="0"/>
              <w:bottom w:val="single" w:color="auto" w:sz="4" w:space="0"/>
            </w:tcBorders>
            <w:vAlign w:val="bottom"/>
          </w:tcPr>
          <w:p w:rsidRPr="00384804" w:rsidR="00384804" w:rsidP="00384804" w:rsidRDefault="00384804" w14:paraId="66985E9C" w14:textId="2A154CDB">
            <w:pPr>
              <w:keepLines/>
              <w:spacing w:before="60" w:after="60"/>
              <w:jc w:val="center"/>
              <w:rPr>
                <w:color w:val="000000"/>
              </w:rPr>
            </w:pPr>
            <w:r w:rsidRPr="00384804">
              <w:t>146391</w:t>
            </w:r>
          </w:p>
        </w:tc>
        <w:tc>
          <w:tcPr>
            <w:tcW w:w="4268" w:type="dxa"/>
            <w:gridSpan w:val="5"/>
            <w:tcBorders>
              <w:top w:val="single" w:color="auto" w:sz="4" w:space="0"/>
              <w:bottom w:val="single" w:color="auto" w:sz="4" w:space="0"/>
            </w:tcBorders>
            <w:vAlign w:val="bottom"/>
          </w:tcPr>
          <w:p w:rsidRPr="00384804" w:rsidR="00384804" w:rsidP="00384804" w:rsidRDefault="00384804" w14:paraId="7E728479" w14:textId="0E323066">
            <w:pPr>
              <w:keepLines/>
              <w:spacing w:before="60" w:after="60"/>
              <w:jc w:val="center"/>
              <w:rPr>
                <w:color w:val="000000"/>
              </w:rPr>
            </w:pPr>
            <w:r w:rsidRPr="00384804">
              <w:t>No</w:t>
            </w:r>
          </w:p>
        </w:tc>
      </w:tr>
      <w:tr w:rsidRPr="006756BC" w:rsidR="00605493" w:rsidTr="00B13145" w14:paraId="168D4714" w14:textId="77777777">
        <w:trPr>
          <w:trHeight w:val="172"/>
          <w:jc w:val="center"/>
        </w:trPr>
        <w:tc>
          <w:tcPr>
            <w:tcW w:w="2692" w:type="dxa"/>
            <w:gridSpan w:val="3"/>
            <w:tcBorders>
              <w:top w:val="single" w:color="auto" w:sz="4" w:space="0"/>
              <w:bottom w:val="single" w:color="auto" w:sz="4" w:space="0"/>
            </w:tcBorders>
          </w:tcPr>
          <w:p w:rsidRPr="006756BC" w:rsidR="00605493" w:rsidP="00605493" w:rsidRDefault="00605493" w14:paraId="669E319D" w14:textId="5326BE43">
            <w:pPr>
              <w:spacing w:before="60" w:after="60"/>
              <w:jc w:val="center"/>
              <w:rPr>
                <w:color w:val="000000"/>
              </w:rPr>
            </w:pPr>
            <w:r>
              <w:rPr>
                <w:color w:val="000000"/>
              </w:rPr>
              <w:t>Thomas Long</w:t>
            </w:r>
          </w:p>
        </w:tc>
        <w:tc>
          <w:tcPr>
            <w:tcW w:w="1909" w:type="dxa"/>
            <w:gridSpan w:val="3"/>
            <w:tcBorders>
              <w:top w:val="single" w:color="auto" w:sz="4" w:space="0"/>
              <w:bottom w:val="single" w:color="auto" w:sz="4" w:space="0"/>
            </w:tcBorders>
            <w:vAlign w:val="bottom"/>
          </w:tcPr>
          <w:p w:rsidRPr="00605493" w:rsidR="00605493" w:rsidP="00605493" w:rsidRDefault="00605493" w14:paraId="5DE2360A" w14:textId="1689218A">
            <w:pPr>
              <w:spacing w:before="60" w:after="60"/>
              <w:jc w:val="center"/>
              <w:rPr>
                <w:color w:val="000000"/>
              </w:rPr>
            </w:pPr>
            <w:r w:rsidRPr="00605493">
              <w:t>December 1986</w:t>
            </w:r>
          </w:p>
        </w:tc>
        <w:tc>
          <w:tcPr>
            <w:tcW w:w="2291" w:type="dxa"/>
            <w:gridSpan w:val="2"/>
            <w:tcBorders>
              <w:top w:val="single" w:color="auto" w:sz="4" w:space="0"/>
              <w:bottom w:val="single" w:color="auto" w:sz="4" w:space="0"/>
            </w:tcBorders>
            <w:vAlign w:val="bottom"/>
          </w:tcPr>
          <w:p w:rsidRPr="00605493" w:rsidR="00605493" w:rsidP="00605493" w:rsidRDefault="00605493" w14:paraId="4A400DF3" w14:textId="25D863B5">
            <w:pPr>
              <w:spacing w:before="60" w:after="60"/>
              <w:jc w:val="center"/>
              <w:rPr>
                <w:color w:val="000000"/>
              </w:rPr>
            </w:pPr>
            <w:r w:rsidRPr="00605493">
              <w:t>124776</w:t>
            </w:r>
          </w:p>
        </w:tc>
        <w:tc>
          <w:tcPr>
            <w:tcW w:w="4268" w:type="dxa"/>
            <w:gridSpan w:val="5"/>
            <w:tcBorders>
              <w:top w:val="single" w:color="auto" w:sz="4" w:space="0"/>
              <w:bottom w:val="single" w:color="auto" w:sz="4" w:space="0"/>
            </w:tcBorders>
            <w:vAlign w:val="bottom"/>
          </w:tcPr>
          <w:p w:rsidRPr="00605493" w:rsidR="00605493" w:rsidP="00605493" w:rsidRDefault="00605493" w14:paraId="166407D5" w14:textId="39615E13">
            <w:pPr>
              <w:spacing w:before="60" w:after="60"/>
              <w:jc w:val="center"/>
              <w:rPr>
                <w:color w:val="000000"/>
              </w:rPr>
            </w:pPr>
            <w:r w:rsidRPr="00605493">
              <w:t>No</w:t>
            </w:r>
          </w:p>
        </w:tc>
      </w:tr>
    </w:tbl>
    <w:p w:rsidR="00625B30" w:rsidP="00590DB2" w:rsidRDefault="00625B30" w14:paraId="7E93547F" w14:textId="173911EC">
      <w:pPr>
        <w:rPr>
          <w:b/>
          <w:color w:val="000000"/>
        </w:rPr>
      </w:pPr>
    </w:p>
    <w:p w:rsidRPr="00E613DE" w:rsidR="00521827" w:rsidP="00D100BD" w:rsidRDefault="00521827" w14:paraId="16B6904A" w14:textId="1D255EBA">
      <w:pPr>
        <w:keepNext/>
        <w:numPr>
          <w:ilvl w:val="0"/>
          <w:numId w:val="2"/>
        </w:numPr>
        <w:spacing w:before="120" w:after="240"/>
        <w:rPr>
          <w:b/>
          <w:i/>
          <w:color w:val="000000"/>
          <w:u w:val="single"/>
        </w:rPr>
      </w:pPr>
      <w:r w:rsidRPr="00521827">
        <w:rPr>
          <w:b/>
          <w:color w:val="000000"/>
        </w:rPr>
        <w:t>Attachments</w:t>
      </w:r>
      <w:r w:rsidRPr="00521827">
        <w:rPr>
          <w:b/>
        </w:rPr>
        <w:t xml:space="preserve"> Documenting Specific Claim and Comments on Part III</w:t>
      </w:r>
      <w:r w:rsidRPr="00521827">
        <w:rPr>
          <w:b/>
          <w:vertAlign w:val="superscript"/>
        </w:rPr>
        <w:footnoteReference w:id="3"/>
      </w:r>
      <w:r w:rsidRPr="00521827">
        <w:rPr>
          <w:b/>
        </w:rPr>
        <w:t>:</w:t>
      </w:r>
    </w:p>
    <w:tbl>
      <w:tblPr>
        <w:tblW w:w="9661"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1525"/>
        <w:gridCol w:w="8136"/>
      </w:tblGrid>
      <w:tr w:rsidRPr="006756BC" w:rsidR="00625B30" w:rsidTr="00573DF8" w14:paraId="1D1D972E" w14:textId="77777777">
        <w:trPr>
          <w:tblHeader/>
        </w:trPr>
        <w:tc>
          <w:tcPr>
            <w:tcW w:w="1525" w:type="dxa"/>
            <w:shd w:val="clear" w:color="auto" w:fill="D9D9D9" w:themeFill="background1" w:themeFillShade="D9"/>
            <w:vAlign w:val="bottom"/>
          </w:tcPr>
          <w:p w:rsidRPr="006756BC" w:rsidR="00625B30" w:rsidP="00625B30" w:rsidRDefault="00625B30" w14:paraId="272B427F" w14:textId="77777777">
            <w:pPr>
              <w:tabs>
                <w:tab w:val="left" w:pos="1260"/>
              </w:tabs>
              <w:jc w:val="center"/>
              <w:rPr>
                <w:b/>
                <w:color w:val="000000"/>
              </w:rPr>
            </w:pPr>
            <w:r w:rsidRPr="006756BC">
              <w:rPr>
                <w:b/>
                <w:color w:val="000000"/>
              </w:rPr>
              <w:t xml:space="preserve">Attachment or </w:t>
            </w:r>
            <w:proofErr w:type="gramStart"/>
            <w:r w:rsidRPr="006756BC">
              <w:rPr>
                <w:b/>
                <w:color w:val="000000"/>
              </w:rPr>
              <w:t>Comment  #</w:t>
            </w:r>
            <w:proofErr w:type="gramEnd"/>
          </w:p>
        </w:tc>
        <w:tc>
          <w:tcPr>
            <w:tcW w:w="8136" w:type="dxa"/>
            <w:tcBorders>
              <w:bottom w:val="single" w:color="auto" w:sz="4" w:space="0"/>
            </w:tcBorders>
            <w:shd w:val="clear" w:color="auto" w:fill="D9D9D9" w:themeFill="background1" w:themeFillShade="D9"/>
            <w:vAlign w:val="bottom"/>
          </w:tcPr>
          <w:p w:rsidRPr="006756BC" w:rsidR="00625B30" w:rsidP="00625B30" w:rsidRDefault="00625B30" w14:paraId="41A2C99E" w14:textId="77777777">
            <w:pPr>
              <w:tabs>
                <w:tab w:val="left" w:pos="1260"/>
              </w:tabs>
              <w:jc w:val="center"/>
              <w:rPr>
                <w:b/>
                <w:color w:val="000000"/>
              </w:rPr>
            </w:pPr>
            <w:r w:rsidRPr="006756BC">
              <w:rPr>
                <w:b/>
                <w:color w:val="000000"/>
              </w:rPr>
              <w:t>Description/Comment</w:t>
            </w:r>
          </w:p>
        </w:tc>
      </w:tr>
      <w:tr w:rsidRPr="006756BC" w:rsidR="00625B30" w:rsidTr="00FE448C" w14:paraId="511D5E65" w14:textId="77777777">
        <w:tc>
          <w:tcPr>
            <w:tcW w:w="1525" w:type="dxa"/>
            <w:tcBorders>
              <w:bottom w:val="single" w:color="auto" w:sz="4" w:space="0"/>
            </w:tcBorders>
          </w:tcPr>
          <w:p w:rsidRPr="006756BC" w:rsidR="00625B30" w:rsidP="00625B30" w:rsidRDefault="00625B30" w14:paraId="133D7EF4" w14:textId="77777777">
            <w:pPr>
              <w:tabs>
                <w:tab w:val="left" w:pos="1260"/>
              </w:tabs>
              <w:rPr>
                <w:color w:val="000000"/>
              </w:rPr>
            </w:pPr>
            <w:r w:rsidRPr="006756BC">
              <w:rPr>
                <w:color w:val="000000"/>
              </w:rPr>
              <w:t>Attachment 1</w:t>
            </w:r>
          </w:p>
        </w:tc>
        <w:tc>
          <w:tcPr>
            <w:tcW w:w="8136" w:type="dxa"/>
            <w:tcBorders>
              <w:bottom w:val="single" w:color="auto" w:sz="4" w:space="0"/>
            </w:tcBorders>
          </w:tcPr>
          <w:p w:rsidRPr="006756BC" w:rsidR="00625B30" w:rsidP="00625B30" w:rsidRDefault="00625B30" w14:paraId="393C15CE" w14:textId="77777777">
            <w:pPr>
              <w:tabs>
                <w:tab w:val="left" w:pos="1260"/>
              </w:tabs>
              <w:rPr>
                <w:color w:val="000000"/>
              </w:rPr>
            </w:pPr>
            <w:r w:rsidRPr="006756BC">
              <w:rPr>
                <w:color w:val="000000"/>
              </w:rPr>
              <w:t>Certificate of Service</w:t>
            </w:r>
          </w:p>
        </w:tc>
      </w:tr>
      <w:tr w:rsidRPr="006756BC" w:rsidR="00625B30" w:rsidTr="00FE448C" w14:paraId="2F2DE0C1" w14:textId="77777777">
        <w:tc>
          <w:tcPr>
            <w:tcW w:w="1525" w:type="dxa"/>
          </w:tcPr>
          <w:p w:rsidRPr="006756BC" w:rsidR="00625B30" w:rsidP="00625B30" w:rsidRDefault="00625B30" w14:paraId="6EBB2B5F" w14:textId="77777777">
            <w:pPr>
              <w:tabs>
                <w:tab w:val="left" w:pos="1260"/>
              </w:tabs>
              <w:rPr>
                <w:color w:val="000000"/>
              </w:rPr>
            </w:pPr>
            <w:r w:rsidRPr="006756BC">
              <w:rPr>
                <w:color w:val="000000"/>
              </w:rPr>
              <w:t>Attachment 2</w:t>
            </w:r>
          </w:p>
        </w:tc>
        <w:tc>
          <w:tcPr>
            <w:tcW w:w="8136" w:type="dxa"/>
          </w:tcPr>
          <w:p w:rsidRPr="006756BC" w:rsidR="00625B30" w:rsidP="00625B30" w:rsidRDefault="00625B30" w14:paraId="1D7BBDD2" w14:textId="77777777">
            <w:pPr>
              <w:tabs>
                <w:tab w:val="left" w:pos="1260"/>
              </w:tabs>
              <w:rPr>
                <w:b/>
                <w:color w:val="000000"/>
              </w:rPr>
            </w:pPr>
            <w:r w:rsidRPr="006756BC">
              <w:rPr>
                <w:bCs/>
                <w:color w:val="000000"/>
              </w:rPr>
              <w:t>Timesheets for TURN Attorneys/Experts</w:t>
            </w:r>
          </w:p>
        </w:tc>
      </w:tr>
      <w:tr w:rsidRPr="006756BC" w:rsidR="00625B30" w:rsidTr="00FE448C" w14:paraId="2D89A3DF" w14:textId="77777777">
        <w:tc>
          <w:tcPr>
            <w:tcW w:w="1525" w:type="dxa"/>
          </w:tcPr>
          <w:p w:rsidRPr="006756BC" w:rsidR="00625B30" w:rsidP="00625B30" w:rsidRDefault="00625B30" w14:paraId="0E142030" w14:textId="77777777">
            <w:pPr>
              <w:tabs>
                <w:tab w:val="left" w:pos="1260"/>
              </w:tabs>
              <w:rPr>
                <w:color w:val="000000"/>
              </w:rPr>
            </w:pPr>
            <w:r w:rsidRPr="006756BC">
              <w:rPr>
                <w:color w:val="000000"/>
              </w:rPr>
              <w:t>Attachment 3</w:t>
            </w:r>
          </w:p>
        </w:tc>
        <w:tc>
          <w:tcPr>
            <w:tcW w:w="8136" w:type="dxa"/>
          </w:tcPr>
          <w:p w:rsidRPr="006756BC" w:rsidR="00625B30" w:rsidP="00625B30" w:rsidRDefault="00625B30" w14:paraId="35237D46" w14:textId="77777777">
            <w:pPr>
              <w:tabs>
                <w:tab w:val="left" w:pos="1260"/>
              </w:tabs>
              <w:rPr>
                <w:b/>
                <w:color w:val="000000"/>
              </w:rPr>
            </w:pPr>
            <w:r w:rsidRPr="006756BC">
              <w:rPr>
                <w:bCs/>
                <w:color w:val="000000"/>
              </w:rPr>
              <w:t>TURN hours allocated by issue</w:t>
            </w:r>
          </w:p>
        </w:tc>
      </w:tr>
      <w:tr w:rsidRPr="006756BC" w:rsidR="00625B30" w:rsidTr="00FE448C" w14:paraId="244F5BEA" w14:textId="77777777">
        <w:tc>
          <w:tcPr>
            <w:tcW w:w="1525" w:type="dxa"/>
          </w:tcPr>
          <w:p w:rsidRPr="006756BC" w:rsidR="00625B30" w:rsidP="00625B30" w:rsidRDefault="00441F67" w14:paraId="1DB55FE4" w14:textId="7A4A5C1B">
            <w:pPr>
              <w:tabs>
                <w:tab w:val="left" w:pos="1260"/>
              </w:tabs>
              <w:rPr>
                <w:color w:val="000000"/>
              </w:rPr>
            </w:pPr>
            <w:r>
              <w:rPr>
                <w:color w:val="000000"/>
              </w:rPr>
              <w:t>Attachment 4</w:t>
            </w:r>
          </w:p>
        </w:tc>
        <w:tc>
          <w:tcPr>
            <w:tcW w:w="8136" w:type="dxa"/>
          </w:tcPr>
          <w:p w:rsidRPr="00441F67" w:rsidR="00625B30" w:rsidP="00625B30" w:rsidRDefault="00441F67" w14:paraId="02196BF6" w14:textId="45B66F57">
            <w:pPr>
              <w:tabs>
                <w:tab w:val="left" w:pos="1260"/>
              </w:tabs>
              <w:rPr>
                <w:bCs/>
                <w:color w:val="000000"/>
                <w:highlight w:val="yellow"/>
              </w:rPr>
            </w:pPr>
            <w:r w:rsidRPr="0061158B">
              <w:rPr>
                <w:bCs/>
                <w:color w:val="000000"/>
              </w:rPr>
              <w:t>TURN Feedback on PG&amp;E Draft Lessons Learned Report</w:t>
            </w:r>
          </w:p>
        </w:tc>
      </w:tr>
      <w:tr w:rsidRPr="006756BC" w:rsidR="00F03294" w:rsidTr="00FE448C" w14:paraId="44CEE22D" w14:textId="77777777">
        <w:tc>
          <w:tcPr>
            <w:tcW w:w="1525" w:type="dxa"/>
          </w:tcPr>
          <w:p w:rsidRPr="006756BC" w:rsidR="00F03294" w:rsidP="00625B30" w:rsidRDefault="00F03294" w14:paraId="153909DD" w14:textId="3DC7FA80">
            <w:pPr>
              <w:tabs>
                <w:tab w:val="left" w:pos="1260"/>
              </w:tabs>
              <w:rPr>
                <w:color w:val="000000"/>
              </w:rPr>
            </w:pPr>
            <w:r>
              <w:rPr>
                <w:color w:val="000000"/>
              </w:rPr>
              <w:t>Attachment 5</w:t>
            </w:r>
          </w:p>
        </w:tc>
        <w:tc>
          <w:tcPr>
            <w:tcW w:w="8136" w:type="dxa"/>
          </w:tcPr>
          <w:p w:rsidRPr="00971B03" w:rsidR="00F03294" w:rsidP="0021565C" w:rsidRDefault="00F03294" w14:paraId="483C1A6F" w14:textId="490C4CB1">
            <w:r w:rsidRPr="00971B03">
              <w:t>Retainer Agreement with Consultant Marcel Hawiger fo</w:t>
            </w:r>
            <w:r w:rsidRPr="00971B03" w:rsidR="00971B03">
              <w:t xml:space="preserve">r </w:t>
            </w:r>
            <w:r w:rsidR="0061158B">
              <w:t xml:space="preserve">2026 </w:t>
            </w:r>
            <w:r w:rsidRPr="00971B03" w:rsidR="00971B03">
              <w:t>Work</w:t>
            </w:r>
          </w:p>
        </w:tc>
      </w:tr>
      <w:tr w:rsidRPr="006756BC" w:rsidR="00441F67" w:rsidTr="00FE448C" w14:paraId="4555FE8A" w14:textId="77777777">
        <w:tc>
          <w:tcPr>
            <w:tcW w:w="1525" w:type="dxa"/>
          </w:tcPr>
          <w:p w:rsidRPr="006756BC" w:rsidR="00441F67" w:rsidP="00625B30" w:rsidRDefault="00441F67" w14:paraId="4173E8EF" w14:textId="17D0B6D5">
            <w:pPr>
              <w:tabs>
                <w:tab w:val="left" w:pos="1260"/>
              </w:tabs>
              <w:rPr>
                <w:color w:val="000000"/>
              </w:rPr>
            </w:pPr>
            <w:r w:rsidRPr="006756BC">
              <w:rPr>
                <w:color w:val="000000"/>
              </w:rPr>
              <w:lastRenderedPageBreak/>
              <w:t>Comment #1</w:t>
            </w:r>
          </w:p>
        </w:tc>
        <w:tc>
          <w:tcPr>
            <w:tcW w:w="8136" w:type="dxa"/>
          </w:tcPr>
          <w:p w:rsidRPr="00354BEF" w:rsidR="0021565C" w:rsidP="0021565C" w:rsidRDefault="0021565C" w14:paraId="1DCA9E3B" w14:textId="77777777">
            <w:pPr>
              <w:rPr>
                <w:b/>
                <w:bCs/>
              </w:rPr>
            </w:pPr>
            <w:r w:rsidRPr="00354BEF">
              <w:rPr>
                <w:b/>
                <w:bCs/>
              </w:rPr>
              <w:t>2026 Rate for Hayley Goodson</w:t>
            </w:r>
          </w:p>
          <w:p w:rsidR="0021565C" w:rsidP="0021565C" w:rsidRDefault="0021565C" w14:paraId="0124F6AF" w14:textId="77777777"/>
          <w:p w:rsidR="0021565C" w:rsidP="0021565C" w:rsidRDefault="0021565C" w14:paraId="321B2344" w14:textId="77777777">
            <w:r>
              <w:t xml:space="preserve">TURN requests an hourly rate of $730 for TURN Attorney Hayley Goodson in 2026.  The requested rate is equal to the rate authorized by the Commission in D.25-07-034 for Ms. Goodson’s work in 2025, $705, adjusted by an estimated escalation rate of 3.3% for 2026.  </w:t>
            </w:r>
          </w:p>
          <w:p w:rsidR="0021565C" w:rsidP="0021565C" w:rsidRDefault="0021565C" w14:paraId="5624A884" w14:textId="77777777"/>
          <w:p w:rsidR="0021565C" w:rsidP="0021565C" w:rsidRDefault="0021565C" w14:paraId="5761AE5D" w14:textId="77777777">
            <w:r>
              <w:t>Calculation: $705 x [1.033 (est. COLA)] = $728.27, rounded to $730</w:t>
            </w:r>
          </w:p>
          <w:p w:rsidR="0021565C" w:rsidP="0021565C" w:rsidRDefault="0021565C" w14:paraId="596AFA87" w14:textId="77777777"/>
          <w:p w:rsidR="0021565C" w:rsidP="0021565C" w:rsidRDefault="0021565C" w14:paraId="7819F797" w14:textId="77777777">
            <w:r>
              <w:t xml:space="preserve">TURN uses an estimated escalation rate of 3.3% because it is </w:t>
            </w:r>
            <w:r w:rsidRPr="005877BD">
              <w:t xml:space="preserve">the percentage change in the Bureau of Labor Statistics Employment Cost Index (ECI), Table 5, for the Occupational Group “Management, Professional, and Related excluding Incentive Paid Occupations” for </w:t>
            </w:r>
            <w:r>
              <w:t xml:space="preserve">the </w:t>
            </w:r>
            <w:r w:rsidRPr="005877BD">
              <w:t>12-months ended Sept. 2025, which is the latest information available</w:t>
            </w:r>
            <w:r>
              <w:t xml:space="preserve"> to TURN</w:t>
            </w:r>
            <w:r w:rsidRPr="005877BD">
              <w:t>.</w:t>
            </w:r>
            <w:r>
              <w:t xml:space="preserve">  TURN asks the Commission to apply the adopted escalation rate in determining Ms. Goodson’s 2026 hourly rate.</w:t>
            </w:r>
          </w:p>
          <w:p w:rsidRPr="006756BC" w:rsidR="00441F67" w:rsidP="00625B30" w:rsidRDefault="00441F67" w14:paraId="16BBFFEE" w14:textId="77777777">
            <w:pPr>
              <w:tabs>
                <w:tab w:val="left" w:pos="1260"/>
              </w:tabs>
              <w:rPr>
                <w:bCs/>
                <w:color w:val="000000"/>
                <w:u w:val="single"/>
              </w:rPr>
            </w:pPr>
          </w:p>
        </w:tc>
      </w:tr>
      <w:tr w:rsidRPr="006756BC" w:rsidR="00625B30" w:rsidTr="00FE448C" w14:paraId="0CFF1FED" w14:textId="77777777">
        <w:tc>
          <w:tcPr>
            <w:tcW w:w="1525" w:type="dxa"/>
          </w:tcPr>
          <w:p w:rsidRPr="006756BC" w:rsidR="00625B30" w:rsidP="00625B30" w:rsidRDefault="00625B30" w14:paraId="1385E58C" w14:textId="77777777">
            <w:pPr>
              <w:tabs>
                <w:tab w:val="left" w:pos="1260"/>
              </w:tabs>
              <w:rPr>
                <w:color w:val="000000"/>
              </w:rPr>
            </w:pPr>
            <w:r w:rsidRPr="006756BC">
              <w:rPr>
                <w:color w:val="000000"/>
              </w:rPr>
              <w:t>Comment #2</w:t>
            </w:r>
          </w:p>
        </w:tc>
        <w:tc>
          <w:tcPr>
            <w:tcW w:w="8136" w:type="dxa"/>
          </w:tcPr>
          <w:p w:rsidRPr="00AC5FD1" w:rsidR="00625B30" w:rsidP="00C65D98" w:rsidRDefault="00AC5FD1" w14:paraId="53DAB839" w14:textId="77777777">
            <w:pPr>
              <w:rPr>
                <w:b/>
                <w:color w:val="000000"/>
              </w:rPr>
            </w:pPr>
            <w:r w:rsidRPr="00AC5FD1">
              <w:rPr>
                <w:b/>
                <w:color w:val="000000"/>
              </w:rPr>
              <w:t>2026 Rate for TURN Consultant Marcel Hawiger</w:t>
            </w:r>
          </w:p>
          <w:p w:rsidR="00AC5FD1" w:rsidP="00C65D98" w:rsidRDefault="00AC5FD1" w14:paraId="378DF5D1" w14:textId="77777777">
            <w:pPr>
              <w:rPr>
                <w:b/>
                <w:color w:val="000000"/>
                <w:u w:val="single"/>
              </w:rPr>
            </w:pPr>
          </w:p>
          <w:p w:rsidR="00C76053" w:rsidP="00C65D98" w:rsidRDefault="00AC5FD1" w14:paraId="1BC48F22" w14:textId="77777777">
            <w:pPr>
              <w:rPr>
                <w:bCs/>
                <w:color w:val="000000"/>
              </w:rPr>
            </w:pPr>
            <w:r>
              <w:rPr>
                <w:bCs/>
                <w:color w:val="000000"/>
              </w:rPr>
              <w:t xml:space="preserve">Marcel Hawiger was employed by TURN as a Staff Attorney for </w:t>
            </w:r>
            <w:proofErr w:type="gramStart"/>
            <w:r>
              <w:rPr>
                <w:bCs/>
                <w:color w:val="000000"/>
              </w:rPr>
              <w:t>the majority of</w:t>
            </w:r>
            <w:proofErr w:type="gramEnd"/>
            <w:r>
              <w:rPr>
                <w:bCs/>
                <w:color w:val="000000"/>
              </w:rPr>
              <w:t xml:space="preserve"> time he worked on this proceeding.  However, in mid-December 2025, Mr. Hawiger </w:t>
            </w:r>
            <w:r w:rsidR="00E718A7">
              <w:rPr>
                <w:bCs/>
                <w:color w:val="000000"/>
              </w:rPr>
              <w:t xml:space="preserve">ended his employment with TURN.  </w:t>
            </w:r>
            <w:r w:rsidR="00481925">
              <w:rPr>
                <w:bCs/>
                <w:color w:val="000000"/>
              </w:rPr>
              <w:t xml:space="preserve">Since that time, Mr. Hawiger has begun providing </w:t>
            </w:r>
            <w:r w:rsidR="00E718A7">
              <w:rPr>
                <w:bCs/>
                <w:color w:val="000000"/>
              </w:rPr>
              <w:t>consulting services to TURN at an hourly rate of $250</w:t>
            </w:r>
            <w:r w:rsidR="00A03864">
              <w:rPr>
                <w:bCs/>
                <w:color w:val="000000"/>
              </w:rPr>
              <w:t>, which is far below the Market Rates approved by the Commission for his work as a TURN Staff Attorney</w:t>
            </w:r>
            <w:r w:rsidR="00C76053">
              <w:rPr>
                <w:bCs/>
                <w:color w:val="000000"/>
              </w:rPr>
              <w:t xml:space="preserve"> over many years</w:t>
            </w:r>
            <w:r w:rsidR="008D0AF6">
              <w:rPr>
                <w:bCs/>
                <w:color w:val="000000"/>
              </w:rPr>
              <w:t xml:space="preserve">.  </w:t>
            </w:r>
          </w:p>
          <w:p w:rsidR="00C76053" w:rsidP="00C65D98" w:rsidRDefault="00C76053" w14:paraId="35022AC5" w14:textId="77777777">
            <w:pPr>
              <w:rPr>
                <w:bCs/>
                <w:color w:val="000000"/>
              </w:rPr>
            </w:pPr>
          </w:p>
          <w:p w:rsidR="008D0AF6" w:rsidP="00C65D98" w:rsidRDefault="008D0AF6" w14:paraId="0DE47CB8" w14:textId="2FDEF1F7">
            <w:pPr>
              <w:rPr>
                <w:bCs/>
                <w:color w:val="000000"/>
              </w:rPr>
            </w:pPr>
            <w:r>
              <w:rPr>
                <w:bCs/>
                <w:color w:val="000000"/>
              </w:rPr>
              <w:t xml:space="preserve">This request for compensation includes </w:t>
            </w:r>
            <w:r w:rsidRPr="00F87DD8" w:rsidR="00F87DD8">
              <w:rPr>
                <w:bCs/>
                <w:color w:val="000000"/>
              </w:rPr>
              <w:t>1.</w:t>
            </w:r>
            <w:r w:rsidRPr="00F87DD8">
              <w:rPr>
                <w:bCs/>
                <w:color w:val="000000"/>
              </w:rPr>
              <w:t>2</w:t>
            </w:r>
            <w:r w:rsidRPr="00F87DD8" w:rsidR="00F87DD8">
              <w:rPr>
                <w:bCs/>
                <w:color w:val="000000"/>
              </w:rPr>
              <w:t>5</w:t>
            </w:r>
            <w:r w:rsidRPr="00F87DD8">
              <w:rPr>
                <w:bCs/>
                <w:color w:val="000000"/>
              </w:rPr>
              <w:t xml:space="preserve"> hours</w:t>
            </w:r>
            <w:r>
              <w:rPr>
                <w:bCs/>
                <w:color w:val="000000"/>
              </w:rPr>
              <w:t xml:space="preserve"> of Mr. Hawiger’s time in January 2026, </w:t>
            </w:r>
            <w:r w:rsidR="00B0791F">
              <w:rPr>
                <w:bCs/>
                <w:color w:val="000000"/>
              </w:rPr>
              <w:t>preparing</w:t>
            </w:r>
            <w:r>
              <w:rPr>
                <w:bCs/>
                <w:color w:val="000000"/>
              </w:rPr>
              <w:t xml:space="preserve"> feedback on PG&amp;E’s draft Lessons Learned report</w:t>
            </w:r>
            <w:r w:rsidR="00B0791F">
              <w:rPr>
                <w:bCs/>
                <w:color w:val="000000"/>
              </w:rPr>
              <w:t xml:space="preserve"> to include in TURN’s submission to PG&amp;E.  </w:t>
            </w:r>
            <w:r w:rsidR="003230A3">
              <w:rPr>
                <w:bCs/>
                <w:color w:val="000000"/>
              </w:rPr>
              <w:t xml:space="preserve">TURN requests an hourly rate of $250 for </w:t>
            </w:r>
            <w:r w:rsidR="0019192F">
              <w:rPr>
                <w:bCs/>
                <w:color w:val="000000"/>
              </w:rPr>
              <w:t>this</w:t>
            </w:r>
            <w:r w:rsidR="003230A3">
              <w:rPr>
                <w:bCs/>
                <w:color w:val="000000"/>
              </w:rPr>
              <w:t xml:space="preserve"> work</w:t>
            </w:r>
            <w:r w:rsidR="0019192F">
              <w:rPr>
                <w:bCs/>
                <w:color w:val="000000"/>
              </w:rPr>
              <w:t xml:space="preserve"> conducted in</w:t>
            </w:r>
            <w:r w:rsidR="003230A3">
              <w:rPr>
                <w:bCs/>
                <w:color w:val="000000"/>
              </w:rPr>
              <w:t xml:space="preserve"> 2026.  Attachment 5 to this claim includes the retainer agreement between TURN and Mr. Hawiger </w:t>
            </w:r>
            <w:r w:rsidR="00AD1283">
              <w:rPr>
                <w:bCs/>
                <w:color w:val="000000"/>
              </w:rPr>
              <w:t>which specifie</w:t>
            </w:r>
            <w:r w:rsidR="00FC3B5D">
              <w:rPr>
                <w:bCs/>
                <w:color w:val="000000"/>
              </w:rPr>
              <w:t>s</w:t>
            </w:r>
            <w:r w:rsidR="00AD1283">
              <w:rPr>
                <w:bCs/>
                <w:color w:val="000000"/>
              </w:rPr>
              <w:t xml:space="preserve"> this hourly rate for work in 2026.</w:t>
            </w:r>
          </w:p>
          <w:p w:rsidRPr="00AC5FD1" w:rsidR="00E718A7" w:rsidP="00C65D98" w:rsidRDefault="00E718A7" w14:paraId="681BC91C" w14:textId="7324DA0A">
            <w:pPr>
              <w:rPr>
                <w:bCs/>
                <w:color w:val="000000"/>
              </w:rPr>
            </w:pPr>
          </w:p>
        </w:tc>
      </w:tr>
      <w:tr w:rsidRPr="006756BC" w:rsidR="0004036E" w:rsidTr="00FE448C" w14:paraId="5461A871" w14:textId="77777777">
        <w:tc>
          <w:tcPr>
            <w:tcW w:w="1525" w:type="dxa"/>
          </w:tcPr>
          <w:p w:rsidRPr="006756BC" w:rsidR="0004036E" w:rsidP="00625B30" w:rsidRDefault="0004036E" w14:paraId="4829F293" w14:textId="486C3C51">
            <w:pPr>
              <w:tabs>
                <w:tab w:val="left" w:pos="1260"/>
              </w:tabs>
              <w:rPr>
                <w:color w:val="000000"/>
              </w:rPr>
            </w:pPr>
            <w:r>
              <w:rPr>
                <w:color w:val="000000"/>
              </w:rPr>
              <w:t>Comment #3</w:t>
            </w:r>
          </w:p>
        </w:tc>
        <w:tc>
          <w:tcPr>
            <w:tcW w:w="8136" w:type="dxa"/>
          </w:tcPr>
          <w:p w:rsidR="0004036E" w:rsidP="00C65D98" w:rsidRDefault="001058F9" w14:paraId="0D88F5B1" w14:textId="77777777">
            <w:pPr>
              <w:rPr>
                <w:b/>
                <w:color w:val="000000"/>
              </w:rPr>
            </w:pPr>
            <w:r>
              <w:rPr>
                <w:b/>
                <w:color w:val="000000"/>
              </w:rPr>
              <w:t>2024, 2025, and 2026 Hourly Rates for TURN Energy &amp; Climate Policy Analyst Jalal Awan</w:t>
            </w:r>
          </w:p>
          <w:p w:rsidR="001058F9" w:rsidP="00C65D98" w:rsidRDefault="001058F9" w14:paraId="5301D932" w14:textId="77777777">
            <w:pPr>
              <w:rPr>
                <w:b/>
                <w:color w:val="000000"/>
              </w:rPr>
            </w:pPr>
          </w:p>
          <w:p w:rsidR="00F76F76" w:rsidP="00F76F76" w:rsidRDefault="00F76F76" w14:paraId="43953565" w14:textId="4D28A8CB">
            <w:pPr>
              <w:tabs>
                <w:tab w:val="left" w:pos="816"/>
              </w:tabs>
            </w:pPr>
            <w:r>
              <w:t xml:space="preserve">On October 27, 2025, TURN filed an Intervenor Compensation Claim in R.20-07-013 that included TURN’s first request for an hourly rate for TURN Energy Policy Analyst Jalal Awan.  Mr. Awan joined TURN’s staff in November 2023.  In that claim, TURN requested an hourly rate of $325 for Mr. Awan in 2024 based on the Commission’s hourly rate range for the Public Policy Analyst – Level III labor role.  TURN </w:t>
            </w:r>
            <w:proofErr w:type="gramStart"/>
            <w:r>
              <w:t>refers</w:t>
            </w:r>
            <w:proofErr w:type="gramEnd"/>
            <w:r>
              <w:t xml:space="preserve"> the Commission </w:t>
            </w:r>
            <w:proofErr w:type="gramStart"/>
            <w:r>
              <w:t>to</w:t>
            </w:r>
            <w:proofErr w:type="gramEnd"/>
            <w:r>
              <w:t xml:space="preserve"> TURN’s showing in R.20-07-013 to support the proposed 2024 rate of $325 for Mr. Awan rather than repeat </w:t>
            </w:r>
            <w:r>
              <w:lastRenderedPageBreak/>
              <w:t>it here</w:t>
            </w:r>
            <w:r w:rsidRPr="004E0EF9">
              <w:t xml:space="preserve">. (See </w:t>
            </w:r>
            <w:r w:rsidRPr="004E0EF9" w:rsidR="004E0EF9">
              <w:t>https://docs.cpuc.ca.gov/PublishedDocs/Efile/G000/M585/K485/585485920.PDF</w:t>
            </w:r>
            <w:r w:rsidRPr="004E0EF9">
              <w:t>)</w:t>
            </w:r>
          </w:p>
          <w:p w:rsidR="00F76F76" w:rsidP="00F76F76" w:rsidRDefault="00F76F76" w14:paraId="4E2E38E2" w14:textId="77777777">
            <w:pPr>
              <w:tabs>
                <w:tab w:val="left" w:pos="816"/>
              </w:tabs>
            </w:pPr>
          </w:p>
          <w:p w:rsidR="00F76F76" w:rsidP="00F76F76" w:rsidRDefault="00F76F76" w14:paraId="5E492418" w14:textId="77777777">
            <w:r>
              <w:t xml:space="preserve">For Mr. Awan’s rate in 2025, TURN requests that the Commission adjust his 2024 rate by both </w:t>
            </w:r>
            <w:r w:rsidRPr="00C70622">
              <w:t xml:space="preserve">(1) the annual escalation rate of 3.46% for 2025 and (2) the first 5% step increase for </w:t>
            </w:r>
            <w:r>
              <w:t>Mr. Awan</w:t>
            </w:r>
            <w:r w:rsidRPr="00C70622">
              <w:t xml:space="preserve"> in the Public Policy Analyst – Level II</w:t>
            </w:r>
            <w:r>
              <w:t>I</w:t>
            </w:r>
            <w:r w:rsidRPr="00C70622">
              <w:t xml:space="preserve"> experience tier.</w:t>
            </w:r>
            <w:r>
              <w:t xml:space="preserve">  TURN uses a 2025 rate of $355 for Mr. Awan to prepare this claim.  Calculation:  $325 x [1.0346 (COLA) + 0.05 (step increase)] = $352.50 rounded to $355.</w:t>
            </w:r>
          </w:p>
          <w:p w:rsidR="00F76F76" w:rsidP="00C65D98" w:rsidRDefault="00F76F76" w14:paraId="1341A2FE" w14:textId="77777777">
            <w:pPr>
              <w:rPr>
                <w:b/>
                <w:color w:val="000000"/>
              </w:rPr>
            </w:pPr>
          </w:p>
          <w:p w:rsidRPr="00193E87" w:rsidR="00193E87" w:rsidP="00193E87" w:rsidRDefault="009C07FF" w14:paraId="43ED49C5" w14:textId="79B1FBD5">
            <w:pPr>
              <w:rPr>
                <w:bCs/>
              </w:rPr>
            </w:pPr>
            <w:r w:rsidRPr="00193E87">
              <w:rPr>
                <w:bCs/>
                <w:color w:val="000000"/>
              </w:rPr>
              <w:t xml:space="preserve">For Mr. Awan’s rate in 2026, </w:t>
            </w:r>
            <w:r w:rsidRPr="00193E87" w:rsidR="00193E87">
              <w:rPr>
                <w:bCs/>
                <w:color w:val="000000"/>
              </w:rPr>
              <w:t xml:space="preserve">TURN requests that the Commission adjust his 2025 rate by the annual escalation rate adopted for 2026.  To calculate this claim, TURN uses </w:t>
            </w:r>
            <w:r w:rsidRPr="00193E87" w:rsidR="00193E87">
              <w:rPr>
                <w:bCs/>
              </w:rPr>
              <w:t>an estimated escalation rate of 3.3% for 2026</w:t>
            </w:r>
            <w:r w:rsidR="00C10C2D">
              <w:rPr>
                <w:bCs/>
              </w:rPr>
              <w:t>, which produces a 2026 rate of $365</w:t>
            </w:r>
            <w:r w:rsidRPr="00193E87" w:rsidR="00193E87">
              <w:rPr>
                <w:bCs/>
              </w:rPr>
              <w:t xml:space="preserve">.  </w:t>
            </w:r>
          </w:p>
          <w:p w:rsidR="00193E87" w:rsidP="00193E87" w:rsidRDefault="00193E87" w14:paraId="0133DA98" w14:textId="77777777"/>
          <w:p w:rsidR="00193E87" w:rsidP="00193E87" w:rsidRDefault="00193E87" w14:paraId="3D55AC65" w14:textId="0AC6530B">
            <w:r>
              <w:t>Calculation: $355 x [1.033 (est. COLA)] = $</w:t>
            </w:r>
            <w:r w:rsidR="00DE0C74">
              <w:t>366.72</w:t>
            </w:r>
            <w:r>
              <w:t>, rounded to $</w:t>
            </w:r>
            <w:r w:rsidR="00DE0C74">
              <w:t>365</w:t>
            </w:r>
          </w:p>
          <w:p w:rsidR="00094C17" w:rsidP="00193E87" w:rsidRDefault="00094C17" w14:paraId="62E64D78" w14:textId="77777777"/>
          <w:p w:rsidR="00193E87" w:rsidP="00193E87" w:rsidRDefault="00193E87" w14:paraId="63B31EA3" w14:textId="6C7A7EB9">
            <w:r>
              <w:t xml:space="preserve">TURN uses an estimated escalation rate of 3.3% because it is </w:t>
            </w:r>
            <w:r w:rsidRPr="005877BD">
              <w:t xml:space="preserve">the percentage change in the Bureau of Labor Statistics Employment Cost Index (ECI), Table 5, for the Occupational Group “Management, Professional, and Related excluding Incentive Paid Occupations” for </w:t>
            </w:r>
            <w:r>
              <w:t xml:space="preserve">the </w:t>
            </w:r>
            <w:r w:rsidRPr="005877BD">
              <w:t>12-months ended Sept. 2025, which is the latest information available</w:t>
            </w:r>
            <w:r>
              <w:t xml:space="preserve"> to TURN</w:t>
            </w:r>
            <w:r w:rsidRPr="005877BD">
              <w:t>.</w:t>
            </w:r>
            <w:r>
              <w:t xml:space="preserve">  TURN asks the Commission to apply the adopted escalation rate in determining </w:t>
            </w:r>
            <w:r w:rsidR="00094C17">
              <w:t>Mr. Awan’s</w:t>
            </w:r>
            <w:r>
              <w:t xml:space="preserve"> 2026 hourly rate.</w:t>
            </w:r>
          </w:p>
          <w:p w:rsidRPr="001058F9" w:rsidR="009B4E7A" w:rsidP="00C65D98" w:rsidRDefault="009B4E7A" w14:paraId="0C4BD61C" w14:textId="48DDBA0B">
            <w:pPr>
              <w:rPr>
                <w:bCs/>
                <w:color w:val="000000"/>
              </w:rPr>
            </w:pPr>
          </w:p>
        </w:tc>
      </w:tr>
    </w:tbl>
    <w:p w:rsidRPr="006756BC" w:rsidR="00625B30" w:rsidP="00625B30" w:rsidRDefault="00625B30" w14:paraId="24C9F141" w14:textId="77777777"/>
    <w:p w:rsidRPr="006756BC" w:rsidR="00625B30" w:rsidP="00D100BD" w:rsidRDefault="00625B30" w14:paraId="75E64BE4" w14:textId="748F15F1">
      <w:pPr>
        <w:keepNext/>
        <w:numPr>
          <w:ilvl w:val="0"/>
          <w:numId w:val="2"/>
        </w:numPr>
        <w:spacing w:before="120" w:after="240"/>
        <w:rPr>
          <w:b/>
          <w:color w:val="000000"/>
        </w:rPr>
      </w:pPr>
      <w:r w:rsidRPr="006756BC">
        <w:rPr>
          <w:b/>
          <w:color w:val="000000"/>
        </w:rPr>
        <w:t>CPUC Comments, Disallowances, and Adjustments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1603"/>
        <w:gridCol w:w="7757"/>
      </w:tblGrid>
      <w:tr w:rsidRPr="006756BC" w:rsidR="00625B30" w:rsidTr="00625B30" w14:paraId="59CFEA0C" w14:textId="77777777">
        <w:trPr>
          <w:tblHeader/>
        </w:trPr>
        <w:tc>
          <w:tcPr>
            <w:tcW w:w="1527" w:type="dxa"/>
            <w:shd w:val="pct12" w:color="auto" w:fill="auto"/>
          </w:tcPr>
          <w:p w:rsidRPr="006756BC" w:rsidR="00625B30" w:rsidP="0036244B" w:rsidRDefault="00625B30" w14:paraId="6DD51BEB" w14:textId="77777777">
            <w:pPr>
              <w:tabs>
                <w:tab w:val="left" w:pos="1440"/>
              </w:tabs>
              <w:jc w:val="center"/>
              <w:rPr>
                <w:b/>
                <w:color w:val="000000"/>
              </w:rPr>
            </w:pPr>
            <w:r w:rsidRPr="006756BC">
              <w:rPr>
                <w:b/>
                <w:color w:val="000000"/>
              </w:rPr>
              <w:t>Item</w:t>
            </w:r>
          </w:p>
        </w:tc>
        <w:tc>
          <w:tcPr>
            <w:tcW w:w="7833" w:type="dxa"/>
            <w:shd w:val="pct12" w:color="auto" w:fill="auto"/>
          </w:tcPr>
          <w:p w:rsidRPr="006756BC" w:rsidR="00625B30" w:rsidP="0036244B" w:rsidRDefault="00625B30" w14:paraId="239D04DA" w14:textId="77777777">
            <w:pPr>
              <w:tabs>
                <w:tab w:val="left" w:pos="1440"/>
              </w:tabs>
              <w:jc w:val="center"/>
              <w:rPr>
                <w:b/>
                <w:color w:val="000000"/>
              </w:rPr>
            </w:pPr>
            <w:r w:rsidRPr="006756BC">
              <w:rPr>
                <w:b/>
                <w:color w:val="000000"/>
              </w:rPr>
              <w:t>Reason</w:t>
            </w:r>
          </w:p>
        </w:tc>
      </w:tr>
      <w:tr w:rsidRPr="006756BC" w:rsidR="00625B30" w:rsidTr="00625B30" w14:paraId="2C987839" w14:textId="77777777">
        <w:tc>
          <w:tcPr>
            <w:tcW w:w="1527" w:type="dxa"/>
          </w:tcPr>
          <w:p w:rsidRPr="006756BC" w:rsidR="00625B30" w:rsidP="0036244B" w:rsidRDefault="002230BA" w14:paraId="1852B9CF" w14:textId="75D9A41D">
            <w:pPr>
              <w:tabs>
                <w:tab w:val="left" w:pos="1440"/>
              </w:tabs>
              <w:rPr>
                <w:color w:val="000000"/>
              </w:rPr>
            </w:pPr>
            <w:r>
              <w:rPr>
                <w:color w:val="000000"/>
              </w:rPr>
              <w:t>[1]</w:t>
            </w:r>
            <w:r w:rsidR="00D975A2">
              <w:t xml:space="preserve"> </w:t>
            </w:r>
            <w:r w:rsidRPr="00D975A2" w:rsidR="00D975A2">
              <w:rPr>
                <w:color w:val="000000"/>
              </w:rPr>
              <w:t>Camille Stough</w:t>
            </w:r>
            <w:r w:rsidR="003C1B7E">
              <w:rPr>
                <w:color w:val="000000"/>
              </w:rPr>
              <w:t xml:space="preserve"> 2022 Hourly Rate</w:t>
            </w:r>
          </w:p>
        </w:tc>
        <w:tc>
          <w:tcPr>
            <w:tcW w:w="7833" w:type="dxa"/>
          </w:tcPr>
          <w:p w:rsidRPr="006756BC" w:rsidR="00625B30" w:rsidP="0036244B" w:rsidRDefault="00D97AF5" w14:paraId="38AEFFCF" w14:textId="0B3B168E">
            <w:pPr>
              <w:tabs>
                <w:tab w:val="left" w:pos="1440"/>
              </w:tabs>
              <w:rPr>
                <w:color w:val="000000"/>
              </w:rPr>
            </w:pPr>
            <w:r w:rsidRPr="00D97AF5">
              <w:rPr>
                <w:color w:val="000000"/>
              </w:rPr>
              <w:t>D.23-09-018</w:t>
            </w:r>
            <w:r>
              <w:rPr>
                <w:color w:val="000000"/>
              </w:rPr>
              <w:t xml:space="preserve"> verified a 2022 hourly rate of $380.00. We apply the same rate here.</w:t>
            </w:r>
          </w:p>
        </w:tc>
      </w:tr>
      <w:tr w:rsidRPr="006756BC" w:rsidR="00625B30" w:rsidTr="00625B30" w14:paraId="50F08B3B" w14:textId="77777777">
        <w:tc>
          <w:tcPr>
            <w:tcW w:w="1527" w:type="dxa"/>
          </w:tcPr>
          <w:p w:rsidRPr="006756BC" w:rsidR="00625B30" w:rsidP="0036244B" w:rsidRDefault="002230BA" w14:paraId="7048FC3E" w14:textId="13BC22F7">
            <w:pPr>
              <w:tabs>
                <w:tab w:val="left" w:pos="1440"/>
              </w:tabs>
              <w:rPr>
                <w:color w:val="000000"/>
              </w:rPr>
            </w:pPr>
            <w:r>
              <w:rPr>
                <w:color w:val="000000"/>
              </w:rPr>
              <w:t>[2]</w:t>
            </w:r>
            <w:r w:rsidR="00D975A2">
              <w:t xml:space="preserve"> </w:t>
            </w:r>
            <w:r w:rsidRPr="00D975A2" w:rsidR="00D975A2">
              <w:rPr>
                <w:color w:val="000000"/>
              </w:rPr>
              <w:t>Elise Torres</w:t>
            </w:r>
            <w:r w:rsidR="003C1B7E">
              <w:rPr>
                <w:color w:val="000000"/>
              </w:rPr>
              <w:t xml:space="preserve"> 2023 Hourly Rate</w:t>
            </w:r>
          </w:p>
        </w:tc>
        <w:tc>
          <w:tcPr>
            <w:tcW w:w="7833" w:type="dxa"/>
          </w:tcPr>
          <w:p w:rsidRPr="006756BC" w:rsidR="00625B30" w:rsidP="0036244B" w:rsidRDefault="003C1B7E" w14:paraId="3B01D90D" w14:textId="4F57795B">
            <w:pPr>
              <w:tabs>
                <w:tab w:val="left" w:pos="1440"/>
              </w:tabs>
              <w:rPr>
                <w:color w:val="000000"/>
              </w:rPr>
            </w:pPr>
            <w:r w:rsidRPr="003C1B7E">
              <w:rPr>
                <w:color w:val="000000"/>
              </w:rPr>
              <w:t>D.24-01-045</w:t>
            </w:r>
            <w:r>
              <w:rPr>
                <w:color w:val="000000"/>
              </w:rPr>
              <w:t xml:space="preserve"> verified a 2023 hourly rate of $510.00. We apply the same rate here.</w:t>
            </w:r>
          </w:p>
        </w:tc>
      </w:tr>
      <w:tr w:rsidRPr="006756BC" w:rsidR="002230BA" w:rsidTr="00625B30" w14:paraId="50A1D2A5" w14:textId="77777777">
        <w:tc>
          <w:tcPr>
            <w:tcW w:w="1527" w:type="dxa"/>
          </w:tcPr>
          <w:p w:rsidRPr="006756BC" w:rsidR="002230BA" w:rsidP="0036244B" w:rsidRDefault="002230BA" w14:paraId="62679C0E" w14:textId="1DEADDFC">
            <w:pPr>
              <w:tabs>
                <w:tab w:val="left" w:pos="1440"/>
              </w:tabs>
              <w:rPr>
                <w:color w:val="000000"/>
              </w:rPr>
            </w:pPr>
            <w:r>
              <w:rPr>
                <w:color w:val="000000"/>
              </w:rPr>
              <w:t>[3]</w:t>
            </w:r>
            <w:r w:rsidR="00FE448C">
              <w:rPr>
                <w:color w:val="000000"/>
              </w:rPr>
              <w:t xml:space="preserve"> Hayley Goodson 2024 -2026 Hourly Rates</w:t>
            </w:r>
          </w:p>
        </w:tc>
        <w:tc>
          <w:tcPr>
            <w:tcW w:w="7833" w:type="dxa"/>
          </w:tcPr>
          <w:p w:rsidRPr="00FE448C" w:rsidR="00FE448C" w:rsidP="00FE448C" w:rsidRDefault="00FE448C" w14:paraId="3DCD9697" w14:textId="575BFF89">
            <w:pPr>
              <w:tabs>
                <w:tab w:val="left" w:pos="1440"/>
              </w:tabs>
              <w:rPr>
                <w:color w:val="000000"/>
              </w:rPr>
            </w:pPr>
            <w:r w:rsidRPr="00FE448C">
              <w:rPr>
                <w:color w:val="000000"/>
              </w:rPr>
              <w:t>D.24-09-017</w:t>
            </w:r>
            <w:r>
              <w:rPr>
                <w:color w:val="000000"/>
              </w:rPr>
              <w:t xml:space="preserve"> verified a 2024 hourly rate of $680.00. We apply the same rate here.</w:t>
            </w:r>
          </w:p>
          <w:p w:rsidR="00FE448C" w:rsidP="00FE448C" w:rsidRDefault="00FE448C" w14:paraId="4D02FF3F" w14:textId="77777777">
            <w:pPr>
              <w:tabs>
                <w:tab w:val="left" w:pos="1440"/>
              </w:tabs>
              <w:rPr>
                <w:color w:val="000000"/>
              </w:rPr>
            </w:pPr>
          </w:p>
          <w:p w:rsidR="002230BA" w:rsidP="00FE448C" w:rsidRDefault="00FE448C" w14:paraId="40D54107" w14:textId="77777777">
            <w:pPr>
              <w:tabs>
                <w:tab w:val="left" w:pos="1440"/>
              </w:tabs>
              <w:rPr>
                <w:color w:val="000000"/>
              </w:rPr>
            </w:pPr>
            <w:r w:rsidRPr="00FE448C">
              <w:rPr>
                <w:color w:val="000000"/>
              </w:rPr>
              <w:t>D.25-07-034</w:t>
            </w:r>
            <w:r>
              <w:rPr>
                <w:color w:val="000000"/>
              </w:rPr>
              <w:t xml:space="preserve"> verified a 2025 hourly rate of $705.00. We apply the same rate here.</w:t>
            </w:r>
          </w:p>
          <w:p w:rsidR="00FE448C" w:rsidP="00FE448C" w:rsidRDefault="00FE448C" w14:paraId="55E461D8" w14:textId="77777777">
            <w:pPr>
              <w:tabs>
                <w:tab w:val="left" w:pos="1440"/>
              </w:tabs>
              <w:rPr>
                <w:color w:val="000000"/>
              </w:rPr>
            </w:pPr>
          </w:p>
          <w:p w:rsidR="00FE448C" w:rsidP="00FE448C" w:rsidRDefault="00FE448C" w14:paraId="33E54963" w14:textId="77777777">
            <w:pPr>
              <w:tabs>
                <w:tab w:val="left" w:pos="1440"/>
              </w:tabs>
              <w:rPr>
                <w:color w:val="000000"/>
              </w:rPr>
            </w:pPr>
            <w:r>
              <w:rPr>
                <w:color w:val="000000"/>
              </w:rPr>
              <w:lastRenderedPageBreak/>
              <w:t xml:space="preserve">For 2026, TURN requested the adopted 2025 hourly rate and application of the </w:t>
            </w:r>
            <w:r w:rsidR="00C96256">
              <w:rPr>
                <w:color w:val="000000"/>
              </w:rPr>
              <w:t>2026 escalation factor. Using our calculation methodology, based on the approved 2025 rate of $705.00, application of the 2026 escalation factor of 3.35% and rounding to the nearest $5 increment, we find:</w:t>
            </w:r>
          </w:p>
          <w:p w:rsidR="00C96256" w:rsidP="00FE448C" w:rsidRDefault="00C96256" w14:paraId="0CDA979D" w14:textId="77777777">
            <w:pPr>
              <w:tabs>
                <w:tab w:val="left" w:pos="1440"/>
              </w:tabs>
              <w:rPr>
                <w:color w:val="000000"/>
              </w:rPr>
            </w:pPr>
          </w:p>
          <w:p w:rsidR="00C96256" w:rsidP="00FE448C" w:rsidRDefault="00C96256" w14:paraId="045E3AB0" w14:textId="77777777">
            <w:pPr>
              <w:tabs>
                <w:tab w:val="left" w:pos="1440"/>
              </w:tabs>
              <w:rPr>
                <w:color w:val="000000"/>
              </w:rPr>
            </w:pPr>
            <w:r>
              <w:rPr>
                <w:color w:val="000000"/>
              </w:rPr>
              <w:t>2026: $705.00 x 1.0335 = $730.00</w:t>
            </w:r>
          </w:p>
          <w:p w:rsidR="00C96256" w:rsidP="00FE448C" w:rsidRDefault="00C96256" w14:paraId="1E5FFEBB" w14:textId="77777777">
            <w:pPr>
              <w:tabs>
                <w:tab w:val="left" w:pos="1440"/>
              </w:tabs>
              <w:rPr>
                <w:color w:val="000000"/>
              </w:rPr>
            </w:pPr>
          </w:p>
          <w:p w:rsidRPr="006756BC" w:rsidR="00C96256" w:rsidP="00FE448C" w:rsidRDefault="00C96256" w14:paraId="3BDAB6C1" w14:textId="440A8287">
            <w:pPr>
              <w:tabs>
                <w:tab w:val="left" w:pos="1440"/>
              </w:tabs>
              <w:rPr>
                <w:color w:val="000000"/>
              </w:rPr>
            </w:pPr>
            <w:r>
              <w:rPr>
                <w:color w:val="000000"/>
              </w:rPr>
              <w:t>We find the 2026 hourly rate of $730.00 reasonable and adopt it here. Intervenor Compensation Claim Preparation is rated at ½ preparer’s normal rate, bringing the 2026 claim preparation to $365.00.</w:t>
            </w:r>
          </w:p>
        </w:tc>
      </w:tr>
      <w:tr w:rsidRPr="006756BC" w:rsidR="002230BA" w:rsidTr="00625B30" w14:paraId="002BD68C" w14:textId="77777777">
        <w:tc>
          <w:tcPr>
            <w:tcW w:w="1527" w:type="dxa"/>
          </w:tcPr>
          <w:p w:rsidRPr="006756BC" w:rsidR="002230BA" w:rsidP="0036244B" w:rsidRDefault="002230BA" w14:paraId="57C231D7" w14:textId="0A3DB577">
            <w:pPr>
              <w:tabs>
                <w:tab w:val="left" w:pos="1440"/>
              </w:tabs>
              <w:rPr>
                <w:color w:val="000000"/>
              </w:rPr>
            </w:pPr>
            <w:r>
              <w:rPr>
                <w:color w:val="000000"/>
              </w:rPr>
              <w:lastRenderedPageBreak/>
              <w:t>[</w:t>
            </w:r>
            <w:r w:rsidR="00D975A2">
              <w:rPr>
                <w:color w:val="000000"/>
              </w:rPr>
              <w:t>4</w:t>
            </w:r>
            <w:r>
              <w:rPr>
                <w:color w:val="000000"/>
              </w:rPr>
              <w:t xml:space="preserve">] </w:t>
            </w:r>
            <w:r w:rsidR="00B13145">
              <w:rPr>
                <w:color w:val="000000"/>
              </w:rPr>
              <w:t>Jalal Awan 2024 – 2026 Hourly Rate</w:t>
            </w:r>
          </w:p>
        </w:tc>
        <w:tc>
          <w:tcPr>
            <w:tcW w:w="7833" w:type="dxa"/>
          </w:tcPr>
          <w:p w:rsidRPr="002230BA" w:rsidR="002230BA" w:rsidP="002230BA" w:rsidRDefault="002230BA" w14:paraId="1AB5D3B8" w14:textId="77777777">
            <w:pPr>
              <w:tabs>
                <w:tab w:val="left" w:pos="1440"/>
              </w:tabs>
              <w:rPr>
                <w:color w:val="000000"/>
              </w:rPr>
            </w:pPr>
            <w:r w:rsidRPr="002230BA">
              <w:rPr>
                <w:color w:val="000000"/>
              </w:rPr>
              <w:t>Awan previously served TURN as a consultant but joined TURN as staff in 2023. TURN requests a 2024 rate of $325.00 for Awan as a Turn staff member in the role of Expert – Public Policy Analyst Level III.</w:t>
            </w:r>
          </w:p>
          <w:p w:rsidRPr="002230BA" w:rsidR="002230BA" w:rsidP="002230BA" w:rsidRDefault="002230BA" w14:paraId="4C87EA8C" w14:textId="77777777">
            <w:pPr>
              <w:tabs>
                <w:tab w:val="left" w:pos="1440"/>
              </w:tabs>
              <w:rPr>
                <w:color w:val="000000"/>
              </w:rPr>
            </w:pPr>
          </w:p>
          <w:p w:rsidRPr="002230BA" w:rsidR="002230BA" w:rsidP="002230BA" w:rsidRDefault="002230BA" w14:paraId="153DD940" w14:textId="77777777">
            <w:pPr>
              <w:tabs>
                <w:tab w:val="left" w:pos="1440"/>
              </w:tabs>
              <w:rPr>
                <w:color w:val="000000"/>
              </w:rPr>
            </w:pPr>
            <w:r w:rsidRPr="002230BA">
              <w:rPr>
                <w:color w:val="000000"/>
              </w:rPr>
              <w:t xml:space="preserve">Awan began work for TURN in November 2023 as an Energy and Climate Policy Analyst after working for RAND Corporation as an Assistant Policy Analyst from September 2017 to October 2023, giving them approximately six years of work experience as a policy analyst. While working for TURN, Awan has sponsored testimonies for various proceedings which protected ratepayer interests. Additionally, Awan graduated from Rand School of Public Policy with a Ph.D. in Public Policy Analysis in 2023, USC with a M.S. in Energy Systems in 2015, and earned a B.E. in Electrical Engineering from The University of Lahore in 2010. </w:t>
            </w:r>
          </w:p>
          <w:p w:rsidRPr="002230BA" w:rsidR="002230BA" w:rsidP="002230BA" w:rsidRDefault="002230BA" w14:paraId="00C41E4E" w14:textId="77777777">
            <w:pPr>
              <w:tabs>
                <w:tab w:val="left" w:pos="1440"/>
              </w:tabs>
              <w:rPr>
                <w:color w:val="000000"/>
              </w:rPr>
            </w:pPr>
          </w:p>
          <w:p w:rsidR="002230BA" w:rsidP="002230BA" w:rsidRDefault="002230BA" w14:paraId="326F41EC" w14:textId="77777777">
            <w:pPr>
              <w:tabs>
                <w:tab w:val="left" w:pos="1440"/>
              </w:tabs>
              <w:rPr>
                <w:color w:val="000000"/>
              </w:rPr>
            </w:pPr>
            <w:r w:rsidRPr="002230BA">
              <w:rPr>
                <w:color w:val="000000"/>
              </w:rPr>
              <w:t>For 2024, Resolution ALJ-393 lists a range of $272.21 - $477.73 for Public Policy Analyst - Level III with 5 -10 years’ experience, with the median range being $371.11. Given Awan’s work experience and educational background, an hourly rate of $325.00 for 2024 is found to be reasonable and adopted here.</w:t>
            </w:r>
          </w:p>
          <w:p w:rsidR="002230BA" w:rsidP="002230BA" w:rsidRDefault="002230BA" w14:paraId="5B6AA823" w14:textId="77777777">
            <w:pPr>
              <w:tabs>
                <w:tab w:val="left" w:pos="1440"/>
              </w:tabs>
              <w:rPr>
                <w:color w:val="000000"/>
              </w:rPr>
            </w:pPr>
          </w:p>
          <w:p w:rsidR="002230BA" w:rsidP="002230BA" w:rsidRDefault="002230BA" w14:paraId="63482A4B" w14:textId="54483217">
            <w:pPr>
              <w:tabs>
                <w:tab w:val="left" w:pos="1440"/>
              </w:tabs>
              <w:rPr>
                <w:color w:val="000000"/>
              </w:rPr>
            </w:pPr>
            <w:r>
              <w:rPr>
                <w:color w:val="000000"/>
              </w:rPr>
              <w:t>For 2025, using our calculation methodology</w:t>
            </w:r>
            <w:r w:rsidR="002C1DCF">
              <w:rPr>
                <w:color w:val="000000"/>
              </w:rPr>
              <w:t>, using t</w:t>
            </w:r>
            <w:r>
              <w:rPr>
                <w:color w:val="000000"/>
              </w:rPr>
              <w:t>he 2024 rate of $325.00 adopted above</w:t>
            </w:r>
            <w:r w:rsidR="002C1DCF">
              <w:rPr>
                <w:color w:val="000000"/>
              </w:rPr>
              <w:t>, application of the 2025 escalation factor of 3.46%</w:t>
            </w:r>
            <w:r w:rsidR="00B13145">
              <w:rPr>
                <w:color w:val="000000"/>
              </w:rPr>
              <w:t>, application of the first available 5% step-increase,</w:t>
            </w:r>
            <w:r w:rsidR="002C1DCF">
              <w:rPr>
                <w:color w:val="000000"/>
              </w:rPr>
              <w:t xml:space="preserve"> and rounding to the nearest allowable $5 increment, we find:</w:t>
            </w:r>
          </w:p>
          <w:p w:rsidR="002C1DCF" w:rsidP="002230BA" w:rsidRDefault="002C1DCF" w14:paraId="19581679" w14:textId="77777777">
            <w:pPr>
              <w:tabs>
                <w:tab w:val="left" w:pos="1440"/>
              </w:tabs>
              <w:rPr>
                <w:color w:val="000000"/>
              </w:rPr>
            </w:pPr>
          </w:p>
          <w:p w:rsidR="002C1DCF" w:rsidP="002230BA" w:rsidRDefault="002C1DCF" w14:paraId="16DFB9FB" w14:textId="22E9CD73">
            <w:pPr>
              <w:tabs>
                <w:tab w:val="left" w:pos="1440"/>
              </w:tabs>
              <w:rPr>
                <w:color w:val="000000"/>
              </w:rPr>
            </w:pPr>
            <w:r>
              <w:rPr>
                <w:color w:val="000000"/>
              </w:rPr>
              <w:t>2025: $325.00 x 1.0</w:t>
            </w:r>
            <w:r w:rsidR="00B13145">
              <w:rPr>
                <w:color w:val="000000"/>
              </w:rPr>
              <w:t>8</w:t>
            </w:r>
            <w:r>
              <w:rPr>
                <w:color w:val="000000"/>
              </w:rPr>
              <w:t>46 = $3</w:t>
            </w:r>
            <w:r w:rsidR="00B13145">
              <w:rPr>
                <w:color w:val="000000"/>
              </w:rPr>
              <w:t>5</w:t>
            </w:r>
            <w:r>
              <w:rPr>
                <w:color w:val="000000"/>
              </w:rPr>
              <w:t>5.00</w:t>
            </w:r>
          </w:p>
          <w:p w:rsidR="002C1DCF" w:rsidP="002230BA" w:rsidRDefault="002C1DCF" w14:paraId="1FFA0E7F" w14:textId="77777777">
            <w:pPr>
              <w:tabs>
                <w:tab w:val="left" w:pos="1440"/>
              </w:tabs>
              <w:rPr>
                <w:color w:val="000000"/>
              </w:rPr>
            </w:pPr>
          </w:p>
          <w:p w:rsidR="002C1DCF" w:rsidP="002230BA" w:rsidRDefault="00B13145" w14:paraId="0AF076C6" w14:textId="77777777">
            <w:pPr>
              <w:tabs>
                <w:tab w:val="left" w:pos="1440"/>
              </w:tabs>
              <w:rPr>
                <w:color w:val="000000"/>
              </w:rPr>
            </w:pPr>
            <w:r>
              <w:rPr>
                <w:color w:val="000000"/>
              </w:rPr>
              <w:t>We find the requested 2025 hourly rate of $355.00 reasonable and adopt it here. For 2026, based on the adopted 2025 rate of $355.00, application of the 3.35% escalation factor and rounding to the nearest $5 increment, we find:</w:t>
            </w:r>
          </w:p>
          <w:p w:rsidR="00B13145" w:rsidP="002230BA" w:rsidRDefault="00B13145" w14:paraId="6CB362DF" w14:textId="77777777">
            <w:pPr>
              <w:tabs>
                <w:tab w:val="left" w:pos="1440"/>
              </w:tabs>
              <w:rPr>
                <w:color w:val="000000"/>
              </w:rPr>
            </w:pPr>
          </w:p>
          <w:p w:rsidR="00B13145" w:rsidP="002230BA" w:rsidRDefault="00B13145" w14:paraId="13290C39" w14:textId="77777777">
            <w:pPr>
              <w:tabs>
                <w:tab w:val="left" w:pos="1440"/>
              </w:tabs>
              <w:rPr>
                <w:color w:val="000000"/>
              </w:rPr>
            </w:pPr>
            <w:r>
              <w:rPr>
                <w:color w:val="000000"/>
              </w:rPr>
              <w:t>2026: $355.00 x 1.0335 = $365.00</w:t>
            </w:r>
          </w:p>
          <w:p w:rsidR="00B13145" w:rsidP="002230BA" w:rsidRDefault="00B13145" w14:paraId="66384D31" w14:textId="77777777">
            <w:pPr>
              <w:tabs>
                <w:tab w:val="left" w:pos="1440"/>
              </w:tabs>
              <w:rPr>
                <w:color w:val="000000"/>
              </w:rPr>
            </w:pPr>
          </w:p>
          <w:p w:rsidRPr="006756BC" w:rsidR="00B13145" w:rsidP="002230BA" w:rsidRDefault="00B13145" w14:paraId="4FFEE1DE" w14:textId="698B13A8">
            <w:pPr>
              <w:tabs>
                <w:tab w:val="left" w:pos="1440"/>
              </w:tabs>
              <w:rPr>
                <w:color w:val="000000"/>
              </w:rPr>
            </w:pPr>
            <w:r>
              <w:rPr>
                <w:color w:val="000000"/>
              </w:rPr>
              <w:t>We find the 2026 hourly rate of $365.00 reasonable and adopt it here.</w:t>
            </w:r>
          </w:p>
        </w:tc>
      </w:tr>
      <w:tr w:rsidRPr="006756BC" w:rsidR="006648AC" w:rsidTr="00625B30" w14:paraId="21141A50" w14:textId="77777777">
        <w:tc>
          <w:tcPr>
            <w:tcW w:w="1527" w:type="dxa"/>
          </w:tcPr>
          <w:p w:rsidR="006648AC" w:rsidP="0036244B" w:rsidRDefault="006648AC" w14:paraId="512EDB9E" w14:textId="6CD1FAF2">
            <w:pPr>
              <w:tabs>
                <w:tab w:val="left" w:pos="1440"/>
              </w:tabs>
              <w:rPr>
                <w:color w:val="000000"/>
              </w:rPr>
            </w:pPr>
            <w:r>
              <w:rPr>
                <w:color w:val="000000"/>
              </w:rPr>
              <w:lastRenderedPageBreak/>
              <w:t xml:space="preserve">[5] </w:t>
            </w:r>
            <w:r w:rsidRPr="006648AC">
              <w:rPr>
                <w:color w:val="000000"/>
              </w:rPr>
              <w:t>Jennifer Dowdell</w:t>
            </w:r>
            <w:r w:rsidR="003C1B7E">
              <w:rPr>
                <w:color w:val="000000"/>
              </w:rPr>
              <w:t xml:space="preserve"> 2022 Hourly Rate</w:t>
            </w:r>
          </w:p>
        </w:tc>
        <w:tc>
          <w:tcPr>
            <w:tcW w:w="7833" w:type="dxa"/>
          </w:tcPr>
          <w:p w:rsidRPr="002230BA" w:rsidR="006648AC" w:rsidP="002230BA" w:rsidRDefault="003C1B7E" w14:paraId="0DAC2BAC" w14:textId="11EB7E32">
            <w:pPr>
              <w:tabs>
                <w:tab w:val="left" w:pos="1440"/>
              </w:tabs>
              <w:rPr>
                <w:color w:val="000000"/>
              </w:rPr>
            </w:pPr>
            <w:r w:rsidRPr="003C1B7E">
              <w:rPr>
                <w:color w:val="000000"/>
              </w:rPr>
              <w:t>D.23-04-022</w:t>
            </w:r>
            <w:r>
              <w:rPr>
                <w:color w:val="000000"/>
              </w:rPr>
              <w:t xml:space="preserve"> verified a 2022 hourly rate of $415.00. We apply the same rate here.</w:t>
            </w:r>
          </w:p>
        </w:tc>
      </w:tr>
      <w:tr w:rsidRPr="006756BC" w:rsidR="002230BA" w:rsidTr="00625B30" w14:paraId="04DC8E0D" w14:textId="77777777">
        <w:tc>
          <w:tcPr>
            <w:tcW w:w="1527" w:type="dxa"/>
          </w:tcPr>
          <w:p w:rsidRPr="006756BC" w:rsidR="002230BA" w:rsidP="0036244B" w:rsidRDefault="00D975A2" w14:paraId="2CD2649E" w14:textId="594D3110">
            <w:pPr>
              <w:tabs>
                <w:tab w:val="left" w:pos="1440"/>
              </w:tabs>
              <w:rPr>
                <w:color w:val="000000"/>
              </w:rPr>
            </w:pPr>
            <w:r>
              <w:rPr>
                <w:color w:val="000000"/>
              </w:rPr>
              <w:t>[</w:t>
            </w:r>
            <w:r w:rsidR="006648AC">
              <w:rPr>
                <w:color w:val="000000"/>
              </w:rPr>
              <w:t>6</w:t>
            </w:r>
            <w:r>
              <w:rPr>
                <w:color w:val="000000"/>
              </w:rPr>
              <w:t xml:space="preserve">] </w:t>
            </w:r>
            <w:r w:rsidRPr="00D975A2">
              <w:rPr>
                <w:color w:val="000000"/>
              </w:rPr>
              <w:t>Marcel Hawiger</w:t>
            </w:r>
            <w:r w:rsidR="009427D4">
              <w:rPr>
                <w:color w:val="000000"/>
              </w:rPr>
              <w:t xml:space="preserve"> </w:t>
            </w:r>
            <w:r w:rsidR="006648AC">
              <w:rPr>
                <w:color w:val="000000"/>
              </w:rPr>
              <w:t>2022 and 2023 Hourly Rate</w:t>
            </w:r>
          </w:p>
        </w:tc>
        <w:tc>
          <w:tcPr>
            <w:tcW w:w="7833" w:type="dxa"/>
          </w:tcPr>
          <w:p w:rsidR="00D97AF5" w:rsidP="00D97AF5" w:rsidRDefault="00D97AF5" w14:paraId="11A02036" w14:textId="0EF2E730">
            <w:pPr>
              <w:tabs>
                <w:tab w:val="left" w:pos="1440"/>
              </w:tabs>
              <w:rPr>
                <w:color w:val="000000"/>
              </w:rPr>
            </w:pPr>
            <w:r w:rsidRPr="00D97AF5">
              <w:rPr>
                <w:color w:val="000000"/>
              </w:rPr>
              <w:t>D.23-03-042</w:t>
            </w:r>
            <w:r>
              <w:rPr>
                <w:color w:val="000000"/>
              </w:rPr>
              <w:t xml:space="preserve"> verified a 2022 hourly rate of $670.00. We apply the same rate here.</w:t>
            </w:r>
          </w:p>
          <w:p w:rsidRPr="00D97AF5" w:rsidR="00D97AF5" w:rsidP="00D97AF5" w:rsidRDefault="00D97AF5" w14:paraId="371C70CD" w14:textId="77777777">
            <w:pPr>
              <w:tabs>
                <w:tab w:val="left" w:pos="1440"/>
              </w:tabs>
              <w:rPr>
                <w:color w:val="000000"/>
              </w:rPr>
            </w:pPr>
          </w:p>
          <w:p w:rsidR="002230BA" w:rsidP="00D97AF5" w:rsidRDefault="00D97AF5" w14:paraId="2104F084" w14:textId="77777777">
            <w:pPr>
              <w:tabs>
                <w:tab w:val="left" w:pos="1440"/>
              </w:tabs>
              <w:rPr>
                <w:color w:val="000000"/>
              </w:rPr>
            </w:pPr>
            <w:r w:rsidRPr="00D97AF5">
              <w:rPr>
                <w:color w:val="000000"/>
              </w:rPr>
              <w:t>D.23-10-017</w:t>
            </w:r>
            <w:r>
              <w:rPr>
                <w:color w:val="000000"/>
              </w:rPr>
              <w:t xml:space="preserve"> </w:t>
            </w:r>
            <w:proofErr w:type="gramStart"/>
            <w:r>
              <w:rPr>
                <w:color w:val="000000"/>
              </w:rPr>
              <w:t>verified</w:t>
            </w:r>
            <w:proofErr w:type="gramEnd"/>
            <w:r>
              <w:rPr>
                <w:color w:val="000000"/>
              </w:rPr>
              <w:t xml:space="preserve"> a 2023 hourly rate of $735.00. We apply the same rate here.</w:t>
            </w:r>
          </w:p>
          <w:p w:rsidR="00D97AF5" w:rsidP="00D97AF5" w:rsidRDefault="00D97AF5" w14:paraId="6D6CC7E7" w14:textId="77777777">
            <w:pPr>
              <w:tabs>
                <w:tab w:val="left" w:pos="1440"/>
              </w:tabs>
              <w:rPr>
                <w:color w:val="000000"/>
              </w:rPr>
            </w:pPr>
          </w:p>
          <w:p w:rsidR="006B2779" w:rsidP="00D97AF5" w:rsidRDefault="006B2779" w14:paraId="46AC5254" w14:textId="7C9E8C73">
            <w:pPr>
              <w:tabs>
                <w:tab w:val="left" w:pos="1440"/>
              </w:tabs>
              <w:rPr>
                <w:color w:val="000000"/>
              </w:rPr>
            </w:pPr>
            <w:r>
              <w:rPr>
                <w:color w:val="000000"/>
              </w:rPr>
              <w:t>Intervenor Compensation Claim Preparation is rated at ½ preparer’s normal rate, bringing the 2022 claim preparation rate to $335.00.</w:t>
            </w:r>
          </w:p>
          <w:p w:rsidR="006B2779" w:rsidP="00D97AF5" w:rsidRDefault="006B2779" w14:paraId="57CA4D78" w14:textId="77777777">
            <w:pPr>
              <w:tabs>
                <w:tab w:val="left" w:pos="1440"/>
              </w:tabs>
              <w:rPr>
                <w:color w:val="000000"/>
              </w:rPr>
            </w:pPr>
          </w:p>
          <w:p w:rsidRPr="006756BC" w:rsidR="00D97AF5" w:rsidP="00D97AF5" w:rsidRDefault="00D97AF5" w14:paraId="1E6ADE3D" w14:textId="28C52B0A">
            <w:pPr>
              <w:tabs>
                <w:tab w:val="left" w:pos="1440"/>
              </w:tabs>
              <w:rPr>
                <w:color w:val="000000"/>
              </w:rPr>
            </w:pPr>
            <w:r>
              <w:rPr>
                <w:color w:val="000000"/>
              </w:rPr>
              <w:t>We confirm Marcel Hawiger served as a consultant to TURN beginning May 2023 to December 2024</w:t>
            </w:r>
            <w:r w:rsidR="004172D4">
              <w:rPr>
                <w:color w:val="000000"/>
              </w:rPr>
              <w:t xml:space="preserve"> and the hours claimed in 2023 end April 2023, therefore awarded non-consultant rates.</w:t>
            </w:r>
          </w:p>
        </w:tc>
      </w:tr>
      <w:tr w:rsidRPr="006756BC" w:rsidR="009427D4" w:rsidTr="00625B30" w14:paraId="6C1F62E1" w14:textId="77777777">
        <w:tc>
          <w:tcPr>
            <w:tcW w:w="1527" w:type="dxa"/>
          </w:tcPr>
          <w:p w:rsidR="009427D4" w:rsidP="0036244B" w:rsidRDefault="009427D4" w14:paraId="0E15C8A7" w14:textId="5D8A2C10">
            <w:pPr>
              <w:tabs>
                <w:tab w:val="left" w:pos="1440"/>
              </w:tabs>
              <w:rPr>
                <w:color w:val="000000"/>
              </w:rPr>
            </w:pPr>
            <w:r>
              <w:rPr>
                <w:color w:val="000000"/>
              </w:rPr>
              <w:t>[</w:t>
            </w:r>
            <w:r w:rsidR="006648AC">
              <w:rPr>
                <w:color w:val="000000"/>
              </w:rPr>
              <w:t>7</w:t>
            </w:r>
            <w:r>
              <w:rPr>
                <w:color w:val="000000"/>
              </w:rPr>
              <w:t>] Marcel Hawiger 2026 Consultant Rate</w:t>
            </w:r>
          </w:p>
        </w:tc>
        <w:tc>
          <w:tcPr>
            <w:tcW w:w="7833" w:type="dxa"/>
          </w:tcPr>
          <w:p w:rsidRPr="009427D4" w:rsidR="009427D4" w:rsidP="009427D4" w:rsidRDefault="009427D4" w14:paraId="2533519F" w14:textId="230EA1AB">
            <w:pPr>
              <w:tabs>
                <w:tab w:val="left" w:pos="1440"/>
              </w:tabs>
              <w:rPr>
                <w:color w:val="000000"/>
              </w:rPr>
            </w:pPr>
            <w:r>
              <w:rPr>
                <w:color w:val="000000"/>
              </w:rPr>
              <w:t>TURN</w:t>
            </w:r>
            <w:r w:rsidRPr="009427D4">
              <w:rPr>
                <w:color w:val="000000"/>
              </w:rPr>
              <w:t xml:space="preserve"> has confirmed that Marcel Hawiger is a consultant. Pursuant to Commission policy, the rate requested by an intervenor must not exceed the rate billed to that intervenor by any outside consultant it hires, even if the consultant’s billed rate is below the floor for a given experience level</w:t>
            </w:r>
            <w:r>
              <w:rPr>
                <w:rStyle w:val="FootnoteReference"/>
                <w:color w:val="000000"/>
              </w:rPr>
              <w:footnoteReference w:id="4"/>
            </w:r>
            <w:r w:rsidRPr="009427D4">
              <w:rPr>
                <w:color w:val="000000"/>
              </w:rPr>
              <w:t>. Per the IComp Program Guide at 24, the Commission may audit the records and books of the intervenors to the extent necessary to verify the basis for the award (§ 1804(d)).</w:t>
            </w:r>
          </w:p>
          <w:p w:rsidRPr="009427D4" w:rsidR="009427D4" w:rsidP="009427D4" w:rsidRDefault="009427D4" w14:paraId="3CCF180E" w14:textId="77777777">
            <w:pPr>
              <w:tabs>
                <w:tab w:val="left" w:pos="1440"/>
              </w:tabs>
              <w:rPr>
                <w:color w:val="000000"/>
              </w:rPr>
            </w:pPr>
          </w:p>
          <w:p w:rsidRPr="009427D4" w:rsidR="009427D4" w:rsidP="009427D4" w:rsidRDefault="009427D4" w14:paraId="6FDA9C03" w14:textId="5A46B007">
            <w:pPr>
              <w:tabs>
                <w:tab w:val="left" w:pos="1440"/>
              </w:tabs>
              <w:rPr>
                <w:color w:val="000000"/>
              </w:rPr>
            </w:pPr>
            <w:r>
              <w:rPr>
                <w:color w:val="000000"/>
              </w:rPr>
              <w:t>TURN</w:t>
            </w:r>
            <w:r w:rsidRPr="009427D4">
              <w:rPr>
                <w:color w:val="000000"/>
              </w:rPr>
              <w:t xml:space="preserve"> has confirmed that it paid Marcel Hawiger $</w:t>
            </w:r>
            <w:r>
              <w:rPr>
                <w:color w:val="000000"/>
              </w:rPr>
              <w:t>250.00</w:t>
            </w:r>
            <w:r w:rsidRPr="009427D4">
              <w:rPr>
                <w:color w:val="000000"/>
              </w:rPr>
              <w:t xml:space="preserve"> per hour for work in this proceeding. We find this rate reasonable given </w:t>
            </w:r>
            <w:r w:rsidR="00757A74">
              <w:rPr>
                <w:color w:val="000000"/>
              </w:rPr>
              <w:t>Marcel Hawiger’s</w:t>
            </w:r>
            <w:r w:rsidRPr="009427D4">
              <w:rPr>
                <w:color w:val="000000"/>
              </w:rPr>
              <w:t xml:space="preserve"> </w:t>
            </w:r>
            <w:proofErr w:type="gramStart"/>
            <w:r w:rsidRPr="009427D4">
              <w:rPr>
                <w:color w:val="000000"/>
              </w:rPr>
              <w:t>experience, and</w:t>
            </w:r>
            <w:proofErr w:type="gramEnd"/>
            <w:r w:rsidRPr="009427D4">
              <w:rPr>
                <w:color w:val="000000"/>
              </w:rPr>
              <w:t xml:space="preserve"> approve this rate here</w:t>
            </w:r>
            <w:r w:rsidR="00757A74">
              <w:rPr>
                <w:color w:val="000000"/>
              </w:rPr>
              <w:t>.</w:t>
            </w:r>
          </w:p>
          <w:p w:rsidRPr="009427D4" w:rsidR="009427D4" w:rsidP="009427D4" w:rsidRDefault="009427D4" w14:paraId="30A01182" w14:textId="77777777">
            <w:pPr>
              <w:tabs>
                <w:tab w:val="left" w:pos="1440"/>
              </w:tabs>
              <w:rPr>
                <w:color w:val="000000"/>
              </w:rPr>
            </w:pPr>
          </w:p>
          <w:p w:rsidRPr="006756BC" w:rsidR="009427D4" w:rsidP="009427D4" w:rsidRDefault="009427D4" w14:paraId="74BF5B53" w14:textId="482D386A">
            <w:pPr>
              <w:tabs>
                <w:tab w:val="left" w:pos="1440"/>
              </w:tabs>
              <w:rPr>
                <w:color w:val="000000"/>
              </w:rPr>
            </w:pPr>
            <w:r w:rsidRPr="009427D4">
              <w:rPr>
                <w:color w:val="000000"/>
              </w:rPr>
              <w:t>The award determined herein for Marcel Hawiger</w:t>
            </w:r>
            <w:r>
              <w:rPr>
                <w:color w:val="000000"/>
              </w:rPr>
              <w:t>’s</w:t>
            </w:r>
            <w:r w:rsidRPr="009427D4">
              <w:rPr>
                <w:color w:val="000000"/>
              </w:rPr>
              <w:t xml:space="preserve"> contribution in this proceeding shall be paid in full to Marcel Hawiger, and no portion of this part of the award shall be kept by </w:t>
            </w:r>
            <w:r>
              <w:rPr>
                <w:color w:val="000000"/>
              </w:rPr>
              <w:t>TURN</w:t>
            </w:r>
            <w:r w:rsidRPr="009427D4">
              <w:rPr>
                <w:color w:val="000000"/>
              </w:rPr>
              <w:t>. Additionally, the rates approved here are specific to work in this proceeding and the contract terms between the consultant and intervenor, as they are established in accordance with the Commission’s policy on consultant compensation.</w:t>
            </w:r>
          </w:p>
        </w:tc>
      </w:tr>
      <w:tr w:rsidRPr="006756BC" w:rsidR="002230BA" w:rsidTr="00625B30" w14:paraId="3444A431" w14:textId="77777777">
        <w:tc>
          <w:tcPr>
            <w:tcW w:w="1527" w:type="dxa"/>
          </w:tcPr>
          <w:p w:rsidRPr="006756BC" w:rsidR="002230BA" w:rsidP="0036244B" w:rsidRDefault="00D975A2" w14:paraId="1C422B91" w14:textId="33F71F92">
            <w:pPr>
              <w:tabs>
                <w:tab w:val="left" w:pos="1440"/>
              </w:tabs>
              <w:rPr>
                <w:color w:val="000000"/>
              </w:rPr>
            </w:pPr>
            <w:r>
              <w:rPr>
                <w:color w:val="000000"/>
              </w:rPr>
              <w:t>[</w:t>
            </w:r>
            <w:r w:rsidR="006648AC">
              <w:rPr>
                <w:color w:val="000000"/>
              </w:rPr>
              <w:t>8</w:t>
            </w:r>
            <w:r>
              <w:rPr>
                <w:color w:val="000000"/>
              </w:rPr>
              <w:t xml:space="preserve">] </w:t>
            </w:r>
            <w:r w:rsidRPr="009427D4" w:rsidR="009427D4">
              <w:rPr>
                <w:color w:val="000000"/>
              </w:rPr>
              <w:t>Marna Paintsil Anning</w:t>
            </w:r>
            <w:r w:rsidR="00F73659">
              <w:rPr>
                <w:color w:val="000000"/>
              </w:rPr>
              <w:t xml:space="preserve"> 2022 Hourly Rates</w:t>
            </w:r>
          </w:p>
        </w:tc>
        <w:tc>
          <w:tcPr>
            <w:tcW w:w="7833" w:type="dxa"/>
          </w:tcPr>
          <w:p w:rsidR="002230BA" w:rsidP="0036244B" w:rsidRDefault="00F73659" w14:paraId="4E09C3FE" w14:textId="77777777">
            <w:pPr>
              <w:tabs>
                <w:tab w:val="left" w:pos="1440"/>
              </w:tabs>
              <w:rPr>
                <w:color w:val="000000"/>
              </w:rPr>
            </w:pPr>
            <w:r w:rsidRPr="00F73659">
              <w:rPr>
                <w:color w:val="000000"/>
              </w:rPr>
              <w:t>D.23-11-120</w:t>
            </w:r>
            <w:r>
              <w:rPr>
                <w:color w:val="000000"/>
              </w:rPr>
              <w:t xml:space="preserve"> verified a 2022 hourly rate of $375.00. We apply the same rate here.</w:t>
            </w:r>
          </w:p>
          <w:p w:rsidR="00F73659" w:rsidP="0036244B" w:rsidRDefault="00F73659" w14:paraId="065FBF82" w14:textId="77777777">
            <w:pPr>
              <w:tabs>
                <w:tab w:val="left" w:pos="1440"/>
              </w:tabs>
              <w:rPr>
                <w:color w:val="000000"/>
              </w:rPr>
            </w:pPr>
          </w:p>
          <w:p w:rsidRPr="006756BC" w:rsidR="00F73659" w:rsidP="0036244B" w:rsidRDefault="00F73659" w14:paraId="318E1EE9" w14:textId="1DD09497">
            <w:pPr>
              <w:tabs>
                <w:tab w:val="left" w:pos="1440"/>
              </w:tabs>
              <w:rPr>
                <w:color w:val="000000"/>
              </w:rPr>
            </w:pPr>
            <w:r>
              <w:rPr>
                <w:color w:val="000000"/>
              </w:rPr>
              <w:t>Intervenor Compensation Claim Preparation is rated at ½ preparer’s normal rate, bringing the 2022 claim preparation rate to $137.50.</w:t>
            </w:r>
          </w:p>
        </w:tc>
      </w:tr>
      <w:tr w:rsidRPr="006756BC" w:rsidR="002230BA" w:rsidTr="00625B30" w14:paraId="3FDF1EFD" w14:textId="77777777">
        <w:tc>
          <w:tcPr>
            <w:tcW w:w="1527" w:type="dxa"/>
          </w:tcPr>
          <w:p w:rsidRPr="006756BC" w:rsidR="009427D4" w:rsidP="0036244B" w:rsidRDefault="00D975A2" w14:paraId="485BB395" w14:textId="59A94140">
            <w:pPr>
              <w:tabs>
                <w:tab w:val="left" w:pos="1440"/>
              </w:tabs>
              <w:rPr>
                <w:color w:val="000000"/>
              </w:rPr>
            </w:pPr>
            <w:r>
              <w:rPr>
                <w:color w:val="000000"/>
              </w:rPr>
              <w:t>[</w:t>
            </w:r>
            <w:r w:rsidR="006648AC">
              <w:rPr>
                <w:color w:val="000000"/>
              </w:rPr>
              <w:t>9</w:t>
            </w:r>
            <w:r>
              <w:rPr>
                <w:color w:val="000000"/>
              </w:rPr>
              <w:t xml:space="preserve">] </w:t>
            </w:r>
            <w:r w:rsidR="009427D4">
              <w:rPr>
                <w:color w:val="000000"/>
              </w:rPr>
              <w:t xml:space="preserve">Robert Finkelstein </w:t>
            </w:r>
            <w:r w:rsidR="00F73659">
              <w:rPr>
                <w:color w:val="000000"/>
              </w:rPr>
              <w:lastRenderedPageBreak/>
              <w:t>2022 and 2023 Hourly Rates</w:t>
            </w:r>
          </w:p>
        </w:tc>
        <w:tc>
          <w:tcPr>
            <w:tcW w:w="7833" w:type="dxa"/>
          </w:tcPr>
          <w:p w:rsidR="006B2779" w:rsidP="006B2779" w:rsidRDefault="006B2779" w14:paraId="056982D1" w14:textId="47424CC4">
            <w:pPr>
              <w:tabs>
                <w:tab w:val="left" w:pos="1440"/>
              </w:tabs>
              <w:rPr>
                <w:color w:val="000000"/>
              </w:rPr>
            </w:pPr>
            <w:r w:rsidRPr="006B2779">
              <w:rPr>
                <w:color w:val="000000"/>
              </w:rPr>
              <w:lastRenderedPageBreak/>
              <w:t>D.23-04-022</w:t>
            </w:r>
            <w:r>
              <w:rPr>
                <w:color w:val="000000"/>
              </w:rPr>
              <w:t xml:space="preserve"> verified a 2022 hourly rate of $805.00. We apply the same rate here.</w:t>
            </w:r>
          </w:p>
          <w:p w:rsidRPr="006B2779" w:rsidR="006B2779" w:rsidP="006B2779" w:rsidRDefault="006B2779" w14:paraId="3F43C0BA" w14:textId="0AAD31FE">
            <w:pPr>
              <w:tabs>
                <w:tab w:val="left" w:pos="1440"/>
              </w:tabs>
              <w:rPr>
                <w:color w:val="000000"/>
              </w:rPr>
            </w:pPr>
          </w:p>
          <w:p w:rsidRPr="006756BC" w:rsidR="002230BA" w:rsidP="006B2779" w:rsidRDefault="006B2779" w14:paraId="0105356C" w14:textId="035A59A7">
            <w:pPr>
              <w:tabs>
                <w:tab w:val="left" w:pos="1440"/>
              </w:tabs>
              <w:rPr>
                <w:color w:val="000000"/>
              </w:rPr>
            </w:pPr>
            <w:r w:rsidRPr="006B2779">
              <w:rPr>
                <w:color w:val="000000"/>
              </w:rPr>
              <w:t>D.24-03-036</w:t>
            </w:r>
            <w:r>
              <w:rPr>
                <w:color w:val="000000"/>
              </w:rPr>
              <w:t xml:space="preserve"> verified a 2023 hourly rate of $840.00. We apply the same rate here.</w:t>
            </w:r>
          </w:p>
        </w:tc>
      </w:tr>
      <w:tr w:rsidRPr="006756BC" w:rsidR="009427D4" w:rsidTr="00625B30" w14:paraId="0C5AD963" w14:textId="77777777">
        <w:tc>
          <w:tcPr>
            <w:tcW w:w="1527" w:type="dxa"/>
          </w:tcPr>
          <w:p w:rsidR="009427D4" w:rsidP="0036244B" w:rsidRDefault="009427D4" w14:paraId="706DB96A" w14:textId="480B4001">
            <w:pPr>
              <w:tabs>
                <w:tab w:val="left" w:pos="1440"/>
              </w:tabs>
              <w:rPr>
                <w:color w:val="000000"/>
              </w:rPr>
            </w:pPr>
            <w:r>
              <w:rPr>
                <w:color w:val="000000"/>
              </w:rPr>
              <w:lastRenderedPageBreak/>
              <w:t>[</w:t>
            </w:r>
            <w:r w:rsidR="006648AC">
              <w:rPr>
                <w:color w:val="000000"/>
              </w:rPr>
              <w:t>10</w:t>
            </w:r>
            <w:r>
              <w:rPr>
                <w:color w:val="000000"/>
              </w:rPr>
              <w:t>] Thomas Long</w:t>
            </w:r>
            <w:r w:rsidR="00F73659">
              <w:rPr>
                <w:color w:val="000000"/>
              </w:rPr>
              <w:t xml:space="preserve"> 2024 Hourly Rate</w:t>
            </w:r>
          </w:p>
        </w:tc>
        <w:tc>
          <w:tcPr>
            <w:tcW w:w="7833" w:type="dxa"/>
          </w:tcPr>
          <w:p w:rsidRPr="006756BC" w:rsidR="009427D4" w:rsidP="0036244B" w:rsidRDefault="006B2779" w14:paraId="3C6F13E4" w14:textId="6594EDF3">
            <w:pPr>
              <w:tabs>
                <w:tab w:val="left" w:pos="1440"/>
              </w:tabs>
              <w:rPr>
                <w:color w:val="000000"/>
              </w:rPr>
            </w:pPr>
            <w:r w:rsidRPr="006B2779">
              <w:rPr>
                <w:color w:val="000000"/>
              </w:rPr>
              <w:t>D.26-02-022</w:t>
            </w:r>
            <w:r>
              <w:rPr>
                <w:color w:val="000000"/>
              </w:rPr>
              <w:t xml:space="preserve"> verified a 2024 hourly rate of $860.00. We apply the same rate here.</w:t>
            </w:r>
          </w:p>
        </w:tc>
      </w:tr>
      <w:tr w:rsidRPr="006756BC" w:rsidR="00A669C6" w:rsidTr="00625B30" w14:paraId="05695970" w14:textId="77777777">
        <w:tc>
          <w:tcPr>
            <w:tcW w:w="1527" w:type="dxa"/>
          </w:tcPr>
          <w:p w:rsidR="00A669C6" w:rsidP="0036244B" w:rsidRDefault="00A669C6" w14:paraId="5FB46A91" w14:textId="65642054">
            <w:pPr>
              <w:tabs>
                <w:tab w:val="left" w:pos="1440"/>
              </w:tabs>
              <w:rPr>
                <w:color w:val="000000"/>
              </w:rPr>
            </w:pPr>
            <w:r>
              <w:rPr>
                <w:color w:val="000000"/>
              </w:rPr>
              <w:t xml:space="preserve">[11] </w:t>
            </w:r>
            <w:r w:rsidRPr="009D3AD2" w:rsidR="009D3AD2">
              <w:rPr>
                <w:color w:val="000000"/>
              </w:rPr>
              <w:t>Intervenor Responsibility for Transparency and Accuracy in Compensation Requests</w:t>
            </w:r>
          </w:p>
        </w:tc>
        <w:tc>
          <w:tcPr>
            <w:tcW w:w="7833" w:type="dxa"/>
          </w:tcPr>
          <w:p w:rsidRPr="00447F3C" w:rsidR="00447F3C" w:rsidP="00447F3C" w:rsidRDefault="00447F3C" w14:paraId="5ABC7EE0" w14:textId="77777777">
            <w:pPr>
              <w:tabs>
                <w:tab w:val="left" w:pos="1440"/>
              </w:tabs>
              <w:rPr>
                <w:color w:val="000000"/>
              </w:rPr>
            </w:pPr>
            <w:r w:rsidRPr="00447F3C">
              <w:rPr>
                <w:color w:val="000000"/>
              </w:rPr>
              <w:t>The Commission takes this opportunity to remind all intervenors that they bear the burden of providing accurate, complete, and honest information in all compensation requests. The Commission relies on intervenors' good faith representations, particularly regarding consultant agreements and payments, as it does not have the resources to review every contract or non-standard arrangement in detail.</w:t>
            </w:r>
          </w:p>
          <w:p w:rsidRPr="00447F3C" w:rsidR="00447F3C" w:rsidP="00447F3C" w:rsidRDefault="00447F3C" w14:paraId="0C5C3CC2" w14:textId="77777777">
            <w:pPr>
              <w:tabs>
                <w:tab w:val="left" w:pos="1440"/>
              </w:tabs>
              <w:rPr>
                <w:color w:val="000000"/>
              </w:rPr>
            </w:pPr>
          </w:p>
          <w:p w:rsidRPr="00447F3C" w:rsidR="00447F3C" w:rsidP="00447F3C" w:rsidRDefault="00447F3C" w14:paraId="499388BC" w14:textId="77777777">
            <w:pPr>
              <w:tabs>
                <w:tab w:val="left" w:pos="1440"/>
              </w:tabs>
              <w:rPr>
                <w:color w:val="000000"/>
              </w:rPr>
            </w:pPr>
            <w:r w:rsidRPr="00447F3C">
              <w:rPr>
                <w:color w:val="000000"/>
              </w:rPr>
              <w:t>Intervenor compensation is funded by ratepayers, and the Commission takes seriously any effort to mislead or obscure the financial basis for a claim. Although no violation of Rule 1.1 has been found in this instance, we remind intervenors that under Rule 1.1, intent to deceive is not required for a violation, misstatements may still be actionable. Dishonest or misleading claims not only risk denial of compensation but may also subject the intervenor to penalties.</w:t>
            </w:r>
          </w:p>
          <w:p w:rsidRPr="00447F3C" w:rsidR="00447F3C" w:rsidP="00447F3C" w:rsidRDefault="00447F3C" w14:paraId="3BF17F38" w14:textId="77777777">
            <w:pPr>
              <w:tabs>
                <w:tab w:val="left" w:pos="1440"/>
              </w:tabs>
              <w:rPr>
                <w:color w:val="000000"/>
              </w:rPr>
            </w:pPr>
          </w:p>
          <w:p w:rsidRPr="006B2779" w:rsidR="00A669C6" w:rsidP="00447F3C" w:rsidRDefault="00447F3C" w14:paraId="27691578" w14:textId="3AAA68E7">
            <w:pPr>
              <w:tabs>
                <w:tab w:val="left" w:pos="1440"/>
              </w:tabs>
              <w:rPr>
                <w:color w:val="000000"/>
              </w:rPr>
            </w:pPr>
            <w:r w:rsidRPr="00447F3C">
              <w:rPr>
                <w:color w:val="000000"/>
              </w:rPr>
              <w:t>The Commission has clear authority to audit intervenors' books and records to verify the basis for any award. Intervenors must therefore ensure full transparency regarding actual time spent on issues, consultant fees, payment arrangements, and the actual disbursement of funds. Failure to meet this obligation undermines the integrity of the compensation process and may lead to denial of claims or further enforcement action</w:t>
            </w:r>
          </w:p>
        </w:tc>
      </w:tr>
    </w:tbl>
    <w:p w:rsidRPr="006756BC" w:rsidR="00ED55FC" w:rsidP="00D100BD" w:rsidRDefault="00ED55FC" w14:paraId="7D44E1A1" w14:textId="430CEE66">
      <w:pPr>
        <w:keepNext/>
        <w:tabs>
          <w:tab w:val="left" w:pos="1260"/>
        </w:tabs>
        <w:spacing w:before="240"/>
        <w:jc w:val="center"/>
        <w:rPr>
          <w:b/>
          <w:color w:val="000000"/>
        </w:rPr>
      </w:pPr>
      <w:r w:rsidRPr="006756BC">
        <w:rPr>
          <w:b/>
          <w:color w:val="000000"/>
        </w:rPr>
        <w:t>PART IV</w:t>
      </w:r>
      <w:proofErr w:type="gramStart"/>
      <w:r w:rsidRPr="006756BC">
        <w:rPr>
          <w:b/>
          <w:color w:val="000000"/>
        </w:rPr>
        <w:t>:  OPPOSITIONS</w:t>
      </w:r>
      <w:proofErr w:type="gramEnd"/>
      <w:r w:rsidRPr="006756BC">
        <w:rPr>
          <w:b/>
          <w:color w:val="000000"/>
        </w:rPr>
        <w:t xml:space="preserve"> AND COMMENTS</w:t>
      </w:r>
    </w:p>
    <w:p w:rsidRPr="006756BC" w:rsidR="00ED55FC" w:rsidP="00ED55FC" w:rsidRDefault="00ED55FC" w14:paraId="5690C7A9" w14:textId="77777777">
      <w:pPr>
        <w:keepNext/>
        <w:tabs>
          <w:tab w:val="left" w:pos="1260"/>
        </w:tabs>
        <w:ind w:left="1267" w:hanging="1267"/>
        <w:jc w:val="center"/>
        <w:rPr>
          <w:b/>
          <w:color w:val="000000"/>
        </w:rPr>
      </w:pPr>
      <w:r w:rsidRPr="006756BC">
        <w:rPr>
          <w:b/>
          <w:color w:val="000000"/>
        </w:rPr>
        <w:t>Within 30 days after service of this Claim, Commission Staff</w:t>
      </w:r>
    </w:p>
    <w:p w:rsidRPr="006756BC" w:rsidR="00ED55FC" w:rsidP="00ED55FC" w:rsidRDefault="00ED55FC" w14:paraId="0B488713" w14:textId="77777777">
      <w:pPr>
        <w:keepNext/>
        <w:tabs>
          <w:tab w:val="left" w:pos="1260"/>
        </w:tabs>
        <w:spacing w:after="240"/>
        <w:ind w:left="1267" w:hanging="1267"/>
        <w:jc w:val="center"/>
        <w:rPr>
          <w:b/>
          <w:color w:val="000000"/>
        </w:rPr>
      </w:pPr>
      <w:r w:rsidRPr="006756BC">
        <w:rPr>
          <w:b/>
          <w:color w:val="000000"/>
        </w:rPr>
        <w:t xml:space="preserve"> or any other party may file a response to the Claim (</w:t>
      </w:r>
      <w:r w:rsidRPr="006756BC">
        <w:rPr>
          <w:b/>
          <w:i/>
          <w:color w:val="000000"/>
        </w:rPr>
        <w:t>see</w:t>
      </w:r>
      <w:r w:rsidRPr="006756BC">
        <w:rPr>
          <w:b/>
          <w:color w:val="000000"/>
        </w:rPr>
        <w:t xml:space="preserve"> § 1804(c))</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7336"/>
        <w:gridCol w:w="2024"/>
      </w:tblGrid>
      <w:tr w:rsidRPr="006756BC" w:rsidR="00ED55FC" w:rsidTr="0036244B" w14:paraId="60184680" w14:textId="77777777">
        <w:tc>
          <w:tcPr>
            <w:tcW w:w="7336" w:type="dxa"/>
          </w:tcPr>
          <w:p w:rsidRPr="006756BC" w:rsidR="00ED55FC" w:rsidP="0036244B" w:rsidRDefault="00ED55FC" w14:paraId="078B581B" w14:textId="77777777">
            <w:pPr>
              <w:ind w:left="360" w:hanging="360"/>
              <w:rPr>
                <w:color w:val="000000"/>
              </w:rPr>
            </w:pPr>
            <w:r w:rsidRPr="006756BC">
              <w:rPr>
                <w:b/>
                <w:color w:val="000000"/>
              </w:rPr>
              <w:t>A.</w:t>
            </w:r>
            <w:r w:rsidRPr="006756BC">
              <w:rPr>
                <w:b/>
                <w:color w:val="000000"/>
              </w:rPr>
              <w:tab/>
              <w:t>Opposition:  Did any party oppose the Claim?</w:t>
            </w:r>
          </w:p>
        </w:tc>
        <w:tc>
          <w:tcPr>
            <w:tcW w:w="2024" w:type="dxa"/>
          </w:tcPr>
          <w:p w:rsidRPr="006756BC" w:rsidR="00ED55FC" w:rsidP="009427D4" w:rsidRDefault="009427D4" w14:paraId="07BFB1E5" w14:textId="2CC5430B">
            <w:pPr>
              <w:jc w:val="center"/>
              <w:rPr>
                <w:color w:val="000000"/>
              </w:rPr>
            </w:pPr>
            <w:r>
              <w:rPr>
                <w:color w:val="000000"/>
              </w:rPr>
              <w:t>No</w:t>
            </w:r>
          </w:p>
        </w:tc>
      </w:tr>
    </w:tbl>
    <w:p w:rsidRPr="006756BC" w:rsidR="00ED55FC" w:rsidP="00ED55FC" w:rsidRDefault="00ED55FC" w14:paraId="631BE426" w14:textId="77777777">
      <w:pPr>
        <w:tabs>
          <w:tab w:val="left" w:pos="1260"/>
        </w:tabs>
        <w:spacing w:before="60"/>
        <w:ind w:left="1267" w:hanging="1267"/>
        <w:jc w:val="center"/>
        <w:rPr>
          <w:color w:val="000000"/>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7331"/>
        <w:gridCol w:w="2029"/>
      </w:tblGrid>
      <w:tr w:rsidRPr="006756BC" w:rsidR="00ED55FC" w:rsidTr="0036244B" w14:paraId="478AE9AB" w14:textId="77777777">
        <w:tc>
          <w:tcPr>
            <w:tcW w:w="7488" w:type="dxa"/>
          </w:tcPr>
          <w:p w:rsidRPr="006756BC" w:rsidR="00ED55FC" w:rsidP="0036244B" w:rsidRDefault="00ED55FC" w14:paraId="4CB08777" w14:textId="77777777">
            <w:pPr>
              <w:ind w:left="360" w:hanging="360"/>
              <w:rPr>
                <w:color w:val="000000"/>
              </w:rPr>
            </w:pPr>
            <w:r w:rsidRPr="006756BC">
              <w:rPr>
                <w:b/>
                <w:color w:val="000000"/>
              </w:rPr>
              <w:t>B.</w:t>
            </w:r>
            <w:r w:rsidRPr="006756BC">
              <w:rPr>
                <w:b/>
                <w:color w:val="000000"/>
              </w:rPr>
              <w:tab/>
              <w:t>Comment Period:  Was the 30-day comment period waived (</w:t>
            </w:r>
            <w:r w:rsidRPr="006756BC">
              <w:rPr>
                <w:b/>
                <w:i/>
                <w:color w:val="000000"/>
              </w:rPr>
              <w:t>see</w:t>
            </w:r>
            <w:r w:rsidRPr="006756BC">
              <w:rPr>
                <w:b/>
                <w:color w:val="000000"/>
              </w:rPr>
              <w:t> Rule 14.6(c)(6))?</w:t>
            </w:r>
          </w:p>
        </w:tc>
        <w:tc>
          <w:tcPr>
            <w:tcW w:w="2070" w:type="dxa"/>
          </w:tcPr>
          <w:p w:rsidRPr="006756BC" w:rsidR="00ED55FC" w:rsidP="009427D4" w:rsidRDefault="009427D4" w14:paraId="2B49C157" w14:textId="08A670C6">
            <w:pPr>
              <w:keepNext/>
              <w:keepLines/>
              <w:spacing w:after="240"/>
              <w:jc w:val="center"/>
              <w:rPr>
                <w:color w:val="000000"/>
              </w:rPr>
            </w:pPr>
            <w:r>
              <w:rPr>
                <w:color w:val="000000"/>
              </w:rPr>
              <w:t>Yes</w:t>
            </w:r>
          </w:p>
        </w:tc>
      </w:tr>
    </w:tbl>
    <w:p w:rsidRPr="006756BC" w:rsidR="000D7CEC" w:rsidP="00625B30" w:rsidRDefault="000D7CEC" w14:paraId="2BCEE43A" w14:textId="77777777"/>
    <w:p w:rsidRPr="006756BC" w:rsidR="00ED55FC" w:rsidP="00D100BD" w:rsidRDefault="00ED55FC" w14:paraId="0AD40334" w14:textId="77777777">
      <w:pPr>
        <w:keepNext/>
        <w:spacing w:before="120" w:after="240"/>
        <w:jc w:val="center"/>
        <w:rPr>
          <w:b/>
          <w:color w:val="000000"/>
          <w:u w:val="single"/>
        </w:rPr>
      </w:pPr>
      <w:r w:rsidRPr="006756BC">
        <w:rPr>
          <w:b/>
          <w:color w:val="000000"/>
          <w:u w:val="single"/>
        </w:rPr>
        <w:t>FINDINGS OF FACT</w:t>
      </w:r>
    </w:p>
    <w:p w:rsidRPr="006756BC" w:rsidR="00ED55FC" w:rsidP="00ED55FC" w:rsidRDefault="00ED55FC" w14:paraId="028B9333" w14:textId="07435DA8">
      <w:pPr>
        <w:numPr>
          <w:ilvl w:val="0"/>
          <w:numId w:val="8"/>
        </w:numPr>
        <w:tabs>
          <w:tab w:val="num" w:pos="540"/>
        </w:tabs>
        <w:ind w:left="540" w:hanging="540"/>
      </w:pPr>
      <w:r w:rsidRPr="00EE390D">
        <w:t xml:space="preserve">The Utility Reform Network has made a substantial contribution to </w:t>
      </w:r>
      <w:r w:rsidRPr="00EE390D" w:rsidR="00CF46F9">
        <w:t>D.25</w:t>
      </w:r>
      <w:r w:rsidRPr="00B13145" w:rsidR="00CF46F9">
        <w:t>-11-004</w:t>
      </w:r>
      <w:r w:rsidRPr="00B13145">
        <w:t>.</w:t>
      </w:r>
    </w:p>
    <w:p w:rsidRPr="006756BC" w:rsidR="00ED55FC" w:rsidP="00ED55FC" w:rsidRDefault="009427D4" w14:paraId="2BDB3ADA" w14:textId="5A270A50">
      <w:pPr>
        <w:numPr>
          <w:ilvl w:val="0"/>
          <w:numId w:val="8"/>
        </w:numPr>
        <w:tabs>
          <w:tab w:val="num" w:pos="540"/>
        </w:tabs>
        <w:spacing w:before="240"/>
      </w:pPr>
      <w:r w:rsidRPr="009427D4">
        <w:lastRenderedPageBreak/>
        <w:t xml:space="preserve">The requested hourly rates for </w:t>
      </w:r>
      <w:r>
        <w:t>The Utility Reform Network</w:t>
      </w:r>
      <w:r w:rsidRPr="009427D4">
        <w:t xml:space="preserve">’s representatives are comparable to market rates paid to experts and </w:t>
      </w:r>
      <w:proofErr w:type="gramStart"/>
      <w:r w:rsidRPr="009427D4">
        <w:t>advocates</w:t>
      </w:r>
      <w:proofErr w:type="gramEnd"/>
      <w:r w:rsidRPr="009427D4">
        <w:t xml:space="preserve"> having comparable training and experience and offering similar services, and/or </w:t>
      </w:r>
      <w:proofErr w:type="gramStart"/>
      <w:r w:rsidRPr="009427D4">
        <w:t>reflect</w:t>
      </w:r>
      <w:proofErr w:type="gramEnd"/>
      <w:r w:rsidRPr="009427D4">
        <w:t xml:space="preserve"> the actual rates billed to, and paid by the intervenor, for consultant services rendered</w:t>
      </w:r>
      <w:r>
        <w:t xml:space="preserve">. </w:t>
      </w:r>
      <w:r w:rsidRPr="006756BC" w:rsidR="00ED55FC">
        <w:t xml:space="preserve">The claimed costs and expenses are reasonable and commensurate with the work performed. </w:t>
      </w:r>
    </w:p>
    <w:p w:rsidRPr="006756BC" w:rsidR="00ED55FC" w:rsidP="00ED55FC" w:rsidRDefault="00ED55FC" w14:paraId="146D9790" w14:textId="21C55D0D">
      <w:pPr>
        <w:numPr>
          <w:ilvl w:val="0"/>
          <w:numId w:val="8"/>
        </w:numPr>
        <w:tabs>
          <w:tab w:val="num" w:pos="540"/>
        </w:tabs>
        <w:spacing w:before="240"/>
      </w:pPr>
      <w:r w:rsidRPr="006756BC">
        <w:t xml:space="preserve">The total of reasonable compensation is </w:t>
      </w:r>
      <w:r w:rsidRPr="001B587E" w:rsidR="001B587E">
        <w:t>$133,691.88</w:t>
      </w:r>
      <w:r w:rsidRPr="006756BC">
        <w:t>.</w:t>
      </w:r>
    </w:p>
    <w:p w:rsidRPr="006756BC" w:rsidR="00ED55FC" w:rsidP="00D100BD" w:rsidRDefault="00ED55FC" w14:paraId="4B5C2509" w14:textId="77777777">
      <w:pPr>
        <w:keepNext/>
        <w:spacing w:before="360" w:after="240"/>
        <w:jc w:val="center"/>
        <w:rPr>
          <w:b/>
          <w:color w:val="000000"/>
          <w:u w:val="single"/>
        </w:rPr>
      </w:pPr>
      <w:r w:rsidRPr="006756BC">
        <w:rPr>
          <w:b/>
          <w:color w:val="000000"/>
          <w:u w:val="single"/>
        </w:rPr>
        <w:t>CONCLUSION OF LAW</w:t>
      </w:r>
    </w:p>
    <w:p w:rsidRPr="006756BC" w:rsidR="00ED55FC" w:rsidP="00ED55FC" w:rsidRDefault="00ED55FC" w14:paraId="2905AD2D" w14:textId="5DBCE877">
      <w:pPr>
        <w:numPr>
          <w:ilvl w:val="0"/>
          <w:numId w:val="10"/>
        </w:numPr>
        <w:spacing w:before="240"/>
        <w:rPr>
          <w:color w:val="000000"/>
        </w:rPr>
      </w:pPr>
      <w:r w:rsidRPr="006756BC">
        <w:t>The</w:t>
      </w:r>
      <w:r w:rsidRPr="006756BC">
        <w:rPr>
          <w:color w:val="000000"/>
        </w:rPr>
        <w:t xml:space="preserve"> Claim, with any adjustment set forth above, satisfies all requirements of Pub. Util. Code §§ 1801-1812.</w:t>
      </w:r>
    </w:p>
    <w:p w:rsidRPr="006756BC" w:rsidR="00ED55FC" w:rsidP="00D100BD" w:rsidRDefault="00ED55FC" w14:paraId="59D16832" w14:textId="77777777">
      <w:pPr>
        <w:keepNext/>
        <w:spacing w:before="360" w:after="240"/>
        <w:jc w:val="center"/>
        <w:rPr>
          <w:b/>
          <w:color w:val="000000"/>
          <w:u w:val="single"/>
        </w:rPr>
      </w:pPr>
      <w:r w:rsidRPr="006756BC">
        <w:rPr>
          <w:b/>
          <w:color w:val="000000"/>
          <w:u w:val="single"/>
        </w:rPr>
        <w:t>ORDER</w:t>
      </w:r>
    </w:p>
    <w:p w:rsidRPr="006756BC" w:rsidR="00ED55FC" w:rsidP="00ED55FC" w:rsidRDefault="009427D4" w14:paraId="51971FA1" w14:textId="5B5F23B0">
      <w:pPr>
        <w:keepNext/>
        <w:numPr>
          <w:ilvl w:val="0"/>
          <w:numId w:val="9"/>
        </w:numPr>
        <w:tabs>
          <w:tab w:val="clear" w:pos="900"/>
          <w:tab w:val="num" w:pos="540"/>
        </w:tabs>
        <w:ind w:left="547" w:hanging="547"/>
        <w:rPr>
          <w:color w:val="000000"/>
        </w:rPr>
      </w:pPr>
      <w:r w:rsidRPr="00EE390D">
        <w:t>The Utility Reform Network</w:t>
      </w:r>
      <w:r w:rsidRPr="006756BC">
        <w:t xml:space="preserve"> </w:t>
      </w:r>
      <w:r w:rsidRPr="006756BC" w:rsidR="00ED55FC">
        <w:t xml:space="preserve">is </w:t>
      </w:r>
      <w:r w:rsidRPr="006756BC" w:rsidR="00ED55FC">
        <w:rPr>
          <w:color w:val="000000"/>
        </w:rPr>
        <w:t xml:space="preserve">awarded </w:t>
      </w:r>
      <w:r w:rsidRPr="001B587E" w:rsidR="001B587E">
        <w:rPr>
          <w:color w:val="000000"/>
        </w:rPr>
        <w:t>$133,691.88</w:t>
      </w:r>
      <w:r w:rsidRPr="006756BC" w:rsidR="00ED55FC">
        <w:rPr>
          <w:color w:val="000000"/>
        </w:rPr>
        <w:t>.</w:t>
      </w:r>
    </w:p>
    <w:p w:rsidRPr="006756BC" w:rsidR="00ED55FC" w:rsidP="00ED55FC" w:rsidRDefault="00ED55FC" w14:paraId="2DA538AF" w14:textId="688513BA">
      <w:pPr>
        <w:numPr>
          <w:ilvl w:val="0"/>
          <w:numId w:val="9"/>
        </w:numPr>
        <w:tabs>
          <w:tab w:val="clear" w:pos="900"/>
          <w:tab w:val="num" w:pos="540"/>
        </w:tabs>
        <w:spacing w:before="240"/>
        <w:ind w:left="547" w:hanging="547"/>
      </w:pPr>
      <w:r w:rsidRPr="006756BC">
        <w:t xml:space="preserve">Within 30 days of the effective date of this decision, </w:t>
      </w:r>
      <w:r w:rsidR="00EE390D">
        <w:t>Pacific Gas and Electric Company</w:t>
      </w:r>
      <w:r w:rsidRPr="006756BC">
        <w:t xml:space="preserve"> shall pay </w:t>
      </w:r>
      <w:r w:rsidRPr="00EE390D">
        <w:t>The Utility Reform Network</w:t>
      </w:r>
      <w:r w:rsidRPr="006756BC">
        <w:t xml:space="preserve"> the total award. Payment of the award shall include compound interest at the rate earned on prime, three-month non-financial commercial paper as reported in Federal Reserve Statistical Release H.15, beginning </w:t>
      </w:r>
      <w:r w:rsidR="00EE390D">
        <w:t>April 8, 2026</w:t>
      </w:r>
      <w:r w:rsidRPr="006756BC">
        <w:t>, the 75</w:t>
      </w:r>
      <w:r w:rsidRPr="006756BC">
        <w:rPr>
          <w:vertAlign w:val="superscript"/>
        </w:rPr>
        <w:t>th</w:t>
      </w:r>
      <w:r w:rsidRPr="006756BC">
        <w:t xml:space="preserve"> day after the filing of </w:t>
      </w:r>
      <w:r w:rsidRPr="00EE390D">
        <w:t>The Utility Reform Network’s</w:t>
      </w:r>
      <w:r w:rsidRPr="006756BC">
        <w:rPr>
          <w:b/>
        </w:rPr>
        <w:t xml:space="preserve"> </w:t>
      </w:r>
      <w:r w:rsidRPr="006756BC">
        <w:t>request, and continuing until full payment is made.</w:t>
      </w:r>
    </w:p>
    <w:p w:rsidRPr="006756BC" w:rsidR="00ED55FC" w:rsidP="00ED55FC" w:rsidRDefault="00ED55FC" w14:paraId="367C5935" w14:textId="20144C57">
      <w:pPr>
        <w:keepNext/>
        <w:keepLines/>
        <w:numPr>
          <w:ilvl w:val="0"/>
          <w:numId w:val="9"/>
        </w:numPr>
        <w:tabs>
          <w:tab w:val="clear" w:pos="900"/>
          <w:tab w:val="num" w:pos="540"/>
        </w:tabs>
        <w:spacing w:before="240"/>
        <w:ind w:left="547" w:hanging="547"/>
      </w:pPr>
      <w:r w:rsidRPr="006756BC">
        <w:t>The comment period for today’s decision is waived.</w:t>
      </w:r>
    </w:p>
    <w:p w:rsidRPr="006756BC" w:rsidR="00ED55FC" w:rsidP="00ED55FC" w:rsidRDefault="00ED55FC" w14:paraId="5B77129B" w14:textId="77777777">
      <w:pPr>
        <w:keepNext/>
        <w:keepLines/>
        <w:spacing w:before="240"/>
        <w:ind w:left="547"/>
        <w:rPr>
          <w:color w:val="000000"/>
        </w:rPr>
      </w:pPr>
      <w:r w:rsidRPr="006756BC">
        <w:rPr>
          <w:color w:val="000000"/>
        </w:rPr>
        <w:t>This decision is effective today.</w:t>
      </w:r>
    </w:p>
    <w:p w:rsidRPr="006756BC" w:rsidR="00ED55FC" w:rsidP="00ED55FC" w:rsidRDefault="00ED55FC" w14:paraId="0211A1AC" w14:textId="5F77E9CA">
      <w:pPr>
        <w:keepNext/>
        <w:keepLines/>
        <w:spacing w:before="240"/>
        <w:ind w:left="547"/>
        <w:rPr>
          <w:color w:val="000000"/>
        </w:rPr>
      </w:pPr>
      <w:r w:rsidRPr="006756BC">
        <w:rPr>
          <w:color w:val="000000"/>
        </w:rPr>
        <w:t xml:space="preserve">Dated </w:t>
      </w:r>
      <w:r w:rsidR="00F1312E">
        <w:rPr>
          <w:color w:val="000000"/>
        </w:rPr>
        <w:t>June 11, 2026</w:t>
      </w:r>
      <w:r w:rsidRPr="006756BC">
        <w:rPr>
          <w:color w:val="000000"/>
        </w:rPr>
        <w:t>, at Sa</w:t>
      </w:r>
      <w:r w:rsidR="00DE732D">
        <w:rPr>
          <w:color w:val="000000"/>
        </w:rPr>
        <w:t>cramento</w:t>
      </w:r>
      <w:r w:rsidRPr="006756BC">
        <w:rPr>
          <w:color w:val="000000"/>
        </w:rPr>
        <w:t>, California.</w:t>
      </w:r>
    </w:p>
    <w:p w:rsidRPr="00C61F1B" w:rsidR="007011B8" w:rsidP="007011B8" w:rsidRDefault="007011B8" w14:paraId="36B7B222" w14:textId="77777777">
      <w:pPr>
        <w:autoSpaceDE w:val="0"/>
        <w:autoSpaceDN w:val="0"/>
        <w:adjustRightInd w:val="0"/>
        <w:ind w:left="3600" w:firstLine="720"/>
        <w:jc w:val="both"/>
      </w:pPr>
    </w:p>
    <w:p w:rsidR="00C61F1B" w:rsidP="007011B8" w:rsidRDefault="00C61F1B" w14:paraId="06019D98" w14:textId="77777777">
      <w:pPr>
        <w:autoSpaceDE w:val="0"/>
        <w:autoSpaceDN w:val="0"/>
        <w:adjustRightInd w:val="0"/>
        <w:ind w:left="4320" w:firstLine="720"/>
        <w:jc w:val="both"/>
      </w:pPr>
    </w:p>
    <w:p w:rsidRPr="00C61F1B" w:rsidR="007011B8" w:rsidP="007011B8" w:rsidRDefault="007011B8" w14:paraId="715A84DC" w14:textId="77B215F7">
      <w:pPr>
        <w:autoSpaceDE w:val="0"/>
        <w:autoSpaceDN w:val="0"/>
        <w:adjustRightInd w:val="0"/>
        <w:ind w:left="4320" w:firstLine="720"/>
        <w:jc w:val="both"/>
      </w:pPr>
      <w:r w:rsidRPr="00C61F1B">
        <w:t>JOHN REYNOLDS</w:t>
      </w:r>
    </w:p>
    <w:p w:rsidRPr="00C61F1B" w:rsidR="007011B8" w:rsidP="007011B8" w:rsidRDefault="007011B8" w14:paraId="38A7DD84" w14:textId="77777777">
      <w:pPr>
        <w:autoSpaceDE w:val="0"/>
        <w:autoSpaceDN w:val="0"/>
        <w:adjustRightInd w:val="0"/>
        <w:ind w:left="720" w:firstLine="720"/>
        <w:jc w:val="both"/>
      </w:pPr>
      <w:r w:rsidRPr="00C61F1B">
        <w:tab/>
      </w:r>
      <w:r w:rsidRPr="00C61F1B">
        <w:tab/>
      </w:r>
      <w:r w:rsidRPr="00C61F1B">
        <w:tab/>
      </w:r>
      <w:r w:rsidRPr="00C61F1B">
        <w:tab/>
      </w:r>
      <w:r w:rsidRPr="00C61F1B">
        <w:tab/>
        <w:t xml:space="preserve">                       President</w:t>
      </w:r>
    </w:p>
    <w:p w:rsidRPr="00C61F1B" w:rsidR="007011B8" w:rsidP="007011B8" w:rsidRDefault="007011B8" w14:paraId="1AE9D285" w14:textId="77777777">
      <w:pPr>
        <w:autoSpaceDE w:val="0"/>
        <w:autoSpaceDN w:val="0"/>
        <w:adjustRightInd w:val="0"/>
        <w:ind w:left="4320" w:firstLine="720"/>
        <w:jc w:val="both"/>
      </w:pPr>
      <w:r w:rsidRPr="00C61F1B">
        <w:t>DARCIE L. HOUCK</w:t>
      </w:r>
    </w:p>
    <w:p w:rsidRPr="00C61F1B" w:rsidR="007011B8" w:rsidP="007011B8" w:rsidRDefault="007011B8" w14:paraId="173DE953" w14:textId="77777777">
      <w:pPr>
        <w:autoSpaceDE w:val="0"/>
        <w:autoSpaceDN w:val="0"/>
        <w:adjustRightInd w:val="0"/>
        <w:ind w:left="4320" w:firstLine="720"/>
        <w:jc w:val="both"/>
        <w:rPr>
          <w:color w:val="000000"/>
        </w:rPr>
      </w:pPr>
      <w:r w:rsidRPr="00C61F1B">
        <w:rPr>
          <w:color w:val="000000"/>
        </w:rPr>
        <w:t>KAREN DOUGLAS</w:t>
      </w:r>
    </w:p>
    <w:p w:rsidRPr="00C61F1B" w:rsidR="007011B8" w:rsidP="007011B8" w:rsidRDefault="007011B8" w14:paraId="3D2CC0B0" w14:textId="77777777">
      <w:pPr>
        <w:autoSpaceDE w:val="0"/>
        <w:autoSpaceDN w:val="0"/>
        <w:adjustRightInd w:val="0"/>
        <w:ind w:left="4320" w:firstLine="720"/>
        <w:jc w:val="both"/>
      </w:pPr>
      <w:r w:rsidRPr="00C61F1B">
        <w:t>CHRISTINE HARADA</w:t>
      </w:r>
    </w:p>
    <w:p w:rsidRPr="00C61F1B" w:rsidR="007011B8" w:rsidP="007011B8" w:rsidRDefault="007011B8" w14:paraId="78E8E7DE" w14:textId="77777777">
      <w:pPr>
        <w:autoSpaceDE w:val="0"/>
        <w:autoSpaceDN w:val="0"/>
        <w:adjustRightInd w:val="0"/>
        <w:ind w:left="5040" w:firstLine="720"/>
        <w:jc w:val="both"/>
      </w:pPr>
      <w:r w:rsidRPr="00C61F1B">
        <w:t xml:space="preserve">            Commissioners</w:t>
      </w:r>
    </w:p>
    <w:p w:rsidRPr="00C61F1B" w:rsidR="007011B8" w:rsidP="007011B8" w:rsidRDefault="007011B8" w14:paraId="1A1417E0" w14:textId="77777777">
      <w:pPr>
        <w:pStyle w:val="standard"/>
        <w:keepNext/>
        <w:keepLines/>
        <w:ind w:left="720"/>
        <w:rPr>
          <w:rFonts w:ascii="Times New Roman" w:hAnsi="Times New Roman" w:cs="Times New Roman"/>
          <w:sz w:val="24"/>
        </w:rPr>
      </w:pPr>
    </w:p>
    <w:p w:rsidRPr="00C61F1B" w:rsidR="007011B8" w:rsidP="007011B8" w:rsidRDefault="007011B8" w14:paraId="0FE4B954" w14:textId="77777777">
      <w:pPr>
        <w:keepNext/>
        <w:keepLines/>
        <w:autoSpaceDE w:val="0"/>
        <w:autoSpaceDN w:val="0"/>
        <w:adjustRightInd w:val="0"/>
        <w:ind w:left="5100"/>
      </w:pPr>
      <w:r w:rsidRPr="00C61F1B">
        <w:t>Commissioner Matthew Baker recused himself from this agenda item and was not part of the quorum in its consideration.</w:t>
      </w:r>
    </w:p>
    <w:p w:rsidRPr="006756BC" w:rsidR="00ED55FC" w:rsidP="00625B30" w:rsidRDefault="00ED55FC" w14:paraId="13464BBB" w14:textId="5A8A3D48"/>
    <w:p w:rsidRPr="006756BC" w:rsidR="00ED55FC" w:rsidRDefault="00ED55FC" w14:paraId="045DE773" w14:textId="77777777">
      <w:r w:rsidRPr="006756BC">
        <w:br w:type="page"/>
      </w:r>
    </w:p>
    <w:p w:rsidRPr="006756BC" w:rsidR="00ED55FC" w:rsidP="00ED55FC" w:rsidRDefault="00ED55FC" w14:paraId="2184E21F" w14:textId="77777777">
      <w:pPr>
        <w:pStyle w:val="standard"/>
        <w:ind w:firstLine="0"/>
        <w:jc w:val="center"/>
        <w:rPr>
          <w:rFonts w:ascii="Times New Roman" w:hAnsi="Times New Roman" w:cs="Times New Roman"/>
          <w:b/>
          <w:sz w:val="24"/>
        </w:rPr>
      </w:pPr>
      <w:r w:rsidRPr="006756BC">
        <w:rPr>
          <w:rFonts w:ascii="Times New Roman" w:hAnsi="Times New Roman" w:cs="Times New Roman"/>
          <w:b/>
          <w:sz w:val="24"/>
        </w:rPr>
        <w:lastRenderedPageBreak/>
        <w:t>APPENDIX</w:t>
      </w:r>
    </w:p>
    <w:p w:rsidRPr="006756BC" w:rsidR="00ED55FC" w:rsidP="00ED55FC" w:rsidRDefault="00ED55FC" w14:paraId="01E393B6" w14:textId="77777777">
      <w:pPr>
        <w:pStyle w:val="standard"/>
        <w:ind w:firstLine="0"/>
        <w:jc w:val="center"/>
        <w:rPr>
          <w:rFonts w:ascii="Times New Roman" w:hAnsi="Times New Roman" w:cs="Times New Roman"/>
          <w:b/>
          <w:bCs/>
          <w:sz w:val="24"/>
        </w:rPr>
      </w:pPr>
      <w:r w:rsidRPr="006756BC">
        <w:rPr>
          <w:rFonts w:ascii="Times New Roman" w:hAnsi="Times New Roman" w:cs="Times New Roman"/>
          <w:b/>
          <w:bCs/>
          <w:sz w:val="24"/>
        </w:rPr>
        <w:t>Compensation Decision Summary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2905"/>
        <w:gridCol w:w="3767"/>
        <w:gridCol w:w="2497"/>
        <w:gridCol w:w="1271"/>
      </w:tblGrid>
      <w:tr w:rsidRPr="006756BC" w:rsidR="00ED55FC" w:rsidTr="0036244B" w14:paraId="4CD9F53F"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6756BC" w:rsidR="00ED55FC" w:rsidP="0036244B" w:rsidRDefault="00ED55FC" w14:paraId="12A6556F" w14:textId="77777777">
            <w:pPr>
              <w:rPr>
                <w:b/>
                <w:bCs/>
              </w:rPr>
            </w:pPr>
            <w:r w:rsidRPr="006756BC">
              <w:rPr>
                <w:b/>
                <w:bCs/>
              </w:rPr>
              <w:t>Compensation Decision:</w:t>
            </w:r>
          </w:p>
        </w:tc>
        <w:tc>
          <w:tcPr>
            <w:tcW w:w="3735" w:type="dxa"/>
            <w:tcBorders>
              <w:top w:val="single" w:color="auto" w:sz="4" w:space="0"/>
              <w:left w:val="single" w:color="auto" w:sz="4" w:space="0"/>
              <w:bottom w:val="single" w:color="auto" w:sz="4" w:space="0"/>
              <w:right w:val="single" w:color="auto" w:sz="4" w:space="0"/>
            </w:tcBorders>
          </w:tcPr>
          <w:p w:rsidRPr="006756BC" w:rsidR="00ED55FC" w:rsidP="0036244B" w:rsidRDefault="00E856CB" w14:paraId="12282C2A" w14:textId="4A216F54">
            <w:r>
              <w:t>D2606028</w:t>
            </w:r>
          </w:p>
        </w:tc>
        <w:tc>
          <w:tcPr>
            <w:tcW w:w="2475" w:type="dxa"/>
            <w:tcBorders>
              <w:top w:val="single" w:color="auto" w:sz="4" w:space="0"/>
              <w:left w:val="single" w:color="auto" w:sz="4" w:space="0"/>
              <w:bottom w:val="single" w:color="auto" w:sz="4" w:space="0"/>
              <w:right w:val="single" w:color="auto" w:sz="4" w:space="0"/>
            </w:tcBorders>
            <w:hideMark/>
          </w:tcPr>
          <w:p w:rsidRPr="006756BC" w:rsidR="00ED55FC" w:rsidP="0036244B" w:rsidRDefault="00ED55FC" w14:paraId="2A331183" w14:textId="77777777">
            <w:pPr>
              <w:rPr>
                <w:b/>
                <w:bCs/>
              </w:rPr>
            </w:pPr>
            <w:r w:rsidRPr="006756BC">
              <w:rPr>
                <w:b/>
                <w:bCs/>
              </w:rPr>
              <w:t xml:space="preserve">Modifies Decision? </w:t>
            </w:r>
          </w:p>
        </w:tc>
        <w:tc>
          <w:tcPr>
            <w:tcW w:w="1260" w:type="dxa"/>
            <w:tcBorders>
              <w:top w:val="single" w:color="auto" w:sz="4" w:space="0"/>
              <w:left w:val="single" w:color="auto" w:sz="4" w:space="0"/>
              <w:bottom w:val="single" w:color="auto" w:sz="4" w:space="0"/>
              <w:right w:val="single" w:color="auto" w:sz="4" w:space="0"/>
            </w:tcBorders>
          </w:tcPr>
          <w:p w:rsidRPr="006756BC" w:rsidR="00ED55FC" w:rsidP="0036244B" w:rsidRDefault="00EE390D" w14:paraId="0433A8A8" w14:textId="136A820E">
            <w:pPr>
              <w:jc w:val="center"/>
            </w:pPr>
            <w:r>
              <w:t>No</w:t>
            </w:r>
          </w:p>
        </w:tc>
      </w:tr>
      <w:tr w:rsidRPr="006756BC" w:rsidR="00ED55FC" w:rsidTr="00EE390D" w14:paraId="7FE7989B"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6756BC" w:rsidR="00ED55FC" w:rsidP="0036244B" w:rsidRDefault="00ED55FC" w14:paraId="60A23EE9" w14:textId="77777777">
            <w:pPr>
              <w:rPr>
                <w:b/>
                <w:bCs/>
              </w:rPr>
            </w:pPr>
            <w:r w:rsidRPr="006756BC">
              <w:rPr>
                <w:b/>
                <w:bCs/>
              </w:rPr>
              <w:t>Contribution Decision(s):</w:t>
            </w:r>
          </w:p>
        </w:tc>
        <w:tc>
          <w:tcPr>
            <w:tcW w:w="7470" w:type="dxa"/>
            <w:gridSpan w:val="3"/>
            <w:tcBorders>
              <w:top w:val="single" w:color="auto" w:sz="4" w:space="0"/>
              <w:left w:val="single" w:color="auto" w:sz="4" w:space="0"/>
              <w:bottom w:val="single" w:color="auto" w:sz="4" w:space="0"/>
              <w:right w:val="single" w:color="auto" w:sz="4" w:space="0"/>
            </w:tcBorders>
            <w:hideMark/>
          </w:tcPr>
          <w:p w:rsidRPr="006756BC" w:rsidR="00ED55FC" w:rsidP="0036244B" w:rsidRDefault="00CF46F9" w14:paraId="4B54665B" w14:textId="129A0335">
            <w:r w:rsidRPr="006756BC">
              <w:t>D2511004</w:t>
            </w:r>
          </w:p>
        </w:tc>
      </w:tr>
      <w:tr w:rsidRPr="006756BC" w:rsidR="00ED55FC" w:rsidTr="00EE390D" w14:paraId="5958D725"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6756BC" w:rsidR="00ED55FC" w:rsidP="0036244B" w:rsidRDefault="00ED55FC" w14:paraId="72D6738F" w14:textId="77777777">
            <w:pPr>
              <w:rPr>
                <w:b/>
                <w:bCs/>
              </w:rPr>
            </w:pPr>
            <w:r w:rsidRPr="006756BC">
              <w:rPr>
                <w:b/>
                <w:bCs/>
              </w:rPr>
              <w:t>Proceeding(s):</w:t>
            </w:r>
          </w:p>
        </w:tc>
        <w:tc>
          <w:tcPr>
            <w:tcW w:w="7470" w:type="dxa"/>
            <w:gridSpan w:val="3"/>
            <w:tcBorders>
              <w:top w:val="single" w:color="auto" w:sz="4" w:space="0"/>
              <w:left w:val="single" w:color="auto" w:sz="4" w:space="0"/>
              <w:bottom w:val="single" w:color="auto" w:sz="4" w:space="0"/>
              <w:right w:val="single" w:color="auto" w:sz="4" w:space="0"/>
            </w:tcBorders>
            <w:hideMark/>
          </w:tcPr>
          <w:p w:rsidRPr="006756BC" w:rsidR="00ED55FC" w:rsidP="0036244B" w:rsidRDefault="00CF46F9" w14:paraId="281C1B87" w14:textId="7B701444">
            <w:r w:rsidRPr="006756BC">
              <w:t>A2208003</w:t>
            </w:r>
          </w:p>
        </w:tc>
      </w:tr>
      <w:tr w:rsidRPr="006756BC" w:rsidR="00ED55FC" w:rsidTr="0036244B" w14:paraId="418AFC8B"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6756BC" w:rsidR="00ED55FC" w:rsidP="0036244B" w:rsidRDefault="00ED55FC" w14:paraId="40427CC2" w14:textId="77777777">
            <w:pPr>
              <w:rPr>
                <w:b/>
                <w:bCs/>
              </w:rPr>
            </w:pPr>
            <w:r w:rsidRPr="006756BC">
              <w:rPr>
                <w:b/>
                <w:bCs/>
              </w:rPr>
              <w:t>Author:</w:t>
            </w:r>
          </w:p>
        </w:tc>
        <w:tc>
          <w:tcPr>
            <w:tcW w:w="7470" w:type="dxa"/>
            <w:gridSpan w:val="3"/>
            <w:tcBorders>
              <w:top w:val="single" w:color="auto" w:sz="4" w:space="0"/>
              <w:left w:val="single" w:color="auto" w:sz="4" w:space="0"/>
              <w:bottom w:val="single" w:color="auto" w:sz="4" w:space="0"/>
              <w:right w:val="single" w:color="auto" w:sz="4" w:space="0"/>
            </w:tcBorders>
            <w:hideMark/>
          </w:tcPr>
          <w:p w:rsidRPr="006756BC" w:rsidR="00ED55FC" w:rsidP="0036244B" w:rsidRDefault="00EE390D" w14:paraId="51B901E8" w14:textId="568991C6">
            <w:r>
              <w:t>ALJ Watts-Zagha</w:t>
            </w:r>
          </w:p>
        </w:tc>
      </w:tr>
      <w:tr w:rsidRPr="006756BC" w:rsidR="00ED55FC" w:rsidTr="0036244B" w14:paraId="5F4B4F0E" w14:textId="77777777">
        <w:trPr>
          <w:trHeight w:val="278"/>
          <w:jc w:val="center"/>
        </w:trPr>
        <w:tc>
          <w:tcPr>
            <w:tcW w:w="2880" w:type="dxa"/>
            <w:tcBorders>
              <w:top w:val="single" w:color="auto" w:sz="4" w:space="0"/>
              <w:left w:val="single" w:color="auto" w:sz="4" w:space="0"/>
              <w:bottom w:val="single" w:color="auto" w:sz="4" w:space="0"/>
              <w:right w:val="single" w:color="auto" w:sz="4" w:space="0"/>
            </w:tcBorders>
            <w:hideMark/>
          </w:tcPr>
          <w:p w:rsidRPr="006756BC" w:rsidR="00ED55FC" w:rsidP="0036244B" w:rsidRDefault="00ED55FC" w14:paraId="0C07437B" w14:textId="77777777">
            <w:pPr>
              <w:rPr>
                <w:b/>
                <w:bCs/>
              </w:rPr>
            </w:pPr>
            <w:r w:rsidRPr="006756BC">
              <w:rPr>
                <w:b/>
                <w:bCs/>
              </w:rPr>
              <w:t>Payer(s):</w:t>
            </w:r>
          </w:p>
        </w:tc>
        <w:tc>
          <w:tcPr>
            <w:tcW w:w="7470" w:type="dxa"/>
            <w:gridSpan w:val="3"/>
            <w:tcBorders>
              <w:top w:val="single" w:color="auto" w:sz="4" w:space="0"/>
              <w:left w:val="single" w:color="auto" w:sz="4" w:space="0"/>
              <w:bottom w:val="single" w:color="auto" w:sz="4" w:space="0"/>
              <w:right w:val="single" w:color="auto" w:sz="4" w:space="0"/>
            </w:tcBorders>
            <w:hideMark/>
          </w:tcPr>
          <w:p w:rsidRPr="006756BC" w:rsidR="00ED55FC" w:rsidP="0036244B" w:rsidRDefault="00EE390D" w14:paraId="0DB47724" w14:textId="685B1796">
            <w:r>
              <w:t>Pacific Gas and Electric Company</w:t>
            </w:r>
          </w:p>
        </w:tc>
      </w:tr>
    </w:tbl>
    <w:p w:rsidRPr="006756BC" w:rsidR="00ED55FC" w:rsidP="00D100BD" w:rsidRDefault="00ED55FC" w14:paraId="6724C804" w14:textId="77777777">
      <w:pPr>
        <w:spacing w:before="360" w:after="240"/>
        <w:jc w:val="center"/>
        <w:rPr>
          <w:b/>
          <w:bCs/>
        </w:rPr>
      </w:pPr>
      <w:r w:rsidRPr="006756BC">
        <w:rPr>
          <w:b/>
          <w:bCs/>
        </w:rPr>
        <w:t>Intervenor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2063"/>
        <w:gridCol w:w="1458"/>
        <w:gridCol w:w="1430"/>
        <w:gridCol w:w="1587"/>
        <w:gridCol w:w="1404"/>
        <w:gridCol w:w="2498"/>
      </w:tblGrid>
      <w:tr w:rsidRPr="006756BC" w:rsidR="00ED55FC" w:rsidTr="0036244B" w14:paraId="6798847C" w14:textId="77777777">
        <w:trPr>
          <w:jc w:val="center"/>
        </w:trPr>
        <w:tc>
          <w:tcPr>
            <w:tcW w:w="2043" w:type="dxa"/>
            <w:tcBorders>
              <w:top w:val="single" w:color="auto" w:sz="4" w:space="0"/>
              <w:left w:val="single" w:color="auto" w:sz="4" w:space="0"/>
              <w:bottom w:val="single" w:color="auto" w:sz="4" w:space="0"/>
              <w:right w:val="single" w:color="auto" w:sz="4" w:space="0"/>
            </w:tcBorders>
            <w:vAlign w:val="bottom"/>
            <w:hideMark/>
          </w:tcPr>
          <w:p w:rsidRPr="006756BC" w:rsidR="00ED55FC" w:rsidP="0036244B" w:rsidRDefault="00ED55FC" w14:paraId="091A2BEE" w14:textId="77777777">
            <w:pPr>
              <w:jc w:val="center"/>
              <w:rPr>
                <w:b/>
                <w:bCs/>
              </w:rPr>
            </w:pPr>
            <w:r w:rsidRPr="006756BC">
              <w:rPr>
                <w:b/>
                <w:bCs/>
              </w:rPr>
              <w:t>Intervenor</w:t>
            </w:r>
          </w:p>
        </w:tc>
        <w:tc>
          <w:tcPr>
            <w:tcW w:w="1444" w:type="dxa"/>
            <w:tcBorders>
              <w:top w:val="single" w:color="auto" w:sz="4" w:space="0"/>
              <w:left w:val="single" w:color="auto" w:sz="4" w:space="0"/>
              <w:bottom w:val="single" w:color="auto" w:sz="4" w:space="0"/>
              <w:right w:val="single" w:color="auto" w:sz="4" w:space="0"/>
            </w:tcBorders>
            <w:vAlign w:val="bottom"/>
            <w:hideMark/>
          </w:tcPr>
          <w:p w:rsidRPr="006756BC" w:rsidR="00ED55FC" w:rsidP="0036244B" w:rsidRDefault="00ED55FC" w14:paraId="4C140135" w14:textId="77777777">
            <w:pPr>
              <w:jc w:val="center"/>
              <w:rPr>
                <w:b/>
                <w:bCs/>
              </w:rPr>
            </w:pPr>
            <w:r w:rsidRPr="006756BC">
              <w:rPr>
                <w:b/>
                <w:bCs/>
              </w:rPr>
              <w:t>Date</w:t>
            </w:r>
          </w:p>
          <w:p w:rsidRPr="006756BC" w:rsidR="00ED55FC" w:rsidP="0036244B" w:rsidRDefault="00ED55FC" w14:paraId="367F2D7D" w14:textId="77777777">
            <w:pPr>
              <w:jc w:val="center"/>
              <w:rPr>
                <w:b/>
                <w:bCs/>
              </w:rPr>
            </w:pPr>
            <w:r w:rsidRPr="006756BC">
              <w:rPr>
                <w:b/>
                <w:bCs/>
              </w:rPr>
              <w:t>Claim Filed</w:t>
            </w:r>
          </w:p>
        </w:tc>
        <w:tc>
          <w:tcPr>
            <w:tcW w:w="1405" w:type="dxa"/>
            <w:tcBorders>
              <w:top w:val="single" w:color="auto" w:sz="4" w:space="0"/>
              <w:left w:val="single" w:color="auto" w:sz="4" w:space="0"/>
              <w:bottom w:val="single" w:color="auto" w:sz="4" w:space="0"/>
              <w:right w:val="single" w:color="auto" w:sz="4" w:space="0"/>
            </w:tcBorders>
            <w:vAlign w:val="bottom"/>
            <w:hideMark/>
          </w:tcPr>
          <w:p w:rsidRPr="006756BC" w:rsidR="00ED55FC" w:rsidP="0036244B" w:rsidRDefault="00ED55FC" w14:paraId="4800E914" w14:textId="77777777">
            <w:pPr>
              <w:jc w:val="center"/>
              <w:rPr>
                <w:b/>
                <w:bCs/>
              </w:rPr>
            </w:pPr>
            <w:r w:rsidRPr="006756BC">
              <w:rPr>
                <w:b/>
                <w:bCs/>
              </w:rPr>
              <w:t>Amount Requested</w:t>
            </w:r>
          </w:p>
        </w:tc>
        <w:tc>
          <w:tcPr>
            <w:tcW w:w="1571" w:type="dxa"/>
            <w:tcBorders>
              <w:top w:val="single" w:color="auto" w:sz="4" w:space="0"/>
              <w:left w:val="single" w:color="auto" w:sz="4" w:space="0"/>
              <w:bottom w:val="single" w:color="auto" w:sz="4" w:space="0"/>
              <w:right w:val="single" w:color="auto" w:sz="4" w:space="0"/>
            </w:tcBorders>
            <w:vAlign w:val="bottom"/>
            <w:hideMark/>
          </w:tcPr>
          <w:p w:rsidRPr="006756BC" w:rsidR="00ED55FC" w:rsidP="0036244B" w:rsidRDefault="00ED55FC" w14:paraId="65FA87D8" w14:textId="77777777">
            <w:pPr>
              <w:jc w:val="center"/>
              <w:rPr>
                <w:b/>
                <w:bCs/>
              </w:rPr>
            </w:pPr>
            <w:r w:rsidRPr="006756BC">
              <w:rPr>
                <w:b/>
                <w:bCs/>
              </w:rPr>
              <w:t>Amount Awarded</w:t>
            </w:r>
          </w:p>
        </w:tc>
        <w:tc>
          <w:tcPr>
            <w:tcW w:w="1390" w:type="dxa"/>
            <w:tcBorders>
              <w:top w:val="single" w:color="auto" w:sz="4" w:space="0"/>
              <w:left w:val="single" w:color="auto" w:sz="4" w:space="0"/>
              <w:bottom w:val="single" w:color="auto" w:sz="4" w:space="0"/>
              <w:right w:val="single" w:color="auto" w:sz="4" w:space="0"/>
            </w:tcBorders>
            <w:vAlign w:val="bottom"/>
            <w:hideMark/>
          </w:tcPr>
          <w:p w:rsidRPr="006756BC" w:rsidR="00ED55FC" w:rsidP="0036244B" w:rsidRDefault="00ED55FC" w14:paraId="573A52AB" w14:textId="77777777">
            <w:pPr>
              <w:jc w:val="center"/>
              <w:rPr>
                <w:b/>
                <w:bCs/>
              </w:rPr>
            </w:pPr>
            <w:r w:rsidRPr="006756BC">
              <w:rPr>
                <w:b/>
                <w:bCs/>
              </w:rPr>
              <w:t>Multiplier?</w:t>
            </w:r>
          </w:p>
        </w:tc>
        <w:tc>
          <w:tcPr>
            <w:tcW w:w="2474" w:type="dxa"/>
            <w:tcBorders>
              <w:top w:val="single" w:color="auto" w:sz="4" w:space="0"/>
              <w:left w:val="single" w:color="auto" w:sz="4" w:space="0"/>
              <w:bottom w:val="single" w:color="auto" w:sz="4" w:space="0"/>
              <w:right w:val="single" w:color="auto" w:sz="4" w:space="0"/>
            </w:tcBorders>
            <w:vAlign w:val="bottom"/>
            <w:hideMark/>
          </w:tcPr>
          <w:p w:rsidRPr="006756BC" w:rsidR="00ED55FC" w:rsidP="0036244B" w:rsidRDefault="00ED55FC" w14:paraId="738244DB" w14:textId="77777777">
            <w:pPr>
              <w:jc w:val="center"/>
              <w:rPr>
                <w:b/>
                <w:bCs/>
              </w:rPr>
            </w:pPr>
            <w:r w:rsidRPr="006756BC">
              <w:rPr>
                <w:b/>
                <w:bCs/>
              </w:rPr>
              <w:t>Reason Change/Disallowance</w:t>
            </w:r>
          </w:p>
        </w:tc>
      </w:tr>
      <w:tr w:rsidRPr="006756BC" w:rsidR="00ED55FC" w:rsidTr="001B587E" w14:paraId="0B2FEEB7" w14:textId="77777777">
        <w:trPr>
          <w:trHeight w:val="872"/>
          <w:jc w:val="center"/>
        </w:trPr>
        <w:tc>
          <w:tcPr>
            <w:tcW w:w="2043" w:type="dxa"/>
            <w:tcBorders>
              <w:top w:val="single" w:color="auto" w:sz="4" w:space="0"/>
              <w:left w:val="single" w:color="auto" w:sz="4" w:space="0"/>
              <w:bottom w:val="single" w:color="auto" w:sz="4" w:space="0"/>
              <w:right w:val="single" w:color="auto" w:sz="4" w:space="0"/>
            </w:tcBorders>
            <w:hideMark/>
          </w:tcPr>
          <w:p w:rsidRPr="00EE390D" w:rsidR="00ED55FC" w:rsidP="00EE390D" w:rsidRDefault="00ED55FC" w14:paraId="611F7DB5" w14:textId="77777777">
            <w:pPr>
              <w:jc w:val="center"/>
            </w:pPr>
            <w:r w:rsidRPr="00EE390D">
              <w:t>The Utility Reform Network</w:t>
            </w:r>
          </w:p>
        </w:tc>
        <w:tc>
          <w:tcPr>
            <w:tcW w:w="1444" w:type="dxa"/>
            <w:tcBorders>
              <w:top w:val="single" w:color="auto" w:sz="4" w:space="0"/>
              <w:left w:val="single" w:color="auto" w:sz="4" w:space="0"/>
              <w:bottom w:val="single" w:color="auto" w:sz="4" w:space="0"/>
              <w:right w:val="single" w:color="auto" w:sz="4" w:space="0"/>
            </w:tcBorders>
            <w:hideMark/>
          </w:tcPr>
          <w:p w:rsidRPr="006756BC" w:rsidR="00ED55FC" w:rsidP="0036244B" w:rsidRDefault="007E4F30" w14:paraId="102681D7" w14:textId="38390873">
            <w:pPr>
              <w:jc w:val="center"/>
            </w:pPr>
            <w:r>
              <w:t>1/23/26</w:t>
            </w:r>
          </w:p>
        </w:tc>
        <w:tc>
          <w:tcPr>
            <w:tcW w:w="1405" w:type="dxa"/>
            <w:tcBorders>
              <w:top w:val="single" w:color="auto" w:sz="4" w:space="0"/>
              <w:left w:val="single" w:color="auto" w:sz="4" w:space="0"/>
              <w:bottom w:val="single" w:color="auto" w:sz="4" w:space="0"/>
              <w:right w:val="single" w:color="auto" w:sz="4" w:space="0"/>
            </w:tcBorders>
            <w:hideMark/>
          </w:tcPr>
          <w:p w:rsidRPr="006756BC" w:rsidR="00ED55FC" w:rsidP="0036244B" w:rsidRDefault="00125B4D" w14:paraId="304FDCF7" w14:textId="1F2CE2A2">
            <w:pPr>
              <w:jc w:val="center"/>
            </w:pPr>
            <w:r>
              <w:t>$</w:t>
            </w:r>
            <w:r w:rsidR="00581B3C">
              <w:t>133,691.88</w:t>
            </w:r>
            <w:r w:rsidRPr="006756BC" w:rsidR="00ED55FC">
              <w:t xml:space="preserve"> </w:t>
            </w:r>
          </w:p>
        </w:tc>
        <w:tc>
          <w:tcPr>
            <w:tcW w:w="1571" w:type="dxa"/>
            <w:tcBorders>
              <w:top w:val="single" w:color="auto" w:sz="4" w:space="0"/>
              <w:left w:val="single" w:color="auto" w:sz="4" w:space="0"/>
              <w:bottom w:val="single" w:color="auto" w:sz="4" w:space="0"/>
              <w:right w:val="single" w:color="auto" w:sz="4" w:space="0"/>
            </w:tcBorders>
            <w:hideMark/>
          </w:tcPr>
          <w:p w:rsidRPr="006756BC" w:rsidR="00ED55FC" w:rsidP="0036244B" w:rsidRDefault="001B587E" w14:paraId="02DCAAA1" w14:textId="012FF929">
            <w:pPr>
              <w:jc w:val="center"/>
            </w:pPr>
            <w:r w:rsidRPr="001B587E">
              <w:t>$133,691.88</w:t>
            </w:r>
          </w:p>
        </w:tc>
        <w:tc>
          <w:tcPr>
            <w:tcW w:w="1390" w:type="dxa"/>
            <w:tcBorders>
              <w:top w:val="single" w:color="auto" w:sz="4" w:space="0"/>
              <w:left w:val="single" w:color="auto" w:sz="4" w:space="0"/>
              <w:bottom w:val="single" w:color="auto" w:sz="4" w:space="0"/>
              <w:right w:val="single" w:color="auto" w:sz="4" w:space="0"/>
            </w:tcBorders>
            <w:hideMark/>
          </w:tcPr>
          <w:p w:rsidRPr="006756BC" w:rsidR="00ED55FC" w:rsidP="0036244B" w:rsidRDefault="00ED55FC" w14:paraId="668A8D1F" w14:textId="77777777">
            <w:pPr>
              <w:jc w:val="center"/>
            </w:pPr>
            <w:r w:rsidRPr="006756BC">
              <w:t>N/A</w:t>
            </w:r>
          </w:p>
        </w:tc>
        <w:tc>
          <w:tcPr>
            <w:tcW w:w="2474" w:type="dxa"/>
            <w:tcBorders>
              <w:top w:val="single" w:color="auto" w:sz="4" w:space="0"/>
              <w:left w:val="single" w:color="auto" w:sz="4" w:space="0"/>
              <w:bottom w:val="single" w:color="auto" w:sz="4" w:space="0"/>
              <w:right w:val="single" w:color="auto" w:sz="4" w:space="0"/>
            </w:tcBorders>
            <w:hideMark/>
          </w:tcPr>
          <w:p w:rsidRPr="00D975A2" w:rsidR="00ED55FC" w:rsidP="0036244B" w:rsidRDefault="00D975A2" w14:paraId="6C54C5AA" w14:textId="60EF5B49">
            <w:pPr>
              <w:jc w:val="center"/>
            </w:pPr>
            <w:r>
              <w:rPr>
                <w:i/>
                <w:iCs/>
              </w:rPr>
              <w:t xml:space="preserve">See </w:t>
            </w:r>
            <w:r>
              <w:t>Part III.D CPUC Comments, Disallowances and Adjustments</w:t>
            </w:r>
          </w:p>
        </w:tc>
      </w:tr>
    </w:tbl>
    <w:p w:rsidRPr="006756BC" w:rsidR="00ED55FC" w:rsidP="00625B30" w:rsidRDefault="00ED55FC" w14:paraId="00DA876E" w14:textId="77777777"/>
    <w:p w:rsidRPr="006756BC" w:rsidR="00ED55FC" w:rsidP="00D100BD" w:rsidRDefault="00ED55FC" w14:paraId="1E7567EB" w14:textId="77777777">
      <w:pPr>
        <w:spacing w:before="120" w:after="240"/>
        <w:jc w:val="center"/>
        <w:rPr>
          <w:b/>
          <w:bCs/>
        </w:rPr>
      </w:pPr>
      <w:r w:rsidRPr="006756BC">
        <w:rPr>
          <w:b/>
          <w:bCs/>
        </w:rPr>
        <w:t>Hourly Fee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1520"/>
        <w:gridCol w:w="1725"/>
        <w:gridCol w:w="2088"/>
        <w:gridCol w:w="1748"/>
        <w:gridCol w:w="1725"/>
        <w:gridCol w:w="1634"/>
      </w:tblGrid>
      <w:tr w:rsidRPr="006756BC" w:rsidR="00ED55FC" w:rsidTr="0036244B" w14:paraId="05ED11F4"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vAlign w:val="bottom"/>
            <w:hideMark/>
          </w:tcPr>
          <w:p w:rsidRPr="006756BC" w:rsidR="00ED55FC" w:rsidP="0036244B" w:rsidRDefault="00ED55FC" w14:paraId="192063C9" w14:textId="77777777">
            <w:pPr>
              <w:jc w:val="center"/>
              <w:rPr>
                <w:b/>
                <w:bCs/>
              </w:rPr>
            </w:pPr>
            <w:r w:rsidRPr="006756BC">
              <w:rPr>
                <w:b/>
                <w:bCs/>
              </w:rPr>
              <w:t>First Name</w:t>
            </w:r>
          </w:p>
        </w:tc>
        <w:tc>
          <w:tcPr>
            <w:tcW w:w="1725" w:type="dxa"/>
            <w:tcBorders>
              <w:top w:val="single" w:color="auto" w:sz="4" w:space="0"/>
              <w:left w:val="single" w:color="auto" w:sz="4" w:space="0"/>
              <w:bottom w:val="single" w:color="auto" w:sz="4" w:space="0"/>
              <w:right w:val="single" w:color="auto" w:sz="4" w:space="0"/>
            </w:tcBorders>
            <w:vAlign w:val="bottom"/>
            <w:hideMark/>
          </w:tcPr>
          <w:p w:rsidRPr="006756BC" w:rsidR="00ED55FC" w:rsidP="0036244B" w:rsidRDefault="00ED55FC" w14:paraId="0AA0DF74" w14:textId="77777777">
            <w:pPr>
              <w:jc w:val="center"/>
              <w:rPr>
                <w:b/>
                <w:bCs/>
              </w:rPr>
            </w:pPr>
            <w:r w:rsidRPr="006756BC">
              <w:rPr>
                <w:b/>
                <w:bCs/>
              </w:rPr>
              <w:t>Last Name</w:t>
            </w:r>
          </w:p>
        </w:tc>
        <w:tc>
          <w:tcPr>
            <w:tcW w:w="2088" w:type="dxa"/>
            <w:tcBorders>
              <w:top w:val="single" w:color="auto" w:sz="4" w:space="0"/>
              <w:left w:val="single" w:color="auto" w:sz="4" w:space="0"/>
              <w:bottom w:val="single" w:color="auto" w:sz="4" w:space="0"/>
              <w:right w:val="single" w:color="auto" w:sz="4" w:space="0"/>
            </w:tcBorders>
            <w:vAlign w:val="bottom"/>
            <w:hideMark/>
          </w:tcPr>
          <w:p w:rsidRPr="006756BC" w:rsidR="00ED55FC" w:rsidP="0036244B" w:rsidRDefault="00ED55FC" w14:paraId="58A918EA" w14:textId="77777777">
            <w:pPr>
              <w:ind w:left="12" w:firstLine="12"/>
              <w:jc w:val="center"/>
              <w:rPr>
                <w:b/>
                <w:bCs/>
              </w:rPr>
            </w:pPr>
            <w:r w:rsidRPr="006756BC">
              <w:rPr>
                <w:b/>
                <w:bCs/>
              </w:rPr>
              <w:t>Attorney, Expert, or Advocate</w:t>
            </w:r>
          </w:p>
        </w:tc>
        <w:tc>
          <w:tcPr>
            <w:tcW w:w="1748" w:type="dxa"/>
            <w:tcBorders>
              <w:top w:val="single" w:color="auto" w:sz="4" w:space="0"/>
              <w:left w:val="single" w:color="auto" w:sz="4" w:space="0"/>
              <w:bottom w:val="single" w:color="auto" w:sz="4" w:space="0"/>
              <w:right w:val="single" w:color="auto" w:sz="4" w:space="0"/>
            </w:tcBorders>
            <w:vAlign w:val="bottom"/>
            <w:hideMark/>
          </w:tcPr>
          <w:p w:rsidRPr="006756BC" w:rsidR="00ED55FC" w:rsidP="0036244B" w:rsidRDefault="00ED55FC" w14:paraId="6A2DB68D" w14:textId="77777777">
            <w:pPr>
              <w:jc w:val="center"/>
              <w:rPr>
                <w:b/>
                <w:bCs/>
              </w:rPr>
            </w:pPr>
            <w:r w:rsidRPr="006756BC">
              <w:rPr>
                <w:b/>
                <w:bCs/>
              </w:rPr>
              <w:t>Hourly</w:t>
            </w:r>
          </w:p>
          <w:p w:rsidRPr="006756BC" w:rsidR="00ED55FC" w:rsidP="0036244B" w:rsidRDefault="00ED55FC" w14:paraId="76C12E7D" w14:textId="77777777">
            <w:pPr>
              <w:jc w:val="center"/>
              <w:rPr>
                <w:b/>
                <w:bCs/>
              </w:rPr>
            </w:pPr>
            <w:r w:rsidRPr="006756BC">
              <w:rPr>
                <w:b/>
                <w:bCs/>
              </w:rPr>
              <w:t>Fee Requested</w:t>
            </w:r>
          </w:p>
        </w:tc>
        <w:tc>
          <w:tcPr>
            <w:tcW w:w="1725" w:type="dxa"/>
            <w:tcBorders>
              <w:top w:val="single" w:color="auto" w:sz="4" w:space="0"/>
              <w:left w:val="single" w:color="auto" w:sz="4" w:space="0"/>
              <w:bottom w:val="single" w:color="auto" w:sz="4" w:space="0"/>
              <w:right w:val="single" w:color="auto" w:sz="4" w:space="0"/>
            </w:tcBorders>
            <w:vAlign w:val="bottom"/>
            <w:hideMark/>
          </w:tcPr>
          <w:p w:rsidRPr="006756BC" w:rsidR="00ED55FC" w:rsidP="0036244B" w:rsidRDefault="00ED55FC" w14:paraId="6C21677F" w14:textId="77777777">
            <w:pPr>
              <w:jc w:val="center"/>
              <w:rPr>
                <w:b/>
                <w:bCs/>
              </w:rPr>
            </w:pPr>
            <w:r w:rsidRPr="006756BC">
              <w:rPr>
                <w:b/>
                <w:bCs/>
              </w:rPr>
              <w:t>Year Hourly</w:t>
            </w:r>
          </w:p>
          <w:p w:rsidRPr="006756BC" w:rsidR="00ED55FC" w:rsidP="0036244B" w:rsidRDefault="00ED55FC" w14:paraId="588C572A" w14:textId="77777777">
            <w:pPr>
              <w:jc w:val="center"/>
              <w:rPr>
                <w:b/>
                <w:bCs/>
              </w:rPr>
            </w:pPr>
            <w:r w:rsidRPr="006756BC">
              <w:rPr>
                <w:b/>
                <w:bCs/>
              </w:rPr>
              <w:t>Fee Requested</w:t>
            </w:r>
          </w:p>
        </w:tc>
        <w:tc>
          <w:tcPr>
            <w:tcW w:w="1634" w:type="dxa"/>
            <w:tcBorders>
              <w:top w:val="single" w:color="auto" w:sz="4" w:space="0"/>
              <w:left w:val="single" w:color="auto" w:sz="4" w:space="0"/>
              <w:bottom w:val="single" w:color="auto" w:sz="4" w:space="0"/>
              <w:right w:val="single" w:color="auto" w:sz="4" w:space="0"/>
            </w:tcBorders>
            <w:vAlign w:val="bottom"/>
            <w:hideMark/>
          </w:tcPr>
          <w:p w:rsidRPr="006756BC" w:rsidR="00ED55FC" w:rsidP="0036244B" w:rsidRDefault="00ED55FC" w14:paraId="1AF8D2FB" w14:textId="77777777">
            <w:pPr>
              <w:jc w:val="center"/>
              <w:rPr>
                <w:b/>
                <w:bCs/>
              </w:rPr>
            </w:pPr>
            <w:r w:rsidRPr="006756BC">
              <w:rPr>
                <w:b/>
                <w:bCs/>
              </w:rPr>
              <w:t>Hourly</w:t>
            </w:r>
          </w:p>
          <w:p w:rsidRPr="006756BC" w:rsidR="00ED55FC" w:rsidP="0036244B" w:rsidRDefault="00ED55FC" w14:paraId="56C2B02A" w14:textId="77777777">
            <w:pPr>
              <w:jc w:val="center"/>
              <w:rPr>
                <w:b/>
                <w:bCs/>
              </w:rPr>
            </w:pPr>
            <w:r w:rsidRPr="006756BC">
              <w:rPr>
                <w:b/>
                <w:bCs/>
              </w:rPr>
              <w:t>Fee Adopted</w:t>
            </w:r>
          </w:p>
        </w:tc>
      </w:tr>
      <w:tr w:rsidRPr="006756BC" w:rsidR="000D0D38" w:rsidTr="000D0D38" w14:paraId="4374180E"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EE390D" w:rsidR="000D0D38" w:rsidP="00EE390D" w:rsidRDefault="000D0D38" w14:paraId="72D6772F" w14:textId="5FB83E49">
            <w:pPr>
              <w:jc w:val="center"/>
            </w:pPr>
            <w:r w:rsidRPr="00EE390D">
              <w:t>Camille</w:t>
            </w:r>
          </w:p>
        </w:tc>
        <w:tc>
          <w:tcPr>
            <w:tcW w:w="1725" w:type="dxa"/>
            <w:tcBorders>
              <w:top w:val="single" w:color="auto" w:sz="4" w:space="0"/>
              <w:left w:val="single" w:color="auto" w:sz="4" w:space="0"/>
              <w:bottom w:val="single" w:color="auto" w:sz="4" w:space="0"/>
              <w:right w:val="single" w:color="auto" w:sz="4" w:space="0"/>
            </w:tcBorders>
          </w:tcPr>
          <w:p w:rsidRPr="00EE390D" w:rsidR="000D0D38" w:rsidP="00EE390D" w:rsidRDefault="000D0D38" w14:paraId="28A73319" w14:textId="40182FD5">
            <w:pPr>
              <w:jc w:val="center"/>
            </w:pPr>
            <w:r w:rsidRPr="00EE390D">
              <w:t>Stough</w:t>
            </w:r>
          </w:p>
        </w:tc>
        <w:tc>
          <w:tcPr>
            <w:tcW w:w="2088" w:type="dxa"/>
            <w:tcBorders>
              <w:top w:val="single" w:color="auto" w:sz="4" w:space="0"/>
              <w:left w:val="single" w:color="auto" w:sz="4" w:space="0"/>
              <w:bottom w:val="single" w:color="auto" w:sz="4" w:space="0"/>
              <w:right w:val="single" w:color="auto" w:sz="4" w:space="0"/>
            </w:tcBorders>
          </w:tcPr>
          <w:p w:rsidRPr="00EE390D" w:rsidR="000D0D38" w:rsidP="00EE390D" w:rsidRDefault="000D0D38" w14:paraId="316004A6" w14:textId="6EE25D30">
            <w:pPr>
              <w:jc w:val="center"/>
            </w:pPr>
            <w:r w:rsidRPr="00EE390D">
              <w:t>Attorney</w:t>
            </w:r>
          </w:p>
        </w:tc>
        <w:tc>
          <w:tcPr>
            <w:tcW w:w="1748" w:type="dxa"/>
            <w:tcBorders>
              <w:top w:val="single" w:color="auto" w:sz="4" w:space="0"/>
              <w:left w:val="single" w:color="auto" w:sz="4" w:space="0"/>
              <w:bottom w:val="single" w:color="auto" w:sz="4" w:space="0"/>
              <w:right w:val="single" w:color="auto" w:sz="4" w:space="0"/>
            </w:tcBorders>
            <w:vAlign w:val="bottom"/>
          </w:tcPr>
          <w:p w:rsidRPr="00EE390D" w:rsidR="000D0D38" w:rsidP="00EE390D" w:rsidRDefault="000D0D38" w14:paraId="4B9F217B" w14:textId="420DF93B">
            <w:pPr>
              <w:jc w:val="center"/>
            </w:pPr>
            <w:r w:rsidRPr="00EE390D">
              <w:t>$380.00</w:t>
            </w:r>
          </w:p>
        </w:tc>
        <w:tc>
          <w:tcPr>
            <w:tcW w:w="1725" w:type="dxa"/>
            <w:tcBorders>
              <w:top w:val="single" w:color="auto" w:sz="4" w:space="0"/>
              <w:left w:val="single" w:color="auto" w:sz="4" w:space="0"/>
              <w:bottom w:val="single" w:color="auto" w:sz="4" w:space="0"/>
              <w:right w:val="single" w:color="auto" w:sz="4" w:space="0"/>
            </w:tcBorders>
          </w:tcPr>
          <w:p w:rsidRPr="00EE390D" w:rsidR="000D0D38" w:rsidP="00EE390D" w:rsidRDefault="000D0D38" w14:paraId="32D448F8" w14:textId="4CACBEC2">
            <w:pPr>
              <w:jc w:val="center"/>
            </w:pPr>
            <w:r w:rsidRPr="00EE390D">
              <w:t>2022</w:t>
            </w:r>
          </w:p>
        </w:tc>
        <w:tc>
          <w:tcPr>
            <w:tcW w:w="1634" w:type="dxa"/>
            <w:tcBorders>
              <w:top w:val="single" w:color="auto" w:sz="4" w:space="0"/>
              <w:left w:val="single" w:color="auto" w:sz="4" w:space="0"/>
              <w:bottom w:val="single" w:color="auto" w:sz="4" w:space="0"/>
              <w:right w:val="single" w:color="auto" w:sz="4" w:space="0"/>
            </w:tcBorders>
          </w:tcPr>
          <w:p w:rsidRPr="006756BC" w:rsidR="000D0D38" w:rsidP="000D0D38" w:rsidRDefault="000D0D38" w14:paraId="15003168" w14:textId="589CA575">
            <w:pPr>
              <w:jc w:val="center"/>
            </w:pPr>
            <w:r w:rsidRPr="00095A1D">
              <w:t>$380.00</w:t>
            </w:r>
          </w:p>
        </w:tc>
      </w:tr>
      <w:tr w:rsidRPr="006756BC" w:rsidR="000D0D38" w:rsidTr="000D0D38" w14:paraId="71CC94F9"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EE390D" w:rsidR="000D0D38" w:rsidP="00EE390D" w:rsidRDefault="000D0D38" w14:paraId="57CBB08B" w14:textId="32D0ACE6">
            <w:pPr>
              <w:jc w:val="center"/>
            </w:pPr>
            <w:r w:rsidRPr="00EE390D">
              <w:t>Elise</w:t>
            </w:r>
          </w:p>
        </w:tc>
        <w:tc>
          <w:tcPr>
            <w:tcW w:w="1725" w:type="dxa"/>
            <w:tcBorders>
              <w:top w:val="single" w:color="auto" w:sz="4" w:space="0"/>
              <w:left w:val="single" w:color="auto" w:sz="4" w:space="0"/>
              <w:bottom w:val="single" w:color="auto" w:sz="4" w:space="0"/>
              <w:right w:val="single" w:color="auto" w:sz="4" w:space="0"/>
            </w:tcBorders>
          </w:tcPr>
          <w:p w:rsidRPr="00EE390D" w:rsidR="000D0D38" w:rsidP="00EE390D" w:rsidRDefault="000D0D38" w14:paraId="3C40AE12" w14:textId="232192B2">
            <w:pPr>
              <w:jc w:val="center"/>
            </w:pPr>
            <w:r w:rsidRPr="00EE390D">
              <w:t>Torres</w:t>
            </w:r>
          </w:p>
        </w:tc>
        <w:tc>
          <w:tcPr>
            <w:tcW w:w="2088" w:type="dxa"/>
            <w:tcBorders>
              <w:top w:val="single" w:color="auto" w:sz="4" w:space="0"/>
              <w:left w:val="single" w:color="auto" w:sz="4" w:space="0"/>
              <w:bottom w:val="single" w:color="auto" w:sz="4" w:space="0"/>
              <w:right w:val="single" w:color="auto" w:sz="4" w:space="0"/>
            </w:tcBorders>
          </w:tcPr>
          <w:p w:rsidRPr="00EE390D" w:rsidR="000D0D38" w:rsidP="00EE390D" w:rsidRDefault="000D0D38" w14:paraId="1862BFC2" w14:textId="019E1D55">
            <w:pPr>
              <w:jc w:val="center"/>
            </w:pPr>
            <w:r w:rsidRPr="00EE390D">
              <w:t>Attorney</w:t>
            </w:r>
          </w:p>
        </w:tc>
        <w:tc>
          <w:tcPr>
            <w:tcW w:w="1748" w:type="dxa"/>
            <w:tcBorders>
              <w:top w:val="single" w:color="auto" w:sz="4" w:space="0"/>
              <w:left w:val="single" w:color="auto" w:sz="4" w:space="0"/>
              <w:bottom w:val="single" w:color="auto" w:sz="4" w:space="0"/>
              <w:right w:val="single" w:color="auto" w:sz="4" w:space="0"/>
            </w:tcBorders>
            <w:vAlign w:val="bottom"/>
          </w:tcPr>
          <w:p w:rsidRPr="00EE390D" w:rsidR="000D0D38" w:rsidP="00EE390D" w:rsidRDefault="000D0D38" w14:paraId="1F633970" w14:textId="2D1F157E">
            <w:pPr>
              <w:jc w:val="center"/>
            </w:pPr>
            <w:r w:rsidRPr="00EE390D">
              <w:t>$510.00</w:t>
            </w:r>
          </w:p>
        </w:tc>
        <w:tc>
          <w:tcPr>
            <w:tcW w:w="1725" w:type="dxa"/>
            <w:tcBorders>
              <w:top w:val="single" w:color="auto" w:sz="4" w:space="0"/>
              <w:left w:val="single" w:color="auto" w:sz="4" w:space="0"/>
              <w:bottom w:val="single" w:color="auto" w:sz="4" w:space="0"/>
              <w:right w:val="single" w:color="auto" w:sz="4" w:space="0"/>
            </w:tcBorders>
          </w:tcPr>
          <w:p w:rsidRPr="00EE390D" w:rsidR="000D0D38" w:rsidP="00EE390D" w:rsidRDefault="000D0D38" w14:paraId="3C9F4DDC" w14:textId="1052EEE5">
            <w:pPr>
              <w:jc w:val="center"/>
            </w:pPr>
            <w:r w:rsidRPr="00EE390D">
              <w:t>2023</w:t>
            </w:r>
          </w:p>
        </w:tc>
        <w:tc>
          <w:tcPr>
            <w:tcW w:w="1634" w:type="dxa"/>
            <w:tcBorders>
              <w:top w:val="single" w:color="auto" w:sz="4" w:space="0"/>
              <w:left w:val="single" w:color="auto" w:sz="4" w:space="0"/>
              <w:bottom w:val="single" w:color="auto" w:sz="4" w:space="0"/>
              <w:right w:val="single" w:color="auto" w:sz="4" w:space="0"/>
            </w:tcBorders>
          </w:tcPr>
          <w:p w:rsidRPr="006756BC" w:rsidR="000D0D38" w:rsidP="000D0D38" w:rsidRDefault="000D0D38" w14:paraId="467AD866" w14:textId="0C845572">
            <w:pPr>
              <w:jc w:val="center"/>
            </w:pPr>
            <w:r w:rsidRPr="00095A1D">
              <w:t>$510.00</w:t>
            </w:r>
          </w:p>
        </w:tc>
      </w:tr>
      <w:tr w:rsidRPr="006756BC" w:rsidR="000D0D38" w:rsidTr="000D0D38" w14:paraId="1195732D"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EE390D" w:rsidR="000D0D38" w:rsidP="00EE390D" w:rsidRDefault="000D0D38" w14:paraId="507BFF14" w14:textId="5EE82C88">
            <w:pPr>
              <w:jc w:val="center"/>
            </w:pPr>
            <w:r w:rsidRPr="00EE390D">
              <w:t>Hayley</w:t>
            </w:r>
          </w:p>
        </w:tc>
        <w:tc>
          <w:tcPr>
            <w:tcW w:w="1725" w:type="dxa"/>
            <w:tcBorders>
              <w:top w:val="single" w:color="auto" w:sz="4" w:space="0"/>
              <w:left w:val="single" w:color="auto" w:sz="4" w:space="0"/>
              <w:bottom w:val="single" w:color="auto" w:sz="4" w:space="0"/>
              <w:right w:val="single" w:color="auto" w:sz="4" w:space="0"/>
            </w:tcBorders>
          </w:tcPr>
          <w:p w:rsidRPr="00EE390D" w:rsidR="000D0D38" w:rsidP="00EE390D" w:rsidRDefault="000D0D38" w14:paraId="3FF58E63" w14:textId="795CB07C">
            <w:pPr>
              <w:jc w:val="center"/>
            </w:pPr>
            <w:r w:rsidRPr="00EE390D">
              <w:t>Goodson</w:t>
            </w:r>
          </w:p>
        </w:tc>
        <w:tc>
          <w:tcPr>
            <w:tcW w:w="2088" w:type="dxa"/>
            <w:tcBorders>
              <w:top w:val="single" w:color="auto" w:sz="4" w:space="0"/>
              <w:left w:val="single" w:color="auto" w:sz="4" w:space="0"/>
              <w:bottom w:val="single" w:color="auto" w:sz="4" w:space="0"/>
              <w:right w:val="single" w:color="auto" w:sz="4" w:space="0"/>
            </w:tcBorders>
          </w:tcPr>
          <w:p w:rsidRPr="00EE390D" w:rsidR="000D0D38" w:rsidP="00EE390D" w:rsidRDefault="000D0D38" w14:paraId="4A6449ED" w14:textId="29D7FADB">
            <w:pPr>
              <w:jc w:val="center"/>
            </w:pPr>
            <w:r w:rsidRPr="00EE390D">
              <w:t>Attorney</w:t>
            </w:r>
          </w:p>
        </w:tc>
        <w:tc>
          <w:tcPr>
            <w:tcW w:w="1748" w:type="dxa"/>
            <w:tcBorders>
              <w:top w:val="single" w:color="auto" w:sz="4" w:space="0"/>
              <w:left w:val="single" w:color="auto" w:sz="4" w:space="0"/>
              <w:bottom w:val="single" w:color="auto" w:sz="4" w:space="0"/>
              <w:right w:val="single" w:color="auto" w:sz="4" w:space="0"/>
            </w:tcBorders>
            <w:vAlign w:val="bottom"/>
          </w:tcPr>
          <w:p w:rsidRPr="00EE390D" w:rsidR="000D0D38" w:rsidP="00EE390D" w:rsidRDefault="000D0D38" w14:paraId="0474DA66" w14:textId="1C885113">
            <w:pPr>
              <w:jc w:val="center"/>
            </w:pPr>
            <w:r w:rsidRPr="00EE390D">
              <w:t>$680.00</w:t>
            </w:r>
          </w:p>
        </w:tc>
        <w:tc>
          <w:tcPr>
            <w:tcW w:w="1725" w:type="dxa"/>
            <w:tcBorders>
              <w:top w:val="single" w:color="auto" w:sz="4" w:space="0"/>
              <w:left w:val="single" w:color="auto" w:sz="4" w:space="0"/>
              <w:bottom w:val="single" w:color="auto" w:sz="4" w:space="0"/>
              <w:right w:val="single" w:color="auto" w:sz="4" w:space="0"/>
            </w:tcBorders>
          </w:tcPr>
          <w:p w:rsidRPr="00EE390D" w:rsidR="000D0D38" w:rsidP="00EE390D" w:rsidRDefault="000D0D38" w14:paraId="11EB319B" w14:textId="7BC3E17D">
            <w:pPr>
              <w:jc w:val="center"/>
            </w:pPr>
            <w:r w:rsidRPr="00EE390D">
              <w:t>2024</w:t>
            </w:r>
          </w:p>
        </w:tc>
        <w:tc>
          <w:tcPr>
            <w:tcW w:w="1634" w:type="dxa"/>
            <w:tcBorders>
              <w:top w:val="single" w:color="auto" w:sz="4" w:space="0"/>
              <w:left w:val="single" w:color="auto" w:sz="4" w:space="0"/>
              <w:bottom w:val="single" w:color="auto" w:sz="4" w:space="0"/>
              <w:right w:val="single" w:color="auto" w:sz="4" w:space="0"/>
            </w:tcBorders>
          </w:tcPr>
          <w:p w:rsidRPr="006756BC" w:rsidR="000D0D38" w:rsidP="000D0D38" w:rsidRDefault="000D0D38" w14:paraId="06DAC3C8" w14:textId="4BCEA505">
            <w:pPr>
              <w:jc w:val="center"/>
            </w:pPr>
            <w:r w:rsidRPr="00095A1D">
              <w:t>$680.00</w:t>
            </w:r>
          </w:p>
        </w:tc>
      </w:tr>
      <w:tr w:rsidRPr="006756BC" w:rsidR="000D0D38" w:rsidTr="000D0D38" w14:paraId="7DA08C92"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EE390D" w:rsidR="000D0D38" w:rsidP="00EE390D" w:rsidRDefault="000D0D38" w14:paraId="2D703C92" w14:textId="586E3832">
            <w:pPr>
              <w:jc w:val="center"/>
            </w:pPr>
            <w:r w:rsidRPr="00EE390D">
              <w:t>Hayley</w:t>
            </w:r>
          </w:p>
        </w:tc>
        <w:tc>
          <w:tcPr>
            <w:tcW w:w="1725" w:type="dxa"/>
            <w:tcBorders>
              <w:top w:val="single" w:color="auto" w:sz="4" w:space="0"/>
              <w:left w:val="single" w:color="auto" w:sz="4" w:space="0"/>
              <w:bottom w:val="single" w:color="auto" w:sz="4" w:space="0"/>
              <w:right w:val="single" w:color="auto" w:sz="4" w:space="0"/>
            </w:tcBorders>
          </w:tcPr>
          <w:p w:rsidRPr="00EE390D" w:rsidR="000D0D38" w:rsidP="00EE390D" w:rsidRDefault="000D0D38" w14:paraId="45D081DC" w14:textId="176EB720">
            <w:pPr>
              <w:jc w:val="center"/>
            </w:pPr>
            <w:r w:rsidRPr="00EE390D">
              <w:t>Goodson</w:t>
            </w:r>
          </w:p>
        </w:tc>
        <w:tc>
          <w:tcPr>
            <w:tcW w:w="2088" w:type="dxa"/>
            <w:tcBorders>
              <w:top w:val="single" w:color="auto" w:sz="4" w:space="0"/>
              <w:left w:val="single" w:color="auto" w:sz="4" w:space="0"/>
              <w:bottom w:val="single" w:color="auto" w:sz="4" w:space="0"/>
              <w:right w:val="single" w:color="auto" w:sz="4" w:space="0"/>
            </w:tcBorders>
          </w:tcPr>
          <w:p w:rsidRPr="00EE390D" w:rsidR="000D0D38" w:rsidP="00EE390D" w:rsidRDefault="000D0D38" w14:paraId="6B12A013" w14:textId="5DBF6725">
            <w:pPr>
              <w:jc w:val="center"/>
            </w:pPr>
            <w:r w:rsidRPr="00EE390D">
              <w:t>Attorney</w:t>
            </w:r>
          </w:p>
        </w:tc>
        <w:tc>
          <w:tcPr>
            <w:tcW w:w="1748" w:type="dxa"/>
            <w:tcBorders>
              <w:top w:val="single" w:color="auto" w:sz="4" w:space="0"/>
              <w:left w:val="single" w:color="auto" w:sz="4" w:space="0"/>
              <w:bottom w:val="single" w:color="auto" w:sz="4" w:space="0"/>
              <w:right w:val="single" w:color="auto" w:sz="4" w:space="0"/>
            </w:tcBorders>
            <w:vAlign w:val="bottom"/>
          </w:tcPr>
          <w:p w:rsidRPr="00EE390D" w:rsidR="000D0D38" w:rsidP="00EE390D" w:rsidRDefault="000D0D38" w14:paraId="4493D9DC" w14:textId="349B18A0">
            <w:pPr>
              <w:jc w:val="center"/>
            </w:pPr>
            <w:r w:rsidRPr="00EE390D">
              <w:t>$705.00</w:t>
            </w:r>
          </w:p>
        </w:tc>
        <w:tc>
          <w:tcPr>
            <w:tcW w:w="1725" w:type="dxa"/>
            <w:tcBorders>
              <w:top w:val="single" w:color="auto" w:sz="4" w:space="0"/>
              <w:left w:val="single" w:color="auto" w:sz="4" w:space="0"/>
              <w:bottom w:val="single" w:color="auto" w:sz="4" w:space="0"/>
              <w:right w:val="single" w:color="auto" w:sz="4" w:space="0"/>
            </w:tcBorders>
          </w:tcPr>
          <w:p w:rsidRPr="00EE390D" w:rsidR="000D0D38" w:rsidP="00EE390D" w:rsidRDefault="000D0D38" w14:paraId="7719A868" w14:textId="5D3984F1">
            <w:pPr>
              <w:jc w:val="center"/>
            </w:pPr>
            <w:r w:rsidRPr="00EE390D">
              <w:t>2025</w:t>
            </w:r>
          </w:p>
        </w:tc>
        <w:tc>
          <w:tcPr>
            <w:tcW w:w="1634" w:type="dxa"/>
            <w:tcBorders>
              <w:top w:val="single" w:color="auto" w:sz="4" w:space="0"/>
              <w:left w:val="single" w:color="auto" w:sz="4" w:space="0"/>
              <w:bottom w:val="single" w:color="auto" w:sz="4" w:space="0"/>
              <w:right w:val="single" w:color="auto" w:sz="4" w:space="0"/>
            </w:tcBorders>
          </w:tcPr>
          <w:p w:rsidRPr="006756BC" w:rsidR="000D0D38" w:rsidP="000D0D38" w:rsidRDefault="000D0D38" w14:paraId="2E5E95AB" w14:textId="519D89E8">
            <w:pPr>
              <w:jc w:val="center"/>
            </w:pPr>
            <w:r w:rsidRPr="00095A1D">
              <w:t>$705.00</w:t>
            </w:r>
          </w:p>
        </w:tc>
      </w:tr>
      <w:tr w:rsidRPr="006756BC" w:rsidR="000D0D38" w:rsidTr="000D0D38" w14:paraId="4D2D1C59"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EE390D" w:rsidR="000D0D38" w:rsidP="00EE390D" w:rsidRDefault="000D0D38" w14:paraId="133DB9DF" w14:textId="7754462D">
            <w:pPr>
              <w:jc w:val="center"/>
            </w:pPr>
            <w:r w:rsidRPr="00EE390D">
              <w:t>Hayley</w:t>
            </w:r>
          </w:p>
        </w:tc>
        <w:tc>
          <w:tcPr>
            <w:tcW w:w="1725" w:type="dxa"/>
            <w:tcBorders>
              <w:top w:val="single" w:color="auto" w:sz="4" w:space="0"/>
              <w:left w:val="single" w:color="auto" w:sz="4" w:space="0"/>
              <w:bottom w:val="single" w:color="auto" w:sz="4" w:space="0"/>
              <w:right w:val="single" w:color="auto" w:sz="4" w:space="0"/>
            </w:tcBorders>
          </w:tcPr>
          <w:p w:rsidRPr="00EE390D" w:rsidR="000D0D38" w:rsidP="00EE390D" w:rsidRDefault="000D0D38" w14:paraId="42106B04" w14:textId="771521CB">
            <w:pPr>
              <w:jc w:val="center"/>
            </w:pPr>
            <w:r w:rsidRPr="00EE390D">
              <w:t>Goodson</w:t>
            </w:r>
          </w:p>
        </w:tc>
        <w:tc>
          <w:tcPr>
            <w:tcW w:w="2088" w:type="dxa"/>
            <w:tcBorders>
              <w:top w:val="single" w:color="auto" w:sz="4" w:space="0"/>
              <w:left w:val="single" w:color="auto" w:sz="4" w:space="0"/>
              <w:bottom w:val="single" w:color="auto" w:sz="4" w:space="0"/>
              <w:right w:val="single" w:color="auto" w:sz="4" w:space="0"/>
            </w:tcBorders>
          </w:tcPr>
          <w:p w:rsidRPr="00EE390D" w:rsidR="000D0D38" w:rsidP="00EE390D" w:rsidRDefault="000D0D38" w14:paraId="0AE64B7A" w14:textId="12E4D5A4">
            <w:pPr>
              <w:jc w:val="center"/>
            </w:pPr>
            <w:r w:rsidRPr="00EE390D">
              <w:t>Attorney</w:t>
            </w:r>
          </w:p>
        </w:tc>
        <w:tc>
          <w:tcPr>
            <w:tcW w:w="1748" w:type="dxa"/>
            <w:tcBorders>
              <w:top w:val="single" w:color="auto" w:sz="4" w:space="0"/>
              <w:left w:val="single" w:color="auto" w:sz="4" w:space="0"/>
              <w:bottom w:val="single" w:color="auto" w:sz="4" w:space="0"/>
              <w:right w:val="single" w:color="auto" w:sz="4" w:space="0"/>
            </w:tcBorders>
          </w:tcPr>
          <w:p w:rsidRPr="00EE390D" w:rsidR="000D0D38" w:rsidP="00EE390D" w:rsidRDefault="000D0D38" w14:paraId="3FEA44B0" w14:textId="76CC786A">
            <w:pPr>
              <w:jc w:val="center"/>
            </w:pPr>
            <w:r w:rsidRPr="00EE390D">
              <w:t>$730.00</w:t>
            </w:r>
          </w:p>
        </w:tc>
        <w:tc>
          <w:tcPr>
            <w:tcW w:w="1725" w:type="dxa"/>
            <w:tcBorders>
              <w:top w:val="single" w:color="auto" w:sz="4" w:space="0"/>
              <w:left w:val="single" w:color="auto" w:sz="4" w:space="0"/>
              <w:bottom w:val="single" w:color="auto" w:sz="4" w:space="0"/>
              <w:right w:val="single" w:color="auto" w:sz="4" w:space="0"/>
            </w:tcBorders>
          </w:tcPr>
          <w:p w:rsidRPr="00EE390D" w:rsidR="000D0D38" w:rsidP="00EE390D" w:rsidRDefault="000D0D38" w14:paraId="1959E4B6" w14:textId="2E9FEDAE">
            <w:pPr>
              <w:jc w:val="center"/>
            </w:pPr>
            <w:r w:rsidRPr="00EE390D">
              <w:t>2026</w:t>
            </w:r>
          </w:p>
        </w:tc>
        <w:tc>
          <w:tcPr>
            <w:tcW w:w="1634" w:type="dxa"/>
            <w:tcBorders>
              <w:top w:val="single" w:color="auto" w:sz="4" w:space="0"/>
              <w:left w:val="single" w:color="auto" w:sz="4" w:space="0"/>
              <w:bottom w:val="single" w:color="auto" w:sz="4" w:space="0"/>
              <w:right w:val="single" w:color="auto" w:sz="4" w:space="0"/>
            </w:tcBorders>
          </w:tcPr>
          <w:p w:rsidRPr="006756BC" w:rsidR="000D0D38" w:rsidP="000D0D38" w:rsidRDefault="000D0D38" w14:paraId="28A7EC9D" w14:textId="23C06200">
            <w:pPr>
              <w:jc w:val="center"/>
            </w:pPr>
            <w:r w:rsidRPr="00095A1D">
              <w:t>$730.00</w:t>
            </w:r>
          </w:p>
        </w:tc>
      </w:tr>
      <w:tr w:rsidRPr="006756BC" w:rsidR="000D0D38" w:rsidTr="000D0D38" w14:paraId="1D9CD2E0"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EE390D" w:rsidR="000D0D38" w:rsidP="00EE390D" w:rsidRDefault="000D0D38" w14:paraId="1EB50C10" w14:textId="21C11487">
            <w:pPr>
              <w:jc w:val="center"/>
            </w:pPr>
            <w:r w:rsidRPr="00EE390D">
              <w:t>Marcel</w:t>
            </w:r>
          </w:p>
        </w:tc>
        <w:tc>
          <w:tcPr>
            <w:tcW w:w="1725" w:type="dxa"/>
            <w:tcBorders>
              <w:top w:val="single" w:color="auto" w:sz="4" w:space="0"/>
              <w:left w:val="single" w:color="auto" w:sz="4" w:space="0"/>
              <w:bottom w:val="single" w:color="auto" w:sz="4" w:space="0"/>
              <w:right w:val="single" w:color="auto" w:sz="4" w:space="0"/>
            </w:tcBorders>
          </w:tcPr>
          <w:p w:rsidRPr="00EE390D" w:rsidR="000D0D38" w:rsidP="00EE390D" w:rsidRDefault="000D0D38" w14:paraId="229C943C" w14:textId="1552554B">
            <w:pPr>
              <w:jc w:val="center"/>
            </w:pPr>
            <w:r w:rsidRPr="00EE390D">
              <w:t>Hawiger</w:t>
            </w:r>
          </w:p>
        </w:tc>
        <w:tc>
          <w:tcPr>
            <w:tcW w:w="2088" w:type="dxa"/>
            <w:tcBorders>
              <w:top w:val="single" w:color="auto" w:sz="4" w:space="0"/>
              <w:left w:val="single" w:color="auto" w:sz="4" w:space="0"/>
              <w:bottom w:val="single" w:color="auto" w:sz="4" w:space="0"/>
              <w:right w:val="single" w:color="auto" w:sz="4" w:space="0"/>
            </w:tcBorders>
          </w:tcPr>
          <w:p w:rsidRPr="00EE390D" w:rsidR="000D0D38" w:rsidP="00EE390D" w:rsidRDefault="000D0D38" w14:paraId="6BEF9424" w14:textId="6FE4B29E">
            <w:pPr>
              <w:jc w:val="center"/>
            </w:pPr>
            <w:r w:rsidRPr="00EE390D">
              <w:t>Attorney</w:t>
            </w:r>
          </w:p>
        </w:tc>
        <w:tc>
          <w:tcPr>
            <w:tcW w:w="1748" w:type="dxa"/>
            <w:tcBorders>
              <w:top w:val="single" w:color="auto" w:sz="4" w:space="0"/>
              <w:left w:val="single" w:color="auto" w:sz="4" w:space="0"/>
              <w:bottom w:val="single" w:color="auto" w:sz="4" w:space="0"/>
              <w:right w:val="single" w:color="auto" w:sz="4" w:space="0"/>
            </w:tcBorders>
            <w:vAlign w:val="bottom"/>
          </w:tcPr>
          <w:p w:rsidRPr="00EE390D" w:rsidR="000D0D38" w:rsidP="00EE390D" w:rsidRDefault="000D0D38" w14:paraId="61131AD1" w14:textId="0700F436">
            <w:pPr>
              <w:jc w:val="center"/>
            </w:pPr>
            <w:r w:rsidRPr="00EE390D">
              <w:t>$670.00</w:t>
            </w:r>
          </w:p>
        </w:tc>
        <w:tc>
          <w:tcPr>
            <w:tcW w:w="1725" w:type="dxa"/>
            <w:tcBorders>
              <w:top w:val="single" w:color="auto" w:sz="4" w:space="0"/>
              <w:left w:val="single" w:color="auto" w:sz="4" w:space="0"/>
              <w:bottom w:val="single" w:color="auto" w:sz="4" w:space="0"/>
              <w:right w:val="single" w:color="auto" w:sz="4" w:space="0"/>
            </w:tcBorders>
          </w:tcPr>
          <w:p w:rsidRPr="00EE390D" w:rsidR="000D0D38" w:rsidP="00EE390D" w:rsidRDefault="000D0D38" w14:paraId="34F8B9CA" w14:textId="268730C0">
            <w:pPr>
              <w:jc w:val="center"/>
            </w:pPr>
            <w:r w:rsidRPr="00EE390D">
              <w:t>2022</w:t>
            </w:r>
          </w:p>
        </w:tc>
        <w:tc>
          <w:tcPr>
            <w:tcW w:w="1634" w:type="dxa"/>
            <w:tcBorders>
              <w:top w:val="single" w:color="auto" w:sz="4" w:space="0"/>
              <w:left w:val="single" w:color="auto" w:sz="4" w:space="0"/>
              <w:bottom w:val="single" w:color="auto" w:sz="4" w:space="0"/>
              <w:right w:val="single" w:color="auto" w:sz="4" w:space="0"/>
            </w:tcBorders>
          </w:tcPr>
          <w:p w:rsidRPr="006756BC" w:rsidR="000D0D38" w:rsidP="000D0D38" w:rsidRDefault="000D0D38" w14:paraId="44FC4982" w14:textId="267C4FE0">
            <w:pPr>
              <w:jc w:val="center"/>
            </w:pPr>
            <w:r w:rsidRPr="00095A1D">
              <w:t>$670.00</w:t>
            </w:r>
          </w:p>
        </w:tc>
      </w:tr>
      <w:tr w:rsidRPr="006756BC" w:rsidR="000D0D38" w:rsidTr="000D0D38" w14:paraId="4B00AA20"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EE390D" w:rsidR="000D0D38" w:rsidP="00EE390D" w:rsidRDefault="000D0D38" w14:paraId="7F41EC6B" w14:textId="709CCB1E">
            <w:pPr>
              <w:jc w:val="center"/>
            </w:pPr>
            <w:r w:rsidRPr="00EE390D">
              <w:t>Marcel</w:t>
            </w:r>
          </w:p>
        </w:tc>
        <w:tc>
          <w:tcPr>
            <w:tcW w:w="1725" w:type="dxa"/>
            <w:tcBorders>
              <w:top w:val="single" w:color="auto" w:sz="4" w:space="0"/>
              <w:left w:val="single" w:color="auto" w:sz="4" w:space="0"/>
              <w:bottom w:val="single" w:color="auto" w:sz="4" w:space="0"/>
              <w:right w:val="single" w:color="auto" w:sz="4" w:space="0"/>
            </w:tcBorders>
          </w:tcPr>
          <w:p w:rsidRPr="00EE390D" w:rsidR="000D0D38" w:rsidP="00EE390D" w:rsidRDefault="000D0D38" w14:paraId="1F17C573" w14:textId="4A292D9E">
            <w:pPr>
              <w:jc w:val="center"/>
            </w:pPr>
            <w:r w:rsidRPr="00EE390D">
              <w:t>Hawiger</w:t>
            </w:r>
          </w:p>
        </w:tc>
        <w:tc>
          <w:tcPr>
            <w:tcW w:w="2088" w:type="dxa"/>
            <w:tcBorders>
              <w:top w:val="single" w:color="auto" w:sz="4" w:space="0"/>
              <w:left w:val="single" w:color="auto" w:sz="4" w:space="0"/>
              <w:bottom w:val="single" w:color="auto" w:sz="4" w:space="0"/>
              <w:right w:val="single" w:color="auto" w:sz="4" w:space="0"/>
            </w:tcBorders>
          </w:tcPr>
          <w:p w:rsidRPr="00EE390D" w:rsidR="000D0D38" w:rsidP="00EE390D" w:rsidRDefault="000D0D38" w14:paraId="6DFE9AED" w14:textId="33A54086">
            <w:pPr>
              <w:jc w:val="center"/>
            </w:pPr>
            <w:r w:rsidRPr="00EE390D">
              <w:t>Attorney</w:t>
            </w:r>
          </w:p>
        </w:tc>
        <w:tc>
          <w:tcPr>
            <w:tcW w:w="1748" w:type="dxa"/>
            <w:tcBorders>
              <w:top w:val="single" w:color="auto" w:sz="4" w:space="0"/>
              <w:left w:val="single" w:color="auto" w:sz="4" w:space="0"/>
              <w:bottom w:val="single" w:color="auto" w:sz="4" w:space="0"/>
              <w:right w:val="single" w:color="auto" w:sz="4" w:space="0"/>
            </w:tcBorders>
            <w:vAlign w:val="bottom"/>
          </w:tcPr>
          <w:p w:rsidRPr="00EE390D" w:rsidR="000D0D38" w:rsidP="00EE390D" w:rsidRDefault="000D0D38" w14:paraId="5B8A613E" w14:textId="4AA56C18">
            <w:pPr>
              <w:jc w:val="center"/>
            </w:pPr>
            <w:r w:rsidRPr="00EE390D">
              <w:t>$735.00</w:t>
            </w:r>
          </w:p>
        </w:tc>
        <w:tc>
          <w:tcPr>
            <w:tcW w:w="1725" w:type="dxa"/>
            <w:tcBorders>
              <w:top w:val="single" w:color="auto" w:sz="4" w:space="0"/>
              <w:left w:val="single" w:color="auto" w:sz="4" w:space="0"/>
              <w:bottom w:val="single" w:color="auto" w:sz="4" w:space="0"/>
              <w:right w:val="single" w:color="auto" w:sz="4" w:space="0"/>
            </w:tcBorders>
          </w:tcPr>
          <w:p w:rsidRPr="00EE390D" w:rsidR="000D0D38" w:rsidP="00EE390D" w:rsidRDefault="000D0D38" w14:paraId="66C17DFC" w14:textId="11D67E3D">
            <w:pPr>
              <w:jc w:val="center"/>
            </w:pPr>
            <w:r w:rsidRPr="00EE390D">
              <w:t>2023</w:t>
            </w:r>
          </w:p>
        </w:tc>
        <w:tc>
          <w:tcPr>
            <w:tcW w:w="1634" w:type="dxa"/>
            <w:tcBorders>
              <w:top w:val="single" w:color="auto" w:sz="4" w:space="0"/>
              <w:left w:val="single" w:color="auto" w:sz="4" w:space="0"/>
              <w:bottom w:val="single" w:color="auto" w:sz="4" w:space="0"/>
              <w:right w:val="single" w:color="auto" w:sz="4" w:space="0"/>
            </w:tcBorders>
          </w:tcPr>
          <w:p w:rsidRPr="006756BC" w:rsidR="000D0D38" w:rsidP="000D0D38" w:rsidRDefault="000D0D38" w14:paraId="280B0D0E" w14:textId="0A110EDB">
            <w:pPr>
              <w:jc w:val="center"/>
            </w:pPr>
            <w:r w:rsidRPr="00095A1D">
              <w:t>$735.00</w:t>
            </w:r>
          </w:p>
        </w:tc>
      </w:tr>
      <w:tr w:rsidRPr="006756BC" w:rsidR="000D0D38" w:rsidTr="000D0D38" w14:paraId="2FC8112F"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EE390D" w:rsidR="000D0D38" w:rsidP="00EE390D" w:rsidRDefault="000D0D38" w14:paraId="20939F8A" w14:textId="4A9A5B88">
            <w:pPr>
              <w:jc w:val="center"/>
            </w:pPr>
            <w:r w:rsidRPr="00EE390D">
              <w:t>Marcel</w:t>
            </w:r>
          </w:p>
        </w:tc>
        <w:tc>
          <w:tcPr>
            <w:tcW w:w="1725" w:type="dxa"/>
            <w:tcBorders>
              <w:top w:val="single" w:color="auto" w:sz="4" w:space="0"/>
              <w:left w:val="single" w:color="auto" w:sz="4" w:space="0"/>
              <w:bottom w:val="single" w:color="auto" w:sz="4" w:space="0"/>
              <w:right w:val="single" w:color="auto" w:sz="4" w:space="0"/>
            </w:tcBorders>
          </w:tcPr>
          <w:p w:rsidRPr="00EE390D" w:rsidR="000D0D38" w:rsidP="00EE390D" w:rsidRDefault="000D0D38" w14:paraId="5A5C4008" w14:textId="1EB63EDC">
            <w:pPr>
              <w:jc w:val="center"/>
            </w:pPr>
            <w:r w:rsidRPr="00EE390D">
              <w:t>Hawiger</w:t>
            </w:r>
          </w:p>
        </w:tc>
        <w:tc>
          <w:tcPr>
            <w:tcW w:w="2088" w:type="dxa"/>
            <w:tcBorders>
              <w:top w:val="single" w:color="auto" w:sz="4" w:space="0"/>
              <w:left w:val="single" w:color="auto" w:sz="4" w:space="0"/>
              <w:bottom w:val="single" w:color="auto" w:sz="4" w:space="0"/>
              <w:right w:val="single" w:color="auto" w:sz="4" w:space="0"/>
            </w:tcBorders>
          </w:tcPr>
          <w:p w:rsidRPr="00EE390D" w:rsidR="000D0D38" w:rsidP="00EE390D" w:rsidRDefault="000D0D38" w14:paraId="20115703" w14:textId="3740858F">
            <w:pPr>
              <w:jc w:val="center"/>
            </w:pPr>
            <w:r w:rsidRPr="00EE390D">
              <w:t>Attorney - Consultant</w:t>
            </w:r>
          </w:p>
        </w:tc>
        <w:tc>
          <w:tcPr>
            <w:tcW w:w="1748" w:type="dxa"/>
            <w:tcBorders>
              <w:top w:val="single" w:color="auto" w:sz="4" w:space="0"/>
              <w:left w:val="single" w:color="auto" w:sz="4" w:space="0"/>
              <w:bottom w:val="single" w:color="auto" w:sz="4" w:space="0"/>
              <w:right w:val="single" w:color="auto" w:sz="4" w:space="0"/>
            </w:tcBorders>
            <w:vAlign w:val="bottom"/>
          </w:tcPr>
          <w:p w:rsidRPr="00EE390D" w:rsidR="000D0D38" w:rsidP="00EE390D" w:rsidRDefault="000D0D38" w14:paraId="5443DB57" w14:textId="4730C290">
            <w:pPr>
              <w:jc w:val="center"/>
            </w:pPr>
            <w:r w:rsidRPr="00EE390D">
              <w:t>$250.00</w:t>
            </w:r>
          </w:p>
        </w:tc>
        <w:tc>
          <w:tcPr>
            <w:tcW w:w="1725" w:type="dxa"/>
            <w:tcBorders>
              <w:top w:val="single" w:color="auto" w:sz="4" w:space="0"/>
              <w:left w:val="single" w:color="auto" w:sz="4" w:space="0"/>
              <w:bottom w:val="single" w:color="auto" w:sz="4" w:space="0"/>
              <w:right w:val="single" w:color="auto" w:sz="4" w:space="0"/>
            </w:tcBorders>
          </w:tcPr>
          <w:p w:rsidRPr="00EE390D" w:rsidR="000D0D38" w:rsidP="00EE390D" w:rsidRDefault="000D0D38" w14:paraId="4A427CDC" w14:textId="7ED1D970">
            <w:pPr>
              <w:jc w:val="center"/>
            </w:pPr>
            <w:r w:rsidRPr="00EE390D">
              <w:t>2026</w:t>
            </w:r>
          </w:p>
        </w:tc>
        <w:tc>
          <w:tcPr>
            <w:tcW w:w="1634" w:type="dxa"/>
            <w:tcBorders>
              <w:top w:val="single" w:color="auto" w:sz="4" w:space="0"/>
              <w:left w:val="single" w:color="auto" w:sz="4" w:space="0"/>
              <w:bottom w:val="single" w:color="auto" w:sz="4" w:space="0"/>
              <w:right w:val="single" w:color="auto" w:sz="4" w:space="0"/>
            </w:tcBorders>
          </w:tcPr>
          <w:p w:rsidRPr="006756BC" w:rsidR="000D0D38" w:rsidP="000D0D38" w:rsidRDefault="000D0D38" w14:paraId="73BCDF1B" w14:textId="4B73B02A">
            <w:pPr>
              <w:jc w:val="center"/>
            </w:pPr>
            <w:r w:rsidRPr="00095A1D">
              <w:t>$250.00</w:t>
            </w:r>
          </w:p>
        </w:tc>
      </w:tr>
      <w:tr w:rsidRPr="006756BC" w:rsidR="000D0D38" w:rsidTr="000D0D38" w14:paraId="4582C61C"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EE390D" w:rsidR="000D0D38" w:rsidP="00EE390D" w:rsidRDefault="000D0D38" w14:paraId="1C1E052D" w14:textId="748F59D5">
            <w:pPr>
              <w:jc w:val="center"/>
            </w:pPr>
            <w:r w:rsidRPr="00EE390D">
              <w:t>Marna</w:t>
            </w:r>
          </w:p>
        </w:tc>
        <w:tc>
          <w:tcPr>
            <w:tcW w:w="1725" w:type="dxa"/>
            <w:tcBorders>
              <w:top w:val="single" w:color="auto" w:sz="4" w:space="0"/>
              <w:left w:val="single" w:color="auto" w:sz="4" w:space="0"/>
              <w:bottom w:val="single" w:color="auto" w:sz="4" w:space="0"/>
              <w:right w:val="single" w:color="auto" w:sz="4" w:space="0"/>
            </w:tcBorders>
          </w:tcPr>
          <w:p w:rsidRPr="00EE390D" w:rsidR="000D0D38" w:rsidP="00EE390D" w:rsidRDefault="000D0D38" w14:paraId="46B9496B" w14:textId="690BD85B">
            <w:pPr>
              <w:jc w:val="center"/>
            </w:pPr>
            <w:r w:rsidRPr="00EE390D">
              <w:t>Paintsil Anning</w:t>
            </w:r>
          </w:p>
        </w:tc>
        <w:tc>
          <w:tcPr>
            <w:tcW w:w="2088" w:type="dxa"/>
            <w:tcBorders>
              <w:top w:val="single" w:color="auto" w:sz="4" w:space="0"/>
              <w:left w:val="single" w:color="auto" w:sz="4" w:space="0"/>
              <w:bottom w:val="single" w:color="auto" w:sz="4" w:space="0"/>
              <w:right w:val="single" w:color="auto" w:sz="4" w:space="0"/>
            </w:tcBorders>
          </w:tcPr>
          <w:p w:rsidRPr="00EE390D" w:rsidR="000D0D38" w:rsidP="00EE390D" w:rsidRDefault="000D0D38" w14:paraId="4D425EF1" w14:textId="05F8C609">
            <w:pPr>
              <w:jc w:val="center"/>
            </w:pPr>
            <w:r w:rsidRPr="00EE390D">
              <w:t>Attorney</w:t>
            </w:r>
          </w:p>
        </w:tc>
        <w:tc>
          <w:tcPr>
            <w:tcW w:w="1748" w:type="dxa"/>
            <w:tcBorders>
              <w:top w:val="single" w:color="auto" w:sz="4" w:space="0"/>
              <w:left w:val="single" w:color="auto" w:sz="4" w:space="0"/>
              <w:bottom w:val="single" w:color="auto" w:sz="4" w:space="0"/>
              <w:right w:val="single" w:color="auto" w:sz="4" w:space="0"/>
            </w:tcBorders>
            <w:vAlign w:val="bottom"/>
          </w:tcPr>
          <w:p w:rsidRPr="00EE390D" w:rsidR="000D0D38" w:rsidP="00EE390D" w:rsidRDefault="000D0D38" w14:paraId="064131ED" w14:textId="34A4F318">
            <w:pPr>
              <w:jc w:val="center"/>
            </w:pPr>
            <w:r w:rsidRPr="00EE390D">
              <w:t>$275.00</w:t>
            </w:r>
          </w:p>
        </w:tc>
        <w:tc>
          <w:tcPr>
            <w:tcW w:w="1725" w:type="dxa"/>
            <w:tcBorders>
              <w:top w:val="single" w:color="auto" w:sz="4" w:space="0"/>
              <w:left w:val="single" w:color="auto" w:sz="4" w:space="0"/>
              <w:bottom w:val="single" w:color="auto" w:sz="4" w:space="0"/>
              <w:right w:val="single" w:color="auto" w:sz="4" w:space="0"/>
            </w:tcBorders>
          </w:tcPr>
          <w:p w:rsidRPr="00EE390D" w:rsidR="000D0D38" w:rsidP="00EE390D" w:rsidRDefault="000D0D38" w14:paraId="0E24F391" w14:textId="43887008">
            <w:pPr>
              <w:jc w:val="center"/>
            </w:pPr>
            <w:r w:rsidRPr="00EE390D">
              <w:t>2022</w:t>
            </w:r>
          </w:p>
        </w:tc>
        <w:tc>
          <w:tcPr>
            <w:tcW w:w="1634" w:type="dxa"/>
            <w:tcBorders>
              <w:top w:val="single" w:color="auto" w:sz="4" w:space="0"/>
              <w:left w:val="single" w:color="auto" w:sz="4" w:space="0"/>
              <w:bottom w:val="single" w:color="auto" w:sz="4" w:space="0"/>
              <w:right w:val="single" w:color="auto" w:sz="4" w:space="0"/>
            </w:tcBorders>
          </w:tcPr>
          <w:p w:rsidRPr="006756BC" w:rsidR="000D0D38" w:rsidP="000D0D38" w:rsidRDefault="000D0D38" w14:paraId="3AA0CA6F" w14:textId="303A1579">
            <w:pPr>
              <w:jc w:val="center"/>
            </w:pPr>
            <w:r w:rsidRPr="00095A1D">
              <w:t>$275.00</w:t>
            </w:r>
          </w:p>
        </w:tc>
      </w:tr>
      <w:tr w:rsidRPr="006756BC" w:rsidR="000D0D38" w:rsidTr="000D0D38" w14:paraId="397F4005"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EE390D" w:rsidR="000D0D38" w:rsidP="00EE390D" w:rsidRDefault="000D0D38" w14:paraId="13C07636" w14:textId="355AF850">
            <w:pPr>
              <w:jc w:val="center"/>
            </w:pPr>
            <w:r w:rsidRPr="00EE390D">
              <w:t>Robert</w:t>
            </w:r>
          </w:p>
        </w:tc>
        <w:tc>
          <w:tcPr>
            <w:tcW w:w="1725" w:type="dxa"/>
            <w:tcBorders>
              <w:top w:val="single" w:color="auto" w:sz="4" w:space="0"/>
              <w:left w:val="single" w:color="auto" w:sz="4" w:space="0"/>
              <w:bottom w:val="single" w:color="auto" w:sz="4" w:space="0"/>
              <w:right w:val="single" w:color="auto" w:sz="4" w:space="0"/>
            </w:tcBorders>
          </w:tcPr>
          <w:p w:rsidRPr="00EE390D" w:rsidR="000D0D38" w:rsidP="00EE390D" w:rsidRDefault="000D0D38" w14:paraId="5983AEDC" w14:textId="1F8A0A46">
            <w:pPr>
              <w:jc w:val="center"/>
            </w:pPr>
            <w:r w:rsidRPr="00EE390D">
              <w:t>Finkelstein</w:t>
            </w:r>
          </w:p>
        </w:tc>
        <w:tc>
          <w:tcPr>
            <w:tcW w:w="2088" w:type="dxa"/>
            <w:tcBorders>
              <w:top w:val="single" w:color="auto" w:sz="4" w:space="0"/>
              <w:left w:val="single" w:color="auto" w:sz="4" w:space="0"/>
              <w:bottom w:val="single" w:color="auto" w:sz="4" w:space="0"/>
              <w:right w:val="single" w:color="auto" w:sz="4" w:space="0"/>
            </w:tcBorders>
          </w:tcPr>
          <w:p w:rsidRPr="00EE390D" w:rsidR="000D0D38" w:rsidP="00EE390D" w:rsidRDefault="000D0D38" w14:paraId="2BD8256F" w14:textId="574E530D">
            <w:pPr>
              <w:jc w:val="center"/>
            </w:pPr>
            <w:r w:rsidRPr="00EE390D">
              <w:t>Attorney</w:t>
            </w:r>
          </w:p>
        </w:tc>
        <w:tc>
          <w:tcPr>
            <w:tcW w:w="1748" w:type="dxa"/>
            <w:tcBorders>
              <w:top w:val="single" w:color="auto" w:sz="4" w:space="0"/>
              <w:left w:val="single" w:color="auto" w:sz="4" w:space="0"/>
              <w:bottom w:val="single" w:color="auto" w:sz="4" w:space="0"/>
              <w:right w:val="single" w:color="auto" w:sz="4" w:space="0"/>
            </w:tcBorders>
            <w:vAlign w:val="bottom"/>
          </w:tcPr>
          <w:p w:rsidRPr="00EE390D" w:rsidR="000D0D38" w:rsidP="00EE390D" w:rsidRDefault="000D0D38" w14:paraId="1E20E24D" w14:textId="370E9EF6">
            <w:pPr>
              <w:jc w:val="center"/>
            </w:pPr>
            <w:r w:rsidRPr="00EE390D">
              <w:t>$805.00</w:t>
            </w:r>
          </w:p>
        </w:tc>
        <w:tc>
          <w:tcPr>
            <w:tcW w:w="1725" w:type="dxa"/>
            <w:tcBorders>
              <w:top w:val="single" w:color="auto" w:sz="4" w:space="0"/>
              <w:left w:val="single" w:color="auto" w:sz="4" w:space="0"/>
              <w:bottom w:val="single" w:color="auto" w:sz="4" w:space="0"/>
              <w:right w:val="single" w:color="auto" w:sz="4" w:space="0"/>
            </w:tcBorders>
          </w:tcPr>
          <w:p w:rsidRPr="00EE390D" w:rsidR="000D0D38" w:rsidP="00EE390D" w:rsidRDefault="000D0D38" w14:paraId="6E9668AE" w14:textId="75E47D43">
            <w:pPr>
              <w:jc w:val="center"/>
            </w:pPr>
            <w:r w:rsidRPr="00EE390D">
              <w:t>2022</w:t>
            </w:r>
          </w:p>
        </w:tc>
        <w:tc>
          <w:tcPr>
            <w:tcW w:w="1634" w:type="dxa"/>
            <w:tcBorders>
              <w:top w:val="single" w:color="auto" w:sz="4" w:space="0"/>
              <w:left w:val="single" w:color="auto" w:sz="4" w:space="0"/>
              <w:bottom w:val="single" w:color="auto" w:sz="4" w:space="0"/>
              <w:right w:val="single" w:color="auto" w:sz="4" w:space="0"/>
            </w:tcBorders>
          </w:tcPr>
          <w:p w:rsidRPr="006756BC" w:rsidR="000D0D38" w:rsidP="000D0D38" w:rsidRDefault="000D0D38" w14:paraId="1B3ACAB5" w14:textId="3F56911C">
            <w:pPr>
              <w:jc w:val="center"/>
            </w:pPr>
            <w:r w:rsidRPr="00095A1D">
              <w:t>$805.00</w:t>
            </w:r>
          </w:p>
        </w:tc>
      </w:tr>
      <w:tr w:rsidRPr="006756BC" w:rsidR="000D0D38" w:rsidTr="000D0D38" w14:paraId="31CC8D2B"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EE390D" w:rsidR="000D0D38" w:rsidP="00EE390D" w:rsidRDefault="000D0D38" w14:paraId="0EF7CBC6" w14:textId="1651F01E">
            <w:pPr>
              <w:jc w:val="center"/>
            </w:pPr>
            <w:r w:rsidRPr="00EE390D">
              <w:t>Robert</w:t>
            </w:r>
          </w:p>
        </w:tc>
        <w:tc>
          <w:tcPr>
            <w:tcW w:w="1725" w:type="dxa"/>
            <w:tcBorders>
              <w:top w:val="single" w:color="auto" w:sz="4" w:space="0"/>
              <w:left w:val="single" w:color="auto" w:sz="4" w:space="0"/>
              <w:bottom w:val="single" w:color="auto" w:sz="4" w:space="0"/>
              <w:right w:val="single" w:color="auto" w:sz="4" w:space="0"/>
            </w:tcBorders>
          </w:tcPr>
          <w:p w:rsidRPr="00EE390D" w:rsidR="000D0D38" w:rsidP="00EE390D" w:rsidRDefault="000D0D38" w14:paraId="5351333C" w14:textId="607567B1">
            <w:pPr>
              <w:jc w:val="center"/>
            </w:pPr>
            <w:r w:rsidRPr="00EE390D">
              <w:t>Finkelstein</w:t>
            </w:r>
          </w:p>
        </w:tc>
        <w:tc>
          <w:tcPr>
            <w:tcW w:w="2088" w:type="dxa"/>
            <w:tcBorders>
              <w:top w:val="single" w:color="auto" w:sz="4" w:space="0"/>
              <w:left w:val="single" w:color="auto" w:sz="4" w:space="0"/>
              <w:bottom w:val="single" w:color="auto" w:sz="4" w:space="0"/>
              <w:right w:val="single" w:color="auto" w:sz="4" w:space="0"/>
            </w:tcBorders>
          </w:tcPr>
          <w:p w:rsidRPr="00EE390D" w:rsidR="000D0D38" w:rsidP="00EE390D" w:rsidRDefault="000D0D38" w14:paraId="6D276980" w14:textId="1317E55E">
            <w:pPr>
              <w:jc w:val="center"/>
            </w:pPr>
            <w:r w:rsidRPr="00EE390D">
              <w:t>Attorney</w:t>
            </w:r>
          </w:p>
        </w:tc>
        <w:tc>
          <w:tcPr>
            <w:tcW w:w="1748" w:type="dxa"/>
            <w:tcBorders>
              <w:top w:val="single" w:color="auto" w:sz="4" w:space="0"/>
              <w:left w:val="single" w:color="auto" w:sz="4" w:space="0"/>
              <w:bottom w:val="single" w:color="auto" w:sz="4" w:space="0"/>
              <w:right w:val="single" w:color="auto" w:sz="4" w:space="0"/>
            </w:tcBorders>
            <w:vAlign w:val="bottom"/>
          </w:tcPr>
          <w:p w:rsidRPr="00EE390D" w:rsidR="000D0D38" w:rsidP="00EE390D" w:rsidRDefault="000D0D38" w14:paraId="1C073223" w14:textId="0348E7B3">
            <w:pPr>
              <w:jc w:val="center"/>
            </w:pPr>
            <w:r w:rsidRPr="00EE390D">
              <w:t>$840.00</w:t>
            </w:r>
          </w:p>
        </w:tc>
        <w:tc>
          <w:tcPr>
            <w:tcW w:w="1725" w:type="dxa"/>
            <w:tcBorders>
              <w:top w:val="single" w:color="auto" w:sz="4" w:space="0"/>
              <w:left w:val="single" w:color="auto" w:sz="4" w:space="0"/>
              <w:bottom w:val="single" w:color="auto" w:sz="4" w:space="0"/>
              <w:right w:val="single" w:color="auto" w:sz="4" w:space="0"/>
            </w:tcBorders>
          </w:tcPr>
          <w:p w:rsidRPr="00EE390D" w:rsidR="000D0D38" w:rsidP="00EE390D" w:rsidRDefault="000D0D38" w14:paraId="5B1B2C13" w14:textId="43D4B34E">
            <w:pPr>
              <w:jc w:val="center"/>
            </w:pPr>
            <w:r w:rsidRPr="00EE390D">
              <w:t>2023</w:t>
            </w:r>
          </w:p>
        </w:tc>
        <w:tc>
          <w:tcPr>
            <w:tcW w:w="1634" w:type="dxa"/>
            <w:tcBorders>
              <w:top w:val="single" w:color="auto" w:sz="4" w:space="0"/>
              <w:left w:val="single" w:color="auto" w:sz="4" w:space="0"/>
              <w:bottom w:val="single" w:color="auto" w:sz="4" w:space="0"/>
              <w:right w:val="single" w:color="auto" w:sz="4" w:space="0"/>
            </w:tcBorders>
          </w:tcPr>
          <w:p w:rsidRPr="006756BC" w:rsidR="000D0D38" w:rsidP="000D0D38" w:rsidRDefault="000D0D38" w14:paraId="3C76BA0E" w14:textId="7709A3F4">
            <w:pPr>
              <w:jc w:val="center"/>
            </w:pPr>
            <w:r w:rsidRPr="00095A1D">
              <w:t>$840.00</w:t>
            </w:r>
          </w:p>
        </w:tc>
      </w:tr>
      <w:tr w:rsidRPr="006756BC" w:rsidR="000D0D38" w:rsidTr="000D0D38" w14:paraId="5D1EF151"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EE390D" w:rsidR="000D0D38" w:rsidP="00EE390D" w:rsidRDefault="000D0D38" w14:paraId="56A56FF3" w14:textId="532A8F02">
            <w:pPr>
              <w:jc w:val="center"/>
            </w:pPr>
            <w:r w:rsidRPr="00EE390D">
              <w:t>Thomas</w:t>
            </w:r>
          </w:p>
        </w:tc>
        <w:tc>
          <w:tcPr>
            <w:tcW w:w="1725" w:type="dxa"/>
            <w:tcBorders>
              <w:top w:val="single" w:color="auto" w:sz="4" w:space="0"/>
              <w:left w:val="single" w:color="auto" w:sz="4" w:space="0"/>
              <w:bottom w:val="single" w:color="auto" w:sz="4" w:space="0"/>
              <w:right w:val="single" w:color="auto" w:sz="4" w:space="0"/>
            </w:tcBorders>
          </w:tcPr>
          <w:p w:rsidRPr="00EE390D" w:rsidR="000D0D38" w:rsidP="00EE390D" w:rsidRDefault="000D0D38" w14:paraId="23C4B384" w14:textId="4296213D">
            <w:pPr>
              <w:jc w:val="center"/>
            </w:pPr>
            <w:r w:rsidRPr="00EE390D">
              <w:t>Long</w:t>
            </w:r>
          </w:p>
        </w:tc>
        <w:tc>
          <w:tcPr>
            <w:tcW w:w="2088" w:type="dxa"/>
            <w:tcBorders>
              <w:top w:val="single" w:color="auto" w:sz="4" w:space="0"/>
              <w:left w:val="single" w:color="auto" w:sz="4" w:space="0"/>
              <w:bottom w:val="single" w:color="auto" w:sz="4" w:space="0"/>
              <w:right w:val="single" w:color="auto" w:sz="4" w:space="0"/>
            </w:tcBorders>
          </w:tcPr>
          <w:p w:rsidRPr="00EE390D" w:rsidR="000D0D38" w:rsidP="00EE390D" w:rsidRDefault="000D0D38" w14:paraId="4C279A8E" w14:textId="35BD2C2E">
            <w:pPr>
              <w:jc w:val="center"/>
            </w:pPr>
            <w:r w:rsidRPr="00EE390D">
              <w:t>Attorney</w:t>
            </w:r>
          </w:p>
        </w:tc>
        <w:tc>
          <w:tcPr>
            <w:tcW w:w="1748" w:type="dxa"/>
            <w:tcBorders>
              <w:top w:val="single" w:color="auto" w:sz="4" w:space="0"/>
              <w:left w:val="single" w:color="auto" w:sz="4" w:space="0"/>
              <w:bottom w:val="single" w:color="auto" w:sz="4" w:space="0"/>
              <w:right w:val="single" w:color="auto" w:sz="4" w:space="0"/>
            </w:tcBorders>
            <w:vAlign w:val="bottom"/>
          </w:tcPr>
          <w:p w:rsidRPr="00EE390D" w:rsidR="000D0D38" w:rsidP="00EE390D" w:rsidRDefault="000D0D38" w14:paraId="26611DFE" w14:textId="1DA063EE">
            <w:pPr>
              <w:jc w:val="center"/>
            </w:pPr>
            <w:r w:rsidRPr="00EE390D">
              <w:t>$860.00</w:t>
            </w:r>
          </w:p>
        </w:tc>
        <w:tc>
          <w:tcPr>
            <w:tcW w:w="1725" w:type="dxa"/>
            <w:tcBorders>
              <w:top w:val="single" w:color="auto" w:sz="4" w:space="0"/>
              <w:left w:val="single" w:color="auto" w:sz="4" w:space="0"/>
              <w:bottom w:val="single" w:color="auto" w:sz="4" w:space="0"/>
              <w:right w:val="single" w:color="auto" w:sz="4" w:space="0"/>
            </w:tcBorders>
          </w:tcPr>
          <w:p w:rsidRPr="00EE390D" w:rsidR="000D0D38" w:rsidP="00EE390D" w:rsidRDefault="000D0D38" w14:paraId="76C85C08" w14:textId="2892B2D9">
            <w:pPr>
              <w:jc w:val="center"/>
            </w:pPr>
            <w:r w:rsidRPr="00EE390D">
              <w:t>2024</w:t>
            </w:r>
          </w:p>
        </w:tc>
        <w:tc>
          <w:tcPr>
            <w:tcW w:w="1634" w:type="dxa"/>
            <w:tcBorders>
              <w:top w:val="single" w:color="auto" w:sz="4" w:space="0"/>
              <w:left w:val="single" w:color="auto" w:sz="4" w:space="0"/>
              <w:bottom w:val="single" w:color="auto" w:sz="4" w:space="0"/>
              <w:right w:val="single" w:color="auto" w:sz="4" w:space="0"/>
            </w:tcBorders>
          </w:tcPr>
          <w:p w:rsidRPr="006756BC" w:rsidR="000D0D38" w:rsidP="000D0D38" w:rsidRDefault="000D0D38" w14:paraId="7F7F9909" w14:textId="47E3BE1A">
            <w:pPr>
              <w:jc w:val="center"/>
            </w:pPr>
            <w:r w:rsidRPr="00095A1D">
              <w:t>$860.00</w:t>
            </w:r>
          </w:p>
        </w:tc>
      </w:tr>
      <w:tr w:rsidRPr="006756BC" w:rsidR="000D0D38" w:rsidTr="000D0D38" w14:paraId="378F1987"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EE390D" w:rsidR="000D0D38" w:rsidP="00EE390D" w:rsidRDefault="000D0D38" w14:paraId="071CA4CB" w14:textId="3307CCE0">
            <w:pPr>
              <w:jc w:val="center"/>
            </w:pPr>
            <w:r w:rsidRPr="00EE390D">
              <w:t>Jennifer</w:t>
            </w:r>
          </w:p>
        </w:tc>
        <w:tc>
          <w:tcPr>
            <w:tcW w:w="1725" w:type="dxa"/>
            <w:tcBorders>
              <w:top w:val="single" w:color="auto" w:sz="4" w:space="0"/>
              <w:left w:val="single" w:color="auto" w:sz="4" w:space="0"/>
              <w:bottom w:val="single" w:color="auto" w:sz="4" w:space="0"/>
              <w:right w:val="single" w:color="auto" w:sz="4" w:space="0"/>
            </w:tcBorders>
          </w:tcPr>
          <w:p w:rsidRPr="00EE390D" w:rsidR="000D0D38" w:rsidP="00EE390D" w:rsidRDefault="000D0D38" w14:paraId="70EAB697" w14:textId="73BE3658">
            <w:pPr>
              <w:jc w:val="center"/>
            </w:pPr>
            <w:r w:rsidRPr="00EE390D">
              <w:t>Dowdell</w:t>
            </w:r>
          </w:p>
        </w:tc>
        <w:tc>
          <w:tcPr>
            <w:tcW w:w="2088" w:type="dxa"/>
            <w:tcBorders>
              <w:top w:val="single" w:color="auto" w:sz="4" w:space="0"/>
              <w:left w:val="single" w:color="auto" w:sz="4" w:space="0"/>
              <w:bottom w:val="single" w:color="auto" w:sz="4" w:space="0"/>
              <w:right w:val="single" w:color="auto" w:sz="4" w:space="0"/>
            </w:tcBorders>
          </w:tcPr>
          <w:p w:rsidRPr="00EE390D" w:rsidR="000D0D38" w:rsidP="00EE390D" w:rsidRDefault="000D0D38" w14:paraId="776BBD8E" w14:textId="1CC7A9BB">
            <w:pPr>
              <w:jc w:val="center"/>
            </w:pPr>
            <w:r w:rsidRPr="00EE390D">
              <w:t>Expert</w:t>
            </w:r>
          </w:p>
        </w:tc>
        <w:tc>
          <w:tcPr>
            <w:tcW w:w="1748" w:type="dxa"/>
            <w:tcBorders>
              <w:top w:val="single" w:color="auto" w:sz="4" w:space="0"/>
              <w:left w:val="single" w:color="auto" w:sz="4" w:space="0"/>
              <w:bottom w:val="single" w:color="auto" w:sz="4" w:space="0"/>
              <w:right w:val="single" w:color="auto" w:sz="4" w:space="0"/>
            </w:tcBorders>
          </w:tcPr>
          <w:p w:rsidRPr="00EE390D" w:rsidR="000D0D38" w:rsidP="00EE390D" w:rsidRDefault="000D0D38" w14:paraId="7B53F6C7" w14:textId="4864AED7">
            <w:pPr>
              <w:jc w:val="center"/>
            </w:pPr>
            <w:r w:rsidRPr="00EE390D">
              <w:t>$415.00</w:t>
            </w:r>
          </w:p>
        </w:tc>
        <w:tc>
          <w:tcPr>
            <w:tcW w:w="1725" w:type="dxa"/>
            <w:tcBorders>
              <w:top w:val="single" w:color="auto" w:sz="4" w:space="0"/>
              <w:left w:val="single" w:color="auto" w:sz="4" w:space="0"/>
              <w:bottom w:val="single" w:color="auto" w:sz="4" w:space="0"/>
              <w:right w:val="single" w:color="auto" w:sz="4" w:space="0"/>
            </w:tcBorders>
          </w:tcPr>
          <w:p w:rsidRPr="00EE390D" w:rsidR="000D0D38" w:rsidP="00EE390D" w:rsidRDefault="000D0D38" w14:paraId="5F2F3CC8" w14:textId="6CE1FF90">
            <w:pPr>
              <w:jc w:val="center"/>
            </w:pPr>
            <w:r w:rsidRPr="00EE390D">
              <w:t>2022</w:t>
            </w:r>
          </w:p>
        </w:tc>
        <w:tc>
          <w:tcPr>
            <w:tcW w:w="1634" w:type="dxa"/>
            <w:tcBorders>
              <w:top w:val="single" w:color="auto" w:sz="4" w:space="0"/>
              <w:left w:val="single" w:color="auto" w:sz="4" w:space="0"/>
              <w:bottom w:val="single" w:color="auto" w:sz="4" w:space="0"/>
              <w:right w:val="single" w:color="auto" w:sz="4" w:space="0"/>
            </w:tcBorders>
          </w:tcPr>
          <w:p w:rsidRPr="006756BC" w:rsidR="000D0D38" w:rsidP="000D0D38" w:rsidRDefault="000D0D38" w14:paraId="323BB4AD" w14:textId="0700CC08">
            <w:pPr>
              <w:jc w:val="center"/>
            </w:pPr>
            <w:r w:rsidRPr="00095A1D">
              <w:t>$415.00</w:t>
            </w:r>
          </w:p>
        </w:tc>
      </w:tr>
      <w:tr w:rsidRPr="006756BC" w:rsidR="000D0D38" w:rsidTr="000D0D38" w14:paraId="79D54E73"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EE390D" w:rsidR="000D0D38" w:rsidP="00EE390D" w:rsidRDefault="000D0D38" w14:paraId="07D3313B" w14:textId="66C2F7CF">
            <w:pPr>
              <w:jc w:val="center"/>
            </w:pPr>
            <w:r w:rsidRPr="00EE390D">
              <w:lastRenderedPageBreak/>
              <w:t>Jalal</w:t>
            </w:r>
          </w:p>
        </w:tc>
        <w:tc>
          <w:tcPr>
            <w:tcW w:w="1725" w:type="dxa"/>
            <w:tcBorders>
              <w:top w:val="single" w:color="auto" w:sz="4" w:space="0"/>
              <w:left w:val="single" w:color="auto" w:sz="4" w:space="0"/>
              <w:bottom w:val="single" w:color="auto" w:sz="4" w:space="0"/>
              <w:right w:val="single" w:color="auto" w:sz="4" w:space="0"/>
            </w:tcBorders>
          </w:tcPr>
          <w:p w:rsidRPr="00EE390D" w:rsidR="000D0D38" w:rsidP="00EE390D" w:rsidRDefault="000D0D38" w14:paraId="4C144819" w14:textId="60A9A98C">
            <w:pPr>
              <w:jc w:val="center"/>
            </w:pPr>
            <w:r w:rsidRPr="00EE390D">
              <w:t>Awan</w:t>
            </w:r>
          </w:p>
        </w:tc>
        <w:tc>
          <w:tcPr>
            <w:tcW w:w="2088" w:type="dxa"/>
            <w:tcBorders>
              <w:top w:val="single" w:color="auto" w:sz="4" w:space="0"/>
              <w:left w:val="single" w:color="auto" w:sz="4" w:space="0"/>
              <w:bottom w:val="single" w:color="auto" w:sz="4" w:space="0"/>
              <w:right w:val="single" w:color="auto" w:sz="4" w:space="0"/>
            </w:tcBorders>
          </w:tcPr>
          <w:p w:rsidRPr="00EE390D" w:rsidR="000D0D38" w:rsidP="00EE390D" w:rsidRDefault="000D0D38" w14:paraId="411ED29B" w14:textId="547392B2">
            <w:pPr>
              <w:jc w:val="center"/>
            </w:pPr>
            <w:r w:rsidRPr="00EE390D">
              <w:t>Expert</w:t>
            </w:r>
          </w:p>
        </w:tc>
        <w:tc>
          <w:tcPr>
            <w:tcW w:w="1748" w:type="dxa"/>
            <w:tcBorders>
              <w:top w:val="single" w:color="auto" w:sz="4" w:space="0"/>
              <w:left w:val="single" w:color="auto" w:sz="4" w:space="0"/>
              <w:bottom w:val="single" w:color="auto" w:sz="4" w:space="0"/>
              <w:right w:val="single" w:color="auto" w:sz="4" w:space="0"/>
            </w:tcBorders>
          </w:tcPr>
          <w:p w:rsidRPr="00EE390D" w:rsidR="000D0D38" w:rsidP="00EE390D" w:rsidRDefault="000D0D38" w14:paraId="568250E2" w14:textId="20F6AB3F">
            <w:pPr>
              <w:jc w:val="center"/>
            </w:pPr>
            <w:r w:rsidRPr="00EE390D">
              <w:t>$325.00</w:t>
            </w:r>
          </w:p>
        </w:tc>
        <w:tc>
          <w:tcPr>
            <w:tcW w:w="1725" w:type="dxa"/>
            <w:tcBorders>
              <w:top w:val="single" w:color="auto" w:sz="4" w:space="0"/>
              <w:left w:val="single" w:color="auto" w:sz="4" w:space="0"/>
              <w:bottom w:val="single" w:color="auto" w:sz="4" w:space="0"/>
              <w:right w:val="single" w:color="auto" w:sz="4" w:space="0"/>
            </w:tcBorders>
          </w:tcPr>
          <w:p w:rsidRPr="00EE390D" w:rsidR="000D0D38" w:rsidP="00EE390D" w:rsidRDefault="000D0D38" w14:paraId="6065E05E" w14:textId="09F01227">
            <w:pPr>
              <w:jc w:val="center"/>
            </w:pPr>
            <w:r w:rsidRPr="00EE390D">
              <w:t>2024</w:t>
            </w:r>
          </w:p>
        </w:tc>
        <w:tc>
          <w:tcPr>
            <w:tcW w:w="1634" w:type="dxa"/>
            <w:tcBorders>
              <w:top w:val="single" w:color="auto" w:sz="4" w:space="0"/>
              <w:left w:val="single" w:color="auto" w:sz="4" w:space="0"/>
              <w:bottom w:val="single" w:color="auto" w:sz="4" w:space="0"/>
              <w:right w:val="single" w:color="auto" w:sz="4" w:space="0"/>
            </w:tcBorders>
          </w:tcPr>
          <w:p w:rsidRPr="006756BC" w:rsidR="000D0D38" w:rsidP="000D0D38" w:rsidRDefault="000D0D38" w14:paraId="3F5D5010" w14:textId="44A0078D">
            <w:pPr>
              <w:jc w:val="center"/>
            </w:pPr>
            <w:r w:rsidRPr="00095A1D">
              <w:t>$325.00</w:t>
            </w:r>
          </w:p>
        </w:tc>
      </w:tr>
      <w:tr w:rsidRPr="006756BC" w:rsidR="000D0D38" w:rsidTr="000D0D38" w14:paraId="0D897057"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EE390D" w:rsidR="000D0D38" w:rsidP="00EE390D" w:rsidRDefault="000D0D38" w14:paraId="072F8D6A" w14:textId="3741EE01">
            <w:pPr>
              <w:jc w:val="center"/>
            </w:pPr>
            <w:r w:rsidRPr="00EE390D">
              <w:t>Jalal</w:t>
            </w:r>
          </w:p>
        </w:tc>
        <w:tc>
          <w:tcPr>
            <w:tcW w:w="1725" w:type="dxa"/>
            <w:tcBorders>
              <w:top w:val="single" w:color="auto" w:sz="4" w:space="0"/>
              <w:left w:val="single" w:color="auto" w:sz="4" w:space="0"/>
              <w:bottom w:val="single" w:color="auto" w:sz="4" w:space="0"/>
              <w:right w:val="single" w:color="auto" w:sz="4" w:space="0"/>
            </w:tcBorders>
          </w:tcPr>
          <w:p w:rsidRPr="00EE390D" w:rsidR="000D0D38" w:rsidP="00EE390D" w:rsidRDefault="000D0D38" w14:paraId="4650C3BF" w14:textId="77547467">
            <w:pPr>
              <w:jc w:val="center"/>
            </w:pPr>
            <w:r w:rsidRPr="00EE390D">
              <w:t>Awan</w:t>
            </w:r>
          </w:p>
        </w:tc>
        <w:tc>
          <w:tcPr>
            <w:tcW w:w="2088" w:type="dxa"/>
            <w:tcBorders>
              <w:top w:val="single" w:color="auto" w:sz="4" w:space="0"/>
              <w:left w:val="single" w:color="auto" w:sz="4" w:space="0"/>
              <w:bottom w:val="single" w:color="auto" w:sz="4" w:space="0"/>
              <w:right w:val="single" w:color="auto" w:sz="4" w:space="0"/>
            </w:tcBorders>
          </w:tcPr>
          <w:p w:rsidRPr="00EE390D" w:rsidR="000D0D38" w:rsidP="00EE390D" w:rsidRDefault="000D0D38" w14:paraId="23723E9F" w14:textId="14D4BA2A">
            <w:pPr>
              <w:jc w:val="center"/>
            </w:pPr>
            <w:r w:rsidRPr="00EE390D">
              <w:t>Expert</w:t>
            </w:r>
          </w:p>
        </w:tc>
        <w:tc>
          <w:tcPr>
            <w:tcW w:w="1748" w:type="dxa"/>
            <w:tcBorders>
              <w:top w:val="single" w:color="auto" w:sz="4" w:space="0"/>
              <w:left w:val="single" w:color="auto" w:sz="4" w:space="0"/>
              <w:bottom w:val="single" w:color="auto" w:sz="4" w:space="0"/>
              <w:right w:val="single" w:color="auto" w:sz="4" w:space="0"/>
            </w:tcBorders>
          </w:tcPr>
          <w:p w:rsidRPr="00EE390D" w:rsidR="000D0D38" w:rsidP="00EE390D" w:rsidRDefault="000D0D38" w14:paraId="70D91122" w14:textId="621EF65E">
            <w:pPr>
              <w:jc w:val="center"/>
            </w:pPr>
            <w:r w:rsidRPr="00EE390D">
              <w:t>$355.00</w:t>
            </w:r>
          </w:p>
        </w:tc>
        <w:tc>
          <w:tcPr>
            <w:tcW w:w="1725" w:type="dxa"/>
            <w:tcBorders>
              <w:top w:val="single" w:color="auto" w:sz="4" w:space="0"/>
              <w:left w:val="single" w:color="auto" w:sz="4" w:space="0"/>
              <w:bottom w:val="single" w:color="auto" w:sz="4" w:space="0"/>
              <w:right w:val="single" w:color="auto" w:sz="4" w:space="0"/>
            </w:tcBorders>
          </w:tcPr>
          <w:p w:rsidRPr="00EE390D" w:rsidR="000D0D38" w:rsidP="00EE390D" w:rsidRDefault="000D0D38" w14:paraId="5273281B" w14:textId="043AD45F">
            <w:pPr>
              <w:jc w:val="center"/>
            </w:pPr>
            <w:r w:rsidRPr="00EE390D">
              <w:t>2025</w:t>
            </w:r>
          </w:p>
        </w:tc>
        <w:tc>
          <w:tcPr>
            <w:tcW w:w="1634" w:type="dxa"/>
            <w:tcBorders>
              <w:top w:val="single" w:color="auto" w:sz="4" w:space="0"/>
              <w:left w:val="single" w:color="auto" w:sz="4" w:space="0"/>
              <w:bottom w:val="single" w:color="auto" w:sz="4" w:space="0"/>
              <w:right w:val="single" w:color="auto" w:sz="4" w:space="0"/>
            </w:tcBorders>
          </w:tcPr>
          <w:p w:rsidRPr="006756BC" w:rsidR="000D0D38" w:rsidP="000D0D38" w:rsidRDefault="000D0D38" w14:paraId="26D67D16" w14:textId="4A4E925A">
            <w:pPr>
              <w:jc w:val="center"/>
            </w:pPr>
            <w:r w:rsidRPr="00095A1D">
              <w:t>$355.00</w:t>
            </w:r>
          </w:p>
        </w:tc>
      </w:tr>
      <w:tr w:rsidRPr="006756BC" w:rsidR="000D0D38" w:rsidTr="000D0D38" w14:paraId="6A458501"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EE390D" w:rsidR="000D0D38" w:rsidP="00EE390D" w:rsidRDefault="000D0D38" w14:paraId="215A22EB" w14:textId="0C53D5F0">
            <w:pPr>
              <w:jc w:val="center"/>
            </w:pPr>
            <w:r w:rsidRPr="00EE390D">
              <w:t>Jalal</w:t>
            </w:r>
          </w:p>
        </w:tc>
        <w:tc>
          <w:tcPr>
            <w:tcW w:w="1725" w:type="dxa"/>
            <w:tcBorders>
              <w:top w:val="single" w:color="auto" w:sz="4" w:space="0"/>
              <w:left w:val="single" w:color="auto" w:sz="4" w:space="0"/>
              <w:bottom w:val="single" w:color="auto" w:sz="4" w:space="0"/>
              <w:right w:val="single" w:color="auto" w:sz="4" w:space="0"/>
            </w:tcBorders>
          </w:tcPr>
          <w:p w:rsidRPr="00EE390D" w:rsidR="000D0D38" w:rsidP="00EE390D" w:rsidRDefault="000D0D38" w14:paraId="19FA4992" w14:textId="07430BF7">
            <w:pPr>
              <w:jc w:val="center"/>
            </w:pPr>
            <w:r w:rsidRPr="00EE390D">
              <w:t>Awan</w:t>
            </w:r>
          </w:p>
        </w:tc>
        <w:tc>
          <w:tcPr>
            <w:tcW w:w="2088" w:type="dxa"/>
            <w:tcBorders>
              <w:top w:val="single" w:color="auto" w:sz="4" w:space="0"/>
              <w:left w:val="single" w:color="auto" w:sz="4" w:space="0"/>
              <w:bottom w:val="single" w:color="auto" w:sz="4" w:space="0"/>
              <w:right w:val="single" w:color="auto" w:sz="4" w:space="0"/>
            </w:tcBorders>
          </w:tcPr>
          <w:p w:rsidRPr="00EE390D" w:rsidR="000D0D38" w:rsidP="00EE390D" w:rsidRDefault="000D0D38" w14:paraId="31E5225C" w14:textId="322EC9EA">
            <w:pPr>
              <w:jc w:val="center"/>
            </w:pPr>
            <w:r w:rsidRPr="00EE390D">
              <w:t>Expert</w:t>
            </w:r>
          </w:p>
        </w:tc>
        <w:tc>
          <w:tcPr>
            <w:tcW w:w="1748" w:type="dxa"/>
            <w:tcBorders>
              <w:top w:val="single" w:color="auto" w:sz="4" w:space="0"/>
              <w:left w:val="single" w:color="auto" w:sz="4" w:space="0"/>
              <w:bottom w:val="single" w:color="auto" w:sz="4" w:space="0"/>
              <w:right w:val="single" w:color="auto" w:sz="4" w:space="0"/>
            </w:tcBorders>
          </w:tcPr>
          <w:p w:rsidRPr="00EE390D" w:rsidR="000D0D38" w:rsidP="00EE390D" w:rsidRDefault="000D0D38" w14:paraId="3E63DF5D" w14:textId="10BCDFC4">
            <w:pPr>
              <w:jc w:val="center"/>
            </w:pPr>
            <w:r w:rsidRPr="00EE390D">
              <w:t>$365.00</w:t>
            </w:r>
          </w:p>
        </w:tc>
        <w:tc>
          <w:tcPr>
            <w:tcW w:w="1725" w:type="dxa"/>
            <w:tcBorders>
              <w:top w:val="single" w:color="auto" w:sz="4" w:space="0"/>
              <w:left w:val="single" w:color="auto" w:sz="4" w:space="0"/>
              <w:bottom w:val="single" w:color="auto" w:sz="4" w:space="0"/>
              <w:right w:val="single" w:color="auto" w:sz="4" w:space="0"/>
            </w:tcBorders>
          </w:tcPr>
          <w:p w:rsidRPr="00EE390D" w:rsidR="000D0D38" w:rsidP="00EE390D" w:rsidRDefault="000D0D38" w14:paraId="187CD89E" w14:textId="6B5A5B9E">
            <w:pPr>
              <w:jc w:val="center"/>
            </w:pPr>
            <w:r w:rsidRPr="00EE390D">
              <w:t>2026</w:t>
            </w:r>
          </w:p>
        </w:tc>
        <w:tc>
          <w:tcPr>
            <w:tcW w:w="1634" w:type="dxa"/>
            <w:tcBorders>
              <w:top w:val="single" w:color="auto" w:sz="4" w:space="0"/>
              <w:left w:val="single" w:color="auto" w:sz="4" w:space="0"/>
              <w:bottom w:val="single" w:color="auto" w:sz="4" w:space="0"/>
              <w:right w:val="single" w:color="auto" w:sz="4" w:space="0"/>
            </w:tcBorders>
          </w:tcPr>
          <w:p w:rsidRPr="006756BC" w:rsidR="000D0D38" w:rsidP="000D0D38" w:rsidRDefault="000D0D38" w14:paraId="088ED31C" w14:textId="43515046">
            <w:pPr>
              <w:jc w:val="center"/>
            </w:pPr>
            <w:r w:rsidRPr="00095A1D">
              <w:t>$365.00</w:t>
            </w:r>
          </w:p>
        </w:tc>
      </w:tr>
    </w:tbl>
    <w:p w:rsidRPr="006756BC" w:rsidR="00ED55FC" w:rsidP="00ED55FC" w:rsidRDefault="00ED55FC" w14:paraId="6CA767AF" w14:textId="77777777">
      <w:pPr>
        <w:spacing w:line="360" w:lineRule="auto"/>
        <w:rPr>
          <w:b/>
        </w:rPr>
      </w:pPr>
    </w:p>
    <w:p w:rsidRPr="006756BC" w:rsidR="00ED55FC" w:rsidP="00ED55FC" w:rsidRDefault="00ED55FC" w14:paraId="6D41999C" w14:textId="77777777">
      <w:pPr>
        <w:jc w:val="center"/>
        <w:rPr>
          <w:b/>
        </w:rPr>
      </w:pPr>
      <w:r w:rsidRPr="006756BC">
        <w:rPr>
          <w:b/>
        </w:rPr>
        <w:t>(END OF APPENDIX)</w:t>
      </w:r>
    </w:p>
    <w:p w:rsidRPr="006756BC" w:rsidR="00ED55FC" w:rsidP="00625B30" w:rsidRDefault="00ED55FC" w14:paraId="6F9411A2" w14:textId="73FECE16"/>
    <w:p w:rsidRPr="006756BC" w:rsidR="00ED55FC" w:rsidP="00625B30" w:rsidRDefault="00ED55FC" w14:paraId="0968E9DF" w14:textId="77777777"/>
    <w:sectPr w:rsidRPr="006756BC" w:rsidR="00ED55FC" w:rsidSect="00A07331">
      <w:headerReference w:type="default" r:id="rId11"/>
      <w:footerReference w:type="default" r:id="rId12"/>
      <w:footerReference w:type="first" r:id="rId13"/>
      <w:pgSz w:w="12240" w:h="15840"/>
      <w:pgMar w:top="1440" w:right="1440" w:bottom="1440" w:left="1440"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04AEA" w14:textId="77777777" w:rsidR="00B54408" w:rsidRDefault="00B54408" w:rsidP="00625B30">
      <w:r>
        <w:separator/>
      </w:r>
    </w:p>
  </w:endnote>
  <w:endnote w:type="continuationSeparator" w:id="0">
    <w:p w14:paraId="3944C257" w14:textId="77777777" w:rsidR="00B54408" w:rsidRDefault="00B54408" w:rsidP="00625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1107063"/>
      <w:docPartObj>
        <w:docPartGallery w:val="Page Numbers (Bottom of Page)"/>
        <w:docPartUnique/>
      </w:docPartObj>
    </w:sdtPr>
    <w:sdtEndPr>
      <w:rPr>
        <w:noProof/>
      </w:rPr>
    </w:sdtEndPr>
    <w:sdtContent>
      <w:p w14:paraId="14EF3934" w14:textId="7CA4E2E5" w:rsidR="001B0922" w:rsidRDefault="00A07331" w:rsidP="00A07331">
        <w:pPr>
          <w:pStyle w:val="Footer"/>
        </w:pPr>
        <w:r>
          <w:tab/>
        </w:r>
        <w:r w:rsidR="001B0922">
          <w:fldChar w:fldCharType="begin"/>
        </w:r>
        <w:r w:rsidR="001B0922">
          <w:instrText xml:space="preserve"> PAGE   \* MERGEFORMAT </w:instrText>
        </w:r>
        <w:r w:rsidR="001B0922">
          <w:fldChar w:fldCharType="separate"/>
        </w:r>
        <w:r w:rsidR="001B0922">
          <w:rPr>
            <w:noProof/>
          </w:rPr>
          <w:t>2</w:t>
        </w:r>
        <w:r w:rsidR="001B0922">
          <w:rPr>
            <w:noProof/>
          </w:rPr>
          <w:fldChar w:fldCharType="end"/>
        </w:r>
      </w:p>
    </w:sdtContent>
  </w:sdt>
  <w:p w14:paraId="7C353321" w14:textId="77777777" w:rsidR="001B0922" w:rsidRDefault="001B09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9707164"/>
      <w:docPartObj>
        <w:docPartGallery w:val="Page Numbers (Bottom of Page)"/>
        <w:docPartUnique/>
      </w:docPartObj>
    </w:sdtPr>
    <w:sdtEndPr>
      <w:rPr>
        <w:noProof/>
      </w:rPr>
    </w:sdtEndPr>
    <w:sdtContent>
      <w:p w14:paraId="22087E7C" w14:textId="6821D5AA" w:rsidR="001B0922" w:rsidRDefault="005F4826" w:rsidP="00A07331">
        <w:pPr>
          <w:pStyle w:val="Footer"/>
        </w:pPr>
        <w:r w:rsidRPr="005F4826">
          <w:rPr>
            <w:sz w:val="16"/>
            <w:szCs w:val="16"/>
          </w:rPr>
          <w:t>609146903</w:t>
        </w:r>
        <w:r w:rsidR="00A07331">
          <w:tab/>
        </w:r>
        <w:r w:rsidR="001B0922">
          <w:fldChar w:fldCharType="begin"/>
        </w:r>
        <w:r w:rsidR="001B0922">
          <w:instrText xml:space="preserve"> PAGE   \* MERGEFORMAT </w:instrText>
        </w:r>
        <w:r w:rsidR="001B0922">
          <w:fldChar w:fldCharType="separate"/>
        </w:r>
        <w:r w:rsidR="001B0922">
          <w:rPr>
            <w:noProof/>
          </w:rPr>
          <w:t>2</w:t>
        </w:r>
        <w:r w:rsidR="001B0922">
          <w:rPr>
            <w:noProof/>
          </w:rPr>
          <w:fldChar w:fldCharType="end"/>
        </w:r>
      </w:p>
    </w:sdtContent>
  </w:sdt>
  <w:p w14:paraId="640E81B0" w14:textId="77777777" w:rsidR="001B0922" w:rsidRDefault="001B09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AAFB0" w14:textId="77777777" w:rsidR="00B54408" w:rsidRDefault="00B54408" w:rsidP="00625B30">
      <w:r>
        <w:separator/>
      </w:r>
    </w:p>
  </w:footnote>
  <w:footnote w:type="continuationSeparator" w:id="0">
    <w:p w14:paraId="6574C40B" w14:textId="77777777" w:rsidR="00B54408" w:rsidRDefault="00B54408" w:rsidP="00625B30">
      <w:r>
        <w:continuationSeparator/>
      </w:r>
    </w:p>
  </w:footnote>
  <w:footnote w:id="1">
    <w:p w14:paraId="345C0878" w14:textId="77777777" w:rsidR="00625B30" w:rsidRDefault="00625B30" w:rsidP="00625B30">
      <w:pPr>
        <w:pStyle w:val="FootnoteText"/>
      </w:pPr>
      <w:r>
        <w:rPr>
          <w:rStyle w:val="FootnoteReference"/>
          <w:rFonts w:eastAsiaTheme="majorEastAsia"/>
        </w:rPr>
        <w:footnoteRef/>
      </w:r>
      <w:r>
        <w:t xml:space="preserve"> All statutory references are to California Public Utilities Code unless indicated otherwise.</w:t>
      </w:r>
    </w:p>
  </w:footnote>
  <w:footnote w:id="2">
    <w:p w14:paraId="44EC95CB" w14:textId="77777777" w:rsidR="00625B30" w:rsidRPr="00DE3A5D" w:rsidRDefault="00625B30" w:rsidP="00625B30">
      <w:pPr>
        <w:pStyle w:val="FootnoteText"/>
      </w:pPr>
      <w:r w:rsidRPr="00DE3A5D">
        <w:rPr>
          <w:rStyle w:val="FootnoteReference"/>
          <w:rFonts w:eastAsiaTheme="majorEastAsia"/>
          <w:sz w:val="20"/>
        </w:rPr>
        <w:footnoteRef/>
      </w:r>
      <w:r w:rsidRPr="00DE3A5D">
        <w:t xml:space="preserve"> This information may be </w:t>
      </w:r>
      <w:r w:rsidRPr="00DE3A5D">
        <w:rPr>
          <w:color w:val="000000"/>
        </w:rPr>
        <w:t>obtain</w:t>
      </w:r>
      <w:r>
        <w:rPr>
          <w:color w:val="000000"/>
        </w:rPr>
        <w:t xml:space="preserve">ed through the State Bar of California’s website at </w:t>
      </w:r>
      <w:hyperlink r:id="rId1" w:history="1">
        <w:r w:rsidRPr="00A86489">
          <w:rPr>
            <w:rStyle w:val="Hyperlink"/>
            <w:rFonts w:eastAsiaTheme="majorEastAsia"/>
            <w:szCs w:val="22"/>
          </w:rPr>
          <w:t>http://members.calbar.ca.gov/fal/MemberSearch/QuickSearch</w:t>
        </w:r>
      </w:hyperlink>
      <w:r>
        <w:rPr>
          <w:color w:val="000000"/>
        </w:rPr>
        <w:t>.</w:t>
      </w:r>
    </w:p>
  </w:footnote>
  <w:footnote w:id="3">
    <w:p w14:paraId="4BCB4A55" w14:textId="77777777" w:rsidR="00521827" w:rsidRDefault="00521827" w:rsidP="00521827">
      <w:pPr>
        <w:pStyle w:val="FootnoteText"/>
      </w:pPr>
      <w:r w:rsidRPr="00521827">
        <w:rPr>
          <w:rStyle w:val="FootnoteReference"/>
        </w:rPr>
        <w:footnoteRef/>
      </w:r>
      <w:r>
        <w:t xml:space="preserve"> A</w:t>
      </w:r>
      <w:r w:rsidRPr="001271C9">
        <w:t>ttachments not attached to final Decision</w:t>
      </w:r>
    </w:p>
  </w:footnote>
  <w:footnote w:id="4">
    <w:p w14:paraId="09FEDFC6" w14:textId="4B864CAD" w:rsidR="009427D4" w:rsidRDefault="009427D4">
      <w:pPr>
        <w:pStyle w:val="FootnoteText"/>
      </w:pPr>
      <w:r>
        <w:rPr>
          <w:rStyle w:val="FootnoteReference"/>
        </w:rPr>
        <w:footnoteRef/>
      </w:r>
      <w:r>
        <w:t xml:space="preserve"> </w:t>
      </w:r>
      <w:r w:rsidRPr="009427D4">
        <w:t>D.07-01-009, D.08-04-010, and Resolution ALJ</w:t>
      </w:r>
      <w:r w:rsidR="00C44D77">
        <w:t>-</w:t>
      </w:r>
      <w:r w:rsidRPr="009427D4">
        <w:t>235.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760D8" w14:textId="436C8CDE" w:rsidR="00EF02DF" w:rsidRPr="00EF02DF" w:rsidRDefault="00EF02DF" w:rsidP="00EF02DF">
    <w:pPr>
      <w:pStyle w:val="Header"/>
    </w:pPr>
    <w:r w:rsidRPr="00EF02DF">
      <w:t>A.22-</w:t>
    </w:r>
    <w:r>
      <w:t>08-</w:t>
    </w:r>
    <w:proofErr w:type="gramStart"/>
    <w:r>
      <w:t>003</w:t>
    </w:r>
    <w:r w:rsidRPr="00EF02DF">
      <w:t xml:space="preserve">  ALJ</w:t>
    </w:r>
    <w:proofErr w:type="gramEnd"/>
    <w:r w:rsidRPr="00EF02DF">
      <w:t>/KWZ/vj4</w:t>
    </w:r>
    <w:r w:rsidRPr="00EF02DF">
      <w:tab/>
    </w:r>
    <w:r w:rsidRPr="00EF02DF">
      <w:tab/>
    </w:r>
  </w:p>
  <w:p w14:paraId="3CBD72EE" w14:textId="77777777" w:rsidR="00EF02DF" w:rsidRDefault="00EF02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4090011"/>
    <w:lvl w:ilvl="0">
      <w:start w:val="1"/>
      <w:numFmt w:val="decimal"/>
      <w:lvlText w:val="%1)"/>
      <w:lvlJc w:val="left"/>
      <w:pPr>
        <w:ind w:left="360" w:hanging="360"/>
      </w:pPr>
      <w:rPr>
        <w:rFonts w:hint="default"/>
      </w:rPr>
    </w:lvl>
  </w:abstractNum>
  <w:abstractNum w:abstractNumId="1" w15:restartNumberingAfterBreak="0">
    <w:nsid w:val="03185395"/>
    <w:multiLevelType w:val="hybridMultilevel"/>
    <w:tmpl w:val="82AEE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46FCF"/>
    <w:multiLevelType w:val="hybridMultilevel"/>
    <w:tmpl w:val="366419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16F4B"/>
    <w:multiLevelType w:val="hybridMultilevel"/>
    <w:tmpl w:val="A6C6A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2577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432C75"/>
    <w:multiLevelType w:val="hybridMultilevel"/>
    <w:tmpl w:val="515C877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311408"/>
    <w:multiLevelType w:val="hybridMultilevel"/>
    <w:tmpl w:val="0652D32E"/>
    <w:lvl w:ilvl="0" w:tplc="63B8243A">
      <w:start w:val="1"/>
      <w:numFmt w:val="upp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4E50B8"/>
    <w:multiLevelType w:val="hybridMultilevel"/>
    <w:tmpl w:val="A87C471E"/>
    <w:lvl w:ilvl="0" w:tplc="04908960">
      <w:start w:val="1"/>
      <w:numFmt w:val="upperLetter"/>
      <w:lvlText w:val="%1."/>
      <w:lvlJc w:val="left"/>
      <w:pPr>
        <w:ind w:left="720" w:hanging="360"/>
      </w:pPr>
      <w:rPr>
        <w:rFonts w:hint="default"/>
        <w:b/>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2F0203"/>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5F65441"/>
    <w:multiLevelType w:val="hybridMultilevel"/>
    <w:tmpl w:val="125A5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AC646A"/>
    <w:multiLevelType w:val="hybridMultilevel"/>
    <w:tmpl w:val="A686EAA0"/>
    <w:lvl w:ilvl="0" w:tplc="13666E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2E60CD"/>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F3F65B7"/>
    <w:multiLevelType w:val="hybridMultilevel"/>
    <w:tmpl w:val="1B968D32"/>
    <w:lvl w:ilvl="0" w:tplc="5064A62A">
      <w:start w:val="1"/>
      <w:numFmt w:val="bullet"/>
      <w:pStyle w:val="ListParagraph"/>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49104FC"/>
    <w:multiLevelType w:val="hybridMultilevel"/>
    <w:tmpl w:val="AF42F70C"/>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568F6BF7"/>
    <w:multiLevelType w:val="hybridMultilevel"/>
    <w:tmpl w:val="C816A67E"/>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61796E"/>
    <w:multiLevelType w:val="hybridMultilevel"/>
    <w:tmpl w:val="1A7C4A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AE3EFB"/>
    <w:multiLevelType w:val="hybridMultilevel"/>
    <w:tmpl w:val="DBF60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235692"/>
    <w:multiLevelType w:val="hybridMultilevel"/>
    <w:tmpl w:val="001EDC0E"/>
    <w:lvl w:ilvl="0" w:tplc="FFFFFFFF">
      <w:start w:val="1"/>
      <w:numFmt w:val="upperLetter"/>
      <w:lvlText w:val="%1."/>
      <w:lvlJc w:val="left"/>
      <w:pPr>
        <w:ind w:left="720" w:hanging="360"/>
      </w:pPr>
      <w:rPr>
        <w:rFonts w:hint="default"/>
        <w:b/>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A8179A5"/>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17093550">
    <w:abstractNumId w:val="11"/>
  </w:num>
  <w:num w:numId="2" w16cid:durableId="842936081">
    <w:abstractNumId w:val="14"/>
  </w:num>
  <w:num w:numId="3" w16cid:durableId="1166047990">
    <w:abstractNumId w:val="1"/>
  </w:num>
  <w:num w:numId="4" w16cid:durableId="1920090715">
    <w:abstractNumId w:val="16"/>
  </w:num>
  <w:num w:numId="5" w16cid:durableId="584609159">
    <w:abstractNumId w:val="6"/>
  </w:num>
  <w:num w:numId="6" w16cid:durableId="1685205339">
    <w:abstractNumId w:val="4"/>
  </w:num>
  <w:num w:numId="7" w16cid:durableId="1858957422">
    <w:abstractNumId w:val="17"/>
  </w:num>
  <w:num w:numId="8" w16cid:durableId="2098595014">
    <w:abstractNumId w:val="18"/>
  </w:num>
  <w:num w:numId="9" w16cid:durableId="1312905431">
    <w:abstractNumId w:val="13"/>
  </w:num>
  <w:num w:numId="10" w16cid:durableId="789317941">
    <w:abstractNumId w:val="8"/>
  </w:num>
  <w:num w:numId="11" w16cid:durableId="1776485352">
    <w:abstractNumId w:val="2"/>
  </w:num>
  <w:num w:numId="12" w16cid:durableId="2064713642">
    <w:abstractNumId w:val="12"/>
  </w:num>
  <w:num w:numId="13" w16cid:durableId="617949246">
    <w:abstractNumId w:val="10"/>
  </w:num>
  <w:num w:numId="14" w16cid:durableId="962803970">
    <w:abstractNumId w:val="0"/>
  </w:num>
  <w:num w:numId="15" w16cid:durableId="991760195">
    <w:abstractNumId w:val="5"/>
  </w:num>
  <w:num w:numId="16" w16cid:durableId="509107882">
    <w:abstractNumId w:val="15"/>
  </w:num>
  <w:num w:numId="17" w16cid:durableId="940986888">
    <w:abstractNumId w:val="9"/>
  </w:num>
  <w:num w:numId="18" w16cid:durableId="740372386">
    <w:abstractNumId w:val="3"/>
  </w:num>
  <w:num w:numId="19" w16cid:durableId="8546567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B30"/>
    <w:rsid w:val="000002C1"/>
    <w:rsid w:val="00005BC5"/>
    <w:rsid w:val="00006934"/>
    <w:rsid w:val="00021031"/>
    <w:rsid w:val="0004036E"/>
    <w:rsid w:val="00045AF5"/>
    <w:rsid w:val="0006083C"/>
    <w:rsid w:val="00063795"/>
    <w:rsid w:val="00073EAD"/>
    <w:rsid w:val="00081489"/>
    <w:rsid w:val="000922A7"/>
    <w:rsid w:val="00094C17"/>
    <w:rsid w:val="00095A09"/>
    <w:rsid w:val="0009684B"/>
    <w:rsid w:val="000B4840"/>
    <w:rsid w:val="000C71A8"/>
    <w:rsid w:val="000D0D38"/>
    <w:rsid w:val="000D7CEC"/>
    <w:rsid w:val="000E24CD"/>
    <w:rsid w:val="000E4DC6"/>
    <w:rsid w:val="000E6FC6"/>
    <w:rsid w:val="000F54A6"/>
    <w:rsid w:val="001058F9"/>
    <w:rsid w:val="00112EA6"/>
    <w:rsid w:val="0011514A"/>
    <w:rsid w:val="001251BA"/>
    <w:rsid w:val="001252AF"/>
    <w:rsid w:val="00125B4D"/>
    <w:rsid w:val="00125DD7"/>
    <w:rsid w:val="0013263F"/>
    <w:rsid w:val="00135F68"/>
    <w:rsid w:val="00137F5E"/>
    <w:rsid w:val="00143C32"/>
    <w:rsid w:val="00147396"/>
    <w:rsid w:val="00152BEC"/>
    <w:rsid w:val="0017312B"/>
    <w:rsid w:val="0017721C"/>
    <w:rsid w:val="00177AEC"/>
    <w:rsid w:val="00187EBB"/>
    <w:rsid w:val="001907B8"/>
    <w:rsid w:val="0019192F"/>
    <w:rsid w:val="00193E87"/>
    <w:rsid w:val="001A594B"/>
    <w:rsid w:val="001B0922"/>
    <w:rsid w:val="001B587E"/>
    <w:rsid w:val="001B6E70"/>
    <w:rsid w:val="001C7345"/>
    <w:rsid w:val="001D61D0"/>
    <w:rsid w:val="001E4841"/>
    <w:rsid w:val="001F1B2B"/>
    <w:rsid w:val="002108FA"/>
    <w:rsid w:val="00212AD9"/>
    <w:rsid w:val="0021565C"/>
    <w:rsid w:val="00217F2E"/>
    <w:rsid w:val="00221588"/>
    <w:rsid w:val="002230BA"/>
    <w:rsid w:val="002235FC"/>
    <w:rsid w:val="00232563"/>
    <w:rsid w:val="00245788"/>
    <w:rsid w:val="002500ED"/>
    <w:rsid w:val="00271154"/>
    <w:rsid w:val="00282C5A"/>
    <w:rsid w:val="00287F16"/>
    <w:rsid w:val="0029135A"/>
    <w:rsid w:val="002941E6"/>
    <w:rsid w:val="002A63D0"/>
    <w:rsid w:val="002C1DCF"/>
    <w:rsid w:val="002C2278"/>
    <w:rsid w:val="002C798A"/>
    <w:rsid w:val="002D1262"/>
    <w:rsid w:val="002D2BA9"/>
    <w:rsid w:val="002F3C17"/>
    <w:rsid w:val="002F622D"/>
    <w:rsid w:val="003005DC"/>
    <w:rsid w:val="00303713"/>
    <w:rsid w:val="003168A1"/>
    <w:rsid w:val="003230A3"/>
    <w:rsid w:val="00325C0B"/>
    <w:rsid w:val="0033278F"/>
    <w:rsid w:val="00336963"/>
    <w:rsid w:val="00342EA8"/>
    <w:rsid w:val="00350AA3"/>
    <w:rsid w:val="0036013F"/>
    <w:rsid w:val="00362ADE"/>
    <w:rsid w:val="00362E1F"/>
    <w:rsid w:val="00363176"/>
    <w:rsid w:val="00364EB3"/>
    <w:rsid w:val="00371DFF"/>
    <w:rsid w:val="00373327"/>
    <w:rsid w:val="00377463"/>
    <w:rsid w:val="003804A7"/>
    <w:rsid w:val="00384804"/>
    <w:rsid w:val="003912BD"/>
    <w:rsid w:val="00394E1F"/>
    <w:rsid w:val="0039583C"/>
    <w:rsid w:val="003B177A"/>
    <w:rsid w:val="003B3494"/>
    <w:rsid w:val="003B4222"/>
    <w:rsid w:val="003C144A"/>
    <w:rsid w:val="003C1B7E"/>
    <w:rsid w:val="003C5090"/>
    <w:rsid w:val="003C54D1"/>
    <w:rsid w:val="003D3FFE"/>
    <w:rsid w:val="003D466E"/>
    <w:rsid w:val="003D5EDA"/>
    <w:rsid w:val="003D6357"/>
    <w:rsid w:val="003E12CA"/>
    <w:rsid w:val="003E43B1"/>
    <w:rsid w:val="003F73AD"/>
    <w:rsid w:val="004012CD"/>
    <w:rsid w:val="00401800"/>
    <w:rsid w:val="00404BBA"/>
    <w:rsid w:val="004172D4"/>
    <w:rsid w:val="004206F9"/>
    <w:rsid w:val="00421C90"/>
    <w:rsid w:val="0042269A"/>
    <w:rsid w:val="00423D91"/>
    <w:rsid w:val="00430F78"/>
    <w:rsid w:val="00432727"/>
    <w:rsid w:val="00435E29"/>
    <w:rsid w:val="00441F67"/>
    <w:rsid w:val="00447F3C"/>
    <w:rsid w:val="00451436"/>
    <w:rsid w:val="004538D1"/>
    <w:rsid w:val="00454260"/>
    <w:rsid w:val="004645D1"/>
    <w:rsid w:val="00464DAD"/>
    <w:rsid w:val="00470C7B"/>
    <w:rsid w:val="00471B50"/>
    <w:rsid w:val="004767E2"/>
    <w:rsid w:val="00481925"/>
    <w:rsid w:val="00482617"/>
    <w:rsid w:val="00495DC9"/>
    <w:rsid w:val="00497A90"/>
    <w:rsid w:val="004A3E19"/>
    <w:rsid w:val="004A55FE"/>
    <w:rsid w:val="004B5285"/>
    <w:rsid w:val="004B53EB"/>
    <w:rsid w:val="004B6268"/>
    <w:rsid w:val="004B6F20"/>
    <w:rsid w:val="004D0C92"/>
    <w:rsid w:val="004D1E97"/>
    <w:rsid w:val="004D358D"/>
    <w:rsid w:val="004E0EF9"/>
    <w:rsid w:val="004E5BC6"/>
    <w:rsid w:val="005138BD"/>
    <w:rsid w:val="005150E7"/>
    <w:rsid w:val="00516669"/>
    <w:rsid w:val="00521827"/>
    <w:rsid w:val="00525B89"/>
    <w:rsid w:val="005271A1"/>
    <w:rsid w:val="005511F5"/>
    <w:rsid w:val="005568AB"/>
    <w:rsid w:val="00573DF8"/>
    <w:rsid w:val="00581B3C"/>
    <w:rsid w:val="005836C3"/>
    <w:rsid w:val="00583965"/>
    <w:rsid w:val="00587285"/>
    <w:rsid w:val="00590DB2"/>
    <w:rsid w:val="005A154B"/>
    <w:rsid w:val="005A2211"/>
    <w:rsid w:val="005B389D"/>
    <w:rsid w:val="005B4673"/>
    <w:rsid w:val="005D25CE"/>
    <w:rsid w:val="005E050C"/>
    <w:rsid w:val="005E5778"/>
    <w:rsid w:val="005F4826"/>
    <w:rsid w:val="005F7BD1"/>
    <w:rsid w:val="00602776"/>
    <w:rsid w:val="006037FF"/>
    <w:rsid w:val="00605493"/>
    <w:rsid w:val="0061158B"/>
    <w:rsid w:val="0061358C"/>
    <w:rsid w:val="00614BEA"/>
    <w:rsid w:val="00625B30"/>
    <w:rsid w:val="00640C79"/>
    <w:rsid w:val="006443FA"/>
    <w:rsid w:val="00646A8B"/>
    <w:rsid w:val="00646B49"/>
    <w:rsid w:val="006569CB"/>
    <w:rsid w:val="0066423C"/>
    <w:rsid w:val="006648AC"/>
    <w:rsid w:val="006756BC"/>
    <w:rsid w:val="006868B1"/>
    <w:rsid w:val="00693C46"/>
    <w:rsid w:val="00694180"/>
    <w:rsid w:val="006A1F17"/>
    <w:rsid w:val="006B2779"/>
    <w:rsid w:val="006B2CD7"/>
    <w:rsid w:val="006B55D5"/>
    <w:rsid w:val="006C0267"/>
    <w:rsid w:val="006C652E"/>
    <w:rsid w:val="006D4EED"/>
    <w:rsid w:val="006D5D4D"/>
    <w:rsid w:val="006E6105"/>
    <w:rsid w:val="006F6108"/>
    <w:rsid w:val="006F667D"/>
    <w:rsid w:val="006F7EA7"/>
    <w:rsid w:val="007011B8"/>
    <w:rsid w:val="00732B75"/>
    <w:rsid w:val="00734EA0"/>
    <w:rsid w:val="00736D2A"/>
    <w:rsid w:val="0073710E"/>
    <w:rsid w:val="007421A5"/>
    <w:rsid w:val="00747CB4"/>
    <w:rsid w:val="00751C66"/>
    <w:rsid w:val="00757A74"/>
    <w:rsid w:val="00760D51"/>
    <w:rsid w:val="00762478"/>
    <w:rsid w:val="00763652"/>
    <w:rsid w:val="0077564D"/>
    <w:rsid w:val="007857F6"/>
    <w:rsid w:val="00787260"/>
    <w:rsid w:val="00787EA2"/>
    <w:rsid w:val="00791853"/>
    <w:rsid w:val="007919A2"/>
    <w:rsid w:val="00792873"/>
    <w:rsid w:val="007B4140"/>
    <w:rsid w:val="007B5941"/>
    <w:rsid w:val="007B65D8"/>
    <w:rsid w:val="007C34A6"/>
    <w:rsid w:val="007C5445"/>
    <w:rsid w:val="007C561B"/>
    <w:rsid w:val="007D1F2F"/>
    <w:rsid w:val="007E256E"/>
    <w:rsid w:val="007E37F8"/>
    <w:rsid w:val="007E4F30"/>
    <w:rsid w:val="007F57E8"/>
    <w:rsid w:val="0080017F"/>
    <w:rsid w:val="0081117F"/>
    <w:rsid w:val="00813F41"/>
    <w:rsid w:val="0081763C"/>
    <w:rsid w:val="008315B5"/>
    <w:rsid w:val="00840458"/>
    <w:rsid w:val="00844B22"/>
    <w:rsid w:val="00851A68"/>
    <w:rsid w:val="008528B2"/>
    <w:rsid w:val="00855C96"/>
    <w:rsid w:val="0087196D"/>
    <w:rsid w:val="00880101"/>
    <w:rsid w:val="0088131D"/>
    <w:rsid w:val="00881878"/>
    <w:rsid w:val="00885DA4"/>
    <w:rsid w:val="0089318B"/>
    <w:rsid w:val="00894479"/>
    <w:rsid w:val="008A17D4"/>
    <w:rsid w:val="008B3283"/>
    <w:rsid w:val="008B520B"/>
    <w:rsid w:val="008C5E36"/>
    <w:rsid w:val="008D0AF6"/>
    <w:rsid w:val="008D470D"/>
    <w:rsid w:val="008E50D3"/>
    <w:rsid w:val="008F030B"/>
    <w:rsid w:val="009048E5"/>
    <w:rsid w:val="00905ABF"/>
    <w:rsid w:val="009240A9"/>
    <w:rsid w:val="00934A62"/>
    <w:rsid w:val="009427D4"/>
    <w:rsid w:val="0094652A"/>
    <w:rsid w:val="00964515"/>
    <w:rsid w:val="00965D26"/>
    <w:rsid w:val="009716ED"/>
    <w:rsid w:val="0097187A"/>
    <w:rsid w:val="00971B03"/>
    <w:rsid w:val="0099125B"/>
    <w:rsid w:val="00997B40"/>
    <w:rsid w:val="009B4386"/>
    <w:rsid w:val="009B4E7A"/>
    <w:rsid w:val="009C07FF"/>
    <w:rsid w:val="009D3AD2"/>
    <w:rsid w:val="009D4679"/>
    <w:rsid w:val="009D69C0"/>
    <w:rsid w:val="009D751A"/>
    <w:rsid w:val="009E2D4F"/>
    <w:rsid w:val="009E45BA"/>
    <w:rsid w:val="00A03864"/>
    <w:rsid w:val="00A04C97"/>
    <w:rsid w:val="00A056E2"/>
    <w:rsid w:val="00A07331"/>
    <w:rsid w:val="00A178FB"/>
    <w:rsid w:val="00A239F6"/>
    <w:rsid w:val="00A26B9A"/>
    <w:rsid w:val="00A26BEE"/>
    <w:rsid w:val="00A41F88"/>
    <w:rsid w:val="00A44FA1"/>
    <w:rsid w:val="00A62E8A"/>
    <w:rsid w:val="00A669C6"/>
    <w:rsid w:val="00A754DD"/>
    <w:rsid w:val="00A76A2E"/>
    <w:rsid w:val="00A86454"/>
    <w:rsid w:val="00A86692"/>
    <w:rsid w:val="00AA0154"/>
    <w:rsid w:val="00AA3268"/>
    <w:rsid w:val="00AA64DF"/>
    <w:rsid w:val="00AB2FF4"/>
    <w:rsid w:val="00AC5FD1"/>
    <w:rsid w:val="00AC7F8D"/>
    <w:rsid w:val="00AD1283"/>
    <w:rsid w:val="00AE1E4F"/>
    <w:rsid w:val="00AE24EE"/>
    <w:rsid w:val="00AF1696"/>
    <w:rsid w:val="00AF68AD"/>
    <w:rsid w:val="00AF6E04"/>
    <w:rsid w:val="00AF73DE"/>
    <w:rsid w:val="00B005D6"/>
    <w:rsid w:val="00B041D3"/>
    <w:rsid w:val="00B0791F"/>
    <w:rsid w:val="00B13145"/>
    <w:rsid w:val="00B15192"/>
    <w:rsid w:val="00B31659"/>
    <w:rsid w:val="00B45851"/>
    <w:rsid w:val="00B47D9A"/>
    <w:rsid w:val="00B54408"/>
    <w:rsid w:val="00B64123"/>
    <w:rsid w:val="00B67FE8"/>
    <w:rsid w:val="00B72D10"/>
    <w:rsid w:val="00B75C73"/>
    <w:rsid w:val="00B84629"/>
    <w:rsid w:val="00B8761E"/>
    <w:rsid w:val="00B91A69"/>
    <w:rsid w:val="00B9331C"/>
    <w:rsid w:val="00B95667"/>
    <w:rsid w:val="00B97AD0"/>
    <w:rsid w:val="00BA6E53"/>
    <w:rsid w:val="00BA70F3"/>
    <w:rsid w:val="00BB4BD6"/>
    <w:rsid w:val="00BC3ACA"/>
    <w:rsid w:val="00BC4F37"/>
    <w:rsid w:val="00BC5316"/>
    <w:rsid w:val="00BD5844"/>
    <w:rsid w:val="00BE03D3"/>
    <w:rsid w:val="00BE057F"/>
    <w:rsid w:val="00BE30B1"/>
    <w:rsid w:val="00BF35AE"/>
    <w:rsid w:val="00BF6BB6"/>
    <w:rsid w:val="00C0039B"/>
    <w:rsid w:val="00C06509"/>
    <w:rsid w:val="00C10C2D"/>
    <w:rsid w:val="00C368C4"/>
    <w:rsid w:val="00C4246B"/>
    <w:rsid w:val="00C44D77"/>
    <w:rsid w:val="00C4655D"/>
    <w:rsid w:val="00C46689"/>
    <w:rsid w:val="00C509B2"/>
    <w:rsid w:val="00C50B8E"/>
    <w:rsid w:val="00C6151E"/>
    <w:rsid w:val="00C61F1B"/>
    <w:rsid w:val="00C64008"/>
    <w:rsid w:val="00C65D98"/>
    <w:rsid w:val="00C709FF"/>
    <w:rsid w:val="00C72FD2"/>
    <w:rsid w:val="00C76053"/>
    <w:rsid w:val="00C8115F"/>
    <w:rsid w:val="00C818AA"/>
    <w:rsid w:val="00C954ED"/>
    <w:rsid w:val="00C96256"/>
    <w:rsid w:val="00C966C0"/>
    <w:rsid w:val="00CA35E9"/>
    <w:rsid w:val="00CB614B"/>
    <w:rsid w:val="00CC54B4"/>
    <w:rsid w:val="00CD19FA"/>
    <w:rsid w:val="00CD6025"/>
    <w:rsid w:val="00CD6295"/>
    <w:rsid w:val="00CF225C"/>
    <w:rsid w:val="00CF3B6D"/>
    <w:rsid w:val="00CF46F9"/>
    <w:rsid w:val="00CF66AF"/>
    <w:rsid w:val="00D05ED8"/>
    <w:rsid w:val="00D0663A"/>
    <w:rsid w:val="00D100BD"/>
    <w:rsid w:val="00D12763"/>
    <w:rsid w:val="00D21727"/>
    <w:rsid w:val="00D313B0"/>
    <w:rsid w:val="00D320D6"/>
    <w:rsid w:val="00D32DB4"/>
    <w:rsid w:val="00D343BF"/>
    <w:rsid w:val="00D35391"/>
    <w:rsid w:val="00D35657"/>
    <w:rsid w:val="00D37F4B"/>
    <w:rsid w:val="00D41F08"/>
    <w:rsid w:val="00D470E2"/>
    <w:rsid w:val="00D67A73"/>
    <w:rsid w:val="00D70433"/>
    <w:rsid w:val="00D762F6"/>
    <w:rsid w:val="00D906E1"/>
    <w:rsid w:val="00D920E9"/>
    <w:rsid w:val="00D93C9C"/>
    <w:rsid w:val="00D959A1"/>
    <w:rsid w:val="00D975A2"/>
    <w:rsid w:val="00D97AF5"/>
    <w:rsid w:val="00DA2AA8"/>
    <w:rsid w:val="00DE0C74"/>
    <w:rsid w:val="00DE4010"/>
    <w:rsid w:val="00DE732D"/>
    <w:rsid w:val="00DF0A2B"/>
    <w:rsid w:val="00DF22C4"/>
    <w:rsid w:val="00DF44E7"/>
    <w:rsid w:val="00E07F77"/>
    <w:rsid w:val="00E10128"/>
    <w:rsid w:val="00E37C95"/>
    <w:rsid w:val="00E41820"/>
    <w:rsid w:val="00E52BA0"/>
    <w:rsid w:val="00E613DE"/>
    <w:rsid w:val="00E718A7"/>
    <w:rsid w:val="00E71AD2"/>
    <w:rsid w:val="00E7255F"/>
    <w:rsid w:val="00E80A2F"/>
    <w:rsid w:val="00E82B0F"/>
    <w:rsid w:val="00E835AB"/>
    <w:rsid w:val="00E856CB"/>
    <w:rsid w:val="00E94C2B"/>
    <w:rsid w:val="00EA169E"/>
    <w:rsid w:val="00EA1EAA"/>
    <w:rsid w:val="00EA311F"/>
    <w:rsid w:val="00EA3AA8"/>
    <w:rsid w:val="00EA4017"/>
    <w:rsid w:val="00EA6262"/>
    <w:rsid w:val="00EC496C"/>
    <w:rsid w:val="00ED4186"/>
    <w:rsid w:val="00ED4BF5"/>
    <w:rsid w:val="00ED55FC"/>
    <w:rsid w:val="00EE390D"/>
    <w:rsid w:val="00EF02DF"/>
    <w:rsid w:val="00EF5EA2"/>
    <w:rsid w:val="00EF69DC"/>
    <w:rsid w:val="00EF6BA2"/>
    <w:rsid w:val="00F00281"/>
    <w:rsid w:val="00F03294"/>
    <w:rsid w:val="00F1312E"/>
    <w:rsid w:val="00F23D2D"/>
    <w:rsid w:val="00F30CA0"/>
    <w:rsid w:val="00F33573"/>
    <w:rsid w:val="00F337D7"/>
    <w:rsid w:val="00F37DDB"/>
    <w:rsid w:val="00F40F0B"/>
    <w:rsid w:val="00F473C5"/>
    <w:rsid w:val="00F649C5"/>
    <w:rsid w:val="00F71EE8"/>
    <w:rsid w:val="00F7358B"/>
    <w:rsid w:val="00F73659"/>
    <w:rsid w:val="00F768A7"/>
    <w:rsid w:val="00F76F76"/>
    <w:rsid w:val="00F81370"/>
    <w:rsid w:val="00F834C2"/>
    <w:rsid w:val="00F87DD8"/>
    <w:rsid w:val="00FA3B7E"/>
    <w:rsid w:val="00FB11A1"/>
    <w:rsid w:val="00FB250A"/>
    <w:rsid w:val="00FB32E6"/>
    <w:rsid w:val="00FB6DE1"/>
    <w:rsid w:val="00FC3B5D"/>
    <w:rsid w:val="00FC474F"/>
    <w:rsid w:val="00FC6D2E"/>
    <w:rsid w:val="00FD3EC0"/>
    <w:rsid w:val="00FD5D79"/>
    <w:rsid w:val="00FE18D6"/>
    <w:rsid w:val="00FE3329"/>
    <w:rsid w:val="00FE448C"/>
    <w:rsid w:val="00FE63EA"/>
    <w:rsid w:val="00FF09E6"/>
    <w:rsid w:val="00FF3C80"/>
    <w:rsid w:val="00FF6899"/>
    <w:rsid w:val="00FF7D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24844"/>
  <w15:chartTrackingRefBased/>
  <w15:docId w15:val="{92F937B2-AFA6-3542-8CDF-E44201C6E3C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F17"/>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25B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5B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5B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5B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5B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5B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5B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5B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5B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B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5B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5B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5B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5B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5B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5B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5B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5B30"/>
    <w:rPr>
      <w:rFonts w:eastAsiaTheme="majorEastAsia" w:cstheme="majorBidi"/>
      <w:color w:val="272727" w:themeColor="text1" w:themeTint="D8"/>
    </w:rPr>
  </w:style>
  <w:style w:type="paragraph" w:styleId="Title">
    <w:name w:val="Title"/>
    <w:basedOn w:val="Normal"/>
    <w:next w:val="Normal"/>
    <w:link w:val="TitleChar"/>
    <w:uiPriority w:val="10"/>
    <w:qFormat/>
    <w:rsid w:val="00625B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5B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5B3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5B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5B3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25B30"/>
    <w:rPr>
      <w:i/>
      <w:iCs/>
      <w:color w:val="404040" w:themeColor="text1" w:themeTint="BF"/>
    </w:rPr>
  </w:style>
  <w:style w:type="paragraph" w:styleId="ListParagraph">
    <w:name w:val="List Paragraph"/>
    <w:basedOn w:val="Normal"/>
    <w:uiPriority w:val="34"/>
    <w:qFormat/>
    <w:rsid w:val="004B6F20"/>
    <w:pPr>
      <w:framePr w:hSpace="187" w:wrap="around" w:vAnchor="text" w:hAnchor="text" w:y="1"/>
      <w:numPr>
        <w:numId w:val="12"/>
      </w:numPr>
      <w:spacing w:after="180"/>
      <w:ind w:left="374"/>
      <w:suppressOverlap/>
    </w:pPr>
  </w:style>
  <w:style w:type="character" w:styleId="IntenseEmphasis">
    <w:name w:val="Intense Emphasis"/>
    <w:basedOn w:val="DefaultParagraphFont"/>
    <w:uiPriority w:val="21"/>
    <w:qFormat/>
    <w:rsid w:val="00625B30"/>
    <w:rPr>
      <w:i/>
      <w:iCs/>
      <w:color w:val="0F4761" w:themeColor="accent1" w:themeShade="BF"/>
    </w:rPr>
  </w:style>
  <w:style w:type="paragraph" w:styleId="IntenseQuote">
    <w:name w:val="Intense Quote"/>
    <w:basedOn w:val="Normal"/>
    <w:next w:val="Normal"/>
    <w:link w:val="IntenseQuoteChar"/>
    <w:uiPriority w:val="30"/>
    <w:qFormat/>
    <w:rsid w:val="00625B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5B30"/>
    <w:rPr>
      <w:i/>
      <w:iCs/>
      <w:color w:val="0F4761" w:themeColor="accent1" w:themeShade="BF"/>
    </w:rPr>
  </w:style>
  <w:style w:type="character" w:styleId="IntenseReference">
    <w:name w:val="Intense Reference"/>
    <w:basedOn w:val="DefaultParagraphFont"/>
    <w:uiPriority w:val="32"/>
    <w:qFormat/>
    <w:rsid w:val="00625B30"/>
    <w:rPr>
      <w:b/>
      <w:bCs/>
      <w:smallCaps/>
      <w:color w:val="0F4761" w:themeColor="accent1" w:themeShade="BF"/>
      <w:spacing w:val="5"/>
    </w:rPr>
  </w:style>
  <w:style w:type="table" w:styleId="TableGrid">
    <w:name w:val="Table Grid"/>
    <w:basedOn w:val="TableNormal"/>
    <w:rsid w:val="00625B30"/>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bar">
    <w:name w:val="title bar"/>
    <w:basedOn w:val="Normal"/>
    <w:rsid w:val="00625B30"/>
    <w:pPr>
      <w:keepNext/>
      <w:suppressAutoHyphens/>
      <w:jc w:val="center"/>
    </w:pPr>
    <w:rPr>
      <w:rFonts w:ascii="Helvetica" w:hAnsi="Helvetica"/>
      <w:b/>
      <w:sz w:val="26"/>
      <w:szCs w:val="20"/>
    </w:rPr>
  </w:style>
  <w:style w:type="paragraph" w:styleId="Caption">
    <w:name w:val="caption"/>
    <w:basedOn w:val="Normal"/>
    <w:next w:val="Normal"/>
    <w:uiPriority w:val="35"/>
    <w:unhideWhenUsed/>
    <w:qFormat/>
    <w:rsid w:val="00625B30"/>
    <w:pPr>
      <w:spacing w:after="200"/>
    </w:pPr>
    <w:rPr>
      <w:i/>
      <w:iCs/>
      <w:color w:val="0E2841" w:themeColor="text2"/>
      <w:sz w:val="18"/>
      <w:szCs w:val="18"/>
    </w:rPr>
  </w:style>
  <w:style w:type="paragraph" w:styleId="FootnoteText">
    <w:name w:val="footnote text"/>
    <w:aliases w:val="Footnote Text Char1 Char,TBG Style Char Char Char,Footnote Text Char2,Footnote Text Char1,TBG Style Char Char,Footnote Text Char3 Char,Footnote Text Char Char Char,Footnote Text Char1 Char Char Char,Footnote Text Char3,ft Char,Style 25,fn"/>
    <w:basedOn w:val="Normal"/>
    <w:link w:val="FootnoteTextChar"/>
    <w:uiPriority w:val="99"/>
    <w:qFormat/>
    <w:rsid w:val="00625B30"/>
    <w:pPr>
      <w:spacing w:after="120"/>
    </w:pPr>
    <w:rPr>
      <w:sz w:val="22"/>
      <w:szCs w:val="20"/>
    </w:rPr>
  </w:style>
  <w:style w:type="character" w:customStyle="1" w:styleId="FootnoteTextChar">
    <w:name w:val="Footnote Text Char"/>
    <w:aliases w:val="Footnote Text Char1 Char Char,TBG Style Char Char Char Char,Footnote Text Char2 Char,Footnote Text Char1 Char1,TBG Style Char Char Char1,Footnote Text Char3 Char Char,Footnote Text Char Char Char Char,Footnote Text Char3 Char1,fn Char"/>
    <w:basedOn w:val="DefaultParagraphFont"/>
    <w:link w:val="FootnoteText"/>
    <w:uiPriority w:val="99"/>
    <w:rsid w:val="00625B30"/>
    <w:rPr>
      <w:rFonts w:ascii="Times New Roman" w:eastAsia="Times New Roman" w:hAnsi="Times New Roman" w:cs="Times New Roman"/>
      <w:kern w:val="0"/>
      <w:sz w:val="22"/>
      <w:szCs w:val="20"/>
      <w14:ligatures w14:val="none"/>
    </w:rPr>
  </w:style>
  <w:style w:type="character" w:styleId="FootnoteReference">
    <w:name w:val="footnote reference"/>
    <w:aliases w:val="o,fr,o1,o2,o3,o4,o5,o6,o11,o21,o7"/>
    <w:uiPriority w:val="99"/>
    <w:rsid w:val="00625B30"/>
    <w:rPr>
      <w:vertAlign w:val="superscript"/>
    </w:rPr>
  </w:style>
  <w:style w:type="character" w:styleId="Hyperlink">
    <w:name w:val="Hyperlink"/>
    <w:rsid w:val="00625B30"/>
    <w:rPr>
      <w:color w:val="3754D4"/>
      <w:u w:val="single"/>
    </w:rPr>
  </w:style>
  <w:style w:type="character" w:customStyle="1" w:styleId="standardChar">
    <w:name w:val="standard Char"/>
    <w:link w:val="standard"/>
    <w:locked/>
    <w:rsid w:val="00ED55FC"/>
    <w:rPr>
      <w:rFonts w:ascii="Palatino" w:hAnsi="Palatino"/>
      <w:sz w:val="26"/>
    </w:rPr>
  </w:style>
  <w:style w:type="paragraph" w:customStyle="1" w:styleId="standard">
    <w:name w:val="standard"/>
    <w:basedOn w:val="Normal"/>
    <w:link w:val="standardChar"/>
    <w:rsid w:val="00ED55FC"/>
    <w:pPr>
      <w:spacing w:line="360" w:lineRule="auto"/>
      <w:ind w:firstLine="720"/>
    </w:pPr>
    <w:rPr>
      <w:rFonts w:ascii="Palatino" w:eastAsiaTheme="minorHAnsi" w:hAnsi="Palatino" w:cstheme="minorBidi"/>
      <w:kern w:val="2"/>
      <w:sz w:val="26"/>
      <w14:ligatures w14:val="standardContextual"/>
    </w:rPr>
  </w:style>
  <w:style w:type="paragraph" w:styleId="Header">
    <w:name w:val="header"/>
    <w:basedOn w:val="Normal"/>
    <w:link w:val="HeaderChar"/>
    <w:uiPriority w:val="99"/>
    <w:unhideWhenUsed/>
    <w:rsid w:val="00965D26"/>
    <w:pPr>
      <w:tabs>
        <w:tab w:val="center" w:pos="4680"/>
        <w:tab w:val="right" w:pos="9360"/>
      </w:tabs>
    </w:pPr>
  </w:style>
  <w:style w:type="character" w:customStyle="1" w:styleId="HeaderChar">
    <w:name w:val="Header Char"/>
    <w:basedOn w:val="DefaultParagraphFont"/>
    <w:link w:val="Header"/>
    <w:uiPriority w:val="99"/>
    <w:rsid w:val="00965D26"/>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965D26"/>
    <w:pPr>
      <w:tabs>
        <w:tab w:val="center" w:pos="4680"/>
        <w:tab w:val="right" w:pos="9360"/>
      </w:tabs>
    </w:pPr>
  </w:style>
  <w:style w:type="character" w:customStyle="1" w:styleId="FooterChar">
    <w:name w:val="Footer Char"/>
    <w:basedOn w:val="DefaultParagraphFont"/>
    <w:link w:val="Footer"/>
    <w:uiPriority w:val="99"/>
    <w:rsid w:val="00965D26"/>
    <w:rPr>
      <w:rFonts w:ascii="Times New Roman" w:eastAsia="Times New Roman" w:hAnsi="Times New Roman" w:cs="Times New Roman"/>
      <w:kern w:val="0"/>
      <w14:ligatures w14:val="none"/>
    </w:rPr>
  </w:style>
  <w:style w:type="paragraph" w:styleId="ListBullet">
    <w:name w:val="List Bullet"/>
    <w:basedOn w:val="Normal"/>
    <w:uiPriority w:val="99"/>
    <w:unhideWhenUsed/>
    <w:rsid w:val="004E5BC6"/>
    <w:pPr>
      <w:contextualSpacing/>
    </w:pPr>
  </w:style>
  <w:style w:type="paragraph" w:customStyle="1" w:styleId="SubstantialContribution">
    <w:name w:val="Substantial Contribution"/>
    <w:basedOn w:val="Normal"/>
    <w:qFormat/>
    <w:rsid w:val="00ED4186"/>
    <w:pPr>
      <w:framePr w:hSpace="187" w:wrap="around" w:vAnchor="text" w:hAnchor="text" w:y="1"/>
      <w:suppressOverlap/>
    </w:pPr>
  </w:style>
  <w:style w:type="paragraph" w:styleId="Revision">
    <w:name w:val="Revision"/>
    <w:hidden/>
    <w:uiPriority w:val="99"/>
    <w:semiHidden/>
    <w:rsid w:val="006F6108"/>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6F6108"/>
    <w:rPr>
      <w:sz w:val="16"/>
      <w:szCs w:val="16"/>
    </w:rPr>
  </w:style>
  <w:style w:type="paragraph" w:styleId="CommentText">
    <w:name w:val="annotation text"/>
    <w:basedOn w:val="Normal"/>
    <w:link w:val="CommentTextChar"/>
    <w:uiPriority w:val="99"/>
    <w:unhideWhenUsed/>
    <w:rsid w:val="006F6108"/>
    <w:rPr>
      <w:sz w:val="20"/>
      <w:szCs w:val="20"/>
    </w:rPr>
  </w:style>
  <w:style w:type="character" w:customStyle="1" w:styleId="CommentTextChar">
    <w:name w:val="Comment Text Char"/>
    <w:basedOn w:val="DefaultParagraphFont"/>
    <w:link w:val="CommentText"/>
    <w:uiPriority w:val="99"/>
    <w:rsid w:val="006F6108"/>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F6108"/>
    <w:rPr>
      <w:b/>
      <w:bCs/>
    </w:rPr>
  </w:style>
  <w:style w:type="character" w:customStyle="1" w:styleId="CommentSubjectChar">
    <w:name w:val="Comment Subject Char"/>
    <w:basedOn w:val="CommentTextChar"/>
    <w:link w:val="CommentSubject"/>
    <w:uiPriority w:val="99"/>
    <w:semiHidden/>
    <w:rsid w:val="006F6108"/>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members.calbar.ca.gov/fal/MemberSearch/Quick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umber xmlns="ebaf2e67-b144-4d62-9519-3988caf1a303"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0EBE0BE9F128448262953A10C1DC94" ma:contentTypeVersion="17" ma:contentTypeDescription="Create a new document." ma:contentTypeScope="" ma:versionID="a6f3660f1e5b8ddc1fe2fd5c89a9ce7e">
  <xsd:schema xmlns:xsd="http://www.w3.org/2001/XMLSchema" xmlns:xs="http://www.w3.org/2001/XMLSchema" xmlns:p="http://schemas.microsoft.com/office/2006/metadata/properties" xmlns:ns1="http://schemas.microsoft.com/sharepoint/v3" xmlns:ns2="ebaf2e67-b144-4d62-9519-3988caf1a303" xmlns:ns3="2f6ee05b-6183-4f51-a3ed-d76ded0ae454" targetNamespace="http://schemas.microsoft.com/office/2006/metadata/properties" ma:root="true" ma:fieldsID="cfd22c2ec0d07ad9cb75bc2e56d12dc2" ns1:_="" ns2:_="" ns3:_="">
    <xsd:import namespace="http://schemas.microsoft.com/sharepoint/v3"/>
    <xsd:import namespace="ebaf2e67-b144-4d62-9519-3988caf1a303"/>
    <xsd:import namespace="2f6ee05b-6183-4f51-a3ed-d76ded0ae4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number"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af2e67-b144-4d62-9519-3988caf1a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number" ma:index="21" nillable="true" ma:displayName="number" ma:format="Dropdown" ma:internalName="number" ma:percentage="FALSE">
      <xsd:simpleType>
        <xsd:restriction base="dms:Number"/>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6ee05b-6183-4f51-a3ed-d76ded0ae4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274EC-6344-47F4-9851-D5D98AE3CAD6}">
  <ds:schemaRefs>
    <ds:schemaRef ds:uri="http://schemas.microsoft.com/sharepoint/v3/contenttype/forms"/>
  </ds:schemaRefs>
</ds:datastoreItem>
</file>

<file path=customXml/itemProps2.xml><?xml version="1.0" encoding="utf-8"?>
<ds:datastoreItem xmlns:ds="http://schemas.openxmlformats.org/officeDocument/2006/customXml" ds:itemID="{D4610E4D-982F-423C-B2A8-53F9DF22269D}">
  <ds:schemaRefs>
    <ds:schemaRef ds:uri="http://schemas.microsoft.com/office/2006/metadata/properties"/>
    <ds:schemaRef ds:uri="http://schemas.microsoft.com/office/infopath/2007/PartnerControls"/>
    <ds:schemaRef ds:uri="ebaf2e67-b144-4d62-9519-3988caf1a303"/>
    <ds:schemaRef ds:uri="http://schemas.microsoft.com/sharepoint/v3"/>
  </ds:schemaRefs>
</ds:datastoreItem>
</file>

<file path=customXml/itemProps3.xml><?xml version="1.0" encoding="utf-8"?>
<ds:datastoreItem xmlns:ds="http://schemas.openxmlformats.org/officeDocument/2006/customXml" ds:itemID="{6E6EF1B4-2117-417D-9DE4-127E68D58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af2e67-b144-4d62-9519-3988caf1a303"/>
    <ds:schemaRef ds:uri="2f6ee05b-6183-4f51-a3ed-d76ded0ae4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2C19A0-D80A-47C6-B023-0854D8BD59B5}">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26</ap:Pages>
  <ap:Words>6473</ap:Words>
  <ap:Characters>36898</ap:Characters>
  <ap:Application>Microsoft Office Word</ap:Application>
  <ap:DocSecurity>0</ap:DocSecurity>
  <ap:Lines>307</ap:Lines>
  <ap:Paragraphs>86</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43285</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2026-06-17T11:55:12Z</dcterms:created>
  <dcterms:modified xsi:type="dcterms:W3CDTF">2026-06-17T11:55:12Z</dcterms:modified>
</cp:coreProperties>
</file>