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42D0" w:rsidR="00010E21" w:rsidP="006E265B" w:rsidRDefault="00010E21" w14:paraId="5931F288" w14:textId="77777777">
      <w:pPr>
        <w:spacing w:after="0" w:line="240" w:lineRule="auto"/>
        <w:jc w:val="center"/>
        <w:rPr>
          <w:rFonts w:ascii="Palatino Linotype" w:hAnsi="Palatino Linotype" w:eastAsia="Times New Roman" w:cs="Times New Roman"/>
          <w:kern w:val="0"/>
          <w:sz w:val="26"/>
          <w:szCs w:val="20"/>
          <w14:ligatures w14:val="none"/>
        </w:rPr>
      </w:pPr>
      <w:r w:rsidRPr="001942D0">
        <w:rPr>
          <w:rFonts w:ascii="Palatino Linotype" w:hAnsi="Palatino Linotype" w:eastAsia="Times New Roman" w:cs="Times New Roman"/>
          <w:kern w:val="0"/>
          <w:sz w:val="26"/>
          <w:szCs w:val="20"/>
          <w14:ligatures w14:val="none"/>
        </w:rPr>
        <w:t>PUBLIC UTILITIES COMMISSION OF THE STATE OF CALIFORNIA</w:t>
      </w:r>
    </w:p>
    <w:p w:rsidRPr="001942D0" w:rsidR="00010E21" w:rsidP="00010E21" w:rsidRDefault="00010E21" w14:paraId="6C322E29" w14:textId="77777777">
      <w:pPr>
        <w:suppressAutoHyphens/>
        <w:spacing w:after="0" w:line="240" w:lineRule="auto"/>
        <w:rPr>
          <w:rFonts w:ascii="Palatino" w:hAnsi="Palatino" w:eastAsia="Times New Roman" w:cs="Times New Roman"/>
          <w:kern w:val="0"/>
          <w:sz w:val="26"/>
          <w:szCs w:val="20"/>
          <w14:ligatures w14:val="none"/>
        </w:rPr>
      </w:pPr>
    </w:p>
    <w:p w:rsidRPr="00010E21" w:rsidR="00010E21" w:rsidP="00A41671" w:rsidRDefault="00010E21" w14:paraId="166F8768" w14:textId="61FBCE6B">
      <w:pPr>
        <w:tabs>
          <w:tab w:val="right" w:pos="8820"/>
        </w:tabs>
        <w:spacing w:after="0" w:line="240" w:lineRule="auto"/>
        <w:rPr>
          <w:rFonts w:ascii="Palatino Linotype" w:hAnsi="Palatino Linotype" w:eastAsia="Times New Roman" w:cs="Times New Roman"/>
          <w:b/>
          <w:bCs/>
          <w:kern w:val="0"/>
          <w14:ligatures w14:val="none"/>
        </w:rPr>
      </w:pPr>
      <w:r w:rsidRPr="001942D0">
        <w:rPr>
          <w:rFonts w:ascii="Palatino Linotype" w:hAnsi="Palatino Linotype" w:eastAsia="Times New Roman" w:cs="Times New Roman"/>
          <w:b/>
          <w:kern w:val="0"/>
          <w14:ligatures w14:val="none"/>
        </w:rPr>
        <w:tab/>
      </w:r>
    </w:p>
    <w:p w:rsidRPr="00010E21" w:rsidR="00010E21" w:rsidP="008A7483" w:rsidRDefault="00A41671" w14:paraId="4FAA55D4" w14:textId="51BB12A6">
      <w:pPr>
        <w:tabs>
          <w:tab w:val="right" w:pos="8820"/>
        </w:tabs>
        <w:spacing w:after="0" w:line="240" w:lineRule="auto"/>
        <w:jc w:val="right"/>
        <w:rPr>
          <w:rFonts w:ascii="Palatino Linotype" w:hAnsi="Palatino Linotype" w:eastAsia="Palatino Linotype" w:cs="Times New Roman"/>
          <w:b/>
          <w:kern w:val="0"/>
          <w14:ligatures w14:val="none"/>
        </w:rPr>
      </w:pPr>
      <w:r>
        <w:rPr>
          <w:rFonts w:ascii="Palatino Linotype" w:hAnsi="Palatino Linotype" w:eastAsia="Palatino Linotype" w:cs="Times New Roman"/>
          <w:b/>
          <w:kern w:val="0"/>
          <w14:ligatures w14:val="none"/>
        </w:rPr>
        <w:t>Communications</w:t>
      </w:r>
      <w:r w:rsidR="00010E21">
        <w:rPr>
          <w:rFonts w:ascii="Palatino Linotype" w:hAnsi="Palatino Linotype" w:eastAsia="Palatino Linotype" w:cs="Times New Roman"/>
          <w:b/>
          <w:kern w:val="0"/>
          <w14:ligatures w14:val="none"/>
        </w:rPr>
        <w:t xml:space="preserve"> </w:t>
      </w:r>
      <w:r w:rsidRPr="00010E21">
        <w:rPr>
          <w:rFonts w:ascii="Palatino Linotype" w:hAnsi="Palatino Linotype" w:eastAsia="Palatino Linotype" w:cs="Times New Roman"/>
          <w:b/>
          <w:kern w:val="0"/>
          <w14:ligatures w14:val="none"/>
        </w:rPr>
        <w:t>Division</w:t>
      </w:r>
      <w:r w:rsidRPr="00010E21" w:rsidR="00010E21">
        <w:rPr>
          <w:rFonts w:ascii="Palatino Linotype" w:hAnsi="Palatino Linotype" w:eastAsia="Times New Roman" w:cs="Times New Roman"/>
          <w:b/>
          <w:kern w:val="0"/>
          <w14:ligatures w14:val="none"/>
        </w:rPr>
        <w:tab/>
      </w:r>
      <w:r w:rsidRPr="00010E21" w:rsidR="00010E21">
        <w:rPr>
          <w:rFonts w:ascii="Palatino Linotype" w:hAnsi="Palatino Linotype" w:eastAsia="Palatino Linotype" w:cs="Times New Roman"/>
          <w:b/>
          <w:kern w:val="0"/>
          <w14:ligatures w14:val="none"/>
        </w:rPr>
        <w:t xml:space="preserve">       </w:t>
      </w:r>
      <w:r w:rsidRPr="00010E21" w:rsidR="00010E21">
        <w:rPr>
          <w:rFonts w:ascii="Palatino Linotype" w:hAnsi="Palatino Linotype" w:eastAsia="Palatino Linotype" w:cs="Times New Roman"/>
          <w:b/>
        </w:rPr>
        <w:t xml:space="preserve">RESOLUTION </w:t>
      </w:r>
      <w:r w:rsidR="00010E21">
        <w:rPr>
          <w:rFonts w:ascii="Palatino Linotype" w:hAnsi="Palatino Linotype" w:eastAsia="Palatino Linotype" w:cs="Times New Roman"/>
          <w:b/>
        </w:rPr>
        <w:t>T</w:t>
      </w:r>
      <w:r w:rsidRPr="004E601E" w:rsidR="00010E21">
        <w:rPr>
          <w:rFonts w:ascii="Palatino Linotype" w:hAnsi="Palatino Linotype" w:eastAsia="Palatino Linotype" w:cs="Times New Roman"/>
          <w:b/>
        </w:rPr>
        <w:t>-17</w:t>
      </w:r>
      <w:r w:rsidRPr="004E601E" w:rsidR="004E601E">
        <w:rPr>
          <w:rFonts w:ascii="Palatino Linotype" w:hAnsi="Palatino Linotype" w:eastAsia="Palatino Linotype" w:cs="Times New Roman"/>
          <w:b/>
        </w:rPr>
        <w:t>914</w:t>
      </w:r>
    </w:p>
    <w:p w:rsidRPr="001942D0" w:rsidR="00010E21" w:rsidP="7E5E4676" w:rsidRDefault="3641C2D1" w14:paraId="54AB96EE" w14:textId="15B04889">
      <w:pPr>
        <w:tabs>
          <w:tab w:val="right" w:pos="8820"/>
        </w:tabs>
        <w:spacing w:after="0" w:line="240" w:lineRule="auto"/>
        <w:ind w:left="5040"/>
        <w:jc w:val="right"/>
        <w:rPr>
          <w:rFonts w:ascii="Palatino Linotype" w:hAnsi="Palatino Linotype" w:eastAsia="Times New Roman" w:cs="Times New Roman"/>
          <w:b/>
          <w:bCs/>
          <w:kern w:val="0"/>
          <w14:ligatures w14:val="none"/>
        </w:rPr>
      </w:pPr>
      <w:r w:rsidRPr="0013198E">
        <w:rPr>
          <w:rFonts w:ascii="Palatino Linotype" w:hAnsi="Palatino Linotype" w:eastAsia="Times New Roman" w:cs="Times New Roman"/>
          <w:b/>
          <w:bCs/>
          <w:kern w:val="0"/>
          <w14:ligatures w14:val="none"/>
        </w:rPr>
        <w:t>J</w:t>
      </w:r>
      <w:r w:rsidRPr="0013198E" w:rsidR="00010E21">
        <w:rPr>
          <w:rFonts w:ascii="Palatino Linotype" w:hAnsi="Palatino Linotype" w:eastAsia="Times New Roman" w:cs="Times New Roman"/>
          <w:b/>
          <w:bCs/>
          <w:kern w:val="0"/>
          <w14:ligatures w14:val="none"/>
        </w:rPr>
        <w:t xml:space="preserve">une </w:t>
      </w:r>
      <w:r w:rsidRPr="0013198E" w:rsidR="0013198E">
        <w:rPr>
          <w:rFonts w:ascii="Palatino Linotype" w:hAnsi="Palatino Linotype" w:eastAsia="Times New Roman" w:cs="Times New Roman"/>
          <w:b/>
          <w:bCs/>
          <w:kern w:val="0"/>
          <w14:ligatures w14:val="none"/>
        </w:rPr>
        <w:t>11</w:t>
      </w:r>
      <w:r w:rsidRPr="0013198E" w:rsidR="00010E21">
        <w:rPr>
          <w:rFonts w:ascii="Palatino Linotype" w:hAnsi="Palatino Linotype" w:eastAsia="Times New Roman" w:cs="Times New Roman"/>
          <w:b/>
          <w:bCs/>
          <w:kern w:val="0"/>
          <w14:ligatures w14:val="none"/>
        </w:rPr>
        <w:t>, 202</w:t>
      </w:r>
      <w:r w:rsidRPr="0013198E" w:rsidR="0013198E">
        <w:rPr>
          <w:rFonts w:ascii="Palatino Linotype" w:hAnsi="Palatino Linotype" w:eastAsia="Times New Roman" w:cs="Times New Roman"/>
          <w:b/>
          <w:bCs/>
          <w:kern w:val="0"/>
          <w14:ligatures w14:val="none"/>
        </w:rPr>
        <w:t>6</w:t>
      </w:r>
    </w:p>
    <w:p w:rsidRPr="001942D0" w:rsidR="00010E21" w:rsidP="00010E21" w:rsidRDefault="00010E21" w14:paraId="55CA1E66"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010E21" w:rsidP="00010E21" w:rsidRDefault="00010E21" w14:paraId="45FD0526"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010E21" w:rsidP="00010E21" w:rsidRDefault="00010E21" w14:paraId="16BB5155"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010E21" w:rsidP="00010E21" w:rsidRDefault="00010E21" w14:paraId="2B2BEB25" w14:textId="77777777">
      <w:pPr>
        <w:spacing w:after="0" w:line="240" w:lineRule="auto"/>
        <w:rPr>
          <w:rFonts w:ascii="Palatino" w:hAnsi="Palatino" w:eastAsia="Palatino Linotype" w:cs="Times New Roman"/>
          <w:kern w:val="0"/>
          <w:sz w:val="26"/>
          <w:szCs w:val="20"/>
          <w14:ligatures w14:val="none"/>
        </w:rPr>
      </w:pPr>
    </w:p>
    <w:p w:rsidRPr="001942D0" w:rsidR="00010E21" w:rsidP="00010E21" w:rsidRDefault="00010E21" w14:paraId="4EE8A5EF" w14:textId="5ECF4625">
      <w:pPr>
        <w:spacing w:after="0" w:line="240"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Pr>
          <w:rFonts w:ascii="Palatino Linotype" w:hAnsi="Palatino Linotype" w:eastAsia="Times New Roman" w:cs="Times New Roman"/>
          <w:kern w:val="0"/>
          <w14:ligatures w14:val="none"/>
        </w:rPr>
        <w:t>T-</w:t>
      </w:r>
      <w:r w:rsidR="004E601E">
        <w:rPr>
          <w:rFonts w:ascii="Palatino Linotype" w:hAnsi="Palatino Linotype" w:eastAsia="Times New Roman" w:cs="Times New Roman"/>
          <w:kern w:val="0"/>
          <w14:ligatures w14:val="none"/>
        </w:rPr>
        <w:t>17914</w:t>
      </w:r>
      <w:r w:rsidRPr="00010E21">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w:t>
      </w:r>
      <w:r w:rsidRPr="00010E21">
        <w:rPr>
          <w:rFonts w:ascii="Palatino Linotype" w:hAnsi="Palatino Linotype" w:eastAsia="Times New Roman" w:cs="Times New Roman"/>
          <w:kern w:val="0"/>
          <w14:ligatures w14:val="none"/>
        </w:rPr>
        <w:t>Approval of Fiscal Year 202</w:t>
      </w:r>
      <w:r w:rsidR="00F16799">
        <w:rPr>
          <w:rFonts w:ascii="Palatino Linotype" w:hAnsi="Palatino Linotype" w:eastAsia="Times New Roman" w:cs="Times New Roman"/>
          <w:kern w:val="0"/>
          <w14:ligatures w14:val="none"/>
        </w:rPr>
        <w:t>6</w:t>
      </w:r>
      <w:r w:rsidRPr="00010E21">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010E21">
        <w:rPr>
          <w:rFonts w:ascii="Palatino Linotype" w:hAnsi="Palatino Linotype" w:eastAsia="Times New Roman" w:cs="Times New Roman"/>
          <w:kern w:val="0"/>
          <w14:ligatures w14:val="none"/>
        </w:rPr>
        <w:t xml:space="preserve"> Budget Allocations for California Advanced Services Fund</w:t>
      </w:r>
      <w:r w:rsidR="00C03695">
        <w:rPr>
          <w:rFonts w:ascii="Palatino Linotype" w:hAnsi="Palatino Linotype" w:eastAsia="Times New Roman" w:cs="Times New Roman"/>
          <w:kern w:val="0"/>
          <w14:ligatures w14:val="none"/>
        </w:rPr>
        <w:t>.</w:t>
      </w:r>
    </w:p>
    <w:p w:rsidRPr="001942D0" w:rsidR="00010E21" w:rsidP="00010E21" w:rsidRDefault="00010E21" w14:paraId="4E32A434" w14:textId="77777777">
      <w:pPr>
        <w:spacing w:after="0" w:line="240" w:lineRule="auto"/>
        <w:ind w:left="720" w:right="720"/>
        <w:rPr>
          <w:rFonts w:ascii="Palatino Linotype" w:hAnsi="Palatino Linotype" w:eastAsia="Times New Roman" w:cs="Times New Roman"/>
          <w:kern w:val="0"/>
          <w14:ligatures w14:val="none"/>
        </w:rPr>
      </w:pPr>
    </w:p>
    <w:p w:rsidRPr="001942D0" w:rsidR="00010E21" w:rsidP="00010E21" w:rsidRDefault="00010E21" w14:paraId="6847C05C"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EF4632" w:rsidR="00010E21" w:rsidP="00EF4632" w:rsidRDefault="00386084" w14:paraId="09E8A0CB" w14:textId="637E91E6">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Approves </w:t>
      </w:r>
      <w:r w:rsidRPr="00EF4632" w:rsidR="00EF4632">
        <w:rPr>
          <w:rFonts w:ascii="Palatino Linotype" w:hAnsi="Palatino Linotype" w:eastAsia="Times New Roman" w:cs="Times New Roman"/>
          <w:kern w:val="0"/>
          <w14:ligatures w14:val="none"/>
        </w:rPr>
        <w:t>Fiscal Year (FY) 202</w:t>
      </w:r>
      <w:r w:rsidR="00F16799">
        <w:rPr>
          <w:rFonts w:ascii="Palatino Linotype" w:hAnsi="Palatino Linotype" w:eastAsia="Times New Roman" w:cs="Times New Roman"/>
          <w:kern w:val="0"/>
          <w14:ligatures w14:val="none"/>
        </w:rPr>
        <w:t>6</w:t>
      </w:r>
      <w:r w:rsidRPr="00EF4632" w:rsidR="00EF4632">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EF4632" w:rsidR="00EF4632">
        <w:rPr>
          <w:rFonts w:ascii="Palatino Linotype" w:hAnsi="Palatino Linotype" w:eastAsia="Times New Roman" w:cs="Times New Roman"/>
          <w:kern w:val="0"/>
          <w14:ligatures w14:val="none"/>
        </w:rPr>
        <w:t xml:space="preserve"> budget allocations for six California Advanced Services Fund (CASF) accounts, including the Broadband Adoption Account (Adoption), Rural and Urban Regional Broadband Consortia Grant Account (Consortia), Line Extension Program (</w:t>
      </w:r>
      <w:r w:rsidR="0050690D">
        <w:rPr>
          <w:rFonts w:ascii="Palatino Linotype" w:hAnsi="Palatino Linotype" w:eastAsia="Times New Roman" w:cs="Times New Roman"/>
          <w:kern w:val="0"/>
          <w14:ligatures w14:val="none"/>
        </w:rPr>
        <w:t>LEP</w:t>
      </w:r>
      <w:r w:rsidRPr="00EF4632" w:rsidR="00EF4632">
        <w:rPr>
          <w:rFonts w:ascii="Palatino Linotype" w:hAnsi="Palatino Linotype" w:eastAsia="Times New Roman" w:cs="Times New Roman"/>
          <w:kern w:val="0"/>
          <w14:ligatures w14:val="none"/>
        </w:rPr>
        <w:t>), Broadband Infrastructure Grant Account (Infrastructure), Broadband Public Housing Account (Public Housing), and Tribal Technical Assistance Program (</w:t>
      </w:r>
      <w:r w:rsidR="007B73B2">
        <w:rPr>
          <w:rFonts w:ascii="Palatino Linotype" w:hAnsi="Palatino Linotype" w:eastAsia="Times New Roman" w:cs="Times New Roman"/>
          <w:kern w:val="0"/>
          <w14:ligatures w14:val="none"/>
        </w:rPr>
        <w:t>TTA</w:t>
      </w:r>
      <w:r w:rsidRPr="00EF4632" w:rsidR="00EF4632">
        <w:rPr>
          <w:rFonts w:ascii="Palatino Linotype" w:hAnsi="Palatino Linotype" w:eastAsia="Times New Roman" w:cs="Times New Roman"/>
          <w:kern w:val="0"/>
          <w14:ligatures w14:val="none"/>
        </w:rPr>
        <w:t>)</w:t>
      </w:r>
      <w:r w:rsidR="005B3F37">
        <w:rPr>
          <w:rFonts w:ascii="Palatino Linotype" w:hAnsi="Palatino Linotype" w:eastAsia="Times New Roman" w:cs="Times New Roman"/>
          <w:kern w:val="0"/>
          <w14:ligatures w14:val="none"/>
        </w:rPr>
        <w:t>.</w:t>
      </w:r>
    </w:p>
    <w:p w:rsidRPr="001942D0" w:rsidR="00010E21" w:rsidP="00010E21" w:rsidRDefault="00010E21" w14:paraId="3C6D3089" w14:textId="77777777">
      <w:pPr>
        <w:spacing w:after="0" w:line="240" w:lineRule="auto"/>
        <w:rPr>
          <w:rFonts w:ascii="Palatino" w:hAnsi="Palatino" w:eastAsia="Palatino Linotype" w:cs="Times New Roman"/>
          <w:kern w:val="0"/>
          <w:sz w:val="26"/>
          <w:szCs w:val="20"/>
          <w14:ligatures w14:val="none"/>
        </w:rPr>
      </w:pPr>
    </w:p>
    <w:p w:rsidRPr="001942D0" w:rsidR="00010E21" w:rsidP="00010E21" w:rsidRDefault="00010E21" w14:paraId="43EBD8B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010E21" w:rsidP="00010E21" w:rsidRDefault="00475718" w14:paraId="1F4197F9" w14:textId="0032993E">
      <w:pPr>
        <w:numPr>
          <w:ilvl w:val="0"/>
          <w:numId w:val="3"/>
        </w:numPr>
        <w:spacing w:after="0" w:line="240" w:lineRule="auto"/>
        <w:ind w:right="720"/>
        <w:rPr>
          <w:rFonts w:ascii="Palatino Linotype" w:hAnsi="Palatino Linotype" w:eastAsia="Times New Roman" w:cs="Times New Roman"/>
          <w:kern w:val="0"/>
          <w14:ligatures w14:val="none"/>
        </w:rPr>
      </w:pPr>
      <w:r w:rsidRPr="00475718">
        <w:rPr>
          <w:rFonts w:ascii="Palatino Linotype" w:hAnsi="Palatino Linotype" w:eastAsia="Times New Roman" w:cs="Times New Roman"/>
          <w:kern w:val="0"/>
          <w14:ligatures w14:val="none"/>
        </w:rPr>
        <w:t>The CASF provides subsidies for the deployment of high-quality advanced broadband infrastructure throughout the state of California. Broadband infrastructure is vital to the operation and management of critical infrastructure and public safety and emergency response networks. </w:t>
      </w:r>
    </w:p>
    <w:p w:rsidRPr="001942D0" w:rsidR="00010E21" w:rsidP="00010E21" w:rsidRDefault="00010E21" w14:paraId="326FF6E9" w14:textId="77777777">
      <w:pPr>
        <w:spacing w:after="0" w:line="240" w:lineRule="auto"/>
        <w:ind w:left="720" w:right="720"/>
        <w:rPr>
          <w:rFonts w:ascii="Palatino Linotype" w:hAnsi="Palatino Linotype" w:eastAsia="Palatino Linotype" w:cs="Times New Roman"/>
          <w:kern w:val="0"/>
          <w14:ligatures w14:val="none"/>
        </w:rPr>
      </w:pPr>
    </w:p>
    <w:p w:rsidRPr="001942D0" w:rsidR="00010E21" w:rsidP="00010E21" w:rsidRDefault="00010E21" w14:paraId="0C601F1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476790" w:rsidR="00AF46E8" w:rsidP="00476790" w:rsidRDefault="00A5368A" w14:paraId="33C9A798" w14:textId="02FF1963">
      <w:pPr>
        <w:numPr>
          <w:ilvl w:val="0"/>
          <w:numId w:val="3"/>
        </w:numPr>
        <w:spacing w:after="0" w:line="240" w:lineRule="auto"/>
        <w:ind w:right="720"/>
        <w:rPr>
          <w:rFonts w:ascii="Palatino Linotype" w:hAnsi="Palatino Linotype" w:eastAsia="Times New Roman" w:cs="Times New Roman"/>
          <w:kern w:val="0"/>
          <w14:ligatures w14:val="none"/>
        </w:rPr>
        <w:sectPr w:rsidRPr="00476790" w:rsidR="00AF46E8">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sidRPr="00716817">
        <w:rPr>
          <w:rFonts w:ascii="Palatino Linotype" w:hAnsi="Palatino Linotype" w:eastAsia="Times New Roman" w:cs="Times New Roman"/>
          <w:kern w:val="0"/>
          <w14:ligatures w14:val="none"/>
        </w:rPr>
        <w:t>This Resolution allocates CASF’s $136.211 million FY 202</w:t>
      </w:r>
      <w:r w:rsidRPr="00716817" w:rsidR="00F16799">
        <w:rPr>
          <w:rFonts w:ascii="Palatino Linotype" w:hAnsi="Palatino Linotype" w:eastAsia="Times New Roman" w:cs="Times New Roman"/>
          <w:kern w:val="0"/>
          <w14:ligatures w14:val="none"/>
        </w:rPr>
        <w:t>6</w:t>
      </w:r>
      <w:r w:rsidRPr="00716817">
        <w:rPr>
          <w:rFonts w:ascii="Palatino Linotype" w:hAnsi="Palatino Linotype" w:eastAsia="Times New Roman" w:cs="Times New Roman"/>
          <w:kern w:val="0"/>
          <w14:ligatures w14:val="none"/>
        </w:rPr>
        <w:t>-2</w:t>
      </w:r>
      <w:r w:rsidRPr="00716817" w:rsidR="00F16799">
        <w:rPr>
          <w:rFonts w:ascii="Palatino Linotype" w:hAnsi="Palatino Linotype" w:eastAsia="Times New Roman" w:cs="Times New Roman"/>
          <w:kern w:val="0"/>
          <w14:ligatures w14:val="none"/>
        </w:rPr>
        <w:t>7</w:t>
      </w:r>
      <w:r w:rsidRPr="00716817">
        <w:rPr>
          <w:rFonts w:ascii="Palatino Linotype" w:hAnsi="Palatino Linotype" w:eastAsia="Times New Roman" w:cs="Times New Roman"/>
          <w:kern w:val="0"/>
          <w14:ligatures w14:val="none"/>
        </w:rPr>
        <w:t xml:space="preserve"> budget across six accounts</w:t>
      </w:r>
      <w:r w:rsidR="00D6465B">
        <w:rPr>
          <w:rFonts w:ascii="Palatino Linotype" w:hAnsi="Palatino Linotype" w:eastAsia="Times New Roman" w:cs="Times New Roman"/>
          <w:kern w:val="0"/>
          <w14:ligatures w14:val="none"/>
        </w:rPr>
        <w:t>.</w:t>
      </w:r>
      <w:r w:rsidR="00476790">
        <w:rPr>
          <w:rStyle w:val="FootnoteReference"/>
          <w:rFonts w:ascii="Palatino Linotype" w:hAnsi="Palatino Linotype" w:eastAsia="Times New Roman" w:cs="Times New Roman"/>
          <w:kern w:val="0"/>
          <w14:ligatures w14:val="none"/>
        </w:rPr>
        <w:footnoteReference w:id="1"/>
      </w:r>
    </w:p>
    <w:p w:rsidRPr="001942D0" w:rsidR="00010E21" w:rsidP="00010E21" w:rsidRDefault="00010E21" w14:paraId="77862A1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Pr="008631EB" w:rsidR="008631EB" w:rsidP="008631EB" w:rsidRDefault="008631EB" w14:paraId="35BA0CCA" w14:textId="381B0F05">
      <w:pPr>
        <w:spacing w:after="0" w:line="240" w:lineRule="auto"/>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This Resolution approves Fiscal Year (FY) 202</w:t>
      </w:r>
      <w:r w:rsidR="00F16799">
        <w:rPr>
          <w:rFonts w:ascii="Palatino Linotype" w:hAnsi="Palatino Linotype" w:eastAsia="Times New Roman" w:cs="Times New Roman"/>
          <w:kern w:val="0"/>
          <w14:ligatures w14:val="none"/>
        </w:rPr>
        <w:t>6</w:t>
      </w:r>
      <w:r w:rsidRPr="008631EB">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8631EB">
        <w:rPr>
          <w:rFonts w:ascii="Palatino Linotype" w:hAnsi="Palatino Linotype" w:eastAsia="Times New Roman" w:cs="Times New Roman"/>
          <w:kern w:val="0"/>
          <w14:ligatures w14:val="none"/>
        </w:rPr>
        <w:t xml:space="preserve"> budget allocations for six California Advanced Services Fund (CASF) accounts, including the Broadband Adoption Account (Adoption), Rural and Urban Regional Broadband Consortia Grant Account</w:t>
      </w:r>
      <w:r w:rsidR="000C6E08">
        <w:rPr>
          <w:rFonts w:ascii="Palatino Linotype" w:hAnsi="Palatino Linotype" w:eastAsia="Times New Roman" w:cs="Times New Roman"/>
          <w:kern w:val="0"/>
          <w14:ligatures w14:val="none"/>
        </w:rPr>
        <w:t xml:space="preserve"> </w:t>
      </w:r>
      <w:r w:rsidRPr="008631EB">
        <w:rPr>
          <w:rFonts w:ascii="Palatino Linotype" w:hAnsi="Palatino Linotype" w:eastAsia="Times New Roman" w:cs="Times New Roman"/>
          <w:kern w:val="0"/>
          <w14:ligatures w14:val="none"/>
        </w:rPr>
        <w:t>(Consortia), Line Extension Program</w:t>
      </w:r>
      <w:r>
        <w:rPr>
          <w:rFonts w:ascii="Palatino Linotype" w:hAnsi="Palatino Linotype" w:eastAsia="Times New Roman" w:cs="Times New Roman"/>
          <w:kern w:val="0"/>
          <w14:ligatures w14:val="none"/>
        </w:rPr>
        <w:t xml:space="preserve"> </w:t>
      </w:r>
      <w:r w:rsidRPr="008631EB">
        <w:rPr>
          <w:rFonts w:ascii="Palatino Linotype" w:hAnsi="Palatino Linotype" w:eastAsia="Times New Roman" w:cs="Times New Roman"/>
          <w:kern w:val="0"/>
          <w14:ligatures w14:val="none"/>
        </w:rPr>
        <w:t>(</w:t>
      </w:r>
      <w:r w:rsidR="002C780A">
        <w:rPr>
          <w:rFonts w:ascii="Palatino Linotype" w:hAnsi="Palatino Linotype" w:eastAsia="Times New Roman" w:cs="Times New Roman"/>
          <w:kern w:val="0"/>
          <w14:ligatures w14:val="none"/>
        </w:rPr>
        <w:t>LEP</w:t>
      </w:r>
      <w:r w:rsidRPr="008631EB">
        <w:rPr>
          <w:rFonts w:ascii="Palatino Linotype" w:hAnsi="Palatino Linotype" w:eastAsia="Times New Roman" w:cs="Times New Roman"/>
          <w:kern w:val="0"/>
          <w14:ligatures w14:val="none"/>
        </w:rPr>
        <w:t>), Broadband Infrastructure Grant Account (Infrastructure), Broadband Public Housing Account (Public Housing), and Tribal Technical Assistance Program (</w:t>
      </w:r>
      <w:r w:rsidR="002C780A">
        <w:rPr>
          <w:rFonts w:ascii="Palatino Linotype" w:hAnsi="Palatino Linotype" w:eastAsia="Times New Roman" w:cs="Times New Roman"/>
          <w:kern w:val="0"/>
          <w14:ligatures w14:val="none"/>
        </w:rPr>
        <w:t>TTA</w:t>
      </w:r>
      <w:r w:rsidRPr="008631EB">
        <w:rPr>
          <w:rFonts w:ascii="Palatino Linotype" w:hAnsi="Palatino Linotype" w:eastAsia="Times New Roman" w:cs="Times New Roman"/>
          <w:kern w:val="0"/>
          <w14:ligatures w14:val="none"/>
        </w:rPr>
        <w:t>). The approved FY 202</w:t>
      </w:r>
      <w:r w:rsidR="00F16799">
        <w:rPr>
          <w:rFonts w:ascii="Palatino Linotype" w:hAnsi="Palatino Linotype" w:eastAsia="Times New Roman" w:cs="Times New Roman"/>
          <w:kern w:val="0"/>
          <w14:ligatures w14:val="none"/>
        </w:rPr>
        <w:t>6</w:t>
      </w:r>
      <w:r w:rsidRPr="008631EB">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8631EB">
        <w:rPr>
          <w:rFonts w:ascii="Palatino Linotype" w:hAnsi="Palatino Linotype" w:eastAsia="Times New Roman" w:cs="Times New Roman"/>
          <w:kern w:val="0"/>
          <w14:ligatures w14:val="none"/>
        </w:rPr>
        <w:t xml:space="preserve"> budget allocations are presented in Table 1. </w:t>
      </w:r>
    </w:p>
    <w:p w:rsidRPr="008631EB" w:rsidR="008631EB" w:rsidP="008631EB" w:rsidRDefault="008631EB" w14:paraId="3D895F59" w14:textId="77777777">
      <w:pPr>
        <w:spacing w:after="0" w:line="240" w:lineRule="auto"/>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50"/>
        <w:gridCol w:w="1150"/>
        <w:gridCol w:w="1139"/>
        <w:gridCol w:w="1003"/>
        <w:gridCol w:w="1511"/>
        <w:gridCol w:w="1057"/>
        <w:gridCol w:w="1016"/>
        <w:gridCol w:w="1218"/>
      </w:tblGrid>
      <w:tr w:rsidRPr="008631EB" w:rsidR="008631EB" w:rsidTr="00B2385F" w14:paraId="74F4824C" w14:textId="77777777">
        <w:trPr>
          <w:trHeight w:val="315"/>
        </w:trPr>
        <w:tc>
          <w:tcPr>
            <w:tcW w:w="9344" w:type="dxa"/>
            <w:gridSpan w:val="8"/>
            <w:tcBorders>
              <w:top w:val="single" w:color="auto" w:sz="6" w:space="0"/>
              <w:left w:val="single" w:color="auto" w:sz="6" w:space="0"/>
              <w:bottom w:val="single" w:color="auto" w:sz="6" w:space="0"/>
              <w:right w:val="single" w:color="auto" w:sz="6" w:space="0"/>
            </w:tcBorders>
            <w:vAlign w:val="center"/>
            <w:hideMark/>
          </w:tcPr>
          <w:p w:rsidRPr="008631EB" w:rsidR="008631EB" w:rsidP="008631EB" w:rsidRDefault="008631EB" w14:paraId="5A1BBB7D" w14:textId="21760892">
            <w:pPr>
              <w:spacing w:after="0" w:line="240" w:lineRule="auto"/>
              <w:jc w:val="center"/>
              <w:divId w:val="134421550"/>
              <w:rPr>
                <w:rFonts w:ascii="Palatino Linotype" w:hAnsi="Palatino Linotype" w:eastAsia="Times New Roman" w:cs="Times New Roman"/>
                <w:kern w:val="0"/>
                <w14:ligatures w14:val="none"/>
              </w:rPr>
            </w:pPr>
            <w:r w:rsidRPr="008631EB">
              <w:rPr>
                <w:rFonts w:ascii="Palatino Linotype" w:hAnsi="Palatino Linotype" w:eastAsia="Times New Roman" w:cs="Times New Roman"/>
                <w:b/>
                <w:bCs/>
                <w:kern w:val="0"/>
                <w14:ligatures w14:val="none"/>
              </w:rPr>
              <w:t>Table 1 - FY 202</w:t>
            </w:r>
            <w:r w:rsidR="00F16799">
              <w:rPr>
                <w:rFonts w:ascii="Palatino Linotype" w:hAnsi="Palatino Linotype" w:eastAsia="Times New Roman" w:cs="Times New Roman"/>
                <w:b/>
                <w:bCs/>
                <w:kern w:val="0"/>
                <w14:ligatures w14:val="none"/>
              </w:rPr>
              <w:t>6</w:t>
            </w:r>
            <w:r w:rsidRPr="008631EB">
              <w:rPr>
                <w:rFonts w:ascii="Palatino Linotype" w:hAnsi="Palatino Linotype" w:eastAsia="Times New Roman" w:cs="Times New Roman"/>
                <w:b/>
                <w:bCs/>
                <w:kern w:val="0"/>
                <w14:ligatures w14:val="none"/>
              </w:rPr>
              <w:t>-2</w:t>
            </w:r>
            <w:r w:rsidR="00F16799">
              <w:rPr>
                <w:rFonts w:ascii="Palatino Linotype" w:hAnsi="Palatino Linotype" w:eastAsia="Times New Roman" w:cs="Times New Roman"/>
                <w:b/>
                <w:bCs/>
                <w:kern w:val="0"/>
                <w14:ligatures w14:val="none"/>
              </w:rPr>
              <w:t>7</w:t>
            </w:r>
            <w:r w:rsidRPr="008631EB">
              <w:rPr>
                <w:rFonts w:ascii="Palatino Linotype" w:hAnsi="Palatino Linotype" w:eastAsia="Times New Roman" w:cs="Times New Roman"/>
                <w:b/>
                <w:bCs/>
                <w:kern w:val="0"/>
                <w14:ligatures w14:val="none"/>
              </w:rPr>
              <w:t xml:space="preserve"> Allocation of CASF Budget ($000’s)</w:t>
            </w:r>
          </w:p>
        </w:tc>
      </w:tr>
      <w:tr w:rsidRPr="008631EB" w:rsidR="008666B4" w:rsidTr="00B2385F" w14:paraId="60BF6D53" w14:textId="77777777">
        <w:trPr>
          <w:trHeight w:val="675"/>
        </w:trPr>
        <w:tc>
          <w:tcPr>
            <w:tcW w:w="1250"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6337A048" w14:textId="707F2F4F">
            <w:pPr>
              <w:spacing w:after="0" w:line="240" w:lineRule="auto"/>
              <w:jc w:val="center"/>
              <w:rPr>
                <w:rFonts w:ascii="Palatino Linotype" w:hAnsi="Palatino Linotype" w:eastAsia="Times New Roman" w:cs="Times New Roman"/>
                <w:kern w:val="0"/>
                <w14:ligatures w14:val="none"/>
              </w:rPr>
            </w:pPr>
          </w:p>
        </w:tc>
        <w:tc>
          <w:tcPr>
            <w:tcW w:w="1150"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680CE1F7" w14:textId="5A46D0CD">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Adoption</w:t>
            </w:r>
          </w:p>
        </w:tc>
        <w:tc>
          <w:tcPr>
            <w:tcW w:w="1139"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5145AB94" w14:textId="69C51FE9">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Consortia</w:t>
            </w:r>
          </w:p>
        </w:tc>
        <w:tc>
          <w:tcPr>
            <w:tcW w:w="1003"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2C780A" w14:paraId="78D4275A" w14:textId="5143F85A">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LEP</w:t>
            </w:r>
          </w:p>
        </w:tc>
        <w:tc>
          <w:tcPr>
            <w:tcW w:w="1511"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7DF698AF" w14:textId="4CD4512F">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Infrastructure</w:t>
            </w:r>
          </w:p>
        </w:tc>
        <w:tc>
          <w:tcPr>
            <w:tcW w:w="1057"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784C6E7A" w14:textId="083B60AE">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Public Housing</w:t>
            </w:r>
          </w:p>
        </w:tc>
        <w:tc>
          <w:tcPr>
            <w:tcW w:w="1016"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2C780A" w14:paraId="273736BB" w14:textId="6A2C4484">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TTA</w:t>
            </w:r>
          </w:p>
        </w:tc>
        <w:tc>
          <w:tcPr>
            <w:tcW w:w="1218"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0C3B79E1" w14:textId="23A71C10">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Total</w:t>
            </w:r>
          </w:p>
        </w:tc>
      </w:tr>
      <w:tr w:rsidRPr="008631EB" w:rsidR="008666B4" w:rsidTr="00B2385F" w14:paraId="1DDB0EEF" w14:textId="77777777">
        <w:trPr>
          <w:trHeight w:val="330"/>
        </w:trPr>
        <w:tc>
          <w:tcPr>
            <w:tcW w:w="1250"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2AD1F906" w14:textId="5CEC5D1D">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Allocation (%)</w:t>
            </w:r>
          </w:p>
        </w:tc>
        <w:tc>
          <w:tcPr>
            <w:tcW w:w="1150"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544B15EC" w14:textId="72C7B16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29.37%</w:t>
            </w:r>
          </w:p>
        </w:tc>
        <w:tc>
          <w:tcPr>
            <w:tcW w:w="1139"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5F94E828" w14:textId="5481C626">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3.08%</w:t>
            </w:r>
          </w:p>
        </w:tc>
        <w:tc>
          <w:tcPr>
            <w:tcW w:w="1003"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6E9B362C" w14:textId="164B6CF5">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0.95%</w:t>
            </w:r>
          </w:p>
        </w:tc>
        <w:tc>
          <w:tcPr>
            <w:tcW w:w="1511"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537A288D" w14:textId="198E22A5">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42.64%</w:t>
            </w:r>
          </w:p>
        </w:tc>
        <w:tc>
          <w:tcPr>
            <w:tcW w:w="1057"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107278BA" w14:textId="677E788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20.66%</w:t>
            </w:r>
          </w:p>
        </w:tc>
        <w:tc>
          <w:tcPr>
            <w:tcW w:w="1016"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128E2056" w14:textId="170F7EFF">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3.30%</w:t>
            </w:r>
          </w:p>
        </w:tc>
        <w:tc>
          <w:tcPr>
            <w:tcW w:w="1218"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717B2F86" w14:textId="25CD5765">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100.00%</w:t>
            </w:r>
          </w:p>
        </w:tc>
      </w:tr>
      <w:tr w:rsidRPr="008631EB" w:rsidR="008666B4" w:rsidTr="00B2385F" w14:paraId="56022F91" w14:textId="77777777">
        <w:trPr>
          <w:trHeight w:val="330"/>
        </w:trPr>
        <w:tc>
          <w:tcPr>
            <w:tcW w:w="1250"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77D8A5FC" w14:textId="519E7E94">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Allocation ($000s)</w:t>
            </w:r>
          </w:p>
        </w:tc>
        <w:tc>
          <w:tcPr>
            <w:tcW w:w="1150"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4D64B978" w14:textId="1B397AA7">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$40,000 </w:t>
            </w:r>
          </w:p>
        </w:tc>
        <w:tc>
          <w:tcPr>
            <w:tcW w:w="1139"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2C2C136D" w14:textId="6B0DC5A4">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$4,200 </w:t>
            </w:r>
          </w:p>
        </w:tc>
        <w:tc>
          <w:tcPr>
            <w:tcW w:w="1003"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31F2067A" w14:textId="3A7D111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$1,294 </w:t>
            </w:r>
          </w:p>
        </w:tc>
        <w:tc>
          <w:tcPr>
            <w:tcW w:w="1511"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2CEF53E8" w14:textId="5921CDE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$58,076 </w:t>
            </w:r>
          </w:p>
        </w:tc>
        <w:tc>
          <w:tcPr>
            <w:tcW w:w="1057"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7472C019" w14:textId="79122613">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$28,141 </w:t>
            </w:r>
          </w:p>
        </w:tc>
        <w:tc>
          <w:tcPr>
            <w:tcW w:w="1016"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71407099" w14:textId="15E13BEE">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$4,500 </w:t>
            </w:r>
          </w:p>
        </w:tc>
        <w:tc>
          <w:tcPr>
            <w:tcW w:w="1218"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502C7E9D" w14:textId="6551A42B">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$136,211</w:t>
            </w:r>
          </w:p>
        </w:tc>
      </w:tr>
    </w:tbl>
    <w:p w:rsidRPr="008631EB" w:rsidR="008631EB" w:rsidP="008631EB" w:rsidRDefault="008631EB" w14:paraId="2CE7A20C" w14:textId="77777777">
      <w:pPr>
        <w:spacing w:after="0" w:line="240" w:lineRule="auto"/>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 </w:t>
      </w:r>
    </w:p>
    <w:p w:rsidRPr="001942D0" w:rsidR="00010E21" w:rsidP="00010E21" w:rsidRDefault="00010E21" w14:paraId="64A5DF9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BF5165" w:rsidR="00BF5165" w:rsidP="00BF5165" w:rsidRDefault="00BF5165" w14:paraId="4C5807D2" w14:textId="71C9BA3C">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On May 19, 2022, the California Public Utilities Commission (Commission) adopted Decision (D.)</w:t>
      </w:r>
      <w:r w:rsidR="00A90B15">
        <w:rPr>
          <w:rFonts w:ascii="Palatino Linotype" w:hAnsi="Palatino Linotype" w:eastAsia="Times New Roman" w:cs="Times New Roman"/>
          <w:kern w:val="0"/>
          <w14:ligatures w14:val="none"/>
        </w:rPr>
        <w:t xml:space="preserve"> </w:t>
      </w:r>
      <w:r w:rsidRPr="00BF5165">
        <w:rPr>
          <w:rFonts w:ascii="Palatino Linotype" w:hAnsi="Palatino Linotype" w:eastAsia="Times New Roman" w:cs="Times New Roman"/>
          <w:kern w:val="0"/>
          <w14:ligatures w14:val="none"/>
        </w:rPr>
        <w:t>22-05-029 establishing FY 2022-23 budget allocations for CASF. </w:t>
      </w:r>
    </w:p>
    <w:p w:rsidRPr="00BF5165" w:rsidR="00BF5165" w:rsidP="00BF5165" w:rsidRDefault="00BF5165" w14:paraId="6830F1CE" w14:textId="77777777">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 </w:t>
      </w:r>
    </w:p>
    <w:p w:rsidRPr="00BF5165" w:rsidR="00BF5165" w:rsidP="00BF5165" w:rsidRDefault="00BF5165" w14:paraId="38B968F8" w14:textId="4BCF9650">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D.22-05-029 deferred establishing allocations beyond FY 2022-23 so that</w:t>
      </w:r>
      <w:r>
        <w:rPr>
          <w:rFonts w:ascii="Palatino Linotype" w:hAnsi="Palatino Linotype" w:eastAsia="Times New Roman" w:cs="Times New Roman"/>
          <w:kern w:val="0"/>
          <w14:ligatures w14:val="none"/>
        </w:rPr>
        <w:t xml:space="preserve"> </w:t>
      </w:r>
      <w:r w:rsidRPr="00BF5165">
        <w:rPr>
          <w:rFonts w:ascii="Palatino Linotype" w:hAnsi="Palatino Linotype" w:eastAsia="Times New Roman" w:cs="Times New Roman"/>
          <w:kern w:val="0"/>
          <w14:ligatures w14:val="none"/>
        </w:rPr>
        <w:t>Communication Division (CD) staff (Staff) may later propose allocations that are responsive to the most recent trends in funding applications.</w:t>
      </w:r>
      <w:r w:rsidR="002772B9">
        <w:rPr>
          <w:rStyle w:val="FootnoteReference"/>
          <w:rFonts w:ascii="Palatino Linotype" w:hAnsi="Palatino Linotype" w:eastAsia="Times New Roman" w:cs="Times New Roman"/>
          <w:kern w:val="0"/>
          <w14:ligatures w14:val="none"/>
        </w:rPr>
        <w:footnoteReference w:id="2"/>
      </w:r>
      <w:r w:rsidR="00E01D17">
        <w:rPr>
          <w:rFonts w:ascii="Palatino Linotype" w:hAnsi="Palatino Linotype" w:eastAsia="Times New Roman" w:cs="Times New Roman"/>
          <w:kern w:val="0"/>
          <w14:ligatures w14:val="none"/>
        </w:rPr>
        <w:t xml:space="preserve"> </w:t>
      </w:r>
      <w:r w:rsidRPr="00BF5165">
        <w:rPr>
          <w:rFonts w:ascii="Palatino Linotype" w:hAnsi="Palatino Linotype" w:eastAsia="Times New Roman" w:cs="Times New Roman"/>
          <w:kern w:val="0"/>
          <w14:ligatures w14:val="none"/>
        </w:rPr>
        <w:t>In the Decision, the Commission directed Staff to propose, via Resolution, future CASF budget allocations and any changes to allocations for Commission approval.</w:t>
      </w:r>
      <w:r w:rsidR="00A34191">
        <w:rPr>
          <w:rStyle w:val="FootnoteReference"/>
          <w:rFonts w:ascii="Palatino Linotype" w:hAnsi="Palatino Linotype" w:eastAsia="Times New Roman" w:cs="Times New Roman"/>
          <w:kern w:val="0"/>
          <w14:ligatures w14:val="none"/>
        </w:rPr>
        <w:footnoteReference w:id="3"/>
      </w:r>
      <w:r w:rsidRPr="00BF5165">
        <w:rPr>
          <w:rFonts w:ascii="Palatino Linotype" w:hAnsi="Palatino Linotype" w:eastAsia="Times New Roman" w:cs="Times New Roman"/>
          <w:kern w:val="0"/>
          <w14:ligatures w14:val="none"/>
        </w:rPr>
        <w:t>  </w:t>
      </w:r>
    </w:p>
    <w:p w:rsidRPr="00BF5165" w:rsidR="00BF5165" w:rsidP="00BF5165" w:rsidRDefault="00BF5165" w14:paraId="3BFCB29C" w14:textId="77777777">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 </w:t>
      </w:r>
    </w:p>
    <w:p w:rsidRPr="00BF5165" w:rsidR="00BF5165" w:rsidP="00BF5165" w:rsidRDefault="00BF5165" w14:paraId="685CCD35" w14:textId="6EB498CC">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On June 2</w:t>
      </w:r>
      <w:r w:rsidR="00F16799">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 202</w:t>
      </w:r>
      <w:r w:rsidR="00F16799">
        <w:rPr>
          <w:rFonts w:ascii="Palatino Linotype" w:hAnsi="Palatino Linotype" w:eastAsia="Times New Roman" w:cs="Times New Roman"/>
          <w:kern w:val="0"/>
          <w14:ligatures w14:val="none"/>
        </w:rPr>
        <w:t>5</w:t>
      </w:r>
      <w:r w:rsidRPr="00BF5165">
        <w:rPr>
          <w:rFonts w:ascii="Palatino Linotype" w:hAnsi="Palatino Linotype" w:eastAsia="Times New Roman" w:cs="Times New Roman"/>
          <w:kern w:val="0"/>
          <w14:ligatures w14:val="none"/>
        </w:rPr>
        <w:t>, the Commission approved Resolution T-178</w:t>
      </w:r>
      <w:r w:rsidR="00F16799">
        <w:rPr>
          <w:rFonts w:ascii="Palatino Linotype" w:hAnsi="Palatino Linotype" w:eastAsia="Times New Roman" w:cs="Times New Roman"/>
          <w:kern w:val="0"/>
          <w14:ligatures w14:val="none"/>
        </w:rPr>
        <w:t>84</w:t>
      </w:r>
      <w:r w:rsidRPr="00BF5165">
        <w:rPr>
          <w:rFonts w:ascii="Palatino Linotype" w:hAnsi="Palatino Linotype" w:eastAsia="Times New Roman" w:cs="Times New Roman"/>
          <w:kern w:val="0"/>
          <w14:ligatures w14:val="none"/>
        </w:rPr>
        <w:t xml:space="preserve"> establishing FY 202</w:t>
      </w:r>
      <w:r w:rsidR="00F16799">
        <w:rPr>
          <w:rFonts w:ascii="Palatino Linotype" w:hAnsi="Palatino Linotype" w:eastAsia="Times New Roman" w:cs="Times New Roman"/>
          <w:kern w:val="0"/>
          <w14:ligatures w14:val="none"/>
        </w:rPr>
        <w:t>5</w:t>
      </w:r>
      <w:r w:rsidRPr="00BF5165">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 xml:space="preserve"> budget allocations as shown in Table 2. </w:t>
      </w:r>
    </w:p>
    <w:p w:rsidR="00ED3B66" w:rsidP="00BF5165" w:rsidRDefault="00ED3B66" w14:paraId="329183D2"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69F5CF32"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191334D3"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37BE2270"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5A373107" w14:textId="77777777">
      <w:pPr>
        <w:spacing w:after="0" w:line="240" w:lineRule="auto"/>
        <w:rPr>
          <w:rFonts w:ascii="Palatino Linotype" w:hAnsi="Palatino Linotype" w:eastAsia="Times New Roman" w:cs="Times New Roman"/>
          <w:kern w:val="0"/>
          <w14:ligatures w14:val="none"/>
        </w:rPr>
      </w:pP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60"/>
        <w:gridCol w:w="1123"/>
        <w:gridCol w:w="1125"/>
        <w:gridCol w:w="1047"/>
        <w:gridCol w:w="1523"/>
        <w:gridCol w:w="1068"/>
        <w:gridCol w:w="911"/>
        <w:gridCol w:w="1287"/>
      </w:tblGrid>
      <w:tr w:rsidRPr="00BF5165" w:rsidR="00BF5165" w:rsidTr="00AC75D9" w14:paraId="6CC79B19" w14:textId="77777777">
        <w:trPr>
          <w:trHeight w:val="315"/>
        </w:trPr>
        <w:tc>
          <w:tcPr>
            <w:tcW w:w="9344" w:type="dxa"/>
            <w:gridSpan w:val="8"/>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70AB0ABB" w14:textId="229B6CC4">
            <w:pPr>
              <w:spacing w:after="0" w:line="240" w:lineRule="auto"/>
              <w:jc w:val="center"/>
              <w:divId w:val="1819615161"/>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lastRenderedPageBreak/>
              <w:t> </w:t>
            </w:r>
            <w:r w:rsidRPr="00BF5165">
              <w:rPr>
                <w:rFonts w:ascii="Palatino Linotype" w:hAnsi="Palatino Linotype" w:eastAsia="Times New Roman" w:cs="Times New Roman"/>
                <w:b/>
                <w:bCs/>
                <w:kern w:val="0"/>
                <w14:ligatures w14:val="none"/>
              </w:rPr>
              <w:t>Table 2 - FY 202</w:t>
            </w:r>
            <w:r w:rsidR="00695103">
              <w:rPr>
                <w:rFonts w:ascii="Palatino Linotype" w:hAnsi="Palatino Linotype" w:eastAsia="Times New Roman" w:cs="Times New Roman"/>
                <w:b/>
                <w:bCs/>
                <w:kern w:val="0"/>
                <w14:ligatures w14:val="none"/>
              </w:rPr>
              <w:t>5</w:t>
            </w:r>
            <w:r w:rsidRPr="00BF5165">
              <w:rPr>
                <w:rFonts w:ascii="Palatino Linotype" w:hAnsi="Palatino Linotype" w:eastAsia="Times New Roman" w:cs="Times New Roman"/>
                <w:b/>
                <w:bCs/>
                <w:kern w:val="0"/>
                <w14:ligatures w14:val="none"/>
              </w:rPr>
              <w:t>-2</w:t>
            </w:r>
            <w:r w:rsidR="00695103">
              <w:rPr>
                <w:rFonts w:ascii="Palatino Linotype" w:hAnsi="Palatino Linotype" w:eastAsia="Times New Roman" w:cs="Times New Roman"/>
                <w:b/>
                <w:bCs/>
                <w:kern w:val="0"/>
                <w14:ligatures w14:val="none"/>
              </w:rPr>
              <w:t>6</w:t>
            </w:r>
            <w:r w:rsidRPr="00BF5165">
              <w:rPr>
                <w:rFonts w:ascii="Palatino Linotype" w:hAnsi="Palatino Linotype" w:eastAsia="Times New Roman" w:cs="Times New Roman"/>
                <w:b/>
                <w:bCs/>
                <w:kern w:val="0"/>
                <w14:ligatures w14:val="none"/>
              </w:rPr>
              <w:t xml:space="preserve"> Allocation of CASF Budget ($</w:t>
            </w:r>
            <w:proofErr w:type="gramStart"/>
            <w:r w:rsidRPr="00BF5165">
              <w:rPr>
                <w:rFonts w:ascii="Palatino Linotype" w:hAnsi="Palatino Linotype" w:eastAsia="Times New Roman" w:cs="Times New Roman"/>
                <w:b/>
                <w:bCs/>
                <w:kern w:val="0"/>
                <w14:ligatures w14:val="none"/>
              </w:rPr>
              <w:t>000’s</w:t>
            </w:r>
            <w:proofErr w:type="gramEnd"/>
            <w:r w:rsidRPr="00BF5165">
              <w:rPr>
                <w:rFonts w:ascii="Palatino Linotype" w:hAnsi="Palatino Linotype" w:eastAsia="Times New Roman" w:cs="Times New Roman"/>
                <w:b/>
                <w:bCs/>
                <w:kern w:val="0"/>
                <w14:ligatures w14:val="none"/>
              </w:rPr>
              <w:t>), Approved</w:t>
            </w:r>
          </w:p>
        </w:tc>
      </w:tr>
      <w:tr w:rsidRPr="00BF5165" w:rsidR="008666B4" w:rsidTr="00AC75D9" w14:paraId="7A38CDC3" w14:textId="77777777">
        <w:trPr>
          <w:trHeight w:val="675"/>
        </w:trPr>
        <w:tc>
          <w:tcPr>
            <w:tcW w:w="1260"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4095EEF7" w14:textId="00D7776D">
            <w:pPr>
              <w:spacing w:after="0" w:line="240" w:lineRule="auto"/>
              <w:jc w:val="center"/>
              <w:rPr>
                <w:rFonts w:ascii="Palatino Linotype" w:hAnsi="Palatino Linotype" w:eastAsia="Times New Roman" w:cs="Times New Roman"/>
                <w:kern w:val="0"/>
                <w14:ligatures w14:val="none"/>
              </w:rPr>
            </w:pPr>
          </w:p>
        </w:tc>
        <w:tc>
          <w:tcPr>
            <w:tcW w:w="1123"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52FD4E53" w14:textId="650D2FC4">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Adoption</w:t>
            </w:r>
          </w:p>
        </w:tc>
        <w:tc>
          <w:tcPr>
            <w:tcW w:w="1125"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5AB2A2C3" w14:textId="45EE619F">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Consortia</w:t>
            </w:r>
          </w:p>
        </w:tc>
        <w:tc>
          <w:tcPr>
            <w:tcW w:w="1047"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2C780A" w14:paraId="121B002A" w14:textId="560B99F2">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LEP</w:t>
            </w:r>
          </w:p>
        </w:tc>
        <w:tc>
          <w:tcPr>
            <w:tcW w:w="1523"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30E1FF42" w14:textId="30364D3C">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Infrastructure</w:t>
            </w:r>
          </w:p>
        </w:tc>
        <w:tc>
          <w:tcPr>
            <w:tcW w:w="1068"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690A6310" w14:textId="2E3DD37C">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Public Housing</w:t>
            </w:r>
          </w:p>
        </w:tc>
        <w:tc>
          <w:tcPr>
            <w:tcW w:w="911"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2C780A" w14:paraId="4E873FB8" w14:textId="0F1699E2">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TTA</w:t>
            </w:r>
          </w:p>
        </w:tc>
        <w:tc>
          <w:tcPr>
            <w:tcW w:w="1287"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35A446B1" w14:textId="7E766BB2">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Total</w:t>
            </w:r>
          </w:p>
        </w:tc>
      </w:tr>
      <w:tr w:rsidRPr="00BF5165" w:rsidR="008666B4" w:rsidTr="00AC75D9" w14:paraId="23A5CAF5" w14:textId="77777777">
        <w:trPr>
          <w:trHeight w:val="330"/>
        </w:trPr>
        <w:tc>
          <w:tcPr>
            <w:tcW w:w="1260"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703AAD65" w14:textId="200E8E7E">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Allocation (%)</w:t>
            </w:r>
          </w:p>
        </w:tc>
        <w:tc>
          <w:tcPr>
            <w:tcW w:w="11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161AE9C4" w14:textId="663AE537">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22.02%</w:t>
            </w:r>
          </w:p>
        </w:tc>
        <w:tc>
          <w:tcPr>
            <w:tcW w:w="1125"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2186B13D" w14:textId="2F015848">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7.21%</w:t>
            </w:r>
          </w:p>
        </w:tc>
        <w:tc>
          <w:tcPr>
            <w:tcW w:w="104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474A2B01" w14:textId="53B131D0">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0.95%</w:t>
            </w:r>
          </w:p>
        </w:tc>
        <w:tc>
          <w:tcPr>
            <w:tcW w:w="15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0360A7E6" w14:textId="7B6867F6">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44.39%</w:t>
            </w:r>
          </w:p>
        </w:tc>
        <w:tc>
          <w:tcPr>
            <w:tcW w:w="1068"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2E15D090" w14:textId="3293B77F">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22.13%</w:t>
            </w:r>
          </w:p>
        </w:tc>
        <w:tc>
          <w:tcPr>
            <w:tcW w:w="911"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15EEEC06" w14:textId="7E5F7332">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3.3%</w:t>
            </w:r>
          </w:p>
        </w:tc>
        <w:tc>
          <w:tcPr>
            <w:tcW w:w="128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09E14F24" w14:textId="6D0A49AA">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100.00%</w:t>
            </w:r>
          </w:p>
        </w:tc>
      </w:tr>
      <w:tr w:rsidRPr="00BF5165" w:rsidR="008666B4" w:rsidTr="00AC75D9" w14:paraId="6FAAA535" w14:textId="77777777">
        <w:trPr>
          <w:trHeight w:val="330"/>
        </w:trPr>
        <w:tc>
          <w:tcPr>
            <w:tcW w:w="1260"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2A67D94B" w14:textId="3EB8FE10">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Allocation ($000s)</w:t>
            </w:r>
          </w:p>
        </w:tc>
        <w:tc>
          <w:tcPr>
            <w:tcW w:w="11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6D07E63D" w14:textId="026BDE0A">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$30,000</w:t>
            </w:r>
          </w:p>
        </w:tc>
        <w:tc>
          <w:tcPr>
            <w:tcW w:w="1125"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6318A3C0" w14:textId="33F0350A">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$9,818</w:t>
            </w:r>
          </w:p>
        </w:tc>
        <w:tc>
          <w:tcPr>
            <w:tcW w:w="104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434EE4AD" w14:textId="5984532A">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$1,294</w:t>
            </w:r>
            <w:r>
              <w:rPr>
                <w:rStyle w:val="FootnoteReference"/>
                <w:rFonts w:ascii="Palatino Linotype" w:hAnsi="Palatino Linotype" w:eastAsia="Times New Roman" w:cs="Times New Roman"/>
                <w:kern w:val="0"/>
                <w14:ligatures w14:val="none"/>
              </w:rPr>
              <w:footnoteReference w:id="4"/>
            </w:r>
          </w:p>
        </w:tc>
        <w:tc>
          <w:tcPr>
            <w:tcW w:w="15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44A79837" w14:textId="799A7E95">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$60,458</w:t>
            </w:r>
          </w:p>
        </w:tc>
        <w:tc>
          <w:tcPr>
            <w:tcW w:w="1068"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6C8747E0" w14:textId="4021A78E">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$30,141</w:t>
            </w:r>
          </w:p>
        </w:tc>
        <w:tc>
          <w:tcPr>
            <w:tcW w:w="911"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1CDD4AAC" w14:textId="5362604B">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$4,500</w:t>
            </w:r>
          </w:p>
        </w:tc>
        <w:tc>
          <w:tcPr>
            <w:tcW w:w="128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70866A58" w14:textId="0C54F076">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$136,211</w:t>
            </w:r>
            <w:r>
              <w:rPr>
                <w:rStyle w:val="FootnoteReference"/>
                <w:rFonts w:ascii="Palatino Linotype" w:hAnsi="Palatino Linotype" w:eastAsia="Times New Roman" w:cs="Times New Roman"/>
                <w:kern w:val="0"/>
                <w14:ligatures w14:val="none"/>
              </w:rPr>
              <w:footnoteReference w:id="5"/>
            </w:r>
          </w:p>
        </w:tc>
      </w:tr>
    </w:tbl>
    <w:p w:rsidR="00457409" w:rsidP="00BF5165" w:rsidRDefault="00457409" w14:paraId="50797A5A" w14:textId="77777777">
      <w:pPr>
        <w:spacing w:after="0" w:line="240" w:lineRule="auto"/>
        <w:rPr>
          <w:rFonts w:ascii="Palatino Linotype" w:hAnsi="Palatino Linotype" w:eastAsia="Times New Roman" w:cs="Times New Roman"/>
          <w:kern w:val="0"/>
          <w14:ligatures w14:val="none"/>
        </w:rPr>
      </w:pPr>
    </w:p>
    <w:p w:rsidRPr="00BF5165" w:rsidR="00BF5165" w:rsidP="00BF5165" w:rsidRDefault="00BF5165" w14:paraId="4DA91E27" w14:textId="1ADAB068">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For FY 202</w:t>
      </w:r>
      <w:r w:rsidR="003B0473">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-2</w:t>
      </w:r>
      <w:r w:rsidR="003B0473">
        <w:rPr>
          <w:rFonts w:ascii="Palatino Linotype" w:hAnsi="Palatino Linotype" w:eastAsia="Times New Roman" w:cs="Times New Roman"/>
          <w:kern w:val="0"/>
          <w14:ligatures w14:val="none"/>
        </w:rPr>
        <w:t>7</w:t>
      </w:r>
      <w:r w:rsidRPr="00BF5165">
        <w:rPr>
          <w:rFonts w:ascii="Palatino Linotype" w:hAnsi="Palatino Linotype" w:eastAsia="Times New Roman" w:cs="Times New Roman"/>
          <w:kern w:val="0"/>
          <w14:ligatures w14:val="none"/>
        </w:rPr>
        <w:t>, the Commission proposed to maintain the local assistance budget authority at $136.211 million. This budget augmentation request was approved and included in the 202</w:t>
      </w:r>
      <w:r w:rsidR="003B0473">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-2</w:t>
      </w:r>
      <w:r w:rsidR="003B0473">
        <w:rPr>
          <w:rFonts w:ascii="Palatino Linotype" w:hAnsi="Palatino Linotype" w:eastAsia="Times New Roman" w:cs="Times New Roman"/>
          <w:kern w:val="0"/>
          <w14:ligatures w14:val="none"/>
        </w:rPr>
        <w:t>7</w:t>
      </w:r>
      <w:r w:rsidRPr="00BF5165">
        <w:rPr>
          <w:rFonts w:ascii="Palatino Linotype" w:hAnsi="Palatino Linotype" w:eastAsia="Times New Roman" w:cs="Times New Roman"/>
          <w:kern w:val="0"/>
          <w14:ligatures w14:val="none"/>
        </w:rPr>
        <w:t xml:space="preserve"> Governor’s Budget </w:t>
      </w:r>
      <w:r w:rsidRPr="00DB58EB">
        <w:rPr>
          <w:rFonts w:ascii="Palatino Linotype" w:hAnsi="Palatino Linotype" w:eastAsia="Times New Roman" w:cs="Times New Roman"/>
          <w:kern w:val="0"/>
          <w14:ligatures w14:val="none"/>
        </w:rPr>
        <w:t xml:space="preserve">released on January </w:t>
      </w:r>
      <w:r w:rsidRPr="00DB58EB" w:rsidR="00DB58EB">
        <w:rPr>
          <w:rFonts w:ascii="Palatino Linotype" w:hAnsi="Palatino Linotype" w:eastAsia="Times New Roman" w:cs="Times New Roman"/>
          <w:kern w:val="0"/>
          <w14:ligatures w14:val="none"/>
        </w:rPr>
        <w:t>9</w:t>
      </w:r>
      <w:r w:rsidRPr="00DB58EB">
        <w:rPr>
          <w:rFonts w:ascii="Palatino Linotype" w:hAnsi="Palatino Linotype" w:eastAsia="Times New Roman" w:cs="Times New Roman"/>
          <w:kern w:val="0"/>
          <w14:ligatures w14:val="none"/>
        </w:rPr>
        <w:t>, 202</w:t>
      </w:r>
      <w:r w:rsidRPr="00DB58EB" w:rsidR="00DB58EB">
        <w:rPr>
          <w:rFonts w:ascii="Palatino Linotype" w:hAnsi="Palatino Linotype" w:eastAsia="Times New Roman" w:cs="Times New Roman"/>
          <w:kern w:val="0"/>
          <w14:ligatures w14:val="none"/>
        </w:rPr>
        <w:t>6</w:t>
      </w:r>
      <w:r w:rsidRPr="00DB58EB">
        <w:rPr>
          <w:rFonts w:ascii="Palatino Linotype" w:hAnsi="Palatino Linotype" w:eastAsia="Times New Roman" w:cs="Times New Roman"/>
          <w:kern w:val="0"/>
          <w14:ligatures w14:val="none"/>
        </w:rPr>
        <w:t>.</w:t>
      </w:r>
      <w:r w:rsidRPr="00BF5165">
        <w:rPr>
          <w:rFonts w:ascii="Palatino Linotype" w:hAnsi="Palatino Linotype" w:eastAsia="Times New Roman" w:cs="Times New Roman"/>
          <w:kern w:val="0"/>
          <w14:ligatures w14:val="none"/>
        </w:rPr>
        <w:t xml:space="preserve">  </w:t>
      </w:r>
    </w:p>
    <w:p w:rsidRPr="001942D0" w:rsidR="00010E21" w:rsidP="00010E21" w:rsidRDefault="00010E21" w14:paraId="259BD2C9" w14:textId="77777777">
      <w:pPr>
        <w:spacing w:after="0" w:line="240" w:lineRule="auto"/>
        <w:rPr>
          <w:rFonts w:ascii="Palatino Linotype" w:hAnsi="Palatino Linotype" w:eastAsia="Palatino Linotype" w:cs="Times New Roman"/>
          <w:kern w:val="0"/>
          <w14:ligatures w14:val="none"/>
        </w:rPr>
      </w:pPr>
    </w:p>
    <w:p w:rsidRPr="001942D0" w:rsidR="00010E21" w:rsidP="00010E21" w:rsidRDefault="00010E21" w14:paraId="65F2379E"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Pr="00EF399B" w:rsidR="00EF399B" w:rsidP="00EF399B" w:rsidRDefault="00EF399B" w14:paraId="0BDC18A4" w14:textId="312EF14E">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CASF’s Adoption, Consortia, </w:t>
      </w:r>
      <w:r w:rsidR="002C780A">
        <w:rPr>
          <w:rFonts w:ascii="Palatino Linotype" w:hAnsi="Palatino Linotype" w:eastAsia="Palatino Linotype" w:cs="Times New Roman"/>
          <w:kern w:val="0"/>
          <w14:ligatures w14:val="none"/>
        </w:rPr>
        <w:t>LEP</w:t>
      </w:r>
      <w:r w:rsidRPr="00EF399B">
        <w:rPr>
          <w:rFonts w:ascii="Palatino Linotype" w:hAnsi="Palatino Linotype" w:eastAsia="Palatino Linotype" w:cs="Times New Roman"/>
          <w:kern w:val="0"/>
          <w14:ligatures w14:val="none"/>
        </w:rPr>
        <w:t xml:space="preserve">, Infrastructure, Public Housing, and </w:t>
      </w:r>
      <w:r w:rsidR="002C780A">
        <w:rPr>
          <w:rFonts w:ascii="Palatino Linotype" w:hAnsi="Palatino Linotype" w:eastAsia="Palatino Linotype" w:cs="Times New Roman"/>
          <w:kern w:val="0"/>
          <w14:ligatures w14:val="none"/>
        </w:rPr>
        <w:t>TTA</w:t>
      </w:r>
      <w:r w:rsidRPr="00EF399B">
        <w:rPr>
          <w:rFonts w:ascii="Palatino Linotype" w:hAnsi="Palatino Linotype" w:eastAsia="Palatino Linotype" w:cs="Times New Roman"/>
          <w:kern w:val="0"/>
          <w14:ligatures w14:val="none"/>
        </w:rPr>
        <w:t xml:space="preserve"> accounts are funded through a surcharge whereby revenues are deposited to CASF Fund 3141 with the State’s Treasury. Pursuant to Public Utilities (Pub. Util.) Code section 270, subd. (b), money in the funds may only be expended upon appropriation in the Annual Budget Act or upon supplemental appropriation. Local Assistance is an expense category specified in the annual Budget Act</w:t>
      </w:r>
      <w:r w:rsidR="00476CC1">
        <w:rPr>
          <w:rStyle w:val="FootnoteReference"/>
          <w:rFonts w:ascii="Palatino Linotype" w:hAnsi="Palatino Linotype" w:eastAsia="Palatino Linotype" w:cs="Times New Roman"/>
          <w:kern w:val="0"/>
          <w14:ligatures w14:val="none"/>
        </w:rPr>
        <w:footnoteReference w:id="6"/>
      </w:r>
      <w:r w:rsidRPr="00EF399B">
        <w:rPr>
          <w:rFonts w:ascii="Palatino Linotype" w:hAnsi="Palatino Linotype" w:eastAsia="Palatino Linotype" w:cs="Times New Roman"/>
          <w:kern w:val="0"/>
          <w14:ligatures w14:val="none"/>
        </w:rPr>
        <w:t xml:space="preserve"> used by CASF to fund awards.</w:t>
      </w:r>
      <w:r w:rsidR="00476CC1">
        <w:rPr>
          <w:rStyle w:val="FootnoteReference"/>
          <w:rFonts w:ascii="Palatino Linotype" w:hAnsi="Palatino Linotype" w:eastAsia="Palatino Linotype" w:cs="Times New Roman"/>
          <w:kern w:val="0"/>
          <w14:ligatures w14:val="none"/>
        </w:rPr>
        <w:footnoteReference w:id="7"/>
      </w:r>
      <w:r w:rsidRPr="00EF399B">
        <w:rPr>
          <w:rFonts w:ascii="Palatino Linotype" w:hAnsi="Palatino Linotype" w:eastAsia="Palatino Linotype" w:cs="Times New Roman"/>
          <w:kern w:val="0"/>
          <w14:ligatures w14:val="none"/>
        </w:rPr>
        <w:t xml:space="preserve"> This Resolution addresses allocations of CASF’s $136.211 million Local Assistance budget for FY 202</w:t>
      </w:r>
      <w:r w:rsidR="00C64FB6">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C64FB6">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w:t>
      </w:r>
      <w:r w:rsidR="00A14946">
        <w:rPr>
          <w:rStyle w:val="FootnoteReference"/>
          <w:rFonts w:ascii="Palatino Linotype" w:hAnsi="Palatino Linotype" w:eastAsia="Palatino Linotype" w:cs="Times New Roman"/>
          <w:kern w:val="0"/>
          <w14:ligatures w14:val="none"/>
        </w:rPr>
        <w:footnoteReference w:id="8"/>
      </w:r>
      <w:r w:rsidRPr="00EF399B">
        <w:rPr>
          <w:rFonts w:ascii="Palatino Linotype" w:hAnsi="Palatino Linotype" w:eastAsia="Palatino Linotype" w:cs="Times New Roman"/>
          <w:kern w:val="0"/>
          <w14:ligatures w14:val="none"/>
        </w:rPr>
        <w:t xml:space="preserve"> Staff’s proposed FY 202</w:t>
      </w:r>
      <w:r w:rsidR="00C64FB6">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C64FB6">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 xml:space="preserve"> allocation of CASF budget is presented in Table 1. </w:t>
      </w:r>
    </w:p>
    <w:p w:rsidRPr="00EF399B" w:rsidR="00EF399B" w:rsidP="00EF399B" w:rsidRDefault="00EF399B" w14:paraId="15AA0B6C"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3784D86B"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Adoption</w:t>
      </w:r>
      <w:r w:rsidRPr="00EF399B">
        <w:rPr>
          <w:rFonts w:ascii="Palatino Linotype" w:hAnsi="Palatino Linotype" w:eastAsia="Palatino Linotype" w:cs="Times New Roman"/>
          <w:kern w:val="0"/>
          <w14:ligatures w14:val="none"/>
        </w:rPr>
        <w:t> </w:t>
      </w:r>
    </w:p>
    <w:p w:rsidRPr="00EF399B" w:rsidR="00EF399B" w:rsidP="00EF399B" w:rsidRDefault="00EF399B" w14:paraId="7E6F64D2"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7AE73C2" w:rsidRDefault="007F4079" w14:paraId="6CA43D70" w14:textId="7D40E080">
      <w:pPr>
        <w:spacing w:after="0" w:line="240" w:lineRule="auto"/>
        <w:contextualSpacing/>
        <w:rPr>
          <w:rFonts w:ascii="Palatino Linotype" w:hAnsi="Palatino Linotype" w:eastAsia="Palatino Linotype" w:cs="Times New Roman"/>
        </w:rPr>
      </w:pPr>
      <w:r w:rsidRPr="007F4079">
        <w:rPr>
          <w:rFonts w:ascii="Palatino Linotype" w:hAnsi="Palatino Linotype" w:eastAsia="Palatino Linotype" w:cs="Times New Roman"/>
          <w:kern w:val="0"/>
          <w14:ligatures w14:val="none"/>
        </w:rPr>
        <w:t>The fiscal years 2022-23, 2023-24, and 2024-25 had relatively stable levels of funding requests; hence, the budget for FY 2025-26 was adjusted to $30 million based on the historical level of funding. However, funding requests increased substantially for FY 2025-26 (increasing 5</w:t>
      </w:r>
      <w:r w:rsidRPr="007F4079" w:rsidR="488BEAA4">
        <w:rPr>
          <w:rFonts w:ascii="Palatino Linotype" w:hAnsi="Palatino Linotype" w:eastAsia="Palatino Linotype" w:cs="Times New Roman"/>
          <w:kern w:val="0"/>
          <w14:ligatures w14:val="none"/>
        </w:rPr>
        <w:t>3.5</w:t>
      </w:r>
      <w:r w:rsidRPr="007F4079">
        <w:rPr>
          <w:rFonts w:ascii="Palatino Linotype" w:hAnsi="Palatino Linotype" w:eastAsia="Palatino Linotype" w:cs="Times New Roman"/>
          <w:kern w:val="0"/>
          <w14:ligatures w14:val="none"/>
        </w:rPr>
        <w:t>% over FY 2024-25, with a larger percentage increase for the first round in FY 2025-26 than the second round). Given the</w:t>
      </w:r>
      <w:r w:rsidR="00232F88">
        <w:rPr>
          <w:rFonts w:ascii="Palatino Linotype" w:hAnsi="Palatino Linotype" w:eastAsia="Palatino Linotype" w:cs="Times New Roman"/>
          <w:kern w:val="0"/>
          <w14:ligatures w14:val="none"/>
        </w:rPr>
        <w:t xml:space="preserve"> recent</w:t>
      </w:r>
      <w:r w:rsidRPr="007F4079">
        <w:rPr>
          <w:rFonts w:ascii="Palatino Linotype" w:hAnsi="Palatino Linotype" w:eastAsia="Palatino Linotype" w:cs="Times New Roman"/>
          <w:kern w:val="0"/>
          <w14:ligatures w14:val="none"/>
        </w:rPr>
        <w:t xml:space="preserve"> increase in funding requests, Staff recommends a budget of $40 million for FY 2026-27.</w:t>
      </w:r>
    </w:p>
    <w:p w:rsidRPr="00EF399B" w:rsidR="00EF399B" w:rsidP="1CC7B4F0" w:rsidRDefault="007F4079" w14:paraId="3426FB16" w14:textId="18D30452">
      <w:pPr>
        <w:spacing w:after="0" w:line="240" w:lineRule="auto"/>
        <w:contextualSpacing/>
        <w:rPr>
          <w:rFonts w:ascii="Palatino Linotype" w:hAnsi="Palatino Linotype" w:eastAsia="Palatino Linotype" w:cs="Times New Roman"/>
          <w:kern w:val="0"/>
          <w14:ligatures w14:val="none"/>
        </w:rPr>
      </w:pPr>
      <w:r w:rsidRPr="007F4079">
        <w:rPr>
          <w:rFonts w:ascii="Palatino Linotype" w:hAnsi="Palatino Linotype" w:eastAsia="Palatino Linotype" w:cs="Times New Roman"/>
          <w:kern w:val="0"/>
          <w14:ligatures w14:val="none"/>
        </w:rPr>
        <w:lastRenderedPageBreak/>
        <w:t xml:space="preserve">  </w:t>
      </w:r>
      <w:r w:rsidRPr="00EF399B" w:rsidR="00EF399B">
        <w:rPr>
          <w:rFonts w:ascii="Palatino Linotype" w:hAnsi="Palatino Linotype" w:eastAsia="Palatino Linotype" w:cs="Times New Roman"/>
          <w:kern w:val="0"/>
          <w14:ligatures w14:val="none"/>
        </w:rPr>
        <w:t> </w:t>
      </w:r>
    </w:p>
    <w:p w:rsidRPr="00EF399B" w:rsidR="00EF399B" w:rsidP="00EF399B" w:rsidRDefault="00EF399B" w14:paraId="567B5C66" w14:textId="32AFBA4E">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Consortia</w:t>
      </w:r>
      <w:r w:rsidRPr="00EF399B">
        <w:rPr>
          <w:rFonts w:ascii="Palatino Linotype" w:hAnsi="Palatino Linotype" w:eastAsia="Palatino Linotype" w:cs="Times New Roman"/>
          <w:kern w:val="0"/>
          <w14:ligatures w14:val="none"/>
        </w:rPr>
        <w:t> </w:t>
      </w:r>
    </w:p>
    <w:p w:rsidRPr="00EF399B" w:rsidR="00EF399B" w:rsidP="00EF399B" w:rsidRDefault="00EF399B" w14:paraId="559493FD"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34034F" w:rsidR="00EF399B" w:rsidP="00EF399B" w:rsidRDefault="00EF399B" w14:paraId="3FFE3012" w14:textId="4F98F1C0">
      <w:pPr>
        <w:spacing w:after="0" w:line="240" w:lineRule="auto"/>
        <w:contextualSpacing/>
        <w:rPr>
          <w:rFonts w:ascii="Palatino Linotype" w:hAnsi="Palatino Linotype" w:eastAsia="Palatino Linotype" w:cs="Times New Roman"/>
          <w:kern w:val="0"/>
          <w14:ligatures w14:val="none"/>
        </w:rPr>
      </w:pPr>
      <w:r w:rsidRPr="0034034F">
        <w:rPr>
          <w:rFonts w:ascii="Palatino Linotype" w:hAnsi="Palatino Linotype" w:eastAsia="Palatino Linotype" w:cs="Times New Roman"/>
          <w:kern w:val="0"/>
          <w14:ligatures w14:val="none"/>
        </w:rPr>
        <w:t>On January 12, 2023, the Commission adopted Resolution T-17778, awarding a total amount of $10.333 million to the 15 regional consortia. These 15 consortia grants commenced on February 1, 2023, or thereafter and covered a period ranging from three to five years.  </w:t>
      </w:r>
    </w:p>
    <w:p w:rsidRPr="00710EE7" w:rsidR="00710EE7" w:rsidP="00710EE7" w:rsidRDefault="00710EE7" w14:paraId="1406957A" w14:textId="77777777">
      <w:pPr>
        <w:spacing w:after="0" w:line="240" w:lineRule="auto"/>
        <w:contextualSpacing/>
        <w:rPr>
          <w:rFonts w:ascii="Palatino Linotype" w:hAnsi="Palatino Linotype" w:eastAsia="Palatino Linotype" w:cs="Times New Roman"/>
          <w:kern w:val="0"/>
          <w14:ligatures w14:val="none"/>
        </w:rPr>
      </w:pPr>
    </w:p>
    <w:p w:rsidR="009D4EC5" w:rsidP="001E5C46" w:rsidRDefault="00710EE7" w14:paraId="553BB41F" w14:textId="69C59220">
      <w:pPr>
        <w:spacing w:after="0" w:line="240" w:lineRule="auto"/>
        <w:contextualSpacing/>
        <w:rPr>
          <w:rFonts w:ascii="Palatino Linotype" w:hAnsi="Palatino Linotype" w:eastAsia="Palatino Linotype" w:cs="Times New Roman"/>
          <w:kern w:val="0"/>
          <w14:ligatures w14:val="none"/>
        </w:rPr>
      </w:pPr>
      <w:r w:rsidRPr="00710EE7">
        <w:rPr>
          <w:rFonts w:ascii="Palatino Linotype" w:hAnsi="Palatino Linotype" w:eastAsia="Palatino Linotype" w:cs="Times New Roman"/>
          <w:kern w:val="0"/>
          <w14:ligatures w14:val="none"/>
        </w:rPr>
        <w:t xml:space="preserve">On November 20, 2025, the Commission adopted D.25-11-003, which modified program rules for the Consortia Account. </w:t>
      </w:r>
      <w:r w:rsidR="0039007B">
        <w:rPr>
          <w:rFonts w:ascii="Palatino Linotype" w:hAnsi="Palatino Linotype" w:eastAsia="Palatino Linotype" w:cs="Times New Roman"/>
          <w:kern w:val="0"/>
          <w14:ligatures w14:val="none"/>
        </w:rPr>
        <w:t>These c</w:t>
      </w:r>
      <w:r w:rsidRPr="00710EE7">
        <w:rPr>
          <w:rFonts w:ascii="Palatino Linotype" w:hAnsi="Palatino Linotype" w:eastAsia="Palatino Linotype" w:cs="Times New Roman"/>
          <w:kern w:val="0"/>
          <w14:ligatures w14:val="none"/>
        </w:rPr>
        <w:t xml:space="preserve">hanges include </w:t>
      </w:r>
      <w:r w:rsidR="00AA7E0A">
        <w:rPr>
          <w:rFonts w:ascii="Palatino Linotype" w:hAnsi="Palatino Linotype" w:eastAsia="Palatino Linotype" w:cs="Times New Roman"/>
          <w:kern w:val="0"/>
          <w14:ligatures w14:val="none"/>
        </w:rPr>
        <w:t>authorizing</w:t>
      </w:r>
      <w:r w:rsidR="008044EB">
        <w:rPr>
          <w:rFonts w:ascii="Palatino Linotype" w:hAnsi="Palatino Linotype" w:eastAsia="Palatino Linotype" w:cs="Times New Roman"/>
          <w:kern w:val="0"/>
          <w14:ligatures w14:val="none"/>
        </w:rPr>
        <w:t xml:space="preserve"> </w:t>
      </w:r>
      <w:r w:rsidR="00581B5C">
        <w:rPr>
          <w:rFonts w:ascii="Palatino Linotype" w:hAnsi="Palatino Linotype" w:eastAsia="Palatino Linotype" w:cs="Times New Roman"/>
          <w:kern w:val="0"/>
          <w14:ligatures w14:val="none"/>
        </w:rPr>
        <w:t xml:space="preserve">applications </w:t>
      </w:r>
      <w:r w:rsidR="00C62AEE">
        <w:rPr>
          <w:rFonts w:ascii="Palatino Linotype" w:hAnsi="Palatino Linotype" w:eastAsia="Palatino Linotype" w:cs="Times New Roman"/>
          <w:kern w:val="0"/>
          <w14:ligatures w14:val="none"/>
        </w:rPr>
        <w:t xml:space="preserve">to form </w:t>
      </w:r>
      <w:r w:rsidRPr="00AA2F28" w:rsidR="00AA2F28">
        <w:rPr>
          <w:rFonts w:ascii="Palatino Linotype" w:hAnsi="Palatino Linotype" w:eastAsia="Palatino Linotype" w:cs="Times New Roman"/>
          <w:kern w:val="0"/>
          <w14:ligatures w14:val="none"/>
        </w:rPr>
        <w:t>Tribal Consortia</w:t>
      </w:r>
      <w:r w:rsidR="00631C7E">
        <w:rPr>
          <w:rFonts w:ascii="Palatino Linotype" w:hAnsi="Palatino Linotype" w:eastAsia="Palatino Linotype" w:cs="Times New Roman"/>
          <w:kern w:val="0"/>
          <w14:ligatures w14:val="none"/>
        </w:rPr>
        <w:t xml:space="preserve"> </w:t>
      </w:r>
      <w:r w:rsidRPr="00AA2F28" w:rsidR="00AA2F28">
        <w:rPr>
          <w:rFonts w:ascii="Palatino Linotype" w:hAnsi="Palatino Linotype" w:eastAsia="Palatino Linotype" w:cs="Times New Roman"/>
          <w:kern w:val="0"/>
          <w14:ligatures w14:val="none"/>
        </w:rPr>
        <w:t xml:space="preserve">from Regional Tribal Consortia </w:t>
      </w:r>
      <w:r w:rsidR="003130DF">
        <w:rPr>
          <w:rFonts w:ascii="Palatino Linotype" w:hAnsi="Palatino Linotype" w:eastAsia="Palatino Linotype" w:cs="Times New Roman"/>
          <w:kern w:val="0"/>
          <w14:ligatures w14:val="none"/>
        </w:rPr>
        <w:t>in</w:t>
      </w:r>
      <w:r w:rsidRPr="00AA2F28" w:rsidR="00AA2F28">
        <w:rPr>
          <w:rFonts w:ascii="Palatino Linotype" w:hAnsi="Palatino Linotype" w:eastAsia="Palatino Linotype" w:cs="Times New Roman"/>
          <w:kern w:val="0"/>
          <w14:ligatures w14:val="none"/>
        </w:rPr>
        <w:t xml:space="preserve"> Northern, Central, and Southern </w:t>
      </w:r>
      <w:r w:rsidRPr="00710EE7" w:rsidDel="00E672FA">
        <w:rPr>
          <w:rFonts w:ascii="Palatino Linotype" w:hAnsi="Palatino Linotype" w:eastAsia="Palatino Linotype" w:cs="Times New Roman"/>
          <w:kern w:val="0"/>
          <w14:ligatures w14:val="none"/>
        </w:rPr>
        <w:t>California</w:t>
      </w:r>
      <w:r w:rsidRPr="00710EE7">
        <w:rPr>
          <w:rFonts w:ascii="Palatino Linotype" w:hAnsi="Palatino Linotype" w:eastAsia="Palatino Linotype" w:cs="Times New Roman"/>
          <w:kern w:val="0"/>
          <w14:ligatures w14:val="none"/>
        </w:rPr>
        <w:t>, expanding the scope of reimbursable work to include work related to the federal Broadband, Equity, Access and Deployment (BEAD) program and future broadband deployment programs, and streamlining administrative burdens.</w:t>
      </w:r>
      <w:r>
        <w:rPr>
          <w:rFonts w:ascii="Palatino Linotype" w:hAnsi="Palatino Linotype" w:eastAsia="Palatino Linotype" w:cs="Times New Roman"/>
          <w:kern w:val="0"/>
          <w14:ligatures w14:val="none"/>
        </w:rPr>
        <w:t xml:space="preserve"> </w:t>
      </w:r>
    </w:p>
    <w:p w:rsidR="009D4EC5" w:rsidP="001E5C46" w:rsidRDefault="009D4EC5" w14:paraId="56859D0C" w14:textId="77777777">
      <w:pPr>
        <w:spacing w:after="0" w:line="240" w:lineRule="auto"/>
        <w:contextualSpacing/>
        <w:rPr>
          <w:rFonts w:ascii="Palatino Linotype" w:hAnsi="Palatino Linotype" w:eastAsia="Palatino Linotype" w:cs="Times New Roman"/>
          <w:kern w:val="0"/>
          <w14:ligatures w14:val="none"/>
        </w:rPr>
      </w:pPr>
    </w:p>
    <w:p w:rsidRPr="0085663C" w:rsidR="0085663C" w:rsidP="1CC7B4F0" w:rsidRDefault="009D4EC5" w14:paraId="79889963" w14:textId="382EEFA5">
      <w:pPr>
        <w:spacing w:after="0" w:line="240" w:lineRule="auto"/>
        <w:contextualSpacing/>
        <w:rPr>
          <w:rFonts w:ascii="Palatino Linotype" w:hAnsi="Palatino Linotype" w:eastAsia="Palatino Linotype" w:cs="Times New Roman"/>
          <w:i/>
          <w:iCs/>
          <w:kern w:val="0"/>
          <w14:ligatures w14:val="none"/>
        </w:rPr>
      </w:pPr>
      <w:r w:rsidRPr="00141BE3">
        <w:rPr>
          <w:rFonts w:ascii="Palatino Linotype" w:hAnsi="Palatino Linotype" w:eastAsia="Palatino Linotype" w:cs="Times New Roman"/>
          <w:kern w:val="0"/>
          <w14:ligatures w14:val="none"/>
        </w:rPr>
        <w:t xml:space="preserve">On December 19, 2025, </w:t>
      </w:r>
      <w:r w:rsidRPr="00141BE3" w:rsidR="002E7980">
        <w:rPr>
          <w:rFonts w:ascii="Palatino Linotype" w:hAnsi="Palatino Linotype" w:eastAsia="Palatino Linotype" w:cs="Times New Roman"/>
          <w:kern w:val="0"/>
          <w14:ligatures w14:val="none"/>
        </w:rPr>
        <w:t xml:space="preserve">the Commission issued a solicitation for Consortia grant applications, </w:t>
      </w:r>
      <w:r w:rsidRPr="00141BE3" w:rsidR="1ADFCB6D">
        <w:rPr>
          <w:rFonts w:ascii="Palatino Linotype" w:hAnsi="Palatino Linotype" w:eastAsia="Palatino Linotype" w:cs="Times New Roman"/>
          <w:kern w:val="0"/>
          <w14:ligatures w14:val="none"/>
        </w:rPr>
        <w:t>resulting in</w:t>
      </w:r>
      <w:r w:rsidRPr="00141BE3" w:rsidR="002E7980">
        <w:rPr>
          <w:rFonts w:ascii="Palatino Linotype" w:hAnsi="Palatino Linotype" w:eastAsia="Palatino Linotype" w:cs="Times New Roman"/>
          <w:kern w:val="0"/>
          <w14:ligatures w14:val="none"/>
        </w:rPr>
        <w:t xml:space="preserve"> 8 applications requesting $5.399 million in funding. </w:t>
      </w:r>
      <w:r w:rsidRPr="00141BE3" w:rsidR="0085663C">
        <w:rPr>
          <w:rFonts w:ascii="Palatino Linotype" w:hAnsi="Palatino Linotype" w:eastAsia="Palatino Linotype" w:cs="Times New Roman"/>
          <w:kern w:val="0"/>
          <w14:ligatures w14:val="none"/>
        </w:rPr>
        <w:t xml:space="preserve">This total does not yet include three additional newly formed Tribal Consortia applications, </w:t>
      </w:r>
      <w:r w:rsidRPr="00141BE3" w:rsidR="00A825E3">
        <w:rPr>
          <w:rFonts w:ascii="Palatino Linotype" w:hAnsi="Palatino Linotype" w:eastAsia="Palatino Linotype" w:cs="Times New Roman"/>
          <w:kern w:val="0"/>
          <w14:ligatures w14:val="none"/>
        </w:rPr>
        <w:t xml:space="preserve">which </w:t>
      </w:r>
      <w:r w:rsidR="007075D0">
        <w:rPr>
          <w:rFonts w:ascii="Palatino Linotype" w:hAnsi="Palatino Linotype" w:eastAsia="Palatino Linotype" w:cs="Times New Roman"/>
          <w:kern w:val="0"/>
          <w14:ligatures w14:val="none"/>
        </w:rPr>
        <w:t xml:space="preserve">if approved, </w:t>
      </w:r>
      <w:r w:rsidRPr="00141BE3" w:rsidR="0085663C">
        <w:rPr>
          <w:rFonts w:ascii="Palatino Linotype" w:hAnsi="Palatino Linotype" w:eastAsia="Palatino Linotype" w:cs="Times New Roman"/>
          <w:kern w:val="0"/>
          <w14:ligatures w14:val="none"/>
        </w:rPr>
        <w:t xml:space="preserve">will be </w:t>
      </w:r>
      <w:r w:rsidRPr="00141BE3" w:rsidR="00570546">
        <w:rPr>
          <w:rFonts w:ascii="Palatino Linotype" w:hAnsi="Palatino Linotype" w:eastAsia="Palatino Linotype" w:cs="Times New Roman"/>
          <w:kern w:val="0"/>
          <w14:ligatures w14:val="none"/>
        </w:rPr>
        <w:t>awarded</w:t>
      </w:r>
      <w:r w:rsidRPr="00141BE3" w:rsidR="0085663C">
        <w:rPr>
          <w:rFonts w:ascii="Palatino Linotype" w:hAnsi="Palatino Linotype" w:eastAsia="Palatino Linotype" w:cs="Times New Roman"/>
          <w:kern w:val="0"/>
          <w14:ligatures w14:val="none"/>
        </w:rPr>
        <w:t xml:space="preserve"> using FY 2025-26 allocations.</w:t>
      </w:r>
    </w:p>
    <w:p w:rsidR="0085663C" w:rsidP="002E7980" w:rsidRDefault="0085663C" w14:paraId="43FB1886" w14:textId="77777777">
      <w:pPr>
        <w:spacing w:after="0" w:line="240" w:lineRule="auto"/>
        <w:contextualSpacing/>
        <w:rPr>
          <w:rFonts w:ascii="Palatino Linotype" w:hAnsi="Palatino Linotype" w:eastAsia="Palatino Linotype" w:cs="Times New Roman"/>
          <w:kern w:val="0"/>
          <w14:ligatures w14:val="none"/>
        </w:rPr>
      </w:pPr>
    </w:p>
    <w:p w:rsidR="002E7980" w:rsidP="07AE73C2" w:rsidRDefault="002E7980" w14:paraId="7AE82E04" w14:textId="769774B4">
      <w:pPr>
        <w:spacing w:after="0" w:line="240" w:lineRule="auto"/>
        <w:contextualSpacing/>
        <w:rPr>
          <w:rFonts w:ascii="Palatino Linotype" w:hAnsi="Palatino Linotype" w:eastAsia="Palatino Linotype" w:cs="Times New Roman"/>
          <w:kern w:val="0"/>
          <w14:ligatures w14:val="none"/>
        </w:rPr>
      </w:pPr>
      <w:r w:rsidRPr="002E7980">
        <w:rPr>
          <w:rFonts w:ascii="Palatino Linotype" w:hAnsi="Palatino Linotype" w:eastAsia="Palatino Linotype" w:cs="Times New Roman"/>
          <w:kern w:val="0"/>
          <w14:ligatures w14:val="none"/>
        </w:rPr>
        <w:t>For FY 2026-27, Staff seeks a budget of $</w:t>
      </w:r>
      <w:r w:rsidR="00FB36CB">
        <w:rPr>
          <w:rFonts w:ascii="Palatino Linotype" w:hAnsi="Palatino Linotype" w:eastAsia="Palatino Linotype" w:cs="Times New Roman"/>
          <w:kern w:val="0"/>
          <w14:ligatures w14:val="none"/>
        </w:rPr>
        <w:t>4.2</w:t>
      </w:r>
      <w:r w:rsidRPr="002E7980">
        <w:rPr>
          <w:rFonts w:ascii="Palatino Linotype" w:hAnsi="Palatino Linotype" w:eastAsia="Palatino Linotype" w:cs="Times New Roman"/>
          <w:kern w:val="0"/>
          <w14:ligatures w14:val="none"/>
        </w:rPr>
        <w:t xml:space="preserve"> million to be made available for the remaining un</w:t>
      </w:r>
      <w:r w:rsidRPr="002E7980" w:rsidR="29C474E2">
        <w:rPr>
          <w:rFonts w:ascii="Palatino Linotype" w:hAnsi="Palatino Linotype" w:eastAsia="Palatino Linotype" w:cs="Times New Roman"/>
          <w:kern w:val="0"/>
          <w14:ligatures w14:val="none"/>
        </w:rPr>
        <w:t>re</w:t>
      </w:r>
      <w:r w:rsidRPr="002E7980">
        <w:rPr>
          <w:rFonts w:ascii="Palatino Linotype" w:hAnsi="Palatino Linotype" w:eastAsia="Palatino Linotype" w:cs="Times New Roman"/>
          <w:kern w:val="0"/>
          <w14:ligatures w14:val="none"/>
        </w:rPr>
        <w:t>presented regions and the renewal of existing consortia grants. Staff’s proposal is reasonable and should be adopted.</w:t>
      </w:r>
    </w:p>
    <w:p w:rsidRPr="00EF399B" w:rsidR="00EF399B" w:rsidP="002E7980" w:rsidRDefault="00EF399B" w14:paraId="4DF44FBF" w14:textId="645062B9">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30A430B9" w14:textId="00185594">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Line</w:t>
      </w:r>
      <w:r w:rsidR="00292BE2">
        <w:rPr>
          <w:rFonts w:ascii="Palatino Linotype" w:hAnsi="Palatino Linotype" w:eastAsia="Palatino Linotype" w:cs="Times New Roman"/>
          <w:b/>
          <w:bCs/>
          <w:kern w:val="0"/>
          <w:u w:val="single"/>
          <w14:ligatures w14:val="none"/>
        </w:rPr>
        <w:t xml:space="preserve"> </w:t>
      </w:r>
      <w:r w:rsidRPr="00EF399B">
        <w:rPr>
          <w:rFonts w:ascii="Palatino Linotype" w:hAnsi="Palatino Linotype" w:eastAsia="Palatino Linotype" w:cs="Times New Roman"/>
          <w:b/>
          <w:bCs/>
          <w:kern w:val="0"/>
          <w:u w:val="single"/>
          <w14:ligatures w14:val="none"/>
        </w:rPr>
        <w:t>Extension Program</w:t>
      </w:r>
      <w:r w:rsidRPr="00EF399B">
        <w:rPr>
          <w:rFonts w:ascii="Palatino Linotype" w:hAnsi="Palatino Linotype" w:eastAsia="Palatino Linotype" w:cs="Times New Roman"/>
          <w:kern w:val="0"/>
          <w14:ligatures w14:val="none"/>
        </w:rPr>
        <w:t> </w:t>
      </w:r>
    </w:p>
    <w:p w:rsidRPr="00EF399B" w:rsidR="00EF399B" w:rsidP="00EF399B" w:rsidRDefault="00EF399B" w14:paraId="25EDF6FC"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3528E9DB" w14:textId="769B807D">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In FY 2023-24, the Line</w:t>
      </w:r>
      <w:r w:rsidR="00007131">
        <w:rPr>
          <w:rFonts w:ascii="Palatino Linotype" w:hAnsi="Palatino Linotype" w:eastAsia="Palatino Linotype" w:cs="Times New Roman"/>
          <w:kern w:val="0"/>
          <w14:ligatures w14:val="none"/>
        </w:rPr>
        <w:t xml:space="preserve"> </w:t>
      </w:r>
      <w:r w:rsidRPr="00EF399B">
        <w:rPr>
          <w:rFonts w:ascii="Palatino Linotype" w:hAnsi="Palatino Linotype" w:eastAsia="Palatino Linotype" w:cs="Times New Roman"/>
          <w:kern w:val="0"/>
          <w14:ligatures w14:val="none"/>
        </w:rPr>
        <w:t>Extension program approved grant funding in the amount of up to $1.771</w:t>
      </w:r>
      <w:r w:rsidRPr="0011126A" w:rsidR="00B52453">
        <w:footnoteReference w:id="9"/>
      </w:r>
      <w:r w:rsidRPr="00EF399B">
        <w:rPr>
          <w:rFonts w:ascii="Palatino Linotype" w:hAnsi="Palatino Linotype" w:eastAsia="Palatino Linotype" w:cs="Times New Roman"/>
          <w:kern w:val="0"/>
          <w14:ligatures w14:val="none"/>
        </w:rPr>
        <w:t xml:space="preserve"> million for the grant application of South Valley Internet, Inc., for the Southside Road Project. The Southside Project provide</w:t>
      </w:r>
      <w:r w:rsidR="004B5E11">
        <w:rPr>
          <w:rFonts w:ascii="Palatino Linotype" w:hAnsi="Palatino Linotype" w:eastAsia="Palatino Linotype" w:cs="Times New Roman"/>
          <w:kern w:val="0"/>
          <w14:ligatures w14:val="none"/>
        </w:rPr>
        <w:t>s</w:t>
      </w:r>
      <w:r w:rsidRPr="00EF399B">
        <w:rPr>
          <w:rFonts w:ascii="Palatino Linotype" w:hAnsi="Palatino Linotype" w:eastAsia="Palatino Linotype" w:cs="Times New Roman"/>
          <w:kern w:val="0"/>
          <w14:ligatures w14:val="none"/>
        </w:rPr>
        <w:t xml:space="preserve"> high-speed internet service to 194 households. Based on the trends in </w:t>
      </w:r>
      <w:r w:rsidR="00AA0767">
        <w:rPr>
          <w:rFonts w:ascii="Palatino Linotype" w:hAnsi="Palatino Linotype" w:eastAsia="Palatino Linotype" w:cs="Times New Roman"/>
          <w:kern w:val="0"/>
          <w14:ligatures w14:val="none"/>
        </w:rPr>
        <w:t xml:space="preserve">recent </w:t>
      </w:r>
      <w:r w:rsidRPr="00EF399B">
        <w:rPr>
          <w:rFonts w:ascii="Palatino Linotype" w:hAnsi="Palatino Linotype" w:eastAsia="Palatino Linotype" w:cs="Times New Roman"/>
          <w:kern w:val="0"/>
          <w14:ligatures w14:val="none"/>
        </w:rPr>
        <w:t xml:space="preserve">funding </w:t>
      </w:r>
      <w:r w:rsidR="006E789D">
        <w:rPr>
          <w:rFonts w:ascii="Palatino Linotype" w:hAnsi="Palatino Linotype" w:eastAsia="Palatino Linotype" w:cs="Times New Roman"/>
          <w:kern w:val="0"/>
          <w14:ligatures w14:val="none"/>
        </w:rPr>
        <w:t>requests</w:t>
      </w:r>
      <w:r w:rsidRPr="00EF399B">
        <w:rPr>
          <w:rFonts w:ascii="Palatino Linotype" w:hAnsi="Palatino Linotype" w:eastAsia="Palatino Linotype" w:cs="Times New Roman"/>
          <w:kern w:val="0"/>
          <w14:ligatures w14:val="none"/>
        </w:rPr>
        <w:t xml:space="preserve"> and </w:t>
      </w:r>
      <w:r w:rsidR="00C329AA">
        <w:rPr>
          <w:rFonts w:ascii="Palatino Linotype" w:hAnsi="Palatino Linotype" w:eastAsia="Palatino Linotype" w:cs="Times New Roman"/>
          <w:kern w:val="0"/>
          <w14:ligatures w14:val="none"/>
        </w:rPr>
        <w:t xml:space="preserve">the </w:t>
      </w:r>
      <w:r w:rsidR="000B37CB">
        <w:rPr>
          <w:rFonts w:ascii="Palatino Linotype" w:hAnsi="Palatino Linotype" w:eastAsia="Palatino Linotype" w:cs="Times New Roman"/>
          <w:kern w:val="0"/>
          <w14:ligatures w14:val="none"/>
        </w:rPr>
        <w:t>anticipated increase in</w:t>
      </w:r>
      <w:r w:rsidRPr="00EF399B">
        <w:rPr>
          <w:rFonts w:ascii="Palatino Linotype" w:hAnsi="Palatino Linotype" w:eastAsia="Palatino Linotype" w:cs="Times New Roman"/>
          <w:kern w:val="0"/>
          <w14:ligatures w14:val="none"/>
        </w:rPr>
        <w:t xml:space="preserve"> application</w:t>
      </w:r>
      <w:r w:rsidR="000B37CB">
        <w:rPr>
          <w:rFonts w:ascii="Palatino Linotype" w:hAnsi="Palatino Linotype" w:eastAsia="Palatino Linotype" w:cs="Times New Roman"/>
          <w:kern w:val="0"/>
          <w14:ligatures w14:val="none"/>
        </w:rPr>
        <w:t>s</w:t>
      </w:r>
      <w:r w:rsidRPr="00EF399B">
        <w:rPr>
          <w:rFonts w:ascii="Palatino Linotype" w:hAnsi="Palatino Linotype" w:eastAsia="Palatino Linotype" w:cs="Times New Roman"/>
          <w:kern w:val="0"/>
          <w14:ligatures w14:val="none"/>
        </w:rPr>
        <w:t>, Staff recommends a budget of $1.294 million for FY 202</w:t>
      </w:r>
      <w:r w:rsidR="00577B78">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577B78">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 As noted above, the Commission acknowledges the statutory limit on funds to be allocated to the Line Extension Program. This allocation does not exceed the statutory limit.  </w:t>
      </w:r>
    </w:p>
    <w:p w:rsidR="00577B78" w:rsidP="00EF399B" w:rsidRDefault="00EF399B" w14:paraId="791ED33C" w14:textId="033E765C">
      <w:pPr>
        <w:spacing w:after="0" w:line="240" w:lineRule="auto"/>
        <w:contextualSpacing/>
        <w:rPr>
          <w:rFonts w:ascii="Palatino Linotype" w:hAnsi="Palatino Linotype" w:eastAsia="Palatino Linotype" w:cs="Times New Roman"/>
          <w:b/>
          <w:bCs/>
          <w:kern w:val="0"/>
          <w:u w:val="single"/>
          <w14:ligatures w14:val="none"/>
        </w:rPr>
      </w:pPr>
      <w:r w:rsidRPr="00EF399B">
        <w:rPr>
          <w:rFonts w:ascii="Palatino Linotype" w:hAnsi="Palatino Linotype" w:eastAsia="Palatino Linotype" w:cs="Times New Roman"/>
          <w:kern w:val="0"/>
          <w14:ligatures w14:val="none"/>
        </w:rPr>
        <w:t> </w:t>
      </w:r>
    </w:p>
    <w:p w:rsidR="0011126A" w:rsidP="00EF399B" w:rsidRDefault="0011126A" w14:paraId="67BC64F1" w14:textId="77777777">
      <w:pPr>
        <w:spacing w:after="0" w:line="240" w:lineRule="auto"/>
        <w:contextualSpacing/>
        <w:rPr>
          <w:rFonts w:ascii="Palatino Linotype" w:hAnsi="Palatino Linotype" w:eastAsia="Palatino Linotype" w:cs="Times New Roman"/>
          <w:b/>
          <w:bCs/>
          <w:kern w:val="0"/>
          <w:u w:val="single"/>
          <w14:ligatures w14:val="none"/>
        </w:rPr>
      </w:pPr>
    </w:p>
    <w:p w:rsidR="0011126A" w:rsidP="00EF399B" w:rsidRDefault="0011126A" w14:paraId="6AA36F91" w14:textId="77777777">
      <w:pPr>
        <w:spacing w:after="0" w:line="240" w:lineRule="auto"/>
        <w:contextualSpacing/>
        <w:rPr>
          <w:rFonts w:ascii="Palatino Linotype" w:hAnsi="Palatino Linotype" w:eastAsia="Palatino Linotype" w:cs="Times New Roman"/>
          <w:b/>
          <w:bCs/>
          <w:kern w:val="0"/>
          <w:u w:val="single"/>
          <w14:ligatures w14:val="none"/>
        </w:rPr>
      </w:pPr>
    </w:p>
    <w:p w:rsidR="0011126A" w:rsidP="00EF399B" w:rsidRDefault="0011126A" w14:paraId="5276A4DE" w14:textId="77777777">
      <w:pPr>
        <w:spacing w:after="0" w:line="240" w:lineRule="auto"/>
        <w:contextualSpacing/>
        <w:rPr>
          <w:rFonts w:ascii="Palatino Linotype" w:hAnsi="Palatino Linotype" w:eastAsia="Palatino Linotype" w:cs="Times New Roman"/>
          <w:b/>
          <w:bCs/>
          <w:kern w:val="0"/>
          <w:u w:val="single"/>
          <w14:ligatures w14:val="none"/>
        </w:rPr>
      </w:pPr>
    </w:p>
    <w:p w:rsidRPr="00EF399B" w:rsidR="00EF399B" w:rsidP="00EF399B" w:rsidRDefault="00EF399B" w14:paraId="061A3A31" w14:textId="1AFC0C75">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lastRenderedPageBreak/>
        <w:t>Infrastructure</w:t>
      </w:r>
      <w:r w:rsidRPr="00EF399B">
        <w:rPr>
          <w:rFonts w:ascii="Palatino Linotype" w:hAnsi="Palatino Linotype" w:eastAsia="Palatino Linotype" w:cs="Times New Roman"/>
          <w:kern w:val="0"/>
          <w14:ligatures w14:val="none"/>
        </w:rPr>
        <w:t> </w:t>
      </w:r>
    </w:p>
    <w:p w:rsidRPr="00EF399B" w:rsidR="00EF399B" w:rsidP="00EF399B" w:rsidRDefault="00EF399B" w14:paraId="37372D2A"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5ACC630C" w14:textId="309179E9">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On </w:t>
      </w:r>
      <w:r w:rsidR="0067312A">
        <w:rPr>
          <w:rFonts w:ascii="Palatino Linotype" w:hAnsi="Palatino Linotype" w:eastAsia="Palatino Linotype" w:cs="Times New Roman"/>
          <w:kern w:val="0"/>
          <w14:ligatures w14:val="none"/>
        </w:rPr>
        <w:t>October</w:t>
      </w:r>
      <w:r w:rsidRPr="00EF399B" w:rsidR="0067312A">
        <w:rPr>
          <w:rFonts w:ascii="Palatino Linotype" w:hAnsi="Palatino Linotype" w:eastAsia="Palatino Linotype" w:cs="Times New Roman"/>
          <w:kern w:val="0"/>
          <w14:ligatures w14:val="none"/>
        </w:rPr>
        <w:t xml:space="preserve"> </w:t>
      </w:r>
      <w:r w:rsidR="0067312A">
        <w:rPr>
          <w:rFonts w:ascii="Palatino Linotype" w:hAnsi="Palatino Linotype" w:eastAsia="Palatino Linotype" w:cs="Times New Roman"/>
          <w:kern w:val="0"/>
          <w14:ligatures w14:val="none"/>
        </w:rPr>
        <w:t>3</w:t>
      </w:r>
      <w:r w:rsidRPr="00EF399B">
        <w:rPr>
          <w:rFonts w:ascii="Palatino Linotype" w:hAnsi="Palatino Linotype" w:eastAsia="Palatino Linotype" w:cs="Times New Roman"/>
          <w:kern w:val="0"/>
          <w14:ligatures w14:val="none"/>
        </w:rPr>
        <w:t>1, 202</w:t>
      </w:r>
      <w:r w:rsidR="00B051A9">
        <w:rPr>
          <w:rFonts w:ascii="Palatino Linotype" w:hAnsi="Palatino Linotype" w:eastAsia="Palatino Linotype" w:cs="Times New Roman"/>
          <w:kern w:val="0"/>
          <w14:ligatures w14:val="none"/>
        </w:rPr>
        <w:t>5</w:t>
      </w:r>
      <w:r w:rsidRPr="00EF399B">
        <w:rPr>
          <w:rFonts w:ascii="Palatino Linotype" w:hAnsi="Palatino Linotype" w:eastAsia="Palatino Linotype" w:cs="Times New Roman"/>
          <w:kern w:val="0"/>
          <w14:ligatures w14:val="none"/>
        </w:rPr>
        <w:t xml:space="preserve">, the Commission received </w:t>
      </w:r>
      <w:r w:rsidR="0067312A">
        <w:rPr>
          <w:rFonts w:ascii="Palatino Linotype" w:hAnsi="Palatino Linotype" w:eastAsia="Palatino Linotype" w:cs="Times New Roman"/>
          <w:kern w:val="0"/>
          <w14:ligatures w14:val="none"/>
        </w:rPr>
        <w:t>41</w:t>
      </w:r>
      <w:r w:rsidRPr="00EF399B">
        <w:rPr>
          <w:rFonts w:ascii="Palatino Linotype" w:hAnsi="Palatino Linotype" w:eastAsia="Palatino Linotype" w:cs="Times New Roman"/>
          <w:kern w:val="0"/>
          <w14:ligatures w14:val="none"/>
        </w:rPr>
        <w:t xml:space="preserve"> infrastructure applications requesting approximately $</w:t>
      </w:r>
      <w:r w:rsidR="00864298">
        <w:rPr>
          <w:rFonts w:ascii="Palatino Linotype" w:hAnsi="Palatino Linotype" w:eastAsia="Palatino Linotype" w:cs="Times New Roman"/>
          <w:kern w:val="0"/>
          <w14:ligatures w14:val="none"/>
        </w:rPr>
        <w:t>424</w:t>
      </w:r>
      <w:r w:rsidRPr="00EF399B" w:rsidR="00864298">
        <w:rPr>
          <w:rFonts w:ascii="Palatino Linotype" w:hAnsi="Palatino Linotype" w:eastAsia="Palatino Linotype" w:cs="Times New Roman"/>
          <w:kern w:val="0"/>
          <w14:ligatures w14:val="none"/>
        </w:rPr>
        <w:t xml:space="preserve"> </w:t>
      </w:r>
      <w:r w:rsidRPr="00EF399B">
        <w:rPr>
          <w:rFonts w:ascii="Palatino Linotype" w:hAnsi="Palatino Linotype" w:eastAsia="Palatino Linotype" w:cs="Times New Roman"/>
          <w:kern w:val="0"/>
          <w14:ligatures w14:val="none"/>
        </w:rPr>
        <w:t xml:space="preserve">million in funding. </w:t>
      </w:r>
      <w:r w:rsidR="00734914">
        <w:rPr>
          <w:rFonts w:ascii="Palatino Linotype" w:hAnsi="Palatino Linotype" w:eastAsia="Palatino Linotype" w:cs="Times New Roman"/>
          <w:kern w:val="0"/>
          <w14:ligatures w14:val="none"/>
        </w:rPr>
        <w:t>While t</w:t>
      </w:r>
      <w:r w:rsidR="00953DA4">
        <w:rPr>
          <w:rFonts w:ascii="Palatino Linotype" w:hAnsi="Palatino Linotype" w:eastAsia="Palatino Linotype" w:cs="Times New Roman"/>
          <w:kern w:val="0"/>
          <w14:ligatures w14:val="none"/>
        </w:rPr>
        <w:t xml:space="preserve">he final deadline for </w:t>
      </w:r>
      <w:r w:rsidR="008A536F">
        <w:rPr>
          <w:rFonts w:ascii="Palatino Linotype" w:hAnsi="Palatino Linotype" w:eastAsia="Palatino Linotype" w:cs="Times New Roman"/>
          <w:kern w:val="0"/>
          <w14:ligatures w14:val="none"/>
        </w:rPr>
        <w:t xml:space="preserve">awarding grants </w:t>
      </w:r>
      <w:r w:rsidR="00375570">
        <w:rPr>
          <w:rFonts w:ascii="Palatino Linotype" w:hAnsi="Palatino Linotype" w:eastAsia="Palatino Linotype" w:cs="Times New Roman"/>
          <w:kern w:val="0"/>
          <w14:ligatures w14:val="none"/>
        </w:rPr>
        <w:t xml:space="preserve">is </w:t>
      </w:r>
      <w:r w:rsidR="00DE5FE2">
        <w:rPr>
          <w:rFonts w:ascii="Palatino Linotype" w:hAnsi="Palatino Linotype" w:eastAsia="Palatino Linotype" w:cs="Times New Roman"/>
          <w:kern w:val="0"/>
          <w14:ligatures w14:val="none"/>
        </w:rPr>
        <w:t xml:space="preserve">after the issuance of this Resolution, Staff anticipates submitting </w:t>
      </w:r>
      <w:r w:rsidR="003A35AC">
        <w:rPr>
          <w:rFonts w:ascii="Palatino Linotype" w:hAnsi="Palatino Linotype" w:eastAsia="Palatino Linotype" w:cs="Times New Roman"/>
          <w:kern w:val="0"/>
          <w14:ligatures w14:val="none"/>
        </w:rPr>
        <w:t>requests for Commis</w:t>
      </w:r>
      <w:r w:rsidR="008E0C02">
        <w:rPr>
          <w:rFonts w:ascii="Palatino Linotype" w:hAnsi="Palatino Linotype" w:eastAsia="Palatino Linotype" w:cs="Times New Roman"/>
          <w:kern w:val="0"/>
          <w14:ligatures w14:val="none"/>
        </w:rPr>
        <w:t>s</w:t>
      </w:r>
      <w:r w:rsidR="003A35AC">
        <w:rPr>
          <w:rFonts w:ascii="Palatino Linotype" w:hAnsi="Palatino Linotype" w:eastAsia="Palatino Linotype" w:cs="Times New Roman"/>
          <w:kern w:val="0"/>
          <w14:ligatures w14:val="none"/>
        </w:rPr>
        <w:t xml:space="preserve">ion approval </w:t>
      </w:r>
      <w:r w:rsidR="00A2036E">
        <w:rPr>
          <w:rFonts w:ascii="Palatino Linotype" w:hAnsi="Palatino Linotype" w:eastAsia="Palatino Linotype" w:cs="Times New Roman"/>
          <w:kern w:val="0"/>
          <w14:ligatures w14:val="none"/>
        </w:rPr>
        <w:t xml:space="preserve">in the amount that will utilize the current budget allocation. </w:t>
      </w:r>
      <w:r w:rsidR="008A536F">
        <w:rPr>
          <w:rFonts w:ascii="Palatino Linotype" w:hAnsi="Palatino Linotype" w:eastAsia="Palatino Linotype" w:cs="Times New Roman"/>
          <w:kern w:val="0"/>
          <w14:ligatures w14:val="none"/>
        </w:rPr>
        <w:t xml:space="preserve">  </w:t>
      </w:r>
      <w:r w:rsidRPr="00EF399B">
        <w:rPr>
          <w:rFonts w:ascii="Palatino Linotype" w:hAnsi="Palatino Linotype" w:eastAsia="Palatino Linotype" w:cs="Times New Roman"/>
          <w:kern w:val="0"/>
          <w14:ligatures w14:val="none"/>
        </w:rPr>
        <w:t> </w:t>
      </w:r>
    </w:p>
    <w:p w:rsidR="00ED3B66" w:rsidP="00EF399B" w:rsidRDefault="00EF399B" w14:paraId="6600BF92" w14:textId="6D135275">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1CC7B4F0" w:rsidRDefault="00EF399B" w14:paraId="29D7B0FA" w14:textId="1F93F2D2">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Staff </w:t>
      </w:r>
      <w:proofErr w:type="gramStart"/>
      <w:r w:rsidRPr="00EF399B">
        <w:rPr>
          <w:rFonts w:ascii="Palatino Linotype" w:hAnsi="Palatino Linotype" w:eastAsia="Palatino Linotype" w:cs="Times New Roman"/>
          <w:kern w:val="0"/>
          <w14:ligatures w14:val="none"/>
        </w:rPr>
        <w:t>requests</w:t>
      </w:r>
      <w:proofErr w:type="gramEnd"/>
      <w:r w:rsidRPr="00EF399B">
        <w:rPr>
          <w:rFonts w:ascii="Palatino Linotype" w:hAnsi="Palatino Linotype" w:eastAsia="Palatino Linotype" w:cs="Times New Roman"/>
          <w:kern w:val="0"/>
          <w14:ligatures w14:val="none"/>
        </w:rPr>
        <w:t xml:space="preserve"> a budget of $</w:t>
      </w:r>
      <w:r w:rsidR="004F4846">
        <w:rPr>
          <w:rFonts w:ascii="Palatino Linotype" w:hAnsi="Palatino Linotype" w:eastAsia="Palatino Linotype" w:cs="Times New Roman"/>
          <w:kern w:val="0"/>
          <w14:ligatures w14:val="none"/>
        </w:rPr>
        <w:t>58</w:t>
      </w:r>
      <w:r w:rsidRPr="00EF399B">
        <w:rPr>
          <w:rFonts w:ascii="Palatino Linotype" w:hAnsi="Palatino Linotype" w:eastAsia="Palatino Linotype" w:cs="Times New Roman"/>
          <w:kern w:val="0"/>
          <w14:ligatures w14:val="none"/>
        </w:rPr>
        <w:t>.</w:t>
      </w:r>
      <w:r w:rsidR="004F4846">
        <w:rPr>
          <w:rFonts w:ascii="Palatino Linotype" w:hAnsi="Palatino Linotype" w:eastAsia="Palatino Linotype" w:cs="Times New Roman"/>
          <w:kern w:val="0"/>
          <w14:ligatures w14:val="none"/>
        </w:rPr>
        <w:t>076</w:t>
      </w:r>
      <w:r w:rsidRPr="00EF399B">
        <w:rPr>
          <w:rFonts w:ascii="Palatino Linotype" w:hAnsi="Palatino Linotype" w:eastAsia="Palatino Linotype" w:cs="Times New Roman"/>
          <w:kern w:val="0"/>
          <w14:ligatures w14:val="none"/>
        </w:rPr>
        <w:t xml:space="preserve"> million, i.e. the </w:t>
      </w:r>
      <w:r w:rsidRPr="00EF399B" w:rsidR="73FC4BA1">
        <w:rPr>
          <w:rFonts w:ascii="Palatino Linotype" w:hAnsi="Palatino Linotype" w:eastAsia="Palatino Linotype" w:cs="Times New Roman"/>
          <w:kern w:val="0"/>
          <w14:ligatures w14:val="none"/>
        </w:rPr>
        <w:t xml:space="preserve">amount </w:t>
      </w:r>
      <w:r w:rsidRPr="00EF399B">
        <w:rPr>
          <w:rFonts w:ascii="Palatino Linotype" w:hAnsi="Palatino Linotype" w:eastAsia="Palatino Linotype" w:cs="Times New Roman"/>
          <w:kern w:val="0"/>
          <w14:ligatures w14:val="none"/>
        </w:rPr>
        <w:t xml:space="preserve">remaining </w:t>
      </w:r>
      <w:r w:rsidRPr="00EF399B" w:rsidR="779DB32C">
        <w:rPr>
          <w:rFonts w:ascii="Palatino Linotype" w:hAnsi="Palatino Linotype" w:eastAsia="Palatino Linotype" w:cs="Times New Roman"/>
          <w:kern w:val="0"/>
          <w14:ligatures w14:val="none"/>
        </w:rPr>
        <w:t xml:space="preserve">from the </w:t>
      </w:r>
      <w:r w:rsidRPr="00EF399B">
        <w:rPr>
          <w:rFonts w:ascii="Palatino Linotype" w:hAnsi="Palatino Linotype" w:eastAsia="Palatino Linotype" w:cs="Times New Roman"/>
          <w:kern w:val="0"/>
          <w14:ligatures w14:val="none"/>
        </w:rPr>
        <w:t xml:space="preserve">$136.211 million </w:t>
      </w:r>
      <w:r w:rsidRPr="00EF399B" w:rsidR="70B1D9D9">
        <w:rPr>
          <w:rFonts w:ascii="Palatino Linotype" w:hAnsi="Palatino Linotype" w:eastAsia="Palatino Linotype" w:cs="Times New Roman"/>
          <w:kern w:val="0"/>
          <w14:ligatures w14:val="none"/>
        </w:rPr>
        <w:t xml:space="preserve">budget </w:t>
      </w:r>
      <w:r w:rsidRPr="00EF399B">
        <w:rPr>
          <w:rFonts w:ascii="Palatino Linotype" w:hAnsi="Palatino Linotype" w:eastAsia="Palatino Linotype" w:cs="Times New Roman"/>
          <w:kern w:val="0"/>
          <w14:ligatures w14:val="none"/>
        </w:rPr>
        <w:t>after other account allocations. To adequately fund outstanding applications, Staff will continue to use the multi-funding year approach using all available budgets, including FY 202</w:t>
      </w:r>
      <w:r w:rsidR="00433C29">
        <w:rPr>
          <w:rFonts w:ascii="Palatino Linotype" w:hAnsi="Palatino Linotype" w:eastAsia="Palatino Linotype" w:cs="Times New Roman"/>
          <w:kern w:val="0"/>
          <w14:ligatures w14:val="none"/>
        </w:rPr>
        <w:t>5</w:t>
      </w:r>
      <w:r w:rsidRPr="00EF399B">
        <w:rPr>
          <w:rFonts w:ascii="Palatino Linotype" w:hAnsi="Palatino Linotype" w:eastAsia="Palatino Linotype" w:cs="Times New Roman"/>
          <w:kern w:val="0"/>
          <w14:ligatures w14:val="none"/>
        </w:rPr>
        <w:t>-2</w:t>
      </w:r>
      <w:r w:rsidR="00433C29">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 FY 202</w:t>
      </w:r>
      <w:r w:rsidR="00E10EAA">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E10EAA">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 xml:space="preserve"> and beyond, if necessary. </w:t>
      </w:r>
    </w:p>
    <w:p w:rsidR="00C26740" w:rsidP="00EF399B" w:rsidRDefault="00C26740" w14:paraId="146A1690" w14:textId="77777777">
      <w:pPr>
        <w:spacing w:after="0" w:line="240" w:lineRule="auto"/>
        <w:contextualSpacing/>
        <w:rPr>
          <w:rFonts w:ascii="Palatino Linotype" w:hAnsi="Palatino Linotype" w:eastAsia="Palatino Linotype" w:cs="Times New Roman"/>
          <w:b/>
          <w:bCs/>
          <w:kern w:val="0"/>
          <w:u w:val="single"/>
          <w14:ligatures w14:val="none"/>
        </w:rPr>
      </w:pPr>
    </w:p>
    <w:p w:rsidRPr="00EF399B" w:rsidR="00EF399B" w:rsidP="00EF399B" w:rsidRDefault="00EF399B" w14:paraId="56D39BE6" w14:textId="0B88A68D">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Public Housing</w:t>
      </w:r>
      <w:r w:rsidRPr="00EF399B">
        <w:rPr>
          <w:rFonts w:ascii="Palatino Linotype" w:hAnsi="Palatino Linotype" w:eastAsia="Palatino Linotype" w:cs="Times New Roman"/>
          <w:kern w:val="0"/>
          <w14:ligatures w14:val="none"/>
        </w:rPr>
        <w:t> </w:t>
      </w:r>
    </w:p>
    <w:p w:rsidRPr="008117B8" w:rsidR="008117B8" w:rsidP="008117B8" w:rsidRDefault="008117B8" w14:paraId="362DA839" w14:textId="77777777">
      <w:pPr>
        <w:spacing w:after="0" w:line="240" w:lineRule="auto"/>
        <w:contextualSpacing/>
        <w:rPr>
          <w:rFonts w:ascii="Palatino Linotype" w:hAnsi="Palatino Linotype" w:eastAsia="Palatino Linotype" w:cs="Times New Roman"/>
          <w:kern w:val="0"/>
          <w14:ligatures w14:val="none"/>
        </w:rPr>
      </w:pPr>
      <w:r w:rsidRPr="008117B8">
        <w:rPr>
          <w:rFonts w:ascii="Palatino Linotype" w:hAnsi="Palatino Linotype" w:eastAsia="Palatino Linotype" w:cs="Times New Roman"/>
          <w:kern w:val="0"/>
          <w14:ligatures w14:val="none"/>
        </w:rPr>
        <w:t> </w:t>
      </w:r>
    </w:p>
    <w:p w:rsidRPr="0011126A" w:rsidR="00EF399B" w:rsidP="07AE73C2" w:rsidRDefault="4160CF50" w14:paraId="75645127" w14:textId="6E4E0F60">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For the past two fiscal years (FY 2024-25 and FY 2025-26), there were four rounds of open applications resulting in a funding request of $11.16 million from 102 applications received. On March 7, 2024, the Commission issued D.24-03-021, which modifies the CASF Broadband Public Housing Account Rules and Guidelines by expanding eligibility to non-publicly supported housing developments and for project costs.</w:t>
      </w:r>
    </w:p>
    <w:p w:rsidRPr="0011126A" w:rsidR="00EF399B" w:rsidP="07AE73C2" w:rsidRDefault="4160CF50" w14:paraId="21A63B27" w14:textId="7F404A60">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 </w:t>
      </w:r>
    </w:p>
    <w:p w:rsidRPr="0011126A" w:rsidR="00EF399B" w:rsidP="07AE73C2" w:rsidRDefault="4160CF50" w14:paraId="2AB1A733" w14:textId="20F198E3">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With the expansion of eligibility criteria in 2024 and the creation of the Internet Extension program, promotional efforts of the Public Housing are expected to increase the number of applications and funding requests. We recommend a slight adjustment to funding levels to accommodate CASF needs and provide the necessary fiscal latitude for the program's continued growth. Therefore, Staff recommends the budget of $28.141 million for FY 2026-27. </w:t>
      </w:r>
    </w:p>
    <w:p w:rsidRPr="00EF399B" w:rsidR="00EF399B" w:rsidP="07AE73C2" w:rsidRDefault="00EF399B" w14:paraId="6CB66742"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7F744F" w14:paraId="2CA43AE0" w14:textId="4051A66F">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b/>
          <w:bCs/>
          <w:kern w:val="0"/>
          <w:u w:val="single"/>
          <w14:ligatures w14:val="none"/>
        </w:rPr>
        <w:t>Tribal Technical Assistance</w:t>
      </w:r>
    </w:p>
    <w:p w:rsidRPr="00EF399B" w:rsidR="00EF399B" w:rsidP="00EF399B" w:rsidRDefault="00EF399B" w14:paraId="33736C6E"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002E7CD9" w:rsidP="00EF399B" w:rsidRDefault="00EF399B" w14:paraId="641689A2" w14:textId="40913E22">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On March 7, 2024, the Commission adopted D.24-03-041, which increased the amount of funding available for each Tribe per fiscal year from $150,000 to $250,000, an increase of 66%. </w:t>
      </w:r>
    </w:p>
    <w:p w:rsidR="002E7CD9" w:rsidP="00EF399B" w:rsidRDefault="002E7CD9" w14:paraId="6531D16D" w14:textId="77777777">
      <w:pPr>
        <w:spacing w:after="0" w:line="240" w:lineRule="auto"/>
        <w:contextualSpacing/>
        <w:rPr>
          <w:rFonts w:ascii="Palatino Linotype" w:hAnsi="Palatino Linotype" w:eastAsia="Palatino Linotype" w:cs="Times New Roman"/>
          <w:kern w:val="0"/>
          <w14:ligatures w14:val="none"/>
        </w:rPr>
      </w:pPr>
    </w:p>
    <w:p w:rsidRPr="0011126A" w:rsidR="00010E21" w:rsidP="07AE73C2" w:rsidRDefault="5C353DBE" w14:paraId="7F8EC928" w14:textId="4B7C59A9">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The TTA program accepts grant applications quarterly on July 1, October 1, January 1, and April 1. </w:t>
      </w:r>
    </w:p>
    <w:p w:rsidRPr="0011126A" w:rsidR="00010E21" w:rsidP="07AE73C2" w:rsidRDefault="5C353DBE" w14:paraId="6377088B" w14:textId="7E5D96C9">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 </w:t>
      </w:r>
    </w:p>
    <w:p w:rsidRPr="0011126A" w:rsidR="00010E21" w:rsidP="07AE73C2" w:rsidRDefault="5C353DBE" w14:paraId="43AC02D3" w14:textId="1BB96F9D">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For FY 2024-25, the TTA Program received a total of 10 applications for $2.37 million. For FY 2025-26, 10 applications have been received for $2.12 million. </w:t>
      </w:r>
    </w:p>
    <w:p w:rsidRPr="0011126A" w:rsidR="00010E21" w:rsidP="07AE73C2" w:rsidRDefault="5C353DBE" w14:paraId="0D17E0AA" w14:textId="4D9DDFDF">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 </w:t>
      </w:r>
    </w:p>
    <w:p w:rsidRPr="001942D0" w:rsidR="00010E21" w:rsidP="07AE73C2" w:rsidRDefault="5C353DBE" w14:paraId="3C988A76" w14:textId="43B52D11">
      <w:pPr>
        <w:spacing w:after="0" w:line="240" w:lineRule="auto"/>
        <w:contextualSpacing/>
      </w:pPr>
      <w:r w:rsidRPr="0011126A">
        <w:rPr>
          <w:rFonts w:ascii="Palatino Linotype" w:hAnsi="Palatino Linotype" w:eastAsia="Palatino Linotype" w:cs="Times New Roman"/>
          <w:kern w:val="0"/>
          <w14:ligatures w14:val="none"/>
        </w:rPr>
        <w:lastRenderedPageBreak/>
        <w:t>For FY 2026-27, Staff recommends a budget of $4.5 million, which is derived from 4 applications per cycle per fiscal year (July 1, October 1, January 1, and April 1), and to</w:t>
      </w:r>
      <w:r w:rsidRPr="07AE73C2">
        <w:rPr>
          <w:rFonts w:ascii="Palatino Linotype" w:hAnsi="Palatino Linotype" w:eastAsia="Palatino Linotype" w:cs="Palatino Linotype"/>
        </w:rPr>
        <w:t xml:space="preserve"> </w:t>
      </w:r>
      <w:r w:rsidRPr="0011126A">
        <w:rPr>
          <w:rFonts w:ascii="Palatino Linotype" w:hAnsi="Palatino Linotype" w:eastAsia="Palatino Linotype" w:cs="Times New Roman"/>
          <w:kern w:val="0"/>
          <w14:ligatures w14:val="none"/>
        </w:rPr>
        <w:t>accommodate possible program growth. Staff’s proposed FY 2026-27 budget allocations are reasonable and should be adopted.</w:t>
      </w:r>
      <w:r w:rsidRPr="07AE73C2">
        <w:rPr>
          <w:rFonts w:ascii="Palatino Linotype" w:hAnsi="Palatino Linotype" w:eastAsia="Palatino Linotype" w:cs="Palatino Linotype"/>
        </w:rPr>
        <w:t xml:space="preserve">  </w:t>
      </w:r>
    </w:p>
    <w:p w:rsidRPr="001942D0" w:rsidR="00010E21" w:rsidP="00010E21" w:rsidRDefault="00010E21" w14:paraId="3D665210" w14:textId="5397913D">
      <w:pPr>
        <w:spacing w:after="0" w:line="240" w:lineRule="auto"/>
        <w:rPr>
          <w:rFonts w:ascii="Palatino Linotype" w:hAnsi="Palatino Linotype" w:eastAsia="Palatino Linotype" w:cs="Times New Roman"/>
          <w:kern w:val="0"/>
          <w14:ligatures w14:val="none"/>
        </w:rPr>
      </w:pPr>
    </w:p>
    <w:p w:rsidRPr="001942D0" w:rsidR="00010E21" w:rsidP="00010E21" w:rsidRDefault="00010E21" w14:paraId="19670B1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010E21" w:rsidP="00010E21" w:rsidRDefault="00010E21" w14:paraId="62F25FB4" w14:textId="6A51E990">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010E21" w:rsidP="00010E21" w:rsidRDefault="00010E21" w14:paraId="074E5662" w14:textId="77777777">
      <w:pPr>
        <w:spacing w:after="0" w:line="240" w:lineRule="auto"/>
        <w:rPr>
          <w:rFonts w:ascii="Palatino Linotype" w:hAnsi="Palatino Linotype" w:eastAsia="Palatino Linotype" w:cs="Times New Roman"/>
          <w:kern w:val="0"/>
          <w14:ligatures w14:val="none"/>
        </w:rPr>
      </w:pPr>
    </w:p>
    <w:p w:rsidR="00010E21" w:rsidP="00010E21" w:rsidRDefault="00010E21" w14:paraId="6354B24F" w14:textId="00D91D35">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r w:rsidRPr="001942D0" w:rsidDel="00AB03DB">
        <w:rPr>
          <w:rFonts w:ascii="Palatino Linotype" w:hAnsi="Palatino Linotype" w:eastAsia="Palatino Linotype" w:cs="Times New Roman"/>
          <w:kern w:val="0"/>
          <w14:ligatures w14:val="none"/>
        </w:rPr>
        <w:t>comments</w:t>
      </w:r>
      <w:r w:rsidRPr="001942D0" w:rsidR="00AB03DB">
        <w:rPr>
          <w:rFonts w:ascii="Palatino Linotype" w:hAnsi="Palatino Linotype" w:eastAsia="Palatino Linotype" w:cs="Times New Roman"/>
          <w:kern w:val="0"/>
          <w14:ligatures w14:val="none"/>
        </w:rPr>
        <w:t xml:space="preserve"> and</w:t>
      </w:r>
      <w:r w:rsidRPr="001942D0">
        <w:rPr>
          <w:rFonts w:ascii="Palatino Linotype" w:hAnsi="Palatino Linotype" w:eastAsia="Palatino Linotype" w:cs="Times New Roman"/>
          <w:kern w:val="0"/>
          <w14:ligatures w14:val="none"/>
        </w:rPr>
        <w:t xml:space="preserve"> will be placed on the Commission's agenda no earlier than 30 days from today.</w:t>
      </w:r>
    </w:p>
    <w:p w:rsidR="007A37F9" w:rsidP="00010E21" w:rsidRDefault="007A37F9" w14:paraId="3BC13510" w14:textId="77777777">
      <w:pPr>
        <w:spacing w:after="0" w:line="240" w:lineRule="auto"/>
        <w:rPr>
          <w:rFonts w:ascii="Palatino Linotype" w:hAnsi="Palatino Linotype" w:eastAsia="Palatino Linotype" w:cs="Times New Roman"/>
          <w:kern w:val="0"/>
          <w14:ligatures w14:val="none"/>
        </w:rPr>
      </w:pPr>
    </w:p>
    <w:p w:rsidRPr="007A37F9" w:rsidR="008F04D6" w:rsidP="008F04D6" w:rsidRDefault="008F04D6" w14:paraId="2A4115B2" w14:textId="77777777">
      <w:pPr>
        <w:spacing w:after="0" w:line="240" w:lineRule="auto"/>
        <w:rPr>
          <w:rFonts w:ascii="Palatino Linotype" w:hAnsi="Palatino Linotype" w:eastAsia="Palatino Linotype" w:cs="Times New Roman"/>
          <w:kern w:val="0"/>
          <w14:ligatures w14:val="none"/>
        </w:rPr>
      </w:pPr>
      <w:r w:rsidRPr="007A37F9">
        <w:rPr>
          <w:rFonts w:ascii="Palatino Linotype" w:hAnsi="Palatino Linotype" w:eastAsia="Palatino Linotype" w:cs="Times New Roman"/>
          <w:kern w:val="0"/>
          <w14:ligatures w14:val="none"/>
        </w:rPr>
        <w:t>The Commission timely received one public comment from</w:t>
      </w:r>
      <w:r w:rsidRPr="33456404">
        <w:rPr>
          <w:rFonts w:ascii="Palatino Linotype" w:hAnsi="Palatino Linotype" w:eastAsia="Palatino Linotype" w:cs="Times New Roman"/>
        </w:rPr>
        <w:t xml:space="preserve"> the</w:t>
      </w:r>
      <w:r w:rsidRPr="007A37F9">
        <w:rPr>
          <w:rFonts w:ascii="Palatino Linotype" w:hAnsi="Palatino Linotype" w:eastAsia="Palatino Linotype" w:cs="Times New Roman"/>
          <w:kern w:val="0"/>
          <w14:ligatures w14:val="none"/>
        </w:rPr>
        <w:t xml:space="preserve"> California Emerging Technology Fund (CETF) dated </w:t>
      </w:r>
      <w:r>
        <w:rPr>
          <w:rFonts w:ascii="Palatino Linotype" w:hAnsi="Palatino Linotype" w:eastAsia="Palatino Linotype" w:cs="Times New Roman"/>
          <w:kern w:val="0"/>
          <w14:ligatures w14:val="none"/>
        </w:rPr>
        <w:t>May</w:t>
      </w:r>
      <w:r w:rsidRPr="007A37F9">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26</w:t>
      </w:r>
      <w:r w:rsidRPr="007A37F9">
        <w:rPr>
          <w:rFonts w:ascii="Palatino Linotype" w:hAnsi="Palatino Linotype" w:eastAsia="Palatino Linotype" w:cs="Times New Roman"/>
          <w:kern w:val="0"/>
          <w14:ligatures w14:val="none"/>
        </w:rPr>
        <w:t>, 202</w:t>
      </w:r>
      <w:r>
        <w:rPr>
          <w:rFonts w:ascii="Palatino Linotype" w:hAnsi="Palatino Linotype" w:eastAsia="Palatino Linotype" w:cs="Times New Roman"/>
          <w:kern w:val="0"/>
          <w14:ligatures w14:val="none"/>
        </w:rPr>
        <w:t>6</w:t>
      </w:r>
      <w:r w:rsidRPr="007A37F9">
        <w:rPr>
          <w:rFonts w:ascii="Palatino Linotype" w:hAnsi="Palatino Linotype" w:eastAsia="Palatino Linotype" w:cs="Times New Roman"/>
          <w:kern w:val="0"/>
          <w14:ligatures w14:val="none"/>
        </w:rPr>
        <w:t xml:space="preserve">. In its comments, CETF </w:t>
      </w:r>
      <w:r w:rsidRPr="00AC7B22">
        <w:rPr>
          <w:rFonts w:ascii="Palatino Linotype" w:hAnsi="Palatino Linotype" w:eastAsia="Palatino Linotype" w:cs="Times New Roman"/>
          <w:kern w:val="0"/>
          <w14:ligatures w14:val="none"/>
        </w:rPr>
        <w:t>appreciates the proposed increase in funding for the Adoption Account to $40 million</w:t>
      </w:r>
      <w:r>
        <w:rPr>
          <w:rFonts w:ascii="Palatino Linotype" w:hAnsi="Palatino Linotype" w:eastAsia="Palatino Linotype" w:cs="Times New Roman"/>
          <w:kern w:val="0"/>
          <w14:ligatures w14:val="none"/>
        </w:rPr>
        <w:t xml:space="preserve"> and </w:t>
      </w:r>
      <w:r w:rsidRPr="007A37F9">
        <w:rPr>
          <w:rFonts w:ascii="Palatino Linotype" w:hAnsi="Palatino Linotype" w:eastAsia="Palatino Linotype" w:cs="Times New Roman"/>
          <w:kern w:val="0"/>
          <w14:ligatures w14:val="none"/>
        </w:rPr>
        <w:t xml:space="preserve">recommends </w:t>
      </w:r>
      <w:r w:rsidRPr="00BD37DD">
        <w:rPr>
          <w:rFonts w:ascii="Palatino Linotype" w:hAnsi="Palatino Linotype" w:eastAsia="Palatino Linotype" w:cs="Times New Roman"/>
          <w:kern w:val="0"/>
          <w14:ligatures w14:val="none"/>
        </w:rPr>
        <w:t>increasing the allocation to the Consortia Account by $4 million, to $8.2 million, by reducing the allocation to the Public Housing Account by $4 million, to $24.141 million</w:t>
      </w:r>
      <w:r w:rsidRPr="00CE2104">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10"/>
      </w:r>
    </w:p>
    <w:p w:rsidR="008F04D6" w:rsidP="008F04D6" w:rsidRDefault="008F04D6" w14:paraId="1DEA2555" w14:textId="77777777">
      <w:pPr>
        <w:spacing w:after="0" w:line="240" w:lineRule="auto"/>
        <w:rPr>
          <w:rFonts w:ascii="Palatino Linotype" w:hAnsi="Palatino Linotype" w:eastAsia="Palatino Linotype" w:cs="Times New Roman"/>
        </w:rPr>
      </w:pPr>
    </w:p>
    <w:p w:rsidR="008F04D6" w:rsidP="008F04D6" w:rsidRDefault="1B0E49EB" w14:paraId="3AA6F549" w14:textId="37084B83">
      <w:pPr>
        <w:spacing w:after="0" w:line="240" w:lineRule="auto"/>
        <w:rPr>
          <w:rFonts w:ascii="Palatino Linotype" w:hAnsi="Palatino Linotype" w:eastAsia="Palatino Linotype" w:cs="Times New Roman"/>
          <w:kern w:val="0"/>
          <w14:ligatures w14:val="none"/>
        </w:rPr>
      </w:pPr>
      <w:r w:rsidRPr="73F5F789">
        <w:rPr>
          <w:rFonts w:ascii="Palatino Linotype" w:hAnsi="Palatino Linotype" w:eastAsia="Palatino Linotype" w:cs="Times New Roman"/>
        </w:rPr>
        <w:t xml:space="preserve">In response to CETF’s comments, Staff notes that demand across other CASF accounts continues to increase, particularly within the Public Housing Account. With the expansion of eligibility criteria in D.24-03-041 and the creation of the Internet Extension program, Staff expects outreach efforts to further increase the number of applications and funding requests. Staff also </w:t>
      </w:r>
      <w:proofErr w:type="gramStart"/>
      <w:r w:rsidRPr="73F5F789">
        <w:rPr>
          <w:rFonts w:ascii="Palatino Linotype" w:hAnsi="Palatino Linotype" w:eastAsia="Palatino Linotype" w:cs="Times New Roman"/>
        </w:rPr>
        <w:t>finds</w:t>
      </w:r>
      <w:proofErr w:type="gramEnd"/>
      <w:r w:rsidRPr="73F5F789">
        <w:rPr>
          <w:rFonts w:ascii="Palatino Linotype" w:hAnsi="Palatino Linotype" w:eastAsia="Palatino Linotype" w:cs="Times New Roman"/>
        </w:rPr>
        <w:t xml:space="preserve"> that the proposed $4.2 million for the Consortia Account is sufficient to support the remaining unrepresented regions and the renewal of existing consortia grants</w:t>
      </w:r>
      <w:r w:rsidRPr="73F5F789" w:rsidR="4C35DBD5">
        <w:rPr>
          <w:rFonts w:ascii="Palatino Linotype" w:hAnsi="Palatino Linotype" w:eastAsia="Palatino Linotype" w:cs="Times New Roman"/>
        </w:rPr>
        <w:t xml:space="preserve"> for regions that are set to expire by FY 2026-27</w:t>
      </w:r>
      <w:r w:rsidRPr="73F5F789">
        <w:rPr>
          <w:rFonts w:ascii="Palatino Linotype" w:hAnsi="Palatino Linotype" w:eastAsia="Palatino Linotype" w:cs="Times New Roman"/>
        </w:rPr>
        <w:t>. Therefore, Staff recommends maintaining the proposed allocations</w:t>
      </w:r>
      <w:r w:rsidRPr="73F5F789" w:rsidR="3E719097">
        <w:rPr>
          <w:rFonts w:ascii="Palatino Linotype" w:hAnsi="Palatino Linotype" w:eastAsia="Palatino Linotype" w:cs="Times New Roman"/>
        </w:rPr>
        <w:t>.</w:t>
      </w:r>
    </w:p>
    <w:p w:rsidR="008C5FAF" w:rsidP="007A37F9" w:rsidRDefault="008C5FAF" w14:paraId="13CB3653" w14:textId="77777777">
      <w:pPr>
        <w:spacing w:after="0" w:line="240" w:lineRule="auto"/>
        <w:rPr>
          <w:rFonts w:ascii="Palatino Linotype" w:hAnsi="Palatino Linotype" w:eastAsia="Palatino Linotype" w:cs="Times New Roman"/>
          <w:kern w:val="0"/>
          <w14:ligatures w14:val="none"/>
        </w:rPr>
      </w:pPr>
    </w:p>
    <w:p w:rsidRPr="001942D0" w:rsidR="003E2A21" w:rsidP="00010E21" w:rsidRDefault="003E2A21" w14:paraId="1C134DDA" w14:textId="77777777">
      <w:pPr>
        <w:spacing w:after="0" w:line="240" w:lineRule="auto"/>
        <w:rPr>
          <w:rFonts w:ascii="Palatino Linotype" w:hAnsi="Palatino Linotype" w:eastAsia="Palatino Linotype" w:cs="Times New Roman"/>
          <w:kern w:val="0"/>
          <w14:ligatures w14:val="none"/>
        </w:rPr>
      </w:pPr>
    </w:p>
    <w:p w:rsidRPr="001942D0" w:rsidR="00010E21" w:rsidP="00010E21" w:rsidRDefault="00010E21" w14:paraId="59FD5D7E" w14:textId="4F0475FF">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Findings</w:t>
      </w:r>
      <w:r>
        <w:rPr>
          <w:rFonts w:ascii="Palatino Linotype" w:hAnsi="Palatino Linotype" w:eastAsia="Palatino Linotype" w:cs="Times New Roman"/>
          <w:b/>
          <w:caps/>
          <w:kern w:val="28"/>
          <w:u w:val="single"/>
          <w14:ligatures w14:val="none"/>
        </w:rPr>
        <w:t xml:space="preserve"> AND CONCLUSIONS</w:t>
      </w:r>
    </w:p>
    <w:p w:rsidR="00C9227E" w:rsidP="00C9227E" w:rsidRDefault="00C9227E" w14:paraId="5B462C18" w14:textId="69EF1864">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On May 19, 2022, the Commission adopted D.22-05-029 establishing FY 202</w:t>
      </w:r>
      <w:r w:rsidR="004050ED">
        <w:rPr>
          <w:rFonts w:ascii="Palatino Linotype" w:hAnsi="Palatino Linotype" w:eastAsia="Palatino Linotype" w:cs="Times New Roman"/>
          <w:kern w:val="0"/>
          <w14:ligatures w14:val="none"/>
        </w:rPr>
        <w:t>2</w:t>
      </w:r>
      <w:r w:rsidRPr="00C9227E">
        <w:rPr>
          <w:rFonts w:ascii="Palatino Linotype" w:hAnsi="Palatino Linotype" w:eastAsia="Palatino Linotype" w:cs="Times New Roman"/>
          <w:kern w:val="0"/>
          <w14:ligatures w14:val="none"/>
        </w:rPr>
        <w:t>-2</w:t>
      </w:r>
      <w:r w:rsidR="004050ED">
        <w:rPr>
          <w:rFonts w:ascii="Palatino Linotype" w:hAnsi="Palatino Linotype" w:eastAsia="Palatino Linotype" w:cs="Times New Roman"/>
          <w:kern w:val="0"/>
          <w14:ligatures w14:val="none"/>
        </w:rPr>
        <w:t>3</w:t>
      </w:r>
      <w:r w:rsidRPr="00C9227E">
        <w:rPr>
          <w:rFonts w:ascii="Palatino Linotype" w:hAnsi="Palatino Linotype" w:eastAsia="Palatino Linotype" w:cs="Times New Roman"/>
          <w:kern w:val="0"/>
          <w14:ligatures w14:val="none"/>
        </w:rPr>
        <w:t xml:space="preserve"> budget allocations for the six CASF accounts including Adoption Account, Consortia Account, Line Extension</w:t>
      </w:r>
      <w:r w:rsidR="00844673">
        <w:rPr>
          <w:rFonts w:ascii="Palatino Linotype" w:hAnsi="Palatino Linotype" w:eastAsia="Palatino Linotype" w:cs="Times New Roman"/>
          <w:kern w:val="0"/>
          <w14:ligatures w14:val="none"/>
        </w:rPr>
        <w:t xml:space="preserve"> Program</w:t>
      </w:r>
      <w:r w:rsidRPr="00C9227E">
        <w:rPr>
          <w:rFonts w:ascii="Palatino Linotype" w:hAnsi="Palatino Linotype" w:eastAsia="Palatino Linotype" w:cs="Times New Roman"/>
          <w:kern w:val="0"/>
          <w14:ligatures w14:val="none"/>
        </w:rPr>
        <w:t xml:space="preserve">, Infrastructure Account, Public Housing Account, and Tribal Technical Assistance </w:t>
      </w:r>
      <w:r w:rsidR="000E6380">
        <w:rPr>
          <w:rFonts w:ascii="Palatino Linotype" w:hAnsi="Palatino Linotype" w:eastAsia="Palatino Linotype" w:cs="Times New Roman"/>
          <w:kern w:val="0"/>
          <w14:ligatures w14:val="none"/>
        </w:rPr>
        <w:t>Program</w:t>
      </w:r>
      <w:r w:rsidRPr="00C9227E">
        <w:rPr>
          <w:rFonts w:ascii="Palatino Linotype" w:hAnsi="Palatino Linotype" w:eastAsia="Palatino Linotype" w:cs="Times New Roman"/>
          <w:kern w:val="0"/>
          <w14:ligatures w14:val="none"/>
        </w:rPr>
        <w:t>. </w:t>
      </w:r>
    </w:p>
    <w:p w:rsidRPr="00C9227E" w:rsidR="00113133" w:rsidP="00113133" w:rsidRDefault="00113133" w14:paraId="11591A5A" w14:textId="77777777">
      <w:pPr>
        <w:spacing w:after="0" w:line="240" w:lineRule="auto"/>
        <w:ind w:left="420"/>
        <w:rPr>
          <w:rFonts w:ascii="Palatino Linotype" w:hAnsi="Palatino Linotype" w:eastAsia="Palatino Linotype" w:cs="Times New Roman"/>
          <w:kern w:val="0"/>
          <w14:ligatures w14:val="none"/>
        </w:rPr>
      </w:pPr>
    </w:p>
    <w:p w:rsidR="00C9227E" w:rsidP="00432AC3" w:rsidRDefault="00C9227E" w14:paraId="2EA4A9B9" w14:textId="4695EAAC">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D.22-05-029 deferred establishing allocations beyond FY 2022-23 so that staff could later propose allocations based on actual activity for each account via</w:t>
      </w:r>
      <w:r w:rsidR="00264F07">
        <w:rPr>
          <w:rFonts w:ascii="Palatino Linotype" w:hAnsi="Palatino Linotype" w:eastAsia="Palatino Linotype" w:cs="Times New Roman"/>
          <w:kern w:val="0"/>
          <w14:ligatures w14:val="none"/>
        </w:rPr>
        <w:t xml:space="preserve"> </w:t>
      </w:r>
      <w:r w:rsidRPr="00C9227E">
        <w:rPr>
          <w:rFonts w:ascii="Palatino Linotype" w:hAnsi="Palatino Linotype" w:eastAsia="Palatino Linotype" w:cs="Times New Roman"/>
          <w:kern w:val="0"/>
          <w14:ligatures w14:val="none"/>
        </w:rPr>
        <w:t>Resolution. </w:t>
      </w:r>
    </w:p>
    <w:p w:rsidRPr="00C9227E" w:rsidR="00113133" w:rsidP="00113133" w:rsidRDefault="00113133" w14:paraId="2511D5D2" w14:textId="77777777">
      <w:pPr>
        <w:spacing w:after="0" w:line="240" w:lineRule="auto"/>
        <w:ind w:left="420"/>
        <w:rPr>
          <w:rFonts w:ascii="Palatino Linotype" w:hAnsi="Palatino Linotype" w:eastAsia="Palatino Linotype" w:cs="Times New Roman"/>
          <w:kern w:val="0"/>
          <w14:ligatures w14:val="none"/>
        </w:rPr>
      </w:pPr>
    </w:p>
    <w:p w:rsidR="00C9227E" w:rsidP="00432AC3" w:rsidRDefault="00C9227E" w14:paraId="4646EF0C" w14:textId="38449FB9">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Pursuant to Public Utilities Code section 270, subd. (b), monies in CASF may only be expended upon appropriation in the annual Budget Act or upon supplemental appropriation.</w:t>
      </w:r>
    </w:p>
    <w:p w:rsidRPr="00C9227E" w:rsidR="00113133" w:rsidP="00113133" w:rsidRDefault="00113133" w14:paraId="75666D19" w14:textId="77777777">
      <w:pPr>
        <w:spacing w:after="0" w:line="240" w:lineRule="auto"/>
        <w:ind w:left="420"/>
        <w:rPr>
          <w:rFonts w:ascii="Palatino Linotype" w:hAnsi="Palatino Linotype" w:eastAsia="Palatino Linotype" w:cs="Times New Roman"/>
          <w:kern w:val="0"/>
          <w14:ligatures w14:val="none"/>
        </w:rPr>
      </w:pPr>
    </w:p>
    <w:p w:rsidR="00C9227E" w:rsidP="00C9227E" w:rsidRDefault="00C9227E" w14:paraId="7A435EC8" w14:textId="77777777">
      <w:pPr>
        <w:numPr>
          <w:ilvl w:val="0"/>
          <w:numId w:val="1"/>
        </w:numPr>
        <w:tabs>
          <w:tab w:val="num" w:pos="720"/>
        </w:tabs>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Local Assistance is an expense category specified in the annual Budget Act used by CASF to fund awards.  </w:t>
      </w:r>
    </w:p>
    <w:p w:rsidRPr="00C9227E" w:rsidR="00113133" w:rsidP="00113133" w:rsidRDefault="00113133" w14:paraId="0C62EF26" w14:textId="77777777">
      <w:pPr>
        <w:tabs>
          <w:tab w:val="num" w:pos="720"/>
        </w:tabs>
        <w:spacing w:after="0" w:line="240" w:lineRule="auto"/>
        <w:ind w:left="420"/>
        <w:rPr>
          <w:rFonts w:ascii="Palatino Linotype" w:hAnsi="Palatino Linotype" w:eastAsia="Palatino Linotype" w:cs="Times New Roman"/>
          <w:kern w:val="0"/>
          <w14:ligatures w14:val="none"/>
        </w:rPr>
      </w:pPr>
    </w:p>
    <w:p w:rsidR="00C9227E" w:rsidP="00C9227E" w:rsidRDefault="00C9227E" w14:paraId="36078523" w14:textId="3C07C823">
      <w:pPr>
        <w:numPr>
          <w:ilvl w:val="0"/>
          <w:numId w:val="1"/>
        </w:numPr>
        <w:tabs>
          <w:tab w:val="num" w:pos="720"/>
        </w:tabs>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This Resolution addresses allocations of CASF’s $136.211 million Local Assistance budget for FY 202</w:t>
      </w:r>
      <w:r w:rsidR="00D66457">
        <w:rPr>
          <w:rFonts w:ascii="Palatino Linotype" w:hAnsi="Palatino Linotype" w:eastAsia="Palatino Linotype" w:cs="Times New Roman"/>
          <w:kern w:val="0"/>
          <w14:ligatures w14:val="none"/>
        </w:rPr>
        <w:t>6</w:t>
      </w:r>
      <w:r w:rsidRPr="00C9227E">
        <w:rPr>
          <w:rFonts w:ascii="Palatino Linotype" w:hAnsi="Palatino Linotype" w:eastAsia="Palatino Linotype" w:cs="Times New Roman"/>
          <w:kern w:val="0"/>
          <w14:ligatures w14:val="none"/>
        </w:rPr>
        <w:t>-2</w:t>
      </w:r>
      <w:r w:rsidR="00D66457">
        <w:rPr>
          <w:rFonts w:ascii="Palatino Linotype" w:hAnsi="Palatino Linotype" w:eastAsia="Palatino Linotype" w:cs="Times New Roman"/>
          <w:kern w:val="0"/>
          <w14:ligatures w14:val="none"/>
        </w:rPr>
        <w:t>7</w:t>
      </w:r>
      <w:r w:rsidRPr="00C9227E">
        <w:rPr>
          <w:rFonts w:ascii="Palatino Linotype" w:hAnsi="Palatino Linotype" w:eastAsia="Palatino Linotype" w:cs="Times New Roman"/>
          <w:kern w:val="0"/>
          <w14:ligatures w14:val="none"/>
        </w:rPr>
        <w:t>. </w:t>
      </w:r>
    </w:p>
    <w:p w:rsidR="001B544D" w:rsidP="001B544D" w:rsidRDefault="001B544D" w14:paraId="269CD27F" w14:textId="77777777">
      <w:pPr>
        <w:tabs>
          <w:tab w:val="num" w:pos="720"/>
        </w:tabs>
        <w:spacing w:after="0" w:line="240" w:lineRule="auto"/>
        <w:ind w:left="420"/>
        <w:rPr>
          <w:rFonts w:ascii="Palatino Linotype" w:hAnsi="Palatino Linotype" w:eastAsia="Palatino Linotype" w:cs="Times New Roman"/>
          <w:kern w:val="0"/>
          <w14:ligatures w14:val="none"/>
        </w:rPr>
      </w:pPr>
    </w:p>
    <w:p w:rsidR="00C9227E" w:rsidP="00C9227E" w:rsidRDefault="00C9227E" w14:paraId="54601E21" w14:textId="270FBFB8">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 xml:space="preserve">Based on recent activities and events, Communications Division staff propose budget allocations </w:t>
      </w:r>
      <w:r w:rsidRPr="001F741C">
        <w:rPr>
          <w:rFonts w:ascii="Palatino Linotype" w:hAnsi="Palatino Linotype" w:eastAsia="Palatino Linotype" w:cs="Times New Roman"/>
          <w:kern w:val="0"/>
          <w14:ligatures w14:val="none"/>
        </w:rPr>
        <w:t>of $</w:t>
      </w:r>
      <w:r w:rsidR="001F741C">
        <w:rPr>
          <w:rFonts w:ascii="Palatino Linotype" w:hAnsi="Palatino Linotype" w:eastAsia="Palatino Linotype" w:cs="Times New Roman"/>
          <w:kern w:val="0"/>
          <w14:ligatures w14:val="none"/>
        </w:rPr>
        <w:t>40</w:t>
      </w:r>
      <w:r w:rsidRPr="001F741C">
        <w:rPr>
          <w:rFonts w:ascii="Palatino Linotype" w:hAnsi="Palatino Linotype" w:eastAsia="Palatino Linotype" w:cs="Times New Roman"/>
          <w:kern w:val="0"/>
          <w14:ligatures w14:val="none"/>
        </w:rPr>
        <w:t xml:space="preserve"> million for the Adoption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 xml:space="preserve">ccount, </w:t>
      </w:r>
      <w:r w:rsidRPr="001F741C" w:rsidR="00C07188">
        <w:rPr>
          <w:rFonts w:ascii="Palatino Linotype" w:hAnsi="Palatino Linotype" w:eastAsia="Palatino Linotype" w:cs="Times New Roman"/>
          <w:kern w:val="0"/>
          <w14:ligatures w14:val="none"/>
        </w:rPr>
        <w:t>$</w:t>
      </w:r>
      <w:r w:rsidR="001F741C">
        <w:rPr>
          <w:rFonts w:ascii="Palatino Linotype" w:hAnsi="Palatino Linotype" w:eastAsia="Palatino Linotype" w:cs="Times New Roman"/>
          <w:kern w:val="0"/>
          <w14:ligatures w14:val="none"/>
        </w:rPr>
        <w:t>4.2</w:t>
      </w:r>
      <w:r w:rsidRPr="001F741C">
        <w:rPr>
          <w:rFonts w:ascii="Palatino Linotype" w:hAnsi="Palatino Linotype" w:eastAsia="Palatino Linotype" w:cs="Times New Roman"/>
          <w:kern w:val="0"/>
          <w14:ligatures w14:val="none"/>
        </w:rPr>
        <w:t xml:space="preserve"> million for the Consortia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ccount,</w:t>
      </w:r>
      <w:r w:rsidRPr="001F741C" w:rsidR="00EE4041">
        <w:rPr>
          <w:rFonts w:ascii="Palatino Linotype" w:hAnsi="Palatino Linotype" w:eastAsia="Palatino Linotype" w:cs="Times New Roman"/>
          <w:kern w:val="0"/>
          <w14:ligatures w14:val="none"/>
        </w:rPr>
        <w:t xml:space="preserve"> </w:t>
      </w:r>
      <w:r w:rsidRPr="001F741C">
        <w:rPr>
          <w:rFonts w:ascii="Palatino Linotype" w:hAnsi="Palatino Linotype" w:eastAsia="Palatino Linotype" w:cs="Times New Roman"/>
          <w:kern w:val="0"/>
          <w14:ligatures w14:val="none"/>
        </w:rPr>
        <w:t xml:space="preserve">$1.294 million for the </w:t>
      </w:r>
      <w:r w:rsidR="00984EBE">
        <w:rPr>
          <w:rFonts w:ascii="Palatino Linotype" w:hAnsi="Palatino Linotype" w:eastAsia="Palatino Linotype" w:cs="Times New Roman"/>
          <w:kern w:val="0"/>
          <w14:ligatures w14:val="none"/>
        </w:rPr>
        <w:t>LEP</w:t>
      </w:r>
      <w:r w:rsidRPr="001F741C">
        <w:rPr>
          <w:rFonts w:ascii="Palatino Linotype" w:hAnsi="Palatino Linotype" w:eastAsia="Palatino Linotype" w:cs="Times New Roman"/>
          <w:kern w:val="0"/>
          <w14:ligatures w14:val="none"/>
        </w:rPr>
        <w:t>, $</w:t>
      </w:r>
      <w:r w:rsidR="00EE3EFE">
        <w:rPr>
          <w:rFonts w:ascii="Palatino Linotype" w:hAnsi="Palatino Linotype" w:eastAsia="Palatino Linotype" w:cs="Times New Roman"/>
          <w:kern w:val="0"/>
          <w14:ligatures w14:val="none"/>
        </w:rPr>
        <w:t>58.076</w:t>
      </w:r>
      <w:r w:rsidRPr="001F741C">
        <w:rPr>
          <w:rFonts w:ascii="Palatino Linotype" w:hAnsi="Palatino Linotype" w:eastAsia="Palatino Linotype" w:cs="Times New Roman"/>
          <w:kern w:val="0"/>
          <w14:ligatures w14:val="none"/>
        </w:rPr>
        <w:t xml:space="preserve"> million for</w:t>
      </w:r>
      <w:r w:rsidRPr="001F741C" w:rsidR="00EE4041">
        <w:rPr>
          <w:rFonts w:ascii="Palatino Linotype" w:hAnsi="Palatino Linotype" w:eastAsia="Palatino Linotype" w:cs="Times New Roman"/>
          <w:kern w:val="0"/>
          <w14:ligatures w14:val="none"/>
        </w:rPr>
        <w:t xml:space="preserve"> </w:t>
      </w:r>
      <w:r w:rsidRPr="001F741C">
        <w:rPr>
          <w:rFonts w:ascii="Palatino Linotype" w:hAnsi="Palatino Linotype" w:eastAsia="Palatino Linotype" w:cs="Times New Roman"/>
          <w:kern w:val="0"/>
          <w14:ligatures w14:val="none"/>
        </w:rPr>
        <w:t xml:space="preserve">the Infrastructure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ccount,</w:t>
      </w:r>
      <w:r w:rsidRPr="001F741C" w:rsidR="00EE4041">
        <w:rPr>
          <w:rFonts w:ascii="Palatino Linotype" w:hAnsi="Palatino Linotype" w:eastAsia="Palatino Linotype" w:cs="Times New Roman"/>
          <w:kern w:val="0"/>
          <w14:ligatures w14:val="none"/>
        </w:rPr>
        <w:t xml:space="preserve"> </w:t>
      </w:r>
      <w:r w:rsidRPr="001F741C">
        <w:rPr>
          <w:rFonts w:ascii="Palatino Linotype" w:hAnsi="Palatino Linotype" w:eastAsia="Palatino Linotype" w:cs="Times New Roman"/>
          <w:kern w:val="0"/>
          <w14:ligatures w14:val="none"/>
        </w:rPr>
        <w:t>$</w:t>
      </w:r>
      <w:r w:rsidR="001F741C">
        <w:rPr>
          <w:rFonts w:ascii="Palatino Linotype" w:hAnsi="Palatino Linotype" w:eastAsia="Palatino Linotype" w:cs="Times New Roman"/>
          <w:kern w:val="0"/>
          <w14:ligatures w14:val="none"/>
        </w:rPr>
        <w:t>28</w:t>
      </w:r>
      <w:r w:rsidRPr="001F741C">
        <w:rPr>
          <w:rFonts w:ascii="Palatino Linotype" w:hAnsi="Palatino Linotype" w:eastAsia="Palatino Linotype" w:cs="Times New Roman"/>
          <w:kern w:val="0"/>
          <w14:ligatures w14:val="none"/>
        </w:rPr>
        <w:t xml:space="preserve">.141 million for the Public Housing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 xml:space="preserve">ccount, and $4.5 million for the </w:t>
      </w:r>
      <w:r w:rsidR="00984EBE">
        <w:rPr>
          <w:rFonts w:ascii="Palatino Linotype" w:hAnsi="Palatino Linotype" w:eastAsia="Palatino Linotype" w:cs="Times New Roman"/>
          <w:kern w:val="0"/>
          <w14:ligatures w14:val="none"/>
        </w:rPr>
        <w:t>TTA</w:t>
      </w:r>
      <w:r w:rsidRPr="001F741C">
        <w:rPr>
          <w:rFonts w:ascii="Palatino Linotype" w:hAnsi="Palatino Linotype" w:eastAsia="Palatino Linotype" w:cs="Times New Roman"/>
          <w:kern w:val="0"/>
          <w14:ligatures w14:val="none"/>
        </w:rPr>
        <w:t xml:space="preserve"> </w:t>
      </w:r>
      <w:r w:rsidR="006D534F">
        <w:rPr>
          <w:rFonts w:ascii="Palatino Linotype" w:hAnsi="Palatino Linotype" w:eastAsia="Palatino Linotype" w:cs="Times New Roman"/>
          <w:kern w:val="0"/>
          <w14:ligatures w14:val="none"/>
        </w:rPr>
        <w:t>Program</w:t>
      </w:r>
      <w:r w:rsidRPr="001F741C">
        <w:rPr>
          <w:rFonts w:ascii="Palatino Linotype" w:hAnsi="Palatino Linotype" w:eastAsia="Palatino Linotype" w:cs="Times New Roman"/>
          <w:kern w:val="0"/>
          <w14:ligatures w14:val="none"/>
        </w:rPr>
        <w:t>.</w:t>
      </w:r>
      <w:r w:rsidRPr="00C9227E">
        <w:rPr>
          <w:rFonts w:ascii="Palatino Linotype" w:hAnsi="Palatino Linotype" w:eastAsia="Palatino Linotype" w:cs="Times New Roman"/>
          <w:kern w:val="0"/>
          <w14:ligatures w14:val="none"/>
        </w:rPr>
        <w:t>   </w:t>
      </w:r>
    </w:p>
    <w:p w:rsidRPr="00C9227E" w:rsidR="00113133" w:rsidP="00113133" w:rsidRDefault="00113133" w14:paraId="4083383A" w14:textId="77777777">
      <w:pPr>
        <w:spacing w:after="0" w:line="240" w:lineRule="auto"/>
        <w:ind w:left="420"/>
        <w:rPr>
          <w:rFonts w:ascii="Palatino Linotype" w:hAnsi="Palatino Linotype" w:eastAsia="Palatino Linotype" w:cs="Times New Roman"/>
          <w:kern w:val="0"/>
          <w14:ligatures w14:val="none"/>
        </w:rPr>
      </w:pPr>
    </w:p>
    <w:p w:rsidR="00C9227E" w:rsidP="00432AC3" w:rsidRDefault="00C9227E" w14:paraId="2BB38B94" w14:textId="4EAB0E34">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 xml:space="preserve">Staff’s proposed budget allocations are consistent with </w:t>
      </w:r>
      <w:r w:rsidRPr="008037C0">
        <w:rPr>
          <w:rFonts w:ascii="Palatino Linotype" w:hAnsi="Palatino Linotype" w:eastAsia="Palatino Linotype" w:cs="Times New Roman"/>
          <w:kern w:val="0"/>
          <w14:ligatures w14:val="none"/>
        </w:rPr>
        <w:t>D.22-05-029</w:t>
      </w:r>
      <w:r w:rsidRPr="00C9227E">
        <w:rPr>
          <w:rFonts w:ascii="Palatino Linotype" w:hAnsi="Palatino Linotype" w:eastAsia="Palatino Linotype" w:cs="Times New Roman"/>
          <w:kern w:val="0"/>
          <w14:ligatures w14:val="none"/>
        </w:rPr>
        <w:t xml:space="preserve"> and should be adopted. </w:t>
      </w:r>
    </w:p>
    <w:p w:rsidRPr="00C9227E" w:rsidR="00113133" w:rsidP="00113133" w:rsidRDefault="00113133" w14:paraId="71CCEE1C" w14:textId="77777777">
      <w:pPr>
        <w:spacing w:after="0" w:line="240" w:lineRule="auto"/>
        <w:ind w:left="420"/>
        <w:rPr>
          <w:rFonts w:ascii="Palatino Linotype" w:hAnsi="Palatino Linotype" w:eastAsia="Palatino Linotype" w:cs="Times New Roman"/>
          <w:kern w:val="0"/>
          <w14:ligatures w14:val="none"/>
        </w:rPr>
      </w:pPr>
    </w:p>
    <w:p w:rsidR="00C9227E" w:rsidP="00C9227E" w:rsidRDefault="00C9227E" w14:paraId="39DB385F" w14:textId="08B43AF8">
      <w:pPr>
        <w:numPr>
          <w:ilvl w:val="0"/>
          <w:numId w:val="1"/>
        </w:numPr>
        <w:tabs>
          <w:tab w:val="num" w:pos="720"/>
        </w:tabs>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 xml:space="preserve">In compliance with Public Utilities Code section 311, subdivision (g), a notice letter was emailed on </w:t>
      </w:r>
      <w:r w:rsidRPr="001125E8" w:rsidR="000C68A3">
        <w:rPr>
          <w:rFonts w:ascii="Palatino Linotype" w:hAnsi="Palatino Linotype" w:eastAsia="Palatino Linotype" w:cs="Times New Roman"/>
          <w:kern w:val="0"/>
          <w14:ligatures w14:val="none"/>
        </w:rPr>
        <w:t xml:space="preserve">May </w:t>
      </w:r>
      <w:r w:rsidRPr="001125E8" w:rsidR="001125E8">
        <w:rPr>
          <w:rFonts w:ascii="Palatino Linotype" w:hAnsi="Palatino Linotype" w:eastAsia="Palatino Linotype" w:cs="Times New Roman"/>
          <w:kern w:val="0"/>
          <w14:ligatures w14:val="none"/>
        </w:rPr>
        <w:t>7</w:t>
      </w:r>
      <w:r w:rsidR="000C68A3">
        <w:rPr>
          <w:rFonts w:ascii="Palatino Linotype" w:hAnsi="Palatino Linotype" w:eastAsia="Palatino Linotype" w:cs="Times New Roman"/>
          <w:kern w:val="0"/>
          <w14:ligatures w14:val="none"/>
        </w:rPr>
        <w:t>,</w:t>
      </w:r>
      <w:r w:rsidRPr="008037C0">
        <w:rPr>
          <w:rFonts w:ascii="Palatino Linotype" w:hAnsi="Palatino Linotype" w:eastAsia="Palatino Linotype" w:cs="Times New Roman"/>
          <w:kern w:val="0"/>
          <w14:ligatures w14:val="none"/>
        </w:rPr>
        <w:t xml:space="preserve"> </w:t>
      </w:r>
      <w:proofErr w:type="gramStart"/>
      <w:r w:rsidRPr="008037C0">
        <w:rPr>
          <w:rFonts w:ascii="Palatino Linotype" w:hAnsi="Palatino Linotype" w:eastAsia="Palatino Linotype" w:cs="Times New Roman"/>
          <w:kern w:val="0"/>
          <w14:ligatures w14:val="none"/>
        </w:rPr>
        <w:t>202</w:t>
      </w:r>
      <w:r w:rsidRPr="008037C0" w:rsidR="008037C0">
        <w:rPr>
          <w:rFonts w:ascii="Palatino Linotype" w:hAnsi="Palatino Linotype" w:eastAsia="Palatino Linotype" w:cs="Times New Roman"/>
          <w:kern w:val="0"/>
          <w14:ligatures w14:val="none"/>
        </w:rPr>
        <w:t>6</w:t>
      </w:r>
      <w:proofErr w:type="gramEnd"/>
      <w:r w:rsidRPr="00C9227E">
        <w:rPr>
          <w:rFonts w:ascii="Palatino Linotype" w:hAnsi="Palatino Linotype" w:eastAsia="Palatino Linotype" w:cs="Times New Roman"/>
          <w:kern w:val="0"/>
          <w14:ligatures w14:val="none"/>
        </w:rPr>
        <w:t xml:space="preserve"> informing parties on the CASF Distribution List of this draft Resolution, and of the opportunity for comment, at the Commission’s website </w:t>
      </w:r>
      <w:hyperlink w:tgtFrame="_blank" w:history="1" r:id="rId12">
        <w:r w:rsidRPr="00C9227E">
          <w:rPr>
            <w:rStyle w:val="Hyperlink"/>
            <w:rFonts w:ascii="Palatino Linotype" w:hAnsi="Palatino Linotype" w:eastAsia="Palatino Linotype" w:cs="Times New Roman"/>
            <w:kern w:val="0"/>
            <w14:ligatures w14:val="none"/>
          </w:rPr>
          <w:t>https://www.cpuc.ca.gov/</w:t>
        </w:r>
      </w:hyperlink>
      <w:r w:rsidRPr="00C9227E">
        <w:rPr>
          <w:rFonts w:ascii="Palatino Linotype" w:hAnsi="Palatino Linotype" w:eastAsia="Palatino Linotype" w:cs="Times New Roman"/>
          <w:kern w:val="0"/>
          <w14:ligatures w14:val="none"/>
        </w:rPr>
        <w:t>. The letter also informed parties that the final conf</w:t>
      </w:r>
      <w:r w:rsidR="002E1F2F">
        <w:rPr>
          <w:rFonts w:ascii="Palatino Linotype" w:hAnsi="Palatino Linotype" w:eastAsia="Palatino Linotype" w:cs="Times New Roman"/>
          <w:kern w:val="0"/>
          <w14:ligatures w14:val="none"/>
        </w:rPr>
        <w:t>i</w:t>
      </w:r>
      <w:r w:rsidRPr="00C9227E">
        <w:rPr>
          <w:rFonts w:ascii="Palatino Linotype" w:hAnsi="Palatino Linotype" w:eastAsia="Palatino Linotype" w:cs="Times New Roman"/>
          <w:kern w:val="0"/>
          <w14:ligatures w14:val="none"/>
        </w:rPr>
        <w:t>rmed Resolution adopted by the Commission will be posted and available at the same website.   </w:t>
      </w:r>
    </w:p>
    <w:p w:rsidR="00010E21" w:rsidP="00010E21" w:rsidRDefault="00010E21" w14:paraId="3B2ABFAF" w14:textId="77777777">
      <w:pPr>
        <w:spacing w:after="0" w:line="240" w:lineRule="auto"/>
        <w:rPr>
          <w:rFonts w:ascii="Palatino Linotype" w:hAnsi="Palatino Linotype" w:eastAsia="Palatino Linotype" w:cs="Times New Roman"/>
          <w:b/>
          <w:kern w:val="0"/>
          <w14:ligatures w14:val="none"/>
        </w:rPr>
      </w:pPr>
    </w:p>
    <w:p w:rsidRPr="00C9227E" w:rsidR="00A52C8A" w:rsidP="00A52C8A" w:rsidRDefault="00A52C8A" w14:paraId="5D9F97F9" w14:textId="77777777">
      <w:pPr>
        <w:numPr>
          <w:ilvl w:val="0"/>
          <w:numId w:val="1"/>
        </w:numPr>
        <w:tabs>
          <w:tab w:val="num" w:pos="720"/>
        </w:tabs>
        <w:spacing w:after="0" w:line="240" w:lineRule="auto"/>
        <w:rPr>
          <w:rFonts w:ascii="Palatino Linotype" w:hAnsi="Palatino Linotype" w:eastAsia="Palatino Linotype" w:cs="Times New Roman"/>
          <w:kern w:val="0"/>
          <w14:ligatures w14:val="none"/>
        </w:rPr>
      </w:pPr>
      <w:r w:rsidRPr="00706699">
        <w:rPr>
          <w:rFonts w:ascii="Palatino Linotype" w:hAnsi="Palatino Linotype" w:eastAsia="Palatino Linotype" w:cs="Times New Roman"/>
          <w:kern w:val="0"/>
          <w14:ligatures w14:val="none"/>
        </w:rPr>
        <w:t xml:space="preserve">On </w:t>
      </w:r>
      <w:r>
        <w:rPr>
          <w:rFonts w:ascii="Palatino Linotype" w:hAnsi="Palatino Linotype" w:eastAsia="Palatino Linotype" w:cs="Times New Roman"/>
          <w:kern w:val="0"/>
          <w14:ligatures w14:val="none"/>
        </w:rPr>
        <w:t>May 26</w:t>
      </w:r>
      <w:r w:rsidRPr="00706699">
        <w:rPr>
          <w:rFonts w:ascii="Palatino Linotype" w:hAnsi="Palatino Linotype" w:eastAsia="Palatino Linotype" w:cs="Times New Roman"/>
          <w:kern w:val="0"/>
          <w14:ligatures w14:val="none"/>
        </w:rPr>
        <w:t>, 202</w:t>
      </w:r>
      <w:r>
        <w:rPr>
          <w:rFonts w:ascii="Palatino Linotype" w:hAnsi="Palatino Linotype" w:eastAsia="Palatino Linotype" w:cs="Times New Roman"/>
          <w:kern w:val="0"/>
          <w14:ligatures w14:val="none"/>
        </w:rPr>
        <w:t>6</w:t>
      </w:r>
      <w:r w:rsidRPr="00706699">
        <w:rPr>
          <w:rFonts w:ascii="Palatino Linotype" w:hAnsi="Palatino Linotype" w:eastAsia="Palatino Linotype" w:cs="Times New Roman"/>
          <w:kern w:val="0"/>
          <w14:ligatures w14:val="none"/>
        </w:rPr>
        <w:t>, CETF timely submitted comments.</w:t>
      </w:r>
    </w:p>
    <w:p w:rsidRPr="001942D0" w:rsidR="00EB0AC8" w:rsidP="00010E21" w:rsidRDefault="00EB0AC8" w14:paraId="7E825862" w14:textId="2E208618">
      <w:pPr>
        <w:spacing w:after="0" w:line="240" w:lineRule="auto"/>
        <w:rPr>
          <w:rFonts w:ascii="Palatino Linotype" w:hAnsi="Palatino Linotype" w:eastAsia="Palatino Linotype" w:cs="Times New Roman"/>
          <w:b/>
          <w:kern w:val="0"/>
          <w14:ligatures w14:val="none"/>
        </w:rPr>
      </w:pPr>
    </w:p>
    <w:p w:rsidRPr="001942D0" w:rsidR="00010E21" w:rsidP="00010E21" w:rsidRDefault="003069D6" w14:paraId="72087E34" w14:textId="0974E135">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THEREFORE,</w:t>
      </w:r>
      <w:r w:rsidRPr="001942D0" w:rsidR="00010E21">
        <w:rPr>
          <w:rFonts w:ascii="Palatino Linotype" w:hAnsi="Palatino Linotype" w:eastAsia="Palatino Linotype" w:cs="Times New Roman"/>
          <w:b/>
          <w:caps/>
          <w:kern w:val="28"/>
          <w:u w:val="single"/>
          <w14:ligatures w14:val="none"/>
        </w:rPr>
        <w:t xml:space="preserve"> it is ordered that:</w:t>
      </w:r>
    </w:p>
    <w:p w:rsidR="0015797B" w:rsidP="005F5AB0" w:rsidRDefault="0015797B" w14:paraId="0E29BE4D" w14:textId="62469551">
      <w:pPr>
        <w:spacing w:after="0" w:line="240" w:lineRule="auto"/>
        <w:rPr>
          <w:rFonts w:ascii="Palatino Linotype" w:hAnsi="Palatino Linotype" w:eastAsia="Palatino Linotype" w:cs="Times New Roman"/>
          <w:snapToGrid w:val="0"/>
          <w:kern w:val="0"/>
          <w14:ligatures w14:val="none"/>
        </w:rPr>
      </w:pPr>
      <w:r w:rsidRPr="0015797B">
        <w:rPr>
          <w:rFonts w:ascii="Palatino Linotype" w:hAnsi="Palatino Linotype" w:eastAsia="Palatino Linotype" w:cs="Times New Roman"/>
          <w:snapToGrid w:val="0"/>
          <w:kern w:val="0"/>
          <w14:ligatures w14:val="none"/>
        </w:rPr>
        <w:t>Fiscal Year 202</w:t>
      </w:r>
      <w:r w:rsidR="00D66457">
        <w:rPr>
          <w:rFonts w:ascii="Palatino Linotype" w:hAnsi="Palatino Linotype" w:eastAsia="Palatino Linotype" w:cs="Times New Roman"/>
          <w:snapToGrid w:val="0"/>
          <w:kern w:val="0"/>
          <w14:ligatures w14:val="none"/>
        </w:rPr>
        <w:t>6</w:t>
      </w:r>
      <w:r w:rsidRPr="0015797B">
        <w:rPr>
          <w:rFonts w:ascii="Palatino Linotype" w:hAnsi="Palatino Linotype" w:eastAsia="Palatino Linotype" w:cs="Times New Roman"/>
          <w:snapToGrid w:val="0"/>
          <w:kern w:val="0"/>
          <w14:ligatures w14:val="none"/>
        </w:rPr>
        <w:t>-2</w:t>
      </w:r>
      <w:r w:rsidR="00D66457">
        <w:rPr>
          <w:rFonts w:ascii="Palatino Linotype" w:hAnsi="Palatino Linotype" w:eastAsia="Palatino Linotype" w:cs="Times New Roman"/>
          <w:snapToGrid w:val="0"/>
          <w:kern w:val="0"/>
          <w14:ligatures w14:val="none"/>
        </w:rPr>
        <w:t>7</w:t>
      </w:r>
      <w:r w:rsidRPr="0015797B">
        <w:rPr>
          <w:rFonts w:ascii="Palatino Linotype" w:hAnsi="Palatino Linotype" w:eastAsia="Palatino Linotype" w:cs="Times New Roman"/>
          <w:snapToGrid w:val="0"/>
          <w:kern w:val="0"/>
          <w14:ligatures w14:val="none"/>
        </w:rPr>
        <w:t xml:space="preserve"> Local Assistance budget allocations for the six California Advanced Services Fund accounts, as identified and summarized below, are adopted.   </w:t>
      </w:r>
    </w:p>
    <w:p w:rsidRPr="0015797B" w:rsidR="0015797B" w:rsidP="0015797B" w:rsidRDefault="0015797B" w14:paraId="7276410C" w14:textId="196AC276">
      <w:pPr>
        <w:spacing w:after="0" w:line="240" w:lineRule="auto"/>
        <w:rPr>
          <w:rFonts w:ascii="Palatino Linotype" w:hAnsi="Palatino Linotype" w:eastAsia="Palatino Linotype" w:cs="Times New Roman"/>
          <w:snapToGrid w:val="0"/>
          <w:kern w:val="0"/>
          <w14:ligatures w14:val="none"/>
        </w:rPr>
      </w:pPr>
    </w:p>
    <w:tbl>
      <w:tblPr>
        <w:tblW w:w="7448"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3"/>
        <w:gridCol w:w="1410"/>
        <w:gridCol w:w="1365"/>
      </w:tblGrid>
      <w:tr w:rsidRPr="007A229E" w:rsidR="00342F9F" w:rsidTr="005F5AB0" w14:paraId="7EA47886"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1F13C801" w14:textId="6C4697B6">
            <w:pPr>
              <w:spacing w:after="0" w:line="240" w:lineRule="auto"/>
              <w:ind w:left="360"/>
              <w:jc w:val="center"/>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Account</w:t>
            </w:r>
          </w:p>
        </w:tc>
        <w:tc>
          <w:tcPr>
            <w:tcW w:w="1410"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54EC7FE4" w14:textId="09116402">
            <w:pPr>
              <w:spacing w:after="0" w:line="240" w:lineRule="auto"/>
              <w:jc w:val="center"/>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Allocation ($000s)</w:t>
            </w:r>
          </w:p>
        </w:tc>
        <w:tc>
          <w:tcPr>
            <w:tcW w:w="1365"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0FF32A25" w14:textId="7B3646C9">
            <w:pPr>
              <w:spacing w:after="0" w:line="240" w:lineRule="auto"/>
              <w:jc w:val="center"/>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Allocation (%)</w:t>
            </w:r>
          </w:p>
        </w:tc>
      </w:tr>
      <w:tr w:rsidRPr="007A229E" w:rsidR="00342F9F" w:rsidTr="005F5AB0" w14:paraId="458EB602"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06B09788"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Broadband Adoption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3FB1F0C8" w14:textId="4A7E7736">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031AF">
              <w:rPr>
                <w:rFonts w:ascii="Palatino Linotype" w:hAnsi="Palatino Linotype" w:eastAsia="Palatino Linotype" w:cs="Times New Roman"/>
                <w:kern w:val="0"/>
                <w14:ligatures w14:val="none"/>
              </w:rPr>
              <w:t>4</w:t>
            </w:r>
            <w:r w:rsidRPr="008031AF" w:rsidR="00922652">
              <w:rPr>
                <w:rFonts w:ascii="Palatino Linotype" w:hAnsi="Palatino Linotype" w:eastAsia="Palatino Linotype" w:cs="Times New Roman"/>
                <w:kern w:val="0"/>
                <w14:ligatures w14:val="none"/>
              </w:rPr>
              <w:t>0,000</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286F0139" w14:textId="59260B11">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2</w:t>
            </w:r>
            <w:r w:rsidR="00861473">
              <w:rPr>
                <w:rFonts w:ascii="Palatino Linotype" w:hAnsi="Palatino Linotype" w:eastAsia="Palatino Linotype" w:cs="Times New Roman"/>
                <w:kern w:val="0"/>
                <w14:ligatures w14:val="none"/>
              </w:rPr>
              <w:t>9.37</w:t>
            </w:r>
            <w:r w:rsidRPr="008031AF">
              <w:rPr>
                <w:rFonts w:ascii="Palatino Linotype" w:hAnsi="Palatino Linotype" w:eastAsia="Palatino Linotype" w:cs="Times New Roman"/>
                <w:kern w:val="0"/>
                <w14:ligatures w14:val="none"/>
              </w:rPr>
              <w:t>%</w:t>
            </w:r>
          </w:p>
        </w:tc>
      </w:tr>
      <w:tr w:rsidRPr="007A229E" w:rsidR="00342F9F" w:rsidTr="005F5AB0" w14:paraId="747E172B"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0EE93D73"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Rural and Urban Regional Broadband Consortia Grant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24E72CA3" w14:textId="3202C5F8">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031AF">
              <w:rPr>
                <w:rFonts w:ascii="Palatino Linotype" w:hAnsi="Palatino Linotype" w:eastAsia="Palatino Linotype" w:cs="Times New Roman"/>
                <w:kern w:val="0"/>
                <w14:ligatures w14:val="none"/>
              </w:rPr>
              <w:t>4,200</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861473" w14:paraId="53A8241C" w14:textId="14BD7C2D">
            <w:pPr>
              <w:spacing w:after="0" w:line="240" w:lineRule="auto"/>
              <w:ind w:left="360"/>
              <w:jc w:val="right"/>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3.08</w:t>
            </w:r>
            <w:r w:rsidRPr="008031AF" w:rsidR="007A229E">
              <w:rPr>
                <w:rFonts w:ascii="Palatino Linotype" w:hAnsi="Palatino Linotype" w:eastAsia="Palatino Linotype" w:cs="Times New Roman"/>
                <w:kern w:val="0"/>
                <w14:ligatures w14:val="none"/>
              </w:rPr>
              <w:t>%</w:t>
            </w:r>
          </w:p>
        </w:tc>
      </w:tr>
      <w:tr w:rsidRPr="007A229E" w:rsidR="00342F9F" w:rsidTr="005F5AB0" w14:paraId="35EA609B"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244BB406" w14:textId="362AFABB">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Line Extension </w:t>
            </w:r>
            <w:r w:rsidR="00BE26A1">
              <w:rPr>
                <w:rFonts w:ascii="Palatino Linotype" w:hAnsi="Palatino Linotype" w:eastAsia="Palatino Linotype" w:cs="Times New Roman"/>
                <w:kern w:val="0"/>
                <w14:ligatures w14:val="none"/>
              </w:rPr>
              <w:t>Program</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07461723" w14:textId="23ED82CA">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$1,294</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26F23BBC" w14:textId="69BF3C39">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0.95%</w:t>
            </w:r>
          </w:p>
        </w:tc>
      </w:tr>
      <w:tr w:rsidRPr="007A229E" w:rsidR="00342F9F" w:rsidTr="005F5AB0" w14:paraId="5F9B6209"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7B88F4D2"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Broadband Infrastructure Grant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50250650" w14:textId="3A14FA1E">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61473">
              <w:rPr>
                <w:rFonts w:ascii="Palatino Linotype" w:hAnsi="Palatino Linotype" w:eastAsia="Palatino Linotype" w:cs="Times New Roman"/>
                <w:kern w:val="0"/>
                <w14:ligatures w14:val="none"/>
              </w:rPr>
              <w:t>58,076</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377005CD" w14:textId="1928207D">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4</w:t>
            </w:r>
            <w:r w:rsidR="00861473">
              <w:rPr>
                <w:rFonts w:ascii="Palatino Linotype" w:hAnsi="Palatino Linotype" w:eastAsia="Palatino Linotype" w:cs="Times New Roman"/>
                <w:kern w:val="0"/>
                <w14:ligatures w14:val="none"/>
              </w:rPr>
              <w:t>2.64</w:t>
            </w:r>
            <w:r w:rsidRPr="008031AF">
              <w:rPr>
                <w:rFonts w:ascii="Palatino Linotype" w:hAnsi="Palatino Linotype" w:eastAsia="Palatino Linotype" w:cs="Times New Roman"/>
                <w:kern w:val="0"/>
                <w14:ligatures w14:val="none"/>
              </w:rPr>
              <w:t>%</w:t>
            </w:r>
          </w:p>
        </w:tc>
      </w:tr>
      <w:tr w:rsidRPr="007A229E" w:rsidR="00342F9F" w:rsidTr="005F5AB0" w14:paraId="547745D0"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670CE7EE"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Broadband Public Housing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752A8E8B" w14:textId="2CD34493">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61473">
              <w:rPr>
                <w:rFonts w:ascii="Palatino Linotype" w:hAnsi="Palatino Linotype" w:eastAsia="Palatino Linotype" w:cs="Times New Roman"/>
                <w:kern w:val="0"/>
                <w14:ligatures w14:val="none"/>
              </w:rPr>
              <w:t>28</w:t>
            </w:r>
            <w:r w:rsidRPr="008031AF">
              <w:rPr>
                <w:rFonts w:ascii="Palatino Linotype" w:hAnsi="Palatino Linotype" w:eastAsia="Palatino Linotype" w:cs="Times New Roman"/>
                <w:kern w:val="0"/>
                <w14:ligatures w14:val="none"/>
              </w:rPr>
              <w:t>,141</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7CAB58B6" w14:textId="0B1566BA">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2</w:t>
            </w:r>
            <w:r w:rsidR="00861473">
              <w:rPr>
                <w:rFonts w:ascii="Palatino Linotype" w:hAnsi="Palatino Linotype" w:eastAsia="Palatino Linotype" w:cs="Times New Roman"/>
                <w:kern w:val="0"/>
                <w14:ligatures w14:val="none"/>
              </w:rPr>
              <w:t>0.66</w:t>
            </w:r>
            <w:r w:rsidRPr="008031AF">
              <w:rPr>
                <w:rFonts w:ascii="Palatino Linotype" w:hAnsi="Palatino Linotype" w:eastAsia="Palatino Linotype" w:cs="Times New Roman"/>
                <w:kern w:val="0"/>
                <w14:ligatures w14:val="none"/>
              </w:rPr>
              <w:t>%</w:t>
            </w:r>
          </w:p>
        </w:tc>
      </w:tr>
      <w:tr w:rsidRPr="007A229E" w:rsidR="00342F9F" w:rsidTr="005F5AB0" w14:paraId="4D275E7D"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7EBE149A"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Tribal Technical Assistance Program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5D294231" w14:textId="742E45FB">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$4,500</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12DD4186" w14:textId="2E3F930A">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3.3%</w:t>
            </w:r>
          </w:p>
        </w:tc>
      </w:tr>
      <w:tr w:rsidRPr="007A229E" w:rsidR="00342F9F" w:rsidTr="005F5AB0" w14:paraId="22461C84"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7A60ACB6"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Total</w:t>
            </w:r>
            <w:r w:rsidRPr="007A229E">
              <w:rPr>
                <w:rFonts w:ascii="Palatino Linotype" w:hAnsi="Palatino Linotype" w:eastAsia="Palatino Linotype" w:cs="Times New Roman"/>
                <w:kern w:val="0"/>
                <w14:ligatures w14:val="none"/>
              </w:rPr>
              <w: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7A229E" w:rsidR="007A229E" w:rsidP="0009727A" w:rsidRDefault="007A229E" w14:paraId="69CEB102" w14:textId="57F8ACFD">
            <w:pPr>
              <w:spacing w:after="0" w:line="240" w:lineRule="auto"/>
              <w:ind w:left="360"/>
              <w:jc w:val="right"/>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$136,211</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7A229E" w:rsidR="007A229E" w:rsidP="0009727A" w:rsidRDefault="007A229E" w14:paraId="39699356" w14:textId="7A115540">
            <w:pPr>
              <w:spacing w:after="0" w:line="240" w:lineRule="auto"/>
              <w:ind w:left="360"/>
              <w:jc w:val="right"/>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100.00%</w:t>
            </w:r>
          </w:p>
        </w:tc>
      </w:tr>
    </w:tbl>
    <w:p w:rsidR="004F0D6A" w:rsidP="00010E21" w:rsidRDefault="004F0D6A" w14:paraId="27A812AE"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43732" w:rsidR="00D62C13" w:rsidP="00D62C13" w:rsidRDefault="00010E21" w14:paraId="6115BBE4" w14:textId="7F36F362">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010E21" w:rsidP="00182510" w:rsidRDefault="00010E21" w14:paraId="6054BEC0" w14:textId="5FE2ABE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 </w:t>
      </w:r>
    </w:p>
    <w:p w:rsidR="00143732" w:rsidP="00143732" w:rsidRDefault="00010E21" w14:paraId="226559E3" w14:textId="77777777">
      <w:pPr>
        <w:pStyle w:val="10sp0"/>
        <w:spacing w:after="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Pr="00A974C8" w:rsidR="001E3691">
        <w:rPr>
          <w:rFonts w:ascii="Palatino Linotype" w:hAnsi="Palatino Linotype"/>
        </w:rPr>
        <w:t xml:space="preserve">June </w:t>
      </w:r>
      <w:r w:rsidRPr="00A974C8" w:rsidR="00ED5D8A">
        <w:rPr>
          <w:rFonts w:ascii="Palatino Linotype" w:hAnsi="Palatino Linotype"/>
        </w:rPr>
        <w:t>11</w:t>
      </w:r>
      <w:r w:rsidRPr="00A974C8" w:rsidR="001E3691">
        <w:rPr>
          <w:rFonts w:ascii="Palatino Linotype" w:hAnsi="Palatino Linotype"/>
        </w:rPr>
        <w:t>, 202</w:t>
      </w:r>
      <w:r w:rsidRPr="00A974C8" w:rsidR="00ED5D8A">
        <w:rPr>
          <w:rFonts w:ascii="Palatino Linotype" w:hAnsi="Palatino Linotype"/>
        </w:rPr>
        <w:t>6</w:t>
      </w:r>
      <w:r w:rsidRPr="00A974C8">
        <w:rPr>
          <w:rFonts w:ascii="Palatino Linotype" w:hAnsi="Palatino Linotype"/>
        </w:rPr>
        <w:t>;</w:t>
      </w:r>
      <w:r w:rsidRPr="0051493D">
        <w:rPr>
          <w:rFonts w:ascii="Palatino Linotype" w:hAnsi="Palatino Linotype"/>
        </w:rPr>
        <w:t xml:space="preserve"> the following Commissioners </w:t>
      </w:r>
      <w:proofErr w:type="gramStart"/>
      <w:r w:rsidRPr="0051493D">
        <w:rPr>
          <w:rFonts w:ascii="Palatino Linotype" w:hAnsi="Palatino Linotype"/>
        </w:rPr>
        <w:t>voting</w:t>
      </w:r>
      <w:proofErr w:type="gramEnd"/>
      <w:r w:rsidRPr="0051493D">
        <w:rPr>
          <w:rFonts w:ascii="Palatino Linotype" w:hAnsi="Palatino Linotype"/>
        </w:rPr>
        <w:t xml:space="preserve"> favorably thereon:</w:t>
      </w:r>
    </w:p>
    <w:p w:rsidR="00143732" w:rsidP="00143732" w:rsidRDefault="00143732" w14:paraId="0ED16E9D" w14:textId="77777777">
      <w:pPr>
        <w:pStyle w:val="10sp0"/>
        <w:spacing w:after="0"/>
        <w:rPr>
          <w:rFonts w:ascii="Palatino Linotype" w:hAnsi="Palatino Linotype"/>
        </w:rPr>
      </w:pPr>
    </w:p>
    <w:p w:rsidR="00143732" w:rsidP="00143732" w:rsidRDefault="00143732" w14:paraId="2AB48F15" w14:textId="77777777">
      <w:pPr>
        <w:pStyle w:val="10sp0"/>
        <w:spacing w:after="0"/>
        <w:ind w:left="6480"/>
        <w:rPr>
          <w:rFonts w:ascii="Palatino Linotype" w:hAnsi="Palatino Linotype"/>
          <w:u w:val="single"/>
        </w:rPr>
      </w:pPr>
      <w:r w:rsidRPr="00143732">
        <w:rPr>
          <w:rFonts w:ascii="Palatino Linotype" w:hAnsi="Palatino Linotype"/>
          <w:u w:val="single"/>
        </w:rPr>
        <w:t xml:space="preserve">  /s/ LEUWAM TESFAI</w:t>
      </w:r>
    </w:p>
    <w:p w:rsidR="00143732" w:rsidP="00143732" w:rsidRDefault="00143732" w14:paraId="79F79190" w14:textId="36123509">
      <w:pPr>
        <w:pStyle w:val="10sp0"/>
        <w:spacing w:after="0"/>
        <w:ind w:left="6480"/>
        <w:rPr>
          <w:rFonts w:ascii="Palatino Linotype" w:hAnsi="Palatino Linotype"/>
        </w:rPr>
      </w:pPr>
      <w:r>
        <w:rPr>
          <w:rFonts w:ascii="Palatino Linotype" w:hAnsi="Palatino Linotype"/>
        </w:rPr>
        <w:t xml:space="preserve">        </w:t>
      </w:r>
      <w:proofErr w:type="spellStart"/>
      <w:r w:rsidRPr="00143732">
        <w:rPr>
          <w:rFonts w:ascii="Palatino Linotype" w:hAnsi="Palatino Linotype"/>
        </w:rPr>
        <w:t>Leuwam</w:t>
      </w:r>
      <w:proofErr w:type="spellEnd"/>
      <w:r w:rsidRPr="00143732">
        <w:t> </w:t>
      </w:r>
      <w:r w:rsidRPr="00143732">
        <w:rPr>
          <w:rFonts w:ascii="Palatino Linotype" w:hAnsi="Palatino Linotype"/>
        </w:rPr>
        <w:t>Tesfai</w:t>
      </w:r>
    </w:p>
    <w:p w:rsidRPr="00143732" w:rsidR="00143732" w:rsidP="00143732" w:rsidRDefault="00143732" w14:paraId="2C15F220" w14:textId="57530D9A">
      <w:pPr>
        <w:pStyle w:val="10sp0"/>
        <w:spacing w:after="0"/>
        <w:ind w:left="6480"/>
        <w:rPr>
          <w:rFonts w:ascii="Palatino Linotype" w:hAnsi="Palatino Linotype"/>
        </w:rPr>
      </w:pPr>
      <w:r>
        <w:rPr>
          <w:rFonts w:ascii="Palatino Linotype" w:hAnsi="Palatino Linotype"/>
        </w:rPr>
        <w:t xml:space="preserve">    </w:t>
      </w:r>
      <w:r w:rsidRPr="00143732">
        <w:rPr>
          <w:rFonts w:ascii="Palatino Linotype" w:hAnsi="Palatino Linotype"/>
        </w:rPr>
        <w:t>Executive Directo</w:t>
      </w:r>
      <w:r>
        <w:rPr>
          <w:rFonts w:ascii="Palatino Linotype" w:hAnsi="Palatino Linotype"/>
        </w:rPr>
        <w:t>r</w:t>
      </w:r>
    </w:p>
    <w:p w:rsidR="00143732" w:rsidP="00143732" w:rsidRDefault="00143732" w14:paraId="60F68832" w14:textId="513A6FA7">
      <w:pPr>
        <w:spacing w:line="240" w:lineRule="auto"/>
        <w:ind w:left="6480" w:right="177"/>
        <w:rPr>
          <w:rFonts w:ascii="Palatino Linotype" w:hAnsi="Palatino Linotype"/>
        </w:rPr>
      </w:pPr>
      <w:r w:rsidRPr="00143732">
        <w:rPr>
          <w:rFonts w:ascii="Palatino Linotype" w:hAnsi="Palatino Linotype"/>
        </w:rPr>
        <w:t xml:space="preserve">  </w:t>
      </w:r>
    </w:p>
    <w:p w:rsidRPr="00143732" w:rsidR="00143732" w:rsidP="00143732" w:rsidRDefault="00143732" w14:paraId="6CD3C672" w14:textId="288A8445">
      <w:pPr>
        <w:spacing w:line="240" w:lineRule="auto"/>
        <w:ind w:left="6480" w:right="177"/>
        <w:rPr>
          <w:rFonts w:ascii="Palatino Linotype" w:hAnsi="Palatino Linotype"/>
        </w:rPr>
      </w:pPr>
      <w:r>
        <w:rPr>
          <w:rFonts w:ascii="Palatino Linotype" w:hAnsi="Palatino Linotype"/>
        </w:rPr>
        <w:t xml:space="preserve">   </w:t>
      </w:r>
      <w:r w:rsidRPr="00143732">
        <w:rPr>
          <w:rFonts w:ascii="Palatino Linotype" w:hAnsi="Palatino Linotype"/>
        </w:rPr>
        <w:t xml:space="preserve"> ALICE REYNOLDS</w:t>
      </w:r>
    </w:p>
    <w:p w:rsidRPr="00143732" w:rsidR="00143732" w:rsidP="00143732" w:rsidRDefault="00143732" w14:paraId="1370ECEB" w14:textId="77777777">
      <w:pPr>
        <w:spacing w:line="240" w:lineRule="auto"/>
        <w:ind w:left="6480" w:right="177"/>
        <w:rPr>
          <w:rFonts w:ascii="Palatino Linotype" w:hAnsi="Palatino Linotype"/>
        </w:rPr>
      </w:pPr>
      <w:r w:rsidRPr="00143732">
        <w:rPr>
          <w:rFonts w:ascii="Palatino Linotype" w:hAnsi="Palatino Linotype"/>
        </w:rPr>
        <w:t xml:space="preserve">            President</w:t>
      </w:r>
    </w:p>
    <w:p w:rsidRPr="00143732" w:rsidR="00143732" w:rsidP="00143732" w:rsidRDefault="00143732" w14:paraId="6E3D9D41" w14:textId="77777777">
      <w:pPr>
        <w:spacing w:line="240" w:lineRule="auto"/>
        <w:ind w:left="6480" w:right="177"/>
        <w:rPr>
          <w:rFonts w:ascii="Palatino Linotype" w:hAnsi="Palatino Linotype"/>
        </w:rPr>
      </w:pPr>
      <w:r w:rsidRPr="00143732">
        <w:rPr>
          <w:rFonts w:ascii="Palatino Linotype" w:hAnsi="Palatino Linotype"/>
        </w:rPr>
        <w:t xml:space="preserve">    DARCIE L. HOUCK</w:t>
      </w:r>
    </w:p>
    <w:p w:rsidRPr="00143732" w:rsidR="00143732" w:rsidP="00143732" w:rsidRDefault="00143732" w14:paraId="4CC6B50F" w14:textId="77777777">
      <w:pPr>
        <w:spacing w:line="240" w:lineRule="auto"/>
        <w:ind w:left="6480" w:right="177"/>
        <w:rPr>
          <w:rFonts w:ascii="Palatino Linotype" w:hAnsi="Palatino Linotype"/>
        </w:rPr>
      </w:pPr>
      <w:r w:rsidRPr="00143732">
        <w:rPr>
          <w:rFonts w:ascii="Palatino Linotype" w:hAnsi="Palatino Linotype"/>
        </w:rPr>
        <w:t xml:space="preserve">    JOHN REYNOLDS</w:t>
      </w:r>
    </w:p>
    <w:p w:rsidRPr="00143732" w:rsidR="00143732" w:rsidP="00143732" w:rsidRDefault="00143732" w14:paraId="7E1CD065" w14:textId="77777777">
      <w:pPr>
        <w:spacing w:line="240" w:lineRule="auto"/>
        <w:ind w:left="6480" w:right="177"/>
        <w:rPr>
          <w:rFonts w:ascii="Palatino Linotype" w:hAnsi="Palatino Linotype"/>
        </w:rPr>
      </w:pPr>
      <w:r w:rsidRPr="00143732">
        <w:rPr>
          <w:rFonts w:ascii="Palatino Linotype" w:hAnsi="Palatino Linotype"/>
        </w:rPr>
        <w:t xml:space="preserve">    KAREN DOUGLAS</w:t>
      </w:r>
    </w:p>
    <w:p w:rsidRPr="00143732" w:rsidR="00143732" w:rsidP="00143732" w:rsidRDefault="00143732" w14:paraId="3273ABA0" w14:textId="77777777">
      <w:pPr>
        <w:spacing w:line="240" w:lineRule="auto"/>
        <w:ind w:left="6480" w:right="177"/>
        <w:rPr>
          <w:rFonts w:ascii="Palatino Linotype" w:hAnsi="Palatino Linotype"/>
        </w:rPr>
      </w:pPr>
      <w:r w:rsidRPr="00143732">
        <w:rPr>
          <w:rFonts w:ascii="Palatino Linotype" w:hAnsi="Palatino Linotype"/>
        </w:rPr>
        <w:t xml:space="preserve">    MATTHEW BAKER</w:t>
      </w:r>
    </w:p>
    <w:p w:rsidR="00113133" w:rsidP="00143732" w:rsidRDefault="00143732" w14:paraId="33F90CEB" w14:textId="42FDB217">
      <w:pPr>
        <w:spacing w:after="0" w:line="240" w:lineRule="auto"/>
        <w:ind w:left="6480" w:right="177"/>
        <w:rPr>
          <w:rFonts w:ascii="Palatino Linotype" w:hAnsi="Palatino Linotype"/>
        </w:rPr>
      </w:pPr>
      <w:r w:rsidRPr="00143732">
        <w:rPr>
          <w:rFonts w:ascii="Palatino Linotype" w:hAnsi="Palatino Linotype"/>
        </w:rPr>
        <w:t xml:space="preserve">       Commissioners</w:t>
      </w:r>
    </w:p>
    <w:p w:rsidRPr="00143732" w:rsidR="00143732" w:rsidP="00143732" w:rsidRDefault="00143732" w14:paraId="2E2E395D" w14:textId="77777777">
      <w:pPr>
        <w:spacing w:after="0" w:line="240" w:lineRule="auto"/>
        <w:ind w:left="6480" w:right="177"/>
        <w:rPr>
          <w:rFonts w:ascii="Palatino Linotype" w:hAnsi="Palatino Linotype"/>
        </w:rPr>
      </w:pPr>
    </w:p>
    <w:p w:rsidR="00010E21" w:rsidP="00143732" w:rsidRDefault="00010E21" w14:paraId="522EE8EF" w14:textId="7E45B4DB">
      <w:pPr>
        <w:pStyle w:val="10sp0"/>
        <w:spacing w:after="0"/>
        <w:rPr>
          <w:rFonts w:ascii="Palatino Linotype" w:hAnsi="Palatino Linotype" w:eastAsia="Palatino Linotype"/>
        </w:rPr>
      </w:pPr>
      <w:r w:rsidRPr="00921E87">
        <w:rPr>
          <w:rFonts w:ascii="Palatino Linotype" w:hAnsi="Palatino Linotype" w:eastAsia="Palatino Linotype"/>
        </w:rPr>
        <w:t>Dated</w:t>
      </w:r>
      <w:r w:rsidR="001E3691">
        <w:rPr>
          <w:rFonts w:ascii="Palatino Linotype" w:hAnsi="Palatino Linotype" w:eastAsia="Palatino Linotype"/>
        </w:rPr>
        <w:t xml:space="preserve"> </w:t>
      </w:r>
      <w:r w:rsidRPr="00A974C8" w:rsidR="001E3691">
        <w:rPr>
          <w:rFonts w:ascii="Palatino Linotype" w:hAnsi="Palatino Linotype" w:eastAsia="Palatino Linotype"/>
        </w:rPr>
        <w:t xml:space="preserve">June </w:t>
      </w:r>
      <w:r w:rsidRPr="00A974C8" w:rsidR="00ED5D8A">
        <w:rPr>
          <w:rFonts w:ascii="Palatino Linotype" w:hAnsi="Palatino Linotype" w:eastAsia="Palatino Linotype"/>
        </w:rPr>
        <w:t>11</w:t>
      </w:r>
      <w:r w:rsidRPr="00A974C8" w:rsidR="001E3691">
        <w:rPr>
          <w:rFonts w:ascii="Palatino Linotype" w:hAnsi="Palatino Linotype" w:eastAsia="Palatino Linotype"/>
        </w:rPr>
        <w:t>, 202</w:t>
      </w:r>
      <w:r w:rsidRPr="00A974C8" w:rsidR="00ED5D8A">
        <w:rPr>
          <w:rFonts w:ascii="Palatino Linotype" w:hAnsi="Palatino Linotype" w:eastAsia="Palatino Linotype"/>
        </w:rPr>
        <w:t>6</w:t>
      </w:r>
      <w:r w:rsidRPr="00A974C8">
        <w:rPr>
          <w:rFonts w:ascii="Palatino Linotype" w:hAnsi="Palatino Linotype" w:eastAsia="Palatino Linotype"/>
        </w:rPr>
        <w:t>,</w:t>
      </w:r>
      <w:r w:rsidRPr="00921E87">
        <w:rPr>
          <w:rFonts w:ascii="Palatino Linotype" w:hAnsi="Palatino Linotype" w:eastAsia="Palatino Linotype"/>
        </w:rPr>
        <w:t xml:space="preserve"> at </w:t>
      </w:r>
      <w:r w:rsidR="001E3691">
        <w:rPr>
          <w:rFonts w:ascii="Palatino Linotype" w:hAnsi="Palatino Linotype" w:eastAsia="Palatino Linotype"/>
        </w:rPr>
        <w:t>Sacramento,</w:t>
      </w:r>
      <w:r w:rsidRPr="00921E87">
        <w:rPr>
          <w:rFonts w:ascii="Palatino Linotype" w:hAnsi="Palatino Linotype" w:eastAsia="Palatino Linotype"/>
        </w:rPr>
        <w:t xml:space="preserve"> California</w:t>
      </w:r>
      <w:r>
        <w:rPr>
          <w:rFonts w:ascii="Palatino Linotype" w:hAnsi="Palatino Linotype" w:eastAsia="Palatino Linotype"/>
        </w:rPr>
        <w:tab/>
      </w:r>
    </w:p>
    <w:sectPr w:rsidR="00010E21" w:rsidSect="00F3620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E2E1" w14:textId="77777777" w:rsidR="000C0C9F" w:rsidRDefault="000C0C9F" w:rsidP="00337B2A">
      <w:pPr>
        <w:spacing w:after="0" w:line="240" w:lineRule="auto"/>
      </w:pPr>
      <w:r>
        <w:separator/>
      </w:r>
    </w:p>
  </w:endnote>
  <w:endnote w:type="continuationSeparator" w:id="0">
    <w:p w14:paraId="1619D6FF" w14:textId="77777777" w:rsidR="000C0C9F" w:rsidRDefault="000C0C9F" w:rsidP="00337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1078" w14:textId="786DB0F6" w:rsidR="00A46554" w:rsidRPr="00A46554" w:rsidRDefault="004B4414">
    <w:pPr>
      <w:pStyle w:val="Footer"/>
      <w:rPr>
        <w:rFonts w:ascii="Palatino Linotype" w:hAnsi="Palatino Linotype"/>
      </w:rPr>
    </w:pPr>
    <w:r w:rsidRPr="004B4414">
      <w:rPr>
        <w:rFonts w:ascii="Palatino Linotype" w:hAnsi="Palatino Linotype"/>
        <w:sz w:val="20"/>
        <w:szCs w:val="20"/>
      </w:rPr>
      <w:t>609157865</w:t>
    </w:r>
    <w:r w:rsidR="00A74E37">
      <w:rPr>
        <w:rFonts w:ascii="Palatino Linotype" w:hAnsi="Palatino Linotype"/>
      </w:rP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771997"/>
      <w:docPartObj>
        <w:docPartGallery w:val="Page Numbers (Bottom of Page)"/>
        <w:docPartUnique/>
      </w:docPartObj>
    </w:sdtPr>
    <w:sdtEndPr>
      <w:rPr>
        <w:noProof/>
      </w:rPr>
    </w:sdtEndPr>
    <w:sdtContent>
      <w:p w14:paraId="2C302251" w14:textId="03032B47" w:rsidR="00A74E37" w:rsidRDefault="00A74E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07D65C" w14:textId="16C8B0B7" w:rsidR="00A74E37" w:rsidRDefault="00A74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528879"/>
      <w:docPartObj>
        <w:docPartGallery w:val="Page Numbers (Bottom of Page)"/>
        <w:docPartUnique/>
      </w:docPartObj>
    </w:sdtPr>
    <w:sdtEndPr>
      <w:rPr>
        <w:noProof/>
      </w:rPr>
    </w:sdtEndPr>
    <w:sdtContent>
      <w:p w14:paraId="510BE917" w14:textId="161BCE61" w:rsidR="00A74E37" w:rsidRDefault="00A74E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5F2CD" w14:textId="7EAC8B2B" w:rsidR="00A46554" w:rsidRPr="00A46554" w:rsidRDefault="00A46554">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1781" w14:textId="77777777" w:rsidR="000C0C9F" w:rsidRDefault="000C0C9F" w:rsidP="00337B2A">
      <w:pPr>
        <w:spacing w:after="0" w:line="240" w:lineRule="auto"/>
      </w:pPr>
      <w:r>
        <w:separator/>
      </w:r>
    </w:p>
  </w:footnote>
  <w:footnote w:type="continuationSeparator" w:id="0">
    <w:p w14:paraId="1567C2EE" w14:textId="77777777" w:rsidR="000C0C9F" w:rsidRDefault="000C0C9F" w:rsidP="00337B2A">
      <w:pPr>
        <w:spacing w:after="0" w:line="240" w:lineRule="auto"/>
      </w:pPr>
      <w:r>
        <w:continuationSeparator/>
      </w:r>
    </w:p>
  </w:footnote>
  <w:footnote w:id="1">
    <w:p w14:paraId="0F7D9FF1" w14:textId="0F399D0B" w:rsidR="00476790" w:rsidRDefault="00476790" w:rsidP="00476790">
      <w:pPr>
        <w:pStyle w:val="FootnoteText"/>
      </w:pPr>
      <w:r>
        <w:rPr>
          <w:rStyle w:val="FootnoteReference"/>
        </w:rPr>
        <w:footnoteRef/>
      </w:r>
      <w:r>
        <w:t xml:space="preserve"> </w:t>
      </w:r>
      <w:r w:rsidRPr="00476790">
        <w:rPr>
          <w:rFonts w:ascii="Palatino Linotype" w:hAnsi="Palatino Linotype"/>
        </w:rPr>
        <w:t>CASF’s accounts are funded through a surcharge whereby revenues are deposited to CASF Fund 3141 with the State’s Treasury. The surcharge mechanism is a flat rate for each active access line that telephone corporations service in California, levied at the surcharge rate of $0.90. The flat surcharge is divided among the six Universal Service Programs, of which CASF receives a 28.50% share. Pursuant to Public Utilities (Pub. Util.) Code section 270, subd. (b), money in the funds may only be expended upon appropriation in the Annual Budget Act or upon supplemental appropriation.</w:t>
      </w:r>
      <w:r w:rsidRPr="00476790">
        <w:t xml:space="preserve">  </w:t>
      </w:r>
    </w:p>
  </w:footnote>
  <w:footnote w:id="2">
    <w:p w14:paraId="4F02F963" w14:textId="3361BAAF" w:rsidR="002772B9" w:rsidRDefault="002772B9">
      <w:pPr>
        <w:pStyle w:val="FootnoteText"/>
      </w:pPr>
      <w:r>
        <w:rPr>
          <w:rStyle w:val="FootnoteReference"/>
        </w:rPr>
        <w:footnoteRef/>
      </w:r>
      <w:r>
        <w:t xml:space="preserve"> </w:t>
      </w:r>
      <w:r w:rsidRPr="002772B9">
        <w:rPr>
          <w:rFonts w:ascii="Palatino Linotype" w:hAnsi="Palatino Linotype"/>
        </w:rPr>
        <w:t>D.22-05-029 at 67-68.</w:t>
      </w:r>
    </w:p>
  </w:footnote>
  <w:footnote w:id="3">
    <w:p w14:paraId="75C66648" w14:textId="5998F89E" w:rsidR="00A34191" w:rsidRDefault="00A34191">
      <w:pPr>
        <w:pStyle w:val="FootnoteText"/>
      </w:pPr>
      <w:r>
        <w:rPr>
          <w:rStyle w:val="FootnoteReference"/>
        </w:rPr>
        <w:footnoteRef/>
      </w:r>
      <w:r>
        <w:t xml:space="preserve"> </w:t>
      </w:r>
      <w:r w:rsidRPr="00A34191">
        <w:rPr>
          <w:rFonts w:ascii="Palatino Linotype" w:hAnsi="Palatino Linotype"/>
        </w:rPr>
        <w:t>Id. at 66 &amp; Ordering Paragraph 6.</w:t>
      </w:r>
      <w:r w:rsidRPr="00A34191">
        <w:t xml:space="preserve">  </w:t>
      </w:r>
    </w:p>
  </w:footnote>
  <w:footnote w:id="4">
    <w:p w14:paraId="1C3D6461" w14:textId="47F2D586" w:rsidR="00695103" w:rsidRPr="00B52453" w:rsidRDefault="00695103">
      <w:pPr>
        <w:pStyle w:val="FootnoteText"/>
        <w:rPr>
          <w:rFonts w:ascii="Palatino Linotype" w:hAnsi="Palatino Linotype"/>
        </w:rPr>
      </w:pPr>
      <w:r w:rsidRPr="00B52453">
        <w:rPr>
          <w:rStyle w:val="FootnoteReference"/>
          <w:rFonts w:ascii="Palatino Linotype" w:hAnsi="Palatino Linotype"/>
        </w:rPr>
        <w:footnoteRef/>
      </w:r>
      <w:r w:rsidRPr="00B52453">
        <w:rPr>
          <w:rFonts w:ascii="Palatino Linotype" w:hAnsi="Palatino Linotype"/>
        </w:rPr>
        <w:t xml:space="preserve"> The Commission acknowledges the aggregate statutory limit of $5 million to be allocated to the Line Extension Program. See Cal. Pub. Util. Code § 281(f)(6)(B)(ii).  As of </w:t>
      </w:r>
      <w:r w:rsidRPr="00F40746">
        <w:rPr>
          <w:rFonts w:ascii="Palatino Linotype" w:hAnsi="Palatino Linotype"/>
        </w:rPr>
        <w:t xml:space="preserve">March 13, 2025, the Commission has awarded </w:t>
      </w:r>
      <w:r w:rsidRPr="009152D3">
        <w:rPr>
          <w:rFonts w:ascii="Palatino Linotype" w:hAnsi="Palatino Linotype"/>
        </w:rPr>
        <w:t>$2.071</w:t>
      </w:r>
      <w:r w:rsidRPr="00F40746">
        <w:rPr>
          <w:rFonts w:ascii="Palatino Linotype" w:hAnsi="Palatino Linotype"/>
        </w:rPr>
        <w:t xml:space="preserve"> million in the Line Extension Program, with approximately </w:t>
      </w:r>
      <w:r w:rsidRPr="009152D3">
        <w:rPr>
          <w:rFonts w:ascii="Palatino Linotype" w:hAnsi="Palatino Linotype"/>
        </w:rPr>
        <w:t>$2.929</w:t>
      </w:r>
      <w:r w:rsidRPr="00B52453">
        <w:rPr>
          <w:rFonts w:ascii="Palatino Linotype" w:hAnsi="Palatino Linotype"/>
        </w:rPr>
        <w:t xml:space="preserve"> million remaining.</w:t>
      </w:r>
    </w:p>
  </w:footnote>
  <w:footnote w:id="5">
    <w:p w14:paraId="31999E1C" w14:textId="6F7C1391" w:rsidR="00695103" w:rsidRPr="00B52453" w:rsidRDefault="00695103">
      <w:pPr>
        <w:pStyle w:val="FootnoteText"/>
        <w:rPr>
          <w:rFonts w:ascii="Palatino Linotype" w:hAnsi="Palatino Linotype"/>
        </w:rPr>
      </w:pPr>
      <w:r w:rsidRPr="00B52453">
        <w:rPr>
          <w:rStyle w:val="FootnoteReference"/>
          <w:rFonts w:ascii="Palatino Linotype" w:hAnsi="Palatino Linotype"/>
        </w:rPr>
        <w:footnoteRef/>
      </w:r>
      <w:r w:rsidR="0089347D">
        <w:rPr>
          <w:rFonts w:ascii="Palatino Linotype" w:hAnsi="Palatino Linotype"/>
        </w:rPr>
        <w:t xml:space="preserve"> </w:t>
      </w:r>
      <w:hyperlink r:id="rId1" w:history="1">
        <w:r w:rsidR="004E12C3" w:rsidRPr="004E12C3">
          <w:rPr>
            <w:rStyle w:val="Hyperlink"/>
            <w:rFonts w:ascii="Palatino Linotype" w:hAnsi="Palatino Linotype"/>
          </w:rPr>
          <w:t>https://ebudget.ca.gov/2025-26/pdf/GovernorsBudget/8000/8660.pdf</w:t>
        </w:r>
      </w:hyperlink>
      <w:r w:rsidR="004E12C3">
        <w:rPr>
          <w:rFonts w:ascii="Palatino Linotype" w:hAnsi="Palatino Linotype"/>
        </w:rPr>
        <w:t xml:space="preserve"> </w:t>
      </w:r>
      <w:r w:rsidRPr="00B52453">
        <w:rPr>
          <w:rFonts w:ascii="Palatino Linotype" w:hAnsi="Palatino Linotype"/>
        </w:rPr>
        <w:t>at GG</w:t>
      </w:r>
      <w:r w:rsidR="00B2665A">
        <w:rPr>
          <w:rFonts w:ascii="Palatino Linotype" w:hAnsi="Palatino Linotype"/>
        </w:rPr>
        <w:t>6</w:t>
      </w:r>
      <w:r w:rsidR="00CB4339">
        <w:rPr>
          <w:rFonts w:ascii="Palatino Linotype" w:hAnsi="Palatino Linotype"/>
        </w:rPr>
        <w:t>.</w:t>
      </w:r>
    </w:p>
  </w:footnote>
  <w:footnote w:id="6">
    <w:p w14:paraId="6D9F75A2" w14:textId="203DDC0B" w:rsidR="00476CC1" w:rsidRPr="00B52453" w:rsidRDefault="00476CC1">
      <w:pPr>
        <w:pStyle w:val="FootnoteText"/>
        <w:rPr>
          <w:rFonts w:ascii="Palatino Linotype" w:hAnsi="Palatino Linotype"/>
        </w:rPr>
      </w:pPr>
      <w:r w:rsidRPr="00B52453">
        <w:rPr>
          <w:rStyle w:val="FootnoteReference"/>
          <w:rFonts w:ascii="Palatino Linotype" w:hAnsi="Palatino Linotype"/>
        </w:rPr>
        <w:footnoteRef/>
      </w:r>
      <w:r w:rsidRPr="00B52453">
        <w:rPr>
          <w:rFonts w:ascii="Palatino Linotype" w:hAnsi="Palatino Linotype"/>
        </w:rPr>
        <w:t xml:space="preserve"> </w:t>
      </w:r>
      <w:hyperlink r:id="rId2" w:tgtFrame="_blank" w:history="1">
        <w:r w:rsidRPr="00B52453">
          <w:rPr>
            <w:rStyle w:val="Hyperlink"/>
            <w:rFonts w:ascii="Palatino Linotype" w:hAnsi="Palatino Linotype"/>
          </w:rPr>
          <w:t>https://www.dgs.ca.gov/Resources/SAM/TOC/6800/6803</w:t>
        </w:r>
      </w:hyperlink>
      <w:r w:rsidRPr="00B52453">
        <w:rPr>
          <w:rFonts w:ascii="Palatino Linotype" w:hAnsi="Palatino Linotype"/>
        </w:rPr>
        <w:t> at Character of Appropriation.</w:t>
      </w:r>
    </w:p>
  </w:footnote>
  <w:footnote w:id="7">
    <w:p w14:paraId="06291B6B" w14:textId="1B6DC7FA" w:rsidR="00476CC1" w:rsidRPr="00B52453" w:rsidRDefault="00476CC1">
      <w:pPr>
        <w:pStyle w:val="FootnoteText"/>
        <w:rPr>
          <w:rFonts w:ascii="Palatino Linotype" w:hAnsi="Palatino Linotype"/>
        </w:rPr>
      </w:pPr>
      <w:r w:rsidRPr="00673451">
        <w:rPr>
          <w:rStyle w:val="FootnoteReference"/>
          <w:rFonts w:ascii="Palatino Linotype" w:hAnsi="Palatino Linotype"/>
        </w:rPr>
        <w:footnoteRef/>
      </w:r>
      <w:r w:rsidRPr="00673451">
        <w:rPr>
          <w:rFonts w:ascii="Palatino Linotype" w:hAnsi="Palatino Linotype"/>
        </w:rPr>
        <w:t xml:space="preserve"> </w:t>
      </w:r>
      <w:r w:rsidR="00A14946" w:rsidRPr="00673451">
        <w:rPr>
          <w:rFonts w:ascii="Palatino Linotype" w:hAnsi="Palatino Linotype"/>
        </w:rPr>
        <w:t>Resolution T-17665 at 5.</w:t>
      </w:r>
    </w:p>
  </w:footnote>
  <w:footnote w:id="8">
    <w:p w14:paraId="1E307511" w14:textId="41B0612B" w:rsidR="00A14946" w:rsidRDefault="00A14946">
      <w:pPr>
        <w:pStyle w:val="FootnoteText"/>
      </w:pPr>
      <w:r w:rsidRPr="00B52453">
        <w:rPr>
          <w:rStyle w:val="FootnoteReference"/>
          <w:rFonts w:ascii="Palatino Linotype" w:hAnsi="Palatino Linotype"/>
        </w:rPr>
        <w:footnoteRef/>
      </w:r>
      <w:hyperlink r:id="rId3" w:history="1">
        <w:r w:rsidR="00420CB9" w:rsidRPr="00420CB9">
          <w:rPr>
            <w:rStyle w:val="Hyperlink"/>
            <w:rFonts w:ascii="Palatino Linotype" w:hAnsi="Palatino Linotype"/>
          </w:rPr>
          <w:t>https://ebudget.ca.gov/2026-27/pdf/GovernorsBudget/8000/8660.pdf</w:t>
        </w:r>
      </w:hyperlink>
      <w:r w:rsidRPr="00B52453">
        <w:rPr>
          <w:rFonts w:ascii="Palatino Linotype" w:hAnsi="Palatino Linotype"/>
        </w:rPr>
        <w:t> at GG</w:t>
      </w:r>
      <w:r w:rsidR="00420CB9">
        <w:rPr>
          <w:rFonts w:ascii="Palatino Linotype" w:hAnsi="Palatino Linotype"/>
        </w:rPr>
        <w:t>5</w:t>
      </w:r>
      <w:r w:rsidR="00CB4339">
        <w:rPr>
          <w:rFonts w:ascii="Palatino Linotype" w:hAnsi="Palatino Linotype"/>
        </w:rPr>
        <w:t>.</w:t>
      </w:r>
    </w:p>
  </w:footnote>
  <w:footnote w:id="9">
    <w:p w14:paraId="38814FD9" w14:textId="06970DFE" w:rsidR="00B52453" w:rsidRPr="00FD6614" w:rsidRDefault="00B52453">
      <w:pPr>
        <w:pStyle w:val="FootnoteText"/>
        <w:rPr>
          <w:rFonts w:ascii="Palatino Linotype" w:hAnsi="Palatino Linotype"/>
        </w:rPr>
      </w:pPr>
      <w:r w:rsidRPr="00FD6614">
        <w:rPr>
          <w:rStyle w:val="FootnoteReference"/>
          <w:rFonts w:ascii="Palatino Linotype" w:hAnsi="Palatino Linotype"/>
        </w:rPr>
        <w:footnoteRef/>
      </w:r>
      <w:r w:rsidRPr="00FD6614">
        <w:rPr>
          <w:rFonts w:ascii="Palatino Linotype" w:hAnsi="Palatino Linotype"/>
        </w:rPr>
        <w:t xml:space="preserve"> </w:t>
      </w:r>
      <w:r w:rsidR="00FD6614" w:rsidRPr="00FD6614">
        <w:rPr>
          <w:rFonts w:ascii="Palatino Linotype" w:hAnsi="Palatino Linotype"/>
        </w:rPr>
        <w:t>On September 5, 2023, the Commission adopted Resolution T-17792 awarding a grant of $1,770,748 to South Valley Intent, Inc. </w:t>
      </w:r>
    </w:p>
  </w:footnote>
  <w:footnote w:id="10">
    <w:p w14:paraId="321CCF55" w14:textId="77777777" w:rsidR="008F04D6" w:rsidRDefault="008F04D6" w:rsidP="008F04D6">
      <w:pPr>
        <w:pStyle w:val="FootnoteText"/>
      </w:pPr>
      <w:r>
        <w:rPr>
          <w:rStyle w:val="FootnoteReference"/>
        </w:rPr>
        <w:footnoteRef/>
      </w:r>
      <w:r>
        <w:t xml:space="preserve"> </w:t>
      </w:r>
      <w:r w:rsidRPr="00230CD5">
        <w:rPr>
          <w:rFonts w:ascii="Palatino Linotype" w:hAnsi="Palatino Linotype"/>
        </w:rPr>
        <w:t>CETF comments, at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9514" w14:textId="420F14BF" w:rsid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sidRPr="001942D0">
      <w:rPr>
        <w:rFonts w:ascii="Palatino Linotype" w:eastAsia="Times New Roman" w:hAnsi="Palatino Linotype" w:cs="Times New Roman"/>
        <w:kern w:val="0"/>
        <w14:ligatures w14:val="none"/>
      </w:rPr>
      <w:t xml:space="preserve">Resolution </w:t>
    </w:r>
    <w:r>
      <w:rPr>
        <w:rFonts w:ascii="Palatino Linotype" w:eastAsia="Times New Roman" w:hAnsi="Palatino Linotype" w:cs="Times New Roman"/>
        <w:kern w:val="0"/>
        <w14:ligatures w14:val="none"/>
      </w:rPr>
      <w:t xml:space="preserve">T-17914                                  </w:t>
    </w:r>
    <w:r>
      <w:rPr>
        <w:rFonts w:ascii="Palatino Linotype" w:eastAsia="Times New Roman" w:hAnsi="Palatino Linotype" w:cs="Times New Roman"/>
        <w:kern w:val="0"/>
        <w14:ligatures w14:val="none"/>
      </w:rPr>
      <w:tab/>
      <w:t xml:space="preserve">                </w:t>
    </w:r>
    <w:r w:rsidR="00A560D6">
      <w:rPr>
        <w:rFonts w:ascii="Palatino Linotype" w:eastAsia="Times New Roman" w:hAnsi="Palatino Linotype" w:cs="Times New Roman"/>
        <w:kern w:val="0"/>
        <w14:ligatures w14:val="none"/>
      </w:rPr>
      <w:t xml:space="preserve">  </w:t>
    </w:r>
    <w:r w:rsidR="00143732">
      <w:rPr>
        <w:rFonts w:ascii="Palatino Linotype" w:eastAsia="Times New Roman" w:hAnsi="Palatino Linotype" w:cs="Times New Roman"/>
        <w:b/>
        <w:bCs/>
        <w:kern w:val="0"/>
        <w14:ligatures w14:val="none"/>
      </w:rPr>
      <w:t>Date of Issuance: June 17, 2026</w:t>
    </w:r>
  </w:p>
  <w:p w14:paraId="60D8DDFF" w14:textId="377DC54A" w:rsidR="00F36206" w:rsidRP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b/>
        <w:bCs/>
        <w:kern w:val="0"/>
        <w14:ligatures w14:val="none"/>
      </w:rPr>
      <w:t>CD/HH2</w:t>
    </w:r>
    <w:r w:rsidR="00A560D6">
      <w:rPr>
        <w:rFonts w:ascii="Palatino Linotype" w:eastAsia="Times New Roman" w:hAnsi="Palatino Linotype" w:cs="Times New Roman"/>
        <w:b/>
        <w:bCs/>
        <w:kern w:val="0"/>
        <w14:ligatures w14:val="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3F39" w14:textId="77777777" w:rsidR="00F36206" w:rsidRPr="001942D0" w:rsidRDefault="00F36206" w:rsidP="00F36206">
    <w:pPr>
      <w:tabs>
        <w:tab w:val="right" w:pos="8820"/>
      </w:tabs>
      <w:spacing w:after="0" w:line="240" w:lineRule="auto"/>
      <w:ind w:left="5040"/>
      <w:jc w:val="center"/>
      <w:rPr>
        <w:rFonts w:ascii="Palatino Linotype" w:eastAsia="Times New Roman" w:hAnsi="Palatino Linotype" w:cs="Times New Roman"/>
        <w:b/>
        <w:bCs/>
        <w:kern w:val="0"/>
        <w14:ligatures w14:val="none"/>
      </w:rPr>
    </w:pPr>
    <w:r w:rsidRPr="001942D0">
      <w:rPr>
        <w:rFonts w:ascii="Palatino Linotype" w:eastAsia="Times New Roman" w:hAnsi="Palatino Linotype" w:cs="Times New Roman"/>
        <w:kern w:val="0"/>
        <w14:ligatures w14:val="none"/>
      </w:rPr>
      <w:t xml:space="preserve">Resolution </w:t>
    </w:r>
    <w:r>
      <w:rPr>
        <w:rFonts w:ascii="Palatino Linotype" w:eastAsia="Times New Roman" w:hAnsi="Palatino Linotype" w:cs="Times New Roman"/>
        <w:kern w:val="0"/>
        <w14:ligatures w14:val="none"/>
      </w:rPr>
      <w:t>T-17914                                  DRAFT</w:t>
    </w:r>
    <w:r>
      <w:rPr>
        <w:rFonts w:ascii="Palatino Linotype" w:eastAsia="Times New Roman" w:hAnsi="Palatino Linotype" w:cs="Times New Roman"/>
        <w:kern w:val="0"/>
        <w14:ligatures w14:val="none"/>
      </w:rPr>
      <w:tab/>
      <w:t xml:space="preserve">              </w:t>
    </w:r>
    <w:r w:rsidRPr="0013198E">
      <w:rPr>
        <w:rFonts w:ascii="Palatino Linotype" w:eastAsia="Times New Roman" w:hAnsi="Palatino Linotype" w:cs="Times New Roman"/>
        <w:b/>
        <w:bCs/>
        <w:kern w:val="0"/>
        <w14:ligatures w14:val="none"/>
      </w:rPr>
      <w:t>June 11, 2026</w:t>
    </w:r>
  </w:p>
  <w:p w14:paraId="37701C51" w14:textId="5B9D1B90" w:rsid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kern w:val="0"/>
        <w14:ligatures w14:val="none"/>
      </w:rPr>
      <w:t xml:space="preserve">  </w:t>
    </w:r>
    <w:r w:rsidRPr="00F36206">
      <w:rPr>
        <w:rFonts w:ascii="Palatino Linotype" w:eastAsia="Times New Roman" w:hAnsi="Palatino Linotype" w:cs="Times New Roman"/>
        <w:b/>
        <w:bCs/>
        <w:kern w:val="0"/>
        <w14:ligatures w14:val="none"/>
      </w:rPr>
      <w:t>Agenda ID # 24194</w:t>
    </w:r>
  </w:p>
  <w:p w14:paraId="1F8E76CB" w14:textId="59621C40" w:rsidR="00F36206" w:rsidRP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b/>
        <w:bCs/>
        <w:kern w:val="0"/>
        <w14:ligatures w14:val="none"/>
      </w:rPr>
      <w:t>CD/HH2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276C" w14:textId="244156E3" w:rsidR="00A41671" w:rsidRDefault="00A41671" w:rsidP="00F36206">
    <w:pPr>
      <w:tabs>
        <w:tab w:val="right" w:pos="8820"/>
      </w:tabs>
      <w:spacing w:after="0" w:line="240" w:lineRule="auto"/>
      <w:rPr>
        <w:rFonts w:ascii="Palatino Linotype" w:eastAsia="Times New Roman" w:hAnsi="Palatino Linotype" w:cs="Times New Roman"/>
        <w:b/>
        <w:bCs/>
        <w:kern w:val="0"/>
        <w14:ligatures w14:val="none"/>
      </w:rPr>
    </w:pPr>
    <w:r w:rsidRPr="001942D0">
      <w:rPr>
        <w:rFonts w:ascii="Palatino Linotype" w:eastAsia="Times New Roman" w:hAnsi="Palatino Linotype" w:cs="Times New Roman"/>
        <w:kern w:val="0"/>
        <w14:ligatures w14:val="none"/>
      </w:rPr>
      <w:t xml:space="preserve">Resolution </w:t>
    </w:r>
    <w:r>
      <w:rPr>
        <w:rFonts w:ascii="Palatino Linotype" w:eastAsia="Times New Roman" w:hAnsi="Palatino Linotype" w:cs="Times New Roman"/>
        <w:kern w:val="0"/>
        <w14:ligatures w14:val="none"/>
      </w:rPr>
      <w:t xml:space="preserve">T-17914                                  </w:t>
    </w:r>
    <w:r>
      <w:rPr>
        <w:rFonts w:ascii="Palatino Linotype" w:eastAsia="Times New Roman" w:hAnsi="Palatino Linotype" w:cs="Times New Roman"/>
        <w:kern w:val="0"/>
        <w14:ligatures w14:val="none"/>
      </w:rPr>
      <w:tab/>
      <w:t xml:space="preserve">                </w:t>
    </w:r>
    <w:r w:rsidR="00143732">
      <w:rPr>
        <w:rFonts w:ascii="Palatino Linotype" w:eastAsia="Times New Roman" w:hAnsi="Palatino Linotype" w:cs="Times New Roman"/>
        <w:b/>
        <w:bCs/>
        <w:kern w:val="0"/>
        <w14:ligatures w14:val="none"/>
      </w:rPr>
      <w:t>Date of Issuance: June 17, 2026</w:t>
    </w:r>
  </w:p>
  <w:p w14:paraId="4747587D" w14:textId="77777777" w:rsidR="00A41671" w:rsidRPr="00F36206" w:rsidRDefault="00A41671"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b/>
        <w:bCs/>
        <w:kern w:val="0"/>
        <w14:ligatures w14:val="none"/>
      </w:rPr>
      <w:t>CD/HH2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FCE"/>
    <w:multiLevelType w:val="multilevel"/>
    <w:tmpl w:val="70946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A649F"/>
    <w:multiLevelType w:val="multilevel"/>
    <w:tmpl w:val="C4FED6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FF5873"/>
    <w:multiLevelType w:val="multilevel"/>
    <w:tmpl w:val="DAACA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72409"/>
    <w:multiLevelType w:val="multilevel"/>
    <w:tmpl w:val="4E6CFE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2C494F"/>
    <w:multiLevelType w:val="multilevel"/>
    <w:tmpl w:val="644E92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74376E"/>
    <w:multiLevelType w:val="multilevel"/>
    <w:tmpl w:val="7584C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9161E0"/>
    <w:multiLevelType w:val="multilevel"/>
    <w:tmpl w:val="2CF663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82C50"/>
    <w:multiLevelType w:val="multilevel"/>
    <w:tmpl w:val="78F24F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4" w15:restartNumberingAfterBreak="0">
    <w:nsid w:val="7E9D2ADD"/>
    <w:multiLevelType w:val="multilevel"/>
    <w:tmpl w:val="50A63F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4842790">
    <w:abstractNumId w:val="9"/>
  </w:num>
  <w:num w:numId="2" w16cid:durableId="1991593136">
    <w:abstractNumId w:val="2"/>
  </w:num>
  <w:num w:numId="3" w16cid:durableId="1754620235">
    <w:abstractNumId w:val="5"/>
  </w:num>
  <w:num w:numId="4" w16cid:durableId="969365539">
    <w:abstractNumId w:val="12"/>
  </w:num>
  <w:num w:numId="5" w16cid:durableId="468133998">
    <w:abstractNumId w:val="10"/>
  </w:num>
  <w:num w:numId="6" w16cid:durableId="426273653">
    <w:abstractNumId w:val="13"/>
  </w:num>
  <w:num w:numId="7" w16cid:durableId="1787502701">
    <w:abstractNumId w:val="7"/>
  </w:num>
  <w:num w:numId="8" w16cid:durableId="1708096572">
    <w:abstractNumId w:val="0"/>
  </w:num>
  <w:num w:numId="9" w16cid:durableId="1745571184">
    <w:abstractNumId w:val="3"/>
  </w:num>
  <w:num w:numId="10" w16cid:durableId="261375893">
    <w:abstractNumId w:val="11"/>
  </w:num>
  <w:num w:numId="11" w16cid:durableId="579368107">
    <w:abstractNumId w:val="8"/>
  </w:num>
  <w:num w:numId="12" w16cid:durableId="489371916">
    <w:abstractNumId w:val="6"/>
  </w:num>
  <w:num w:numId="13" w16cid:durableId="1006397549">
    <w:abstractNumId w:val="4"/>
  </w:num>
  <w:num w:numId="14" w16cid:durableId="1216550134">
    <w:abstractNumId w:val="14"/>
  </w:num>
  <w:num w:numId="15" w16cid:durableId="109709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21"/>
    <w:rsid w:val="00003434"/>
    <w:rsid w:val="00005D25"/>
    <w:rsid w:val="00007131"/>
    <w:rsid w:val="00010CC0"/>
    <w:rsid w:val="00010E21"/>
    <w:rsid w:val="00015088"/>
    <w:rsid w:val="00015B58"/>
    <w:rsid w:val="000208B9"/>
    <w:rsid w:val="0002292B"/>
    <w:rsid w:val="00022F6D"/>
    <w:rsid w:val="00024751"/>
    <w:rsid w:val="00027F63"/>
    <w:rsid w:val="000363DB"/>
    <w:rsid w:val="000437C5"/>
    <w:rsid w:val="00046CA6"/>
    <w:rsid w:val="00054A9A"/>
    <w:rsid w:val="00056B4A"/>
    <w:rsid w:val="00060384"/>
    <w:rsid w:val="000614D0"/>
    <w:rsid w:val="00062B9D"/>
    <w:rsid w:val="00065026"/>
    <w:rsid w:val="00066C91"/>
    <w:rsid w:val="00067287"/>
    <w:rsid w:val="0007169C"/>
    <w:rsid w:val="000731E2"/>
    <w:rsid w:val="0007509A"/>
    <w:rsid w:val="00075976"/>
    <w:rsid w:val="00076A80"/>
    <w:rsid w:val="00085E30"/>
    <w:rsid w:val="00087409"/>
    <w:rsid w:val="00091292"/>
    <w:rsid w:val="00091908"/>
    <w:rsid w:val="00091A51"/>
    <w:rsid w:val="000942F9"/>
    <w:rsid w:val="0009727A"/>
    <w:rsid w:val="000A1C69"/>
    <w:rsid w:val="000A378F"/>
    <w:rsid w:val="000A4671"/>
    <w:rsid w:val="000A5C65"/>
    <w:rsid w:val="000B08CB"/>
    <w:rsid w:val="000B228B"/>
    <w:rsid w:val="000B37CB"/>
    <w:rsid w:val="000B7B3C"/>
    <w:rsid w:val="000C0C9F"/>
    <w:rsid w:val="000C0EDE"/>
    <w:rsid w:val="000C44FC"/>
    <w:rsid w:val="000C68A3"/>
    <w:rsid w:val="000C6E08"/>
    <w:rsid w:val="000C7220"/>
    <w:rsid w:val="000C7911"/>
    <w:rsid w:val="000D5E3D"/>
    <w:rsid w:val="000D6E87"/>
    <w:rsid w:val="000D76DB"/>
    <w:rsid w:val="000E247D"/>
    <w:rsid w:val="000E3C6B"/>
    <w:rsid w:val="000E43E7"/>
    <w:rsid w:val="000E6380"/>
    <w:rsid w:val="000E69D0"/>
    <w:rsid w:val="000E73C6"/>
    <w:rsid w:val="000F0B37"/>
    <w:rsid w:val="000F6295"/>
    <w:rsid w:val="000F6CFC"/>
    <w:rsid w:val="001046A0"/>
    <w:rsid w:val="00105668"/>
    <w:rsid w:val="001068EF"/>
    <w:rsid w:val="0011126A"/>
    <w:rsid w:val="001125E8"/>
    <w:rsid w:val="00113133"/>
    <w:rsid w:val="001135FF"/>
    <w:rsid w:val="00115849"/>
    <w:rsid w:val="0012786B"/>
    <w:rsid w:val="0013198E"/>
    <w:rsid w:val="00132DCD"/>
    <w:rsid w:val="001331C4"/>
    <w:rsid w:val="00140335"/>
    <w:rsid w:val="00140FCA"/>
    <w:rsid w:val="00141BE3"/>
    <w:rsid w:val="00142821"/>
    <w:rsid w:val="00143359"/>
    <w:rsid w:val="00143732"/>
    <w:rsid w:val="00146FA1"/>
    <w:rsid w:val="00156205"/>
    <w:rsid w:val="0015797B"/>
    <w:rsid w:val="00165760"/>
    <w:rsid w:val="00165B8F"/>
    <w:rsid w:val="0016736A"/>
    <w:rsid w:val="0017794E"/>
    <w:rsid w:val="00177F17"/>
    <w:rsid w:val="00181403"/>
    <w:rsid w:val="0018188B"/>
    <w:rsid w:val="00182510"/>
    <w:rsid w:val="00185BC1"/>
    <w:rsid w:val="00186B82"/>
    <w:rsid w:val="00187FD9"/>
    <w:rsid w:val="001927A0"/>
    <w:rsid w:val="00192B25"/>
    <w:rsid w:val="001A2918"/>
    <w:rsid w:val="001A3084"/>
    <w:rsid w:val="001A618E"/>
    <w:rsid w:val="001B544D"/>
    <w:rsid w:val="001C39E8"/>
    <w:rsid w:val="001C4FCD"/>
    <w:rsid w:val="001C5162"/>
    <w:rsid w:val="001C5895"/>
    <w:rsid w:val="001D121E"/>
    <w:rsid w:val="001D1B6B"/>
    <w:rsid w:val="001D37C6"/>
    <w:rsid w:val="001D469C"/>
    <w:rsid w:val="001E0D10"/>
    <w:rsid w:val="001E1E23"/>
    <w:rsid w:val="001E1E39"/>
    <w:rsid w:val="001E2572"/>
    <w:rsid w:val="001E3691"/>
    <w:rsid w:val="001E3F7D"/>
    <w:rsid w:val="001E5C46"/>
    <w:rsid w:val="001E7F87"/>
    <w:rsid w:val="001F00B4"/>
    <w:rsid w:val="001F287F"/>
    <w:rsid w:val="001F741C"/>
    <w:rsid w:val="002037EC"/>
    <w:rsid w:val="00204A90"/>
    <w:rsid w:val="00210965"/>
    <w:rsid w:val="00210B9E"/>
    <w:rsid w:val="00213A86"/>
    <w:rsid w:val="00216D1F"/>
    <w:rsid w:val="00221599"/>
    <w:rsid w:val="002218AD"/>
    <w:rsid w:val="00223C39"/>
    <w:rsid w:val="00230CD5"/>
    <w:rsid w:val="00231008"/>
    <w:rsid w:val="00231D5E"/>
    <w:rsid w:val="00232F88"/>
    <w:rsid w:val="00234E42"/>
    <w:rsid w:val="002402D3"/>
    <w:rsid w:val="00240DC4"/>
    <w:rsid w:val="00244B9A"/>
    <w:rsid w:val="00247CE3"/>
    <w:rsid w:val="002533EC"/>
    <w:rsid w:val="002551C3"/>
    <w:rsid w:val="00256294"/>
    <w:rsid w:val="00256850"/>
    <w:rsid w:val="00260D51"/>
    <w:rsid w:val="00262780"/>
    <w:rsid w:val="00264F07"/>
    <w:rsid w:val="0026518D"/>
    <w:rsid w:val="00272056"/>
    <w:rsid w:val="002746B4"/>
    <w:rsid w:val="00275364"/>
    <w:rsid w:val="00275572"/>
    <w:rsid w:val="002772B9"/>
    <w:rsid w:val="002801AE"/>
    <w:rsid w:val="00282FA3"/>
    <w:rsid w:val="002904EC"/>
    <w:rsid w:val="00290F5E"/>
    <w:rsid w:val="00292BE2"/>
    <w:rsid w:val="00297C2A"/>
    <w:rsid w:val="002A56CC"/>
    <w:rsid w:val="002B535F"/>
    <w:rsid w:val="002B59DA"/>
    <w:rsid w:val="002C2BAB"/>
    <w:rsid w:val="002C333F"/>
    <w:rsid w:val="002C4B86"/>
    <w:rsid w:val="002C643E"/>
    <w:rsid w:val="002C780A"/>
    <w:rsid w:val="002C7833"/>
    <w:rsid w:val="002D2155"/>
    <w:rsid w:val="002D4E8C"/>
    <w:rsid w:val="002D4FBF"/>
    <w:rsid w:val="002E0B8C"/>
    <w:rsid w:val="002E10F1"/>
    <w:rsid w:val="002E1F2F"/>
    <w:rsid w:val="002E3477"/>
    <w:rsid w:val="002E3C52"/>
    <w:rsid w:val="002E67E5"/>
    <w:rsid w:val="002E7980"/>
    <w:rsid w:val="002E7CD9"/>
    <w:rsid w:val="002F0679"/>
    <w:rsid w:val="002F3C51"/>
    <w:rsid w:val="002F5629"/>
    <w:rsid w:val="002F749B"/>
    <w:rsid w:val="00302ECF"/>
    <w:rsid w:val="00304C02"/>
    <w:rsid w:val="003062A4"/>
    <w:rsid w:val="003069D6"/>
    <w:rsid w:val="00306B63"/>
    <w:rsid w:val="00307FBA"/>
    <w:rsid w:val="003125AD"/>
    <w:rsid w:val="00313042"/>
    <w:rsid w:val="003130DF"/>
    <w:rsid w:val="00313C32"/>
    <w:rsid w:val="00315282"/>
    <w:rsid w:val="003217DE"/>
    <w:rsid w:val="0032776B"/>
    <w:rsid w:val="0032786A"/>
    <w:rsid w:val="003351D5"/>
    <w:rsid w:val="00337403"/>
    <w:rsid w:val="00337B2A"/>
    <w:rsid w:val="0034034F"/>
    <w:rsid w:val="00342F9F"/>
    <w:rsid w:val="003443F3"/>
    <w:rsid w:val="00344F05"/>
    <w:rsid w:val="0034783F"/>
    <w:rsid w:val="00352EF9"/>
    <w:rsid w:val="0035424C"/>
    <w:rsid w:val="00356D21"/>
    <w:rsid w:val="00361C2A"/>
    <w:rsid w:val="00363D5C"/>
    <w:rsid w:val="00375570"/>
    <w:rsid w:val="0037678D"/>
    <w:rsid w:val="00377A6C"/>
    <w:rsid w:val="00381596"/>
    <w:rsid w:val="0038430E"/>
    <w:rsid w:val="00384873"/>
    <w:rsid w:val="00385353"/>
    <w:rsid w:val="00385A1C"/>
    <w:rsid w:val="00385B3B"/>
    <w:rsid w:val="00386084"/>
    <w:rsid w:val="0039007B"/>
    <w:rsid w:val="0039302F"/>
    <w:rsid w:val="00394996"/>
    <w:rsid w:val="003960E0"/>
    <w:rsid w:val="003A1C65"/>
    <w:rsid w:val="003A2866"/>
    <w:rsid w:val="003A35AC"/>
    <w:rsid w:val="003A6845"/>
    <w:rsid w:val="003A75A2"/>
    <w:rsid w:val="003B0316"/>
    <w:rsid w:val="003B0473"/>
    <w:rsid w:val="003B14D9"/>
    <w:rsid w:val="003B54FF"/>
    <w:rsid w:val="003B6218"/>
    <w:rsid w:val="003C0272"/>
    <w:rsid w:val="003C1411"/>
    <w:rsid w:val="003C368A"/>
    <w:rsid w:val="003C3FCC"/>
    <w:rsid w:val="003C49F7"/>
    <w:rsid w:val="003C6FFB"/>
    <w:rsid w:val="003C761F"/>
    <w:rsid w:val="003D0D4C"/>
    <w:rsid w:val="003D386A"/>
    <w:rsid w:val="003E0607"/>
    <w:rsid w:val="003E1626"/>
    <w:rsid w:val="003E16F5"/>
    <w:rsid w:val="003E2A21"/>
    <w:rsid w:val="003E3552"/>
    <w:rsid w:val="003E73F2"/>
    <w:rsid w:val="003F04D6"/>
    <w:rsid w:val="003F1B79"/>
    <w:rsid w:val="003F2110"/>
    <w:rsid w:val="003F27B8"/>
    <w:rsid w:val="003F5EC7"/>
    <w:rsid w:val="004034EA"/>
    <w:rsid w:val="0040355B"/>
    <w:rsid w:val="004050ED"/>
    <w:rsid w:val="00405FEA"/>
    <w:rsid w:val="0040611E"/>
    <w:rsid w:val="004068F7"/>
    <w:rsid w:val="0041308D"/>
    <w:rsid w:val="00413279"/>
    <w:rsid w:val="00415356"/>
    <w:rsid w:val="00420CB9"/>
    <w:rsid w:val="00422DC2"/>
    <w:rsid w:val="0042576B"/>
    <w:rsid w:val="004306EF"/>
    <w:rsid w:val="00432AC3"/>
    <w:rsid w:val="00433C29"/>
    <w:rsid w:val="00441F94"/>
    <w:rsid w:val="00446121"/>
    <w:rsid w:val="00446C34"/>
    <w:rsid w:val="00450B2A"/>
    <w:rsid w:val="00452F22"/>
    <w:rsid w:val="00457409"/>
    <w:rsid w:val="004577B2"/>
    <w:rsid w:val="00460F9B"/>
    <w:rsid w:val="00461083"/>
    <w:rsid w:val="00461C09"/>
    <w:rsid w:val="004623CA"/>
    <w:rsid w:val="00462A91"/>
    <w:rsid w:val="00463E8C"/>
    <w:rsid w:val="00466146"/>
    <w:rsid w:val="00466AFD"/>
    <w:rsid w:val="00467657"/>
    <w:rsid w:val="00467738"/>
    <w:rsid w:val="00475718"/>
    <w:rsid w:val="00476790"/>
    <w:rsid w:val="00476CC1"/>
    <w:rsid w:val="00477B14"/>
    <w:rsid w:val="00481141"/>
    <w:rsid w:val="00481896"/>
    <w:rsid w:val="00482FDD"/>
    <w:rsid w:val="004851DC"/>
    <w:rsid w:val="004A67B6"/>
    <w:rsid w:val="004B118D"/>
    <w:rsid w:val="004B2269"/>
    <w:rsid w:val="004B284A"/>
    <w:rsid w:val="004B4414"/>
    <w:rsid w:val="004B5E11"/>
    <w:rsid w:val="004B7065"/>
    <w:rsid w:val="004C0408"/>
    <w:rsid w:val="004C3F5E"/>
    <w:rsid w:val="004D034B"/>
    <w:rsid w:val="004D3FA2"/>
    <w:rsid w:val="004D4E94"/>
    <w:rsid w:val="004E12C3"/>
    <w:rsid w:val="004E18FE"/>
    <w:rsid w:val="004E5561"/>
    <w:rsid w:val="004E601E"/>
    <w:rsid w:val="004E6F09"/>
    <w:rsid w:val="004F0D6A"/>
    <w:rsid w:val="004F22F8"/>
    <w:rsid w:val="004F2703"/>
    <w:rsid w:val="004F4119"/>
    <w:rsid w:val="004F4846"/>
    <w:rsid w:val="004F56FA"/>
    <w:rsid w:val="004F6F43"/>
    <w:rsid w:val="004F78B1"/>
    <w:rsid w:val="00501048"/>
    <w:rsid w:val="0050690D"/>
    <w:rsid w:val="00507448"/>
    <w:rsid w:val="00511DA5"/>
    <w:rsid w:val="005121C8"/>
    <w:rsid w:val="00516D55"/>
    <w:rsid w:val="00517953"/>
    <w:rsid w:val="00517E94"/>
    <w:rsid w:val="00521733"/>
    <w:rsid w:val="005265E0"/>
    <w:rsid w:val="00527F24"/>
    <w:rsid w:val="005319D8"/>
    <w:rsid w:val="0053356B"/>
    <w:rsid w:val="00536E67"/>
    <w:rsid w:val="00545312"/>
    <w:rsid w:val="00545610"/>
    <w:rsid w:val="00546894"/>
    <w:rsid w:val="00547DBD"/>
    <w:rsid w:val="005507F3"/>
    <w:rsid w:val="0055214E"/>
    <w:rsid w:val="00556300"/>
    <w:rsid w:val="005569B4"/>
    <w:rsid w:val="0056138A"/>
    <w:rsid w:val="00563FAC"/>
    <w:rsid w:val="005673A2"/>
    <w:rsid w:val="00570546"/>
    <w:rsid w:val="005712FC"/>
    <w:rsid w:val="0057260C"/>
    <w:rsid w:val="00572AB3"/>
    <w:rsid w:val="00573321"/>
    <w:rsid w:val="00577B78"/>
    <w:rsid w:val="00580CEC"/>
    <w:rsid w:val="005810F8"/>
    <w:rsid w:val="00581B5C"/>
    <w:rsid w:val="005828A5"/>
    <w:rsid w:val="0058373D"/>
    <w:rsid w:val="00585AB5"/>
    <w:rsid w:val="00585D39"/>
    <w:rsid w:val="0059045E"/>
    <w:rsid w:val="00594BD3"/>
    <w:rsid w:val="00595CA8"/>
    <w:rsid w:val="00597B59"/>
    <w:rsid w:val="005A0DD4"/>
    <w:rsid w:val="005A1ACD"/>
    <w:rsid w:val="005A2486"/>
    <w:rsid w:val="005A259C"/>
    <w:rsid w:val="005A7C45"/>
    <w:rsid w:val="005B0670"/>
    <w:rsid w:val="005B0892"/>
    <w:rsid w:val="005B161B"/>
    <w:rsid w:val="005B3878"/>
    <w:rsid w:val="005B3F37"/>
    <w:rsid w:val="005B79CB"/>
    <w:rsid w:val="005C307E"/>
    <w:rsid w:val="005C7FE5"/>
    <w:rsid w:val="005D0BFD"/>
    <w:rsid w:val="005D13E7"/>
    <w:rsid w:val="005D682A"/>
    <w:rsid w:val="005D7658"/>
    <w:rsid w:val="005E08E5"/>
    <w:rsid w:val="005E55F8"/>
    <w:rsid w:val="005F06CF"/>
    <w:rsid w:val="005F121C"/>
    <w:rsid w:val="005F35CB"/>
    <w:rsid w:val="005F5AB0"/>
    <w:rsid w:val="00604137"/>
    <w:rsid w:val="006109C3"/>
    <w:rsid w:val="00610DBF"/>
    <w:rsid w:val="006116AA"/>
    <w:rsid w:val="006164D7"/>
    <w:rsid w:val="006176C6"/>
    <w:rsid w:val="006225FB"/>
    <w:rsid w:val="00624DB7"/>
    <w:rsid w:val="00625487"/>
    <w:rsid w:val="0062567E"/>
    <w:rsid w:val="00631C7E"/>
    <w:rsid w:val="00634564"/>
    <w:rsid w:val="00643649"/>
    <w:rsid w:val="00644916"/>
    <w:rsid w:val="00646F86"/>
    <w:rsid w:val="00650964"/>
    <w:rsid w:val="00655635"/>
    <w:rsid w:val="006608F9"/>
    <w:rsid w:val="00662C44"/>
    <w:rsid w:val="00662D36"/>
    <w:rsid w:val="00665060"/>
    <w:rsid w:val="006676BC"/>
    <w:rsid w:val="0067312A"/>
    <w:rsid w:val="00673165"/>
    <w:rsid w:val="00673451"/>
    <w:rsid w:val="0067348D"/>
    <w:rsid w:val="006741C1"/>
    <w:rsid w:val="006853CB"/>
    <w:rsid w:val="00685A77"/>
    <w:rsid w:val="00695103"/>
    <w:rsid w:val="00696AEB"/>
    <w:rsid w:val="006A2067"/>
    <w:rsid w:val="006A231A"/>
    <w:rsid w:val="006A3CF3"/>
    <w:rsid w:val="006B0631"/>
    <w:rsid w:val="006B1A44"/>
    <w:rsid w:val="006B2B4B"/>
    <w:rsid w:val="006C04A3"/>
    <w:rsid w:val="006C10B8"/>
    <w:rsid w:val="006C2DCE"/>
    <w:rsid w:val="006C2E06"/>
    <w:rsid w:val="006D534F"/>
    <w:rsid w:val="006D5C96"/>
    <w:rsid w:val="006D66CC"/>
    <w:rsid w:val="006E265B"/>
    <w:rsid w:val="006E789D"/>
    <w:rsid w:val="006E7F23"/>
    <w:rsid w:val="006F5310"/>
    <w:rsid w:val="006F5BF9"/>
    <w:rsid w:val="006F7561"/>
    <w:rsid w:val="007026B7"/>
    <w:rsid w:val="00702D15"/>
    <w:rsid w:val="00702E25"/>
    <w:rsid w:val="0070557B"/>
    <w:rsid w:val="00706699"/>
    <w:rsid w:val="00706C93"/>
    <w:rsid w:val="007075D0"/>
    <w:rsid w:val="00707973"/>
    <w:rsid w:val="00710EE7"/>
    <w:rsid w:val="00713738"/>
    <w:rsid w:val="00716817"/>
    <w:rsid w:val="00730D6E"/>
    <w:rsid w:val="00732391"/>
    <w:rsid w:val="00734914"/>
    <w:rsid w:val="007357F8"/>
    <w:rsid w:val="00745973"/>
    <w:rsid w:val="00746FB7"/>
    <w:rsid w:val="00750CB0"/>
    <w:rsid w:val="00752F13"/>
    <w:rsid w:val="007549B6"/>
    <w:rsid w:val="00755EF7"/>
    <w:rsid w:val="007563C2"/>
    <w:rsid w:val="00757227"/>
    <w:rsid w:val="007674EB"/>
    <w:rsid w:val="00770634"/>
    <w:rsid w:val="00771B8C"/>
    <w:rsid w:val="0077292E"/>
    <w:rsid w:val="00777390"/>
    <w:rsid w:val="0078344C"/>
    <w:rsid w:val="007837E5"/>
    <w:rsid w:val="00784622"/>
    <w:rsid w:val="00784AD8"/>
    <w:rsid w:val="007855A8"/>
    <w:rsid w:val="007878C5"/>
    <w:rsid w:val="0079200F"/>
    <w:rsid w:val="0079268B"/>
    <w:rsid w:val="0079440C"/>
    <w:rsid w:val="00796950"/>
    <w:rsid w:val="00797040"/>
    <w:rsid w:val="00797EC9"/>
    <w:rsid w:val="007A1D55"/>
    <w:rsid w:val="007A229E"/>
    <w:rsid w:val="007A37F9"/>
    <w:rsid w:val="007B1DE3"/>
    <w:rsid w:val="007B370B"/>
    <w:rsid w:val="007B73B2"/>
    <w:rsid w:val="007C1ADD"/>
    <w:rsid w:val="007C3D14"/>
    <w:rsid w:val="007C3E1B"/>
    <w:rsid w:val="007C6110"/>
    <w:rsid w:val="007C65EA"/>
    <w:rsid w:val="007C7BF4"/>
    <w:rsid w:val="007D1C22"/>
    <w:rsid w:val="007D21B9"/>
    <w:rsid w:val="007D25F0"/>
    <w:rsid w:val="007D2AB7"/>
    <w:rsid w:val="007D578D"/>
    <w:rsid w:val="007D614C"/>
    <w:rsid w:val="007D6A26"/>
    <w:rsid w:val="007E0119"/>
    <w:rsid w:val="007E1274"/>
    <w:rsid w:val="007E1ED9"/>
    <w:rsid w:val="007E278C"/>
    <w:rsid w:val="007E2FA9"/>
    <w:rsid w:val="007E387E"/>
    <w:rsid w:val="007F0F45"/>
    <w:rsid w:val="007F4079"/>
    <w:rsid w:val="007F744F"/>
    <w:rsid w:val="007F7884"/>
    <w:rsid w:val="00800DF8"/>
    <w:rsid w:val="008031AF"/>
    <w:rsid w:val="008037C0"/>
    <w:rsid w:val="008044EB"/>
    <w:rsid w:val="00804548"/>
    <w:rsid w:val="00805684"/>
    <w:rsid w:val="00806C2D"/>
    <w:rsid w:val="00810057"/>
    <w:rsid w:val="0081010D"/>
    <w:rsid w:val="008117B8"/>
    <w:rsid w:val="00811D72"/>
    <w:rsid w:val="008136E7"/>
    <w:rsid w:val="00821EF1"/>
    <w:rsid w:val="0082231E"/>
    <w:rsid w:val="0082393C"/>
    <w:rsid w:val="00826FCF"/>
    <w:rsid w:val="00827763"/>
    <w:rsid w:val="00827917"/>
    <w:rsid w:val="00830D4C"/>
    <w:rsid w:val="00832337"/>
    <w:rsid w:val="0083361B"/>
    <w:rsid w:val="00833D62"/>
    <w:rsid w:val="00835956"/>
    <w:rsid w:val="00836381"/>
    <w:rsid w:val="0084346F"/>
    <w:rsid w:val="008443C3"/>
    <w:rsid w:val="00844673"/>
    <w:rsid w:val="0084752F"/>
    <w:rsid w:val="008518ED"/>
    <w:rsid w:val="00853661"/>
    <w:rsid w:val="00855B19"/>
    <w:rsid w:val="0085663C"/>
    <w:rsid w:val="00857274"/>
    <w:rsid w:val="00861473"/>
    <w:rsid w:val="008631EB"/>
    <w:rsid w:val="00863809"/>
    <w:rsid w:val="00864298"/>
    <w:rsid w:val="00864D99"/>
    <w:rsid w:val="008666B4"/>
    <w:rsid w:val="00866C61"/>
    <w:rsid w:val="00875296"/>
    <w:rsid w:val="00875340"/>
    <w:rsid w:val="008764BB"/>
    <w:rsid w:val="0088057E"/>
    <w:rsid w:val="0088332B"/>
    <w:rsid w:val="0088570A"/>
    <w:rsid w:val="008868B7"/>
    <w:rsid w:val="00887251"/>
    <w:rsid w:val="0089347D"/>
    <w:rsid w:val="0089384C"/>
    <w:rsid w:val="008A2103"/>
    <w:rsid w:val="008A489F"/>
    <w:rsid w:val="008A4998"/>
    <w:rsid w:val="008A4E9E"/>
    <w:rsid w:val="008A536F"/>
    <w:rsid w:val="008A5A61"/>
    <w:rsid w:val="008A7483"/>
    <w:rsid w:val="008B33A0"/>
    <w:rsid w:val="008B5F10"/>
    <w:rsid w:val="008C3B6C"/>
    <w:rsid w:val="008C5FAF"/>
    <w:rsid w:val="008D0F2C"/>
    <w:rsid w:val="008D1E52"/>
    <w:rsid w:val="008D2AFE"/>
    <w:rsid w:val="008D2BE8"/>
    <w:rsid w:val="008D70B2"/>
    <w:rsid w:val="008D7628"/>
    <w:rsid w:val="008D78C9"/>
    <w:rsid w:val="008E0C02"/>
    <w:rsid w:val="008E5F28"/>
    <w:rsid w:val="008F04D6"/>
    <w:rsid w:val="00903C1A"/>
    <w:rsid w:val="00905237"/>
    <w:rsid w:val="00907C14"/>
    <w:rsid w:val="009111F9"/>
    <w:rsid w:val="00911842"/>
    <w:rsid w:val="00914547"/>
    <w:rsid w:val="009152D3"/>
    <w:rsid w:val="00915DCA"/>
    <w:rsid w:val="00920DB6"/>
    <w:rsid w:val="00922652"/>
    <w:rsid w:val="00923B81"/>
    <w:rsid w:val="00926742"/>
    <w:rsid w:val="00932053"/>
    <w:rsid w:val="00934ACE"/>
    <w:rsid w:val="00941C54"/>
    <w:rsid w:val="00945DCE"/>
    <w:rsid w:val="00947204"/>
    <w:rsid w:val="00952704"/>
    <w:rsid w:val="00952DDF"/>
    <w:rsid w:val="00953DA4"/>
    <w:rsid w:val="00954A03"/>
    <w:rsid w:val="00963986"/>
    <w:rsid w:val="00964F9E"/>
    <w:rsid w:val="00965B9B"/>
    <w:rsid w:val="00965DF5"/>
    <w:rsid w:val="00967445"/>
    <w:rsid w:val="00967703"/>
    <w:rsid w:val="00977F0D"/>
    <w:rsid w:val="00977F7C"/>
    <w:rsid w:val="00980973"/>
    <w:rsid w:val="0098385C"/>
    <w:rsid w:val="009841FB"/>
    <w:rsid w:val="00984EBE"/>
    <w:rsid w:val="00987022"/>
    <w:rsid w:val="009872CA"/>
    <w:rsid w:val="00991EAF"/>
    <w:rsid w:val="00993C6E"/>
    <w:rsid w:val="00994428"/>
    <w:rsid w:val="00994B7D"/>
    <w:rsid w:val="00997BEC"/>
    <w:rsid w:val="00997CD4"/>
    <w:rsid w:val="009A044A"/>
    <w:rsid w:val="009A068E"/>
    <w:rsid w:val="009A1055"/>
    <w:rsid w:val="009A249F"/>
    <w:rsid w:val="009A5B14"/>
    <w:rsid w:val="009A5DE4"/>
    <w:rsid w:val="009B143C"/>
    <w:rsid w:val="009B5C43"/>
    <w:rsid w:val="009B7072"/>
    <w:rsid w:val="009C1A4B"/>
    <w:rsid w:val="009C482A"/>
    <w:rsid w:val="009C510B"/>
    <w:rsid w:val="009D093F"/>
    <w:rsid w:val="009D1723"/>
    <w:rsid w:val="009D4EC5"/>
    <w:rsid w:val="009D6139"/>
    <w:rsid w:val="009D7533"/>
    <w:rsid w:val="009E1C7D"/>
    <w:rsid w:val="009E32C5"/>
    <w:rsid w:val="009E4203"/>
    <w:rsid w:val="009E64B9"/>
    <w:rsid w:val="009E6BAD"/>
    <w:rsid w:val="009F1CA9"/>
    <w:rsid w:val="009F7F93"/>
    <w:rsid w:val="00A0360B"/>
    <w:rsid w:val="00A0388F"/>
    <w:rsid w:val="00A069C2"/>
    <w:rsid w:val="00A136D2"/>
    <w:rsid w:val="00A14946"/>
    <w:rsid w:val="00A14D52"/>
    <w:rsid w:val="00A2036E"/>
    <w:rsid w:val="00A232C7"/>
    <w:rsid w:val="00A23932"/>
    <w:rsid w:val="00A24DF2"/>
    <w:rsid w:val="00A26E0D"/>
    <w:rsid w:val="00A2772C"/>
    <w:rsid w:val="00A30DA8"/>
    <w:rsid w:val="00A34191"/>
    <w:rsid w:val="00A34A4C"/>
    <w:rsid w:val="00A37366"/>
    <w:rsid w:val="00A41355"/>
    <w:rsid w:val="00A41671"/>
    <w:rsid w:val="00A44D73"/>
    <w:rsid w:val="00A46554"/>
    <w:rsid w:val="00A466B7"/>
    <w:rsid w:val="00A47247"/>
    <w:rsid w:val="00A50D6C"/>
    <w:rsid w:val="00A52C8A"/>
    <w:rsid w:val="00A53117"/>
    <w:rsid w:val="00A5368A"/>
    <w:rsid w:val="00A539AF"/>
    <w:rsid w:val="00A53EF1"/>
    <w:rsid w:val="00A54029"/>
    <w:rsid w:val="00A552A2"/>
    <w:rsid w:val="00A560D6"/>
    <w:rsid w:val="00A6061B"/>
    <w:rsid w:val="00A63DD6"/>
    <w:rsid w:val="00A6485E"/>
    <w:rsid w:val="00A66FC1"/>
    <w:rsid w:val="00A705F7"/>
    <w:rsid w:val="00A727D9"/>
    <w:rsid w:val="00A74E37"/>
    <w:rsid w:val="00A825E3"/>
    <w:rsid w:val="00A854F7"/>
    <w:rsid w:val="00A85643"/>
    <w:rsid w:val="00A86B8A"/>
    <w:rsid w:val="00A8799F"/>
    <w:rsid w:val="00A90B15"/>
    <w:rsid w:val="00A92204"/>
    <w:rsid w:val="00A94DC7"/>
    <w:rsid w:val="00A974C8"/>
    <w:rsid w:val="00AA0767"/>
    <w:rsid w:val="00AA2F28"/>
    <w:rsid w:val="00AA3616"/>
    <w:rsid w:val="00AA7C70"/>
    <w:rsid w:val="00AA7E0A"/>
    <w:rsid w:val="00AB03DB"/>
    <w:rsid w:val="00AC087A"/>
    <w:rsid w:val="00AC1B7A"/>
    <w:rsid w:val="00AC75D9"/>
    <w:rsid w:val="00AC7B22"/>
    <w:rsid w:val="00AD0A37"/>
    <w:rsid w:val="00AD1921"/>
    <w:rsid w:val="00AD2BB0"/>
    <w:rsid w:val="00AD45D9"/>
    <w:rsid w:val="00AD6B91"/>
    <w:rsid w:val="00AD7223"/>
    <w:rsid w:val="00AD7BF2"/>
    <w:rsid w:val="00AE19E4"/>
    <w:rsid w:val="00AE1DBB"/>
    <w:rsid w:val="00AF0839"/>
    <w:rsid w:val="00AF195F"/>
    <w:rsid w:val="00AF46E8"/>
    <w:rsid w:val="00AF4A00"/>
    <w:rsid w:val="00AF60F9"/>
    <w:rsid w:val="00AF66B0"/>
    <w:rsid w:val="00B01B3E"/>
    <w:rsid w:val="00B051A9"/>
    <w:rsid w:val="00B05520"/>
    <w:rsid w:val="00B063C5"/>
    <w:rsid w:val="00B100D0"/>
    <w:rsid w:val="00B15ADD"/>
    <w:rsid w:val="00B178AC"/>
    <w:rsid w:val="00B17D4E"/>
    <w:rsid w:val="00B2385F"/>
    <w:rsid w:val="00B249F6"/>
    <w:rsid w:val="00B25A5C"/>
    <w:rsid w:val="00B2665A"/>
    <w:rsid w:val="00B307A2"/>
    <w:rsid w:val="00B32252"/>
    <w:rsid w:val="00B37455"/>
    <w:rsid w:val="00B41CA3"/>
    <w:rsid w:val="00B4588B"/>
    <w:rsid w:val="00B47ACA"/>
    <w:rsid w:val="00B51A9A"/>
    <w:rsid w:val="00B52453"/>
    <w:rsid w:val="00B56EEF"/>
    <w:rsid w:val="00B57A90"/>
    <w:rsid w:val="00B57C96"/>
    <w:rsid w:val="00B646CE"/>
    <w:rsid w:val="00B64B12"/>
    <w:rsid w:val="00B64D1E"/>
    <w:rsid w:val="00B67512"/>
    <w:rsid w:val="00B67A37"/>
    <w:rsid w:val="00B70AD3"/>
    <w:rsid w:val="00B731DA"/>
    <w:rsid w:val="00B76A28"/>
    <w:rsid w:val="00B80A7F"/>
    <w:rsid w:val="00B85CA2"/>
    <w:rsid w:val="00B86130"/>
    <w:rsid w:val="00B86B8A"/>
    <w:rsid w:val="00B94002"/>
    <w:rsid w:val="00B941C8"/>
    <w:rsid w:val="00B941F8"/>
    <w:rsid w:val="00BA13A4"/>
    <w:rsid w:val="00BA2366"/>
    <w:rsid w:val="00BA253F"/>
    <w:rsid w:val="00BA2B92"/>
    <w:rsid w:val="00BA7440"/>
    <w:rsid w:val="00BB4B66"/>
    <w:rsid w:val="00BB5E1D"/>
    <w:rsid w:val="00BB6043"/>
    <w:rsid w:val="00BB705D"/>
    <w:rsid w:val="00BC6806"/>
    <w:rsid w:val="00BD0EF5"/>
    <w:rsid w:val="00BD12F5"/>
    <w:rsid w:val="00BD3689"/>
    <w:rsid w:val="00BD37DD"/>
    <w:rsid w:val="00BD5AFE"/>
    <w:rsid w:val="00BE0D3F"/>
    <w:rsid w:val="00BE13CB"/>
    <w:rsid w:val="00BE26A1"/>
    <w:rsid w:val="00BE3C76"/>
    <w:rsid w:val="00BE466C"/>
    <w:rsid w:val="00BF5021"/>
    <w:rsid w:val="00BF5165"/>
    <w:rsid w:val="00BF5E97"/>
    <w:rsid w:val="00BF7C56"/>
    <w:rsid w:val="00BF7EA3"/>
    <w:rsid w:val="00C032BD"/>
    <w:rsid w:val="00C03695"/>
    <w:rsid w:val="00C0452E"/>
    <w:rsid w:val="00C07188"/>
    <w:rsid w:val="00C10716"/>
    <w:rsid w:val="00C14010"/>
    <w:rsid w:val="00C16EFB"/>
    <w:rsid w:val="00C20758"/>
    <w:rsid w:val="00C26740"/>
    <w:rsid w:val="00C26DDF"/>
    <w:rsid w:val="00C277AB"/>
    <w:rsid w:val="00C2794C"/>
    <w:rsid w:val="00C27EAD"/>
    <w:rsid w:val="00C329AA"/>
    <w:rsid w:val="00C32CB8"/>
    <w:rsid w:val="00C3513B"/>
    <w:rsid w:val="00C41E98"/>
    <w:rsid w:val="00C41EDD"/>
    <w:rsid w:val="00C42F4F"/>
    <w:rsid w:val="00C51130"/>
    <w:rsid w:val="00C51B04"/>
    <w:rsid w:val="00C531F9"/>
    <w:rsid w:val="00C54986"/>
    <w:rsid w:val="00C62AD4"/>
    <w:rsid w:val="00C62AEE"/>
    <w:rsid w:val="00C64FB6"/>
    <w:rsid w:val="00C67CA3"/>
    <w:rsid w:val="00C67EB5"/>
    <w:rsid w:val="00C75E8F"/>
    <w:rsid w:val="00C75F18"/>
    <w:rsid w:val="00C76676"/>
    <w:rsid w:val="00C81E38"/>
    <w:rsid w:val="00C85332"/>
    <w:rsid w:val="00C87805"/>
    <w:rsid w:val="00C9227E"/>
    <w:rsid w:val="00C9277F"/>
    <w:rsid w:val="00C96952"/>
    <w:rsid w:val="00CA21F5"/>
    <w:rsid w:val="00CA4D4F"/>
    <w:rsid w:val="00CA598B"/>
    <w:rsid w:val="00CB137A"/>
    <w:rsid w:val="00CB18F3"/>
    <w:rsid w:val="00CB364F"/>
    <w:rsid w:val="00CB3ABE"/>
    <w:rsid w:val="00CB4339"/>
    <w:rsid w:val="00CB4D59"/>
    <w:rsid w:val="00CB742C"/>
    <w:rsid w:val="00CB77D1"/>
    <w:rsid w:val="00CC139C"/>
    <w:rsid w:val="00CC1892"/>
    <w:rsid w:val="00CC4BB0"/>
    <w:rsid w:val="00CC5F93"/>
    <w:rsid w:val="00CC697B"/>
    <w:rsid w:val="00CC77C8"/>
    <w:rsid w:val="00CD16E9"/>
    <w:rsid w:val="00CD2F5F"/>
    <w:rsid w:val="00CD5E36"/>
    <w:rsid w:val="00CE05D2"/>
    <w:rsid w:val="00CE2104"/>
    <w:rsid w:val="00CE5C7C"/>
    <w:rsid w:val="00D012E1"/>
    <w:rsid w:val="00D02907"/>
    <w:rsid w:val="00D0344F"/>
    <w:rsid w:val="00D0378D"/>
    <w:rsid w:val="00D03D8D"/>
    <w:rsid w:val="00D045F0"/>
    <w:rsid w:val="00D1069C"/>
    <w:rsid w:val="00D1539F"/>
    <w:rsid w:val="00D16BFC"/>
    <w:rsid w:val="00D34465"/>
    <w:rsid w:val="00D42640"/>
    <w:rsid w:val="00D44B87"/>
    <w:rsid w:val="00D46FCF"/>
    <w:rsid w:val="00D5119A"/>
    <w:rsid w:val="00D56836"/>
    <w:rsid w:val="00D572D9"/>
    <w:rsid w:val="00D62C13"/>
    <w:rsid w:val="00D6465B"/>
    <w:rsid w:val="00D6495C"/>
    <w:rsid w:val="00D64A47"/>
    <w:rsid w:val="00D65BD4"/>
    <w:rsid w:val="00D66457"/>
    <w:rsid w:val="00D67879"/>
    <w:rsid w:val="00D679EA"/>
    <w:rsid w:val="00D72352"/>
    <w:rsid w:val="00D72556"/>
    <w:rsid w:val="00D73BF4"/>
    <w:rsid w:val="00D75596"/>
    <w:rsid w:val="00D80875"/>
    <w:rsid w:val="00D81D2A"/>
    <w:rsid w:val="00D81DDC"/>
    <w:rsid w:val="00D823AA"/>
    <w:rsid w:val="00D82B72"/>
    <w:rsid w:val="00D915FD"/>
    <w:rsid w:val="00D927F0"/>
    <w:rsid w:val="00D95AFC"/>
    <w:rsid w:val="00DA1490"/>
    <w:rsid w:val="00DA302C"/>
    <w:rsid w:val="00DA4A92"/>
    <w:rsid w:val="00DA64AB"/>
    <w:rsid w:val="00DB1D6D"/>
    <w:rsid w:val="00DB47CF"/>
    <w:rsid w:val="00DB58EB"/>
    <w:rsid w:val="00DB6707"/>
    <w:rsid w:val="00DB7791"/>
    <w:rsid w:val="00DB79FE"/>
    <w:rsid w:val="00DC6AFF"/>
    <w:rsid w:val="00DD0C4E"/>
    <w:rsid w:val="00DD1104"/>
    <w:rsid w:val="00DD1F4F"/>
    <w:rsid w:val="00DD388B"/>
    <w:rsid w:val="00DE01A5"/>
    <w:rsid w:val="00DE27E7"/>
    <w:rsid w:val="00DE2A61"/>
    <w:rsid w:val="00DE40A8"/>
    <w:rsid w:val="00DE5966"/>
    <w:rsid w:val="00DE5FE2"/>
    <w:rsid w:val="00DF2653"/>
    <w:rsid w:val="00DF5C83"/>
    <w:rsid w:val="00E003EE"/>
    <w:rsid w:val="00E01748"/>
    <w:rsid w:val="00E01D17"/>
    <w:rsid w:val="00E025D0"/>
    <w:rsid w:val="00E0329D"/>
    <w:rsid w:val="00E03E6D"/>
    <w:rsid w:val="00E05348"/>
    <w:rsid w:val="00E059EE"/>
    <w:rsid w:val="00E07002"/>
    <w:rsid w:val="00E07342"/>
    <w:rsid w:val="00E10EAA"/>
    <w:rsid w:val="00E1172E"/>
    <w:rsid w:val="00E1468B"/>
    <w:rsid w:val="00E15C7F"/>
    <w:rsid w:val="00E20EE6"/>
    <w:rsid w:val="00E2435C"/>
    <w:rsid w:val="00E37358"/>
    <w:rsid w:val="00E45AE5"/>
    <w:rsid w:val="00E50B63"/>
    <w:rsid w:val="00E5146C"/>
    <w:rsid w:val="00E56516"/>
    <w:rsid w:val="00E6168B"/>
    <w:rsid w:val="00E62DFA"/>
    <w:rsid w:val="00E672FA"/>
    <w:rsid w:val="00E76436"/>
    <w:rsid w:val="00E82213"/>
    <w:rsid w:val="00E83B63"/>
    <w:rsid w:val="00E86951"/>
    <w:rsid w:val="00EA1346"/>
    <w:rsid w:val="00EA492F"/>
    <w:rsid w:val="00EA4960"/>
    <w:rsid w:val="00EA49B2"/>
    <w:rsid w:val="00EA5A8D"/>
    <w:rsid w:val="00EA7FB5"/>
    <w:rsid w:val="00EB0AC8"/>
    <w:rsid w:val="00EB1FDB"/>
    <w:rsid w:val="00EB29E1"/>
    <w:rsid w:val="00EB51A8"/>
    <w:rsid w:val="00EB54CB"/>
    <w:rsid w:val="00EB692D"/>
    <w:rsid w:val="00EC056A"/>
    <w:rsid w:val="00EC1030"/>
    <w:rsid w:val="00EC3DE0"/>
    <w:rsid w:val="00EC5DB9"/>
    <w:rsid w:val="00EC7EF8"/>
    <w:rsid w:val="00ED1FB6"/>
    <w:rsid w:val="00ED382E"/>
    <w:rsid w:val="00ED3B66"/>
    <w:rsid w:val="00ED5D8A"/>
    <w:rsid w:val="00ED785B"/>
    <w:rsid w:val="00EE1CD2"/>
    <w:rsid w:val="00EE2407"/>
    <w:rsid w:val="00EE3EFE"/>
    <w:rsid w:val="00EE4041"/>
    <w:rsid w:val="00EE4BB1"/>
    <w:rsid w:val="00EF0569"/>
    <w:rsid w:val="00EF399B"/>
    <w:rsid w:val="00EF3EE7"/>
    <w:rsid w:val="00EF4632"/>
    <w:rsid w:val="00EF7916"/>
    <w:rsid w:val="00F02E71"/>
    <w:rsid w:val="00F0574B"/>
    <w:rsid w:val="00F06389"/>
    <w:rsid w:val="00F06BB7"/>
    <w:rsid w:val="00F11171"/>
    <w:rsid w:val="00F16055"/>
    <w:rsid w:val="00F1615D"/>
    <w:rsid w:val="00F16799"/>
    <w:rsid w:val="00F16925"/>
    <w:rsid w:val="00F17236"/>
    <w:rsid w:val="00F17FBB"/>
    <w:rsid w:val="00F20049"/>
    <w:rsid w:val="00F229C0"/>
    <w:rsid w:val="00F23235"/>
    <w:rsid w:val="00F2562D"/>
    <w:rsid w:val="00F31974"/>
    <w:rsid w:val="00F323CE"/>
    <w:rsid w:val="00F33145"/>
    <w:rsid w:val="00F333F9"/>
    <w:rsid w:val="00F36206"/>
    <w:rsid w:val="00F365AB"/>
    <w:rsid w:val="00F37CC3"/>
    <w:rsid w:val="00F37EAE"/>
    <w:rsid w:val="00F40746"/>
    <w:rsid w:val="00F41CCF"/>
    <w:rsid w:val="00F45E15"/>
    <w:rsid w:val="00F52D92"/>
    <w:rsid w:val="00F53B71"/>
    <w:rsid w:val="00F62C95"/>
    <w:rsid w:val="00F64355"/>
    <w:rsid w:val="00F6472E"/>
    <w:rsid w:val="00F67212"/>
    <w:rsid w:val="00F70097"/>
    <w:rsid w:val="00F71360"/>
    <w:rsid w:val="00F73155"/>
    <w:rsid w:val="00F764D9"/>
    <w:rsid w:val="00F767EF"/>
    <w:rsid w:val="00F76E4D"/>
    <w:rsid w:val="00F77C84"/>
    <w:rsid w:val="00F81E95"/>
    <w:rsid w:val="00F83C85"/>
    <w:rsid w:val="00F86A4C"/>
    <w:rsid w:val="00F874E0"/>
    <w:rsid w:val="00F927EE"/>
    <w:rsid w:val="00F97388"/>
    <w:rsid w:val="00FA15BB"/>
    <w:rsid w:val="00FA334D"/>
    <w:rsid w:val="00FA611A"/>
    <w:rsid w:val="00FA72E3"/>
    <w:rsid w:val="00FA7BF2"/>
    <w:rsid w:val="00FB2BD3"/>
    <w:rsid w:val="00FB36CB"/>
    <w:rsid w:val="00FB52FD"/>
    <w:rsid w:val="00FB6C74"/>
    <w:rsid w:val="00FB7747"/>
    <w:rsid w:val="00FB7928"/>
    <w:rsid w:val="00FC0730"/>
    <w:rsid w:val="00FC13E2"/>
    <w:rsid w:val="00FC37EC"/>
    <w:rsid w:val="00FC4630"/>
    <w:rsid w:val="00FC4E60"/>
    <w:rsid w:val="00FC6500"/>
    <w:rsid w:val="00FC6A5F"/>
    <w:rsid w:val="00FD11CF"/>
    <w:rsid w:val="00FD3FC8"/>
    <w:rsid w:val="00FD631E"/>
    <w:rsid w:val="00FD6614"/>
    <w:rsid w:val="00FD66E2"/>
    <w:rsid w:val="00FE2412"/>
    <w:rsid w:val="00FF4F0B"/>
    <w:rsid w:val="00FF6014"/>
    <w:rsid w:val="00FF7D11"/>
    <w:rsid w:val="00FF7F7C"/>
    <w:rsid w:val="01349C0A"/>
    <w:rsid w:val="01DFDF91"/>
    <w:rsid w:val="0434087A"/>
    <w:rsid w:val="053117B0"/>
    <w:rsid w:val="07AE73C2"/>
    <w:rsid w:val="07FAA5FD"/>
    <w:rsid w:val="0943948D"/>
    <w:rsid w:val="0D7A0051"/>
    <w:rsid w:val="0F289723"/>
    <w:rsid w:val="109114D0"/>
    <w:rsid w:val="123BB63C"/>
    <w:rsid w:val="1258262B"/>
    <w:rsid w:val="128EA6BB"/>
    <w:rsid w:val="14E3A26A"/>
    <w:rsid w:val="17C12F4D"/>
    <w:rsid w:val="1ADFCB6D"/>
    <w:rsid w:val="1B0E49EB"/>
    <w:rsid w:val="1CC7B4F0"/>
    <w:rsid w:val="1D9EA68C"/>
    <w:rsid w:val="22323281"/>
    <w:rsid w:val="22E08A73"/>
    <w:rsid w:val="2505B813"/>
    <w:rsid w:val="27933B47"/>
    <w:rsid w:val="28E6A537"/>
    <w:rsid w:val="29C474E2"/>
    <w:rsid w:val="2B5D4D9D"/>
    <w:rsid w:val="2DC486D5"/>
    <w:rsid w:val="33456404"/>
    <w:rsid w:val="3641C2D1"/>
    <w:rsid w:val="3A8459B6"/>
    <w:rsid w:val="3B1F1772"/>
    <w:rsid w:val="3C6263A4"/>
    <w:rsid w:val="3E719097"/>
    <w:rsid w:val="3F7AC054"/>
    <w:rsid w:val="415EEAF2"/>
    <w:rsid w:val="4160CF50"/>
    <w:rsid w:val="422843E2"/>
    <w:rsid w:val="43D1646B"/>
    <w:rsid w:val="450D5879"/>
    <w:rsid w:val="4630FE0D"/>
    <w:rsid w:val="47A4FCA0"/>
    <w:rsid w:val="488BEAA4"/>
    <w:rsid w:val="4B88F0C6"/>
    <w:rsid w:val="4C35DBD5"/>
    <w:rsid w:val="4EB340F4"/>
    <w:rsid w:val="5423FF75"/>
    <w:rsid w:val="5A254850"/>
    <w:rsid w:val="5C353DBE"/>
    <w:rsid w:val="64C7BCDC"/>
    <w:rsid w:val="68142343"/>
    <w:rsid w:val="699C1C62"/>
    <w:rsid w:val="69D42BC2"/>
    <w:rsid w:val="6FA22702"/>
    <w:rsid w:val="70B1D9D9"/>
    <w:rsid w:val="713C70E1"/>
    <w:rsid w:val="7313CD3A"/>
    <w:rsid w:val="73F5F789"/>
    <w:rsid w:val="73FC4BA1"/>
    <w:rsid w:val="779DB32C"/>
    <w:rsid w:val="78BB8FBD"/>
    <w:rsid w:val="7AAC1D6E"/>
    <w:rsid w:val="7C1950C8"/>
    <w:rsid w:val="7C9562DC"/>
    <w:rsid w:val="7E4EA482"/>
    <w:rsid w:val="7E5E46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3631"/>
  <w15:chartTrackingRefBased/>
  <w15:docId w15:val="{61C3EECF-B34D-491E-B4CF-DA4A177A3AD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E21"/>
  </w:style>
  <w:style w:type="paragraph" w:styleId="Heading1">
    <w:name w:val="heading 1"/>
    <w:basedOn w:val="Normal"/>
    <w:next w:val="Normal"/>
    <w:link w:val="Heading1Char"/>
    <w:uiPriority w:val="9"/>
    <w:qFormat/>
    <w:rsid w:val="00010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E21"/>
    <w:rPr>
      <w:rFonts w:eastAsiaTheme="majorEastAsia" w:cstheme="majorBidi"/>
      <w:color w:val="272727" w:themeColor="text1" w:themeTint="D8"/>
    </w:rPr>
  </w:style>
  <w:style w:type="paragraph" w:styleId="Title">
    <w:name w:val="Title"/>
    <w:basedOn w:val="Normal"/>
    <w:next w:val="Normal"/>
    <w:link w:val="TitleChar"/>
    <w:uiPriority w:val="10"/>
    <w:qFormat/>
    <w:rsid w:val="00010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E21"/>
    <w:pPr>
      <w:spacing w:before="160"/>
      <w:jc w:val="center"/>
    </w:pPr>
    <w:rPr>
      <w:i/>
      <w:iCs/>
      <w:color w:val="404040" w:themeColor="text1" w:themeTint="BF"/>
    </w:rPr>
  </w:style>
  <w:style w:type="character" w:customStyle="1" w:styleId="QuoteChar">
    <w:name w:val="Quote Char"/>
    <w:basedOn w:val="DefaultParagraphFont"/>
    <w:link w:val="Quote"/>
    <w:uiPriority w:val="29"/>
    <w:rsid w:val="00010E21"/>
    <w:rPr>
      <w:i/>
      <w:iCs/>
      <w:color w:val="404040" w:themeColor="text1" w:themeTint="BF"/>
    </w:rPr>
  </w:style>
  <w:style w:type="paragraph" w:styleId="ListParagraph">
    <w:name w:val="List Paragraph"/>
    <w:basedOn w:val="Normal"/>
    <w:uiPriority w:val="34"/>
    <w:qFormat/>
    <w:rsid w:val="00010E21"/>
    <w:pPr>
      <w:ind w:left="720"/>
      <w:contextualSpacing/>
    </w:pPr>
  </w:style>
  <w:style w:type="character" w:styleId="IntenseEmphasis">
    <w:name w:val="Intense Emphasis"/>
    <w:basedOn w:val="DefaultParagraphFont"/>
    <w:uiPriority w:val="21"/>
    <w:qFormat/>
    <w:rsid w:val="00010E21"/>
    <w:rPr>
      <w:i/>
      <w:iCs/>
      <w:color w:val="0F4761" w:themeColor="accent1" w:themeShade="BF"/>
    </w:rPr>
  </w:style>
  <w:style w:type="paragraph" w:styleId="IntenseQuote">
    <w:name w:val="Intense Quote"/>
    <w:basedOn w:val="Normal"/>
    <w:next w:val="Normal"/>
    <w:link w:val="IntenseQuoteChar"/>
    <w:uiPriority w:val="30"/>
    <w:qFormat/>
    <w:rsid w:val="00010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E21"/>
    <w:rPr>
      <w:i/>
      <w:iCs/>
      <w:color w:val="0F4761" w:themeColor="accent1" w:themeShade="BF"/>
    </w:rPr>
  </w:style>
  <w:style w:type="character" w:styleId="IntenseReference">
    <w:name w:val="Intense Reference"/>
    <w:basedOn w:val="DefaultParagraphFont"/>
    <w:uiPriority w:val="32"/>
    <w:qFormat/>
    <w:rsid w:val="00010E21"/>
    <w:rPr>
      <w:b/>
      <w:bCs/>
      <w:smallCaps/>
      <w:color w:val="0F4761" w:themeColor="accent1" w:themeShade="BF"/>
      <w:spacing w:val="5"/>
    </w:rPr>
  </w:style>
  <w:style w:type="character" w:styleId="Hyperlink">
    <w:name w:val="Hyperlink"/>
    <w:basedOn w:val="DefaultParagraphFont"/>
    <w:uiPriority w:val="99"/>
    <w:unhideWhenUsed/>
    <w:rsid w:val="00010E21"/>
    <w:rPr>
      <w:color w:val="467886" w:themeColor="hyperlink"/>
      <w:u w:val="single"/>
    </w:rPr>
  </w:style>
  <w:style w:type="paragraph" w:customStyle="1" w:styleId="10sp0">
    <w:name w:val="_1.0sp 0&quot;"/>
    <w:basedOn w:val="Normal"/>
    <w:rsid w:val="00010E21"/>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010E21"/>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010E21"/>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UnresolvedMention">
    <w:name w:val="Unresolved Mention"/>
    <w:basedOn w:val="DefaultParagraphFont"/>
    <w:uiPriority w:val="99"/>
    <w:semiHidden/>
    <w:unhideWhenUsed/>
    <w:rsid w:val="00C9227E"/>
    <w:rPr>
      <w:color w:val="605E5C"/>
      <w:shd w:val="clear" w:color="auto" w:fill="E1DFDD"/>
    </w:rPr>
  </w:style>
  <w:style w:type="paragraph" w:styleId="Header">
    <w:name w:val="header"/>
    <w:basedOn w:val="Normal"/>
    <w:link w:val="HeaderChar"/>
    <w:uiPriority w:val="99"/>
    <w:unhideWhenUsed/>
    <w:rsid w:val="00337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B2A"/>
  </w:style>
  <w:style w:type="paragraph" w:styleId="Footer">
    <w:name w:val="footer"/>
    <w:basedOn w:val="Normal"/>
    <w:link w:val="FooterChar"/>
    <w:uiPriority w:val="99"/>
    <w:unhideWhenUsed/>
    <w:rsid w:val="00337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B2A"/>
  </w:style>
  <w:style w:type="paragraph" w:styleId="FootnoteText">
    <w:name w:val="footnote text"/>
    <w:basedOn w:val="Normal"/>
    <w:link w:val="FootnoteTextChar"/>
    <w:uiPriority w:val="99"/>
    <w:semiHidden/>
    <w:unhideWhenUsed/>
    <w:rsid w:val="002772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2B9"/>
    <w:rPr>
      <w:sz w:val="20"/>
      <w:szCs w:val="20"/>
    </w:rPr>
  </w:style>
  <w:style w:type="character" w:styleId="FootnoteReference">
    <w:name w:val="footnote reference"/>
    <w:basedOn w:val="DefaultParagraphFont"/>
    <w:uiPriority w:val="99"/>
    <w:semiHidden/>
    <w:unhideWhenUsed/>
    <w:rsid w:val="002772B9"/>
    <w:rPr>
      <w:vertAlign w:val="superscript"/>
    </w:rPr>
  </w:style>
  <w:style w:type="character" w:styleId="FollowedHyperlink">
    <w:name w:val="FollowedHyperlink"/>
    <w:basedOn w:val="DefaultParagraphFont"/>
    <w:uiPriority w:val="99"/>
    <w:semiHidden/>
    <w:unhideWhenUsed/>
    <w:rsid w:val="009D6139"/>
    <w:rPr>
      <w:color w:val="96607D" w:themeColor="followedHyperlink"/>
      <w:u w:val="single"/>
    </w:rPr>
  </w:style>
  <w:style w:type="paragraph" w:styleId="Revision">
    <w:name w:val="Revision"/>
    <w:hidden/>
    <w:uiPriority w:val="99"/>
    <w:semiHidden/>
    <w:rsid w:val="008A4E9E"/>
    <w:pPr>
      <w:spacing w:after="0" w:line="240" w:lineRule="auto"/>
    </w:pPr>
  </w:style>
  <w:style w:type="paragraph" w:styleId="CommentText">
    <w:name w:val="annotation text"/>
    <w:basedOn w:val="Normal"/>
    <w:link w:val="CommentTextChar"/>
    <w:uiPriority w:val="99"/>
    <w:unhideWhenUsed/>
    <w:rsid w:val="007D6A26"/>
    <w:pPr>
      <w:spacing w:line="240" w:lineRule="auto"/>
    </w:pPr>
    <w:rPr>
      <w:sz w:val="20"/>
      <w:szCs w:val="20"/>
    </w:rPr>
  </w:style>
  <w:style w:type="character" w:customStyle="1" w:styleId="CommentTextChar">
    <w:name w:val="Comment Text Char"/>
    <w:basedOn w:val="DefaultParagraphFont"/>
    <w:link w:val="CommentText"/>
    <w:uiPriority w:val="99"/>
    <w:rsid w:val="007D6A26"/>
    <w:rPr>
      <w:sz w:val="20"/>
      <w:szCs w:val="20"/>
    </w:rPr>
  </w:style>
  <w:style w:type="character" w:styleId="CommentReference">
    <w:name w:val="annotation reference"/>
    <w:basedOn w:val="DefaultParagraphFont"/>
    <w:uiPriority w:val="99"/>
    <w:semiHidden/>
    <w:unhideWhenUsed/>
    <w:rsid w:val="007D6A26"/>
    <w:rPr>
      <w:sz w:val="16"/>
      <w:szCs w:val="16"/>
    </w:rPr>
  </w:style>
  <w:style w:type="paragraph" w:styleId="CommentSubject">
    <w:name w:val="annotation subject"/>
    <w:basedOn w:val="CommentText"/>
    <w:next w:val="CommentText"/>
    <w:link w:val="CommentSubjectChar"/>
    <w:uiPriority w:val="99"/>
    <w:semiHidden/>
    <w:unhideWhenUsed/>
    <w:rsid w:val="007D6A26"/>
    <w:rPr>
      <w:b/>
      <w:bCs/>
    </w:rPr>
  </w:style>
  <w:style w:type="character" w:customStyle="1" w:styleId="CommentSubjectChar">
    <w:name w:val="Comment Subject Char"/>
    <w:basedOn w:val="CommentTextChar"/>
    <w:link w:val="CommentSubject"/>
    <w:uiPriority w:val="99"/>
    <w:semiHidden/>
    <w:rsid w:val="007D6A26"/>
    <w:rPr>
      <w:b/>
      <w:bCs/>
      <w:sz w:val="20"/>
      <w:szCs w:val="20"/>
    </w:rPr>
  </w:style>
  <w:style w:type="character" w:styleId="Mention">
    <w:name w:val="Mention"/>
    <w:basedOn w:val="DefaultParagraphFont"/>
    <w:uiPriority w:val="99"/>
    <w:unhideWhenUsed/>
    <w:rsid w:val="00BB4B66"/>
    <w:rPr>
      <w:color w:val="2B579A"/>
      <w:shd w:val="clear" w:color="auto" w:fill="E1DFDD"/>
    </w:rPr>
  </w:style>
  <w:style w:type="paragraph" w:customStyle="1" w:styleId="BodyText1Noindent">
    <w:name w:val="Body Text 1 (No indent)"/>
    <w:basedOn w:val="Normal"/>
    <w:rsid w:val="00143732"/>
    <w:pPr>
      <w:spacing w:after="0" w:line="240" w:lineRule="auto"/>
    </w:pPr>
    <w:rPr>
      <w:rFonts w:ascii="Times New Roman" w:eastAsia="Times New Roman" w:hAnsi="Times New Roman"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956">
      <w:bodyDiv w:val="1"/>
      <w:marLeft w:val="0"/>
      <w:marRight w:val="0"/>
      <w:marTop w:val="0"/>
      <w:marBottom w:val="0"/>
      <w:divBdr>
        <w:top w:val="none" w:sz="0" w:space="0" w:color="auto"/>
        <w:left w:val="none" w:sz="0" w:space="0" w:color="auto"/>
        <w:bottom w:val="none" w:sz="0" w:space="0" w:color="auto"/>
        <w:right w:val="none" w:sz="0" w:space="0" w:color="auto"/>
      </w:divBdr>
      <w:divsChild>
        <w:div w:id="22290660">
          <w:marLeft w:val="0"/>
          <w:marRight w:val="0"/>
          <w:marTop w:val="0"/>
          <w:marBottom w:val="0"/>
          <w:divBdr>
            <w:top w:val="none" w:sz="0" w:space="0" w:color="auto"/>
            <w:left w:val="none" w:sz="0" w:space="0" w:color="auto"/>
            <w:bottom w:val="none" w:sz="0" w:space="0" w:color="auto"/>
            <w:right w:val="none" w:sz="0" w:space="0" w:color="auto"/>
          </w:divBdr>
        </w:div>
        <w:div w:id="366880903">
          <w:marLeft w:val="0"/>
          <w:marRight w:val="0"/>
          <w:marTop w:val="0"/>
          <w:marBottom w:val="0"/>
          <w:divBdr>
            <w:top w:val="none" w:sz="0" w:space="0" w:color="auto"/>
            <w:left w:val="none" w:sz="0" w:space="0" w:color="auto"/>
            <w:bottom w:val="none" w:sz="0" w:space="0" w:color="auto"/>
            <w:right w:val="none" w:sz="0" w:space="0" w:color="auto"/>
          </w:divBdr>
        </w:div>
        <w:div w:id="509638364">
          <w:marLeft w:val="0"/>
          <w:marRight w:val="0"/>
          <w:marTop w:val="0"/>
          <w:marBottom w:val="0"/>
          <w:divBdr>
            <w:top w:val="none" w:sz="0" w:space="0" w:color="auto"/>
            <w:left w:val="none" w:sz="0" w:space="0" w:color="auto"/>
            <w:bottom w:val="none" w:sz="0" w:space="0" w:color="auto"/>
            <w:right w:val="none" w:sz="0" w:space="0" w:color="auto"/>
          </w:divBdr>
        </w:div>
        <w:div w:id="858619194">
          <w:marLeft w:val="0"/>
          <w:marRight w:val="0"/>
          <w:marTop w:val="0"/>
          <w:marBottom w:val="0"/>
          <w:divBdr>
            <w:top w:val="none" w:sz="0" w:space="0" w:color="auto"/>
            <w:left w:val="none" w:sz="0" w:space="0" w:color="auto"/>
            <w:bottom w:val="none" w:sz="0" w:space="0" w:color="auto"/>
            <w:right w:val="none" w:sz="0" w:space="0" w:color="auto"/>
          </w:divBdr>
        </w:div>
        <w:div w:id="985937900">
          <w:marLeft w:val="0"/>
          <w:marRight w:val="0"/>
          <w:marTop w:val="0"/>
          <w:marBottom w:val="0"/>
          <w:divBdr>
            <w:top w:val="none" w:sz="0" w:space="0" w:color="auto"/>
            <w:left w:val="none" w:sz="0" w:space="0" w:color="auto"/>
            <w:bottom w:val="none" w:sz="0" w:space="0" w:color="auto"/>
            <w:right w:val="none" w:sz="0" w:space="0" w:color="auto"/>
          </w:divBdr>
        </w:div>
        <w:div w:id="1058239237">
          <w:marLeft w:val="0"/>
          <w:marRight w:val="0"/>
          <w:marTop w:val="0"/>
          <w:marBottom w:val="0"/>
          <w:divBdr>
            <w:top w:val="none" w:sz="0" w:space="0" w:color="auto"/>
            <w:left w:val="none" w:sz="0" w:space="0" w:color="auto"/>
            <w:bottom w:val="none" w:sz="0" w:space="0" w:color="auto"/>
            <w:right w:val="none" w:sz="0" w:space="0" w:color="auto"/>
          </w:divBdr>
        </w:div>
        <w:div w:id="1297829581">
          <w:marLeft w:val="0"/>
          <w:marRight w:val="0"/>
          <w:marTop w:val="0"/>
          <w:marBottom w:val="0"/>
          <w:divBdr>
            <w:top w:val="none" w:sz="0" w:space="0" w:color="auto"/>
            <w:left w:val="none" w:sz="0" w:space="0" w:color="auto"/>
            <w:bottom w:val="none" w:sz="0" w:space="0" w:color="auto"/>
            <w:right w:val="none" w:sz="0" w:space="0" w:color="auto"/>
          </w:divBdr>
        </w:div>
        <w:div w:id="1583837609">
          <w:marLeft w:val="0"/>
          <w:marRight w:val="0"/>
          <w:marTop w:val="0"/>
          <w:marBottom w:val="0"/>
          <w:divBdr>
            <w:top w:val="none" w:sz="0" w:space="0" w:color="auto"/>
            <w:left w:val="none" w:sz="0" w:space="0" w:color="auto"/>
            <w:bottom w:val="none" w:sz="0" w:space="0" w:color="auto"/>
            <w:right w:val="none" w:sz="0" w:space="0" w:color="auto"/>
          </w:divBdr>
        </w:div>
        <w:div w:id="1990206308">
          <w:marLeft w:val="0"/>
          <w:marRight w:val="0"/>
          <w:marTop w:val="0"/>
          <w:marBottom w:val="0"/>
          <w:divBdr>
            <w:top w:val="none" w:sz="0" w:space="0" w:color="auto"/>
            <w:left w:val="none" w:sz="0" w:space="0" w:color="auto"/>
            <w:bottom w:val="none" w:sz="0" w:space="0" w:color="auto"/>
            <w:right w:val="none" w:sz="0" w:space="0" w:color="auto"/>
          </w:divBdr>
          <w:divsChild>
            <w:div w:id="705645576">
              <w:marLeft w:val="-75"/>
              <w:marRight w:val="0"/>
              <w:marTop w:val="30"/>
              <w:marBottom w:val="30"/>
              <w:divBdr>
                <w:top w:val="none" w:sz="0" w:space="0" w:color="auto"/>
                <w:left w:val="none" w:sz="0" w:space="0" w:color="auto"/>
                <w:bottom w:val="none" w:sz="0" w:space="0" w:color="auto"/>
                <w:right w:val="none" w:sz="0" w:space="0" w:color="auto"/>
              </w:divBdr>
              <w:divsChild>
                <w:div w:id="22488886">
                  <w:marLeft w:val="0"/>
                  <w:marRight w:val="0"/>
                  <w:marTop w:val="0"/>
                  <w:marBottom w:val="0"/>
                  <w:divBdr>
                    <w:top w:val="none" w:sz="0" w:space="0" w:color="auto"/>
                    <w:left w:val="none" w:sz="0" w:space="0" w:color="auto"/>
                    <w:bottom w:val="none" w:sz="0" w:space="0" w:color="auto"/>
                    <w:right w:val="none" w:sz="0" w:space="0" w:color="auto"/>
                  </w:divBdr>
                  <w:divsChild>
                    <w:div w:id="2040546339">
                      <w:marLeft w:val="0"/>
                      <w:marRight w:val="0"/>
                      <w:marTop w:val="0"/>
                      <w:marBottom w:val="0"/>
                      <w:divBdr>
                        <w:top w:val="none" w:sz="0" w:space="0" w:color="auto"/>
                        <w:left w:val="none" w:sz="0" w:space="0" w:color="auto"/>
                        <w:bottom w:val="none" w:sz="0" w:space="0" w:color="auto"/>
                        <w:right w:val="none" w:sz="0" w:space="0" w:color="auto"/>
                      </w:divBdr>
                    </w:div>
                  </w:divsChild>
                </w:div>
                <w:div w:id="264729573">
                  <w:marLeft w:val="0"/>
                  <w:marRight w:val="0"/>
                  <w:marTop w:val="0"/>
                  <w:marBottom w:val="0"/>
                  <w:divBdr>
                    <w:top w:val="none" w:sz="0" w:space="0" w:color="auto"/>
                    <w:left w:val="none" w:sz="0" w:space="0" w:color="auto"/>
                    <w:bottom w:val="none" w:sz="0" w:space="0" w:color="auto"/>
                    <w:right w:val="none" w:sz="0" w:space="0" w:color="auto"/>
                  </w:divBdr>
                  <w:divsChild>
                    <w:div w:id="1649552317">
                      <w:marLeft w:val="0"/>
                      <w:marRight w:val="0"/>
                      <w:marTop w:val="0"/>
                      <w:marBottom w:val="0"/>
                      <w:divBdr>
                        <w:top w:val="none" w:sz="0" w:space="0" w:color="auto"/>
                        <w:left w:val="none" w:sz="0" w:space="0" w:color="auto"/>
                        <w:bottom w:val="none" w:sz="0" w:space="0" w:color="auto"/>
                        <w:right w:val="none" w:sz="0" w:space="0" w:color="auto"/>
                      </w:divBdr>
                    </w:div>
                  </w:divsChild>
                </w:div>
                <w:div w:id="274144613">
                  <w:marLeft w:val="0"/>
                  <w:marRight w:val="0"/>
                  <w:marTop w:val="0"/>
                  <w:marBottom w:val="0"/>
                  <w:divBdr>
                    <w:top w:val="none" w:sz="0" w:space="0" w:color="auto"/>
                    <w:left w:val="none" w:sz="0" w:space="0" w:color="auto"/>
                    <w:bottom w:val="none" w:sz="0" w:space="0" w:color="auto"/>
                    <w:right w:val="none" w:sz="0" w:space="0" w:color="auto"/>
                  </w:divBdr>
                  <w:divsChild>
                    <w:div w:id="1819615161">
                      <w:marLeft w:val="0"/>
                      <w:marRight w:val="0"/>
                      <w:marTop w:val="0"/>
                      <w:marBottom w:val="0"/>
                      <w:divBdr>
                        <w:top w:val="none" w:sz="0" w:space="0" w:color="auto"/>
                        <w:left w:val="none" w:sz="0" w:space="0" w:color="auto"/>
                        <w:bottom w:val="none" w:sz="0" w:space="0" w:color="auto"/>
                        <w:right w:val="none" w:sz="0" w:space="0" w:color="auto"/>
                      </w:divBdr>
                    </w:div>
                  </w:divsChild>
                </w:div>
                <w:div w:id="427235733">
                  <w:marLeft w:val="0"/>
                  <w:marRight w:val="0"/>
                  <w:marTop w:val="0"/>
                  <w:marBottom w:val="0"/>
                  <w:divBdr>
                    <w:top w:val="none" w:sz="0" w:space="0" w:color="auto"/>
                    <w:left w:val="none" w:sz="0" w:space="0" w:color="auto"/>
                    <w:bottom w:val="none" w:sz="0" w:space="0" w:color="auto"/>
                    <w:right w:val="none" w:sz="0" w:space="0" w:color="auto"/>
                  </w:divBdr>
                  <w:divsChild>
                    <w:div w:id="1769547589">
                      <w:marLeft w:val="0"/>
                      <w:marRight w:val="0"/>
                      <w:marTop w:val="0"/>
                      <w:marBottom w:val="0"/>
                      <w:divBdr>
                        <w:top w:val="none" w:sz="0" w:space="0" w:color="auto"/>
                        <w:left w:val="none" w:sz="0" w:space="0" w:color="auto"/>
                        <w:bottom w:val="none" w:sz="0" w:space="0" w:color="auto"/>
                        <w:right w:val="none" w:sz="0" w:space="0" w:color="auto"/>
                      </w:divBdr>
                    </w:div>
                  </w:divsChild>
                </w:div>
                <w:div w:id="597179092">
                  <w:marLeft w:val="0"/>
                  <w:marRight w:val="0"/>
                  <w:marTop w:val="0"/>
                  <w:marBottom w:val="0"/>
                  <w:divBdr>
                    <w:top w:val="none" w:sz="0" w:space="0" w:color="auto"/>
                    <w:left w:val="none" w:sz="0" w:space="0" w:color="auto"/>
                    <w:bottom w:val="none" w:sz="0" w:space="0" w:color="auto"/>
                    <w:right w:val="none" w:sz="0" w:space="0" w:color="auto"/>
                  </w:divBdr>
                  <w:divsChild>
                    <w:div w:id="1028918420">
                      <w:marLeft w:val="0"/>
                      <w:marRight w:val="0"/>
                      <w:marTop w:val="0"/>
                      <w:marBottom w:val="0"/>
                      <w:divBdr>
                        <w:top w:val="none" w:sz="0" w:space="0" w:color="auto"/>
                        <w:left w:val="none" w:sz="0" w:space="0" w:color="auto"/>
                        <w:bottom w:val="none" w:sz="0" w:space="0" w:color="auto"/>
                        <w:right w:val="none" w:sz="0" w:space="0" w:color="auto"/>
                      </w:divBdr>
                    </w:div>
                  </w:divsChild>
                </w:div>
                <w:div w:id="613947956">
                  <w:marLeft w:val="0"/>
                  <w:marRight w:val="0"/>
                  <w:marTop w:val="0"/>
                  <w:marBottom w:val="0"/>
                  <w:divBdr>
                    <w:top w:val="none" w:sz="0" w:space="0" w:color="auto"/>
                    <w:left w:val="none" w:sz="0" w:space="0" w:color="auto"/>
                    <w:bottom w:val="none" w:sz="0" w:space="0" w:color="auto"/>
                    <w:right w:val="none" w:sz="0" w:space="0" w:color="auto"/>
                  </w:divBdr>
                  <w:divsChild>
                    <w:div w:id="1318000419">
                      <w:marLeft w:val="0"/>
                      <w:marRight w:val="0"/>
                      <w:marTop w:val="0"/>
                      <w:marBottom w:val="0"/>
                      <w:divBdr>
                        <w:top w:val="none" w:sz="0" w:space="0" w:color="auto"/>
                        <w:left w:val="none" w:sz="0" w:space="0" w:color="auto"/>
                        <w:bottom w:val="none" w:sz="0" w:space="0" w:color="auto"/>
                        <w:right w:val="none" w:sz="0" w:space="0" w:color="auto"/>
                      </w:divBdr>
                    </w:div>
                  </w:divsChild>
                </w:div>
                <w:div w:id="630980826">
                  <w:marLeft w:val="0"/>
                  <w:marRight w:val="0"/>
                  <w:marTop w:val="0"/>
                  <w:marBottom w:val="0"/>
                  <w:divBdr>
                    <w:top w:val="none" w:sz="0" w:space="0" w:color="auto"/>
                    <w:left w:val="none" w:sz="0" w:space="0" w:color="auto"/>
                    <w:bottom w:val="none" w:sz="0" w:space="0" w:color="auto"/>
                    <w:right w:val="none" w:sz="0" w:space="0" w:color="auto"/>
                  </w:divBdr>
                  <w:divsChild>
                    <w:div w:id="1147478466">
                      <w:marLeft w:val="0"/>
                      <w:marRight w:val="0"/>
                      <w:marTop w:val="0"/>
                      <w:marBottom w:val="0"/>
                      <w:divBdr>
                        <w:top w:val="none" w:sz="0" w:space="0" w:color="auto"/>
                        <w:left w:val="none" w:sz="0" w:space="0" w:color="auto"/>
                        <w:bottom w:val="none" w:sz="0" w:space="0" w:color="auto"/>
                        <w:right w:val="none" w:sz="0" w:space="0" w:color="auto"/>
                      </w:divBdr>
                    </w:div>
                  </w:divsChild>
                </w:div>
                <w:div w:id="639310552">
                  <w:marLeft w:val="0"/>
                  <w:marRight w:val="0"/>
                  <w:marTop w:val="0"/>
                  <w:marBottom w:val="0"/>
                  <w:divBdr>
                    <w:top w:val="none" w:sz="0" w:space="0" w:color="auto"/>
                    <w:left w:val="none" w:sz="0" w:space="0" w:color="auto"/>
                    <w:bottom w:val="none" w:sz="0" w:space="0" w:color="auto"/>
                    <w:right w:val="none" w:sz="0" w:space="0" w:color="auto"/>
                  </w:divBdr>
                  <w:divsChild>
                    <w:div w:id="1224487463">
                      <w:marLeft w:val="0"/>
                      <w:marRight w:val="0"/>
                      <w:marTop w:val="0"/>
                      <w:marBottom w:val="0"/>
                      <w:divBdr>
                        <w:top w:val="none" w:sz="0" w:space="0" w:color="auto"/>
                        <w:left w:val="none" w:sz="0" w:space="0" w:color="auto"/>
                        <w:bottom w:val="none" w:sz="0" w:space="0" w:color="auto"/>
                        <w:right w:val="none" w:sz="0" w:space="0" w:color="auto"/>
                      </w:divBdr>
                    </w:div>
                  </w:divsChild>
                </w:div>
                <w:div w:id="660622772">
                  <w:marLeft w:val="0"/>
                  <w:marRight w:val="0"/>
                  <w:marTop w:val="0"/>
                  <w:marBottom w:val="0"/>
                  <w:divBdr>
                    <w:top w:val="none" w:sz="0" w:space="0" w:color="auto"/>
                    <w:left w:val="none" w:sz="0" w:space="0" w:color="auto"/>
                    <w:bottom w:val="none" w:sz="0" w:space="0" w:color="auto"/>
                    <w:right w:val="none" w:sz="0" w:space="0" w:color="auto"/>
                  </w:divBdr>
                  <w:divsChild>
                    <w:div w:id="276839362">
                      <w:marLeft w:val="0"/>
                      <w:marRight w:val="0"/>
                      <w:marTop w:val="0"/>
                      <w:marBottom w:val="0"/>
                      <w:divBdr>
                        <w:top w:val="none" w:sz="0" w:space="0" w:color="auto"/>
                        <w:left w:val="none" w:sz="0" w:space="0" w:color="auto"/>
                        <w:bottom w:val="none" w:sz="0" w:space="0" w:color="auto"/>
                        <w:right w:val="none" w:sz="0" w:space="0" w:color="auto"/>
                      </w:divBdr>
                    </w:div>
                  </w:divsChild>
                </w:div>
                <w:div w:id="761075260">
                  <w:marLeft w:val="0"/>
                  <w:marRight w:val="0"/>
                  <w:marTop w:val="0"/>
                  <w:marBottom w:val="0"/>
                  <w:divBdr>
                    <w:top w:val="none" w:sz="0" w:space="0" w:color="auto"/>
                    <w:left w:val="none" w:sz="0" w:space="0" w:color="auto"/>
                    <w:bottom w:val="none" w:sz="0" w:space="0" w:color="auto"/>
                    <w:right w:val="none" w:sz="0" w:space="0" w:color="auto"/>
                  </w:divBdr>
                  <w:divsChild>
                    <w:div w:id="847329652">
                      <w:marLeft w:val="0"/>
                      <w:marRight w:val="0"/>
                      <w:marTop w:val="0"/>
                      <w:marBottom w:val="0"/>
                      <w:divBdr>
                        <w:top w:val="none" w:sz="0" w:space="0" w:color="auto"/>
                        <w:left w:val="none" w:sz="0" w:space="0" w:color="auto"/>
                        <w:bottom w:val="none" w:sz="0" w:space="0" w:color="auto"/>
                        <w:right w:val="none" w:sz="0" w:space="0" w:color="auto"/>
                      </w:divBdr>
                    </w:div>
                  </w:divsChild>
                </w:div>
                <w:div w:id="928585247">
                  <w:marLeft w:val="0"/>
                  <w:marRight w:val="0"/>
                  <w:marTop w:val="0"/>
                  <w:marBottom w:val="0"/>
                  <w:divBdr>
                    <w:top w:val="none" w:sz="0" w:space="0" w:color="auto"/>
                    <w:left w:val="none" w:sz="0" w:space="0" w:color="auto"/>
                    <w:bottom w:val="none" w:sz="0" w:space="0" w:color="auto"/>
                    <w:right w:val="none" w:sz="0" w:space="0" w:color="auto"/>
                  </w:divBdr>
                  <w:divsChild>
                    <w:div w:id="1230924635">
                      <w:marLeft w:val="0"/>
                      <w:marRight w:val="0"/>
                      <w:marTop w:val="0"/>
                      <w:marBottom w:val="0"/>
                      <w:divBdr>
                        <w:top w:val="none" w:sz="0" w:space="0" w:color="auto"/>
                        <w:left w:val="none" w:sz="0" w:space="0" w:color="auto"/>
                        <w:bottom w:val="none" w:sz="0" w:space="0" w:color="auto"/>
                        <w:right w:val="none" w:sz="0" w:space="0" w:color="auto"/>
                      </w:divBdr>
                    </w:div>
                  </w:divsChild>
                </w:div>
                <w:div w:id="959267410">
                  <w:marLeft w:val="0"/>
                  <w:marRight w:val="0"/>
                  <w:marTop w:val="0"/>
                  <w:marBottom w:val="0"/>
                  <w:divBdr>
                    <w:top w:val="none" w:sz="0" w:space="0" w:color="auto"/>
                    <w:left w:val="none" w:sz="0" w:space="0" w:color="auto"/>
                    <w:bottom w:val="none" w:sz="0" w:space="0" w:color="auto"/>
                    <w:right w:val="none" w:sz="0" w:space="0" w:color="auto"/>
                  </w:divBdr>
                  <w:divsChild>
                    <w:div w:id="463085258">
                      <w:marLeft w:val="0"/>
                      <w:marRight w:val="0"/>
                      <w:marTop w:val="0"/>
                      <w:marBottom w:val="0"/>
                      <w:divBdr>
                        <w:top w:val="none" w:sz="0" w:space="0" w:color="auto"/>
                        <w:left w:val="none" w:sz="0" w:space="0" w:color="auto"/>
                        <w:bottom w:val="none" w:sz="0" w:space="0" w:color="auto"/>
                        <w:right w:val="none" w:sz="0" w:space="0" w:color="auto"/>
                      </w:divBdr>
                    </w:div>
                  </w:divsChild>
                </w:div>
                <w:div w:id="1027489325">
                  <w:marLeft w:val="0"/>
                  <w:marRight w:val="0"/>
                  <w:marTop w:val="0"/>
                  <w:marBottom w:val="0"/>
                  <w:divBdr>
                    <w:top w:val="none" w:sz="0" w:space="0" w:color="auto"/>
                    <w:left w:val="none" w:sz="0" w:space="0" w:color="auto"/>
                    <w:bottom w:val="none" w:sz="0" w:space="0" w:color="auto"/>
                    <w:right w:val="none" w:sz="0" w:space="0" w:color="auto"/>
                  </w:divBdr>
                  <w:divsChild>
                    <w:div w:id="431244384">
                      <w:marLeft w:val="0"/>
                      <w:marRight w:val="0"/>
                      <w:marTop w:val="0"/>
                      <w:marBottom w:val="0"/>
                      <w:divBdr>
                        <w:top w:val="none" w:sz="0" w:space="0" w:color="auto"/>
                        <w:left w:val="none" w:sz="0" w:space="0" w:color="auto"/>
                        <w:bottom w:val="none" w:sz="0" w:space="0" w:color="auto"/>
                        <w:right w:val="none" w:sz="0" w:space="0" w:color="auto"/>
                      </w:divBdr>
                    </w:div>
                  </w:divsChild>
                </w:div>
                <w:div w:id="1049304224">
                  <w:marLeft w:val="0"/>
                  <w:marRight w:val="0"/>
                  <w:marTop w:val="0"/>
                  <w:marBottom w:val="0"/>
                  <w:divBdr>
                    <w:top w:val="none" w:sz="0" w:space="0" w:color="auto"/>
                    <w:left w:val="none" w:sz="0" w:space="0" w:color="auto"/>
                    <w:bottom w:val="none" w:sz="0" w:space="0" w:color="auto"/>
                    <w:right w:val="none" w:sz="0" w:space="0" w:color="auto"/>
                  </w:divBdr>
                  <w:divsChild>
                    <w:div w:id="808017728">
                      <w:marLeft w:val="0"/>
                      <w:marRight w:val="0"/>
                      <w:marTop w:val="0"/>
                      <w:marBottom w:val="0"/>
                      <w:divBdr>
                        <w:top w:val="none" w:sz="0" w:space="0" w:color="auto"/>
                        <w:left w:val="none" w:sz="0" w:space="0" w:color="auto"/>
                        <w:bottom w:val="none" w:sz="0" w:space="0" w:color="auto"/>
                        <w:right w:val="none" w:sz="0" w:space="0" w:color="auto"/>
                      </w:divBdr>
                    </w:div>
                  </w:divsChild>
                </w:div>
                <w:div w:id="1091241472">
                  <w:marLeft w:val="0"/>
                  <w:marRight w:val="0"/>
                  <w:marTop w:val="0"/>
                  <w:marBottom w:val="0"/>
                  <w:divBdr>
                    <w:top w:val="none" w:sz="0" w:space="0" w:color="auto"/>
                    <w:left w:val="none" w:sz="0" w:space="0" w:color="auto"/>
                    <w:bottom w:val="none" w:sz="0" w:space="0" w:color="auto"/>
                    <w:right w:val="none" w:sz="0" w:space="0" w:color="auto"/>
                  </w:divBdr>
                  <w:divsChild>
                    <w:div w:id="1228766345">
                      <w:marLeft w:val="0"/>
                      <w:marRight w:val="0"/>
                      <w:marTop w:val="0"/>
                      <w:marBottom w:val="0"/>
                      <w:divBdr>
                        <w:top w:val="none" w:sz="0" w:space="0" w:color="auto"/>
                        <w:left w:val="none" w:sz="0" w:space="0" w:color="auto"/>
                        <w:bottom w:val="none" w:sz="0" w:space="0" w:color="auto"/>
                        <w:right w:val="none" w:sz="0" w:space="0" w:color="auto"/>
                      </w:divBdr>
                    </w:div>
                  </w:divsChild>
                </w:div>
                <w:div w:id="1096293646">
                  <w:marLeft w:val="0"/>
                  <w:marRight w:val="0"/>
                  <w:marTop w:val="0"/>
                  <w:marBottom w:val="0"/>
                  <w:divBdr>
                    <w:top w:val="none" w:sz="0" w:space="0" w:color="auto"/>
                    <w:left w:val="none" w:sz="0" w:space="0" w:color="auto"/>
                    <w:bottom w:val="none" w:sz="0" w:space="0" w:color="auto"/>
                    <w:right w:val="none" w:sz="0" w:space="0" w:color="auto"/>
                  </w:divBdr>
                  <w:divsChild>
                    <w:div w:id="997079523">
                      <w:marLeft w:val="0"/>
                      <w:marRight w:val="0"/>
                      <w:marTop w:val="0"/>
                      <w:marBottom w:val="0"/>
                      <w:divBdr>
                        <w:top w:val="none" w:sz="0" w:space="0" w:color="auto"/>
                        <w:left w:val="none" w:sz="0" w:space="0" w:color="auto"/>
                        <w:bottom w:val="none" w:sz="0" w:space="0" w:color="auto"/>
                        <w:right w:val="none" w:sz="0" w:space="0" w:color="auto"/>
                      </w:divBdr>
                    </w:div>
                  </w:divsChild>
                </w:div>
                <w:div w:id="1264917104">
                  <w:marLeft w:val="0"/>
                  <w:marRight w:val="0"/>
                  <w:marTop w:val="0"/>
                  <w:marBottom w:val="0"/>
                  <w:divBdr>
                    <w:top w:val="none" w:sz="0" w:space="0" w:color="auto"/>
                    <w:left w:val="none" w:sz="0" w:space="0" w:color="auto"/>
                    <w:bottom w:val="none" w:sz="0" w:space="0" w:color="auto"/>
                    <w:right w:val="none" w:sz="0" w:space="0" w:color="auto"/>
                  </w:divBdr>
                  <w:divsChild>
                    <w:div w:id="715588657">
                      <w:marLeft w:val="0"/>
                      <w:marRight w:val="0"/>
                      <w:marTop w:val="0"/>
                      <w:marBottom w:val="0"/>
                      <w:divBdr>
                        <w:top w:val="none" w:sz="0" w:space="0" w:color="auto"/>
                        <w:left w:val="none" w:sz="0" w:space="0" w:color="auto"/>
                        <w:bottom w:val="none" w:sz="0" w:space="0" w:color="auto"/>
                        <w:right w:val="none" w:sz="0" w:space="0" w:color="auto"/>
                      </w:divBdr>
                    </w:div>
                  </w:divsChild>
                </w:div>
                <w:div w:id="1330791256">
                  <w:marLeft w:val="0"/>
                  <w:marRight w:val="0"/>
                  <w:marTop w:val="0"/>
                  <w:marBottom w:val="0"/>
                  <w:divBdr>
                    <w:top w:val="none" w:sz="0" w:space="0" w:color="auto"/>
                    <w:left w:val="none" w:sz="0" w:space="0" w:color="auto"/>
                    <w:bottom w:val="none" w:sz="0" w:space="0" w:color="auto"/>
                    <w:right w:val="none" w:sz="0" w:space="0" w:color="auto"/>
                  </w:divBdr>
                  <w:divsChild>
                    <w:div w:id="1787314896">
                      <w:marLeft w:val="0"/>
                      <w:marRight w:val="0"/>
                      <w:marTop w:val="0"/>
                      <w:marBottom w:val="0"/>
                      <w:divBdr>
                        <w:top w:val="none" w:sz="0" w:space="0" w:color="auto"/>
                        <w:left w:val="none" w:sz="0" w:space="0" w:color="auto"/>
                        <w:bottom w:val="none" w:sz="0" w:space="0" w:color="auto"/>
                        <w:right w:val="none" w:sz="0" w:space="0" w:color="auto"/>
                      </w:divBdr>
                    </w:div>
                  </w:divsChild>
                </w:div>
                <w:div w:id="1544512905">
                  <w:marLeft w:val="0"/>
                  <w:marRight w:val="0"/>
                  <w:marTop w:val="0"/>
                  <w:marBottom w:val="0"/>
                  <w:divBdr>
                    <w:top w:val="none" w:sz="0" w:space="0" w:color="auto"/>
                    <w:left w:val="none" w:sz="0" w:space="0" w:color="auto"/>
                    <w:bottom w:val="none" w:sz="0" w:space="0" w:color="auto"/>
                    <w:right w:val="none" w:sz="0" w:space="0" w:color="auto"/>
                  </w:divBdr>
                  <w:divsChild>
                    <w:div w:id="948898726">
                      <w:marLeft w:val="0"/>
                      <w:marRight w:val="0"/>
                      <w:marTop w:val="0"/>
                      <w:marBottom w:val="0"/>
                      <w:divBdr>
                        <w:top w:val="none" w:sz="0" w:space="0" w:color="auto"/>
                        <w:left w:val="none" w:sz="0" w:space="0" w:color="auto"/>
                        <w:bottom w:val="none" w:sz="0" w:space="0" w:color="auto"/>
                        <w:right w:val="none" w:sz="0" w:space="0" w:color="auto"/>
                      </w:divBdr>
                    </w:div>
                  </w:divsChild>
                </w:div>
                <w:div w:id="1636255960">
                  <w:marLeft w:val="0"/>
                  <w:marRight w:val="0"/>
                  <w:marTop w:val="0"/>
                  <w:marBottom w:val="0"/>
                  <w:divBdr>
                    <w:top w:val="none" w:sz="0" w:space="0" w:color="auto"/>
                    <w:left w:val="none" w:sz="0" w:space="0" w:color="auto"/>
                    <w:bottom w:val="none" w:sz="0" w:space="0" w:color="auto"/>
                    <w:right w:val="none" w:sz="0" w:space="0" w:color="auto"/>
                  </w:divBdr>
                  <w:divsChild>
                    <w:div w:id="1349134768">
                      <w:marLeft w:val="0"/>
                      <w:marRight w:val="0"/>
                      <w:marTop w:val="0"/>
                      <w:marBottom w:val="0"/>
                      <w:divBdr>
                        <w:top w:val="none" w:sz="0" w:space="0" w:color="auto"/>
                        <w:left w:val="none" w:sz="0" w:space="0" w:color="auto"/>
                        <w:bottom w:val="none" w:sz="0" w:space="0" w:color="auto"/>
                        <w:right w:val="none" w:sz="0" w:space="0" w:color="auto"/>
                      </w:divBdr>
                    </w:div>
                  </w:divsChild>
                </w:div>
                <w:div w:id="1826312266">
                  <w:marLeft w:val="0"/>
                  <w:marRight w:val="0"/>
                  <w:marTop w:val="0"/>
                  <w:marBottom w:val="0"/>
                  <w:divBdr>
                    <w:top w:val="none" w:sz="0" w:space="0" w:color="auto"/>
                    <w:left w:val="none" w:sz="0" w:space="0" w:color="auto"/>
                    <w:bottom w:val="none" w:sz="0" w:space="0" w:color="auto"/>
                    <w:right w:val="none" w:sz="0" w:space="0" w:color="auto"/>
                  </w:divBdr>
                  <w:divsChild>
                    <w:div w:id="934362983">
                      <w:marLeft w:val="0"/>
                      <w:marRight w:val="0"/>
                      <w:marTop w:val="0"/>
                      <w:marBottom w:val="0"/>
                      <w:divBdr>
                        <w:top w:val="none" w:sz="0" w:space="0" w:color="auto"/>
                        <w:left w:val="none" w:sz="0" w:space="0" w:color="auto"/>
                        <w:bottom w:val="none" w:sz="0" w:space="0" w:color="auto"/>
                        <w:right w:val="none" w:sz="0" w:space="0" w:color="auto"/>
                      </w:divBdr>
                    </w:div>
                  </w:divsChild>
                </w:div>
                <w:div w:id="1992631606">
                  <w:marLeft w:val="0"/>
                  <w:marRight w:val="0"/>
                  <w:marTop w:val="0"/>
                  <w:marBottom w:val="0"/>
                  <w:divBdr>
                    <w:top w:val="none" w:sz="0" w:space="0" w:color="auto"/>
                    <w:left w:val="none" w:sz="0" w:space="0" w:color="auto"/>
                    <w:bottom w:val="none" w:sz="0" w:space="0" w:color="auto"/>
                    <w:right w:val="none" w:sz="0" w:space="0" w:color="auto"/>
                  </w:divBdr>
                  <w:divsChild>
                    <w:div w:id="1130242851">
                      <w:marLeft w:val="0"/>
                      <w:marRight w:val="0"/>
                      <w:marTop w:val="0"/>
                      <w:marBottom w:val="0"/>
                      <w:divBdr>
                        <w:top w:val="none" w:sz="0" w:space="0" w:color="auto"/>
                        <w:left w:val="none" w:sz="0" w:space="0" w:color="auto"/>
                        <w:bottom w:val="none" w:sz="0" w:space="0" w:color="auto"/>
                        <w:right w:val="none" w:sz="0" w:space="0" w:color="auto"/>
                      </w:divBdr>
                    </w:div>
                  </w:divsChild>
                </w:div>
                <w:div w:id="2002343374">
                  <w:marLeft w:val="0"/>
                  <w:marRight w:val="0"/>
                  <w:marTop w:val="0"/>
                  <w:marBottom w:val="0"/>
                  <w:divBdr>
                    <w:top w:val="none" w:sz="0" w:space="0" w:color="auto"/>
                    <w:left w:val="none" w:sz="0" w:space="0" w:color="auto"/>
                    <w:bottom w:val="none" w:sz="0" w:space="0" w:color="auto"/>
                    <w:right w:val="none" w:sz="0" w:space="0" w:color="auto"/>
                  </w:divBdr>
                  <w:divsChild>
                    <w:div w:id="1120878589">
                      <w:marLeft w:val="0"/>
                      <w:marRight w:val="0"/>
                      <w:marTop w:val="0"/>
                      <w:marBottom w:val="0"/>
                      <w:divBdr>
                        <w:top w:val="none" w:sz="0" w:space="0" w:color="auto"/>
                        <w:left w:val="none" w:sz="0" w:space="0" w:color="auto"/>
                        <w:bottom w:val="none" w:sz="0" w:space="0" w:color="auto"/>
                        <w:right w:val="none" w:sz="0" w:space="0" w:color="auto"/>
                      </w:divBdr>
                    </w:div>
                  </w:divsChild>
                </w:div>
                <w:div w:id="2093315165">
                  <w:marLeft w:val="0"/>
                  <w:marRight w:val="0"/>
                  <w:marTop w:val="0"/>
                  <w:marBottom w:val="0"/>
                  <w:divBdr>
                    <w:top w:val="none" w:sz="0" w:space="0" w:color="auto"/>
                    <w:left w:val="none" w:sz="0" w:space="0" w:color="auto"/>
                    <w:bottom w:val="none" w:sz="0" w:space="0" w:color="auto"/>
                    <w:right w:val="none" w:sz="0" w:space="0" w:color="auto"/>
                  </w:divBdr>
                  <w:divsChild>
                    <w:div w:id="73403900">
                      <w:marLeft w:val="0"/>
                      <w:marRight w:val="0"/>
                      <w:marTop w:val="0"/>
                      <w:marBottom w:val="0"/>
                      <w:divBdr>
                        <w:top w:val="none" w:sz="0" w:space="0" w:color="auto"/>
                        <w:left w:val="none" w:sz="0" w:space="0" w:color="auto"/>
                        <w:bottom w:val="none" w:sz="0" w:space="0" w:color="auto"/>
                        <w:right w:val="none" w:sz="0" w:space="0" w:color="auto"/>
                      </w:divBdr>
                    </w:div>
                  </w:divsChild>
                </w:div>
                <w:div w:id="2103720101">
                  <w:marLeft w:val="0"/>
                  <w:marRight w:val="0"/>
                  <w:marTop w:val="0"/>
                  <w:marBottom w:val="0"/>
                  <w:divBdr>
                    <w:top w:val="none" w:sz="0" w:space="0" w:color="auto"/>
                    <w:left w:val="none" w:sz="0" w:space="0" w:color="auto"/>
                    <w:bottom w:val="none" w:sz="0" w:space="0" w:color="auto"/>
                    <w:right w:val="none" w:sz="0" w:space="0" w:color="auto"/>
                  </w:divBdr>
                  <w:divsChild>
                    <w:div w:id="18132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59206">
      <w:bodyDiv w:val="1"/>
      <w:marLeft w:val="0"/>
      <w:marRight w:val="0"/>
      <w:marTop w:val="0"/>
      <w:marBottom w:val="0"/>
      <w:divBdr>
        <w:top w:val="none" w:sz="0" w:space="0" w:color="auto"/>
        <w:left w:val="none" w:sz="0" w:space="0" w:color="auto"/>
        <w:bottom w:val="none" w:sz="0" w:space="0" w:color="auto"/>
        <w:right w:val="none" w:sz="0" w:space="0" w:color="auto"/>
      </w:divBdr>
      <w:divsChild>
        <w:div w:id="45683940">
          <w:marLeft w:val="0"/>
          <w:marRight w:val="0"/>
          <w:marTop w:val="0"/>
          <w:marBottom w:val="0"/>
          <w:divBdr>
            <w:top w:val="none" w:sz="0" w:space="0" w:color="auto"/>
            <w:left w:val="none" w:sz="0" w:space="0" w:color="auto"/>
            <w:bottom w:val="none" w:sz="0" w:space="0" w:color="auto"/>
            <w:right w:val="none" w:sz="0" w:space="0" w:color="auto"/>
          </w:divBdr>
        </w:div>
        <w:div w:id="87972257">
          <w:marLeft w:val="0"/>
          <w:marRight w:val="0"/>
          <w:marTop w:val="0"/>
          <w:marBottom w:val="0"/>
          <w:divBdr>
            <w:top w:val="none" w:sz="0" w:space="0" w:color="auto"/>
            <w:left w:val="none" w:sz="0" w:space="0" w:color="auto"/>
            <w:bottom w:val="none" w:sz="0" w:space="0" w:color="auto"/>
            <w:right w:val="none" w:sz="0" w:space="0" w:color="auto"/>
          </w:divBdr>
        </w:div>
        <w:div w:id="106237388">
          <w:marLeft w:val="0"/>
          <w:marRight w:val="0"/>
          <w:marTop w:val="0"/>
          <w:marBottom w:val="0"/>
          <w:divBdr>
            <w:top w:val="none" w:sz="0" w:space="0" w:color="auto"/>
            <w:left w:val="none" w:sz="0" w:space="0" w:color="auto"/>
            <w:bottom w:val="none" w:sz="0" w:space="0" w:color="auto"/>
            <w:right w:val="none" w:sz="0" w:space="0" w:color="auto"/>
          </w:divBdr>
        </w:div>
        <w:div w:id="111823882">
          <w:marLeft w:val="0"/>
          <w:marRight w:val="0"/>
          <w:marTop w:val="0"/>
          <w:marBottom w:val="0"/>
          <w:divBdr>
            <w:top w:val="none" w:sz="0" w:space="0" w:color="auto"/>
            <w:left w:val="none" w:sz="0" w:space="0" w:color="auto"/>
            <w:bottom w:val="none" w:sz="0" w:space="0" w:color="auto"/>
            <w:right w:val="none" w:sz="0" w:space="0" w:color="auto"/>
          </w:divBdr>
        </w:div>
        <w:div w:id="116726947">
          <w:marLeft w:val="0"/>
          <w:marRight w:val="0"/>
          <w:marTop w:val="0"/>
          <w:marBottom w:val="0"/>
          <w:divBdr>
            <w:top w:val="none" w:sz="0" w:space="0" w:color="auto"/>
            <w:left w:val="none" w:sz="0" w:space="0" w:color="auto"/>
            <w:bottom w:val="none" w:sz="0" w:space="0" w:color="auto"/>
            <w:right w:val="none" w:sz="0" w:space="0" w:color="auto"/>
          </w:divBdr>
        </w:div>
        <w:div w:id="146358850">
          <w:marLeft w:val="0"/>
          <w:marRight w:val="0"/>
          <w:marTop w:val="0"/>
          <w:marBottom w:val="0"/>
          <w:divBdr>
            <w:top w:val="none" w:sz="0" w:space="0" w:color="auto"/>
            <w:left w:val="none" w:sz="0" w:space="0" w:color="auto"/>
            <w:bottom w:val="none" w:sz="0" w:space="0" w:color="auto"/>
            <w:right w:val="none" w:sz="0" w:space="0" w:color="auto"/>
          </w:divBdr>
        </w:div>
        <w:div w:id="207648344">
          <w:marLeft w:val="0"/>
          <w:marRight w:val="0"/>
          <w:marTop w:val="0"/>
          <w:marBottom w:val="0"/>
          <w:divBdr>
            <w:top w:val="none" w:sz="0" w:space="0" w:color="auto"/>
            <w:left w:val="none" w:sz="0" w:space="0" w:color="auto"/>
            <w:bottom w:val="none" w:sz="0" w:space="0" w:color="auto"/>
            <w:right w:val="none" w:sz="0" w:space="0" w:color="auto"/>
          </w:divBdr>
        </w:div>
        <w:div w:id="294993584">
          <w:marLeft w:val="0"/>
          <w:marRight w:val="0"/>
          <w:marTop w:val="0"/>
          <w:marBottom w:val="0"/>
          <w:divBdr>
            <w:top w:val="none" w:sz="0" w:space="0" w:color="auto"/>
            <w:left w:val="none" w:sz="0" w:space="0" w:color="auto"/>
            <w:bottom w:val="none" w:sz="0" w:space="0" w:color="auto"/>
            <w:right w:val="none" w:sz="0" w:space="0" w:color="auto"/>
          </w:divBdr>
        </w:div>
        <w:div w:id="321012724">
          <w:marLeft w:val="0"/>
          <w:marRight w:val="0"/>
          <w:marTop w:val="0"/>
          <w:marBottom w:val="0"/>
          <w:divBdr>
            <w:top w:val="none" w:sz="0" w:space="0" w:color="auto"/>
            <w:left w:val="none" w:sz="0" w:space="0" w:color="auto"/>
            <w:bottom w:val="none" w:sz="0" w:space="0" w:color="auto"/>
            <w:right w:val="none" w:sz="0" w:space="0" w:color="auto"/>
          </w:divBdr>
        </w:div>
        <w:div w:id="321465679">
          <w:marLeft w:val="0"/>
          <w:marRight w:val="0"/>
          <w:marTop w:val="0"/>
          <w:marBottom w:val="0"/>
          <w:divBdr>
            <w:top w:val="none" w:sz="0" w:space="0" w:color="auto"/>
            <w:left w:val="none" w:sz="0" w:space="0" w:color="auto"/>
            <w:bottom w:val="none" w:sz="0" w:space="0" w:color="auto"/>
            <w:right w:val="none" w:sz="0" w:space="0" w:color="auto"/>
          </w:divBdr>
        </w:div>
        <w:div w:id="576280829">
          <w:marLeft w:val="0"/>
          <w:marRight w:val="0"/>
          <w:marTop w:val="0"/>
          <w:marBottom w:val="0"/>
          <w:divBdr>
            <w:top w:val="none" w:sz="0" w:space="0" w:color="auto"/>
            <w:left w:val="none" w:sz="0" w:space="0" w:color="auto"/>
            <w:bottom w:val="none" w:sz="0" w:space="0" w:color="auto"/>
            <w:right w:val="none" w:sz="0" w:space="0" w:color="auto"/>
          </w:divBdr>
        </w:div>
        <w:div w:id="585383692">
          <w:marLeft w:val="0"/>
          <w:marRight w:val="0"/>
          <w:marTop w:val="0"/>
          <w:marBottom w:val="0"/>
          <w:divBdr>
            <w:top w:val="none" w:sz="0" w:space="0" w:color="auto"/>
            <w:left w:val="none" w:sz="0" w:space="0" w:color="auto"/>
            <w:bottom w:val="none" w:sz="0" w:space="0" w:color="auto"/>
            <w:right w:val="none" w:sz="0" w:space="0" w:color="auto"/>
          </w:divBdr>
        </w:div>
        <w:div w:id="669217601">
          <w:marLeft w:val="0"/>
          <w:marRight w:val="0"/>
          <w:marTop w:val="0"/>
          <w:marBottom w:val="0"/>
          <w:divBdr>
            <w:top w:val="none" w:sz="0" w:space="0" w:color="auto"/>
            <w:left w:val="none" w:sz="0" w:space="0" w:color="auto"/>
            <w:bottom w:val="none" w:sz="0" w:space="0" w:color="auto"/>
            <w:right w:val="none" w:sz="0" w:space="0" w:color="auto"/>
          </w:divBdr>
        </w:div>
        <w:div w:id="725489265">
          <w:marLeft w:val="0"/>
          <w:marRight w:val="0"/>
          <w:marTop w:val="0"/>
          <w:marBottom w:val="0"/>
          <w:divBdr>
            <w:top w:val="none" w:sz="0" w:space="0" w:color="auto"/>
            <w:left w:val="none" w:sz="0" w:space="0" w:color="auto"/>
            <w:bottom w:val="none" w:sz="0" w:space="0" w:color="auto"/>
            <w:right w:val="none" w:sz="0" w:space="0" w:color="auto"/>
          </w:divBdr>
        </w:div>
        <w:div w:id="757025428">
          <w:marLeft w:val="0"/>
          <w:marRight w:val="0"/>
          <w:marTop w:val="0"/>
          <w:marBottom w:val="0"/>
          <w:divBdr>
            <w:top w:val="none" w:sz="0" w:space="0" w:color="auto"/>
            <w:left w:val="none" w:sz="0" w:space="0" w:color="auto"/>
            <w:bottom w:val="none" w:sz="0" w:space="0" w:color="auto"/>
            <w:right w:val="none" w:sz="0" w:space="0" w:color="auto"/>
          </w:divBdr>
        </w:div>
        <w:div w:id="1069226376">
          <w:marLeft w:val="0"/>
          <w:marRight w:val="0"/>
          <w:marTop w:val="0"/>
          <w:marBottom w:val="0"/>
          <w:divBdr>
            <w:top w:val="none" w:sz="0" w:space="0" w:color="auto"/>
            <w:left w:val="none" w:sz="0" w:space="0" w:color="auto"/>
            <w:bottom w:val="none" w:sz="0" w:space="0" w:color="auto"/>
            <w:right w:val="none" w:sz="0" w:space="0" w:color="auto"/>
          </w:divBdr>
        </w:div>
        <w:div w:id="1079405175">
          <w:marLeft w:val="0"/>
          <w:marRight w:val="0"/>
          <w:marTop w:val="0"/>
          <w:marBottom w:val="0"/>
          <w:divBdr>
            <w:top w:val="none" w:sz="0" w:space="0" w:color="auto"/>
            <w:left w:val="none" w:sz="0" w:space="0" w:color="auto"/>
            <w:bottom w:val="none" w:sz="0" w:space="0" w:color="auto"/>
            <w:right w:val="none" w:sz="0" w:space="0" w:color="auto"/>
          </w:divBdr>
        </w:div>
        <w:div w:id="1087458231">
          <w:marLeft w:val="0"/>
          <w:marRight w:val="0"/>
          <w:marTop w:val="0"/>
          <w:marBottom w:val="0"/>
          <w:divBdr>
            <w:top w:val="none" w:sz="0" w:space="0" w:color="auto"/>
            <w:left w:val="none" w:sz="0" w:space="0" w:color="auto"/>
            <w:bottom w:val="none" w:sz="0" w:space="0" w:color="auto"/>
            <w:right w:val="none" w:sz="0" w:space="0" w:color="auto"/>
          </w:divBdr>
        </w:div>
        <w:div w:id="1134785470">
          <w:marLeft w:val="0"/>
          <w:marRight w:val="0"/>
          <w:marTop w:val="0"/>
          <w:marBottom w:val="0"/>
          <w:divBdr>
            <w:top w:val="none" w:sz="0" w:space="0" w:color="auto"/>
            <w:left w:val="none" w:sz="0" w:space="0" w:color="auto"/>
            <w:bottom w:val="none" w:sz="0" w:space="0" w:color="auto"/>
            <w:right w:val="none" w:sz="0" w:space="0" w:color="auto"/>
          </w:divBdr>
        </w:div>
        <w:div w:id="1192652118">
          <w:marLeft w:val="0"/>
          <w:marRight w:val="0"/>
          <w:marTop w:val="0"/>
          <w:marBottom w:val="0"/>
          <w:divBdr>
            <w:top w:val="none" w:sz="0" w:space="0" w:color="auto"/>
            <w:left w:val="none" w:sz="0" w:space="0" w:color="auto"/>
            <w:bottom w:val="none" w:sz="0" w:space="0" w:color="auto"/>
            <w:right w:val="none" w:sz="0" w:space="0" w:color="auto"/>
          </w:divBdr>
        </w:div>
        <w:div w:id="1206792539">
          <w:marLeft w:val="0"/>
          <w:marRight w:val="0"/>
          <w:marTop w:val="0"/>
          <w:marBottom w:val="0"/>
          <w:divBdr>
            <w:top w:val="none" w:sz="0" w:space="0" w:color="auto"/>
            <w:left w:val="none" w:sz="0" w:space="0" w:color="auto"/>
            <w:bottom w:val="none" w:sz="0" w:space="0" w:color="auto"/>
            <w:right w:val="none" w:sz="0" w:space="0" w:color="auto"/>
          </w:divBdr>
        </w:div>
        <w:div w:id="1225336112">
          <w:marLeft w:val="0"/>
          <w:marRight w:val="0"/>
          <w:marTop w:val="0"/>
          <w:marBottom w:val="0"/>
          <w:divBdr>
            <w:top w:val="none" w:sz="0" w:space="0" w:color="auto"/>
            <w:left w:val="none" w:sz="0" w:space="0" w:color="auto"/>
            <w:bottom w:val="none" w:sz="0" w:space="0" w:color="auto"/>
            <w:right w:val="none" w:sz="0" w:space="0" w:color="auto"/>
          </w:divBdr>
        </w:div>
        <w:div w:id="1331130435">
          <w:marLeft w:val="0"/>
          <w:marRight w:val="0"/>
          <w:marTop w:val="0"/>
          <w:marBottom w:val="0"/>
          <w:divBdr>
            <w:top w:val="none" w:sz="0" w:space="0" w:color="auto"/>
            <w:left w:val="none" w:sz="0" w:space="0" w:color="auto"/>
            <w:bottom w:val="none" w:sz="0" w:space="0" w:color="auto"/>
            <w:right w:val="none" w:sz="0" w:space="0" w:color="auto"/>
          </w:divBdr>
        </w:div>
        <w:div w:id="1450052681">
          <w:marLeft w:val="0"/>
          <w:marRight w:val="0"/>
          <w:marTop w:val="0"/>
          <w:marBottom w:val="0"/>
          <w:divBdr>
            <w:top w:val="none" w:sz="0" w:space="0" w:color="auto"/>
            <w:left w:val="none" w:sz="0" w:space="0" w:color="auto"/>
            <w:bottom w:val="none" w:sz="0" w:space="0" w:color="auto"/>
            <w:right w:val="none" w:sz="0" w:space="0" w:color="auto"/>
          </w:divBdr>
        </w:div>
        <w:div w:id="1672682501">
          <w:marLeft w:val="0"/>
          <w:marRight w:val="0"/>
          <w:marTop w:val="0"/>
          <w:marBottom w:val="0"/>
          <w:divBdr>
            <w:top w:val="none" w:sz="0" w:space="0" w:color="auto"/>
            <w:left w:val="none" w:sz="0" w:space="0" w:color="auto"/>
            <w:bottom w:val="none" w:sz="0" w:space="0" w:color="auto"/>
            <w:right w:val="none" w:sz="0" w:space="0" w:color="auto"/>
          </w:divBdr>
        </w:div>
        <w:div w:id="1678344003">
          <w:marLeft w:val="0"/>
          <w:marRight w:val="0"/>
          <w:marTop w:val="0"/>
          <w:marBottom w:val="0"/>
          <w:divBdr>
            <w:top w:val="none" w:sz="0" w:space="0" w:color="auto"/>
            <w:left w:val="none" w:sz="0" w:space="0" w:color="auto"/>
            <w:bottom w:val="none" w:sz="0" w:space="0" w:color="auto"/>
            <w:right w:val="none" w:sz="0" w:space="0" w:color="auto"/>
          </w:divBdr>
        </w:div>
        <w:div w:id="1753700120">
          <w:marLeft w:val="0"/>
          <w:marRight w:val="0"/>
          <w:marTop w:val="0"/>
          <w:marBottom w:val="0"/>
          <w:divBdr>
            <w:top w:val="none" w:sz="0" w:space="0" w:color="auto"/>
            <w:left w:val="none" w:sz="0" w:space="0" w:color="auto"/>
            <w:bottom w:val="none" w:sz="0" w:space="0" w:color="auto"/>
            <w:right w:val="none" w:sz="0" w:space="0" w:color="auto"/>
          </w:divBdr>
        </w:div>
        <w:div w:id="1755199636">
          <w:marLeft w:val="0"/>
          <w:marRight w:val="0"/>
          <w:marTop w:val="0"/>
          <w:marBottom w:val="0"/>
          <w:divBdr>
            <w:top w:val="none" w:sz="0" w:space="0" w:color="auto"/>
            <w:left w:val="none" w:sz="0" w:space="0" w:color="auto"/>
            <w:bottom w:val="none" w:sz="0" w:space="0" w:color="auto"/>
            <w:right w:val="none" w:sz="0" w:space="0" w:color="auto"/>
          </w:divBdr>
        </w:div>
        <w:div w:id="1824196435">
          <w:marLeft w:val="0"/>
          <w:marRight w:val="0"/>
          <w:marTop w:val="0"/>
          <w:marBottom w:val="0"/>
          <w:divBdr>
            <w:top w:val="none" w:sz="0" w:space="0" w:color="auto"/>
            <w:left w:val="none" w:sz="0" w:space="0" w:color="auto"/>
            <w:bottom w:val="none" w:sz="0" w:space="0" w:color="auto"/>
            <w:right w:val="none" w:sz="0" w:space="0" w:color="auto"/>
          </w:divBdr>
        </w:div>
        <w:div w:id="1855683985">
          <w:marLeft w:val="0"/>
          <w:marRight w:val="0"/>
          <w:marTop w:val="0"/>
          <w:marBottom w:val="0"/>
          <w:divBdr>
            <w:top w:val="none" w:sz="0" w:space="0" w:color="auto"/>
            <w:left w:val="none" w:sz="0" w:space="0" w:color="auto"/>
            <w:bottom w:val="none" w:sz="0" w:space="0" w:color="auto"/>
            <w:right w:val="none" w:sz="0" w:space="0" w:color="auto"/>
          </w:divBdr>
        </w:div>
        <w:div w:id="1864703697">
          <w:marLeft w:val="0"/>
          <w:marRight w:val="0"/>
          <w:marTop w:val="0"/>
          <w:marBottom w:val="0"/>
          <w:divBdr>
            <w:top w:val="none" w:sz="0" w:space="0" w:color="auto"/>
            <w:left w:val="none" w:sz="0" w:space="0" w:color="auto"/>
            <w:bottom w:val="none" w:sz="0" w:space="0" w:color="auto"/>
            <w:right w:val="none" w:sz="0" w:space="0" w:color="auto"/>
          </w:divBdr>
        </w:div>
        <w:div w:id="2056616171">
          <w:marLeft w:val="0"/>
          <w:marRight w:val="0"/>
          <w:marTop w:val="0"/>
          <w:marBottom w:val="0"/>
          <w:divBdr>
            <w:top w:val="none" w:sz="0" w:space="0" w:color="auto"/>
            <w:left w:val="none" w:sz="0" w:space="0" w:color="auto"/>
            <w:bottom w:val="none" w:sz="0" w:space="0" w:color="auto"/>
            <w:right w:val="none" w:sz="0" w:space="0" w:color="auto"/>
          </w:divBdr>
        </w:div>
        <w:div w:id="2084136450">
          <w:marLeft w:val="0"/>
          <w:marRight w:val="0"/>
          <w:marTop w:val="0"/>
          <w:marBottom w:val="0"/>
          <w:divBdr>
            <w:top w:val="none" w:sz="0" w:space="0" w:color="auto"/>
            <w:left w:val="none" w:sz="0" w:space="0" w:color="auto"/>
            <w:bottom w:val="none" w:sz="0" w:space="0" w:color="auto"/>
            <w:right w:val="none" w:sz="0" w:space="0" w:color="auto"/>
          </w:divBdr>
        </w:div>
      </w:divsChild>
    </w:div>
    <w:div w:id="249243156">
      <w:bodyDiv w:val="1"/>
      <w:marLeft w:val="0"/>
      <w:marRight w:val="0"/>
      <w:marTop w:val="0"/>
      <w:marBottom w:val="0"/>
      <w:divBdr>
        <w:top w:val="none" w:sz="0" w:space="0" w:color="auto"/>
        <w:left w:val="none" w:sz="0" w:space="0" w:color="auto"/>
        <w:bottom w:val="none" w:sz="0" w:space="0" w:color="auto"/>
        <w:right w:val="none" w:sz="0" w:space="0" w:color="auto"/>
      </w:divBdr>
      <w:divsChild>
        <w:div w:id="22558912">
          <w:marLeft w:val="0"/>
          <w:marRight w:val="0"/>
          <w:marTop w:val="0"/>
          <w:marBottom w:val="0"/>
          <w:divBdr>
            <w:top w:val="none" w:sz="0" w:space="0" w:color="auto"/>
            <w:left w:val="none" w:sz="0" w:space="0" w:color="auto"/>
            <w:bottom w:val="none" w:sz="0" w:space="0" w:color="auto"/>
            <w:right w:val="none" w:sz="0" w:space="0" w:color="auto"/>
          </w:divBdr>
          <w:divsChild>
            <w:div w:id="1932348758">
              <w:marLeft w:val="0"/>
              <w:marRight w:val="0"/>
              <w:marTop w:val="0"/>
              <w:marBottom w:val="0"/>
              <w:divBdr>
                <w:top w:val="none" w:sz="0" w:space="0" w:color="auto"/>
                <w:left w:val="none" w:sz="0" w:space="0" w:color="auto"/>
                <w:bottom w:val="none" w:sz="0" w:space="0" w:color="auto"/>
                <w:right w:val="none" w:sz="0" w:space="0" w:color="auto"/>
              </w:divBdr>
            </w:div>
          </w:divsChild>
        </w:div>
        <w:div w:id="84421167">
          <w:marLeft w:val="0"/>
          <w:marRight w:val="0"/>
          <w:marTop w:val="0"/>
          <w:marBottom w:val="0"/>
          <w:divBdr>
            <w:top w:val="none" w:sz="0" w:space="0" w:color="auto"/>
            <w:left w:val="none" w:sz="0" w:space="0" w:color="auto"/>
            <w:bottom w:val="none" w:sz="0" w:space="0" w:color="auto"/>
            <w:right w:val="none" w:sz="0" w:space="0" w:color="auto"/>
          </w:divBdr>
          <w:divsChild>
            <w:div w:id="511383747">
              <w:marLeft w:val="0"/>
              <w:marRight w:val="0"/>
              <w:marTop w:val="0"/>
              <w:marBottom w:val="0"/>
              <w:divBdr>
                <w:top w:val="none" w:sz="0" w:space="0" w:color="auto"/>
                <w:left w:val="none" w:sz="0" w:space="0" w:color="auto"/>
                <w:bottom w:val="none" w:sz="0" w:space="0" w:color="auto"/>
                <w:right w:val="none" w:sz="0" w:space="0" w:color="auto"/>
              </w:divBdr>
            </w:div>
          </w:divsChild>
        </w:div>
        <w:div w:id="232669993">
          <w:marLeft w:val="0"/>
          <w:marRight w:val="0"/>
          <w:marTop w:val="0"/>
          <w:marBottom w:val="0"/>
          <w:divBdr>
            <w:top w:val="none" w:sz="0" w:space="0" w:color="auto"/>
            <w:left w:val="none" w:sz="0" w:space="0" w:color="auto"/>
            <w:bottom w:val="none" w:sz="0" w:space="0" w:color="auto"/>
            <w:right w:val="none" w:sz="0" w:space="0" w:color="auto"/>
          </w:divBdr>
          <w:divsChild>
            <w:div w:id="1389954305">
              <w:marLeft w:val="0"/>
              <w:marRight w:val="0"/>
              <w:marTop w:val="0"/>
              <w:marBottom w:val="0"/>
              <w:divBdr>
                <w:top w:val="none" w:sz="0" w:space="0" w:color="auto"/>
                <w:left w:val="none" w:sz="0" w:space="0" w:color="auto"/>
                <w:bottom w:val="none" w:sz="0" w:space="0" w:color="auto"/>
                <w:right w:val="none" w:sz="0" w:space="0" w:color="auto"/>
              </w:divBdr>
            </w:div>
          </w:divsChild>
        </w:div>
        <w:div w:id="328143486">
          <w:marLeft w:val="0"/>
          <w:marRight w:val="0"/>
          <w:marTop w:val="0"/>
          <w:marBottom w:val="0"/>
          <w:divBdr>
            <w:top w:val="none" w:sz="0" w:space="0" w:color="auto"/>
            <w:left w:val="none" w:sz="0" w:space="0" w:color="auto"/>
            <w:bottom w:val="none" w:sz="0" w:space="0" w:color="auto"/>
            <w:right w:val="none" w:sz="0" w:space="0" w:color="auto"/>
          </w:divBdr>
          <w:divsChild>
            <w:div w:id="1798717495">
              <w:marLeft w:val="0"/>
              <w:marRight w:val="0"/>
              <w:marTop w:val="0"/>
              <w:marBottom w:val="0"/>
              <w:divBdr>
                <w:top w:val="none" w:sz="0" w:space="0" w:color="auto"/>
                <w:left w:val="none" w:sz="0" w:space="0" w:color="auto"/>
                <w:bottom w:val="none" w:sz="0" w:space="0" w:color="auto"/>
                <w:right w:val="none" w:sz="0" w:space="0" w:color="auto"/>
              </w:divBdr>
            </w:div>
          </w:divsChild>
        </w:div>
        <w:div w:id="356122658">
          <w:marLeft w:val="0"/>
          <w:marRight w:val="0"/>
          <w:marTop w:val="0"/>
          <w:marBottom w:val="0"/>
          <w:divBdr>
            <w:top w:val="none" w:sz="0" w:space="0" w:color="auto"/>
            <w:left w:val="none" w:sz="0" w:space="0" w:color="auto"/>
            <w:bottom w:val="none" w:sz="0" w:space="0" w:color="auto"/>
            <w:right w:val="none" w:sz="0" w:space="0" w:color="auto"/>
          </w:divBdr>
          <w:divsChild>
            <w:div w:id="1057508284">
              <w:marLeft w:val="0"/>
              <w:marRight w:val="0"/>
              <w:marTop w:val="0"/>
              <w:marBottom w:val="0"/>
              <w:divBdr>
                <w:top w:val="none" w:sz="0" w:space="0" w:color="auto"/>
                <w:left w:val="none" w:sz="0" w:space="0" w:color="auto"/>
                <w:bottom w:val="none" w:sz="0" w:space="0" w:color="auto"/>
                <w:right w:val="none" w:sz="0" w:space="0" w:color="auto"/>
              </w:divBdr>
            </w:div>
          </w:divsChild>
        </w:div>
        <w:div w:id="507794199">
          <w:marLeft w:val="0"/>
          <w:marRight w:val="0"/>
          <w:marTop w:val="0"/>
          <w:marBottom w:val="0"/>
          <w:divBdr>
            <w:top w:val="none" w:sz="0" w:space="0" w:color="auto"/>
            <w:left w:val="none" w:sz="0" w:space="0" w:color="auto"/>
            <w:bottom w:val="none" w:sz="0" w:space="0" w:color="auto"/>
            <w:right w:val="none" w:sz="0" w:space="0" w:color="auto"/>
          </w:divBdr>
          <w:divsChild>
            <w:div w:id="1647472608">
              <w:marLeft w:val="0"/>
              <w:marRight w:val="0"/>
              <w:marTop w:val="0"/>
              <w:marBottom w:val="0"/>
              <w:divBdr>
                <w:top w:val="none" w:sz="0" w:space="0" w:color="auto"/>
                <w:left w:val="none" w:sz="0" w:space="0" w:color="auto"/>
                <w:bottom w:val="none" w:sz="0" w:space="0" w:color="auto"/>
                <w:right w:val="none" w:sz="0" w:space="0" w:color="auto"/>
              </w:divBdr>
            </w:div>
          </w:divsChild>
        </w:div>
        <w:div w:id="632713917">
          <w:marLeft w:val="0"/>
          <w:marRight w:val="0"/>
          <w:marTop w:val="0"/>
          <w:marBottom w:val="0"/>
          <w:divBdr>
            <w:top w:val="none" w:sz="0" w:space="0" w:color="auto"/>
            <w:left w:val="none" w:sz="0" w:space="0" w:color="auto"/>
            <w:bottom w:val="none" w:sz="0" w:space="0" w:color="auto"/>
            <w:right w:val="none" w:sz="0" w:space="0" w:color="auto"/>
          </w:divBdr>
          <w:divsChild>
            <w:div w:id="422454038">
              <w:marLeft w:val="0"/>
              <w:marRight w:val="0"/>
              <w:marTop w:val="0"/>
              <w:marBottom w:val="0"/>
              <w:divBdr>
                <w:top w:val="none" w:sz="0" w:space="0" w:color="auto"/>
                <w:left w:val="none" w:sz="0" w:space="0" w:color="auto"/>
                <w:bottom w:val="none" w:sz="0" w:space="0" w:color="auto"/>
                <w:right w:val="none" w:sz="0" w:space="0" w:color="auto"/>
              </w:divBdr>
            </w:div>
          </w:divsChild>
        </w:div>
        <w:div w:id="642855587">
          <w:marLeft w:val="0"/>
          <w:marRight w:val="0"/>
          <w:marTop w:val="0"/>
          <w:marBottom w:val="0"/>
          <w:divBdr>
            <w:top w:val="none" w:sz="0" w:space="0" w:color="auto"/>
            <w:left w:val="none" w:sz="0" w:space="0" w:color="auto"/>
            <w:bottom w:val="none" w:sz="0" w:space="0" w:color="auto"/>
            <w:right w:val="none" w:sz="0" w:space="0" w:color="auto"/>
          </w:divBdr>
          <w:divsChild>
            <w:div w:id="602154898">
              <w:marLeft w:val="0"/>
              <w:marRight w:val="0"/>
              <w:marTop w:val="0"/>
              <w:marBottom w:val="0"/>
              <w:divBdr>
                <w:top w:val="none" w:sz="0" w:space="0" w:color="auto"/>
                <w:left w:val="none" w:sz="0" w:space="0" w:color="auto"/>
                <w:bottom w:val="none" w:sz="0" w:space="0" w:color="auto"/>
                <w:right w:val="none" w:sz="0" w:space="0" w:color="auto"/>
              </w:divBdr>
            </w:div>
          </w:divsChild>
        </w:div>
        <w:div w:id="654915920">
          <w:marLeft w:val="0"/>
          <w:marRight w:val="0"/>
          <w:marTop w:val="0"/>
          <w:marBottom w:val="0"/>
          <w:divBdr>
            <w:top w:val="none" w:sz="0" w:space="0" w:color="auto"/>
            <w:left w:val="none" w:sz="0" w:space="0" w:color="auto"/>
            <w:bottom w:val="none" w:sz="0" w:space="0" w:color="auto"/>
            <w:right w:val="none" w:sz="0" w:space="0" w:color="auto"/>
          </w:divBdr>
          <w:divsChild>
            <w:div w:id="2101826390">
              <w:marLeft w:val="0"/>
              <w:marRight w:val="0"/>
              <w:marTop w:val="0"/>
              <w:marBottom w:val="0"/>
              <w:divBdr>
                <w:top w:val="none" w:sz="0" w:space="0" w:color="auto"/>
                <w:left w:val="none" w:sz="0" w:space="0" w:color="auto"/>
                <w:bottom w:val="none" w:sz="0" w:space="0" w:color="auto"/>
                <w:right w:val="none" w:sz="0" w:space="0" w:color="auto"/>
              </w:divBdr>
            </w:div>
          </w:divsChild>
        </w:div>
        <w:div w:id="799029042">
          <w:marLeft w:val="0"/>
          <w:marRight w:val="0"/>
          <w:marTop w:val="0"/>
          <w:marBottom w:val="0"/>
          <w:divBdr>
            <w:top w:val="none" w:sz="0" w:space="0" w:color="auto"/>
            <w:left w:val="none" w:sz="0" w:space="0" w:color="auto"/>
            <w:bottom w:val="none" w:sz="0" w:space="0" w:color="auto"/>
            <w:right w:val="none" w:sz="0" w:space="0" w:color="auto"/>
          </w:divBdr>
          <w:divsChild>
            <w:div w:id="231165905">
              <w:marLeft w:val="0"/>
              <w:marRight w:val="0"/>
              <w:marTop w:val="0"/>
              <w:marBottom w:val="0"/>
              <w:divBdr>
                <w:top w:val="none" w:sz="0" w:space="0" w:color="auto"/>
                <w:left w:val="none" w:sz="0" w:space="0" w:color="auto"/>
                <w:bottom w:val="none" w:sz="0" w:space="0" w:color="auto"/>
                <w:right w:val="none" w:sz="0" w:space="0" w:color="auto"/>
              </w:divBdr>
            </w:div>
          </w:divsChild>
        </w:div>
        <w:div w:id="903031513">
          <w:marLeft w:val="0"/>
          <w:marRight w:val="0"/>
          <w:marTop w:val="0"/>
          <w:marBottom w:val="0"/>
          <w:divBdr>
            <w:top w:val="none" w:sz="0" w:space="0" w:color="auto"/>
            <w:left w:val="none" w:sz="0" w:space="0" w:color="auto"/>
            <w:bottom w:val="none" w:sz="0" w:space="0" w:color="auto"/>
            <w:right w:val="none" w:sz="0" w:space="0" w:color="auto"/>
          </w:divBdr>
          <w:divsChild>
            <w:div w:id="448597211">
              <w:marLeft w:val="0"/>
              <w:marRight w:val="0"/>
              <w:marTop w:val="0"/>
              <w:marBottom w:val="0"/>
              <w:divBdr>
                <w:top w:val="none" w:sz="0" w:space="0" w:color="auto"/>
                <w:left w:val="none" w:sz="0" w:space="0" w:color="auto"/>
                <w:bottom w:val="none" w:sz="0" w:space="0" w:color="auto"/>
                <w:right w:val="none" w:sz="0" w:space="0" w:color="auto"/>
              </w:divBdr>
            </w:div>
          </w:divsChild>
        </w:div>
        <w:div w:id="997462128">
          <w:marLeft w:val="0"/>
          <w:marRight w:val="0"/>
          <w:marTop w:val="0"/>
          <w:marBottom w:val="0"/>
          <w:divBdr>
            <w:top w:val="none" w:sz="0" w:space="0" w:color="auto"/>
            <w:left w:val="none" w:sz="0" w:space="0" w:color="auto"/>
            <w:bottom w:val="none" w:sz="0" w:space="0" w:color="auto"/>
            <w:right w:val="none" w:sz="0" w:space="0" w:color="auto"/>
          </w:divBdr>
          <w:divsChild>
            <w:div w:id="1809665858">
              <w:marLeft w:val="0"/>
              <w:marRight w:val="0"/>
              <w:marTop w:val="0"/>
              <w:marBottom w:val="0"/>
              <w:divBdr>
                <w:top w:val="none" w:sz="0" w:space="0" w:color="auto"/>
                <w:left w:val="none" w:sz="0" w:space="0" w:color="auto"/>
                <w:bottom w:val="none" w:sz="0" w:space="0" w:color="auto"/>
                <w:right w:val="none" w:sz="0" w:space="0" w:color="auto"/>
              </w:divBdr>
            </w:div>
          </w:divsChild>
        </w:div>
        <w:div w:id="1044674889">
          <w:marLeft w:val="0"/>
          <w:marRight w:val="0"/>
          <w:marTop w:val="0"/>
          <w:marBottom w:val="0"/>
          <w:divBdr>
            <w:top w:val="none" w:sz="0" w:space="0" w:color="auto"/>
            <w:left w:val="none" w:sz="0" w:space="0" w:color="auto"/>
            <w:bottom w:val="none" w:sz="0" w:space="0" w:color="auto"/>
            <w:right w:val="none" w:sz="0" w:space="0" w:color="auto"/>
          </w:divBdr>
          <w:divsChild>
            <w:div w:id="364907496">
              <w:marLeft w:val="0"/>
              <w:marRight w:val="0"/>
              <w:marTop w:val="0"/>
              <w:marBottom w:val="0"/>
              <w:divBdr>
                <w:top w:val="none" w:sz="0" w:space="0" w:color="auto"/>
                <w:left w:val="none" w:sz="0" w:space="0" w:color="auto"/>
                <w:bottom w:val="none" w:sz="0" w:space="0" w:color="auto"/>
                <w:right w:val="none" w:sz="0" w:space="0" w:color="auto"/>
              </w:divBdr>
            </w:div>
          </w:divsChild>
        </w:div>
        <w:div w:id="1111316310">
          <w:marLeft w:val="0"/>
          <w:marRight w:val="0"/>
          <w:marTop w:val="0"/>
          <w:marBottom w:val="0"/>
          <w:divBdr>
            <w:top w:val="none" w:sz="0" w:space="0" w:color="auto"/>
            <w:left w:val="none" w:sz="0" w:space="0" w:color="auto"/>
            <w:bottom w:val="none" w:sz="0" w:space="0" w:color="auto"/>
            <w:right w:val="none" w:sz="0" w:space="0" w:color="auto"/>
          </w:divBdr>
          <w:divsChild>
            <w:div w:id="963077529">
              <w:marLeft w:val="0"/>
              <w:marRight w:val="0"/>
              <w:marTop w:val="0"/>
              <w:marBottom w:val="0"/>
              <w:divBdr>
                <w:top w:val="none" w:sz="0" w:space="0" w:color="auto"/>
                <w:left w:val="none" w:sz="0" w:space="0" w:color="auto"/>
                <w:bottom w:val="none" w:sz="0" w:space="0" w:color="auto"/>
                <w:right w:val="none" w:sz="0" w:space="0" w:color="auto"/>
              </w:divBdr>
            </w:div>
          </w:divsChild>
        </w:div>
        <w:div w:id="1141843841">
          <w:marLeft w:val="0"/>
          <w:marRight w:val="0"/>
          <w:marTop w:val="0"/>
          <w:marBottom w:val="0"/>
          <w:divBdr>
            <w:top w:val="none" w:sz="0" w:space="0" w:color="auto"/>
            <w:left w:val="none" w:sz="0" w:space="0" w:color="auto"/>
            <w:bottom w:val="none" w:sz="0" w:space="0" w:color="auto"/>
            <w:right w:val="none" w:sz="0" w:space="0" w:color="auto"/>
          </w:divBdr>
          <w:divsChild>
            <w:div w:id="871963014">
              <w:marLeft w:val="0"/>
              <w:marRight w:val="0"/>
              <w:marTop w:val="0"/>
              <w:marBottom w:val="0"/>
              <w:divBdr>
                <w:top w:val="none" w:sz="0" w:space="0" w:color="auto"/>
                <w:left w:val="none" w:sz="0" w:space="0" w:color="auto"/>
                <w:bottom w:val="none" w:sz="0" w:space="0" w:color="auto"/>
                <w:right w:val="none" w:sz="0" w:space="0" w:color="auto"/>
              </w:divBdr>
            </w:div>
          </w:divsChild>
        </w:div>
        <w:div w:id="1272588617">
          <w:marLeft w:val="0"/>
          <w:marRight w:val="0"/>
          <w:marTop w:val="0"/>
          <w:marBottom w:val="0"/>
          <w:divBdr>
            <w:top w:val="none" w:sz="0" w:space="0" w:color="auto"/>
            <w:left w:val="none" w:sz="0" w:space="0" w:color="auto"/>
            <w:bottom w:val="none" w:sz="0" w:space="0" w:color="auto"/>
            <w:right w:val="none" w:sz="0" w:space="0" w:color="auto"/>
          </w:divBdr>
          <w:divsChild>
            <w:div w:id="854924295">
              <w:marLeft w:val="0"/>
              <w:marRight w:val="0"/>
              <w:marTop w:val="0"/>
              <w:marBottom w:val="0"/>
              <w:divBdr>
                <w:top w:val="none" w:sz="0" w:space="0" w:color="auto"/>
                <w:left w:val="none" w:sz="0" w:space="0" w:color="auto"/>
                <w:bottom w:val="none" w:sz="0" w:space="0" w:color="auto"/>
                <w:right w:val="none" w:sz="0" w:space="0" w:color="auto"/>
              </w:divBdr>
            </w:div>
          </w:divsChild>
        </w:div>
        <w:div w:id="1437676985">
          <w:marLeft w:val="0"/>
          <w:marRight w:val="0"/>
          <w:marTop w:val="0"/>
          <w:marBottom w:val="0"/>
          <w:divBdr>
            <w:top w:val="none" w:sz="0" w:space="0" w:color="auto"/>
            <w:left w:val="none" w:sz="0" w:space="0" w:color="auto"/>
            <w:bottom w:val="none" w:sz="0" w:space="0" w:color="auto"/>
            <w:right w:val="none" w:sz="0" w:space="0" w:color="auto"/>
          </w:divBdr>
          <w:divsChild>
            <w:div w:id="1906643875">
              <w:marLeft w:val="0"/>
              <w:marRight w:val="0"/>
              <w:marTop w:val="0"/>
              <w:marBottom w:val="0"/>
              <w:divBdr>
                <w:top w:val="none" w:sz="0" w:space="0" w:color="auto"/>
                <w:left w:val="none" w:sz="0" w:space="0" w:color="auto"/>
                <w:bottom w:val="none" w:sz="0" w:space="0" w:color="auto"/>
                <w:right w:val="none" w:sz="0" w:space="0" w:color="auto"/>
              </w:divBdr>
            </w:div>
          </w:divsChild>
        </w:div>
        <w:div w:id="1506239692">
          <w:marLeft w:val="0"/>
          <w:marRight w:val="0"/>
          <w:marTop w:val="0"/>
          <w:marBottom w:val="0"/>
          <w:divBdr>
            <w:top w:val="none" w:sz="0" w:space="0" w:color="auto"/>
            <w:left w:val="none" w:sz="0" w:space="0" w:color="auto"/>
            <w:bottom w:val="none" w:sz="0" w:space="0" w:color="auto"/>
            <w:right w:val="none" w:sz="0" w:space="0" w:color="auto"/>
          </w:divBdr>
          <w:divsChild>
            <w:div w:id="2056275078">
              <w:marLeft w:val="0"/>
              <w:marRight w:val="0"/>
              <w:marTop w:val="0"/>
              <w:marBottom w:val="0"/>
              <w:divBdr>
                <w:top w:val="none" w:sz="0" w:space="0" w:color="auto"/>
                <w:left w:val="none" w:sz="0" w:space="0" w:color="auto"/>
                <w:bottom w:val="none" w:sz="0" w:space="0" w:color="auto"/>
                <w:right w:val="none" w:sz="0" w:space="0" w:color="auto"/>
              </w:divBdr>
            </w:div>
          </w:divsChild>
        </w:div>
        <w:div w:id="1694961406">
          <w:marLeft w:val="0"/>
          <w:marRight w:val="0"/>
          <w:marTop w:val="0"/>
          <w:marBottom w:val="0"/>
          <w:divBdr>
            <w:top w:val="none" w:sz="0" w:space="0" w:color="auto"/>
            <w:left w:val="none" w:sz="0" w:space="0" w:color="auto"/>
            <w:bottom w:val="none" w:sz="0" w:space="0" w:color="auto"/>
            <w:right w:val="none" w:sz="0" w:space="0" w:color="auto"/>
          </w:divBdr>
          <w:divsChild>
            <w:div w:id="1905872430">
              <w:marLeft w:val="0"/>
              <w:marRight w:val="0"/>
              <w:marTop w:val="0"/>
              <w:marBottom w:val="0"/>
              <w:divBdr>
                <w:top w:val="none" w:sz="0" w:space="0" w:color="auto"/>
                <w:left w:val="none" w:sz="0" w:space="0" w:color="auto"/>
                <w:bottom w:val="none" w:sz="0" w:space="0" w:color="auto"/>
                <w:right w:val="none" w:sz="0" w:space="0" w:color="auto"/>
              </w:divBdr>
            </w:div>
          </w:divsChild>
        </w:div>
        <w:div w:id="1703283792">
          <w:marLeft w:val="0"/>
          <w:marRight w:val="0"/>
          <w:marTop w:val="0"/>
          <w:marBottom w:val="0"/>
          <w:divBdr>
            <w:top w:val="none" w:sz="0" w:space="0" w:color="auto"/>
            <w:left w:val="none" w:sz="0" w:space="0" w:color="auto"/>
            <w:bottom w:val="none" w:sz="0" w:space="0" w:color="auto"/>
            <w:right w:val="none" w:sz="0" w:space="0" w:color="auto"/>
          </w:divBdr>
          <w:divsChild>
            <w:div w:id="1752921586">
              <w:marLeft w:val="0"/>
              <w:marRight w:val="0"/>
              <w:marTop w:val="0"/>
              <w:marBottom w:val="0"/>
              <w:divBdr>
                <w:top w:val="none" w:sz="0" w:space="0" w:color="auto"/>
                <w:left w:val="none" w:sz="0" w:space="0" w:color="auto"/>
                <w:bottom w:val="none" w:sz="0" w:space="0" w:color="auto"/>
                <w:right w:val="none" w:sz="0" w:space="0" w:color="auto"/>
              </w:divBdr>
            </w:div>
          </w:divsChild>
        </w:div>
        <w:div w:id="1896504019">
          <w:marLeft w:val="0"/>
          <w:marRight w:val="0"/>
          <w:marTop w:val="0"/>
          <w:marBottom w:val="0"/>
          <w:divBdr>
            <w:top w:val="none" w:sz="0" w:space="0" w:color="auto"/>
            <w:left w:val="none" w:sz="0" w:space="0" w:color="auto"/>
            <w:bottom w:val="none" w:sz="0" w:space="0" w:color="auto"/>
            <w:right w:val="none" w:sz="0" w:space="0" w:color="auto"/>
          </w:divBdr>
          <w:divsChild>
            <w:div w:id="758596249">
              <w:marLeft w:val="0"/>
              <w:marRight w:val="0"/>
              <w:marTop w:val="0"/>
              <w:marBottom w:val="0"/>
              <w:divBdr>
                <w:top w:val="none" w:sz="0" w:space="0" w:color="auto"/>
                <w:left w:val="none" w:sz="0" w:space="0" w:color="auto"/>
                <w:bottom w:val="none" w:sz="0" w:space="0" w:color="auto"/>
                <w:right w:val="none" w:sz="0" w:space="0" w:color="auto"/>
              </w:divBdr>
            </w:div>
          </w:divsChild>
        </w:div>
        <w:div w:id="1959680650">
          <w:marLeft w:val="0"/>
          <w:marRight w:val="0"/>
          <w:marTop w:val="0"/>
          <w:marBottom w:val="0"/>
          <w:divBdr>
            <w:top w:val="none" w:sz="0" w:space="0" w:color="auto"/>
            <w:left w:val="none" w:sz="0" w:space="0" w:color="auto"/>
            <w:bottom w:val="none" w:sz="0" w:space="0" w:color="auto"/>
            <w:right w:val="none" w:sz="0" w:space="0" w:color="auto"/>
          </w:divBdr>
          <w:divsChild>
            <w:div w:id="204684866">
              <w:marLeft w:val="0"/>
              <w:marRight w:val="0"/>
              <w:marTop w:val="0"/>
              <w:marBottom w:val="0"/>
              <w:divBdr>
                <w:top w:val="none" w:sz="0" w:space="0" w:color="auto"/>
                <w:left w:val="none" w:sz="0" w:space="0" w:color="auto"/>
                <w:bottom w:val="none" w:sz="0" w:space="0" w:color="auto"/>
                <w:right w:val="none" w:sz="0" w:space="0" w:color="auto"/>
              </w:divBdr>
            </w:div>
          </w:divsChild>
        </w:div>
        <w:div w:id="2027517533">
          <w:marLeft w:val="0"/>
          <w:marRight w:val="0"/>
          <w:marTop w:val="0"/>
          <w:marBottom w:val="0"/>
          <w:divBdr>
            <w:top w:val="none" w:sz="0" w:space="0" w:color="auto"/>
            <w:left w:val="none" w:sz="0" w:space="0" w:color="auto"/>
            <w:bottom w:val="none" w:sz="0" w:space="0" w:color="auto"/>
            <w:right w:val="none" w:sz="0" w:space="0" w:color="auto"/>
          </w:divBdr>
          <w:divsChild>
            <w:div w:id="755632805">
              <w:marLeft w:val="0"/>
              <w:marRight w:val="0"/>
              <w:marTop w:val="0"/>
              <w:marBottom w:val="0"/>
              <w:divBdr>
                <w:top w:val="none" w:sz="0" w:space="0" w:color="auto"/>
                <w:left w:val="none" w:sz="0" w:space="0" w:color="auto"/>
                <w:bottom w:val="none" w:sz="0" w:space="0" w:color="auto"/>
                <w:right w:val="none" w:sz="0" w:space="0" w:color="auto"/>
              </w:divBdr>
            </w:div>
          </w:divsChild>
        </w:div>
        <w:div w:id="2035496804">
          <w:marLeft w:val="0"/>
          <w:marRight w:val="0"/>
          <w:marTop w:val="0"/>
          <w:marBottom w:val="0"/>
          <w:divBdr>
            <w:top w:val="none" w:sz="0" w:space="0" w:color="auto"/>
            <w:left w:val="none" w:sz="0" w:space="0" w:color="auto"/>
            <w:bottom w:val="none" w:sz="0" w:space="0" w:color="auto"/>
            <w:right w:val="none" w:sz="0" w:space="0" w:color="auto"/>
          </w:divBdr>
          <w:divsChild>
            <w:div w:id="8071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1039">
      <w:bodyDiv w:val="1"/>
      <w:marLeft w:val="0"/>
      <w:marRight w:val="0"/>
      <w:marTop w:val="0"/>
      <w:marBottom w:val="0"/>
      <w:divBdr>
        <w:top w:val="none" w:sz="0" w:space="0" w:color="auto"/>
        <w:left w:val="none" w:sz="0" w:space="0" w:color="auto"/>
        <w:bottom w:val="none" w:sz="0" w:space="0" w:color="auto"/>
        <w:right w:val="none" w:sz="0" w:space="0" w:color="auto"/>
      </w:divBdr>
      <w:divsChild>
        <w:div w:id="143543949">
          <w:marLeft w:val="0"/>
          <w:marRight w:val="0"/>
          <w:marTop w:val="0"/>
          <w:marBottom w:val="0"/>
          <w:divBdr>
            <w:top w:val="none" w:sz="0" w:space="0" w:color="auto"/>
            <w:left w:val="none" w:sz="0" w:space="0" w:color="auto"/>
            <w:bottom w:val="none" w:sz="0" w:space="0" w:color="auto"/>
            <w:right w:val="none" w:sz="0" w:space="0" w:color="auto"/>
          </w:divBdr>
        </w:div>
        <w:div w:id="406193086">
          <w:marLeft w:val="0"/>
          <w:marRight w:val="0"/>
          <w:marTop w:val="0"/>
          <w:marBottom w:val="0"/>
          <w:divBdr>
            <w:top w:val="none" w:sz="0" w:space="0" w:color="auto"/>
            <w:left w:val="none" w:sz="0" w:space="0" w:color="auto"/>
            <w:bottom w:val="none" w:sz="0" w:space="0" w:color="auto"/>
            <w:right w:val="none" w:sz="0" w:space="0" w:color="auto"/>
          </w:divBdr>
        </w:div>
        <w:div w:id="534539848">
          <w:marLeft w:val="0"/>
          <w:marRight w:val="0"/>
          <w:marTop w:val="0"/>
          <w:marBottom w:val="0"/>
          <w:divBdr>
            <w:top w:val="none" w:sz="0" w:space="0" w:color="auto"/>
            <w:left w:val="none" w:sz="0" w:space="0" w:color="auto"/>
            <w:bottom w:val="none" w:sz="0" w:space="0" w:color="auto"/>
            <w:right w:val="none" w:sz="0" w:space="0" w:color="auto"/>
          </w:divBdr>
        </w:div>
        <w:div w:id="652176631">
          <w:marLeft w:val="0"/>
          <w:marRight w:val="0"/>
          <w:marTop w:val="0"/>
          <w:marBottom w:val="0"/>
          <w:divBdr>
            <w:top w:val="none" w:sz="0" w:space="0" w:color="auto"/>
            <w:left w:val="none" w:sz="0" w:space="0" w:color="auto"/>
            <w:bottom w:val="none" w:sz="0" w:space="0" w:color="auto"/>
            <w:right w:val="none" w:sz="0" w:space="0" w:color="auto"/>
          </w:divBdr>
        </w:div>
        <w:div w:id="660043446">
          <w:marLeft w:val="0"/>
          <w:marRight w:val="0"/>
          <w:marTop w:val="0"/>
          <w:marBottom w:val="0"/>
          <w:divBdr>
            <w:top w:val="none" w:sz="0" w:space="0" w:color="auto"/>
            <w:left w:val="none" w:sz="0" w:space="0" w:color="auto"/>
            <w:bottom w:val="none" w:sz="0" w:space="0" w:color="auto"/>
            <w:right w:val="none" w:sz="0" w:space="0" w:color="auto"/>
          </w:divBdr>
        </w:div>
        <w:div w:id="724378337">
          <w:marLeft w:val="0"/>
          <w:marRight w:val="0"/>
          <w:marTop w:val="0"/>
          <w:marBottom w:val="0"/>
          <w:divBdr>
            <w:top w:val="none" w:sz="0" w:space="0" w:color="auto"/>
            <w:left w:val="none" w:sz="0" w:space="0" w:color="auto"/>
            <w:bottom w:val="none" w:sz="0" w:space="0" w:color="auto"/>
            <w:right w:val="none" w:sz="0" w:space="0" w:color="auto"/>
          </w:divBdr>
        </w:div>
        <w:div w:id="867720188">
          <w:marLeft w:val="0"/>
          <w:marRight w:val="0"/>
          <w:marTop w:val="0"/>
          <w:marBottom w:val="0"/>
          <w:divBdr>
            <w:top w:val="none" w:sz="0" w:space="0" w:color="auto"/>
            <w:left w:val="none" w:sz="0" w:space="0" w:color="auto"/>
            <w:bottom w:val="none" w:sz="0" w:space="0" w:color="auto"/>
            <w:right w:val="none" w:sz="0" w:space="0" w:color="auto"/>
          </w:divBdr>
        </w:div>
        <w:div w:id="1019624947">
          <w:marLeft w:val="0"/>
          <w:marRight w:val="0"/>
          <w:marTop w:val="0"/>
          <w:marBottom w:val="0"/>
          <w:divBdr>
            <w:top w:val="none" w:sz="0" w:space="0" w:color="auto"/>
            <w:left w:val="none" w:sz="0" w:space="0" w:color="auto"/>
            <w:bottom w:val="none" w:sz="0" w:space="0" w:color="auto"/>
            <w:right w:val="none" w:sz="0" w:space="0" w:color="auto"/>
          </w:divBdr>
        </w:div>
        <w:div w:id="1147239620">
          <w:marLeft w:val="0"/>
          <w:marRight w:val="0"/>
          <w:marTop w:val="0"/>
          <w:marBottom w:val="0"/>
          <w:divBdr>
            <w:top w:val="none" w:sz="0" w:space="0" w:color="auto"/>
            <w:left w:val="none" w:sz="0" w:space="0" w:color="auto"/>
            <w:bottom w:val="none" w:sz="0" w:space="0" w:color="auto"/>
            <w:right w:val="none" w:sz="0" w:space="0" w:color="auto"/>
          </w:divBdr>
        </w:div>
        <w:div w:id="1199970036">
          <w:marLeft w:val="0"/>
          <w:marRight w:val="0"/>
          <w:marTop w:val="0"/>
          <w:marBottom w:val="0"/>
          <w:divBdr>
            <w:top w:val="none" w:sz="0" w:space="0" w:color="auto"/>
            <w:left w:val="none" w:sz="0" w:space="0" w:color="auto"/>
            <w:bottom w:val="none" w:sz="0" w:space="0" w:color="auto"/>
            <w:right w:val="none" w:sz="0" w:space="0" w:color="auto"/>
          </w:divBdr>
        </w:div>
        <w:div w:id="1525972854">
          <w:marLeft w:val="0"/>
          <w:marRight w:val="0"/>
          <w:marTop w:val="0"/>
          <w:marBottom w:val="0"/>
          <w:divBdr>
            <w:top w:val="none" w:sz="0" w:space="0" w:color="auto"/>
            <w:left w:val="none" w:sz="0" w:space="0" w:color="auto"/>
            <w:bottom w:val="none" w:sz="0" w:space="0" w:color="auto"/>
            <w:right w:val="none" w:sz="0" w:space="0" w:color="auto"/>
          </w:divBdr>
        </w:div>
        <w:div w:id="1649046892">
          <w:marLeft w:val="0"/>
          <w:marRight w:val="0"/>
          <w:marTop w:val="0"/>
          <w:marBottom w:val="0"/>
          <w:divBdr>
            <w:top w:val="none" w:sz="0" w:space="0" w:color="auto"/>
            <w:left w:val="none" w:sz="0" w:space="0" w:color="auto"/>
            <w:bottom w:val="none" w:sz="0" w:space="0" w:color="auto"/>
            <w:right w:val="none" w:sz="0" w:space="0" w:color="auto"/>
          </w:divBdr>
        </w:div>
        <w:div w:id="1664121683">
          <w:marLeft w:val="0"/>
          <w:marRight w:val="0"/>
          <w:marTop w:val="0"/>
          <w:marBottom w:val="0"/>
          <w:divBdr>
            <w:top w:val="none" w:sz="0" w:space="0" w:color="auto"/>
            <w:left w:val="none" w:sz="0" w:space="0" w:color="auto"/>
            <w:bottom w:val="none" w:sz="0" w:space="0" w:color="auto"/>
            <w:right w:val="none" w:sz="0" w:space="0" w:color="auto"/>
          </w:divBdr>
        </w:div>
        <w:div w:id="1722167476">
          <w:marLeft w:val="0"/>
          <w:marRight w:val="0"/>
          <w:marTop w:val="0"/>
          <w:marBottom w:val="0"/>
          <w:divBdr>
            <w:top w:val="none" w:sz="0" w:space="0" w:color="auto"/>
            <w:left w:val="none" w:sz="0" w:space="0" w:color="auto"/>
            <w:bottom w:val="none" w:sz="0" w:space="0" w:color="auto"/>
            <w:right w:val="none" w:sz="0" w:space="0" w:color="auto"/>
          </w:divBdr>
        </w:div>
        <w:div w:id="1737899715">
          <w:marLeft w:val="0"/>
          <w:marRight w:val="0"/>
          <w:marTop w:val="0"/>
          <w:marBottom w:val="0"/>
          <w:divBdr>
            <w:top w:val="none" w:sz="0" w:space="0" w:color="auto"/>
            <w:left w:val="none" w:sz="0" w:space="0" w:color="auto"/>
            <w:bottom w:val="none" w:sz="0" w:space="0" w:color="auto"/>
            <w:right w:val="none" w:sz="0" w:space="0" w:color="auto"/>
          </w:divBdr>
        </w:div>
        <w:div w:id="1875574785">
          <w:marLeft w:val="0"/>
          <w:marRight w:val="0"/>
          <w:marTop w:val="0"/>
          <w:marBottom w:val="0"/>
          <w:divBdr>
            <w:top w:val="none" w:sz="0" w:space="0" w:color="auto"/>
            <w:left w:val="none" w:sz="0" w:space="0" w:color="auto"/>
            <w:bottom w:val="none" w:sz="0" w:space="0" w:color="auto"/>
            <w:right w:val="none" w:sz="0" w:space="0" w:color="auto"/>
          </w:divBdr>
        </w:div>
        <w:div w:id="2032534619">
          <w:marLeft w:val="0"/>
          <w:marRight w:val="0"/>
          <w:marTop w:val="0"/>
          <w:marBottom w:val="0"/>
          <w:divBdr>
            <w:top w:val="none" w:sz="0" w:space="0" w:color="auto"/>
            <w:left w:val="none" w:sz="0" w:space="0" w:color="auto"/>
            <w:bottom w:val="none" w:sz="0" w:space="0" w:color="auto"/>
            <w:right w:val="none" w:sz="0" w:space="0" w:color="auto"/>
          </w:divBdr>
        </w:div>
      </w:divsChild>
    </w:div>
    <w:div w:id="524099439">
      <w:bodyDiv w:val="1"/>
      <w:marLeft w:val="0"/>
      <w:marRight w:val="0"/>
      <w:marTop w:val="0"/>
      <w:marBottom w:val="0"/>
      <w:divBdr>
        <w:top w:val="none" w:sz="0" w:space="0" w:color="auto"/>
        <w:left w:val="none" w:sz="0" w:space="0" w:color="auto"/>
        <w:bottom w:val="none" w:sz="0" w:space="0" w:color="auto"/>
        <w:right w:val="none" w:sz="0" w:space="0" w:color="auto"/>
      </w:divBdr>
      <w:divsChild>
        <w:div w:id="334458455">
          <w:marLeft w:val="0"/>
          <w:marRight w:val="0"/>
          <w:marTop w:val="0"/>
          <w:marBottom w:val="0"/>
          <w:divBdr>
            <w:top w:val="none" w:sz="0" w:space="0" w:color="auto"/>
            <w:left w:val="none" w:sz="0" w:space="0" w:color="auto"/>
            <w:bottom w:val="none" w:sz="0" w:space="0" w:color="auto"/>
            <w:right w:val="none" w:sz="0" w:space="0" w:color="auto"/>
          </w:divBdr>
        </w:div>
        <w:div w:id="425463219">
          <w:marLeft w:val="0"/>
          <w:marRight w:val="0"/>
          <w:marTop w:val="0"/>
          <w:marBottom w:val="0"/>
          <w:divBdr>
            <w:top w:val="none" w:sz="0" w:space="0" w:color="auto"/>
            <w:left w:val="none" w:sz="0" w:space="0" w:color="auto"/>
            <w:bottom w:val="none" w:sz="0" w:space="0" w:color="auto"/>
            <w:right w:val="none" w:sz="0" w:space="0" w:color="auto"/>
          </w:divBdr>
          <w:divsChild>
            <w:div w:id="763919002">
              <w:marLeft w:val="0"/>
              <w:marRight w:val="0"/>
              <w:marTop w:val="30"/>
              <w:marBottom w:val="30"/>
              <w:divBdr>
                <w:top w:val="none" w:sz="0" w:space="0" w:color="auto"/>
                <w:left w:val="none" w:sz="0" w:space="0" w:color="auto"/>
                <w:bottom w:val="none" w:sz="0" w:space="0" w:color="auto"/>
                <w:right w:val="none" w:sz="0" w:space="0" w:color="auto"/>
              </w:divBdr>
              <w:divsChild>
                <w:div w:id="73093588">
                  <w:marLeft w:val="0"/>
                  <w:marRight w:val="0"/>
                  <w:marTop w:val="0"/>
                  <w:marBottom w:val="0"/>
                  <w:divBdr>
                    <w:top w:val="none" w:sz="0" w:space="0" w:color="auto"/>
                    <w:left w:val="none" w:sz="0" w:space="0" w:color="auto"/>
                    <w:bottom w:val="none" w:sz="0" w:space="0" w:color="auto"/>
                    <w:right w:val="none" w:sz="0" w:space="0" w:color="auto"/>
                  </w:divBdr>
                  <w:divsChild>
                    <w:div w:id="1885364681">
                      <w:marLeft w:val="0"/>
                      <w:marRight w:val="0"/>
                      <w:marTop w:val="0"/>
                      <w:marBottom w:val="0"/>
                      <w:divBdr>
                        <w:top w:val="none" w:sz="0" w:space="0" w:color="auto"/>
                        <w:left w:val="none" w:sz="0" w:space="0" w:color="auto"/>
                        <w:bottom w:val="none" w:sz="0" w:space="0" w:color="auto"/>
                        <w:right w:val="none" w:sz="0" w:space="0" w:color="auto"/>
                      </w:divBdr>
                    </w:div>
                  </w:divsChild>
                </w:div>
                <w:div w:id="89934258">
                  <w:marLeft w:val="0"/>
                  <w:marRight w:val="0"/>
                  <w:marTop w:val="0"/>
                  <w:marBottom w:val="0"/>
                  <w:divBdr>
                    <w:top w:val="none" w:sz="0" w:space="0" w:color="auto"/>
                    <w:left w:val="none" w:sz="0" w:space="0" w:color="auto"/>
                    <w:bottom w:val="none" w:sz="0" w:space="0" w:color="auto"/>
                    <w:right w:val="none" w:sz="0" w:space="0" w:color="auto"/>
                  </w:divBdr>
                  <w:divsChild>
                    <w:div w:id="458769550">
                      <w:marLeft w:val="0"/>
                      <w:marRight w:val="0"/>
                      <w:marTop w:val="0"/>
                      <w:marBottom w:val="0"/>
                      <w:divBdr>
                        <w:top w:val="none" w:sz="0" w:space="0" w:color="auto"/>
                        <w:left w:val="none" w:sz="0" w:space="0" w:color="auto"/>
                        <w:bottom w:val="none" w:sz="0" w:space="0" w:color="auto"/>
                        <w:right w:val="none" w:sz="0" w:space="0" w:color="auto"/>
                      </w:divBdr>
                    </w:div>
                  </w:divsChild>
                </w:div>
                <w:div w:id="98723558">
                  <w:marLeft w:val="0"/>
                  <w:marRight w:val="0"/>
                  <w:marTop w:val="0"/>
                  <w:marBottom w:val="0"/>
                  <w:divBdr>
                    <w:top w:val="none" w:sz="0" w:space="0" w:color="auto"/>
                    <w:left w:val="none" w:sz="0" w:space="0" w:color="auto"/>
                    <w:bottom w:val="none" w:sz="0" w:space="0" w:color="auto"/>
                    <w:right w:val="none" w:sz="0" w:space="0" w:color="auto"/>
                  </w:divBdr>
                  <w:divsChild>
                    <w:div w:id="923417294">
                      <w:marLeft w:val="0"/>
                      <w:marRight w:val="0"/>
                      <w:marTop w:val="0"/>
                      <w:marBottom w:val="0"/>
                      <w:divBdr>
                        <w:top w:val="none" w:sz="0" w:space="0" w:color="auto"/>
                        <w:left w:val="none" w:sz="0" w:space="0" w:color="auto"/>
                        <w:bottom w:val="none" w:sz="0" w:space="0" w:color="auto"/>
                        <w:right w:val="none" w:sz="0" w:space="0" w:color="auto"/>
                      </w:divBdr>
                    </w:div>
                  </w:divsChild>
                </w:div>
                <w:div w:id="115294670">
                  <w:marLeft w:val="0"/>
                  <w:marRight w:val="0"/>
                  <w:marTop w:val="0"/>
                  <w:marBottom w:val="0"/>
                  <w:divBdr>
                    <w:top w:val="none" w:sz="0" w:space="0" w:color="auto"/>
                    <w:left w:val="none" w:sz="0" w:space="0" w:color="auto"/>
                    <w:bottom w:val="none" w:sz="0" w:space="0" w:color="auto"/>
                    <w:right w:val="none" w:sz="0" w:space="0" w:color="auto"/>
                  </w:divBdr>
                  <w:divsChild>
                    <w:div w:id="1341661049">
                      <w:marLeft w:val="0"/>
                      <w:marRight w:val="0"/>
                      <w:marTop w:val="0"/>
                      <w:marBottom w:val="0"/>
                      <w:divBdr>
                        <w:top w:val="none" w:sz="0" w:space="0" w:color="auto"/>
                        <w:left w:val="none" w:sz="0" w:space="0" w:color="auto"/>
                        <w:bottom w:val="none" w:sz="0" w:space="0" w:color="auto"/>
                        <w:right w:val="none" w:sz="0" w:space="0" w:color="auto"/>
                      </w:divBdr>
                    </w:div>
                  </w:divsChild>
                </w:div>
                <w:div w:id="286392966">
                  <w:marLeft w:val="0"/>
                  <w:marRight w:val="0"/>
                  <w:marTop w:val="0"/>
                  <w:marBottom w:val="0"/>
                  <w:divBdr>
                    <w:top w:val="none" w:sz="0" w:space="0" w:color="auto"/>
                    <w:left w:val="none" w:sz="0" w:space="0" w:color="auto"/>
                    <w:bottom w:val="none" w:sz="0" w:space="0" w:color="auto"/>
                    <w:right w:val="none" w:sz="0" w:space="0" w:color="auto"/>
                  </w:divBdr>
                  <w:divsChild>
                    <w:div w:id="588123728">
                      <w:marLeft w:val="0"/>
                      <w:marRight w:val="0"/>
                      <w:marTop w:val="0"/>
                      <w:marBottom w:val="0"/>
                      <w:divBdr>
                        <w:top w:val="none" w:sz="0" w:space="0" w:color="auto"/>
                        <w:left w:val="none" w:sz="0" w:space="0" w:color="auto"/>
                        <w:bottom w:val="none" w:sz="0" w:space="0" w:color="auto"/>
                        <w:right w:val="none" w:sz="0" w:space="0" w:color="auto"/>
                      </w:divBdr>
                    </w:div>
                  </w:divsChild>
                </w:div>
                <w:div w:id="350448629">
                  <w:marLeft w:val="0"/>
                  <w:marRight w:val="0"/>
                  <w:marTop w:val="0"/>
                  <w:marBottom w:val="0"/>
                  <w:divBdr>
                    <w:top w:val="none" w:sz="0" w:space="0" w:color="auto"/>
                    <w:left w:val="none" w:sz="0" w:space="0" w:color="auto"/>
                    <w:bottom w:val="none" w:sz="0" w:space="0" w:color="auto"/>
                    <w:right w:val="none" w:sz="0" w:space="0" w:color="auto"/>
                  </w:divBdr>
                  <w:divsChild>
                    <w:div w:id="1044478591">
                      <w:marLeft w:val="0"/>
                      <w:marRight w:val="0"/>
                      <w:marTop w:val="0"/>
                      <w:marBottom w:val="0"/>
                      <w:divBdr>
                        <w:top w:val="none" w:sz="0" w:space="0" w:color="auto"/>
                        <w:left w:val="none" w:sz="0" w:space="0" w:color="auto"/>
                        <w:bottom w:val="none" w:sz="0" w:space="0" w:color="auto"/>
                        <w:right w:val="none" w:sz="0" w:space="0" w:color="auto"/>
                      </w:divBdr>
                    </w:div>
                  </w:divsChild>
                </w:div>
                <w:div w:id="367683841">
                  <w:marLeft w:val="0"/>
                  <w:marRight w:val="0"/>
                  <w:marTop w:val="0"/>
                  <w:marBottom w:val="0"/>
                  <w:divBdr>
                    <w:top w:val="none" w:sz="0" w:space="0" w:color="auto"/>
                    <w:left w:val="none" w:sz="0" w:space="0" w:color="auto"/>
                    <w:bottom w:val="none" w:sz="0" w:space="0" w:color="auto"/>
                    <w:right w:val="none" w:sz="0" w:space="0" w:color="auto"/>
                  </w:divBdr>
                  <w:divsChild>
                    <w:div w:id="619609264">
                      <w:marLeft w:val="0"/>
                      <w:marRight w:val="0"/>
                      <w:marTop w:val="0"/>
                      <w:marBottom w:val="0"/>
                      <w:divBdr>
                        <w:top w:val="none" w:sz="0" w:space="0" w:color="auto"/>
                        <w:left w:val="none" w:sz="0" w:space="0" w:color="auto"/>
                        <w:bottom w:val="none" w:sz="0" w:space="0" w:color="auto"/>
                        <w:right w:val="none" w:sz="0" w:space="0" w:color="auto"/>
                      </w:divBdr>
                    </w:div>
                  </w:divsChild>
                </w:div>
                <w:div w:id="405499776">
                  <w:marLeft w:val="0"/>
                  <w:marRight w:val="0"/>
                  <w:marTop w:val="0"/>
                  <w:marBottom w:val="0"/>
                  <w:divBdr>
                    <w:top w:val="none" w:sz="0" w:space="0" w:color="auto"/>
                    <w:left w:val="none" w:sz="0" w:space="0" w:color="auto"/>
                    <w:bottom w:val="none" w:sz="0" w:space="0" w:color="auto"/>
                    <w:right w:val="none" w:sz="0" w:space="0" w:color="auto"/>
                  </w:divBdr>
                  <w:divsChild>
                    <w:div w:id="1073433939">
                      <w:marLeft w:val="0"/>
                      <w:marRight w:val="0"/>
                      <w:marTop w:val="0"/>
                      <w:marBottom w:val="0"/>
                      <w:divBdr>
                        <w:top w:val="none" w:sz="0" w:space="0" w:color="auto"/>
                        <w:left w:val="none" w:sz="0" w:space="0" w:color="auto"/>
                        <w:bottom w:val="none" w:sz="0" w:space="0" w:color="auto"/>
                        <w:right w:val="none" w:sz="0" w:space="0" w:color="auto"/>
                      </w:divBdr>
                    </w:div>
                  </w:divsChild>
                </w:div>
                <w:div w:id="512571968">
                  <w:marLeft w:val="0"/>
                  <w:marRight w:val="0"/>
                  <w:marTop w:val="0"/>
                  <w:marBottom w:val="0"/>
                  <w:divBdr>
                    <w:top w:val="none" w:sz="0" w:space="0" w:color="auto"/>
                    <w:left w:val="none" w:sz="0" w:space="0" w:color="auto"/>
                    <w:bottom w:val="none" w:sz="0" w:space="0" w:color="auto"/>
                    <w:right w:val="none" w:sz="0" w:space="0" w:color="auto"/>
                  </w:divBdr>
                  <w:divsChild>
                    <w:div w:id="558715006">
                      <w:marLeft w:val="0"/>
                      <w:marRight w:val="0"/>
                      <w:marTop w:val="0"/>
                      <w:marBottom w:val="0"/>
                      <w:divBdr>
                        <w:top w:val="none" w:sz="0" w:space="0" w:color="auto"/>
                        <w:left w:val="none" w:sz="0" w:space="0" w:color="auto"/>
                        <w:bottom w:val="none" w:sz="0" w:space="0" w:color="auto"/>
                        <w:right w:val="none" w:sz="0" w:space="0" w:color="auto"/>
                      </w:divBdr>
                    </w:div>
                  </w:divsChild>
                </w:div>
                <w:div w:id="564920943">
                  <w:marLeft w:val="0"/>
                  <w:marRight w:val="0"/>
                  <w:marTop w:val="0"/>
                  <w:marBottom w:val="0"/>
                  <w:divBdr>
                    <w:top w:val="none" w:sz="0" w:space="0" w:color="auto"/>
                    <w:left w:val="none" w:sz="0" w:space="0" w:color="auto"/>
                    <w:bottom w:val="none" w:sz="0" w:space="0" w:color="auto"/>
                    <w:right w:val="none" w:sz="0" w:space="0" w:color="auto"/>
                  </w:divBdr>
                  <w:divsChild>
                    <w:div w:id="1150294422">
                      <w:marLeft w:val="0"/>
                      <w:marRight w:val="0"/>
                      <w:marTop w:val="0"/>
                      <w:marBottom w:val="0"/>
                      <w:divBdr>
                        <w:top w:val="none" w:sz="0" w:space="0" w:color="auto"/>
                        <w:left w:val="none" w:sz="0" w:space="0" w:color="auto"/>
                        <w:bottom w:val="none" w:sz="0" w:space="0" w:color="auto"/>
                        <w:right w:val="none" w:sz="0" w:space="0" w:color="auto"/>
                      </w:divBdr>
                    </w:div>
                  </w:divsChild>
                </w:div>
                <w:div w:id="605423918">
                  <w:marLeft w:val="0"/>
                  <w:marRight w:val="0"/>
                  <w:marTop w:val="0"/>
                  <w:marBottom w:val="0"/>
                  <w:divBdr>
                    <w:top w:val="none" w:sz="0" w:space="0" w:color="auto"/>
                    <w:left w:val="none" w:sz="0" w:space="0" w:color="auto"/>
                    <w:bottom w:val="none" w:sz="0" w:space="0" w:color="auto"/>
                    <w:right w:val="none" w:sz="0" w:space="0" w:color="auto"/>
                  </w:divBdr>
                  <w:divsChild>
                    <w:div w:id="1814711125">
                      <w:marLeft w:val="0"/>
                      <w:marRight w:val="0"/>
                      <w:marTop w:val="0"/>
                      <w:marBottom w:val="0"/>
                      <w:divBdr>
                        <w:top w:val="none" w:sz="0" w:space="0" w:color="auto"/>
                        <w:left w:val="none" w:sz="0" w:space="0" w:color="auto"/>
                        <w:bottom w:val="none" w:sz="0" w:space="0" w:color="auto"/>
                        <w:right w:val="none" w:sz="0" w:space="0" w:color="auto"/>
                      </w:divBdr>
                    </w:div>
                  </w:divsChild>
                </w:div>
                <w:div w:id="638386845">
                  <w:marLeft w:val="0"/>
                  <w:marRight w:val="0"/>
                  <w:marTop w:val="0"/>
                  <w:marBottom w:val="0"/>
                  <w:divBdr>
                    <w:top w:val="none" w:sz="0" w:space="0" w:color="auto"/>
                    <w:left w:val="none" w:sz="0" w:space="0" w:color="auto"/>
                    <w:bottom w:val="none" w:sz="0" w:space="0" w:color="auto"/>
                    <w:right w:val="none" w:sz="0" w:space="0" w:color="auto"/>
                  </w:divBdr>
                  <w:divsChild>
                    <w:div w:id="1569464049">
                      <w:marLeft w:val="0"/>
                      <w:marRight w:val="0"/>
                      <w:marTop w:val="0"/>
                      <w:marBottom w:val="0"/>
                      <w:divBdr>
                        <w:top w:val="none" w:sz="0" w:space="0" w:color="auto"/>
                        <w:left w:val="none" w:sz="0" w:space="0" w:color="auto"/>
                        <w:bottom w:val="none" w:sz="0" w:space="0" w:color="auto"/>
                        <w:right w:val="none" w:sz="0" w:space="0" w:color="auto"/>
                      </w:divBdr>
                    </w:div>
                  </w:divsChild>
                </w:div>
                <w:div w:id="831678042">
                  <w:marLeft w:val="0"/>
                  <w:marRight w:val="0"/>
                  <w:marTop w:val="0"/>
                  <w:marBottom w:val="0"/>
                  <w:divBdr>
                    <w:top w:val="none" w:sz="0" w:space="0" w:color="auto"/>
                    <w:left w:val="none" w:sz="0" w:space="0" w:color="auto"/>
                    <w:bottom w:val="none" w:sz="0" w:space="0" w:color="auto"/>
                    <w:right w:val="none" w:sz="0" w:space="0" w:color="auto"/>
                  </w:divBdr>
                  <w:divsChild>
                    <w:div w:id="812717546">
                      <w:marLeft w:val="0"/>
                      <w:marRight w:val="0"/>
                      <w:marTop w:val="0"/>
                      <w:marBottom w:val="0"/>
                      <w:divBdr>
                        <w:top w:val="none" w:sz="0" w:space="0" w:color="auto"/>
                        <w:left w:val="none" w:sz="0" w:space="0" w:color="auto"/>
                        <w:bottom w:val="none" w:sz="0" w:space="0" w:color="auto"/>
                        <w:right w:val="none" w:sz="0" w:space="0" w:color="auto"/>
                      </w:divBdr>
                    </w:div>
                  </w:divsChild>
                </w:div>
                <w:div w:id="843476447">
                  <w:marLeft w:val="0"/>
                  <w:marRight w:val="0"/>
                  <w:marTop w:val="0"/>
                  <w:marBottom w:val="0"/>
                  <w:divBdr>
                    <w:top w:val="none" w:sz="0" w:space="0" w:color="auto"/>
                    <w:left w:val="none" w:sz="0" w:space="0" w:color="auto"/>
                    <w:bottom w:val="none" w:sz="0" w:space="0" w:color="auto"/>
                    <w:right w:val="none" w:sz="0" w:space="0" w:color="auto"/>
                  </w:divBdr>
                  <w:divsChild>
                    <w:div w:id="1061371259">
                      <w:marLeft w:val="0"/>
                      <w:marRight w:val="0"/>
                      <w:marTop w:val="0"/>
                      <w:marBottom w:val="0"/>
                      <w:divBdr>
                        <w:top w:val="none" w:sz="0" w:space="0" w:color="auto"/>
                        <w:left w:val="none" w:sz="0" w:space="0" w:color="auto"/>
                        <w:bottom w:val="none" w:sz="0" w:space="0" w:color="auto"/>
                        <w:right w:val="none" w:sz="0" w:space="0" w:color="auto"/>
                      </w:divBdr>
                    </w:div>
                  </w:divsChild>
                </w:div>
                <w:div w:id="962231962">
                  <w:marLeft w:val="0"/>
                  <w:marRight w:val="0"/>
                  <w:marTop w:val="0"/>
                  <w:marBottom w:val="0"/>
                  <w:divBdr>
                    <w:top w:val="none" w:sz="0" w:space="0" w:color="auto"/>
                    <w:left w:val="none" w:sz="0" w:space="0" w:color="auto"/>
                    <w:bottom w:val="none" w:sz="0" w:space="0" w:color="auto"/>
                    <w:right w:val="none" w:sz="0" w:space="0" w:color="auto"/>
                  </w:divBdr>
                  <w:divsChild>
                    <w:div w:id="161120196">
                      <w:marLeft w:val="0"/>
                      <w:marRight w:val="0"/>
                      <w:marTop w:val="0"/>
                      <w:marBottom w:val="0"/>
                      <w:divBdr>
                        <w:top w:val="none" w:sz="0" w:space="0" w:color="auto"/>
                        <w:left w:val="none" w:sz="0" w:space="0" w:color="auto"/>
                        <w:bottom w:val="none" w:sz="0" w:space="0" w:color="auto"/>
                        <w:right w:val="none" w:sz="0" w:space="0" w:color="auto"/>
                      </w:divBdr>
                    </w:div>
                  </w:divsChild>
                </w:div>
                <w:div w:id="990789207">
                  <w:marLeft w:val="0"/>
                  <w:marRight w:val="0"/>
                  <w:marTop w:val="0"/>
                  <w:marBottom w:val="0"/>
                  <w:divBdr>
                    <w:top w:val="none" w:sz="0" w:space="0" w:color="auto"/>
                    <w:left w:val="none" w:sz="0" w:space="0" w:color="auto"/>
                    <w:bottom w:val="none" w:sz="0" w:space="0" w:color="auto"/>
                    <w:right w:val="none" w:sz="0" w:space="0" w:color="auto"/>
                  </w:divBdr>
                  <w:divsChild>
                    <w:div w:id="1116170375">
                      <w:marLeft w:val="0"/>
                      <w:marRight w:val="0"/>
                      <w:marTop w:val="0"/>
                      <w:marBottom w:val="0"/>
                      <w:divBdr>
                        <w:top w:val="none" w:sz="0" w:space="0" w:color="auto"/>
                        <w:left w:val="none" w:sz="0" w:space="0" w:color="auto"/>
                        <w:bottom w:val="none" w:sz="0" w:space="0" w:color="auto"/>
                        <w:right w:val="none" w:sz="0" w:space="0" w:color="auto"/>
                      </w:divBdr>
                    </w:div>
                  </w:divsChild>
                </w:div>
                <w:div w:id="1133519050">
                  <w:marLeft w:val="0"/>
                  <w:marRight w:val="0"/>
                  <w:marTop w:val="0"/>
                  <w:marBottom w:val="0"/>
                  <w:divBdr>
                    <w:top w:val="none" w:sz="0" w:space="0" w:color="auto"/>
                    <w:left w:val="none" w:sz="0" w:space="0" w:color="auto"/>
                    <w:bottom w:val="none" w:sz="0" w:space="0" w:color="auto"/>
                    <w:right w:val="none" w:sz="0" w:space="0" w:color="auto"/>
                  </w:divBdr>
                  <w:divsChild>
                    <w:div w:id="558130151">
                      <w:marLeft w:val="0"/>
                      <w:marRight w:val="0"/>
                      <w:marTop w:val="0"/>
                      <w:marBottom w:val="0"/>
                      <w:divBdr>
                        <w:top w:val="none" w:sz="0" w:space="0" w:color="auto"/>
                        <w:left w:val="none" w:sz="0" w:space="0" w:color="auto"/>
                        <w:bottom w:val="none" w:sz="0" w:space="0" w:color="auto"/>
                        <w:right w:val="none" w:sz="0" w:space="0" w:color="auto"/>
                      </w:divBdr>
                    </w:div>
                  </w:divsChild>
                </w:div>
                <w:div w:id="1344212585">
                  <w:marLeft w:val="0"/>
                  <w:marRight w:val="0"/>
                  <w:marTop w:val="0"/>
                  <w:marBottom w:val="0"/>
                  <w:divBdr>
                    <w:top w:val="none" w:sz="0" w:space="0" w:color="auto"/>
                    <w:left w:val="none" w:sz="0" w:space="0" w:color="auto"/>
                    <w:bottom w:val="none" w:sz="0" w:space="0" w:color="auto"/>
                    <w:right w:val="none" w:sz="0" w:space="0" w:color="auto"/>
                  </w:divBdr>
                  <w:divsChild>
                    <w:div w:id="1607346331">
                      <w:marLeft w:val="0"/>
                      <w:marRight w:val="0"/>
                      <w:marTop w:val="0"/>
                      <w:marBottom w:val="0"/>
                      <w:divBdr>
                        <w:top w:val="none" w:sz="0" w:space="0" w:color="auto"/>
                        <w:left w:val="none" w:sz="0" w:space="0" w:color="auto"/>
                        <w:bottom w:val="none" w:sz="0" w:space="0" w:color="auto"/>
                        <w:right w:val="none" w:sz="0" w:space="0" w:color="auto"/>
                      </w:divBdr>
                    </w:div>
                  </w:divsChild>
                </w:div>
                <w:div w:id="1433167386">
                  <w:marLeft w:val="0"/>
                  <w:marRight w:val="0"/>
                  <w:marTop w:val="0"/>
                  <w:marBottom w:val="0"/>
                  <w:divBdr>
                    <w:top w:val="none" w:sz="0" w:space="0" w:color="auto"/>
                    <w:left w:val="none" w:sz="0" w:space="0" w:color="auto"/>
                    <w:bottom w:val="none" w:sz="0" w:space="0" w:color="auto"/>
                    <w:right w:val="none" w:sz="0" w:space="0" w:color="auto"/>
                  </w:divBdr>
                  <w:divsChild>
                    <w:div w:id="332998260">
                      <w:marLeft w:val="0"/>
                      <w:marRight w:val="0"/>
                      <w:marTop w:val="0"/>
                      <w:marBottom w:val="0"/>
                      <w:divBdr>
                        <w:top w:val="none" w:sz="0" w:space="0" w:color="auto"/>
                        <w:left w:val="none" w:sz="0" w:space="0" w:color="auto"/>
                        <w:bottom w:val="none" w:sz="0" w:space="0" w:color="auto"/>
                        <w:right w:val="none" w:sz="0" w:space="0" w:color="auto"/>
                      </w:divBdr>
                    </w:div>
                  </w:divsChild>
                </w:div>
                <w:div w:id="1480918772">
                  <w:marLeft w:val="0"/>
                  <w:marRight w:val="0"/>
                  <w:marTop w:val="0"/>
                  <w:marBottom w:val="0"/>
                  <w:divBdr>
                    <w:top w:val="none" w:sz="0" w:space="0" w:color="auto"/>
                    <w:left w:val="none" w:sz="0" w:space="0" w:color="auto"/>
                    <w:bottom w:val="none" w:sz="0" w:space="0" w:color="auto"/>
                    <w:right w:val="none" w:sz="0" w:space="0" w:color="auto"/>
                  </w:divBdr>
                  <w:divsChild>
                    <w:div w:id="705761744">
                      <w:marLeft w:val="0"/>
                      <w:marRight w:val="0"/>
                      <w:marTop w:val="0"/>
                      <w:marBottom w:val="0"/>
                      <w:divBdr>
                        <w:top w:val="none" w:sz="0" w:space="0" w:color="auto"/>
                        <w:left w:val="none" w:sz="0" w:space="0" w:color="auto"/>
                        <w:bottom w:val="none" w:sz="0" w:space="0" w:color="auto"/>
                        <w:right w:val="none" w:sz="0" w:space="0" w:color="auto"/>
                      </w:divBdr>
                    </w:div>
                  </w:divsChild>
                </w:div>
                <w:div w:id="1567955593">
                  <w:marLeft w:val="0"/>
                  <w:marRight w:val="0"/>
                  <w:marTop w:val="0"/>
                  <w:marBottom w:val="0"/>
                  <w:divBdr>
                    <w:top w:val="none" w:sz="0" w:space="0" w:color="auto"/>
                    <w:left w:val="none" w:sz="0" w:space="0" w:color="auto"/>
                    <w:bottom w:val="none" w:sz="0" w:space="0" w:color="auto"/>
                    <w:right w:val="none" w:sz="0" w:space="0" w:color="auto"/>
                  </w:divBdr>
                  <w:divsChild>
                    <w:div w:id="321081162">
                      <w:marLeft w:val="0"/>
                      <w:marRight w:val="0"/>
                      <w:marTop w:val="0"/>
                      <w:marBottom w:val="0"/>
                      <w:divBdr>
                        <w:top w:val="none" w:sz="0" w:space="0" w:color="auto"/>
                        <w:left w:val="none" w:sz="0" w:space="0" w:color="auto"/>
                        <w:bottom w:val="none" w:sz="0" w:space="0" w:color="auto"/>
                        <w:right w:val="none" w:sz="0" w:space="0" w:color="auto"/>
                      </w:divBdr>
                    </w:div>
                  </w:divsChild>
                </w:div>
                <w:div w:id="1605653801">
                  <w:marLeft w:val="0"/>
                  <w:marRight w:val="0"/>
                  <w:marTop w:val="0"/>
                  <w:marBottom w:val="0"/>
                  <w:divBdr>
                    <w:top w:val="none" w:sz="0" w:space="0" w:color="auto"/>
                    <w:left w:val="none" w:sz="0" w:space="0" w:color="auto"/>
                    <w:bottom w:val="none" w:sz="0" w:space="0" w:color="auto"/>
                    <w:right w:val="none" w:sz="0" w:space="0" w:color="auto"/>
                  </w:divBdr>
                  <w:divsChild>
                    <w:div w:id="1997492085">
                      <w:marLeft w:val="0"/>
                      <w:marRight w:val="0"/>
                      <w:marTop w:val="0"/>
                      <w:marBottom w:val="0"/>
                      <w:divBdr>
                        <w:top w:val="none" w:sz="0" w:space="0" w:color="auto"/>
                        <w:left w:val="none" w:sz="0" w:space="0" w:color="auto"/>
                        <w:bottom w:val="none" w:sz="0" w:space="0" w:color="auto"/>
                        <w:right w:val="none" w:sz="0" w:space="0" w:color="auto"/>
                      </w:divBdr>
                    </w:div>
                  </w:divsChild>
                </w:div>
                <w:div w:id="1867131330">
                  <w:marLeft w:val="0"/>
                  <w:marRight w:val="0"/>
                  <w:marTop w:val="0"/>
                  <w:marBottom w:val="0"/>
                  <w:divBdr>
                    <w:top w:val="none" w:sz="0" w:space="0" w:color="auto"/>
                    <w:left w:val="none" w:sz="0" w:space="0" w:color="auto"/>
                    <w:bottom w:val="none" w:sz="0" w:space="0" w:color="auto"/>
                    <w:right w:val="none" w:sz="0" w:space="0" w:color="auto"/>
                  </w:divBdr>
                  <w:divsChild>
                    <w:div w:id="1445345750">
                      <w:marLeft w:val="0"/>
                      <w:marRight w:val="0"/>
                      <w:marTop w:val="0"/>
                      <w:marBottom w:val="0"/>
                      <w:divBdr>
                        <w:top w:val="none" w:sz="0" w:space="0" w:color="auto"/>
                        <w:left w:val="none" w:sz="0" w:space="0" w:color="auto"/>
                        <w:bottom w:val="none" w:sz="0" w:space="0" w:color="auto"/>
                        <w:right w:val="none" w:sz="0" w:space="0" w:color="auto"/>
                      </w:divBdr>
                    </w:div>
                  </w:divsChild>
                </w:div>
                <w:div w:id="2070180625">
                  <w:marLeft w:val="0"/>
                  <w:marRight w:val="0"/>
                  <w:marTop w:val="0"/>
                  <w:marBottom w:val="0"/>
                  <w:divBdr>
                    <w:top w:val="none" w:sz="0" w:space="0" w:color="auto"/>
                    <w:left w:val="none" w:sz="0" w:space="0" w:color="auto"/>
                    <w:bottom w:val="none" w:sz="0" w:space="0" w:color="auto"/>
                    <w:right w:val="none" w:sz="0" w:space="0" w:color="auto"/>
                  </w:divBdr>
                  <w:divsChild>
                    <w:div w:id="12260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1321">
          <w:marLeft w:val="0"/>
          <w:marRight w:val="0"/>
          <w:marTop w:val="0"/>
          <w:marBottom w:val="0"/>
          <w:divBdr>
            <w:top w:val="none" w:sz="0" w:space="0" w:color="auto"/>
            <w:left w:val="none" w:sz="0" w:space="0" w:color="auto"/>
            <w:bottom w:val="none" w:sz="0" w:space="0" w:color="auto"/>
            <w:right w:val="none" w:sz="0" w:space="0" w:color="auto"/>
          </w:divBdr>
        </w:div>
      </w:divsChild>
    </w:div>
    <w:div w:id="529610608">
      <w:bodyDiv w:val="1"/>
      <w:marLeft w:val="0"/>
      <w:marRight w:val="0"/>
      <w:marTop w:val="0"/>
      <w:marBottom w:val="0"/>
      <w:divBdr>
        <w:top w:val="none" w:sz="0" w:space="0" w:color="auto"/>
        <w:left w:val="none" w:sz="0" w:space="0" w:color="auto"/>
        <w:bottom w:val="none" w:sz="0" w:space="0" w:color="auto"/>
        <w:right w:val="none" w:sz="0" w:space="0" w:color="auto"/>
      </w:divBdr>
      <w:divsChild>
        <w:div w:id="86118917">
          <w:marLeft w:val="0"/>
          <w:marRight w:val="0"/>
          <w:marTop w:val="0"/>
          <w:marBottom w:val="0"/>
          <w:divBdr>
            <w:top w:val="none" w:sz="0" w:space="0" w:color="auto"/>
            <w:left w:val="none" w:sz="0" w:space="0" w:color="auto"/>
            <w:bottom w:val="none" w:sz="0" w:space="0" w:color="auto"/>
            <w:right w:val="none" w:sz="0" w:space="0" w:color="auto"/>
          </w:divBdr>
        </w:div>
        <w:div w:id="362438950">
          <w:marLeft w:val="0"/>
          <w:marRight w:val="0"/>
          <w:marTop w:val="0"/>
          <w:marBottom w:val="0"/>
          <w:divBdr>
            <w:top w:val="none" w:sz="0" w:space="0" w:color="auto"/>
            <w:left w:val="none" w:sz="0" w:space="0" w:color="auto"/>
            <w:bottom w:val="none" w:sz="0" w:space="0" w:color="auto"/>
            <w:right w:val="none" w:sz="0" w:space="0" w:color="auto"/>
          </w:divBdr>
        </w:div>
        <w:div w:id="1195774826">
          <w:marLeft w:val="0"/>
          <w:marRight w:val="0"/>
          <w:marTop w:val="0"/>
          <w:marBottom w:val="0"/>
          <w:divBdr>
            <w:top w:val="none" w:sz="0" w:space="0" w:color="auto"/>
            <w:left w:val="none" w:sz="0" w:space="0" w:color="auto"/>
            <w:bottom w:val="none" w:sz="0" w:space="0" w:color="auto"/>
            <w:right w:val="none" w:sz="0" w:space="0" w:color="auto"/>
          </w:divBdr>
        </w:div>
        <w:div w:id="1588493585">
          <w:marLeft w:val="0"/>
          <w:marRight w:val="0"/>
          <w:marTop w:val="0"/>
          <w:marBottom w:val="0"/>
          <w:divBdr>
            <w:top w:val="none" w:sz="0" w:space="0" w:color="auto"/>
            <w:left w:val="none" w:sz="0" w:space="0" w:color="auto"/>
            <w:bottom w:val="none" w:sz="0" w:space="0" w:color="auto"/>
            <w:right w:val="none" w:sz="0" w:space="0" w:color="auto"/>
          </w:divBdr>
        </w:div>
        <w:div w:id="2047364879">
          <w:marLeft w:val="0"/>
          <w:marRight w:val="0"/>
          <w:marTop w:val="0"/>
          <w:marBottom w:val="0"/>
          <w:divBdr>
            <w:top w:val="none" w:sz="0" w:space="0" w:color="auto"/>
            <w:left w:val="none" w:sz="0" w:space="0" w:color="auto"/>
            <w:bottom w:val="none" w:sz="0" w:space="0" w:color="auto"/>
            <w:right w:val="none" w:sz="0" w:space="0" w:color="auto"/>
          </w:divBdr>
        </w:div>
      </w:divsChild>
    </w:div>
    <w:div w:id="891691004">
      <w:bodyDiv w:val="1"/>
      <w:marLeft w:val="0"/>
      <w:marRight w:val="0"/>
      <w:marTop w:val="0"/>
      <w:marBottom w:val="0"/>
      <w:divBdr>
        <w:top w:val="none" w:sz="0" w:space="0" w:color="auto"/>
        <w:left w:val="none" w:sz="0" w:space="0" w:color="auto"/>
        <w:bottom w:val="none" w:sz="0" w:space="0" w:color="auto"/>
        <w:right w:val="none" w:sz="0" w:space="0" w:color="auto"/>
      </w:divBdr>
      <w:divsChild>
        <w:div w:id="212160128">
          <w:marLeft w:val="0"/>
          <w:marRight w:val="0"/>
          <w:marTop w:val="0"/>
          <w:marBottom w:val="0"/>
          <w:divBdr>
            <w:top w:val="none" w:sz="0" w:space="0" w:color="auto"/>
            <w:left w:val="none" w:sz="0" w:space="0" w:color="auto"/>
            <w:bottom w:val="none" w:sz="0" w:space="0" w:color="auto"/>
            <w:right w:val="none" w:sz="0" w:space="0" w:color="auto"/>
          </w:divBdr>
        </w:div>
        <w:div w:id="265430926">
          <w:marLeft w:val="0"/>
          <w:marRight w:val="0"/>
          <w:marTop w:val="0"/>
          <w:marBottom w:val="0"/>
          <w:divBdr>
            <w:top w:val="none" w:sz="0" w:space="0" w:color="auto"/>
            <w:left w:val="none" w:sz="0" w:space="0" w:color="auto"/>
            <w:bottom w:val="none" w:sz="0" w:space="0" w:color="auto"/>
            <w:right w:val="none" w:sz="0" w:space="0" w:color="auto"/>
          </w:divBdr>
          <w:divsChild>
            <w:div w:id="1535002186">
              <w:marLeft w:val="-75"/>
              <w:marRight w:val="0"/>
              <w:marTop w:val="30"/>
              <w:marBottom w:val="30"/>
              <w:divBdr>
                <w:top w:val="none" w:sz="0" w:space="0" w:color="auto"/>
                <w:left w:val="none" w:sz="0" w:space="0" w:color="auto"/>
                <w:bottom w:val="none" w:sz="0" w:space="0" w:color="auto"/>
                <w:right w:val="none" w:sz="0" w:space="0" w:color="auto"/>
              </w:divBdr>
              <w:divsChild>
                <w:div w:id="10110151">
                  <w:marLeft w:val="0"/>
                  <w:marRight w:val="0"/>
                  <w:marTop w:val="0"/>
                  <w:marBottom w:val="0"/>
                  <w:divBdr>
                    <w:top w:val="none" w:sz="0" w:space="0" w:color="auto"/>
                    <w:left w:val="none" w:sz="0" w:space="0" w:color="auto"/>
                    <w:bottom w:val="none" w:sz="0" w:space="0" w:color="auto"/>
                    <w:right w:val="none" w:sz="0" w:space="0" w:color="auto"/>
                  </w:divBdr>
                  <w:divsChild>
                    <w:div w:id="1979458315">
                      <w:marLeft w:val="0"/>
                      <w:marRight w:val="0"/>
                      <w:marTop w:val="0"/>
                      <w:marBottom w:val="0"/>
                      <w:divBdr>
                        <w:top w:val="none" w:sz="0" w:space="0" w:color="auto"/>
                        <w:left w:val="none" w:sz="0" w:space="0" w:color="auto"/>
                        <w:bottom w:val="none" w:sz="0" w:space="0" w:color="auto"/>
                        <w:right w:val="none" w:sz="0" w:space="0" w:color="auto"/>
                      </w:divBdr>
                    </w:div>
                  </w:divsChild>
                </w:div>
                <w:div w:id="11302808">
                  <w:marLeft w:val="0"/>
                  <w:marRight w:val="0"/>
                  <w:marTop w:val="0"/>
                  <w:marBottom w:val="0"/>
                  <w:divBdr>
                    <w:top w:val="none" w:sz="0" w:space="0" w:color="auto"/>
                    <w:left w:val="none" w:sz="0" w:space="0" w:color="auto"/>
                    <w:bottom w:val="none" w:sz="0" w:space="0" w:color="auto"/>
                    <w:right w:val="none" w:sz="0" w:space="0" w:color="auto"/>
                  </w:divBdr>
                  <w:divsChild>
                    <w:div w:id="710501143">
                      <w:marLeft w:val="0"/>
                      <w:marRight w:val="0"/>
                      <w:marTop w:val="0"/>
                      <w:marBottom w:val="0"/>
                      <w:divBdr>
                        <w:top w:val="none" w:sz="0" w:space="0" w:color="auto"/>
                        <w:left w:val="none" w:sz="0" w:space="0" w:color="auto"/>
                        <w:bottom w:val="none" w:sz="0" w:space="0" w:color="auto"/>
                        <w:right w:val="none" w:sz="0" w:space="0" w:color="auto"/>
                      </w:divBdr>
                    </w:div>
                  </w:divsChild>
                </w:div>
                <w:div w:id="152843479">
                  <w:marLeft w:val="0"/>
                  <w:marRight w:val="0"/>
                  <w:marTop w:val="0"/>
                  <w:marBottom w:val="0"/>
                  <w:divBdr>
                    <w:top w:val="none" w:sz="0" w:space="0" w:color="auto"/>
                    <w:left w:val="none" w:sz="0" w:space="0" w:color="auto"/>
                    <w:bottom w:val="none" w:sz="0" w:space="0" w:color="auto"/>
                    <w:right w:val="none" w:sz="0" w:space="0" w:color="auto"/>
                  </w:divBdr>
                  <w:divsChild>
                    <w:div w:id="355809968">
                      <w:marLeft w:val="0"/>
                      <w:marRight w:val="0"/>
                      <w:marTop w:val="0"/>
                      <w:marBottom w:val="0"/>
                      <w:divBdr>
                        <w:top w:val="none" w:sz="0" w:space="0" w:color="auto"/>
                        <w:left w:val="none" w:sz="0" w:space="0" w:color="auto"/>
                        <w:bottom w:val="none" w:sz="0" w:space="0" w:color="auto"/>
                        <w:right w:val="none" w:sz="0" w:space="0" w:color="auto"/>
                      </w:divBdr>
                    </w:div>
                  </w:divsChild>
                </w:div>
                <w:div w:id="171922952">
                  <w:marLeft w:val="0"/>
                  <w:marRight w:val="0"/>
                  <w:marTop w:val="0"/>
                  <w:marBottom w:val="0"/>
                  <w:divBdr>
                    <w:top w:val="none" w:sz="0" w:space="0" w:color="auto"/>
                    <w:left w:val="none" w:sz="0" w:space="0" w:color="auto"/>
                    <w:bottom w:val="none" w:sz="0" w:space="0" w:color="auto"/>
                    <w:right w:val="none" w:sz="0" w:space="0" w:color="auto"/>
                  </w:divBdr>
                  <w:divsChild>
                    <w:div w:id="1840534557">
                      <w:marLeft w:val="0"/>
                      <w:marRight w:val="0"/>
                      <w:marTop w:val="0"/>
                      <w:marBottom w:val="0"/>
                      <w:divBdr>
                        <w:top w:val="none" w:sz="0" w:space="0" w:color="auto"/>
                        <w:left w:val="none" w:sz="0" w:space="0" w:color="auto"/>
                        <w:bottom w:val="none" w:sz="0" w:space="0" w:color="auto"/>
                        <w:right w:val="none" w:sz="0" w:space="0" w:color="auto"/>
                      </w:divBdr>
                    </w:div>
                  </w:divsChild>
                </w:div>
                <w:div w:id="237054280">
                  <w:marLeft w:val="0"/>
                  <w:marRight w:val="0"/>
                  <w:marTop w:val="0"/>
                  <w:marBottom w:val="0"/>
                  <w:divBdr>
                    <w:top w:val="none" w:sz="0" w:space="0" w:color="auto"/>
                    <w:left w:val="none" w:sz="0" w:space="0" w:color="auto"/>
                    <w:bottom w:val="none" w:sz="0" w:space="0" w:color="auto"/>
                    <w:right w:val="none" w:sz="0" w:space="0" w:color="auto"/>
                  </w:divBdr>
                  <w:divsChild>
                    <w:div w:id="126969747">
                      <w:marLeft w:val="0"/>
                      <w:marRight w:val="0"/>
                      <w:marTop w:val="0"/>
                      <w:marBottom w:val="0"/>
                      <w:divBdr>
                        <w:top w:val="none" w:sz="0" w:space="0" w:color="auto"/>
                        <w:left w:val="none" w:sz="0" w:space="0" w:color="auto"/>
                        <w:bottom w:val="none" w:sz="0" w:space="0" w:color="auto"/>
                        <w:right w:val="none" w:sz="0" w:space="0" w:color="auto"/>
                      </w:divBdr>
                    </w:div>
                  </w:divsChild>
                </w:div>
                <w:div w:id="299843651">
                  <w:marLeft w:val="0"/>
                  <w:marRight w:val="0"/>
                  <w:marTop w:val="0"/>
                  <w:marBottom w:val="0"/>
                  <w:divBdr>
                    <w:top w:val="none" w:sz="0" w:space="0" w:color="auto"/>
                    <w:left w:val="none" w:sz="0" w:space="0" w:color="auto"/>
                    <w:bottom w:val="none" w:sz="0" w:space="0" w:color="auto"/>
                    <w:right w:val="none" w:sz="0" w:space="0" w:color="auto"/>
                  </w:divBdr>
                  <w:divsChild>
                    <w:div w:id="1013611592">
                      <w:marLeft w:val="0"/>
                      <w:marRight w:val="0"/>
                      <w:marTop w:val="0"/>
                      <w:marBottom w:val="0"/>
                      <w:divBdr>
                        <w:top w:val="none" w:sz="0" w:space="0" w:color="auto"/>
                        <w:left w:val="none" w:sz="0" w:space="0" w:color="auto"/>
                        <w:bottom w:val="none" w:sz="0" w:space="0" w:color="auto"/>
                        <w:right w:val="none" w:sz="0" w:space="0" w:color="auto"/>
                      </w:divBdr>
                    </w:div>
                  </w:divsChild>
                </w:div>
                <w:div w:id="395709953">
                  <w:marLeft w:val="0"/>
                  <w:marRight w:val="0"/>
                  <w:marTop w:val="0"/>
                  <w:marBottom w:val="0"/>
                  <w:divBdr>
                    <w:top w:val="none" w:sz="0" w:space="0" w:color="auto"/>
                    <w:left w:val="none" w:sz="0" w:space="0" w:color="auto"/>
                    <w:bottom w:val="none" w:sz="0" w:space="0" w:color="auto"/>
                    <w:right w:val="none" w:sz="0" w:space="0" w:color="auto"/>
                  </w:divBdr>
                  <w:divsChild>
                    <w:div w:id="1398743009">
                      <w:marLeft w:val="0"/>
                      <w:marRight w:val="0"/>
                      <w:marTop w:val="0"/>
                      <w:marBottom w:val="0"/>
                      <w:divBdr>
                        <w:top w:val="none" w:sz="0" w:space="0" w:color="auto"/>
                        <w:left w:val="none" w:sz="0" w:space="0" w:color="auto"/>
                        <w:bottom w:val="none" w:sz="0" w:space="0" w:color="auto"/>
                        <w:right w:val="none" w:sz="0" w:space="0" w:color="auto"/>
                      </w:divBdr>
                    </w:div>
                  </w:divsChild>
                </w:div>
                <w:div w:id="413556978">
                  <w:marLeft w:val="0"/>
                  <w:marRight w:val="0"/>
                  <w:marTop w:val="0"/>
                  <w:marBottom w:val="0"/>
                  <w:divBdr>
                    <w:top w:val="none" w:sz="0" w:space="0" w:color="auto"/>
                    <w:left w:val="none" w:sz="0" w:space="0" w:color="auto"/>
                    <w:bottom w:val="none" w:sz="0" w:space="0" w:color="auto"/>
                    <w:right w:val="none" w:sz="0" w:space="0" w:color="auto"/>
                  </w:divBdr>
                  <w:divsChild>
                    <w:div w:id="101195809">
                      <w:marLeft w:val="0"/>
                      <w:marRight w:val="0"/>
                      <w:marTop w:val="0"/>
                      <w:marBottom w:val="0"/>
                      <w:divBdr>
                        <w:top w:val="none" w:sz="0" w:space="0" w:color="auto"/>
                        <w:left w:val="none" w:sz="0" w:space="0" w:color="auto"/>
                        <w:bottom w:val="none" w:sz="0" w:space="0" w:color="auto"/>
                        <w:right w:val="none" w:sz="0" w:space="0" w:color="auto"/>
                      </w:divBdr>
                    </w:div>
                  </w:divsChild>
                </w:div>
                <w:div w:id="589973023">
                  <w:marLeft w:val="0"/>
                  <w:marRight w:val="0"/>
                  <w:marTop w:val="0"/>
                  <w:marBottom w:val="0"/>
                  <w:divBdr>
                    <w:top w:val="none" w:sz="0" w:space="0" w:color="auto"/>
                    <w:left w:val="none" w:sz="0" w:space="0" w:color="auto"/>
                    <w:bottom w:val="none" w:sz="0" w:space="0" w:color="auto"/>
                    <w:right w:val="none" w:sz="0" w:space="0" w:color="auto"/>
                  </w:divBdr>
                  <w:divsChild>
                    <w:div w:id="363600952">
                      <w:marLeft w:val="0"/>
                      <w:marRight w:val="0"/>
                      <w:marTop w:val="0"/>
                      <w:marBottom w:val="0"/>
                      <w:divBdr>
                        <w:top w:val="none" w:sz="0" w:space="0" w:color="auto"/>
                        <w:left w:val="none" w:sz="0" w:space="0" w:color="auto"/>
                        <w:bottom w:val="none" w:sz="0" w:space="0" w:color="auto"/>
                        <w:right w:val="none" w:sz="0" w:space="0" w:color="auto"/>
                      </w:divBdr>
                    </w:div>
                  </w:divsChild>
                </w:div>
                <w:div w:id="811484219">
                  <w:marLeft w:val="0"/>
                  <w:marRight w:val="0"/>
                  <w:marTop w:val="0"/>
                  <w:marBottom w:val="0"/>
                  <w:divBdr>
                    <w:top w:val="none" w:sz="0" w:space="0" w:color="auto"/>
                    <w:left w:val="none" w:sz="0" w:space="0" w:color="auto"/>
                    <w:bottom w:val="none" w:sz="0" w:space="0" w:color="auto"/>
                    <w:right w:val="none" w:sz="0" w:space="0" w:color="auto"/>
                  </w:divBdr>
                  <w:divsChild>
                    <w:div w:id="134421550">
                      <w:marLeft w:val="0"/>
                      <w:marRight w:val="0"/>
                      <w:marTop w:val="0"/>
                      <w:marBottom w:val="0"/>
                      <w:divBdr>
                        <w:top w:val="none" w:sz="0" w:space="0" w:color="auto"/>
                        <w:left w:val="none" w:sz="0" w:space="0" w:color="auto"/>
                        <w:bottom w:val="none" w:sz="0" w:space="0" w:color="auto"/>
                        <w:right w:val="none" w:sz="0" w:space="0" w:color="auto"/>
                      </w:divBdr>
                    </w:div>
                  </w:divsChild>
                </w:div>
                <w:div w:id="896207248">
                  <w:marLeft w:val="0"/>
                  <w:marRight w:val="0"/>
                  <w:marTop w:val="0"/>
                  <w:marBottom w:val="0"/>
                  <w:divBdr>
                    <w:top w:val="none" w:sz="0" w:space="0" w:color="auto"/>
                    <w:left w:val="none" w:sz="0" w:space="0" w:color="auto"/>
                    <w:bottom w:val="none" w:sz="0" w:space="0" w:color="auto"/>
                    <w:right w:val="none" w:sz="0" w:space="0" w:color="auto"/>
                  </w:divBdr>
                  <w:divsChild>
                    <w:div w:id="1543636780">
                      <w:marLeft w:val="0"/>
                      <w:marRight w:val="0"/>
                      <w:marTop w:val="0"/>
                      <w:marBottom w:val="0"/>
                      <w:divBdr>
                        <w:top w:val="none" w:sz="0" w:space="0" w:color="auto"/>
                        <w:left w:val="none" w:sz="0" w:space="0" w:color="auto"/>
                        <w:bottom w:val="none" w:sz="0" w:space="0" w:color="auto"/>
                        <w:right w:val="none" w:sz="0" w:space="0" w:color="auto"/>
                      </w:divBdr>
                    </w:div>
                  </w:divsChild>
                </w:div>
                <w:div w:id="927543139">
                  <w:marLeft w:val="0"/>
                  <w:marRight w:val="0"/>
                  <w:marTop w:val="0"/>
                  <w:marBottom w:val="0"/>
                  <w:divBdr>
                    <w:top w:val="none" w:sz="0" w:space="0" w:color="auto"/>
                    <w:left w:val="none" w:sz="0" w:space="0" w:color="auto"/>
                    <w:bottom w:val="none" w:sz="0" w:space="0" w:color="auto"/>
                    <w:right w:val="none" w:sz="0" w:space="0" w:color="auto"/>
                  </w:divBdr>
                  <w:divsChild>
                    <w:div w:id="1636909716">
                      <w:marLeft w:val="0"/>
                      <w:marRight w:val="0"/>
                      <w:marTop w:val="0"/>
                      <w:marBottom w:val="0"/>
                      <w:divBdr>
                        <w:top w:val="none" w:sz="0" w:space="0" w:color="auto"/>
                        <w:left w:val="none" w:sz="0" w:space="0" w:color="auto"/>
                        <w:bottom w:val="none" w:sz="0" w:space="0" w:color="auto"/>
                        <w:right w:val="none" w:sz="0" w:space="0" w:color="auto"/>
                      </w:divBdr>
                    </w:div>
                  </w:divsChild>
                </w:div>
                <w:div w:id="958608554">
                  <w:marLeft w:val="0"/>
                  <w:marRight w:val="0"/>
                  <w:marTop w:val="0"/>
                  <w:marBottom w:val="0"/>
                  <w:divBdr>
                    <w:top w:val="none" w:sz="0" w:space="0" w:color="auto"/>
                    <w:left w:val="none" w:sz="0" w:space="0" w:color="auto"/>
                    <w:bottom w:val="none" w:sz="0" w:space="0" w:color="auto"/>
                    <w:right w:val="none" w:sz="0" w:space="0" w:color="auto"/>
                  </w:divBdr>
                  <w:divsChild>
                    <w:div w:id="348219140">
                      <w:marLeft w:val="0"/>
                      <w:marRight w:val="0"/>
                      <w:marTop w:val="0"/>
                      <w:marBottom w:val="0"/>
                      <w:divBdr>
                        <w:top w:val="none" w:sz="0" w:space="0" w:color="auto"/>
                        <w:left w:val="none" w:sz="0" w:space="0" w:color="auto"/>
                        <w:bottom w:val="none" w:sz="0" w:space="0" w:color="auto"/>
                        <w:right w:val="none" w:sz="0" w:space="0" w:color="auto"/>
                      </w:divBdr>
                    </w:div>
                  </w:divsChild>
                </w:div>
                <w:div w:id="1112284143">
                  <w:marLeft w:val="0"/>
                  <w:marRight w:val="0"/>
                  <w:marTop w:val="0"/>
                  <w:marBottom w:val="0"/>
                  <w:divBdr>
                    <w:top w:val="none" w:sz="0" w:space="0" w:color="auto"/>
                    <w:left w:val="none" w:sz="0" w:space="0" w:color="auto"/>
                    <w:bottom w:val="none" w:sz="0" w:space="0" w:color="auto"/>
                    <w:right w:val="none" w:sz="0" w:space="0" w:color="auto"/>
                  </w:divBdr>
                  <w:divsChild>
                    <w:div w:id="1838114798">
                      <w:marLeft w:val="0"/>
                      <w:marRight w:val="0"/>
                      <w:marTop w:val="0"/>
                      <w:marBottom w:val="0"/>
                      <w:divBdr>
                        <w:top w:val="none" w:sz="0" w:space="0" w:color="auto"/>
                        <w:left w:val="none" w:sz="0" w:space="0" w:color="auto"/>
                        <w:bottom w:val="none" w:sz="0" w:space="0" w:color="auto"/>
                        <w:right w:val="none" w:sz="0" w:space="0" w:color="auto"/>
                      </w:divBdr>
                    </w:div>
                  </w:divsChild>
                </w:div>
                <w:div w:id="1154371903">
                  <w:marLeft w:val="0"/>
                  <w:marRight w:val="0"/>
                  <w:marTop w:val="0"/>
                  <w:marBottom w:val="0"/>
                  <w:divBdr>
                    <w:top w:val="none" w:sz="0" w:space="0" w:color="auto"/>
                    <w:left w:val="none" w:sz="0" w:space="0" w:color="auto"/>
                    <w:bottom w:val="none" w:sz="0" w:space="0" w:color="auto"/>
                    <w:right w:val="none" w:sz="0" w:space="0" w:color="auto"/>
                  </w:divBdr>
                  <w:divsChild>
                    <w:div w:id="583493955">
                      <w:marLeft w:val="0"/>
                      <w:marRight w:val="0"/>
                      <w:marTop w:val="0"/>
                      <w:marBottom w:val="0"/>
                      <w:divBdr>
                        <w:top w:val="none" w:sz="0" w:space="0" w:color="auto"/>
                        <w:left w:val="none" w:sz="0" w:space="0" w:color="auto"/>
                        <w:bottom w:val="none" w:sz="0" w:space="0" w:color="auto"/>
                        <w:right w:val="none" w:sz="0" w:space="0" w:color="auto"/>
                      </w:divBdr>
                    </w:div>
                  </w:divsChild>
                </w:div>
                <w:div w:id="1191725821">
                  <w:marLeft w:val="0"/>
                  <w:marRight w:val="0"/>
                  <w:marTop w:val="0"/>
                  <w:marBottom w:val="0"/>
                  <w:divBdr>
                    <w:top w:val="none" w:sz="0" w:space="0" w:color="auto"/>
                    <w:left w:val="none" w:sz="0" w:space="0" w:color="auto"/>
                    <w:bottom w:val="none" w:sz="0" w:space="0" w:color="auto"/>
                    <w:right w:val="none" w:sz="0" w:space="0" w:color="auto"/>
                  </w:divBdr>
                  <w:divsChild>
                    <w:div w:id="7216729">
                      <w:marLeft w:val="0"/>
                      <w:marRight w:val="0"/>
                      <w:marTop w:val="0"/>
                      <w:marBottom w:val="0"/>
                      <w:divBdr>
                        <w:top w:val="none" w:sz="0" w:space="0" w:color="auto"/>
                        <w:left w:val="none" w:sz="0" w:space="0" w:color="auto"/>
                        <w:bottom w:val="none" w:sz="0" w:space="0" w:color="auto"/>
                        <w:right w:val="none" w:sz="0" w:space="0" w:color="auto"/>
                      </w:divBdr>
                    </w:div>
                  </w:divsChild>
                </w:div>
                <w:div w:id="1310596942">
                  <w:marLeft w:val="0"/>
                  <w:marRight w:val="0"/>
                  <w:marTop w:val="0"/>
                  <w:marBottom w:val="0"/>
                  <w:divBdr>
                    <w:top w:val="none" w:sz="0" w:space="0" w:color="auto"/>
                    <w:left w:val="none" w:sz="0" w:space="0" w:color="auto"/>
                    <w:bottom w:val="none" w:sz="0" w:space="0" w:color="auto"/>
                    <w:right w:val="none" w:sz="0" w:space="0" w:color="auto"/>
                  </w:divBdr>
                  <w:divsChild>
                    <w:div w:id="1778984671">
                      <w:marLeft w:val="0"/>
                      <w:marRight w:val="0"/>
                      <w:marTop w:val="0"/>
                      <w:marBottom w:val="0"/>
                      <w:divBdr>
                        <w:top w:val="none" w:sz="0" w:space="0" w:color="auto"/>
                        <w:left w:val="none" w:sz="0" w:space="0" w:color="auto"/>
                        <w:bottom w:val="none" w:sz="0" w:space="0" w:color="auto"/>
                        <w:right w:val="none" w:sz="0" w:space="0" w:color="auto"/>
                      </w:divBdr>
                    </w:div>
                  </w:divsChild>
                </w:div>
                <w:div w:id="1448349552">
                  <w:marLeft w:val="0"/>
                  <w:marRight w:val="0"/>
                  <w:marTop w:val="0"/>
                  <w:marBottom w:val="0"/>
                  <w:divBdr>
                    <w:top w:val="none" w:sz="0" w:space="0" w:color="auto"/>
                    <w:left w:val="none" w:sz="0" w:space="0" w:color="auto"/>
                    <w:bottom w:val="none" w:sz="0" w:space="0" w:color="auto"/>
                    <w:right w:val="none" w:sz="0" w:space="0" w:color="auto"/>
                  </w:divBdr>
                  <w:divsChild>
                    <w:div w:id="690112479">
                      <w:marLeft w:val="0"/>
                      <w:marRight w:val="0"/>
                      <w:marTop w:val="0"/>
                      <w:marBottom w:val="0"/>
                      <w:divBdr>
                        <w:top w:val="none" w:sz="0" w:space="0" w:color="auto"/>
                        <w:left w:val="none" w:sz="0" w:space="0" w:color="auto"/>
                        <w:bottom w:val="none" w:sz="0" w:space="0" w:color="auto"/>
                        <w:right w:val="none" w:sz="0" w:space="0" w:color="auto"/>
                      </w:divBdr>
                    </w:div>
                  </w:divsChild>
                </w:div>
                <w:div w:id="1485657130">
                  <w:marLeft w:val="0"/>
                  <w:marRight w:val="0"/>
                  <w:marTop w:val="0"/>
                  <w:marBottom w:val="0"/>
                  <w:divBdr>
                    <w:top w:val="none" w:sz="0" w:space="0" w:color="auto"/>
                    <w:left w:val="none" w:sz="0" w:space="0" w:color="auto"/>
                    <w:bottom w:val="none" w:sz="0" w:space="0" w:color="auto"/>
                    <w:right w:val="none" w:sz="0" w:space="0" w:color="auto"/>
                  </w:divBdr>
                  <w:divsChild>
                    <w:div w:id="502740761">
                      <w:marLeft w:val="0"/>
                      <w:marRight w:val="0"/>
                      <w:marTop w:val="0"/>
                      <w:marBottom w:val="0"/>
                      <w:divBdr>
                        <w:top w:val="none" w:sz="0" w:space="0" w:color="auto"/>
                        <w:left w:val="none" w:sz="0" w:space="0" w:color="auto"/>
                        <w:bottom w:val="none" w:sz="0" w:space="0" w:color="auto"/>
                        <w:right w:val="none" w:sz="0" w:space="0" w:color="auto"/>
                      </w:divBdr>
                    </w:div>
                  </w:divsChild>
                </w:div>
                <w:div w:id="1582132045">
                  <w:marLeft w:val="0"/>
                  <w:marRight w:val="0"/>
                  <w:marTop w:val="0"/>
                  <w:marBottom w:val="0"/>
                  <w:divBdr>
                    <w:top w:val="none" w:sz="0" w:space="0" w:color="auto"/>
                    <w:left w:val="none" w:sz="0" w:space="0" w:color="auto"/>
                    <w:bottom w:val="none" w:sz="0" w:space="0" w:color="auto"/>
                    <w:right w:val="none" w:sz="0" w:space="0" w:color="auto"/>
                  </w:divBdr>
                  <w:divsChild>
                    <w:div w:id="1677926618">
                      <w:marLeft w:val="0"/>
                      <w:marRight w:val="0"/>
                      <w:marTop w:val="0"/>
                      <w:marBottom w:val="0"/>
                      <w:divBdr>
                        <w:top w:val="none" w:sz="0" w:space="0" w:color="auto"/>
                        <w:left w:val="none" w:sz="0" w:space="0" w:color="auto"/>
                        <w:bottom w:val="none" w:sz="0" w:space="0" w:color="auto"/>
                        <w:right w:val="none" w:sz="0" w:space="0" w:color="auto"/>
                      </w:divBdr>
                    </w:div>
                  </w:divsChild>
                </w:div>
                <w:div w:id="1772310702">
                  <w:marLeft w:val="0"/>
                  <w:marRight w:val="0"/>
                  <w:marTop w:val="0"/>
                  <w:marBottom w:val="0"/>
                  <w:divBdr>
                    <w:top w:val="none" w:sz="0" w:space="0" w:color="auto"/>
                    <w:left w:val="none" w:sz="0" w:space="0" w:color="auto"/>
                    <w:bottom w:val="none" w:sz="0" w:space="0" w:color="auto"/>
                    <w:right w:val="none" w:sz="0" w:space="0" w:color="auto"/>
                  </w:divBdr>
                  <w:divsChild>
                    <w:div w:id="622004584">
                      <w:marLeft w:val="0"/>
                      <w:marRight w:val="0"/>
                      <w:marTop w:val="0"/>
                      <w:marBottom w:val="0"/>
                      <w:divBdr>
                        <w:top w:val="none" w:sz="0" w:space="0" w:color="auto"/>
                        <w:left w:val="none" w:sz="0" w:space="0" w:color="auto"/>
                        <w:bottom w:val="none" w:sz="0" w:space="0" w:color="auto"/>
                        <w:right w:val="none" w:sz="0" w:space="0" w:color="auto"/>
                      </w:divBdr>
                    </w:div>
                  </w:divsChild>
                </w:div>
                <w:div w:id="1927377679">
                  <w:marLeft w:val="0"/>
                  <w:marRight w:val="0"/>
                  <w:marTop w:val="0"/>
                  <w:marBottom w:val="0"/>
                  <w:divBdr>
                    <w:top w:val="none" w:sz="0" w:space="0" w:color="auto"/>
                    <w:left w:val="none" w:sz="0" w:space="0" w:color="auto"/>
                    <w:bottom w:val="none" w:sz="0" w:space="0" w:color="auto"/>
                    <w:right w:val="none" w:sz="0" w:space="0" w:color="auto"/>
                  </w:divBdr>
                  <w:divsChild>
                    <w:div w:id="954672450">
                      <w:marLeft w:val="0"/>
                      <w:marRight w:val="0"/>
                      <w:marTop w:val="0"/>
                      <w:marBottom w:val="0"/>
                      <w:divBdr>
                        <w:top w:val="none" w:sz="0" w:space="0" w:color="auto"/>
                        <w:left w:val="none" w:sz="0" w:space="0" w:color="auto"/>
                        <w:bottom w:val="none" w:sz="0" w:space="0" w:color="auto"/>
                        <w:right w:val="none" w:sz="0" w:space="0" w:color="auto"/>
                      </w:divBdr>
                    </w:div>
                  </w:divsChild>
                </w:div>
                <w:div w:id="1940404859">
                  <w:marLeft w:val="0"/>
                  <w:marRight w:val="0"/>
                  <w:marTop w:val="0"/>
                  <w:marBottom w:val="0"/>
                  <w:divBdr>
                    <w:top w:val="none" w:sz="0" w:space="0" w:color="auto"/>
                    <w:left w:val="none" w:sz="0" w:space="0" w:color="auto"/>
                    <w:bottom w:val="none" w:sz="0" w:space="0" w:color="auto"/>
                    <w:right w:val="none" w:sz="0" w:space="0" w:color="auto"/>
                  </w:divBdr>
                  <w:divsChild>
                    <w:div w:id="601689329">
                      <w:marLeft w:val="0"/>
                      <w:marRight w:val="0"/>
                      <w:marTop w:val="0"/>
                      <w:marBottom w:val="0"/>
                      <w:divBdr>
                        <w:top w:val="none" w:sz="0" w:space="0" w:color="auto"/>
                        <w:left w:val="none" w:sz="0" w:space="0" w:color="auto"/>
                        <w:bottom w:val="none" w:sz="0" w:space="0" w:color="auto"/>
                        <w:right w:val="none" w:sz="0" w:space="0" w:color="auto"/>
                      </w:divBdr>
                    </w:div>
                  </w:divsChild>
                </w:div>
                <w:div w:id="2067872539">
                  <w:marLeft w:val="0"/>
                  <w:marRight w:val="0"/>
                  <w:marTop w:val="0"/>
                  <w:marBottom w:val="0"/>
                  <w:divBdr>
                    <w:top w:val="none" w:sz="0" w:space="0" w:color="auto"/>
                    <w:left w:val="none" w:sz="0" w:space="0" w:color="auto"/>
                    <w:bottom w:val="none" w:sz="0" w:space="0" w:color="auto"/>
                    <w:right w:val="none" w:sz="0" w:space="0" w:color="auto"/>
                  </w:divBdr>
                  <w:divsChild>
                    <w:div w:id="928583177">
                      <w:marLeft w:val="0"/>
                      <w:marRight w:val="0"/>
                      <w:marTop w:val="0"/>
                      <w:marBottom w:val="0"/>
                      <w:divBdr>
                        <w:top w:val="none" w:sz="0" w:space="0" w:color="auto"/>
                        <w:left w:val="none" w:sz="0" w:space="0" w:color="auto"/>
                        <w:bottom w:val="none" w:sz="0" w:space="0" w:color="auto"/>
                        <w:right w:val="none" w:sz="0" w:space="0" w:color="auto"/>
                      </w:divBdr>
                    </w:div>
                  </w:divsChild>
                </w:div>
                <w:div w:id="2088307412">
                  <w:marLeft w:val="0"/>
                  <w:marRight w:val="0"/>
                  <w:marTop w:val="0"/>
                  <w:marBottom w:val="0"/>
                  <w:divBdr>
                    <w:top w:val="none" w:sz="0" w:space="0" w:color="auto"/>
                    <w:left w:val="none" w:sz="0" w:space="0" w:color="auto"/>
                    <w:bottom w:val="none" w:sz="0" w:space="0" w:color="auto"/>
                    <w:right w:val="none" w:sz="0" w:space="0" w:color="auto"/>
                  </w:divBdr>
                  <w:divsChild>
                    <w:div w:id="9938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48111">
          <w:marLeft w:val="0"/>
          <w:marRight w:val="0"/>
          <w:marTop w:val="0"/>
          <w:marBottom w:val="0"/>
          <w:divBdr>
            <w:top w:val="none" w:sz="0" w:space="0" w:color="auto"/>
            <w:left w:val="none" w:sz="0" w:space="0" w:color="auto"/>
            <w:bottom w:val="none" w:sz="0" w:space="0" w:color="auto"/>
            <w:right w:val="none" w:sz="0" w:space="0" w:color="auto"/>
          </w:divBdr>
        </w:div>
        <w:div w:id="1020159941">
          <w:marLeft w:val="0"/>
          <w:marRight w:val="0"/>
          <w:marTop w:val="0"/>
          <w:marBottom w:val="0"/>
          <w:divBdr>
            <w:top w:val="none" w:sz="0" w:space="0" w:color="auto"/>
            <w:left w:val="none" w:sz="0" w:space="0" w:color="auto"/>
            <w:bottom w:val="none" w:sz="0" w:space="0" w:color="auto"/>
            <w:right w:val="none" w:sz="0" w:space="0" w:color="auto"/>
          </w:divBdr>
        </w:div>
      </w:divsChild>
    </w:div>
    <w:div w:id="1538158229">
      <w:bodyDiv w:val="1"/>
      <w:marLeft w:val="0"/>
      <w:marRight w:val="0"/>
      <w:marTop w:val="0"/>
      <w:marBottom w:val="0"/>
      <w:divBdr>
        <w:top w:val="none" w:sz="0" w:space="0" w:color="auto"/>
        <w:left w:val="none" w:sz="0" w:space="0" w:color="auto"/>
        <w:bottom w:val="none" w:sz="0" w:space="0" w:color="auto"/>
        <w:right w:val="none" w:sz="0" w:space="0" w:color="auto"/>
      </w:divBdr>
      <w:divsChild>
        <w:div w:id="251360073">
          <w:marLeft w:val="0"/>
          <w:marRight w:val="0"/>
          <w:marTop w:val="0"/>
          <w:marBottom w:val="0"/>
          <w:divBdr>
            <w:top w:val="none" w:sz="0" w:space="0" w:color="auto"/>
            <w:left w:val="none" w:sz="0" w:space="0" w:color="auto"/>
            <w:bottom w:val="none" w:sz="0" w:space="0" w:color="auto"/>
            <w:right w:val="none" w:sz="0" w:space="0" w:color="auto"/>
          </w:divBdr>
        </w:div>
        <w:div w:id="272978713">
          <w:marLeft w:val="0"/>
          <w:marRight w:val="0"/>
          <w:marTop w:val="0"/>
          <w:marBottom w:val="0"/>
          <w:divBdr>
            <w:top w:val="none" w:sz="0" w:space="0" w:color="auto"/>
            <w:left w:val="none" w:sz="0" w:space="0" w:color="auto"/>
            <w:bottom w:val="none" w:sz="0" w:space="0" w:color="auto"/>
            <w:right w:val="none" w:sz="0" w:space="0" w:color="auto"/>
          </w:divBdr>
        </w:div>
        <w:div w:id="276135223">
          <w:marLeft w:val="0"/>
          <w:marRight w:val="0"/>
          <w:marTop w:val="0"/>
          <w:marBottom w:val="0"/>
          <w:divBdr>
            <w:top w:val="none" w:sz="0" w:space="0" w:color="auto"/>
            <w:left w:val="none" w:sz="0" w:space="0" w:color="auto"/>
            <w:bottom w:val="none" w:sz="0" w:space="0" w:color="auto"/>
            <w:right w:val="none" w:sz="0" w:space="0" w:color="auto"/>
          </w:divBdr>
        </w:div>
        <w:div w:id="412894018">
          <w:marLeft w:val="0"/>
          <w:marRight w:val="0"/>
          <w:marTop w:val="0"/>
          <w:marBottom w:val="0"/>
          <w:divBdr>
            <w:top w:val="none" w:sz="0" w:space="0" w:color="auto"/>
            <w:left w:val="none" w:sz="0" w:space="0" w:color="auto"/>
            <w:bottom w:val="none" w:sz="0" w:space="0" w:color="auto"/>
            <w:right w:val="none" w:sz="0" w:space="0" w:color="auto"/>
          </w:divBdr>
        </w:div>
        <w:div w:id="453714165">
          <w:marLeft w:val="0"/>
          <w:marRight w:val="0"/>
          <w:marTop w:val="0"/>
          <w:marBottom w:val="0"/>
          <w:divBdr>
            <w:top w:val="none" w:sz="0" w:space="0" w:color="auto"/>
            <w:left w:val="none" w:sz="0" w:space="0" w:color="auto"/>
            <w:bottom w:val="none" w:sz="0" w:space="0" w:color="auto"/>
            <w:right w:val="none" w:sz="0" w:space="0" w:color="auto"/>
          </w:divBdr>
        </w:div>
        <w:div w:id="617569303">
          <w:marLeft w:val="0"/>
          <w:marRight w:val="0"/>
          <w:marTop w:val="0"/>
          <w:marBottom w:val="0"/>
          <w:divBdr>
            <w:top w:val="none" w:sz="0" w:space="0" w:color="auto"/>
            <w:left w:val="none" w:sz="0" w:space="0" w:color="auto"/>
            <w:bottom w:val="none" w:sz="0" w:space="0" w:color="auto"/>
            <w:right w:val="none" w:sz="0" w:space="0" w:color="auto"/>
          </w:divBdr>
        </w:div>
        <w:div w:id="625164915">
          <w:marLeft w:val="0"/>
          <w:marRight w:val="0"/>
          <w:marTop w:val="0"/>
          <w:marBottom w:val="0"/>
          <w:divBdr>
            <w:top w:val="none" w:sz="0" w:space="0" w:color="auto"/>
            <w:left w:val="none" w:sz="0" w:space="0" w:color="auto"/>
            <w:bottom w:val="none" w:sz="0" w:space="0" w:color="auto"/>
            <w:right w:val="none" w:sz="0" w:space="0" w:color="auto"/>
          </w:divBdr>
        </w:div>
        <w:div w:id="645818387">
          <w:marLeft w:val="0"/>
          <w:marRight w:val="0"/>
          <w:marTop w:val="0"/>
          <w:marBottom w:val="0"/>
          <w:divBdr>
            <w:top w:val="none" w:sz="0" w:space="0" w:color="auto"/>
            <w:left w:val="none" w:sz="0" w:space="0" w:color="auto"/>
            <w:bottom w:val="none" w:sz="0" w:space="0" w:color="auto"/>
            <w:right w:val="none" w:sz="0" w:space="0" w:color="auto"/>
          </w:divBdr>
        </w:div>
        <w:div w:id="996878013">
          <w:marLeft w:val="0"/>
          <w:marRight w:val="0"/>
          <w:marTop w:val="0"/>
          <w:marBottom w:val="0"/>
          <w:divBdr>
            <w:top w:val="none" w:sz="0" w:space="0" w:color="auto"/>
            <w:left w:val="none" w:sz="0" w:space="0" w:color="auto"/>
            <w:bottom w:val="none" w:sz="0" w:space="0" w:color="auto"/>
            <w:right w:val="none" w:sz="0" w:space="0" w:color="auto"/>
          </w:divBdr>
        </w:div>
        <w:div w:id="1045523040">
          <w:marLeft w:val="0"/>
          <w:marRight w:val="0"/>
          <w:marTop w:val="0"/>
          <w:marBottom w:val="0"/>
          <w:divBdr>
            <w:top w:val="none" w:sz="0" w:space="0" w:color="auto"/>
            <w:left w:val="none" w:sz="0" w:space="0" w:color="auto"/>
            <w:bottom w:val="none" w:sz="0" w:space="0" w:color="auto"/>
            <w:right w:val="none" w:sz="0" w:space="0" w:color="auto"/>
          </w:divBdr>
        </w:div>
        <w:div w:id="1129710699">
          <w:marLeft w:val="0"/>
          <w:marRight w:val="0"/>
          <w:marTop w:val="0"/>
          <w:marBottom w:val="0"/>
          <w:divBdr>
            <w:top w:val="none" w:sz="0" w:space="0" w:color="auto"/>
            <w:left w:val="none" w:sz="0" w:space="0" w:color="auto"/>
            <w:bottom w:val="none" w:sz="0" w:space="0" w:color="auto"/>
            <w:right w:val="none" w:sz="0" w:space="0" w:color="auto"/>
          </w:divBdr>
        </w:div>
        <w:div w:id="1468620283">
          <w:marLeft w:val="0"/>
          <w:marRight w:val="0"/>
          <w:marTop w:val="0"/>
          <w:marBottom w:val="0"/>
          <w:divBdr>
            <w:top w:val="none" w:sz="0" w:space="0" w:color="auto"/>
            <w:left w:val="none" w:sz="0" w:space="0" w:color="auto"/>
            <w:bottom w:val="none" w:sz="0" w:space="0" w:color="auto"/>
            <w:right w:val="none" w:sz="0" w:space="0" w:color="auto"/>
          </w:divBdr>
        </w:div>
        <w:div w:id="1488863425">
          <w:marLeft w:val="0"/>
          <w:marRight w:val="0"/>
          <w:marTop w:val="0"/>
          <w:marBottom w:val="0"/>
          <w:divBdr>
            <w:top w:val="none" w:sz="0" w:space="0" w:color="auto"/>
            <w:left w:val="none" w:sz="0" w:space="0" w:color="auto"/>
            <w:bottom w:val="none" w:sz="0" w:space="0" w:color="auto"/>
            <w:right w:val="none" w:sz="0" w:space="0" w:color="auto"/>
          </w:divBdr>
        </w:div>
        <w:div w:id="1500928664">
          <w:marLeft w:val="0"/>
          <w:marRight w:val="0"/>
          <w:marTop w:val="0"/>
          <w:marBottom w:val="0"/>
          <w:divBdr>
            <w:top w:val="none" w:sz="0" w:space="0" w:color="auto"/>
            <w:left w:val="none" w:sz="0" w:space="0" w:color="auto"/>
            <w:bottom w:val="none" w:sz="0" w:space="0" w:color="auto"/>
            <w:right w:val="none" w:sz="0" w:space="0" w:color="auto"/>
          </w:divBdr>
        </w:div>
        <w:div w:id="1582060134">
          <w:marLeft w:val="0"/>
          <w:marRight w:val="0"/>
          <w:marTop w:val="0"/>
          <w:marBottom w:val="0"/>
          <w:divBdr>
            <w:top w:val="none" w:sz="0" w:space="0" w:color="auto"/>
            <w:left w:val="none" w:sz="0" w:space="0" w:color="auto"/>
            <w:bottom w:val="none" w:sz="0" w:space="0" w:color="auto"/>
            <w:right w:val="none" w:sz="0" w:space="0" w:color="auto"/>
          </w:divBdr>
        </w:div>
        <w:div w:id="1729575169">
          <w:marLeft w:val="0"/>
          <w:marRight w:val="0"/>
          <w:marTop w:val="0"/>
          <w:marBottom w:val="0"/>
          <w:divBdr>
            <w:top w:val="none" w:sz="0" w:space="0" w:color="auto"/>
            <w:left w:val="none" w:sz="0" w:space="0" w:color="auto"/>
            <w:bottom w:val="none" w:sz="0" w:space="0" w:color="auto"/>
            <w:right w:val="none" w:sz="0" w:space="0" w:color="auto"/>
          </w:divBdr>
        </w:div>
        <w:div w:id="2073699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uc.ca.gov/about-cpuc/divisions/news-and-public-information-office/public-advisors-office/providing-public-comments-at-the-cpu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budget.ca.gov/2026-27/pdf/GovernorsBudget/8000/8660.pdf" TargetMode="External"/><Relationship Id="rId2" Type="http://schemas.openxmlformats.org/officeDocument/2006/relationships/hyperlink" Target="https://www.dgs.ca.gov/Resources/SAM/TOC/6800/6803" TargetMode="External"/><Relationship Id="rId1" Type="http://schemas.openxmlformats.org/officeDocument/2006/relationships/hyperlink" Target="https://ebudget.ca.gov/2025-26/pdf/GovernorsBudget/8000/86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5E31-0048-4777-B22B-53629D34619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2004</ap:Words>
  <ap:Characters>11427</ap:Characters>
  <ap:Application>Microsoft Office Word</ap:Application>
  <ap:DocSecurity>0</ap:DocSecurity>
  <ap:Lines>95</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13405</ap:CharactersWithSpaces>
  <ap:SharedDoc>false</ap:SharedDoc>
  <ap:HLinks>
    <vt:vector baseType="variant" size="30">
      <vt:variant>
        <vt:i4>5308428</vt:i4>
      </vt:variant>
      <vt:variant>
        <vt:i4>0</vt:i4>
      </vt:variant>
      <vt:variant>
        <vt:i4>0</vt:i4>
      </vt:variant>
      <vt:variant>
        <vt:i4>5</vt:i4>
      </vt:variant>
      <vt:variant>
        <vt:lpwstr>https://www.cpuc.ca.gov/about-cpuc/divisions/news-and-public-information-office/public-advisors-office/providing-public-comments-at-the-cpuc</vt:lpwstr>
      </vt:variant>
      <vt:variant>
        <vt:lpwstr/>
      </vt:variant>
      <vt:variant>
        <vt:i4>917504</vt:i4>
      </vt:variant>
      <vt:variant>
        <vt:i4>6</vt:i4>
      </vt:variant>
      <vt:variant>
        <vt:i4>0</vt:i4>
      </vt:variant>
      <vt:variant>
        <vt:i4>5</vt:i4>
      </vt:variant>
      <vt:variant>
        <vt:lpwstr>https://ebudget.ca.gov/2026-27/pdf/GovernorsBudget/8000/8660.pdf</vt:lpwstr>
      </vt:variant>
      <vt:variant>
        <vt:lpwstr/>
      </vt:variant>
      <vt:variant>
        <vt:i4>4063336</vt:i4>
      </vt:variant>
      <vt:variant>
        <vt:i4>3</vt:i4>
      </vt:variant>
      <vt:variant>
        <vt:i4>0</vt:i4>
      </vt:variant>
      <vt:variant>
        <vt:i4>5</vt:i4>
      </vt:variant>
      <vt:variant>
        <vt:lpwstr>https://www.dgs.ca.gov/Resources/SAM/TOC/6800/6803</vt:lpwstr>
      </vt:variant>
      <vt:variant>
        <vt:lpwstr/>
      </vt:variant>
      <vt:variant>
        <vt:i4>983043</vt:i4>
      </vt:variant>
      <vt:variant>
        <vt:i4>0</vt:i4>
      </vt:variant>
      <vt:variant>
        <vt:i4>0</vt:i4>
      </vt:variant>
      <vt:variant>
        <vt:i4>5</vt:i4>
      </vt:variant>
      <vt:variant>
        <vt:lpwstr>https://ebudget.ca.gov/2025-26/pdf/GovernorsBudget/8000/8660.pdf</vt:lpwstr>
      </vt:variant>
      <vt:variant>
        <vt:lpwstr/>
      </vt:variant>
      <vt:variant>
        <vt:i4>5111933</vt:i4>
      </vt:variant>
      <vt:variant>
        <vt:i4>0</vt:i4>
      </vt:variant>
      <vt:variant>
        <vt:i4>0</vt:i4>
      </vt:variant>
      <vt:variant>
        <vt:i4>5</vt:i4>
      </vt:variant>
      <vt:variant>
        <vt:lpwstr>mailto:XiaoSelena.Huang@cpuc.ca.gov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2026-06-17T12:10:29Z</dcterms:created>
  <dcterms:modified xsi:type="dcterms:W3CDTF">2026-06-17T12:10:29Z</dcterms:modified>
</cp:coreProperties>
</file>