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DA7B5D" w:rsidP="00A46571" w:rsidRDefault="00FC71A6" w14:paraId="48DDCFD2" w14:textId="31BD3DE2">
      <w:pPr>
        <w:tabs>
          <w:tab w:val="center" w:pos="4680"/>
          <w:tab w:val="right" w:pos="9360"/>
        </w:tabs>
        <w:spacing w:line="240" w:lineRule="auto"/>
        <w:ind w:firstLine="0"/>
        <w:rPr>
          <w:b/>
        </w:rPr>
      </w:pPr>
      <w:r>
        <w:t>ALJ</w:t>
      </w:r>
      <w:r w:rsidR="00DA7B5D">
        <w:t>/</w:t>
      </w:r>
      <w:r>
        <w:t>EC2</w:t>
      </w:r>
      <w:r w:rsidR="00DA7B5D">
        <w:t>/</w:t>
      </w:r>
      <w:r w:rsidR="009C6F0A">
        <w:t>jds</w:t>
      </w:r>
      <w:r w:rsidR="00A46571">
        <w:tab/>
      </w:r>
      <w:r w:rsidR="00A46571">
        <w:tab/>
      </w:r>
      <w:r w:rsidRPr="00A46571" w:rsidR="00A46571">
        <w:rPr>
          <w:b/>
          <w:bCs/>
        </w:rPr>
        <w:t>Date of Issuance 6/19/2026</w:t>
      </w:r>
    </w:p>
    <w:p w:rsidR="00DA7B5D" w:rsidP="009C6F0A" w:rsidRDefault="00DA7B5D" w14:paraId="007A8356" w14:textId="77777777">
      <w:pPr>
        <w:spacing w:line="240" w:lineRule="auto"/>
        <w:ind w:firstLine="0"/>
      </w:pPr>
    </w:p>
    <w:p w:rsidR="009C6F0A" w:rsidP="009C6F0A" w:rsidRDefault="009C6F0A" w14:paraId="5ABB8335" w14:textId="77777777">
      <w:pPr>
        <w:spacing w:line="240" w:lineRule="auto"/>
        <w:ind w:firstLine="0"/>
      </w:pPr>
    </w:p>
    <w:p w:rsidRPr="00EE3060" w:rsidR="00DA7B5D" w:rsidP="009C6F0A" w:rsidRDefault="00DA7B5D" w14:paraId="770D17C3" w14:textId="1DFEB662">
      <w:pPr>
        <w:spacing w:line="240" w:lineRule="auto"/>
        <w:ind w:left="1080" w:hanging="1080"/>
      </w:pPr>
      <w:r>
        <w:t>Decision</w:t>
      </w:r>
      <w:r w:rsidR="00CC1190">
        <w:t> </w:t>
      </w:r>
      <w:r w:rsidRPr="00CC1190" w:rsidR="00CC1190">
        <w:t>26-06-014</w:t>
      </w:r>
      <w:r w:rsidR="00CC1190">
        <w:t>  June 11, 2026</w:t>
      </w:r>
    </w:p>
    <w:p w:rsidR="00DA7B5D" w:rsidP="009C6F0A" w:rsidRDefault="00DA7B5D" w14:paraId="4C558369" w14:textId="77777777">
      <w:pPr>
        <w:spacing w:line="240" w:lineRule="auto"/>
        <w:ind w:firstLine="0"/>
        <w:rPr>
          <w:u w:val="single"/>
        </w:rPr>
      </w:pPr>
    </w:p>
    <w:p w:rsidR="00A46571" w:rsidP="009C6F0A" w:rsidRDefault="00A46571" w14:paraId="30281847" w14:textId="77777777">
      <w:pPr>
        <w:spacing w:line="240" w:lineRule="auto"/>
        <w:ind w:firstLine="0"/>
        <w:rPr>
          <w:u w:val="single"/>
        </w:rPr>
      </w:pPr>
    </w:p>
    <w:p w:rsidR="00DA7B5D" w:rsidP="00BB0243" w:rsidRDefault="00DA7B5D" w14:paraId="079F23F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F34A0BC" w14:textId="77777777">
      <w:pPr>
        <w:spacing w:line="240" w:lineRule="auto"/>
        <w:ind w:firstLine="0"/>
        <w:rPr>
          <w:rFonts w:ascii="Arial" w:hAnsi="Arial" w:cs="Arial"/>
          <w:sz w:val="24"/>
          <w:szCs w:val="24"/>
        </w:rPr>
      </w:pPr>
    </w:p>
    <w:p w:rsidR="00A46571" w:rsidP="008F0116" w:rsidRDefault="00A46571" w14:paraId="3D99FA1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067F5807" w14:textId="77777777">
        <w:trPr>
          <w:jc w:val="center"/>
        </w:trPr>
        <w:tc>
          <w:tcPr>
            <w:tcW w:w="5040" w:type="dxa"/>
            <w:tcBorders>
              <w:top w:val="nil"/>
              <w:left w:val="nil"/>
              <w:bottom w:val="single" w:color="auto" w:sz="4" w:space="0"/>
              <w:right w:val="single" w:color="auto" w:sz="4" w:space="0"/>
            </w:tcBorders>
          </w:tcPr>
          <w:p w:rsidR="00DA7B5D" w:rsidP="00C10B5F" w:rsidRDefault="007A75D1" w14:paraId="3EEBE04C" w14:textId="276F656E">
            <w:pPr>
              <w:spacing w:line="240" w:lineRule="auto"/>
              <w:ind w:firstLine="0"/>
              <w:rPr>
                <w:rFonts w:cs="Arial"/>
                <w:szCs w:val="26"/>
              </w:rPr>
            </w:pPr>
            <w:r w:rsidRPr="007A75D1">
              <w:rPr>
                <w:rFonts w:cs="Arial"/>
                <w:szCs w:val="26"/>
              </w:rPr>
              <w:t>Application of Pacific Gas and Electric Company on Behalf of Customers Seeking a Gas Line Subsidy (U</w:t>
            </w:r>
            <w:r w:rsidR="009C6F0A">
              <w:rPr>
                <w:rFonts w:cs="Arial"/>
                <w:szCs w:val="26"/>
              </w:rPr>
              <w:t>-</w:t>
            </w:r>
            <w:r w:rsidRPr="007A75D1">
              <w:rPr>
                <w:rFonts w:cs="Arial"/>
                <w:szCs w:val="26"/>
              </w:rPr>
              <w:t>39M).</w:t>
            </w:r>
          </w:p>
          <w:p w:rsidRPr="00DA7B5D" w:rsidR="00432AB2" w:rsidP="00C10B5F" w:rsidRDefault="00432AB2" w14:paraId="210747DB" w14:textId="7840C955">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AB474F" w14:paraId="2F5C6444" w14:textId="2CB158FA">
            <w:pPr>
              <w:spacing w:line="240" w:lineRule="auto"/>
              <w:ind w:firstLine="0"/>
              <w:jc w:val="center"/>
              <w:rPr>
                <w:rFonts w:cs="Arial"/>
                <w:szCs w:val="26"/>
              </w:rPr>
            </w:pPr>
            <w:r>
              <w:rPr>
                <w:rFonts w:cs="Arial"/>
                <w:szCs w:val="26"/>
              </w:rPr>
              <w:t>A</w:t>
            </w:r>
            <w:r w:rsidR="009C4194">
              <w:rPr>
                <w:rFonts w:cs="Arial"/>
                <w:szCs w:val="26"/>
              </w:rPr>
              <w:t>pplication</w:t>
            </w:r>
            <w:r w:rsidR="006C51AF">
              <w:rPr>
                <w:rFonts w:cs="Arial"/>
                <w:szCs w:val="26"/>
              </w:rPr>
              <w:t> </w:t>
            </w:r>
            <w:r>
              <w:rPr>
                <w:rFonts w:cs="Arial"/>
                <w:szCs w:val="26"/>
              </w:rPr>
              <w:t>25-07-002</w:t>
            </w:r>
          </w:p>
        </w:tc>
      </w:tr>
    </w:tbl>
    <w:p w:rsidR="00DA7B5D" w:rsidP="008F0116" w:rsidRDefault="00DA7B5D" w14:paraId="5E60B76B" w14:textId="77777777">
      <w:pPr>
        <w:spacing w:line="240" w:lineRule="auto"/>
        <w:ind w:firstLine="0"/>
        <w:rPr>
          <w:rFonts w:ascii="Arial" w:hAnsi="Arial" w:cs="Arial"/>
          <w:sz w:val="24"/>
          <w:szCs w:val="24"/>
        </w:rPr>
      </w:pPr>
    </w:p>
    <w:p w:rsidR="00DA7B5D" w:rsidP="00CC1190" w:rsidRDefault="00DA7B5D" w14:paraId="3F696A86" w14:textId="77777777">
      <w:pPr>
        <w:spacing w:line="240" w:lineRule="auto"/>
        <w:ind w:firstLine="0"/>
        <w:rPr>
          <w:rFonts w:ascii="Arial" w:hAnsi="Arial" w:cs="Arial"/>
          <w:sz w:val="24"/>
          <w:szCs w:val="24"/>
        </w:rPr>
      </w:pPr>
    </w:p>
    <w:p w:rsidR="00E91454" w:rsidP="00CC1190" w:rsidRDefault="00BE7B40" w14:paraId="524A4B30" w14:textId="77777777">
      <w:pPr>
        <w:pStyle w:val="Dummy"/>
        <w:spacing w:after="0"/>
        <w:jc w:val="center"/>
      </w:pPr>
      <w:r>
        <w:t>DECISION GRANTING MOTION TO WITHDRAW</w:t>
      </w:r>
      <w:bookmarkStart w:name="_Toc8123714" w:id="0"/>
      <w:bookmarkStart w:name="_Toc133843842" w:id="1"/>
    </w:p>
    <w:p w:rsidR="005A148C" w:rsidP="006C51AF" w:rsidRDefault="005A148C" w14:paraId="4AA41CF2" w14:textId="3E560DD1">
      <w:pPr>
        <w:pStyle w:val="Dummy"/>
        <w:spacing w:after="0" w:line="360" w:lineRule="auto"/>
      </w:pPr>
      <w:r>
        <w:t>Summa</w:t>
      </w:r>
      <w:bookmarkEnd w:id="0"/>
      <w:bookmarkEnd w:id="1"/>
      <w:r w:rsidR="00141499">
        <w:t>ry</w:t>
      </w:r>
    </w:p>
    <w:p w:rsidR="007B7227" w:rsidP="00AD1FAE" w:rsidRDefault="00AD1FAE" w14:paraId="192E951F" w14:textId="6A0F56EA">
      <w:pPr>
        <w:pStyle w:val="Standard"/>
      </w:pPr>
      <w:r>
        <w:t>This decision grants Pacific Gas and Electric Company</w:t>
      </w:r>
      <w:r w:rsidR="007443E0">
        <w:t>’s (PG&amp;E)</w:t>
      </w:r>
      <w:r>
        <w:t xml:space="preserve"> motion to withdraw its application without </w:t>
      </w:r>
      <w:r w:rsidRPr="00472C6E">
        <w:t>prejudice.</w:t>
      </w:r>
    </w:p>
    <w:p w:rsidR="0073353F" w:rsidP="00AD1FAE" w:rsidRDefault="00AD1FAE" w14:paraId="377ADD80" w14:textId="5B1108DD">
      <w:pPr>
        <w:pStyle w:val="Standard"/>
      </w:pPr>
      <w:r>
        <w:t>This proceeding is closed.</w:t>
      </w:r>
    </w:p>
    <w:p w:rsidR="00AE2B98" w:rsidP="006C51AF" w:rsidRDefault="002C7FE9" w14:paraId="1D527E29" w14:textId="0573651D">
      <w:pPr>
        <w:pStyle w:val="Heading1"/>
        <w:numPr>
          <w:ilvl w:val="0"/>
          <w:numId w:val="1"/>
        </w:numPr>
        <w:spacing w:after="0" w:line="360" w:lineRule="auto"/>
      </w:pPr>
      <w:bookmarkStart w:name="_Toc8123715" w:id="2"/>
      <w:bookmarkStart w:name="_Toc133843843" w:id="3"/>
      <w:r w:rsidRPr="00121089">
        <w:t>Background</w:t>
      </w:r>
      <w:bookmarkEnd w:id="2"/>
      <w:bookmarkEnd w:id="3"/>
    </w:p>
    <w:p w:rsidR="0060525E" w:rsidP="006E6574" w:rsidRDefault="00AE2B98" w14:paraId="2412A1C4" w14:textId="639F9086">
      <w:pPr>
        <w:pStyle w:val="Standard"/>
      </w:pPr>
      <w:r w:rsidRPr="00AE2B98">
        <w:t xml:space="preserve">On July 1, 2025, Pacific Gas and Electric Company (PG&amp;E) filed this </w:t>
      </w:r>
      <w:r w:rsidR="00D55CBB">
        <w:t>a</w:t>
      </w:r>
      <w:r w:rsidRPr="00AE2B98">
        <w:t>pplication to seek gas line extension subsidies on behalf of its customers for customer projects that meet the minimum requirements set in Decision (D.)</w:t>
      </w:r>
      <w:r w:rsidR="00A46571">
        <w:t> </w:t>
      </w:r>
      <w:r w:rsidRPr="00AE2B98">
        <w:t>22</w:t>
      </w:r>
      <w:r w:rsidR="00A46571">
        <w:noBreakHyphen/>
      </w:r>
      <w:r w:rsidRPr="00AE2B98">
        <w:t>09-026.</w:t>
      </w:r>
    </w:p>
    <w:p w:rsidR="00AE2B98" w:rsidP="006E6574" w:rsidRDefault="00AE2B98" w14:paraId="2FFEA3F2" w14:textId="1E11FC9D">
      <w:pPr>
        <w:pStyle w:val="Standard"/>
      </w:pPr>
      <w:r w:rsidRPr="00AE2B98">
        <w:t xml:space="preserve">On August 4, 2025, the Public Advocates Office </w:t>
      </w:r>
      <w:r w:rsidR="00D55CBB">
        <w:t xml:space="preserve">at the California Public Utilities Commission </w:t>
      </w:r>
      <w:r w:rsidRPr="00AE2B98">
        <w:t xml:space="preserve">(Cal Advocates) and Sierra Club filed timely protests on this </w:t>
      </w:r>
      <w:r w:rsidR="00D55CBB">
        <w:t>a</w:t>
      </w:r>
      <w:r w:rsidRPr="00AE2B98">
        <w:t xml:space="preserve">pplication. </w:t>
      </w:r>
      <w:r w:rsidR="00D55CBB">
        <w:t xml:space="preserve"> </w:t>
      </w:r>
      <w:r w:rsidRPr="00AE2B98">
        <w:t xml:space="preserve">On August 14, 2025, PG&amp;E filed a </w:t>
      </w:r>
      <w:r w:rsidR="00D55CBB">
        <w:t>r</w:t>
      </w:r>
      <w:r w:rsidRPr="00AE2B98">
        <w:t>eply to Cal Advocates’ and Sierra Club’s protests.</w:t>
      </w:r>
    </w:p>
    <w:p w:rsidR="009F1818" w:rsidP="006E6574" w:rsidRDefault="00AE2B98" w14:paraId="225FD0FE" w14:textId="62EF86EC">
      <w:pPr>
        <w:pStyle w:val="Standard"/>
      </w:pPr>
      <w:r>
        <w:t xml:space="preserve">On September 17, 2025, </w:t>
      </w:r>
      <w:r w:rsidR="00AE5C5C">
        <w:t>the</w:t>
      </w:r>
      <w:r>
        <w:t xml:space="preserve"> assigned Commissioner’s Scoping Memo and Ruling (Scoping </w:t>
      </w:r>
      <w:r w:rsidR="00C04E7C">
        <w:t>Memo</w:t>
      </w:r>
      <w:r>
        <w:t>) was issued.  The Scoping Memo directed PG&amp;E to serve supplemental testimony</w:t>
      </w:r>
      <w:r w:rsidR="00AE5C5C">
        <w:t xml:space="preserve"> </w:t>
      </w:r>
      <w:r w:rsidRPr="00AE5C5C" w:rsidR="00AE5C5C">
        <w:t xml:space="preserve">to </w:t>
      </w:r>
      <w:r w:rsidR="00980FAE">
        <w:t xml:space="preserve">provide the </w:t>
      </w:r>
      <w:r w:rsidRPr="009211DF" w:rsidR="009211DF">
        <w:t xml:space="preserve">non-residential gas line extension </w:t>
      </w:r>
      <w:r w:rsidRPr="009211DF" w:rsidR="009211DF">
        <w:lastRenderedPageBreak/>
        <w:t>allowance calculations</w:t>
      </w:r>
      <w:r w:rsidR="00AE5C5C">
        <w:t xml:space="preserve">, </w:t>
      </w:r>
      <w:r w:rsidR="007C0FF1">
        <w:t>as required by</w:t>
      </w:r>
      <w:r w:rsidR="00AE5C5C">
        <w:t xml:space="preserve"> </w:t>
      </w:r>
      <w:r w:rsidRPr="00AE5C5C" w:rsidR="00AE5C5C">
        <w:t>D.22-09-026</w:t>
      </w:r>
      <w:r w:rsidR="00AE5C5C">
        <w:t xml:space="preserve">.  </w:t>
      </w:r>
      <w:r w:rsidR="00BF275D">
        <w:t xml:space="preserve">Ordering Paragraph 2 of </w:t>
      </w:r>
      <w:r w:rsidR="00AE5C5C">
        <w:t>D.22-09-026</w:t>
      </w:r>
      <w:r w:rsidRPr="00AE5C5C" w:rsidR="00AE5C5C">
        <w:t xml:space="preserve"> stat</w:t>
      </w:r>
      <w:r w:rsidR="00AE5C5C">
        <w:t>es</w:t>
      </w:r>
      <w:r w:rsidR="00A02297">
        <w:t xml:space="preserve"> in pertinent part</w:t>
      </w:r>
      <w:r w:rsidRPr="00AE5C5C" w:rsidR="00AE5C5C">
        <w:t>:</w:t>
      </w:r>
    </w:p>
    <w:p w:rsidR="00AE2B98" w:rsidP="006C51AF" w:rsidRDefault="00AE5C5C" w14:paraId="101E7298" w14:textId="77A486B7">
      <w:pPr>
        <w:pStyle w:val="Standard"/>
        <w:spacing w:line="240" w:lineRule="auto"/>
        <w:ind w:left="720" w:right="1440" w:firstLine="0"/>
      </w:pPr>
      <w:r w:rsidRPr="00AE5C5C">
        <w:t xml:space="preserve">In its annual filing, each </w:t>
      </w:r>
      <w:r w:rsidR="00BF275D">
        <w:t>investor-owned utility</w:t>
      </w:r>
      <w:r w:rsidRPr="00AE5C5C">
        <w:t xml:space="preserve"> sh</w:t>
      </w:r>
      <w:r w:rsidR="00BF275D">
        <w:t>all</w:t>
      </w:r>
      <w:r w:rsidRPr="00AE5C5C">
        <w:t xml:space="preserve"> include an update to the non-residential gas line extension allowance calculations based on the current methodology (including all inputs used, </w:t>
      </w:r>
      <w:r w:rsidRPr="00EC340C">
        <w:rPr>
          <w:i/>
          <w:iCs/>
        </w:rPr>
        <w:t>e.g.,</w:t>
      </w:r>
      <w:r w:rsidRPr="00AE5C5C">
        <w:t xml:space="preserve"> cost of service factor).</w:t>
      </w:r>
      <w:r w:rsidR="009F1818">
        <w:rPr>
          <w:rStyle w:val="FootnoteReference"/>
        </w:rPr>
        <w:footnoteReference w:id="2"/>
      </w:r>
    </w:p>
    <w:p w:rsidR="00D31DF3" w:rsidP="00A73D40" w:rsidRDefault="00552FD8" w14:paraId="42E228EF" w14:textId="7BF90CE6">
      <w:pPr>
        <w:pStyle w:val="Standard"/>
        <w:spacing w:before="240"/>
      </w:pPr>
      <w:r>
        <w:t xml:space="preserve">These calculations are necessary for the Commission to evaluate </w:t>
      </w:r>
      <w:r w:rsidRPr="00AE5C5C">
        <w:t>how much each customer’s requested gas line subsidy would cost ratepayers</w:t>
      </w:r>
      <w:r w:rsidR="0088094D">
        <w:t xml:space="preserve">, which is a key issue the Commission must address </w:t>
      </w:r>
      <w:r w:rsidR="00AD45B1">
        <w:t xml:space="preserve">to determine whether </w:t>
      </w:r>
      <w:r w:rsidR="00495BD4">
        <w:t xml:space="preserve">to grant </w:t>
      </w:r>
      <w:r w:rsidR="00121BB6">
        <w:t>the application</w:t>
      </w:r>
      <w:r w:rsidR="00AD45B1">
        <w:t>.</w:t>
      </w:r>
      <w:r w:rsidR="00D55CBB">
        <w:t xml:space="preserve">  However, PG&amp;E did not provide this information in its application.</w:t>
      </w:r>
    </w:p>
    <w:p w:rsidR="00997D7B" w:rsidP="006E6574" w:rsidRDefault="00997D7B" w14:paraId="2FCFD07D" w14:textId="30DEA827">
      <w:pPr>
        <w:pStyle w:val="Standard"/>
      </w:pPr>
      <w:r>
        <w:t xml:space="preserve">On September </w:t>
      </w:r>
      <w:r w:rsidR="009F5D79">
        <w:t xml:space="preserve">26, 2025, PG&amp;E filed a Motion to </w:t>
      </w:r>
      <w:r w:rsidR="00D55CBB">
        <w:t>W</w:t>
      </w:r>
      <w:r w:rsidR="00160115">
        <w:t>ithdraw its Application (Motion to Withdraw).</w:t>
      </w:r>
      <w:r w:rsidR="00FB7B55">
        <w:t xml:space="preserve">  In</w:t>
      </w:r>
      <w:r w:rsidR="00A228FE">
        <w:t xml:space="preserve"> </w:t>
      </w:r>
      <w:r w:rsidR="00FB7B55">
        <w:t xml:space="preserve">its Motion to Withdraw, PG&amp;E explains that </w:t>
      </w:r>
      <w:r w:rsidR="00A228FE">
        <w:t>one of the t</w:t>
      </w:r>
      <w:r w:rsidR="009245B7">
        <w:t xml:space="preserve">wo customers identified in PG&amp;E’s </w:t>
      </w:r>
      <w:r w:rsidR="00D55CBB">
        <w:t>a</w:t>
      </w:r>
      <w:r w:rsidR="009245B7">
        <w:t>pplication</w:t>
      </w:r>
      <w:r w:rsidR="00523AA2">
        <w:t xml:space="preserve"> </w:t>
      </w:r>
      <w:r w:rsidR="001A52FA">
        <w:t>no longer wish</w:t>
      </w:r>
      <w:r w:rsidR="00C0288B">
        <w:t>es</w:t>
      </w:r>
      <w:r w:rsidR="001A52FA">
        <w:t xml:space="preserve"> to proceed.  </w:t>
      </w:r>
      <w:r w:rsidR="00B233FC">
        <w:t xml:space="preserve">PG&amp;E </w:t>
      </w:r>
      <w:r w:rsidR="00823EFA">
        <w:t>request</w:t>
      </w:r>
      <w:r w:rsidR="00D55CBB">
        <w:t>ed</w:t>
      </w:r>
      <w:r w:rsidR="00823EFA">
        <w:t xml:space="preserve"> to</w:t>
      </w:r>
      <w:r w:rsidR="00B35EC5">
        <w:t xml:space="preserve"> withdraw the </w:t>
      </w:r>
      <w:r w:rsidR="00D55CBB">
        <w:t>a</w:t>
      </w:r>
      <w:r w:rsidR="00B35EC5">
        <w:t xml:space="preserve">pplication because it </w:t>
      </w:r>
      <w:r w:rsidR="00B233FC">
        <w:t xml:space="preserve">does not have the </w:t>
      </w:r>
      <w:r w:rsidR="00AF1A27">
        <w:t>necessary information</w:t>
      </w:r>
      <w:r w:rsidR="00FB5341">
        <w:t xml:space="preserve"> </w:t>
      </w:r>
      <w:r w:rsidR="004D3B35">
        <w:t xml:space="preserve">on </w:t>
      </w:r>
      <w:r w:rsidR="00FB5341">
        <w:t xml:space="preserve">the remaining customer </w:t>
      </w:r>
      <w:r w:rsidRPr="001A7DC2" w:rsidR="00FB5341">
        <w:t>project</w:t>
      </w:r>
      <w:r w:rsidRPr="001A7DC2" w:rsidR="00AD3AEC">
        <w:t xml:space="preserve">, specifically </w:t>
      </w:r>
      <w:r w:rsidRPr="001A7DC2" w:rsidR="008475E2">
        <w:t>the non</w:t>
      </w:r>
      <w:r w:rsidR="00CC1190">
        <w:noBreakHyphen/>
      </w:r>
      <w:r w:rsidRPr="001A7DC2" w:rsidR="008475E2">
        <w:t>residential gas line extension allowance calculations</w:t>
      </w:r>
      <w:r w:rsidR="001A7DC2">
        <w:t xml:space="preserve"> required in D.22</w:t>
      </w:r>
      <w:r w:rsidR="00CC1190">
        <w:noBreakHyphen/>
      </w:r>
      <w:r w:rsidR="001A7DC2">
        <w:t>06</w:t>
      </w:r>
      <w:r w:rsidR="00CC1190">
        <w:noBreakHyphen/>
      </w:r>
      <w:r w:rsidR="001A7DC2">
        <w:t>026</w:t>
      </w:r>
      <w:r w:rsidRPr="001A7DC2" w:rsidR="001A4794">
        <w:t>.</w:t>
      </w:r>
      <w:r w:rsidRPr="001A7DC2" w:rsidR="009E6652">
        <w:rPr>
          <w:rStyle w:val="FootnoteReference"/>
        </w:rPr>
        <w:footnoteReference w:id="3"/>
      </w:r>
    </w:p>
    <w:p w:rsidR="00EE3060" w:rsidP="006E6574" w:rsidRDefault="00A925AB" w14:paraId="73CF0216" w14:textId="1F6972DC">
      <w:pPr>
        <w:pStyle w:val="Standard"/>
      </w:pPr>
      <w:r>
        <w:t>On January 21, 2026,</w:t>
      </w:r>
      <w:r w:rsidR="006D12A8">
        <w:t xml:space="preserve"> the assigned Administrative Law Judge</w:t>
      </w:r>
      <w:r w:rsidR="001C152E">
        <w:t xml:space="preserve"> (ALJ)</w:t>
      </w:r>
      <w:r w:rsidR="006D12A8">
        <w:t xml:space="preserve"> issued a </w:t>
      </w:r>
      <w:r w:rsidR="001C152E">
        <w:t>R</w:t>
      </w:r>
      <w:r w:rsidR="006D12A8">
        <w:t>uling</w:t>
      </w:r>
      <w:r w:rsidR="001C152E">
        <w:t xml:space="preserve"> (ALJ Ruling)</w:t>
      </w:r>
      <w:r w:rsidR="006D12A8">
        <w:t xml:space="preserve"> requesting PG&amp;E to provide additional information</w:t>
      </w:r>
      <w:r w:rsidR="0063491C">
        <w:t>.</w:t>
      </w:r>
      <w:r w:rsidR="006C5DD5">
        <w:t xml:space="preserve">  The</w:t>
      </w:r>
      <w:r w:rsidR="000C7B8A">
        <w:t xml:space="preserve"> </w:t>
      </w:r>
      <w:r w:rsidR="001C152E">
        <w:t xml:space="preserve">ALJ </w:t>
      </w:r>
      <w:r w:rsidR="000C7B8A">
        <w:t xml:space="preserve">Ruling </w:t>
      </w:r>
      <w:r w:rsidRPr="000C7B8A" w:rsidR="000C7B8A">
        <w:t>direct</w:t>
      </w:r>
      <w:r w:rsidR="000C7B8A">
        <w:t>ed</w:t>
      </w:r>
      <w:r w:rsidRPr="000C7B8A" w:rsidR="000C7B8A">
        <w:t xml:space="preserve"> PG&amp;E to explain why PG&amp;E filed the </w:t>
      </w:r>
      <w:r w:rsidR="00D55CBB">
        <w:t>a</w:t>
      </w:r>
      <w:r w:rsidRPr="000C7B8A" w:rsidR="000C7B8A">
        <w:t>pplication if it did not have information on the non-residential gas line extension allowance calculations D.22-09-026 required it to include in the filing.</w:t>
      </w:r>
    </w:p>
    <w:p w:rsidR="006D12A8" w:rsidP="4B83EF2F" w:rsidRDefault="00B007D6" w14:paraId="650D686F" w14:textId="55B44A5F">
      <w:pPr>
        <w:pStyle w:val="Standard"/>
      </w:pPr>
      <w:r>
        <w:t>On February</w:t>
      </w:r>
      <w:r w:rsidR="00C0242B">
        <w:t xml:space="preserve"> 5, 2026, </w:t>
      </w:r>
      <w:r w:rsidR="00AD5240">
        <w:t xml:space="preserve">PG&amp;E filed a </w:t>
      </w:r>
      <w:r w:rsidR="002127BB">
        <w:t>R</w:t>
      </w:r>
      <w:r w:rsidR="00AD5240">
        <w:t xml:space="preserve">esponse to </w:t>
      </w:r>
      <w:r w:rsidR="002127BB">
        <w:t>the ALJ Ruling</w:t>
      </w:r>
      <w:r w:rsidR="00D55CBB">
        <w:t xml:space="preserve"> (Response)</w:t>
      </w:r>
      <w:r w:rsidR="002127BB">
        <w:t xml:space="preserve">.  In its Response, PG&amp;E </w:t>
      </w:r>
      <w:r w:rsidR="008C332B">
        <w:t>ex</w:t>
      </w:r>
      <w:r w:rsidR="009C5D92">
        <w:t xml:space="preserve">plains that, </w:t>
      </w:r>
      <w:r w:rsidR="1CFD5943">
        <w:t xml:space="preserve">while the customers who </w:t>
      </w:r>
      <w:r w:rsidR="70CDFDA6">
        <w:t xml:space="preserve">requested a </w:t>
      </w:r>
      <w:r w:rsidR="70CDFDA6">
        <w:lastRenderedPageBreak/>
        <w:t xml:space="preserve">customer line extension may </w:t>
      </w:r>
      <w:r w:rsidR="1CFD5943">
        <w:t>in fact meet the criteria to qualify for a line extension allowance</w:t>
      </w:r>
      <w:r w:rsidR="04261F4D">
        <w:t>, it has had great difficult</w:t>
      </w:r>
      <w:r w:rsidR="14AB93ED">
        <w:t>y</w:t>
      </w:r>
      <w:r w:rsidR="04261F4D">
        <w:t xml:space="preserve"> in obtaining from its customers detailed information to support its Application and has been making concerted efforts to assist its customers through this process</w:t>
      </w:r>
      <w:r w:rsidR="33F27D64">
        <w:t xml:space="preserve">. </w:t>
      </w:r>
      <w:r w:rsidR="00CC1190">
        <w:t xml:space="preserve"> </w:t>
      </w:r>
      <w:r w:rsidR="33F27D64">
        <w:t xml:space="preserve">PG&amp;E </w:t>
      </w:r>
      <w:r w:rsidR="7B9E6519">
        <w:t xml:space="preserve">stated that it continued </w:t>
      </w:r>
      <w:r w:rsidR="33F27D64">
        <w:t xml:space="preserve">to engage in a </w:t>
      </w:r>
      <w:r w:rsidR="0344D80F">
        <w:t>dialogue</w:t>
      </w:r>
      <w:r w:rsidR="33F27D64">
        <w:t xml:space="preserve"> with its customers after the Application filing date and attempted to obtain the supporting financial information necessary, but was unsucce</w:t>
      </w:r>
      <w:r w:rsidR="59C3D610">
        <w:t>s</w:t>
      </w:r>
      <w:r w:rsidR="33F27D64">
        <w:t>sfu</w:t>
      </w:r>
      <w:r w:rsidR="059CBD4F">
        <w:t>l</w:t>
      </w:r>
      <w:r w:rsidR="33F27D64">
        <w:t xml:space="preserve">. </w:t>
      </w:r>
      <w:r w:rsidR="00CC1190">
        <w:t xml:space="preserve"> </w:t>
      </w:r>
      <w:r w:rsidR="4AA2DA21">
        <w:t>Given</w:t>
      </w:r>
      <w:r w:rsidR="009C5D92">
        <w:t xml:space="preserve"> it </w:t>
      </w:r>
      <w:r w:rsidR="00991492">
        <w:t>was not successful in obtaining the necessary information from its customers</w:t>
      </w:r>
      <w:r w:rsidR="005C642D">
        <w:t xml:space="preserve"> to provide the </w:t>
      </w:r>
      <w:r w:rsidRPr="00AE5C5C" w:rsidR="008475E2">
        <w:t>non-residential gas line extension allowance calculations</w:t>
      </w:r>
      <w:r w:rsidR="009C5D92">
        <w:t xml:space="preserve">, </w:t>
      </w:r>
      <w:r w:rsidR="74405620">
        <w:t xml:space="preserve">PG&amp;E </w:t>
      </w:r>
      <w:r w:rsidR="00FF08E2">
        <w:t>file</w:t>
      </w:r>
      <w:r w:rsidR="009C5D92">
        <w:t>d</w:t>
      </w:r>
      <w:r w:rsidR="00FF08E2">
        <w:t xml:space="preserve"> </w:t>
      </w:r>
      <w:r w:rsidR="00D55CBB">
        <w:t>the</w:t>
      </w:r>
      <w:r w:rsidRPr="00060D4C" w:rsidR="00060D4C">
        <w:t xml:space="preserve"> Motion to </w:t>
      </w:r>
      <w:r w:rsidR="00D55CBB">
        <w:t>W</w:t>
      </w:r>
      <w:r w:rsidRPr="00060D4C" w:rsidR="00060D4C">
        <w:t>ithdraw</w:t>
      </w:r>
      <w:r w:rsidR="009C5D92">
        <w:t xml:space="preserve"> </w:t>
      </w:r>
      <w:r w:rsidR="0012717F">
        <w:t xml:space="preserve">to </w:t>
      </w:r>
      <w:r w:rsidR="000839D1">
        <w:t>prevent further use of</w:t>
      </w:r>
      <w:r w:rsidRPr="00060D4C" w:rsidR="00060D4C">
        <w:t xml:space="preserve"> Commission and party resources </w:t>
      </w:r>
      <w:r w:rsidR="0012717F">
        <w:t>on</w:t>
      </w:r>
      <w:r w:rsidRPr="00060D4C" w:rsidR="00060D4C">
        <w:t xml:space="preserve"> t</w:t>
      </w:r>
      <w:r w:rsidR="0012717F">
        <w:t>his</w:t>
      </w:r>
      <w:r w:rsidRPr="00060D4C" w:rsidR="00060D4C">
        <w:t xml:space="preserve"> </w:t>
      </w:r>
      <w:r w:rsidR="0061035D">
        <w:t>proceeding</w:t>
      </w:r>
      <w:r w:rsidRPr="00060D4C" w:rsidR="00060D4C">
        <w:t>.</w:t>
      </w:r>
      <w:r w:rsidR="00124A40">
        <w:rPr>
          <w:rStyle w:val="FootnoteReference"/>
        </w:rPr>
        <w:footnoteReference w:id="4"/>
      </w:r>
    </w:p>
    <w:p w:rsidR="00683B2C" w:rsidP="006C51AF" w:rsidRDefault="00683B2C" w14:paraId="67900512" w14:textId="77777777">
      <w:pPr>
        <w:pStyle w:val="Heading2"/>
        <w:spacing w:after="0" w:line="360" w:lineRule="auto"/>
      </w:pPr>
      <w:bookmarkStart w:name="_Toc133843846" w:id="4"/>
      <w:r>
        <w:t>Submission Date</w:t>
      </w:r>
      <w:bookmarkEnd w:id="4"/>
    </w:p>
    <w:p w:rsidR="00683B2C" w:rsidP="00DB19BD" w:rsidRDefault="00683B2C" w14:paraId="1DAA1FC6" w14:textId="49CC8D7C">
      <w:pPr>
        <w:pStyle w:val="Standard"/>
      </w:pPr>
      <w:r w:rsidRPr="00FF0265">
        <w:t xml:space="preserve">This matter was submitted on </w:t>
      </w:r>
      <w:r w:rsidR="00281E67">
        <w:t xml:space="preserve">February </w:t>
      </w:r>
      <w:r w:rsidR="00A77CE0">
        <w:t>6</w:t>
      </w:r>
      <w:r w:rsidR="00281E67">
        <w:t>, 2026</w:t>
      </w:r>
      <w:r w:rsidR="00C40C88">
        <w:t>,</w:t>
      </w:r>
      <w:r w:rsidRPr="00FF0265">
        <w:t xml:space="preserve"> upon </w:t>
      </w:r>
      <w:r w:rsidR="00281E67">
        <w:t>PG&amp;E’s filing of its Response to the ALJ Ruling.</w:t>
      </w:r>
    </w:p>
    <w:p w:rsidR="005A148C" w:rsidP="006C51AF" w:rsidRDefault="005939A5" w14:paraId="2C3C7DB3" w14:textId="77777777">
      <w:pPr>
        <w:pStyle w:val="Heading1"/>
        <w:spacing w:after="0" w:line="360" w:lineRule="auto"/>
      </w:pPr>
      <w:bookmarkStart w:name="_Toc8123719" w:id="5"/>
      <w:bookmarkStart w:name="_Toc133843848" w:id="6"/>
      <w:r>
        <w:t xml:space="preserve">Issues Before the </w:t>
      </w:r>
      <w:bookmarkEnd w:id="5"/>
      <w:r w:rsidR="008A08BF">
        <w:t>Commission</w:t>
      </w:r>
      <w:bookmarkEnd w:id="6"/>
    </w:p>
    <w:p w:rsidR="005939A5" w:rsidP="00A44E8D" w:rsidRDefault="00F9042E" w14:paraId="27AF00D0" w14:textId="0D5B5DFA">
      <w:pPr>
        <w:pStyle w:val="Standard"/>
      </w:pPr>
      <w:r w:rsidRPr="00F9042E">
        <w:t xml:space="preserve">The issue before the Commission is whether to grant PG&amp;E’s </w:t>
      </w:r>
      <w:r w:rsidR="00C40C88">
        <w:t>M</w:t>
      </w:r>
      <w:r w:rsidRPr="00F9042E">
        <w:t xml:space="preserve">otion to </w:t>
      </w:r>
      <w:r w:rsidR="00C40C88">
        <w:t>W</w:t>
      </w:r>
      <w:r w:rsidRPr="00F9042E">
        <w:t>ithdraw</w:t>
      </w:r>
      <w:r w:rsidR="005939A5">
        <w:t>.</w:t>
      </w:r>
    </w:p>
    <w:p w:rsidR="005939A5" w:rsidP="006C51AF" w:rsidRDefault="005939A5" w14:paraId="7FBEFBA8" w14:textId="2774DC8B">
      <w:pPr>
        <w:pStyle w:val="Heading1"/>
        <w:spacing w:after="0" w:line="360" w:lineRule="auto"/>
      </w:pPr>
      <w:bookmarkStart w:name="_Toc8123720" w:id="7"/>
      <w:bookmarkStart w:name="_Toc133843849" w:id="8"/>
      <w:r>
        <w:t>Discussion</w:t>
      </w:r>
      <w:bookmarkEnd w:id="7"/>
      <w:bookmarkEnd w:id="8"/>
    </w:p>
    <w:p w:rsidR="0073353F" w:rsidP="006E6574" w:rsidRDefault="00814FB8" w14:paraId="5CC962E7" w14:textId="05CD03A7">
      <w:pPr>
        <w:pStyle w:val="Standard"/>
      </w:pPr>
      <w:r w:rsidRPr="00814FB8">
        <w:t>Although the Commission usually grants motions to withdraw, the Commission may deny motions to withdraw when doing so is in the public interest and may pursue matters of public concern after an applicant has moved to withdraw an application.</w:t>
      </w:r>
      <w:r w:rsidR="00D1293A">
        <w:rPr>
          <w:rStyle w:val="FootnoteReference"/>
        </w:rPr>
        <w:footnoteReference w:id="5"/>
      </w:r>
      <w:r w:rsidRPr="00814FB8">
        <w:t xml:space="preserve"> </w:t>
      </w:r>
      <w:r w:rsidR="006C41FB">
        <w:t xml:space="preserve"> </w:t>
      </w:r>
      <w:r w:rsidRPr="00814FB8">
        <w:t>The Commission may also deny a motion for withdrawal when the applicant requests withdrawal for the purpose of avoiding an adverse outcome.</w:t>
      </w:r>
      <w:r w:rsidR="0086628A">
        <w:rPr>
          <w:rStyle w:val="FootnoteReference"/>
        </w:rPr>
        <w:footnoteReference w:id="6"/>
      </w:r>
    </w:p>
    <w:p w:rsidR="0086628A" w:rsidP="006E6574" w:rsidRDefault="0086628A" w14:paraId="6A78B43D" w14:textId="6162D4CB">
      <w:pPr>
        <w:pStyle w:val="Standard"/>
      </w:pPr>
      <w:r>
        <w:lastRenderedPageBreak/>
        <w:t xml:space="preserve">PG&amp;E seeks to withdraw this </w:t>
      </w:r>
      <w:r w:rsidR="00D55CBB">
        <w:t>a</w:t>
      </w:r>
      <w:r>
        <w:t xml:space="preserve">pplication </w:t>
      </w:r>
      <w:r w:rsidR="00491C9B">
        <w:t xml:space="preserve">because it does not have the necessary </w:t>
      </w:r>
      <w:r w:rsidR="00475F4C">
        <w:t>information, as required in D.22-09-</w:t>
      </w:r>
      <w:r w:rsidR="0092258E">
        <w:t>0</w:t>
      </w:r>
      <w:r w:rsidR="00475F4C">
        <w:t xml:space="preserve">26, </w:t>
      </w:r>
      <w:r w:rsidR="00E72A74">
        <w:t>to proceed</w:t>
      </w:r>
      <w:r w:rsidR="00652B3C">
        <w:t xml:space="preserve"> and does not wish to continue using Commission and party resources on this </w:t>
      </w:r>
      <w:r w:rsidR="009B62D1">
        <w:t>proceeding.</w:t>
      </w:r>
      <w:r w:rsidR="00550981">
        <w:rPr>
          <w:rStyle w:val="FootnoteReference"/>
        </w:rPr>
        <w:footnoteReference w:id="7"/>
      </w:r>
    </w:p>
    <w:p w:rsidRPr="00EB6CF1" w:rsidR="00EB6CF1" w:rsidP="006E6574" w:rsidRDefault="00EB6CF1" w14:paraId="7EF47C44" w14:textId="00862209">
      <w:pPr>
        <w:pStyle w:val="Standard"/>
        <w:rPr>
          <w:b/>
          <w:bCs/>
        </w:rPr>
      </w:pPr>
      <w:r w:rsidRPr="00FF2416">
        <w:t xml:space="preserve">No parties opposed PG&amp;E’s </w:t>
      </w:r>
      <w:r>
        <w:t>M</w:t>
      </w:r>
      <w:r w:rsidRPr="00FF2416">
        <w:t xml:space="preserve">otion to </w:t>
      </w:r>
      <w:r w:rsidR="00D55CBB">
        <w:t>W</w:t>
      </w:r>
      <w:r w:rsidRPr="00FF2416">
        <w:t>ithdraw</w:t>
      </w:r>
      <w:r>
        <w:t>.</w:t>
      </w:r>
    </w:p>
    <w:p w:rsidR="00EB6CF1" w:rsidP="00EB6CF1" w:rsidRDefault="00A21FCC" w14:paraId="748EEE8E" w14:textId="57B3D2E9">
      <w:pPr>
        <w:pStyle w:val="Standard"/>
      </w:pPr>
      <w:r w:rsidRPr="00A21FCC">
        <w:t xml:space="preserve">We foresee no harm to the public interest from allowing PG&amp;E to withdraw its </w:t>
      </w:r>
      <w:r w:rsidR="00D55CBB">
        <w:t>a</w:t>
      </w:r>
      <w:r w:rsidRPr="00A21FCC">
        <w:t>pplication and find it reasonable to do so.</w:t>
      </w:r>
      <w:r w:rsidR="006C41FB">
        <w:t xml:space="preserve"> </w:t>
      </w:r>
      <w:r w:rsidRPr="00A21FCC">
        <w:t xml:space="preserve"> Accordingly, we grant PG&amp;E’s </w:t>
      </w:r>
      <w:r w:rsidR="00326C6F">
        <w:t>M</w:t>
      </w:r>
      <w:r w:rsidRPr="00A21FCC">
        <w:t xml:space="preserve">otion to </w:t>
      </w:r>
      <w:r w:rsidR="00D55CBB">
        <w:t>W</w:t>
      </w:r>
      <w:r w:rsidRPr="00A21FCC">
        <w:t>ithdraw</w:t>
      </w:r>
      <w:r>
        <w:t>.</w:t>
      </w:r>
    </w:p>
    <w:p w:rsidR="00A73D40" w:rsidP="006E6574" w:rsidRDefault="00556C96" w14:paraId="7FB4EE0D" w14:textId="1A1FEE4B">
      <w:pPr>
        <w:pStyle w:val="Standard"/>
      </w:pPr>
      <w:r>
        <w:t>We appreciate that</w:t>
      </w:r>
      <w:r w:rsidR="00BF275D">
        <w:t xml:space="preserve"> </w:t>
      </w:r>
      <w:r w:rsidR="0092258E">
        <w:t>PG&amp;E</w:t>
      </w:r>
      <w:r>
        <w:t xml:space="preserve"> recognizes the need to ensure </w:t>
      </w:r>
      <w:r w:rsidR="00BF275D">
        <w:t>any future application</w:t>
      </w:r>
      <w:r>
        <w:t>s</w:t>
      </w:r>
      <w:r w:rsidR="00BF275D">
        <w:t xml:space="preserve"> </w:t>
      </w:r>
      <w:r w:rsidR="007C0FF1">
        <w:t>for a</w:t>
      </w:r>
      <w:r w:rsidR="00BF275D">
        <w:t xml:space="preserve"> gas line extension allowance, a 10-year refundable payment option, or a 50 percent discount payment option for specific, unique non-residential projects comply with the requirements of D.22-09-026.  </w:t>
      </w:r>
      <w:r>
        <w:t>PG&amp;E stated its intent to “be more aggressive in screening customer applications in advance of future filings and will take steps to ensure that the required non-residential gas line extension allowance calculations are complete and available at the time of filing” its application.</w:t>
      </w:r>
      <w:r>
        <w:rPr>
          <w:rStyle w:val="FootnoteReference"/>
        </w:rPr>
        <w:footnoteReference w:id="8"/>
      </w:r>
      <w:r>
        <w:t xml:space="preserve">  We expect PG&amp;E to fulfill this intent in future applications.</w:t>
      </w:r>
    </w:p>
    <w:p w:rsidR="00603238" w:rsidP="006C51AF" w:rsidRDefault="00603238" w14:paraId="33EBBE58" w14:textId="77777777">
      <w:pPr>
        <w:pStyle w:val="Heading1"/>
        <w:spacing w:after="0" w:line="360" w:lineRule="auto"/>
      </w:pPr>
      <w:bookmarkStart w:name="_Toc133843852" w:id="9"/>
      <w:bookmarkStart w:name="_Toc8123721" w:id="10"/>
      <w:r>
        <w:t>Summary of Public Comment</w:t>
      </w:r>
      <w:bookmarkEnd w:id="9"/>
    </w:p>
    <w:p w:rsidR="006A7ADC" w:rsidP="006A7ADC" w:rsidRDefault="00603238" w14:paraId="0A640733" w14:textId="51CF5573">
      <w:r w:rsidRPr="00DF3E4A">
        <w:t>Rule 1.18 allows any member of the public to submit written comment in any Commission proceeding using the “Public Comment” tab of the online Docket Card for that proceeding on the Commission’s website.</w:t>
      </w:r>
      <w:r w:rsidR="00CC1190">
        <w:t xml:space="preserve">  </w:t>
      </w:r>
      <w:r w:rsidRPr="00DF3E4A">
        <w:t>Rule 1.18(b) requires that relevant written comment submitted in a proceeding be summarized in the final decision issued in that proceeding.</w:t>
      </w:r>
    </w:p>
    <w:p w:rsidRPr="006A7ADC" w:rsidR="00603238" w:rsidP="006A7ADC" w:rsidRDefault="006A7ADC" w14:paraId="12C561EE" w14:textId="0C0D0C52">
      <w:pPr>
        <w:rPr>
          <w:rFonts w:ascii="Calibri" w:hAnsi="Calibri"/>
          <w:sz w:val="22"/>
        </w:rPr>
      </w:pPr>
      <w:r>
        <w:t>No</w:t>
      </w:r>
      <w:r w:rsidR="00603238">
        <w:t xml:space="preserve"> </w:t>
      </w:r>
      <w:r>
        <w:t>written public</w:t>
      </w:r>
      <w:r w:rsidR="00603238">
        <w:t xml:space="preserve"> comments </w:t>
      </w:r>
      <w:r>
        <w:t xml:space="preserve">were submitted </w:t>
      </w:r>
      <w:r w:rsidR="00603238">
        <w:t xml:space="preserve">on </w:t>
      </w:r>
      <w:r>
        <w:t>this proceeding</w:t>
      </w:r>
      <w:r w:rsidR="00603238">
        <w:t>.</w:t>
      </w:r>
    </w:p>
    <w:p w:rsidR="005939A5" w:rsidP="006C51AF" w:rsidRDefault="00943C9F" w14:paraId="43F5C2E8" w14:textId="614B548A">
      <w:pPr>
        <w:pStyle w:val="Heading1"/>
        <w:spacing w:after="0" w:line="360" w:lineRule="auto"/>
      </w:pPr>
      <w:bookmarkStart w:name="_Toc8123723" w:id="11"/>
      <w:bookmarkStart w:name="_Toc133843854" w:id="12"/>
      <w:bookmarkEnd w:id="10"/>
      <w:r w:rsidRPr="00943C9F">
        <w:lastRenderedPageBreak/>
        <w:t>Waiver of Comment Period</w:t>
      </w:r>
      <w:bookmarkEnd w:id="11"/>
      <w:bookmarkEnd w:id="12"/>
    </w:p>
    <w:p w:rsidRPr="00B006FB" w:rsidR="00B006FB" w:rsidP="00B006FB" w:rsidRDefault="00B006FB" w14:paraId="6E593930" w14:textId="25087995">
      <w:pPr>
        <w:pStyle w:val="NormalWeb"/>
        <w:shd w:val="clear" w:color="auto" w:fill="FFFFFF"/>
        <w:spacing w:before="0" w:beforeAutospacing="0" w:after="0" w:afterAutospacing="0" w:line="360" w:lineRule="auto"/>
        <w:ind w:firstLine="720"/>
        <w:rPr>
          <w:rFonts w:ascii="Book Antiqua" w:hAnsi="Book Antiqua"/>
          <w:color w:val="242424"/>
          <w:sz w:val="26"/>
          <w:szCs w:val="26"/>
        </w:rPr>
      </w:pPr>
      <w:bookmarkStart w:name="_Toc8123724" w:id="13"/>
      <w:bookmarkStart w:name="_Toc133843855" w:id="14"/>
      <w:r w:rsidRPr="00B006FB">
        <w:rPr>
          <w:rFonts w:ascii="Book Antiqua" w:hAnsi="Book Antiqua"/>
          <w:color w:val="242424"/>
          <w:sz w:val="26"/>
          <w:szCs w:val="26"/>
          <w:bdr w:val="none" w:color="auto" w:sz="0" w:space="0" w:frame="1"/>
        </w:rPr>
        <w:t xml:space="preserve">This is an uncontested matter in which the decision grants the relief requested. </w:t>
      </w:r>
      <w:r w:rsidR="007C0FF1">
        <w:rPr>
          <w:rFonts w:ascii="Book Antiqua" w:hAnsi="Book Antiqua"/>
          <w:color w:val="242424"/>
          <w:sz w:val="26"/>
          <w:szCs w:val="26"/>
          <w:bdr w:val="none" w:color="auto" w:sz="0" w:space="0" w:frame="1"/>
        </w:rPr>
        <w:t xml:space="preserve"> </w:t>
      </w:r>
      <w:r w:rsidRPr="00B006FB">
        <w:rPr>
          <w:rFonts w:ascii="Book Antiqua" w:hAnsi="Book Antiqua"/>
          <w:color w:val="242424"/>
          <w:sz w:val="26"/>
          <w:szCs w:val="26"/>
          <w:bdr w:val="none" w:color="auto" w:sz="0" w:space="0" w:frame="1"/>
        </w:rPr>
        <w:t xml:space="preserve">Accordingly, pursuant to </w:t>
      </w:r>
      <w:r w:rsidR="007C0FF1">
        <w:rPr>
          <w:rFonts w:ascii="Book Antiqua" w:hAnsi="Book Antiqua"/>
          <w:color w:val="242424"/>
          <w:sz w:val="26"/>
          <w:szCs w:val="26"/>
          <w:bdr w:val="none" w:color="auto" w:sz="0" w:space="0" w:frame="1"/>
        </w:rPr>
        <w:t>Pub. Util. Code Section</w:t>
      </w:r>
      <w:r w:rsidRPr="00B006FB">
        <w:rPr>
          <w:rFonts w:ascii="Book Antiqua" w:hAnsi="Book Antiqua"/>
          <w:color w:val="242424"/>
          <w:sz w:val="26"/>
          <w:szCs w:val="26"/>
          <w:bdr w:val="none" w:color="auto" w:sz="0" w:space="0" w:frame="1"/>
        </w:rPr>
        <w:t xml:space="preserve"> 311(g)(2) and Rule</w:t>
      </w:r>
      <w:r w:rsidR="00CC1190">
        <w:rPr>
          <w:rFonts w:ascii="Book Antiqua" w:hAnsi="Book Antiqua"/>
          <w:color w:val="242424"/>
          <w:sz w:val="26"/>
          <w:szCs w:val="26"/>
          <w:bdr w:val="none" w:color="auto" w:sz="0" w:space="0" w:frame="1"/>
        </w:rPr>
        <w:t> </w:t>
      </w:r>
      <w:r w:rsidRPr="00B006FB">
        <w:rPr>
          <w:rFonts w:ascii="Book Antiqua" w:hAnsi="Book Antiqua"/>
          <w:color w:val="242424"/>
          <w:sz w:val="26"/>
          <w:szCs w:val="26"/>
          <w:bdr w:val="none" w:color="auto" w:sz="0" w:space="0" w:frame="1"/>
        </w:rPr>
        <w:t>14.6(c)(2), the otherwise applicable 30-day period for public review and comment is waived.</w:t>
      </w:r>
    </w:p>
    <w:p w:rsidR="005939A5" w:rsidP="006C51AF" w:rsidRDefault="005939A5" w14:paraId="70A8F660" w14:textId="77777777">
      <w:pPr>
        <w:pStyle w:val="Heading1"/>
        <w:spacing w:after="0" w:line="360" w:lineRule="auto"/>
      </w:pPr>
      <w:r>
        <w:t>Assignment of Proceeding</w:t>
      </w:r>
      <w:bookmarkEnd w:id="13"/>
      <w:bookmarkEnd w:id="14"/>
    </w:p>
    <w:p w:rsidR="005939A5" w:rsidP="006E6574" w:rsidRDefault="009B4969" w14:paraId="1D00AF66" w14:textId="37410AB8">
      <w:pPr>
        <w:pStyle w:val="Standard"/>
      </w:pPr>
      <w:r>
        <w:t>Karen Douglas</w:t>
      </w:r>
      <w:r w:rsidR="005939A5">
        <w:t xml:space="preserve"> is the assigned Commissioner and </w:t>
      </w:r>
      <w:r w:rsidR="00FB3B2B">
        <w:t>Elaine Lau</w:t>
      </w:r>
      <w:r w:rsidR="005939A5">
        <w:t xml:space="preserve"> is the assigned A</w:t>
      </w:r>
      <w:r w:rsidR="007C0FF1">
        <w:t>LJ</w:t>
      </w:r>
      <w:r w:rsidR="005939A5">
        <w:t xml:space="preserve"> in this proceeding.</w:t>
      </w:r>
    </w:p>
    <w:p w:rsidR="005939A5" w:rsidP="00A46571" w:rsidRDefault="005939A5" w14:paraId="3E558C89" w14:textId="77777777">
      <w:pPr>
        <w:pStyle w:val="Dummy"/>
        <w:spacing w:after="0" w:line="360" w:lineRule="auto"/>
      </w:pPr>
      <w:bookmarkStart w:name="_Toc8123725" w:id="15"/>
      <w:bookmarkStart w:name="_Toc133843856" w:id="16"/>
      <w:r>
        <w:t>Findings of Fact</w:t>
      </w:r>
      <w:bookmarkEnd w:id="15"/>
      <w:bookmarkEnd w:id="16"/>
    </w:p>
    <w:p w:rsidR="007513F2" w:rsidP="00CC1190" w:rsidRDefault="007513F2" w14:paraId="206A3D96" w14:textId="54C44795">
      <w:pPr>
        <w:pStyle w:val="FoF"/>
        <w:ind w:firstLine="360"/>
      </w:pPr>
      <w:r w:rsidRPr="00AE2B98">
        <w:t xml:space="preserve">On July 1, 2025, PG&amp;E filed this </w:t>
      </w:r>
      <w:r w:rsidR="007C0FF1">
        <w:t>a</w:t>
      </w:r>
      <w:r w:rsidRPr="00AE2B98">
        <w:t>pplication to seek gas line extension subsidies on behalf of its customers for customer projects.</w:t>
      </w:r>
    </w:p>
    <w:p w:rsidR="007513F2" w:rsidP="00CC1190" w:rsidRDefault="007513F2" w14:paraId="49357950" w14:textId="6DBD281F">
      <w:pPr>
        <w:pStyle w:val="FoF"/>
        <w:ind w:firstLine="360"/>
      </w:pPr>
      <w:r>
        <w:t xml:space="preserve">D.22-09-026 directs PG&amp;E to </w:t>
      </w:r>
      <w:r w:rsidRPr="00AE5C5C">
        <w:t xml:space="preserve">include an update to the non-residential gas line extension allowance calculations </w:t>
      </w:r>
      <w:r>
        <w:t xml:space="preserve">in its </w:t>
      </w:r>
      <w:r w:rsidR="00790BA6">
        <w:t>application.</w:t>
      </w:r>
    </w:p>
    <w:p w:rsidR="00767111" w:rsidP="00CC1190" w:rsidRDefault="00767111" w14:paraId="18FB0961" w14:textId="2EF3D6A3">
      <w:pPr>
        <w:pStyle w:val="FoF"/>
        <w:ind w:firstLine="360"/>
      </w:pPr>
      <w:r>
        <w:t>The</w:t>
      </w:r>
      <w:r w:rsidRPr="00AE5C5C">
        <w:t xml:space="preserve"> non-residential gas line extension allowance calculations</w:t>
      </w:r>
      <w:r>
        <w:t xml:space="preserve"> are necessary for the Commission to evaluate </w:t>
      </w:r>
      <w:r w:rsidRPr="00AE5C5C">
        <w:t>how much each customer’s requested gas line subsidy would cost ratepayers</w:t>
      </w:r>
      <w:r>
        <w:t>, which is a</w:t>
      </w:r>
      <w:r w:rsidR="0076030B">
        <w:t>n</w:t>
      </w:r>
      <w:r>
        <w:t xml:space="preserve"> issue </w:t>
      </w:r>
      <w:r w:rsidR="0076030B">
        <w:t>in this proceeding</w:t>
      </w:r>
      <w:r>
        <w:t>.</w:t>
      </w:r>
    </w:p>
    <w:p w:rsidR="00767111" w:rsidP="00CC1190" w:rsidRDefault="005C642D" w14:paraId="62F62BCB" w14:textId="104144D5">
      <w:pPr>
        <w:pStyle w:val="FoF"/>
        <w:ind w:firstLine="360"/>
      </w:pPr>
      <w:r>
        <w:t xml:space="preserve">On September 26, 2025, PG&amp;E filed a Motion to </w:t>
      </w:r>
      <w:r w:rsidR="007C0FF1">
        <w:t>W</w:t>
      </w:r>
      <w:r>
        <w:t xml:space="preserve">ithdraw, explaining that one of the two customers no longer wishes to proceed and that it does not have the </w:t>
      </w:r>
      <w:r w:rsidR="007C0FF1">
        <w:t>information required by D.22-09-026 for</w:t>
      </w:r>
      <w:r>
        <w:t xml:space="preserve"> the remaining customer project.</w:t>
      </w:r>
    </w:p>
    <w:p w:rsidR="00FF2416" w:rsidP="00CC1190" w:rsidRDefault="00FF2416" w14:paraId="584A0264" w14:textId="4AEA0EF8">
      <w:pPr>
        <w:pStyle w:val="FoF"/>
        <w:ind w:firstLine="360"/>
      </w:pPr>
      <w:r w:rsidRPr="00FF2416">
        <w:t xml:space="preserve">No parties opposed PG&amp;E’s </w:t>
      </w:r>
      <w:r w:rsidR="00EB6CF1">
        <w:t>M</w:t>
      </w:r>
      <w:r w:rsidRPr="00FF2416">
        <w:t xml:space="preserve">otion to </w:t>
      </w:r>
      <w:r w:rsidR="007C0FF1">
        <w:t>W</w:t>
      </w:r>
      <w:r w:rsidRPr="00FF2416">
        <w:t>ithdraw</w:t>
      </w:r>
      <w:r>
        <w:t>.</w:t>
      </w:r>
    </w:p>
    <w:p w:rsidR="005939A5" w:rsidP="00A46571" w:rsidRDefault="005939A5" w14:paraId="5CCF6DEA" w14:textId="77777777">
      <w:pPr>
        <w:pStyle w:val="Dummy"/>
        <w:spacing w:after="0" w:line="360" w:lineRule="auto"/>
      </w:pPr>
      <w:bookmarkStart w:name="_Toc8123726" w:id="17"/>
      <w:bookmarkStart w:name="_Toc133843857" w:id="18"/>
      <w:r>
        <w:t>Conclusions of Law</w:t>
      </w:r>
      <w:bookmarkEnd w:id="17"/>
      <w:bookmarkEnd w:id="18"/>
    </w:p>
    <w:p w:rsidR="00892FB3" w:rsidP="00A46571" w:rsidRDefault="00892FB3" w14:paraId="78A156E0" w14:textId="780E4152">
      <w:pPr>
        <w:pStyle w:val="CoL"/>
        <w:ind w:firstLine="360"/>
      </w:pPr>
      <w:r>
        <w:t xml:space="preserve">There is no foreseeable harm to the public interest in granting PG&amp;E’s Motion to </w:t>
      </w:r>
      <w:r w:rsidR="007C0FF1">
        <w:t>W</w:t>
      </w:r>
      <w:r>
        <w:t>ithdraw.</w:t>
      </w:r>
    </w:p>
    <w:p w:rsidR="00892FB3" w:rsidP="00A46571" w:rsidRDefault="00892FB3" w14:paraId="608ED220" w14:textId="7D46A5EE">
      <w:pPr>
        <w:pStyle w:val="CoL"/>
        <w:ind w:firstLine="360"/>
      </w:pPr>
      <w:r>
        <w:t xml:space="preserve">Granting PG&amp;E’s Motion to </w:t>
      </w:r>
      <w:r w:rsidR="007C0FF1">
        <w:t>W</w:t>
      </w:r>
      <w:r>
        <w:t>ithdr</w:t>
      </w:r>
      <w:r w:rsidR="00EE42C7">
        <w:t xml:space="preserve">aw </w:t>
      </w:r>
      <w:r>
        <w:t>is reasonable.</w:t>
      </w:r>
    </w:p>
    <w:p w:rsidR="00892FB3" w:rsidP="00A46571" w:rsidRDefault="00EE42C7" w14:paraId="621FEE1D" w14:textId="53250844">
      <w:pPr>
        <w:pStyle w:val="CoL"/>
        <w:ind w:firstLine="360"/>
      </w:pPr>
      <w:r>
        <w:t xml:space="preserve">PG&amp;E’s Motion to </w:t>
      </w:r>
      <w:r w:rsidR="007C0FF1">
        <w:t>W</w:t>
      </w:r>
      <w:r>
        <w:t xml:space="preserve">ithdraw </w:t>
      </w:r>
      <w:r w:rsidR="00892FB3">
        <w:t>should be granted.</w:t>
      </w:r>
    </w:p>
    <w:p w:rsidR="00892FB3" w:rsidP="00A46571" w:rsidRDefault="00892FB3" w14:paraId="29520D51" w14:textId="4D1F5A66">
      <w:pPr>
        <w:pStyle w:val="CoL"/>
        <w:ind w:firstLine="360"/>
      </w:pPr>
      <w:r>
        <w:t>This proceeding should be closed.</w:t>
      </w:r>
    </w:p>
    <w:p w:rsidR="00BB0243" w:rsidP="000A6E05" w:rsidRDefault="005939A5" w14:paraId="31BFFB78" w14:textId="77777777">
      <w:pPr>
        <w:pStyle w:val="Mainex"/>
      </w:pPr>
      <w:bookmarkStart w:name="_Toc133843858" w:id="19"/>
      <w:r>
        <w:lastRenderedPageBreak/>
        <w:t>O</w:t>
      </w:r>
      <w:r w:rsidR="00722850">
        <w:t>RDER</w:t>
      </w:r>
      <w:bookmarkEnd w:id="19"/>
    </w:p>
    <w:p w:rsidR="00BB0243" w:rsidP="000A6E05" w:rsidRDefault="00BB0243" w14:paraId="2D1EF9DF" w14:textId="77777777">
      <w:pPr>
        <w:keepNext/>
      </w:pPr>
      <w:r w:rsidRPr="00BB0243">
        <w:rPr>
          <w:b/>
        </w:rPr>
        <w:t>IT IS ORDERED</w:t>
      </w:r>
      <w:r>
        <w:t xml:space="preserve"> that:</w:t>
      </w:r>
    </w:p>
    <w:p w:rsidR="00932865" w:rsidP="00A46571" w:rsidRDefault="000E12C4" w14:paraId="18649A3C" w14:textId="60FEE3A4">
      <w:pPr>
        <w:pStyle w:val="OP"/>
        <w:numPr>
          <w:ilvl w:val="0"/>
          <w:numId w:val="18"/>
        </w:numPr>
        <w:ind w:firstLine="360"/>
      </w:pPr>
      <w:r w:rsidRPr="000E12C4">
        <w:t xml:space="preserve">Pacific Gas and Electric Company’s </w:t>
      </w:r>
      <w:r>
        <w:t>M</w:t>
      </w:r>
      <w:r w:rsidRPr="000E12C4">
        <w:t xml:space="preserve">otion to </w:t>
      </w:r>
      <w:r w:rsidR="007C0FF1">
        <w:t>W</w:t>
      </w:r>
      <w:r w:rsidRPr="000E12C4">
        <w:t xml:space="preserve">ithdraw </w:t>
      </w:r>
      <w:r>
        <w:t>A</w:t>
      </w:r>
      <w:r w:rsidRPr="000E12C4">
        <w:t>pplication</w:t>
      </w:r>
      <w:r w:rsidR="00A46571">
        <w:t xml:space="preserve"> </w:t>
      </w:r>
      <w:r>
        <w:rPr>
          <w:rFonts w:cs="Arial"/>
          <w:szCs w:val="26"/>
        </w:rPr>
        <w:t>25</w:t>
      </w:r>
      <w:r w:rsidR="00A46571">
        <w:rPr>
          <w:rFonts w:cs="Arial"/>
          <w:szCs w:val="26"/>
        </w:rPr>
        <w:noBreakHyphen/>
      </w:r>
      <w:r>
        <w:rPr>
          <w:rFonts w:cs="Arial"/>
          <w:szCs w:val="26"/>
        </w:rPr>
        <w:t>07-002</w:t>
      </w:r>
      <w:r w:rsidRPr="000E12C4">
        <w:t xml:space="preserve"> is granted</w:t>
      </w:r>
      <w:r w:rsidRPr="001E2A62" w:rsidR="000A6E05">
        <w:t>.</w:t>
      </w:r>
    </w:p>
    <w:p w:rsidR="000E12C4" w:rsidP="00A46571" w:rsidRDefault="000E12C4" w14:paraId="709D9889" w14:textId="7AA6CB41">
      <w:pPr>
        <w:pStyle w:val="OP"/>
        <w:numPr>
          <w:ilvl w:val="0"/>
          <w:numId w:val="18"/>
        </w:numPr>
        <w:ind w:firstLine="360"/>
      </w:pPr>
      <w:r>
        <w:t>A</w:t>
      </w:r>
      <w:r w:rsidRPr="000E12C4">
        <w:t>pplication</w:t>
      </w:r>
      <w:r>
        <w:t xml:space="preserve"> </w:t>
      </w:r>
      <w:r>
        <w:rPr>
          <w:rFonts w:cs="Arial"/>
          <w:szCs w:val="26"/>
        </w:rPr>
        <w:t>25-07-002</w:t>
      </w:r>
      <w:r w:rsidRPr="000E12C4">
        <w:t xml:space="preserve"> is</w:t>
      </w:r>
      <w:r>
        <w:t xml:space="preserve"> dismissed without prejudice.</w:t>
      </w:r>
    </w:p>
    <w:p w:rsidR="00F6397D" w:rsidP="00A46571" w:rsidRDefault="00E23CBB" w14:paraId="667DA871" w14:textId="60BBFEB9">
      <w:pPr>
        <w:pStyle w:val="OP"/>
        <w:numPr>
          <w:ilvl w:val="0"/>
          <w:numId w:val="18"/>
        </w:numPr>
        <w:ind w:firstLine="360"/>
      </w:pPr>
      <w:r w:rsidRPr="001E2A62">
        <w:t xml:space="preserve">Application </w:t>
      </w:r>
      <w:r w:rsidR="00E03C8A">
        <w:rPr>
          <w:rFonts w:cs="Arial"/>
          <w:szCs w:val="26"/>
        </w:rPr>
        <w:t>25-07-002</w:t>
      </w:r>
      <w:r w:rsidRPr="001E2A62">
        <w:t xml:space="preserve"> is closed.</w:t>
      </w:r>
    </w:p>
    <w:p w:rsidR="008F0116" w:rsidP="008F0116" w:rsidRDefault="008F0116" w14:paraId="7DB3DD2D" w14:textId="77777777">
      <w:r>
        <w:t>This order is effective today.</w:t>
      </w:r>
    </w:p>
    <w:p w:rsidR="00714CF2" w:rsidP="00816E05" w:rsidRDefault="008F0116" w14:paraId="7838F74A" w14:textId="421572CD">
      <w:r>
        <w:t xml:space="preserve">Dated </w:t>
      </w:r>
      <w:r w:rsidR="00AF79EF">
        <w:t>June</w:t>
      </w:r>
      <w:r w:rsidR="00A46571">
        <w:t> 11</w:t>
      </w:r>
      <w:r w:rsidR="00AF79EF">
        <w:t>,</w:t>
      </w:r>
      <w:r w:rsidR="00A46571">
        <w:t> </w:t>
      </w:r>
      <w:r w:rsidR="00AF79EF">
        <w:t>2026</w:t>
      </w:r>
      <w:r>
        <w:t xml:space="preserve">, at </w:t>
      </w:r>
      <w:r w:rsidR="009C6F0A">
        <w:t>Sacramento</w:t>
      </w:r>
      <w:r>
        <w:t>, California</w:t>
      </w:r>
      <w:r w:rsidR="00AF79EF">
        <w:t>.</w:t>
      </w:r>
    </w:p>
    <w:p w:rsidR="00CC1190" w:rsidP="00816E05" w:rsidRDefault="00CC1190" w14:paraId="4DA00D58" w14:textId="77777777"/>
    <w:p w:rsidR="00CC1190" w:rsidP="00816E05" w:rsidRDefault="00CC1190" w14:paraId="1583C53B" w14:textId="77777777"/>
    <w:p w:rsidRPr="00CC1190" w:rsidR="00CC1190" w:rsidP="00CC1190" w:rsidRDefault="00CC1190" w14:paraId="6C78FF69" w14:textId="77777777">
      <w:pPr>
        <w:spacing w:line="240" w:lineRule="auto"/>
        <w:ind w:left="5040"/>
      </w:pPr>
      <w:r w:rsidRPr="00CC1190">
        <w:t>JOHN REYNOLDS</w:t>
      </w:r>
    </w:p>
    <w:p w:rsidRPr="00CC1190" w:rsidR="00CC1190" w:rsidP="00CC1190" w:rsidRDefault="00CC1190" w14:paraId="78EB56F4" w14:textId="6C70C219">
      <w:pPr>
        <w:spacing w:line="240" w:lineRule="auto"/>
        <w:ind w:left="5040"/>
      </w:pPr>
      <w:r w:rsidRPr="00CC1190">
        <w:tab/>
      </w:r>
      <w:r w:rsidRPr="00CC1190">
        <w:tab/>
        <w:t>President</w:t>
      </w:r>
    </w:p>
    <w:p w:rsidRPr="00CC1190" w:rsidR="00CC1190" w:rsidP="00CC1190" w:rsidRDefault="00CC1190" w14:paraId="7773B98F" w14:textId="77777777">
      <w:pPr>
        <w:spacing w:line="240" w:lineRule="auto"/>
        <w:ind w:left="5040"/>
      </w:pPr>
      <w:r w:rsidRPr="00CC1190">
        <w:t>DARCIE L. HOUCK</w:t>
      </w:r>
    </w:p>
    <w:p w:rsidRPr="00CC1190" w:rsidR="00CC1190" w:rsidP="00CC1190" w:rsidRDefault="00CC1190" w14:paraId="2DA2AAF2" w14:textId="77777777">
      <w:pPr>
        <w:spacing w:line="240" w:lineRule="auto"/>
        <w:ind w:left="5040"/>
      </w:pPr>
      <w:r w:rsidRPr="00CC1190">
        <w:t>KAREN DOUGLAS</w:t>
      </w:r>
    </w:p>
    <w:p w:rsidRPr="00CC1190" w:rsidR="00CC1190" w:rsidP="00CC1190" w:rsidRDefault="00CC1190" w14:paraId="5484D377" w14:textId="77777777">
      <w:pPr>
        <w:spacing w:line="240" w:lineRule="auto"/>
        <w:ind w:left="5040"/>
      </w:pPr>
      <w:r w:rsidRPr="00CC1190">
        <w:t>MATTHEW BAKER</w:t>
      </w:r>
    </w:p>
    <w:p w:rsidRPr="00CC1190" w:rsidR="00CC1190" w:rsidP="00CC1190" w:rsidRDefault="00CC1190" w14:paraId="06B15600" w14:textId="77777777">
      <w:pPr>
        <w:spacing w:line="240" w:lineRule="auto"/>
        <w:ind w:left="5040"/>
      </w:pPr>
      <w:r w:rsidRPr="00CC1190">
        <w:t>CHRISTINE HARADA</w:t>
      </w:r>
    </w:p>
    <w:p w:rsidRPr="00714CF2" w:rsidR="00CC1190" w:rsidP="00CC1190" w:rsidRDefault="00CC1190" w14:paraId="4B011B5A" w14:textId="5C3CE257">
      <w:pPr>
        <w:spacing w:line="240" w:lineRule="auto"/>
        <w:ind w:left="5040"/>
      </w:pPr>
      <w:r w:rsidRPr="00CC1190">
        <w:tab/>
      </w:r>
      <w:r w:rsidRPr="00CC1190">
        <w:tab/>
        <w:t>Commissioners</w:t>
      </w:r>
    </w:p>
    <w:sectPr w:rsidRPr="00714CF2" w:rsidR="00CC1190" w:rsidSect="002A2B68">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77FB" w14:textId="77777777" w:rsidR="00E340E5" w:rsidRDefault="00E340E5" w:rsidP="0098138E">
      <w:pPr>
        <w:spacing w:line="240" w:lineRule="auto"/>
      </w:pPr>
      <w:r>
        <w:separator/>
      </w:r>
    </w:p>
  </w:endnote>
  <w:endnote w:type="continuationSeparator" w:id="0">
    <w:p w14:paraId="0517312C" w14:textId="77777777" w:rsidR="00E340E5" w:rsidRDefault="00E340E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05150"/>
      <w:docPartObj>
        <w:docPartGallery w:val="Page Numbers (Bottom of Page)"/>
        <w:docPartUnique/>
      </w:docPartObj>
    </w:sdtPr>
    <w:sdtEndPr>
      <w:rPr>
        <w:noProof/>
      </w:rPr>
    </w:sdtEndPr>
    <w:sdtContent>
      <w:p w14:paraId="4503676E" w14:textId="7D71FADE" w:rsidR="00994786" w:rsidRDefault="00994786" w:rsidP="00994786">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18697"/>
      <w:docPartObj>
        <w:docPartGallery w:val="Page Numbers (Bottom of Page)"/>
        <w:docPartUnique/>
      </w:docPartObj>
    </w:sdtPr>
    <w:sdtEndPr>
      <w:rPr>
        <w:noProof/>
      </w:rPr>
    </w:sdtEndPr>
    <w:sdtContent>
      <w:p w14:paraId="28AA61C6" w14:textId="491B8E24" w:rsidR="00994786" w:rsidRDefault="00410B34" w:rsidP="00994786">
        <w:pPr>
          <w:pStyle w:val="Footer"/>
          <w:ind w:firstLine="0"/>
        </w:pPr>
        <w:r w:rsidRPr="00410B34">
          <w:rPr>
            <w:sz w:val="16"/>
            <w:szCs w:val="16"/>
          </w:rPr>
          <w:t>609292442</w:t>
        </w:r>
        <w:r w:rsidR="00994786">
          <w:tab/>
        </w:r>
        <w:r w:rsidR="00994786">
          <w:fldChar w:fldCharType="begin"/>
        </w:r>
        <w:r w:rsidR="00994786">
          <w:instrText xml:space="preserve"> PAGE   \* MERGEFORMAT </w:instrText>
        </w:r>
        <w:r w:rsidR="00994786">
          <w:fldChar w:fldCharType="separate"/>
        </w:r>
        <w:r w:rsidR="00994786">
          <w:rPr>
            <w:noProof/>
          </w:rPr>
          <w:t>2</w:t>
        </w:r>
        <w:r w:rsidR="0099478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FBDB" w14:textId="77777777" w:rsidR="00E340E5" w:rsidRDefault="00E340E5" w:rsidP="00DF58E7">
      <w:pPr>
        <w:spacing w:line="240" w:lineRule="auto"/>
        <w:ind w:firstLine="0"/>
      </w:pPr>
      <w:r>
        <w:separator/>
      </w:r>
    </w:p>
  </w:footnote>
  <w:footnote w:type="continuationSeparator" w:id="0">
    <w:p w14:paraId="4DB1B793" w14:textId="77777777" w:rsidR="00E340E5" w:rsidRDefault="00E340E5" w:rsidP="00DF58E7">
      <w:pPr>
        <w:spacing w:line="240" w:lineRule="auto"/>
        <w:ind w:firstLine="0"/>
      </w:pPr>
      <w:r>
        <w:continuationSeparator/>
      </w:r>
    </w:p>
  </w:footnote>
  <w:footnote w:type="continuationNotice" w:id="1">
    <w:p w14:paraId="60DCF2ED" w14:textId="77777777" w:rsidR="00E340E5" w:rsidRPr="00DF58E7" w:rsidRDefault="00E340E5" w:rsidP="00DF58E7">
      <w:pPr>
        <w:spacing w:line="240" w:lineRule="auto"/>
        <w:ind w:firstLine="0"/>
        <w:jc w:val="right"/>
        <w:rPr>
          <w:i/>
          <w:sz w:val="22"/>
        </w:rPr>
      </w:pPr>
      <w:r w:rsidRPr="00DF58E7">
        <w:rPr>
          <w:i/>
          <w:sz w:val="22"/>
        </w:rPr>
        <w:t>Footnote continued on next page.</w:t>
      </w:r>
    </w:p>
  </w:footnote>
  <w:footnote w:id="2">
    <w:p w14:paraId="73561061" w14:textId="4DA3571B" w:rsidR="009F1818" w:rsidRPr="009F1818" w:rsidRDefault="009F1818">
      <w:pPr>
        <w:pStyle w:val="FootnoteText"/>
        <w:rPr>
          <w:lang w:val="en-ZW"/>
        </w:rPr>
      </w:pPr>
      <w:r>
        <w:rPr>
          <w:rStyle w:val="FootnoteReference"/>
        </w:rPr>
        <w:footnoteRef/>
      </w:r>
      <w:r>
        <w:t xml:space="preserve"> </w:t>
      </w:r>
      <w:r w:rsidR="00E73998">
        <w:rPr>
          <w:lang w:val="en-ZW"/>
        </w:rPr>
        <w:t>D.</w:t>
      </w:r>
      <w:r w:rsidR="00E73998" w:rsidRPr="00E73998">
        <w:t xml:space="preserve">22-09-026 at </w:t>
      </w:r>
      <w:r w:rsidR="007C0FF1">
        <w:t>Ordering Paragraph (OP) 2</w:t>
      </w:r>
      <w:r w:rsidR="00E73998" w:rsidRPr="00E73998">
        <w:t>.</w:t>
      </w:r>
    </w:p>
  </w:footnote>
  <w:footnote w:id="3">
    <w:p w14:paraId="38ACD141" w14:textId="550CA0EE" w:rsidR="009E6652" w:rsidRPr="009E6652" w:rsidRDefault="009E6652" w:rsidP="00A46571">
      <w:pPr>
        <w:pStyle w:val="FootnoteText"/>
        <w:spacing w:after="0"/>
        <w:rPr>
          <w:lang w:val="en-ZW"/>
        </w:rPr>
      </w:pPr>
      <w:r>
        <w:rPr>
          <w:rStyle w:val="FootnoteReference"/>
        </w:rPr>
        <w:footnoteRef/>
      </w:r>
      <w:r>
        <w:t xml:space="preserve"> </w:t>
      </w:r>
      <w:r w:rsidR="00550981">
        <w:rPr>
          <w:lang w:val="en-ZW"/>
        </w:rPr>
        <w:t>PG&amp;E’s Motion at 2.</w:t>
      </w:r>
    </w:p>
  </w:footnote>
  <w:footnote w:id="4">
    <w:p w14:paraId="31C6C513" w14:textId="7EB08C83" w:rsidR="00124A40" w:rsidRPr="00124A40" w:rsidRDefault="00124A40">
      <w:pPr>
        <w:pStyle w:val="FootnoteText"/>
        <w:rPr>
          <w:lang w:val="en-ZW"/>
        </w:rPr>
      </w:pPr>
      <w:r>
        <w:rPr>
          <w:rStyle w:val="FootnoteReference"/>
        </w:rPr>
        <w:footnoteRef/>
      </w:r>
      <w:r>
        <w:t xml:space="preserve"> </w:t>
      </w:r>
      <w:r>
        <w:rPr>
          <w:lang w:val="en-ZW"/>
        </w:rPr>
        <w:t>PG&amp;E’s Response at 2.</w:t>
      </w:r>
    </w:p>
  </w:footnote>
  <w:footnote w:id="5">
    <w:p w14:paraId="740591C8" w14:textId="02B34CAA" w:rsidR="00D1293A" w:rsidRPr="007662E1" w:rsidRDefault="00D1293A">
      <w:pPr>
        <w:pStyle w:val="FootnoteText"/>
        <w:rPr>
          <w:lang w:val="en-ZW"/>
        </w:rPr>
      </w:pPr>
      <w:r w:rsidRPr="007662E1">
        <w:rPr>
          <w:rStyle w:val="FootnoteReference"/>
        </w:rPr>
        <w:footnoteRef/>
      </w:r>
      <w:r w:rsidRPr="007662E1">
        <w:t xml:space="preserve"> D.</w:t>
      </w:r>
      <w:r w:rsidR="00536581" w:rsidRPr="007662E1">
        <w:t xml:space="preserve">20-02-010 at </w:t>
      </w:r>
      <w:r w:rsidR="005C34C4" w:rsidRPr="007662E1">
        <w:t>3</w:t>
      </w:r>
      <w:r w:rsidR="00536581" w:rsidRPr="007662E1">
        <w:t>.</w:t>
      </w:r>
    </w:p>
  </w:footnote>
  <w:footnote w:id="6">
    <w:p w14:paraId="56D1719E" w14:textId="381899FA" w:rsidR="0086628A" w:rsidRPr="0086628A" w:rsidRDefault="0086628A" w:rsidP="00A46571">
      <w:pPr>
        <w:pStyle w:val="FootnoteText"/>
        <w:spacing w:after="0"/>
        <w:rPr>
          <w:lang w:val="en-ZW"/>
        </w:rPr>
      </w:pPr>
      <w:r w:rsidRPr="007662E1">
        <w:rPr>
          <w:rStyle w:val="FootnoteReference"/>
        </w:rPr>
        <w:footnoteRef/>
      </w:r>
      <w:r w:rsidRPr="007662E1">
        <w:t xml:space="preserve"> </w:t>
      </w:r>
      <w:r w:rsidR="005C34C4" w:rsidRPr="007662E1">
        <w:rPr>
          <w:i/>
          <w:iCs/>
        </w:rPr>
        <w:t>Ibid.</w:t>
      </w:r>
    </w:p>
  </w:footnote>
  <w:footnote w:id="7">
    <w:p w14:paraId="2C845FAB" w14:textId="20B1FD99" w:rsidR="00550981" w:rsidRPr="00550981" w:rsidRDefault="00550981">
      <w:pPr>
        <w:pStyle w:val="FootnoteText"/>
        <w:rPr>
          <w:lang w:val="en-ZW"/>
        </w:rPr>
      </w:pPr>
      <w:r>
        <w:rPr>
          <w:rStyle w:val="FootnoteReference"/>
        </w:rPr>
        <w:footnoteRef/>
      </w:r>
      <w:r>
        <w:t xml:space="preserve"> </w:t>
      </w:r>
      <w:r>
        <w:rPr>
          <w:lang w:val="en-ZW"/>
        </w:rPr>
        <w:t>PG&amp;E’s Response at 2.</w:t>
      </w:r>
    </w:p>
  </w:footnote>
  <w:footnote w:id="8">
    <w:p w14:paraId="7084C137" w14:textId="0948B9A2" w:rsidR="00556C96" w:rsidRPr="00556C96" w:rsidRDefault="00556C96" w:rsidP="00A46571">
      <w:pPr>
        <w:pStyle w:val="FootnoteText"/>
        <w:spacing w:after="0"/>
      </w:pPr>
      <w:r>
        <w:rPr>
          <w:rStyle w:val="FootnoteReference"/>
        </w:rPr>
        <w:footnoteRef/>
      </w:r>
      <w:r>
        <w:t xml:space="preserve"> </w:t>
      </w:r>
      <w:r>
        <w:rPr>
          <w:i/>
          <w:iCs/>
        </w:rPr>
        <w:t>Ibid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1C64" w14:textId="495D154E" w:rsidR="00994786" w:rsidRDefault="00994786" w:rsidP="00994786">
    <w:pPr>
      <w:pStyle w:val="Header"/>
      <w:ind w:firstLine="0"/>
      <w:rPr>
        <w:b/>
        <w:bCs/>
      </w:rPr>
    </w:pPr>
    <w:r>
      <w:t>A.25-07-002  ALJ/EC2/</w:t>
    </w:r>
    <w:r w:rsidR="009C6F0A">
      <w:t>jds</w:t>
    </w:r>
    <w:r>
      <w:tab/>
    </w:r>
    <w:r>
      <w:tab/>
    </w:r>
    <w:r w:rsidRPr="00994786">
      <w:rPr>
        <w:b/>
        <w:bCs/>
      </w:rPr>
      <w:t>PROPOSED DECISION</w:t>
    </w:r>
  </w:p>
  <w:p w14:paraId="6FDBD7BB" w14:textId="77777777" w:rsidR="00A46571" w:rsidRDefault="00A46571" w:rsidP="00994786">
    <w:pPr>
      <w:pStyle w:val="Header"/>
      <w:ind w:firstLine="0"/>
      <w:rPr>
        <w:b/>
        <w:bCs/>
      </w:rPr>
    </w:pPr>
  </w:p>
  <w:p w14:paraId="5E6973DD" w14:textId="77777777" w:rsidR="00994786" w:rsidRPr="00C27FF1" w:rsidRDefault="00994786" w:rsidP="00994786">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B39E" w14:textId="77777777" w:rsidR="00944FFA" w:rsidRPr="00C27FF1" w:rsidRDefault="00944FFA" w:rsidP="00944FF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9700694"/>
    <w:multiLevelType w:val="singleLevel"/>
    <w:tmpl w:val="5E566520"/>
    <w:lvl w:ilvl="0">
      <w:start w:val="1"/>
      <w:numFmt w:val="decimal"/>
      <w:lvlText w:val="%1."/>
      <w:lvlJc w:val="left"/>
      <w:pPr>
        <w:ind w:left="0" w:firstLine="540"/>
      </w:pPr>
      <w:rPr>
        <w:rFonts w:hint="default"/>
      </w:rPr>
    </w:lvl>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486212C5"/>
    <w:multiLevelType w:val="singleLevel"/>
    <w:tmpl w:val="B00C383C"/>
    <w:lvl w:ilvl="0">
      <w:start w:val="1"/>
      <w:numFmt w:val="decimal"/>
      <w:pStyle w:val="FoF"/>
      <w:lvlText w:val="%1."/>
      <w:lvlJc w:val="left"/>
      <w:pPr>
        <w:ind w:left="0" w:firstLine="540"/>
      </w:pPr>
      <w:rPr>
        <w:rFonts w:hint="default"/>
      </w:rPr>
    </w:lvl>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abstractNum w:abstractNumId="15" w15:restartNumberingAfterBreak="0">
    <w:nsid w:val="79B60B90"/>
    <w:multiLevelType w:val="singleLevel"/>
    <w:tmpl w:val="5E566520"/>
    <w:lvl w:ilvl="0">
      <w:start w:val="1"/>
      <w:numFmt w:val="decimal"/>
      <w:pStyle w:val="CoL"/>
      <w:lvlText w:val="%1."/>
      <w:lvlJc w:val="left"/>
      <w:pPr>
        <w:ind w:left="0" w:firstLine="540"/>
      </w:pPr>
      <w:rPr>
        <w:rFonts w:hint="default"/>
      </w:rPr>
    </w:lvl>
  </w:abstractNum>
  <w:num w:numId="1" w16cid:durableId="1354526949">
    <w:abstractNumId w:val="11"/>
  </w:num>
  <w:num w:numId="2" w16cid:durableId="140774137">
    <w:abstractNumId w:val="1"/>
  </w:num>
  <w:num w:numId="3" w16cid:durableId="1898543446">
    <w:abstractNumId w:val="10"/>
  </w:num>
  <w:num w:numId="4" w16cid:durableId="701521005">
    <w:abstractNumId w:val="15"/>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95853381">
    <w:abstractNumId w:val="2"/>
  </w:num>
  <w:num w:numId="19" w16cid:durableId="404184523">
    <w:abstractNumId w:val="12"/>
  </w:num>
  <w:num w:numId="20" w16cid:durableId="581644516">
    <w:abstractNumId w:val="12"/>
  </w:num>
  <w:num w:numId="21" w16cid:durableId="819660432">
    <w:abstractNumId w:val="12"/>
  </w:num>
  <w:num w:numId="22" w16cid:durableId="75235441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4F"/>
    <w:rsid w:val="00000F6A"/>
    <w:rsid w:val="00005FAF"/>
    <w:rsid w:val="0001686E"/>
    <w:rsid w:val="00021577"/>
    <w:rsid w:val="00033CE9"/>
    <w:rsid w:val="00057356"/>
    <w:rsid w:val="00060D4C"/>
    <w:rsid w:val="000673F2"/>
    <w:rsid w:val="00067E05"/>
    <w:rsid w:val="0007115A"/>
    <w:rsid w:val="000839D1"/>
    <w:rsid w:val="000973C8"/>
    <w:rsid w:val="000A0D0F"/>
    <w:rsid w:val="000A2AA9"/>
    <w:rsid w:val="000A56F2"/>
    <w:rsid w:val="000A6E05"/>
    <w:rsid w:val="000B12FA"/>
    <w:rsid w:val="000C08BF"/>
    <w:rsid w:val="000C3B9A"/>
    <w:rsid w:val="000C7B8A"/>
    <w:rsid w:val="000D25A8"/>
    <w:rsid w:val="000E12C4"/>
    <w:rsid w:val="000E270A"/>
    <w:rsid w:val="000E4C53"/>
    <w:rsid w:val="000F48C6"/>
    <w:rsid w:val="001010A5"/>
    <w:rsid w:val="001017F1"/>
    <w:rsid w:val="00121089"/>
    <w:rsid w:val="00121BB6"/>
    <w:rsid w:val="00124A40"/>
    <w:rsid w:val="0012717F"/>
    <w:rsid w:val="00135C02"/>
    <w:rsid w:val="00141499"/>
    <w:rsid w:val="001523FF"/>
    <w:rsid w:val="00153E4B"/>
    <w:rsid w:val="00160115"/>
    <w:rsid w:val="00184A8F"/>
    <w:rsid w:val="001967FD"/>
    <w:rsid w:val="001A4794"/>
    <w:rsid w:val="001A52FA"/>
    <w:rsid w:val="001A7DC2"/>
    <w:rsid w:val="001C152E"/>
    <w:rsid w:val="001C363F"/>
    <w:rsid w:val="001E2A62"/>
    <w:rsid w:val="001F2819"/>
    <w:rsid w:val="001F7883"/>
    <w:rsid w:val="00200226"/>
    <w:rsid w:val="002043EC"/>
    <w:rsid w:val="002127BB"/>
    <w:rsid w:val="0022459C"/>
    <w:rsid w:val="002247C3"/>
    <w:rsid w:val="00230702"/>
    <w:rsid w:val="00240721"/>
    <w:rsid w:val="00243C0E"/>
    <w:rsid w:val="00243DC0"/>
    <w:rsid w:val="00247477"/>
    <w:rsid w:val="002618A8"/>
    <w:rsid w:val="00270440"/>
    <w:rsid w:val="00276A27"/>
    <w:rsid w:val="00281E67"/>
    <w:rsid w:val="00284D8D"/>
    <w:rsid w:val="00287BC5"/>
    <w:rsid w:val="00293DEE"/>
    <w:rsid w:val="002A0B5D"/>
    <w:rsid w:val="002A2B68"/>
    <w:rsid w:val="002B1512"/>
    <w:rsid w:val="002B391B"/>
    <w:rsid w:val="002C6E83"/>
    <w:rsid w:val="002C7FE9"/>
    <w:rsid w:val="002D0DC5"/>
    <w:rsid w:val="002D3BD5"/>
    <w:rsid w:val="002D4EFD"/>
    <w:rsid w:val="002E29DF"/>
    <w:rsid w:val="002F74F5"/>
    <w:rsid w:val="00315A97"/>
    <w:rsid w:val="00316071"/>
    <w:rsid w:val="00326C6F"/>
    <w:rsid w:val="00343E5C"/>
    <w:rsid w:val="00344FB8"/>
    <w:rsid w:val="0036017B"/>
    <w:rsid w:val="00362755"/>
    <w:rsid w:val="00373B93"/>
    <w:rsid w:val="00380CD1"/>
    <w:rsid w:val="003A02CA"/>
    <w:rsid w:val="003A38F0"/>
    <w:rsid w:val="003B47E4"/>
    <w:rsid w:val="003B4C26"/>
    <w:rsid w:val="003E204A"/>
    <w:rsid w:val="003E2DD7"/>
    <w:rsid w:val="003F069A"/>
    <w:rsid w:val="003F4329"/>
    <w:rsid w:val="0040084E"/>
    <w:rsid w:val="00410B34"/>
    <w:rsid w:val="00412534"/>
    <w:rsid w:val="00412C83"/>
    <w:rsid w:val="004173C8"/>
    <w:rsid w:val="00426014"/>
    <w:rsid w:val="00432AB2"/>
    <w:rsid w:val="0044617E"/>
    <w:rsid w:val="00451A98"/>
    <w:rsid w:val="0046078B"/>
    <w:rsid w:val="004609FA"/>
    <w:rsid w:val="00460B7D"/>
    <w:rsid w:val="00461CAF"/>
    <w:rsid w:val="00470448"/>
    <w:rsid w:val="00472C6E"/>
    <w:rsid w:val="00475F4C"/>
    <w:rsid w:val="00480CB0"/>
    <w:rsid w:val="00483603"/>
    <w:rsid w:val="00491C9B"/>
    <w:rsid w:val="0049318D"/>
    <w:rsid w:val="00495BD4"/>
    <w:rsid w:val="004A1EAD"/>
    <w:rsid w:val="004A4112"/>
    <w:rsid w:val="004A47BE"/>
    <w:rsid w:val="004B0EAD"/>
    <w:rsid w:val="004B34EA"/>
    <w:rsid w:val="004B5044"/>
    <w:rsid w:val="004B5494"/>
    <w:rsid w:val="004C7A2B"/>
    <w:rsid w:val="004C7D3A"/>
    <w:rsid w:val="004D3B35"/>
    <w:rsid w:val="004D55BF"/>
    <w:rsid w:val="004E4AD2"/>
    <w:rsid w:val="005018A8"/>
    <w:rsid w:val="00505A39"/>
    <w:rsid w:val="00523AA2"/>
    <w:rsid w:val="005240BF"/>
    <w:rsid w:val="00525D0F"/>
    <w:rsid w:val="00536581"/>
    <w:rsid w:val="00550981"/>
    <w:rsid w:val="00552FD8"/>
    <w:rsid w:val="0055411D"/>
    <w:rsid w:val="00556C96"/>
    <w:rsid w:val="00562E6A"/>
    <w:rsid w:val="00585390"/>
    <w:rsid w:val="005939A5"/>
    <w:rsid w:val="005A148C"/>
    <w:rsid w:val="005C34C4"/>
    <w:rsid w:val="005C58FA"/>
    <w:rsid w:val="005C642D"/>
    <w:rsid w:val="005D625A"/>
    <w:rsid w:val="005E0DEF"/>
    <w:rsid w:val="005E2356"/>
    <w:rsid w:val="005F1ADE"/>
    <w:rsid w:val="00603238"/>
    <w:rsid w:val="0060525E"/>
    <w:rsid w:val="0061035D"/>
    <w:rsid w:val="00632207"/>
    <w:rsid w:val="0063491C"/>
    <w:rsid w:val="00641A5C"/>
    <w:rsid w:val="00652B3C"/>
    <w:rsid w:val="00661AFE"/>
    <w:rsid w:val="00663A58"/>
    <w:rsid w:val="00680F19"/>
    <w:rsid w:val="00683B2C"/>
    <w:rsid w:val="00690209"/>
    <w:rsid w:val="006A7ADC"/>
    <w:rsid w:val="006C1F10"/>
    <w:rsid w:val="006C41FB"/>
    <w:rsid w:val="006C4BA0"/>
    <w:rsid w:val="006C51AF"/>
    <w:rsid w:val="006C5DD5"/>
    <w:rsid w:val="006D12A8"/>
    <w:rsid w:val="006E5E28"/>
    <w:rsid w:val="006E6574"/>
    <w:rsid w:val="006F4D94"/>
    <w:rsid w:val="007001AF"/>
    <w:rsid w:val="00714CF2"/>
    <w:rsid w:val="007156B9"/>
    <w:rsid w:val="007169CE"/>
    <w:rsid w:val="00720817"/>
    <w:rsid w:val="00722850"/>
    <w:rsid w:val="0073353F"/>
    <w:rsid w:val="00735A91"/>
    <w:rsid w:val="00742E45"/>
    <w:rsid w:val="007443E0"/>
    <w:rsid w:val="007447AF"/>
    <w:rsid w:val="00750816"/>
    <w:rsid w:val="007513F2"/>
    <w:rsid w:val="0076030B"/>
    <w:rsid w:val="007657C1"/>
    <w:rsid w:val="007662E1"/>
    <w:rsid w:val="00767111"/>
    <w:rsid w:val="0077755F"/>
    <w:rsid w:val="00790BA6"/>
    <w:rsid w:val="00796293"/>
    <w:rsid w:val="007A406D"/>
    <w:rsid w:val="007A62B0"/>
    <w:rsid w:val="007A75D1"/>
    <w:rsid w:val="007B03AC"/>
    <w:rsid w:val="007B7227"/>
    <w:rsid w:val="007C0FF1"/>
    <w:rsid w:val="007C5A0C"/>
    <w:rsid w:val="007E0FEE"/>
    <w:rsid w:val="007F2017"/>
    <w:rsid w:val="0080390E"/>
    <w:rsid w:val="00814FB8"/>
    <w:rsid w:val="008159CF"/>
    <w:rsid w:val="00816E05"/>
    <w:rsid w:val="00820511"/>
    <w:rsid w:val="00823EFA"/>
    <w:rsid w:val="008339BB"/>
    <w:rsid w:val="008475E2"/>
    <w:rsid w:val="00863EA4"/>
    <w:rsid w:val="0086419A"/>
    <w:rsid w:val="0086628A"/>
    <w:rsid w:val="0087023B"/>
    <w:rsid w:val="0088094D"/>
    <w:rsid w:val="00892FB3"/>
    <w:rsid w:val="008A08BF"/>
    <w:rsid w:val="008A179F"/>
    <w:rsid w:val="008A5935"/>
    <w:rsid w:val="008B0864"/>
    <w:rsid w:val="008B175A"/>
    <w:rsid w:val="008B7108"/>
    <w:rsid w:val="008C332B"/>
    <w:rsid w:val="008C3CB7"/>
    <w:rsid w:val="008C7413"/>
    <w:rsid w:val="008D16B7"/>
    <w:rsid w:val="008E6AE6"/>
    <w:rsid w:val="008F0116"/>
    <w:rsid w:val="008F143D"/>
    <w:rsid w:val="009211DF"/>
    <w:rsid w:val="0092258E"/>
    <w:rsid w:val="009245B7"/>
    <w:rsid w:val="00932865"/>
    <w:rsid w:val="00943C9F"/>
    <w:rsid w:val="00943CDF"/>
    <w:rsid w:val="00944FFA"/>
    <w:rsid w:val="00947C65"/>
    <w:rsid w:val="00980FAE"/>
    <w:rsid w:val="0098138E"/>
    <w:rsid w:val="0098655A"/>
    <w:rsid w:val="00991492"/>
    <w:rsid w:val="00994786"/>
    <w:rsid w:val="00997D7B"/>
    <w:rsid w:val="009A195B"/>
    <w:rsid w:val="009A2C1F"/>
    <w:rsid w:val="009A6E36"/>
    <w:rsid w:val="009B1A4E"/>
    <w:rsid w:val="009B4969"/>
    <w:rsid w:val="009B62D1"/>
    <w:rsid w:val="009C4194"/>
    <w:rsid w:val="009C5D92"/>
    <w:rsid w:val="009C6F0A"/>
    <w:rsid w:val="009D7CD7"/>
    <w:rsid w:val="009E6052"/>
    <w:rsid w:val="009E6652"/>
    <w:rsid w:val="009E7C7F"/>
    <w:rsid w:val="009F1818"/>
    <w:rsid w:val="009F5D79"/>
    <w:rsid w:val="00A02297"/>
    <w:rsid w:val="00A17CE0"/>
    <w:rsid w:val="00A21FCC"/>
    <w:rsid w:val="00A228FE"/>
    <w:rsid w:val="00A23D48"/>
    <w:rsid w:val="00A42306"/>
    <w:rsid w:val="00A44E8D"/>
    <w:rsid w:val="00A46571"/>
    <w:rsid w:val="00A46EA8"/>
    <w:rsid w:val="00A55ACD"/>
    <w:rsid w:val="00A6740E"/>
    <w:rsid w:val="00A73727"/>
    <w:rsid w:val="00A73D40"/>
    <w:rsid w:val="00A76921"/>
    <w:rsid w:val="00A77CE0"/>
    <w:rsid w:val="00A85D27"/>
    <w:rsid w:val="00A9225D"/>
    <w:rsid w:val="00A925AB"/>
    <w:rsid w:val="00A95EF5"/>
    <w:rsid w:val="00AB474F"/>
    <w:rsid w:val="00AB7875"/>
    <w:rsid w:val="00AC68EE"/>
    <w:rsid w:val="00AD1FAE"/>
    <w:rsid w:val="00AD3AEC"/>
    <w:rsid w:val="00AD45B1"/>
    <w:rsid w:val="00AD5240"/>
    <w:rsid w:val="00AE2B98"/>
    <w:rsid w:val="00AE5C5C"/>
    <w:rsid w:val="00AF1A27"/>
    <w:rsid w:val="00AF4B23"/>
    <w:rsid w:val="00AF79EF"/>
    <w:rsid w:val="00B006FB"/>
    <w:rsid w:val="00B007D6"/>
    <w:rsid w:val="00B01F7E"/>
    <w:rsid w:val="00B146D5"/>
    <w:rsid w:val="00B16C2A"/>
    <w:rsid w:val="00B233FC"/>
    <w:rsid w:val="00B3087D"/>
    <w:rsid w:val="00B34794"/>
    <w:rsid w:val="00B35EC5"/>
    <w:rsid w:val="00B53220"/>
    <w:rsid w:val="00B60421"/>
    <w:rsid w:val="00B81EB6"/>
    <w:rsid w:val="00B861FC"/>
    <w:rsid w:val="00BB0243"/>
    <w:rsid w:val="00BD6143"/>
    <w:rsid w:val="00BE7B40"/>
    <w:rsid w:val="00BF166D"/>
    <w:rsid w:val="00BF275D"/>
    <w:rsid w:val="00C0242B"/>
    <w:rsid w:val="00C0288B"/>
    <w:rsid w:val="00C04E7C"/>
    <w:rsid w:val="00C10B5F"/>
    <w:rsid w:val="00C27FF1"/>
    <w:rsid w:val="00C40C88"/>
    <w:rsid w:val="00C502E9"/>
    <w:rsid w:val="00C52CCE"/>
    <w:rsid w:val="00C878D5"/>
    <w:rsid w:val="00C9033B"/>
    <w:rsid w:val="00C913A1"/>
    <w:rsid w:val="00CC1190"/>
    <w:rsid w:val="00CC6A99"/>
    <w:rsid w:val="00CE3A7F"/>
    <w:rsid w:val="00CF6118"/>
    <w:rsid w:val="00D00AA3"/>
    <w:rsid w:val="00D0313B"/>
    <w:rsid w:val="00D0504E"/>
    <w:rsid w:val="00D07F73"/>
    <w:rsid w:val="00D1293A"/>
    <w:rsid w:val="00D14844"/>
    <w:rsid w:val="00D2041C"/>
    <w:rsid w:val="00D245DE"/>
    <w:rsid w:val="00D24DDA"/>
    <w:rsid w:val="00D25ADE"/>
    <w:rsid w:val="00D31DF3"/>
    <w:rsid w:val="00D43297"/>
    <w:rsid w:val="00D44DB6"/>
    <w:rsid w:val="00D45119"/>
    <w:rsid w:val="00D50119"/>
    <w:rsid w:val="00D55CBB"/>
    <w:rsid w:val="00D710FB"/>
    <w:rsid w:val="00D82A43"/>
    <w:rsid w:val="00D83BD0"/>
    <w:rsid w:val="00D86F2E"/>
    <w:rsid w:val="00DA7B5D"/>
    <w:rsid w:val="00DB19BD"/>
    <w:rsid w:val="00DE5FBD"/>
    <w:rsid w:val="00DF3E4A"/>
    <w:rsid w:val="00DF58E7"/>
    <w:rsid w:val="00E0196D"/>
    <w:rsid w:val="00E03C8A"/>
    <w:rsid w:val="00E11876"/>
    <w:rsid w:val="00E23CBB"/>
    <w:rsid w:val="00E340E5"/>
    <w:rsid w:val="00E37B59"/>
    <w:rsid w:val="00E47FF5"/>
    <w:rsid w:val="00E53236"/>
    <w:rsid w:val="00E53438"/>
    <w:rsid w:val="00E725FC"/>
    <w:rsid w:val="00E72A74"/>
    <w:rsid w:val="00E73998"/>
    <w:rsid w:val="00E91454"/>
    <w:rsid w:val="00EA36C6"/>
    <w:rsid w:val="00EB2FF5"/>
    <w:rsid w:val="00EB6CF1"/>
    <w:rsid w:val="00EC30F9"/>
    <w:rsid w:val="00EC340C"/>
    <w:rsid w:val="00EC51B8"/>
    <w:rsid w:val="00ED5725"/>
    <w:rsid w:val="00ED7031"/>
    <w:rsid w:val="00ED7239"/>
    <w:rsid w:val="00EE3060"/>
    <w:rsid w:val="00EE42C7"/>
    <w:rsid w:val="00EE4315"/>
    <w:rsid w:val="00EE454B"/>
    <w:rsid w:val="00EF6925"/>
    <w:rsid w:val="00F00394"/>
    <w:rsid w:val="00F12118"/>
    <w:rsid w:val="00F26ED3"/>
    <w:rsid w:val="00F44B2B"/>
    <w:rsid w:val="00F62B7A"/>
    <w:rsid w:val="00F6397D"/>
    <w:rsid w:val="00F7293E"/>
    <w:rsid w:val="00F76650"/>
    <w:rsid w:val="00F9042E"/>
    <w:rsid w:val="00F9187B"/>
    <w:rsid w:val="00F92385"/>
    <w:rsid w:val="00FA1B4F"/>
    <w:rsid w:val="00FA7D92"/>
    <w:rsid w:val="00FB3B2B"/>
    <w:rsid w:val="00FB5341"/>
    <w:rsid w:val="00FB7B55"/>
    <w:rsid w:val="00FC47F9"/>
    <w:rsid w:val="00FC71A6"/>
    <w:rsid w:val="00FE2351"/>
    <w:rsid w:val="00FE337D"/>
    <w:rsid w:val="00FE5580"/>
    <w:rsid w:val="00FF08E2"/>
    <w:rsid w:val="00FF110C"/>
    <w:rsid w:val="00FF2416"/>
    <w:rsid w:val="00FF250B"/>
    <w:rsid w:val="01A271ED"/>
    <w:rsid w:val="0344D80F"/>
    <w:rsid w:val="04261F4D"/>
    <w:rsid w:val="059CBD4F"/>
    <w:rsid w:val="09D82F5A"/>
    <w:rsid w:val="0DE3199A"/>
    <w:rsid w:val="14AB93ED"/>
    <w:rsid w:val="1962D528"/>
    <w:rsid w:val="19A9D614"/>
    <w:rsid w:val="1CFD5943"/>
    <w:rsid w:val="33F27D64"/>
    <w:rsid w:val="341D088B"/>
    <w:rsid w:val="4AA2DA21"/>
    <w:rsid w:val="4B83EF2F"/>
    <w:rsid w:val="576CEF46"/>
    <w:rsid w:val="58E5A138"/>
    <w:rsid w:val="59C3D610"/>
    <w:rsid w:val="70CDFDA6"/>
    <w:rsid w:val="74405620"/>
    <w:rsid w:val="7B9E6519"/>
    <w:rsid w:val="7C95BD5A"/>
    <w:rsid w:val="7CA5A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NormalWeb">
    <w:name w:val="Normal (Web)"/>
    <w:basedOn w:val="Normal"/>
    <w:uiPriority w:val="99"/>
    <w:semiHidden/>
    <w:unhideWhenUsed/>
    <w:rsid w:val="00B006FB"/>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Revision">
    <w:name w:val="Revision"/>
    <w:hidden/>
    <w:uiPriority w:val="99"/>
    <w:semiHidden/>
    <w:rsid w:val="00D55CBB"/>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BF275D"/>
    <w:rPr>
      <w:sz w:val="16"/>
      <w:szCs w:val="16"/>
    </w:rPr>
  </w:style>
  <w:style w:type="paragraph" w:styleId="CommentText">
    <w:name w:val="annotation text"/>
    <w:basedOn w:val="Normal"/>
    <w:link w:val="CommentTextChar"/>
    <w:uiPriority w:val="99"/>
    <w:unhideWhenUsed/>
    <w:rsid w:val="00BF275D"/>
    <w:pPr>
      <w:spacing w:line="240" w:lineRule="auto"/>
    </w:pPr>
    <w:rPr>
      <w:sz w:val="20"/>
      <w:szCs w:val="20"/>
    </w:rPr>
  </w:style>
  <w:style w:type="character" w:customStyle="1" w:styleId="CommentTextChar">
    <w:name w:val="Comment Text Char"/>
    <w:basedOn w:val="DefaultParagraphFont"/>
    <w:link w:val="CommentText"/>
    <w:uiPriority w:val="99"/>
    <w:rsid w:val="00BF275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F275D"/>
    <w:rPr>
      <w:b/>
      <w:bCs/>
    </w:rPr>
  </w:style>
  <w:style w:type="character" w:customStyle="1" w:styleId="CommentSubjectChar">
    <w:name w:val="Comment Subject Char"/>
    <w:basedOn w:val="CommentTextChar"/>
    <w:link w:val="CommentSubject"/>
    <w:uiPriority w:val="99"/>
    <w:semiHidden/>
    <w:rsid w:val="00BF275D"/>
    <w:rPr>
      <w:rFonts w:ascii="Book Antiqua" w:hAnsi="Book Antiqua"/>
      <w:b/>
      <w:bCs/>
      <w:sz w:val="20"/>
      <w:szCs w:val="20"/>
    </w:rPr>
  </w:style>
  <w:style w:type="character" w:styleId="Mention">
    <w:name w:val="Mention"/>
    <w:basedOn w:val="DefaultParagraphFont"/>
    <w:uiPriority w:val="99"/>
    <w:unhideWhenUsed/>
    <w:rsid w:val="000573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4708E-83D3-4B8E-B128-81FAC9DF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1115</ap:Words>
  <ap:Characters>6357</ap:Characters>
  <ap:Application>Microsoft Office Word</ap:Application>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7458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2026-06-19T15:45:49Z</dcterms:created>
  <dcterms:modified xsi:type="dcterms:W3CDTF">2026-06-19T15:45:49Z</dcterms:modified>
</cp:coreProperties>
</file>