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7B5D" w:rsidP="00432691" w:rsidRDefault="00E74ACF" w14:paraId="73AA69B6" w14:textId="19EFDF45">
      <w:pPr>
        <w:tabs>
          <w:tab w:val="center" w:pos="4680"/>
          <w:tab w:val="right" w:pos="9360"/>
        </w:tabs>
        <w:spacing w:line="240" w:lineRule="auto"/>
        <w:ind w:firstLine="0"/>
        <w:jc w:val="right"/>
      </w:pPr>
      <w:r>
        <w:t>CPED/TCU/</w:t>
      </w:r>
      <w:r w:rsidR="00505FA3">
        <w:t>CN1</w:t>
      </w:r>
      <w:r w:rsidR="007E0FEE">
        <w:tab/>
      </w:r>
      <w:r w:rsidR="009003C6">
        <w:tab/>
      </w:r>
      <w:r w:rsidR="00B00D0F">
        <w:rPr>
          <w:b/>
        </w:rPr>
        <w:t>Date of Issuance:</w:t>
      </w:r>
      <w:r w:rsidR="009C2764">
        <w:rPr>
          <w:b/>
        </w:rPr>
        <w:t xml:space="preserve"> </w:t>
      </w:r>
      <w:r w:rsidR="002733C1">
        <w:rPr>
          <w:bCs/>
        </w:rPr>
        <w:t>June 23, 2026</w:t>
      </w:r>
    </w:p>
    <w:p w:rsidR="00674059" w:rsidP="0098655A" w:rsidRDefault="00674059" w14:paraId="3385A66F" w14:textId="77777777">
      <w:pPr>
        <w:ind w:left="1080" w:hanging="1080"/>
      </w:pPr>
    </w:p>
    <w:p w:rsidRPr="00EE3060" w:rsidR="00DA7B5D" w:rsidP="0098655A" w:rsidRDefault="00DA7B5D" w14:paraId="6BA65164" w14:textId="11D0A269">
      <w:pPr>
        <w:ind w:left="1080" w:hanging="1080"/>
      </w:pPr>
      <w:r>
        <w:t>Decision</w:t>
      </w:r>
      <w:r w:rsidR="006D1E04">
        <w:t xml:space="preserve"> </w:t>
      </w:r>
      <w:r w:rsidR="004E4AA3">
        <w:t>26-06-040</w:t>
      </w:r>
    </w:p>
    <w:p w:rsidR="00DA7B5D" w:rsidP="00BB0243" w:rsidRDefault="00DA7B5D" w14:paraId="668D6748" w14:textId="77777777">
      <w:pPr>
        <w:spacing w:line="240" w:lineRule="auto"/>
        <w:jc w:val="center"/>
        <w:rPr>
          <w:u w:val="single"/>
        </w:rPr>
      </w:pPr>
    </w:p>
    <w:p w:rsidR="00DA7B5D" w:rsidP="00BB0243" w:rsidRDefault="00DA7B5D" w14:paraId="59C01C08"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9003C6" w:rsidP="008F0116" w:rsidRDefault="009003C6" w14:paraId="73AC0813" w14:textId="77777777">
      <w:pPr>
        <w:spacing w:line="240" w:lineRule="auto"/>
        <w:ind w:firstLine="0"/>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DA7B5D" w:rsidTr="3178FF58" w14:paraId="74DB8815" w14:textId="77777777">
        <w:tc>
          <w:tcPr>
            <w:tcW w:w="4675" w:type="dxa"/>
            <w:tcBorders>
              <w:top w:val="nil"/>
              <w:left w:val="nil"/>
              <w:bottom w:val="single" w:color="auto" w:sz="4" w:space="0"/>
              <w:right w:val="single" w:color="auto" w:sz="4" w:space="0"/>
            </w:tcBorders>
          </w:tcPr>
          <w:p w:rsidRPr="00E74ACF" w:rsidR="00DA7B5D" w:rsidP="00D45BB0" w:rsidRDefault="0048774F" w14:paraId="37CF8F11" w14:textId="7BCBB5A6">
            <w:pPr>
              <w:spacing w:line="240" w:lineRule="auto"/>
              <w:ind w:firstLine="0"/>
              <w:jc w:val="both"/>
              <w:rPr>
                <w:rFonts w:ascii="Arial" w:hAnsi="Arial" w:cs="Arial"/>
                <w:color w:val="000000"/>
                <w:sz w:val="18"/>
                <w:szCs w:val="18"/>
              </w:rPr>
            </w:pPr>
            <w:r w:rsidRPr="0048774F">
              <w:rPr>
                <w:color w:val="000000" w:themeColor="text1"/>
              </w:rPr>
              <w:t>In the matter of the Application of: Margie C. Vitalie, doing business as Door-to-Door Airporter and Trevor V. Buchholz to do business as Door-to-Door Airporter, for approval of the transfer by sale of the operating authority held by Margie C. Vitalie in Passenger Stage Corporation Certificate No. PSC-10974 from Transferor to Transferee, pursuant to the provisions of Public Utilities Code 851 et seq.</w:t>
            </w:r>
          </w:p>
        </w:tc>
        <w:tc>
          <w:tcPr>
            <w:tcW w:w="4675" w:type="dxa"/>
            <w:tcBorders>
              <w:top w:val="nil"/>
              <w:left w:val="single" w:color="auto" w:sz="4" w:space="0"/>
              <w:bottom w:val="nil"/>
              <w:right w:val="nil"/>
            </w:tcBorders>
            <w:vAlign w:val="center"/>
          </w:tcPr>
          <w:p w:rsidR="00A46852" w:rsidP="00A46852" w:rsidRDefault="002F141E" w14:paraId="4BF7E97A" w14:textId="7DECBD50">
            <w:pPr>
              <w:spacing w:line="276" w:lineRule="auto"/>
              <w:ind w:firstLine="0"/>
            </w:pPr>
            <w:r>
              <w:t xml:space="preserve">       </w:t>
            </w:r>
            <w:r w:rsidR="00A46852">
              <w:t xml:space="preserve"> Application </w:t>
            </w:r>
            <w:r w:rsidR="00505FA3">
              <w:t>25-11-012</w:t>
            </w:r>
          </w:p>
          <w:p w:rsidRPr="00DA7B5D" w:rsidR="00DA7B5D" w:rsidP="00A46852" w:rsidRDefault="00A46852" w14:paraId="30B041DD" w14:textId="4853A599">
            <w:pPr>
              <w:spacing w:line="276" w:lineRule="auto"/>
              <w:ind w:firstLine="0"/>
              <w:jc w:val="center"/>
              <w:rPr>
                <w:rFonts w:cs="Arial"/>
                <w:szCs w:val="26"/>
              </w:rPr>
            </w:pPr>
            <w:r>
              <w:t xml:space="preserve">(Filed </w:t>
            </w:r>
            <w:r w:rsidR="00505FA3">
              <w:t>November 14, 2025</w:t>
            </w:r>
            <w:r w:rsidR="005178C1">
              <w:t>)</w:t>
            </w:r>
          </w:p>
        </w:tc>
      </w:tr>
    </w:tbl>
    <w:p w:rsidR="00AC575F" w:rsidP="00591B23" w:rsidRDefault="00AC575F" w14:paraId="5B04F562" w14:textId="77777777">
      <w:pPr>
        <w:pStyle w:val="Dummy"/>
        <w:spacing w:after="240"/>
        <w:jc w:val="center"/>
      </w:pPr>
    </w:p>
    <w:p w:rsidR="0098655A" w:rsidP="00591B23" w:rsidRDefault="00E74ACF" w14:paraId="13468B9F" w14:textId="6E9E1E46">
      <w:pPr>
        <w:pStyle w:val="Dummy"/>
        <w:spacing w:after="240"/>
        <w:jc w:val="center"/>
      </w:pPr>
      <w:r>
        <w:t>EXECUTIVE DIRECTOR’S ORDER</w:t>
      </w:r>
    </w:p>
    <w:p w:rsidR="005A148C" w:rsidP="005A148C" w:rsidRDefault="005A148C" w14:paraId="146709E9" w14:textId="38B81F6D">
      <w:pPr>
        <w:pStyle w:val="Dummy"/>
      </w:pPr>
      <w:bookmarkStart w:name="_Toc8123714" w:id="0"/>
      <w:bookmarkStart w:name="_Toc12866683" w:id="1"/>
      <w:r>
        <w:t>Summary</w:t>
      </w:r>
      <w:bookmarkEnd w:id="0"/>
      <w:bookmarkEnd w:id="1"/>
    </w:p>
    <w:p w:rsidRPr="0061553D" w:rsidR="00481FF2" w:rsidP="00036328" w:rsidRDefault="005A148C" w14:paraId="758D6C37" w14:textId="69FF2FCD">
      <w:pPr>
        <w:pStyle w:val="Standard"/>
        <w:jc w:val="both"/>
      </w:pPr>
      <w:r w:rsidRPr="0061553D">
        <w:t>T</w:t>
      </w:r>
      <w:r w:rsidRPr="0061553D" w:rsidR="00481FF2">
        <w:t>his decision grants the application</w:t>
      </w:r>
      <w:r w:rsidR="00DB3F08">
        <w:t xml:space="preserve"> to transfer a </w:t>
      </w:r>
      <w:r w:rsidR="00906FA0">
        <w:t>Passenger Stage Corporation</w:t>
      </w:r>
      <w:r w:rsidR="00DB3F08">
        <w:t xml:space="preserve"> (PSC) </w:t>
      </w:r>
      <w:r w:rsidR="00906FA0">
        <w:t>Certificate of Public Convenience and Necessity</w:t>
      </w:r>
      <w:r w:rsidR="00DB3F08">
        <w:t xml:space="preserve"> from Margie C. Vitalie (Transferor), a</w:t>
      </w:r>
      <w:r w:rsidR="00A14C96">
        <w:t>n individual</w:t>
      </w:r>
      <w:r w:rsidR="009C149D">
        <w:t xml:space="preserve"> doing business as Door-to-Door Airporter</w:t>
      </w:r>
      <w:r w:rsidR="00A14C96">
        <w:t>, to Trevor V</w:t>
      </w:r>
      <w:r w:rsidR="00290B23">
        <w:t xml:space="preserve">. </w:t>
      </w:r>
      <w:r w:rsidR="00A14C96">
        <w:t>Buchholz</w:t>
      </w:r>
      <w:r w:rsidR="00906FA0">
        <w:t xml:space="preserve"> (Transferee)</w:t>
      </w:r>
      <w:r w:rsidR="009C149D">
        <w:t xml:space="preserve">, an individual, </w:t>
      </w:r>
      <w:r w:rsidRPr="00CE4426" w:rsidR="00CE4426">
        <w:t xml:space="preserve">pursuant to California Public Utilities Code § </w:t>
      </w:r>
      <w:r w:rsidR="00906FA0">
        <w:t xml:space="preserve">851 </w:t>
      </w:r>
      <w:r w:rsidRPr="00CE4426" w:rsidR="00CE4426">
        <w:t>et seq.</w:t>
      </w:r>
      <w:r w:rsidR="00B45EFE">
        <w:t xml:space="preserve"> </w:t>
      </w:r>
      <w:r w:rsidRPr="00CE4426" w:rsidR="00CE4426">
        <w:t>This application was filed</w:t>
      </w:r>
      <w:r w:rsidR="00FD7264">
        <w:t xml:space="preserve"> jointly by the Transferor and Transferee (Applicants)</w:t>
      </w:r>
      <w:r w:rsidRPr="00CE4426" w:rsidR="00CE4426">
        <w:t xml:space="preserve"> pursuant to the procedures adopted in Decision 15-05-029.</w:t>
      </w:r>
    </w:p>
    <w:p w:rsidRPr="00121089" w:rsidR="005A148C" w:rsidP="00481FF2" w:rsidRDefault="00481FF2" w14:paraId="103EFA87" w14:textId="25925FE8">
      <w:pPr>
        <w:pStyle w:val="Standard"/>
      </w:pPr>
      <w:r>
        <w:t>Th</w:t>
      </w:r>
      <w:r w:rsidR="6267F871">
        <w:t xml:space="preserve">e </w:t>
      </w:r>
      <w:r w:rsidR="006D66EC">
        <w:t>a</w:t>
      </w:r>
      <w:r w:rsidR="6267F871">
        <w:t xml:space="preserve">pplication is </w:t>
      </w:r>
      <w:r w:rsidR="00CC4570">
        <w:t>g</w:t>
      </w:r>
      <w:r w:rsidR="6267F871">
        <w:t>ranted.</w:t>
      </w:r>
    </w:p>
    <w:p w:rsidRPr="00121089" w:rsidR="005A148C" w:rsidP="00481FF2" w:rsidRDefault="6267F871" w14:paraId="1EDC2A95" w14:textId="2CC4A088">
      <w:pPr>
        <w:pStyle w:val="Standard"/>
      </w:pPr>
      <w:r>
        <w:t>The</w:t>
      </w:r>
      <w:r w:rsidR="00481FF2">
        <w:t xml:space="preserve"> proceeding is closed.</w:t>
      </w:r>
    </w:p>
    <w:p w:rsidR="0063491C" w:rsidP="0063491C" w:rsidRDefault="0063491C" w14:paraId="479DFBC5" w14:textId="77777777">
      <w:pPr>
        <w:pStyle w:val="Heading2"/>
      </w:pPr>
      <w:bookmarkStart w:name="_Toc8123716" w:id="2"/>
      <w:bookmarkStart w:name="_Toc12866685" w:id="3"/>
      <w:r>
        <w:t>Factual Background</w:t>
      </w:r>
      <w:bookmarkEnd w:id="2"/>
      <w:bookmarkEnd w:id="3"/>
    </w:p>
    <w:p w:rsidR="00CE4426" w:rsidP="00CE4426" w:rsidRDefault="00867A29" w14:paraId="7F3BBBE1" w14:textId="564CEE25">
      <w:pPr>
        <w:pStyle w:val="Standard"/>
        <w:jc w:val="both"/>
      </w:pPr>
      <w:bookmarkStart w:name="_Toc8123717" w:id="4"/>
      <w:bookmarkStart w:name="_Toc12866686" w:id="5"/>
      <w:r>
        <w:t>Margie C. Vital</w:t>
      </w:r>
      <w:r w:rsidR="00290B23">
        <w:t>i</w:t>
      </w:r>
      <w:r>
        <w:t>e</w:t>
      </w:r>
      <w:r w:rsidR="005178C1">
        <w:t xml:space="preserve"> (</w:t>
      </w:r>
      <w:r w:rsidR="00125B90">
        <w:t>Transferor</w:t>
      </w:r>
      <w:r w:rsidR="005178C1">
        <w:t>),</w:t>
      </w:r>
      <w:r w:rsidRPr="0061553D" w:rsidR="005178C1">
        <w:t xml:space="preserve"> a</w:t>
      </w:r>
      <w:r w:rsidR="00125B90">
        <w:t>n individual</w:t>
      </w:r>
      <w:r w:rsidRPr="0061553D" w:rsidR="005178C1">
        <w:t xml:space="preserve">, </w:t>
      </w:r>
      <w:r w:rsidR="005178C1">
        <w:t xml:space="preserve">doing business as </w:t>
      </w:r>
      <w:r w:rsidR="00125B90">
        <w:t>Door-to-Door Airporter</w:t>
      </w:r>
      <w:r w:rsidR="00CE4426">
        <w:t>, request</w:t>
      </w:r>
      <w:r w:rsidR="0067426A">
        <w:t>s</w:t>
      </w:r>
      <w:r w:rsidR="00CE4426">
        <w:t xml:space="preserve"> that the California Public Utilities Commission </w:t>
      </w:r>
      <w:r w:rsidR="00CE4426">
        <w:lastRenderedPageBreak/>
        <w:t>(Commission)</w:t>
      </w:r>
      <w:r w:rsidR="006F083A">
        <w:t xml:space="preserve"> approve the</w:t>
      </w:r>
      <w:r w:rsidR="008D4F7F">
        <w:t xml:space="preserve"> joint</w:t>
      </w:r>
      <w:r w:rsidR="006F083A">
        <w:t xml:space="preserve"> application to</w:t>
      </w:r>
      <w:r w:rsidR="00CE4426">
        <w:t xml:space="preserve"> </w:t>
      </w:r>
      <w:r w:rsidR="00125B90">
        <w:t>transfer</w:t>
      </w:r>
      <w:r w:rsidR="00CA0AB6">
        <w:t xml:space="preserve"> by sale</w:t>
      </w:r>
      <w:r w:rsidR="00C84573">
        <w:t xml:space="preserve"> the</w:t>
      </w:r>
      <w:r w:rsidR="00CE4426">
        <w:t xml:space="preserve"> Certificate of Public Convenience and Necessity (CPCN) to operate as a Passenger Stage Corporation (PSC)</w:t>
      </w:r>
      <w:r w:rsidR="000D75D9">
        <w:t xml:space="preserve"> to Trevor V. Buchholz</w:t>
      </w:r>
      <w:r w:rsidR="00754CA3">
        <w:t xml:space="preserve"> (Transferee)</w:t>
      </w:r>
      <w:r w:rsidR="000D75D9">
        <w:t>, an individual</w:t>
      </w:r>
      <w:r w:rsidR="00CE4426">
        <w:t xml:space="preserve">. </w:t>
      </w:r>
      <w:r w:rsidR="00310373">
        <w:t>Transferor</w:t>
      </w:r>
      <w:r w:rsidR="00CE4426">
        <w:t xml:space="preserve"> </w:t>
      </w:r>
      <w:r w:rsidR="006A388E">
        <w:t>is authorized to provide service on</w:t>
      </w:r>
      <w:r w:rsidR="001E0198">
        <w:t xml:space="preserve"> an</w:t>
      </w:r>
      <w:r w:rsidR="006A388E">
        <w:t xml:space="preserve"> </w:t>
      </w:r>
      <w:r w:rsidR="003834EC">
        <w:t>“</w:t>
      </w:r>
      <w:r w:rsidR="0050698C">
        <w:t>on-call</w:t>
      </w:r>
      <w:r w:rsidR="003834EC">
        <w:t>”</w:t>
      </w:r>
      <w:r w:rsidR="00EA44D6">
        <w:t xml:space="preserve"> basis</w:t>
      </w:r>
      <w:r w:rsidR="00CE4426">
        <w:t xml:space="preserve"> </w:t>
      </w:r>
      <w:r w:rsidR="00EA44D6">
        <w:t>for the transportation of passengers and their baggage</w:t>
      </w:r>
      <w:r w:rsidR="00CE4426">
        <w:t xml:space="preserve"> between </w:t>
      </w:r>
      <w:r w:rsidR="00EA44D6">
        <w:t xml:space="preserve">various locations in the </w:t>
      </w:r>
      <w:r w:rsidR="003834EC">
        <w:t xml:space="preserve">greater </w:t>
      </w:r>
      <w:r w:rsidR="00EA44D6">
        <w:t xml:space="preserve">Eureka, Arcata, and McKinleyville geographic areas </w:t>
      </w:r>
      <w:r w:rsidR="005178C1">
        <w:t xml:space="preserve">on one hand and </w:t>
      </w:r>
      <w:r w:rsidR="00EA44D6">
        <w:t>Eureka-Arcata Airport</w:t>
      </w:r>
      <w:r w:rsidR="005178C1">
        <w:t xml:space="preserve"> on the other hand.</w:t>
      </w:r>
      <w:r w:rsidR="00ED5AC2">
        <w:t xml:space="preserve"> On </w:t>
      </w:r>
      <w:r w:rsidR="00A327A3">
        <w:t>May 18</w:t>
      </w:r>
      <w:r w:rsidR="004E3B4B">
        <w:t>,</w:t>
      </w:r>
      <w:r w:rsidR="00A327A3">
        <w:t xml:space="preserve"> 2026,</w:t>
      </w:r>
      <w:r w:rsidR="004E3B4B">
        <w:t xml:space="preserve"> Applicants filed an amended application.</w:t>
      </w:r>
    </w:p>
    <w:p w:rsidR="003116D1" w:rsidP="00CE4426" w:rsidRDefault="00007C03" w14:paraId="7DBB3848" w14:textId="5C683DBF">
      <w:pPr>
        <w:pStyle w:val="Standard"/>
        <w:jc w:val="both"/>
      </w:pPr>
      <w:r>
        <w:t xml:space="preserve">Transferor </w:t>
      </w:r>
      <w:r w:rsidR="00855133">
        <w:t>currently possesses the CPCN to operate PSC-10974</w:t>
      </w:r>
      <w:r w:rsidR="00040ED2">
        <w:t xml:space="preserve"> as a sole proprietor</w:t>
      </w:r>
      <w:r w:rsidR="00623905">
        <w:t>, doing business as Door</w:t>
      </w:r>
      <w:r w:rsidR="007C44A7">
        <w:t>-</w:t>
      </w:r>
      <w:r w:rsidR="00623905">
        <w:t>to</w:t>
      </w:r>
      <w:r w:rsidR="007C44A7">
        <w:t>-</w:t>
      </w:r>
      <w:r w:rsidR="00623905">
        <w:t>Door Airporter,</w:t>
      </w:r>
      <w:r w:rsidR="00855133">
        <w:t xml:space="preserve"> </w:t>
      </w:r>
      <w:r w:rsidR="00004954">
        <w:t xml:space="preserve">through the issuance of Commission Resolution TL-19132 that approved the estate transfer of control </w:t>
      </w:r>
      <w:r w:rsidR="00D03AF1">
        <w:t>from Ross Allan Vitalie, deceased, to Margie C. Vitalie.</w:t>
      </w:r>
      <w:r w:rsidR="00040ED2">
        <w:rPr>
          <w:rStyle w:val="FootnoteReference"/>
        </w:rPr>
        <w:footnoteReference w:id="2"/>
      </w:r>
      <w:r w:rsidR="00D03AF1">
        <w:t xml:space="preserve"> </w:t>
      </w:r>
      <w:r w:rsidR="003E6B36">
        <w:t>Ross Allan Vitalie</w:t>
      </w:r>
      <w:r w:rsidR="00EE7660">
        <w:t>, as an individual,</w:t>
      </w:r>
      <w:r w:rsidR="003E6B36">
        <w:t xml:space="preserve"> was </w:t>
      </w:r>
      <w:r w:rsidR="002A6196">
        <w:t>previously granted the CPCN</w:t>
      </w:r>
      <w:r w:rsidR="00A701AC">
        <w:t xml:space="preserve"> on January 7, 1999</w:t>
      </w:r>
      <w:r w:rsidR="002A6196">
        <w:t xml:space="preserve"> through issuance of</w:t>
      </w:r>
      <w:r w:rsidR="000162AC">
        <w:t xml:space="preserve"> Commission</w:t>
      </w:r>
      <w:r w:rsidR="002A6196">
        <w:t xml:space="preserve"> Decision (D.) 99-01-002</w:t>
      </w:r>
      <w:r w:rsidR="00EE7660">
        <w:t>.</w:t>
      </w:r>
      <w:r w:rsidR="00C75E50">
        <w:rPr>
          <w:rStyle w:val="FootnoteReference"/>
        </w:rPr>
        <w:footnoteReference w:id="3"/>
      </w:r>
      <w:r w:rsidR="00EE7660">
        <w:t xml:space="preserve"> </w:t>
      </w:r>
    </w:p>
    <w:p w:rsidR="00245AD8" w:rsidP="00CE4426" w:rsidRDefault="00EE7660" w14:paraId="6C0FFAD9" w14:textId="0E12AE73">
      <w:pPr>
        <w:pStyle w:val="Standard"/>
        <w:jc w:val="both"/>
      </w:pPr>
      <w:r>
        <w:t>Prior to</w:t>
      </w:r>
      <w:r w:rsidR="00A701AC">
        <w:t xml:space="preserve"> issuance of</w:t>
      </w:r>
      <w:r>
        <w:t xml:space="preserve"> D.99-01-002, the CPCN was held by </w:t>
      </w:r>
      <w:r w:rsidR="00242895">
        <w:t xml:space="preserve">both </w:t>
      </w:r>
      <w:r>
        <w:t>Ross Allen Vitalie and</w:t>
      </w:r>
      <w:r w:rsidR="001207E0">
        <w:t xml:space="preserve"> Irene F. Vitalie</w:t>
      </w:r>
      <w:r w:rsidR="009A012A">
        <w:t xml:space="preserve">, as husband and wife, </w:t>
      </w:r>
      <w:r w:rsidR="00BB0708">
        <w:t>through</w:t>
      </w:r>
      <w:r w:rsidR="00A701AC">
        <w:t xml:space="preserve"> the transfer of the CPCN granted by</w:t>
      </w:r>
      <w:r w:rsidR="00BB0708">
        <w:t xml:space="preserve"> D.97-05-076</w:t>
      </w:r>
      <w:r w:rsidR="00F844D9">
        <w:t xml:space="preserve"> from the original certificate-holders</w:t>
      </w:r>
      <w:r w:rsidR="00BB0708">
        <w:t>.</w:t>
      </w:r>
      <w:r w:rsidR="00A701AC">
        <w:t xml:space="preserve"> </w:t>
      </w:r>
      <w:r w:rsidR="009841C6">
        <w:t>The original CPCN was held by Anthony T. Montana and Delores E. Montana</w:t>
      </w:r>
      <w:r w:rsidR="009C1720">
        <w:t xml:space="preserve"> through issuance of D.94-04-061 on April 20, 1994.</w:t>
      </w:r>
      <w:r w:rsidR="00BB0708">
        <w:t xml:space="preserve">  </w:t>
      </w:r>
    </w:p>
    <w:p w:rsidR="0063491C" w:rsidP="00AC3F58" w:rsidRDefault="0063491C" w14:paraId="681BE49F" w14:textId="77777777">
      <w:pPr>
        <w:pStyle w:val="Heading2"/>
        <w:jc w:val="both"/>
      </w:pPr>
      <w:r>
        <w:t>Procedural Background</w:t>
      </w:r>
      <w:bookmarkEnd w:id="4"/>
      <w:bookmarkEnd w:id="5"/>
    </w:p>
    <w:p w:rsidRPr="0061553D" w:rsidR="00EE3060" w:rsidP="00AC3F58" w:rsidRDefault="00D34FAB" w14:paraId="111E8F8A" w14:textId="6337AE72">
      <w:pPr>
        <w:pStyle w:val="Standard"/>
        <w:jc w:val="both"/>
      </w:pPr>
      <w:r>
        <w:t xml:space="preserve">This application is </w:t>
      </w:r>
      <w:r w:rsidR="005A5FA1">
        <w:t>granted</w:t>
      </w:r>
      <w:r>
        <w:t xml:space="preserve"> pursuant to the procedures adopted in </w:t>
      </w:r>
      <w:r w:rsidR="007D6C8C">
        <w:t>D</w:t>
      </w:r>
      <w:r w:rsidR="0088621F">
        <w:t>ecision (D</w:t>
      </w:r>
      <w:r w:rsidR="007D6C8C">
        <w:t>.</w:t>
      </w:r>
      <w:r w:rsidR="0088621F">
        <w:t xml:space="preserve">) </w:t>
      </w:r>
      <w:r>
        <w:t>15-05-029.</w:t>
      </w:r>
    </w:p>
    <w:p w:rsidR="00641550" w:rsidP="00AC3F58" w:rsidRDefault="00641550" w14:paraId="5C756A90" w14:textId="77777777">
      <w:pPr>
        <w:pStyle w:val="Heading2"/>
        <w:jc w:val="both"/>
      </w:pPr>
      <w:r>
        <w:lastRenderedPageBreak/>
        <w:t>Submission Date</w:t>
      </w:r>
    </w:p>
    <w:p w:rsidRPr="0061553D" w:rsidR="00641550" w:rsidP="00AC3F58" w:rsidRDefault="00641550" w14:paraId="1F85F074" w14:textId="65D9DEDE">
      <w:pPr>
        <w:pStyle w:val="Standard"/>
        <w:jc w:val="both"/>
      </w:pPr>
      <w:r w:rsidRPr="0061553D">
        <w:t>This matter was submitted on</w:t>
      </w:r>
      <w:r w:rsidR="00D1621B">
        <w:t xml:space="preserve"> November 14, 2025</w:t>
      </w:r>
      <w:r w:rsidRPr="0061553D">
        <w:t>.</w:t>
      </w:r>
      <w:r w:rsidR="00250F41">
        <w:t xml:space="preserve"> On </w:t>
      </w:r>
      <w:r w:rsidR="00A15DC9">
        <w:t>May 18, 2026,</w:t>
      </w:r>
      <w:r w:rsidR="00250F41">
        <w:t xml:space="preserve"> the application was amended.</w:t>
      </w:r>
    </w:p>
    <w:p w:rsidR="005A148C" w:rsidP="00AC3F58" w:rsidRDefault="0063491C" w14:paraId="70665952" w14:textId="1E9CD9A9">
      <w:pPr>
        <w:pStyle w:val="Heading1"/>
        <w:ind w:left="720" w:hanging="720"/>
        <w:jc w:val="both"/>
      </w:pPr>
      <w:bookmarkStart w:name="_Toc8123718" w:id="6"/>
      <w:bookmarkStart w:name="_Toc12866687" w:id="7"/>
      <w:r>
        <w:t>Jurisdiction</w:t>
      </w:r>
      <w:bookmarkEnd w:id="6"/>
      <w:bookmarkEnd w:id="7"/>
    </w:p>
    <w:p w:rsidRPr="0061553D" w:rsidR="0063491C" w:rsidP="00AC3F58" w:rsidRDefault="00D34FAB" w14:paraId="217D8E0F" w14:textId="64D10886">
      <w:pPr>
        <w:pStyle w:val="Standard"/>
        <w:jc w:val="both"/>
      </w:pPr>
      <w:r>
        <w:t xml:space="preserve">The </w:t>
      </w:r>
      <w:r w:rsidR="00A5650D">
        <w:t>Commission</w:t>
      </w:r>
      <w:r>
        <w:t xml:space="preserve"> regulate</w:t>
      </w:r>
      <w:r w:rsidR="007A7696">
        <w:t>s</w:t>
      </w:r>
      <w:r>
        <w:t xml:space="preserve"> </w:t>
      </w:r>
      <w:r w:rsidR="581914C2">
        <w:t xml:space="preserve">Passenger Stage Corporations </w:t>
      </w:r>
      <w:r>
        <w:t>pursuant to California Public Utilities</w:t>
      </w:r>
      <w:r w:rsidR="007A7696">
        <w:t xml:space="preserve"> (Pub. Util.)</w:t>
      </w:r>
      <w:r>
        <w:t xml:space="preserve"> Code § 1031 et seq.</w:t>
      </w:r>
      <w:r w:rsidR="00DC5973">
        <w:t xml:space="preserve"> A</w:t>
      </w:r>
      <w:r w:rsidR="007A7696">
        <w:t xml:space="preserve">pplications </w:t>
      </w:r>
      <w:r w:rsidR="002070D9">
        <w:t>to transfer</w:t>
      </w:r>
      <w:r w:rsidR="00CE4426">
        <w:t xml:space="preserve"> certificate</w:t>
      </w:r>
      <w:r w:rsidR="002070D9">
        <w:t>s</w:t>
      </w:r>
      <w:r w:rsidR="00CE4426">
        <w:t xml:space="preserve"> to operate</w:t>
      </w:r>
      <w:r w:rsidR="00025AE8">
        <w:t xml:space="preserve"> </w:t>
      </w:r>
      <w:r w:rsidR="007A7696">
        <w:t>are governed by</w:t>
      </w:r>
      <w:r w:rsidR="006372B9">
        <w:t xml:space="preserve"> Pub. Util. Code § 851 et seq</w:t>
      </w:r>
      <w:r w:rsidR="00A05327">
        <w:t>. and</w:t>
      </w:r>
      <w:r w:rsidR="00905923">
        <w:t xml:space="preserve"> </w:t>
      </w:r>
      <w:r>
        <w:t xml:space="preserve">the Commission’s Rules of Practice and </w:t>
      </w:r>
      <w:r w:rsidR="007A7696">
        <w:t>Procedure</w:t>
      </w:r>
      <w:r w:rsidR="00621059">
        <w:t xml:space="preserve"> </w:t>
      </w:r>
      <w:r w:rsidR="007D6C8C">
        <w:t>(Rules)</w:t>
      </w:r>
      <w:r w:rsidR="007A7696">
        <w:t>, Rule 3.</w:t>
      </w:r>
      <w:r w:rsidR="00147955">
        <w:t>6</w:t>
      </w:r>
      <w:r w:rsidRPr="7CA3A84B" w:rsidR="0088621F">
        <w:rPr>
          <w:rStyle w:val="displayonly"/>
          <w:rFonts w:cs="Arial"/>
          <w:color w:val="000000" w:themeColor="text1"/>
        </w:rPr>
        <w:t xml:space="preserve"> </w:t>
      </w:r>
      <w:r w:rsidR="00147955">
        <w:rPr>
          <w:rStyle w:val="displayonly"/>
          <w:rFonts w:cs="Arial"/>
          <w:color w:val="000000" w:themeColor="text1"/>
        </w:rPr>
        <w:t>Transfers and Acquisitions</w:t>
      </w:r>
      <w:r w:rsidRPr="7CA3A84B" w:rsidR="0088621F">
        <w:rPr>
          <w:rStyle w:val="displayonly"/>
          <w:rFonts w:cs="Arial"/>
          <w:color w:val="000000" w:themeColor="text1"/>
        </w:rPr>
        <w:t>.</w:t>
      </w:r>
    </w:p>
    <w:p w:rsidR="005A148C" w:rsidP="00AC3F58" w:rsidRDefault="005939A5" w14:paraId="68BFA53F" w14:textId="77777777">
      <w:pPr>
        <w:pStyle w:val="Heading1"/>
        <w:ind w:left="720" w:hanging="720"/>
        <w:jc w:val="both"/>
      </w:pPr>
      <w:bookmarkStart w:name="_Toc8123719" w:id="8"/>
      <w:bookmarkStart w:name="_Toc12866688" w:id="9"/>
      <w:r>
        <w:t>Issues Before the Commission</w:t>
      </w:r>
      <w:bookmarkEnd w:id="8"/>
      <w:bookmarkEnd w:id="9"/>
    </w:p>
    <w:p w:rsidRPr="0061553D" w:rsidR="005A5FA1" w:rsidP="00AC3F58" w:rsidRDefault="005A5FA1" w14:paraId="200DEE0D" w14:textId="758E3E24">
      <w:pPr>
        <w:pStyle w:val="Standard"/>
        <w:jc w:val="both"/>
      </w:pPr>
      <w:r w:rsidRPr="0061553D">
        <w:t>The issues to be determined or otherwise considered are:</w:t>
      </w:r>
    </w:p>
    <w:p w:rsidR="005A5FA1" w:rsidP="00AC3F58" w:rsidRDefault="005A5FA1" w14:paraId="4FDB2238" w14:textId="4DDE5822">
      <w:pPr>
        <w:pStyle w:val="Standard"/>
        <w:numPr>
          <w:ilvl w:val="0"/>
          <w:numId w:val="15"/>
        </w:numPr>
        <w:jc w:val="both"/>
      </w:pPr>
      <w:r w:rsidRPr="0061553D">
        <w:t xml:space="preserve">Whether </w:t>
      </w:r>
      <w:r w:rsidR="00DA1BCA">
        <w:rPr>
          <w:rStyle w:val="displayonly"/>
          <w:rFonts w:cs="Arial"/>
          <w:color w:val="000000" w:themeColor="text1"/>
        </w:rPr>
        <w:t xml:space="preserve">the </w:t>
      </w:r>
      <w:r w:rsidR="00BB2B9D">
        <w:rPr>
          <w:rStyle w:val="displayonly"/>
          <w:rFonts w:cs="Arial"/>
          <w:color w:val="000000" w:themeColor="text1"/>
        </w:rPr>
        <w:t>A</w:t>
      </w:r>
      <w:r w:rsidR="00DA1BCA">
        <w:rPr>
          <w:rStyle w:val="displayonly"/>
          <w:rFonts w:cs="Arial"/>
          <w:color w:val="000000" w:themeColor="text1"/>
        </w:rPr>
        <w:t>pplication</w:t>
      </w:r>
      <w:r w:rsidRPr="0061553D">
        <w:t xml:space="preserve"> meets all Commission requirements </w:t>
      </w:r>
      <w:r w:rsidR="00654AD3">
        <w:t xml:space="preserve">of Pub. Util. </w:t>
      </w:r>
      <w:r w:rsidRPr="00986BC6" w:rsidR="00654AD3">
        <w:rPr>
          <w:rStyle w:val="displayonly"/>
          <w:rFonts w:cs="Arial"/>
          <w:color w:val="000000" w:themeColor="text1"/>
        </w:rPr>
        <w:t xml:space="preserve">Code </w:t>
      </w:r>
      <w:r w:rsidR="00AD0E06">
        <w:rPr>
          <w:rStyle w:val="displayonly"/>
          <w:rFonts w:cs="Arial"/>
          <w:color w:val="000000" w:themeColor="text1"/>
        </w:rPr>
        <w:t>§§</w:t>
      </w:r>
      <w:r w:rsidR="00CE4426">
        <w:rPr>
          <w:rStyle w:val="displayonly"/>
          <w:rFonts w:cs="Arial"/>
          <w:color w:val="000000" w:themeColor="text1"/>
        </w:rPr>
        <w:t xml:space="preserve"> </w:t>
      </w:r>
      <w:r w:rsidR="00905923">
        <w:rPr>
          <w:rStyle w:val="displayonly"/>
          <w:rFonts w:cs="Arial"/>
          <w:color w:val="000000" w:themeColor="text1"/>
        </w:rPr>
        <w:t>851</w:t>
      </w:r>
      <w:r w:rsidR="00CE4426">
        <w:rPr>
          <w:rStyle w:val="displayonly"/>
          <w:rFonts w:cs="Arial"/>
          <w:color w:val="000000" w:themeColor="text1"/>
        </w:rPr>
        <w:t xml:space="preserve"> et se</w:t>
      </w:r>
      <w:r w:rsidR="00EB452F">
        <w:rPr>
          <w:rStyle w:val="displayonly"/>
          <w:rFonts w:cs="Arial"/>
          <w:color w:val="000000" w:themeColor="text1"/>
        </w:rPr>
        <w:t>q</w:t>
      </w:r>
      <w:r w:rsidR="00CE4426">
        <w:rPr>
          <w:rStyle w:val="displayonly"/>
          <w:rFonts w:cs="Arial"/>
          <w:color w:val="000000" w:themeColor="text1"/>
        </w:rPr>
        <w:t xml:space="preserve">. </w:t>
      </w:r>
      <w:r w:rsidR="00654AD3">
        <w:rPr>
          <w:rStyle w:val="displayonly"/>
          <w:rFonts w:cs="Arial"/>
          <w:color w:val="000000" w:themeColor="text1"/>
        </w:rPr>
        <w:t>and Rule 3.</w:t>
      </w:r>
      <w:r w:rsidR="003067C9">
        <w:rPr>
          <w:rStyle w:val="displayonly"/>
          <w:rFonts w:cs="Arial"/>
          <w:color w:val="000000" w:themeColor="text1"/>
        </w:rPr>
        <w:t>6</w:t>
      </w:r>
      <w:r w:rsidRPr="0061553D">
        <w:t>;</w:t>
      </w:r>
    </w:p>
    <w:p w:rsidRPr="00A07D8C" w:rsidR="005A5FA1" w:rsidP="00AC3F58" w:rsidRDefault="6F6B05A7" w14:paraId="39F7785E" w14:textId="6C1ABE20">
      <w:pPr>
        <w:pStyle w:val="Standard"/>
        <w:numPr>
          <w:ilvl w:val="0"/>
          <w:numId w:val="15"/>
        </w:numPr>
        <w:jc w:val="both"/>
      </w:pPr>
      <w:r w:rsidRPr="00A07D8C">
        <w:t xml:space="preserve">Whether </w:t>
      </w:r>
      <w:r w:rsidR="00487431">
        <w:t>the</w:t>
      </w:r>
      <w:r w:rsidR="000342B8">
        <w:t xml:space="preserve"> Application’s</w:t>
      </w:r>
      <w:r w:rsidR="00487431">
        <w:t xml:space="preserve"> </w:t>
      </w:r>
      <w:r w:rsidR="006862B5">
        <w:t>transportation service</w:t>
      </w:r>
      <w:r w:rsidR="00A35575">
        <w:t>s</w:t>
      </w:r>
      <w:r w:rsidRPr="00A07D8C" w:rsidR="005A5FA1">
        <w:t xml:space="preserve"> </w:t>
      </w:r>
      <w:r w:rsidR="00A35575">
        <w:t>comply</w:t>
      </w:r>
      <w:r w:rsidRPr="00A07D8C" w:rsidR="00A35575">
        <w:t xml:space="preserve"> </w:t>
      </w:r>
      <w:r w:rsidRPr="00A07D8C" w:rsidR="005A5FA1">
        <w:t>with the California Environmental Quality Act (CEQA); and</w:t>
      </w:r>
    </w:p>
    <w:p w:rsidRPr="00A07D8C" w:rsidR="005939A5" w:rsidP="00AC3F58" w:rsidRDefault="0CDE2B50" w14:paraId="1B334CE3" w14:textId="43EE36C4">
      <w:pPr>
        <w:pStyle w:val="Standard"/>
        <w:numPr>
          <w:ilvl w:val="0"/>
          <w:numId w:val="15"/>
        </w:numPr>
        <w:jc w:val="both"/>
      </w:pPr>
      <w:r w:rsidRPr="00A07D8C">
        <w:t>Whether</w:t>
      </w:r>
      <w:r w:rsidR="00487431">
        <w:t xml:space="preserve"> the</w:t>
      </w:r>
      <w:r w:rsidR="000342B8">
        <w:t xml:space="preserve"> Application’s</w:t>
      </w:r>
      <w:r w:rsidRPr="00A07D8C">
        <w:t xml:space="preserve"> </w:t>
      </w:r>
      <w:r w:rsidR="006862B5">
        <w:t>transportation services</w:t>
      </w:r>
      <w:r w:rsidRPr="00A07D8C">
        <w:t xml:space="preserve"> </w:t>
      </w:r>
      <w:r w:rsidRPr="00A07D8C" w:rsidR="6BDF257C">
        <w:t>i</w:t>
      </w:r>
      <w:r w:rsidRPr="00A07D8C" w:rsidR="005A5FA1">
        <w:t>mpact environmental and social justice communities, including the extent to which operation in California impact</w:t>
      </w:r>
      <w:r w:rsidRPr="00A07D8C" w:rsidR="207840D4">
        <w:t>s</w:t>
      </w:r>
      <w:r w:rsidRPr="00A07D8C" w:rsidR="005A5FA1">
        <w:t xml:space="preserve"> achievement of any of the nine goals of the Commission’s Environmental and Social Justice </w:t>
      </w:r>
      <w:r w:rsidR="0088621F">
        <w:t xml:space="preserve">(ESJ) </w:t>
      </w:r>
      <w:r w:rsidRPr="00A07D8C" w:rsidR="005A5FA1">
        <w:t xml:space="preserve">Action Plan. </w:t>
      </w:r>
    </w:p>
    <w:p w:rsidR="005939A5" w:rsidP="000642A6" w:rsidRDefault="005939A5" w14:paraId="1A1962A1" w14:textId="578B2BA8">
      <w:pPr>
        <w:pStyle w:val="Heading1"/>
        <w:ind w:left="720" w:hanging="720"/>
      </w:pPr>
      <w:bookmarkStart w:name="_Toc8123720" w:id="10"/>
      <w:bookmarkStart w:name="_Toc12866689" w:id="11"/>
      <w:r>
        <w:t>Discussion</w:t>
      </w:r>
      <w:bookmarkEnd w:id="10"/>
      <w:bookmarkEnd w:id="11"/>
    </w:p>
    <w:p w:rsidR="00A62478" w:rsidP="00344BB9" w:rsidRDefault="00957351" w14:paraId="5B117144" w14:textId="58C5A3FF">
      <w:pPr>
        <w:pStyle w:val="Standard"/>
        <w:jc w:val="both"/>
      </w:pPr>
      <w:r>
        <w:t>Transferor current</w:t>
      </w:r>
      <w:r w:rsidR="001530DA">
        <w:t xml:space="preserve">ly </w:t>
      </w:r>
      <w:r w:rsidR="00C7478B">
        <w:t>conducts</w:t>
      </w:r>
      <w:r w:rsidR="001530DA">
        <w:t xml:space="preserve"> a</w:t>
      </w:r>
      <w:r w:rsidR="00C7478B">
        <w:t xml:space="preserve"> daily “airport shuttle service” </w:t>
      </w:r>
      <w:r w:rsidR="00E7071C">
        <w:t>serving the</w:t>
      </w:r>
      <w:r w:rsidR="001530DA">
        <w:t xml:space="preserve"> </w:t>
      </w:r>
      <w:r w:rsidR="00805FA6">
        <w:t xml:space="preserve">greater </w:t>
      </w:r>
      <w:r w:rsidR="005C7C59">
        <w:t>geogra</w:t>
      </w:r>
      <w:r w:rsidR="00A8422E">
        <w:t>phic areas of</w:t>
      </w:r>
      <w:r w:rsidR="003D6E9D">
        <w:t xml:space="preserve"> </w:t>
      </w:r>
      <w:r w:rsidR="0001168F">
        <w:t xml:space="preserve">Arcata and Eureka and the community of </w:t>
      </w:r>
      <w:r w:rsidR="003D6E9D">
        <w:t>McKinleyville</w:t>
      </w:r>
      <w:r w:rsidR="0001168F">
        <w:t>.</w:t>
      </w:r>
      <w:r w:rsidR="00330499">
        <w:rPr>
          <w:rStyle w:val="FootnoteReference"/>
        </w:rPr>
        <w:footnoteReference w:id="4"/>
      </w:r>
      <w:r w:rsidR="007D4AE1">
        <w:t xml:space="preserve"> </w:t>
      </w:r>
      <w:r w:rsidR="00A62478">
        <w:t xml:space="preserve">Transferor is not a party to any through routes or joint rates or </w:t>
      </w:r>
      <w:r w:rsidR="00A62478">
        <w:lastRenderedPageBreak/>
        <w:t>fares with any other carrier.</w:t>
      </w:r>
      <w:r w:rsidR="00682D9B">
        <w:rPr>
          <w:rStyle w:val="FootnoteReference"/>
        </w:rPr>
        <w:footnoteReference w:id="5"/>
      </w:r>
      <w:r w:rsidR="000A41DD">
        <w:t xml:space="preserve"> The application does not identify any suspensions or discontinuances of service during the preceding three years.</w:t>
      </w:r>
      <w:r w:rsidR="003222F3">
        <w:rPr>
          <w:rStyle w:val="FootnoteReference"/>
        </w:rPr>
        <w:footnoteReference w:id="6"/>
      </w:r>
      <w:r w:rsidR="00A62478">
        <w:t xml:space="preserve"> </w:t>
      </w:r>
      <w:r w:rsidR="00B42B62">
        <w:t>The</w:t>
      </w:r>
      <w:r w:rsidR="000E3D87">
        <w:t xml:space="preserve"> application asserts that the Transferor wishes to retire</w:t>
      </w:r>
      <w:r w:rsidR="00E52FCD">
        <w:t xml:space="preserve"> and</w:t>
      </w:r>
      <w:r w:rsidR="004E1019">
        <w:t xml:space="preserve"> to relocate outside California.</w:t>
      </w:r>
      <w:r w:rsidR="005A0AEE">
        <w:rPr>
          <w:rStyle w:val="FootnoteReference"/>
        </w:rPr>
        <w:footnoteReference w:id="7"/>
      </w:r>
      <w:r w:rsidR="00705B1D">
        <w:t xml:space="preserve"> </w:t>
      </w:r>
    </w:p>
    <w:p w:rsidR="001530DA" w:rsidP="00344BB9" w:rsidRDefault="00B63A2F" w14:paraId="17B9D50D" w14:textId="5298B253">
      <w:pPr>
        <w:pStyle w:val="Standard"/>
        <w:jc w:val="both"/>
      </w:pPr>
      <w:r>
        <w:t xml:space="preserve"> The requested transfer by sale involves the operating rights and authorities contained </w:t>
      </w:r>
      <w:r w:rsidR="003D2EE8">
        <w:t>within PSC-10974</w:t>
      </w:r>
      <w:r w:rsidR="000B1F71">
        <w:t xml:space="preserve"> and its associated assets including</w:t>
      </w:r>
      <w:r w:rsidR="00896127">
        <w:t xml:space="preserve"> its</w:t>
      </w:r>
      <w:r w:rsidR="000B1F71">
        <w:t xml:space="preserve"> two vehicles</w:t>
      </w:r>
      <w:r w:rsidR="005537E3">
        <w:t xml:space="preserve"> (2018 Dodge Caravans)</w:t>
      </w:r>
      <w:r w:rsidR="000B1F71">
        <w:t xml:space="preserve">, </w:t>
      </w:r>
      <w:r w:rsidR="00B60B15">
        <w:t>its business name, customer lists, phone numbers, website and domain, and contract with Arcata</w:t>
      </w:r>
      <w:r w:rsidR="008D2617">
        <w:t>-</w:t>
      </w:r>
      <w:r w:rsidR="00B60B15">
        <w:t>Eureka Airport.</w:t>
      </w:r>
      <w:r w:rsidR="00D327DA">
        <w:t xml:space="preserve"> The agreed purchase price is </w:t>
      </w:r>
      <w:r w:rsidR="008E772E">
        <w:t>$</w:t>
      </w:r>
      <w:r w:rsidR="00181A3B">
        <w:t>120,000</w:t>
      </w:r>
      <w:r w:rsidR="008E772E">
        <w:t xml:space="preserve"> under the terms and conditions described in Exhibit </w:t>
      </w:r>
      <w:r w:rsidR="00181A3B">
        <w:t xml:space="preserve">D </w:t>
      </w:r>
      <w:r w:rsidR="008E772E">
        <w:t>of the Application</w:t>
      </w:r>
      <w:r w:rsidR="002156A7">
        <w:t>.</w:t>
      </w:r>
    </w:p>
    <w:p w:rsidR="00701303" w:rsidP="00086B2E" w:rsidRDefault="008273B4" w14:paraId="1A30DB7E" w14:textId="77777777">
      <w:pPr>
        <w:pStyle w:val="Standard"/>
        <w:jc w:val="both"/>
      </w:pPr>
      <w:r>
        <w:t>Transferee wishes to continue to provide service</w:t>
      </w:r>
      <w:r w:rsidR="00F14FC6">
        <w:t xml:space="preserve"> on an </w:t>
      </w:r>
      <w:r w:rsidR="004A0B94">
        <w:t>“</w:t>
      </w:r>
      <w:r w:rsidR="00F14FC6">
        <w:t>on-call</w:t>
      </w:r>
      <w:r w:rsidR="004A0B94">
        <w:t>”</w:t>
      </w:r>
      <w:r w:rsidR="00F14FC6">
        <w:t xml:space="preserve"> basis</w:t>
      </w:r>
      <w:r>
        <w:t xml:space="preserve"> to the public under the current doing business as (DBA) name of “Door-to-Door Airporter.” </w:t>
      </w:r>
      <w:r w:rsidR="003F669B">
        <w:t>Passengers</w:t>
      </w:r>
      <w:r w:rsidR="00D9450C">
        <w:t xml:space="preserve"> would be expected to telephone</w:t>
      </w:r>
      <w:r w:rsidR="00832B51">
        <w:t xml:space="preserve"> for service at least 24 hours in advance of pick</w:t>
      </w:r>
      <w:r w:rsidR="00D10991">
        <w:t>-</w:t>
      </w:r>
      <w:r w:rsidR="00832B51">
        <w:t>up</w:t>
      </w:r>
      <w:r w:rsidR="00F82F62">
        <w:t xml:space="preserve"> and to appear at the designated pick</w:t>
      </w:r>
      <w:r w:rsidR="00D10991">
        <w:t>-</w:t>
      </w:r>
      <w:r w:rsidR="00F82F62">
        <w:t xml:space="preserve">up </w:t>
      </w:r>
      <w:r w:rsidR="0026269F">
        <w:t>location</w:t>
      </w:r>
      <w:r w:rsidR="00F82F62">
        <w:t xml:space="preserve"> at the designated time.</w:t>
      </w:r>
      <w:r w:rsidR="00D23C1D">
        <w:rPr>
          <w:rStyle w:val="FootnoteReference"/>
        </w:rPr>
        <w:footnoteReference w:id="8"/>
      </w:r>
      <w:r w:rsidR="00832B51">
        <w:t xml:space="preserve"> </w:t>
      </w:r>
    </w:p>
    <w:p w:rsidR="0017733A" w:rsidP="0017733A" w:rsidRDefault="0017733A" w14:paraId="69744F6F" w14:textId="46FDF6D7">
      <w:pPr>
        <w:pStyle w:val="Standard"/>
        <w:jc w:val="both"/>
      </w:pPr>
      <w:r>
        <w:t xml:space="preserve">Transferee proposes in Exhibit </w:t>
      </w:r>
      <w:r w:rsidR="00362375">
        <w:t xml:space="preserve">E </w:t>
      </w:r>
      <w:r>
        <w:t>to operate two 2018 Dodge Caravans with a seating capacity of 7 seats.</w:t>
      </w:r>
    </w:p>
    <w:p w:rsidR="008273B4" w:rsidP="0017733A" w:rsidRDefault="0017733A" w14:paraId="01921BD7" w14:textId="155A617B">
      <w:pPr>
        <w:pStyle w:val="Standard"/>
        <w:jc w:val="both"/>
      </w:pPr>
      <w:r>
        <w:t>Transferee submitted a financial statement in Exhibit B evidencing $95,800 in total assets and $1,460 in total liabilities and projected revenues and expenses in Exhibit C that anticipate $3,800 in monthly net profit</w:t>
      </w:r>
      <w:r w:rsidR="00D6695C">
        <w:t xml:space="preserve">. While </w:t>
      </w:r>
      <w:r w:rsidR="004A4822">
        <w:t>Transferee only identifies $10,8</w:t>
      </w:r>
      <w:r w:rsidR="00FA1B43">
        <w:t>0</w:t>
      </w:r>
      <w:r w:rsidR="004A4822">
        <w:t>0 in</w:t>
      </w:r>
      <w:r w:rsidR="00AF2E3D">
        <w:t xml:space="preserve"> cash assets, the</w:t>
      </w:r>
      <w:r w:rsidR="00DE6956">
        <w:t xml:space="preserve"> Amendment to</w:t>
      </w:r>
      <w:r w:rsidR="00AF2E3D">
        <w:t xml:space="preserve"> Sales Agree</w:t>
      </w:r>
      <w:r w:rsidR="00E43AEF">
        <w:t xml:space="preserve">ment presented as Exhibit </w:t>
      </w:r>
      <w:r w:rsidR="00DE6956">
        <w:t xml:space="preserve">D </w:t>
      </w:r>
      <w:r w:rsidR="00E43AEF">
        <w:t xml:space="preserve">contains a </w:t>
      </w:r>
      <w:r w:rsidR="002156A7">
        <w:t>term</w:t>
      </w:r>
      <w:r w:rsidR="00D914B3">
        <w:t xml:space="preserve"> that stipulates that, “</w:t>
      </w:r>
      <w:r w:rsidR="00471945">
        <w:rPr>
          <w:i/>
          <w:iCs/>
        </w:rPr>
        <w:t>[t]he Purchase Price will be pa</w:t>
      </w:r>
      <w:r w:rsidR="0065452D">
        <w:rPr>
          <w:i/>
          <w:iCs/>
        </w:rPr>
        <w:t xml:space="preserve">id by Buyer to Seller </w:t>
      </w:r>
      <w:r w:rsidR="002A51E6">
        <w:rPr>
          <w:i/>
          <w:iCs/>
        </w:rPr>
        <w:t>through a Promissory Note</w:t>
      </w:r>
      <w:r w:rsidR="00307527">
        <w:rPr>
          <w:i/>
          <w:iCs/>
        </w:rPr>
        <w:t xml:space="preserve"> (“Note”)</w:t>
      </w:r>
      <w:r w:rsidR="002A51E6">
        <w:rPr>
          <w:i/>
          <w:iCs/>
        </w:rPr>
        <w:t xml:space="preserve"> and Security Agreement” </w:t>
      </w:r>
      <w:r w:rsidRPr="004E5424" w:rsidR="00471945">
        <w:rPr>
          <w:i/>
          <w:iCs/>
        </w:rPr>
        <w:t xml:space="preserve"> </w:t>
      </w:r>
      <w:r w:rsidR="00D914B3">
        <w:t>and</w:t>
      </w:r>
      <w:r w:rsidR="00307527">
        <w:t xml:space="preserve"> “</w:t>
      </w:r>
      <w:r w:rsidRPr="00D12DF2" w:rsidR="00307527">
        <w:rPr>
          <w:i/>
          <w:iCs/>
        </w:rPr>
        <w:t>shall</w:t>
      </w:r>
      <w:r w:rsidRPr="00D12DF2" w:rsidR="00C5771E">
        <w:rPr>
          <w:i/>
          <w:iCs/>
        </w:rPr>
        <w:t xml:space="preserve"> </w:t>
      </w:r>
      <w:r w:rsidRPr="00D12DF2" w:rsidR="00C5771E">
        <w:rPr>
          <w:i/>
          <w:iCs/>
        </w:rPr>
        <w:lastRenderedPageBreak/>
        <w:t>include as security for the Note that real property common known as 2771 St</w:t>
      </w:r>
      <w:r w:rsidRPr="00D12DF2" w:rsidR="00D63CAB">
        <w:rPr>
          <w:i/>
          <w:iCs/>
        </w:rPr>
        <w:t>rating Court, McKinleyville, California</w:t>
      </w:r>
      <w:r w:rsidRPr="00D12DF2" w:rsidR="009C3391">
        <w:rPr>
          <w:i/>
          <w:iCs/>
        </w:rPr>
        <w:t>.</w:t>
      </w:r>
      <w:r w:rsidR="009C3391">
        <w:t>”</w:t>
      </w:r>
      <w:r w:rsidR="00D914B3">
        <w:t xml:space="preserve"> </w:t>
      </w:r>
      <w:r w:rsidR="00D82426">
        <w:t>(Emphasis added.)</w:t>
      </w:r>
      <w:r w:rsidR="003A7E63">
        <w:t xml:space="preserve"> Therefore, </w:t>
      </w:r>
      <w:r w:rsidR="009C3391">
        <w:t xml:space="preserve">relying on this means of financing, </w:t>
      </w:r>
      <w:r w:rsidR="00390B2E">
        <w:t xml:space="preserve">it is reasonable to conclude that </w:t>
      </w:r>
      <w:r>
        <w:t>Transferee</w:t>
      </w:r>
      <w:r w:rsidRPr="00290A10">
        <w:t xml:space="preserve"> has the financial capability to con</w:t>
      </w:r>
      <w:r>
        <w:t>tinue to conduct the existing transportation services.</w:t>
      </w:r>
      <w:r>
        <w:rPr>
          <w:rStyle w:val="FootnoteReference"/>
        </w:rPr>
        <w:footnoteReference w:id="9"/>
      </w:r>
    </w:p>
    <w:p w:rsidRPr="00344BB9" w:rsidR="00FC616A" w:rsidP="00344BB9" w:rsidRDefault="00FC616A" w14:paraId="3833AEA9" w14:textId="38B73FF1">
      <w:pPr>
        <w:pStyle w:val="Standard"/>
        <w:jc w:val="both"/>
        <w:rPr>
          <w:caps/>
        </w:rPr>
      </w:pPr>
      <w:r>
        <w:t>Since the proposed</w:t>
      </w:r>
      <w:r w:rsidR="001536F5">
        <w:t xml:space="preserve"> transfer</w:t>
      </w:r>
      <w:r>
        <w:t xml:space="preserve"> </w:t>
      </w:r>
      <w:r w:rsidR="001536F5">
        <w:t xml:space="preserve">of a PSC Certificate </w:t>
      </w:r>
      <w:r>
        <w:t>will</w:t>
      </w:r>
      <w:r w:rsidR="00E9227F">
        <w:t xml:space="preserve"> continue the existing service using the same vehicles and</w:t>
      </w:r>
      <w:r w:rsidR="00583BAB">
        <w:t xml:space="preserve"> not add to</w:t>
      </w:r>
      <w:r>
        <w:t xml:space="preserve"> the number of vehicles on the public highways between points in California, a California Environmental Quality Act review is not required because it can be seen with certainty that there is no possibility that the activity may have a significant adverse effect on the environment.</w:t>
      </w:r>
    </w:p>
    <w:p w:rsidRPr="009A4238" w:rsidR="00B66B90" w:rsidP="00E74466" w:rsidRDefault="00B66B90" w14:paraId="5344CCE4" w14:textId="52F5378A">
      <w:pPr>
        <w:pStyle w:val="Standard"/>
        <w:jc w:val="both"/>
      </w:pPr>
      <w:r w:rsidRPr="009A4238">
        <w:t>On April 7, 2022, the Commission adopted version 2.0 of its ESJ Action Plan as a comprehensive strategy and framework to address ESJ issues in each proceeding. Environmental justice means the fair treatment of people of all races, cultures, and incomes with respect to the development, adoption, and enforcement of environmental laws, regulations, and policies. The ESJ Action Plan identifies existing inequities and proposes actions for how the Commission can use its regulatory authority to address health and safety, consumer protection, program benefits, and enforcement to encompass industries it regulates, including energy, water, communications</w:t>
      </w:r>
      <w:r w:rsidRPr="009A4238" w:rsidR="3C895501">
        <w:t xml:space="preserve">, and </w:t>
      </w:r>
      <w:r w:rsidRPr="009A4238" w:rsidR="62B3B7E2">
        <w:t xml:space="preserve">passenger </w:t>
      </w:r>
      <w:r w:rsidRPr="009A4238" w:rsidR="3C895501">
        <w:t>transportation</w:t>
      </w:r>
      <w:r w:rsidRPr="009A4238">
        <w:t xml:space="preserve">. </w:t>
      </w:r>
    </w:p>
    <w:p w:rsidR="001946EF" w:rsidP="00E74466" w:rsidRDefault="00B66B90" w14:paraId="457324F5" w14:textId="77777777">
      <w:pPr>
        <w:pStyle w:val="Standard"/>
        <w:jc w:val="both"/>
      </w:pPr>
      <w:r w:rsidRPr="009A4238">
        <w:t xml:space="preserve">The ESJ Action Plan promotes environmental and social justice in California communities that are “predominately communities of color or low income communities that are underrepresented in the policy setting or decision making process, subject to a disproportionate impact from one or more environmental </w:t>
      </w:r>
      <w:r w:rsidRPr="009A4238">
        <w:lastRenderedPageBreak/>
        <w:t>hazards, and are likely to</w:t>
      </w:r>
      <w:r w:rsidRPr="009A4238" w:rsidR="002F141E">
        <w:t xml:space="preserve"> </w:t>
      </w:r>
      <w:r w:rsidRPr="009A4238">
        <w:t>experience disparate implementation of environmental regulations and socio-economic investments in their communities.”</w:t>
      </w:r>
      <w:r w:rsidRPr="004A18E5">
        <w:rPr>
          <w:rStyle w:val="FootnoteReference"/>
        </w:rPr>
        <w:footnoteReference w:id="10"/>
      </w:r>
      <w:r w:rsidRPr="009A4238">
        <w:t xml:space="preserve"> Goal 3 of the ESJ Action Plan is to “</w:t>
      </w:r>
      <w:r w:rsidRPr="009A4238">
        <w:rPr>
          <w:i/>
        </w:rPr>
        <w:t>Strive to improve access to high-quality . . .</w:t>
      </w:r>
      <w:r w:rsidRPr="009A4238" w:rsidR="002F141E">
        <w:rPr>
          <w:i/>
        </w:rPr>
        <w:t xml:space="preserve"> </w:t>
      </w:r>
      <w:r w:rsidRPr="009A4238">
        <w:rPr>
          <w:i/>
        </w:rPr>
        <w:t>transportation services for ESJ communities.</w:t>
      </w:r>
      <w:r w:rsidRPr="009A4238">
        <w:t>” (emphasis added).</w:t>
      </w:r>
    </w:p>
    <w:p w:rsidR="00B66B90" w:rsidP="00C4750B" w:rsidRDefault="001946EF" w14:paraId="117517FB" w14:textId="5E863094">
      <w:pPr>
        <w:pStyle w:val="Standard"/>
        <w:jc w:val="both"/>
      </w:pPr>
      <w:r>
        <w:t>The Commission’s ESJ Action Plan recognizes the disproportionate impacts of environmental hazards in locales with ESJ community characteristics and identifies ways the Commission can use its regulatory authority to address funding and resources for these communities to mitigate the outcomes of past inequities and barriers.</w:t>
      </w:r>
      <w:r w:rsidR="002C1082">
        <w:t xml:space="preserve"> </w:t>
      </w:r>
      <w:r w:rsidRPr="00250B91" w:rsidR="002C1082">
        <w:t xml:space="preserve">Here, the proposed </w:t>
      </w:r>
      <w:r w:rsidR="00393286">
        <w:t>sale by transfer</w:t>
      </w:r>
      <w:r w:rsidRPr="00250B91" w:rsidR="002C1082">
        <w:t xml:space="preserve"> will </w:t>
      </w:r>
      <w:r w:rsidR="00393286">
        <w:t xml:space="preserve">maintain the availability of an </w:t>
      </w:r>
      <w:r w:rsidR="007C738E">
        <w:t>established</w:t>
      </w:r>
      <w:r w:rsidR="00393286">
        <w:t xml:space="preserve"> transportation option</w:t>
      </w:r>
      <w:r w:rsidRPr="00250B91" w:rsidR="002C1082">
        <w:t>. As a result, we find that the Applicants</w:t>
      </w:r>
      <w:r w:rsidR="00823699">
        <w:t>’</w:t>
      </w:r>
      <w:r w:rsidRPr="00250B91" w:rsidR="002C1082">
        <w:t xml:space="preserve"> request </w:t>
      </w:r>
      <w:r w:rsidR="002C1082">
        <w:t>to transfer</w:t>
      </w:r>
      <w:r w:rsidRPr="00250B91" w:rsidR="002C1082">
        <w:t xml:space="preserve"> authority to operate</w:t>
      </w:r>
      <w:r w:rsidR="00823699">
        <w:t xml:space="preserve"> to continue the </w:t>
      </w:r>
      <w:r w:rsidR="0057622C">
        <w:t xml:space="preserve">existing service </w:t>
      </w:r>
      <w:r w:rsidRPr="00250B91" w:rsidR="002C1082">
        <w:t>align</w:t>
      </w:r>
      <w:r w:rsidR="00F65262">
        <w:t>s</w:t>
      </w:r>
      <w:r w:rsidRPr="00250B91" w:rsidR="002C1082">
        <w:t xml:space="preserve"> with the goals of the Commission’s ESJ Action Plan</w:t>
      </w:r>
      <w:r w:rsidR="002C1082">
        <w:t>.</w:t>
      </w:r>
      <w:r w:rsidRPr="3CA0EB26" w:rsidR="002C1082">
        <w:rPr>
          <w:rStyle w:val="FootnoteReference"/>
        </w:rPr>
        <w:footnoteReference w:id="11"/>
      </w:r>
    </w:p>
    <w:p w:rsidRPr="00C4750B" w:rsidR="00E51769" w:rsidP="00C4750B" w:rsidRDefault="00E51769" w14:paraId="48F09C31" w14:textId="5DF37983">
      <w:pPr>
        <w:pStyle w:val="Standard"/>
        <w:jc w:val="both"/>
      </w:pPr>
      <w:r>
        <w:t>For recordkeeping purposes, the Consumer Protection and Enforcement Division designates and assigns a “PSC</w:t>
      </w:r>
      <w:r w:rsidR="00223468">
        <w:t xml:space="preserve"> Number” to each authorized Passenger Stage Corporation.  When a passenger stage authority is transferred, a new PSC Number is assigned to the Transferee.  </w:t>
      </w:r>
      <w:r w:rsidR="00E973CF">
        <w:t>The</w:t>
      </w:r>
      <w:r w:rsidR="00D82B64">
        <w:t xml:space="preserve"> new</w:t>
      </w:r>
      <w:r w:rsidR="00E973CF">
        <w:t xml:space="preserve"> PSC Number assigned to Transferee is PSC-</w:t>
      </w:r>
      <w:r w:rsidR="00D82B64">
        <w:t>50477.</w:t>
      </w:r>
    </w:p>
    <w:p w:rsidRPr="0061553D" w:rsidR="00E51769" w:rsidP="00E51769" w:rsidRDefault="00E51769" w14:paraId="15661350" w14:textId="3269A4A1">
      <w:pPr>
        <w:pStyle w:val="Standard"/>
        <w:jc w:val="both"/>
      </w:pPr>
      <w:r w:rsidRPr="0061553D">
        <w:t>Notice of filing of the application appeared in the Commission’s Daily Calendar on</w:t>
      </w:r>
      <w:r>
        <w:t xml:space="preserve"> December 29, 2025</w:t>
      </w:r>
      <w:r w:rsidRPr="00D6664D">
        <w:t>.</w:t>
      </w:r>
      <w:r w:rsidRPr="0061553D">
        <w:t xml:space="preserve"> Applicant served </w:t>
      </w:r>
      <w:r>
        <w:t>a copy</w:t>
      </w:r>
      <w:r w:rsidRPr="0061553D">
        <w:t xml:space="preserve"> of the application on the </w:t>
      </w:r>
      <w:r>
        <w:lastRenderedPageBreak/>
        <w:t>Consumer Protection and Enforcement Division (CPED)</w:t>
      </w:r>
      <w:r w:rsidR="00E40EC6">
        <w:t xml:space="preserve"> and, subsequently, an amended copy of the application</w:t>
      </w:r>
      <w:r w:rsidR="00C24D80">
        <w:t>.</w:t>
      </w:r>
    </w:p>
    <w:p w:rsidR="00343E5C" w:rsidP="000A603A" w:rsidRDefault="00707A5B" w14:paraId="59CB93EB" w14:textId="0499879E">
      <w:pPr>
        <w:pStyle w:val="Standard"/>
        <w:jc w:val="both"/>
      </w:pPr>
      <w:r w:rsidRPr="0061553D">
        <w:t>In Resolution ALJ 176-</w:t>
      </w:r>
      <w:r w:rsidR="00800184">
        <w:t>3575</w:t>
      </w:r>
      <w:r w:rsidRPr="0061553D">
        <w:t xml:space="preserve">, dated </w:t>
      </w:r>
      <w:r w:rsidR="00800184">
        <w:t>January 15</w:t>
      </w:r>
      <w:r w:rsidRPr="0061553D">
        <w:t>,</w:t>
      </w:r>
      <w:r w:rsidR="00800184">
        <w:t xml:space="preserve"> 2026,</w:t>
      </w:r>
      <w:r w:rsidRPr="0061553D">
        <w:t xml:space="preserve"> the Commission preliminarily categorized this application as </w:t>
      </w:r>
      <w:proofErr w:type="spellStart"/>
      <w:r w:rsidRPr="0061553D">
        <w:t>ratesetting</w:t>
      </w:r>
      <w:proofErr w:type="spellEnd"/>
      <w:r w:rsidRPr="0061553D">
        <w:t xml:space="preserve">. No protest has been received. Given this status, </w:t>
      </w:r>
      <w:r w:rsidRPr="0061553D" w:rsidR="00DA5F9E">
        <w:t xml:space="preserve">a </w:t>
      </w:r>
      <w:r w:rsidRPr="0061553D">
        <w:t>public hearing is not necessary, and it is not necessary to alter the preliminary determinations made in Resolution ALJ 176</w:t>
      </w:r>
      <w:r w:rsidR="00800184">
        <w:t>-3575</w:t>
      </w:r>
      <w:r w:rsidRPr="0061553D">
        <w:t>.</w:t>
      </w:r>
    </w:p>
    <w:p w:rsidR="006B0354" w:rsidP="00DA5F9E" w:rsidRDefault="006B0354" w14:paraId="7CDACCEC" w14:textId="0BCDDE18">
      <w:pPr>
        <w:pStyle w:val="Heading1"/>
        <w:ind w:left="720" w:hanging="720"/>
      </w:pPr>
      <w:r>
        <w:t>Waiver of Comment Period</w:t>
      </w:r>
    </w:p>
    <w:p w:rsidRPr="0061553D" w:rsidR="006B0354" w:rsidP="00175572" w:rsidRDefault="006B0354" w14:paraId="70F4658E" w14:textId="226D8F3B">
      <w:pPr>
        <w:jc w:val="both"/>
      </w:pPr>
      <w:r w:rsidRPr="0061553D">
        <w:t>This is an uncontested matter in which the decision grants the relief requested. Accordingly, as provided in Rule 14.6(c)(2), the otherwise applicable 30-day public review and comment period for this decision is waived.</w:t>
      </w:r>
    </w:p>
    <w:p w:rsidR="005939A5" w:rsidP="00175572" w:rsidRDefault="005939A5" w14:paraId="6AE8E11C" w14:textId="77777777">
      <w:pPr>
        <w:pStyle w:val="Heading1"/>
        <w:ind w:left="720" w:hanging="720"/>
        <w:jc w:val="both"/>
      </w:pPr>
      <w:bookmarkStart w:name="_Toc8123724" w:id="12"/>
      <w:bookmarkStart w:name="_Toc12866694" w:id="13"/>
      <w:r>
        <w:t>Assignment of Proceeding</w:t>
      </w:r>
      <w:bookmarkEnd w:id="12"/>
      <w:bookmarkEnd w:id="13"/>
    </w:p>
    <w:p w:rsidRPr="0061553D" w:rsidR="002C28D8" w:rsidP="00175572" w:rsidRDefault="00EA0D45" w14:paraId="1F7141F9" w14:textId="7D85C47A">
      <w:pPr>
        <w:pStyle w:val="Standard"/>
        <w:jc w:val="both"/>
      </w:pPr>
      <w:r>
        <w:t>Terra Curtis</w:t>
      </w:r>
      <w:r w:rsidRPr="0061553D" w:rsidR="005939A5">
        <w:t xml:space="preserve"> is the assigned </w:t>
      </w:r>
      <w:r w:rsidRPr="0061553D" w:rsidR="000A603A">
        <w:t>Examiner</w:t>
      </w:r>
      <w:r w:rsidRPr="0061553D" w:rsidR="005939A5">
        <w:t xml:space="preserve"> in this proceeding.</w:t>
      </w:r>
    </w:p>
    <w:p w:rsidR="000931BB" w:rsidP="000931BB" w:rsidRDefault="000931BB" w14:paraId="6A0259EA" w14:textId="059C46A4">
      <w:pPr>
        <w:pStyle w:val="Dummy"/>
        <w:jc w:val="both"/>
      </w:pPr>
      <w:bookmarkStart w:name="_Toc8123726" w:id="14"/>
      <w:bookmarkStart w:name="_Toc12866696" w:id="15"/>
      <w:r>
        <w:t>Finding of Fact</w:t>
      </w:r>
    </w:p>
    <w:p w:rsidRPr="00DB7040" w:rsidR="007C44D2" w:rsidP="00FC7131" w:rsidRDefault="007C44D2" w14:paraId="743B9845" w14:textId="0CC637C2">
      <w:pPr>
        <w:pStyle w:val="num1"/>
        <w:numPr>
          <w:ilvl w:val="0"/>
          <w:numId w:val="21"/>
        </w:numPr>
        <w:jc w:val="both"/>
        <w:rPr>
          <w:rFonts w:ascii="Book Antiqua" w:hAnsi="Book Antiqua"/>
          <w:szCs w:val="26"/>
        </w:rPr>
      </w:pPr>
      <w:r w:rsidRPr="00DB7040">
        <w:rPr>
          <w:rFonts w:ascii="Book Antiqua" w:hAnsi="Book Antiqua"/>
          <w:szCs w:val="26"/>
        </w:rPr>
        <w:t xml:space="preserve">Transferor is operating as a Passenger Stage Corporation </w:t>
      </w:r>
      <w:r w:rsidRPr="00DB7040" w:rsidR="00253F7E">
        <w:rPr>
          <w:rFonts w:ascii="Book Antiqua" w:hAnsi="Book Antiqua"/>
          <w:szCs w:val="26"/>
        </w:rPr>
        <w:t xml:space="preserve">pursuant to the Certificate of Public Convenience and Necessity described in </w:t>
      </w:r>
      <w:r w:rsidRPr="00DB7040" w:rsidR="00253F7E">
        <w:rPr>
          <w:rFonts w:ascii="Book Antiqua" w:hAnsi="Book Antiqua"/>
          <w:color w:val="000000" w:themeColor="text1"/>
        </w:rPr>
        <w:t xml:space="preserve">PSC-10974 </w:t>
      </w:r>
      <w:r w:rsidRPr="00DB7040" w:rsidR="00DC1EE4">
        <w:rPr>
          <w:rFonts w:ascii="Book Antiqua" w:hAnsi="Book Antiqua"/>
          <w:color w:val="000000" w:themeColor="text1"/>
        </w:rPr>
        <w:t>of</w:t>
      </w:r>
      <w:r w:rsidRPr="00DB7040" w:rsidR="00C808B8">
        <w:rPr>
          <w:rFonts w:ascii="Book Antiqua" w:hAnsi="Book Antiqua"/>
          <w:color w:val="000000" w:themeColor="text1"/>
        </w:rPr>
        <w:t xml:space="preserve"> D.99-01-002 as corrected by</w:t>
      </w:r>
      <w:r w:rsidRPr="00DB7040" w:rsidR="00DC1EE4">
        <w:rPr>
          <w:rFonts w:ascii="Book Antiqua" w:hAnsi="Book Antiqua"/>
          <w:color w:val="000000" w:themeColor="text1"/>
        </w:rPr>
        <w:t xml:space="preserve"> D.</w:t>
      </w:r>
      <w:r w:rsidRPr="00DB7040" w:rsidR="00EA3978">
        <w:rPr>
          <w:rFonts w:ascii="Book Antiqua" w:hAnsi="Book Antiqua"/>
          <w:color w:val="000000" w:themeColor="text1"/>
        </w:rPr>
        <w:t>99-0</w:t>
      </w:r>
      <w:r w:rsidRPr="00DB7040" w:rsidR="006210A4">
        <w:rPr>
          <w:rFonts w:ascii="Book Antiqua" w:hAnsi="Book Antiqua"/>
          <w:color w:val="000000" w:themeColor="text1"/>
        </w:rPr>
        <w:t>6</w:t>
      </w:r>
      <w:r w:rsidRPr="00DB7040" w:rsidR="00EA3978">
        <w:rPr>
          <w:rFonts w:ascii="Book Antiqua" w:hAnsi="Book Antiqua"/>
          <w:color w:val="000000" w:themeColor="text1"/>
        </w:rPr>
        <w:t>-0</w:t>
      </w:r>
      <w:r w:rsidRPr="00DB7040" w:rsidR="006210A4">
        <w:rPr>
          <w:rFonts w:ascii="Book Antiqua" w:hAnsi="Book Antiqua"/>
          <w:color w:val="000000" w:themeColor="text1"/>
        </w:rPr>
        <w:t>28</w:t>
      </w:r>
      <w:r w:rsidRPr="00DB7040" w:rsidR="00EA3978">
        <w:rPr>
          <w:rFonts w:ascii="Book Antiqua" w:hAnsi="Book Antiqua"/>
          <w:color w:val="000000" w:themeColor="text1"/>
        </w:rPr>
        <w:t>.</w:t>
      </w:r>
    </w:p>
    <w:p w:rsidRPr="00DB7040" w:rsidR="009E5E42" w:rsidP="00FC7131" w:rsidRDefault="001A7523" w14:paraId="412FD183" w14:textId="0D75398F">
      <w:pPr>
        <w:pStyle w:val="num1"/>
        <w:numPr>
          <w:ilvl w:val="0"/>
          <w:numId w:val="21"/>
        </w:numPr>
        <w:jc w:val="both"/>
        <w:rPr>
          <w:rFonts w:ascii="Book Antiqua" w:hAnsi="Book Antiqua"/>
          <w:szCs w:val="26"/>
        </w:rPr>
      </w:pPr>
      <w:r w:rsidRPr="00DB7040">
        <w:rPr>
          <w:rFonts w:ascii="Book Antiqua" w:hAnsi="Book Antiqua"/>
        </w:rPr>
        <w:t xml:space="preserve">Transferor </w:t>
      </w:r>
      <w:r w:rsidRPr="00DB7040" w:rsidR="00A06291">
        <w:rPr>
          <w:rFonts w:ascii="Book Antiqua" w:hAnsi="Book Antiqua"/>
        </w:rPr>
        <w:t xml:space="preserve">holds </w:t>
      </w:r>
      <w:r w:rsidRPr="00DB7040" w:rsidR="00802B10">
        <w:rPr>
          <w:rFonts w:ascii="Book Antiqua" w:hAnsi="Book Antiqua"/>
        </w:rPr>
        <w:t>the</w:t>
      </w:r>
      <w:r w:rsidRPr="00DB7040" w:rsidR="00A06291">
        <w:rPr>
          <w:rFonts w:ascii="Book Antiqua" w:hAnsi="Book Antiqua"/>
        </w:rPr>
        <w:t xml:space="preserve"> PSC Certificate</w:t>
      </w:r>
      <w:r w:rsidRPr="00DB7040" w:rsidR="006101DE">
        <w:rPr>
          <w:rFonts w:ascii="Book Antiqua" w:hAnsi="Book Antiqua"/>
        </w:rPr>
        <w:t xml:space="preserve"> for PSC-1</w:t>
      </w:r>
      <w:r w:rsidRPr="00DB7040" w:rsidR="00502CAD">
        <w:rPr>
          <w:rFonts w:ascii="Book Antiqua" w:hAnsi="Book Antiqua"/>
        </w:rPr>
        <w:t>0</w:t>
      </w:r>
      <w:r w:rsidRPr="00DB7040" w:rsidR="006101DE">
        <w:rPr>
          <w:rFonts w:ascii="Book Antiqua" w:hAnsi="Book Antiqua"/>
        </w:rPr>
        <w:t>974</w:t>
      </w:r>
      <w:r w:rsidRPr="00DB7040" w:rsidR="00A06291">
        <w:rPr>
          <w:rFonts w:ascii="Book Antiqua" w:hAnsi="Book Antiqua"/>
        </w:rPr>
        <w:t xml:space="preserve"> </w:t>
      </w:r>
      <w:r w:rsidRPr="00DB7040" w:rsidR="006101DE">
        <w:rPr>
          <w:rFonts w:ascii="Book Antiqua" w:hAnsi="Book Antiqua"/>
        </w:rPr>
        <w:t>through issuance of</w:t>
      </w:r>
      <w:r w:rsidRPr="00DB7040" w:rsidR="00A06291">
        <w:rPr>
          <w:rFonts w:ascii="Book Antiqua" w:hAnsi="Book Antiqua"/>
        </w:rPr>
        <w:t xml:space="preserve"> </w:t>
      </w:r>
      <w:r w:rsidRPr="00DB7040" w:rsidR="009E1B82">
        <w:rPr>
          <w:rFonts w:ascii="Book Antiqua" w:hAnsi="Book Antiqua"/>
        </w:rPr>
        <w:t>Commission Resolution TL-19132</w:t>
      </w:r>
      <w:r w:rsidRPr="00DB7040" w:rsidR="00802B10">
        <w:rPr>
          <w:rFonts w:ascii="Book Antiqua" w:hAnsi="Book Antiqua"/>
        </w:rPr>
        <w:t>.</w:t>
      </w:r>
    </w:p>
    <w:p w:rsidRPr="00DB7040" w:rsidR="00A06291" w:rsidP="00FC7131" w:rsidRDefault="00945E22" w14:paraId="472648EA" w14:textId="75857FB5">
      <w:pPr>
        <w:pStyle w:val="num1"/>
        <w:numPr>
          <w:ilvl w:val="0"/>
          <w:numId w:val="21"/>
        </w:numPr>
        <w:jc w:val="both"/>
        <w:rPr>
          <w:rFonts w:ascii="Book Antiqua" w:hAnsi="Book Antiqua"/>
          <w:szCs w:val="26"/>
        </w:rPr>
      </w:pPr>
      <w:r w:rsidRPr="00DB7040">
        <w:rPr>
          <w:rFonts w:ascii="Book Antiqua" w:hAnsi="Book Antiqua"/>
        </w:rPr>
        <w:t>Transferor proposes to sell its PSC Certificate to Transferee.</w:t>
      </w:r>
    </w:p>
    <w:p w:rsidRPr="00396E7A" w:rsidR="00FC7131" w:rsidP="00FC7131" w:rsidRDefault="00FC7131" w14:paraId="35810FD8" w14:textId="543B81C9">
      <w:pPr>
        <w:pStyle w:val="num1"/>
        <w:numPr>
          <w:ilvl w:val="0"/>
          <w:numId w:val="21"/>
        </w:numPr>
        <w:jc w:val="both"/>
        <w:rPr>
          <w:rFonts w:ascii="Book Antiqua" w:hAnsi="Book Antiqua"/>
        </w:rPr>
      </w:pPr>
      <w:r w:rsidRPr="00396E7A">
        <w:rPr>
          <w:rFonts w:ascii="Book Antiqua" w:hAnsi="Book Antiqua"/>
        </w:rPr>
        <w:t>No protest of the application has been filed.</w:t>
      </w:r>
    </w:p>
    <w:p w:rsidR="004C7F85" w:rsidP="004C7F85" w:rsidRDefault="004C7F85" w14:paraId="2639A361" w14:textId="77777777">
      <w:pPr>
        <w:pStyle w:val="num1"/>
        <w:numPr>
          <w:ilvl w:val="0"/>
          <w:numId w:val="21"/>
        </w:numPr>
        <w:ind w:left="720" w:hanging="360"/>
        <w:jc w:val="both"/>
        <w:rPr>
          <w:rFonts w:ascii="Book Antiqua" w:hAnsi="Book Antiqua"/>
        </w:rPr>
      </w:pPr>
      <w:r>
        <w:rPr>
          <w:rFonts w:ascii="Book Antiqua" w:hAnsi="Book Antiqua"/>
        </w:rPr>
        <w:t>A public hearing is not necessary.</w:t>
      </w:r>
    </w:p>
    <w:p w:rsidR="004F057E" w:rsidP="004F057E" w:rsidRDefault="004F057E" w14:paraId="7D600DC6" w14:textId="77777777">
      <w:pPr>
        <w:pStyle w:val="num1"/>
        <w:numPr>
          <w:ilvl w:val="0"/>
          <w:numId w:val="21"/>
        </w:numPr>
        <w:jc w:val="both"/>
        <w:rPr>
          <w:rFonts w:ascii="Book Antiqua" w:hAnsi="Book Antiqua"/>
          <w:szCs w:val="26"/>
        </w:rPr>
      </w:pPr>
      <w:r>
        <w:rPr>
          <w:rFonts w:ascii="Book Antiqua" w:hAnsi="Book Antiqua"/>
        </w:rPr>
        <w:t xml:space="preserve">The proposed sale will not be </w:t>
      </w:r>
      <w:proofErr w:type="gramStart"/>
      <w:r>
        <w:rPr>
          <w:rFonts w:ascii="Book Antiqua" w:hAnsi="Book Antiqua"/>
        </w:rPr>
        <w:t>adverse</w:t>
      </w:r>
      <w:proofErr w:type="gramEnd"/>
      <w:r>
        <w:rPr>
          <w:rFonts w:ascii="Book Antiqua" w:hAnsi="Book Antiqua"/>
        </w:rPr>
        <w:t xml:space="preserve"> to the public interest.</w:t>
      </w:r>
    </w:p>
    <w:p w:rsidR="00FC7131" w:rsidP="668ABDA0" w:rsidRDefault="00FC7131" w14:paraId="78189D8D" w14:textId="34F627C9">
      <w:pPr>
        <w:pStyle w:val="num1"/>
        <w:numPr>
          <w:ilvl w:val="0"/>
          <w:numId w:val="21"/>
        </w:numPr>
        <w:jc w:val="both"/>
        <w:rPr>
          <w:rFonts w:ascii="Book Antiqua" w:hAnsi="Book Antiqua"/>
        </w:rPr>
      </w:pPr>
      <w:r w:rsidRPr="668ABDA0">
        <w:rPr>
          <w:rStyle w:val="normaltextrun"/>
          <w:rFonts w:ascii="Book Antiqua" w:hAnsi="Book Antiqua" w:eastAsiaTheme="majorEastAsia"/>
        </w:rPr>
        <w:t>A California Environmental Quality Act review is not required for this decision because it can be seen with certainty that there is no possibility that the proposed operations may have a significant adverse effect on the environment. </w:t>
      </w:r>
      <w:r w:rsidRPr="668ABDA0">
        <w:rPr>
          <w:rStyle w:val="eop"/>
          <w:rFonts w:ascii="Book Antiqua" w:hAnsi="Book Antiqua"/>
        </w:rPr>
        <w:t> </w:t>
      </w:r>
    </w:p>
    <w:p w:rsidR="00FC7131" w:rsidP="00FC7131" w:rsidRDefault="00FC7131" w14:paraId="63612DB8" w14:textId="4D1E4A57">
      <w:pPr>
        <w:pStyle w:val="num1"/>
        <w:numPr>
          <w:ilvl w:val="0"/>
          <w:numId w:val="21"/>
        </w:numPr>
        <w:jc w:val="both"/>
        <w:rPr>
          <w:rStyle w:val="eop"/>
          <w:rFonts w:ascii="Book Antiqua" w:hAnsi="Book Antiqua"/>
          <w:szCs w:val="26"/>
        </w:rPr>
      </w:pPr>
      <w:r>
        <w:rPr>
          <w:rStyle w:val="normaltextrun"/>
          <w:rFonts w:ascii="Book Antiqua" w:hAnsi="Book Antiqua" w:eastAsiaTheme="majorEastAsia"/>
          <w:szCs w:val="26"/>
        </w:rPr>
        <w:t xml:space="preserve">The proposed </w:t>
      </w:r>
      <w:r w:rsidR="00D038DF">
        <w:rPr>
          <w:rStyle w:val="normaltextrun"/>
          <w:rFonts w:ascii="Book Antiqua" w:hAnsi="Book Antiqua" w:eastAsiaTheme="majorEastAsia"/>
          <w:szCs w:val="26"/>
        </w:rPr>
        <w:t>sale</w:t>
      </w:r>
      <w:r>
        <w:rPr>
          <w:rStyle w:val="normaltextrun"/>
          <w:rFonts w:ascii="Book Antiqua" w:hAnsi="Book Antiqua" w:eastAsiaTheme="majorEastAsia"/>
          <w:szCs w:val="26"/>
        </w:rPr>
        <w:t xml:space="preserve"> </w:t>
      </w:r>
      <w:r w:rsidR="00AB02AC">
        <w:rPr>
          <w:rStyle w:val="normaltextrun"/>
          <w:rFonts w:ascii="Book Antiqua" w:hAnsi="Book Antiqua" w:eastAsiaTheme="majorEastAsia"/>
          <w:szCs w:val="26"/>
        </w:rPr>
        <w:t>aligns with</w:t>
      </w:r>
      <w:r w:rsidR="00225058">
        <w:rPr>
          <w:rStyle w:val="normaltextrun"/>
          <w:rFonts w:ascii="Book Antiqua" w:hAnsi="Book Antiqua" w:eastAsiaTheme="majorEastAsia"/>
          <w:szCs w:val="26"/>
        </w:rPr>
        <w:t xml:space="preserve"> the</w:t>
      </w:r>
      <w:r>
        <w:rPr>
          <w:rStyle w:val="normaltextrun"/>
          <w:rFonts w:ascii="Book Antiqua" w:hAnsi="Book Antiqua" w:eastAsiaTheme="majorEastAsia"/>
          <w:szCs w:val="26"/>
        </w:rPr>
        <w:t xml:space="preserve"> Commission’s ESJ Action Plan.</w:t>
      </w:r>
      <w:r>
        <w:rPr>
          <w:rStyle w:val="eop"/>
          <w:rFonts w:ascii="Book Antiqua" w:hAnsi="Book Antiqua"/>
          <w:szCs w:val="26"/>
        </w:rPr>
        <w:t> </w:t>
      </w:r>
    </w:p>
    <w:p w:rsidR="005939A5" w:rsidP="00175572" w:rsidRDefault="005939A5" w14:paraId="3F8459E0" w14:textId="77777777">
      <w:pPr>
        <w:pStyle w:val="Dummy"/>
        <w:jc w:val="both"/>
      </w:pPr>
      <w:r>
        <w:lastRenderedPageBreak/>
        <w:t>Conclusions of Law</w:t>
      </w:r>
      <w:bookmarkEnd w:id="14"/>
      <w:bookmarkEnd w:id="15"/>
    </w:p>
    <w:p w:rsidRPr="00F64A19" w:rsidR="00C00804" w:rsidP="7CA3A84B" w:rsidRDefault="00C00804" w14:paraId="5DFF46C8" w14:textId="521FB390">
      <w:pPr>
        <w:pStyle w:val="num1"/>
        <w:numPr>
          <w:ilvl w:val="0"/>
          <w:numId w:val="1"/>
        </w:numPr>
        <w:jc w:val="both"/>
        <w:rPr>
          <w:rFonts w:ascii="Book Antiqua" w:hAnsi="Book Antiqua"/>
        </w:rPr>
      </w:pPr>
      <w:bookmarkStart w:name="_Toc12866697" w:id="16"/>
      <w:r w:rsidRPr="00F64A19">
        <w:rPr>
          <w:rFonts w:ascii="Book Antiqua" w:hAnsi="Book Antiqua"/>
        </w:rPr>
        <w:t xml:space="preserve">The proposed sale is </w:t>
      </w:r>
      <w:proofErr w:type="gramStart"/>
      <w:r w:rsidRPr="00F64A19">
        <w:rPr>
          <w:rFonts w:ascii="Book Antiqua" w:hAnsi="Book Antiqua"/>
        </w:rPr>
        <w:t>in</w:t>
      </w:r>
      <w:proofErr w:type="gramEnd"/>
      <w:r w:rsidRPr="00F64A19">
        <w:rPr>
          <w:rFonts w:ascii="Book Antiqua" w:hAnsi="Book Antiqua"/>
        </w:rPr>
        <w:t xml:space="preserve"> </w:t>
      </w:r>
      <w:proofErr w:type="gramStart"/>
      <w:r w:rsidRPr="00F64A19">
        <w:rPr>
          <w:rFonts w:ascii="Book Antiqua" w:hAnsi="Book Antiqua"/>
        </w:rPr>
        <w:t>the public</w:t>
      </w:r>
      <w:proofErr w:type="gramEnd"/>
      <w:r w:rsidRPr="00F64A19">
        <w:rPr>
          <w:rFonts w:ascii="Book Antiqua" w:hAnsi="Book Antiqua"/>
        </w:rPr>
        <w:t xml:space="preserve"> interest and should be authorized.</w:t>
      </w:r>
    </w:p>
    <w:p w:rsidRPr="00F64A19" w:rsidR="00877FF9" w:rsidP="00877FF9" w:rsidRDefault="00877FF9" w14:paraId="42EAC768" w14:textId="77777777">
      <w:pPr>
        <w:pStyle w:val="num1"/>
        <w:numPr>
          <w:ilvl w:val="0"/>
          <w:numId w:val="1"/>
        </w:numPr>
        <w:jc w:val="both"/>
        <w:rPr>
          <w:rFonts w:ascii="Book Antiqua" w:hAnsi="Book Antiqua"/>
        </w:rPr>
      </w:pPr>
      <w:r w:rsidRPr="00F64A19">
        <w:rPr>
          <w:rFonts w:ascii="Book Antiqua" w:hAnsi="Book Antiqua"/>
        </w:rPr>
        <w:t xml:space="preserve">The Executive Director is authorized to issue, deny or transfer PSC certifications via the process adopted </w:t>
      </w:r>
      <w:proofErr w:type="gramStart"/>
      <w:r w:rsidRPr="00F64A19">
        <w:rPr>
          <w:rFonts w:ascii="Book Antiqua" w:hAnsi="Book Antiqua"/>
        </w:rPr>
        <w:t>in</w:t>
      </w:r>
      <w:proofErr w:type="gramEnd"/>
      <w:r w:rsidRPr="00F64A19">
        <w:rPr>
          <w:rFonts w:ascii="Book Antiqua" w:hAnsi="Book Antiqua"/>
        </w:rPr>
        <w:t xml:space="preserve"> D.15-05-029.</w:t>
      </w:r>
    </w:p>
    <w:p w:rsidRPr="00F64A19" w:rsidR="00FE0D8D" w:rsidP="7CA3A84B" w:rsidRDefault="01E85EF0" w14:paraId="6D8FF15E" w14:textId="5A2DDB66">
      <w:pPr>
        <w:pStyle w:val="num1"/>
        <w:numPr>
          <w:ilvl w:val="0"/>
          <w:numId w:val="1"/>
        </w:numPr>
        <w:jc w:val="both"/>
        <w:rPr>
          <w:rFonts w:ascii="Book Antiqua" w:hAnsi="Book Antiqua"/>
        </w:rPr>
      </w:pPr>
      <w:r w:rsidRPr="00F64A19">
        <w:rPr>
          <w:rFonts w:ascii="Book Antiqua" w:hAnsi="Book Antiqua"/>
        </w:rPr>
        <w:t>The</w:t>
      </w:r>
      <w:r w:rsidRPr="00F64A19" w:rsidR="00FE0D8D">
        <w:rPr>
          <w:rFonts w:ascii="Book Antiqua" w:hAnsi="Book Antiqua"/>
        </w:rPr>
        <w:t xml:space="preserve"> matter is uncontested</w:t>
      </w:r>
      <w:r w:rsidRPr="00F64A19" w:rsidR="00B758CB">
        <w:rPr>
          <w:rFonts w:ascii="Book Antiqua" w:hAnsi="Book Antiqua"/>
        </w:rPr>
        <w:t>,</w:t>
      </w:r>
      <w:r w:rsidRPr="00F64A19" w:rsidR="0163BCEE">
        <w:rPr>
          <w:rFonts w:ascii="Book Antiqua" w:hAnsi="Book Antiqua"/>
        </w:rPr>
        <w:t xml:space="preserve"> and</w:t>
      </w:r>
      <w:r w:rsidRPr="00F64A19" w:rsidR="00B758CB">
        <w:rPr>
          <w:rFonts w:ascii="Book Antiqua" w:hAnsi="Book Antiqua"/>
        </w:rPr>
        <w:t xml:space="preserve"> </w:t>
      </w:r>
      <w:r w:rsidRPr="00F64A19" w:rsidR="00FE0D8D">
        <w:rPr>
          <w:rFonts w:ascii="Book Antiqua" w:hAnsi="Book Antiqua"/>
        </w:rPr>
        <w:t>the decision should be effective on the date it is signed.</w:t>
      </w:r>
    </w:p>
    <w:p w:rsidRPr="00F64A19" w:rsidR="002C28D8" w:rsidP="7CA3A84B" w:rsidRDefault="00FE0D8D" w14:paraId="21B7D6BB" w14:textId="795D29A5">
      <w:pPr>
        <w:pStyle w:val="num1"/>
        <w:numPr>
          <w:ilvl w:val="0"/>
          <w:numId w:val="1"/>
        </w:numPr>
        <w:jc w:val="both"/>
        <w:rPr>
          <w:rFonts w:ascii="Book Antiqua" w:hAnsi="Book Antiqua"/>
        </w:rPr>
      </w:pPr>
      <w:r w:rsidRPr="00F64A19">
        <w:rPr>
          <w:rFonts w:ascii="Book Antiqua" w:hAnsi="Book Antiqua"/>
        </w:rPr>
        <w:t>A California Environmental Quality Act review is not required for this decision because it can be seen with certainty that there is no possibility that the activity in question may have a significant adverse effect on the environment.</w:t>
      </w:r>
    </w:p>
    <w:p w:rsidRPr="00F64A19" w:rsidR="0038264B" w:rsidP="7CA3A84B" w:rsidRDefault="00AC2022" w14:paraId="1575664D" w14:textId="723787D3">
      <w:pPr>
        <w:pStyle w:val="num1"/>
        <w:numPr>
          <w:ilvl w:val="0"/>
          <w:numId w:val="1"/>
        </w:numPr>
        <w:jc w:val="both"/>
        <w:rPr>
          <w:rFonts w:ascii="Book Antiqua" w:hAnsi="Book Antiqua"/>
        </w:rPr>
      </w:pPr>
      <w:r w:rsidRPr="00F64A19">
        <w:rPr>
          <w:rFonts w:ascii="Book Antiqua" w:hAnsi="Book Antiqua"/>
        </w:rPr>
        <w:t>Application 25-11-012</w:t>
      </w:r>
      <w:r w:rsidRPr="00F64A19" w:rsidR="00E62676">
        <w:rPr>
          <w:rFonts w:ascii="Book Antiqua" w:hAnsi="Book Antiqua"/>
        </w:rPr>
        <w:t xml:space="preserve"> </w:t>
      </w:r>
      <w:r w:rsidRPr="00F64A19" w:rsidR="00DB185D">
        <w:rPr>
          <w:rFonts w:ascii="Book Antiqua" w:hAnsi="Book Antiqua"/>
        </w:rPr>
        <w:t>should be closed.</w:t>
      </w:r>
    </w:p>
    <w:p w:rsidR="00BB0243" w:rsidP="000A6E05" w:rsidRDefault="005939A5" w14:paraId="1FD1C273" w14:textId="7334789C">
      <w:pPr>
        <w:pStyle w:val="Mainex"/>
      </w:pPr>
      <w:r>
        <w:t>O</w:t>
      </w:r>
      <w:r w:rsidR="00722850">
        <w:t>RDER</w:t>
      </w:r>
      <w:bookmarkEnd w:id="16"/>
    </w:p>
    <w:p w:rsidRPr="0061553D" w:rsidR="00BB0243" w:rsidP="0013769B" w:rsidRDefault="00BB0243" w14:paraId="4D1D723E" w14:textId="77777777">
      <w:pPr>
        <w:keepNext/>
        <w:jc w:val="both"/>
      </w:pPr>
      <w:r w:rsidRPr="0061553D">
        <w:rPr>
          <w:b/>
        </w:rPr>
        <w:t>IT IS ORDERED</w:t>
      </w:r>
      <w:r w:rsidRPr="0061553D">
        <w:t xml:space="preserve"> that:</w:t>
      </w:r>
    </w:p>
    <w:p w:rsidR="00221AA2" w:rsidP="2E490023" w:rsidRDefault="00E917AE" w14:paraId="691953B5" w14:textId="02B90389">
      <w:pPr>
        <w:pStyle w:val="num2"/>
        <w:numPr>
          <w:ilvl w:val="0"/>
          <w:numId w:val="34"/>
        </w:numPr>
        <w:rPr>
          <w:rFonts w:ascii="Book Antiqua" w:hAnsi="Book Antiqua"/>
        </w:rPr>
      </w:pPr>
      <w:r>
        <w:rPr>
          <w:rFonts w:ascii="Book Antiqua" w:hAnsi="Book Antiqua"/>
        </w:rPr>
        <w:t>Within 120 days after the effective date of this order, Margie C. Vitalie</w:t>
      </w:r>
      <w:r w:rsidR="004958B2">
        <w:rPr>
          <w:rFonts w:ascii="Book Antiqua" w:hAnsi="Book Antiqua"/>
        </w:rPr>
        <w:t xml:space="preserve"> (Transferor), an individual, may </w:t>
      </w:r>
      <w:r w:rsidR="00CA59A7">
        <w:rPr>
          <w:rFonts w:ascii="Book Antiqua" w:hAnsi="Book Antiqua"/>
        </w:rPr>
        <w:t>sell</w:t>
      </w:r>
      <w:r w:rsidR="004958B2">
        <w:rPr>
          <w:rFonts w:ascii="Book Antiqua" w:hAnsi="Book Antiqua"/>
        </w:rPr>
        <w:t xml:space="preserve"> the operative rights specified in the application to Trevor V</w:t>
      </w:r>
      <w:r w:rsidR="00C808B8">
        <w:rPr>
          <w:rFonts w:ascii="Book Antiqua" w:hAnsi="Book Antiqua"/>
        </w:rPr>
        <w:t xml:space="preserve">. </w:t>
      </w:r>
      <w:r w:rsidR="004958B2">
        <w:rPr>
          <w:rFonts w:ascii="Book Antiqua" w:hAnsi="Book Antiqua"/>
        </w:rPr>
        <w:t>Buchholz (</w:t>
      </w:r>
      <w:r w:rsidR="00221AA2">
        <w:rPr>
          <w:rFonts w:ascii="Book Antiqua" w:hAnsi="Book Antiqua"/>
        </w:rPr>
        <w:t>Transferee), an individual, subject to the conditions contained in the following paragraphs.</w:t>
      </w:r>
    </w:p>
    <w:p w:rsidRPr="00396E7A" w:rsidR="002F141E" w:rsidP="2E490023" w:rsidRDefault="00221AA2" w14:paraId="1690B896" w14:textId="76171A74">
      <w:pPr>
        <w:pStyle w:val="num2"/>
        <w:numPr>
          <w:ilvl w:val="0"/>
          <w:numId w:val="34"/>
        </w:numPr>
        <w:rPr>
          <w:rFonts w:ascii="Book Antiqua" w:hAnsi="Book Antiqua"/>
        </w:rPr>
      </w:pPr>
      <w:r>
        <w:rPr>
          <w:rFonts w:ascii="Book Antiqua" w:hAnsi="Book Antiqua"/>
        </w:rPr>
        <w:t>Transferee</w:t>
      </w:r>
      <w:r w:rsidRPr="00396E7A" w:rsidR="002F141E">
        <w:rPr>
          <w:rFonts w:ascii="Book Antiqua" w:hAnsi="Book Antiqua"/>
        </w:rPr>
        <w:t xml:space="preserve"> </w:t>
      </w:r>
      <w:r w:rsidRPr="00396E7A" w:rsidR="00BF6745">
        <w:rPr>
          <w:rFonts w:ascii="Book Antiqua" w:hAnsi="Book Antiqua"/>
        </w:rPr>
        <w:t>shall:</w:t>
      </w:r>
    </w:p>
    <w:p w:rsidRPr="00396E7A" w:rsidR="00BF6745" w:rsidP="00AD0E06" w:rsidRDefault="00BF6745" w14:paraId="67FC9E94" w14:textId="61AB45A8">
      <w:pPr>
        <w:pStyle w:val="num2"/>
        <w:numPr>
          <w:ilvl w:val="0"/>
          <w:numId w:val="25"/>
        </w:numPr>
        <w:rPr>
          <w:rFonts w:ascii="Book Antiqua" w:hAnsi="Book Antiqua"/>
        </w:rPr>
      </w:pPr>
      <w:r w:rsidRPr="00396E7A">
        <w:rPr>
          <w:rFonts w:ascii="Book Antiqua" w:hAnsi="Book Antiqua"/>
        </w:rPr>
        <w:t xml:space="preserve">File a written acceptance of this certificate within 30 days after this </w:t>
      </w:r>
      <w:r w:rsidR="00CA59A7">
        <w:rPr>
          <w:rFonts w:ascii="Book Antiqua" w:hAnsi="Book Antiqua"/>
        </w:rPr>
        <w:t>order</w:t>
      </w:r>
      <w:r w:rsidRPr="00396E7A">
        <w:rPr>
          <w:rFonts w:ascii="Book Antiqua" w:hAnsi="Book Antiqua"/>
        </w:rPr>
        <w:t xml:space="preserve"> is effective.</w:t>
      </w:r>
    </w:p>
    <w:p w:rsidRPr="00396E7A" w:rsidR="00BF6745" w:rsidP="00AD0E06" w:rsidRDefault="00CA59A7" w14:paraId="615C6F67" w14:textId="485AEB0B">
      <w:pPr>
        <w:pStyle w:val="num2"/>
        <w:numPr>
          <w:ilvl w:val="0"/>
          <w:numId w:val="25"/>
        </w:numPr>
        <w:rPr>
          <w:rFonts w:ascii="Book Antiqua" w:hAnsi="Book Antiqua"/>
        </w:rPr>
      </w:pPr>
      <w:r>
        <w:rPr>
          <w:rFonts w:ascii="Book Antiqua" w:hAnsi="Book Antiqua"/>
        </w:rPr>
        <w:t>Amend or reissue Transferor</w:t>
      </w:r>
      <w:r w:rsidR="00527AC3">
        <w:rPr>
          <w:rFonts w:ascii="Book Antiqua" w:hAnsi="Book Antiqua"/>
        </w:rPr>
        <w:t>’</w:t>
      </w:r>
      <w:r>
        <w:rPr>
          <w:rFonts w:ascii="Book Antiqua" w:hAnsi="Book Antiqua"/>
        </w:rPr>
        <w:t>s tariffs</w:t>
      </w:r>
      <w:r w:rsidR="00DF137E">
        <w:rPr>
          <w:rFonts w:ascii="Book Antiqua" w:hAnsi="Book Antiqua"/>
        </w:rPr>
        <w:t xml:space="preserve"> within 120 days after this order is effective.</w:t>
      </w:r>
      <w:r w:rsidRPr="00396E7A" w:rsidR="00BF6745">
        <w:rPr>
          <w:rFonts w:ascii="Book Antiqua" w:hAnsi="Book Antiqua"/>
        </w:rPr>
        <w:t xml:space="preserve"> </w:t>
      </w:r>
      <w:r w:rsidRPr="00396E7A" w:rsidR="00990274">
        <w:rPr>
          <w:rFonts w:ascii="Book Antiqua" w:hAnsi="Book Antiqua"/>
        </w:rPr>
        <w:t>The tariff shall become effective ten days or more after the effective date of this decision, provided that the Commission and the public are given not less than ten days’ notice.</w:t>
      </w:r>
    </w:p>
    <w:p w:rsidRPr="00DB7040" w:rsidR="00BF6745" w:rsidP="00AD0E06" w:rsidRDefault="00BF6745" w14:paraId="2890F7F3" w14:textId="71130397">
      <w:pPr>
        <w:pStyle w:val="num2"/>
        <w:numPr>
          <w:ilvl w:val="0"/>
          <w:numId w:val="25"/>
        </w:numPr>
        <w:rPr>
          <w:rFonts w:ascii="Book Antiqua" w:hAnsi="Book Antiqua"/>
        </w:rPr>
      </w:pPr>
      <w:r w:rsidRPr="00DB7040">
        <w:rPr>
          <w:rFonts w:ascii="Book Antiqua" w:hAnsi="Book Antiqua"/>
        </w:rPr>
        <w:t>Comply with General Orders Series 101 and 158 and the California Highway Patrol safety rules.</w:t>
      </w:r>
    </w:p>
    <w:p w:rsidRPr="00DB7040" w:rsidR="00E61BC3" w:rsidP="00AD0E06" w:rsidRDefault="00E61BC3" w14:paraId="0807745F" w14:textId="45AD812F">
      <w:pPr>
        <w:pStyle w:val="num2"/>
        <w:numPr>
          <w:ilvl w:val="0"/>
          <w:numId w:val="25"/>
        </w:numPr>
        <w:rPr>
          <w:rFonts w:ascii="Book Antiqua" w:hAnsi="Book Antiqua"/>
        </w:rPr>
      </w:pPr>
      <w:r w:rsidRPr="00DB7040">
        <w:rPr>
          <w:rFonts w:ascii="Book Antiqua" w:hAnsi="Book Antiqua"/>
        </w:rPr>
        <w:lastRenderedPageBreak/>
        <w:t>Maintain accounting records in conformity with the Uniform System of Accounts.</w:t>
      </w:r>
    </w:p>
    <w:p w:rsidRPr="00DB7040" w:rsidR="00BF6745" w:rsidP="00AD0E06" w:rsidRDefault="00BF6745" w14:paraId="5C84FC7E" w14:textId="77777777">
      <w:pPr>
        <w:pStyle w:val="num2"/>
        <w:numPr>
          <w:ilvl w:val="0"/>
          <w:numId w:val="25"/>
        </w:numPr>
        <w:rPr>
          <w:rFonts w:ascii="Book Antiqua" w:hAnsi="Book Antiqua"/>
        </w:rPr>
      </w:pPr>
      <w:r w:rsidRPr="00DB7040">
        <w:rPr>
          <w:rFonts w:ascii="Book Antiqua" w:hAnsi="Book Antiqua"/>
        </w:rPr>
        <w:t>Comply with the California Public Utilities Commission’s controlled substance and alcohol testing certification program pursuant to Public Utilities Code § 1032.1 and General Order Series 158.</w:t>
      </w:r>
    </w:p>
    <w:p w:rsidRPr="00DB7040" w:rsidR="00BF6745" w:rsidP="00AD0E06" w:rsidRDefault="00BF6745" w14:paraId="74D75818" w14:textId="1AA4BBE3">
      <w:pPr>
        <w:pStyle w:val="num2"/>
        <w:numPr>
          <w:ilvl w:val="0"/>
          <w:numId w:val="25"/>
        </w:numPr>
        <w:rPr>
          <w:rFonts w:ascii="Book Antiqua" w:hAnsi="Book Antiqua"/>
        </w:rPr>
      </w:pPr>
      <w:r w:rsidRPr="00DB7040">
        <w:rPr>
          <w:rFonts w:ascii="Book Antiqua" w:hAnsi="Book Antiqua"/>
        </w:rPr>
        <w:t xml:space="preserve">Remit to the California Public Utilities Commission the Transportation Reimbursement Fee required by Public Utilities Code § 423 when notified by </w:t>
      </w:r>
      <w:r w:rsidRPr="00DB7040" w:rsidR="00AD0E06">
        <w:rPr>
          <w:rFonts w:ascii="Book Antiqua" w:hAnsi="Book Antiqua"/>
        </w:rPr>
        <w:t>e</w:t>
      </w:r>
      <w:r w:rsidRPr="00DB7040">
        <w:rPr>
          <w:rFonts w:ascii="Book Antiqua" w:hAnsi="Book Antiqua"/>
        </w:rPr>
        <w:t>mail to do so. Failure to comply with this filing will result in suspension and/or revocation of authority.</w:t>
      </w:r>
    </w:p>
    <w:p w:rsidRPr="00DB7040" w:rsidR="00BF6745" w:rsidP="00AD0E06" w:rsidRDefault="00BF6745" w14:paraId="045B8742" w14:textId="017DBE6E">
      <w:pPr>
        <w:pStyle w:val="num2"/>
        <w:numPr>
          <w:ilvl w:val="0"/>
          <w:numId w:val="25"/>
        </w:numPr>
        <w:rPr>
          <w:rFonts w:ascii="Book Antiqua" w:hAnsi="Book Antiqua"/>
        </w:rPr>
      </w:pPr>
      <w:r w:rsidRPr="00DB7040">
        <w:rPr>
          <w:rFonts w:ascii="Book Antiqua" w:hAnsi="Book Antiqua"/>
        </w:rPr>
        <w:t>Comply with Public Utilities Code §§ 460.7 and 1043 relating to the Workers’ Compensation laws of this state.</w:t>
      </w:r>
    </w:p>
    <w:p w:rsidRPr="00DB7040" w:rsidR="00BF6745" w:rsidP="00AD0E06" w:rsidRDefault="00BF6745" w14:paraId="4660B03D" w14:textId="77777777">
      <w:pPr>
        <w:pStyle w:val="num2"/>
        <w:numPr>
          <w:ilvl w:val="0"/>
          <w:numId w:val="25"/>
        </w:numPr>
        <w:rPr>
          <w:rFonts w:ascii="Book Antiqua" w:hAnsi="Book Antiqua"/>
        </w:rPr>
      </w:pPr>
      <w:r w:rsidRPr="00DB7040">
        <w:rPr>
          <w:rFonts w:ascii="Book Antiqua" w:hAnsi="Book Antiqua"/>
        </w:rPr>
        <w:t>Enroll all drivers in the Pull Notice System as required by Vehicle Code § 1808.1.</w:t>
      </w:r>
    </w:p>
    <w:p w:rsidRPr="00DB7040" w:rsidR="00BF6745" w:rsidP="2E490023" w:rsidRDefault="00BF46A8" w14:paraId="0655F605" w14:textId="27BF481D">
      <w:pPr>
        <w:pStyle w:val="num2"/>
        <w:numPr>
          <w:ilvl w:val="0"/>
          <w:numId w:val="34"/>
        </w:numPr>
        <w:rPr>
          <w:rFonts w:ascii="Book Antiqua" w:hAnsi="Book Antiqua"/>
        </w:rPr>
      </w:pPr>
      <w:r w:rsidRPr="00DB7040">
        <w:rPr>
          <w:rFonts w:ascii="Book Antiqua" w:hAnsi="Book Antiqua"/>
        </w:rPr>
        <w:t xml:space="preserve">If the </w:t>
      </w:r>
      <w:r w:rsidRPr="00DB7040" w:rsidR="00C05FF3">
        <w:rPr>
          <w:rFonts w:ascii="Book Antiqua" w:hAnsi="Book Antiqua"/>
        </w:rPr>
        <w:t>sale</w:t>
      </w:r>
      <w:r w:rsidRPr="00DB7040">
        <w:rPr>
          <w:rFonts w:ascii="Book Antiqua" w:hAnsi="Book Antiqua"/>
        </w:rPr>
        <w:t xml:space="preserve"> is completed, on the effective date of the tariff, a </w:t>
      </w:r>
      <w:r w:rsidRPr="00DB7040" w:rsidR="00C05FF3">
        <w:rPr>
          <w:rFonts w:ascii="Book Antiqua" w:hAnsi="Book Antiqua"/>
          <w:szCs w:val="26"/>
        </w:rPr>
        <w:t xml:space="preserve">Certificate of Public Convenience and Necessity </w:t>
      </w:r>
      <w:r w:rsidRPr="00DB7040">
        <w:rPr>
          <w:rFonts w:ascii="Book Antiqua" w:hAnsi="Book Antiqua"/>
        </w:rPr>
        <w:t>is granted to Transfe</w:t>
      </w:r>
      <w:r w:rsidRPr="00DB7040" w:rsidR="00E75F54">
        <w:rPr>
          <w:rFonts w:ascii="Book Antiqua" w:hAnsi="Book Antiqua"/>
        </w:rPr>
        <w:t xml:space="preserve">ree, authorizing him to operate as a </w:t>
      </w:r>
      <w:r w:rsidRPr="00DB7040" w:rsidR="00C05FF3">
        <w:rPr>
          <w:rFonts w:ascii="Book Antiqua" w:hAnsi="Book Antiqua"/>
        </w:rPr>
        <w:t>P</w:t>
      </w:r>
      <w:r w:rsidRPr="00DB7040" w:rsidR="00E75F54">
        <w:rPr>
          <w:rFonts w:ascii="Book Antiqua" w:hAnsi="Book Antiqua"/>
        </w:rPr>
        <w:t xml:space="preserve">assenger </w:t>
      </w:r>
      <w:r w:rsidRPr="00DB7040" w:rsidR="00C05FF3">
        <w:rPr>
          <w:rFonts w:ascii="Book Antiqua" w:hAnsi="Book Antiqua"/>
        </w:rPr>
        <w:t>S</w:t>
      </w:r>
      <w:r w:rsidRPr="00DB7040" w:rsidR="0042514D">
        <w:rPr>
          <w:rFonts w:ascii="Book Antiqua" w:hAnsi="Book Antiqua"/>
        </w:rPr>
        <w:t>tage</w:t>
      </w:r>
      <w:r w:rsidRPr="00DB7040" w:rsidR="00E75F54">
        <w:rPr>
          <w:rFonts w:ascii="Book Antiqua" w:hAnsi="Book Antiqua"/>
        </w:rPr>
        <w:t xml:space="preserve"> </w:t>
      </w:r>
      <w:r w:rsidRPr="00DB7040" w:rsidR="00C05FF3">
        <w:rPr>
          <w:rFonts w:ascii="Book Antiqua" w:hAnsi="Book Antiqua"/>
        </w:rPr>
        <w:t>C</w:t>
      </w:r>
      <w:r w:rsidRPr="00DB7040" w:rsidR="00E75F54">
        <w:rPr>
          <w:rFonts w:ascii="Book Antiqua" w:hAnsi="Book Antiqua"/>
        </w:rPr>
        <w:t xml:space="preserve">orporation, as defined in </w:t>
      </w:r>
      <w:r w:rsidRPr="00DB7040" w:rsidR="00BF6745">
        <w:rPr>
          <w:rFonts w:ascii="Book Antiqua" w:hAnsi="Book Antiqua"/>
        </w:rPr>
        <w:t xml:space="preserve">Public Utilities Code § </w:t>
      </w:r>
      <w:r w:rsidRPr="00DB7040" w:rsidR="00E75F54">
        <w:rPr>
          <w:rFonts w:ascii="Book Antiqua" w:hAnsi="Book Antiqua"/>
        </w:rPr>
        <w:t>226, between the points and over the routes set forth in Appendix PSC-50477, to transport persons and their baggage.</w:t>
      </w:r>
    </w:p>
    <w:p w:rsidRPr="00DB7040" w:rsidR="0042514D" w:rsidP="2E490023" w:rsidRDefault="0042514D" w14:paraId="41947432" w14:textId="13E4BC01">
      <w:pPr>
        <w:pStyle w:val="num2"/>
        <w:numPr>
          <w:ilvl w:val="0"/>
          <w:numId w:val="34"/>
        </w:numPr>
        <w:rPr>
          <w:rFonts w:ascii="Book Antiqua" w:hAnsi="Book Antiqua"/>
        </w:rPr>
      </w:pPr>
      <w:r w:rsidRPr="00DB7040">
        <w:rPr>
          <w:rFonts w:ascii="Book Antiqua" w:hAnsi="Book Antiqua"/>
        </w:rPr>
        <w:t xml:space="preserve">The </w:t>
      </w:r>
      <w:r w:rsidRPr="00DB7040" w:rsidR="00186CF9">
        <w:rPr>
          <w:rFonts w:ascii="Book Antiqua" w:hAnsi="Book Antiqua"/>
          <w:szCs w:val="26"/>
        </w:rPr>
        <w:t xml:space="preserve">Certificate of Public Convenience and Necessity </w:t>
      </w:r>
      <w:r w:rsidRPr="00DB7040" w:rsidR="00E62676">
        <w:rPr>
          <w:rFonts w:ascii="Book Antiqua" w:hAnsi="Book Antiqua"/>
          <w:szCs w:val="26"/>
        </w:rPr>
        <w:t xml:space="preserve">granted by Decision </w:t>
      </w:r>
      <w:r w:rsidRPr="00DB7040" w:rsidR="00E62676">
        <w:rPr>
          <w:rFonts w:ascii="Book Antiqua" w:hAnsi="Book Antiqua"/>
          <w:color w:val="000000" w:themeColor="text1"/>
        </w:rPr>
        <w:t>99-06-028</w:t>
      </w:r>
      <w:r w:rsidRPr="00DB7040" w:rsidR="008507DB">
        <w:rPr>
          <w:rFonts w:ascii="Book Antiqua" w:hAnsi="Book Antiqua"/>
          <w:color w:val="000000" w:themeColor="text1"/>
        </w:rPr>
        <w:t xml:space="preserve">, which was transferred by </w:t>
      </w:r>
      <w:r w:rsidRPr="00DB7040" w:rsidR="008507DB">
        <w:rPr>
          <w:rFonts w:ascii="Book Antiqua" w:hAnsi="Book Antiqua"/>
        </w:rPr>
        <w:t>Commission Resolution TL-19132, is re</w:t>
      </w:r>
      <w:r w:rsidRPr="00DB7040" w:rsidR="003122B2">
        <w:rPr>
          <w:rFonts w:ascii="Book Antiqua" w:hAnsi="Book Antiqua"/>
        </w:rPr>
        <w:t>voked on the effective date of the tariff filed by Transferee.</w:t>
      </w:r>
    </w:p>
    <w:p w:rsidRPr="00DB7040" w:rsidR="009B72A2" w:rsidP="009B72A2" w:rsidRDefault="009B72A2" w14:paraId="68DA1315" w14:textId="269A0712">
      <w:pPr>
        <w:pStyle w:val="num2"/>
        <w:numPr>
          <w:ilvl w:val="0"/>
          <w:numId w:val="34"/>
        </w:numPr>
        <w:rPr>
          <w:rFonts w:ascii="Book Antiqua" w:hAnsi="Book Antiqua"/>
        </w:rPr>
      </w:pPr>
      <w:r w:rsidRPr="00DB7040">
        <w:rPr>
          <w:rFonts w:ascii="Book Antiqua" w:hAnsi="Book Antiqua"/>
        </w:rPr>
        <w:t xml:space="preserve">Before beginning service to any airport, </w:t>
      </w:r>
      <w:r w:rsidRPr="00DB7040" w:rsidR="00E533E3">
        <w:rPr>
          <w:rFonts w:ascii="Book Antiqua" w:hAnsi="Book Antiqua"/>
        </w:rPr>
        <w:t xml:space="preserve">Transferee </w:t>
      </w:r>
      <w:r w:rsidRPr="00DB7040">
        <w:rPr>
          <w:rFonts w:ascii="Book Antiqua" w:hAnsi="Book Antiqua"/>
        </w:rPr>
        <w:t xml:space="preserve">shall notify each airport’s governing body. </w:t>
      </w:r>
      <w:r w:rsidRPr="00DB7040" w:rsidR="00E533E3">
        <w:rPr>
          <w:rFonts w:ascii="Book Antiqua" w:hAnsi="Book Antiqua"/>
        </w:rPr>
        <w:t xml:space="preserve">Transferee </w:t>
      </w:r>
      <w:r w:rsidRPr="00DB7040">
        <w:rPr>
          <w:rFonts w:ascii="Book Antiqua" w:hAnsi="Book Antiqua"/>
        </w:rPr>
        <w:t xml:space="preserve">shall not operate into or on airport property unless such operations are authorized by the airport’s governing body. </w:t>
      </w:r>
    </w:p>
    <w:p w:rsidRPr="00DB7040" w:rsidR="00BF6745" w:rsidP="2E490023" w:rsidRDefault="00E533E3" w14:paraId="6477A12E" w14:textId="4D134DD2">
      <w:pPr>
        <w:pStyle w:val="num2"/>
        <w:numPr>
          <w:ilvl w:val="0"/>
          <w:numId w:val="34"/>
        </w:numPr>
        <w:rPr>
          <w:rFonts w:ascii="Book Antiqua" w:hAnsi="Book Antiqua"/>
        </w:rPr>
      </w:pPr>
      <w:r w:rsidRPr="00DB7040">
        <w:rPr>
          <w:rFonts w:ascii="Book Antiqua" w:hAnsi="Book Antiqua"/>
        </w:rPr>
        <w:lastRenderedPageBreak/>
        <w:t>Transferee</w:t>
      </w:r>
      <w:r w:rsidRPr="00DB7040" w:rsidR="00FE0D8D">
        <w:rPr>
          <w:rFonts w:ascii="Book Antiqua" w:hAnsi="Book Antiqua"/>
        </w:rPr>
        <w:t xml:space="preserve"> </w:t>
      </w:r>
      <w:r w:rsidRPr="00DB7040" w:rsidR="00BF6745">
        <w:rPr>
          <w:rFonts w:ascii="Book Antiqua" w:hAnsi="Book Antiqua"/>
        </w:rPr>
        <w:t>is authorized to begin operations on the date that the Consumer Protection and Enforcement Division mails a notice to applicant that its evidence of insurance and other documents required by Ordering Paragraph 2 have been filed with the California Public Utilities Commission and that the California Highway Patrol has approved the use of applicant’s vehicles for service.</w:t>
      </w:r>
    </w:p>
    <w:p w:rsidRPr="00DB7040" w:rsidR="0091747F" w:rsidP="2E490023" w:rsidRDefault="00BF6745" w14:paraId="600351B5" w14:textId="77FE1FB6">
      <w:pPr>
        <w:pStyle w:val="num2"/>
        <w:numPr>
          <w:ilvl w:val="0"/>
          <w:numId w:val="34"/>
        </w:numPr>
        <w:rPr>
          <w:rFonts w:ascii="Book Antiqua" w:hAnsi="Book Antiqua"/>
        </w:rPr>
      </w:pPr>
      <w:r w:rsidRPr="00DB7040">
        <w:rPr>
          <w:rFonts w:ascii="Book Antiqua" w:hAnsi="Book Antiqua"/>
        </w:rPr>
        <w:t>The Application is granted as set forth above.</w:t>
      </w:r>
    </w:p>
    <w:p w:rsidRPr="00DB7040" w:rsidR="0091747F" w:rsidP="2E490023" w:rsidRDefault="0054318F" w14:paraId="7A6263E4" w14:textId="6F1B07D3">
      <w:pPr>
        <w:pStyle w:val="num2"/>
        <w:numPr>
          <w:ilvl w:val="0"/>
          <w:numId w:val="34"/>
        </w:numPr>
        <w:jc w:val="both"/>
        <w:rPr>
          <w:rFonts w:ascii="Book Antiqua" w:hAnsi="Book Antiqua"/>
        </w:rPr>
      </w:pPr>
      <w:r w:rsidRPr="00DB7040">
        <w:rPr>
          <w:rFonts w:ascii="Book Antiqua" w:hAnsi="Book Antiqua"/>
        </w:rPr>
        <w:t xml:space="preserve">Application 25-11-012 </w:t>
      </w:r>
      <w:r w:rsidRPr="00DB7040" w:rsidR="0091747F">
        <w:rPr>
          <w:rFonts w:ascii="Book Antiqua" w:hAnsi="Book Antiqua"/>
        </w:rPr>
        <w:t>is closed.</w:t>
      </w:r>
    </w:p>
    <w:p w:rsidRPr="00DB7040" w:rsidR="0091747F" w:rsidP="0013769B" w:rsidRDefault="0091747F" w14:paraId="2B9F2B8C" w14:textId="77777777">
      <w:pPr>
        <w:jc w:val="both"/>
      </w:pPr>
      <w:r w:rsidRPr="00DB7040">
        <w:t>This order is effective today.</w:t>
      </w:r>
    </w:p>
    <w:p w:rsidRPr="00DB7040" w:rsidR="009F766C" w:rsidP="0013769B" w:rsidRDefault="0091747F" w14:paraId="5DB512CB" w14:textId="7B3B5489">
      <w:pPr>
        <w:jc w:val="both"/>
      </w:pPr>
      <w:r w:rsidRPr="00DB7040">
        <w:t>Dated</w:t>
      </w:r>
      <w:r w:rsidRPr="00DB7040" w:rsidR="00396E7A">
        <w:t xml:space="preserve"> </w:t>
      </w:r>
      <w:r w:rsidR="00C86D74">
        <w:t>June 22, 2026</w:t>
      </w:r>
      <w:r w:rsidRPr="00DB7040">
        <w:t>, at San Francisco, California.</w:t>
      </w:r>
    </w:p>
    <w:p w:rsidR="00356BD6" w:rsidP="0013769B" w:rsidRDefault="00356BD6" w14:paraId="023B4B4B" w14:textId="77777777">
      <w:pPr>
        <w:jc w:val="both"/>
      </w:pPr>
    </w:p>
    <w:p w:rsidRPr="005413CC" w:rsidR="00C86D74" w:rsidP="0013769B" w:rsidRDefault="00C86D74" w14:paraId="28E6B985" w14:textId="75EA1E18">
      <w:pPr>
        <w:jc w:val="both"/>
        <w:rPr>
          <w:u w:val="single"/>
        </w:rPr>
      </w:pPr>
      <w:r>
        <w:tab/>
      </w:r>
      <w:r>
        <w:tab/>
      </w:r>
      <w:r>
        <w:tab/>
      </w:r>
      <w:r>
        <w:tab/>
      </w:r>
      <w:r>
        <w:tab/>
        <w:t xml:space="preserve">   </w:t>
      </w:r>
      <w:r w:rsidRPr="005413CC" w:rsidR="005413CC">
        <w:rPr>
          <w:u w:val="single"/>
        </w:rPr>
        <w:t>/s/ Leuwam Tesfai</w:t>
      </w:r>
    </w:p>
    <w:p w:rsidR="00273368" w:rsidP="0054318F" w:rsidRDefault="0054318F" w14:paraId="67E9A2D0" w14:textId="34C78E77">
      <w:pPr>
        <w:spacing w:line="240" w:lineRule="auto"/>
        <w:ind w:left="3780"/>
      </w:pPr>
      <w:r>
        <w:t>Leuwam Tesfai</w:t>
      </w:r>
    </w:p>
    <w:p w:rsidR="009F766C" w:rsidP="0054318F" w:rsidRDefault="00273368" w14:paraId="2A98C440" w14:textId="72A633E7">
      <w:pPr>
        <w:autoSpaceDE w:val="0"/>
        <w:autoSpaceDN w:val="0"/>
        <w:adjustRightInd w:val="0"/>
        <w:spacing w:line="240" w:lineRule="auto"/>
        <w:ind w:left="3780"/>
        <w:jc w:val="both"/>
        <w:rPr>
          <w:rFonts w:cs="Courier New"/>
          <w:szCs w:val="26"/>
        </w:rPr>
      </w:pPr>
      <w:r>
        <w:t>Executive Director</w:t>
      </w:r>
    </w:p>
    <w:p w:rsidRPr="001F5266" w:rsidR="008B155E" w:rsidP="001F5266" w:rsidRDefault="008B155E" w14:paraId="6DBF84BB" w14:textId="457BF04D">
      <w:pPr>
        <w:spacing w:after="160" w:line="259" w:lineRule="auto"/>
        <w:ind w:firstLine="0"/>
        <w:rPr>
          <w:rFonts w:ascii="Palatino" w:hAnsi="Palatino" w:eastAsia="Times New Roman" w:cs="Palatino"/>
          <w:szCs w:val="26"/>
        </w:rPr>
        <w:sectPr w:rsidRPr="001F5266" w:rsidR="008B155E" w:rsidSect="00C71336">
          <w:headerReference w:type="default" r:id="rId11"/>
          <w:footerReference w:type="default" r:id="rId12"/>
          <w:headerReference w:type="first" r:id="rId13"/>
          <w:footerReference w:type="first" r:id="rId14"/>
          <w:pgSz w:w="12240" w:h="15840"/>
          <w:pgMar w:top="1728" w:right="1440" w:bottom="1440" w:left="1440" w:header="720" w:footer="720" w:gutter="0"/>
          <w:cols w:space="720"/>
          <w:titlePg/>
          <w:docGrid w:linePitch="360"/>
        </w:sectPr>
      </w:pPr>
    </w:p>
    <w:p w:rsidR="00CA6CF2" w:rsidP="00312697" w:rsidRDefault="00CA6CF2" w14:paraId="321C35C9" w14:textId="69782C20">
      <w:pPr>
        <w:spacing w:after="160" w:line="240" w:lineRule="auto"/>
        <w:ind w:firstLine="0"/>
        <w:rPr>
          <w:rFonts w:cs="Palatino"/>
          <w:szCs w:val="26"/>
        </w:rPr>
      </w:pPr>
    </w:p>
    <w:p w:rsidR="00603FC7" w:rsidRDefault="00603FC7" w14:paraId="197F95FF" w14:textId="6B85D655">
      <w:pPr>
        <w:spacing w:after="160" w:line="259" w:lineRule="auto"/>
        <w:ind w:firstLine="0"/>
        <w:rPr>
          <w:rFonts w:cs="Palatino"/>
          <w:szCs w:val="26"/>
        </w:rPr>
      </w:pPr>
      <w:r>
        <w:rPr>
          <w:rFonts w:cs="Palatino"/>
          <w:szCs w:val="26"/>
        </w:rPr>
        <w:br w:type="page"/>
      </w:r>
    </w:p>
    <w:p w:rsidR="00C04CA7" w:rsidP="00312697" w:rsidRDefault="00C04CA7" w14:paraId="5D76D9C3" w14:textId="77777777">
      <w:pPr>
        <w:spacing w:after="160" w:line="240" w:lineRule="auto"/>
        <w:ind w:firstLine="0"/>
        <w:rPr>
          <w:rFonts w:cs="Palatino"/>
          <w:szCs w:val="26"/>
        </w:rPr>
        <w:sectPr w:rsidR="00C04CA7" w:rsidSect="00190EA2">
          <w:headerReference w:type="default" r:id="rId15"/>
          <w:footerReference w:type="default" r:id="rId16"/>
          <w:headerReference w:type="first" r:id="rId17"/>
          <w:type w:val="continuous"/>
          <w:pgSz w:w="12240" w:h="15840"/>
          <w:pgMar w:top="1728" w:right="1440" w:bottom="1440" w:left="1440" w:header="720" w:footer="720" w:gutter="0"/>
          <w:cols w:space="720"/>
          <w:titlePg/>
          <w:docGrid w:linePitch="360"/>
        </w:sectPr>
      </w:pPr>
    </w:p>
    <w:p w:rsidR="001E229D" w:rsidP="001E229D" w:rsidRDefault="001E229D" w14:paraId="03F779B7" w14:textId="1F83FB14">
      <w:pPr>
        <w:spacing w:line="240" w:lineRule="auto"/>
        <w:ind w:firstLine="0"/>
        <w:rPr>
          <w:rFonts w:cs="Palatino"/>
          <w:szCs w:val="26"/>
        </w:rPr>
      </w:pPr>
      <w:r w:rsidRPr="00545DA3">
        <w:rPr>
          <w:rFonts w:cs="Palatino"/>
          <w:szCs w:val="26"/>
        </w:rPr>
        <w:lastRenderedPageBreak/>
        <w:t>PSC-</w:t>
      </w:r>
      <w:r w:rsidR="00423CB1">
        <w:t>50477</w:t>
      </w:r>
      <w:r w:rsidR="00423CB1">
        <w:tab/>
      </w:r>
      <w:r w:rsidR="00423CB1">
        <w:tab/>
      </w:r>
      <w:r w:rsidR="00423CB1">
        <w:tab/>
      </w:r>
      <w:r w:rsidR="001809C2">
        <w:t>Trevor V. Buchholz</w:t>
      </w:r>
      <w:r>
        <w:t xml:space="preserve">                       </w:t>
      </w:r>
      <w:r>
        <w:rPr>
          <w:rFonts w:cs="Palatino"/>
          <w:szCs w:val="26"/>
        </w:rPr>
        <w:t xml:space="preserve"> </w:t>
      </w:r>
      <w:r w:rsidRPr="00545DA3">
        <w:rPr>
          <w:rFonts w:cs="Palatino"/>
          <w:szCs w:val="26"/>
        </w:rPr>
        <w:t>Original Title Page</w:t>
      </w:r>
    </w:p>
    <w:p w:rsidR="00AE3C34" w:rsidP="001E229D" w:rsidRDefault="00AE3C34" w14:paraId="32681002" w14:textId="77777777">
      <w:pPr>
        <w:spacing w:line="240" w:lineRule="auto"/>
        <w:ind w:firstLine="0"/>
        <w:rPr>
          <w:rFonts w:cs="Palatino"/>
          <w:szCs w:val="26"/>
        </w:rPr>
      </w:pPr>
      <w:r>
        <w:rPr>
          <w:rFonts w:cs="Palatino"/>
          <w:szCs w:val="26"/>
        </w:rPr>
        <w:tab/>
      </w:r>
      <w:r>
        <w:rPr>
          <w:rFonts w:cs="Palatino"/>
          <w:szCs w:val="26"/>
        </w:rPr>
        <w:tab/>
      </w:r>
      <w:r>
        <w:rPr>
          <w:rFonts w:cs="Palatino"/>
          <w:szCs w:val="26"/>
        </w:rPr>
        <w:tab/>
      </w:r>
      <w:r>
        <w:rPr>
          <w:rFonts w:cs="Palatino"/>
          <w:szCs w:val="26"/>
        </w:rPr>
        <w:tab/>
        <w:t>(an individual)</w:t>
      </w:r>
    </w:p>
    <w:p w:rsidRPr="00545DA3" w:rsidR="001E229D" w:rsidP="00EF4DEA" w:rsidRDefault="00AE3C34" w14:paraId="01F1DB37" w14:textId="3E53BD77">
      <w:pPr>
        <w:spacing w:line="240" w:lineRule="auto"/>
        <w:ind w:firstLine="0"/>
        <w:rPr>
          <w:rFonts w:cs="Palatino"/>
          <w:szCs w:val="26"/>
        </w:rPr>
      </w:pPr>
      <w:r>
        <w:rPr>
          <w:rFonts w:cs="Palatino"/>
          <w:szCs w:val="26"/>
        </w:rPr>
        <w:tab/>
      </w:r>
      <w:r>
        <w:rPr>
          <w:rFonts w:cs="Palatino"/>
          <w:szCs w:val="26"/>
        </w:rPr>
        <w:tab/>
      </w:r>
      <w:r>
        <w:rPr>
          <w:rFonts w:cs="Palatino"/>
          <w:szCs w:val="26"/>
        </w:rPr>
        <w:tab/>
      </w:r>
      <w:r>
        <w:rPr>
          <w:rFonts w:cs="Palatino"/>
          <w:szCs w:val="26"/>
        </w:rPr>
        <w:tab/>
      </w:r>
      <w:r w:rsidR="00EF4DEA">
        <w:rPr>
          <w:rFonts w:cs="Palatino"/>
          <w:szCs w:val="26"/>
        </w:rPr>
        <w:t>d</w:t>
      </w:r>
      <w:r>
        <w:rPr>
          <w:rFonts w:cs="Palatino"/>
          <w:szCs w:val="26"/>
        </w:rPr>
        <w:t>oing b</w:t>
      </w:r>
      <w:r w:rsidR="00EF4DEA">
        <w:rPr>
          <w:rFonts w:cs="Palatino"/>
          <w:szCs w:val="26"/>
        </w:rPr>
        <w:t>usiness as Door-to-Door Airporter</w:t>
      </w:r>
      <w:r w:rsidR="001E229D">
        <w:rPr>
          <w:rFonts w:cs="Palatino"/>
          <w:szCs w:val="26"/>
        </w:rPr>
        <w:tab/>
      </w:r>
      <w:r w:rsidR="001E229D">
        <w:rPr>
          <w:rFonts w:cs="Palatino"/>
          <w:szCs w:val="26"/>
        </w:rPr>
        <w:tab/>
      </w:r>
      <w:r w:rsidR="001E229D">
        <w:rPr>
          <w:rFonts w:cs="Palatino"/>
          <w:szCs w:val="26"/>
        </w:rPr>
        <w:tab/>
      </w:r>
      <w:r w:rsidR="001E229D">
        <w:rPr>
          <w:rFonts w:cs="Palatino"/>
          <w:szCs w:val="26"/>
        </w:rPr>
        <w:tab/>
      </w:r>
    </w:p>
    <w:p w:rsidRPr="00545DA3" w:rsidR="001E229D" w:rsidP="001E229D" w:rsidRDefault="001E229D" w14:paraId="36738FAB" w14:textId="77777777">
      <w:pPr>
        <w:spacing w:after="160" w:line="240" w:lineRule="auto"/>
        <w:ind w:firstLine="0"/>
        <w:rPr>
          <w:rFonts w:cs="Palatino"/>
          <w:szCs w:val="26"/>
        </w:rPr>
      </w:pPr>
    </w:p>
    <w:p w:rsidRPr="00545DA3" w:rsidR="001E229D" w:rsidP="001E229D" w:rsidRDefault="001E229D" w14:paraId="0A5B5FEE" w14:textId="77777777">
      <w:pPr>
        <w:spacing w:after="160" w:line="240" w:lineRule="auto"/>
        <w:ind w:firstLine="0"/>
        <w:jc w:val="center"/>
        <w:rPr>
          <w:rFonts w:cs="Palatino"/>
          <w:szCs w:val="26"/>
        </w:rPr>
      </w:pPr>
      <w:r w:rsidRPr="00545DA3">
        <w:rPr>
          <w:rFonts w:cs="Palatino"/>
          <w:szCs w:val="26"/>
        </w:rPr>
        <w:t>CERTIFICATE</w:t>
      </w:r>
    </w:p>
    <w:p w:rsidRPr="00545DA3" w:rsidR="001E229D" w:rsidP="001E229D" w:rsidRDefault="001E229D" w14:paraId="6E7BD88B" w14:textId="77777777">
      <w:pPr>
        <w:spacing w:after="160" w:line="240" w:lineRule="auto"/>
        <w:ind w:firstLine="0"/>
        <w:jc w:val="center"/>
        <w:rPr>
          <w:rFonts w:cs="Palatino"/>
          <w:szCs w:val="26"/>
        </w:rPr>
      </w:pPr>
      <w:r w:rsidRPr="00545DA3">
        <w:rPr>
          <w:rFonts w:cs="Palatino"/>
          <w:szCs w:val="26"/>
        </w:rPr>
        <w:t>OF</w:t>
      </w:r>
    </w:p>
    <w:p w:rsidRPr="00545DA3" w:rsidR="001E229D" w:rsidP="001E229D" w:rsidRDefault="001E229D" w14:paraId="202F3759" w14:textId="77777777">
      <w:pPr>
        <w:spacing w:after="160" w:line="240" w:lineRule="auto"/>
        <w:ind w:firstLine="0"/>
        <w:jc w:val="center"/>
        <w:rPr>
          <w:rFonts w:cs="Palatino"/>
          <w:szCs w:val="26"/>
        </w:rPr>
      </w:pPr>
      <w:r w:rsidRPr="00545DA3">
        <w:rPr>
          <w:rFonts w:cs="Palatino"/>
          <w:szCs w:val="26"/>
        </w:rPr>
        <w:t>PUBLIC CONVENIENCE AND NECESSITY</w:t>
      </w:r>
    </w:p>
    <w:p w:rsidRPr="00545DA3" w:rsidR="001E229D" w:rsidP="001E229D" w:rsidRDefault="001E229D" w14:paraId="4E6B05B5" w14:textId="77777777">
      <w:pPr>
        <w:spacing w:after="160" w:line="240" w:lineRule="auto"/>
        <w:ind w:firstLine="0"/>
        <w:jc w:val="center"/>
        <w:rPr>
          <w:rFonts w:cs="Palatino"/>
          <w:szCs w:val="26"/>
        </w:rPr>
      </w:pPr>
      <w:r w:rsidRPr="00545DA3">
        <w:rPr>
          <w:rFonts w:cs="Palatino"/>
          <w:szCs w:val="26"/>
        </w:rPr>
        <w:t>AS A PASSENGER STAGE CORPORATION</w:t>
      </w:r>
    </w:p>
    <w:p w:rsidRPr="00545DA3" w:rsidR="001E229D" w:rsidP="001E229D" w:rsidRDefault="001E229D" w14:paraId="7AC6C951" w14:textId="5F350635">
      <w:pPr>
        <w:spacing w:after="160" w:line="240" w:lineRule="auto"/>
        <w:ind w:firstLine="0"/>
        <w:jc w:val="center"/>
        <w:rPr>
          <w:rFonts w:cs="Palatino"/>
          <w:szCs w:val="26"/>
        </w:rPr>
      </w:pPr>
      <w:r w:rsidRPr="00545DA3">
        <w:rPr>
          <w:rFonts w:cs="Palatino"/>
          <w:szCs w:val="26"/>
        </w:rPr>
        <w:t>PSC</w:t>
      </w:r>
      <w:r w:rsidRPr="00545DA3">
        <w:rPr>
          <w:rFonts w:cs="Palatino"/>
          <w:szCs w:val="26"/>
        </w:rPr>
        <w:noBreakHyphen/>
      </w:r>
      <w:r w:rsidR="00EF4DEA">
        <w:t>50477</w:t>
      </w:r>
    </w:p>
    <w:p w:rsidRPr="00545DA3" w:rsidR="001E229D" w:rsidP="001E229D" w:rsidRDefault="001E229D" w14:paraId="37261D17" w14:textId="77777777">
      <w:pPr>
        <w:spacing w:after="160" w:line="240" w:lineRule="auto"/>
        <w:ind w:firstLine="0"/>
        <w:jc w:val="center"/>
        <w:rPr>
          <w:rFonts w:cs="Palatino"/>
          <w:szCs w:val="26"/>
        </w:rPr>
      </w:pP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p>
    <w:p w:rsidRPr="00545DA3" w:rsidR="001E229D" w:rsidP="001E229D" w:rsidRDefault="001E229D" w14:paraId="4C36CE27" w14:textId="77777777">
      <w:pPr>
        <w:spacing w:after="160" w:line="240" w:lineRule="auto"/>
        <w:ind w:firstLine="0"/>
        <w:jc w:val="center"/>
        <w:rPr>
          <w:rFonts w:cs="Palatino"/>
          <w:szCs w:val="26"/>
        </w:rPr>
      </w:pPr>
    </w:p>
    <w:p w:rsidRPr="00545DA3" w:rsidR="001E229D" w:rsidP="001E229D" w:rsidRDefault="001E229D" w14:paraId="6D8F7CFD" w14:textId="77777777">
      <w:pPr>
        <w:spacing w:after="160" w:line="240" w:lineRule="auto"/>
        <w:ind w:firstLine="0"/>
        <w:jc w:val="center"/>
        <w:rPr>
          <w:rFonts w:cs="Palatino"/>
          <w:szCs w:val="26"/>
        </w:rPr>
      </w:pPr>
      <w:r w:rsidRPr="00545DA3">
        <w:rPr>
          <w:rFonts w:cs="Palatino"/>
          <w:szCs w:val="26"/>
        </w:rPr>
        <w:t>Showing passenger stage operative rights, restrictions,</w:t>
      </w:r>
    </w:p>
    <w:p w:rsidRPr="00545DA3" w:rsidR="001E229D" w:rsidP="001E229D" w:rsidRDefault="001E229D" w14:paraId="34BAF969" w14:textId="77777777">
      <w:pPr>
        <w:spacing w:after="160" w:line="240" w:lineRule="auto"/>
        <w:ind w:firstLine="0"/>
        <w:jc w:val="center"/>
        <w:rPr>
          <w:rFonts w:cs="Palatino"/>
          <w:szCs w:val="26"/>
        </w:rPr>
      </w:pPr>
      <w:r w:rsidRPr="00545DA3">
        <w:rPr>
          <w:rFonts w:cs="Palatino"/>
          <w:szCs w:val="26"/>
        </w:rPr>
        <w:t>limitations, exceptions, and privileges.</w:t>
      </w:r>
    </w:p>
    <w:p w:rsidRPr="00545DA3" w:rsidR="001E229D" w:rsidP="001E229D" w:rsidRDefault="001E229D" w14:paraId="03FF0298" w14:textId="77777777">
      <w:pPr>
        <w:spacing w:after="160" w:line="240" w:lineRule="auto"/>
        <w:ind w:firstLine="0"/>
        <w:jc w:val="center"/>
        <w:rPr>
          <w:rFonts w:cs="Palatino"/>
          <w:szCs w:val="26"/>
        </w:rPr>
      </w:pPr>
    </w:p>
    <w:p w:rsidRPr="00545DA3" w:rsidR="001E229D" w:rsidP="001E229D" w:rsidRDefault="001E229D" w14:paraId="691345B3" w14:textId="77777777">
      <w:pPr>
        <w:spacing w:after="160" w:line="240" w:lineRule="auto"/>
        <w:ind w:firstLine="0"/>
        <w:jc w:val="center"/>
        <w:rPr>
          <w:rFonts w:cs="Palatino"/>
          <w:szCs w:val="26"/>
        </w:rPr>
      </w:pPr>
    </w:p>
    <w:p w:rsidRPr="00545DA3" w:rsidR="001E229D" w:rsidP="001E229D" w:rsidRDefault="001E229D" w14:paraId="2365E4FB" w14:textId="77777777">
      <w:pPr>
        <w:spacing w:after="160" w:line="240" w:lineRule="auto"/>
        <w:ind w:firstLine="0"/>
        <w:jc w:val="center"/>
        <w:rPr>
          <w:rFonts w:cs="Palatino"/>
          <w:szCs w:val="26"/>
        </w:rPr>
      </w:pPr>
    </w:p>
    <w:p w:rsidRPr="00545DA3" w:rsidR="001E229D" w:rsidP="001E229D" w:rsidRDefault="001E229D" w14:paraId="170E3BD1" w14:textId="77777777">
      <w:pPr>
        <w:spacing w:after="160" w:line="240" w:lineRule="auto"/>
        <w:ind w:firstLine="0"/>
        <w:jc w:val="center"/>
        <w:rPr>
          <w:rFonts w:cs="Palatino"/>
          <w:szCs w:val="26"/>
        </w:rPr>
      </w:pP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p>
    <w:p w:rsidRPr="00545DA3" w:rsidR="001E229D" w:rsidP="001E229D" w:rsidRDefault="001E229D" w14:paraId="1819711C" w14:textId="77777777">
      <w:pPr>
        <w:spacing w:after="160" w:line="240" w:lineRule="auto"/>
        <w:ind w:firstLine="0"/>
        <w:jc w:val="center"/>
        <w:rPr>
          <w:rFonts w:cs="Palatino"/>
          <w:szCs w:val="26"/>
        </w:rPr>
      </w:pPr>
    </w:p>
    <w:p w:rsidRPr="00545DA3" w:rsidR="001E229D" w:rsidP="001E229D" w:rsidRDefault="001E229D" w14:paraId="2314EAC8" w14:textId="77777777">
      <w:pPr>
        <w:spacing w:after="160" w:line="240" w:lineRule="auto"/>
        <w:ind w:firstLine="0"/>
        <w:jc w:val="center"/>
        <w:rPr>
          <w:rFonts w:cs="Palatino"/>
          <w:szCs w:val="26"/>
        </w:rPr>
      </w:pPr>
      <w:r w:rsidRPr="00545DA3">
        <w:rPr>
          <w:rFonts w:cs="Palatino"/>
          <w:szCs w:val="26"/>
        </w:rPr>
        <w:t>All changes and amendments as authorized by</w:t>
      </w:r>
    </w:p>
    <w:p w:rsidRPr="00545DA3" w:rsidR="001E229D" w:rsidP="001E229D" w:rsidRDefault="001E229D" w14:paraId="747FC98E" w14:textId="77777777">
      <w:pPr>
        <w:spacing w:after="160" w:line="240" w:lineRule="auto"/>
        <w:ind w:firstLine="0"/>
        <w:jc w:val="center"/>
        <w:rPr>
          <w:rFonts w:cs="Palatino"/>
          <w:szCs w:val="26"/>
        </w:rPr>
      </w:pPr>
      <w:r w:rsidRPr="00545DA3">
        <w:rPr>
          <w:rFonts w:cs="Palatino"/>
          <w:szCs w:val="26"/>
        </w:rPr>
        <w:t>the Public Utilities Commission of the State of California</w:t>
      </w:r>
    </w:p>
    <w:p w:rsidRPr="00545DA3" w:rsidR="001E229D" w:rsidP="001E229D" w:rsidRDefault="001E229D" w14:paraId="656430B0" w14:textId="77777777">
      <w:pPr>
        <w:spacing w:after="160" w:line="240" w:lineRule="auto"/>
        <w:ind w:firstLine="0"/>
        <w:jc w:val="center"/>
        <w:rPr>
          <w:rFonts w:cs="Palatino"/>
          <w:szCs w:val="26"/>
        </w:rPr>
      </w:pPr>
      <w:r w:rsidRPr="00545DA3">
        <w:rPr>
          <w:rFonts w:cs="Palatino"/>
          <w:szCs w:val="26"/>
        </w:rPr>
        <w:t>will be made as revised pages or added original pages.</w:t>
      </w:r>
    </w:p>
    <w:p w:rsidRPr="00545DA3" w:rsidR="001E229D" w:rsidP="001E229D" w:rsidRDefault="001E229D" w14:paraId="4FACC38D" w14:textId="77777777">
      <w:pPr>
        <w:spacing w:after="160" w:line="240" w:lineRule="auto"/>
        <w:ind w:firstLine="0"/>
        <w:jc w:val="center"/>
        <w:rPr>
          <w:rFonts w:cs="Palatino"/>
          <w:szCs w:val="26"/>
        </w:rPr>
      </w:pPr>
    </w:p>
    <w:p w:rsidRPr="00545DA3" w:rsidR="001E229D" w:rsidP="001E229D" w:rsidRDefault="001E229D" w14:paraId="31D6DC7A" w14:textId="77777777">
      <w:pPr>
        <w:spacing w:after="160" w:line="240" w:lineRule="auto"/>
        <w:ind w:firstLine="0"/>
        <w:jc w:val="center"/>
        <w:rPr>
          <w:rFonts w:cs="Palatino"/>
          <w:szCs w:val="26"/>
        </w:rPr>
      </w:pPr>
    </w:p>
    <w:p w:rsidRPr="00545DA3" w:rsidR="001E229D" w:rsidP="001E229D" w:rsidRDefault="001E229D" w14:paraId="1AD50F83" w14:textId="77777777">
      <w:pPr>
        <w:spacing w:after="160" w:line="240" w:lineRule="auto"/>
        <w:ind w:firstLine="0"/>
        <w:jc w:val="center"/>
        <w:rPr>
          <w:rFonts w:cs="Palatino"/>
          <w:szCs w:val="26"/>
        </w:rPr>
      </w:pP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r w:rsidRPr="00545DA3">
        <w:rPr>
          <w:rFonts w:cs="Palatino"/>
          <w:szCs w:val="26"/>
        </w:rPr>
        <w:noBreakHyphen/>
      </w:r>
    </w:p>
    <w:p w:rsidRPr="00545DA3" w:rsidR="001E229D" w:rsidP="001E229D" w:rsidRDefault="001E229D" w14:paraId="7AC0CA3C" w14:textId="77777777">
      <w:pPr>
        <w:spacing w:after="160" w:line="240" w:lineRule="auto"/>
        <w:ind w:firstLine="0"/>
        <w:rPr>
          <w:rFonts w:cs="Palatino"/>
          <w:szCs w:val="26"/>
        </w:rPr>
      </w:pPr>
    </w:p>
    <w:p w:rsidRPr="00545DA3" w:rsidR="001E229D" w:rsidP="001E229D" w:rsidRDefault="001E229D" w14:paraId="511B6219" w14:textId="77777777">
      <w:pPr>
        <w:spacing w:after="160" w:line="240" w:lineRule="auto"/>
        <w:ind w:firstLine="0"/>
        <w:rPr>
          <w:rFonts w:cs="Palatino"/>
          <w:szCs w:val="26"/>
        </w:rPr>
      </w:pPr>
    </w:p>
    <w:p w:rsidRPr="00140978" w:rsidR="00EF4DEA" w:rsidP="00EF4DEA" w:rsidRDefault="001E229D" w14:paraId="2F07CA7B" w14:textId="13F301A4">
      <w:pPr>
        <w:spacing w:line="240" w:lineRule="auto"/>
        <w:ind w:firstLine="0"/>
        <w:rPr>
          <w:rFonts w:cs="Palatino"/>
          <w:szCs w:val="26"/>
        </w:rPr>
      </w:pPr>
      <w:r w:rsidRPr="00545DA3">
        <w:rPr>
          <w:rFonts w:cs="Palatino"/>
          <w:szCs w:val="26"/>
        </w:rPr>
        <w:br w:type="page"/>
      </w:r>
      <w:r w:rsidRPr="00140978" w:rsidR="00EF4DEA">
        <w:rPr>
          <w:rFonts w:cs="Palatino"/>
          <w:szCs w:val="26"/>
        </w:rPr>
        <w:lastRenderedPageBreak/>
        <w:t>PSC-</w:t>
      </w:r>
      <w:r w:rsidRPr="00140978" w:rsidR="00EF4DEA">
        <w:t>50477</w:t>
      </w:r>
      <w:r w:rsidRPr="00140978" w:rsidR="00EF4DEA">
        <w:tab/>
      </w:r>
      <w:r w:rsidRPr="00140978" w:rsidR="00EF4DEA">
        <w:tab/>
      </w:r>
      <w:r w:rsidRPr="00140978" w:rsidR="00EF4DEA">
        <w:tab/>
        <w:t xml:space="preserve">Trevor V. Buchholz                       </w:t>
      </w:r>
      <w:r w:rsidRPr="00140978" w:rsidR="00EF4DEA">
        <w:rPr>
          <w:rFonts w:cs="Palatino"/>
          <w:szCs w:val="26"/>
        </w:rPr>
        <w:t xml:space="preserve"> Original Page 1</w:t>
      </w:r>
    </w:p>
    <w:p w:rsidRPr="00140978" w:rsidR="00EF4DEA" w:rsidP="00EF4DEA" w:rsidRDefault="00EF4DEA" w14:paraId="58EF9A43" w14:textId="77777777">
      <w:pPr>
        <w:spacing w:line="240" w:lineRule="auto"/>
        <w:ind w:firstLine="0"/>
        <w:rPr>
          <w:rFonts w:cs="Palatino"/>
          <w:szCs w:val="26"/>
        </w:rPr>
      </w:pPr>
      <w:r w:rsidRPr="00140978">
        <w:rPr>
          <w:rFonts w:cs="Palatino"/>
          <w:szCs w:val="26"/>
        </w:rPr>
        <w:tab/>
      </w:r>
      <w:r w:rsidRPr="00140978">
        <w:rPr>
          <w:rFonts w:cs="Palatino"/>
          <w:szCs w:val="26"/>
        </w:rPr>
        <w:tab/>
      </w:r>
      <w:r w:rsidRPr="00140978">
        <w:rPr>
          <w:rFonts w:cs="Palatino"/>
          <w:szCs w:val="26"/>
        </w:rPr>
        <w:tab/>
      </w:r>
      <w:r w:rsidRPr="00140978">
        <w:rPr>
          <w:rFonts w:cs="Palatino"/>
          <w:szCs w:val="26"/>
        </w:rPr>
        <w:tab/>
        <w:t>(an individual)</w:t>
      </w:r>
    </w:p>
    <w:p w:rsidRPr="00140978" w:rsidR="001E229D" w:rsidP="00EF4DEA" w:rsidRDefault="00EF4DEA" w14:paraId="18318D3C" w14:textId="11E7A7EF">
      <w:pPr>
        <w:spacing w:line="240" w:lineRule="auto"/>
        <w:ind w:firstLine="0"/>
        <w:rPr>
          <w:rFonts w:cs="Palatino"/>
          <w:b/>
          <w:szCs w:val="26"/>
        </w:rPr>
      </w:pPr>
      <w:r w:rsidRPr="00140978">
        <w:rPr>
          <w:rFonts w:cs="Palatino"/>
          <w:szCs w:val="26"/>
        </w:rPr>
        <w:tab/>
      </w:r>
      <w:r w:rsidRPr="00140978">
        <w:rPr>
          <w:rFonts w:cs="Palatino"/>
          <w:szCs w:val="26"/>
        </w:rPr>
        <w:tab/>
      </w:r>
      <w:r w:rsidRPr="00140978">
        <w:rPr>
          <w:rFonts w:cs="Palatino"/>
          <w:szCs w:val="26"/>
        </w:rPr>
        <w:tab/>
        <w:t>doing business as Door-to-Door Airporter</w:t>
      </w:r>
      <w:r w:rsidRPr="00140978">
        <w:rPr>
          <w:rFonts w:cs="Palatino"/>
          <w:szCs w:val="26"/>
        </w:rPr>
        <w:tab/>
      </w:r>
      <w:r w:rsidRPr="00140978">
        <w:rPr>
          <w:rFonts w:cs="Palatino"/>
          <w:szCs w:val="26"/>
        </w:rPr>
        <w:tab/>
      </w:r>
    </w:p>
    <w:p w:rsidRPr="00140978" w:rsidR="001E229D" w:rsidP="001E229D" w:rsidRDefault="001E229D" w14:paraId="4003FDC1" w14:textId="77777777">
      <w:pPr>
        <w:spacing w:after="160" w:line="240" w:lineRule="auto"/>
        <w:ind w:firstLine="0"/>
        <w:rPr>
          <w:rFonts w:cs="Palatino"/>
          <w:b/>
          <w:szCs w:val="26"/>
        </w:rPr>
      </w:pPr>
    </w:p>
    <w:p w:rsidRPr="00140978" w:rsidR="001E229D" w:rsidP="001E229D" w:rsidRDefault="001E229D" w14:paraId="742AAF79" w14:textId="77777777">
      <w:pPr>
        <w:spacing w:after="160" w:line="240" w:lineRule="auto"/>
        <w:ind w:firstLine="0"/>
        <w:jc w:val="center"/>
        <w:rPr>
          <w:rFonts w:cs="Palatino"/>
          <w:b/>
          <w:szCs w:val="26"/>
        </w:rPr>
      </w:pPr>
      <w:r w:rsidRPr="00140978">
        <w:rPr>
          <w:rFonts w:cs="Palatino"/>
          <w:b/>
          <w:szCs w:val="26"/>
        </w:rPr>
        <w:t>I N D E X</w:t>
      </w:r>
    </w:p>
    <w:p w:rsidRPr="00140978" w:rsidR="001E229D" w:rsidP="001E229D" w:rsidRDefault="001E229D" w14:paraId="249AB769" w14:textId="77777777">
      <w:pPr>
        <w:spacing w:after="160" w:line="240" w:lineRule="auto"/>
        <w:ind w:firstLine="0"/>
        <w:rPr>
          <w:rFonts w:cs="Palatino"/>
          <w:b/>
          <w:szCs w:val="26"/>
        </w:rPr>
      </w:pPr>
    </w:p>
    <w:p w:rsidRPr="00140978" w:rsidR="001E229D" w:rsidP="001E229D" w:rsidRDefault="001E229D" w14:paraId="5E7AF3C3" w14:textId="77777777">
      <w:pPr>
        <w:spacing w:after="160" w:line="240" w:lineRule="auto"/>
        <w:ind w:left="7200"/>
        <w:rPr>
          <w:rFonts w:cs="Palatino"/>
          <w:b/>
          <w:szCs w:val="26"/>
        </w:rPr>
      </w:pPr>
      <w:r w:rsidRPr="00140978">
        <w:rPr>
          <w:rFonts w:cs="Palatino"/>
          <w:b/>
          <w:szCs w:val="26"/>
        </w:rPr>
        <w:t xml:space="preserve">     Page</w:t>
      </w:r>
    </w:p>
    <w:p w:rsidRPr="00140978" w:rsidR="001E229D" w:rsidP="001E229D" w:rsidRDefault="001E229D" w14:paraId="2DE657A8" w14:textId="77777777">
      <w:pPr>
        <w:spacing w:after="160" w:line="240" w:lineRule="auto"/>
        <w:ind w:firstLine="0"/>
        <w:rPr>
          <w:rFonts w:cs="Palatino"/>
          <w:szCs w:val="26"/>
        </w:rPr>
      </w:pPr>
    </w:p>
    <w:p w:rsidRPr="00140978" w:rsidR="001E229D" w:rsidP="001E229D" w:rsidRDefault="001E229D" w14:paraId="78BD9D5F" w14:textId="77777777">
      <w:pPr>
        <w:spacing w:after="160" w:line="240" w:lineRule="auto"/>
        <w:ind w:firstLine="0"/>
        <w:rPr>
          <w:rFonts w:cs="Palatino"/>
          <w:szCs w:val="26"/>
        </w:rPr>
      </w:pPr>
      <w:r w:rsidRPr="00140978">
        <w:rPr>
          <w:rFonts w:cs="Palatino"/>
          <w:szCs w:val="26"/>
        </w:rPr>
        <w:t>SECTION I.</w:t>
      </w:r>
      <w:r w:rsidRPr="00140978">
        <w:rPr>
          <w:rFonts w:cs="Palatino"/>
          <w:szCs w:val="26"/>
        </w:rPr>
        <w:tab/>
      </w:r>
      <w:r w:rsidRPr="00140978">
        <w:rPr>
          <w:rFonts w:cs="Palatino"/>
          <w:szCs w:val="26"/>
        </w:rPr>
        <w:tab/>
        <w:t xml:space="preserve">GENERAL AUTHORIZATIONS, RESTRICTIONS, </w:t>
      </w:r>
    </w:p>
    <w:p w:rsidRPr="00140978" w:rsidR="001E229D" w:rsidP="001E229D" w:rsidRDefault="001E229D" w14:paraId="1D4B4172" w14:textId="77777777">
      <w:pPr>
        <w:spacing w:after="160" w:line="240" w:lineRule="auto"/>
        <w:ind w:firstLine="0"/>
        <w:rPr>
          <w:rFonts w:cs="Palatino"/>
          <w:szCs w:val="26"/>
        </w:rPr>
      </w:pPr>
      <w:r w:rsidRPr="00140978">
        <w:rPr>
          <w:rFonts w:cs="Palatino"/>
          <w:szCs w:val="26"/>
        </w:rPr>
        <w:tab/>
      </w:r>
      <w:r w:rsidRPr="00140978">
        <w:rPr>
          <w:rFonts w:cs="Palatino"/>
          <w:szCs w:val="26"/>
        </w:rPr>
        <w:tab/>
      </w:r>
      <w:r w:rsidRPr="00140978">
        <w:rPr>
          <w:rFonts w:cs="Palatino"/>
          <w:szCs w:val="26"/>
        </w:rPr>
        <w:tab/>
        <w:t>LIMITATIONS, AND SPECIFICATIONS</w:t>
      </w:r>
      <w:r w:rsidRPr="00140978">
        <w:rPr>
          <w:rFonts w:cs="Palatino"/>
          <w:szCs w:val="26"/>
        </w:rPr>
        <w:tab/>
      </w:r>
      <w:r w:rsidRPr="00140978">
        <w:rPr>
          <w:rFonts w:cs="Palatino"/>
          <w:szCs w:val="26"/>
        </w:rPr>
        <w:tab/>
        <w:t xml:space="preserve">         </w:t>
      </w:r>
      <w:r w:rsidRPr="00140978">
        <w:rPr>
          <w:rFonts w:cs="Palatino"/>
          <w:szCs w:val="26"/>
        </w:rPr>
        <w:tab/>
        <w:t>2</w:t>
      </w:r>
    </w:p>
    <w:p w:rsidRPr="00140978" w:rsidR="001E229D" w:rsidP="001E229D" w:rsidRDefault="001E229D" w14:paraId="6B1A76AC" w14:textId="77777777">
      <w:pPr>
        <w:spacing w:after="160" w:line="240" w:lineRule="auto"/>
        <w:ind w:firstLine="0"/>
        <w:rPr>
          <w:rFonts w:cs="Palatino"/>
          <w:szCs w:val="26"/>
        </w:rPr>
      </w:pPr>
    </w:p>
    <w:p w:rsidRPr="00140978" w:rsidR="001E229D" w:rsidP="001E229D" w:rsidRDefault="001E229D" w14:paraId="71479087" w14:textId="3E57AE4C">
      <w:pPr>
        <w:pStyle w:val="standard0"/>
        <w:ind w:firstLine="0"/>
        <w:rPr>
          <w:rFonts w:ascii="Book Antiqua" w:hAnsi="Book Antiqua"/>
        </w:rPr>
      </w:pPr>
      <w:r w:rsidRPr="00140978">
        <w:rPr>
          <w:rFonts w:ascii="Book Antiqua" w:hAnsi="Book Antiqua"/>
        </w:rPr>
        <w:t>SECTION II.</w:t>
      </w:r>
      <w:r w:rsidRPr="00140978">
        <w:rPr>
          <w:rFonts w:ascii="Book Antiqua" w:hAnsi="Book Antiqua"/>
        </w:rPr>
        <w:tab/>
        <w:t>SERVICE AREA</w:t>
      </w:r>
      <w:r w:rsidRPr="00140978">
        <w:rPr>
          <w:rFonts w:ascii="Book Antiqua" w:hAnsi="Book Antiqua"/>
        </w:rPr>
        <w:tab/>
      </w:r>
      <w:r w:rsidRPr="00140978">
        <w:rPr>
          <w:rFonts w:ascii="Book Antiqua" w:hAnsi="Book Antiqua"/>
        </w:rPr>
        <w:tab/>
      </w:r>
      <w:r w:rsidRPr="00140978">
        <w:rPr>
          <w:rFonts w:ascii="Book Antiqua" w:hAnsi="Book Antiqua"/>
        </w:rPr>
        <w:tab/>
      </w:r>
      <w:r w:rsidRPr="00140978">
        <w:rPr>
          <w:rFonts w:ascii="Book Antiqua" w:hAnsi="Book Antiqua"/>
        </w:rPr>
        <w:tab/>
      </w:r>
      <w:r w:rsidRPr="00140978" w:rsidR="00140978">
        <w:rPr>
          <w:rFonts w:ascii="Book Antiqua" w:hAnsi="Book Antiqua"/>
        </w:rPr>
        <w:tab/>
      </w:r>
      <w:r w:rsidRPr="00140978" w:rsidR="00140978">
        <w:rPr>
          <w:rFonts w:ascii="Book Antiqua" w:hAnsi="Book Antiqua"/>
        </w:rPr>
        <w:tab/>
      </w:r>
      <w:r w:rsidR="00140978">
        <w:rPr>
          <w:rFonts w:ascii="Book Antiqua" w:hAnsi="Book Antiqua"/>
        </w:rPr>
        <w:tab/>
      </w:r>
      <w:r w:rsidRPr="00140978">
        <w:rPr>
          <w:rFonts w:ascii="Book Antiqua" w:hAnsi="Book Antiqua"/>
        </w:rPr>
        <w:t>3</w:t>
      </w:r>
    </w:p>
    <w:p w:rsidRPr="00140978" w:rsidR="001E229D" w:rsidP="001E229D" w:rsidRDefault="001E229D" w14:paraId="6180888C" w14:textId="77777777">
      <w:pPr>
        <w:spacing w:after="160" w:line="240" w:lineRule="auto"/>
        <w:ind w:firstLine="0"/>
        <w:rPr>
          <w:rFonts w:cs="Palatino"/>
          <w:szCs w:val="26"/>
        </w:rPr>
      </w:pPr>
    </w:p>
    <w:p w:rsidRPr="00140978" w:rsidR="001E229D" w:rsidP="001E229D" w:rsidRDefault="001E229D" w14:paraId="1B03464B" w14:textId="77777777">
      <w:pPr>
        <w:spacing w:after="160" w:line="240" w:lineRule="auto"/>
        <w:ind w:firstLine="0"/>
        <w:rPr>
          <w:rFonts w:cs="Palatino"/>
          <w:szCs w:val="26"/>
        </w:rPr>
      </w:pPr>
      <w:r w:rsidRPr="00140978">
        <w:rPr>
          <w:rFonts w:cs="Palatino"/>
          <w:szCs w:val="26"/>
        </w:rPr>
        <w:t>SECTION III.</w:t>
      </w:r>
      <w:r w:rsidRPr="00140978">
        <w:rPr>
          <w:rFonts w:cs="Palatino"/>
          <w:szCs w:val="26"/>
        </w:rPr>
        <w:tab/>
        <w:t>ROUTE DESCRIPTIONS</w:t>
      </w:r>
      <w:r w:rsidRPr="00140978">
        <w:rPr>
          <w:rFonts w:cs="Palatino"/>
          <w:szCs w:val="26"/>
        </w:rPr>
        <w:tab/>
        <w:t xml:space="preserve">                                                      </w:t>
      </w:r>
      <w:r w:rsidRPr="00140978">
        <w:rPr>
          <w:rFonts w:cs="Palatino"/>
          <w:szCs w:val="26"/>
        </w:rPr>
        <w:tab/>
        <w:t>3</w:t>
      </w:r>
    </w:p>
    <w:p w:rsidR="00371F50" w:rsidP="00371F50" w:rsidRDefault="001E229D" w14:paraId="7911547C" w14:textId="24B57999">
      <w:pPr>
        <w:spacing w:line="240" w:lineRule="auto"/>
        <w:ind w:firstLine="0"/>
        <w:rPr>
          <w:rFonts w:cs="Palatino"/>
          <w:szCs w:val="26"/>
        </w:rPr>
      </w:pPr>
      <w:r w:rsidRPr="00545DA3">
        <w:rPr>
          <w:rFonts w:cs="Palatino"/>
          <w:szCs w:val="26"/>
        </w:rPr>
        <w:br w:type="page"/>
      </w:r>
      <w:r w:rsidRPr="00545DA3" w:rsidR="00371F50">
        <w:rPr>
          <w:rFonts w:cs="Palatino"/>
          <w:szCs w:val="26"/>
        </w:rPr>
        <w:lastRenderedPageBreak/>
        <w:t>PSC-</w:t>
      </w:r>
      <w:r w:rsidR="00371F50">
        <w:t>50477</w:t>
      </w:r>
      <w:r w:rsidR="00371F50">
        <w:tab/>
      </w:r>
      <w:r w:rsidR="00371F50">
        <w:tab/>
      </w:r>
      <w:r w:rsidR="00371F50">
        <w:tab/>
        <w:t xml:space="preserve">Trevor V. Buchholz                       </w:t>
      </w:r>
      <w:r w:rsidR="00371F50">
        <w:rPr>
          <w:rFonts w:cs="Palatino"/>
          <w:szCs w:val="26"/>
        </w:rPr>
        <w:t xml:space="preserve"> </w:t>
      </w:r>
      <w:r w:rsidRPr="00545DA3" w:rsidR="00371F50">
        <w:rPr>
          <w:rFonts w:cs="Palatino"/>
          <w:szCs w:val="26"/>
        </w:rPr>
        <w:t xml:space="preserve">Original </w:t>
      </w:r>
      <w:r w:rsidR="00371F50">
        <w:rPr>
          <w:rFonts w:cs="Palatino"/>
          <w:szCs w:val="26"/>
        </w:rPr>
        <w:t>Page 2</w:t>
      </w:r>
    </w:p>
    <w:p w:rsidR="00371F50" w:rsidP="00371F50" w:rsidRDefault="00371F50" w14:paraId="28E319ED" w14:textId="77777777">
      <w:pPr>
        <w:spacing w:line="240" w:lineRule="auto"/>
        <w:ind w:firstLine="0"/>
        <w:rPr>
          <w:rFonts w:cs="Palatino"/>
          <w:szCs w:val="26"/>
        </w:rPr>
      </w:pPr>
      <w:r>
        <w:rPr>
          <w:rFonts w:cs="Palatino"/>
          <w:szCs w:val="26"/>
        </w:rPr>
        <w:tab/>
      </w:r>
      <w:r>
        <w:rPr>
          <w:rFonts w:cs="Palatino"/>
          <w:szCs w:val="26"/>
        </w:rPr>
        <w:tab/>
      </w:r>
      <w:r>
        <w:rPr>
          <w:rFonts w:cs="Palatino"/>
          <w:szCs w:val="26"/>
        </w:rPr>
        <w:tab/>
      </w:r>
      <w:r>
        <w:rPr>
          <w:rFonts w:cs="Palatino"/>
          <w:szCs w:val="26"/>
        </w:rPr>
        <w:tab/>
        <w:t>(an individual)</w:t>
      </w:r>
    </w:p>
    <w:p w:rsidR="001E229D" w:rsidP="00371F50" w:rsidRDefault="00371F50" w14:paraId="03B09112" w14:textId="6106ACFC">
      <w:pPr>
        <w:spacing w:line="240" w:lineRule="auto"/>
        <w:ind w:firstLine="0"/>
        <w:rPr>
          <w:rFonts w:cs="Palatino"/>
          <w:szCs w:val="26"/>
        </w:rPr>
      </w:pPr>
      <w:r>
        <w:rPr>
          <w:rFonts w:cs="Palatino"/>
          <w:szCs w:val="26"/>
        </w:rPr>
        <w:tab/>
      </w:r>
      <w:r>
        <w:rPr>
          <w:rFonts w:cs="Palatino"/>
          <w:szCs w:val="26"/>
        </w:rPr>
        <w:tab/>
      </w:r>
      <w:r>
        <w:rPr>
          <w:rFonts w:cs="Palatino"/>
          <w:szCs w:val="26"/>
        </w:rPr>
        <w:tab/>
        <w:t>doing business as Door-to-Door Airporter</w:t>
      </w:r>
    </w:p>
    <w:p w:rsidRPr="00545DA3" w:rsidR="00371F50" w:rsidP="00371F50" w:rsidRDefault="00371F50" w14:paraId="71250431" w14:textId="77777777">
      <w:pPr>
        <w:spacing w:line="240" w:lineRule="auto"/>
        <w:ind w:firstLine="0"/>
        <w:rPr>
          <w:rFonts w:cs="Palatino"/>
          <w:szCs w:val="26"/>
        </w:rPr>
      </w:pPr>
    </w:p>
    <w:p w:rsidRPr="00545DA3" w:rsidR="001E229D" w:rsidP="001E229D" w:rsidRDefault="001E229D" w14:paraId="27BA0ED2" w14:textId="77777777">
      <w:pPr>
        <w:spacing w:after="160" w:line="240" w:lineRule="auto"/>
        <w:ind w:firstLine="0"/>
        <w:rPr>
          <w:rFonts w:cs="Palatino"/>
          <w:szCs w:val="26"/>
        </w:rPr>
      </w:pPr>
      <w:r w:rsidRPr="00545DA3">
        <w:rPr>
          <w:rFonts w:cs="Palatino"/>
          <w:szCs w:val="26"/>
        </w:rPr>
        <w:t>SECTION I.</w:t>
      </w:r>
      <w:r w:rsidRPr="00545DA3">
        <w:rPr>
          <w:rFonts w:cs="Palatino"/>
          <w:szCs w:val="26"/>
        </w:rPr>
        <w:tab/>
        <w:t>GENERAL AUTHORIZATIONS, RESTRICTIONS, LIMITATIONS, AND SPECIFICATIONS.</w:t>
      </w:r>
    </w:p>
    <w:p w:rsidRPr="00545DA3" w:rsidR="001E229D" w:rsidP="001E229D" w:rsidRDefault="001E229D" w14:paraId="27D7595E" w14:textId="77777777">
      <w:pPr>
        <w:spacing w:after="160" w:line="240" w:lineRule="auto"/>
        <w:ind w:firstLine="0"/>
        <w:rPr>
          <w:rFonts w:cs="Palatino"/>
          <w:szCs w:val="26"/>
        </w:rPr>
      </w:pPr>
    </w:p>
    <w:p w:rsidRPr="00545DA3" w:rsidR="001E229D" w:rsidP="001E229D" w:rsidRDefault="0060503A" w14:paraId="0B8C4524" w14:textId="124A074B">
      <w:pPr>
        <w:spacing w:after="160" w:line="240" w:lineRule="auto"/>
        <w:ind w:firstLine="0"/>
        <w:rPr>
          <w:rFonts w:cs="Palatino"/>
          <w:szCs w:val="26"/>
        </w:rPr>
      </w:pPr>
      <w:r>
        <w:t>Trevor V. Buchholz</w:t>
      </w:r>
      <w:r w:rsidR="001E229D">
        <w:t>, a</w:t>
      </w:r>
      <w:r>
        <w:t>n individual</w:t>
      </w:r>
      <w:r w:rsidRPr="00545DA3" w:rsidR="001E229D">
        <w:rPr>
          <w:rFonts w:cs="Palatino"/>
          <w:szCs w:val="26"/>
        </w:rPr>
        <w:t xml:space="preserve">, by the certificate of public convenience and necessity granted by the decision noted in the foot of the margin, is authorized to transport passengers and their baggage on </w:t>
      </w:r>
      <w:r w:rsidR="0038319D">
        <w:rPr>
          <w:rFonts w:cs="Palatino"/>
          <w:szCs w:val="26"/>
        </w:rPr>
        <w:t>an on-call</w:t>
      </w:r>
      <w:r w:rsidR="001E229D">
        <w:rPr>
          <w:rFonts w:cs="Palatino"/>
          <w:szCs w:val="26"/>
        </w:rPr>
        <w:t xml:space="preserve"> </w:t>
      </w:r>
      <w:r w:rsidRPr="00545DA3" w:rsidR="001E229D">
        <w:rPr>
          <w:rFonts w:cs="Palatino"/>
          <w:szCs w:val="26"/>
        </w:rPr>
        <w:t xml:space="preserve">basis between the points </w:t>
      </w:r>
      <w:r w:rsidR="001E229D">
        <w:rPr>
          <w:rFonts w:cs="Palatino"/>
          <w:szCs w:val="26"/>
        </w:rPr>
        <w:t>on</w:t>
      </w:r>
      <w:r w:rsidRPr="00545DA3" w:rsidR="001E229D">
        <w:rPr>
          <w:rFonts w:cs="Palatino"/>
          <w:szCs w:val="26"/>
        </w:rPr>
        <w:t xml:space="preserve"> the routes described in Section II, subject, however, to the authority of this Commission to change or modify this authority at any time and subject to the following provisions:</w:t>
      </w:r>
    </w:p>
    <w:p w:rsidRPr="00545DA3" w:rsidR="001E229D" w:rsidP="001E229D" w:rsidRDefault="001E229D" w14:paraId="1F452F53" w14:textId="77777777">
      <w:pPr>
        <w:numPr>
          <w:ilvl w:val="1"/>
          <w:numId w:val="16"/>
        </w:numPr>
        <w:spacing w:after="160" w:line="240" w:lineRule="auto"/>
        <w:rPr>
          <w:rFonts w:cs="Palatino"/>
          <w:szCs w:val="26"/>
        </w:rPr>
      </w:pPr>
      <w:r w:rsidRPr="00545DA3">
        <w:rPr>
          <w:rFonts w:cs="Palatino"/>
          <w:szCs w:val="26"/>
        </w:rPr>
        <w:t>When a route description is given in one direction, it applies to operation in either direction unless otherwise indicated.</w:t>
      </w:r>
    </w:p>
    <w:p w:rsidRPr="00DC720E" w:rsidR="001E229D" w:rsidP="001E229D" w:rsidRDefault="001E229D" w14:paraId="3C35544D" w14:textId="3B4F8AB1">
      <w:pPr>
        <w:numPr>
          <w:ilvl w:val="1"/>
          <w:numId w:val="16"/>
        </w:numPr>
        <w:spacing w:after="160" w:line="240" w:lineRule="auto"/>
      </w:pPr>
      <w:r w:rsidRPr="00DC720E">
        <w:t>The term "</w:t>
      </w:r>
      <w:proofErr w:type="gramStart"/>
      <w:r w:rsidRPr="00DC720E">
        <w:t>on-call</w:t>
      </w:r>
      <w:proofErr w:type="gramEnd"/>
      <w:r w:rsidRPr="00DC720E">
        <w:t>," as used, refers to service which is authorized to be rendered dependent on the demands of passengers.</w:t>
      </w:r>
      <w:r>
        <w:t xml:space="preserve"> </w:t>
      </w:r>
      <w:r w:rsidRPr="00DC720E">
        <w:t>The tariffs shall show the conditions under which each authorized on-call service will be provided and shall include the description of the boundary of each fare zone, except when a single fare is charged to all points within a single incorporated city.</w:t>
      </w:r>
    </w:p>
    <w:p w:rsidRPr="00545DA3" w:rsidR="001E229D" w:rsidP="001E229D" w:rsidRDefault="001E229D" w14:paraId="64EFDCF2" w14:textId="77777777">
      <w:pPr>
        <w:numPr>
          <w:ilvl w:val="1"/>
          <w:numId w:val="16"/>
        </w:numPr>
        <w:spacing w:after="160" w:line="240" w:lineRule="auto"/>
        <w:rPr>
          <w:rFonts w:cs="Palatino"/>
          <w:szCs w:val="26"/>
        </w:rPr>
      </w:pPr>
      <w:r w:rsidRPr="00545DA3">
        <w:rPr>
          <w:rFonts w:cs="Palatino"/>
          <w:szCs w:val="26"/>
        </w:rPr>
        <w:t>No passengers shall be transported except those having a point of origin or destination as described in Section II</w:t>
      </w:r>
      <w:r>
        <w:rPr>
          <w:rFonts w:cs="Palatino"/>
          <w:szCs w:val="26"/>
        </w:rPr>
        <w:t>A</w:t>
      </w:r>
      <w:r w:rsidRPr="00545DA3">
        <w:rPr>
          <w:rFonts w:cs="Palatino"/>
          <w:szCs w:val="26"/>
        </w:rPr>
        <w:t>.</w:t>
      </w:r>
    </w:p>
    <w:p w:rsidRPr="00545DA3" w:rsidR="001E229D" w:rsidP="001E229D" w:rsidRDefault="001E229D" w14:paraId="60FC1AFC" w14:textId="77777777">
      <w:pPr>
        <w:numPr>
          <w:ilvl w:val="1"/>
          <w:numId w:val="16"/>
        </w:numPr>
        <w:spacing w:after="160" w:line="240" w:lineRule="auto"/>
        <w:rPr>
          <w:rFonts w:cs="Palatino"/>
          <w:szCs w:val="26"/>
        </w:rPr>
      </w:pPr>
      <w:r w:rsidRPr="00545DA3">
        <w:rPr>
          <w:rFonts w:cs="Palatino"/>
          <w:szCs w:val="26"/>
        </w:rPr>
        <w:t>This certificate does not authorize the holder to conduct any operation on the property of any airport unless such operation is authorized by the airport authority involved.</w:t>
      </w:r>
    </w:p>
    <w:p w:rsidRPr="00545DA3" w:rsidR="001E229D" w:rsidP="001E229D" w:rsidRDefault="001E229D" w14:paraId="42A4250A" w14:textId="0DEB3778">
      <w:pPr>
        <w:numPr>
          <w:ilvl w:val="1"/>
          <w:numId w:val="16"/>
        </w:numPr>
        <w:spacing w:after="160" w:line="240" w:lineRule="auto"/>
        <w:rPr>
          <w:rFonts w:cs="Palatino"/>
          <w:szCs w:val="26"/>
        </w:rPr>
      </w:pPr>
      <w:r w:rsidRPr="00545DA3">
        <w:rPr>
          <w:rFonts w:cs="Palatino"/>
          <w:szCs w:val="26"/>
        </w:rPr>
        <w:t xml:space="preserve">Stop points established by </w:t>
      </w:r>
      <w:r w:rsidR="00F318C3">
        <w:t>Trev</w:t>
      </w:r>
      <w:r w:rsidR="006051A9">
        <w:t>or V. Buchholz</w:t>
      </w:r>
      <w:r>
        <w:t xml:space="preserve"> </w:t>
      </w:r>
      <w:r w:rsidRPr="00545DA3">
        <w:rPr>
          <w:rFonts w:cs="Palatino"/>
          <w:szCs w:val="26"/>
        </w:rPr>
        <w:t>to load and discharge passengers shall conform to all applicable parking or passenger loading zone regulations adopted by local authorities.</w:t>
      </w:r>
    </w:p>
    <w:p w:rsidRPr="00545DA3" w:rsidR="001E229D" w:rsidP="001E229D" w:rsidRDefault="001E229D" w14:paraId="2E2DD543" w14:textId="77777777">
      <w:pPr>
        <w:spacing w:after="160" w:line="240" w:lineRule="auto"/>
        <w:ind w:firstLine="0"/>
        <w:rPr>
          <w:rFonts w:cs="Palatino"/>
          <w:szCs w:val="26"/>
        </w:rPr>
      </w:pPr>
    </w:p>
    <w:p w:rsidRPr="00A9623C" w:rsidR="006051A9" w:rsidP="006051A9" w:rsidRDefault="001E229D" w14:paraId="3D9A79B6" w14:textId="1EF3B6A7">
      <w:pPr>
        <w:spacing w:line="240" w:lineRule="auto"/>
        <w:ind w:firstLine="0"/>
        <w:rPr>
          <w:rFonts w:cs="Palatino"/>
          <w:szCs w:val="26"/>
        </w:rPr>
      </w:pPr>
      <w:r w:rsidRPr="00545DA3">
        <w:rPr>
          <w:rFonts w:cs="Palatino"/>
          <w:szCs w:val="26"/>
        </w:rPr>
        <w:br w:type="page"/>
      </w:r>
      <w:r w:rsidRPr="00A9623C" w:rsidR="006051A9">
        <w:rPr>
          <w:rFonts w:cs="Palatino"/>
          <w:szCs w:val="26"/>
        </w:rPr>
        <w:lastRenderedPageBreak/>
        <w:t>PSC-</w:t>
      </w:r>
      <w:r w:rsidRPr="00A9623C" w:rsidR="006051A9">
        <w:t>50477</w:t>
      </w:r>
      <w:r w:rsidRPr="00A9623C" w:rsidR="006051A9">
        <w:tab/>
      </w:r>
      <w:r w:rsidRPr="00A9623C" w:rsidR="006051A9">
        <w:tab/>
      </w:r>
      <w:r w:rsidRPr="00A9623C" w:rsidR="006051A9">
        <w:tab/>
        <w:t xml:space="preserve">Trevor V. Buchholz                       </w:t>
      </w:r>
      <w:r w:rsidRPr="00A9623C" w:rsidR="006051A9">
        <w:rPr>
          <w:rFonts w:cs="Palatino"/>
          <w:szCs w:val="26"/>
        </w:rPr>
        <w:t xml:space="preserve"> Original Page 3</w:t>
      </w:r>
    </w:p>
    <w:p w:rsidRPr="00A9623C" w:rsidR="006051A9" w:rsidP="006051A9" w:rsidRDefault="006051A9" w14:paraId="6A3C1674" w14:textId="77777777">
      <w:pPr>
        <w:spacing w:line="240" w:lineRule="auto"/>
        <w:ind w:firstLine="0"/>
        <w:rPr>
          <w:rFonts w:cs="Palatino"/>
          <w:szCs w:val="26"/>
        </w:rPr>
      </w:pPr>
      <w:r w:rsidRPr="00A9623C">
        <w:rPr>
          <w:rFonts w:cs="Palatino"/>
          <w:szCs w:val="26"/>
        </w:rPr>
        <w:tab/>
      </w:r>
      <w:r w:rsidRPr="00A9623C">
        <w:rPr>
          <w:rFonts w:cs="Palatino"/>
          <w:szCs w:val="26"/>
        </w:rPr>
        <w:tab/>
      </w:r>
      <w:r w:rsidRPr="00A9623C">
        <w:rPr>
          <w:rFonts w:cs="Palatino"/>
          <w:szCs w:val="26"/>
        </w:rPr>
        <w:tab/>
      </w:r>
      <w:r w:rsidRPr="00A9623C">
        <w:rPr>
          <w:rFonts w:cs="Palatino"/>
          <w:szCs w:val="26"/>
        </w:rPr>
        <w:tab/>
        <w:t>(an individual)</w:t>
      </w:r>
    </w:p>
    <w:p w:rsidRPr="00A9623C" w:rsidR="006051A9" w:rsidP="006051A9" w:rsidRDefault="006051A9" w14:paraId="1E364A17" w14:textId="77777777">
      <w:pPr>
        <w:spacing w:line="240" w:lineRule="auto"/>
        <w:ind w:firstLine="0"/>
        <w:rPr>
          <w:rFonts w:cs="Palatino"/>
          <w:szCs w:val="26"/>
        </w:rPr>
      </w:pPr>
      <w:r w:rsidRPr="00A9623C">
        <w:rPr>
          <w:rFonts w:cs="Palatino"/>
          <w:szCs w:val="26"/>
        </w:rPr>
        <w:tab/>
      </w:r>
      <w:r w:rsidRPr="00A9623C">
        <w:rPr>
          <w:rFonts w:cs="Palatino"/>
          <w:szCs w:val="26"/>
        </w:rPr>
        <w:tab/>
      </w:r>
      <w:r w:rsidRPr="00A9623C">
        <w:rPr>
          <w:rFonts w:cs="Palatino"/>
          <w:szCs w:val="26"/>
        </w:rPr>
        <w:tab/>
        <w:t>doing business as Door-to-Door Airporter</w:t>
      </w:r>
    </w:p>
    <w:p w:rsidRPr="00A9623C" w:rsidR="001E229D" w:rsidP="006051A9" w:rsidRDefault="001E229D" w14:paraId="5E466F9E" w14:textId="23C5280D">
      <w:pPr>
        <w:spacing w:line="240" w:lineRule="auto"/>
        <w:ind w:firstLine="0"/>
        <w:rPr>
          <w:rFonts w:cs="Palatino"/>
          <w:szCs w:val="26"/>
        </w:rPr>
      </w:pPr>
    </w:p>
    <w:p w:rsidRPr="00A9623C" w:rsidR="001E229D" w:rsidP="001E229D" w:rsidRDefault="001E229D" w14:paraId="4F34E5A0" w14:textId="77777777">
      <w:pPr>
        <w:spacing w:line="240" w:lineRule="auto"/>
        <w:ind w:firstLine="0"/>
        <w:jc w:val="center"/>
        <w:rPr>
          <w:rFonts w:cs="Palatino"/>
          <w:szCs w:val="26"/>
        </w:rPr>
      </w:pPr>
    </w:p>
    <w:p w:rsidRPr="00A9623C" w:rsidR="001E229D" w:rsidP="001E229D" w:rsidRDefault="001E229D" w14:paraId="3B5A142D" w14:textId="77777777">
      <w:pPr>
        <w:spacing w:line="240" w:lineRule="auto"/>
        <w:ind w:firstLine="0"/>
        <w:jc w:val="center"/>
        <w:rPr>
          <w:rFonts w:cs="Palatino"/>
          <w:szCs w:val="26"/>
        </w:rPr>
      </w:pPr>
    </w:p>
    <w:p w:rsidRPr="00A9623C" w:rsidR="001E229D" w:rsidP="001E229D" w:rsidRDefault="001E229D" w14:paraId="09C4CF27" w14:textId="77777777">
      <w:pPr>
        <w:pStyle w:val="standard0"/>
        <w:ind w:firstLine="0"/>
        <w:rPr>
          <w:rFonts w:ascii="Book Antiqua" w:hAnsi="Book Antiqua"/>
        </w:rPr>
      </w:pPr>
      <w:r w:rsidRPr="00A9623C">
        <w:rPr>
          <w:rFonts w:ascii="Book Antiqua" w:hAnsi="Book Antiqua"/>
        </w:rPr>
        <w:t>SECTION II.</w:t>
      </w:r>
      <w:r w:rsidRPr="00A9623C">
        <w:rPr>
          <w:rFonts w:ascii="Book Antiqua" w:hAnsi="Book Antiqua"/>
        </w:rPr>
        <w:tab/>
        <w:t>SERVICE AREA.</w:t>
      </w:r>
    </w:p>
    <w:p w:rsidRPr="00A9623C" w:rsidR="001E229D" w:rsidP="001E229D" w:rsidRDefault="001E229D" w14:paraId="5E4BC59C" w14:textId="77777777">
      <w:pPr>
        <w:pStyle w:val="standard0"/>
        <w:rPr>
          <w:rFonts w:ascii="Book Antiqua" w:hAnsi="Book Antiqua"/>
        </w:rPr>
      </w:pPr>
    </w:p>
    <w:p w:rsidRPr="00A9623C" w:rsidR="001E229D" w:rsidP="006051A9" w:rsidRDefault="006051A9" w14:paraId="1BE8E597" w14:textId="6A061FA4">
      <w:pPr>
        <w:pStyle w:val="standard0"/>
        <w:numPr>
          <w:ilvl w:val="0"/>
          <w:numId w:val="35"/>
        </w:numPr>
        <w:rPr>
          <w:rFonts w:ascii="Book Antiqua" w:hAnsi="Book Antiqua"/>
        </w:rPr>
      </w:pPr>
      <w:r w:rsidRPr="00A9623C">
        <w:rPr>
          <w:rFonts w:ascii="Book Antiqua" w:hAnsi="Book Antiqua"/>
        </w:rPr>
        <w:t>All points within the geographical limits of the following cities or communities located in Humboldt County:</w:t>
      </w:r>
      <w:r w:rsidRPr="00A9623C" w:rsidR="001E229D">
        <w:rPr>
          <w:rFonts w:ascii="Book Antiqua" w:hAnsi="Book Antiqua"/>
        </w:rPr>
        <w:t xml:space="preserve"> </w:t>
      </w:r>
    </w:p>
    <w:p w:rsidR="006051A9" w:rsidP="006051A9" w:rsidRDefault="006051A9" w14:paraId="35B7DF81" w14:textId="26EBF453">
      <w:pPr>
        <w:pStyle w:val="standard0"/>
        <w:ind w:left="1440" w:firstLine="0"/>
        <w:rPr>
          <w:rFonts w:ascii="Book Antiqua" w:hAnsi="Book Antiqua"/>
        </w:rPr>
      </w:pPr>
      <w:r w:rsidRPr="00A9623C">
        <w:rPr>
          <w:rFonts w:ascii="Book Antiqua" w:hAnsi="Book Antiqua"/>
        </w:rPr>
        <w:t>Eureka, Arcata, and McKinleyville</w:t>
      </w:r>
    </w:p>
    <w:p w:rsidRPr="00A9623C" w:rsidR="00F64A19" w:rsidP="006051A9" w:rsidRDefault="00F64A19" w14:paraId="12522FFB" w14:textId="77777777">
      <w:pPr>
        <w:pStyle w:val="standard0"/>
        <w:ind w:left="1440" w:firstLine="0"/>
        <w:rPr>
          <w:rFonts w:ascii="Book Antiqua" w:hAnsi="Book Antiqua"/>
        </w:rPr>
      </w:pPr>
    </w:p>
    <w:p w:rsidRPr="00A9623C" w:rsidR="001E229D" w:rsidP="001E229D" w:rsidRDefault="001E229D" w14:paraId="50BC8541" w14:textId="7E90A466">
      <w:pPr>
        <w:pStyle w:val="standard0"/>
        <w:rPr>
          <w:rFonts w:ascii="Book Antiqua" w:hAnsi="Book Antiqua"/>
        </w:rPr>
      </w:pPr>
      <w:r w:rsidRPr="00A9623C">
        <w:rPr>
          <w:rFonts w:ascii="Book Antiqua" w:hAnsi="Book Antiqua"/>
        </w:rPr>
        <w:t xml:space="preserve">B) </w:t>
      </w:r>
      <w:r w:rsidRPr="00A9623C">
        <w:rPr>
          <w:rFonts w:ascii="Book Antiqua" w:hAnsi="Book Antiqua"/>
        </w:rPr>
        <w:tab/>
      </w:r>
      <w:r w:rsidRPr="00A9623C" w:rsidR="00A550B6">
        <w:rPr>
          <w:rFonts w:ascii="Book Antiqua" w:hAnsi="Book Antiqua"/>
        </w:rPr>
        <w:t>Eureka-Arcata Airport</w:t>
      </w:r>
    </w:p>
    <w:p w:rsidRPr="00A9623C" w:rsidR="001E229D" w:rsidP="001E229D" w:rsidRDefault="001E229D" w14:paraId="6B50FFAE" w14:textId="77777777">
      <w:pPr>
        <w:pStyle w:val="standard0"/>
        <w:rPr>
          <w:rFonts w:ascii="Book Antiqua" w:hAnsi="Book Antiqua"/>
        </w:rPr>
      </w:pPr>
    </w:p>
    <w:p w:rsidRPr="00A9623C" w:rsidR="001E229D" w:rsidP="001E229D" w:rsidRDefault="001E229D" w14:paraId="1D6D93B9" w14:textId="77777777">
      <w:pPr>
        <w:pStyle w:val="standard0"/>
        <w:rPr>
          <w:rFonts w:ascii="Book Antiqua" w:hAnsi="Book Antiqua"/>
        </w:rPr>
      </w:pPr>
    </w:p>
    <w:p w:rsidRPr="00A9623C" w:rsidR="001E229D" w:rsidP="001E229D" w:rsidRDefault="001E229D" w14:paraId="0FC8EE10" w14:textId="77777777">
      <w:pPr>
        <w:pStyle w:val="standard0"/>
        <w:ind w:firstLine="0"/>
        <w:rPr>
          <w:rFonts w:ascii="Book Antiqua" w:hAnsi="Book Antiqua"/>
        </w:rPr>
      </w:pPr>
      <w:r w:rsidRPr="00A9623C">
        <w:rPr>
          <w:rFonts w:ascii="Book Antiqua" w:hAnsi="Book Antiqua"/>
        </w:rPr>
        <w:t>SECTION III.  ROUTE DESCRIPTIONS</w:t>
      </w:r>
    </w:p>
    <w:p w:rsidRPr="00A9623C" w:rsidR="001E229D" w:rsidP="001E229D" w:rsidRDefault="001E229D" w14:paraId="2A6184BA" w14:textId="77777777">
      <w:pPr>
        <w:pStyle w:val="standard0"/>
        <w:rPr>
          <w:rFonts w:ascii="Book Antiqua" w:hAnsi="Book Antiqua"/>
        </w:rPr>
      </w:pPr>
    </w:p>
    <w:p w:rsidRPr="00FE5BF6" w:rsidR="00603FC7" w:rsidP="00FE5BF6" w:rsidRDefault="001E229D" w14:paraId="087C655B" w14:textId="3C792B6A">
      <w:pPr>
        <w:pStyle w:val="standard0"/>
        <w:rPr>
          <w:rFonts w:ascii="Book Antiqua" w:hAnsi="Book Antiqua"/>
        </w:rPr>
      </w:pPr>
      <w:r w:rsidRPr="00A9623C">
        <w:rPr>
          <w:rFonts w:ascii="Book Antiqua" w:hAnsi="Book Antiqua"/>
        </w:rPr>
        <w:t xml:space="preserve">Commencing from any point described in Section IIA, then over the most convenient streets and highways to </w:t>
      </w:r>
      <w:r w:rsidRPr="00A9623C" w:rsidR="00A550B6">
        <w:rPr>
          <w:rFonts w:ascii="Book Antiqua" w:hAnsi="Book Antiqua"/>
        </w:rPr>
        <w:t>the Eureka-Arcata Airport</w:t>
      </w:r>
      <w:r w:rsidRPr="00A9623C">
        <w:rPr>
          <w:rFonts w:ascii="Book Antiqua" w:hAnsi="Book Antiqua"/>
        </w:rPr>
        <w:t xml:space="preserve">. </w:t>
      </w:r>
    </w:p>
    <w:sectPr w:rsidRPr="00FE5BF6" w:rsidR="00603FC7" w:rsidSect="00C04CA7">
      <w:headerReference w:type="first" r:id="rId18"/>
      <w:footerReference w:type="first" r:id="rId19"/>
      <w:pgSz w:w="12240" w:h="15840"/>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C1616" w14:textId="77777777" w:rsidR="00F42576" w:rsidRDefault="00F42576" w:rsidP="0098138E">
      <w:pPr>
        <w:spacing w:line="240" w:lineRule="auto"/>
      </w:pPr>
      <w:r>
        <w:separator/>
      </w:r>
    </w:p>
  </w:endnote>
  <w:endnote w:type="continuationSeparator" w:id="0">
    <w:p w14:paraId="2D3B9D70" w14:textId="77777777" w:rsidR="00F42576" w:rsidRDefault="00F42576" w:rsidP="0098138E">
      <w:pPr>
        <w:spacing w:line="240" w:lineRule="auto"/>
      </w:pPr>
      <w:r>
        <w:continuationSeparator/>
      </w:r>
    </w:p>
  </w:endnote>
  <w:endnote w:type="continuationNotice" w:id="1">
    <w:p w14:paraId="0104D59F" w14:textId="77777777" w:rsidR="00F42576" w:rsidRDefault="00F425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09D0" w14:textId="77777777" w:rsidR="00356BD6" w:rsidRDefault="00356BD6">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BA19C67" w14:textId="285C1C37" w:rsidR="00A64BAE" w:rsidRPr="008B155E" w:rsidRDefault="00A64BAE" w:rsidP="0058506F">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7EB3" w14:textId="6E80E774" w:rsidR="001F5266" w:rsidRDefault="00E80CB5" w:rsidP="008801FE">
    <w:pPr>
      <w:pStyle w:val="Footer"/>
      <w:ind w:firstLine="0"/>
      <w:rPr>
        <w:sz w:val="18"/>
        <w:szCs w:val="18"/>
      </w:rPr>
    </w:pPr>
    <w:r w:rsidRPr="00E80CB5">
      <w:rPr>
        <w:sz w:val="18"/>
        <w:szCs w:val="18"/>
      </w:rPr>
      <w:t>609452508</w:t>
    </w:r>
  </w:p>
  <w:p w14:paraId="43684818" w14:textId="5D4F7C25" w:rsidR="00356BD6" w:rsidRPr="008801FE" w:rsidRDefault="00356BD6" w:rsidP="008801FE">
    <w:pPr>
      <w:pStyle w:val="Footer"/>
      <w:ind w:firstLine="0"/>
    </w:pPr>
    <w:r>
      <w:tab/>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4497C" w14:textId="77777777" w:rsidR="00BA2277" w:rsidRDefault="00BA2277" w:rsidP="00BA2277">
    <w:pPr>
      <w:pStyle w:val="Footer"/>
      <w:ind w:left="1440" w:firstLine="0"/>
    </w:pPr>
    <w:r>
      <w:t>Issued by California Public Utilities Commission.</w:t>
    </w:r>
  </w:p>
  <w:p w14:paraId="66C6E201" w14:textId="4B3EF1A9" w:rsidR="005A4C8A" w:rsidRPr="008B155E" w:rsidRDefault="00BA2277" w:rsidP="005413CC">
    <w:pPr>
      <w:pStyle w:val="Footer"/>
      <w:ind w:left="1440" w:firstLine="0"/>
    </w:pPr>
    <w:r>
      <w:t xml:space="preserve">Decision </w:t>
    </w:r>
    <w:r w:rsidR="005413CC">
      <w:t>26-06-040</w:t>
    </w:r>
    <w:r>
      <w:t xml:space="preserve">, Application </w:t>
    </w:r>
    <w:r w:rsidR="00371F50">
      <w:t>25-11-012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5C75" w14:textId="64855042" w:rsidR="00E80CB5" w:rsidRPr="008801FE" w:rsidRDefault="00E80CB5" w:rsidP="008801F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CB2FE" w14:textId="77777777" w:rsidR="00F42576" w:rsidRDefault="00F42576" w:rsidP="00DF58E7">
      <w:pPr>
        <w:spacing w:line="240" w:lineRule="auto"/>
        <w:ind w:firstLine="0"/>
      </w:pPr>
      <w:r>
        <w:separator/>
      </w:r>
    </w:p>
  </w:footnote>
  <w:footnote w:type="continuationSeparator" w:id="0">
    <w:p w14:paraId="17379B62" w14:textId="77777777" w:rsidR="00F42576" w:rsidRDefault="00F42576" w:rsidP="00DF58E7">
      <w:pPr>
        <w:spacing w:line="240" w:lineRule="auto"/>
        <w:ind w:firstLine="0"/>
      </w:pPr>
      <w:r>
        <w:continuationSeparator/>
      </w:r>
    </w:p>
  </w:footnote>
  <w:footnote w:type="continuationNotice" w:id="1">
    <w:p w14:paraId="763BE7DA" w14:textId="77777777" w:rsidR="00F42576" w:rsidRPr="00DF58E7" w:rsidRDefault="00F42576"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70D06D9C" w14:textId="0D4F0A48" w:rsidR="00040ED2" w:rsidRDefault="00040ED2">
      <w:pPr>
        <w:pStyle w:val="FootnoteText"/>
      </w:pPr>
      <w:r>
        <w:rPr>
          <w:rStyle w:val="FootnoteReference"/>
        </w:rPr>
        <w:footnoteRef/>
      </w:r>
      <w:r>
        <w:t xml:space="preserve"> </w:t>
      </w:r>
      <w:r w:rsidR="00155129" w:rsidRPr="00155129">
        <w:rPr>
          <w:i/>
          <w:iCs/>
        </w:rPr>
        <w:t>See</w:t>
      </w:r>
      <w:r w:rsidR="00155129">
        <w:t xml:space="preserve"> </w:t>
      </w:r>
      <w:r>
        <w:t>Application at Exhibit A</w:t>
      </w:r>
      <w:r w:rsidR="004C69D8">
        <w:t xml:space="preserve"> available at </w:t>
      </w:r>
      <w:hyperlink r:id="rId1" w:history="1">
        <w:r w:rsidR="004C69D8" w:rsidRPr="00CB790A">
          <w:rPr>
            <w:rStyle w:val="Hyperlink"/>
          </w:rPr>
          <w:t>https://docs.cpuc.ca.gov/PublishedDocs/Efile/G000/M591/K827/591827615.PDF</w:t>
        </w:r>
      </w:hyperlink>
      <w:r w:rsidR="004C69D8">
        <w:t>.</w:t>
      </w:r>
    </w:p>
  </w:footnote>
  <w:footnote w:id="3">
    <w:p w14:paraId="2615A586" w14:textId="0293CAF9" w:rsidR="00C75E50" w:rsidRDefault="00C75E50">
      <w:pPr>
        <w:pStyle w:val="FootnoteText"/>
      </w:pPr>
      <w:r>
        <w:rPr>
          <w:rStyle w:val="FootnoteReference"/>
        </w:rPr>
        <w:footnoteRef/>
      </w:r>
      <w:r>
        <w:t xml:space="preserve"> </w:t>
      </w:r>
      <w:r w:rsidR="00036F85">
        <w:t>An Order Correcting Om</w:t>
      </w:r>
      <w:r w:rsidR="005015DC">
        <w:t xml:space="preserve">ission </w:t>
      </w:r>
      <w:r w:rsidR="00AF37B1">
        <w:t>for Decision 99-01-002</w:t>
      </w:r>
      <w:r w:rsidR="006F3C40">
        <w:t xml:space="preserve"> was made through issuance of </w:t>
      </w:r>
      <w:r w:rsidR="006F3C40">
        <w:rPr>
          <w:color w:val="000000" w:themeColor="text1"/>
        </w:rPr>
        <w:t>Decision 99-06-028.</w:t>
      </w:r>
    </w:p>
  </w:footnote>
  <w:footnote w:id="4">
    <w:p w14:paraId="6202DAA2" w14:textId="3E387D20" w:rsidR="00330499" w:rsidRDefault="00330499">
      <w:pPr>
        <w:pStyle w:val="FootnoteText"/>
      </w:pPr>
      <w:r>
        <w:rPr>
          <w:rStyle w:val="FootnoteReference"/>
        </w:rPr>
        <w:footnoteRef/>
      </w:r>
      <w:r>
        <w:t xml:space="preserve"> </w:t>
      </w:r>
      <w:r w:rsidR="00EB24ED" w:rsidRPr="00EB24ED">
        <w:rPr>
          <w:i/>
          <w:iCs/>
        </w:rPr>
        <w:t>See</w:t>
      </w:r>
      <w:r w:rsidR="00EB24ED">
        <w:t xml:space="preserve"> </w:t>
      </w:r>
      <w:r>
        <w:t xml:space="preserve">Application, Section </w:t>
      </w:r>
      <w:r w:rsidR="00DE0CF8">
        <w:t>III at 3.</w:t>
      </w:r>
    </w:p>
  </w:footnote>
  <w:footnote w:id="5">
    <w:p w14:paraId="31316047" w14:textId="79F7E25F" w:rsidR="00682D9B" w:rsidRDefault="00682D9B">
      <w:pPr>
        <w:pStyle w:val="FootnoteText"/>
      </w:pPr>
      <w:r>
        <w:rPr>
          <w:rStyle w:val="FootnoteReference"/>
        </w:rPr>
        <w:footnoteRef/>
      </w:r>
      <w:r>
        <w:t xml:space="preserve"> </w:t>
      </w:r>
      <w:r w:rsidRPr="00EB24ED">
        <w:rPr>
          <w:i/>
          <w:iCs/>
        </w:rPr>
        <w:t>See</w:t>
      </w:r>
      <w:r>
        <w:t xml:space="preserve"> Application at Exhibit E.</w:t>
      </w:r>
    </w:p>
  </w:footnote>
  <w:footnote w:id="6">
    <w:p w14:paraId="294A2919" w14:textId="26CD2E8E" w:rsidR="003222F3" w:rsidRDefault="003222F3">
      <w:pPr>
        <w:pStyle w:val="FootnoteText"/>
      </w:pPr>
      <w:r>
        <w:rPr>
          <w:rStyle w:val="FootnoteReference"/>
        </w:rPr>
        <w:footnoteRef/>
      </w:r>
      <w:r>
        <w:t xml:space="preserve"> </w:t>
      </w:r>
      <w:r w:rsidR="00320BC8">
        <w:rPr>
          <w:i/>
          <w:iCs/>
        </w:rPr>
        <w:t>Ibid.</w:t>
      </w:r>
    </w:p>
  </w:footnote>
  <w:footnote w:id="7">
    <w:p w14:paraId="106869AC" w14:textId="3BDB142F" w:rsidR="005A0AEE" w:rsidRDefault="005A0AEE">
      <w:pPr>
        <w:pStyle w:val="FootnoteText"/>
      </w:pPr>
      <w:r>
        <w:rPr>
          <w:rStyle w:val="FootnoteReference"/>
        </w:rPr>
        <w:footnoteRef/>
      </w:r>
      <w:r>
        <w:t xml:space="preserve"> </w:t>
      </w:r>
      <w:r w:rsidR="00EB24ED" w:rsidRPr="00EB24ED">
        <w:rPr>
          <w:i/>
          <w:iCs/>
        </w:rPr>
        <w:t>See</w:t>
      </w:r>
      <w:r w:rsidR="00EB24ED">
        <w:t xml:space="preserve"> </w:t>
      </w:r>
      <w:r>
        <w:t>Application</w:t>
      </w:r>
      <w:r w:rsidR="00DE0CF8">
        <w:t xml:space="preserve">, </w:t>
      </w:r>
      <w:r>
        <w:t>Section VIII 4.</w:t>
      </w:r>
    </w:p>
  </w:footnote>
  <w:footnote w:id="8">
    <w:p w14:paraId="7851CB89" w14:textId="16F0B13E" w:rsidR="00D23C1D" w:rsidRDefault="00D23C1D">
      <w:pPr>
        <w:pStyle w:val="FootnoteText"/>
      </w:pPr>
      <w:r>
        <w:rPr>
          <w:rStyle w:val="FootnoteReference"/>
        </w:rPr>
        <w:footnoteRef/>
      </w:r>
      <w:r>
        <w:t xml:space="preserve"> </w:t>
      </w:r>
      <w:r w:rsidR="00EB24ED" w:rsidRPr="00EB24ED">
        <w:rPr>
          <w:i/>
          <w:iCs/>
        </w:rPr>
        <w:t>See</w:t>
      </w:r>
      <w:r w:rsidR="00EB24ED">
        <w:t xml:space="preserve"> </w:t>
      </w:r>
      <w:r>
        <w:t>Application at Exhibit D.</w:t>
      </w:r>
    </w:p>
  </w:footnote>
  <w:footnote w:id="9">
    <w:p w14:paraId="4E42074D" w14:textId="77777777" w:rsidR="0017733A" w:rsidRDefault="0017733A" w:rsidP="0017733A">
      <w:pPr>
        <w:pStyle w:val="FootnoteText"/>
        <w:jc w:val="both"/>
      </w:pPr>
      <w:r>
        <w:rPr>
          <w:rStyle w:val="FootnoteReference"/>
        </w:rPr>
        <w:footnoteRef/>
      </w:r>
      <w:r>
        <w:t xml:space="preserve"> </w:t>
      </w:r>
      <w:r w:rsidRPr="00F27382">
        <w:t>Pub. Util. Code § 1032(b)(1) states in relevant part: “Before a certificate is issued or transferred, the commission shall require the applicant to establish reasonable fitness and financial responsibility to initiate and conduct, or continue to conduct, the proposed or existing transportation services.”</w:t>
      </w:r>
    </w:p>
  </w:footnote>
  <w:footnote w:id="10">
    <w:p w14:paraId="429676D2" w14:textId="2E34D49D" w:rsidR="00B66B90" w:rsidRPr="00CD6D9D" w:rsidRDefault="00B66B90" w:rsidP="008218C4">
      <w:pPr>
        <w:pStyle w:val="FootnoteText"/>
        <w:jc w:val="both"/>
        <w:rPr>
          <w:lang w:val="en-ZW"/>
        </w:rPr>
      </w:pPr>
      <w:r>
        <w:rPr>
          <w:rStyle w:val="FootnoteReference"/>
        </w:rPr>
        <w:footnoteRef/>
      </w:r>
      <w:r>
        <w:t xml:space="preserve"> </w:t>
      </w:r>
      <w:r w:rsidRPr="005F0AAB">
        <w:t>California Public Utilities Commission Environmental &amp; Social Justice Action Plan</w:t>
      </w:r>
      <w:r>
        <w:t>,</w:t>
      </w:r>
      <w:r w:rsidR="008218C4">
        <w:t xml:space="preserve"> </w:t>
      </w:r>
      <w:r w:rsidRPr="005F0AAB">
        <w:t>Version</w:t>
      </w:r>
      <w:r>
        <w:t> </w:t>
      </w:r>
      <w:r w:rsidRPr="005F0AAB">
        <w:t>2.0</w:t>
      </w:r>
      <w:r>
        <w:t>,</w:t>
      </w:r>
      <w:r w:rsidRPr="005F0AAB">
        <w:t xml:space="preserve"> April 7, 2022</w:t>
      </w:r>
      <w:r>
        <w:t xml:space="preserve"> at</w:t>
      </w:r>
      <w:r w:rsidRPr="005F0AAB">
        <w:t xml:space="preserve"> 2.</w:t>
      </w:r>
    </w:p>
  </w:footnote>
  <w:footnote w:id="11">
    <w:p w14:paraId="2C891264" w14:textId="77777777" w:rsidR="002C1082" w:rsidRDefault="002C1082" w:rsidP="002C1082">
      <w:pPr>
        <w:pStyle w:val="FootnoteText"/>
        <w:jc w:val="both"/>
        <w:rPr>
          <w:lang w:val="en-ZW"/>
        </w:rPr>
      </w:pPr>
      <w:r w:rsidRPr="3CA0EB26">
        <w:rPr>
          <w:rStyle w:val="FootnoteReference"/>
        </w:rPr>
        <w:footnoteRef/>
      </w:r>
      <w:r>
        <w:t xml:space="preserve"> The Action Plan focuses on the following ESJ communities: (a) Disadvantaged Communities, defined as census tracts that score in the top 25% of </w:t>
      </w:r>
      <w:proofErr w:type="spellStart"/>
      <w:r>
        <w:t>CalEnviroScreen</w:t>
      </w:r>
      <w:proofErr w:type="spellEnd"/>
      <w:r>
        <w:t xml:space="preserve"> 3.0, along with those that score within the highest 5% of </w:t>
      </w:r>
      <w:proofErr w:type="spellStart"/>
      <w:r>
        <w:t>CalEnviroScreen</w:t>
      </w:r>
      <w:proofErr w:type="spellEnd"/>
      <w:r>
        <w:t xml:space="preserve"> 3.0's Pollution Burden but do not receive an overall </w:t>
      </w:r>
      <w:proofErr w:type="spellStart"/>
      <w:r>
        <w:t>CalEnviroScreen</w:t>
      </w:r>
      <w:proofErr w:type="spellEnd"/>
      <w:r>
        <w:t xml:space="preserve"> score; (b) Tribal Lands; (c) Low-income households (</w:t>
      </w:r>
      <w:r w:rsidRPr="3CA0EB26">
        <w:rPr>
          <w:i/>
          <w:iCs/>
        </w:rPr>
        <w:t>i.e</w:t>
      </w:r>
      <w:r>
        <w:t>., households with incomes below 80% of the area median income); and (d) Low-income census tracts (</w:t>
      </w:r>
      <w:r w:rsidRPr="3CA0EB26">
        <w:rPr>
          <w:i/>
          <w:iCs/>
        </w:rPr>
        <w:t>i.e</w:t>
      </w:r>
      <w:r>
        <w:t>., census tracts where aggregated household incomes are less than 80% of area or state median income).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F3C5" w14:textId="47770178" w:rsidR="001F5266" w:rsidRDefault="005178C1" w:rsidP="001F5266">
    <w:pPr>
      <w:pStyle w:val="Header"/>
      <w:ind w:firstLine="0"/>
    </w:pPr>
    <w:r>
      <w:t>A</w:t>
    </w:r>
    <w:r w:rsidR="009E6905">
      <w:t>.25-11-012</w:t>
    </w:r>
    <w:r w:rsidR="001F5266">
      <w:t xml:space="preserve"> CPED/</w:t>
    </w:r>
    <w:r w:rsidR="7747DC77">
      <w:t>TCU</w:t>
    </w:r>
    <w:r w:rsidR="001F5266">
      <w:t>/</w:t>
    </w:r>
    <w:r w:rsidR="009E6905">
      <w:t>CN1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747DC77" w14:paraId="0148DF2E" w14:textId="77777777" w:rsidTr="002676D4">
      <w:trPr>
        <w:trHeight w:val="300"/>
      </w:trPr>
      <w:tc>
        <w:tcPr>
          <w:tcW w:w="3120" w:type="dxa"/>
        </w:tcPr>
        <w:p w14:paraId="198CFDF0" w14:textId="266D577E" w:rsidR="7747DC77" w:rsidRDefault="7747DC77" w:rsidP="002676D4">
          <w:pPr>
            <w:pStyle w:val="Header"/>
            <w:ind w:left="-115"/>
          </w:pPr>
        </w:p>
      </w:tc>
      <w:tc>
        <w:tcPr>
          <w:tcW w:w="3120" w:type="dxa"/>
        </w:tcPr>
        <w:p w14:paraId="46439ACB" w14:textId="13F715A0" w:rsidR="7747DC77" w:rsidRDefault="7747DC77" w:rsidP="002676D4">
          <w:pPr>
            <w:pStyle w:val="Header"/>
            <w:jc w:val="center"/>
          </w:pPr>
        </w:p>
      </w:tc>
      <w:tc>
        <w:tcPr>
          <w:tcW w:w="3120" w:type="dxa"/>
        </w:tcPr>
        <w:p w14:paraId="49DD84A3" w14:textId="3CCDC1FD" w:rsidR="7747DC77" w:rsidRDefault="7747DC77" w:rsidP="002676D4">
          <w:pPr>
            <w:pStyle w:val="Header"/>
            <w:ind w:right="-115"/>
            <w:jc w:val="right"/>
          </w:pPr>
        </w:p>
      </w:tc>
    </w:tr>
  </w:tbl>
  <w:p w14:paraId="78B7BC83" w14:textId="33F2139D" w:rsidR="0025528A" w:rsidRDefault="0025528A" w:rsidP="002552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D93D" w14:textId="32C22A03" w:rsidR="00CE352A" w:rsidRPr="00B3087D" w:rsidRDefault="00CE352A" w:rsidP="00CE352A">
    <w:pPr>
      <w:pStyle w:val="Header"/>
      <w:tabs>
        <w:tab w:val="clear" w:pos="4680"/>
        <w:tab w:val="clear" w:pos="9360"/>
        <w:tab w:val="left" w:pos="7404"/>
      </w:tabs>
      <w:ind w:firstLine="0"/>
      <w:rPr>
        <w:i/>
        <w:color w:val="FF0000"/>
      </w:rPr>
    </w:pPr>
    <w:r>
      <w:rPr>
        <w:i/>
        <w:color w:val="FF0000"/>
      </w:rPr>
      <w:tab/>
    </w:r>
  </w:p>
  <w:p w14:paraId="0BFAE224" w14:textId="77777777" w:rsidR="00CE352A" w:rsidRPr="00B3087D" w:rsidRDefault="00CE352A" w:rsidP="006F6525">
    <w:pPr>
      <w:pStyle w:val="Header"/>
      <w:tabs>
        <w:tab w:val="clear" w:pos="4680"/>
      </w:tabs>
      <w:ind w:firstLine="0"/>
      <w:rPr>
        <w:i/>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9071" w14:textId="18655D29" w:rsidR="0025528A" w:rsidRDefault="00247A47" w:rsidP="004F4E5A">
    <w:pPr>
      <w:pStyle w:val="Header"/>
      <w:ind w:firstLine="0"/>
    </w:pPr>
    <w:r>
      <w:t>Appendix PSC</w:t>
    </w:r>
    <w:r w:rsidR="001D2106">
      <w:t>-50477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AC3F" w14:textId="02C8BF6F" w:rsidR="00247A47" w:rsidRDefault="00247A47" w:rsidP="004F4E5A">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E3020"/>
    <w:multiLevelType w:val="multilevel"/>
    <w:tmpl w:val="D80E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3B381E"/>
    <w:multiLevelType w:val="singleLevel"/>
    <w:tmpl w:val="2FB6A734"/>
    <w:lvl w:ilvl="0">
      <w:start w:val="1"/>
      <w:numFmt w:val="decimal"/>
      <w:lvlText w:val="%1."/>
      <w:legacy w:legacy="1" w:legacySpace="144" w:legacyIndent="0"/>
      <w:lvlJc w:val="left"/>
    </w:lvl>
  </w:abstractNum>
  <w:abstractNum w:abstractNumId="3"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 w15:restartNumberingAfterBreak="0">
    <w:nsid w:val="15F056CB"/>
    <w:multiLevelType w:val="multilevel"/>
    <w:tmpl w:val="18F4A5AC"/>
    <w:numStyleLink w:val="FoFCoLOP"/>
  </w:abstractNum>
  <w:abstractNum w:abstractNumId="5" w15:restartNumberingAfterBreak="0">
    <w:nsid w:val="1B7939CB"/>
    <w:multiLevelType w:val="hybridMultilevel"/>
    <w:tmpl w:val="BB1EE016"/>
    <w:lvl w:ilvl="0" w:tplc="4A96E972">
      <w:start w:val="6"/>
      <w:numFmt w:val="lowerLetter"/>
      <w:pStyle w:val="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E2242C9"/>
    <w:multiLevelType w:val="multilevel"/>
    <w:tmpl w:val="ECB8CCE8"/>
    <w:numStyleLink w:val="Headings"/>
  </w:abstractNum>
  <w:abstractNum w:abstractNumId="7" w15:restartNumberingAfterBreak="0">
    <w:nsid w:val="20132EB2"/>
    <w:multiLevelType w:val="hybridMultilevel"/>
    <w:tmpl w:val="22903CDA"/>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0411979"/>
    <w:multiLevelType w:val="hybridMultilevel"/>
    <w:tmpl w:val="487AF37A"/>
    <w:lvl w:ilvl="0" w:tplc="B214413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EBAB95"/>
    <w:multiLevelType w:val="hybridMultilevel"/>
    <w:tmpl w:val="C33EA4DE"/>
    <w:lvl w:ilvl="0" w:tplc="8A986538">
      <w:start w:val="1"/>
      <w:numFmt w:val="decimal"/>
      <w:lvlText w:val="%1."/>
      <w:lvlJc w:val="left"/>
      <w:pPr>
        <w:ind w:left="720" w:hanging="360"/>
      </w:pPr>
    </w:lvl>
    <w:lvl w:ilvl="1" w:tplc="A68E0B9A">
      <w:start w:val="1"/>
      <w:numFmt w:val="lowerLetter"/>
      <w:lvlText w:val="%2."/>
      <w:lvlJc w:val="left"/>
      <w:pPr>
        <w:ind w:left="1440" w:hanging="360"/>
      </w:pPr>
    </w:lvl>
    <w:lvl w:ilvl="2" w:tplc="95322472">
      <w:start w:val="1"/>
      <w:numFmt w:val="lowerRoman"/>
      <w:lvlText w:val="%3."/>
      <w:lvlJc w:val="right"/>
      <w:pPr>
        <w:ind w:left="2160" w:hanging="180"/>
      </w:pPr>
    </w:lvl>
    <w:lvl w:ilvl="3" w:tplc="93B4CE34">
      <w:start w:val="1"/>
      <w:numFmt w:val="decimal"/>
      <w:lvlText w:val="%4."/>
      <w:lvlJc w:val="left"/>
      <w:pPr>
        <w:ind w:left="2880" w:hanging="360"/>
      </w:pPr>
    </w:lvl>
    <w:lvl w:ilvl="4" w:tplc="50A6640C">
      <w:start w:val="1"/>
      <w:numFmt w:val="lowerLetter"/>
      <w:lvlText w:val="%5."/>
      <w:lvlJc w:val="left"/>
      <w:pPr>
        <w:ind w:left="3600" w:hanging="360"/>
      </w:pPr>
    </w:lvl>
    <w:lvl w:ilvl="5" w:tplc="887C8A2C">
      <w:start w:val="1"/>
      <w:numFmt w:val="lowerRoman"/>
      <w:lvlText w:val="%6."/>
      <w:lvlJc w:val="right"/>
      <w:pPr>
        <w:ind w:left="4320" w:hanging="180"/>
      </w:pPr>
    </w:lvl>
    <w:lvl w:ilvl="6" w:tplc="61CAEDA8">
      <w:start w:val="1"/>
      <w:numFmt w:val="decimal"/>
      <w:lvlText w:val="%7."/>
      <w:lvlJc w:val="left"/>
      <w:pPr>
        <w:ind w:left="5040" w:hanging="360"/>
      </w:pPr>
    </w:lvl>
    <w:lvl w:ilvl="7" w:tplc="E7FAFC9E">
      <w:start w:val="1"/>
      <w:numFmt w:val="lowerLetter"/>
      <w:lvlText w:val="%8."/>
      <w:lvlJc w:val="left"/>
      <w:pPr>
        <w:ind w:left="5760" w:hanging="360"/>
      </w:pPr>
    </w:lvl>
    <w:lvl w:ilvl="8" w:tplc="E8F483E8">
      <w:start w:val="1"/>
      <w:numFmt w:val="lowerRoman"/>
      <w:lvlText w:val="%9."/>
      <w:lvlJc w:val="right"/>
      <w:pPr>
        <w:ind w:left="6480" w:hanging="180"/>
      </w:pPr>
    </w:lvl>
  </w:abstractNum>
  <w:abstractNum w:abstractNumId="10" w15:restartNumberingAfterBreak="0">
    <w:nsid w:val="331F6D42"/>
    <w:multiLevelType w:val="multilevel"/>
    <w:tmpl w:val="ECB8CCE8"/>
    <w:styleLink w:val="Headings"/>
    <w:lvl w:ilvl="0">
      <w:start w:val="1"/>
      <w:numFmt w:val="decimal"/>
      <w:pStyle w:val="Heading1"/>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720"/>
        </w:tabs>
        <w:ind w:left="1008" w:hanging="648"/>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440"/>
        </w:tabs>
        <w:ind w:left="1584" w:hanging="864"/>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160"/>
        </w:tabs>
        <w:ind w:left="2160" w:hanging="1080"/>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736" w:hanging="1296"/>
      </w:pPr>
      <w:rPr>
        <w:rFonts w:ascii="Arial" w:hAnsi="Arial" w:hint="default"/>
        <w:b/>
        <w:i w:val="0"/>
        <w:sz w:val="26"/>
      </w:rPr>
    </w:lvl>
    <w:lvl w:ilvl="5">
      <w:start w:val="1"/>
      <w:numFmt w:val="decimal"/>
      <w:pStyle w:val="Heading6"/>
      <w:lvlText w:val="%1.%2.%3.%4.%5.%6."/>
      <w:lvlJc w:val="left"/>
      <w:pPr>
        <w:tabs>
          <w:tab w:val="num" w:pos="3600"/>
        </w:tabs>
        <w:ind w:left="3312" w:hanging="1512"/>
      </w:pPr>
      <w:rPr>
        <w:rFonts w:ascii="Arial" w:hAnsi="Arial" w:hint="default"/>
        <w:b/>
        <w:i w:val="0"/>
        <w:sz w:val="26"/>
      </w:rPr>
    </w:lvl>
    <w:lvl w:ilvl="6">
      <w:start w:val="1"/>
      <w:numFmt w:val="decimal"/>
      <w:lvlText w:val="%1.%2.%3.%4.%5.%6.%7."/>
      <w:lvlJc w:val="left"/>
      <w:pPr>
        <w:tabs>
          <w:tab w:val="num" w:pos="4320"/>
        </w:tabs>
        <w:ind w:left="5760" w:hanging="1440"/>
      </w:pPr>
      <w:rPr>
        <w:rFonts w:ascii="Arial" w:hAnsi="Arial" w:hint="default"/>
        <w:b/>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342A667D"/>
    <w:multiLevelType w:val="hybridMultilevel"/>
    <w:tmpl w:val="B6C8B06A"/>
    <w:lvl w:ilvl="0" w:tplc="4A889CB0">
      <w:start w:val="1"/>
      <w:numFmt w:val="lowerLetter"/>
      <w:lvlText w:val="%1."/>
      <w:lvlJc w:val="left"/>
      <w:pPr>
        <w:tabs>
          <w:tab w:val="num" w:pos="2160"/>
        </w:tabs>
        <w:ind w:left="2160" w:hanging="360"/>
      </w:pPr>
      <w:rPr>
        <w:rFonts w:hint="default"/>
      </w:rPr>
    </w:lvl>
    <w:lvl w:ilvl="1" w:tplc="809090F4">
      <w:start w:val="1"/>
      <w:numFmt w:val="upp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3C386D0E"/>
    <w:multiLevelType w:val="multilevel"/>
    <w:tmpl w:val="066E25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01B460"/>
    <w:multiLevelType w:val="hybridMultilevel"/>
    <w:tmpl w:val="CF8CC518"/>
    <w:lvl w:ilvl="0" w:tplc="C2023E5C">
      <w:start w:val="1"/>
      <w:numFmt w:val="decimal"/>
      <w:lvlText w:val="%1."/>
      <w:lvlJc w:val="left"/>
      <w:pPr>
        <w:ind w:left="720" w:hanging="360"/>
      </w:pPr>
    </w:lvl>
    <w:lvl w:ilvl="1" w:tplc="E1ECBB20">
      <w:start w:val="1"/>
      <w:numFmt w:val="lowerLetter"/>
      <w:lvlText w:val="%2."/>
      <w:lvlJc w:val="left"/>
      <w:pPr>
        <w:ind w:left="1440" w:hanging="360"/>
      </w:pPr>
    </w:lvl>
    <w:lvl w:ilvl="2" w:tplc="3D740BB8">
      <w:start w:val="1"/>
      <w:numFmt w:val="lowerRoman"/>
      <w:lvlText w:val="%3."/>
      <w:lvlJc w:val="right"/>
      <w:pPr>
        <w:ind w:left="2160" w:hanging="180"/>
      </w:pPr>
    </w:lvl>
    <w:lvl w:ilvl="3" w:tplc="FCAC1974">
      <w:start w:val="1"/>
      <w:numFmt w:val="decimal"/>
      <w:lvlText w:val="%4."/>
      <w:lvlJc w:val="left"/>
      <w:pPr>
        <w:ind w:left="2880" w:hanging="360"/>
      </w:pPr>
    </w:lvl>
    <w:lvl w:ilvl="4" w:tplc="B5CCF5BE">
      <w:start w:val="1"/>
      <w:numFmt w:val="lowerLetter"/>
      <w:lvlText w:val="%5."/>
      <w:lvlJc w:val="left"/>
      <w:pPr>
        <w:ind w:left="3600" w:hanging="360"/>
      </w:pPr>
    </w:lvl>
    <w:lvl w:ilvl="5" w:tplc="0CAED58C">
      <w:start w:val="1"/>
      <w:numFmt w:val="lowerRoman"/>
      <w:lvlText w:val="%6."/>
      <w:lvlJc w:val="right"/>
      <w:pPr>
        <w:ind w:left="4320" w:hanging="180"/>
      </w:pPr>
    </w:lvl>
    <w:lvl w:ilvl="6" w:tplc="FE3E1D76">
      <w:start w:val="1"/>
      <w:numFmt w:val="decimal"/>
      <w:lvlText w:val="%7."/>
      <w:lvlJc w:val="left"/>
      <w:pPr>
        <w:ind w:left="5040" w:hanging="360"/>
      </w:pPr>
    </w:lvl>
    <w:lvl w:ilvl="7" w:tplc="80548716">
      <w:start w:val="1"/>
      <w:numFmt w:val="lowerLetter"/>
      <w:lvlText w:val="%8."/>
      <w:lvlJc w:val="left"/>
      <w:pPr>
        <w:ind w:left="5760" w:hanging="360"/>
      </w:pPr>
    </w:lvl>
    <w:lvl w:ilvl="8" w:tplc="C3727BFA">
      <w:start w:val="1"/>
      <w:numFmt w:val="lowerRoman"/>
      <w:lvlText w:val="%9."/>
      <w:lvlJc w:val="right"/>
      <w:pPr>
        <w:ind w:left="6480" w:hanging="180"/>
      </w:pPr>
    </w:lvl>
  </w:abstractNum>
  <w:abstractNum w:abstractNumId="14" w15:restartNumberingAfterBreak="0">
    <w:nsid w:val="51736097"/>
    <w:multiLevelType w:val="hybridMultilevel"/>
    <w:tmpl w:val="8868A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1963CC9"/>
    <w:multiLevelType w:val="hybridMultilevel"/>
    <w:tmpl w:val="713EF6F8"/>
    <w:lvl w:ilvl="0" w:tplc="4F02553C">
      <w:start w:val="1"/>
      <w:numFmt w:val="lowerLetter"/>
      <w:lvlText w:val="(%1)"/>
      <w:lvlJc w:val="left"/>
      <w:pPr>
        <w:ind w:left="700" w:hanging="447"/>
      </w:pPr>
      <w:rPr>
        <w:rFonts w:ascii="Verdana" w:eastAsia="Verdana" w:hAnsi="Verdana" w:cs="Verdana" w:hint="default"/>
        <w:b w:val="0"/>
        <w:bCs w:val="0"/>
        <w:i w:val="0"/>
        <w:iCs w:val="0"/>
        <w:spacing w:val="-1"/>
        <w:w w:val="100"/>
        <w:sz w:val="24"/>
        <w:szCs w:val="24"/>
        <w:lang w:val="en-US" w:eastAsia="en-US" w:bidi="ar-SA"/>
      </w:rPr>
    </w:lvl>
    <w:lvl w:ilvl="1" w:tplc="305215DA">
      <w:start w:val="1"/>
      <w:numFmt w:val="decimal"/>
      <w:lvlText w:val="(%2)"/>
      <w:lvlJc w:val="left"/>
      <w:pPr>
        <w:ind w:left="940" w:hanging="455"/>
      </w:pPr>
      <w:rPr>
        <w:rFonts w:ascii="Verdana" w:eastAsia="Verdana" w:hAnsi="Verdana" w:cs="Verdana" w:hint="default"/>
        <w:b w:val="0"/>
        <w:bCs w:val="0"/>
        <w:i w:val="0"/>
        <w:iCs w:val="0"/>
        <w:spacing w:val="-1"/>
        <w:w w:val="100"/>
        <w:sz w:val="24"/>
        <w:szCs w:val="24"/>
        <w:lang w:val="en-US" w:eastAsia="en-US" w:bidi="ar-SA"/>
      </w:rPr>
    </w:lvl>
    <w:lvl w:ilvl="2" w:tplc="8D0EFBFC">
      <w:start w:val="1"/>
      <w:numFmt w:val="lowerLetter"/>
      <w:lvlText w:val="%3."/>
      <w:lvlJc w:val="left"/>
      <w:pPr>
        <w:ind w:left="1665" w:hanging="316"/>
      </w:pPr>
      <w:rPr>
        <w:rFonts w:ascii="Verdana" w:eastAsia="Verdana" w:hAnsi="Verdana" w:cs="Verdana" w:hint="default"/>
        <w:b w:val="0"/>
        <w:bCs w:val="0"/>
        <w:i w:val="0"/>
        <w:iCs w:val="0"/>
        <w:spacing w:val="0"/>
        <w:w w:val="100"/>
        <w:sz w:val="24"/>
        <w:szCs w:val="24"/>
        <w:lang w:val="en-US" w:eastAsia="en-US" w:bidi="ar-SA"/>
      </w:rPr>
    </w:lvl>
    <w:lvl w:ilvl="3" w:tplc="AA16B70C">
      <w:numFmt w:val="bullet"/>
      <w:lvlText w:val="•"/>
      <w:lvlJc w:val="left"/>
      <w:pPr>
        <w:ind w:left="2782" w:hanging="316"/>
      </w:pPr>
      <w:rPr>
        <w:rFonts w:hint="default"/>
        <w:lang w:val="en-US" w:eastAsia="en-US" w:bidi="ar-SA"/>
      </w:rPr>
    </w:lvl>
    <w:lvl w:ilvl="4" w:tplc="BF989FFE">
      <w:numFmt w:val="bullet"/>
      <w:lvlText w:val="•"/>
      <w:lvlJc w:val="left"/>
      <w:pPr>
        <w:ind w:left="3905" w:hanging="316"/>
      </w:pPr>
      <w:rPr>
        <w:rFonts w:hint="default"/>
        <w:lang w:val="en-US" w:eastAsia="en-US" w:bidi="ar-SA"/>
      </w:rPr>
    </w:lvl>
    <w:lvl w:ilvl="5" w:tplc="69A8EE8C">
      <w:numFmt w:val="bullet"/>
      <w:lvlText w:val="•"/>
      <w:lvlJc w:val="left"/>
      <w:pPr>
        <w:ind w:left="5027" w:hanging="316"/>
      </w:pPr>
      <w:rPr>
        <w:rFonts w:hint="default"/>
        <w:lang w:val="en-US" w:eastAsia="en-US" w:bidi="ar-SA"/>
      </w:rPr>
    </w:lvl>
    <w:lvl w:ilvl="6" w:tplc="1B6421BC">
      <w:numFmt w:val="bullet"/>
      <w:lvlText w:val="•"/>
      <w:lvlJc w:val="left"/>
      <w:pPr>
        <w:ind w:left="6150" w:hanging="316"/>
      </w:pPr>
      <w:rPr>
        <w:rFonts w:hint="default"/>
        <w:lang w:val="en-US" w:eastAsia="en-US" w:bidi="ar-SA"/>
      </w:rPr>
    </w:lvl>
    <w:lvl w:ilvl="7" w:tplc="86060412">
      <w:numFmt w:val="bullet"/>
      <w:lvlText w:val="•"/>
      <w:lvlJc w:val="left"/>
      <w:pPr>
        <w:ind w:left="7272" w:hanging="316"/>
      </w:pPr>
      <w:rPr>
        <w:rFonts w:hint="default"/>
        <w:lang w:val="en-US" w:eastAsia="en-US" w:bidi="ar-SA"/>
      </w:rPr>
    </w:lvl>
    <w:lvl w:ilvl="8" w:tplc="8BF83468">
      <w:numFmt w:val="bullet"/>
      <w:lvlText w:val="•"/>
      <w:lvlJc w:val="left"/>
      <w:pPr>
        <w:ind w:left="8395" w:hanging="316"/>
      </w:pPr>
      <w:rPr>
        <w:rFonts w:hint="default"/>
        <w:lang w:val="en-US" w:eastAsia="en-US" w:bidi="ar-SA"/>
      </w:rPr>
    </w:lvl>
  </w:abstractNum>
  <w:abstractNum w:abstractNumId="16" w15:restartNumberingAfterBreak="0">
    <w:nsid w:val="58433C05"/>
    <w:multiLevelType w:val="multilevel"/>
    <w:tmpl w:val="B6068F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D042D7"/>
    <w:multiLevelType w:val="multilevel"/>
    <w:tmpl w:val="18F4A5AC"/>
    <w:numStyleLink w:val="FoFCoLOP"/>
  </w:abstractNum>
  <w:abstractNum w:abstractNumId="18" w15:restartNumberingAfterBreak="0">
    <w:nsid w:val="5A9E2171"/>
    <w:multiLevelType w:val="multilevel"/>
    <w:tmpl w:val="BD4C7B80"/>
    <w:lvl w:ilvl="0">
      <w:start w:val="1"/>
      <w:numFmt w:val="decimal"/>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ind w:left="144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792"/>
        </w:tabs>
        <w:ind w:left="1440" w:hanging="720"/>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3.%2.%1.%4."/>
      <w:lvlJc w:val="left"/>
      <w:pPr>
        <w:ind w:left="1440" w:hanging="720"/>
      </w:pPr>
      <w:rPr>
        <w:rFonts w:ascii="Arial" w:hAnsi="Arial" w:hint="default"/>
        <w:b/>
        <w:i w:val="0"/>
        <w:caps w:val="0"/>
        <w:strike w:val="0"/>
        <w:dstrike w:val="0"/>
        <w:vanish w:val="0"/>
        <w:kern w:val="0"/>
        <w:sz w:val="26"/>
        <w:vertAlign w:val="baseline"/>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D2D4BA2"/>
    <w:multiLevelType w:val="singleLevel"/>
    <w:tmpl w:val="2FB6A734"/>
    <w:lvl w:ilvl="0">
      <w:start w:val="1"/>
      <w:numFmt w:val="decimal"/>
      <w:lvlText w:val="%1."/>
      <w:legacy w:legacy="1" w:legacySpace="144" w:legacyIndent="0"/>
      <w:lvlJc w:val="left"/>
    </w:lvl>
  </w:abstractNum>
  <w:abstractNum w:abstractNumId="20" w15:restartNumberingAfterBreak="0">
    <w:nsid w:val="616953E3"/>
    <w:multiLevelType w:val="singleLevel"/>
    <w:tmpl w:val="2FB6A734"/>
    <w:lvl w:ilvl="0">
      <w:start w:val="1"/>
      <w:numFmt w:val="decimal"/>
      <w:lvlText w:val="%1."/>
      <w:legacy w:legacy="1" w:legacySpace="144" w:legacyIndent="0"/>
      <w:lvlJc w:val="left"/>
    </w:lvl>
  </w:abstractNum>
  <w:abstractNum w:abstractNumId="21" w15:restartNumberingAfterBreak="0">
    <w:nsid w:val="61A25780"/>
    <w:multiLevelType w:val="multilevel"/>
    <w:tmpl w:val="3C526EDE"/>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22" w15:restartNumberingAfterBreak="0">
    <w:nsid w:val="6CB22E56"/>
    <w:multiLevelType w:val="hybridMultilevel"/>
    <w:tmpl w:val="37D69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311234F"/>
    <w:multiLevelType w:val="multilevel"/>
    <w:tmpl w:val="78A6EC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9A0AFE"/>
    <w:multiLevelType w:val="multilevel"/>
    <w:tmpl w:val="18F4A5AC"/>
    <w:numStyleLink w:val="FoFCoLOP"/>
  </w:abstractNum>
  <w:abstractNum w:abstractNumId="26" w15:restartNumberingAfterBreak="0">
    <w:nsid w:val="79340C8E"/>
    <w:multiLevelType w:val="multilevel"/>
    <w:tmpl w:val="B9F682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1C30FD"/>
    <w:multiLevelType w:val="singleLevel"/>
    <w:tmpl w:val="2FB6A734"/>
    <w:lvl w:ilvl="0">
      <w:start w:val="1"/>
      <w:numFmt w:val="decimal"/>
      <w:lvlText w:val="%1."/>
      <w:legacy w:legacy="1" w:legacySpace="144" w:legacyIndent="0"/>
      <w:lvlJc w:val="left"/>
    </w:lvl>
  </w:abstractNum>
  <w:num w:numId="1" w16cid:durableId="320040007">
    <w:abstractNumId w:val="9"/>
  </w:num>
  <w:num w:numId="2" w16cid:durableId="9526316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0670908">
    <w:abstractNumId w:val="3"/>
  </w:num>
  <w:num w:numId="4" w16cid:durableId="802580698">
    <w:abstractNumId w:val="17"/>
  </w:num>
  <w:num w:numId="5" w16cid:durableId="410465738">
    <w:abstractNumId w:val="4"/>
  </w:num>
  <w:num w:numId="6" w16cid:durableId="1692994327">
    <w:abstractNumId w:val="25"/>
  </w:num>
  <w:num w:numId="7" w16cid:durableId="1745837098">
    <w:abstractNumId w:val="10"/>
  </w:num>
  <w:num w:numId="8" w16cid:durableId="420756829">
    <w:abstractNumId w:val="6"/>
  </w:num>
  <w:num w:numId="9" w16cid:durableId="857962543">
    <w:abstractNumId w:val="23"/>
  </w:num>
  <w:num w:numId="10" w16cid:durableId="2104641307">
    <w:abstractNumId w:val="0"/>
  </w:num>
  <w:num w:numId="11" w16cid:durableId="851797423">
    <w:abstractNumId w:val="10"/>
  </w:num>
  <w:num w:numId="12" w16cid:durableId="1682662300">
    <w:abstractNumId w:val="18"/>
  </w:num>
  <w:num w:numId="13" w16cid:durableId="881288970">
    <w:abstractNumId w:val="21"/>
  </w:num>
  <w:num w:numId="14" w16cid:durableId="244845372">
    <w:abstractNumId w:val="10"/>
  </w:num>
  <w:num w:numId="15" w16cid:durableId="1661230141">
    <w:abstractNumId w:val="14"/>
  </w:num>
  <w:num w:numId="16" w16cid:durableId="176877100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7205359">
    <w:abstractNumId w:val="2"/>
  </w:num>
  <w:num w:numId="18" w16cid:durableId="1172792598">
    <w:abstractNumId w:val="27"/>
  </w:num>
  <w:num w:numId="19" w16cid:durableId="1084567211">
    <w:abstractNumId w:val="11"/>
  </w:num>
  <w:num w:numId="20" w16cid:durableId="641159490">
    <w:abstractNumId w:val="5"/>
  </w:num>
  <w:num w:numId="21" w16cid:durableId="1413506093">
    <w:abstractNumId w:val="19"/>
  </w:num>
  <w:num w:numId="22" w16cid:durableId="466363331">
    <w:abstractNumId w:val="2"/>
    <w:lvlOverride w:ilvl="0">
      <w:startOverride w:val="1"/>
    </w:lvlOverride>
  </w:num>
  <w:num w:numId="23" w16cid:durableId="8040073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5897504">
    <w:abstractNumId w:val="27"/>
    <w:lvlOverride w:ilvl="0">
      <w:startOverride w:val="1"/>
    </w:lvlOverride>
  </w:num>
  <w:num w:numId="25" w16cid:durableId="210505422">
    <w:abstractNumId w:val="7"/>
  </w:num>
  <w:num w:numId="26" w16cid:durableId="1462570675">
    <w:abstractNumId w:val="22"/>
  </w:num>
  <w:num w:numId="27" w16cid:durableId="1835610109">
    <w:abstractNumId w:val="1"/>
  </w:num>
  <w:num w:numId="28" w16cid:durableId="380907751">
    <w:abstractNumId w:val="12"/>
  </w:num>
  <w:num w:numId="29" w16cid:durableId="862783659">
    <w:abstractNumId w:val="16"/>
  </w:num>
  <w:num w:numId="30" w16cid:durableId="1724795611">
    <w:abstractNumId w:val="26"/>
  </w:num>
  <w:num w:numId="31" w16cid:durableId="772939776">
    <w:abstractNumId w:val="24"/>
  </w:num>
  <w:num w:numId="32" w16cid:durableId="1632251740">
    <w:abstractNumId w:val="20"/>
  </w:num>
  <w:num w:numId="33" w16cid:durableId="1230337644">
    <w:abstractNumId w:val="15"/>
  </w:num>
  <w:num w:numId="34" w16cid:durableId="182862334">
    <w:abstractNumId w:val="13"/>
  </w:num>
  <w:num w:numId="35" w16cid:durableId="134967164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D4B"/>
    <w:rsid w:val="00000F6A"/>
    <w:rsid w:val="00001501"/>
    <w:rsid w:val="0000378F"/>
    <w:rsid w:val="00004954"/>
    <w:rsid w:val="00004BF0"/>
    <w:rsid w:val="00005331"/>
    <w:rsid w:val="00005A82"/>
    <w:rsid w:val="00007C03"/>
    <w:rsid w:val="0001168F"/>
    <w:rsid w:val="00012C37"/>
    <w:rsid w:val="00014B90"/>
    <w:rsid w:val="000162AC"/>
    <w:rsid w:val="00016C2D"/>
    <w:rsid w:val="00016D60"/>
    <w:rsid w:val="00021A78"/>
    <w:rsid w:val="00025AE8"/>
    <w:rsid w:val="00027E35"/>
    <w:rsid w:val="00027F0E"/>
    <w:rsid w:val="00032797"/>
    <w:rsid w:val="000342B8"/>
    <w:rsid w:val="000345FA"/>
    <w:rsid w:val="00036328"/>
    <w:rsid w:val="00036F85"/>
    <w:rsid w:val="00037189"/>
    <w:rsid w:val="00040ED2"/>
    <w:rsid w:val="00041398"/>
    <w:rsid w:val="00042DD8"/>
    <w:rsid w:val="00047B6D"/>
    <w:rsid w:val="00047BF7"/>
    <w:rsid w:val="0005302C"/>
    <w:rsid w:val="000559C4"/>
    <w:rsid w:val="00063936"/>
    <w:rsid w:val="000642A6"/>
    <w:rsid w:val="000642C5"/>
    <w:rsid w:val="00065FEF"/>
    <w:rsid w:val="0007115A"/>
    <w:rsid w:val="0007354B"/>
    <w:rsid w:val="00073774"/>
    <w:rsid w:val="000738EE"/>
    <w:rsid w:val="0008125D"/>
    <w:rsid w:val="00084C62"/>
    <w:rsid w:val="000852B6"/>
    <w:rsid w:val="000857B3"/>
    <w:rsid w:val="000866DB"/>
    <w:rsid w:val="00086B2E"/>
    <w:rsid w:val="00092B9C"/>
    <w:rsid w:val="000931BB"/>
    <w:rsid w:val="000947B9"/>
    <w:rsid w:val="00096154"/>
    <w:rsid w:val="000973C8"/>
    <w:rsid w:val="00097483"/>
    <w:rsid w:val="000A2A94"/>
    <w:rsid w:val="000A2AA9"/>
    <w:rsid w:val="000A2DD6"/>
    <w:rsid w:val="000A41DD"/>
    <w:rsid w:val="000A56F2"/>
    <w:rsid w:val="000A603A"/>
    <w:rsid w:val="000A6E05"/>
    <w:rsid w:val="000B12FA"/>
    <w:rsid w:val="000B1E56"/>
    <w:rsid w:val="000B1F71"/>
    <w:rsid w:val="000B2FBE"/>
    <w:rsid w:val="000B3EDF"/>
    <w:rsid w:val="000B5B71"/>
    <w:rsid w:val="000B5DF1"/>
    <w:rsid w:val="000B6069"/>
    <w:rsid w:val="000B73A4"/>
    <w:rsid w:val="000B7CF8"/>
    <w:rsid w:val="000C07EE"/>
    <w:rsid w:val="000C08BF"/>
    <w:rsid w:val="000C355D"/>
    <w:rsid w:val="000C3B9A"/>
    <w:rsid w:val="000C4386"/>
    <w:rsid w:val="000D1A6B"/>
    <w:rsid w:val="000D25A8"/>
    <w:rsid w:val="000D49D3"/>
    <w:rsid w:val="000D6D5C"/>
    <w:rsid w:val="000D730B"/>
    <w:rsid w:val="000D75D9"/>
    <w:rsid w:val="000E37A9"/>
    <w:rsid w:val="000E3D87"/>
    <w:rsid w:val="000E4C53"/>
    <w:rsid w:val="000E5803"/>
    <w:rsid w:val="000E5A66"/>
    <w:rsid w:val="000F2AE3"/>
    <w:rsid w:val="000F7B0A"/>
    <w:rsid w:val="00100419"/>
    <w:rsid w:val="00100674"/>
    <w:rsid w:val="001207E0"/>
    <w:rsid w:val="00121089"/>
    <w:rsid w:val="00125B90"/>
    <w:rsid w:val="001300FC"/>
    <w:rsid w:val="00130A3D"/>
    <w:rsid w:val="00132519"/>
    <w:rsid w:val="00135E7A"/>
    <w:rsid w:val="0013769B"/>
    <w:rsid w:val="00140978"/>
    <w:rsid w:val="00142335"/>
    <w:rsid w:val="00147955"/>
    <w:rsid w:val="00150396"/>
    <w:rsid w:val="001530DA"/>
    <w:rsid w:val="001536F5"/>
    <w:rsid w:val="00155129"/>
    <w:rsid w:val="00155BC5"/>
    <w:rsid w:val="00161956"/>
    <w:rsid w:val="00164465"/>
    <w:rsid w:val="00166EF7"/>
    <w:rsid w:val="00175572"/>
    <w:rsid w:val="00176C93"/>
    <w:rsid w:val="0017733A"/>
    <w:rsid w:val="0018099E"/>
    <w:rsid w:val="001809C2"/>
    <w:rsid w:val="00181A3B"/>
    <w:rsid w:val="00186CF9"/>
    <w:rsid w:val="0019073C"/>
    <w:rsid w:val="00190EA2"/>
    <w:rsid w:val="00192676"/>
    <w:rsid w:val="0019438D"/>
    <w:rsid w:val="001946EF"/>
    <w:rsid w:val="001965AA"/>
    <w:rsid w:val="00196934"/>
    <w:rsid w:val="001974E8"/>
    <w:rsid w:val="001A1B72"/>
    <w:rsid w:val="001A4625"/>
    <w:rsid w:val="001A4776"/>
    <w:rsid w:val="001A500F"/>
    <w:rsid w:val="001A5555"/>
    <w:rsid w:val="001A6803"/>
    <w:rsid w:val="001A6F13"/>
    <w:rsid w:val="001A6FC9"/>
    <w:rsid w:val="001A7523"/>
    <w:rsid w:val="001B2FD2"/>
    <w:rsid w:val="001B54FA"/>
    <w:rsid w:val="001C363F"/>
    <w:rsid w:val="001C561A"/>
    <w:rsid w:val="001C71CD"/>
    <w:rsid w:val="001D2106"/>
    <w:rsid w:val="001D42FA"/>
    <w:rsid w:val="001E0198"/>
    <w:rsid w:val="001E1595"/>
    <w:rsid w:val="001E229D"/>
    <w:rsid w:val="001E2A62"/>
    <w:rsid w:val="001E402D"/>
    <w:rsid w:val="001E7B30"/>
    <w:rsid w:val="001F26C1"/>
    <w:rsid w:val="001F2819"/>
    <w:rsid w:val="001F4B6B"/>
    <w:rsid w:val="001F5266"/>
    <w:rsid w:val="00200FB4"/>
    <w:rsid w:val="00201B63"/>
    <w:rsid w:val="00201EDC"/>
    <w:rsid w:val="0020438F"/>
    <w:rsid w:val="002043EC"/>
    <w:rsid w:val="002046C7"/>
    <w:rsid w:val="00205884"/>
    <w:rsid w:val="002070D9"/>
    <w:rsid w:val="002156A7"/>
    <w:rsid w:val="00216541"/>
    <w:rsid w:val="00217125"/>
    <w:rsid w:val="002210D5"/>
    <w:rsid w:val="00221AA2"/>
    <w:rsid w:val="00223468"/>
    <w:rsid w:val="002236DC"/>
    <w:rsid w:val="002244FF"/>
    <w:rsid w:val="00225058"/>
    <w:rsid w:val="00231F06"/>
    <w:rsid w:val="002329F2"/>
    <w:rsid w:val="002347A0"/>
    <w:rsid w:val="0024069D"/>
    <w:rsid w:val="0024134A"/>
    <w:rsid w:val="0024243C"/>
    <w:rsid w:val="00242895"/>
    <w:rsid w:val="00243DC0"/>
    <w:rsid w:val="00245AD8"/>
    <w:rsid w:val="002460D7"/>
    <w:rsid w:val="00247477"/>
    <w:rsid w:val="002477FF"/>
    <w:rsid w:val="00247A47"/>
    <w:rsid w:val="00250DAC"/>
    <w:rsid w:val="00250F41"/>
    <w:rsid w:val="0025148C"/>
    <w:rsid w:val="00253915"/>
    <w:rsid w:val="00253F7E"/>
    <w:rsid w:val="0025528A"/>
    <w:rsid w:val="00257047"/>
    <w:rsid w:val="0026041E"/>
    <w:rsid w:val="0026269F"/>
    <w:rsid w:val="0026296D"/>
    <w:rsid w:val="002672C1"/>
    <w:rsid w:val="002676D4"/>
    <w:rsid w:val="00270440"/>
    <w:rsid w:val="0027212E"/>
    <w:rsid w:val="00273368"/>
    <w:rsid w:val="002733C1"/>
    <w:rsid w:val="002745D3"/>
    <w:rsid w:val="002778CB"/>
    <w:rsid w:val="0028162F"/>
    <w:rsid w:val="00284CF7"/>
    <w:rsid w:val="00287983"/>
    <w:rsid w:val="00287A3A"/>
    <w:rsid w:val="00290A10"/>
    <w:rsid w:val="00290B23"/>
    <w:rsid w:val="00290DA6"/>
    <w:rsid w:val="00291F07"/>
    <w:rsid w:val="00293996"/>
    <w:rsid w:val="00293DEE"/>
    <w:rsid w:val="0029674A"/>
    <w:rsid w:val="002A0B5D"/>
    <w:rsid w:val="002A25D2"/>
    <w:rsid w:val="002A51E6"/>
    <w:rsid w:val="002A6196"/>
    <w:rsid w:val="002A6713"/>
    <w:rsid w:val="002B0DA0"/>
    <w:rsid w:val="002B1158"/>
    <w:rsid w:val="002B6AC3"/>
    <w:rsid w:val="002C0FB0"/>
    <w:rsid w:val="002C1082"/>
    <w:rsid w:val="002C1236"/>
    <w:rsid w:val="002C28D8"/>
    <w:rsid w:val="002C76F8"/>
    <w:rsid w:val="002C7FE9"/>
    <w:rsid w:val="002D0A07"/>
    <w:rsid w:val="002D0CAC"/>
    <w:rsid w:val="002D482E"/>
    <w:rsid w:val="002D4EFD"/>
    <w:rsid w:val="002E32DE"/>
    <w:rsid w:val="002E5989"/>
    <w:rsid w:val="002E5F44"/>
    <w:rsid w:val="002E7607"/>
    <w:rsid w:val="002F141E"/>
    <w:rsid w:val="002F6D4C"/>
    <w:rsid w:val="002F7666"/>
    <w:rsid w:val="0030409D"/>
    <w:rsid w:val="003067C9"/>
    <w:rsid w:val="00307527"/>
    <w:rsid w:val="00310373"/>
    <w:rsid w:val="003116D1"/>
    <w:rsid w:val="003122B2"/>
    <w:rsid w:val="00312697"/>
    <w:rsid w:val="00315F72"/>
    <w:rsid w:val="00316071"/>
    <w:rsid w:val="00317631"/>
    <w:rsid w:val="00317ACD"/>
    <w:rsid w:val="00320BC8"/>
    <w:rsid w:val="003222F3"/>
    <w:rsid w:val="00322C4B"/>
    <w:rsid w:val="003244EF"/>
    <w:rsid w:val="00326337"/>
    <w:rsid w:val="00330499"/>
    <w:rsid w:val="003414BF"/>
    <w:rsid w:val="00343E5C"/>
    <w:rsid w:val="00344BB9"/>
    <w:rsid w:val="00345A4F"/>
    <w:rsid w:val="00345EFB"/>
    <w:rsid w:val="00350A9D"/>
    <w:rsid w:val="00353B09"/>
    <w:rsid w:val="00356BD6"/>
    <w:rsid w:val="0036017B"/>
    <w:rsid w:val="0036045F"/>
    <w:rsid w:val="0036098E"/>
    <w:rsid w:val="00362375"/>
    <w:rsid w:val="00362423"/>
    <w:rsid w:val="00362755"/>
    <w:rsid w:val="00362F12"/>
    <w:rsid w:val="00365EBE"/>
    <w:rsid w:val="0036697A"/>
    <w:rsid w:val="00371B69"/>
    <w:rsid w:val="00371F50"/>
    <w:rsid w:val="00373B93"/>
    <w:rsid w:val="0038264B"/>
    <w:rsid w:val="0038319D"/>
    <w:rsid w:val="003834C9"/>
    <w:rsid w:val="003834EC"/>
    <w:rsid w:val="00383CCB"/>
    <w:rsid w:val="00385F01"/>
    <w:rsid w:val="00387FC3"/>
    <w:rsid w:val="00390B2E"/>
    <w:rsid w:val="003912D8"/>
    <w:rsid w:val="00393286"/>
    <w:rsid w:val="00394B4C"/>
    <w:rsid w:val="00396E7A"/>
    <w:rsid w:val="003A17B8"/>
    <w:rsid w:val="003A30EA"/>
    <w:rsid w:val="003A38F0"/>
    <w:rsid w:val="003A7E63"/>
    <w:rsid w:val="003B581B"/>
    <w:rsid w:val="003C4C9D"/>
    <w:rsid w:val="003D0912"/>
    <w:rsid w:val="003D2EE8"/>
    <w:rsid w:val="003D2F45"/>
    <w:rsid w:val="003D33D0"/>
    <w:rsid w:val="003D6E9D"/>
    <w:rsid w:val="003E0F0A"/>
    <w:rsid w:val="003E1D26"/>
    <w:rsid w:val="003E27C9"/>
    <w:rsid w:val="003E46D4"/>
    <w:rsid w:val="003E6B36"/>
    <w:rsid w:val="003E7240"/>
    <w:rsid w:val="003F0897"/>
    <w:rsid w:val="003F4329"/>
    <w:rsid w:val="003F669B"/>
    <w:rsid w:val="00402F8A"/>
    <w:rsid w:val="00405460"/>
    <w:rsid w:val="00410B2D"/>
    <w:rsid w:val="00412534"/>
    <w:rsid w:val="00412C83"/>
    <w:rsid w:val="00413A89"/>
    <w:rsid w:val="00415FCF"/>
    <w:rsid w:val="004227AC"/>
    <w:rsid w:val="00423CB1"/>
    <w:rsid w:val="0042514D"/>
    <w:rsid w:val="0042520A"/>
    <w:rsid w:val="00426014"/>
    <w:rsid w:val="00426C5E"/>
    <w:rsid w:val="004275B3"/>
    <w:rsid w:val="00427C3F"/>
    <w:rsid w:val="00432691"/>
    <w:rsid w:val="004327B7"/>
    <w:rsid w:val="004328C7"/>
    <w:rsid w:val="00432A7D"/>
    <w:rsid w:val="00440897"/>
    <w:rsid w:val="004413BE"/>
    <w:rsid w:val="00444BAB"/>
    <w:rsid w:val="004502D7"/>
    <w:rsid w:val="0045447D"/>
    <w:rsid w:val="00456466"/>
    <w:rsid w:val="00456EB9"/>
    <w:rsid w:val="00457C52"/>
    <w:rsid w:val="00460B7D"/>
    <w:rsid w:val="0046187F"/>
    <w:rsid w:val="00462538"/>
    <w:rsid w:val="00467973"/>
    <w:rsid w:val="00467986"/>
    <w:rsid w:val="00470DC0"/>
    <w:rsid w:val="00471945"/>
    <w:rsid w:val="00477E83"/>
    <w:rsid w:val="00480CB0"/>
    <w:rsid w:val="004816F3"/>
    <w:rsid w:val="00481FF2"/>
    <w:rsid w:val="004828EA"/>
    <w:rsid w:val="004865F1"/>
    <w:rsid w:val="00487431"/>
    <w:rsid w:val="0048774F"/>
    <w:rsid w:val="00490AD2"/>
    <w:rsid w:val="00491A67"/>
    <w:rsid w:val="00493D62"/>
    <w:rsid w:val="004957B6"/>
    <w:rsid w:val="004958B2"/>
    <w:rsid w:val="004A0B94"/>
    <w:rsid w:val="004A18E5"/>
    <w:rsid w:val="004A1F52"/>
    <w:rsid w:val="004A24CF"/>
    <w:rsid w:val="004A2E94"/>
    <w:rsid w:val="004A4822"/>
    <w:rsid w:val="004B34EA"/>
    <w:rsid w:val="004B5494"/>
    <w:rsid w:val="004C1BC3"/>
    <w:rsid w:val="004C492F"/>
    <w:rsid w:val="004C4A33"/>
    <w:rsid w:val="004C5607"/>
    <w:rsid w:val="004C69D8"/>
    <w:rsid w:val="004C7D3A"/>
    <w:rsid w:val="004C7F85"/>
    <w:rsid w:val="004D2DE0"/>
    <w:rsid w:val="004E0A09"/>
    <w:rsid w:val="004E1019"/>
    <w:rsid w:val="004E3B4B"/>
    <w:rsid w:val="004E4282"/>
    <w:rsid w:val="004E4AA3"/>
    <w:rsid w:val="004E528E"/>
    <w:rsid w:val="004E5424"/>
    <w:rsid w:val="004F057E"/>
    <w:rsid w:val="004F3FC5"/>
    <w:rsid w:val="004F4D8D"/>
    <w:rsid w:val="004F4E5A"/>
    <w:rsid w:val="004F5181"/>
    <w:rsid w:val="004F6ADF"/>
    <w:rsid w:val="004F7968"/>
    <w:rsid w:val="00501083"/>
    <w:rsid w:val="005015DC"/>
    <w:rsid w:val="005018A8"/>
    <w:rsid w:val="005019B6"/>
    <w:rsid w:val="00502CAD"/>
    <w:rsid w:val="00505322"/>
    <w:rsid w:val="00505A39"/>
    <w:rsid w:val="00505FA3"/>
    <w:rsid w:val="0050698C"/>
    <w:rsid w:val="005069F3"/>
    <w:rsid w:val="00514B3C"/>
    <w:rsid w:val="00515001"/>
    <w:rsid w:val="005178C1"/>
    <w:rsid w:val="00517DA1"/>
    <w:rsid w:val="00520A1F"/>
    <w:rsid w:val="005225F4"/>
    <w:rsid w:val="005240BF"/>
    <w:rsid w:val="00527AC3"/>
    <w:rsid w:val="00535490"/>
    <w:rsid w:val="005358C1"/>
    <w:rsid w:val="005413CC"/>
    <w:rsid w:val="0054318F"/>
    <w:rsid w:val="005537E3"/>
    <w:rsid w:val="00560AF2"/>
    <w:rsid w:val="00560FFD"/>
    <w:rsid w:val="00565D8C"/>
    <w:rsid w:val="005718B7"/>
    <w:rsid w:val="005719A4"/>
    <w:rsid w:val="0057622C"/>
    <w:rsid w:val="00582008"/>
    <w:rsid w:val="00583BAB"/>
    <w:rsid w:val="0058506F"/>
    <w:rsid w:val="00585390"/>
    <w:rsid w:val="00591B23"/>
    <w:rsid w:val="005939A5"/>
    <w:rsid w:val="00595030"/>
    <w:rsid w:val="005967BD"/>
    <w:rsid w:val="00596CB5"/>
    <w:rsid w:val="005970A1"/>
    <w:rsid w:val="005A09A9"/>
    <w:rsid w:val="005A0A9E"/>
    <w:rsid w:val="005A0AEE"/>
    <w:rsid w:val="005A148C"/>
    <w:rsid w:val="005A17C2"/>
    <w:rsid w:val="005A4C8A"/>
    <w:rsid w:val="005A57F9"/>
    <w:rsid w:val="005A5FA1"/>
    <w:rsid w:val="005A690C"/>
    <w:rsid w:val="005A6C43"/>
    <w:rsid w:val="005B0D18"/>
    <w:rsid w:val="005B3A58"/>
    <w:rsid w:val="005C7C59"/>
    <w:rsid w:val="005C7E86"/>
    <w:rsid w:val="005D7EA3"/>
    <w:rsid w:val="005E6481"/>
    <w:rsid w:val="005F177C"/>
    <w:rsid w:val="00601112"/>
    <w:rsid w:val="00601258"/>
    <w:rsid w:val="00602E15"/>
    <w:rsid w:val="00603FC7"/>
    <w:rsid w:val="0060503A"/>
    <w:rsid w:val="006051A9"/>
    <w:rsid w:val="006101DE"/>
    <w:rsid w:val="0061553D"/>
    <w:rsid w:val="00621059"/>
    <w:rsid w:val="006210A4"/>
    <w:rsid w:val="00622930"/>
    <w:rsid w:val="00623905"/>
    <w:rsid w:val="00624500"/>
    <w:rsid w:val="00627B60"/>
    <w:rsid w:val="00632207"/>
    <w:rsid w:val="0063491C"/>
    <w:rsid w:val="00635145"/>
    <w:rsid w:val="006372B9"/>
    <w:rsid w:val="00641550"/>
    <w:rsid w:val="006538F5"/>
    <w:rsid w:val="0065452D"/>
    <w:rsid w:val="00654AD3"/>
    <w:rsid w:val="00671E1E"/>
    <w:rsid w:val="00674059"/>
    <w:rsid w:val="0067426A"/>
    <w:rsid w:val="00681064"/>
    <w:rsid w:val="00682D9B"/>
    <w:rsid w:val="00685D2D"/>
    <w:rsid w:val="006862B5"/>
    <w:rsid w:val="00686665"/>
    <w:rsid w:val="00692138"/>
    <w:rsid w:val="00695515"/>
    <w:rsid w:val="00697BF3"/>
    <w:rsid w:val="006A28A5"/>
    <w:rsid w:val="006A2C82"/>
    <w:rsid w:val="006A388E"/>
    <w:rsid w:val="006A3D73"/>
    <w:rsid w:val="006A41F3"/>
    <w:rsid w:val="006B0354"/>
    <w:rsid w:val="006B2D78"/>
    <w:rsid w:val="006B540A"/>
    <w:rsid w:val="006B5BA4"/>
    <w:rsid w:val="006C0706"/>
    <w:rsid w:val="006C427E"/>
    <w:rsid w:val="006C6412"/>
    <w:rsid w:val="006C7CB5"/>
    <w:rsid w:val="006D06B4"/>
    <w:rsid w:val="006D1E04"/>
    <w:rsid w:val="006D66EC"/>
    <w:rsid w:val="006D6FE2"/>
    <w:rsid w:val="006E129F"/>
    <w:rsid w:val="006E1D67"/>
    <w:rsid w:val="006E2826"/>
    <w:rsid w:val="006E4936"/>
    <w:rsid w:val="006E5E28"/>
    <w:rsid w:val="006E6574"/>
    <w:rsid w:val="006F083A"/>
    <w:rsid w:val="006F2B34"/>
    <w:rsid w:val="006F2E7C"/>
    <w:rsid w:val="006F3C40"/>
    <w:rsid w:val="006F41EA"/>
    <w:rsid w:val="006F445E"/>
    <w:rsid w:val="006F6525"/>
    <w:rsid w:val="006F7533"/>
    <w:rsid w:val="00700117"/>
    <w:rsid w:val="00701303"/>
    <w:rsid w:val="00705011"/>
    <w:rsid w:val="00705B1D"/>
    <w:rsid w:val="00707A5B"/>
    <w:rsid w:val="00707BA2"/>
    <w:rsid w:val="00711648"/>
    <w:rsid w:val="00713AFD"/>
    <w:rsid w:val="00714CF2"/>
    <w:rsid w:val="007156B9"/>
    <w:rsid w:val="00716DC6"/>
    <w:rsid w:val="00720817"/>
    <w:rsid w:val="00722850"/>
    <w:rsid w:val="00722CC6"/>
    <w:rsid w:val="00725F48"/>
    <w:rsid w:val="0072646D"/>
    <w:rsid w:val="007278CF"/>
    <w:rsid w:val="00730B49"/>
    <w:rsid w:val="00731D07"/>
    <w:rsid w:val="0073353F"/>
    <w:rsid w:val="0073413B"/>
    <w:rsid w:val="00734261"/>
    <w:rsid w:val="00742E45"/>
    <w:rsid w:val="00743EAC"/>
    <w:rsid w:val="007447AF"/>
    <w:rsid w:val="00747DE4"/>
    <w:rsid w:val="007505B2"/>
    <w:rsid w:val="00750816"/>
    <w:rsid w:val="00754CA3"/>
    <w:rsid w:val="00756285"/>
    <w:rsid w:val="00763BCD"/>
    <w:rsid w:val="007657C1"/>
    <w:rsid w:val="00765BF5"/>
    <w:rsid w:val="00766305"/>
    <w:rsid w:val="0076771E"/>
    <w:rsid w:val="00767B5F"/>
    <w:rsid w:val="007700A5"/>
    <w:rsid w:val="007744AF"/>
    <w:rsid w:val="00774EC2"/>
    <w:rsid w:val="00777D03"/>
    <w:rsid w:val="00786227"/>
    <w:rsid w:val="00786516"/>
    <w:rsid w:val="007879C9"/>
    <w:rsid w:val="007917DA"/>
    <w:rsid w:val="007926B1"/>
    <w:rsid w:val="00793A71"/>
    <w:rsid w:val="00795BF4"/>
    <w:rsid w:val="00796EB7"/>
    <w:rsid w:val="007A15DA"/>
    <w:rsid w:val="007A1BB1"/>
    <w:rsid w:val="007A406D"/>
    <w:rsid w:val="007A4EE8"/>
    <w:rsid w:val="007A62B0"/>
    <w:rsid w:val="007A7696"/>
    <w:rsid w:val="007B5445"/>
    <w:rsid w:val="007B672F"/>
    <w:rsid w:val="007C3D44"/>
    <w:rsid w:val="007C40C8"/>
    <w:rsid w:val="007C44A7"/>
    <w:rsid w:val="007C44D2"/>
    <w:rsid w:val="007C5A0C"/>
    <w:rsid w:val="007C668E"/>
    <w:rsid w:val="007C6B02"/>
    <w:rsid w:val="007C738E"/>
    <w:rsid w:val="007D27A1"/>
    <w:rsid w:val="007D2869"/>
    <w:rsid w:val="007D3E4C"/>
    <w:rsid w:val="007D4AE1"/>
    <w:rsid w:val="007D4F2E"/>
    <w:rsid w:val="007D6C8C"/>
    <w:rsid w:val="007E0FEE"/>
    <w:rsid w:val="007E2EBE"/>
    <w:rsid w:val="007E3878"/>
    <w:rsid w:val="007E47A6"/>
    <w:rsid w:val="007F2017"/>
    <w:rsid w:val="007F3916"/>
    <w:rsid w:val="007F43CE"/>
    <w:rsid w:val="00800184"/>
    <w:rsid w:val="00802B10"/>
    <w:rsid w:val="00805FA6"/>
    <w:rsid w:val="00805FC4"/>
    <w:rsid w:val="00806CA7"/>
    <w:rsid w:val="0081636E"/>
    <w:rsid w:val="00816B3A"/>
    <w:rsid w:val="008218C4"/>
    <w:rsid w:val="00823699"/>
    <w:rsid w:val="0082460A"/>
    <w:rsid w:val="008273B4"/>
    <w:rsid w:val="00832B51"/>
    <w:rsid w:val="00833119"/>
    <w:rsid w:val="008339BB"/>
    <w:rsid w:val="00834D88"/>
    <w:rsid w:val="00836FEB"/>
    <w:rsid w:val="00845EBC"/>
    <w:rsid w:val="008505F0"/>
    <w:rsid w:val="008507DB"/>
    <w:rsid w:val="00855133"/>
    <w:rsid w:val="0085652C"/>
    <w:rsid w:val="008632E5"/>
    <w:rsid w:val="00863367"/>
    <w:rsid w:val="0086419A"/>
    <w:rsid w:val="008641C0"/>
    <w:rsid w:val="00864521"/>
    <w:rsid w:val="00864A47"/>
    <w:rsid w:val="00867A29"/>
    <w:rsid w:val="0087023B"/>
    <w:rsid w:val="00877FF9"/>
    <w:rsid w:val="008801FE"/>
    <w:rsid w:val="00880EAE"/>
    <w:rsid w:val="008847E1"/>
    <w:rsid w:val="00885E38"/>
    <w:rsid w:val="0088621F"/>
    <w:rsid w:val="0089004E"/>
    <w:rsid w:val="008904D7"/>
    <w:rsid w:val="00896127"/>
    <w:rsid w:val="008977B2"/>
    <w:rsid w:val="008A0967"/>
    <w:rsid w:val="008A11A0"/>
    <w:rsid w:val="008A179F"/>
    <w:rsid w:val="008A348C"/>
    <w:rsid w:val="008A4B40"/>
    <w:rsid w:val="008A4DA3"/>
    <w:rsid w:val="008A5D5B"/>
    <w:rsid w:val="008B05B1"/>
    <w:rsid w:val="008B0864"/>
    <w:rsid w:val="008B13AE"/>
    <w:rsid w:val="008B155E"/>
    <w:rsid w:val="008B2330"/>
    <w:rsid w:val="008B7495"/>
    <w:rsid w:val="008C34E3"/>
    <w:rsid w:val="008C6E50"/>
    <w:rsid w:val="008C7413"/>
    <w:rsid w:val="008D16B7"/>
    <w:rsid w:val="008D2617"/>
    <w:rsid w:val="008D4F7F"/>
    <w:rsid w:val="008D55AC"/>
    <w:rsid w:val="008E16F6"/>
    <w:rsid w:val="008E27C1"/>
    <w:rsid w:val="008E6AE6"/>
    <w:rsid w:val="008E772E"/>
    <w:rsid w:val="008E7937"/>
    <w:rsid w:val="008F0116"/>
    <w:rsid w:val="008F0B41"/>
    <w:rsid w:val="008F13AE"/>
    <w:rsid w:val="008F143D"/>
    <w:rsid w:val="009003C6"/>
    <w:rsid w:val="00905923"/>
    <w:rsid w:val="00906D2A"/>
    <w:rsid w:val="00906FA0"/>
    <w:rsid w:val="009075FD"/>
    <w:rsid w:val="00910936"/>
    <w:rsid w:val="00913D92"/>
    <w:rsid w:val="00914A58"/>
    <w:rsid w:val="0091747F"/>
    <w:rsid w:val="00924855"/>
    <w:rsid w:val="009259E1"/>
    <w:rsid w:val="00925B1C"/>
    <w:rsid w:val="00926DC5"/>
    <w:rsid w:val="00927B90"/>
    <w:rsid w:val="009302EA"/>
    <w:rsid w:val="00932865"/>
    <w:rsid w:val="00932C21"/>
    <w:rsid w:val="00940405"/>
    <w:rsid w:val="009432FB"/>
    <w:rsid w:val="00945144"/>
    <w:rsid w:val="00945E22"/>
    <w:rsid w:val="00947BC6"/>
    <w:rsid w:val="00947C67"/>
    <w:rsid w:val="0095317C"/>
    <w:rsid w:val="009570AF"/>
    <w:rsid w:val="00957351"/>
    <w:rsid w:val="00960E55"/>
    <w:rsid w:val="00970D56"/>
    <w:rsid w:val="00970F10"/>
    <w:rsid w:val="009732AC"/>
    <w:rsid w:val="00973406"/>
    <w:rsid w:val="009743DB"/>
    <w:rsid w:val="00974C2C"/>
    <w:rsid w:val="009752FA"/>
    <w:rsid w:val="00975FA0"/>
    <w:rsid w:val="0098138E"/>
    <w:rsid w:val="009841C6"/>
    <w:rsid w:val="0098557B"/>
    <w:rsid w:val="0098607B"/>
    <w:rsid w:val="0098655A"/>
    <w:rsid w:val="00986BC6"/>
    <w:rsid w:val="009900D7"/>
    <w:rsid w:val="00990274"/>
    <w:rsid w:val="00990BEC"/>
    <w:rsid w:val="00991817"/>
    <w:rsid w:val="009928CE"/>
    <w:rsid w:val="00994C21"/>
    <w:rsid w:val="009A012A"/>
    <w:rsid w:val="009A3286"/>
    <w:rsid w:val="009A4238"/>
    <w:rsid w:val="009A59AB"/>
    <w:rsid w:val="009A5C20"/>
    <w:rsid w:val="009B4A03"/>
    <w:rsid w:val="009B6C3E"/>
    <w:rsid w:val="009B72A2"/>
    <w:rsid w:val="009B7F10"/>
    <w:rsid w:val="009C149D"/>
    <w:rsid w:val="009C15B7"/>
    <w:rsid w:val="009C1720"/>
    <w:rsid w:val="009C2764"/>
    <w:rsid w:val="009C3391"/>
    <w:rsid w:val="009C7A41"/>
    <w:rsid w:val="009D5853"/>
    <w:rsid w:val="009D5A9A"/>
    <w:rsid w:val="009E1B82"/>
    <w:rsid w:val="009E2A82"/>
    <w:rsid w:val="009E346F"/>
    <w:rsid w:val="009E5E42"/>
    <w:rsid w:val="009E6905"/>
    <w:rsid w:val="009E7C7F"/>
    <w:rsid w:val="009F14B3"/>
    <w:rsid w:val="009F218C"/>
    <w:rsid w:val="009F4C43"/>
    <w:rsid w:val="009F626C"/>
    <w:rsid w:val="009F74D8"/>
    <w:rsid w:val="009F766C"/>
    <w:rsid w:val="00A00186"/>
    <w:rsid w:val="00A014AB"/>
    <w:rsid w:val="00A03D1B"/>
    <w:rsid w:val="00A05327"/>
    <w:rsid w:val="00A06291"/>
    <w:rsid w:val="00A07D8C"/>
    <w:rsid w:val="00A114BD"/>
    <w:rsid w:val="00A137DB"/>
    <w:rsid w:val="00A14C96"/>
    <w:rsid w:val="00A15DC9"/>
    <w:rsid w:val="00A17CE0"/>
    <w:rsid w:val="00A2502B"/>
    <w:rsid w:val="00A26429"/>
    <w:rsid w:val="00A30B1D"/>
    <w:rsid w:val="00A327A3"/>
    <w:rsid w:val="00A35575"/>
    <w:rsid w:val="00A41226"/>
    <w:rsid w:val="00A42306"/>
    <w:rsid w:val="00A46852"/>
    <w:rsid w:val="00A50C6A"/>
    <w:rsid w:val="00A550B6"/>
    <w:rsid w:val="00A55ACD"/>
    <w:rsid w:val="00A5650D"/>
    <w:rsid w:val="00A62478"/>
    <w:rsid w:val="00A64BAE"/>
    <w:rsid w:val="00A701AC"/>
    <w:rsid w:val="00A7247F"/>
    <w:rsid w:val="00A73BAF"/>
    <w:rsid w:val="00A76F61"/>
    <w:rsid w:val="00A811B9"/>
    <w:rsid w:val="00A8422E"/>
    <w:rsid w:val="00A86CB1"/>
    <w:rsid w:val="00A93D4A"/>
    <w:rsid w:val="00A9623C"/>
    <w:rsid w:val="00AA75D0"/>
    <w:rsid w:val="00AB02AC"/>
    <w:rsid w:val="00AB7CAD"/>
    <w:rsid w:val="00AC2022"/>
    <w:rsid w:val="00AC3F58"/>
    <w:rsid w:val="00AC4D43"/>
    <w:rsid w:val="00AC559D"/>
    <w:rsid w:val="00AC575F"/>
    <w:rsid w:val="00AC7E31"/>
    <w:rsid w:val="00AD0E06"/>
    <w:rsid w:val="00AD0E5F"/>
    <w:rsid w:val="00AD1F22"/>
    <w:rsid w:val="00AD2142"/>
    <w:rsid w:val="00AE3C34"/>
    <w:rsid w:val="00AE61AA"/>
    <w:rsid w:val="00AF2E3D"/>
    <w:rsid w:val="00AF37B1"/>
    <w:rsid w:val="00AF400F"/>
    <w:rsid w:val="00AF4538"/>
    <w:rsid w:val="00B00D0F"/>
    <w:rsid w:val="00B01921"/>
    <w:rsid w:val="00B01F7E"/>
    <w:rsid w:val="00B14AEA"/>
    <w:rsid w:val="00B161B0"/>
    <w:rsid w:val="00B20932"/>
    <w:rsid w:val="00B235FB"/>
    <w:rsid w:val="00B260CD"/>
    <w:rsid w:val="00B3087D"/>
    <w:rsid w:val="00B323D1"/>
    <w:rsid w:val="00B34794"/>
    <w:rsid w:val="00B34B2E"/>
    <w:rsid w:val="00B42B62"/>
    <w:rsid w:val="00B45EFE"/>
    <w:rsid w:val="00B46224"/>
    <w:rsid w:val="00B539E8"/>
    <w:rsid w:val="00B53BA2"/>
    <w:rsid w:val="00B5703F"/>
    <w:rsid w:val="00B60421"/>
    <w:rsid w:val="00B60B15"/>
    <w:rsid w:val="00B6125B"/>
    <w:rsid w:val="00B62814"/>
    <w:rsid w:val="00B63A2F"/>
    <w:rsid w:val="00B66B90"/>
    <w:rsid w:val="00B67965"/>
    <w:rsid w:val="00B70AA0"/>
    <w:rsid w:val="00B758CB"/>
    <w:rsid w:val="00B760F1"/>
    <w:rsid w:val="00B86A3F"/>
    <w:rsid w:val="00B876F2"/>
    <w:rsid w:val="00B95B74"/>
    <w:rsid w:val="00B96095"/>
    <w:rsid w:val="00BA2277"/>
    <w:rsid w:val="00BA7717"/>
    <w:rsid w:val="00BB0243"/>
    <w:rsid w:val="00BB0708"/>
    <w:rsid w:val="00BB2B9D"/>
    <w:rsid w:val="00BB571D"/>
    <w:rsid w:val="00BC19BA"/>
    <w:rsid w:val="00BD2D08"/>
    <w:rsid w:val="00BD5161"/>
    <w:rsid w:val="00BE4DBF"/>
    <w:rsid w:val="00BE5004"/>
    <w:rsid w:val="00BE55A0"/>
    <w:rsid w:val="00BF46A8"/>
    <w:rsid w:val="00BF4C0B"/>
    <w:rsid w:val="00BF6745"/>
    <w:rsid w:val="00C0036D"/>
    <w:rsid w:val="00C00804"/>
    <w:rsid w:val="00C01B8F"/>
    <w:rsid w:val="00C04CA7"/>
    <w:rsid w:val="00C05FF3"/>
    <w:rsid w:val="00C10B5F"/>
    <w:rsid w:val="00C15C30"/>
    <w:rsid w:val="00C2028E"/>
    <w:rsid w:val="00C20388"/>
    <w:rsid w:val="00C24D80"/>
    <w:rsid w:val="00C25105"/>
    <w:rsid w:val="00C26749"/>
    <w:rsid w:val="00C27CB5"/>
    <w:rsid w:val="00C31F3D"/>
    <w:rsid w:val="00C3416F"/>
    <w:rsid w:val="00C34232"/>
    <w:rsid w:val="00C35A77"/>
    <w:rsid w:val="00C4183F"/>
    <w:rsid w:val="00C42BDF"/>
    <w:rsid w:val="00C435DC"/>
    <w:rsid w:val="00C43895"/>
    <w:rsid w:val="00C44EF9"/>
    <w:rsid w:val="00C4750B"/>
    <w:rsid w:val="00C5067D"/>
    <w:rsid w:val="00C50C3A"/>
    <w:rsid w:val="00C55AF4"/>
    <w:rsid w:val="00C56C00"/>
    <w:rsid w:val="00C5771E"/>
    <w:rsid w:val="00C6454C"/>
    <w:rsid w:val="00C662EE"/>
    <w:rsid w:val="00C708F3"/>
    <w:rsid w:val="00C71336"/>
    <w:rsid w:val="00C7478B"/>
    <w:rsid w:val="00C75DDF"/>
    <w:rsid w:val="00C75E50"/>
    <w:rsid w:val="00C808B8"/>
    <w:rsid w:val="00C82B33"/>
    <w:rsid w:val="00C84573"/>
    <w:rsid w:val="00C85AD7"/>
    <w:rsid w:val="00C85CDA"/>
    <w:rsid w:val="00C86D74"/>
    <w:rsid w:val="00C913A1"/>
    <w:rsid w:val="00C913BD"/>
    <w:rsid w:val="00C946B4"/>
    <w:rsid w:val="00C94957"/>
    <w:rsid w:val="00C9647F"/>
    <w:rsid w:val="00C96CA8"/>
    <w:rsid w:val="00CA0AB6"/>
    <w:rsid w:val="00CA5474"/>
    <w:rsid w:val="00CA59A7"/>
    <w:rsid w:val="00CA67BE"/>
    <w:rsid w:val="00CA6CF2"/>
    <w:rsid w:val="00CB23B5"/>
    <w:rsid w:val="00CB39B9"/>
    <w:rsid w:val="00CB5A0F"/>
    <w:rsid w:val="00CC3929"/>
    <w:rsid w:val="00CC3D8B"/>
    <w:rsid w:val="00CC4570"/>
    <w:rsid w:val="00CC4C93"/>
    <w:rsid w:val="00CC513B"/>
    <w:rsid w:val="00CC6A99"/>
    <w:rsid w:val="00CD66E4"/>
    <w:rsid w:val="00CE2A30"/>
    <w:rsid w:val="00CE352A"/>
    <w:rsid w:val="00CE4426"/>
    <w:rsid w:val="00CE4D7B"/>
    <w:rsid w:val="00CE6AA3"/>
    <w:rsid w:val="00CE7902"/>
    <w:rsid w:val="00D00AA3"/>
    <w:rsid w:val="00D01030"/>
    <w:rsid w:val="00D02515"/>
    <w:rsid w:val="00D02A72"/>
    <w:rsid w:val="00D037A1"/>
    <w:rsid w:val="00D038DF"/>
    <w:rsid w:val="00D03AF1"/>
    <w:rsid w:val="00D07F73"/>
    <w:rsid w:val="00D10991"/>
    <w:rsid w:val="00D10E69"/>
    <w:rsid w:val="00D10F35"/>
    <w:rsid w:val="00D12DF2"/>
    <w:rsid w:val="00D1621B"/>
    <w:rsid w:val="00D16436"/>
    <w:rsid w:val="00D2041C"/>
    <w:rsid w:val="00D20DB5"/>
    <w:rsid w:val="00D22002"/>
    <w:rsid w:val="00D22243"/>
    <w:rsid w:val="00D23C1D"/>
    <w:rsid w:val="00D24D40"/>
    <w:rsid w:val="00D25ADE"/>
    <w:rsid w:val="00D270F4"/>
    <w:rsid w:val="00D27507"/>
    <w:rsid w:val="00D310DA"/>
    <w:rsid w:val="00D31AA4"/>
    <w:rsid w:val="00D327DA"/>
    <w:rsid w:val="00D34E70"/>
    <w:rsid w:val="00D34FAB"/>
    <w:rsid w:val="00D36E8B"/>
    <w:rsid w:val="00D405F1"/>
    <w:rsid w:val="00D40D4B"/>
    <w:rsid w:val="00D42EF7"/>
    <w:rsid w:val="00D43297"/>
    <w:rsid w:val="00D44996"/>
    <w:rsid w:val="00D44DB6"/>
    <w:rsid w:val="00D45BB0"/>
    <w:rsid w:val="00D46481"/>
    <w:rsid w:val="00D50119"/>
    <w:rsid w:val="00D52EC4"/>
    <w:rsid w:val="00D548D1"/>
    <w:rsid w:val="00D611A4"/>
    <w:rsid w:val="00D62C9B"/>
    <w:rsid w:val="00D63CAB"/>
    <w:rsid w:val="00D6664D"/>
    <w:rsid w:val="00D66783"/>
    <w:rsid w:val="00D6695C"/>
    <w:rsid w:val="00D743DC"/>
    <w:rsid w:val="00D75154"/>
    <w:rsid w:val="00D80FBB"/>
    <w:rsid w:val="00D811E4"/>
    <w:rsid w:val="00D82426"/>
    <w:rsid w:val="00D82A43"/>
    <w:rsid w:val="00D82B16"/>
    <w:rsid w:val="00D82B64"/>
    <w:rsid w:val="00D83F58"/>
    <w:rsid w:val="00D84B46"/>
    <w:rsid w:val="00D8517A"/>
    <w:rsid w:val="00D914B3"/>
    <w:rsid w:val="00D9450C"/>
    <w:rsid w:val="00D94BE8"/>
    <w:rsid w:val="00D9789D"/>
    <w:rsid w:val="00DA05EB"/>
    <w:rsid w:val="00DA1BCA"/>
    <w:rsid w:val="00DA2AB6"/>
    <w:rsid w:val="00DA3579"/>
    <w:rsid w:val="00DA3EFF"/>
    <w:rsid w:val="00DA5F9E"/>
    <w:rsid w:val="00DA7B5D"/>
    <w:rsid w:val="00DB185D"/>
    <w:rsid w:val="00DB3F08"/>
    <w:rsid w:val="00DB6D3C"/>
    <w:rsid w:val="00DB7040"/>
    <w:rsid w:val="00DC1149"/>
    <w:rsid w:val="00DC1EE4"/>
    <w:rsid w:val="00DC491F"/>
    <w:rsid w:val="00DC5973"/>
    <w:rsid w:val="00DC720E"/>
    <w:rsid w:val="00DD0EEF"/>
    <w:rsid w:val="00DD7FF0"/>
    <w:rsid w:val="00DE0CF8"/>
    <w:rsid w:val="00DE24AE"/>
    <w:rsid w:val="00DE2E63"/>
    <w:rsid w:val="00DE6956"/>
    <w:rsid w:val="00DF137E"/>
    <w:rsid w:val="00DF437C"/>
    <w:rsid w:val="00DF58E7"/>
    <w:rsid w:val="00E11876"/>
    <w:rsid w:val="00E1480F"/>
    <w:rsid w:val="00E23CBB"/>
    <w:rsid w:val="00E23DC2"/>
    <w:rsid w:val="00E25077"/>
    <w:rsid w:val="00E269A8"/>
    <w:rsid w:val="00E323F2"/>
    <w:rsid w:val="00E32E5C"/>
    <w:rsid w:val="00E346ED"/>
    <w:rsid w:val="00E36BF2"/>
    <w:rsid w:val="00E37432"/>
    <w:rsid w:val="00E37B59"/>
    <w:rsid w:val="00E407A3"/>
    <w:rsid w:val="00E40EC6"/>
    <w:rsid w:val="00E427B8"/>
    <w:rsid w:val="00E4390F"/>
    <w:rsid w:val="00E43AEF"/>
    <w:rsid w:val="00E51769"/>
    <w:rsid w:val="00E52F58"/>
    <w:rsid w:val="00E52FCD"/>
    <w:rsid w:val="00E533E3"/>
    <w:rsid w:val="00E61BC3"/>
    <w:rsid w:val="00E62676"/>
    <w:rsid w:val="00E660CC"/>
    <w:rsid w:val="00E67937"/>
    <w:rsid w:val="00E7071C"/>
    <w:rsid w:val="00E736AF"/>
    <w:rsid w:val="00E74466"/>
    <w:rsid w:val="00E7491B"/>
    <w:rsid w:val="00E74ACF"/>
    <w:rsid w:val="00E75F54"/>
    <w:rsid w:val="00E80CB5"/>
    <w:rsid w:val="00E917AE"/>
    <w:rsid w:val="00E9227F"/>
    <w:rsid w:val="00E93CD5"/>
    <w:rsid w:val="00E9629B"/>
    <w:rsid w:val="00E973CF"/>
    <w:rsid w:val="00EA0D45"/>
    <w:rsid w:val="00EA36C6"/>
    <w:rsid w:val="00EA3978"/>
    <w:rsid w:val="00EA44D6"/>
    <w:rsid w:val="00EB24ED"/>
    <w:rsid w:val="00EB3447"/>
    <w:rsid w:val="00EB452F"/>
    <w:rsid w:val="00EC02B8"/>
    <w:rsid w:val="00EC20A9"/>
    <w:rsid w:val="00EC2912"/>
    <w:rsid w:val="00EC31B4"/>
    <w:rsid w:val="00EC6F01"/>
    <w:rsid w:val="00ED235A"/>
    <w:rsid w:val="00ED5725"/>
    <w:rsid w:val="00ED5AC2"/>
    <w:rsid w:val="00ED5E45"/>
    <w:rsid w:val="00ED7031"/>
    <w:rsid w:val="00EE01C1"/>
    <w:rsid w:val="00EE126C"/>
    <w:rsid w:val="00EE2995"/>
    <w:rsid w:val="00EE3060"/>
    <w:rsid w:val="00EE4315"/>
    <w:rsid w:val="00EE5425"/>
    <w:rsid w:val="00EE7660"/>
    <w:rsid w:val="00EF4D81"/>
    <w:rsid w:val="00EF4DEA"/>
    <w:rsid w:val="00EF6A24"/>
    <w:rsid w:val="00F00BE9"/>
    <w:rsid w:val="00F02772"/>
    <w:rsid w:val="00F03D23"/>
    <w:rsid w:val="00F066B8"/>
    <w:rsid w:val="00F14FC6"/>
    <w:rsid w:val="00F16758"/>
    <w:rsid w:val="00F16FB9"/>
    <w:rsid w:val="00F20481"/>
    <w:rsid w:val="00F23D8D"/>
    <w:rsid w:val="00F26ED3"/>
    <w:rsid w:val="00F27382"/>
    <w:rsid w:val="00F309DC"/>
    <w:rsid w:val="00F30FBF"/>
    <w:rsid w:val="00F318C3"/>
    <w:rsid w:val="00F348D1"/>
    <w:rsid w:val="00F40ADD"/>
    <w:rsid w:val="00F42576"/>
    <w:rsid w:val="00F42A53"/>
    <w:rsid w:val="00F42CF9"/>
    <w:rsid w:val="00F47606"/>
    <w:rsid w:val="00F476CB"/>
    <w:rsid w:val="00F51A6C"/>
    <w:rsid w:val="00F55D24"/>
    <w:rsid w:val="00F60560"/>
    <w:rsid w:val="00F62B7A"/>
    <w:rsid w:val="00F6397D"/>
    <w:rsid w:val="00F64A19"/>
    <w:rsid w:val="00F64EDD"/>
    <w:rsid w:val="00F65262"/>
    <w:rsid w:val="00F7058D"/>
    <w:rsid w:val="00F7293E"/>
    <w:rsid w:val="00F734EB"/>
    <w:rsid w:val="00F76650"/>
    <w:rsid w:val="00F82DED"/>
    <w:rsid w:val="00F82F62"/>
    <w:rsid w:val="00F844D9"/>
    <w:rsid w:val="00F8474C"/>
    <w:rsid w:val="00F9187B"/>
    <w:rsid w:val="00F92385"/>
    <w:rsid w:val="00F93857"/>
    <w:rsid w:val="00F95FC9"/>
    <w:rsid w:val="00F973F2"/>
    <w:rsid w:val="00F97A5B"/>
    <w:rsid w:val="00FA0375"/>
    <w:rsid w:val="00FA1B43"/>
    <w:rsid w:val="00FA1B4F"/>
    <w:rsid w:val="00FA2F40"/>
    <w:rsid w:val="00FA324B"/>
    <w:rsid w:val="00FB2238"/>
    <w:rsid w:val="00FB23D9"/>
    <w:rsid w:val="00FB2769"/>
    <w:rsid w:val="00FB2DE6"/>
    <w:rsid w:val="00FB3336"/>
    <w:rsid w:val="00FB3CC7"/>
    <w:rsid w:val="00FB57BF"/>
    <w:rsid w:val="00FB5828"/>
    <w:rsid w:val="00FB613B"/>
    <w:rsid w:val="00FB7F34"/>
    <w:rsid w:val="00FB7FA9"/>
    <w:rsid w:val="00FC47F9"/>
    <w:rsid w:val="00FC616A"/>
    <w:rsid w:val="00FC7131"/>
    <w:rsid w:val="00FD109B"/>
    <w:rsid w:val="00FD51D0"/>
    <w:rsid w:val="00FD6DC6"/>
    <w:rsid w:val="00FD7264"/>
    <w:rsid w:val="00FE0D8D"/>
    <w:rsid w:val="00FE50D0"/>
    <w:rsid w:val="00FE5580"/>
    <w:rsid w:val="00FE5BF6"/>
    <w:rsid w:val="00FE5C46"/>
    <w:rsid w:val="00FE72F2"/>
    <w:rsid w:val="00FF110C"/>
    <w:rsid w:val="00FF5760"/>
    <w:rsid w:val="0105D5AB"/>
    <w:rsid w:val="01069FF8"/>
    <w:rsid w:val="0163BCEE"/>
    <w:rsid w:val="01E85EF0"/>
    <w:rsid w:val="03D00EAE"/>
    <w:rsid w:val="0436ECCF"/>
    <w:rsid w:val="05808554"/>
    <w:rsid w:val="05B2D3CB"/>
    <w:rsid w:val="07658AEE"/>
    <w:rsid w:val="080D9D11"/>
    <w:rsid w:val="0B03BFC4"/>
    <w:rsid w:val="0CDE2B50"/>
    <w:rsid w:val="0CE79B57"/>
    <w:rsid w:val="0E836BB8"/>
    <w:rsid w:val="102083DB"/>
    <w:rsid w:val="10BD5C91"/>
    <w:rsid w:val="1282AA9D"/>
    <w:rsid w:val="1342DF20"/>
    <w:rsid w:val="14EBED90"/>
    <w:rsid w:val="14F5C331"/>
    <w:rsid w:val="164178C6"/>
    <w:rsid w:val="18188E9A"/>
    <w:rsid w:val="18ADB54A"/>
    <w:rsid w:val="18E426C4"/>
    <w:rsid w:val="1C0E0F4B"/>
    <w:rsid w:val="1CA90D0D"/>
    <w:rsid w:val="1D63466B"/>
    <w:rsid w:val="1DD700C5"/>
    <w:rsid w:val="1EE8421D"/>
    <w:rsid w:val="1FDFA82E"/>
    <w:rsid w:val="207840D4"/>
    <w:rsid w:val="22CD8764"/>
    <w:rsid w:val="236F4C67"/>
    <w:rsid w:val="23C00B3D"/>
    <w:rsid w:val="2463CC31"/>
    <w:rsid w:val="24B8A4D8"/>
    <w:rsid w:val="24DE189F"/>
    <w:rsid w:val="25CA4DB4"/>
    <w:rsid w:val="272887AD"/>
    <w:rsid w:val="2778794E"/>
    <w:rsid w:val="27937235"/>
    <w:rsid w:val="2837A403"/>
    <w:rsid w:val="28EB0449"/>
    <w:rsid w:val="292A94B3"/>
    <w:rsid w:val="295A4905"/>
    <w:rsid w:val="29B2DD90"/>
    <w:rsid w:val="2AB6DCBF"/>
    <w:rsid w:val="2B7BB7C4"/>
    <w:rsid w:val="2BF2EE9A"/>
    <w:rsid w:val="2CA5FD74"/>
    <w:rsid w:val="2E490023"/>
    <w:rsid w:val="2ECF5000"/>
    <w:rsid w:val="30276939"/>
    <w:rsid w:val="30AC0CFB"/>
    <w:rsid w:val="3178FF58"/>
    <w:rsid w:val="358608B7"/>
    <w:rsid w:val="3BF97F05"/>
    <w:rsid w:val="3C895501"/>
    <w:rsid w:val="3CA0EB26"/>
    <w:rsid w:val="3D59F178"/>
    <w:rsid w:val="3EF50201"/>
    <w:rsid w:val="42EE07BA"/>
    <w:rsid w:val="435F51AB"/>
    <w:rsid w:val="43BFEC72"/>
    <w:rsid w:val="472D6FCF"/>
    <w:rsid w:val="49EB8EA3"/>
    <w:rsid w:val="4A3F7A6E"/>
    <w:rsid w:val="4C0DF536"/>
    <w:rsid w:val="4C4720CA"/>
    <w:rsid w:val="4CED0B94"/>
    <w:rsid w:val="4E094453"/>
    <w:rsid w:val="4E4CB8AF"/>
    <w:rsid w:val="4F4C42A2"/>
    <w:rsid w:val="518B8244"/>
    <w:rsid w:val="5373CB92"/>
    <w:rsid w:val="53D8325F"/>
    <w:rsid w:val="54170D6B"/>
    <w:rsid w:val="5484C981"/>
    <w:rsid w:val="551CBEF9"/>
    <w:rsid w:val="557C170A"/>
    <w:rsid w:val="57E56A77"/>
    <w:rsid w:val="581914C2"/>
    <w:rsid w:val="58AD89C8"/>
    <w:rsid w:val="59813AD8"/>
    <w:rsid w:val="5A658861"/>
    <w:rsid w:val="5ADD7F92"/>
    <w:rsid w:val="5D4CB8CF"/>
    <w:rsid w:val="5D4CC1C9"/>
    <w:rsid w:val="5E76E47F"/>
    <w:rsid w:val="6023342E"/>
    <w:rsid w:val="6267F871"/>
    <w:rsid w:val="62B3B7E2"/>
    <w:rsid w:val="63D30372"/>
    <w:rsid w:val="65493022"/>
    <w:rsid w:val="65DA9382"/>
    <w:rsid w:val="668ABDA0"/>
    <w:rsid w:val="67B5461E"/>
    <w:rsid w:val="683CC520"/>
    <w:rsid w:val="6BCBFF22"/>
    <w:rsid w:val="6BDF257C"/>
    <w:rsid w:val="6CCFE8A5"/>
    <w:rsid w:val="6E2C7244"/>
    <w:rsid w:val="6E713ACB"/>
    <w:rsid w:val="6EB9F74C"/>
    <w:rsid w:val="6F1B296B"/>
    <w:rsid w:val="6F6B05A7"/>
    <w:rsid w:val="70042F5B"/>
    <w:rsid w:val="72696A80"/>
    <w:rsid w:val="75CB4486"/>
    <w:rsid w:val="7747DC77"/>
    <w:rsid w:val="778B5B95"/>
    <w:rsid w:val="780027E2"/>
    <w:rsid w:val="7868542D"/>
    <w:rsid w:val="78A9249D"/>
    <w:rsid w:val="7B21EE2E"/>
    <w:rsid w:val="7BD400A0"/>
    <w:rsid w:val="7CA3A84B"/>
    <w:rsid w:val="7D502636"/>
    <w:rsid w:val="7D80EDF3"/>
    <w:rsid w:val="7FF5A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6E474"/>
  <w15:chartTrackingRefBased/>
  <w15:docId w15:val="{2720B745-976F-4491-A5BE-A4D93AFF11A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6F2"/>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947BC6"/>
    <w:pPr>
      <w:numPr>
        <w:numId w:val="8"/>
      </w:numPr>
    </w:pPr>
    <w:rPr>
      <w:rFonts w:eastAsiaTheme="majorEastAsia" w:cstheme="majorBidi"/>
      <w:szCs w:val="32"/>
    </w:rPr>
  </w:style>
  <w:style w:type="paragraph" w:styleId="Heading2">
    <w:name w:val="heading 2"/>
    <w:basedOn w:val="Dummy"/>
    <w:next w:val="Standard"/>
    <w:link w:val="Heading2Char"/>
    <w:uiPriority w:val="4"/>
    <w:qFormat/>
    <w:rsid w:val="00947BC6"/>
    <w:pPr>
      <w:numPr>
        <w:ilvl w:val="1"/>
        <w:numId w:val="8"/>
      </w:numPr>
      <w:outlineLvl w:val="1"/>
    </w:pPr>
  </w:style>
  <w:style w:type="paragraph" w:styleId="Heading3">
    <w:name w:val="heading 3"/>
    <w:basedOn w:val="Dummy"/>
    <w:next w:val="Standard"/>
    <w:link w:val="Heading3Char"/>
    <w:uiPriority w:val="4"/>
    <w:qFormat/>
    <w:rsid w:val="00947BC6"/>
    <w:pPr>
      <w:numPr>
        <w:ilvl w:val="2"/>
        <w:numId w:val="8"/>
      </w:numPr>
      <w:outlineLvl w:val="2"/>
    </w:pPr>
    <w:rPr>
      <w:rFonts w:eastAsiaTheme="majorEastAsia" w:cstheme="majorBidi"/>
      <w:szCs w:val="24"/>
    </w:rPr>
  </w:style>
  <w:style w:type="paragraph" w:styleId="Heading4">
    <w:name w:val="heading 4"/>
    <w:basedOn w:val="Dummy"/>
    <w:next w:val="Standard"/>
    <w:link w:val="Heading4Char"/>
    <w:uiPriority w:val="4"/>
    <w:rsid w:val="00947BC6"/>
    <w:pPr>
      <w:numPr>
        <w:ilvl w:val="3"/>
        <w:numId w:val="8"/>
      </w:numPr>
      <w:outlineLvl w:val="3"/>
    </w:pPr>
    <w:rPr>
      <w:rFonts w:eastAsiaTheme="majorEastAsia" w:cstheme="majorBidi"/>
      <w:iCs/>
    </w:rPr>
  </w:style>
  <w:style w:type="paragraph" w:styleId="Heading5">
    <w:name w:val="heading 5"/>
    <w:basedOn w:val="Dummy"/>
    <w:next w:val="Standard"/>
    <w:link w:val="Heading5Char"/>
    <w:uiPriority w:val="4"/>
    <w:rsid w:val="00947BC6"/>
    <w:pPr>
      <w:numPr>
        <w:ilvl w:val="4"/>
        <w:numId w:val="8"/>
      </w:numPr>
      <w:outlineLvl w:val="4"/>
    </w:pPr>
    <w:rPr>
      <w:rFonts w:eastAsiaTheme="majorEastAsia" w:cstheme="majorBidi"/>
    </w:rPr>
  </w:style>
  <w:style w:type="paragraph" w:styleId="Heading6">
    <w:name w:val="heading 6"/>
    <w:basedOn w:val="Dummy"/>
    <w:next w:val="Standard"/>
    <w:link w:val="Heading6Char"/>
    <w:uiPriority w:val="4"/>
    <w:rsid w:val="00947BC6"/>
    <w:pPr>
      <w:numPr>
        <w:ilvl w:val="5"/>
        <w:numId w:val="8"/>
      </w:numPr>
      <w:spacing w:before="4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36017B"/>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ED5725"/>
    <w:rPr>
      <w:rFonts w:ascii="Arial" w:hAnsi="Arial" w:cs="Arial"/>
      <w:b/>
      <w:sz w:val="26"/>
      <w:szCs w:val="26"/>
    </w:rPr>
  </w:style>
  <w:style w:type="character" w:customStyle="1" w:styleId="Heading3Char">
    <w:name w:val="Heading 3 Char"/>
    <w:basedOn w:val="DefaultParagraphFont"/>
    <w:link w:val="Heading3"/>
    <w:uiPriority w:val="4"/>
    <w:rsid w:val="00722850"/>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7A406D"/>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8A179F"/>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3"/>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4"/>
      </w:numPr>
    </w:pPr>
  </w:style>
  <w:style w:type="paragraph" w:customStyle="1" w:styleId="CoL">
    <w:name w:val="CoL"/>
    <w:basedOn w:val="Standard"/>
    <w:uiPriority w:val="7"/>
    <w:qFormat/>
    <w:rsid w:val="001E2A62"/>
    <w:pPr>
      <w:ind w:firstLine="547"/>
    </w:pPr>
  </w:style>
  <w:style w:type="paragraph" w:styleId="NoSpacing">
    <w:name w:val="No Spacing"/>
    <w:basedOn w:val="Standard"/>
    <w:uiPriority w:val="1"/>
    <w:rsid w:val="001E2A62"/>
    <w:pPr>
      <w:spacing w:line="240" w:lineRule="auto"/>
      <w:ind w:firstLine="0"/>
    </w:pPr>
  </w:style>
  <w:style w:type="paragraph" w:customStyle="1" w:styleId="OP">
    <w:name w:val="OP"/>
    <w:basedOn w:val="Standard"/>
    <w:uiPriority w:val="8"/>
    <w:qFormat/>
    <w:rsid w:val="001E2A62"/>
    <w:pPr>
      <w:ind w:firstLine="540"/>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947BC6"/>
    <w:pPr>
      <w:numPr>
        <w:numId w:val="7"/>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947BC6"/>
    <w:pPr>
      <w:numPr>
        <w:ilvl w:val="7"/>
        <w:numId w:val="8"/>
      </w:numPr>
      <w:spacing w:after="120" w:line="240" w:lineRule="auto"/>
    </w:pPr>
  </w:style>
  <w:style w:type="paragraph" w:styleId="ListBullet">
    <w:name w:val="List Bullet"/>
    <w:basedOn w:val="Standard"/>
    <w:uiPriority w:val="4"/>
    <w:qFormat/>
    <w:rsid w:val="001F2819"/>
    <w:pPr>
      <w:numPr>
        <w:numId w:val="10"/>
      </w:numPr>
      <w:tabs>
        <w:tab w:val="clear" w:pos="360"/>
      </w:tabs>
      <w:spacing w:after="120" w:line="240" w:lineRule="auto"/>
      <w:ind w:left="1080"/>
    </w:pPr>
  </w:style>
  <w:style w:type="character" w:customStyle="1" w:styleId="Heading6Char">
    <w:name w:val="Heading 6 Char"/>
    <w:basedOn w:val="DefaultParagraphFont"/>
    <w:link w:val="Heading6"/>
    <w:uiPriority w:val="4"/>
    <w:rsid w:val="000A56F2"/>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rsid w:val="00947BC6"/>
    <w:pPr>
      <w:contextualSpacing/>
    </w:pPr>
    <w:rPr>
      <w:sz w:val="22"/>
    </w:rPr>
  </w:style>
  <w:style w:type="paragraph" w:customStyle="1" w:styleId="ListNum">
    <w:name w:val="List Num"/>
    <w:basedOn w:val="Normal"/>
    <w:uiPriority w:val="4"/>
    <w:rsid w:val="006B0354"/>
    <w:pPr>
      <w:tabs>
        <w:tab w:val="num" w:pos="1080"/>
      </w:tabs>
      <w:spacing w:after="120" w:line="240" w:lineRule="auto"/>
      <w:ind w:left="1080" w:right="1440" w:hanging="360"/>
    </w:pPr>
    <w:rPr>
      <w:szCs w:val="26"/>
    </w:rPr>
  </w:style>
  <w:style w:type="character" w:customStyle="1" w:styleId="displayonly">
    <w:name w:val="display_only"/>
    <w:basedOn w:val="DefaultParagraphFont"/>
    <w:rsid w:val="00E74ACF"/>
  </w:style>
  <w:style w:type="paragraph" w:styleId="BodyText">
    <w:name w:val="Body Text"/>
    <w:basedOn w:val="Normal"/>
    <w:link w:val="BodyTextChar"/>
    <w:semiHidden/>
    <w:unhideWhenUsed/>
    <w:rsid w:val="00345A4F"/>
    <w:pPr>
      <w:tabs>
        <w:tab w:val="left" w:pos="3600"/>
      </w:tabs>
      <w:spacing w:line="240" w:lineRule="auto"/>
      <w:ind w:firstLine="0"/>
      <w:jc w:val="center"/>
    </w:pPr>
    <w:rPr>
      <w:rFonts w:ascii="Palatino" w:eastAsia="Times New Roman" w:hAnsi="Palatino" w:cs="Times New Roman"/>
      <w:szCs w:val="20"/>
    </w:rPr>
  </w:style>
  <w:style w:type="character" w:customStyle="1" w:styleId="BodyTextChar">
    <w:name w:val="Body Text Char"/>
    <w:basedOn w:val="DefaultParagraphFont"/>
    <w:link w:val="BodyText"/>
    <w:semiHidden/>
    <w:rsid w:val="00345A4F"/>
    <w:rPr>
      <w:rFonts w:ascii="Palatino" w:eastAsia="Times New Roman" w:hAnsi="Palatino" w:cs="Times New Roman"/>
      <w:sz w:val="26"/>
      <w:szCs w:val="20"/>
    </w:rPr>
  </w:style>
  <w:style w:type="paragraph" w:styleId="BodyTextIndent2">
    <w:name w:val="Body Text Indent 2"/>
    <w:basedOn w:val="Normal"/>
    <w:link w:val="BodyTextIndent2Char"/>
    <w:semiHidden/>
    <w:unhideWhenUsed/>
    <w:rsid w:val="00345A4F"/>
    <w:pPr>
      <w:tabs>
        <w:tab w:val="left" w:leader="dot" w:pos="-720"/>
        <w:tab w:val="left" w:pos="1800"/>
        <w:tab w:val="right" w:leader="dot" w:pos="9180"/>
      </w:tabs>
      <w:suppressAutoHyphens/>
      <w:spacing w:line="240" w:lineRule="auto"/>
      <w:ind w:left="1800" w:hanging="1800"/>
    </w:pPr>
    <w:rPr>
      <w:rFonts w:ascii="Palatino" w:eastAsia="Times New Roman" w:hAnsi="Palatino" w:cs="Times New Roman"/>
      <w:szCs w:val="20"/>
    </w:rPr>
  </w:style>
  <w:style w:type="character" w:customStyle="1" w:styleId="BodyTextIndent2Char">
    <w:name w:val="Body Text Indent 2 Char"/>
    <w:basedOn w:val="DefaultParagraphFont"/>
    <w:link w:val="BodyTextIndent2"/>
    <w:semiHidden/>
    <w:rsid w:val="00345A4F"/>
    <w:rPr>
      <w:rFonts w:ascii="Palatino" w:eastAsia="Times New Roman" w:hAnsi="Palatino" w:cs="Times New Roman"/>
      <w:sz w:val="26"/>
      <w:szCs w:val="20"/>
    </w:rPr>
  </w:style>
  <w:style w:type="paragraph" w:styleId="BodyTextIndent3">
    <w:name w:val="Body Text Indent 3"/>
    <w:basedOn w:val="Normal"/>
    <w:link w:val="BodyTextIndent3Char"/>
    <w:semiHidden/>
    <w:unhideWhenUsed/>
    <w:rsid w:val="00345A4F"/>
    <w:pPr>
      <w:spacing w:line="240" w:lineRule="auto"/>
      <w:ind w:left="1800" w:hanging="360"/>
    </w:pPr>
    <w:rPr>
      <w:rFonts w:ascii="Palatino" w:eastAsia="Times New Roman" w:hAnsi="Palatino" w:cs="Times New Roman"/>
      <w:szCs w:val="20"/>
    </w:rPr>
  </w:style>
  <w:style w:type="character" w:customStyle="1" w:styleId="BodyTextIndent3Char">
    <w:name w:val="Body Text Indent 3 Char"/>
    <w:basedOn w:val="DefaultParagraphFont"/>
    <w:link w:val="BodyTextIndent3"/>
    <w:semiHidden/>
    <w:rsid w:val="00345A4F"/>
    <w:rPr>
      <w:rFonts w:ascii="Palatino" w:eastAsia="Times New Roman" w:hAnsi="Palatino" w:cs="Times New Roman"/>
      <w:sz w:val="26"/>
      <w:szCs w:val="20"/>
    </w:rPr>
  </w:style>
  <w:style w:type="paragraph" w:customStyle="1" w:styleId="main0">
    <w:name w:val="main"/>
    <w:basedOn w:val="Normal"/>
    <w:rsid w:val="00345A4F"/>
    <w:pPr>
      <w:spacing w:line="240" w:lineRule="auto"/>
      <w:ind w:firstLine="0"/>
      <w:jc w:val="center"/>
    </w:pPr>
    <w:rPr>
      <w:rFonts w:ascii="Helvetica" w:eastAsia="Times New Roman" w:hAnsi="Helvetica" w:cs="Times New Roman"/>
      <w:b/>
      <w:szCs w:val="20"/>
    </w:rPr>
  </w:style>
  <w:style w:type="paragraph" w:customStyle="1" w:styleId="sub3">
    <w:name w:val="sub3"/>
    <w:basedOn w:val="Normal"/>
    <w:rsid w:val="00345A4F"/>
    <w:pPr>
      <w:ind w:firstLine="1800"/>
    </w:pPr>
    <w:rPr>
      <w:rFonts w:ascii="Palatino" w:eastAsia="Times New Roman" w:hAnsi="Palatino" w:cs="Times New Roman"/>
      <w:szCs w:val="20"/>
    </w:rPr>
  </w:style>
  <w:style w:type="paragraph" w:customStyle="1" w:styleId="standard0">
    <w:name w:val="standard"/>
    <w:basedOn w:val="Normal"/>
    <w:link w:val="standardChar"/>
    <w:rsid w:val="009F766C"/>
    <w:rPr>
      <w:rFonts w:ascii="Palatino" w:eastAsia="Times New Roman" w:hAnsi="Palatino" w:cs="Times New Roman"/>
      <w:szCs w:val="20"/>
    </w:rPr>
  </w:style>
  <w:style w:type="paragraph" w:customStyle="1" w:styleId="letter">
    <w:name w:val="letter"/>
    <w:basedOn w:val="num1"/>
    <w:autoRedefine/>
    <w:rsid w:val="006A41F3"/>
    <w:pPr>
      <w:numPr>
        <w:numId w:val="20"/>
      </w:numPr>
      <w:spacing w:after="120" w:line="240" w:lineRule="auto"/>
      <w:ind w:right="1440"/>
      <w:jc w:val="both"/>
    </w:pPr>
  </w:style>
  <w:style w:type="paragraph" w:customStyle="1" w:styleId="mainex0">
    <w:name w:val="mainex"/>
    <w:basedOn w:val="main0"/>
    <w:rsid w:val="009F766C"/>
    <w:pPr>
      <w:keepNext/>
    </w:pPr>
    <w:rPr>
      <w:spacing w:val="120"/>
    </w:rPr>
  </w:style>
  <w:style w:type="paragraph" w:customStyle="1" w:styleId="num1">
    <w:name w:val="num1"/>
    <w:basedOn w:val="Normal"/>
    <w:rsid w:val="009F766C"/>
    <w:pPr>
      <w:tabs>
        <w:tab w:val="left" w:pos="-720"/>
      </w:tabs>
      <w:suppressAutoHyphens/>
      <w:ind w:firstLine="360"/>
    </w:pPr>
    <w:rPr>
      <w:rFonts w:ascii="Palatino" w:eastAsia="Times New Roman" w:hAnsi="Palatino" w:cs="Times New Roman"/>
      <w:szCs w:val="20"/>
    </w:rPr>
  </w:style>
  <w:style w:type="paragraph" w:customStyle="1" w:styleId="num2">
    <w:name w:val="num2"/>
    <w:basedOn w:val="num1"/>
    <w:rsid w:val="009F766C"/>
    <w:pPr>
      <w:ind w:firstLine="270"/>
    </w:pPr>
  </w:style>
  <w:style w:type="character" w:customStyle="1" w:styleId="standardChar">
    <w:name w:val="standard Char"/>
    <w:link w:val="standard0"/>
    <w:rsid w:val="009F766C"/>
    <w:rPr>
      <w:rFonts w:ascii="Palatino" w:eastAsia="Times New Roman" w:hAnsi="Palatino" w:cs="Times New Roman"/>
      <w:sz w:val="26"/>
      <w:szCs w:val="20"/>
    </w:rPr>
  </w:style>
  <w:style w:type="paragraph" w:styleId="ListParagraph">
    <w:name w:val="List Paragraph"/>
    <w:basedOn w:val="Normal"/>
    <w:uiPriority w:val="1"/>
    <w:qFormat/>
    <w:rsid w:val="00084C62"/>
    <w:pPr>
      <w:ind w:left="720"/>
      <w:contextualSpacing/>
    </w:pPr>
  </w:style>
  <w:style w:type="character" w:styleId="CommentReference">
    <w:name w:val="annotation reference"/>
    <w:basedOn w:val="DefaultParagraphFont"/>
    <w:uiPriority w:val="99"/>
    <w:semiHidden/>
    <w:unhideWhenUsed/>
    <w:rsid w:val="00E74466"/>
    <w:rPr>
      <w:sz w:val="16"/>
      <w:szCs w:val="16"/>
    </w:rPr>
  </w:style>
  <w:style w:type="paragraph" w:styleId="CommentText">
    <w:name w:val="annotation text"/>
    <w:basedOn w:val="Normal"/>
    <w:link w:val="CommentTextChar"/>
    <w:uiPriority w:val="99"/>
    <w:unhideWhenUsed/>
    <w:rsid w:val="00E74466"/>
    <w:pPr>
      <w:spacing w:line="240" w:lineRule="auto"/>
    </w:pPr>
    <w:rPr>
      <w:sz w:val="20"/>
      <w:szCs w:val="20"/>
    </w:rPr>
  </w:style>
  <w:style w:type="character" w:customStyle="1" w:styleId="CommentTextChar">
    <w:name w:val="Comment Text Char"/>
    <w:basedOn w:val="DefaultParagraphFont"/>
    <w:link w:val="CommentText"/>
    <w:uiPriority w:val="99"/>
    <w:rsid w:val="00E74466"/>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E74466"/>
    <w:rPr>
      <w:b/>
      <w:bCs/>
    </w:rPr>
  </w:style>
  <w:style w:type="character" w:customStyle="1" w:styleId="CommentSubjectChar">
    <w:name w:val="Comment Subject Char"/>
    <w:basedOn w:val="CommentTextChar"/>
    <w:link w:val="CommentSubject"/>
    <w:uiPriority w:val="99"/>
    <w:semiHidden/>
    <w:rsid w:val="00E74466"/>
    <w:rPr>
      <w:rFonts w:ascii="Book Antiqua" w:hAnsi="Book Antiqua"/>
      <w:b/>
      <w:bCs/>
      <w:sz w:val="20"/>
      <w:szCs w:val="20"/>
    </w:rPr>
  </w:style>
  <w:style w:type="character" w:styleId="UnresolvedMention">
    <w:name w:val="Unresolved Mention"/>
    <w:basedOn w:val="DefaultParagraphFont"/>
    <w:uiPriority w:val="99"/>
    <w:semiHidden/>
    <w:unhideWhenUsed/>
    <w:rsid w:val="009302EA"/>
    <w:rPr>
      <w:color w:val="605E5C"/>
      <w:shd w:val="clear" w:color="auto" w:fill="E1DFDD"/>
    </w:rPr>
  </w:style>
  <w:style w:type="character" w:styleId="Mention">
    <w:name w:val="Mention"/>
    <w:basedOn w:val="DefaultParagraphFont"/>
    <w:uiPriority w:val="99"/>
    <w:unhideWhenUsed/>
    <w:rsid w:val="00B6125B"/>
    <w:rPr>
      <w:color w:val="2B579A"/>
      <w:shd w:val="clear" w:color="auto" w:fill="E1DFDD"/>
    </w:rPr>
  </w:style>
  <w:style w:type="paragraph" w:styleId="Revision">
    <w:name w:val="Revision"/>
    <w:hidden/>
    <w:uiPriority w:val="99"/>
    <w:semiHidden/>
    <w:rsid w:val="007926B1"/>
    <w:pPr>
      <w:spacing w:after="0" w:line="240" w:lineRule="auto"/>
    </w:pPr>
    <w:rPr>
      <w:rFonts w:ascii="Book Antiqua" w:hAnsi="Book Antiqua"/>
      <w:sz w:val="26"/>
    </w:rPr>
  </w:style>
  <w:style w:type="paragraph" w:customStyle="1" w:styleId="paragraph">
    <w:name w:val="paragraph"/>
    <w:basedOn w:val="Normal"/>
    <w:rsid w:val="00FC7131"/>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normaltextrun">
    <w:name w:val="normaltextrun"/>
    <w:basedOn w:val="DefaultParagraphFont"/>
    <w:rsid w:val="00FC7131"/>
  </w:style>
  <w:style w:type="character" w:customStyle="1" w:styleId="eop">
    <w:name w:val="eop"/>
    <w:basedOn w:val="DefaultParagraphFont"/>
    <w:rsid w:val="00FC7131"/>
  </w:style>
  <w:style w:type="character" w:styleId="FollowedHyperlink">
    <w:name w:val="FollowedHyperlink"/>
    <w:basedOn w:val="DefaultParagraphFont"/>
    <w:uiPriority w:val="99"/>
    <w:semiHidden/>
    <w:unhideWhenUsed/>
    <w:rsid w:val="00FD10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5281">
      <w:bodyDiv w:val="1"/>
      <w:marLeft w:val="0"/>
      <w:marRight w:val="0"/>
      <w:marTop w:val="0"/>
      <w:marBottom w:val="0"/>
      <w:divBdr>
        <w:top w:val="none" w:sz="0" w:space="0" w:color="auto"/>
        <w:left w:val="none" w:sz="0" w:space="0" w:color="auto"/>
        <w:bottom w:val="none" w:sz="0" w:space="0" w:color="auto"/>
        <w:right w:val="none" w:sz="0" w:space="0" w:color="auto"/>
      </w:divBdr>
    </w:div>
    <w:div w:id="115567023">
      <w:bodyDiv w:val="1"/>
      <w:marLeft w:val="0"/>
      <w:marRight w:val="0"/>
      <w:marTop w:val="0"/>
      <w:marBottom w:val="0"/>
      <w:divBdr>
        <w:top w:val="none" w:sz="0" w:space="0" w:color="auto"/>
        <w:left w:val="none" w:sz="0" w:space="0" w:color="auto"/>
        <w:bottom w:val="none" w:sz="0" w:space="0" w:color="auto"/>
        <w:right w:val="none" w:sz="0" w:space="0" w:color="auto"/>
      </w:divBdr>
    </w:div>
    <w:div w:id="401833250">
      <w:bodyDiv w:val="1"/>
      <w:marLeft w:val="0"/>
      <w:marRight w:val="0"/>
      <w:marTop w:val="0"/>
      <w:marBottom w:val="0"/>
      <w:divBdr>
        <w:top w:val="none" w:sz="0" w:space="0" w:color="auto"/>
        <w:left w:val="none" w:sz="0" w:space="0" w:color="auto"/>
        <w:bottom w:val="none" w:sz="0" w:space="0" w:color="auto"/>
        <w:right w:val="none" w:sz="0" w:space="0" w:color="auto"/>
      </w:divBdr>
    </w:div>
    <w:div w:id="443502953">
      <w:bodyDiv w:val="1"/>
      <w:marLeft w:val="0"/>
      <w:marRight w:val="0"/>
      <w:marTop w:val="0"/>
      <w:marBottom w:val="0"/>
      <w:divBdr>
        <w:top w:val="none" w:sz="0" w:space="0" w:color="auto"/>
        <w:left w:val="none" w:sz="0" w:space="0" w:color="auto"/>
        <w:bottom w:val="none" w:sz="0" w:space="0" w:color="auto"/>
        <w:right w:val="none" w:sz="0" w:space="0" w:color="auto"/>
      </w:divBdr>
    </w:div>
    <w:div w:id="580214395">
      <w:bodyDiv w:val="1"/>
      <w:marLeft w:val="0"/>
      <w:marRight w:val="0"/>
      <w:marTop w:val="0"/>
      <w:marBottom w:val="0"/>
      <w:divBdr>
        <w:top w:val="none" w:sz="0" w:space="0" w:color="auto"/>
        <w:left w:val="none" w:sz="0" w:space="0" w:color="auto"/>
        <w:bottom w:val="none" w:sz="0" w:space="0" w:color="auto"/>
        <w:right w:val="none" w:sz="0" w:space="0" w:color="auto"/>
      </w:divBdr>
    </w:div>
    <w:div w:id="597064099">
      <w:bodyDiv w:val="1"/>
      <w:marLeft w:val="0"/>
      <w:marRight w:val="0"/>
      <w:marTop w:val="0"/>
      <w:marBottom w:val="0"/>
      <w:divBdr>
        <w:top w:val="none" w:sz="0" w:space="0" w:color="auto"/>
        <w:left w:val="none" w:sz="0" w:space="0" w:color="auto"/>
        <w:bottom w:val="none" w:sz="0" w:space="0" w:color="auto"/>
        <w:right w:val="none" w:sz="0" w:space="0" w:color="auto"/>
      </w:divBdr>
    </w:div>
    <w:div w:id="705565663">
      <w:bodyDiv w:val="1"/>
      <w:marLeft w:val="0"/>
      <w:marRight w:val="0"/>
      <w:marTop w:val="0"/>
      <w:marBottom w:val="0"/>
      <w:divBdr>
        <w:top w:val="none" w:sz="0" w:space="0" w:color="auto"/>
        <w:left w:val="none" w:sz="0" w:space="0" w:color="auto"/>
        <w:bottom w:val="none" w:sz="0" w:space="0" w:color="auto"/>
        <w:right w:val="none" w:sz="0" w:space="0" w:color="auto"/>
      </w:divBdr>
    </w:div>
    <w:div w:id="742095823">
      <w:bodyDiv w:val="1"/>
      <w:marLeft w:val="0"/>
      <w:marRight w:val="0"/>
      <w:marTop w:val="0"/>
      <w:marBottom w:val="0"/>
      <w:divBdr>
        <w:top w:val="none" w:sz="0" w:space="0" w:color="auto"/>
        <w:left w:val="none" w:sz="0" w:space="0" w:color="auto"/>
        <w:bottom w:val="none" w:sz="0" w:space="0" w:color="auto"/>
        <w:right w:val="none" w:sz="0" w:space="0" w:color="auto"/>
      </w:divBdr>
    </w:div>
    <w:div w:id="922841238">
      <w:bodyDiv w:val="1"/>
      <w:marLeft w:val="0"/>
      <w:marRight w:val="0"/>
      <w:marTop w:val="0"/>
      <w:marBottom w:val="0"/>
      <w:divBdr>
        <w:top w:val="none" w:sz="0" w:space="0" w:color="auto"/>
        <w:left w:val="none" w:sz="0" w:space="0" w:color="auto"/>
        <w:bottom w:val="none" w:sz="0" w:space="0" w:color="auto"/>
        <w:right w:val="none" w:sz="0" w:space="0" w:color="auto"/>
      </w:divBdr>
    </w:div>
    <w:div w:id="1157453781">
      <w:bodyDiv w:val="1"/>
      <w:marLeft w:val="0"/>
      <w:marRight w:val="0"/>
      <w:marTop w:val="0"/>
      <w:marBottom w:val="0"/>
      <w:divBdr>
        <w:top w:val="none" w:sz="0" w:space="0" w:color="auto"/>
        <w:left w:val="none" w:sz="0" w:space="0" w:color="auto"/>
        <w:bottom w:val="none" w:sz="0" w:space="0" w:color="auto"/>
        <w:right w:val="none" w:sz="0" w:space="0" w:color="auto"/>
      </w:divBdr>
    </w:div>
    <w:div w:id="1159150354">
      <w:bodyDiv w:val="1"/>
      <w:marLeft w:val="0"/>
      <w:marRight w:val="0"/>
      <w:marTop w:val="0"/>
      <w:marBottom w:val="0"/>
      <w:divBdr>
        <w:top w:val="none" w:sz="0" w:space="0" w:color="auto"/>
        <w:left w:val="none" w:sz="0" w:space="0" w:color="auto"/>
        <w:bottom w:val="none" w:sz="0" w:space="0" w:color="auto"/>
        <w:right w:val="none" w:sz="0" w:space="0" w:color="auto"/>
      </w:divBdr>
    </w:div>
    <w:div w:id="1209998297">
      <w:bodyDiv w:val="1"/>
      <w:marLeft w:val="0"/>
      <w:marRight w:val="0"/>
      <w:marTop w:val="0"/>
      <w:marBottom w:val="0"/>
      <w:divBdr>
        <w:top w:val="none" w:sz="0" w:space="0" w:color="auto"/>
        <w:left w:val="none" w:sz="0" w:space="0" w:color="auto"/>
        <w:bottom w:val="none" w:sz="0" w:space="0" w:color="auto"/>
        <w:right w:val="none" w:sz="0" w:space="0" w:color="auto"/>
      </w:divBdr>
    </w:div>
    <w:div w:id="1258296758">
      <w:bodyDiv w:val="1"/>
      <w:marLeft w:val="0"/>
      <w:marRight w:val="0"/>
      <w:marTop w:val="0"/>
      <w:marBottom w:val="0"/>
      <w:divBdr>
        <w:top w:val="none" w:sz="0" w:space="0" w:color="auto"/>
        <w:left w:val="none" w:sz="0" w:space="0" w:color="auto"/>
        <w:bottom w:val="none" w:sz="0" w:space="0" w:color="auto"/>
        <w:right w:val="none" w:sz="0" w:space="0" w:color="auto"/>
      </w:divBdr>
    </w:div>
    <w:div w:id="1339651367">
      <w:bodyDiv w:val="1"/>
      <w:marLeft w:val="0"/>
      <w:marRight w:val="0"/>
      <w:marTop w:val="0"/>
      <w:marBottom w:val="0"/>
      <w:divBdr>
        <w:top w:val="none" w:sz="0" w:space="0" w:color="auto"/>
        <w:left w:val="none" w:sz="0" w:space="0" w:color="auto"/>
        <w:bottom w:val="none" w:sz="0" w:space="0" w:color="auto"/>
        <w:right w:val="none" w:sz="0" w:space="0" w:color="auto"/>
      </w:divBdr>
    </w:div>
    <w:div w:id="1668441779">
      <w:bodyDiv w:val="1"/>
      <w:marLeft w:val="0"/>
      <w:marRight w:val="0"/>
      <w:marTop w:val="0"/>
      <w:marBottom w:val="0"/>
      <w:divBdr>
        <w:top w:val="none" w:sz="0" w:space="0" w:color="auto"/>
        <w:left w:val="none" w:sz="0" w:space="0" w:color="auto"/>
        <w:bottom w:val="none" w:sz="0" w:space="0" w:color="auto"/>
        <w:right w:val="none" w:sz="0" w:space="0" w:color="auto"/>
      </w:divBdr>
    </w:div>
    <w:div w:id="1714891142">
      <w:bodyDiv w:val="1"/>
      <w:marLeft w:val="0"/>
      <w:marRight w:val="0"/>
      <w:marTop w:val="0"/>
      <w:marBottom w:val="0"/>
      <w:divBdr>
        <w:top w:val="none" w:sz="0" w:space="0" w:color="auto"/>
        <w:left w:val="none" w:sz="0" w:space="0" w:color="auto"/>
        <w:bottom w:val="none" w:sz="0" w:space="0" w:color="auto"/>
        <w:right w:val="none" w:sz="0" w:space="0" w:color="auto"/>
      </w:divBdr>
    </w:div>
    <w:div w:id="1755129052">
      <w:bodyDiv w:val="1"/>
      <w:marLeft w:val="0"/>
      <w:marRight w:val="0"/>
      <w:marTop w:val="0"/>
      <w:marBottom w:val="0"/>
      <w:divBdr>
        <w:top w:val="none" w:sz="0" w:space="0" w:color="auto"/>
        <w:left w:val="none" w:sz="0" w:space="0" w:color="auto"/>
        <w:bottom w:val="none" w:sz="0" w:space="0" w:color="auto"/>
        <w:right w:val="none" w:sz="0" w:space="0" w:color="auto"/>
      </w:divBdr>
    </w:div>
    <w:div w:id="1940867101">
      <w:bodyDiv w:val="1"/>
      <w:marLeft w:val="0"/>
      <w:marRight w:val="0"/>
      <w:marTop w:val="0"/>
      <w:marBottom w:val="0"/>
      <w:divBdr>
        <w:top w:val="none" w:sz="0" w:space="0" w:color="auto"/>
        <w:left w:val="none" w:sz="0" w:space="0" w:color="auto"/>
        <w:bottom w:val="none" w:sz="0" w:space="0" w:color="auto"/>
        <w:right w:val="none" w:sz="0" w:space="0" w:color="auto"/>
      </w:divBdr>
    </w:div>
    <w:div w:id="2029288861">
      <w:bodyDiv w:val="1"/>
      <w:marLeft w:val="0"/>
      <w:marRight w:val="0"/>
      <w:marTop w:val="0"/>
      <w:marBottom w:val="0"/>
      <w:divBdr>
        <w:top w:val="none" w:sz="0" w:space="0" w:color="auto"/>
        <w:left w:val="none" w:sz="0" w:space="0" w:color="auto"/>
        <w:bottom w:val="none" w:sz="0" w:space="0" w:color="auto"/>
        <w:right w:val="none" w:sz="0" w:space="0" w:color="auto"/>
      </w:divBdr>
    </w:div>
    <w:div w:id="212592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ocs.cpuc.ca.gov/PublishedDocs/Efile/G000/M591/K827/5918276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ccd4ca1-c18d-4f70-b13d-b2873d08d0ad">
      <UserInfo>
        <DisplayName>Genesis, Etchissa</DisplayName>
        <AccountId>221</AccountId>
        <AccountType/>
      </UserInfo>
    </SharedWithUsers>
    <lcf76f155ced4ddcb4097134ff3c332f xmlns="a4fe7543-e181-40d3-b41b-14d41fa9c928">
      <Terms xmlns="http://schemas.microsoft.com/office/infopath/2007/PartnerControls"/>
    </lcf76f155ced4ddcb4097134ff3c332f>
    <TaxCatchAll xmlns="bccd4ca1-c18d-4f70-b13d-b2873d08d0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09C434FBBAC4F8C37DF4DCD320610" ma:contentTypeVersion="15" ma:contentTypeDescription="Create a new document." ma:contentTypeScope="" ma:versionID="0dd9b3067618e100c57617162d5f3887">
  <xsd:schema xmlns:xsd="http://www.w3.org/2001/XMLSchema" xmlns:xs="http://www.w3.org/2001/XMLSchema" xmlns:p="http://schemas.microsoft.com/office/2006/metadata/properties" xmlns:ns2="a4fe7543-e181-40d3-b41b-14d41fa9c928" xmlns:ns3="bccd4ca1-c18d-4f70-b13d-b2873d08d0ad" targetNamespace="http://schemas.microsoft.com/office/2006/metadata/properties" ma:root="true" ma:fieldsID="534c81439689781a3684f3ae4567c1ec" ns2:_="" ns3:_="">
    <xsd:import namespace="a4fe7543-e181-40d3-b41b-14d41fa9c928"/>
    <xsd:import namespace="bccd4ca1-c18d-4f70-b13d-b2873d08d0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e7543-e181-40d3-b41b-14d41fa9c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d4ca1-c18d-4f70-b13d-b2873d08d0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051ffd9-8726-40dc-802d-618b90a15b2c}" ma:internalName="TaxCatchAll" ma:showField="CatchAllData" ma:web="bccd4ca1-c18d-4f70-b13d-b2873d08d0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CCA25-BED7-4692-8EAB-A0C604D10601}">
  <ds:schemaRefs>
    <ds:schemaRef ds:uri="http://schemas.microsoft.com/sharepoint/v3/contenttype/forms"/>
  </ds:schemaRefs>
</ds:datastoreItem>
</file>

<file path=customXml/itemProps2.xml><?xml version="1.0" encoding="utf-8"?>
<ds:datastoreItem xmlns:ds="http://schemas.openxmlformats.org/officeDocument/2006/customXml" ds:itemID="{2C72D1C0-B55E-46AE-9AA4-41AA237A1D06}">
  <ds:schemaRefs>
    <ds:schemaRef ds:uri="http://schemas.microsoft.com/office/2006/metadata/properties"/>
    <ds:schemaRef ds:uri="http://schemas.microsoft.com/office/infopath/2007/PartnerControls"/>
    <ds:schemaRef ds:uri="bccd4ca1-c18d-4f70-b13d-b2873d08d0ad"/>
    <ds:schemaRef ds:uri="a4fe7543-e181-40d3-b41b-14d41fa9c928"/>
  </ds:schemaRefs>
</ds:datastoreItem>
</file>

<file path=customXml/itemProps3.xml><?xml version="1.0" encoding="utf-8"?>
<ds:datastoreItem xmlns:ds="http://schemas.openxmlformats.org/officeDocument/2006/customXml" ds:itemID="{3A30EB8B-C8A3-4C3A-8113-91DE6D81A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e7543-e181-40d3-b41b-14d41fa9c928"/>
    <ds:schemaRef ds:uri="bccd4ca1-c18d-4f70-b13d-b2873d08d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0F7DA7-EDDC-43CC-9107-6D6763578887}">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14</ap:Pages>
  <ap:Words>2509</ap:Words>
  <ap:Characters>14305</ap:Characters>
  <ap:Application>Microsoft Office Word</ap:Application>
  <ap:DocSecurity>0</ap:DocSecurity>
  <ap:Lines>119</ap:Lines>
  <ap:Paragraphs>33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16781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2019-06-27T19:57:00Z</cp:lastPrinted>
  <dcterms:created xsi:type="dcterms:W3CDTF">2026-06-23T12:16:47Z</dcterms:created>
  <dcterms:modified xsi:type="dcterms:W3CDTF">2026-06-23T12:16:47Z</dcterms:modified>
</cp:coreProperties>
</file>